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7E6B4" w14:textId="1F3BC70E" w:rsidR="000279C5" w:rsidRDefault="00B82FC5" w:rsidP="007B6555">
      <w:pPr>
        <w:jc w:val="center"/>
      </w:pPr>
      <w:r w:rsidRPr="004A7D78">
        <w:rPr>
          <w:noProof/>
          <w:color w:val="2B579A"/>
          <w:shd w:val="clear" w:color="auto" w:fill="E6E6E6"/>
          <w:lang w:eastAsia="en-AU"/>
        </w:rPr>
        <mc:AlternateContent>
          <mc:Choice Requires="wps">
            <w:drawing>
              <wp:anchor distT="0" distB="0" distL="114300" distR="114300" simplePos="0" relativeHeight="251658242" behindDoc="1" locked="0" layoutInCell="1" allowOverlap="1" wp14:anchorId="79A0BE7F" wp14:editId="0BF9494A">
                <wp:simplePos x="0" y="0"/>
                <wp:positionH relativeFrom="margin">
                  <wp:align>center</wp:align>
                </wp:positionH>
                <wp:positionV relativeFrom="paragraph">
                  <wp:posOffset>-1027521</wp:posOffset>
                </wp:positionV>
                <wp:extent cx="6746875" cy="9250878"/>
                <wp:effectExtent l="0" t="0" r="0" b="7620"/>
                <wp:wrapNone/>
                <wp:docPr id="26" name="Logo and frontpagepicture">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250878"/>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10603" w:type="dxa"/>
                              <w:tblInd w:w="5122" w:type="dxa"/>
                              <w:tblLayout w:type="fixed"/>
                              <w:tblLook w:val="04A0" w:firstRow="1" w:lastRow="0" w:firstColumn="1" w:lastColumn="0" w:noHBand="0" w:noVBand="1"/>
                            </w:tblPr>
                            <w:tblGrid>
                              <w:gridCol w:w="10603"/>
                            </w:tblGrid>
                            <w:tr w:rsidR="00EE6366" w:rsidRPr="00AA1B91" w14:paraId="70879E7D" w14:textId="77777777" w:rsidTr="006D7E63">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4CFF12F8" w14:textId="77777777" w:rsidR="00EE6366" w:rsidRPr="00AA1B91" w:rsidRDefault="00EE6366" w:rsidP="008D0892"/>
                              </w:tc>
                            </w:tr>
                            <w:tr w:rsidR="00EE6366" w:rsidRPr="00AA1B91" w14:paraId="0726DA71" w14:textId="77777777" w:rsidTr="006D7E63">
                              <w:trPr>
                                <w:trHeight w:hRule="exact" w:val="10603"/>
                              </w:trPr>
                              <w:tc>
                                <w:tcPr>
                                  <w:tcW w:w="10603" w:type="dxa"/>
                                </w:tcPr>
                                <w:p w14:paraId="1DD81EEB" w14:textId="77777777" w:rsidR="00EE6366" w:rsidRPr="00AA1B91" w:rsidRDefault="00EE6366" w:rsidP="008D0892">
                                  <w:pPr>
                                    <w:pStyle w:val="FPPicture"/>
                                  </w:pPr>
                                </w:p>
                              </w:tc>
                            </w:tr>
                          </w:tbl>
                          <w:p w14:paraId="7896D5F2" w14:textId="77777777" w:rsidR="00EE6366" w:rsidRPr="001B23DA" w:rsidRDefault="00EE6366" w:rsidP="00062B83">
                            <w:pPr>
                              <w:pStyle w:val="Documenttitle"/>
                              <w:rPr>
                                <w:b w:val="0"/>
                                <w:bCs w:val="0"/>
                                <w:color w:val="auto"/>
                                <w:szCs w:val="32"/>
                              </w:rPr>
                            </w:pPr>
                          </w:p>
                          <w:p w14:paraId="4D9AAE42" w14:textId="77777777" w:rsidR="00EE6366" w:rsidRPr="001B23DA" w:rsidRDefault="00EE6366" w:rsidP="001B23DA">
                            <w:pPr>
                              <w:pStyle w:val="Documentsubtitle"/>
                              <w:rPr>
                                <w:sz w:val="32"/>
                                <w:szCs w:val="32"/>
                              </w:rPr>
                            </w:pPr>
                          </w:p>
                          <w:p w14:paraId="421BF1DE" w14:textId="77777777" w:rsidR="00EE6366" w:rsidRPr="00652523" w:rsidRDefault="00EE6366" w:rsidP="00062B83">
                            <w:pPr>
                              <w:pStyle w:val="Documenttitle"/>
                              <w:rPr>
                                <w:color w:val="auto"/>
                              </w:rPr>
                            </w:pPr>
                            <w:r w:rsidRPr="00652523">
                              <w:rPr>
                                <w:color w:val="auto"/>
                              </w:rPr>
                              <w:t xml:space="preserve">Evaluation of Country of Origin Labelling reforms </w:t>
                            </w:r>
                          </w:p>
                          <w:p w14:paraId="451AADF6" w14:textId="77777777" w:rsidR="00EE6366" w:rsidRPr="001B23DA" w:rsidRDefault="00EE6366" w:rsidP="00062B83">
                            <w:pPr>
                              <w:pStyle w:val="Documentsubtitle"/>
                              <w:rPr>
                                <w:sz w:val="24"/>
                                <w:szCs w:val="16"/>
                              </w:rPr>
                            </w:pPr>
                            <w:r w:rsidRPr="00652523">
                              <w:rPr>
                                <w:sz w:val="24"/>
                                <w:szCs w:val="16"/>
                              </w:rPr>
                              <w:t>Department of Industry, Science, Energy and Resources</w:t>
                            </w:r>
                          </w:p>
                          <w:p w14:paraId="2B9087D1" w14:textId="14B8814D" w:rsidR="00EE6366" w:rsidRPr="00AD31C1" w:rsidRDefault="00EE6366" w:rsidP="00062B83">
                            <w:pPr>
                              <w:pStyle w:val="NoSpacing"/>
                            </w:pPr>
                            <w:r w:rsidRPr="00AD31C1">
                              <w:t xml:space="preserve">Final Report </w:t>
                            </w:r>
                            <w:r w:rsidR="00AD31C1" w:rsidRPr="00AD31C1">
                              <w:t>July</w:t>
                            </w:r>
                            <w:r w:rsidR="005D7371" w:rsidRPr="00AD31C1">
                              <w:t xml:space="preserve"> </w:t>
                            </w:r>
                            <w:r w:rsidRPr="00AD31C1">
                              <w:t>2021</w:t>
                            </w:r>
                          </w:p>
                          <w:tbl>
                            <w:tblPr>
                              <w:tblStyle w:val="Tabel-Gitter1"/>
                              <w:tblOverlap w:val="never"/>
                              <w:tblW w:w="0" w:type="auto"/>
                              <w:tblLayout w:type="fixed"/>
                              <w:tblLook w:val="04A0" w:firstRow="1" w:lastRow="0" w:firstColumn="1" w:lastColumn="0" w:noHBand="0" w:noVBand="1"/>
                            </w:tblPr>
                            <w:tblGrid>
                              <w:gridCol w:w="6945"/>
                            </w:tblGrid>
                            <w:tr w:rsidR="00EE6366" w14:paraId="268993BC" w14:textId="77777777" w:rsidTr="008D0892">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62B72169" w14:textId="77777777" w:rsidR="00EE6366" w:rsidRDefault="00EE6366" w:rsidP="005D3CA2">
                                  <w:pPr>
                                    <w:pStyle w:val="Documentdate"/>
                                  </w:pPr>
                                  <w:r>
                                    <w:rPr>
                                      <w:color w:val="44546A" w:themeColor="text2"/>
                                    </w:rPr>
                                    <w:t>31 March</w:t>
                                  </w:r>
                                  <w:r w:rsidRPr="003C74DF">
                                    <w:rPr>
                                      <w:color w:val="44546A" w:themeColor="text2"/>
                                    </w:rPr>
                                    <w:t xml:space="preserve"> 2021</w:t>
                                  </w:r>
                                </w:p>
                              </w:tc>
                            </w:tr>
                          </w:tbl>
                          <w:p w14:paraId="06F55DEE" w14:textId="77777777" w:rsidR="00EE6366" w:rsidRPr="00AA1B91" w:rsidRDefault="00EE6366" w:rsidP="00524C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A0BE7F" id="_x0000_t202" coordsize="21600,21600" o:spt="202" path="m,l,21600r21600,l21600,xe">
                <v:stroke joinstyle="miter"/>
                <v:path gradientshapeok="t" o:connecttype="rect"/>
              </v:shapetype>
              <v:shape id="Logo and frontpagepicture" o:spid="_x0000_s1026" type="#_x0000_t202" style="position:absolute;left:0;text-align:left;margin-left:0;margin-top:-80.9pt;width:531.25pt;height:728.4pt;z-index:-2516582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" filled="f" fillcolor="white [3201]" stroked="f" strokeweight=".5pt">
                <v:textbox inset="0,0,0,0">
                  <w:txbxContent>
                    <w:tbl>
                      <w:tblPr>
                        <w:tblStyle w:val="TableGrid"/>
                        <w:tblW w:w="10603" w:type="dxa"/>
                        <w:tblInd w:w="5122" w:type="dxa"/>
                        <w:tblLayout w:type="fixed"/>
                        <w:tblLook w:val="04A0" w:firstRow="1" w:lastRow="0" w:firstColumn="1" w:lastColumn="0" w:noHBand="0" w:noVBand="1"/>
                      </w:tblPr>
                      <w:tblGrid>
                        <w:gridCol w:w="10603"/>
                      </w:tblGrid>
                      <w:tr w:rsidR="00EE6366" w:rsidRPr="00AA1B91" w14:paraId="70879E7D" w14:textId="77777777" w:rsidTr="006D7E63">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4CFF12F8" w14:textId="77777777" w:rsidR="00EE6366" w:rsidRPr="00AA1B91" w:rsidRDefault="00EE6366" w:rsidP="008D0892"/>
                        </w:tc>
                      </w:tr>
                      <w:tr w:rsidR="00EE6366" w:rsidRPr="00AA1B91" w14:paraId="0726DA71" w14:textId="77777777" w:rsidTr="006D7E63">
                        <w:trPr>
                          <w:trHeight w:hRule="exact" w:val="10603"/>
                        </w:trPr>
                        <w:tc>
                          <w:tcPr>
                            <w:tcW w:w="10603" w:type="dxa"/>
                          </w:tcPr>
                          <w:p w14:paraId="1DD81EEB" w14:textId="77777777" w:rsidR="00EE6366" w:rsidRPr="00AA1B91" w:rsidRDefault="00EE6366" w:rsidP="008D0892">
                            <w:pPr>
                              <w:pStyle w:val="FPPicture"/>
                            </w:pPr>
                          </w:p>
                        </w:tc>
                      </w:tr>
                    </w:tbl>
                    <w:p w14:paraId="7896D5F2" w14:textId="77777777" w:rsidR="00EE6366" w:rsidRPr="001B23DA" w:rsidRDefault="00EE6366" w:rsidP="00062B83">
                      <w:pPr>
                        <w:pStyle w:val="Documenttitle"/>
                        <w:rPr>
                          <w:b w:val="0"/>
                          <w:bCs w:val="0"/>
                          <w:color w:val="auto"/>
                          <w:szCs w:val="32"/>
                        </w:rPr>
                      </w:pPr>
                    </w:p>
                    <w:p w14:paraId="4D9AAE42" w14:textId="77777777" w:rsidR="00EE6366" w:rsidRPr="001B23DA" w:rsidRDefault="00EE6366" w:rsidP="001B23DA">
                      <w:pPr>
                        <w:pStyle w:val="Documentsubtitle"/>
                        <w:rPr>
                          <w:sz w:val="32"/>
                          <w:szCs w:val="32"/>
                        </w:rPr>
                      </w:pPr>
                    </w:p>
                    <w:p w14:paraId="421BF1DE" w14:textId="77777777" w:rsidR="00EE6366" w:rsidRPr="00652523" w:rsidRDefault="00EE6366" w:rsidP="00062B83">
                      <w:pPr>
                        <w:pStyle w:val="Documenttitle"/>
                        <w:rPr>
                          <w:color w:val="auto"/>
                        </w:rPr>
                      </w:pPr>
                      <w:r w:rsidRPr="00652523">
                        <w:rPr>
                          <w:color w:val="auto"/>
                        </w:rPr>
                        <w:t xml:space="preserve">Evaluation of Country of Origin Labelling reforms </w:t>
                      </w:r>
                    </w:p>
                    <w:p w14:paraId="451AADF6" w14:textId="77777777" w:rsidR="00EE6366" w:rsidRPr="001B23DA" w:rsidRDefault="00EE6366" w:rsidP="00062B83">
                      <w:pPr>
                        <w:pStyle w:val="Documentsubtitle"/>
                        <w:rPr>
                          <w:sz w:val="24"/>
                          <w:szCs w:val="16"/>
                        </w:rPr>
                      </w:pPr>
                      <w:r w:rsidRPr="00652523">
                        <w:rPr>
                          <w:sz w:val="24"/>
                          <w:szCs w:val="16"/>
                        </w:rPr>
                        <w:t>Department of Industry, Science, Energy and Resources</w:t>
                      </w:r>
                    </w:p>
                    <w:p w14:paraId="2B9087D1" w14:textId="14B8814D" w:rsidR="00EE6366" w:rsidRPr="00AD31C1" w:rsidRDefault="00EE6366" w:rsidP="00062B83">
                      <w:pPr>
                        <w:pStyle w:val="NoSpacing"/>
                      </w:pPr>
                      <w:r w:rsidRPr="00AD31C1">
                        <w:t xml:space="preserve">Final Report </w:t>
                      </w:r>
                      <w:r w:rsidR="00AD31C1" w:rsidRPr="00AD31C1">
                        <w:t>July</w:t>
                      </w:r>
                      <w:r w:rsidR="005D7371" w:rsidRPr="00AD31C1">
                        <w:t xml:space="preserve"> </w:t>
                      </w:r>
                      <w:r w:rsidRPr="00AD31C1">
                        <w:t>2021</w:t>
                      </w:r>
                    </w:p>
                    <w:tbl>
                      <w:tblPr>
                        <w:tblStyle w:val="Tabel-Gitter1"/>
                        <w:tblOverlap w:val="never"/>
                        <w:tblW w:w="0" w:type="auto"/>
                        <w:tblLayout w:type="fixed"/>
                        <w:tblLook w:val="04A0" w:firstRow="1" w:lastRow="0" w:firstColumn="1" w:lastColumn="0" w:noHBand="0" w:noVBand="1"/>
                      </w:tblPr>
                      <w:tblGrid>
                        <w:gridCol w:w="6945"/>
                      </w:tblGrid>
                      <w:tr w:rsidR="00EE6366" w14:paraId="268993BC" w14:textId="77777777" w:rsidTr="008D0892">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62B72169" w14:textId="77777777" w:rsidR="00EE6366" w:rsidRDefault="00EE6366" w:rsidP="005D3CA2">
                            <w:pPr>
                              <w:pStyle w:val="Documentdate"/>
                            </w:pPr>
                            <w:r>
                              <w:rPr>
                                <w:color w:val="44546A" w:themeColor="text2"/>
                              </w:rPr>
                              <w:t>31 March</w:t>
                            </w:r>
                            <w:r w:rsidRPr="003C74DF">
                              <w:rPr>
                                <w:color w:val="44546A" w:themeColor="text2"/>
                              </w:rPr>
                              <w:t xml:space="preserve"> 2021</w:t>
                            </w:r>
                          </w:p>
                        </w:tc>
                      </w:tr>
                    </w:tbl>
                    <w:p w14:paraId="06F55DEE" w14:textId="77777777" w:rsidR="00EE6366" w:rsidRPr="00AA1B91" w:rsidRDefault="00EE6366" w:rsidP="00524CD0"/>
                  </w:txbxContent>
                </v:textbox>
                <w10:wrap anchorx="margin"/>
              </v:shape>
            </w:pict>
          </mc:Fallback>
        </mc:AlternateContent>
      </w:r>
      <w:r w:rsidR="00D41FCD">
        <w:rPr>
          <w:noProof/>
          <w:color w:val="2B579A"/>
          <w:shd w:val="clear" w:color="auto" w:fill="E6E6E6"/>
          <w:lang w:eastAsia="en-AU"/>
        </w:rPr>
        <w:drawing>
          <wp:inline distT="0" distB="0" distL="0" distR="0" wp14:anchorId="1C8F8DF3" wp14:editId="26A66BCD">
            <wp:extent cx="5549462" cy="5549462"/>
            <wp:effectExtent l="0" t="0" r="0" b="0"/>
            <wp:docPr id="16" name="Picture 16" descr="This picture is the cover image of the report. It shows a wreath of fruits and vegetables.">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picture is the cover image of the report. It shows a wreath of fruits and vegetables.">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7773" cy="5557773"/>
                    </a:xfrm>
                    <a:prstGeom prst="rect">
                      <a:avLst/>
                    </a:prstGeom>
                  </pic:spPr>
                </pic:pic>
              </a:graphicData>
            </a:graphic>
          </wp:inline>
        </w:drawing>
      </w:r>
    </w:p>
    <w:p w14:paraId="7677421D" w14:textId="4805BD4B" w:rsidR="00D96296" w:rsidRDefault="003158D4" w:rsidP="00B429F4">
      <w:pPr>
        <w:sectPr w:rsidR="00D96296" w:rsidSect="009A566E">
          <w:headerReference w:type="default" r:id="rId12"/>
          <w:footerReference w:type="default" r:id="rId13"/>
          <w:headerReference w:type="first" r:id="rId14"/>
          <w:pgSz w:w="11906" w:h="16838" w:code="9"/>
          <w:pgMar w:top="2722" w:right="1247" w:bottom="1440" w:left="1440" w:header="680" w:footer="425" w:gutter="0"/>
          <w:cols w:space="284"/>
          <w:noEndnote/>
          <w:titlePg/>
          <w:docGrid w:linePitch="360"/>
        </w:sectPr>
      </w:pPr>
      <w:r>
        <w:rPr>
          <w:noProof/>
          <w:color w:val="2B579A"/>
          <w:shd w:val="clear" w:color="auto" w:fill="E6E6E6"/>
          <w:lang w:eastAsia="en-AU"/>
        </w:rPr>
        <w:drawing>
          <wp:anchor distT="0" distB="0" distL="114300" distR="114300" simplePos="0" relativeHeight="251658240" behindDoc="0" locked="0" layoutInCell="1" allowOverlap="1" wp14:anchorId="1B1216AC" wp14:editId="7DAE0955">
            <wp:simplePos x="0" y="0"/>
            <wp:positionH relativeFrom="page">
              <wp:posOffset>5229225</wp:posOffset>
            </wp:positionH>
            <wp:positionV relativeFrom="bottomMargin">
              <wp:align>top</wp:align>
            </wp:positionV>
            <wp:extent cx="2005200" cy="529200"/>
            <wp:effectExtent l="0" t="0" r="0" b="0"/>
            <wp:wrapNone/>
            <wp:docPr id="475882791" name="Frontpage_Logo_Positiv">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Frontpage_Logo_Positiv">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p>
    <w:p w14:paraId="5830574F" w14:textId="77777777" w:rsidR="002268CC" w:rsidRDefault="002268CC" w:rsidP="0040128B">
      <w:pPr>
        <w:pStyle w:val="TOCHeading"/>
        <w:outlineLvl w:val="0"/>
      </w:pPr>
      <w:bookmarkStart w:id="0" w:name="LAN_ContentsRP"/>
      <w:r>
        <w:lastRenderedPageBreak/>
        <w:t>Contents</w:t>
      </w:r>
      <w:bookmarkEnd w:id="0"/>
    </w:p>
    <w:p w14:paraId="1DD298B5" w14:textId="77777777" w:rsidR="0093445A" w:rsidRDefault="00204968">
      <w:pPr>
        <w:pStyle w:val="TOC1"/>
        <w:rPr>
          <w:rFonts w:asciiTheme="minorHAnsi" w:eastAsiaTheme="minorEastAsia" w:hAnsiTheme="minorHAnsi"/>
          <w:noProof/>
          <w:sz w:val="22"/>
          <w:szCs w:val="22"/>
          <w:lang w:eastAsia="en-AU"/>
        </w:rPr>
      </w:pPr>
      <w:r w:rsidRPr="005D4236">
        <w:rPr>
          <w:shd w:val="clear" w:color="auto" w:fill="E6E6E6"/>
        </w:rPr>
        <w:fldChar w:fldCharType="begin"/>
      </w:r>
      <w:r w:rsidRPr="005D4236">
        <w:rPr>
          <w:shd w:val="clear" w:color="auto" w:fill="E6E6E6"/>
        </w:rPr>
        <w:instrText xml:space="preserve"> TOC \o "1-2" \h \z \t "Appendix_head_2,2,Appendix_head_1,1" </w:instrText>
      </w:r>
      <w:r w:rsidRPr="005D4236">
        <w:rPr>
          <w:shd w:val="clear" w:color="auto" w:fill="E6E6E6"/>
        </w:rPr>
        <w:fldChar w:fldCharType="separate"/>
      </w:r>
      <w:hyperlink w:anchor="_Toc94702024" w:history="1">
        <w:r w:rsidR="0093445A" w:rsidRPr="00143130">
          <w:rPr>
            <w:rStyle w:val="Hyperlink"/>
            <w:noProof/>
          </w:rPr>
          <w:t>Glossary</w:t>
        </w:r>
        <w:r w:rsidR="0093445A">
          <w:rPr>
            <w:noProof/>
            <w:webHidden/>
          </w:rPr>
          <w:tab/>
        </w:r>
        <w:r w:rsidR="0093445A">
          <w:rPr>
            <w:noProof/>
            <w:webHidden/>
          </w:rPr>
          <w:fldChar w:fldCharType="begin"/>
        </w:r>
        <w:r w:rsidR="0093445A">
          <w:rPr>
            <w:noProof/>
            <w:webHidden/>
          </w:rPr>
          <w:instrText xml:space="preserve"> PAGEREF _Toc94702024 \h </w:instrText>
        </w:r>
        <w:r w:rsidR="0093445A">
          <w:rPr>
            <w:noProof/>
            <w:webHidden/>
          </w:rPr>
        </w:r>
        <w:r w:rsidR="0093445A">
          <w:rPr>
            <w:noProof/>
            <w:webHidden/>
          </w:rPr>
          <w:fldChar w:fldCharType="separate"/>
        </w:r>
        <w:r w:rsidR="0093445A">
          <w:rPr>
            <w:noProof/>
            <w:webHidden/>
          </w:rPr>
          <w:t>i</w:t>
        </w:r>
        <w:r w:rsidR="0093445A">
          <w:rPr>
            <w:noProof/>
            <w:webHidden/>
          </w:rPr>
          <w:fldChar w:fldCharType="end"/>
        </w:r>
      </w:hyperlink>
    </w:p>
    <w:p w14:paraId="333920F6" w14:textId="77777777" w:rsidR="0093445A" w:rsidRDefault="0093445A">
      <w:pPr>
        <w:pStyle w:val="TOC1"/>
        <w:rPr>
          <w:rFonts w:asciiTheme="minorHAnsi" w:eastAsiaTheme="minorEastAsia" w:hAnsiTheme="minorHAnsi"/>
          <w:noProof/>
          <w:sz w:val="22"/>
          <w:szCs w:val="22"/>
          <w:lang w:eastAsia="en-AU"/>
        </w:rPr>
      </w:pPr>
      <w:hyperlink w:anchor="_Toc94702025" w:history="1">
        <w:r w:rsidRPr="00143130">
          <w:rPr>
            <w:rStyle w:val="Hyperlink"/>
            <w:noProof/>
          </w:rPr>
          <w:t>Executive summary</w:t>
        </w:r>
        <w:r>
          <w:rPr>
            <w:noProof/>
            <w:webHidden/>
          </w:rPr>
          <w:tab/>
        </w:r>
        <w:r>
          <w:rPr>
            <w:noProof/>
            <w:webHidden/>
          </w:rPr>
          <w:fldChar w:fldCharType="begin"/>
        </w:r>
        <w:r>
          <w:rPr>
            <w:noProof/>
            <w:webHidden/>
          </w:rPr>
          <w:instrText xml:space="preserve"> PAGEREF _Toc94702025 \h </w:instrText>
        </w:r>
        <w:r>
          <w:rPr>
            <w:noProof/>
            <w:webHidden/>
          </w:rPr>
        </w:r>
        <w:r>
          <w:rPr>
            <w:noProof/>
            <w:webHidden/>
          </w:rPr>
          <w:fldChar w:fldCharType="separate"/>
        </w:r>
        <w:r>
          <w:rPr>
            <w:noProof/>
            <w:webHidden/>
          </w:rPr>
          <w:t>3</w:t>
        </w:r>
        <w:r>
          <w:rPr>
            <w:noProof/>
            <w:webHidden/>
          </w:rPr>
          <w:fldChar w:fldCharType="end"/>
        </w:r>
      </w:hyperlink>
    </w:p>
    <w:p w14:paraId="31B2429A" w14:textId="77777777" w:rsidR="0093445A" w:rsidRDefault="0093445A">
      <w:pPr>
        <w:pStyle w:val="TOC2"/>
        <w:rPr>
          <w:rFonts w:asciiTheme="minorHAnsi" w:eastAsiaTheme="minorEastAsia" w:hAnsiTheme="minorHAnsi"/>
          <w:noProof/>
          <w:sz w:val="22"/>
          <w:szCs w:val="22"/>
          <w:lang w:eastAsia="en-AU"/>
        </w:rPr>
      </w:pPr>
      <w:hyperlink w:anchor="_Toc94702026" w:history="1">
        <w:r w:rsidRPr="00143130">
          <w:rPr>
            <w:rStyle w:val="Hyperlink"/>
            <w:noProof/>
          </w:rPr>
          <w:t>Introduction</w:t>
        </w:r>
        <w:r>
          <w:rPr>
            <w:noProof/>
            <w:webHidden/>
          </w:rPr>
          <w:tab/>
        </w:r>
        <w:r>
          <w:rPr>
            <w:noProof/>
            <w:webHidden/>
          </w:rPr>
          <w:fldChar w:fldCharType="begin"/>
        </w:r>
        <w:r>
          <w:rPr>
            <w:noProof/>
            <w:webHidden/>
          </w:rPr>
          <w:instrText xml:space="preserve"> PAGEREF _Toc94702026 \h </w:instrText>
        </w:r>
        <w:r>
          <w:rPr>
            <w:noProof/>
            <w:webHidden/>
          </w:rPr>
        </w:r>
        <w:r>
          <w:rPr>
            <w:noProof/>
            <w:webHidden/>
          </w:rPr>
          <w:fldChar w:fldCharType="separate"/>
        </w:r>
        <w:r>
          <w:rPr>
            <w:noProof/>
            <w:webHidden/>
          </w:rPr>
          <w:t>3</w:t>
        </w:r>
        <w:r>
          <w:rPr>
            <w:noProof/>
            <w:webHidden/>
          </w:rPr>
          <w:fldChar w:fldCharType="end"/>
        </w:r>
      </w:hyperlink>
    </w:p>
    <w:p w14:paraId="1EB1E17E" w14:textId="77777777" w:rsidR="0093445A" w:rsidRDefault="0093445A">
      <w:pPr>
        <w:pStyle w:val="TOC2"/>
        <w:rPr>
          <w:rFonts w:asciiTheme="minorHAnsi" w:eastAsiaTheme="minorEastAsia" w:hAnsiTheme="minorHAnsi"/>
          <w:noProof/>
          <w:sz w:val="22"/>
          <w:szCs w:val="22"/>
          <w:lang w:eastAsia="en-AU"/>
        </w:rPr>
      </w:pPr>
      <w:hyperlink w:anchor="_Toc94702027" w:history="1">
        <w:r w:rsidRPr="00143130">
          <w:rPr>
            <w:rStyle w:val="Hyperlink"/>
            <w:noProof/>
          </w:rPr>
          <w:t>Design and implementation</w:t>
        </w:r>
        <w:r>
          <w:rPr>
            <w:noProof/>
            <w:webHidden/>
          </w:rPr>
          <w:tab/>
        </w:r>
        <w:r>
          <w:rPr>
            <w:noProof/>
            <w:webHidden/>
          </w:rPr>
          <w:fldChar w:fldCharType="begin"/>
        </w:r>
        <w:r>
          <w:rPr>
            <w:noProof/>
            <w:webHidden/>
          </w:rPr>
          <w:instrText xml:space="preserve"> PAGEREF _Toc94702027 \h </w:instrText>
        </w:r>
        <w:r>
          <w:rPr>
            <w:noProof/>
            <w:webHidden/>
          </w:rPr>
        </w:r>
        <w:r>
          <w:rPr>
            <w:noProof/>
            <w:webHidden/>
          </w:rPr>
          <w:fldChar w:fldCharType="separate"/>
        </w:r>
        <w:r>
          <w:rPr>
            <w:noProof/>
            <w:webHidden/>
          </w:rPr>
          <w:t>3</w:t>
        </w:r>
        <w:r>
          <w:rPr>
            <w:noProof/>
            <w:webHidden/>
          </w:rPr>
          <w:fldChar w:fldCharType="end"/>
        </w:r>
      </w:hyperlink>
    </w:p>
    <w:p w14:paraId="2924668E" w14:textId="77777777" w:rsidR="0093445A" w:rsidRDefault="0093445A">
      <w:pPr>
        <w:pStyle w:val="TOC2"/>
        <w:rPr>
          <w:rFonts w:asciiTheme="minorHAnsi" w:eastAsiaTheme="minorEastAsia" w:hAnsiTheme="minorHAnsi"/>
          <w:noProof/>
          <w:sz w:val="22"/>
          <w:szCs w:val="22"/>
          <w:lang w:eastAsia="en-AU"/>
        </w:rPr>
      </w:pPr>
      <w:hyperlink w:anchor="_Toc94702028" w:history="1">
        <w:r w:rsidRPr="00143130">
          <w:rPr>
            <w:rStyle w:val="Hyperlink"/>
            <w:noProof/>
          </w:rPr>
          <w:t>Consumer understanding and impact</w:t>
        </w:r>
        <w:r>
          <w:rPr>
            <w:noProof/>
            <w:webHidden/>
          </w:rPr>
          <w:tab/>
        </w:r>
        <w:r>
          <w:rPr>
            <w:noProof/>
            <w:webHidden/>
          </w:rPr>
          <w:fldChar w:fldCharType="begin"/>
        </w:r>
        <w:r>
          <w:rPr>
            <w:noProof/>
            <w:webHidden/>
          </w:rPr>
          <w:instrText xml:space="preserve"> PAGEREF _Toc94702028 \h </w:instrText>
        </w:r>
        <w:r>
          <w:rPr>
            <w:noProof/>
            <w:webHidden/>
          </w:rPr>
        </w:r>
        <w:r>
          <w:rPr>
            <w:noProof/>
            <w:webHidden/>
          </w:rPr>
          <w:fldChar w:fldCharType="separate"/>
        </w:r>
        <w:r>
          <w:rPr>
            <w:noProof/>
            <w:webHidden/>
          </w:rPr>
          <w:t>4</w:t>
        </w:r>
        <w:r>
          <w:rPr>
            <w:noProof/>
            <w:webHidden/>
          </w:rPr>
          <w:fldChar w:fldCharType="end"/>
        </w:r>
      </w:hyperlink>
    </w:p>
    <w:p w14:paraId="747F2FDF" w14:textId="77777777" w:rsidR="0093445A" w:rsidRDefault="0093445A">
      <w:pPr>
        <w:pStyle w:val="TOC2"/>
        <w:rPr>
          <w:rFonts w:asciiTheme="minorHAnsi" w:eastAsiaTheme="minorEastAsia" w:hAnsiTheme="minorHAnsi"/>
          <w:noProof/>
          <w:sz w:val="22"/>
          <w:szCs w:val="22"/>
          <w:lang w:eastAsia="en-AU"/>
        </w:rPr>
      </w:pPr>
      <w:hyperlink w:anchor="_Toc94702029" w:history="1">
        <w:r w:rsidRPr="00143130">
          <w:rPr>
            <w:rStyle w:val="Hyperlink"/>
            <w:noProof/>
          </w:rPr>
          <w:t>Business understanding and impact</w:t>
        </w:r>
        <w:r>
          <w:rPr>
            <w:noProof/>
            <w:webHidden/>
          </w:rPr>
          <w:tab/>
        </w:r>
        <w:r>
          <w:rPr>
            <w:noProof/>
            <w:webHidden/>
          </w:rPr>
          <w:fldChar w:fldCharType="begin"/>
        </w:r>
        <w:r>
          <w:rPr>
            <w:noProof/>
            <w:webHidden/>
          </w:rPr>
          <w:instrText xml:space="preserve"> PAGEREF _Toc94702029 \h </w:instrText>
        </w:r>
        <w:r>
          <w:rPr>
            <w:noProof/>
            <w:webHidden/>
          </w:rPr>
        </w:r>
        <w:r>
          <w:rPr>
            <w:noProof/>
            <w:webHidden/>
          </w:rPr>
          <w:fldChar w:fldCharType="separate"/>
        </w:r>
        <w:r>
          <w:rPr>
            <w:noProof/>
            <w:webHidden/>
          </w:rPr>
          <w:t>4</w:t>
        </w:r>
        <w:r>
          <w:rPr>
            <w:noProof/>
            <w:webHidden/>
          </w:rPr>
          <w:fldChar w:fldCharType="end"/>
        </w:r>
      </w:hyperlink>
    </w:p>
    <w:p w14:paraId="4E5C797E" w14:textId="77777777" w:rsidR="0093445A" w:rsidRDefault="0093445A">
      <w:pPr>
        <w:pStyle w:val="TOC2"/>
        <w:rPr>
          <w:rFonts w:asciiTheme="minorHAnsi" w:eastAsiaTheme="minorEastAsia" w:hAnsiTheme="minorHAnsi"/>
          <w:noProof/>
          <w:sz w:val="22"/>
          <w:szCs w:val="22"/>
          <w:lang w:eastAsia="en-AU"/>
        </w:rPr>
      </w:pPr>
      <w:hyperlink w:anchor="_Toc94702030" w:history="1">
        <w:r w:rsidRPr="00143130">
          <w:rPr>
            <w:rStyle w:val="Hyperlink"/>
            <w:noProof/>
          </w:rPr>
          <w:t>Considerations in changing the scope of CoOL</w:t>
        </w:r>
        <w:r>
          <w:rPr>
            <w:noProof/>
            <w:webHidden/>
          </w:rPr>
          <w:tab/>
        </w:r>
        <w:r>
          <w:rPr>
            <w:noProof/>
            <w:webHidden/>
          </w:rPr>
          <w:fldChar w:fldCharType="begin"/>
        </w:r>
        <w:r>
          <w:rPr>
            <w:noProof/>
            <w:webHidden/>
          </w:rPr>
          <w:instrText xml:space="preserve"> PAGEREF _Toc94702030 \h </w:instrText>
        </w:r>
        <w:r>
          <w:rPr>
            <w:noProof/>
            <w:webHidden/>
          </w:rPr>
        </w:r>
        <w:r>
          <w:rPr>
            <w:noProof/>
            <w:webHidden/>
          </w:rPr>
          <w:fldChar w:fldCharType="separate"/>
        </w:r>
        <w:r>
          <w:rPr>
            <w:noProof/>
            <w:webHidden/>
          </w:rPr>
          <w:t>5</w:t>
        </w:r>
        <w:r>
          <w:rPr>
            <w:noProof/>
            <w:webHidden/>
          </w:rPr>
          <w:fldChar w:fldCharType="end"/>
        </w:r>
      </w:hyperlink>
    </w:p>
    <w:p w14:paraId="4CADBDCD" w14:textId="77777777" w:rsidR="0093445A" w:rsidRDefault="0093445A">
      <w:pPr>
        <w:pStyle w:val="TOC2"/>
        <w:rPr>
          <w:rFonts w:asciiTheme="minorHAnsi" w:eastAsiaTheme="minorEastAsia" w:hAnsiTheme="minorHAnsi"/>
          <w:noProof/>
          <w:sz w:val="22"/>
          <w:szCs w:val="22"/>
          <w:lang w:eastAsia="en-AU"/>
        </w:rPr>
      </w:pPr>
      <w:hyperlink w:anchor="_Toc94702031" w:history="1">
        <w:r w:rsidRPr="00143130">
          <w:rPr>
            <w:rStyle w:val="Hyperlink"/>
            <w:noProof/>
          </w:rPr>
          <w:t>Conclusion</w:t>
        </w:r>
        <w:r>
          <w:rPr>
            <w:noProof/>
            <w:webHidden/>
          </w:rPr>
          <w:tab/>
        </w:r>
        <w:r>
          <w:rPr>
            <w:noProof/>
            <w:webHidden/>
          </w:rPr>
          <w:fldChar w:fldCharType="begin"/>
        </w:r>
        <w:r>
          <w:rPr>
            <w:noProof/>
            <w:webHidden/>
          </w:rPr>
          <w:instrText xml:space="preserve"> PAGEREF _Toc94702031 \h </w:instrText>
        </w:r>
        <w:r>
          <w:rPr>
            <w:noProof/>
            <w:webHidden/>
          </w:rPr>
        </w:r>
        <w:r>
          <w:rPr>
            <w:noProof/>
            <w:webHidden/>
          </w:rPr>
          <w:fldChar w:fldCharType="separate"/>
        </w:r>
        <w:r>
          <w:rPr>
            <w:noProof/>
            <w:webHidden/>
          </w:rPr>
          <w:t>7</w:t>
        </w:r>
        <w:r>
          <w:rPr>
            <w:noProof/>
            <w:webHidden/>
          </w:rPr>
          <w:fldChar w:fldCharType="end"/>
        </w:r>
      </w:hyperlink>
    </w:p>
    <w:p w14:paraId="405731F2" w14:textId="77777777" w:rsidR="0093445A" w:rsidRDefault="0093445A">
      <w:pPr>
        <w:pStyle w:val="TOC1"/>
        <w:rPr>
          <w:rFonts w:asciiTheme="minorHAnsi" w:eastAsiaTheme="minorEastAsia" w:hAnsiTheme="minorHAnsi"/>
          <w:noProof/>
          <w:sz w:val="22"/>
          <w:szCs w:val="22"/>
          <w:lang w:eastAsia="en-AU"/>
        </w:rPr>
      </w:pPr>
      <w:hyperlink w:anchor="_Toc94702032" w:history="1">
        <w:r w:rsidRPr="00143130">
          <w:rPr>
            <w:rStyle w:val="Hyperlink"/>
            <w:noProof/>
          </w:rPr>
          <w:t>Recommendations, findings and justifications</w:t>
        </w:r>
        <w:r>
          <w:rPr>
            <w:noProof/>
            <w:webHidden/>
          </w:rPr>
          <w:tab/>
        </w:r>
        <w:r>
          <w:rPr>
            <w:noProof/>
            <w:webHidden/>
          </w:rPr>
          <w:fldChar w:fldCharType="begin"/>
        </w:r>
        <w:r>
          <w:rPr>
            <w:noProof/>
            <w:webHidden/>
          </w:rPr>
          <w:instrText xml:space="preserve"> PAGEREF _Toc94702032 \h </w:instrText>
        </w:r>
        <w:r>
          <w:rPr>
            <w:noProof/>
            <w:webHidden/>
          </w:rPr>
        </w:r>
        <w:r>
          <w:rPr>
            <w:noProof/>
            <w:webHidden/>
          </w:rPr>
          <w:fldChar w:fldCharType="separate"/>
        </w:r>
        <w:r>
          <w:rPr>
            <w:noProof/>
            <w:webHidden/>
          </w:rPr>
          <w:t>8</w:t>
        </w:r>
        <w:r>
          <w:rPr>
            <w:noProof/>
            <w:webHidden/>
          </w:rPr>
          <w:fldChar w:fldCharType="end"/>
        </w:r>
      </w:hyperlink>
    </w:p>
    <w:p w14:paraId="6C23EDE6" w14:textId="77777777" w:rsidR="0093445A" w:rsidRDefault="0093445A">
      <w:pPr>
        <w:pStyle w:val="TOC2"/>
        <w:rPr>
          <w:rFonts w:asciiTheme="minorHAnsi" w:eastAsiaTheme="minorEastAsia" w:hAnsiTheme="minorHAnsi"/>
          <w:noProof/>
          <w:sz w:val="22"/>
          <w:szCs w:val="22"/>
          <w:lang w:eastAsia="en-AU"/>
        </w:rPr>
      </w:pPr>
      <w:hyperlink w:anchor="_Toc94702033" w:history="1">
        <w:r w:rsidRPr="00143130">
          <w:rPr>
            <w:rStyle w:val="Hyperlink"/>
            <w:noProof/>
          </w:rPr>
          <w:t>Recommendation 1: Scope of the scheme</w:t>
        </w:r>
        <w:r>
          <w:rPr>
            <w:noProof/>
            <w:webHidden/>
          </w:rPr>
          <w:tab/>
        </w:r>
        <w:r>
          <w:rPr>
            <w:noProof/>
            <w:webHidden/>
          </w:rPr>
          <w:fldChar w:fldCharType="begin"/>
        </w:r>
        <w:r>
          <w:rPr>
            <w:noProof/>
            <w:webHidden/>
          </w:rPr>
          <w:instrText xml:space="preserve"> PAGEREF _Toc94702033 \h </w:instrText>
        </w:r>
        <w:r>
          <w:rPr>
            <w:noProof/>
            <w:webHidden/>
          </w:rPr>
        </w:r>
        <w:r>
          <w:rPr>
            <w:noProof/>
            <w:webHidden/>
          </w:rPr>
          <w:fldChar w:fldCharType="separate"/>
        </w:r>
        <w:r>
          <w:rPr>
            <w:noProof/>
            <w:webHidden/>
          </w:rPr>
          <w:t>8</w:t>
        </w:r>
        <w:r>
          <w:rPr>
            <w:noProof/>
            <w:webHidden/>
          </w:rPr>
          <w:fldChar w:fldCharType="end"/>
        </w:r>
      </w:hyperlink>
    </w:p>
    <w:p w14:paraId="396A7A5B" w14:textId="77777777" w:rsidR="0093445A" w:rsidRDefault="0093445A">
      <w:pPr>
        <w:pStyle w:val="TOC2"/>
        <w:rPr>
          <w:rFonts w:asciiTheme="minorHAnsi" w:eastAsiaTheme="minorEastAsia" w:hAnsiTheme="minorHAnsi"/>
          <w:noProof/>
          <w:sz w:val="22"/>
          <w:szCs w:val="22"/>
          <w:lang w:eastAsia="en-AU"/>
        </w:rPr>
      </w:pPr>
      <w:hyperlink w:anchor="_Toc94702034" w:history="1">
        <w:r w:rsidRPr="00143130">
          <w:rPr>
            <w:rStyle w:val="Hyperlink"/>
            <w:noProof/>
          </w:rPr>
          <w:t>Recommendation 2: Scope of the scheme</w:t>
        </w:r>
        <w:r>
          <w:rPr>
            <w:noProof/>
            <w:webHidden/>
          </w:rPr>
          <w:tab/>
        </w:r>
        <w:r>
          <w:rPr>
            <w:noProof/>
            <w:webHidden/>
          </w:rPr>
          <w:fldChar w:fldCharType="begin"/>
        </w:r>
        <w:r>
          <w:rPr>
            <w:noProof/>
            <w:webHidden/>
          </w:rPr>
          <w:instrText xml:space="preserve"> PAGEREF _Toc94702034 \h </w:instrText>
        </w:r>
        <w:r>
          <w:rPr>
            <w:noProof/>
            <w:webHidden/>
          </w:rPr>
        </w:r>
        <w:r>
          <w:rPr>
            <w:noProof/>
            <w:webHidden/>
          </w:rPr>
          <w:fldChar w:fldCharType="separate"/>
        </w:r>
        <w:r>
          <w:rPr>
            <w:noProof/>
            <w:webHidden/>
          </w:rPr>
          <w:t>11</w:t>
        </w:r>
        <w:r>
          <w:rPr>
            <w:noProof/>
            <w:webHidden/>
          </w:rPr>
          <w:fldChar w:fldCharType="end"/>
        </w:r>
      </w:hyperlink>
    </w:p>
    <w:p w14:paraId="44E4BAD1" w14:textId="77777777" w:rsidR="0093445A" w:rsidRDefault="0093445A">
      <w:pPr>
        <w:pStyle w:val="TOC2"/>
        <w:rPr>
          <w:rFonts w:asciiTheme="minorHAnsi" w:eastAsiaTheme="minorEastAsia" w:hAnsiTheme="minorHAnsi"/>
          <w:noProof/>
          <w:sz w:val="22"/>
          <w:szCs w:val="22"/>
          <w:lang w:eastAsia="en-AU"/>
        </w:rPr>
      </w:pPr>
      <w:hyperlink w:anchor="_Toc94702035" w:history="1">
        <w:r w:rsidRPr="00143130">
          <w:rPr>
            <w:rStyle w:val="Hyperlink"/>
            <w:noProof/>
          </w:rPr>
          <w:t>Recommendation 3: Understanding and impact</w:t>
        </w:r>
        <w:r>
          <w:rPr>
            <w:noProof/>
            <w:webHidden/>
          </w:rPr>
          <w:tab/>
        </w:r>
        <w:r>
          <w:rPr>
            <w:noProof/>
            <w:webHidden/>
          </w:rPr>
          <w:fldChar w:fldCharType="begin"/>
        </w:r>
        <w:r>
          <w:rPr>
            <w:noProof/>
            <w:webHidden/>
          </w:rPr>
          <w:instrText xml:space="preserve"> PAGEREF _Toc94702035 \h </w:instrText>
        </w:r>
        <w:r>
          <w:rPr>
            <w:noProof/>
            <w:webHidden/>
          </w:rPr>
        </w:r>
        <w:r>
          <w:rPr>
            <w:noProof/>
            <w:webHidden/>
          </w:rPr>
          <w:fldChar w:fldCharType="separate"/>
        </w:r>
        <w:r>
          <w:rPr>
            <w:noProof/>
            <w:webHidden/>
          </w:rPr>
          <w:t>12</w:t>
        </w:r>
        <w:r>
          <w:rPr>
            <w:noProof/>
            <w:webHidden/>
          </w:rPr>
          <w:fldChar w:fldCharType="end"/>
        </w:r>
      </w:hyperlink>
    </w:p>
    <w:p w14:paraId="15DFC1E4" w14:textId="77777777" w:rsidR="0093445A" w:rsidRDefault="0093445A">
      <w:pPr>
        <w:pStyle w:val="TOC2"/>
        <w:rPr>
          <w:rFonts w:asciiTheme="minorHAnsi" w:eastAsiaTheme="minorEastAsia" w:hAnsiTheme="minorHAnsi"/>
          <w:noProof/>
          <w:sz w:val="22"/>
          <w:szCs w:val="22"/>
          <w:lang w:eastAsia="en-AU"/>
        </w:rPr>
      </w:pPr>
      <w:hyperlink w:anchor="_Toc94702036" w:history="1">
        <w:r w:rsidRPr="00143130">
          <w:rPr>
            <w:rStyle w:val="Hyperlink"/>
            <w:noProof/>
          </w:rPr>
          <w:t>Recommendation 4: Consumer understanding and impact</w:t>
        </w:r>
        <w:r>
          <w:rPr>
            <w:noProof/>
            <w:webHidden/>
          </w:rPr>
          <w:tab/>
        </w:r>
        <w:r>
          <w:rPr>
            <w:noProof/>
            <w:webHidden/>
          </w:rPr>
          <w:fldChar w:fldCharType="begin"/>
        </w:r>
        <w:r>
          <w:rPr>
            <w:noProof/>
            <w:webHidden/>
          </w:rPr>
          <w:instrText xml:space="preserve"> PAGEREF _Toc94702036 \h </w:instrText>
        </w:r>
        <w:r>
          <w:rPr>
            <w:noProof/>
            <w:webHidden/>
          </w:rPr>
        </w:r>
        <w:r>
          <w:rPr>
            <w:noProof/>
            <w:webHidden/>
          </w:rPr>
          <w:fldChar w:fldCharType="separate"/>
        </w:r>
        <w:r>
          <w:rPr>
            <w:noProof/>
            <w:webHidden/>
          </w:rPr>
          <w:t>14</w:t>
        </w:r>
        <w:r>
          <w:rPr>
            <w:noProof/>
            <w:webHidden/>
          </w:rPr>
          <w:fldChar w:fldCharType="end"/>
        </w:r>
      </w:hyperlink>
    </w:p>
    <w:p w14:paraId="441DF2C3" w14:textId="77777777" w:rsidR="0093445A" w:rsidRDefault="0093445A">
      <w:pPr>
        <w:pStyle w:val="TOC2"/>
        <w:rPr>
          <w:rFonts w:asciiTheme="minorHAnsi" w:eastAsiaTheme="minorEastAsia" w:hAnsiTheme="minorHAnsi"/>
          <w:noProof/>
          <w:sz w:val="22"/>
          <w:szCs w:val="22"/>
          <w:lang w:eastAsia="en-AU"/>
        </w:rPr>
      </w:pPr>
      <w:hyperlink w:anchor="_Toc94702037" w:history="1">
        <w:r w:rsidRPr="00143130">
          <w:rPr>
            <w:rStyle w:val="Hyperlink"/>
            <w:noProof/>
          </w:rPr>
          <w:t>Recommendation 5: Scheme compliance</w:t>
        </w:r>
        <w:r>
          <w:rPr>
            <w:noProof/>
            <w:webHidden/>
          </w:rPr>
          <w:tab/>
        </w:r>
        <w:r>
          <w:rPr>
            <w:noProof/>
            <w:webHidden/>
          </w:rPr>
          <w:fldChar w:fldCharType="begin"/>
        </w:r>
        <w:r>
          <w:rPr>
            <w:noProof/>
            <w:webHidden/>
          </w:rPr>
          <w:instrText xml:space="preserve"> PAGEREF _Toc94702037 \h </w:instrText>
        </w:r>
        <w:r>
          <w:rPr>
            <w:noProof/>
            <w:webHidden/>
          </w:rPr>
        </w:r>
        <w:r>
          <w:rPr>
            <w:noProof/>
            <w:webHidden/>
          </w:rPr>
          <w:fldChar w:fldCharType="separate"/>
        </w:r>
        <w:r>
          <w:rPr>
            <w:noProof/>
            <w:webHidden/>
          </w:rPr>
          <w:t>15</w:t>
        </w:r>
        <w:r>
          <w:rPr>
            <w:noProof/>
            <w:webHidden/>
          </w:rPr>
          <w:fldChar w:fldCharType="end"/>
        </w:r>
      </w:hyperlink>
    </w:p>
    <w:p w14:paraId="4BF6FFC0" w14:textId="77777777" w:rsidR="0093445A" w:rsidRDefault="0093445A">
      <w:pPr>
        <w:pStyle w:val="TOC2"/>
        <w:rPr>
          <w:rFonts w:asciiTheme="minorHAnsi" w:eastAsiaTheme="minorEastAsia" w:hAnsiTheme="minorHAnsi"/>
          <w:noProof/>
          <w:sz w:val="22"/>
          <w:szCs w:val="22"/>
          <w:lang w:eastAsia="en-AU"/>
        </w:rPr>
      </w:pPr>
      <w:hyperlink w:anchor="_Toc94702038" w:history="1">
        <w:r w:rsidRPr="00143130">
          <w:rPr>
            <w:rStyle w:val="Hyperlink"/>
            <w:noProof/>
          </w:rPr>
          <w:t>Recommendation 6: Business understanding and impact</w:t>
        </w:r>
        <w:r>
          <w:rPr>
            <w:noProof/>
            <w:webHidden/>
          </w:rPr>
          <w:tab/>
        </w:r>
        <w:r>
          <w:rPr>
            <w:noProof/>
            <w:webHidden/>
          </w:rPr>
          <w:fldChar w:fldCharType="begin"/>
        </w:r>
        <w:r>
          <w:rPr>
            <w:noProof/>
            <w:webHidden/>
          </w:rPr>
          <w:instrText xml:space="preserve"> PAGEREF _Toc94702038 \h </w:instrText>
        </w:r>
        <w:r>
          <w:rPr>
            <w:noProof/>
            <w:webHidden/>
          </w:rPr>
        </w:r>
        <w:r>
          <w:rPr>
            <w:noProof/>
            <w:webHidden/>
          </w:rPr>
          <w:fldChar w:fldCharType="separate"/>
        </w:r>
        <w:r>
          <w:rPr>
            <w:noProof/>
            <w:webHidden/>
          </w:rPr>
          <w:t>16</w:t>
        </w:r>
        <w:r>
          <w:rPr>
            <w:noProof/>
            <w:webHidden/>
          </w:rPr>
          <w:fldChar w:fldCharType="end"/>
        </w:r>
      </w:hyperlink>
    </w:p>
    <w:p w14:paraId="5DBE4B94" w14:textId="77777777" w:rsidR="0093445A" w:rsidRDefault="0093445A">
      <w:pPr>
        <w:pStyle w:val="TOC1"/>
        <w:rPr>
          <w:rFonts w:asciiTheme="minorHAnsi" w:eastAsiaTheme="minorEastAsia" w:hAnsiTheme="minorHAnsi"/>
          <w:noProof/>
          <w:sz w:val="22"/>
          <w:szCs w:val="22"/>
          <w:lang w:eastAsia="en-AU"/>
        </w:rPr>
      </w:pPr>
      <w:hyperlink w:anchor="_Toc94702039" w:history="1">
        <w:r w:rsidRPr="00143130">
          <w:rPr>
            <w:rStyle w:val="Hyperlink"/>
            <w:noProof/>
          </w:rPr>
          <w:t>1</w:t>
        </w:r>
        <w:r>
          <w:rPr>
            <w:rFonts w:asciiTheme="minorHAnsi" w:eastAsiaTheme="minorEastAsia" w:hAnsiTheme="minorHAnsi"/>
            <w:noProof/>
            <w:sz w:val="22"/>
            <w:szCs w:val="22"/>
            <w:lang w:eastAsia="en-AU"/>
          </w:rPr>
          <w:tab/>
        </w:r>
        <w:r w:rsidRPr="00143130">
          <w:rPr>
            <w:rStyle w:val="Hyperlink"/>
            <w:noProof/>
          </w:rPr>
          <w:t>Introduction</w:t>
        </w:r>
        <w:r>
          <w:rPr>
            <w:noProof/>
            <w:webHidden/>
          </w:rPr>
          <w:tab/>
        </w:r>
        <w:r>
          <w:rPr>
            <w:noProof/>
            <w:webHidden/>
          </w:rPr>
          <w:fldChar w:fldCharType="begin"/>
        </w:r>
        <w:r>
          <w:rPr>
            <w:noProof/>
            <w:webHidden/>
          </w:rPr>
          <w:instrText xml:space="preserve"> PAGEREF _Toc94702039 \h </w:instrText>
        </w:r>
        <w:r>
          <w:rPr>
            <w:noProof/>
            <w:webHidden/>
          </w:rPr>
        </w:r>
        <w:r>
          <w:rPr>
            <w:noProof/>
            <w:webHidden/>
          </w:rPr>
          <w:fldChar w:fldCharType="separate"/>
        </w:r>
        <w:r>
          <w:rPr>
            <w:noProof/>
            <w:webHidden/>
          </w:rPr>
          <w:t>18</w:t>
        </w:r>
        <w:r>
          <w:rPr>
            <w:noProof/>
            <w:webHidden/>
          </w:rPr>
          <w:fldChar w:fldCharType="end"/>
        </w:r>
      </w:hyperlink>
    </w:p>
    <w:p w14:paraId="68665D02"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0" w:history="1">
        <w:r w:rsidRPr="00143130">
          <w:rPr>
            <w:rStyle w:val="Hyperlink"/>
            <w:noProof/>
          </w:rPr>
          <w:t>1.1</w:t>
        </w:r>
        <w:r>
          <w:rPr>
            <w:rFonts w:asciiTheme="minorHAnsi" w:eastAsiaTheme="minorEastAsia" w:hAnsiTheme="minorHAnsi"/>
            <w:noProof/>
            <w:sz w:val="22"/>
            <w:szCs w:val="22"/>
            <w:lang w:eastAsia="en-AU"/>
          </w:rPr>
          <w:tab/>
        </w:r>
        <w:r w:rsidRPr="00143130">
          <w:rPr>
            <w:rStyle w:val="Hyperlink"/>
            <w:noProof/>
          </w:rPr>
          <w:t>Background to this review</w:t>
        </w:r>
        <w:r>
          <w:rPr>
            <w:noProof/>
            <w:webHidden/>
          </w:rPr>
          <w:tab/>
        </w:r>
        <w:r>
          <w:rPr>
            <w:noProof/>
            <w:webHidden/>
          </w:rPr>
          <w:fldChar w:fldCharType="begin"/>
        </w:r>
        <w:r>
          <w:rPr>
            <w:noProof/>
            <w:webHidden/>
          </w:rPr>
          <w:instrText xml:space="preserve"> PAGEREF _Toc94702040 \h </w:instrText>
        </w:r>
        <w:r>
          <w:rPr>
            <w:noProof/>
            <w:webHidden/>
          </w:rPr>
        </w:r>
        <w:r>
          <w:rPr>
            <w:noProof/>
            <w:webHidden/>
          </w:rPr>
          <w:fldChar w:fldCharType="separate"/>
        </w:r>
        <w:r>
          <w:rPr>
            <w:noProof/>
            <w:webHidden/>
          </w:rPr>
          <w:t>18</w:t>
        </w:r>
        <w:r>
          <w:rPr>
            <w:noProof/>
            <w:webHidden/>
          </w:rPr>
          <w:fldChar w:fldCharType="end"/>
        </w:r>
      </w:hyperlink>
    </w:p>
    <w:p w14:paraId="3A0AF350"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1" w:history="1">
        <w:r w:rsidRPr="00143130">
          <w:rPr>
            <w:rStyle w:val="Hyperlink"/>
            <w:noProof/>
          </w:rPr>
          <w:t>1.2</w:t>
        </w:r>
        <w:r>
          <w:rPr>
            <w:rFonts w:asciiTheme="minorHAnsi" w:eastAsiaTheme="minorEastAsia" w:hAnsiTheme="minorHAnsi"/>
            <w:noProof/>
            <w:sz w:val="22"/>
            <w:szCs w:val="22"/>
            <w:lang w:eastAsia="en-AU"/>
          </w:rPr>
          <w:tab/>
        </w:r>
        <w:r w:rsidRPr="00143130">
          <w:rPr>
            <w:rStyle w:val="Hyperlink"/>
            <w:noProof/>
          </w:rPr>
          <w:t>Purpose of food labelling regulation</w:t>
        </w:r>
        <w:r>
          <w:rPr>
            <w:noProof/>
            <w:webHidden/>
          </w:rPr>
          <w:tab/>
        </w:r>
        <w:r>
          <w:rPr>
            <w:noProof/>
            <w:webHidden/>
          </w:rPr>
          <w:fldChar w:fldCharType="begin"/>
        </w:r>
        <w:r>
          <w:rPr>
            <w:noProof/>
            <w:webHidden/>
          </w:rPr>
          <w:instrText xml:space="preserve"> PAGEREF _Toc94702041 \h </w:instrText>
        </w:r>
        <w:r>
          <w:rPr>
            <w:noProof/>
            <w:webHidden/>
          </w:rPr>
        </w:r>
        <w:r>
          <w:rPr>
            <w:noProof/>
            <w:webHidden/>
          </w:rPr>
          <w:fldChar w:fldCharType="separate"/>
        </w:r>
        <w:r>
          <w:rPr>
            <w:noProof/>
            <w:webHidden/>
          </w:rPr>
          <w:t>18</w:t>
        </w:r>
        <w:r>
          <w:rPr>
            <w:noProof/>
            <w:webHidden/>
          </w:rPr>
          <w:fldChar w:fldCharType="end"/>
        </w:r>
      </w:hyperlink>
    </w:p>
    <w:p w14:paraId="512518E1"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2" w:history="1">
        <w:r w:rsidRPr="00143130">
          <w:rPr>
            <w:rStyle w:val="Hyperlink"/>
            <w:noProof/>
          </w:rPr>
          <w:t>1.3</w:t>
        </w:r>
        <w:r>
          <w:rPr>
            <w:rFonts w:asciiTheme="minorHAnsi" w:eastAsiaTheme="minorEastAsia" w:hAnsiTheme="minorHAnsi"/>
            <w:noProof/>
            <w:sz w:val="22"/>
            <w:szCs w:val="22"/>
            <w:lang w:eastAsia="en-AU"/>
          </w:rPr>
          <w:tab/>
        </w:r>
        <w:r w:rsidRPr="00143130">
          <w:rPr>
            <w:rStyle w:val="Hyperlink"/>
            <w:noProof/>
          </w:rPr>
          <w:t>Purpose of country of origin labels</w:t>
        </w:r>
        <w:r>
          <w:rPr>
            <w:noProof/>
            <w:webHidden/>
          </w:rPr>
          <w:tab/>
        </w:r>
        <w:r>
          <w:rPr>
            <w:noProof/>
            <w:webHidden/>
          </w:rPr>
          <w:fldChar w:fldCharType="begin"/>
        </w:r>
        <w:r>
          <w:rPr>
            <w:noProof/>
            <w:webHidden/>
          </w:rPr>
          <w:instrText xml:space="preserve"> PAGEREF _Toc94702042 \h </w:instrText>
        </w:r>
        <w:r>
          <w:rPr>
            <w:noProof/>
            <w:webHidden/>
          </w:rPr>
        </w:r>
        <w:r>
          <w:rPr>
            <w:noProof/>
            <w:webHidden/>
          </w:rPr>
          <w:fldChar w:fldCharType="separate"/>
        </w:r>
        <w:r>
          <w:rPr>
            <w:noProof/>
            <w:webHidden/>
          </w:rPr>
          <w:t>19</w:t>
        </w:r>
        <w:r>
          <w:rPr>
            <w:noProof/>
            <w:webHidden/>
          </w:rPr>
          <w:fldChar w:fldCharType="end"/>
        </w:r>
      </w:hyperlink>
    </w:p>
    <w:p w14:paraId="17386142"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3" w:history="1">
        <w:r w:rsidRPr="00143130">
          <w:rPr>
            <w:rStyle w:val="Hyperlink"/>
            <w:noProof/>
          </w:rPr>
          <w:t>1.4</w:t>
        </w:r>
        <w:r>
          <w:rPr>
            <w:rFonts w:asciiTheme="minorHAnsi" w:eastAsiaTheme="minorEastAsia" w:hAnsiTheme="minorHAnsi"/>
            <w:noProof/>
            <w:sz w:val="22"/>
            <w:szCs w:val="22"/>
            <w:lang w:eastAsia="en-AU"/>
          </w:rPr>
          <w:tab/>
        </w:r>
        <w:r w:rsidRPr="00143130">
          <w:rPr>
            <w:rStyle w:val="Hyperlink"/>
            <w:noProof/>
          </w:rPr>
          <w:t>Changes to CoOL implemented in 2016</w:t>
        </w:r>
        <w:r>
          <w:rPr>
            <w:noProof/>
            <w:webHidden/>
          </w:rPr>
          <w:tab/>
        </w:r>
        <w:r>
          <w:rPr>
            <w:noProof/>
            <w:webHidden/>
          </w:rPr>
          <w:fldChar w:fldCharType="begin"/>
        </w:r>
        <w:r>
          <w:rPr>
            <w:noProof/>
            <w:webHidden/>
          </w:rPr>
          <w:instrText xml:space="preserve"> PAGEREF _Toc94702043 \h </w:instrText>
        </w:r>
        <w:r>
          <w:rPr>
            <w:noProof/>
            <w:webHidden/>
          </w:rPr>
        </w:r>
        <w:r>
          <w:rPr>
            <w:noProof/>
            <w:webHidden/>
          </w:rPr>
          <w:fldChar w:fldCharType="separate"/>
        </w:r>
        <w:r>
          <w:rPr>
            <w:noProof/>
            <w:webHidden/>
          </w:rPr>
          <w:t>19</w:t>
        </w:r>
        <w:r>
          <w:rPr>
            <w:noProof/>
            <w:webHidden/>
          </w:rPr>
          <w:fldChar w:fldCharType="end"/>
        </w:r>
      </w:hyperlink>
    </w:p>
    <w:p w14:paraId="68F7DB91"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4" w:history="1">
        <w:r w:rsidRPr="00143130">
          <w:rPr>
            <w:rStyle w:val="Hyperlink"/>
            <w:noProof/>
          </w:rPr>
          <w:t>1.5</w:t>
        </w:r>
        <w:r>
          <w:rPr>
            <w:rFonts w:asciiTheme="minorHAnsi" w:eastAsiaTheme="minorEastAsia" w:hAnsiTheme="minorHAnsi"/>
            <w:noProof/>
            <w:sz w:val="22"/>
            <w:szCs w:val="22"/>
            <w:lang w:eastAsia="en-AU"/>
          </w:rPr>
          <w:tab/>
        </w:r>
        <w:r w:rsidRPr="00143130">
          <w:rPr>
            <w:rStyle w:val="Hyperlink"/>
            <w:noProof/>
          </w:rPr>
          <w:t>Evaluation framework overview</w:t>
        </w:r>
        <w:r>
          <w:rPr>
            <w:noProof/>
            <w:webHidden/>
          </w:rPr>
          <w:tab/>
        </w:r>
        <w:r>
          <w:rPr>
            <w:noProof/>
            <w:webHidden/>
          </w:rPr>
          <w:fldChar w:fldCharType="begin"/>
        </w:r>
        <w:r>
          <w:rPr>
            <w:noProof/>
            <w:webHidden/>
          </w:rPr>
          <w:instrText xml:space="preserve"> PAGEREF _Toc94702044 \h </w:instrText>
        </w:r>
        <w:r>
          <w:rPr>
            <w:noProof/>
            <w:webHidden/>
          </w:rPr>
        </w:r>
        <w:r>
          <w:rPr>
            <w:noProof/>
            <w:webHidden/>
          </w:rPr>
          <w:fldChar w:fldCharType="separate"/>
        </w:r>
        <w:r>
          <w:rPr>
            <w:noProof/>
            <w:webHidden/>
          </w:rPr>
          <w:t>20</w:t>
        </w:r>
        <w:r>
          <w:rPr>
            <w:noProof/>
            <w:webHidden/>
          </w:rPr>
          <w:fldChar w:fldCharType="end"/>
        </w:r>
      </w:hyperlink>
    </w:p>
    <w:p w14:paraId="07AF4B88"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5" w:history="1">
        <w:r w:rsidRPr="00143130">
          <w:rPr>
            <w:rStyle w:val="Hyperlink"/>
            <w:noProof/>
          </w:rPr>
          <w:t>1.6</w:t>
        </w:r>
        <w:r>
          <w:rPr>
            <w:rFonts w:asciiTheme="minorHAnsi" w:eastAsiaTheme="minorEastAsia" w:hAnsiTheme="minorHAnsi"/>
            <w:noProof/>
            <w:sz w:val="22"/>
            <w:szCs w:val="22"/>
            <w:lang w:eastAsia="en-AU"/>
          </w:rPr>
          <w:tab/>
        </w:r>
        <w:r w:rsidRPr="00143130">
          <w:rPr>
            <w:rStyle w:val="Hyperlink"/>
            <w:noProof/>
          </w:rPr>
          <w:t>Cost benefit analysis</w:t>
        </w:r>
        <w:r>
          <w:rPr>
            <w:noProof/>
            <w:webHidden/>
          </w:rPr>
          <w:tab/>
        </w:r>
        <w:r>
          <w:rPr>
            <w:noProof/>
            <w:webHidden/>
          </w:rPr>
          <w:fldChar w:fldCharType="begin"/>
        </w:r>
        <w:r>
          <w:rPr>
            <w:noProof/>
            <w:webHidden/>
          </w:rPr>
          <w:instrText xml:space="preserve"> PAGEREF _Toc94702045 \h </w:instrText>
        </w:r>
        <w:r>
          <w:rPr>
            <w:noProof/>
            <w:webHidden/>
          </w:rPr>
        </w:r>
        <w:r>
          <w:rPr>
            <w:noProof/>
            <w:webHidden/>
          </w:rPr>
          <w:fldChar w:fldCharType="separate"/>
        </w:r>
        <w:r>
          <w:rPr>
            <w:noProof/>
            <w:webHidden/>
          </w:rPr>
          <w:t>22</w:t>
        </w:r>
        <w:r>
          <w:rPr>
            <w:noProof/>
            <w:webHidden/>
          </w:rPr>
          <w:fldChar w:fldCharType="end"/>
        </w:r>
      </w:hyperlink>
    </w:p>
    <w:p w14:paraId="6AF14B90" w14:textId="77777777" w:rsidR="0093445A" w:rsidRDefault="0093445A">
      <w:pPr>
        <w:pStyle w:val="TOC1"/>
        <w:rPr>
          <w:rFonts w:asciiTheme="minorHAnsi" w:eastAsiaTheme="minorEastAsia" w:hAnsiTheme="minorHAnsi"/>
          <w:noProof/>
          <w:sz w:val="22"/>
          <w:szCs w:val="22"/>
          <w:lang w:eastAsia="en-AU"/>
        </w:rPr>
      </w:pPr>
      <w:hyperlink w:anchor="_Toc94702046" w:history="1">
        <w:r w:rsidRPr="00143130">
          <w:rPr>
            <w:rStyle w:val="Hyperlink"/>
            <w:noProof/>
          </w:rPr>
          <w:t>2</w:t>
        </w:r>
        <w:r>
          <w:rPr>
            <w:rFonts w:asciiTheme="minorHAnsi" w:eastAsiaTheme="minorEastAsia" w:hAnsiTheme="minorHAnsi"/>
            <w:noProof/>
            <w:sz w:val="22"/>
            <w:szCs w:val="22"/>
            <w:lang w:eastAsia="en-AU"/>
          </w:rPr>
          <w:tab/>
        </w:r>
        <w:r w:rsidRPr="00143130">
          <w:rPr>
            <w:rStyle w:val="Hyperlink"/>
            <w:noProof/>
          </w:rPr>
          <w:t>Approach</w:t>
        </w:r>
        <w:r>
          <w:rPr>
            <w:noProof/>
            <w:webHidden/>
          </w:rPr>
          <w:tab/>
        </w:r>
        <w:r>
          <w:rPr>
            <w:noProof/>
            <w:webHidden/>
          </w:rPr>
          <w:fldChar w:fldCharType="begin"/>
        </w:r>
        <w:r>
          <w:rPr>
            <w:noProof/>
            <w:webHidden/>
          </w:rPr>
          <w:instrText xml:space="preserve"> PAGEREF _Toc94702046 \h </w:instrText>
        </w:r>
        <w:r>
          <w:rPr>
            <w:noProof/>
            <w:webHidden/>
          </w:rPr>
        </w:r>
        <w:r>
          <w:rPr>
            <w:noProof/>
            <w:webHidden/>
          </w:rPr>
          <w:fldChar w:fldCharType="separate"/>
        </w:r>
        <w:r>
          <w:rPr>
            <w:noProof/>
            <w:webHidden/>
          </w:rPr>
          <w:t>23</w:t>
        </w:r>
        <w:r>
          <w:rPr>
            <w:noProof/>
            <w:webHidden/>
          </w:rPr>
          <w:fldChar w:fldCharType="end"/>
        </w:r>
      </w:hyperlink>
    </w:p>
    <w:p w14:paraId="45ECC521"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7" w:history="1">
        <w:r w:rsidRPr="00143130">
          <w:rPr>
            <w:rStyle w:val="Hyperlink"/>
            <w:noProof/>
          </w:rPr>
          <w:t>2.1</w:t>
        </w:r>
        <w:r>
          <w:rPr>
            <w:rFonts w:asciiTheme="minorHAnsi" w:eastAsiaTheme="minorEastAsia" w:hAnsiTheme="minorHAnsi"/>
            <w:noProof/>
            <w:sz w:val="22"/>
            <w:szCs w:val="22"/>
            <w:lang w:eastAsia="en-AU"/>
          </w:rPr>
          <w:tab/>
        </w:r>
        <w:r w:rsidRPr="00143130">
          <w:rPr>
            <w:rStyle w:val="Hyperlink"/>
            <w:noProof/>
          </w:rPr>
          <w:t>Overview of the evaluation framework</w:t>
        </w:r>
        <w:r>
          <w:rPr>
            <w:noProof/>
            <w:webHidden/>
          </w:rPr>
          <w:tab/>
        </w:r>
        <w:r>
          <w:rPr>
            <w:noProof/>
            <w:webHidden/>
          </w:rPr>
          <w:fldChar w:fldCharType="begin"/>
        </w:r>
        <w:r>
          <w:rPr>
            <w:noProof/>
            <w:webHidden/>
          </w:rPr>
          <w:instrText xml:space="preserve"> PAGEREF _Toc94702047 \h </w:instrText>
        </w:r>
        <w:r>
          <w:rPr>
            <w:noProof/>
            <w:webHidden/>
          </w:rPr>
        </w:r>
        <w:r>
          <w:rPr>
            <w:noProof/>
            <w:webHidden/>
          </w:rPr>
          <w:fldChar w:fldCharType="separate"/>
        </w:r>
        <w:r>
          <w:rPr>
            <w:noProof/>
            <w:webHidden/>
          </w:rPr>
          <w:t>23</w:t>
        </w:r>
        <w:r>
          <w:rPr>
            <w:noProof/>
            <w:webHidden/>
          </w:rPr>
          <w:fldChar w:fldCharType="end"/>
        </w:r>
      </w:hyperlink>
    </w:p>
    <w:p w14:paraId="27535988"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48" w:history="1">
        <w:r w:rsidRPr="00143130">
          <w:rPr>
            <w:rStyle w:val="Hyperlink"/>
            <w:noProof/>
          </w:rPr>
          <w:t>2.2</w:t>
        </w:r>
        <w:r>
          <w:rPr>
            <w:rFonts w:asciiTheme="minorHAnsi" w:eastAsiaTheme="minorEastAsia" w:hAnsiTheme="minorHAnsi"/>
            <w:noProof/>
            <w:sz w:val="22"/>
            <w:szCs w:val="22"/>
            <w:lang w:eastAsia="en-AU"/>
          </w:rPr>
          <w:tab/>
        </w:r>
        <w:r w:rsidRPr="00143130">
          <w:rPr>
            <w:rStyle w:val="Hyperlink"/>
            <w:noProof/>
          </w:rPr>
          <w:t>Overview of research undertaken for this evaluation</w:t>
        </w:r>
        <w:r>
          <w:rPr>
            <w:noProof/>
            <w:webHidden/>
          </w:rPr>
          <w:tab/>
        </w:r>
        <w:r>
          <w:rPr>
            <w:noProof/>
            <w:webHidden/>
          </w:rPr>
          <w:fldChar w:fldCharType="begin"/>
        </w:r>
        <w:r>
          <w:rPr>
            <w:noProof/>
            <w:webHidden/>
          </w:rPr>
          <w:instrText xml:space="preserve"> PAGEREF _Toc94702048 \h </w:instrText>
        </w:r>
        <w:r>
          <w:rPr>
            <w:noProof/>
            <w:webHidden/>
          </w:rPr>
        </w:r>
        <w:r>
          <w:rPr>
            <w:noProof/>
            <w:webHidden/>
          </w:rPr>
          <w:fldChar w:fldCharType="separate"/>
        </w:r>
        <w:r>
          <w:rPr>
            <w:noProof/>
            <w:webHidden/>
          </w:rPr>
          <w:t>23</w:t>
        </w:r>
        <w:r>
          <w:rPr>
            <w:noProof/>
            <w:webHidden/>
          </w:rPr>
          <w:fldChar w:fldCharType="end"/>
        </w:r>
      </w:hyperlink>
    </w:p>
    <w:p w14:paraId="439E8861" w14:textId="77777777" w:rsidR="0093445A" w:rsidRDefault="0093445A">
      <w:pPr>
        <w:pStyle w:val="TOC1"/>
        <w:rPr>
          <w:rFonts w:asciiTheme="minorHAnsi" w:eastAsiaTheme="minorEastAsia" w:hAnsiTheme="minorHAnsi"/>
          <w:noProof/>
          <w:sz w:val="22"/>
          <w:szCs w:val="22"/>
          <w:lang w:eastAsia="en-AU"/>
        </w:rPr>
      </w:pPr>
      <w:hyperlink w:anchor="_Toc94702049" w:history="1">
        <w:r w:rsidRPr="00143130">
          <w:rPr>
            <w:rStyle w:val="Hyperlink"/>
            <w:noProof/>
          </w:rPr>
          <w:t>3</w:t>
        </w:r>
        <w:r>
          <w:rPr>
            <w:rFonts w:asciiTheme="minorHAnsi" w:eastAsiaTheme="minorEastAsia" w:hAnsiTheme="minorHAnsi"/>
            <w:noProof/>
            <w:sz w:val="22"/>
            <w:szCs w:val="22"/>
            <w:lang w:eastAsia="en-AU"/>
          </w:rPr>
          <w:tab/>
        </w:r>
        <w:r w:rsidRPr="00143130">
          <w:rPr>
            <w:rStyle w:val="Hyperlink"/>
            <w:noProof/>
          </w:rPr>
          <w:t>Design and implementation of the reforms</w:t>
        </w:r>
        <w:r>
          <w:rPr>
            <w:noProof/>
            <w:webHidden/>
          </w:rPr>
          <w:tab/>
        </w:r>
        <w:r>
          <w:rPr>
            <w:noProof/>
            <w:webHidden/>
          </w:rPr>
          <w:fldChar w:fldCharType="begin"/>
        </w:r>
        <w:r>
          <w:rPr>
            <w:noProof/>
            <w:webHidden/>
          </w:rPr>
          <w:instrText xml:space="preserve"> PAGEREF _Toc94702049 \h </w:instrText>
        </w:r>
        <w:r>
          <w:rPr>
            <w:noProof/>
            <w:webHidden/>
          </w:rPr>
        </w:r>
        <w:r>
          <w:rPr>
            <w:noProof/>
            <w:webHidden/>
          </w:rPr>
          <w:fldChar w:fldCharType="separate"/>
        </w:r>
        <w:r>
          <w:rPr>
            <w:noProof/>
            <w:webHidden/>
          </w:rPr>
          <w:t>26</w:t>
        </w:r>
        <w:r>
          <w:rPr>
            <w:noProof/>
            <w:webHidden/>
          </w:rPr>
          <w:fldChar w:fldCharType="end"/>
        </w:r>
      </w:hyperlink>
      <w:bookmarkStart w:id="1" w:name="_GoBack"/>
      <w:bookmarkEnd w:id="1"/>
    </w:p>
    <w:p w14:paraId="33E2C024"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0" w:history="1">
        <w:r w:rsidRPr="00143130">
          <w:rPr>
            <w:rStyle w:val="Hyperlink"/>
            <w:noProof/>
          </w:rPr>
          <w:t>3.1</w:t>
        </w:r>
        <w:r>
          <w:rPr>
            <w:rFonts w:asciiTheme="minorHAnsi" w:eastAsiaTheme="minorEastAsia" w:hAnsiTheme="minorHAnsi"/>
            <w:noProof/>
            <w:sz w:val="22"/>
            <w:szCs w:val="22"/>
            <w:lang w:eastAsia="en-AU"/>
          </w:rPr>
          <w:tab/>
        </w:r>
        <w:r w:rsidRPr="00143130">
          <w:rPr>
            <w:rStyle w:val="Hyperlink"/>
            <w:noProof/>
          </w:rPr>
          <w:t>Rationale and evidence for the 2016 CoOL reforms</w:t>
        </w:r>
        <w:r>
          <w:rPr>
            <w:noProof/>
            <w:webHidden/>
          </w:rPr>
          <w:tab/>
        </w:r>
        <w:r>
          <w:rPr>
            <w:noProof/>
            <w:webHidden/>
          </w:rPr>
          <w:fldChar w:fldCharType="begin"/>
        </w:r>
        <w:r>
          <w:rPr>
            <w:noProof/>
            <w:webHidden/>
          </w:rPr>
          <w:instrText xml:space="preserve"> PAGEREF _Toc94702050 \h </w:instrText>
        </w:r>
        <w:r>
          <w:rPr>
            <w:noProof/>
            <w:webHidden/>
          </w:rPr>
        </w:r>
        <w:r>
          <w:rPr>
            <w:noProof/>
            <w:webHidden/>
          </w:rPr>
          <w:fldChar w:fldCharType="separate"/>
        </w:r>
        <w:r>
          <w:rPr>
            <w:noProof/>
            <w:webHidden/>
          </w:rPr>
          <w:t>26</w:t>
        </w:r>
        <w:r>
          <w:rPr>
            <w:noProof/>
            <w:webHidden/>
          </w:rPr>
          <w:fldChar w:fldCharType="end"/>
        </w:r>
      </w:hyperlink>
    </w:p>
    <w:p w14:paraId="1CF1E2D2"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1" w:history="1">
        <w:r w:rsidRPr="00143130">
          <w:rPr>
            <w:rStyle w:val="Hyperlink"/>
            <w:noProof/>
          </w:rPr>
          <w:t>3.2</w:t>
        </w:r>
        <w:r>
          <w:rPr>
            <w:rFonts w:asciiTheme="minorHAnsi" w:eastAsiaTheme="minorEastAsia" w:hAnsiTheme="minorHAnsi"/>
            <w:noProof/>
            <w:sz w:val="22"/>
            <w:szCs w:val="22"/>
            <w:lang w:eastAsia="en-AU"/>
          </w:rPr>
          <w:tab/>
        </w:r>
        <w:r w:rsidRPr="00143130">
          <w:rPr>
            <w:rStyle w:val="Hyperlink"/>
            <w:noProof/>
          </w:rPr>
          <w:t>Implementation of reforms relative to original scope, budget and timeframe</w:t>
        </w:r>
        <w:r>
          <w:rPr>
            <w:noProof/>
            <w:webHidden/>
          </w:rPr>
          <w:tab/>
        </w:r>
        <w:r>
          <w:rPr>
            <w:noProof/>
            <w:webHidden/>
          </w:rPr>
          <w:fldChar w:fldCharType="begin"/>
        </w:r>
        <w:r>
          <w:rPr>
            <w:noProof/>
            <w:webHidden/>
          </w:rPr>
          <w:instrText xml:space="preserve"> PAGEREF _Toc94702051 \h </w:instrText>
        </w:r>
        <w:r>
          <w:rPr>
            <w:noProof/>
            <w:webHidden/>
          </w:rPr>
        </w:r>
        <w:r>
          <w:rPr>
            <w:noProof/>
            <w:webHidden/>
          </w:rPr>
          <w:fldChar w:fldCharType="separate"/>
        </w:r>
        <w:r>
          <w:rPr>
            <w:noProof/>
            <w:webHidden/>
          </w:rPr>
          <w:t>29</w:t>
        </w:r>
        <w:r>
          <w:rPr>
            <w:noProof/>
            <w:webHidden/>
          </w:rPr>
          <w:fldChar w:fldCharType="end"/>
        </w:r>
      </w:hyperlink>
    </w:p>
    <w:p w14:paraId="06975F8B"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2" w:history="1">
        <w:r w:rsidRPr="00143130">
          <w:rPr>
            <w:rStyle w:val="Hyperlink"/>
            <w:noProof/>
          </w:rPr>
          <w:t>3.3</w:t>
        </w:r>
        <w:r>
          <w:rPr>
            <w:rFonts w:asciiTheme="minorHAnsi" w:eastAsiaTheme="minorEastAsia" w:hAnsiTheme="minorHAnsi"/>
            <w:noProof/>
            <w:sz w:val="22"/>
            <w:szCs w:val="22"/>
            <w:lang w:eastAsia="en-AU"/>
          </w:rPr>
          <w:tab/>
        </w:r>
        <w:r w:rsidRPr="00143130">
          <w:rPr>
            <w:rStyle w:val="Hyperlink"/>
            <w:noProof/>
          </w:rPr>
          <w:t>Flexibility of the reforms</w:t>
        </w:r>
        <w:r>
          <w:rPr>
            <w:noProof/>
            <w:webHidden/>
          </w:rPr>
          <w:tab/>
        </w:r>
        <w:r>
          <w:rPr>
            <w:noProof/>
            <w:webHidden/>
          </w:rPr>
          <w:fldChar w:fldCharType="begin"/>
        </w:r>
        <w:r>
          <w:rPr>
            <w:noProof/>
            <w:webHidden/>
          </w:rPr>
          <w:instrText xml:space="preserve"> PAGEREF _Toc94702052 \h </w:instrText>
        </w:r>
        <w:r>
          <w:rPr>
            <w:noProof/>
            <w:webHidden/>
          </w:rPr>
        </w:r>
        <w:r>
          <w:rPr>
            <w:noProof/>
            <w:webHidden/>
          </w:rPr>
          <w:fldChar w:fldCharType="separate"/>
        </w:r>
        <w:r>
          <w:rPr>
            <w:noProof/>
            <w:webHidden/>
          </w:rPr>
          <w:t>30</w:t>
        </w:r>
        <w:r>
          <w:rPr>
            <w:noProof/>
            <w:webHidden/>
          </w:rPr>
          <w:fldChar w:fldCharType="end"/>
        </w:r>
      </w:hyperlink>
    </w:p>
    <w:p w14:paraId="78391562"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3" w:history="1">
        <w:r w:rsidRPr="00143130">
          <w:rPr>
            <w:rStyle w:val="Hyperlink"/>
            <w:noProof/>
          </w:rPr>
          <w:t>3.4</w:t>
        </w:r>
        <w:r>
          <w:rPr>
            <w:rFonts w:asciiTheme="minorHAnsi" w:eastAsiaTheme="minorEastAsia" w:hAnsiTheme="minorHAnsi"/>
            <w:noProof/>
            <w:sz w:val="22"/>
            <w:szCs w:val="22"/>
            <w:lang w:eastAsia="en-AU"/>
          </w:rPr>
          <w:tab/>
        </w:r>
        <w:r w:rsidRPr="00143130">
          <w:rPr>
            <w:rStyle w:val="Hyperlink"/>
            <w:noProof/>
          </w:rPr>
          <w:t>Scheme cost-effectiveness</w:t>
        </w:r>
        <w:r>
          <w:rPr>
            <w:noProof/>
            <w:webHidden/>
          </w:rPr>
          <w:tab/>
        </w:r>
        <w:r>
          <w:rPr>
            <w:noProof/>
            <w:webHidden/>
          </w:rPr>
          <w:fldChar w:fldCharType="begin"/>
        </w:r>
        <w:r>
          <w:rPr>
            <w:noProof/>
            <w:webHidden/>
          </w:rPr>
          <w:instrText xml:space="preserve"> PAGEREF _Toc94702053 \h </w:instrText>
        </w:r>
        <w:r>
          <w:rPr>
            <w:noProof/>
            <w:webHidden/>
          </w:rPr>
        </w:r>
        <w:r>
          <w:rPr>
            <w:noProof/>
            <w:webHidden/>
          </w:rPr>
          <w:fldChar w:fldCharType="separate"/>
        </w:r>
        <w:r>
          <w:rPr>
            <w:noProof/>
            <w:webHidden/>
          </w:rPr>
          <w:t>32</w:t>
        </w:r>
        <w:r>
          <w:rPr>
            <w:noProof/>
            <w:webHidden/>
          </w:rPr>
          <w:fldChar w:fldCharType="end"/>
        </w:r>
      </w:hyperlink>
    </w:p>
    <w:p w14:paraId="40F65227" w14:textId="77777777" w:rsidR="0093445A" w:rsidRDefault="0093445A">
      <w:pPr>
        <w:pStyle w:val="TOC1"/>
        <w:rPr>
          <w:rFonts w:asciiTheme="minorHAnsi" w:eastAsiaTheme="minorEastAsia" w:hAnsiTheme="minorHAnsi"/>
          <w:noProof/>
          <w:sz w:val="22"/>
          <w:szCs w:val="22"/>
          <w:lang w:eastAsia="en-AU"/>
        </w:rPr>
      </w:pPr>
      <w:hyperlink w:anchor="_Toc94702054" w:history="1">
        <w:r w:rsidRPr="00143130">
          <w:rPr>
            <w:rStyle w:val="Hyperlink"/>
            <w:noProof/>
          </w:rPr>
          <w:t>4</w:t>
        </w:r>
        <w:r>
          <w:rPr>
            <w:rFonts w:asciiTheme="minorHAnsi" w:eastAsiaTheme="minorEastAsia" w:hAnsiTheme="minorHAnsi"/>
            <w:noProof/>
            <w:sz w:val="22"/>
            <w:szCs w:val="22"/>
            <w:lang w:eastAsia="en-AU"/>
          </w:rPr>
          <w:tab/>
        </w:r>
        <w:r w:rsidRPr="00143130">
          <w:rPr>
            <w:rStyle w:val="Hyperlink"/>
            <w:noProof/>
          </w:rPr>
          <w:t>Consumer access to origin information</w:t>
        </w:r>
        <w:r>
          <w:rPr>
            <w:noProof/>
            <w:webHidden/>
          </w:rPr>
          <w:tab/>
        </w:r>
        <w:r>
          <w:rPr>
            <w:noProof/>
            <w:webHidden/>
          </w:rPr>
          <w:fldChar w:fldCharType="begin"/>
        </w:r>
        <w:r>
          <w:rPr>
            <w:noProof/>
            <w:webHidden/>
          </w:rPr>
          <w:instrText xml:space="preserve"> PAGEREF _Toc94702054 \h </w:instrText>
        </w:r>
        <w:r>
          <w:rPr>
            <w:noProof/>
            <w:webHidden/>
          </w:rPr>
        </w:r>
        <w:r>
          <w:rPr>
            <w:noProof/>
            <w:webHidden/>
          </w:rPr>
          <w:fldChar w:fldCharType="separate"/>
        </w:r>
        <w:r>
          <w:rPr>
            <w:noProof/>
            <w:webHidden/>
          </w:rPr>
          <w:t>33</w:t>
        </w:r>
        <w:r>
          <w:rPr>
            <w:noProof/>
            <w:webHidden/>
          </w:rPr>
          <w:fldChar w:fldCharType="end"/>
        </w:r>
      </w:hyperlink>
    </w:p>
    <w:p w14:paraId="44BA7E41"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5" w:history="1">
        <w:r w:rsidRPr="00143130">
          <w:rPr>
            <w:rStyle w:val="Hyperlink"/>
            <w:noProof/>
          </w:rPr>
          <w:t>4.1</w:t>
        </w:r>
        <w:r>
          <w:rPr>
            <w:rFonts w:asciiTheme="minorHAnsi" w:eastAsiaTheme="minorEastAsia" w:hAnsiTheme="minorHAnsi"/>
            <w:noProof/>
            <w:sz w:val="22"/>
            <w:szCs w:val="22"/>
            <w:lang w:eastAsia="en-AU"/>
          </w:rPr>
          <w:tab/>
        </w:r>
        <w:r w:rsidRPr="00143130">
          <w:rPr>
            <w:rStyle w:val="Hyperlink"/>
            <w:noProof/>
          </w:rPr>
          <w:t>Impact of CoOL reforms on consumer understanding of food origin</w:t>
        </w:r>
        <w:r>
          <w:rPr>
            <w:noProof/>
            <w:webHidden/>
          </w:rPr>
          <w:tab/>
        </w:r>
        <w:r>
          <w:rPr>
            <w:noProof/>
            <w:webHidden/>
          </w:rPr>
          <w:fldChar w:fldCharType="begin"/>
        </w:r>
        <w:r>
          <w:rPr>
            <w:noProof/>
            <w:webHidden/>
          </w:rPr>
          <w:instrText xml:space="preserve"> PAGEREF _Toc94702055 \h </w:instrText>
        </w:r>
        <w:r>
          <w:rPr>
            <w:noProof/>
            <w:webHidden/>
          </w:rPr>
        </w:r>
        <w:r>
          <w:rPr>
            <w:noProof/>
            <w:webHidden/>
          </w:rPr>
          <w:fldChar w:fldCharType="separate"/>
        </w:r>
        <w:r>
          <w:rPr>
            <w:noProof/>
            <w:webHidden/>
          </w:rPr>
          <w:t>33</w:t>
        </w:r>
        <w:r>
          <w:rPr>
            <w:noProof/>
            <w:webHidden/>
          </w:rPr>
          <w:fldChar w:fldCharType="end"/>
        </w:r>
      </w:hyperlink>
    </w:p>
    <w:p w14:paraId="418A6685"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6" w:history="1">
        <w:r w:rsidRPr="00143130">
          <w:rPr>
            <w:rStyle w:val="Hyperlink"/>
            <w:noProof/>
          </w:rPr>
          <w:t>4.2</w:t>
        </w:r>
        <w:r>
          <w:rPr>
            <w:rFonts w:asciiTheme="minorHAnsi" w:eastAsiaTheme="minorEastAsia" w:hAnsiTheme="minorHAnsi"/>
            <w:noProof/>
            <w:sz w:val="22"/>
            <w:szCs w:val="22"/>
            <w:lang w:eastAsia="en-AU"/>
          </w:rPr>
          <w:tab/>
        </w:r>
        <w:r w:rsidRPr="00143130">
          <w:rPr>
            <w:rStyle w:val="Hyperlink"/>
            <w:noProof/>
          </w:rPr>
          <w:t>Differentiation between priority and non-priority foods</w:t>
        </w:r>
        <w:r>
          <w:rPr>
            <w:noProof/>
            <w:webHidden/>
          </w:rPr>
          <w:tab/>
        </w:r>
        <w:r>
          <w:rPr>
            <w:noProof/>
            <w:webHidden/>
          </w:rPr>
          <w:fldChar w:fldCharType="begin"/>
        </w:r>
        <w:r>
          <w:rPr>
            <w:noProof/>
            <w:webHidden/>
          </w:rPr>
          <w:instrText xml:space="preserve"> PAGEREF _Toc94702056 \h </w:instrText>
        </w:r>
        <w:r>
          <w:rPr>
            <w:noProof/>
            <w:webHidden/>
          </w:rPr>
        </w:r>
        <w:r>
          <w:rPr>
            <w:noProof/>
            <w:webHidden/>
          </w:rPr>
          <w:fldChar w:fldCharType="separate"/>
        </w:r>
        <w:r>
          <w:rPr>
            <w:noProof/>
            <w:webHidden/>
          </w:rPr>
          <w:t>40</w:t>
        </w:r>
        <w:r>
          <w:rPr>
            <w:noProof/>
            <w:webHidden/>
          </w:rPr>
          <w:fldChar w:fldCharType="end"/>
        </w:r>
      </w:hyperlink>
    </w:p>
    <w:p w14:paraId="758BCD29"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7" w:history="1">
        <w:r w:rsidRPr="00143130">
          <w:rPr>
            <w:rStyle w:val="Hyperlink"/>
            <w:noProof/>
          </w:rPr>
          <w:t>4.3</w:t>
        </w:r>
        <w:r>
          <w:rPr>
            <w:rFonts w:asciiTheme="minorHAnsi" w:eastAsiaTheme="minorEastAsia" w:hAnsiTheme="minorHAnsi"/>
            <w:noProof/>
            <w:sz w:val="22"/>
            <w:szCs w:val="22"/>
            <w:lang w:eastAsia="en-AU"/>
          </w:rPr>
          <w:tab/>
        </w:r>
        <w:r w:rsidRPr="00143130">
          <w:rPr>
            <w:rStyle w:val="Hyperlink"/>
            <w:noProof/>
          </w:rPr>
          <w:t>Foodservice exemption from the current scope of mandatory CoOL</w:t>
        </w:r>
        <w:r>
          <w:rPr>
            <w:noProof/>
            <w:webHidden/>
          </w:rPr>
          <w:tab/>
        </w:r>
        <w:r>
          <w:rPr>
            <w:noProof/>
            <w:webHidden/>
          </w:rPr>
          <w:fldChar w:fldCharType="begin"/>
        </w:r>
        <w:r>
          <w:rPr>
            <w:noProof/>
            <w:webHidden/>
          </w:rPr>
          <w:instrText xml:space="preserve"> PAGEREF _Toc94702057 \h </w:instrText>
        </w:r>
        <w:r>
          <w:rPr>
            <w:noProof/>
            <w:webHidden/>
          </w:rPr>
        </w:r>
        <w:r>
          <w:rPr>
            <w:noProof/>
            <w:webHidden/>
          </w:rPr>
          <w:fldChar w:fldCharType="separate"/>
        </w:r>
        <w:r>
          <w:rPr>
            <w:noProof/>
            <w:webHidden/>
          </w:rPr>
          <w:t>43</w:t>
        </w:r>
        <w:r>
          <w:rPr>
            <w:noProof/>
            <w:webHidden/>
          </w:rPr>
          <w:fldChar w:fldCharType="end"/>
        </w:r>
      </w:hyperlink>
    </w:p>
    <w:p w14:paraId="0F4A9DBA"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8" w:history="1">
        <w:r w:rsidRPr="00143130">
          <w:rPr>
            <w:rStyle w:val="Hyperlink"/>
            <w:noProof/>
          </w:rPr>
          <w:t>4.4</w:t>
        </w:r>
        <w:r>
          <w:rPr>
            <w:rFonts w:asciiTheme="minorHAnsi" w:eastAsiaTheme="minorEastAsia" w:hAnsiTheme="minorHAnsi"/>
            <w:noProof/>
            <w:sz w:val="22"/>
            <w:szCs w:val="22"/>
            <w:lang w:eastAsia="en-AU"/>
          </w:rPr>
          <w:tab/>
        </w:r>
        <w:r w:rsidRPr="00143130">
          <w:rPr>
            <w:rStyle w:val="Hyperlink"/>
            <w:noProof/>
          </w:rPr>
          <w:t>Consumer perceptions and expectations of the ‘Made in’ claim, Australian Made logo and bar chart</w:t>
        </w:r>
        <w:r>
          <w:rPr>
            <w:noProof/>
            <w:webHidden/>
          </w:rPr>
          <w:tab/>
        </w:r>
        <w:r>
          <w:rPr>
            <w:noProof/>
            <w:webHidden/>
          </w:rPr>
          <w:fldChar w:fldCharType="begin"/>
        </w:r>
        <w:r>
          <w:rPr>
            <w:noProof/>
            <w:webHidden/>
          </w:rPr>
          <w:instrText xml:space="preserve"> PAGEREF _Toc94702058 \h </w:instrText>
        </w:r>
        <w:r>
          <w:rPr>
            <w:noProof/>
            <w:webHidden/>
          </w:rPr>
        </w:r>
        <w:r>
          <w:rPr>
            <w:noProof/>
            <w:webHidden/>
          </w:rPr>
          <w:fldChar w:fldCharType="separate"/>
        </w:r>
        <w:r>
          <w:rPr>
            <w:noProof/>
            <w:webHidden/>
          </w:rPr>
          <w:t>54</w:t>
        </w:r>
        <w:r>
          <w:rPr>
            <w:noProof/>
            <w:webHidden/>
          </w:rPr>
          <w:fldChar w:fldCharType="end"/>
        </w:r>
      </w:hyperlink>
    </w:p>
    <w:p w14:paraId="3C91978D"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59" w:history="1">
        <w:r w:rsidRPr="00143130">
          <w:rPr>
            <w:rStyle w:val="Hyperlink"/>
            <w:noProof/>
          </w:rPr>
          <w:t>4.5</w:t>
        </w:r>
        <w:r>
          <w:rPr>
            <w:rFonts w:asciiTheme="minorHAnsi" w:eastAsiaTheme="minorEastAsia" w:hAnsiTheme="minorHAnsi"/>
            <w:noProof/>
            <w:sz w:val="22"/>
            <w:szCs w:val="22"/>
            <w:lang w:eastAsia="en-AU"/>
          </w:rPr>
          <w:tab/>
        </w:r>
        <w:r w:rsidRPr="00143130">
          <w:rPr>
            <w:rStyle w:val="Hyperlink"/>
            <w:noProof/>
          </w:rPr>
          <w:t>CoOL requirements for online sales</w:t>
        </w:r>
        <w:r>
          <w:rPr>
            <w:noProof/>
            <w:webHidden/>
          </w:rPr>
          <w:tab/>
        </w:r>
        <w:r>
          <w:rPr>
            <w:noProof/>
            <w:webHidden/>
          </w:rPr>
          <w:fldChar w:fldCharType="begin"/>
        </w:r>
        <w:r>
          <w:rPr>
            <w:noProof/>
            <w:webHidden/>
          </w:rPr>
          <w:instrText xml:space="preserve"> PAGEREF _Toc94702059 \h </w:instrText>
        </w:r>
        <w:r>
          <w:rPr>
            <w:noProof/>
            <w:webHidden/>
          </w:rPr>
        </w:r>
        <w:r>
          <w:rPr>
            <w:noProof/>
            <w:webHidden/>
          </w:rPr>
          <w:fldChar w:fldCharType="separate"/>
        </w:r>
        <w:r>
          <w:rPr>
            <w:noProof/>
            <w:webHidden/>
          </w:rPr>
          <w:t>57</w:t>
        </w:r>
        <w:r>
          <w:rPr>
            <w:noProof/>
            <w:webHidden/>
          </w:rPr>
          <w:fldChar w:fldCharType="end"/>
        </w:r>
      </w:hyperlink>
    </w:p>
    <w:p w14:paraId="386FD1CB"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0" w:history="1">
        <w:r w:rsidRPr="00143130">
          <w:rPr>
            <w:rStyle w:val="Hyperlink"/>
            <w:noProof/>
          </w:rPr>
          <w:t>4.6</w:t>
        </w:r>
        <w:r>
          <w:rPr>
            <w:rFonts w:asciiTheme="minorHAnsi" w:eastAsiaTheme="minorEastAsia" w:hAnsiTheme="minorHAnsi"/>
            <w:noProof/>
            <w:sz w:val="22"/>
            <w:szCs w:val="22"/>
            <w:lang w:eastAsia="en-AU"/>
          </w:rPr>
          <w:tab/>
        </w:r>
        <w:r w:rsidRPr="00143130">
          <w:rPr>
            <w:rStyle w:val="Hyperlink"/>
            <w:noProof/>
          </w:rPr>
          <w:t>Effectiveness of communication activities and online resources for consumers</w:t>
        </w:r>
        <w:r>
          <w:rPr>
            <w:noProof/>
            <w:webHidden/>
          </w:rPr>
          <w:tab/>
        </w:r>
        <w:r>
          <w:rPr>
            <w:noProof/>
            <w:webHidden/>
          </w:rPr>
          <w:fldChar w:fldCharType="begin"/>
        </w:r>
        <w:r>
          <w:rPr>
            <w:noProof/>
            <w:webHidden/>
          </w:rPr>
          <w:instrText xml:space="preserve"> PAGEREF _Toc94702060 \h </w:instrText>
        </w:r>
        <w:r>
          <w:rPr>
            <w:noProof/>
            <w:webHidden/>
          </w:rPr>
        </w:r>
        <w:r>
          <w:rPr>
            <w:noProof/>
            <w:webHidden/>
          </w:rPr>
          <w:fldChar w:fldCharType="separate"/>
        </w:r>
        <w:r>
          <w:rPr>
            <w:noProof/>
            <w:webHidden/>
          </w:rPr>
          <w:t>61</w:t>
        </w:r>
        <w:r>
          <w:rPr>
            <w:noProof/>
            <w:webHidden/>
          </w:rPr>
          <w:fldChar w:fldCharType="end"/>
        </w:r>
      </w:hyperlink>
    </w:p>
    <w:p w14:paraId="34D01CDB"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1" w:history="1">
        <w:r w:rsidRPr="00143130">
          <w:rPr>
            <w:rStyle w:val="Hyperlink"/>
            <w:noProof/>
          </w:rPr>
          <w:t>4.7</w:t>
        </w:r>
        <w:r>
          <w:rPr>
            <w:rFonts w:asciiTheme="minorHAnsi" w:eastAsiaTheme="minorEastAsia" w:hAnsiTheme="minorHAnsi"/>
            <w:noProof/>
            <w:sz w:val="22"/>
            <w:szCs w:val="22"/>
            <w:lang w:eastAsia="en-AU"/>
          </w:rPr>
          <w:tab/>
        </w:r>
        <w:r w:rsidRPr="00143130">
          <w:rPr>
            <w:rStyle w:val="Hyperlink"/>
            <w:noProof/>
          </w:rPr>
          <w:t>Other product types for which consumers seek greater access to origin information</w:t>
        </w:r>
        <w:r>
          <w:rPr>
            <w:noProof/>
            <w:webHidden/>
          </w:rPr>
          <w:tab/>
        </w:r>
        <w:r>
          <w:rPr>
            <w:noProof/>
            <w:webHidden/>
          </w:rPr>
          <w:fldChar w:fldCharType="begin"/>
        </w:r>
        <w:r>
          <w:rPr>
            <w:noProof/>
            <w:webHidden/>
          </w:rPr>
          <w:instrText xml:space="preserve"> PAGEREF _Toc94702061 \h </w:instrText>
        </w:r>
        <w:r>
          <w:rPr>
            <w:noProof/>
            <w:webHidden/>
          </w:rPr>
        </w:r>
        <w:r>
          <w:rPr>
            <w:noProof/>
            <w:webHidden/>
          </w:rPr>
          <w:fldChar w:fldCharType="separate"/>
        </w:r>
        <w:r>
          <w:rPr>
            <w:noProof/>
            <w:webHidden/>
          </w:rPr>
          <w:t>64</w:t>
        </w:r>
        <w:r>
          <w:rPr>
            <w:noProof/>
            <w:webHidden/>
          </w:rPr>
          <w:fldChar w:fldCharType="end"/>
        </w:r>
      </w:hyperlink>
    </w:p>
    <w:p w14:paraId="2EEFDBAB"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2" w:history="1">
        <w:r w:rsidRPr="00143130">
          <w:rPr>
            <w:rStyle w:val="Hyperlink"/>
            <w:noProof/>
          </w:rPr>
          <w:t>4.8</w:t>
        </w:r>
        <w:r>
          <w:rPr>
            <w:rFonts w:asciiTheme="minorHAnsi" w:eastAsiaTheme="minorEastAsia" w:hAnsiTheme="minorHAnsi"/>
            <w:noProof/>
            <w:sz w:val="22"/>
            <w:szCs w:val="22"/>
            <w:lang w:eastAsia="en-AU"/>
          </w:rPr>
          <w:tab/>
        </w:r>
        <w:r w:rsidRPr="00143130">
          <w:rPr>
            <w:rStyle w:val="Hyperlink"/>
            <w:noProof/>
          </w:rPr>
          <w:t>Change in consumer demand for origin information</w:t>
        </w:r>
        <w:r>
          <w:rPr>
            <w:noProof/>
            <w:webHidden/>
          </w:rPr>
          <w:tab/>
        </w:r>
        <w:r>
          <w:rPr>
            <w:noProof/>
            <w:webHidden/>
          </w:rPr>
          <w:fldChar w:fldCharType="begin"/>
        </w:r>
        <w:r>
          <w:rPr>
            <w:noProof/>
            <w:webHidden/>
          </w:rPr>
          <w:instrText xml:space="preserve"> PAGEREF _Toc94702062 \h </w:instrText>
        </w:r>
        <w:r>
          <w:rPr>
            <w:noProof/>
            <w:webHidden/>
          </w:rPr>
        </w:r>
        <w:r>
          <w:rPr>
            <w:noProof/>
            <w:webHidden/>
          </w:rPr>
          <w:fldChar w:fldCharType="separate"/>
        </w:r>
        <w:r>
          <w:rPr>
            <w:noProof/>
            <w:webHidden/>
          </w:rPr>
          <w:t>69</w:t>
        </w:r>
        <w:r>
          <w:rPr>
            <w:noProof/>
            <w:webHidden/>
          </w:rPr>
          <w:fldChar w:fldCharType="end"/>
        </w:r>
      </w:hyperlink>
    </w:p>
    <w:p w14:paraId="42CB0E5B"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3" w:history="1">
        <w:r w:rsidRPr="00143130">
          <w:rPr>
            <w:rStyle w:val="Hyperlink"/>
            <w:noProof/>
          </w:rPr>
          <w:t>4.9</w:t>
        </w:r>
        <w:r>
          <w:rPr>
            <w:rFonts w:asciiTheme="minorHAnsi" w:eastAsiaTheme="minorEastAsia" w:hAnsiTheme="minorHAnsi"/>
            <w:noProof/>
            <w:sz w:val="22"/>
            <w:szCs w:val="22"/>
            <w:lang w:eastAsia="en-AU"/>
          </w:rPr>
          <w:tab/>
        </w:r>
        <w:r w:rsidRPr="00143130">
          <w:rPr>
            <w:rStyle w:val="Hyperlink"/>
            <w:noProof/>
          </w:rPr>
          <w:t>Other insights from consumers</w:t>
        </w:r>
        <w:r>
          <w:rPr>
            <w:noProof/>
            <w:webHidden/>
          </w:rPr>
          <w:tab/>
        </w:r>
        <w:r>
          <w:rPr>
            <w:noProof/>
            <w:webHidden/>
          </w:rPr>
          <w:fldChar w:fldCharType="begin"/>
        </w:r>
        <w:r>
          <w:rPr>
            <w:noProof/>
            <w:webHidden/>
          </w:rPr>
          <w:instrText xml:space="preserve"> PAGEREF _Toc94702063 \h </w:instrText>
        </w:r>
        <w:r>
          <w:rPr>
            <w:noProof/>
            <w:webHidden/>
          </w:rPr>
        </w:r>
        <w:r>
          <w:rPr>
            <w:noProof/>
            <w:webHidden/>
          </w:rPr>
          <w:fldChar w:fldCharType="separate"/>
        </w:r>
        <w:r>
          <w:rPr>
            <w:noProof/>
            <w:webHidden/>
          </w:rPr>
          <w:t>71</w:t>
        </w:r>
        <w:r>
          <w:rPr>
            <w:noProof/>
            <w:webHidden/>
          </w:rPr>
          <w:fldChar w:fldCharType="end"/>
        </w:r>
      </w:hyperlink>
    </w:p>
    <w:p w14:paraId="02F28DBB" w14:textId="77777777" w:rsidR="0093445A" w:rsidRDefault="0093445A">
      <w:pPr>
        <w:pStyle w:val="TOC1"/>
        <w:rPr>
          <w:rFonts w:asciiTheme="minorHAnsi" w:eastAsiaTheme="minorEastAsia" w:hAnsiTheme="minorHAnsi"/>
          <w:noProof/>
          <w:sz w:val="22"/>
          <w:szCs w:val="22"/>
          <w:lang w:eastAsia="en-AU"/>
        </w:rPr>
      </w:pPr>
      <w:hyperlink w:anchor="_Toc94702064" w:history="1">
        <w:r w:rsidRPr="00143130">
          <w:rPr>
            <w:rStyle w:val="Hyperlink"/>
            <w:noProof/>
          </w:rPr>
          <w:t>5</w:t>
        </w:r>
        <w:r>
          <w:rPr>
            <w:rFonts w:asciiTheme="minorHAnsi" w:eastAsiaTheme="minorEastAsia" w:hAnsiTheme="minorHAnsi"/>
            <w:noProof/>
            <w:sz w:val="22"/>
            <w:szCs w:val="22"/>
            <w:lang w:eastAsia="en-AU"/>
          </w:rPr>
          <w:tab/>
        </w:r>
        <w:r w:rsidRPr="00143130">
          <w:rPr>
            <w:rStyle w:val="Hyperlink"/>
            <w:noProof/>
          </w:rPr>
          <w:t>Clarifying business ability to make origin claims</w:t>
        </w:r>
        <w:r>
          <w:rPr>
            <w:noProof/>
            <w:webHidden/>
          </w:rPr>
          <w:tab/>
        </w:r>
        <w:r>
          <w:rPr>
            <w:noProof/>
            <w:webHidden/>
          </w:rPr>
          <w:fldChar w:fldCharType="begin"/>
        </w:r>
        <w:r>
          <w:rPr>
            <w:noProof/>
            <w:webHidden/>
          </w:rPr>
          <w:instrText xml:space="preserve"> PAGEREF _Toc94702064 \h </w:instrText>
        </w:r>
        <w:r>
          <w:rPr>
            <w:noProof/>
            <w:webHidden/>
          </w:rPr>
        </w:r>
        <w:r>
          <w:rPr>
            <w:noProof/>
            <w:webHidden/>
          </w:rPr>
          <w:fldChar w:fldCharType="separate"/>
        </w:r>
        <w:r>
          <w:rPr>
            <w:noProof/>
            <w:webHidden/>
          </w:rPr>
          <w:t>72</w:t>
        </w:r>
        <w:r>
          <w:rPr>
            <w:noProof/>
            <w:webHidden/>
          </w:rPr>
          <w:fldChar w:fldCharType="end"/>
        </w:r>
      </w:hyperlink>
    </w:p>
    <w:p w14:paraId="2E33FC27"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5" w:history="1">
        <w:r w:rsidRPr="00143130">
          <w:rPr>
            <w:rStyle w:val="Hyperlink"/>
            <w:noProof/>
          </w:rPr>
          <w:t>5.1</w:t>
        </w:r>
        <w:r>
          <w:rPr>
            <w:rFonts w:asciiTheme="minorHAnsi" w:eastAsiaTheme="minorEastAsia" w:hAnsiTheme="minorHAnsi"/>
            <w:noProof/>
            <w:sz w:val="22"/>
            <w:szCs w:val="22"/>
            <w:lang w:eastAsia="en-AU"/>
          </w:rPr>
          <w:tab/>
        </w:r>
        <w:r w:rsidRPr="00143130">
          <w:rPr>
            <w:rStyle w:val="Hyperlink"/>
            <w:noProof/>
          </w:rPr>
          <w:t>Safe-harbour defences</w:t>
        </w:r>
        <w:r>
          <w:rPr>
            <w:noProof/>
            <w:webHidden/>
          </w:rPr>
          <w:tab/>
        </w:r>
        <w:r>
          <w:rPr>
            <w:noProof/>
            <w:webHidden/>
          </w:rPr>
          <w:fldChar w:fldCharType="begin"/>
        </w:r>
        <w:r>
          <w:rPr>
            <w:noProof/>
            <w:webHidden/>
          </w:rPr>
          <w:instrText xml:space="preserve"> PAGEREF _Toc94702065 \h </w:instrText>
        </w:r>
        <w:r>
          <w:rPr>
            <w:noProof/>
            <w:webHidden/>
          </w:rPr>
        </w:r>
        <w:r>
          <w:rPr>
            <w:noProof/>
            <w:webHidden/>
          </w:rPr>
          <w:fldChar w:fldCharType="separate"/>
        </w:r>
        <w:r>
          <w:rPr>
            <w:noProof/>
            <w:webHidden/>
          </w:rPr>
          <w:t>72</w:t>
        </w:r>
        <w:r>
          <w:rPr>
            <w:noProof/>
            <w:webHidden/>
          </w:rPr>
          <w:fldChar w:fldCharType="end"/>
        </w:r>
      </w:hyperlink>
    </w:p>
    <w:p w14:paraId="1B5D2702"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6" w:history="1">
        <w:r w:rsidRPr="00143130">
          <w:rPr>
            <w:rStyle w:val="Hyperlink"/>
            <w:noProof/>
          </w:rPr>
          <w:t>5.2</w:t>
        </w:r>
        <w:r>
          <w:rPr>
            <w:rFonts w:asciiTheme="minorHAnsi" w:eastAsiaTheme="minorEastAsia" w:hAnsiTheme="minorHAnsi"/>
            <w:noProof/>
            <w:sz w:val="22"/>
            <w:szCs w:val="22"/>
            <w:lang w:eastAsia="en-AU"/>
          </w:rPr>
          <w:tab/>
        </w:r>
        <w:r w:rsidRPr="00143130">
          <w:rPr>
            <w:rStyle w:val="Hyperlink"/>
            <w:noProof/>
          </w:rPr>
          <w:t>Business compliance with CoOL requirements</w:t>
        </w:r>
        <w:r>
          <w:rPr>
            <w:noProof/>
            <w:webHidden/>
          </w:rPr>
          <w:tab/>
        </w:r>
        <w:r>
          <w:rPr>
            <w:noProof/>
            <w:webHidden/>
          </w:rPr>
          <w:fldChar w:fldCharType="begin"/>
        </w:r>
        <w:r>
          <w:rPr>
            <w:noProof/>
            <w:webHidden/>
          </w:rPr>
          <w:instrText xml:space="preserve"> PAGEREF _Toc94702066 \h </w:instrText>
        </w:r>
        <w:r>
          <w:rPr>
            <w:noProof/>
            <w:webHidden/>
          </w:rPr>
        </w:r>
        <w:r>
          <w:rPr>
            <w:noProof/>
            <w:webHidden/>
          </w:rPr>
          <w:fldChar w:fldCharType="separate"/>
        </w:r>
        <w:r>
          <w:rPr>
            <w:noProof/>
            <w:webHidden/>
          </w:rPr>
          <w:t>75</w:t>
        </w:r>
        <w:r>
          <w:rPr>
            <w:noProof/>
            <w:webHidden/>
          </w:rPr>
          <w:fldChar w:fldCharType="end"/>
        </w:r>
      </w:hyperlink>
    </w:p>
    <w:p w14:paraId="5FAE431A"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7" w:history="1">
        <w:r w:rsidRPr="00143130">
          <w:rPr>
            <w:rStyle w:val="Hyperlink"/>
            <w:noProof/>
          </w:rPr>
          <w:t>5.3</w:t>
        </w:r>
        <w:r>
          <w:rPr>
            <w:rFonts w:asciiTheme="minorHAnsi" w:eastAsiaTheme="minorEastAsia" w:hAnsiTheme="minorHAnsi"/>
            <w:noProof/>
            <w:sz w:val="22"/>
            <w:szCs w:val="22"/>
            <w:lang w:eastAsia="en-AU"/>
          </w:rPr>
          <w:tab/>
        </w:r>
        <w:r w:rsidRPr="00143130">
          <w:rPr>
            <w:rStyle w:val="Hyperlink"/>
            <w:noProof/>
          </w:rPr>
          <w:t>Flexibility of CoOL to manage ingredient variation</w:t>
        </w:r>
        <w:r>
          <w:rPr>
            <w:noProof/>
            <w:webHidden/>
          </w:rPr>
          <w:tab/>
        </w:r>
        <w:r>
          <w:rPr>
            <w:noProof/>
            <w:webHidden/>
          </w:rPr>
          <w:fldChar w:fldCharType="begin"/>
        </w:r>
        <w:r>
          <w:rPr>
            <w:noProof/>
            <w:webHidden/>
          </w:rPr>
          <w:instrText xml:space="preserve"> PAGEREF _Toc94702067 \h </w:instrText>
        </w:r>
        <w:r>
          <w:rPr>
            <w:noProof/>
            <w:webHidden/>
          </w:rPr>
        </w:r>
        <w:r>
          <w:rPr>
            <w:noProof/>
            <w:webHidden/>
          </w:rPr>
          <w:fldChar w:fldCharType="separate"/>
        </w:r>
        <w:r>
          <w:rPr>
            <w:noProof/>
            <w:webHidden/>
          </w:rPr>
          <w:t>78</w:t>
        </w:r>
        <w:r>
          <w:rPr>
            <w:noProof/>
            <w:webHidden/>
          </w:rPr>
          <w:fldChar w:fldCharType="end"/>
        </w:r>
      </w:hyperlink>
    </w:p>
    <w:p w14:paraId="3B51324F"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68" w:history="1">
        <w:r w:rsidRPr="00143130">
          <w:rPr>
            <w:rStyle w:val="Hyperlink"/>
            <w:noProof/>
          </w:rPr>
          <w:t>5.4</w:t>
        </w:r>
        <w:r>
          <w:rPr>
            <w:rFonts w:asciiTheme="minorHAnsi" w:eastAsiaTheme="minorEastAsia" w:hAnsiTheme="minorHAnsi"/>
            <w:noProof/>
            <w:sz w:val="22"/>
            <w:szCs w:val="22"/>
            <w:lang w:eastAsia="en-AU"/>
          </w:rPr>
          <w:tab/>
        </w:r>
        <w:r w:rsidRPr="00143130">
          <w:rPr>
            <w:rStyle w:val="Hyperlink"/>
            <w:noProof/>
          </w:rPr>
          <w:t>Unintended consequences</w:t>
        </w:r>
        <w:r>
          <w:rPr>
            <w:noProof/>
            <w:webHidden/>
          </w:rPr>
          <w:tab/>
        </w:r>
        <w:r>
          <w:rPr>
            <w:noProof/>
            <w:webHidden/>
          </w:rPr>
          <w:fldChar w:fldCharType="begin"/>
        </w:r>
        <w:r>
          <w:rPr>
            <w:noProof/>
            <w:webHidden/>
          </w:rPr>
          <w:instrText xml:space="preserve"> PAGEREF _Toc94702068 \h </w:instrText>
        </w:r>
        <w:r>
          <w:rPr>
            <w:noProof/>
            <w:webHidden/>
          </w:rPr>
        </w:r>
        <w:r>
          <w:rPr>
            <w:noProof/>
            <w:webHidden/>
          </w:rPr>
          <w:fldChar w:fldCharType="separate"/>
        </w:r>
        <w:r>
          <w:rPr>
            <w:noProof/>
            <w:webHidden/>
          </w:rPr>
          <w:t>80</w:t>
        </w:r>
        <w:r>
          <w:rPr>
            <w:noProof/>
            <w:webHidden/>
          </w:rPr>
          <w:fldChar w:fldCharType="end"/>
        </w:r>
      </w:hyperlink>
    </w:p>
    <w:p w14:paraId="3503CFD3" w14:textId="77777777" w:rsidR="0093445A" w:rsidRDefault="0093445A">
      <w:pPr>
        <w:pStyle w:val="TOC1"/>
        <w:rPr>
          <w:rFonts w:asciiTheme="minorHAnsi" w:eastAsiaTheme="minorEastAsia" w:hAnsiTheme="minorHAnsi"/>
          <w:noProof/>
          <w:sz w:val="22"/>
          <w:szCs w:val="22"/>
          <w:lang w:eastAsia="en-AU"/>
        </w:rPr>
      </w:pPr>
      <w:hyperlink w:anchor="_Toc94702069" w:history="1">
        <w:r w:rsidRPr="00143130">
          <w:rPr>
            <w:rStyle w:val="Hyperlink"/>
            <w:noProof/>
          </w:rPr>
          <w:t>6</w:t>
        </w:r>
        <w:r>
          <w:rPr>
            <w:rFonts w:asciiTheme="minorHAnsi" w:eastAsiaTheme="minorEastAsia" w:hAnsiTheme="minorHAnsi"/>
            <w:noProof/>
            <w:sz w:val="22"/>
            <w:szCs w:val="22"/>
            <w:lang w:eastAsia="en-AU"/>
          </w:rPr>
          <w:tab/>
        </w:r>
        <w:r w:rsidRPr="00143130">
          <w:rPr>
            <w:rStyle w:val="Hyperlink"/>
            <w:noProof/>
          </w:rPr>
          <w:t>Impact on business</w:t>
        </w:r>
        <w:r>
          <w:rPr>
            <w:noProof/>
            <w:webHidden/>
          </w:rPr>
          <w:tab/>
        </w:r>
        <w:r>
          <w:rPr>
            <w:noProof/>
            <w:webHidden/>
          </w:rPr>
          <w:fldChar w:fldCharType="begin"/>
        </w:r>
        <w:r>
          <w:rPr>
            <w:noProof/>
            <w:webHidden/>
          </w:rPr>
          <w:instrText xml:space="preserve"> PAGEREF _Toc94702069 \h </w:instrText>
        </w:r>
        <w:r>
          <w:rPr>
            <w:noProof/>
            <w:webHidden/>
          </w:rPr>
        </w:r>
        <w:r>
          <w:rPr>
            <w:noProof/>
            <w:webHidden/>
          </w:rPr>
          <w:fldChar w:fldCharType="separate"/>
        </w:r>
        <w:r>
          <w:rPr>
            <w:noProof/>
            <w:webHidden/>
          </w:rPr>
          <w:t>83</w:t>
        </w:r>
        <w:r>
          <w:rPr>
            <w:noProof/>
            <w:webHidden/>
          </w:rPr>
          <w:fldChar w:fldCharType="end"/>
        </w:r>
      </w:hyperlink>
    </w:p>
    <w:p w14:paraId="6E48A44C"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70" w:history="1">
        <w:r w:rsidRPr="00143130">
          <w:rPr>
            <w:rStyle w:val="Hyperlink"/>
            <w:noProof/>
          </w:rPr>
          <w:t>6.1</w:t>
        </w:r>
        <w:r>
          <w:rPr>
            <w:rFonts w:asciiTheme="minorHAnsi" w:eastAsiaTheme="minorEastAsia" w:hAnsiTheme="minorHAnsi"/>
            <w:noProof/>
            <w:sz w:val="22"/>
            <w:szCs w:val="22"/>
            <w:lang w:eastAsia="en-AU"/>
          </w:rPr>
          <w:tab/>
        </w:r>
        <w:r w:rsidRPr="00143130">
          <w:rPr>
            <w:rStyle w:val="Hyperlink"/>
            <w:noProof/>
          </w:rPr>
          <w:t>Effectiveness of communication activities and online resources</w:t>
        </w:r>
        <w:r>
          <w:rPr>
            <w:noProof/>
            <w:webHidden/>
          </w:rPr>
          <w:tab/>
        </w:r>
        <w:r>
          <w:rPr>
            <w:noProof/>
            <w:webHidden/>
          </w:rPr>
          <w:fldChar w:fldCharType="begin"/>
        </w:r>
        <w:r>
          <w:rPr>
            <w:noProof/>
            <w:webHidden/>
          </w:rPr>
          <w:instrText xml:space="preserve"> PAGEREF _Toc94702070 \h </w:instrText>
        </w:r>
        <w:r>
          <w:rPr>
            <w:noProof/>
            <w:webHidden/>
          </w:rPr>
        </w:r>
        <w:r>
          <w:rPr>
            <w:noProof/>
            <w:webHidden/>
          </w:rPr>
          <w:fldChar w:fldCharType="separate"/>
        </w:r>
        <w:r>
          <w:rPr>
            <w:noProof/>
            <w:webHidden/>
          </w:rPr>
          <w:t>83</w:t>
        </w:r>
        <w:r>
          <w:rPr>
            <w:noProof/>
            <w:webHidden/>
          </w:rPr>
          <w:fldChar w:fldCharType="end"/>
        </w:r>
      </w:hyperlink>
    </w:p>
    <w:p w14:paraId="73D3DEDC"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71" w:history="1">
        <w:r w:rsidRPr="00143130">
          <w:rPr>
            <w:rStyle w:val="Hyperlink"/>
            <w:noProof/>
          </w:rPr>
          <w:t>6.2</w:t>
        </w:r>
        <w:r>
          <w:rPr>
            <w:rFonts w:asciiTheme="minorHAnsi" w:eastAsiaTheme="minorEastAsia" w:hAnsiTheme="minorHAnsi"/>
            <w:noProof/>
            <w:sz w:val="22"/>
            <w:szCs w:val="22"/>
            <w:lang w:eastAsia="en-AU"/>
          </w:rPr>
          <w:tab/>
        </w:r>
        <w:r w:rsidRPr="00143130">
          <w:rPr>
            <w:rStyle w:val="Hyperlink"/>
            <w:noProof/>
          </w:rPr>
          <w:t>Adequacy of the transition period</w:t>
        </w:r>
        <w:r>
          <w:rPr>
            <w:noProof/>
            <w:webHidden/>
          </w:rPr>
          <w:tab/>
        </w:r>
        <w:r>
          <w:rPr>
            <w:noProof/>
            <w:webHidden/>
          </w:rPr>
          <w:fldChar w:fldCharType="begin"/>
        </w:r>
        <w:r>
          <w:rPr>
            <w:noProof/>
            <w:webHidden/>
          </w:rPr>
          <w:instrText xml:space="preserve"> PAGEREF _Toc94702071 \h </w:instrText>
        </w:r>
        <w:r>
          <w:rPr>
            <w:noProof/>
            <w:webHidden/>
          </w:rPr>
        </w:r>
        <w:r>
          <w:rPr>
            <w:noProof/>
            <w:webHidden/>
          </w:rPr>
          <w:fldChar w:fldCharType="separate"/>
        </w:r>
        <w:r>
          <w:rPr>
            <w:noProof/>
            <w:webHidden/>
          </w:rPr>
          <w:t>86</w:t>
        </w:r>
        <w:r>
          <w:rPr>
            <w:noProof/>
            <w:webHidden/>
          </w:rPr>
          <w:fldChar w:fldCharType="end"/>
        </w:r>
      </w:hyperlink>
    </w:p>
    <w:p w14:paraId="22198374"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72" w:history="1">
        <w:r w:rsidRPr="00143130">
          <w:rPr>
            <w:rStyle w:val="Hyperlink"/>
            <w:noProof/>
          </w:rPr>
          <w:t>6.3</w:t>
        </w:r>
        <w:r>
          <w:rPr>
            <w:rFonts w:asciiTheme="minorHAnsi" w:eastAsiaTheme="minorEastAsia" w:hAnsiTheme="minorHAnsi"/>
            <w:noProof/>
            <w:sz w:val="22"/>
            <w:szCs w:val="22"/>
            <w:lang w:eastAsia="en-AU"/>
          </w:rPr>
          <w:tab/>
        </w:r>
        <w:r w:rsidRPr="00143130">
          <w:rPr>
            <w:rStyle w:val="Hyperlink"/>
            <w:noProof/>
          </w:rPr>
          <w:t>Cost to business of CoOL requirements</w:t>
        </w:r>
        <w:r>
          <w:rPr>
            <w:noProof/>
            <w:webHidden/>
          </w:rPr>
          <w:tab/>
        </w:r>
        <w:r>
          <w:rPr>
            <w:noProof/>
            <w:webHidden/>
          </w:rPr>
          <w:fldChar w:fldCharType="begin"/>
        </w:r>
        <w:r>
          <w:rPr>
            <w:noProof/>
            <w:webHidden/>
          </w:rPr>
          <w:instrText xml:space="preserve"> PAGEREF _Toc94702072 \h </w:instrText>
        </w:r>
        <w:r>
          <w:rPr>
            <w:noProof/>
            <w:webHidden/>
          </w:rPr>
        </w:r>
        <w:r>
          <w:rPr>
            <w:noProof/>
            <w:webHidden/>
          </w:rPr>
          <w:fldChar w:fldCharType="separate"/>
        </w:r>
        <w:r>
          <w:rPr>
            <w:noProof/>
            <w:webHidden/>
          </w:rPr>
          <w:t>88</w:t>
        </w:r>
        <w:r>
          <w:rPr>
            <w:noProof/>
            <w:webHidden/>
          </w:rPr>
          <w:fldChar w:fldCharType="end"/>
        </w:r>
      </w:hyperlink>
    </w:p>
    <w:p w14:paraId="47D4B169"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73" w:history="1">
        <w:r w:rsidRPr="00143130">
          <w:rPr>
            <w:rStyle w:val="Hyperlink"/>
            <w:noProof/>
          </w:rPr>
          <w:t>6.4</w:t>
        </w:r>
        <w:r>
          <w:rPr>
            <w:rFonts w:asciiTheme="minorHAnsi" w:eastAsiaTheme="minorEastAsia" w:hAnsiTheme="minorHAnsi"/>
            <w:noProof/>
            <w:sz w:val="22"/>
            <w:szCs w:val="22"/>
            <w:lang w:eastAsia="en-AU"/>
          </w:rPr>
          <w:tab/>
        </w:r>
        <w:r w:rsidRPr="00143130">
          <w:rPr>
            <w:rStyle w:val="Hyperlink"/>
            <w:noProof/>
          </w:rPr>
          <w:t>Benefits of CoOL to food and beverage producers</w:t>
        </w:r>
        <w:r>
          <w:rPr>
            <w:noProof/>
            <w:webHidden/>
          </w:rPr>
          <w:tab/>
        </w:r>
        <w:r>
          <w:rPr>
            <w:noProof/>
            <w:webHidden/>
          </w:rPr>
          <w:fldChar w:fldCharType="begin"/>
        </w:r>
        <w:r>
          <w:rPr>
            <w:noProof/>
            <w:webHidden/>
          </w:rPr>
          <w:instrText xml:space="preserve"> PAGEREF _Toc94702073 \h </w:instrText>
        </w:r>
        <w:r>
          <w:rPr>
            <w:noProof/>
            <w:webHidden/>
          </w:rPr>
        </w:r>
        <w:r>
          <w:rPr>
            <w:noProof/>
            <w:webHidden/>
          </w:rPr>
          <w:fldChar w:fldCharType="separate"/>
        </w:r>
        <w:r>
          <w:rPr>
            <w:noProof/>
            <w:webHidden/>
          </w:rPr>
          <w:t>90</w:t>
        </w:r>
        <w:r>
          <w:rPr>
            <w:noProof/>
            <w:webHidden/>
          </w:rPr>
          <w:fldChar w:fldCharType="end"/>
        </w:r>
      </w:hyperlink>
    </w:p>
    <w:p w14:paraId="45A6F2CB" w14:textId="77777777" w:rsidR="0093445A" w:rsidRDefault="0093445A">
      <w:pPr>
        <w:pStyle w:val="TOC2"/>
        <w:tabs>
          <w:tab w:val="left" w:pos="1134"/>
        </w:tabs>
        <w:rPr>
          <w:rFonts w:asciiTheme="minorHAnsi" w:eastAsiaTheme="minorEastAsia" w:hAnsiTheme="minorHAnsi"/>
          <w:noProof/>
          <w:sz w:val="22"/>
          <w:szCs w:val="22"/>
          <w:lang w:eastAsia="en-AU"/>
        </w:rPr>
      </w:pPr>
      <w:hyperlink w:anchor="_Toc94702074" w:history="1">
        <w:r w:rsidRPr="00143130">
          <w:rPr>
            <w:rStyle w:val="Hyperlink"/>
            <w:noProof/>
          </w:rPr>
          <w:t>6.5</w:t>
        </w:r>
        <w:r>
          <w:rPr>
            <w:rFonts w:asciiTheme="minorHAnsi" w:eastAsiaTheme="minorEastAsia" w:hAnsiTheme="minorHAnsi"/>
            <w:noProof/>
            <w:sz w:val="22"/>
            <w:szCs w:val="22"/>
            <w:lang w:eastAsia="en-AU"/>
          </w:rPr>
          <w:tab/>
        </w:r>
        <w:r w:rsidRPr="00143130">
          <w:rPr>
            <w:rStyle w:val="Hyperlink"/>
            <w:noProof/>
          </w:rPr>
          <w:t>Lessons to improve future initiatives</w:t>
        </w:r>
        <w:r>
          <w:rPr>
            <w:noProof/>
            <w:webHidden/>
          </w:rPr>
          <w:tab/>
        </w:r>
        <w:r>
          <w:rPr>
            <w:noProof/>
            <w:webHidden/>
          </w:rPr>
          <w:fldChar w:fldCharType="begin"/>
        </w:r>
        <w:r>
          <w:rPr>
            <w:noProof/>
            <w:webHidden/>
          </w:rPr>
          <w:instrText xml:space="preserve"> PAGEREF _Toc94702074 \h </w:instrText>
        </w:r>
        <w:r>
          <w:rPr>
            <w:noProof/>
            <w:webHidden/>
          </w:rPr>
        </w:r>
        <w:r>
          <w:rPr>
            <w:noProof/>
            <w:webHidden/>
          </w:rPr>
          <w:fldChar w:fldCharType="separate"/>
        </w:r>
        <w:r>
          <w:rPr>
            <w:noProof/>
            <w:webHidden/>
          </w:rPr>
          <w:t>93</w:t>
        </w:r>
        <w:r>
          <w:rPr>
            <w:noProof/>
            <w:webHidden/>
          </w:rPr>
          <w:fldChar w:fldCharType="end"/>
        </w:r>
      </w:hyperlink>
    </w:p>
    <w:p w14:paraId="30BD33EF" w14:textId="77777777" w:rsidR="0093445A" w:rsidRDefault="0093445A">
      <w:pPr>
        <w:pStyle w:val="TOC1"/>
        <w:rPr>
          <w:rFonts w:asciiTheme="minorHAnsi" w:eastAsiaTheme="minorEastAsia" w:hAnsiTheme="minorHAnsi"/>
          <w:noProof/>
          <w:sz w:val="22"/>
          <w:szCs w:val="22"/>
          <w:lang w:eastAsia="en-AU"/>
        </w:rPr>
      </w:pPr>
      <w:hyperlink w:anchor="_Toc94702075" w:history="1">
        <w:r w:rsidRPr="00143130">
          <w:rPr>
            <w:rStyle w:val="Hyperlink"/>
            <w:noProof/>
          </w:rPr>
          <w:t>7</w:t>
        </w:r>
        <w:r>
          <w:rPr>
            <w:rFonts w:asciiTheme="minorHAnsi" w:eastAsiaTheme="minorEastAsia" w:hAnsiTheme="minorHAnsi"/>
            <w:noProof/>
            <w:sz w:val="22"/>
            <w:szCs w:val="22"/>
            <w:lang w:eastAsia="en-AU"/>
          </w:rPr>
          <w:tab/>
        </w:r>
        <w:r w:rsidRPr="00143130">
          <w:rPr>
            <w:rStyle w:val="Hyperlink"/>
            <w:noProof/>
          </w:rPr>
          <w:t>Next steps</w:t>
        </w:r>
        <w:r>
          <w:rPr>
            <w:noProof/>
            <w:webHidden/>
          </w:rPr>
          <w:tab/>
        </w:r>
        <w:r>
          <w:rPr>
            <w:noProof/>
            <w:webHidden/>
          </w:rPr>
          <w:fldChar w:fldCharType="begin"/>
        </w:r>
        <w:r>
          <w:rPr>
            <w:noProof/>
            <w:webHidden/>
          </w:rPr>
          <w:instrText xml:space="preserve"> PAGEREF _Toc94702075 \h </w:instrText>
        </w:r>
        <w:r>
          <w:rPr>
            <w:noProof/>
            <w:webHidden/>
          </w:rPr>
        </w:r>
        <w:r>
          <w:rPr>
            <w:noProof/>
            <w:webHidden/>
          </w:rPr>
          <w:fldChar w:fldCharType="separate"/>
        </w:r>
        <w:r>
          <w:rPr>
            <w:noProof/>
            <w:webHidden/>
          </w:rPr>
          <w:t>96</w:t>
        </w:r>
        <w:r>
          <w:rPr>
            <w:noProof/>
            <w:webHidden/>
          </w:rPr>
          <w:fldChar w:fldCharType="end"/>
        </w:r>
      </w:hyperlink>
    </w:p>
    <w:p w14:paraId="657E17A9" w14:textId="77777777" w:rsidR="0093445A" w:rsidRDefault="0093445A">
      <w:pPr>
        <w:pStyle w:val="TOC1"/>
        <w:tabs>
          <w:tab w:val="left" w:pos="1243"/>
        </w:tabs>
        <w:rPr>
          <w:rFonts w:asciiTheme="minorHAnsi" w:eastAsiaTheme="minorEastAsia" w:hAnsiTheme="minorHAnsi"/>
          <w:noProof/>
          <w:sz w:val="22"/>
          <w:szCs w:val="22"/>
          <w:lang w:eastAsia="en-AU"/>
        </w:rPr>
      </w:pPr>
      <w:hyperlink w:anchor="_Toc94702076" w:history="1">
        <w:r w:rsidRPr="00143130">
          <w:rPr>
            <w:rStyle w:val="Hyperlink"/>
            <w:noProof/>
            <w14:scene3d>
              <w14:camera w14:prst="orthographicFront"/>
              <w14:lightRig w14:rig="threePt" w14:dir="t">
                <w14:rot w14:lat="0" w14:lon="0" w14:rev="0"/>
              </w14:lightRig>
            </w14:scene3d>
          </w:rPr>
          <w:t>Appendix A</w:t>
        </w:r>
        <w:r>
          <w:rPr>
            <w:rFonts w:asciiTheme="minorHAnsi" w:eastAsiaTheme="minorEastAsia" w:hAnsiTheme="minorHAnsi"/>
            <w:noProof/>
            <w:sz w:val="22"/>
            <w:szCs w:val="22"/>
            <w:lang w:eastAsia="en-AU"/>
          </w:rPr>
          <w:tab/>
        </w:r>
        <w:r w:rsidRPr="00143130">
          <w:rPr>
            <w:rStyle w:val="Hyperlink"/>
            <w:noProof/>
          </w:rPr>
          <w:t>Cross-country comparison</w:t>
        </w:r>
        <w:r>
          <w:rPr>
            <w:noProof/>
            <w:webHidden/>
          </w:rPr>
          <w:tab/>
        </w:r>
        <w:r>
          <w:rPr>
            <w:noProof/>
            <w:webHidden/>
          </w:rPr>
          <w:fldChar w:fldCharType="begin"/>
        </w:r>
        <w:r>
          <w:rPr>
            <w:noProof/>
            <w:webHidden/>
          </w:rPr>
          <w:instrText xml:space="preserve"> PAGEREF _Toc94702076 \h </w:instrText>
        </w:r>
        <w:r>
          <w:rPr>
            <w:noProof/>
            <w:webHidden/>
          </w:rPr>
        </w:r>
        <w:r>
          <w:rPr>
            <w:noProof/>
            <w:webHidden/>
          </w:rPr>
          <w:fldChar w:fldCharType="separate"/>
        </w:r>
        <w:r>
          <w:rPr>
            <w:noProof/>
            <w:webHidden/>
          </w:rPr>
          <w:t>97</w:t>
        </w:r>
        <w:r>
          <w:rPr>
            <w:noProof/>
            <w:webHidden/>
          </w:rPr>
          <w:fldChar w:fldCharType="end"/>
        </w:r>
      </w:hyperlink>
    </w:p>
    <w:p w14:paraId="315EA54F" w14:textId="77777777" w:rsidR="0093445A" w:rsidRDefault="0093445A">
      <w:pPr>
        <w:pStyle w:val="TOC1"/>
        <w:tabs>
          <w:tab w:val="left" w:pos="1243"/>
        </w:tabs>
        <w:rPr>
          <w:rFonts w:asciiTheme="minorHAnsi" w:eastAsiaTheme="minorEastAsia" w:hAnsiTheme="minorHAnsi"/>
          <w:noProof/>
          <w:sz w:val="22"/>
          <w:szCs w:val="22"/>
          <w:lang w:eastAsia="en-AU"/>
        </w:rPr>
      </w:pPr>
      <w:hyperlink w:anchor="_Toc94702077" w:history="1">
        <w:r w:rsidRPr="00143130">
          <w:rPr>
            <w:rStyle w:val="Hyperlink"/>
            <w:noProof/>
            <w14:scene3d>
              <w14:camera w14:prst="orthographicFront"/>
              <w14:lightRig w14:rig="threePt" w14:dir="t">
                <w14:rot w14:lat="0" w14:lon="0" w14:rev="0"/>
              </w14:lightRig>
            </w14:scene3d>
          </w:rPr>
          <w:t>Appendix B</w:t>
        </w:r>
        <w:r>
          <w:rPr>
            <w:rFonts w:asciiTheme="minorHAnsi" w:eastAsiaTheme="minorEastAsia" w:hAnsiTheme="minorHAnsi"/>
            <w:noProof/>
            <w:sz w:val="22"/>
            <w:szCs w:val="22"/>
            <w:lang w:eastAsia="en-AU"/>
          </w:rPr>
          <w:tab/>
        </w:r>
        <w:r w:rsidRPr="00143130">
          <w:rPr>
            <w:rStyle w:val="Hyperlink"/>
            <w:noProof/>
          </w:rPr>
          <w:t>Indicator framework</w:t>
        </w:r>
        <w:r>
          <w:rPr>
            <w:noProof/>
            <w:webHidden/>
          </w:rPr>
          <w:tab/>
        </w:r>
        <w:r>
          <w:rPr>
            <w:noProof/>
            <w:webHidden/>
          </w:rPr>
          <w:fldChar w:fldCharType="begin"/>
        </w:r>
        <w:r>
          <w:rPr>
            <w:noProof/>
            <w:webHidden/>
          </w:rPr>
          <w:instrText xml:space="preserve"> PAGEREF _Toc94702077 \h </w:instrText>
        </w:r>
        <w:r>
          <w:rPr>
            <w:noProof/>
            <w:webHidden/>
          </w:rPr>
        </w:r>
        <w:r>
          <w:rPr>
            <w:noProof/>
            <w:webHidden/>
          </w:rPr>
          <w:fldChar w:fldCharType="separate"/>
        </w:r>
        <w:r>
          <w:rPr>
            <w:noProof/>
            <w:webHidden/>
          </w:rPr>
          <w:t>100</w:t>
        </w:r>
        <w:r>
          <w:rPr>
            <w:noProof/>
            <w:webHidden/>
          </w:rPr>
          <w:fldChar w:fldCharType="end"/>
        </w:r>
      </w:hyperlink>
    </w:p>
    <w:p w14:paraId="16F8854B" w14:textId="77777777" w:rsidR="0093445A" w:rsidRDefault="0093445A">
      <w:pPr>
        <w:pStyle w:val="TOC1"/>
        <w:tabs>
          <w:tab w:val="left" w:pos="1246"/>
        </w:tabs>
        <w:rPr>
          <w:rFonts w:asciiTheme="minorHAnsi" w:eastAsiaTheme="minorEastAsia" w:hAnsiTheme="minorHAnsi"/>
          <w:noProof/>
          <w:sz w:val="22"/>
          <w:szCs w:val="22"/>
          <w:lang w:eastAsia="en-AU"/>
        </w:rPr>
      </w:pPr>
      <w:hyperlink w:anchor="_Toc94702078" w:history="1">
        <w:r w:rsidRPr="00143130">
          <w:rPr>
            <w:rStyle w:val="Hyperlink"/>
            <w:noProof/>
            <w:lang w:eastAsia="en-AU"/>
            <w14:scene3d>
              <w14:camera w14:prst="orthographicFront"/>
              <w14:lightRig w14:rig="threePt" w14:dir="t">
                <w14:rot w14:lat="0" w14:lon="0" w14:rev="0"/>
              </w14:lightRig>
            </w14:scene3d>
          </w:rPr>
          <w:t>Appendix C</w:t>
        </w:r>
        <w:r>
          <w:rPr>
            <w:rFonts w:asciiTheme="minorHAnsi" w:eastAsiaTheme="minorEastAsia" w:hAnsiTheme="minorHAnsi"/>
            <w:noProof/>
            <w:sz w:val="22"/>
            <w:szCs w:val="22"/>
            <w:lang w:eastAsia="en-AU"/>
          </w:rPr>
          <w:tab/>
        </w:r>
        <w:r w:rsidRPr="00143130">
          <w:rPr>
            <w:rStyle w:val="Hyperlink"/>
            <w:noProof/>
            <w:lang w:eastAsia="en-AU"/>
          </w:rPr>
          <w:t>Program logic and approach</w:t>
        </w:r>
        <w:r>
          <w:rPr>
            <w:noProof/>
            <w:webHidden/>
          </w:rPr>
          <w:tab/>
        </w:r>
        <w:r>
          <w:rPr>
            <w:noProof/>
            <w:webHidden/>
          </w:rPr>
          <w:fldChar w:fldCharType="begin"/>
        </w:r>
        <w:r>
          <w:rPr>
            <w:noProof/>
            <w:webHidden/>
          </w:rPr>
          <w:instrText xml:space="preserve"> PAGEREF _Toc94702078 \h </w:instrText>
        </w:r>
        <w:r>
          <w:rPr>
            <w:noProof/>
            <w:webHidden/>
          </w:rPr>
        </w:r>
        <w:r>
          <w:rPr>
            <w:noProof/>
            <w:webHidden/>
          </w:rPr>
          <w:fldChar w:fldCharType="separate"/>
        </w:r>
        <w:r>
          <w:rPr>
            <w:noProof/>
            <w:webHidden/>
          </w:rPr>
          <w:t>105</w:t>
        </w:r>
        <w:r>
          <w:rPr>
            <w:noProof/>
            <w:webHidden/>
          </w:rPr>
          <w:fldChar w:fldCharType="end"/>
        </w:r>
      </w:hyperlink>
    </w:p>
    <w:p w14:paraId="571E4D8F" w14:textId="77777777" w:rsidR="0093445A" w:rsidRDefault="0093445A">
      <w:pPr>
        <w:pStyle w:val="TOC2"/>
        <w:tabs>
          <w:tab w:val="left" w:pos="1158"/>
        </w:tabs>
        <w:rPr>
          <w:rFonts w:asciiTheme="minorHAnsi" w:eastAsiaTheme="minorEastAsia" w:hAnsiTheme="minorHAnsi"/>
          <w:noProof/>
          <w:sz w:val="22"/>
          <w:szCs w:val="22"/>
          <w:lang w:eastAsia="en-AU"/>
        </w:rPr>
      </w:pPr>
      <w:hyperlink w:anchor="_Toc94702079" w:history="1">
        <w:r w:rsidRPr="00143130">
          <w:rPr>
            <w:rStyle w:val="Hyperlink"/>
            <w:noProof/>
          </w:rPr>
          <w:t>C.1.</w:t>
        </w:r>
        <w:r>
          <w:rPr>
            <w:rFonts w:asciiTheme="minorHAnsi" w:eastAsiaTheme="minorEastAsia" w:hAnsiTheme="minorHAnsi"/>
            <w:noProof/>
            <w:sz w:val="22"/>
            <w:szCs w:val="22"/>
            <w:lang w:eastAsia="en-AU"/>
          </w:rPr>
          <w:tab/>
        </w:r>
        <w:r w:rsidRPr="00143130">
          <w:rPr>
            <w:rStyle w:val="Hyperlink"/>
            <w:noProof/>
          </w:rPr>
          <w:t>Program logic</w:t>
        </w:r>
        <w:r>
          <w:rPr>
            <w:noProof/>
            <w:webHidden/>
          </w:rPr>
          <w:tab/>
        </w:r>
        <w:r>
          <w:rPr>
            <w:noProof/>
            <w:webHidden/>
          </w:rPr>
          <w:fldChar w:fldCharType="begin"/>
        </w:r>
        <w:r>
          <w:rPr>
            <w:noProof/>
            <w:webHidden/>
          </w:rPr>
          <w:instrText xml:space="preserve"> PAGEREF _Toc94702079 \h </w:instrText>
        </w:r>
        <w:r>
          <w:rPr>
            <w:noProof/>
            <w:webHidden/>
          </w:rPr>
        </w:r>
        <w:r>
          <w:rPr>
            <w:noProof/>
            <w:webHidden/>
          </w:rPr>
          <w:fldChar w:fldCharType="separate"/>
        </w:r>
        <w:r>
          <w:rPr>
            <w:noProof/>
            <w:webHidden/>
          </w:rPr>
          <w:t>105</w:t>
        </w:r>
        <w:r>
          <w:rPr>
            <w:noProof/>
            <w:webHidden/>
          </w:rPr>
          <w:fldChar w:fldCharType="end"/>
        </w:r>
      </w:hyperlink>
    </w:p>
    <w:p w14:paraId="40925372" w14:textId="77777777" w:rsidR="0093445A" w:rsidRDefault="0093445A">
      <w:pPr>
        <w:pStyle w:val="TOC2"/>
        <w:tabs>
          <w:tab w:val="left" w:pos="1158"/>
        </w:tabs>
        <w:rPr>
          <w:rFonts w:asciiTheme="minorHAnsi" w:eastAsiaTheme="minorEastAsia" w:hAnsiTheme="minorHAnsi"/>
          <w:noProof/>
          <w:sz w:val="22"/>
          <w:szCs w:val="22"/>
          <w:lang w:eastAsia="en-AU"/>
        </w:rPr>
      </w:pPr>
      <w:hyperlink w:anchor="_Toc94702080" w:history="1">
        <w:r w:rsidRPr="00143130">
          <w:rPr>
            <w:rStyle w:val="Hyperlink"/>
            <w:noProof/>
          </w:rPr>
          <w:t>C.2.</w:t>
        </w:r>
        <w:r>
          <w:rPr>
            <w:rFonts w:asciiTheme="minorHAnsi" w:eastAsiaTheme="minorEastAsia" w:hAnsiTheme="minorHAnsi"/>
            <w:noProof/>
            <w:sz w:val="22"/>
            <w:szCs w:val="22"/>
            <w:lang w:eastAsia="en-AU"/>
          </w:rPr>
          <w:tab/>
        </w:r>
        <w:r w:rsidRPr="00143130">
          <w:rPr>
            <w:rStyle w:val="Hyperlink"/>
            <w:noProof/>
          </w:rPr>
          <w:t>Submissions</w:t>
        </w:r>
        <w:r>
          <w:rPr>
            <w:noProof/>
            <w:webHidden/>
          </w:rPr>
          <w:tab/>
        </w:r>
        <w:r>
          <w:rPr>
            <w:noProof/>
            <w:webHidden/>
          </w:rPr>
          <w:fldChar w:fldCharType="begin"/>
        </w:r>
        <w:r>
          <w:rPr>
            <w:noProof/>
            <w:webHidden/>
          </w:rPr>
          <w:instrText xml:space="preserve"> PAGEREF _Toc94702080 \h </w:instrText>
        </w:r>
        <w:r>
          <w:rPr>
            <w:noProof/>
            <w:webHidden/>
          </w:rPr>
        </w:r>
        <w:r>
          <w:rPr>
            <w:noProof/>
            <w:webHidden/>
          </w:rPr>
          <w:fldChar w:fldCharType="separate"/>
        </w:r>
        <w:r>
          <w:rPr>
            <w:noProof/>
            <w:webHidden/>
          </w:rPr>
          <w:t>105</w:t>
        </w:r>
        <w:r>
          <w:rPr>
            <w:noProof/>
            <w:webHidden/>
          </w:rPr>
          <w:fldChar w:fldCharType="end"/>
        </w:r>
      </w:hyperlink>
    </w:p>
    <w:p w14:paraId="489816DA" w14:textId="77777777" w:rsidR="0093445A" w:rsidRDefault="0093445A">
      <w:pPr>
        <w:pStyle w:val="TOC2"/>
        <w:tabs>
          <w:tab w:val="left" w:pos="1158"/>
        </w:tabs>
        <w:rPr>
          <w:rFonts w:asciiTheme="minorHAnsi" w:eastAsiaTheme="minorEastAsia" w:hAnsiTheme="minorHAnsi"/>
          <w:noProof/>
          <w:sz w:val="22"/>
          <w:szCs w:val="22"/>
          <w:lang w:eastAsia="en-AU"/>
        </w:rPr>
      </w:pPr>
      <w:hyperlink w:anchor="_Toc94702081" w:history="1">
        <w:r w:rsidRPr="00143130">
          <w:rPr>
            <w:rStyle w:val="Hyperlink"/>
            <w:noProof/>
          </w:rPr>
          <w:t>C.3.</w:t>
        </w:r>
        <w:r>
          <w:rPr>
            <w:rFonts w:asciiTheme="minorHAnsi" w:eastAsiaTheme="minorEastAsia" w:hAnsiTheme="minorHAnsi"/>
            <w:noProof/>
            <w:sz w:val="22"/>
            <w:szCs w:val="22"/>
            <w:lang w:eastAsia="en-AU"/>
          </w:rPr>
          <w:tab/>
        </w:r>
        <w:r w:rsidRPr="00143130">
          <w:rPr>
            <w:rStyle w:val="Hyperlink"/>
            <w:noProof/>
          </w:rPr>
          <w:t>Consumer survey</w:t>
        </w:r>
        <w:r>
          <w:rPr>
            <w:noProof/>
            <w:webHidden/>
          </w:rPr>
          <w:tab/>
        </w:r>
        <w:r>
          <w:rPr>
            <w:noProof/>
            <w:webHidden/>
          </w:rPr>
          <w:fldChar w:fldCharType="begin"/>
        </w:r>
        <w:r>
          <w:rPr>
            <w:noProof/>
            <w:webHidden/>
          </w:rPr>
          <w:instrText xml:space="preserve"> PAGEREF _Toc94702081 \h </w:instrText>
        </w:r>
        <w:r>
          <w:rPr>
            <w:noProof/>
            <w:webHidden/>
          </w:rPr>
        </w:r>
        <w:r>
          <w:rPr>
            <w:noProof/>
            <w:webHidden/>
          </w:rPr>
          <w:fldChar w:fldCharType="separate"/>
        </w:r>
        <w:r>
          <w:rPr>
            <w:noProof/>
            <w:webHidden/>
          </w:rPr>
          <w:t>106</w:t>
        </w:r>
        <w:r>
          <w:rPr>
            <w:noProof/>
            <w:webHidden/>
          </w:rPr>
          <w:fldChar w:fldCharType="end"/>
        </w:r>
      </w:hyperlink>
    </w:p>
    <w:p w14:paraId="0DB18C41" w14:textId="77777777" w:rsidR="0093445A" w:rsidRDefault="0093445A">
      <w:pPr>
        <w:pStyle w:val="TOC2"/>
        <w:tabs>
          <w:tab w:val="left" w:pos="1158"/>
        </w:tabs>
        <w:rPr>
          <w:rFonts w:asciiTheme="minorHAnsi" w:eastAsiaTheme="minorEastAsia" w:hAnsiTheme="minorHAnsi"/>
          <w:noProof/>
          <w:sz w:val="22"/>
          <w:szCs w:val="22"/>
          <w:lang w:eastAsia="en-AU"/>
        </w:rPr>
      </w:pPr>
      <w:hyperlink w:anchor="_Toc94702082" w:history="1">
        <w:r w:rsidRPr="00143130">
          <w:rPr>
            <w:rStyle w:val="Hyperlink"/>
            <w:noProof/>
          </w:rPr>
          <w:t>C.4.</w:t>
        </w:r>
        <w:r>
          <w:rPr>
            <w:rFonts w:asciiTheme="minorHAnsi" w:eastAsiaTheme="minorEastAsia" w:hAnsiTheme="minorHAnsi"/>
            <w:noProof/>
            <w:sz w:val="22"/>
            <w:szCs w:val="22"/>
            <w:lang w:eastAsia="en-AU"/>
          </w:rPr>
          <w:tab/>
        </w:r>
        <w:r w:rsidRPr="00143130">
          <w:rPr>
            <w:rStyle w:val="Hyperlink"/>
            <w:noProof/>
          </w:rPr>
          <w:t>Business survey</w:t>
        </w:r>
        <w:r>
          <w:rPr>
            <w:noProof/>
            <w:webHidden/>
          </w:rPr>
          <w:tab/>
        </w:r>
        <w:r>
          <w:rPr>
            <w:noProof/>
            <w:webHidden/>
          </w:rPr>
          <w:fldChar w:fldCharType="begin"/>
        </w:r>
        <w:r>
          <w:rPr>
            <w:noProof/>
            <w:webHidden/>
          </w:rPr>
          <w:instrText xml:space="preserve"> PAGEREF _Toc94702082 \h </w:instrText>
        </w:r>
        <w:r>
          <w:rPr>
            <w:noProof/>
            <w:webHidden/>
          </w:rPr>
        </w:r>
        <w:r>
          <w:rPr>
            <w:noProof/>
            <w:webHidden/>
          </w:rPr>
          <w:fldChar w:fldCharType="separate"/>
        </w:r>
        <w:r>
          <w:rPr>
            <w:noProof/>
            <w:webHidden/>
          </w:rPr>
          <w:t>108</w:t>
        </w:r>
        <w:r>
          <w:rPr>
            <w:noProof/>
            <w:webHidden/>
          </w:rPr>
          <w:fldChar w:fldCharType="end"/>
        </w:r>
      </w:hyperlink>
    </w:p>
    <w:p w14:paraId="6F5E5208" w14:textId="77777777" w:rsidR="0093445A" w:rsidRDefault="0093445A">
      <w:pPr>
        <w:pStyle w:val="TOC2"/>
        <w:tabs>
          <w:tab w:val="left" w:pos="1158"/>
        </w:tabs>
        <w:rPr>
          <w:rFonts w:asciiTheme="minorHAnsi" w:eastAsiaTheme="minorEastAsia" w:hAnsiTheme="minorHAnsi"/>
          <w:noProof/>
          <w:sz w:val="22"/>
          <w:szCs w:val="22"/>
          <w:lang w:eastAsia="en-AU"/>
        </w:rPr>
      </w:pPr>
      <w:hyperlink w:anchor="_Toc94702083" w:history="1">
        <w:r w:rsidRPr="00143130">
          <w:rPr>
            <w:rStyle w:val="Hyperlink"/>
            <w:noProof/>
          </w:rPr>
          <w:t>C.5.</w:t>
        </w:r>
        <w:r>
          <w:rPr>
            <w:rFonts w:asciiTheme="minorHAnsi" w:eastAsiaTheme="minorEastAsia" w:hAnsiTheme="minorHAnsi"/>
            <w:noProof/>
            <w:sz w:val="22"/>
            <w:szCs w:val="22"/>
            <w:lang w:eastAsia="en-AU"/>
          </w:rPr>
          <w:tab/>
        </w:r>
        <w:r w:rsidRPr="00143130">
          <w:rPr>
            <w:rStyle w:val="Hyperlink"/>
            <w:noProof/>
          </w:rPr>
          <w:t>Consumer focus groups: potential limitations</w:t>
        </w:r>
        <w:r>
          <w:rPr>
            <w:noProof/>
            <w:webHidden/>
          </w:rPr>
          <w:tab/>
        </w:r>
        <w:r>
          <w:rPr>
            <w:noProof/>
            <w:webHidden/>
          </w:rPr>
          <w:fldChar w:fldCharType="begin"/>
        </w:r>
        <w:r>
          <w:rPr>
            <w:noProof/>
            <w:webHidden/>
          </w:rPr>
          <w:instrText xml:space="preserve"> PAGEREF _Toc94702083 \h </w:instrText>
        </w:r>
        <w:r>
          <w:rPr>
            <w:noProof/>
            <w:webHidden/>
          </w:rPr>
        </w:r>
        <w:r>
          <w:rPr>
            <w:noProof/>
            <w:webHidden/>
          </w:rPr>
          <w:fldChar w:fldCharType="separate"/>
        </w:r>
        <w:r>
          <w:rPr>
            <w:noProof/>
            <w:webHidden/>
          </w:rPr>
          <w:t>111</w:t>
        </w:r>
        <w:r>
          <w:rPr>
            <w:noProof/>
            <w:webHidden/>
          </w:rPr>
          <w:fldChar w:fldCharType="end"/>
        </w:r>
      </w:hyperlink>
    </w:p>
    <w:p w14:paraId="107DF47F" w14:textId="77777777" w:rsidR="0093445A" w:rsidRDefault="0093445A">
      <w:pPr>
        <w:pStyle w:val="TOC2"/>
        <w:tabs>
          <w:tab w:val="left" w:pos="1158"/>
        </w:tabs>
        <w:rPr>
          <w:rFonts w:asciiTheme="minorHAnsi" w:eastAsiaTheme="minorEastAsia" w:hAnsiTheme="minorHAnsi"/>
          <w:noProof/>
          <w:sz w:val="22"/>
          <w:szCs w:val="22"/>
          <w:lang w:eastAsia="en-AU"/>
        </w:rPr>
      </w:pPr>
      <w:hyperlink w:anchor="_Toc94702084" w:history="1">
        <w:r w:rsidRPr="00143130">
          <w:rPr>
            <w:rStyle w:val="Hyperlink"/>
            <w:bCs/>
            <w:noProof/>
          </w:rPr>
          <w:t>C.6.</w:t>
        </w:r>
        <w:r>
          <w:rPr>
            <w:rFonts w:asciiTheme="minorHAnsi" w:eastAsiaTheme="minorEastAsia" w:hAnsiTheme="minorHAnsi"/>
            <w:noProof/>
            <w:sz w:val="22"/>
            <w:szCs w:val="22"/>
            <w:lang w:eastAsia="en-AU"/>
          </w:rPr>
          <w:tab/>
        </w:r>
        <w:r w:rsidRPr="00143130">
          <w:rPr>
            <w:rStyle w:val="Hyperlink"/>
            <w:noProof/>
          </w:rPr>
          <w:t>Shopper interviews</w:t>
        </w:r>
        <w:r>
          <w:rPr>
            <w:noProof/>
            <w:webHidden/>
          </w:rPr>
          <w:tab/>
        </w:r>
        <w:r>
          <w:rPr>
            <w:noProof/>
            <w:webHidden/>
          </w:rPr>
          <w:fldChar w:fldCharType="begin"/>
        </w:r>
        <w:r>
          <w:rPr>
            <w:noProof/>
            <w:webHidden/>
          </w:rPr>
          <w:instrText xml:space="preserve"> PAGEREF _Toc94702084 \h </w:instrText>
        </w:r>
        <w:r>
          <w:rPr>
            <w:noProof/>
            <w:webHidden/>
          </w:rPr>
        </w:r>
        <w:r>
          <w:rPr>
            <w:noProof/>
            <w:webHidden/>
          </w:rPr>
          <w:fldChar w:fldCharType="separate"/>
        </w:r>
        <w:r>
          <w:rPr>
            <w:noProof/>
            <w:webHidden/>
          </w:rPr>
          <w:t>111</w:t>
        </w:r>
        <w:r>
          <w:rPr>
            <w:noProof/>
            <w:webHidden/>
          </w:rPr>
          <w:fldChar w:fldCharType="end"/>
        </w:r>
      </w:hyperlink>
    </w:p>
    <w:p w14:paraId="4B195BB7" w14:textId="77777777" w:rsidR="0093445A" w:rsidRDefault="0093445A">
      <w:pPr>
        <w:pStyle w:val="TOC2"/>
        <w:tabs>
          <w:tab w:val="left" w:pos="1158"/>
        </w:tabs>
        <w:rPr>
          <w:rFonts w:asciiTheme="minorHAnsi" w:eastAsiaTheme="minorEastAsia" w:hAnsiTheme="minorHAnsi"/>
          <w:noProof/>
          <w:sz w:val="22"/>
          <w:szCs w:val="22"/>
          <w:lang w:eastAsia="en-AU"/>
        </w:rPr>
      </w:pPr>
      <w:hyperlink w:anchor="_Toc94702085" w:history="1">
        <w:r w:rsidRPr="00143130">
          <w:rPr>
            <w:rStyle w:val="Hyperlink"/>
            <w:noProof/>
          </w:rPr>
          <w:t>C.7.</w:t>
        </w:r>
        <w:r>
          <w:rPr>
            <w:rFonts w:asciiTheme="minorHAnsi" w:eastAsiaTheme="minorEastAsia" w:hAnsiTheme="minorHAnsi"/>
            <w:noProof/>
            <w:sz w:val="22"/>
            <w:szCs w:val="22"/>
            <w:lang w:eastAsia="en-AU"/>
          </w:rPr>
          <w:tab/>
        </w:r>
        <w:r w:rsidRPr="00143130">
          <w:rPr>
            <w:rStyle w:val="Hyperlink"/>
            <w:noProof/>
          </w:rPr>
          <w:t>CBA analysis</w:t>
        </w:r>
        <w:r>
          <w:rPr>
            <w:noProof/>
            <w:webHidden/>
          </w:rPr>
          <w:tab/>
        </w:r>
        <w:r>
          <w:rPr>
            <w:noProof/>
            <w:webHidden/>
          </w:rPr>
          <w:fldChar w:fldCharType="begin"/>
        </w:r>
        <w:r>
          <w:rPr>
            <w:noProof/>
            <w:webHidden/>
          </w:rPr>
          <w:instrText xml:space="preserve"> PAGEREF _Toc94702085 \h </w:instrText>
        </w:r>
        <w:r>
          <w:rPr>
            <w:noProof/>
            <w:webHidden/>
          </w:rPr>
        </w:r>
        <w:r>
          <w:rPr>
            <w:noProof/>
            <w:webHidden/>
          </w:rPr>
          <w:fldChar w:fldCharType="separate"/>
        </w:r>
        <w:r>
          <w:rPr>
            <w:noProof/>
            <w:webHidden/>
          </w:rPr>
          <w:t>113</w:t>
        </w:r>
        <w:r>
          <w:rPr>
            <w:noProof/>
            <w:webHidden/>
          </w:rPr>
          <w:fldChar w:fldCharType="end"/>
        </w:r>
      </w:hyperlink>
    </w:p>
    <w:p w14:paraId="26E0626F" w14:textId="77777777" w:rsidR="0093445A" w:rsidRDefault="0093445A">
      <w:pPr>
        <w:pStyle w:val="TOC1"/>
        <w:tabs>
          <w:tab w:val="left" w:pos="1259"/>
        </w:tabs>
        <w:rPr>
          <w:rFonts w:asciiTheme="minorHAnsi" w:eastAsiaTheme="minorEastAsia" w:hAnsiTheme="minorHAnsi"/>
          <w:noProof/>
          <w:sz w:val="22"/>
          <w:szCs w:val="22"/>
          <w:lang w:eastAsia="en-AU"/>
        </w:rPr>
      </w:pPr>
      <w:hyperlink w:anchor="_Toc94702086" w:history="1">
        <w:r w:rsidRPr="00143130">
          <w:rPr>
            <w:rStyle w:val="Hyperlink"/>
            <w:noProof/>
            <w14:scene3d>
              <w14:camera w14:prst="orthographicFront"/>
              <w14:lightRig w14:rig="threePt" w14:dir="t">
                <w14:rot w14:lat="0" w14:lon="0" w14:rev="0"/>
              </w14:lightRig>
            </w14:scene3d>
          </w:rPr>
          <w:t>Appendix D</w:t>
        </w:r>
        <w:r>
          <w:rPr>
            <w:rFonts w:asciiTheme="minorHAnsi" w:eastAsiaTheme="minorEastAsia" w:hAnsiTheme="minorHAnsi"/>
            <w:noProof/>
            <w:sz w:val="22"/>
            <w:szCs w:val="22"/>
            <w:lang w:eastAsia="en-AU"/>
          </w:rPr>
          <w:tab/>
        </w:r>
        <w:r w:rsidRPr="00143130">
          <w:rPr>
            <w:rStyle w:val="Hyperlink"/>
            <w:noProof/>
          </w:rPr>
          <w:t>Definitions</w:t>
        </w:r>
        <w:r>
          <w:rPr>
            <w:noProof/>
            <w:webHidden/>
          </w:rPr>
          <w:tab/>
        </w:r>
        <w:r>
          <w:rPr>
            <w:noProof/>
            <w:webHidden/>
          </w:rPr>
          <w:fldChar w:fldCharType="begin"/>
        </w:r>
        <w:r>
          <w:rPr>
            <w:noProof/>
            <w:webHidden/>
          </w:rPr>
          <w:instrText xml:space="preserve"> PAGEREF _Toc94702086 \h </w:instrText>
        </w:r>
        <w:r>
          <w:rPr>
            <w:noProof/>
            <w:webHidden/>
          </w:rPr>
        </w:r>
        <w:r>
          <w:rPr>
            <w:noProof/>
            <w:webHidden/>
          </w:rPr>
          <w:fldChar w:fldCharType="separate"/>
        </w:r>
        <w:r>
          <w:rPr>
            <w:noProof/>
            <w:webHidden/>
          </w:rPr>
          <w:t>114</w:t>
        </w:r>
        <w:r>
          <w:rPr>
            <w:noProof/>
            <w:webHidden/>
          </w:rPr>
          <w:fldChar w:fldCharType="end"/>
        </w:r>
      </w:hyperlink>
    </w:p>
    <w:p w14:paraId="092D05D5" w14:textId="77777777" w:rsidR="0093445A" w:rsidRDefault="0093445A">
      <w:pPr>
        <w:pStyle w:val="TOC1"/>
        <w:tabs>
          <w:tab w:val="left" w:pos="1234"/>
        </w:tabs>
        <w:rPr>
          <w:rFonts w:asciiTheme="minorHAnsi" w:eastAsiaTheme="minorEastAsia" w:hAnsiTheme="minorHAnsi"/>
          <w:noProof/>
          <w:sz w:val="22"/>
          <w:szCs w:val="22"/>
          <w:lang w:eastAsia="en-AU"/>
        </w:rPr>
      </w:pPr>
      <w:hyperlink w:anchor="_Toc94702087" w:history="1">
        <w:r w:rsidRPr="00143130">
          <w:rPr>
            <w:rStyle w:val="Hyperlink"/>
            <w:noProof/>
            <w14:scene3d>
              <w14:camera w14:prst="orthographicFront"/>
              <w14:lightRig w14:rig="threePt" w14:dir="t">
                <w14:rot w14:lat="0" w14:lon="0" w14:rev="0"/>
              </w14:lightRig>
            </w14:scene3d>
          </w:rPr>
          <w:t>Appendix E</w:t>
        </w:r>
        <w:r>
          <w:rPr>
            <w:rFonts w:asciiTheme="minorHAnsi" w:eastAsiaTheme="minorEastAsia" w:hAnsiTheme="minorHAnsi"/>
            <w:noProof/>
            <w:sz w:val="22"/>
            <w:szCs w:val="22"/>
            <w:lang w:eastAsia="en-AU"/>
          </w:rPr>
          <w:tab/>
        </w:r>
        <w:r w:rsidRPr="00143130">
          <w:rPr>
            <w:rStyle w:val="Hyperlink"/>
            <w:noProof/>
          </w:rPr>
          <w:t>Key findings</w:t>
        </w:r>
        <w:r>
          <w:rPr>
            <w:noProof/>
            <w:webHidden/>
          </w:rPr>
          <w:tab/>
        </w:r>
        <w:r>
          <w:rPr>
            <w:noProof/>
            <w:webHidden/>
          </w:rPr>
          <w:fldChar w:fldCharType="begin"/>
        </w:r>
        <w:r>
          <w:rPr>
            <w:noProof/>
            <w:webHidden/>
          </w:rPr>
          <w:instrText xml:space="preserve"> PAGEREF _Toc94702087 \h </w:instrText>
        </w:r>
        <w:r>
          <w:rPr>
            <w:noProof/>
            <w:webHidden/>
          </w:rPr>
        </w:r>
        <w:r>
          <w:rPr>
            <w:noProof/>
            <w:webHidden/>
          </w:rPr>
          <w:fldChar w:fldCharType="separate"/>
        </w:r>
        <w:r>
          <w:rPr>
            <w:noProof/>
            <w:webHidden/>
          </w:rPr>
          <w:t>115</w:t>
        </w:r>
        <w:r>
          <w:rPr>
            <w:noProof/>
            <w:webHidden/>
          </w:rPr>
          <w:fldChar w:fldCharType="end"/>
        </w:r>
      </w:hyperlink>
    </w:p>
    <w:p w14:paraId="1F457720" w14:textId="77777777" w:rsidR="0093445A" w:rsidRDefault="0093445A">
      <w:pPr>
        <w:pStyle w:val="TOC1"/>
        <w:rPr>
          <w:rFonts w:asciiTheme="minorHAnsi" w:eastAsiaTheme="minorEastAsia" w:hAnsiTheme="minorHAnsi"/>
          <w:noProof/>
          <w:sz w:val="22"/>
          <w:szCs w:val="22"/>
          <w:lang w:eastAsia="en-AU"/>
        </w:rPr>
      </w:pPr>
      <w:hyperlink w:anchor="_Toc94702088" w:history="1">
        <w:r w:rsidRPr="00143130">
          <w:rPr>
            <w:rStyle w:val="Hyperlink"/>
            <w:noProof/>
            <w:lang w:eastAsia="en-AU"/>
          </w:rPr>
          <w:t>Limitation of our work</w:t>
        </w:r>
        <w:r>
          <w:rPr>
            <w:noProof/>
            <w:webHidden/>
          </w:rPr>
          <w:tab/>
        </w:r>
        <w:r>
          <w:rPr>
            <w:noProof/>
            <w:webHidden/>
          </w:rPr>
          <w:fldChar w:fldCharType="begin"/>
        </w:r>
        <w:r>
          <w:rPr>
            <w:noProof/>
            <w:webHidden/>
          </w:rPr>
          <w:instrText xml:space="preserve"> PAGEREF _Toc94702088 \h </w:instrText>
        </w:r>
        <w:r>
          <w:rPr>
            <w:noProof/>
            <w:webHidden/>
          </w:rPr>
        </w:r>
        <w:r>
          <w:rPr>
            <w:noProof/>
            <w:webHidden/>
          </w:rPr>
          <w:fldChar w:fldCharType="separate"/>
        </w:r>
        <w:r>
          <w:rPr>
            <w:noProof/>
            <w:webHidden/>
          </w:rPr>
          <w:t>122</w:t>
        </w:r>
        <w:r>
          <w:rPr>
            <w:noProof/>
            <w:webHidden/>
          </w:rPr>
          <w:fldChar w:fldCharType="end"/>
        </w:r>
      </w:hyperlink>
    </w:p>
    <w:p w14:paraId="46F7C9B0" w14:textId="77777777" w:rsidR="0093445A" w:rsidRDefault="0093445A">
      <w:pPr>
        <w:pStyle w:val="TOC2"/>
        <w:rPr>
          <w:rFonts w:asciiTheme="minorHAnsi" w:eastAsiaTheme="minorEastAsia" w:hAnsiTheme="minorHAnsi"/>
          <w:noProof/>
          <w:sz w:val="22"/>
          <w:szCs w:val="22"/>
          <w:lang w:eastAsia="en-AU"/>
        </w:rPr>
      </w:pPr>
      <w:hyperlink w:anchor="_Toc94702089" w:history="1">
        <w:r w:rsidRPr="00143130">
          <w:rPr>
            <w:rStyle w:val="Hyperlink"/>
            <w:noProof/>
          </w:rPr>
          <w:t>General use restriction</w:t>
        </w:r>
        <w:r>
          <w:rPr>
            <w:noProof/>
            <w:webHidden/>
          </w:rPr>
          <w:tab/>
        </w:r>
        <w:r>
          <w:rPr>
            <w:noProof/>
            <w:webHidden/>
          </w:rPr>
          <w:fldChar w:fldCharType="begin"/>
        </w:r>
        <w:r>
          <w:rPr>
            <w:noProof/>
            <w:webHidden/>
          </w:rPr>
          <w:instrText xml:space="preserve"> PAGEREF _Toc94702089 \h </w:instrText>
        </w:r>
        <w:r>
          <w:rPr>
            <w:noProof/>
            <w:webHidden/>
          </w:rPr>
        </w:r>
        <w:r>
          <w:rPr>
            <w:noProof/>
            <w:webHidden/>
          </w:rPr>
          <w:fldChar w:fldCharType="separate"/>
        </w:r>
        <w:r>
          <w:rPr>
            <w:noProof/>
            <w:webHidden/>
          </w:rPr>
          <w:t>122</w:t>
        </w:r>
        <w:r>
          <w:rPr>
            <w:noProof/>
            <w:webHidden/>
          </w:rPr>
          <w:fldChar w:fldCharType="end"/>
        </w:r>
      </w:hyperlink>
    </w:p>
    <w:p w14:paraId="5A566D47" w14:textId="1B72AB9A" w:rsidR="00315C25" w:rsidRPr="005D4236" w:rsidRDefault="00204968" w:rsidP="002268CC">
      <w:r w:rsidRPr="005D4236">
        <w:rPr>
          <w:shd w:val="clear" w:color="auto" w:fill="E6E6E6"/>
        </w:rPr>
        <w:fldChar w:fldCharType="end"/>
      </w:r>
    </w:p>
    <w:p w14:paraId="59A794B2" w14:textId="77777777" w:rsidR="00A6563E" w:rsidRPr="005D4236" w:rsidRDefault="00A6563E" w:rsidP="00FC6122">
      <w:pPr>
        <w:sectPr w:rsidR="00A6563E" w:rsidRPr="005D4236" w:rsidSect="005F043A">
          <w:headerReference w:type="even" r:id="rId16"/>
          <w:headerReference w:type="default" r:id="rId17"/>
          <w:footerReference w:type="default" r:id="rId18"/>
          <w:headerReference w:type="first" r:id="rId19"/>
          <w:pgSz w:w="11906" w:h="16838" w:code="9"/>
          <w:pgMar w:top="1440" w:right="1440" w:bottom="1440" w:left="1440" w:header="680" w:footer="425" w:gutter="0"/>
          <w:cols w:space="284"/>
          <w:noEndnote/>
          <w:docGrid w:linePitch="360"/>
        </w:sectPr>
      </w:pPr>
    </w:p>
    <w:p w14:paraId="0D00658E" w14:textId="77777777" w:rsidR="00FC6122" w:rsidRPr="005D4236" w:rsidRDefault="00FC6122" w:rsidP="0040128B">
      <w:pPr>
        <w:pStyle w:val="TOCHeading"/>
        <w:outlineLvl w:val="0"/>
      </w:pPr>
      <w:bookmarkStart w:id="2" w:name="_Hlk482167878"/>
      <w:r w:rsidRPr="005D4236">
        <w:lastRenderedPageBreak/>
        <w:t>Charts</w:t>
      </w:r>
    </w:p>
    <w:p w14:paraId="7A7CD109" w14:textId="24BFF88A" w:rsidR="00952C58" w:rsidRDefault="00FC6122">
      <w:pPr>
        <w:pStyle w:val="TOC6"/>
        <w:rPr>
          <w:rFonts w:asciiTheme="minorHAnsi" w:eastAsiaTheme="minorEastAsia" w:hAnsiTheme="minorHAnsi"/>
          <w:noProof/>
          <w:sz w:val="22"/>
          <w:szCs w:val="22"/>
          <w:lang w:eastAsia="en-AU"/>
        </w:rPr>
      </w:pPr>
      <w:r w:rsidRPr="005D4236">
        <w:rPr>
          <w:shd w:val="clear" w:color="auto" w:fill="E6E6E6"/>
        </w:rPr>
        <w:fldChar w:fldCharType="begin"/>
      </w:r>
      <w:r w:rsidRPr="005D4236">
        <w:instrText xml:space="preserve"> TOC \h \z \t "Caption_Chart,6,Exec Chart Caption,6,Appendix Chart Caption,6" </w:instrText>
      </w:r>
      <w:r w:rsidRPr="005D4236">
        <w:rPr>
          <w:shd w:val="clear" w:color="auto" w:fill="E6E6E6"/>
        </w:rPr>
        <w:fldChar w:fldCharType="separate"/>
      </w:r>
      <w:hyperlink w:anchor="_Toc82590341" w:history="1">
        <w:r w:rsidR="00952C58" w:rsidRPr="00466F70">
          <w:rPr>
            <w:rStyle w:val="Hyperlink"/>
            <w:noProof/>
            <w:lang w:eastAsia="en-AU"/>
          </w:rPr>
          <w:t>Chart 4.1 : Reported improvement in consumer understanding about the origin of food following CoOL reforms</w:t>
        </w:r>
        <w:r w:rsidR="00952C58">
          <w:rPr>
            <w:noProof/>
            <w:webHidden/>
          </w:rPr>
          <w:tab/>
        </w:r>
        <w:r w:rsidR="00952C58">
          <w:rPr>
            <w:noProof/>
            <w:webHidden/>
          </w:rPr>
          <w:fldChar w:fldCharType="begin"/>
        </w:r>
        <w:r w:rsidR="00952C58">
          <w:rPr>
            <w:noProof/>
            <w:webHidden/>
          </w:rPr>
          <w:instrText xml:space="preserve"> PAGEREF _Toc82590341 \h </w:instrText>
        </w:r>
        <w:r w:rsidR="00952C58">
          <w:rPr>
            <w:noProof/>
            <w:webHidden/>
          </w:rPr>
        </w:r>
        <w:r w:rsidR="00952C58">
          <w:rPr>
            <w:noProof/>
            <w:webHidden/>
          </w:rPr>
          <w:fldChar w:fldCharType="separate"/>
        </w:r>
        <w:r w:rsidR="0017363C">
          <w:rPr>
            <w:noProof/>
            <w:webHidden/>
          </w:rPr>
          <w:t>34</w:t>
        </w:r>
        <w:r w:rsidR="00952C58">
          <w:rPr>
            <w:noProof/>
            <w:webHidden/>
          </w:rPr>
          <w:fldChar w:fldCharType="end"/>
        </w:r>
      </w:hyperlink>
    </w:p>
    <w:p w14:paraId="216C5276" w14:textId="0CF6E83C" w:rsidR="00952C58" w:rsidRDefault="0093445A">
      <w:pPr>
        <w:pStyle w:val="TOC6"/>
        <w:rPr>
          <w:rFonts w:asciiTheme="minorHAnsi" w:eastAsiaTheme="minorEastAsia" w:hAnsiTheme="minorHAnsi"/>
          <w:noProof/>
          <w:sz w:val="22"/>
          <w:szCs w:val="22"/>
          <w:lang w:eastAsia="en-AU"/>
        </w:rPr>
      </w:pPr>
      <w:hyperlink w:anchor="_Toc82590342" w:history="1">
        <w:r w:rsidR="00952C58" w:rsidRPr="00466F70">
          <w:rPr>
            <w:rStyle w:val="Hyperlink"/>
            <w:noProof/>
            <w:lang w:eastAsia="en-AU"/>
          </w:rPr>
          <w:t>Chart 4.2 : Share of consumers that had noticed country of origin information today or previously</w:t>
        </w:r>
        <w:r w:rsidR="00952C58">
          <w:rPr>
            <w:noProof/>
            <w:webHidden/>
          </w:rPr>
          <w:tab/>
        </w:r>
        <w:r w:rsidR="00952C58">
          <w:rPr>
            <w:noProof/>
            <w:webHidden/>
          </w:rPr>
          <w:fldChar w:fldCharType="begin"/>
        </w:r>
        <w:r w:rsidR="00952C58">
          <w:rPr>
            <w:noProof/>
            <w:webHidden/>
          </w:rPr>
          <w:instrText xml:space="preserve"> PAGEREF _Toc82590342 \h </w:instrText>
        </w:r>
        <w:r w:rsidR="00952C58">
          <w:rPr>
            <w:noProof/>
            <w:webHidden/>
          </w:rPr>
        </w:r>
        <w:r w:rsidR="00952C58">
          <w:rPr>
            <w:noProof/>
            <w:webHidden/>
          </w:rPr>
          <w:fldChar w:fldCharType="separate"/>
        </w:r>
        <w:r w:rsidR="0017363C">
          <w:rPr>
            <w:noProof/>
            <w:webHidden/>
          </w:rPr>
          <w:t>34</w:t>
        </w:r>
        <w:r w:rsidR="00952C58">
          <w:rPr>
            <w:noProof/>
            <w:webHidden/>
          </w:rPr>
          <w:fldChar w:fldCharType="end"/>
        </w:r>
      </w:hyperlink>
    </w:p>
    <w:p w14:paraId="53A44D03" w14:textId="3CAA1E57" w:rsidR="00952C58" w:rsidRDefault="0093445A">
      <w:pPr>
        <w:pStyle w:val="TOC6"/>
        <w:rPr>
          <w:rFonts w:asciiTheme="minorHAnsi" w:eastAsiaTheme="minorEastAsia" w:hAnsiTheme="minorHAnsi"/>
          <w:noProof/>
          <w:sz w:val="22"/>
          <w:szCs w:val="22"/>
          <w:lang w:eastAsia="en-AU"/>
        </w:rPr>
      </w:pPr>
      <w:hyperlink w:anchor="_Toc82590343" w:history="1">
        <w:r w:rsidR="00952C58" w:rsidRPr="00466F70">
          <w:rPr>
            <w:rStyle w:val="Hyperlink"/>
            <w:noProof/>
            <w:lang w:eastAsia="en-AU"/>
          </w:rPr>
          <w:t>Chart 4.3 : Part of the label that consumers report having looked at when unprompted</w:t>
        </w:r>
        <w:r w:rsidR="00952C58">
          <w:rPr>
            <w:noProof/>
            <w:webHidden/>
          </w:rPr>
          <w:tab/>
        </w:r>
        <w:r w:rsidR="00952C58">
          <w:rPr>
            <w:noProof/>
            <w:webHidden/>
          </w:rPr>
          <w:fldChar w:fldCharType="begin"/>
        </w:r>
        <w:r w:rsidR="00952C58">
          <w:rPr>
            <w:noProof/>
            <w:webHidden/>
          </w:rPr>
          <w:instrText xml:space="preserve"> PAGEREF _Toc82590343 \h </w:instrText>
        </w:r>
        <w:r w:rsidR="00952C58">
          <w:rPr>
            <w:noProof/>
            <w:webHidden/>
          </w:rPr>
        </w:r>
        <w:r w:rsidR="00952C58">
          <w:rPr>
            <w:noProof/>
            <w:webHidden/>
          </w:rPr>
          <w:fldChar w:fldCharType="separate"/>
        </w:r>
        <w:r w:rsidR="0017363C">
          <w:rPr>
            <w:noProof/>
            <w:webHidden/>
          </w:rPr>
          <w:t>35</w:t>
        </w:r>
        <w:r w:rsidR="00952C58">
          <w:rPr>
            <w:noProof/>
            <w:webHidden/>
          </w:rPr>
          <w:fldChar w:fldCharType="end"/>
        </w:r>
      </w:hyperlink>
    </w:p>
    <w:p w14:paraId="612B4541" w14:textId="64C704EA" w:rsidR="00952C58" w:rsidRDefault="0093445A">
      <w:pPr>
        <w:pStyle w:val="TOC6"/>
        <w:rPr>
          <w:rFonts w:asciiTheme="minorHAnsi" w:eastAsiaTheme="minorEastAsia" w:hAnsiTheme="minorHAnsi"/>
          <w:noProof/>
          <w:sz w:val="22"/>
          <w:szCs w:val="22"/>
          <w:lang w:eastAsia="en-AU"/>
        </w:rPr>
      </w:pPr>
      <w:hyperlink w:anchor="_Toc82590344" w:history="1">
        <w:r w:rsidR="00952C58" w:rsidRPr="00466F70">
          <w:rPr>
            <w:rStyle w:val="Hyperlink"/>
            <w:noProof/>
            <w:lang w:eastAsia="en-AU"/>
          </w:rPr>
          <w:t>Chart 4.4 : Factors consumers report as most important when shopping for food and beverages: unprompted, multiple factors may be selected</w:t>
        </w:r>
        <w:r w:rsidR="00952C58">
          <w:rPr>
            <w:noProof/>
            <w:webHidden/>
          </w:rPr>
          <w:tab/>
        </w:r>
        <w:r w:rsidR="00952C58">
          <w:rPr>
            <w:noProof/>
            <w:webHidden/>
          </w:rPr>
          <w:fldChar w:fldCharType="begin"/>
        </w:r>
        <w:r w:rsidR="00952C58">
          <w:rPr>
            <w:noProof/>
            <w:webHidden/>
          </w:rPr>
          <w:instrText xml:space="preserve"> PAGEREF _Toc82590344 \h </w:instrText>
        </w:r>
        <w:r w:rsidR="00952C58">
          <w:rPr>
            <w:noProof/>
            <w:webHidden/>
          </w:rPr>
        </w:r>
        <w:r w:rsidR="00952C58">
          <w:rPr>
            <w:noProof/>
            <w:webHidden/>
          </w:rPr>
          <w:fldChar w:fldCharType="separate"/>
        </w:r>
        <w:r w:rsidR="0017363C">
          <w:rPr>
            <w:noProof/>
            <w:webHidden/>
          </w:rPr>
          <w:t>36</w:t>
        </w:r>
        <w:r w:rsidR="00952C58">
          <w:rPr>
            <w:noProof/>
            <w:webHidden/>
          </w:rPr>
          <w:fldChar w:fldCharType="end"/>
        </w:r>
      </w:hyperlink>
    </w:p>
    <w:p w14:paraId="540CAE4C" w14:textId="260E13E6" w:rsidR="00952C58" w:rsidRDefault="0093445A">
      <w:pPr>
        <w:pStyle w:val="TOC6"/>
        <w:rPr>
          <w:rFonts w:asciiTheme="minorHAnsi" w:eastAsiaTheme="minorEastAsia" w:hAnsiTheme="minorHAnsi"/>
          <w:noProof/>
          <w:sz w:val="22"/>
          <w:szCs w:val="22"/>
          <w:lang w:eastAsia="en-AU"/>
        </w:rPr>
      </w:pPr>
      <w:hyperlink w:anchor="_Toc82590345" w:history="1">
        <w:r w:rsidR="00952C58" w:rsidRPr="00466F70">
          <w:rPr>
            <w:rStyle w:val="Hyperlink"/>
            <w:noProof/>
            <w:lang w:eastAsia="en-AU"/>
          </w:rPr>
          <w:t>Chart 4.5 : Consumers: most important factor when purchasing food and beverages, by age</w:t>
        </w:r>
        <w:r w:rsidR="00952C58">
          <w:rPr>
            <w:noProof/>
            <w:webHidden/>
          </w:rPr>
          <w:tab/>
        </w:r>
        <w:r w:rsidR="00952C58">
          <w:rPr>
            <w:noProof/>
            <w:webHidden/>
          </w:rPr>
          <w:fldChar w:fldCharType="begin"/>
        </w:r>
        <w:r w:rsidR="00952C58">
          <w:rPr>
            <w:noProof/>
            <w:webHidden/>
          </w:rPr>
          <w:instrText xml:space="preserve"> PAGEREF _Toc82590345 \h </w:instrText>
        </w:r>
        <w:r w:rsidR="00952C58">
          <w:rPr>
            <w:noProof/>
            <w:webHidden/>
          </w:rPr>
        </w:r>
        <w:r w:rsidR="00952C58">
          <w:rPr>
            <w:noProof/>
            <w:webHidden/>
          </w:rPr>
          <w:fldChar w:fldCharType="separate"/>
        </w:r>
        <w:r w:rsidR="0017363C">
          <w:rPr>
            <w:noProof/>
            <w:webHidden/>
          </w:rPr>
          <w:t>37</w:t>
        </w:r>
        <w:r w:rsidR="00952C58">
          <w:rPr>
            <w:noProof/>
            <w:webHidden/>
          </w:rPr>
          <w:fldChar w:fldCharType="end"/>
        </w:r>
      </w:hyperlink>
    </w:p>
    <w:p w14:paraId="058771BB" w14:textId="6F21FD81" w:rsidR="00952C58" w:rsidRDefault="0093445A">
      <w:pPr>
        <w:pStyle w:val="TOC6"/>
        <w:rPr>
          <w:rFonts w:asciiTheme="minorHAnsi" w:eastAsiaTheme="minorEastAsia" w:hAnsiTheme="minorHAnsi"/>
          <w:noProof/>
          <w:sz w:val="22"/>
          <w:szCs w:val="22"/>
          <w:lang w:eastAsia="en-AU"/>
        </w:rPr>
      </w:pPr>
      <w:hyperlink w:anchor="_Toc82590346" w:history="1">
        <w:r w:rsidR="00952C58" w:rsidRPr="00466F70">
          <w:rPr>
            <w:rStyle w:val="Hyperlink"/>
            <w:noProof/>
            <w:lang w:eastAsia="en-AU"/>
          </w:rPr>
          <w:t xml:space="preserve">Chart 4.6 : How often consumers refer to </w:t>
        </w:r>
        <w:r w:rsidR="00952C58" w:rsidRPr="00466F70">
          <w:rPr>
            <w:rStyle w:val="Hyperlink"/>
            <w:rFonts w:eastAsia="Calibri" w:cs="Times New Roman"/>
            <w:noProof/>
          </w:rPr>
          <w:t>CoOL</w:t>
        </w:r>
        <w:r w:rsidR="00952C58" w:rsidRPr="00466F70">
          <w:rPr>
            <w:rStyle w:val="Hyperlink"/>
            <w:noProof/>
            <w:lang w:eastAsia="en-AU"/>
          </w:rPr>
          <w:t>, by age</w:t>
        </w:r>
        <w:r w:rsidR="00952C58">
          <w:rPr>
            <w:noProof/>
            <w:webHidden/>
          </w:rPr>
          <w:tab/>
        </w:r>
        <w:r w:rsidR="00952C58">
          <w:rPr>
            <w:noProof/>
            <w:webHidden/>
          </w:rPr>
          <w:fldChar w:fldCharType="begin"/>
        </w:r>
        <w:r w:rsidR="00952C58">
          <w:rPr>
            <w:noProof/>
            <w:webHidden/>
          </w:rPr>
          <w:instrText xml:space="preserve"> PAGEREF _Toc82590346 \h </w:instrText>
        </w:r>
        <w:r w:rsidR="00952C58">
          <w:rPr>
            <w:noProof/>
            <w:webHidden/>
          </w:rPr>
        </w:r>
        <w:r w:rsidR="00952C58">
          <w:rPr>
            <w:noProof/>
            <w:webHidden/>
          </w:rPr>
          <w:fldChar w:fldCharType="separate"/>
        </w:r>
        <w:r w:rsidR="0017363C">
          <w:rPr>
            <w:noProof/>
            <w:webHidden/>
          </w:rPr>
          <w:t>37</w:t>
        </w:r>
        <w:r w:rsidR="00952C58">
          <w:rPr>
            <w:noProof/>
            <w:webHidden/>
          </w:rPr>
          <w:fldChar w:fldCharType="end"/>
        </w:r>
      </w:hyperlink>
    </w:p>
    <w:p w14:paraId="3822B76D" w14:textId="5DCB3098" w:rsidR="00952C58" w:rsidRDefault="0093445A">
      <w:pPr>
        <w:pStyle w:val="TOC6"/>
        <w:rPr>
          <w:rFonts w:asciiTheme="minorHAnsi" w:eastAsiaTheme="minorEastAsia" w:hAnsiTheme="minorHAnsi"/>
          <w:noProof/>
          <w:sz w:val="22"/>
          <w:szCs w:val="22"/>
          <w:lang w:eastAsia="en-AU"/>
        </w:rPr>
      </w:pPr>
      <w:hyperlink w:anchor="_Toc82590347" w:history="1">
        <w:r w:rsidR="00952C58" w:rsidRPr="00466F70">
          <w:rPr>
            <w:rStyle w:val="Hyperlink"/>
            <w:noProof/>
            <w:lang w:eastAsia="en-AU"/>
          </w:rPr>
          <w:t>Chart 4.7 : Importance to consumers of having information about the origin of ingredients from countries other than Australia</w:t>
        </w:r>
        <w:r w:rsidR="00952C58">
          <w:rPr>
            <w:noProof/>
            <w:webHidden/>
          </w:rPr>
          <w:tab/>
        </w:r>
        <w:r w:rsidR="00952C58">
          <w:rPr>
            <w:noProof/>
            <w:webHidden/>
          </w:rPr>
          <w:fldChar w:fldCharType="begin"/>
        </w:r>
        <w:r w:rsidR="00952C58">
          <w:rPr>
            <w:noProof/>
            <w:webHidden/>
          </w:rPr>
          <w:instrText xml:space="preserve"> PAGEREF _Toc82590347 \h </w:instrText>
        </w:r>
        <w:r w:rsidR="00952C58">
          <w:rPr>
            <w:noProof/>
            <w:webHidden/>
          </w:rPr>
        </w:r>
        <w:r w:rsidR="00952C58">
          <w:rPr>
            <w:noProof/>
            <w:webHidden/>
          </w:rPr>
          <w:fldChar w:fldCharType="separate"/>
        </w:r>
        <w:r w:rsidR="0017363C">
          <w:rPr>
            <w:noProof/>
            <w:webHidden/>
          </w:rPr>
          <w:t>38</w:t>
        </w:r>
        <w:r w:rsidR="00952C58">
          <w:rPr>
            <w:noProof/>
            <w:webHidden/>
          </w:rPr>
          <w:fldChar w:fldCharType="end"/>
        </w:r>
      </w:hyperlink>
    </w:p>
    <w:p w14:paraId="26E395AF" w14:textId="3BE16FF4" w:rsidR="00952C58" w:rsidRDefault="0093445A">
      <w:pPr>
        <w:pStyle w:val="TOC6"/>
        <w:rPr>
          <w:rFonts w:asciiTheme="minorHAnsi" w:eastAsiaTheme="minorEastAsia" w:hAnsiTheme="minorHAnsi"/>
          <w:noProof/>
          <w:sz w:val="22"/>
          <w:szCs w:val="22"/>
          <w:lang w:eastAsia="en-AU"/>
        </w:rPr>
      </w:pPr>
      <w:hyperlink w:anchor="_Toc82590348" w:history="1">
        <w:r w:rsidR="00952C58" w:rsidRPr="00466F70">
          <w:rPr>
            <w:rStyle w:val="Hyperlink"/>
            <w:noProof/>
            <w:lang w:eastAsia="en-AU"/>
          </w:rPr>
          <w:t>Chart 4.8 : Share of consumers that interpreted labels correctly: Grown in, Product of, Made in, Packed in and “Australian…”</w:t>
        </w:r>
        <w:r w:rsidR="00952C58">
          <w:rPr>
            <w:noProof/>
            <w:webHidden/>
          </w:rPr>
          <w:tab/>
        </w:r>
        <w:r w:rsidR="00952C58">
          <w:rPr>
            <w:noProof/>
            <w:webHidden/>
          </w:rPr>
          <w:fldChar w:fldCharType="begin"/>
        </w:r>
        <w:r w:rsidR="00952C58">
          <w:rPr>
            <w:noProof/>
            <w:webHidden/>
          </w:rPr>
          <w:instrText xml:space="preserve"> PAGEREF _Toc82590348 \h </w:instrText>
        </w:r>
        <w:r w:rsidR="00952C58">
          <w:rPr>
            <w:noProof/>
            <w:webHidden/>
          </w:rPr>
        </w:r>
        <w:r w:rsidR="00952C58">
          <w:rPr>
            <w:noProof/>
            <w:webHidden/>
          </w:rPr>
          <w:fldChar w:fldCharType="separate"/>
        </w:r>
        <w:r w:rsidR="0017363C">
          <w:rPr>
            <w:noProof/>
            <w:webHidden/>
          </w:rPr>
          <w:t>39</w:t>
        </w:r>
        <w:r w:rsidR="00952C58">
          <w:rPr>
            <w:noProof/>
            <w:webHidden/>
          </w:rPr>
          <w:fldChar w:fldCharType="end"/>
        </w:r>
      </w:hyperlink>
    </w:p>
    <w:p w14:paraId="03F22030" w14:textId="13AE2149" w:rsidR="00952C58" w:rsidRDefault="0093445A">
      <w:pPr>
        <w:pStyle w:val="TOC6"/>
        <w:rPr>
          <w:rFonts w:asciiTheme="minorHAnsi" w:eastAsiaTheme="minorEastAsia" w:hAnsiTheme="minorHAnsi"/>
          <w:noProof/>
          <w:sz w:val="22"/>
          <w:szCs w:val="22"/>
          <w:lang w:eastAsia="en-AU"/>
        </w:rPr>
      </w:pPr>
      <w:hyperlink w:anchor="_Toc82590349" w:history="1">
        <w:r w:rsidR="00952C58" w:rsidRPr="00466F70">
          <w:rPr>
            <w:rStyle w:val="Hyperlink"/>
            <w:noProof/>
          </w:rPr>
          <w:t>Chart 4.9 : Level of consumer support for more country of origin information on non-priority products, by product type</w:t>
        </w:r>
        <w:r w:rsidR="00952C58">
          <w:rPr>
            <w:noProof/>
            <w:webHidden/>
          </w:rPr>
          <w:tab/>
        </w:r>
        <w:r w:rsidR="00952C58">
          <w:rPr>
            <w:noProof/>
            <w:webHidden/>
          </w:rPr>
          <w:fldChar w:fldCharType="begin"/>
        </w:r>
        <w:r w:rsidR="00952C58">
          <w:rPr>
            <w:noProof/>
            <w:webHidden/>
          </w:rPr>
          <w:instrText xml:space="preserve"> PAGEREF _Toc82590349 \h </w:instrText>
        </w:r>
        <w:r w:rsidR="00952C58">
          <w:rPr>
            <w:noProof/>
            <w:webHidden/>
          </w:rPr>
        </w:r>
        <w:r w:rsidR="00952C58">
          <w:rPr>
            <w:noProof/>
            <w:webHidden/>
          </w:rPr>
          <w:fldChar w:fldCharType="separate"/>
        </w:r>
        <w:r w:rsidR="0017363C">
          <w:rPr>
            <w:noProof/>
            <w:webHidden/>
          </w:rPr>
          <w:t>41</w:t>
        </w:r>
        <w:r w:rsidR="00952C58">
          <w:rPr>
            <w:noProof/>
            <w:webHidden/>
          </w:rPr>
          <w:fldChar w:fldCharType="end"/>
        </w:r>
      </w:hyperlink>
    </w:p>
    <w:p w14:paraId="7AC97B18" w14:textId="1544117E" w:rsidR="00952C58" w:rsidRDefault="0093445A">
      <w:pPr>
        <w:pStyle w:val="TOC6"/>
        <w:rPr>
          <w:rFonts w:asciiTheme="minorHAnsi" w:eastAsiaTheme="minorEastAsia" w:hAnsiTheme="minorHAnsi"/>
          <w:noProof/>
          <w:sz w:val="22"/>
          <w:szCs w:val="22"/>
          <w:lang w:eastAsia="en-AU"/>
        </w:rPr>
      </w:pPr>
      <w:hyperlink w:anchor="_Toc82590350" w:history="1">
        <w:r w:rsidR="00952C58" w:rsidRPr="00466F70">
          <w:rPr>
            <w:rStyle w:val="Hyperlink"/>
            <w:noProof/>
            <w:lang w:eastAsia="en-AU"/>
          </w:rPr>
          <w:t>Chart 4.10 : Type of country of origin information consumers seek for the foodservice sector</w:t>
        </w:r>
        <w:r w:rsidR="00952C58">
          <w:rPr>
            <w:noProof/>
            <w:webHidden/>
          </w:rPr>
          <w:tab/>
        </w:r>
        <w:r w:rsidR="00952C58">
          <w:rPr>
            <w:noProof/>
            <w:webHidden/>
          </w:rPr>
          <w:fldChar w:fldCharType="begin"/>
        </w:r>
        <w:r w:rsidR="00952C58">
          <w:rPr>
            <w:noProof/>
            <w:webHidden/>
          </w:rPr>
          <w:instrText xml:space="preserve"> PAGEREF _Toc82590350 \h </w:instrText>
        </w:r>
        <w:r w:rsidR="00952C58">
          <w:rPr>
            <w:noProof/>
            <w:webHidden/>
          </w:rPr>
        </w:r>
        <w:r w:rsidR="00952C58">
          <w:rPr>
            <w:noProof/>
            <w:webHidden/>
          </w:rPr>
          <w:fldChar w:fldCharType="separate"/>
        </w:r>
        <w:r w:rsidR="0017363C">
          <w:rPr>
            <w:noProof/>
            <w:webHidden/>
          </w:rPr>
          <w:t>44</w:t>
        </w:r>
        <w:r w:rsidR="00952C58">
          <w:rPr>
            <w:noProof/>
            <w:webHidden/>
          </w:rPr>
          <w:fldChar w:fldCharType="end"/>
        </w:r>
      </w:hyperlink>
    </w:p>
    <w:p w14:paraId="1E8447A0" w14:textId="4B355A2F" w:rsidR="00952C58" w:rsidRDefault="0093445A">
      <w:pPr>
        <w:pStyle w:val="TOC6"/>
        <w:rPr>
          <w:rFonts w:asciiTheme="minorHAnsi" w:eastAsiaTheme="minorEastAsia" w:hAnsiTheme="minorHAnsi"/>
          <w:noProof/>
          <w:sz w:val="22"/>
          <w:szCs w:val="22"/>
          <w:lang w:eastAsia="en-AU"/>
        </w:rPr>
      </w:pPr>
      <w:hyperlink w:anchor="_Toc82590351" w:history="1">
        <w:r w:rsidR="00952C58" w:rsidRPr="00466F70">
          <w:rPr>
            <w:rStyle w:val="Hyperlink"/>
            <w:noProof/>
          </w:rPr>
          <w:t>Chart 4.11 : Level of business support for extension of CoOL requirements to foodservice sector, by business type</w:t>
        </w:r>
        <w:r w:rsidR="00952C58">
          <w:rPr>
            <w:noProof/>
            <w:webHidden/>
          </w:rPr>
          <w:tab/>
        </w:r>
        <w:r w:rsidR="00952C58">
          <w:rPr>
            <w:noProof/>
            <w:webHidden/>
          </w:rPr>
          <w:fldChar w:fldCharType="begin"/>
        </w:r>
        <w:r w:rsidR="00952C58">
          <w:rPr>
            <w:noProof/>
            <w:webHidden/>
          </w:rPr>
          <w:instrText xml:space="preserve"> PAGEREF _Toc82590351 \h </w:instrText>
        </w:r>
        <w:r w:rsidR="00952C58">
          <w:rPr>
            <w:noProof/>
            <w:webHidden/>
          </w:rPr>
        </w:r>
        <w:r w:rsidR="00952C58">
          <w:rPr>
            <w:noProof/>
            <w:webHidden/>
          </w:rPr>
          <w:fldChar w:fldCharType="separate"/>
        </w:r>
        <w:r w:rsidR="0017363C">
          <w:rPr>
            <w:noProof/>
            <w:webHidden/>
          </w:rPr>
          <w:t>44</w:t>
        </w:r>
        <w:r w:rsidR="00952C58">
          <w:rPr>
            <w:noProof/>
            <w:webHidden/>
          </w:rPr>
          <w:fldChar w:fldCharType="end"/>
        </w:r>
      </w:hyperlink>
    </w:p>
    <w:p w14:paraId="53BC7AFF" w14:textId="7C779697" w:rsidR="00952C58" w:rsidRDefault="0093445A">
      <w:pPr>
        <w:pStyle w:val="TOC6"/>
        <w:rPr>
          <w:rFonts w:asciiTheme="minorHAnsi" w:eastAsiaTheme="minorEastAsia" w:hAnsiTheme="minorHAnsi"/>
          <w:noProof/>
          <w:sz w:val="22"/>
          <w:szCs w:val="22"/>
          <w:lang w:eastAsia="en-AU"/>
        </w:rPr>
      </w:pPr>
      <w:hyperlink w:anchor="_Toc82590352" w:history="1">
        <w:r w:rsidR="00952C58" w:rsidRPr="00466F70">
          <w:rPr>
            <w:rStyle w:val="Hyperlink"/>
            <w:noProof/>
          </w:rPr>
          <w:t>Chart 4.12 : Consumption of seafood in Australia and share of imports over time</w:t>
        </w:r>
        <w:r w:rsidR="00952C58">
          <w:rPr>
            <w:noProof/>
            <w:webHidden/>
          </w:rPr>
          <w:tab/>
        </w:r>
        <w:r w:rsidR="00952C58">
          <w:rPr>
            <w:noProof/>
            <w:webHidden/>
          </w:rPr>
          <w:fldChar w:fldCharType="begin"/>
        </w:r>
        <w:r w:rsidR="00952C58">
          <w:rPr>
            <w:noProof/>
            <w:webHidden/>
          </w:rPr>
          <w:instrText xml:space="preserve"> PAGEREF _Toc82590352 \h </w:instrText>
        </w:r>
        <w:r w:rsidR="00952C58">
          <w:rPr>
            <w:noProof/>
            <w:webHidden/>
          </w:rPr>
        </w:r>
        <w:r w:rsidR="00952C58">
          <w:rPr>
            <w:noProof/>
            <w:webHidden/>
          </w:rPr>
          <w:fldChar w:fldCharType="separate"/>
        </w:r>
        <w:r w:rsidR="0017363C">
          <w:rPr>
            <w:noProof/>
            <w:webHidden/>
          </w:rPr>
          <w:t>46</w:t>
        </w:r>
        <w:r w:rsidR="00952C58">
          <w:rPr>
            <w:noProof/>
            <w:webHidden/>
          </w:rPr>
          <w:fldChar w:fldCharType="end"/>
        </w:r>
      </w:hyperlink>
    </w:p>
    <w:p w14:paraId="00C7797C" w14:textId="2C4A6E10" w:rsidR="00952C58" w:rsidRDefault="0093445A">
      <w:pPr>
        <w:pStyle w:val="TOC6"/>
        <w:rPr>
          <w:rFonts w:asciiTheme="minorHAnsi" w:eastAsiaTheme="minorEastAsia" w:hAnsiTheme="minorHAnsi"/>
          <w:noProof/>
          <w:sz w:val="22"/>
          <w:szCs w:val="22"/>
          <w:lang w:eastAsia="en-AU"/>
        </w:rPr>
      </w:pPr>
      <w:hyperlink w:anchor="_Toc82590353" w:history="1">
        <w:r w:rsidR="00952C58" w:rsidRPr="00466F70">
          <w:rPr>
            <w:rStyle w:val="Hyperlink"/>
            <w:noProof/>
          </w:rPr>
          <w:t>Chart 4.13 : Apparent consumption of seafood in Australia by source, over time</w:t>
        </w:r>
        <w:r w:rsidR="00952C58">
          <w:rPr>
            <w:noProof/>
            <w:webHidden/>
          </w:rPr>
          <w:tab/>
        </w:r>
        <w:r w:rsidR="00952C58">
          <w:rPr>
            <w:noProof/>
            <w:webHidden/>
          </w:rPr>
          <w:fldChar w:fldCharType="begin"/>
        </w:r>
        <w:r w:rsidR="00952C58">
          <w:rPr>
            <w:noProof/>
            <w:webHidden/>
          </w:rPr>
          <w:instrText xml:space="preserve"> PAGEREF _Toc82590353 \h </w:instrText>
        </w:r>
        <w:r w:rsidR="00952C58">
          <w:rPr>
            <w:noProof/>
            <w:webHidden/>
          </w:rPr>
        </w:r>
        <w:r w:rsidR="00952C58">
          <w:rPr>
            <w:noProof/>
            <w:webHidden/>
          </w:rPr>
          <w:fldChar w:fldCharType="separate"/>
        </w:r>
        <w:r w:rsidR="0017363C">
          <w:rPr>
            <w:noProof/>
            <w:webHidden/>
          </w:rPr>
          <w:t>47</w:t>
        </w:r>
        <w:r w:rsidR="00952C58">
          <w:rPr>
            <w:noProof/>
            <w:webHidden/>
          </w:rPr>
          <w:fldChar w:fldCharType="end"/>
        </w:r>
      </w:hyperlink>
    </w:p>
    <w:p w14:paraId="7F8C2C49" w14:textId="7CB3503A" w:rsidR="00952C58" w:rsidRDefault="0093445A">
      <w:pPr>
        <w:pStyle w:val="TOC6"/>
        <w:rPr>
          <w:rFonts w:asciiTheme="minorHAnsi" w:eastAsiaTheme="minorEastAsia" w:hAnsiTheme="minorHAnsi"/>
          <w:noProof/>
          <w:sz w:val="22"/>
          <w:szCs w:val="22"/>
          <w:lang w:eastAsia="en-AU"/>
        </w:rPr>
      </w:pPr>
      <w:hyperlink w:anchor="_Toc82590354" w:history="1">
        <w:r w:rsidR="00952C58" w:rsidRPr="00466F70">
          <w:rPr>
            <w:rStyle w:val="Hyperlink"/>
            <w:noProof/>
          </w:rPr>
          <w:t>Chart 4.14 : Breakdown of industries within the foodservice sector by business size</w:t>
        </w:r>
        <w:r w:rsidR="00952C58">
          <w:rPr>
            <w:noProof/>
            <w:webHidden/>
          </w:rPr>
          <w:tab/>
        </w:r>
        <w:r w:rsidR="00952C58">
          <w:rPr>
            <w:noProof/>
            <w:webHidden/>
          </w:rPr>
          <w:fldChar w:fldCharType="begin"/>
        </w:r>
        <w:r w:rsidR="00952C58">
          <w:rPr>
            <w:noProof/>
            <w:webHidden/>
          </w:rPr>
          <w:instrText xml:space="preserve"> PAGEREF _Toc82590354 \h </w:instrText>
        </w:r>
        <w:r w:rsidR="00952C58">
          <w:rPr>
            <w:noProof/>
            <w:webHidden/>
          </w:rPr>
        </w:r>
        <w:r w:rsidR="00952C58">
          <w:rPr>
            <w:noProof/>
            <w:webHidden/>
          </w:rPr>
          <w:fldChar w:fldCharType="separate"/>
        </w:r>
        <w:r w:rsidR="0017363C">
          <w:rPr>
            <w:noProof/>
            <w:webHidden/>
          </w:rPr>
          <w:t>52</w:t>
        </w:r>
        <w:r w:rsidR="00952C58">
          <w:rPr>
            <w:noProof/>
            <w:webHidden/>
          </w:rPr>
          <w:fldChar w:fldCharType="end"/>
        </w:r>
      </w:hyperlink>
    </w:p>
    <w:p w14:paraId="3F8BED19" w14:textId="251B4BF9" w:rsidR="00952C58" w:rsidRDefault="0093445A">
      <w:pPr>
        <w:pStyle w:val="TOC6"/>
        <w:rPr>
          <w:rFonts w:asciiTheme="minorHAnsi" w:eastAsiaTheme="minorEastAsia" w:hAnsiTheme="minorHAnsi"/>
          <w:noProof/>
          <w:sz w:val="22"/>
          <w:szCs w:val="22"/>
          <w:lang w:eastAsia="en-AU"/>
        </w:rPr>
      </w:pPr>
      <w:hyperlink w:anchor="_Toc82590355" w:history="1">
        <w:r w:rsidR="00952C58" w:rsidRPr="00466F70">
          <w:rPr>
            <w:rStyle w:val="Hyperlink"/>
            <w:noProof/>
          </w:rPr>
          <w:t>Chart 4.15 : Cafes, restaurants and takeaway foodservices turnover, June 2019 to March 2021.</w:t>
        </w:r>
        <w:r w:rsidR="00952C58">
          <w:rPr>
            <w:noProof/>
            <w:webHidden/>
          </w:rPr>
          <w:tab/>
        </w:r>
        <w:r w:rsidR="00952C58">
          <w:rPr>
            <w:noProof/>
            <w:webHidden/>
          </w:rPr>
          <w:fldChar w:fldCharType="begin"/>
        </w:r>
        <w:r w:rsidR="00952C58">
          <w:rPr>
            <w:noProof/>
            <w:webHidden/>
          </w:rPr>
          <w:instrText xml:space="preserve"> PAGEREF _Toc82590355 \h </w:instrText>
        </w:r>
        <w:r w:rsidR="00952C58">
          <w:rPr>
            <w:noProof/>
            <w:webHidden/>
          </w:rPr>
        </w:r>
        <w:r w:rsidR="00952C58">
          <w:rPr>
            <w:noProof/>
            <w:webHidden/>
          </w:rPr>
          <w:fldChar w:fldCharType="separate"/>
        </w:r>
        <w:r w:rsidR="0017363C">
          <w:rPr>
            <w:noProof/>
            <w:webHidden/>
          </w:rPr>
          <w:t>53</w:t>
        </w:r>
        <w:r w:rsidR="00952C58">
          <w:rPr>
            <w:noProof/>
            <w:webHidden/>
          </w:rPr>
          <w:fldChar w:fldCharType="end"/>
        </w:r>
      </w:hyperlink>
    </w:p>
    <w:p w14:paraId="7613B1C5" w14:textId="2BAB022C" w:rsidR="00952C58" w:rsidRDefault="0093445A">
      <w:pPr>
        <w:pStyle w:val="TOC6"/>
        <w:rPr>
          <w:rFonts w:asciiTheme="minorHAnsi" w:eastAsiaTheme="minorEastAsia" w:hAnsiTheme="minorHAnsi"/>
          <w:noProof/>
          <w:sz w:val="22"/>
          <w:szCs w:val="22"/>
          <w:lang w:eastAsia="en-AU"/>
        </w:rPr>
      </w:pPr>
      <w:hyperlink w:anchor="_Toc82590356" w:history="1">
        <w:r w:rsidR="00952C58" w:rsidRPr="00466F70">
          <w:rPr>
            <w:rStyle w:val="Hyperlink"/>
            <w:noProof/>
          </w:rPr>
          <w:t>Chart 4.16</w:t>
        </w:r>
        <w:r w:rsidR="00952C58" w:rsidRPr="00466F70">
          <w:rPr>
            <w:rStyle w:val="Hyperlink"/>
            <w:rFonts w:eastAsia="Times New Roman" w:cs="Arial"/>
            <w:noProof/>
            <w:lang w:eastAsia="en-AU"/>
          </w:rPr>
          <w:t xml:space="preserve"> :</w:t>
        </w:r>
        <w:r w:rsidR="00952C58" w:rsidRPr="00466F70">
          <w:rPr>
            <w:rStyle w:val="Hyperlink"/>
            <w:rFonts w:eastAsia="Times New Roman" w:cs="Arial"/>
            <w:noProof/>
            <w:kern w:val="24"/>
            <w:lang w:eastAsia="en-AU"/>
          </w:rPr>
          <w:t xml:space="preserve"> </w:t>
        </w:r>
        <w:r w:rsidR="00952C58" w:rsidRPr="00466F70">
          <w:rPr>
            <w:rStyle w:val="Hyperlink"/>
            <w:noProof/>
          </w:rPr>
          <w:t>Extent that consumers’ understanding of various statements is consistent with the definition, by statement</w:t>
        </w:r>
        <w:r w:rsidR="00952C58">
          <w:rPr>
            <w:noProof/>
            <w:webHidden/>
          </w:rPr>
          <w:tab/>
        </w:r>
        <w:r w:rsidR="00952C58">
          <w:rPr>
            <w:noProof/>
            <w:webHidden/>
          </w:rPr>
          <w:fldChar w:fldCharType="begin"/>
        </w:r>
        <w:r w:rsidR="00952C58">
          <w:rPr>
            <w:noProof/>
            <w:webHidden/>
          </w:rPr>
          <w:instrText xml:space="preserve"> PAGEREF _Toc82590356 \h </w:instrText>
        </w:r>
        <w:r w:rsidR="00952C58">
          <w:rPr>
            <w:noProof/>
            <w:webHidden/>
          </w:rPr>
        </w:r>
        <w:r w:rsidR="00952C58">
          <w:rPr>
            <w:noProof/>
            <w:webHidden/>
          </w:rPr>
          <w:fldChar w:fldCharType="separate"/>
        </w:r>
        <w:r w:rsidR="0017363C">
          <w:rPr>
            <w:noProof/>
            <w:webHidden/>
          </w:rPr>
          <w:t>54</w:t>
        </w:r>
        <w:r w:rsidR="00952C58">
          <w:rPr>
            <w:noProof/>
            <w:webHidden/>
          </w:rPr>
          <w:fldChar w:fldCharType="end"/>
        </w:r>
      </w:hyperlink>
    </w:p>
    <w:p w14:paraId="6C97BCAA" w14:textId="591D8DB7" w:rsidR="00952C58" w:rsidRDefault="0093445A">
      <w:pPr>
        <w:pStyle w:val="TOC6"/>
        <w:rPr>
          <w:rFonts w:asciiTheme="minorHAnsi" w:eastAsiaTheme="minorEastAsia" w:hAnsiTheme="minorHAnsi"/>
          <w:noProof/>
          <w:sz w:val="22"/>
          <w:szCs w:val="22"/>
          <w:lang w:eastAsia="en-AU"/>
        </w:rPr>
      </w:pPr>
      <w:hyperlink w:anchor="_Toc82590357" w:history="1">
        <w:r w:rsidR="00952C58" w:rsidRPr="00466F70">
          <w:rPr>
            <w:rStyle w:val="Hyperlink"/>
            <w:noProof/>
            <w:lang w:eastAsia="en-AU"/>
          </w:rPr>
          <w:t>Chart 4.17 : How frequently consumers who purchase food online actually buy their food and beverages online</w:t>
        </w:r>
        <w:r w:rsidR="00952C58">
          <w:rPr>
            <w:noProof/>
            <w:webHidden/>
          </w:rPr>
          <w:tab/>
        </w:r>
        <w:r w:rsidR="00952C58">
          <w:rPr>
            <w:noProof/>
            <w:webHidden/>
          </w:rPr>
          <w:fldChar w:fldCharType="begin"/>
        </w:r>
        <w:r w:rsidR="00952C58">
          <w:rPr>
            <w:noProof/>
            <w:webHidden/>
          </w:rPr>
          <w:instrText xml:space="preserve"> PAGEREF _Toc82590357 \h </w:instrText>
        </w:r>
        <w:r w:rsidR="00952C58">
          <w:rPr>
            <w:noProof/>
            <w:webHidden/>
          </w:rPr>
        </w:r>
        <w:r w:rsidR="00952C58">
          <w:rPr>
            <w:noProof/>
            <w:webHidden/>
          </w:rPr>
          <w:fldChar w:fldCharType="separate"/>
        </w:r>
        <w:r w:rsidR="0017363C">
          <w:rPr>
            <w:noProof/>
            <w:webHidden/>
          </w:rPr>
          <w:t>57</w:t>
        </w:r>
        <w:r w:rsidR="00952C58">
          <w:rPr>
            <w:noProof/>
            <w:webHidden/>
          </w:rPr>
          <w:fldChar w:fldCharType="end"/>
        </w:r>
      </w:hyperlink>
    </w:p>
    <w:p w14:paraId="142DA764" w14:textId="70C14F12" w:rsidR="00952C58" w:rsidRDefault="0093445A">
      <w:pPr>
        <w:pStyle w:val="TOC6"/>
        <w:rPr>
          <w:rFonts w:asciiTheme="minorHAnsi" w:eastAsiaTheme="minorEastAsia" w:hAnsiTheme="minorHAnsi"/>
          <w:noProof/>
          <w:sz w:val="22"/>
          <w:szCs w:val="22"/>
          <w:lang w:eastAsia="en-AU"/>
        </w:rPr>
      </w:pPr>
      <w:hyperlink w:anchor="_Toc82590358" w:history="1">
        <w:r w:rsidR="00952C58" w:rsidRPr="00466F70">
          <w:rPr>
            <w:rStyle w:val="Hyperlink"/>
            <w:noProof/>
            <w:lang w:eastAsia="en-AU"/>
          </w:rPr>
          <w:t>Chart 4.18 : Proportion of consumers that purchase their food and beverages online, by age category</w:t>
        </w:r>
        <w:r w:rsidR="00952C58">
          <w:rPr>
            <w:noProof/>
            <w:webHidden/>
          </w:rPr>
          <w:tab/>
        </w:r>
        <w:r w:rsidR="00952C58">
          <w:rPr>
            <w:noProof/>
            <w:webHidden/>
          </w:rPr>
          <w:fldChar w:fldCharType="begin"/>
        </w:r>
        <w:r w:rsidR="00952C58">
          <w:rPr>
            <w:noProof/>
            <w:webHidden/>
          </w:rPr>
          <w:instrText xml:space="preserve"> PAGEREF _Toc82590358 \h </w:instrText>
        </w:r>
        <w:r w:rsidR="00952C58">
          <w:rPr>
            <w:noProof/>
            <w:webHidden/>
          </w:rPr>
        </w:r>
        <w:r w:rsidR="00952C58">
          <w:rPr>
            <w:noProof/>
            <w:webHidden/>
          </w:rPr>
          <w:fldChar w:fldCharType="separate"/>
        </w:r>
        <w:r w:rsidR="0017363C">
          <w:rPr>
            <w:noProof/>
            <w:webHidden/>
          </w:rPr>
          <w:t>58</w:t>
        </w:r>
        <w:r w:rsidR="00952C58">
          <w:rPr>
            <w:noProof/>
            <w:webHidden/>
          </w:rPr>
          <w:fldChar w:fldCharType="end"/>
        </w:r>
      </w:hyperlink>
    </w:p>
    <w:p w14:paraId="367B74E1" w14:textId="6FD11054" w:rsidR="00952C58" w:rsidRDefault="0093445A">
      <w:pPr>
        <w:pStyle w:val="TOC6"/>
        <w:rPr>
          <w:rFonts w:asciiTheme="minorHAnsi" w:eastAsiaTheme="minorEastAsia" w:hAnsiTheme="minorHAnsi"/>
          <w:noProof/>
          <w:sz w:val="22"/>
          <w:szCs w:val="22"/>
          <w:lang w:eastAsia="en-AU"/>
        </w:rPr>
      </w:pPr>
      <w:hyperlink w:anchor="_Toc82590359" w:history="1">
        <w:r w:rsidR="00952C58" w:rsidRPr="00466F70">
          <w:rPr>
            <w:rStyle w:val="Hyperlink"/>
            <w:noProof/>
            <w:lang w:eastAsia="en-AU"/>
          </w:rPr>
          <w:t>Chart 4.19 : Adequacy of information provided online relating to country of origin</w:t>
        </w:r>
        <w:r w:rsidR="00952C58">
          <w:rPr>
            <w:noProof/>
            <w:webHidden/>
          </w:rPr>
          <w:tab/>
        </w:r>
        <w:r w:rsidR="00952C58">
          <w:rPr>
            <w:noProof/>
            <w:webHidden/>
          </w:rPr>
          <w:fldChar w:fldCharType="begin"/>
        </w:r>
        <w:r w:rsidR="00952C58">
          <w:rPr>
            <w:noProof/>
            <w:webHidden/>
          </w:rPr>
          <w:instrText xml:space="preserve"> PAGEREF _Toc82590359 \h </w:instrText>
        </w:r>
        <w:r w:rsidR="00952C58">
          <w:rPr>
            <w:noProof/>
            <w:webHidden/>
          </w:rPr>
        </w:r>
        <w:r w:rsidR="00952C58">
          <w:rPr>
            <w:noProof/>
            <w:webHidden/>
          </w:rPr>
          <w:fldChar w:fldCharType="separate"/>
        </w:r>
        <w:r w:rsidR="0017363C">
          <w:rPr>
            <w:noProof/>
            <w:webHidden/>
          </w:rPr>
          <w:t>58</w:t>
        </w:r>
        <w:r w:rsidR="00952C58">
          <w:rPr>
            <w:noProof/>
            <w:webHidden/>
          </w:rPr>
          <w:fldChar w:fldCharType="end"/>
        </w:r>
      </w:hyperlink>
    </w:p>
    <w:p w14:paraId="393FB581" w14:textId="520125EF" w:rsidR="00952C58" w:rsidRDefault="0093445A">
      <w:pPr>
        <w:pStyle w:val="TOC6"/>
        <w:rPr>
          <w:rFonts w:asciiTheme="minorHAnsi" w:eastAsiaTheme="minorEastAsia" w:hAnsiTheme="minorHAnsi"/>
          <w:noProof/>
          <w:sz w:val="22"/>
          <w:szCs w:val="22"/>
          <w:lang w:eastAsia="en-AU"/>
        </w:rPr>
      </w:pPr>
      <w:hyperlink w:anchor="_Toc82590360" w:history="1">
        <w:r w:rsidR="00952C58" w:rsidRPr="00466F70">
          <w:rPr>
            <w:rStyle w:val="Hyperlink"/>
            <w:noProof/>
          </w:rPr>
          <w:t>Chart 4.20 : Proportion of businesses that provide CoOL information for food or beverage products sold online</w:t>
        </w:r>
        <w:r w:rsidR="00952C58">
          <w:rPr>
            <w:noProof/>
            <w:webHidden/>
          </w:rPr>
          <w:tab/>
        </w:r>
        <w:r w:rsidR="00952C58">
          <w:rPr>
            <w:noProof/>
            <w:webHidden/>
          </w:rPr>
          <w:fldChar w:fldCharType="begin"/>
        </w:r>
        <w:r w:rsidR="00952C58">
          <w:rPr>
            <w:noProof/>
            <w:webHidden/>
          </w:rPr>
          <w:instrText xml:space="preserve"> PAGEREF _Toc82590360 \h </w:instrText>
        </w:r>
        <w:r w:rsidR="00952C58">
          <w:rPr>
            <w:noProof/>
            <w:webHidden/>
          </w:rPr>
        </w:r>
        <w:r w:rsidR="00952C58">
          <w:rPr>
            <w:noProof/>
            <w:webHidden/>
          </w:rPr>
          <w:fldChar w:fldCharType="separate"/>
        </w:r>
        <w:r w:rsidR="0017363C">
          <w:rPr>
            <w:noProof/>
            <w:webHidden/>
          </w:rPr>
          <w:t>59</w:t>
        </w:r>
        <w:r w:rsidR="00952C58">
          <w:rPr>
            <w:noProof/>
            <w:webHidden/>
          </w:rPr>
          <w:fldChar w:fldCharType="end"/>
        </w:r>
      </w:hyperlink>
    </w:p>
    <w:p w14:paraId="5C22E091" w14:textId="0D5522C4" w:rsidR="00952C58" w:rsidRDefault="0093445A">
      <w:pPr>
        <w:pStyle w:val="TOC6"/>
        <w:rPr>
          <w:rFonts w:asciiTheme="minorHAnsi" w:eastAsiaTheme="minorEastAsia" w:hAnsiTheme="minorHAnsi"/>
          <w:noProof/>
          <w:sz w:val="22"/>
          <w:szCs w:val="22"/>
          <w:lang w:eastAsia="en-AU"/>
        </w:rPr>
      </w:pPr>
      <w:hyperlink w:anchor="_Toc82590361" w:history="1">
        <w:r w:rsidR="00952C58" w:rsidRPr="00466F70">
          <w:rPr>
            <w:rStyle w:val="Hyperlink"/>
            <w:noProof/>
          </w:rPr>
          <w:t>Chart 4.21 : Business support for extending CoOL requirements to products sold online</w:t>
        </w:r>
        <w:r w:rsidR="00952C58">
          <w:rPr>
            <w:noProof/>
            <w:webHidden/>
          </w:rPr>
          <w:tab/>
        </w:r>
        <w:r w:rsidR="00952C58">
          <w:rPr>
            <w:noProof/>
            <w:webHidden/>
          </w:rPr>
          <w:fldChar w:fldCharType="begin"/>
        </w:r>
        <w:r w:rsidR="00952C58">
          <w:rPr>
            <w:noProof/>
            <w:webHidden/>
          </w:rPr>
          <w:instrText xml:space="preserve"> PAGEREF _Toc82590361 \h </w:instrText>
        </w:r>
        <w:r w:rsidR="00952C58">
          <w:rPr>
            <w:noProof/>
            <w:webHidden/>
          </w:rPr>
        </w:r>
        <w:r w:rsidR="00952C58">
          <w:rPr>
            <w:noProof/>
            <w:webHidden/>
          </w:rPr>
          <w:fldChar w:fldCharType="separate"/>
        </w:r>
        <w:r w:rsidR="0017363C">
          <w:rPr>
            <w:noProof/>
            <w:webHidden/>
          </w:rPr>
          <w:t>59</w:t>
        </w:r>
        <w:r w:rsidR="00952C58">
          <w:rPr>
            <w:noProof/>
            <w:webHidden/>
          </w:rPr>
          <w:fldChar w:fldCharType="end"/>
        </w:r>
      </w:hyperlink>
    </w:p>
    <w:p w14:paraId="410DF830" w14:textId="69F2EB06" w:rsidR="00952C58" w:rsidRDefault="0093445A">
      <w:pPr>
        <w:pStyle w:val="TOC6"/>
        <w:rPr>
          <w:rFonts w:asciiTheme="minorHAnsi" w:eastAsiaTheme="minorEastAsia" w:hAnsiTheme="minorHAnsi"/>
          <w:noProof/>
          <w:sz w:val="22"/>
          <w:szCs w:val="22"/>
          <w:lang w:eastAsia="en-AU"/>
        </w:rPr>
      </w:pPr>
      <w:hyperlink w:anchor="_Toc82590362" w:history="1">
        <w:r w:rsidR="00952C58" w:rsidRPr="00466F70">
          <w:rPr>
            <w:rStyle w:val="Hyperlink"/>
            <w:noProof/>
          </w:rPr>
          <w:t>Chart 4.22 : CoOL communication campaign that consumers recall seeing, by method of communication</w:t>
        </w:r>
        <w:r w:rsidR="00952C58">
          <w:rPr>
            <w:noProof/>
            <w:webHidden/>
          </w:rPr>
          <w:tab/>
        </w:r>
        <w:r w:rsidR="00952C58">
          <w:rPr>
            <w:noProof/>
            <w:webHidden/>
          </w:rPr>
          <w:fldChar w:fldCharType="begin"/>
        </w:r>
        <w:r w:rsidR="00952C58">
          <w:rPr>
            <w:noProof/>
            <w:webHidden/>
          </w:rPr>
          <w:instrText xml:space="preserve"> PAGEREF _Toc82590362 \h </w:instrText>
        </w:r>
        <w:r w:rsidR="00952C58">
          <w:rPr>
            <w:noProof/>
            <w:webHidden/>
          </w:rPr>
        </w:r>
        <w:r w:rsidR="00952C58">
          <w:rPr>
            <w:noProof/>
            <w:webHidden/>
          </w:rPr>
          <w:fldChar w:fldCharType="separate"/>
        </w:r>
        <w:r w:rsidR="0017363C">
          <w:rPr>
            <w:noProof/>
            <w:webHidden/>
          </w:rPr>
          <w:t>61</w:t>
        </w:r>
        <w:r w:rsidR="00952C58">
          <w:rPr>
            <w:noProof/>
            <w:webHidden/>
          </w:rPr>
          <w:fldChar w:fldCharType="end"/>
        </w:r>
      </w:hyperlink>
    </w:p>
    <w:p w14:paraId="4FF7174A" w14:textId="5A913D44" w:rsidR="00952C58" w:rsidRDefault="0093445A">
      <w:pPr>
        <w:pStyle w:val="TOC6"/>
        <w:rPr>
          <w:rFonts w:asciiTheme="minorHAnsi" w:eastAsiaTheme="minorEastAsia" w:hAnsiTheme="minorHAnsi"/>
          <w:noProof/>
          <w:sz w:val="22"/>
          <w:szCs w:val="22"/>
          <w:lang w:eastAsia="en-AU"/>
        </w:rPr>
      </w:pPr>
      <w:hyperlink w:anchor="_Toc82590363" w:history="1">
        <w:r w:rsidR="00952C58" w:rsidRPr="00466F70">
          <w:rPr>
            <w:rStyle w:val="Hyperlink"/>
            <w:noProof/>
          </w:rPr>
          <w:t xml:space="preserve">Chart 4.23 : Extent that communication campaign about </w:t>
        </w:r>
        <w:r w:rsidR="00952C58" w:rsidRPr="00466F70">
          <w:rPr>
            <w:rStyle w:val="Hyperlink"/>
            <w:rFonts w:eastAsia="Calibri" w:cs="Times New Roman"/>
            <w:noProof/>
          </w:rPr>
          <w:t xml:space="preserve">CoOL </w:t>
        </w:r>
        <w:r w:rsidR="00952C58" w:rsidRPr="00466F70">
          <w:rPr>
            <w:rStyle w:val="Hyperlink"/>
            <w:noProof/>
          </w:rPr>
          <w:t>was useful, by outcome</w:t>
        </w:r>
        <w:r w:rsidR="00952C58">
          <w:rPr>
            <w:noProof/>
            <w:webHidden/>
          </w:rPr>
          <w:tab/>
        </w:r>
        <w:r w:rsidR="00952C58">
          <w:rPr>
            <w:noProof/>
            <w:webHidden/>
          </w:rPr>
          <w:fldChar w:fldCharType="begin"/>
        </w:r>
        <w:r w:rsidR="00952C58">
          <w:rPr>
            <w:noProof/>
            <w:webHidden/>
          </w:rPr>
          <w:instrText xml:space="preserve"> PAGEREF _Toc82590363 \h </w:instrText>
        </w:r>
        <w:r w:rsidR="00952C58">
          <w:rPr>
            <w:noProof/>
            <w:webHidden/>
          </w:rPr>
        </w:r>
        <w:r w:rsidR="00952C58">
          <w:rPr>
            <w:noProof/>
            <w:webHidden/>
          </w:rPr>
          <w:fldChar w:fldCharType="separate"/>
        </w:r>
        <w:r w:rsidR="0017363C">
          <w:rPr>
            <w:noProof/>
            <w:webHidden/>
          </w:rPr>
          <w:t>62</w:t>
        </w:r>
        <w:r w:rsidR="00952C58">
          <w:rPr>
            <w:noProof/>
            <w:webHidden/>
          </w:rPr>
          <w:fldChar w:fldCharType="end"/>
        </w:r>
      </w:hyperlink>
    </w:p>
    <w:p w14:paraId="55454128" w14:textId="37BD8548" w:rsidR="00952C58" w:rsidRDefault="0093445A">
      <w:pPr>
        <w:pStyle w:val="TOC6"/>
        <w:rPr>
          <w:rFonts w:asciiTheme="minorHAnsi" w:eastAsiaTheme="minorEastAsia" w:hAnsiTheme="minorHAnsi"/>
          <w:noProof/>
          <w:sz w:val="22"/>
          <w:szCs w:val="22"/>
          <w:lang w:eastAsia="en-AU"/>
        </w:rPr>
      </w:pPr>
      <w:hyperlink w:anchor="_Toc82590364" w:history="1">
        <w:r w:rsidR="00952C58" w:rsidRPr="00466F70">
          <w:rPr>
            <w:rStyle w:val="Hyperlink"/>
            <w:noProof/>
            <w:lang w:eastAsia="en-AU"/>
          </w:rPr>
          <w:t>Chart 4.24 : Online resources that are referred to by consumers</w:t>
        </w:r>
        <w:r w:rsidR="00952C58">
          <w:rPr>
            <w:noProof/>
            <w:webHidden/>
          </w:rPr>
          <w:tab/>
        </w:r>
        <w:r w:rsidR="00952C58">
          <w:rPr>
            <w:noProof/>
            <w:webHidden/>
          </w:rPr>
          <w:fldChar w:fldCharType="begin"/>
        </w:r>
        <w:r w:rsidR="00952C58">
          <w:rPr>
            <w:noProof/>
            <w:webHidden/>
          </w:rPr>
          <w:instrText xml:space="preserve"> PAGEREF _Toc82590364 \h </w:instrText>
        </w:r>
        <w:r w:rsidR="00952C58">
          <w:rPr>
            <w:noProof/>
            <w:webHidden/>
          </w:rPr>
        </w:r>
        <w:r w:rsidR="00952C58">
          <w:rPr>
            <w:noProof/>
            <w:webHidden/>
          </w:rPr>
          <w:fldChar w:fldCharType="separate"/>
        </w:r>
        <w:r w:rsidR="0017363C">
          <w:rPr>
            <w:noProof/>
            <w:webHidden/>
          </w:rPr>
          <w:t>62</w:t>
        </w:r>
        <w:r w:rsidR="00952C58">
          <w:rPr>
            <w:noProof/>
            <w:webHidden/>
          </w:rPr>
          <w:fldChar w:fldCharType="end"/>
        </w:r>
      </w:hyperlink>
    </w:p>
    <w:p w14:paraId="5CE17C1D" w14:textId="5BBAF1AF" w:rsidR="00952C58" w:rsidRDefault="0093445A">
      <w:pPr>
        <w:pStyle w:val="TOC6"/>
        <w:rPr>
          <w:rFonts w:asciiTheme="minorHAnsi" w:eastAsiaTheme="minorEastAsia" w:hAnsiTheme="minorHAnsi"/>
          <w:noProof/>
          <w:sz w:val="22"/>
          <w:szCs w:val="22"/>
          <w:lang w:eastAsia="en-AU"/>
        </w:rPr>
      </w:pPr>
      <w:hyperlink w:anchor="_Toc82590365" w:history="1">
        <w:r w:rsidR="00952C58" w:rsidRPr="00466F70">
          <w:rPr>
            <w:rStyle w:val="Hyperlink"/>
            <w:noProof/>
          </w:rPr>
          <w:t>Chart 4.25</w:t>
        </w:r>
        <w:r w:rsidR="00952C58" w:rsidRPr="00466F70">
          <w:rPr>
            <w:rStyle w:val="Hyperlink"/>
            <w:noProof/>
            <w:lang w:eastAsia="en-AU"/>
          </w:rPr>
          <w:t xml:space="preserve"> : </w:t>
        </w:r>
        <w:r w:rsidR="00952C58" w:rsidRPr="00466F70">
          <w:rPr>
            <w:rStyle w:val="Hyperlink"/>
            <w:noProof/>
          </w:rPr>
          <w:t xml:space="preserve">Extent that online resources related to </w:t>
        </w:r>
        <w:r w:rsidR="00952C58" w:rsidRPr="00466F70">
          <w:rPr>
            <w:rStyle w:val="Hyperlink"/>
            <w:rFonts w:eastAsia="Calibri" w:cs="Times New Roman"/>
            <w:noProof/>
          </w:rPr>
          <w:t xml:space="preserve">CoOL </w:t>
        </w:r>
        <w:r w:rsidR="00952C58" w:rsidRPr="00466F70">
          <w:rPr>
            <w:rStyle w:val="Hyperlink"/>
            <w:noProof/>
          </w:rPr>
          <w:t>are useful, by outcome</w:t>
        </w:r>
        <w:r w:rsidR="00952C58">
          <w:rPr>
            <w:noProof/>
            <w:webHidden/>
          </w:rPr>
          <w:tab/>
        </w:r>
        <w:r w:rsidR="00952C58">
          <w:rPr>
            <w:noProof/>
            <w:webHidden/>
          </w:rPr>
          <w:fldChar w:fldCharType="begin"/>
        </w:r>
        <w:r w:rsidR="00952C58">
          <w:rPr>
            <w:noProof/>
            <w:webHidden/>
          </w:rPr>
          <w:instrText xml:space="preserve"> PAGEREF _Toc82590365 \h </w:instrText>
        </w:r>
        <w:r w:rsidR="00952C58">
          <w:rPr>
            <w:noProof/>
            <w:webHidden/>
          </w:rPr>
        </w:r>
        <w:r w:rsidR="00952C58">
          <w:rPr>
            <w:noProof/>
            <w:webHidden/>
          </w:rPr>
          <w:fldChar w:fldCharType="separate"/>
        </w:r>
        <w:r w:rsidR="0017363C">
          <w:rPr>
            <w:noProof/>
            <w:webHidden/>
          </w:rPr>
          <w:t>63</w:t>
        </w:r>
        <w:r w:rsidR="00952C58">
          <w:rPr>
            <w:noProof/>
            <w:webHidden/>
          </w:rPr>
          <w:fldChar w:fldCharType="end"/>
        </w:r>
      </w:hyperlink>
    </w:p>
    <w:p w14:paraId="5163438B" w14:textId="1E0891DB" w:rsidR="00952C58" w:rsidRDefault="0093445A">
      <w:pPr>
        <w:pStyle w:val="TOC6"/>
        <w:rPr>
          <w:rFonts w:asciiTheme="minorHAnsi" w:eastAsiaTheme="minorEastAsia" w:hAnsiTheme="minorHAnsi"/>
          <w:noProof/>
          <w:sz w:val="22"/>
          <w:szCs w:val="22"/>
          <w:lang w:eastAsia="en-AU"/>
        </w:rPr>
      </w:pPr>
      <w:hyperlink w:anchor="_Toc82590366" w:history="1">
        <w:r w:rsidR="00952C58" w:rsidRPr="00466F70">
          <w:rPr>
            <w:rStyle w:val="Hyperlink"/>
            <w:noProof/>
          </w:rPr>
          <w:t xml:space="preserve">Chart 4.26 : Consumers’ preferences for future communication on </w:t>
        </w:r>
        <w:r w:rsidR="00952C58" w:rsidRPr="00466F70">
          <w:rPr>
            <w:rStyle w:val="Hyperlink"/>
            <w:rFonts w:eastAsia="Calibri" w:cs="Times New Roman"/>
            <w:noProof/>
          </w:rPr>
          <w:t>CoOL</w:t>
        </w:r>
        <w:r w:rsidR="00952C58" w:rsidRPr="00466F70">
          <w:rPr>
            <w:rStyle w:val="Hyperlink"/>
            <w:noProof/>
          </w:rPr>
          <w:t>, by method of communication</w:t>
        </w:r>
        <w:r w:rsidR="00952C58">
          <w:rPr>
            <w:noProof/>
            <w:webHidden/>
          </w:rPr>
          <w:tab/>
        </w:r>
        <w:r w:rsidR="00952C58">
          <w:rPr>
            <w:noProof/>
            <w:webHidden/>
          </w:rPr>
          <w:fldChar w:fldCharType="begin"/>
        </w:r>
        <w:r w:rsidR="00952C58">
          <w:rPr>
            <w:noProof/>
            <w:webHidden/>
          </w:rPr>
          <w:instrText xml:space="preserve"> PAGEREF _Toc82590366 \h </w:instrText>
        </w:r>
        <w:r w:rsidR="00952C58">
          <w:rPr>
            <w:noProof/>
            <w:webHidden/>
          </w:rPr>
        </w:r>
        <w:r w:rsidR="00952C58">
          <w:rPr>
            <w:noProof/>
            <w:webHidden/>
          </w:rPr>
          <w:fldChar w:fldCharType="separate"/>
        </w:r>
        <w:r w:rsidR="0017363C">
          <w:rPr>
            <w:noProof/>
            <w:webHidden/>
          </w:rPr>
          <w:t>64</w:t>
        </w:r>
        <w:r w:rsidR="00952C58">
          <w:rPr>
            <w:noProof/>
            <w:webHidden/>
          </w:rPr>
          <w:fldChar w:fldCharType="end"/>
        </w:r>
      </w:hyperlink>
    </w:p>
    <w:p w14:paraId="6823119F" w14:textId="536CD152" w:rsidR="00952C58" w:rsidRDefault="0093445A">
      <w:pPr>
        <w:pStyle w:val="TOC6"/>
        <w:rPr>
          <w:rFonts w:asciiTheme="minorHAnsi" w:eastAsiaTheme="minorEastAsia" w:hAnsiTheme="minorHAnsi"/>
          <w:noProof/>
          <w:sz w:val="22"/>
          <w:szCs w:val="22"/>
          <w:lang w:eastAsia="en-AU"/>
        </w:rPr>
      </w:pPr>
      <w:hyperlink w:anchor="_Toc82590367" w:history="1">
        <w:r w:rsidR="00952C58" w:rsidRPr="00466F70">
          <w:rPr>
            <w:rStyle w:val="Hyperlink"/>
            <w:noProof/>
          </w:rPr>
          <w:t>Chart 5.1 : CoOL non-compliance, by trader type and product type, 2018-2020</w:t>
        </w:r>
        <w:r w:rsidR="00952C58">
          <w:rPr>
            <w:noProof/>
            <w:webHidden/>
          </w:rPr>
          <w:tab/>
        </w:r>
        <w:r w:rsidR="00952C58">
          <w:rPr>
            <w:noProof/>
            <w:webHidden/>
          </w:rPr>
          <w:fldChar w:fldCharType="begin"/>
        </w:r>
        <w:r w:rsidR="00952C58">
          <w:rPr>
            <w:noProof/>
            <w:webHidden/>
          </w:rPr>
          <w:instrText xml:space="preserve"> PAGEREF _Toc82590367 \h </w:instrText>
        </w:r>
        <w:r w:rsidR="00952C58">
          <w:rPr>
            <w:noProof/>
            <w:webHidden/>
          </w:rPr>
        </w:r>
        <w:r w:rsidR="00952C58">
          <w:rPr>
            <w:noProof/>
            <w:webHidden/>
          </w:rPr>
          <w:fldChar w:fldCharType="separate"/>
        </w:r>
        <w:r w:rsidR="0017363C">
          <w:rPr>
            <w:noProof/>
            <w:webHidden/>
          </w:rPr>
          <w:t>77</w:t>
        </w:r>
        <w:r w:rsidR="00952C58">
          <w:rPr>
            <w:noProof/>
            <w:webHidden/>
          </w:rPr>
          <w:fldChar w:fldCharType="end"/>
        </w:r>
      </w:hyperlink>
    </w:p>
    <w:p w14:paraId="2467F0B5" w14:textId="74190373" w:rsidR="00952C58" w:rsidRDefault="0093445A">
      <w:pPr>
        <w:pStyle w:val="TOC6"/>
        <w:rPr>
          <w:rFonts w:asciiTheme="minorHAnsi" w:eastAsiaTheme="minorEastAsia" w:hAnsiTheme="minorHAnsi"/>
          <w:noProof/>
          <w:sz w:val="22"/>
          <w:szCs w:val="22"/>
          <w:lang w:eastAsia="en-AU"/>
        </w:rPr>
      </w:pPr>
      <w:hyperlink w:anchor="_Toc82590368" w:history="1">
        <w:r w:rsidR="00952C58" w:rsidRPr="00466F70">
          <w:rPr>
            <w:rStyle w:val="Hyperlink"/>
            <w:noProof/>
          </w:rPr>
          <w:t>Chart 5.2 : Business – extent of satisfaction with flexibility of CoOL requirements</w:t>
        </w:r>
        <w:r w:rsidR="00952C58">
          <w:rPr>
            <w:noProof/>
            <w:webHidden/>
          </w:rPr>
          <w:tab/>
        </w:r>
        <w:r w:rsidR="00952C58">
          <w:rPr>
            <w:noProof/>
            <w:webHidden/>
          </w:rPr>
          <w:fldChar w:fldCharType="begin"/>
        </w:r>
        <w:r w:rsidR="00952C58">
          <w:rPr>
            <w:noProof/>
            <w:webHidden/>
          </w:rPr>
          <w:instrText xml:space="preserve"> PAGEREF _Toc82590368 \h </w:instrText>
        </w:r>
        <w:r w:rsidR="00952C58">
          <w:rPr>
            <w:noProof/>
            <w:webHidden/>
          </w:rPr>
        </w:r>
        <w:r w:rsidR="00952C58">
          <w:rPr>
            <w:noProof/>
            <w:webHidden/>
          </w:rPr>
          <w:fldChar w:fldCharType="separate"/>
        </w:r>
        <w:r w:rsidR="0017363C">
          <w:rPr>
            <w:noProof/>
            <w:webHidden/>
          </w:rPr>
          <w:t>79</w:t>
        </w:r>
        <w:r w:rsidR="00952C58">
          <w:rPr>
            <w:noProof/>
            <w:webHidden/>
          </w:rPr>
          <w:fldChar w:fldCharType="end"/>
        </w:r>
      </w:hyperlink>
    </w:p>
    <w:p w14:paraId="428A1177" w14:textId="4E2634CB" w:rsidR="00952C58" w:rsidRDefault="0093445A">
      <w:pPr>
        <w:pStyle w:val="TOC6"/>
        <w:rPr>
          <w:rFonts w:asciiTheme="minorHAnsi" w:eastAsiaTheme="minorEastAsia" w:hAnsiTheme="minorHAnsi"/>
          <w:noProof/>
          <w:sz w:val="22"/>
          <w:szCs w:val="22"/>
          <w:lang w:eastAsia="en-AU"/>
        </w:rPr>
      </w:pPr>
      <w:hyperlink w:anchor="_Toc82590369" w:history="1">
        <w:r w:rsidR="00952C58" w:rsidRPr="00466F70">
          <w:rPr>
            <w:rStyle w:val="Hyperlink"/>
            <w:noProof/>
          </w:rPr>
          <w:t>Chart 6.1 : Effectiveness of communication provided to business about CoOL requirements</w:t>
        </w:r>
        <w:r w:rsidR="00952C58">
          <w:rPr>
            <w:noProof/>
            <w:webHidden/>
          </w:rPr>
          <w:tab/>
        </w:r>
        <w:r w:rsidR="00952C58">
          <w:rPr>
            <w:noProof/>
            <w:webHidden/>
          </w:rPr>
          <w:fldChar w:fldCharType="begin"/>
        </w:r>
        <w:r w:rsidR="00952C58">
          <w:rPr>
            <w:noProof/>
            <w:webHidden/>
          </w:rPr>
          <w:instrText xml:space="preserve"> PAGEREF _Toc82590369 \h </w:instrText>
        </w:r>
        <w:r w:rsidR="00952C58">
          <w:rPr>
            <w:noProof/>
            <w:webHidden/>
          </w:rPr>
        </w:r>
        <w:r w:rsidR="00952C58">
          <w:rPr>
            <w:noProof/>
            <w:webHidden/>
          </w:rPr>
          <w:fldChar w:fldCharType="separate"/>
        </w:r>
        <w:r w:rsidR="0017363C">
          <w:rPr>
            <w:noProof/>
            <w:webHidden/>
          </w:rPr>
          <w:t>84</w:t>
        </w:r>
        <w:r w:rsidR="00952C58">
          <w:rPr>
            <w:noProof/>
            <w:webHidden/>
          </w:rPr>
          <w:fldChar w:fldCharType="end"/>
        </w:r>
      </w:hyperlink>
    </w:p>
    <w:p w14:paraId="45CCE789" w14:textId="40F542C1" w:rsidR="00952C58" w:rsidRDefault="0093445A">
      <w:pPr>
        <w:pStyle w:val="TOC6"/>
        <w:rPr>
          <w:rFonts w:asciiTheme="minorHAnsi" w:eastAsiaTheme="minorEastAsia" w:hAnsiTheme="minorHAnsi"/>
          <w:noProof/>
          <w:sz w:val="22"/>
          <w:szCs w:val="22"/>
          <w:lang w:eastAsia="en-AU"/>
        </w:rPr>
      </w:pPr>
      <w:hyperlink w:anchor="_Toc82590370" w:history="1">
        <w:r w:rsidR="00952C58" w:rsidRPr="00466F70">
          <w:rPr>
            <w:rStyle w:val="Hyperlink"/>
            <w:noProof/>
          </w:rPr>
          <w:t>Chart 6.2 : Effectiveness of online resources for businesses, by output</w:t>
        </w:r>
        <w:r w:rsidR="00952C58">
          <w:rPr>
            <w:noProof/>
            <w:webHidden/>
          </w:rPr>
          <w:tab/>
        </w:r>
        <w:r w:rsidR="00952C58">
          <w:rPr>
            <w:noProof/>
            <w:webHidden/>
          </w:rPr>
          <w:fldChar w:fldCharType="begin"/>
        </w:r>
        <w:r w:rsidR="00952C58">
          <w:rPr>
            <w:noProof/>
            <w:webHidden/>
          </w:rPr>
          <w:instrText xml:space="preserve"> PAGEREF _Toc82590370 \h </w:instrText>
        </w:r>
        <w:r w:rsidR="00952C58">
          <w:rPr>
            <w:noProof/>
            <w:webHidden/>
          </w:rPr>
        </w:r>
        <w:r w:rsidR="00952C58">
          <w:rPr>
            <w:noProof/>
            <w:webHidden/>
          </w:rPr>
          <w:fldChar w:fldCharType="separate"/>
        </w:r>
        <w:r w:rsidR="0017363C">
          <w:rPr>
            <w:noProof/>
            <w:webHidden/>
          </w:rPr>
          <w:t>84</w:t>
        </w:r>
        <w:r w:rsidR="00952C58">
          <w:rPr>
            <w:noProof/>
            <w:webHidden/>
          </w:rPr>
          <w:fldChar w:fldCharType="end"/>
        </w:r>
      </w:hyperlink>
    </w:p>
    <w:p w14:paraId="60DB3C6C" w14:textId="7A969FF3" w:rsidR="00952C58" w:rsidRDefault="0093445A">
      <w:pPr>
        <w:pStyle w:val="TOC6"/>
        <w:rPr>
          <w:rFonts w:asciiTheme="minorHAnsi" w:eastAsiaTheme="minorEastAsia" w:hAnsiTheme="minorHAnsi"/>
          <w:noProof/>
          <w:sz w:val="22"/>
          <w:szCs w:val="22"/>
          <w:lang w:eastAsia="en-AU"/>
        </w:rPr>
      </w:pPr>
      <w:hyperlink w:anchor="_Toc82590371" w:history="1">
        <w:r w:rsidR="00952C58" w:rsidRPr="00466F70">
          <w:rPr>
            <w:rStyle w:val="Hyperlink"/>
            <w:noProof/>
          </w:rPr>
          <w:t>Chart 6.3 : Business response to whether they were aware of the two-year transition period to implement CoOL changes, by business size</w:t>
        </w:r>
        <w:r w:rsidR="00952C58">
          <w:rPr>
            <w:noProof/>
            <w:webHidden/>
          </w:rPr>
          <w:tab/>
        </w:r>
        <w:r w:rsidR="00952C58">
          <w:rPr>
            <w:noProof/>
            <w:webHidden/>
          </w:rPr>
          <w:fldChar w:fldCharType="begin"/>
        </w:r>
        <w:r w:rsidR="00952C58">
          <w:rPr>
            <w:noProof/>
            <w:webHidden/>
          </w:rPr>
          <w:instrText xml:space="preserve"> PAGEREF _Toc82590371 \h </w:instrText>
        </w:r>
        <w:r w:rsidR="00952C58">
          <w:rPr>
            <w:noProof/>
            <w:webHidden/>
          </w:rPr>
        </w:r>
        <w:r w:rsidR="00952C58">
          <w:rPr>
            <w:noProof/>
            <w:webHidden/>
          </w:rPr>
          <w:fldChar w:fldCharType="separate"/>
        </w:r>
        <w:r w:rsidR="0017363C">
          <w:rPr>
            <w:noProof/>
            <w:webHidden/>
          </w:rPr>
          <w:t>86</w:t>
        </w:r>
        <w:r w:rsidR="00952C58">
          <w:rPr>
            <w:noProof/>
            <w:webHidden/>
          </w:rPr>
          <w:fldChar w:fldCharType="end"/>
        </w:r>
      </w:hyperlink>
    </w:p>
    <w:p w14:paraId="55A9EA47" w14:textId="672111AB" w:rsidR="00952C58" w:rsidRDefault="0093445A">
      <w:pPr>
        <w:pStyle w:val="TOC6"/>
        <w:rPr>
          <w:rFonts w:asciiTheme="minorHAnsi" w:eastAsiaTheme="minorEastAsia" w:hAnsiTheme="minorHAnsi"/>
          <w:noProof/>
          <w:sz w:val="22"/>
          <w:szCs w:val="22"/>
          <w:lang w:eastAsia="en-AU"/>
        </w:rPr>
      </w:pPr>
      <w:hyperlink w:anchor="_Toc82590372" w:history="1">
        <w:r w:rsidR="00952C58" w:rsidRPr="00466F70">
          <w:rPr>
            <w:rStyle w:val="Hyperlink"/>
            <w:noProof/>
          </w:rPr>
          <w:t>Chart 6.4 : Business response to what extent the transition period of CoOL reforms enabled them to minimise implementation costs</w:t>
        </w:r>
        <w:r w:rsidR="00952C58">
          <w:rPr>
            <w:noProof/>
            <w:webHidden/>
          </w:rPr>
          <w:tab/>
        </w:r>
        <w:r w:rsidR="00952C58">
          <w:rPr>
            <w:noProof/>
            <w:webHidden/>
          </w:rPr>
          <w:fldChar w:fldCharType="begin"/>
        </w:r>
        <w:r w:rsidR="00952C58">
          <w:rPr>
            <w:noProof/>
            <w:webHidden/>
          </w:rPr>
          <w:instrText xml:space="preserve"> PAGEREF _Toc82590372 \h </w:instrText>
        </w:r>
        <w:r w:rsidR="00952C58">
          <w:rPr>
            <w:noProof/>
            <w:webHidden/>
          </w:rPr>
        </w:r>
        <w:r w:rsidR="00952C58">
          <w:rPr>
            <w:noProof/>
            <w:webHidden/>
          </w:rPr>
          <w:fldChar w:fldCharType="separate"/>
        </w:r>
        <w:r w:rsidR="0017363C">
          <w:rPr>
            <w:noProof/>
            <w:webHidden/>
          </w:rPr>
          <w:t>87</w:t>
        </w:r>
        <w:r w:rsidR="00952C58">
          <w:rPr>
            <w:noProof/>
            <w:webHidden/>
          </w:rPr>
          <w:fldChar w:fldCharType="end"/>
        </w:r>
      </w:hyperlink>
    </w:p>
    <w:p w14:paraId="728D86F9" w14:textId="43D24CEE" w:rsidR="00952C58" w:rsidRDefault="0093445A">
      <w:pPr>
        <w:pStyle w:val="TOC6"/>
        <w:rPr>
          <w:rFonts w:asciiTheme="minorHAnsi" w:eastAsiaTheme="minorEastAsia" w:hAnsiTheme="minorHAnsi"/>
          <w:noProof/>
          <w:sz w:val="22"/>
          <w:szCs w:val="22"/>
          <w:lang w:eastAsia="en-AU"/>
        </w:rPr>
      </w:pPr>
      <w:hyperlink w:anchor="_Toc82590373" w:history="1">
        <w:r w:rsidR="00952C58" w:rsidRPr="00466F70">
          <w:rPr>
            <w:rStyle w:val="Hyperlink"/>
            <w:noProof/>
          </w:rPr>
          <w:t>Chart 6.5 : Businesses response to whether the cost of implementing CoOL reforms matched expectations, by business size</w:t>
        </w:r>
        <w:r w:rsidR="00952C58">
          <w:rPr>
            <w:noProof/>
            <w:webHidden/>
          </w:rPr>
          <w:tab/>
        </w:r>
        <w:r w:rsidR="00952C58">
          <w:rPr>
            <w:noProof/>
            <w:webHidden/>
          </w:rPr>
          <w:fldChar w:fldCharType="begin"/>
        </w:r>
        <w:r w:rsidR="00952C58">
          <w:rPr>
            <w:noProof/>
            <w:webHidden/>
          </w:rPr>
          <w:instrText xml:space="preserve"> PAGEREF _Toc82590373 \h </w:instrText>
        </w:r>
        <w:r w:rsidR="00952C58">
          <w:rPr>
            <w:noProof/>
            <w:webHidden/>
          </w:rPr>
        </w:r>
        <w:r w:rsidR="00952C58">
          <w:rPr>
            <w:noProof/>
            <w:webHidden/>
          </w:rPr>
          <w:fldChar w:fldCharType="separate"/>
        </w:r>
        <w:r w:rsidR="0017363C">
          <w:rPr>
            <w:noProof/>
            <w:webHidden/>
          </w:rPr>
          <w:t>89</w:t>
        </w:r>
        <w:r w:rsidR="00952C58">
          <w:rPr>
            <w:noProof/>
            <w:webHidden/>
          </w:rPr>
          <w:fldChar w:fldCharType="end"/>
        </w:r>
      </w:hyperlink>
    </w:p>
    <w:p w14:paraId="3A7FEEDA" w14:textId="65B7F993" w:rsidR="00952C58" w:rsidRDefault="0093445A">
      <w:pPr>
        <w:pStyle w:val="TOC6"/>
        <w:rPr>
          <w:rFonts w:asciiTheme="minorHAnsi" w:eastAsiaTheme="minorEastAsia" w:hAnsiTheme="minorHAnsi"/>
          <w:noProof/>
          <w:sz w:val="22"/>
          <w:szCs w:val="22"/>
          <w:lang w:eastAsia="en-AU"/>
        </w:rPr>
      </w:pPr>
      <w:hyperlink w:anchor="_Toc82590374" w:history="1">
        <w:r w:rsidR="00952C58" w:rsidRPr="00466F70">
          <w:rPr>
            <w:rStyle w:val="Hyperlink"/>
            <w:noProof/>
          </w:rPr>
          <w:t>Chart 6.6 : Proportion of realised costs by cost type</w:t>
        </w:r>
        <w:r w:rsidR="00952C58">
          <w:rPr>
            <w:noProof/>
            <w:webHidden/>
          </w:rPr>
          <w:tab/>
        </w:r>
        <w:r w:rsidR="00952C58">
          <w:rPr>
            <w:noProof/>
            <w:webHidden/>
          </w:rPr>
          <w:fldChar w:fldCharType="begin"/>
        </w:r>
        <w:r w:rsidR="00952C58">
          <w:rPr>
            <w:noProof/>
            <w:webHidden/>
          </w:rPr>
          <w:instrText xml:space="preserve"> PAGEREF _Toc82590374 \h </w:instrText>
        </w:r>
        <w:r w:rsidR="00952C58">
          <w:rPr>
            <w:noProof/>
            <w:webHidden/>
          </w:rPr>
        </w:r>
        <w:r w:rsidR="00952C58">
          <w:rPr>
            <w:noProof/>
            <w:webHidden/>
          </w:rPr>
          <w:fldChar w:fldCharType="separate"/>
        </w:r>
        <w:r w:rsidR="0017363C">
          <w:rPr>
            <w:noProof/>
            <w:webHidden/>
          </w:rPr>
          <w:t>90</w:t>
        </w:r>
        <w:r w:rsidR="00952C58">
          <w:rPr>
            <w:noProof/>
            <w:webHidden/>
          </w:rPr>
          <w:fldChar w:fldCharType="end"/>
        </w:r>
      </w:hyperlink>
    </w:p>
    <w:p w14:paraId="58FAE65A" w14:textId="1D01C818" w:rsidR="00952C58" w:rsidRDefault="0093445A">
      <w:pPr>
        <w:pStyle w:val="TOC6"/>
        <w:rPr>
          <w:rFonts w:asciiTheme="minorHAnsi" w:eastAsiaTheme="minorEastAsia" w:hAnsiTheme="minorHAnsi"/>
          <w:noProof/>
          <w:sz w:val="22"/>
          <w:szCs w:val="22"/>
          <w:lang w:eastAsia="en-AU"/>
        </w:rPr>
      </w:pPr>
      <w:hyperlink w:anchor="_Toc82590375" w:history="1">
        <w:r w:rsidR="00952C58" w:rsidRPr="00466F70">
          <w:rPr>
            <w:rStyle w:val="Hyperlink"/>
            <w:noProof/>
          </w:rPr>
          <w:t>Chart 6.7 : Proportion of businesses that benefited from the current CoOL framework, by business size</w:t>
        </w:r>
        <w:r w:rsidR="00952C58">
          <w:rPr>
            <w:noProof/>
            <w:webHidden/>
          </w:rPr>
          <w:tab/>
        </w:r>
        <w:r w:rsidR="00952C58">
          <w:rPr>
            <w:noProof/>
            <w:webHidden/>
          </w:rPr>
          <w:fldChar w:fldCharType="begin"/>
        </w:r>
        <w:r w:rsidR="00952C58">
          <w:rPr>
            <w:noProof/>
            <w:webHidden/>
          </w:rPr>
          <w:instrText xml:space="preserve"> PAGEREF _Toc82590375 \h </w:instrText>
        </w:r>
        <w:r w:rsidR="00952C58">
          <w:rPr>
            <w:noProof/>
            <w:webHidden/>
          </w:rPr>
        </w:r>
        <w:r w:rsidR="00952C58">
          <w:rPr>
            <w:noProof/>
            <w:webHidden/>
          </w:rPr>
          <w:fldChar w:fldCharType="separate"/>
        </w:r>
        <w:r w:rsidR="0017363C">
          <w:rPr>
            <w:noProof/>
            <w:webHidden/>
          </w:rPr>
          <w:t>91</w:t>
        </w:r>
        <w:r w:rsidR="00952C58">
          <w:rPr>
            <w:noProof/>
            <w:webHidden/>
          </w:rPr>
          <w:fldChar w:fldCharType="end"/>
        </w:r>
      </w:hyperlink>
    </w:p>
    <w:p w14:paraId="2C63FDA3" w14:textId="2A0B3733" w:rsidR="00952C58" w:rsidRDefault="0093445A">
      <w:pPr>
        <w:pStyle w:val="TOC6"/>
        <w:rPr>
          <w:rFonts w:asciiTheme="minorHAnsi" w:eastAsiaTheme="minorEastAsia" w:hAnsiTheme="minorHAnsi"/>
          <w:noProof/>
          <w:sz w:val="22"/>
          <w:szCs w:val="22"/>
          <w:lang w:eastAsia="en-AU"/>
        </w:rPr>
      </w:pPr>
      <w:hyperlink w:anchor="_Toc82590376" w:history="1">
        <w:r w:rsidR="00952C58" w:rsidRPr="00466F70">
          <w:rPr>
            <w:rStyle w:val="Hyperlink"/>
            <w:noProof/>
          </w:rPr>
          <w:t>Chart 6.8 : Reported business benefits of CoOL framework from businesses that reported receiving a benefit (i.e. 22%)</w:t>
        </w:r>
        <w:r w:rsidR="00952C58">
          <w:rPr>
            <w:noProof/>
            <w:webHidden/>
          </w:rPr>
          <w:tab/>
        </w:r>
        <w:r w:rsidR="00952C58">
          <w:rPr>
            <w:noProof/>
            <w:webHidden/>
          </w:rPr>
          <w:fldChar w:fldCharType="begin"/>
        </w:r>
        <w:r w:rsidR="00952C58">
          <w:rPr>
            <w:noProof/>
            <w:webHidden/>
          </w:rPr>
          <w:instrText xml:space="preserve"> PAGEREF _Toc82590376 \h </w:instrText>
        </w:r>
        <w:r w:rsidR="00952C58">
          <w:rPr>
            <w:noProof/>
            <w:webHidden/>
          </w:rPr>
        </w:r>
        <w:r w:rsidR="00952C58">
          <w:rPr>
            <w:noProof/>
            <w:webHidden/>
          </w:rPr>
          <w:fldChar w:fldCharType="separate"/>
        </w:r>
        <w:r w:rsidR="0017363C">
          <w:rPr>
            <w:noProof/>
            <w:webHidden/>
          </w:rPr>
          <w:t>92</w:t>
        </w:r>
        <w:r w:rsidR="00952C58">
          <w:rPr>
            <w:noProof/>
            <w:webHidden/>
          </w:rPr>
          <w:fldChar w:fldCharType="end"/>
        </w:r>
      </w:hyperlink>
    </w:p>
    <w:p w14:paraId="1306221F" w14:textId="4E67EB4E" w:rsidR="00952C58" w:rsidRDefault="0093445A">
      <w:pPr>
        <w:pStyle w:val="TOC6"/>
        <w:rPr>
          <w:rFonts w:asciiTheme="minorHAnsi" w:eastAsiaTheme="minorEastAsia" w:hAnsiTheme="minorHAnsi"/>
          <w:noProof/>
          <w:sz w:val="22"/>
          <w:szCs w:val="22"/>
          <w:lang w:eastAsia="en-AU"/>
        </w:rPr>
      </w:pPr>
      <w:hyperlink w:anchor="_Toc82590377" w:history="1">
        <w:r w:rsidR="00952C58" w:rsidRPr="00466F70">
          <w:rPr>
            <w:rStyle w:val="Hyperlink"/>
            <w:noProof/>
          </w:rPr>
          <w:t>Chart 6.9 : Reported impact to businesses of CoOL reforms, by business size</w:t>
        </w:r>
        <w:r w:rsidR="00952C58">
          <w:rPr>
            <w:noProof/>
            <w:webHidden/>
          </w:rPr>
          <w:tab/>
        </w:r>
        <w:r w:rsidR="00952C58">
          <w:rPr>
            <w:noProof/>
            <w:webHidden/>
          </w:rPr>
          <w:fldChar w:fldCharType="begin"/>
        </w:r>
        <w:r w:rsidR="00952C58">
          <w:rPr>
            <w:noProof/>
            <w:webHidden/>
          </w:rPr>
          <w:instrText xml:space="preserve"> PAGEREF _Toc82590377 \h </w:instrText>
        </w:r>
        <w:r w:rsidR="00952C58">
          <w:rPr>
            <w:noProof/>
            <w:webHidden/>
          </w:rPr>
        </w:r>
        <w:r w:rsidR="00952C58">
          <w:rPr>
            <w:noProof/>
            <w:webHidden/>
          </w:rPr>
          <w:fldChar w:fldCharType="separate"/>
        </w:r>
        <w:r w:rsidR="0017363C">
          <w:rPr>
            <w:noProof/>
            <w:webHidden/>
          </w:rPr>
          <w:t>93</w:t>
        </w:r>
        <w:r w:rsidR="00952C58">
          <w:rPr>
            <w:noProof/>
            <w:webHidden/>
          </w:rPr>
          <w:fldChar w:fldCharType="end"/>
        </w:r>
      </w:hyperlink>
    </w:p>
    <w:p w14:paraId="6D57B2CF" w14:textId="34ACF3BA" w:rsidR="00952C58" w:rsidRDefault="0093445A">
      <w:pPr>
        <w:pStyle w:val="TOC6"/>
        <w:rPr>
          <w:rFonts w:asciiTheme="minorHAnsi" w:eastAsiaTheme="minorEastAsia" w:hAnsiTheme="minorHAnsi"/>
          <w:noProof/>
          <w:sz w:val="22"/>
          <w:szCs w:val="22"/>
          <w:lang w:eastAsia="en-AU"/>
        </w:rPr>
      </w:pPr>
      <w:hyperlink w:anchor="_Toc82590378" w:history="1">
        <w:r w:rsidR="00952C58" w:rsidRPr="00466F70">
          <w:rPr>
            <w:rStyle w:val="Hyperlink"/>
            <w:noProof/>
          </w:rPr>
          <w:t>Chart C.1 : Input, activity, output and outcomes across time horizon</w:t>
        </w:r>
        <w:r w:rsidR="00952C58">
          <w:rPr>
            <w:noProof/>
            <w:webHidden/>
          </w:rPr>
          <w:tab/>
        </w:r>
        <w:r w:rsidR="00952C58">
          <w:rPr>
            <w:noProof/>
            <w:webHidden/>
          </w:rPr>
          <w:fldChar w:fldCharType="begin"/>
        </w:r>
        <w:r w:rsidR="00952C58">
          <w:rPr>
            <w:noProof/>
            <w:webHidden/>
          </w:rPr>
          <w:instrText xml:space="preserve"> PAGEREF _Toc82590378 \h </w:instrText>
        </w:r>
        <w:r w:rsidR="00952C58">
          <w:rPr>
            <w:noProof/>
            <w:webHidden/>
          </w:rPr>
        </w:r>
        <w:r w:rsidR="00952C58">
          <w:rPr>
            <w:noProof/>
            <w:webHidden/>
          </w:rPr>
          <w:fldChar w:fldCharType="separate"/>
        </w:r>
        <w:r w:rsidR="0017363C">
          <w:rPr>
            <w:noProof/>
            <w:webHidden/>
          </w:rPr>
          <w:t>105</w:t>
        </w:r>
        <w:r w:rsidR="00952C58">
          <w:rPr>
            <w:noProof/>
            <w:webHidden/>
          </w:rPr>
          <w:fldChar w:fldCharType="end"/>
        </w:r>
      </w:hyperlink>
    </w:p>
    <w:p w14:paraId="5873AE34" w14:textId="5C111381" w:rsidR="00952C58" w:rsidRDefault="0093445A">
      <w:pPr>
        <w:pStyle w:val="TOC6"/>
        <w:rPr>
          <w:rFonts w:asciiTheme="minorHAnsi" w:eastAsiaTheme="minorEastAsia" w:hAnsiTheme="minorHAnsi"/>
          <w:noProof/>
          <w:sz w:val="22"/>
          <w:szCs w:val="22"/>
          <w:lang w:eastAsia="en-AU"/>
        </w:rPr>
      </w:pPr>
      <w:hyperlink w:anchor="_Toc82590379" w:history="1">
        <w:r w:rsidR="00952C58" w:rsidRPr="00466F70">
          <w:rPr>
            <w:rStyle w:val="Hyperlink"/>
            <w:noProof/>
          </w:rPr>
          <w:t>Chart C.2 : Consumer survey: participants gender</w:t>
        </w:r>
        <w:r w:rsidR="00952C58">
          <w:rPr>
            <w:noProof/>
            <w:webHidden/>
          </w:rPr>
          <w:tab/>
        </w:r>
        <w:r w:rsidR="00952C58">
          <w:rPr>
            <w:noProof/>
            <w:webHidden/>
          </w:rPr>
          <w:fldChar w:fldCharType="begin"/>
        </w:r>
        <w:r w:rsidR="00952C58">
          <w:rPr>
            <w:noProof/>
            <w:webHidden/>
          </w:rPr>
          <w:instrText xml:space="preserve"> PAGEREF _Toc82590379 \h </w:instrText>
        </w:r>
        <w:r w:rsidR="00952C58">
          <w:rPr>
            <w:noProof/>
            <w:webHidden/>
          </w:rPr>
        </w:r>
        <w:r w:rsidR="00952C58">
          <w:rPr>
            <w:noProof/>
            <w:webHidden/>
          </w:rPr>
          <w:fldChar w:fldCharType="separate"/>
        </w:r>
        <w:r w:rsidR="0017363C">
          <w:rPr>
            <w:noProof/>
            <w:webHidden/>
          </w:rPr>
          <w:t>106</w:t>
        </w:r>
        <w:r w:rsidR="00952C58">
          <w:rPr>
            <w:noProof/>
            <w:webHidden/>
          </w:rPr>
          <w:fldChar w:fldCharType="end"/>
        </w:r>
      </w:hyperlink>
    </w:p>
    <w:p w14:paraId="68EED63B" w14:textId="52377CBA" w:rsidR="00952C58" w:rsidRDefault="0093445A">
      <w:pPr>
        <w:pStyle w:val="TOC6"/>
        <w:rPr>
          <w:rFonts w:asciiTheme="minorHAnsi" w:eastAsiaTheme="minorEastAsia" w:hAnsiTheme="minorHAnsi"/>
          <w:noProof/>
          <w:sz w:val="22"/>
          <w:szCs w:val="22"/>
          <w:lang w:eastAsia="en-AU"/>
        </w:rPr>
      </w:pPr>
      <w:hyperlink w:anchor="_Toc82590380" w:history="1">
        <w:r w:rsidR="00952C58" w:rsidRPr="00466F70">
          <w:rPr>
            <w:rStyle w:val="Hyperlink"/>
            <w:noProof/>
          </w:rPr>
          <w:t>Chart C.3 : Consumer survey: participants state</w:t>
        </w:r>
        <w:r w:rsidR="00952C58">
          <w:rPr>
            <w:noProof/>
            <w:webHidden/>
          </w:rPr>
          <w:tab/>
        </w:r>
        <w:r w:rsidR="00952C58">
          <w:rPr>
            <w:noProof/>
            <w:webHidden/>
          </w:rPr>
          <w:fldChar w:fldCharType="begin"/>
        </w:r>
        <w:r w:rsidR="00952C58">
          <w:rPr>
            <w:noProof/>
            <w:webHidden/>
          </w:rPr>
          <w:instrText xml:space="preserve"> PAGEREF _Toc82590380 \h </w:instrText>
        </w:r>
        <w:r w:rsidR="00952C58">
          <w:rPr>
            <w:noProof/>
            <w:webHidden/>
          </w:rPr>
        </w:r>
        <w:r w:rsidR="00952C58">
          <w:rPr>
            <w:noProof/>
            <w:webHidden/>
          </w:rPr>
          <w:fldChar w:fldCharType="separate"/>
        </w:r>
        <w:r w:rsidR="0017363C">
          <w:rPr>
            <w:noProof/>
            <w:webHidden/>
          </w:rPr>
          <w:t>107</w:t>
        </w:r>
        <w:r w:rsidR="00952C58">
          <w:rPr>
            <w:noProof/>
            <w:webHidden/>
          </w:rPr>
          <w:fldChar w:fldCharType="end"/>
        </w:r>
      </w:hyperlink>
    </w:p>
    <w:p w14:paraId="2D9D915E" w14:textId="1056F255" w:rsidR="00952C58" w:rsidRDefault="0093445A">
      <w:pPr>
        <w:pStyle w:val="TOC6"/>
        <w:rPr>
          <w:rFonts w:asciiTheme="minorHAnsi" w:eastAsiaTheme="minorEastAsia" w:hAnsiTheme="minorHAnsi"/>
          <w:noProof/>
          <w:sz w:val="22"/>
          <w:szCs w:val="22"/>
          <w:lang w:eastAsia="en-AU"/>
        </w:rPr>
      </w:pPr>
      <w:hyperlink w:anchor="_Toc82590381" w:history="1">
        <w:r w:rsidR="00952C58" w:rsidRPr="00466F70">
          <w:rPr>
            <w:rStyle w:val="Hyperlink"/>
            <w:noProof/>
          </w:rPr>
          <w:t>Chart C.4 : Consumer survey: participants age</w:t>
        </w:r>
        <w:r w:rsidR="00952C58">
          <w:rPr>
            <w:noProof/>
            <w:webHidden/>
          </w:rPr>
          <w:tab/>
        </w:r>
        <w:r w:rsidR="00952C58">
          <w:rPr>
            <w:noProof/>
            <w:webHidden/>
          </w:rPr>
          <w:fldChar w:fldCharType="begin"/>
        </w:r>
        <w:r w:rsidR="00952C58">
          <w:rPr>
            <w:noProof/>
            <w:webHidden/>
          </w:rPr>
          <w:instrText xml:space="preserve"> PAGEREF _Toc82590381 \h </w:instrText>
        </w:r>
        <w:r w:rsidR="00952C58">
          <w:rPr>
            <w:noProof/>
            <w:webHidden/>
          </w:rPr>
        </w:r>
        <w:r w:rsidR="00952C58">
          <w:rPr>
            <w:noProof/>
            <w:webHidden/>
          </w:rPr>
          <w:fldChar w:fldCharType="separate"/>
        </w:r>
        <w:r w:rsidR="0017363C">
          <w:rPr>
            <w:noProof/>
            <w:webHidden/>
          </w:rPr>
          <w:t>107</w:t>
        </w:r>
        <w:r w:rsidR="00952C58">
          <w:rPr>
            <w:noProof/>
            <w:webHidden/>
          </w:rPr>
          <w:fldChar w:fldCharType="end"/>
        </w:r>
      </w:hyperlink>
    </w:p>
    <w:p w14:paraId="10DE8743" w14:textId="4D19E467" w:rsidR="00952C58" w:rsidRDefault="0093445A">
      <w:pPr>
        <w:pStyle w:val="TOC6"/>
        <w:rPr>
          <w:rFonts w:asciiTheme="minorHAnsi" w:eastAsiaTheme="minorEastAsia" w:hAnsiTheme="minorHAnsi"/>
          <w:noProof/>
          <w:sz w:val="22"/>
          <w:szCs w:val="22"/>
          <w:lang w:eastAsia="en-AU"/>
        </w:rPr>
      </w:pPr>
      <w:hyperlink w:anchor="_Toc82590382" w:history="1">
        <w:r w:rsidR="00952C58" w:rsidRPr="00466F70">
          <w:rPr>
            <w:rStyle w:val="Hyperlink"/>
            <w:noProof/>
          </w:rPr>
          <w:t>Chart C.5 : Consumer survey: participants region</w:t>
        </w:r>
        <w:r w:rsidR="00952C58">
          <w:rPr>
            <w:noProof/>
            <w:webHidden/>
          </w:rPr>
          <w:tab/>
        </w:r>
        <w:r w:rsidR="00952C58">
          <w:rPr>
            <w:noProof/>
            <w:webHidden/>
          </w:rPr>
          <w:fldChar w:fldCharType="begin"/>
        </w:r>
        <w:r w:rsidR="00952C58">
          <w:rPr>
            <w:noProof/>
            <w:webHidden/>
          </w:rPr>
          <w:instrText xml:space="preserve"> PAGEREF _Toc82590382 \h </w:instrText>
        </w:r>
        <w:r w:rsidR="00952C58">
          <w:rPr>
            <w:noProof/>
            <w:webHidden/>
          </w:rPr>
        </w:r>
        <w:r w:rsidR="00952C58">
          <w:rPr>
            <w:noProof/>
            <w:webHidden/>
          </w:rPr>
          <w:fldChar w:fldCharType="separate"/>
        </w:r>
        <w:r w:rsidR="0017363C">
          <w:rPr>
            <w:noProof/>
            <w:webHidden/>
          </w:rPr>
          <w:t>108</w:t>
        </w:r>
        <w:r w:rsidR="00952C58">
          <w:rPr>
            <w:noProof/>
            <w:webHidden/>
          </w:rPr>
          <w:fldChar w:fldCharType="end"/>
        </w:r>
      </w:hyperlink>
    </w:p>
    <w:p w14:paraId="43F7CD16" w14:textId="6A2BBB06" w:rsidR="00952C58" w:rsidRDefault="0093445A">
      <w:pPr>
        <w:pStyle w:val="TOC6"/>
        <w:rPr>
          <w:rFonts w:asciiTheme="minorHAnsi" w:eastAsiaTheme="minorEastAsia" w:hAnsiTheme="minorHAnsi"/>
          <w:noProof/>
          <w:sz w:val="22"/>
          <w:szCs w:val="22"/>
          <w:lang w:eastAsia="en-AU"/>
        </w:rPr>
      </w:pPr>
      <w:hyperlink w:anchor="_Toc82590383" w:history="1">
        <w:r w:rsidR="00952C58" w:rsidRPr="00466F70">
          <w:rPr>
            <w:rStyle w:val="Hyperlink"/>
            <w:noProof/>
          </w:rPr>
          <w:t>Chart C.6 : Business survey: location</w:t>
        </w:r>
        <w:r w:rsidR="00952C58">
          <w:rPr>
            <w:noProof/>
            <w:webHidden/>
          </w:rPr>
          <w:tab/>
        </w:r>
        <w:r w:rsidR="00952C58">
          <w:rPr>
            <w:noProof/>
            <w:webHidden/>
          </w:rPr>
          <w:fldChar w:fldCharType="begin"/>
        </w:r>
        <w:r w:rsidR="00952C58">
          <w:rPr>
            <w:noProof/>
            <w:webHidden/>
          </w:rPr>
          <w:instrText xml:space="preserve"> PAGEREF _Toc82590383 \h </w:instrText>
        </w:r>
        <w:r w:rsidR="00952C58">
          <w:rPr>
            <w:noProof/>
            <w:webHidden/>
          </w:rPr>
        </w:r>
        <w:r w:rsidR="00952C58">
          <w:rPr>
            <w:noProof/>
            <w:webHidden/>
          </w:rPr>
          <w:fldChar w:fldCharType="separate"/>
        </w:r>
        <w:r w:rsidR="0017363C">
          <w:rPr>
            <w:noProof/>
            <w:webHidden/>
          </w:rPr>
          <w:t>109</w:t>
        </w:r>
        <w:r w:rsidR="00952C58">
          <w:rPr>
            <w:noProof/>
            <w:webHidden/>
          </w:rPr>
          <w:fldChar w:fldCharType="end"/>
        </w:r>
      </w:hyperlink>
    </w:p>
    <w:p w14:paraId="1483A43B" w14:textId="2999E34F" w:rsidR="00952C58" w:rsidRDefault="0093445A">
      <w:pPr>
        <w:pStyle w:val="TOC6"/>
        <w:rPr>
          <w:rFonts w:asciiTheme="minorHAnsi" w:eastAsiaTheme="minorEastAsia" w:hAnsiTheme="minorHAnsi"/>
          <w:noProof/>
          <w:sz w:val="22"/>
          <w:szCs w:val="22"/>
          <w:lang w:eastAsia="en-AU"/>
        </w:rPr>
      </w:pPr>
      <w:hyperlink w:anchor="_Toc82590384" w:history="1">
        <w:r w:rsidR="00952C58" w:rsidRPr="00466F70">
          <w:rPr>
            <w:rStyle w:val="Hyperlink"/>
            <w:noProof/>
          </w:rPr>
          <w:t>Chart C.7 : Business survey: business type</w:t>
        </w:r>
        <w:r w:rsidR="00952C58">
          <w:rPr>
            <w:noProof/>
            <w:webHidden/>
          </w:rPr>
          <w:tab/>
        </w:r>
        <w:r w:rsidR="00952C58">
          <w:rPr>
            <w:noProof/>
            <w:webHidden/>
          </w:rPr>
          <w:fldChar w:fldCharType="begin"/>
        </w:r>
        <w:r w:rsidR="00952C58">
          <w:rPr>
            <w:noProof/>
            <w:webHidden/>
          </w:rPr>
          <w:instrText xml:space="preserve"> PAGEREF _Toc82590384 \h </w:instrText>
        </w:r>
        <w:r w:rsidR="00952C58">
          <w:rPr>
            <w:noProof/>
            <w:webHidden/>
          </w:rPr>
        </w:r>
        <w:r w:rsidR="00952C58">
          <w:rPr>
            <w:noProof/>
            <w:webHidden/>
          </w:rPr>
          <w:fldChar w:fldCharType="separate"/>
        </w:r>
        <w:r w:rsidR="0017363C">
          <w:rPr>
            <w:noProof/>
            <w:webHidden/>
          </w:rPr>
          <w:t>109</w:t>
        </w:r>
        <w:r w:rsidR="00952C58">
          <w:rPr>
            <w:noProof/>
            <w:webHidden/>
          </w:rPr>
          <w:fldChar w:fldCharType="end"/>
        </w:r>
      </w:hyperlink>
    </w:p>
    <w:p w14:paraId="194019BE" w14:textId="3FC374E4" w:rsidR="00952C58" w:rsidRDefault="0093445A">
      <w:pPr>
        <w:pStyle w:val="TOC6"/>
        <w:rPr>
          <w:rFonts w:asciiTheme="minorHAnsi" w:eastAsiaTheme="minorEastAsia" w:hAnsiTheme="minorHAnsi"/>
          <w:noProof/>
          <w:sz w:val="22"/>
          <w:szCs w:val="22"/>
          <w:lang w:eastAsia="en-AU"/>
        </w:rPr>
      </w:pPr>
      <w:hyperlink w:anchor="_Toc82590385" w:history="1">
        <w:r w:rsidR="00952C58" w:rsidRPr="00466F70">
          <w:rPr>
            <w:rStyle w:val="Hyperlink"/>
            <w:noProof/>
          </w:rPr>
          <w:t>Chart C.8 : Business survey: Participants business size</w:t>
        </w:r>
        <w:r w:rsidR="00952C58">
          <w:rPr>
            <w:noProof/>
            <w:webHidden/>
          </w:rPr>
          <w:tab/>
        </w:r>
        <w:r w:rsidR="00952C58">
          <w:rPr>
            <w:noProof/>
            <w:webHidden/>
          </w:rPr>
          <w:fldChar w:fldCharType="begin"/>
        </w:r>
        <w:r w:rsidR="00952C58">
          <w:rPr>
            <w:noProof/>
            <w:webHidden/>
          </w:rPr>
          <w:instrText xml:space="preserve"> PAGEREF _Toc82590385 \h </w:instrText>
        </w:r>
        <w:r w:rsidR="00952C58">
          <w:rPr>
            <w:noProof/>
            <w:webHidden/>
          </w:rPr>
        </w:r>
        <w:r w:rsidR="00952C58">
          <w:rPr>
            <w:noProof/>
            <w:webHidden/>
          </w:rPr>
          <w:fldChar w:fldCharType="separate"/>
        </w:r>
        <w:r w:rsidR="0017363C">
          <w:rPr>
            <w:noProof/>
            <w:webHidden/>
          </w:rPr>
          <w:t>110</w:t>
        </w:r>
        <w:r w:rsidR="00952C58">
          <w:rPr>
            <w:noProof/>
            <w:webHidden/>
          </w:rPr>
          <w:fldChar w:fldCharType="end"/>
        </w:r>
      </w:hyperlink>
    </w:p>
    <w:p w14:paraId="4B284B3D" w14:textId="6109617A" w:rsidR="00952C58" w:rsidRDefault="0093445A">
      <w:pPr>
        <w:pStyle w:val="TOC6"/>
        <w:rPr>
          <w:rFonts w:asciiTheme="minorHAnsi" w:eastAsiaTheme="minorEastAsia" w:hAnsiTheme="minorHAnsi"/>
          <w:noProof/>
          <w:sz w:val="22"/>
          <w:szCs w:val="22"/>
          <w:lang w:eastAsia="en-AU"/>
        </w:rPr>
      </w:pPr>
      <w:hyperlink w:anchor="_Toc82590386" w:history="1">
        <w:r w:rsidR="00952C58" w:rsidRPr="00466F70">
          <w:rPr>
            <w:rStyle w:val="Hyperlink"/>
            <w:noProof/>
          </w:rPr>
          <w:t>Chart C.9 : Business survey: what type of products businesses sell</w:t>
        </w:r>
        <w:r w:rsidR="00952C58">
          <w:rPr>
            <w:noProof/>
            <w:webHidden/>
          </w:rPr>
          <w:tab/>
        </w:r>
        <w:r w:rsidR="00952C58">
          <w:rPr>
            <w:noProof/>
            <w:webHidden/>
          </w:rPr>
          <w:fldChar w:fldCharType="begin"/>
        </w:r>
        <w:r w:rsidR="00952C58">
          <w:rPr>
            <w:noProof/>
            <w:webHidden/>
          </w:rPr>
          <w:instrText xml:space="preserve"> PAGEREF _Toc82590386 \h </w:instrText>
        </w:r>
        <w:r w:rsidR="00952C58">
          <w:rPr>
            <w:noProof/>
            <w:webHidden/>
          </w:rPr>
        </w:r>
        <w:r w:rsidR="00952C58">
          <w:rPr>
            <w:noProof/>
            <w:webHidden/>
          </w:rPr>
          <w:fldChar w:fldCharType="separate"/>
        </w:r>
        <w:r w:rsidR="0017363C">
          <w:rPr>
            <w:noProof/>
            <w:webHidden/>
          </w:rPr>
          <w:t>110</w:t>
        </w:r>
        <w:r w:rsidR="00952C58">
          <w:rPr>
            <w:noProof/>
            <w:webHidden/>
          </w:rPr>
          <w:fldChar w:fldCharType="end"/>
        </w:r>
      </w:hyperlink>
    </w:p>
    <w:p w14:paraId="63DB4C5C" w14:textId="14F78510" w:rsidR="00952C58" w:rsidRDefault="0093445A">
      <w:pPr>
        <w:pStyle w:val="TOC6"/>
        <w:rPr>
          <w:rFonts w:asciiTheme="minorHAnsi" w:eastAsiaTheme="minorEastAsia" w:hAnsiTheme="minorHAnsi"/>
          <w:noProof/>
          <w:sz w:val="22"/>
          <w:szCs w:val="22"/>
          <w:lang w:eastAsia="en-AU"/>
        </w:rPr>
      </w:pPr>
      <w:hyperlink w:anchor="_Toc82590387" w:history="1">
        <w:r w:rsidR="00952C58" w:rsidRPr="00466F70">
          <w:rPr>
            <w:rStyle w:val="Hyperlink"/>
            <w:noProof/>
          </w:rPr>
          <w:t>Chart C.10 : Business survey: participants’ percentage of products subject to CoOL</w:t>
        </w:r>
        <w:r w:rsidR="00952C58">
          <w:rPr>
            <w:noProof/>
            <w:webHidden/>
          </w:rPr>
          <w:tab/>
        </w:r>
        <w:r w:rsidR="00952C58">
          <w:rPr>
            <w:noProof/>
            <w:webHidden/>
          </w:rPr>
          <w:fldChar w:fldCharType="begin"/>
        </w:r>
        <w:r w:rsidR="00952C58">
          <w:rPr>
            <w:noProof/>
            <w:webHidden/>
          </w:rPr>
          <w:instrText xml:space="preserve"> PAGEREF _Toc82590387 \h </w:instrText>
        </w:r>
        <w:r w:rsidR="00952C58">
          <w:rPr>
            <w:noProof/>
            <w:webHidden/>
          </w:rPr>
        </w:r>
        <w:r w:rsidR="00952C58">
          <w:rPr>
            <w:noProof/>
            <w:webHidden/>
          </w:rPr>
          <w:fldChar w:fldCharType="separate"/>
        </w:r>
        <w:r w:rsidR="0017363C">
          <w:rPr>
            <w:noProof/>
            <w:webHidden/>
          </w:rPr>
          <w:t>111</w:t>
        </w:r>
        <w:r w:rsidR="00952C58">
          <w:rPr>
            <w:noProof/>
            <w:webHidden/>
          </w:rPr>
          <w:fldChar w:fldCharType="end"/>
        </w:r>
      </w:hyperlink>
    </w:p>
    <w:p w14:paraId="6F0D4028" w14:textId="1DFA51BA" w:rsidR="00952C58" w:rsidRDefault="0093445A">
      <w:pPr>
        <w:pStyle w:val="TOC6"/>
        <w:rPr>
          <w:rFonts w:asciiTheme="minorHAnsi" w:eastAsiaTheme="minorEastAsia" w:hAnsiTheme="minorHAnsi"/>
          <w:noProof/>
          <w:sz w:val="22"/>
          <w:szCs w:val="22"/>
          <w:lang w:eastAsia="en-AU"/>
        </w:rPr>
      </w:pPr>
      <w:hyperlink w:anchor="_Toc82590388" w:history="1">
        <w:r w:rsidR="00952C58" w:rsidRPr="00466F70">
          <w:rPr>
            <w:rStyle w:val="Hyperlink"/>
            <w:noProof/>
          </w:rPr>
          <w:t>Chart C.11 : Shopper interviews: participants’ state</w:t>
        </w:r>
        <w:r w:rsidR="00952C58">
          <w:rPr>
            <w:noProof/>
            <w:webHidden/>
          </w:rPr>
          <w:tab/>
        </w:r>
        <w:r w:rsidR="00952C58">
          <w:rPr>
            <w:noProof/>
            <w:webHidden/>
          </w:rPr>
          <w:fldChar w:fldCharType="begin"/>
        </w:r>
        <w:r w:rsidR="00952C58">
          <w:rPr>
            <w:noProof/>
            <w:webHidden/>
          </w:rPr>
          <w:instrText xml:space="preserve"> PAGEREF _Toc82590388 \h </w:instrText>
        </w:r>
        <w:r w:rsidR="00952C58">
          <w:rPr>
            <w:noProof/>
            <w:webHidden/>
          </w:rPr>
        </w:r>
        <w:r w:rsidR="00952C58">
          <w:rPr>
            <w:noProof/>
            <w:webHidden/>
          </w:rPr>
          <w:fldChar w:fldCharType="separate"/>
        </w:r>
        <w:r w:rsidR="0017363C">
          <w:rPr>
            <w:noProof/>
            <w:webHidden/>
          </w:rPr>
          <w:t>112</w:t>
        </w:r>
        <w:r w:rsidR="00952C58">
          <w:rPr>
            <w:noProof/>
            <w:webHidden/>
          </w:rPr>
          <w:fldChar w:fldCharType="end"/>
        </w:r>
      </w:hyperlink>
    </w:p>
    <w:p w14:paraId="6A633D75" w14:textId="471105B8" w:rsidR="00952C58" w:rsidRDefault="0093445A">
      <w:pPr>
        <w:pStyle w:val="TOC6"/>
        <w:rPr>
          <w:rFonts w:asciiTheme="minorHAnsi" w:eastAsiaTheme="minorEastAsia" w:hAnsiTheme="minorHAnsi"/>
          <w:noProof/>
          <w:sz w:val="22"/>
          <w:szCs w:val="22"/>
          <w:lang w:eastAsia="en-AU"/>
        </w:rPr>
      </w:pPr>
      <w:hyperlink w:anchor="_Toc82590389" w:history="1">
        <w:r w:rsidR="00952C58" w:rsidRPr="00466F70">
          <w:rPr>
            <w:rStyle w:val="Hyperlink"/>
            <w:noProof/>
          </w:rPr>
          <w:t>Chart C.12 : Shopper interviews: participants gender</w:t>
        </w:r>
        <w:r w:rsidR="00952C58">
          <w:rPr>
            <w:noProof/>
            <w:webHidden/>
          </w:rPr>
          <w:tab/>
        </w:r>
        <w:r w:rsidR="00952C58">
          <w:rPr>
            <w:noProof/>
            <w:webHidden/>
          </w:rPr>
          <w:fldChar w:fldCharType="begin"/>
        </w:r>
        <w:r w:rsidR="00952C58">
          <w:rPr>
            <w:noProof/>
            <w:webHidden/>
          </w:rPr>
          <w:instrText xml:space="preserve"> PAGEREF _Toc82590389 \h </w:instrText>
        </w:r>
        <w:r w:rsidR="00952C58">
          <w:rPr>
            <w:noProof/>
            <w:webHidden/>
          </w:rPr>
        </w:r>
        <w:r w:rsidR="00952C58">
          <w:rPr>
            <w:noProof/>
            <w:webHidden/>
          </w:rPr>
          <w:fldChar w:fldCharType="separate"/>
        </w:r>
        <w:r w:rsidR="0017363C">
          <w:rPr>
            <w:noProof/>
            <w:webHidden/>
          </w:rPr>
          <w:t>112</w:t>
        </w:r>
        <w:r w:rsidR="00952C58">
          <w:rPr>
            <w:noProof/>
            <w:webHidden/>
          </w:rPr>
          <w:fldChar w:fldCharType="end"/>
        </w:r>
      </w:hyperlink>
    </w:p>
    <w:p w14:paraId="7C39A650" w14:textId="0FBB81F5" w:rsidR="00952C58" w:rsidRDefault="0093445A">
      <w:pPr>
        <w:pStyle w:val="TOC6"/>
        <w:rPr>
          <w:rFonts w:asciiTheme="minorHAnsi" w:eastAsiaTheme="minorEastAsia" w:hAnsiTheme="minorHAnsi"/>
          <w:noProof/>
          <w:sz w:val="22"/>
          <w:szCs w:val="22"/>
          <w:lang w:eastAsia="en-AU"/>
        </w:rPr>
      </w:pPr>
      <w:hyperlink w:anchor="_Toc82590390" w:history="1">
        <w:r w:rsidR="00952C58" w:rsidRPr="00466F70">
          <w:rPr>
            <w:rStyle w:val="Hyperlink"/>
            <w:noProof/>
          </w:rPr>
          <w:t>Chart C.13 : Shopper interviews: participants age bracket</w:t>
        </w:r>
        <w:r w:rsidR="00952C58">
          <w:rPr>
            <w:noProof/>
            <w:webHidden/>
          </w:rPr>
          <w:tab/>
        </w:r>
        <w:r w:rsidR="00952C58">
          <w:rPr>
            <w:noProof/>
            <w:webHidden/>
          </w:rPr>
          <w:fldChar w:fldCharType="begin"/>
        </w:r>
        <w:r w:rsidR="00952C58">
          <w:rPr>
            <w:noProof/>
            <w:webHidden/>
          </w:rPr>
          <w:instrText xml:space="preserve"> PAGEREF _Toc82590390 \h </w:instrText>
        </w:r>
        <w:r w:rsidR="00952C58">
          <w:rPr>
            <w:noProof/>
            <w:webHidden/>
          </w:rPr>
        </w:r>
        <w:r w:rsidR="00952C58">
          <w:rPr>
            <w:noProof/>
            <w:webHidden/>
          </w:rPr>
          <w:fldChar w:fldCharType="separate"/>
        </w:r>
        <w:r w:rsidR="0017363C">
          <w:rPr>
            <w:noProof/>
            <w:webHidden/>
          </w:rPr>
          <w:t>113</w:t>
        </w:r>
        <w:r w:rsidR="00952C58">
          <w:rPr>
            <w:noProof/>
            <w:webHidden/>
          </w:rPr>
          <w:fldChar w:fldCharType="end"/>
        </w:r>
      </w:hyperlink>
    </w:p>
    <w:p w14:paraId="53C71663" w14:textId="4AAE5215" w:rsidR="00CC7238" w:rsidRPr="005D4236" w:rsidRDefault="00FC6122" w:rsidP="00CC7238">
      <w:pPr>
        <w:rPr>
          <w:shd w:val="clear" w:color="auto" w:fill="E6E6E6"/>
        </w:rPr>
      </w:pPr>
      <w:r w:rsidRPr="005D4236">
        <w:rPr>
          <w:shd w:val="clear" w:color="auto" w:fill="E6E6E6"/>
        </w:rPr>
        <w:fldChar w:fldCharType="end"/>
      </w:r>
    </w:p>
    <w:p w14:paraId="3E97146E" w14:textId="11352C81" w:rsidR="00CC7238" w:rsidRPr="005D4236" w:rsidRDefault="00FC6122" w:rsidP="0040128B">
      <w:pPr>
        <w:outlineLvl w:val="0"/>
        <w:rPr>
          <w:sz w:val="60"/>
          <w:szCs w:val="60"/>
        </w:rPr>
      </w:pPr>
      <w:r w:rsidRPr="005D4236">
        <w:rPr>
          <w:sz w:val="60"/>
          <w:szCs w:val="60"/>
        </w:rPr>
        <w:t>Tables</w:t>
      </w:r>
    </w:p>
    <w:p w14:paraId="3FF91785" w14:textId="77777777" w:rsidR="00CC7238" w:rsidRPr="005D4236" w:rsidRDefault="00CC7238" w:rsidP="00CC7238"/>
    <w:p w14:paraId="7315B88B" w14:textId="5B6BF286" w:rsidR="00952C58" w:rsidRDefault="00FC6122">
      <w:pPr>
        <w:pStyle w:val="TOC8"/>
        <w:rPr>
          <w:rFonts w:asciiTheme="minorHAnsi" w:eastAsiaTheme="minorEastAsia" w:hAnsiTheme="minorHAnsi"/>
          <w:noProof/>
          <w:sz w:val="22"/>
          <w:szCs w:val="22"/>
          <w:lang w:eastAsia="en-AU"/>
        </w:rPr>
      </w:pPr>
      <w:r w:rsidRPr="005D4236">
        <w:rPr>
          <w:shd w:val="clear" w:color="auto" w:fill="E6E6E6"/>
        </w:rPr>
        <w:fldChar w:fldCharType="begin"/>
      </w:r>
      <w:r w:rsidRPr="005D4236">
        <w:instrText xml:space="preserve"> TOC \h \z \t "Caption_Table,8,Exec Table Caption,8,Appendix Table Caption,8" </w:instrText>
      </w:r>
      <w:r w:rsidRPr="005D4236">
        <w:rPr>
          <w:shd w:val="clear" w:color="auto" w:fill="E6E6E6"/>
        </w:rPr>
        <w:fldChar w:fldCharType="separate"/>
      </w:r>
      <w:hyperlink w:anchor="_Toc82590391" w:history="1">
        <w:r w:rsidR="00952C58" w:rsidRPr="00A21572">
          <w:rPr>
            <w:rStyle w:val="Hyperlink"/>
            <w:noProof/>
          </w:rPr>
          <w:t>Table i : Prospective analysis summary results</w:t>
        </w:r>
        <w:r w:rsidR="00952C58">
          <w:rPr>
            <w:noProof/>
            <w:webHidden/>
          </w:rPr>
          <w:tab/>
        </w:r>
        <w:r w:rsidR="00952C58">
          <w:rPr>
            <w:noProof/>
            <w:webHidden/>
          </w:rPr>
          <w:fldChar w:fldCharType="begin"/>
        </w:r>
        <w:r w:rsidR="00952C58">
          <w:rPr>
            <w:noProof/>
            <w:webHidden/>
          </w:rPr>
          <w:instrText xml:space="preserve"> PAGEREF _Toc82590391 \h </w:instrText>
        </w:r>
        <w:r w:rsidR="00952C58">
          <w:rPr>
            <w:noProof/>
            <w:webHidden/>
          </w:rPr>
        </w:r>
        <w:r w:rsidR="00952C58">
          <w:rPr>
            <w:noProof/>
            <w:webHidden/>
          </w:rPr>
          <w:fldChar w:fldCharType="separate"/>
        </w:r>
        <w:r w:rsidR="0017363C">
          <w:rPr>
            <w:noProof/>
            <w:webHidden/>
          </w:rPr>
          <w:t>6</w:t>
        </w:r>
        <w:r w:rsidR="00952C58">
          <w:rPr>
            <w:noProof/>
            <w:webHidden/>
          </w:rPr>
          <w:fldChar w:fldCharType="end"/>
        </w:r>
      </w:hyperlink>
    </w:p>
    <w:p w14:paraId="2355B398" w14:textId="62ECDFEF" w:rsidR="00952C58" w:rsidRDefault="0093445A">
      <w:pPr>
        <w:pStyle w:val="TOC8"/>
        <w:rPr>
          <w:rFonts w:asciiTheme="minorHAnsi" w:eastAsiaTheme="minorEastAsia" w:hAnsiTheme="minorHAnsi"/>
          <w:noProof/>
          <w:sz w:val="22"/>
          <w:szCs w:val="22"/>
          <w:lang w:eastAsia="en-AU"/>
        </w:rPr>
      </w:pPr>
      <w:hyperlink w:anchor="_Toc82590392" w:history="1">
        <w:r w:rsidR="00952C58" w:rsidRPr="00A21572">
          <w:rPr>
            <w:rStyle w:val="Hyperlink"/>
            <w:noProof/>
          </w:rPr>
          <w:t>Table ii : Recommendation 1</w:t>
        </w:r>
        <w:r w:rsidR="00952C58">
          <w:rPr>
            <w:noProof/>
            <w:webHidden/>
          </w:rPr>
          <w:tab/>
        </w:r>
        <w:r w:rsidR="00952C58">
          <w:rPr>
            <w:noProof/>
            <w:webHidden/>
          </w:rPr>
          <w:fldChar w:fldCharType="begin"/>
        </w:r>
        <w:r w:rsidR="00952C58">
          <w:rPr>
            <w:noProof/>
            <w:webHidden/>
          </w:rPr>
          <w:instrText xml:space="preserve"> PAGEREF _Toc82590392 \h </w:instrText>
        </w:r>
        <w:r w:rsidR="00952C58">
          <w:rPr>
            <w:noProof/>
            <w:webHidden/>
          </w:rPr>
        </w:r>
        <w:r w:rsidR="00952C58">
          <w:rPr>
            <w:noProof/>
            <w:webHidden/>
          </w:rPr>
          <w:fldChar w:fldCharType="separate"/>
        </w:r>
        <w:r w:rsidR="0017363C">
          <w:rPr>
            <w:noProof/>
            <w:webHidden/>
          </w:rPr>
          <w:t>8</w:t>
        </w:r>
        <w:r w:rsidR="00952C58">
          <w:rPr>
            <w:noProof/>
            <w:webHidden/>
          </w:rPr>
          <w:fldChar w:fldCharType="end"/>
        </w:r>
      </w:hyperlink>
    </w:p>
    <w:p w14:paraId="29D794E1" w14:textId="22B9A3EA" w:rsidR="00952C58" w:rsidRDefault="0093445A">
      <w:pPr>
        <w:pStyle w:val="TOC8"/>
        <w:rPr>
          <w:rFonts w:asciiTheme="minorHAnsi" w:eastAsiaTheme="minorEastAsia" w:hAnsiTheme="minorHAnsi"/>
          <w:noProof/>
          <w:sz w:val="22"/>
          <w:szCs w:val="22"/>
          <w:lang w:eastAsia="en-AU"/>
        </w:rPr>
      </w:pPr>
      <w:hyperlink w:anchor="_Toc82590393" w:history="1">
        <w:r w:rsidR="00952C58" w:rsidRPr="00A21572">
          <w:rPr>
            <w:rStyle w:val="Hyperlink"/>
            <w:noProof/>
          </w:rPr>
          <w:t>Table iii : Recommendation 2</w:t>
        </w:r>
        <w:r w:rsidR="00952C58">
          <w:rPr>
            <w:noProof/>
            <w:webHidden/>
          </w:rPr>
          <w:tab/>
        </w:r>
        <w:r w:rsidR="00952C58">
          <w:rPr>
            <w:noProof/>
            <w:webHidden/>
          </w:rPr>
          <w:fldChar w:fldCharType="begin"/>
        </w:r>
        <w:r w:rsidR="00952C58">
          <w:rPr>
            <w:noProof/>
            <w:webHidden/>
          </w:rPr>
          <w:instrText xml:space="preserve"> PAGEREF _Toc82590393 \h </w:instrText>
        </w:r>
        <w:r w:rsidR="00952C58">
          <w:rPr>
            <w:noProof/>
            <w:webHidden/>
          </w:rPr>
        </w:r>
        <w:r w:rsidR="00952C58">
          <w:rPr>
            <w:noProof/>
            <w:webHidden/>
          </w:rPr>
          <w:fldChar w:fldCharType="separate"/>
        </w:r>
        <w:r w:rsidR="0017363C">
          <w:rPr>
            <w:noProof/>
            <w:webHidden/>
          </w:rPr>
          <w:t>11</w:t>
        </w:r>
        <w:r w:rsidR="00952C58">
          <w:rPr>
            <w:noProof/>
            <w:webHidden/>
          </w:rPr>
          <w:fldChar w:fldCharType="end"/>
        </w:r>
      </w:hyperlink>
    </w:p>
    <w:p w14:paraId="4E773A3A" w14:textId="03DFB0BC" w:rsidR="00952C58" w:rsidRDefault="0093445A">
      <w:pPr>
        <w:pStyle w:val="TOC8"/>
        <w:rPr>
          <w:rFonts w:asciiTheme="minorHAnsi" w:eastAsiaTheme="minorEastAsia" w:hAnsiTheme="minorHAnsi"/>
          <w:noProof/>
          <w:sz w:val="22"/>
          <w:szCs w:val="22"/>
          <w:lang w:eastAsia="en-AU"/>
        </w:rPr>
      </w:pPr>
      <w:hyperlink w:anchor="_Toc82590394" w:history="1">
        <w:r w:rsidR="00952C58" w:rsidRPr="00A21572">
          <w:rPr>
            <w:rStyle w:val="Hyperlink"/>
            <w:noProof/>
          </w:rPr>
          <w:t>Table iv : Recommendation 3</w:t>
        </w:r>
        <w:r w:rsidR="00952C58">
          <w:rPr>
            <w:noProof/>
            <w:webHidden/>
          </w:rPr>
          <w:tab/>
        </w:r>
        <w:r w:rsidR="00952C58">
          <w:rPr>
            <w:noProof/>
            <w:webHidden/>
          </w:rPr>
          <w:fldChar w:fldCharType="begin"/>
        </w:r>
        <w:r w:rsidR="00952C58">
          <w:rPr>
            <w:noProof/>
            <w:webHidden/>
          </w:rPr>
          <w:instrText xml:space="preserve"> PAGEREF _Toc82590394 \h </w:instrText>
        </w:r>
        <w:r w:rsidR="00952C58">
          <w:rPr>
            <w:noProof/>
            <w:webHidden/>
          </w:rPr>
        </w:r>
        <w:r w:rsidR="00952C58">
          <w:rPr>
            <w:noProof/>
            <w:webHidden/>
          </w:rPr>
          <w:fldChar w:fldCharType="separate"/>
        </w:r>
        <w:r w:rsidR="0017363C">
          <w:rPr>
            <w:noProof/>
            <w:webHidden/>
          </w:rPr>
          <w:t>12</w:t>
        </w:r>
        <w:r w:rsidR="00952C58">
          <w:rPr>
            <w:noProof/>
            <w:webHidden/>
          </w:rPr>
          <w:fldChar w:fldCharType="end"/>
        </w:r>
      </w:hyperlink>
    </w:p>
    <w:p w14:paraId="4F01AFA4" w14:textId="0B359F04" w:rsidR="00952C58" w:rsidRDefault="0093445A">
      <w:pPr>
        <w:pStyle w:val="TOC8"/>
        <w:rPr>
          <w:rFonts w:asciiTheme="minorHAnsi" w:eastAsiaTheme="minorEastAsia" w:hAnsiTheme="minorHAnsi"/>
          <w:noProof/>
          <w:sz w:val="22"/>
          <w:szCs w:val="22"/>
          <w:lang w:eastAsia="en-AU"/>
        </w:rPr>
      </w:pPr>
      <w:hyperlink w:anchor="_Toc82590395" w:history="1">
        <w:r w:rsidR="00952C58" w:rsidRPr="00A21572">
          <w:rPr>
            <w:rStyle w:val="Hyperlink"/>
            <w:noProof/>
          </w:rPr>
          <w:t>Table v : Recommendation 4</w:t>
        </w:r>
        <w:r w:rsidR="00952C58">
          <w:rPr>
            <w:noProof/>
            <w:webHidden/>
          </w:rPr>
          <w:tab/>
        </w:r>
        <w:r w:rsidR="00952C58">
          <w:rPr>
            <w:noProof/>
            <w:webHidden/>
          </w:rPr>
          <w:fldChar w:fldCharType="begin"/>
        </w:r>
        <w:r w:rsidR="00952C58">
          <w:rPr>
            <w:noProof/>
            <w:webHidden/>
          </w:rPr>
          <w:instrText xml:space="preserve"> PAGEREF _Toc82590395 \h </w:instrText>
        </w:r>
        <w:r w:rsidR="00952C58">
          <w:rPr>
            <w:noProof/>
            <w:webHidden/>
          </w:rPr>
        </w:r>
        <w:r w:rsidR="00952C58">
          <w:rPr>
            <w:noProof/>
            <w:webHidden/>
          </w:rPr>
          <w:fldChar w:fldCharType="separate"/>
        </w:r>
        <w:r w:rsidR="0017363C">
          <w:rPr>
            <w:noProof/>
            <w:webHidden/>
          </w:rPr>
          <w:t>14</w:t>
        </w:r>
        <w:r w:rsidR="00952C58">
          <w:rPr>
            <w:noProof/>
            <w:webHidden/>
          </w:rPr>
          <w:fldChar w:fldCharType="end"/>
        </w:r>
      </w:hyperlink>
    </w:p>
    <w:p w14:paraId="0EBC07FD" w14:textId="6EF7960B" w:rsidR="00952C58" w:rsidRDefault="0093445A">
      <w:pPr>
        <w:pStyle w:val="TOC8"/>
        <w:rPr>
          <w:rFonts w:asciiTheme="minorHAnsi" w:eastAsiaTheme="minorEastAsia" w:hAnsiTheme="minorHAnsi"/>
          <w:noProof/>
          <w:sz w:val="22"/>
          <w:szCs w:val="22"/>
          <w:lang w:eastAsia="en-AU"/>
        </w:rPr>
      </w:pPr>
      <w:hyperlink w:anchor="_Toc82590396" w:history="1">
        <w:r w:rsidR="00952C58" w:rsidRPr="00A21572">
          <w:rPr>
            <w:rStyle w:val="Hyperlink"/>
            <w:noProof/>
          </w:rPr>
          <w:t>Table vi : Recommendation 5</w:t>
        </w:r>
        <w:r w:rsidR="00952C58">
          <w:rPr>
            <w:noProof/>
            <w:webHidden/>
          </w:rPr>
          <w:tab/>
        </w:r>
        <w:r w:rsidR="00952C58">
          <w:rPr>
            <w:noProof/>
            <w:webHidden/>
          </w:rPr>
          <w:fldChar w:fldCharType="begin"/>
        </w:r>
        <w:r w:rsidR="00952C58">
          <w:rPr>
            <w:noProof/>
            <w:webHidden/>
          </w:rPr>
          <w:instrText xml:space="preserve"> PAGEREF _Toc82590396 \h </w:instrText>
        </w:r>
        <w:r w:rsidR="00952C58">
          <w:rPr>
            <w:noProof/>
            <w:webHidden/>
          </w:rPr>
        </w:r>
        <w:r w:rsidR="00952C58">
          <w:rPr>
            <w:noProof/>
            <w:webHidden/>
          </w:rPr>
          <w:fldChar w:fldCharType="separate"/>
        </w:r>
        <w:r w:rsidR="0017363C">
          <w:rPr>
            <w:noProof/>
            <w:webHidden/>
          </w:rPr>
          <w:t>15</w:t>
        </w:r>
        <w:r w:rsidR="00952C58">
          <w:rPr>
            <w:noProof/>
            <w:webHidden/>
          </w:rPr>
          <w:fldChar w:fldCharType="end"/>
        </w:r>
      </w:hyperlink>
    </w:p>
    <w:p w14:paraId="5E8B2D7B" w14:textId="6B4842A8" w:rsidR="00952C58" w:rsidRDefault="0093445A">
      <w:pPr>
        <w:pStyle w:val="TOC8"/>
        <w:rPr>
          <w:rFonts w:asciiTheme="minorHAnsi" w:eastAsiaTheme="minorEastAsia" w:hAnsiTheme="minorHAnsi"/>
          <w:noProof/>
          <w:sz w:val="22"/>
          <w:szCs w:val="22"/>
          <w:lang w:eastAsia="en-AU"/>
        </w:rPr>
      </w:pPr>
      <w:hyperlink w:anchor="_Toc82590397" w:history="1">
        <w:r w:rsidR="00952C58" w:rsidRPr="00A21572">
          <w:rPr>
            <w:rStyle w:val="Hyperlink"/>
            <w:noProof/>
          </w:rPr>
          <w:t>Table vii : Recommendation 6</w:t>
        </w:r>
        <w:r w:rsidR="00952C58">
          <w:rPr>
            <w:noProof/>
            <w:webHidden/>
          </w:rPr>
          <w:tab/>
        </w:r>
        <w:r w:rsidR="00952C58">
          <w:rPr>
            <w:noProof/>
            <w:webHidden/>
          </w:rPr>
          <w:fldChar w:fldCharType="begin"/>
        </w:r>
        <w:r w:rsidR="00952C58">
          <w:rPr>
            <w:noProof/>
            <w:webHidden/>
          </w:rPr>
          <w:instrText xml:space="preserve"> PAGEREF _Toc82590397 \h </w:instrText>
        </w:r>
        <w:r w:rsidR="00952C58">
          <w:rPr>
            <w:noProof/>
            <w:webHidden/>
          </w:rPr>
        </w:r>
        <w:r w:rsidR="00952C58">
          <w:rPr>
            <w:noProof/>
            <w:webHidden/>
          </w:rPr>
          <w:fldChar w:fldCharType="separate"/>
        </w:r>
        <w:r w:rsidR="0017363C">
          <w:rPr>
            <w:noProof/>
            <w:webHidden/>
          </w:rPr>
          <w:t>16</w:t>
        </w:r>
        <w:r w:rsidR="00952C58">
          <w:rPr>
            <w:noProof/>
            <w:webHidden/>
          </w:rPr>
          <w:fldChar w:fldCharType="end"/>
        </w:r>
      </w:hyperlink>
    </w:p>
    <w:p w14:paraId="1C5CA6D8" w14:textId="75209A3A" w:rsidR="00952C58" w:rsidRDefault="0093445A">
      <w:pPr>
        <w:pStyle w:val="TOC8"/>
        <w:rPr>
          <w:rFonts w:asciiTheme="minorHAnsi" w:eastAsiaTheme="minorEastAsia" w:hAnsiTheme="minorHAnsi"/>
          <w:noProof/>
          <w:sz w:val="22"/>
          <w:szCs w:val="22"/>
          <w:lang w:eastAsia="en-AU"/>
        </w:rPr>
      </w:pPr>
      <w:hyperlink w:anchor="_Toc82590398" w:history="1">
        <w:r w:rsidR="00952C58" w:rsidRPr="00A21572">
          <w:rPr>
            <w:rStyle w:val="Hyperlink"/>
            <w:noProof/>
          </w:rPr>
          <w:t>Table 1.1 : Evaluation questions</w:t>
        </w:r>
        <w:r w:rsidR="00952C58">
          <w:rPr>
            <w:noProof/>
            <w:webHidden/>
          </w:rPr>
          <w:tab/>
        </w:r>
        <w:r w:rsidR="00952C58">
          <w:rPr>
            <w:noProof/>
            <w:webHidden/>
          </w:rPr>
          <w:fldChar w:fldCharType="begin"/>
        </w:r>
        <w:r w:rsidR="00952C58">
          <w:rPr>
            <w:noProof/>
            <w:webHidden/>
          </w:rPr>
          <w:instrText xml:space="preserve"> PAGEREF _Toc82590398 \h </w:instrText>
        </w:r>
        <w:r w:rsidR="00952C58">
          <w:rPr>
            <w:noProof/>
            <w:webHidden/>
          </w:rPr>
        </w:r>
        <w:r w:rsidR="00952C58">
          <w:rPr>
            <w:noProof/>
            <w:webHidden/>
          </w:rPr>
          <w:fldChar w:fldCharType="separate"/>
        </w:r>
        <w:r w:rsidR="0017363C">
          <w:rPr>
            <w:noProof/>
            <w:webHidden/>
          </w:rPr>
          <w:t>20</w:t>
        </w:r>
        <w:r w:rsidR="00952C58">
          <w:rPr>
            <w:noProof/>
            <w:webHidden/>
          </w:rPr>
          <w:fldChar w:fldCharType="end"/>
        </w:r>
      </w:hyperlink>
    </w:p>
    <w:p w14:paraId="29797A2C" w14:textId="18B4A450" w:rsidR="00952C58" w:rsidRDefault="0093445A">
      <w:pPr>
        <w:pStyle w:val="TOC8"/>
        <w:rPr>
          <w:rFonts w:asciiTheme="minorHAnsi" w:eastAsiaTheme="minorEastAsia" w:hAnsiTheme="minorHAnsi"/>
          <w:noProof/>
          <w:sz w:val="22"/>
          <w:szCs w:val="22"/>
          <w:lang w:eastAsia="en-AU"/>
        </w:rPr>
      </w:pPr>
      <w:hyperlink w:anchor="_Toc82590399" w:history="1">
        <w:r w:rsidR="00952C58" w:rsidRPr="00A21572">
          <w:rPr>
            <w:rStyle w:val="Hyperlink"/>
            <w:noProof/>
          </w:rPr>
          <w:t>Table 1.2 : CBA options</w:t>
        </w:r>
        <w:r w:rsidR="00952C58">
          <w:rPr>
            <w:noProof/>
            <w:webHidden/>
          </w:rPr>
          <w:tab/>
        </w:r>
        <w:r w:rsidR="00952C58">
          <w:rPr>
            <w:noProof/>
            <w:webHidden/>
          </w:rPr>
          <w:fldChar w:fldCharType="begin"/>
        </w:r>
        <w:r w:rsidR="00952C58">
          <w:rPr>
            <w:noProof/>
            <w:webHidden/>
          </w:rPr>
          <w:instrText xml:space="preserve"> PAGEREF _Toc82590399 \h </w:instrText>
        </w:r>
        <w:r w:rsidR="00952C58">
          <w:rPr>
            <w:noProof/>
            <w:webHidden/>
          </w:rPr>
        </w:r>
        <w:r w:rsidR="00952C58">
          <w:rPr>
            <w:noProof/>
            <w:webHidden/>
          </w:rPr>
          <w:fldChar w:fldCharType="separate"/>
        </w:r>
        <w:r w:rsidR="0017363C">
          <w:rPr>
            <w:noProof/>
            <w:webHidden/>
          </w:rPr>
          <w:t>22</w:t>
        </w:r>
        <w:r w:rsidR="00952C58">
          <w:rPr>
            <w:noProof/>
            <w:webHidden/>
          </w:rPr>
          <w:fldChar w:fldCharType="end"/>
        </w:r>
      </w:hyperlink>
    </w:p>
    <w:p w14:paraId="3450AB53" w14:textId="406682A9" w:rsidR="00952C58" w:rsidRDefault="0093445A">
      <w:pPr>
        <w:pStyle w:val="TOC8"/>
        <w:rPr>
          <w:rFonts w:asciiTheme="minorHAnsi" w:eastAsiaTheme="minorEastAsia" w:hAnsiTheme="minorHAnsi"/>
          <w:noProof/>
          <w:sz w:val="22"/>
          <w:szCs w:val="22"/>
          <w:lang w:eastAsia="en-AU"/>
        </w:rPr>
      </w:pPr>
      <w:hyperlink w:anchor="_Toc82590400" w:history="1">
        <w:r w:rsidR="00952C58" w:rsidRPr="00A21572">
          <w:rPr>
            <w:rStyle w:val="Hyperlink"/>
            <w:noProof/>
          </w:rPr>
          <w:t>Table A.1 : Cross-country comparison of key features of other schemes</w:t>
        </w:r>
        <w:r w:rsidR="00952C58">
          <w:rPr>
            <w:noProof/>
            <w:webHidden/>
          </w:rPr>
          <w:tab/>
        </w:r>
        <w:r w:rsidR="00952C58">
          <w:rPr>
            <w:noProof/>
            <w:webHidden/>
          </w:rPr>
          <w:fldChar w:fldCharType="begin"/>
        </w:r>
        <w:r w:rsidR="00952C58">
          <w:rPr>
            <w:noProof/>
            <w:webHidden/>
          </w:rPr>
          <w:instrText xml:space="preserve"> PAGEREF _Toc82590400 \h </w:instrText>
        </w:r>
        <w:r w:rsidR="00952C58">
          <w:rPr>
            <w:noProof/>
            <w:webHidden/>
          </w:rPr>
        </w:r>
        <w:r w:rsidR="00952C58">
          <w:rPr>
            <w:noProof/>
            <w:webHidden/>
          </w:rPr>
          <w:fldChar w:fldCharType="separate"/>
        </w:r>
        <w:r w:rsidR="0017363C">
          <w:rPr>
            <w:noProof/>
            <w:webHidden/>
          </w:rPr>
          <w:t>97</w:t>
        </w:r>
        <w:r w:rsidR="00952C58">
          <w:rPr>
            <w:noProof/>
            <w:webHidden/>
          </w:rPr>
          <w:fldChar w:fldCharType="end"/>
        </w:r>
      </w:hyperlink>
    </w:p>
    <w:p w14:paraId="15C9519E" w14:textId="600F6F58" w:rsidR="00952C58" w:rsidRDefault="0093445A">
      <w:pPr>
        <w:pStyle w:val="TOC8"/>
        <w:rPr>
          <w:rFonts w:asciiTheme="minorHAnsi" w:eastAsiaTheme="minorEastAsia" w:hAnsiTheme="minorHAnsi"/>
          <w:noProof/>
          <w:sz w:val="22"/>
          <w:szCs w:val="22"/>
          <w:lang w:eastAsia="en-AU"/>
        </w:rPr>
      </w:pPr>
      <w:hyperlink w:anchor="_Toc82590401" w:history="1">
        <w:r w:rsidR="00952C58" w:rsidRPr="00A21572">
          <w:rPr>
            <w:rStyle w:val="Hyperlink"/>
            <w:noProof/>
          </w:rPr>
          <w:t>Table B.1 : Performance indicator and data framework</w:t>
        </w:r>
        <w:r w:rsidR="00952C58">
          <w:rPr>
            <w:noProof/>
            <w:webHidden/>
          </w:rPr>
          <w:tab/>
        </w:r>
        <w:r w:rsidR="00952C58">
          <w:rPr>
            <w:noProof/>
            <w:webHidden/>
          </w:rPr>
          <w:fldChar w:fldCharType="begin"/>
        </w:r>
        <w:r w:rsidR="00952C58">
          <w:rPr>
            <w:noProof/>
            <w:webHidden/>
          </w:rPr>
          <w:instrText xml:space="preserve"> PAGEREF _Toc82590401 \h </w:instrText>
        </w:r>
        <w:r w:rsidR="00952C58">
          <w:rPr>
            <w:noProof/>
            <w:webHidden/>
          </w:rPr>
        </w:r>
        <w:r w:rsidR="00952C58">
          <w:rPr>
            <w:noProof/>
            <w:webHidden/>
          </w:rPr>
          <w:fldChar w:fldCharType="separate"/>
        </w:r>
        <w:r w:rsidR="0017363C">
          <w:rPr>
            <w:noProof/>
            <w:webHidden/>
          </w:rPr>
          <w:t>100</w:t>
        </w:r>
        <w:r w:rsidR="00952C58">
          <w:rPr>
            <w:noProof/>
            <w:webHidden/>
          </w:rPr>
          <w:fldChar w:fldCharType="end"/>
        </w:r>
      </w:hyperlink>
    </w:p>
    <w:p w14:paraId="674CD24B" w14:textId="77581135" w:rsidR="00952C58" w:rsidRDefault="0093445A">
      <w:pPr>
        <w:pStyle w:val="TOC8"/>
        <w:rPr>
          <w:rFonts w:asciiTheme="minorHAnsi" w:eastAsiaTheme="minorEastAsia" w:hAnsiTheme="minorHAnsi"/>
          <w:noProof/>
          <w:sz w:val="22"/>
          <w:szCs w:val="22"/>
          <w:lang w:eastAsia="en-AU"/>
        </w:rPr>
      </w:pPr>
      <w:hyperlink w:anchor="_Toc82590402" w:history="1">
        <w:r w:rsidR="00952C58" w:rsidRPr="00A21572">
          <w:rPr>
            <w:rStyle w:val="Hyperlink"/>
            <w:noProof/>
          </w:rPr>
          <w:t>Table E.1 : Key findings of this evaluation</w:t>
        </w:r>
        <w:r w:rsidR="00952C58">
          <w:rPr>
            <w:noProof/>
            <w:webHidden/>
          </w:rPr>
          <w:tab/>
        </w:r>
        <w:r w:rsidR="00952C58">
          <w:rPr>
            <w:noProof/>
            <w:webHidden/>
          </w:rPr>
          <w:fldChar w:fldCharType="begin"/>
        </w:r>
        <w:r w:rsidR="00952C58">
          <w:rPr>
            <w:noProof/>
            <w:webHidden/>
          </w:rPr>
          <w:instrText xml:space="preserve"> PAGEREF _Toc82590402 \h </w:instrText>
        </w:r>
        <w:r w:rsidR="00952C58">
          <w:rPr>
            <w:noProof/>
            <w:webHidden/>
          </w:rPr>
        </w:r>
        <w:r w:rsidR="00952C58">
          <w:rPr>
            <w:noProof/>
            <w:webHidden/>
          </w:rPr>
          <w:fldChar w:fldCharType="separate"/>
        </w:r>
        <w:r w:rsidR="0017363C">
          <w:rPr>
            <w:noProof/>
            <w:webHidden/>
          </w:rPr>
          <w:t>115</w:t>
        </w:r>
        <w:r w:rsidR="00952C58">
          <w:rPr>
            <w:noProof/>
            <w:webHidden/>
          </w:rPr>
          <w:fldChar w:fldCharType="end"/>
        </w:r>
      </w:hyperlink>
    </w:p>
    <w:p w14:paraId="3311411A" w14:textId="092C746C" w:rsidR="00FC6122" w:rsidRPr="005D4236" w:rsidRDefault="00FC6122" w:rsidP="00FC6122">
      <w:r w:rsidRPr="005D4236">
        <w:rPr>
          <w:shd w:val="clear" w:color="auto" w:fill="E6E6E6"/>
        </w:rPr>
        <w:fldChar w:fldCharType="end"/>
      </w:r>
    </w:p>
    <w:p w14:paraId="37FB4B47" w14:textId="77777777" w:rsidR="00FC6122" w:rsidRPr="005D4236" w:rsidRDefault="00FC6122" w:rsidP="00FC6122"/>
    <w:p w14:paraId="3E83AB8C" w14:textId="77777777" w:rsidR="00FC6122" w:rsidRPr="005D4236" w:rsidRDefault="00FC6122" w:rsidP="0040128B">
      <w:pPr>
        <w:pStyle w:val="TOCHeading"/>
        <w:outlineLvl w:val="0"/>
      </w:pPr>
      <w:r w:rsidRPr="005D4236">
        <w:t>Figures</w:t>
      </w:r>
    </w:p>
    <w:p w14:paraId="05B74FDD" w14:textId="73B11194" w:rsidR="00952C58" w:rsidRDefault="00FC6122">
      <w:pPr>
        <w:pStyle w:val="TOC7"/>
        <w:rPr>
          <w:rFonts w:asciiTheme="minorHAnsi" w:eastAsiaTheme="minorEastAsia" w:hAnsiTheme="minorHAnsi"/>
          <w:noProof/>
          <w:sz w:val="22"/>
          <w:szCs w:val="22"/>
          <w:lang w:eastAsia="en-AU"/>
        </w:rPr>
      </w:pPr>
      <w:r w:rsidRPr="005D4236">
        <w:rPr>
          <w:shd w:val="clear" w:color="auto" w:fill="E6E6E6"/>
        </w:rPr>
        <w:fldChar w:fldCharType="begin"/>
      </w:r>
      <w:r w:rsidRPr="005D4236">
        <w:instrText xml:space="preserve"> TOC \o "7-7" \h \z \t "Caption_Figure,7,Exec Figure Caption,7,Appendix Figure Caption,7" </w:instrText>
      </w:r>
      <w:r w:rsidRPr="005D4236">
        <w:rPr>
          <w:shd w:val="clear" w:color="auto" w:fill="E6E6E6"/>
        </w:rPr>
        <w:fldChar w:fldCharType="separate"/>
      </w:r>
      <w:hyperlink w:anchor="_Toc82590403" w:history="1">
        <w:r w:rsidR="00952C58" w:rsidRPr="00FB7C51">
          <w:rPr>
            <w:rStyle w:val="Hyperlink"/>
            <w:noProof/>
          </w:rPr>
          <w:t>Figure 2.1 : Structure of evaluation framework</w:t>
        </w:r>
        <w:r w:rsidR="00952C58">
          <w:rPr>
            <w:noProof/>
            <w:webHidden/>
          </w:rPr>
          <w:tab/>
        </w:r>
        <w:r w:rsidR="00952C58">
          <w:rPr>
            <w:noProof/>
            <w:webHidden/>
          </w:rPr>
          <w:fldChar w:fldCharType="begin"/>
        </w:r>
        <w:r w:rsidR="00952C58">
          <w:rPr>
            <w:noProof/>
            <w:webHidden/>
          </w:rPr>
          <w:instrText xml:space="preserve"> PAGEREF _Toc82590403 \h </w:instrText>
        </w:r>
        <w:r w:rsidR="00952C58">
          <w:rPr>
            <w:noProof/>
            <w:webHidden/>
          </w:rPr>
        </w:r>
        <w:r w:rsidR="00952C58">
          <w:rPr>
            <w:noProof/>
            <w:webHidden/>
          </w:rPr>
          <w:fldChar w:fldCharType="separate"/>
        </w:r>
        <w:r w:rsidR="0017363C">
          <w:rPr>
            <w:noProof/>
            <w:webHidden/>
          </w:rPr>
          <w:t>23</w:t>
        </w:r>
        <w:r w:rsidR="00952C58">
          <w:rPr>
            <w:noProof/>
            <w:webHidden/>
          </w:rPr>
          <w:fldChar w:fldCharType="end"/>
        </w:r>
      </w:hyperlink>
    </w:p>
    <w:p w14:paraId="647F7240" w14:textId="6BB9AA9A" w:rsidR="00952C58" w:rsidRDefault="0093445A">
      <w:pPr>
        <w:pStyle w:val="TOC7"/>
        <w:rPr>
          <w:rFonts w:asciiTheme="minorHAnsi" w:eastAsiaTheme="minorEastAsia" w:hAnsiTheme="minorHAnsi"/>
          <w:noProof/>
          <w:sz w:val="22"/>
          <w:szCs w:val="22"/>
          <w:lang w:eastAsia="en-AU"/>
        </w:rPr>
      </w:pPr>
      <w:hyperlink w:anchor="_Toc82590404" w:history="1">
        <w:r w:rsidR="00952C58" w:rsidRPr="00FB7C51">
          <w:rPr>
            <w:rStyle w:val="Hyperlink"/>
            <w:noProof/>
          </w:rPr>
          <w:t>Figure D.1 : Excerpt from Information Standard in Section 3: Definition of fruit and vegetable juices and drinks</w:t>
        </w:r>
        <w:r w:rsidR="00952C58">
          <w:rPr>
            <w:noProof/>
            <w:webHidden/>
          </w:rPr>
          <w:tab/>
        </w:r>
        <w:r w:rsidR="00952C58">
          <w:rPr>
            <w:noProof/>
            <w:webHidden/>
          </w:rPr>
          <w:fldChar w:fldCharType="begin"/>
        </w:r>
        <w:r w:rsidR="00952C58">
          <w:rPr>
            <w:noProof/>
            <w:webHidden/>
          </w:rPr>
          <w:instrText xml:space="preserve"> PAGEREF _Toc82590404 \h </w:instrText>
        </w:r>
        <w:r w:rsidR="00952C58">
          <w:rPr>
            <w:noProof/>
            <w:webHidden/>
          </w:rPr>
        </w:r>
        <w:r w:rsidR="00952C58">
          <w:rPr>
            <w:noProof/>
            <w:webHidden/>
          </w:rPr>
          <w:fldChar w:fldCharType="separate"/>
        </w:r>
        <w:r w:rsidR="0017363C">
          <w:rPr>
            <w:noProof/>
            <w:webHidden/>
          </w:rPr>
          <w:t>114</w:t>
        </w:r>
        <w:r w:rsidR="00952C58">
          <w:rPr>
            <w:noProof/>
            <w:webHidden/>
          </w:rPr>
          <w:fldChar w:fldCharType="end"/>
        </w:r>
      </w:hyperlink>
    </w:p>
    <w:p w14:paraId="1BAD0C89" w14:textId="084EFE75" w:rsidR="00FC6122" w:rsidRPr="005D4236" w:rsidRDefault="00FC6122" w:rsidP="00FC6122">
      <w:r w:rsidRPr="005D4236">
        <w:rPr>
          <w:shd w:val="clear" w:color="auto" w:fill="E6E6E6"/>
        </w:rPr>
        <w:fldChar w:fldCharType="end"/>
      </w:r>
    </w:p>
    <w:bookmarkEnd w:id="2"/>
    <w:p w14:paraId="58C6ACD3" w14:textId="77777777" w:rsidR="00F9113D" w:rsidRPr="005D4236" w:rsidRDefault="00F9113D" w:rsidP="00485C27"/>
    <w:p w14:paraId="0B286A87" w14:textId="77777777" w:rsidR="00F9113D" w:rsidRPr="005D4236" w:rsidRDefault="00F9113D" w:rsidP="00485C27">
      <w:pPr>
        <w:sectPr w:rsidR="00F9113D" w:rsidRPr="005D4236" w:rsidSect="005F043A">
          <w:headerReference w:type="even" r:id="rId20"/>
          <w:footerReference w:type="default" r:id="rId21"/>
          <w:headerReference w:type="first" r:id="rId22"/>
          <w:pgSz w:w="11906" w:h="16838" w:code="9"/>
          <w:pgMar w:top="1440" w:right="1440" w:bottom="1440" w:left="1440" w:header="680" w:footer="425" w:gutter="0"/>
          <w:cols w:space="284"/>
          <w:noEndnote/>
          <w:docGrid w:linePitch="360"/>
        </w:sectPr>
      </w:pPr>
    </w:p>
    <w:p w14:paraId="288B7265" w14:textId="77777777" w:rsidR="00BF3260" w:rsidRPr="005D4236" w:rsidRDefault="00BF3260" w:rsidP="00BF3260">
      <w:pPr>
        <w:pStyle w:val="Heading1un-numbered"/>
      </w:pPr>
      <w:bookmarkStart w:id="3" w:name="_Toc462313127"/>
      <w:bookmarkStart w:id="4" w:name="_Toc462317836"/>
      <w:bookmarkStart w:id="5" w:name="_Toc462397801"/>
      <w:bookmarkStart w:id="6" w:name="_Toc463002428"/>
      <w:bookmarkStart w:id="7" w:name="_Toc472586340"/>
      <w:bookmarkStart w:id="8" w:name="_Toc482168118"/>
      <w:bookmarkStart w:id="9" w:name="_Toc482174905"/>
      <w:bookmarkStart w:id="10" w:name="_Toc67499027"/>
      <w:bookmarkStart w:id="11" w:name="_Toc94702024"/>
      <w:r w:rsidRPr="005D4236">
        <w:lastRenderedPageBreak/>
        <w:t>Glossary</w:t>
      </w:r>
      <w:bookmarkEnd w:id="3"/>
      <w:bookmarkEnd w:id="4"/>
      <w:bookmarkEnd w:id="5"/>
      <w:bookmarkEnd w:id="6"/>
      <w:bookmarkEnd w:id="7"/>
      <w:bookmarkEnd w:id="8"/>
      <w:bookmarkEnd w:id="9"/>
      <w:bookmarkEnd w:id="10"/>
      <w:bookmarkEnd w:id="11"/>
    </w:p>
    <w:tbl>
      <w:tblPr>
        <w:tblStyle w:val="Deloittetable"/>
        <w:tblW w:w="5000" w:type="pct"/>
        <w:tblLook w:val="04A0" w:firstRow="1" w:lastRow="0" w:firstColumn="1" w:lastColumn="0" w:noHBand="0" w:noVBand="1"/>
      </w:tblPr>
      <w:tblGrid>
        <w:gridCol w:w="1843"/>
        <w:gridCol w:w="7183"/>
      </w:tblGrid>
      <w:tr w:rsidR="00BF3260" w:rsidRPr="004B4D01" w14:paraId="5CE12B44" w14:textId="77777777" w:rsidTr="006E1BCA">
        <w:trPr>
          <w:cnfStyle w:val="100000000000" w:firstRow="1" w:lastRow="0" w:firstColumn="0" w:lastColumn="0" w:oddVBand="0" w:evenVBand="0" w:oddHBand="0" w:evenHBand="0" w:firstRowFirstColumn="0" w:firstRowLastColumn="0" w:lastRowFirstColumn="0" w:lastRowLastColumn="0"/>
        </w:trPr>
        <w:tc>
          <w:tcPr>
            <w:tcW w:w="1021" w:type="pct"/>
            <w:tcBorders>
              <w:top w:val="single" w:sz="24" w:space="0" w:color="012169" w:themeColor="accent4"/>
            </w:tcBorders>
          </w:tcPr>
          <w:p w14:paraId="08B04CC2" w14:textId="77777777" w:rsidR="00BF3260" w:rsidRPr="00021D50" w:rsidRDefault="002B4164" w:rsidP="005D550E">
            <w:pPr>
              <w:pStyle w:val="TabletextLeft"/>
              <w:rPr>
                <w:b/>
              </w:rPr>
            </w:pPr>
            <w:r w:rsidRPr="00021D50">
              <w:rPr>
                <w:b/>
              </w:rPr>
              <w:t>Acronym</w:t>
            </w:r>
          </w:p>
        </w:tc>
        <w:tc>
          <w:tcPr>
            <w:tcW w:w="3979" w:type="pct"/>
            <w:tcBorders>
              <w:top w:val="single" w:sz="24" w:space="0" w:color="012169" w:themeColor="accent4"/>
            </w:tcBorders>
          </w:tcPr>
          <w:p w14:paraId="6E7D6D90" w14:textId="77777777" w:rsidR="00BF3260" w:rsidRPr="00021D50" w:rsidRDefault="002B4164" w:rsidP="005D550E">
            <w:pPr>
              <w:pStyle w:val="TabletextLeft"/>
              <w:rPr>
                <w:b/>
              </w:rPr>
            </w:pPr>
            <w:r w:rsidRPr="00021D50">
              <w:rPr>
                <w:b/>
              </w:rPr>
              <w:t>Full name</w:t>
            </w:r>
          </w:p>
        </w:tc>
      </w:tr>
      <w:tr w:rsidR="00566BEF" w:rsidRPr="004B4D01" w14:paraId="64577868" w14:textId="77777777" w:rsidTr="007A53B1">
        <w:tc>
          <w:tcPr>
            <w:tcW w:w="1021" w:type="pct"/>
          </w:tcPr>
          <w:p w14:paraId="1C6DA699" w14:textId="77777777" w:rsidR="00566BEF" w:rsidRPr="005D550E" w:rsidRDefault="00C47720" w:rsidP="00566BEF">
            <w:pPr>
              <w:pStyle w:val="TabletextLeft"/>
            </w:pPr>
            <w:r w:rsidRPr="005777FC">
              <w:t>ABF</w:t>
            </w:r>
          </w:p>
        </w:tc>
        <w:tc>
          <w:tcPr>
            <w:tcW w:w="3979" w:type="pct"/>
          </w:tcPr>
          <w:p w14:paraId="359D0862" w14:textId="3664C033" w:rsidR="00566BEF" w:rsidRPr="005D550E" w:rsidRDefault="00C47720" w:rsidP="00CC363A">
            <w:pPr>
              <w:pStyle w:val="TabletextLeft"/>
            </w:pPr>
            <w:r w:rsidRPr="005777FC">
              <w:t xml:space="preserve">Australian </w:t>
            </w:r>
            <w:r w:rsidR="00CC363A">
              <w:t>Border</w:t>
            </w:r>
            <w:r w:rsidR="00CC363A" w:rsidRPr="005777FC">
              <w:t xml:space="preserve"> </w:t>
            </w:r>
            <w:r w:rsidRPr="005777FC">
              <w:t>Force</w:t>
            </w:r>
          </w:p>
        </w:tc>
      </w:tr>
      <w:tr w:rsidR="00CB7AFC" w:rsidRPr="004B4D01" w14:paraId="250A0C4B" w14:textId="77777777" w:rsidTr="007A53B1">
        <w:tc>
          <w:tcPr>
            <w:tcW w:w="1021" w:type="pct"/>
          </w:tcPr>
          <w:p w14:paraId="1D0141FA" w14:textId="16BD3D87" w:rsidR="00CB7AFC" w:rsidRPr="005777FC" w:rsidRDefault="00CB7AFC" w:rsidP="00CB7AFC">
            <w:pPr>
              <w:pStyle w:val="TabletextLeft"/>
            </w:pPr>
            <w:r w:rsidRPr="0006516C">
              <w:t>ABS</w:t>
            </w:r>
          </w:p>
        </w:tc>
        <w:tc>
          <w:tcPr>
            <w:tcW w:w="3979" w:type="pct"/>
          </w:tcPr>
          <w:p w14:paraId="544CE56B" w14:textId="74EE3018" w:rsidR="00CB7AFC" w:rsidRPr="005777FC" w:rsidRDefault="00CB7AFC" w:rsidP="00CB7AFC">
            <w:pPr>
              <w:pStyle w:val="TabletextLeft"/>
            </w:pPr>
            <w:r w:rsidRPr="0006516C">
              <w:t xml:space="preserve">Australian Bureau of Statistics </w:t>
            </w:r>
          </w:p>
        </w:tc>
      </w:tr>
      <w:tr w:rsidR="00CB7AFC" w:rsidRPr="004B4D01" w14:paraId="0BAA7EFA" w14:textId="77777777" w:rsidTr="007A53B1">
        <w:tc>
          <w:tcPr>
            <w:tcW w:w="1021" w:type="pct"/>
          </w:tcPr>
          <w:p w14:paraId="3283446B" w14:textId="70B7F091" w:rsidR="00CB7AFC" w:rsidRPr="005777FC" w:rsidRDefault="00CB7AFC" w:rsidP="00CB7AFC">
            <w:pPr>
              <w:pStyle w:val="TabletextLeft"/>
            </w:pPr>
            <w:r w:rsidRPr="0006516C">
              <w:t>ABARES</w:t>
            </w:r>
          </w:p>
        </w:tc>
        <w:tc>
          <w:tcPr>
            <w:tcW w:w="3979" w:type="pct"/>
          </w:tcPr>
          <w:p w14:paraId="70E49163" w14:textId="5B94E196" w:rsidR="00CB7AFC" w:rsidRPr="005777FC" w:rsidRDefault="00CB7AFC" w:rsidP="00CB7AFC">
            <w:pPr>
              <w:pStyle w:val="TabletextLeft"/>
            </w:pPr>
            <w:r w:rsidRPr="0006516C">
              <w:t>Australian Bureau of Agricultural and Resource Economics</w:t>
            </w:r>
          </w:p>
        </w:tc>
      </w:tr>
      <w:tr w:rsidR="00566BEF" w:rsidRPr="004B4D01" w14:paraId="1B5EDDAB" w14:textId="77777777" w:rsidTr="007A53B1">
        <w:tc>
          <w:tcPr>
            <w:tcW w:w="1021" w:type="pct"/>
          </w:tcPr>
          <w:p w14:paraId="0AB321B3" w14:textId="77777777" w:rsidR="00566BEF" w:rsidRPr="005D550E" w:rsidRDefault="00C47720" w:rsidP="00566BEF">
            <w:pPr>
              <w:pStyle w:val="TabletextLeft"/>
            </w:pPr>
            <w:r w:rsidRPr="005777FC">
              <w:t>ACCC</w:t>
            </w:r>
          </w:p>
        </w:tc>
        <w:tc>
          <w:tcPr>
            <w:tcW w:w="3979" w:type="pct"/>
          </w:tcPr>
          <w:p w14:paraId="1520836E" w14:textId="77777777" w:rsidR="00566BEF" w:rsidRPr="005D550E" w:rsidRDefault="00C47720" w:rsidP="00566BEF">
            <w:pPr>
              <w:pStyle w:val="TabletextLeft"/>
            </w:pPr>
            <w:r w:rsidRPr="005777FC">
              <w:t xml:space="preserve">Australian Competition and Consumer Commission  </w:t>
            </w:r>
          </w:p>
        </w:tc>
      </w:tr>
      <w:tr w:rsidR="00566BEF" w:rsidRPr="004B4D01" w14:paraId="36C7BAA5" w14:textId="77777777" w:rsidTr="007A53B1">
        <w:tc>
          <w:tcPr>
            <w:tcW w:w="1021" w:type="pct"/>
          </w:tcPr>
          <w:p w14:paraId="216AA045" w14:textId="77777777" w:rsidR="00566BEF" w:rsidRPr="005D550E" w:rsidRDefault="00C47720" w:rsidP="00566BEF">
            <w:pPr>
              <w:pStyle w:val="TabletextLeft"/>
            </w:pPr>
            <w:r w:rsidRPr="005777FC">
              <w:t>ACL</w:t>
            </w:r>
          </w:p>
        </w:tc>
        <w:tc>
          <w:tcPr>
            <w:tcW w:w="3979" w:type="pct"/>
          </w:tcPr>
          <w:p w14:paraId="129344EC" w14:textId="77777777" w:rsidR="00566BEF" w:rsidRPr="005D550E" w:rsidRDefault="00C47720" w:rsidP="00566BEF">
            <w:pPr>
              <w:pStyle w:val="TabletextLeft"/>
            </w:pPr>
            <w:r w:rsidRPr="005777FC">
              <w:t xml:space="preserve">Australian Consumer Law </w:t>
            </w:r>
          </w:p>
        </w:tc>
      </w:tr>
      <w:tr w:rsidR="00566BEF" w:rsidRPr="004B4D01" w14:paraId="3CA01911" w14:textId="77777777" w:rsidTr="007A53B1">
        <w:tc>
          <w:tcPr>
            <w:tcW w:w="1021" w:type="pct"/>
          </w:tcPr>
          <w:p w14:paraId="27502C87" w14:textId="77777777" w:rsidR="00566BEF" w:rsidRPr="005D550E" w:rsidRDefault="00C47720" w:rsidP="00566BEF">
            <w:pPr>
              <w:pStyle w:val="TabletextLeft"/>
            </w:pPr>
            <w:r w:rsidRPr="005777FC">
              <w:t>AFGC</w:t>
            </w:r>
          </w:p>
        </w:tc>
        <w:tc>
          <w:tcPr>
            <w:tcW w:w="3979" w:type="pct"/>
          </w:tcPr>
          <w:p w14:paraId="49C8EFB0" w14:textId="77777777" w:rsidR="00566BEF" w:rsidRPr="005D550E" w:rsidRDefault="00C47720" w:rsidP="00566BEF">
            <w:pPr>
              <w:pStyle w:val="TabletextLeft"/>
            </w:pPr>
            <w:r w:rsidRPr="005777FC">
              <w:t>Australian Food and Grocery Council</w:t>
            </w:r>
          </w:p>
        </w:tc>
      </w:tr>
      <w:tr w:rsidR="00566BEF" w:rsidRPr="004B4D01" w14:paraId="32841103" w14:textId="77777777" w:rsidTr="007A53B1">
        <w:tc>
          <w:tcPr>
            <w:tcW w:w="1021" w:type="pct"/>
          </w:tcPr>
          <w:p w14:paraId="678CC6AD" w14:textId="77777777" w:rsidR="00566BEF" w:rsidRPr="005D550E" w:rsidRDefault="00C47720" w:rsidP="00566BEF">
            <w:pPr>
              <w:pStyle w:val="TabletextLeft"/>
            </w:pPr>
            <w:r w:rsidRPr="005777FC">
              <w:t>AMAG</w:t>
            </w:r>
          </w:p>
        </w:tc>
        <w:tc>
          <w:tcPr>
            <w:tcW w:w="3979" w:type="pct"/>
          </w:tcPr>
          <w:p w14:paraId="1EAEC9E5" w14:textId="77777777" w:rsidR="00566BEF" w:rsidRPr="005D550E" w:rsidRDefault="00C47720" w:rsidP="00566BEF">
            <w:pPr>
              <w:pStyle w:val="TabletextLeft"/>
            </w:pPr>
            <w:r w:rsidRPr="005777FC">
              <w:t>Australian Made Australian Grown</w:t>
            </w:r>
          </w:p>
        </w:tc>
      </w:tr>
      <w:tr w:rsidR="00566BEF" w:rsidRPr="004B4D01" w14:paraId="3976B7D0" w14:textId="77777777" w:rsidTr="007A53B1">
        <w:tc>
          <w:tcPr>
            <w:tcW w:w="1021" w:type="pct"/>
          </w:tcPr>
          <w:p w14:paraId="0F8D6A1F" w14:textId="77777777" w:rsidR="00566BEF" w:rsidRPr="005D550E" w:rsidRDefault="00C47720" w:rsidP="00566BEF">
            <w:pPr>
              <w:pStyle w:val="TabletextLeft"/>
            </w:pPr>
            <w:r w:rsidRPr="005777FC">
              <w:t>AMCL</w:t>
            </w:r>
          </w:p>
        </w:tc>
        <w:tc>
          <w:tcPr>
            <w:tcW w:w="3979" w:type="pct"/>
          </w:tcPr>
          <w:p w14:paraId="3F2CEC6C" w14:textId="77777777" w:rsidR="00566BEF" w:rsidRPr="005D550E" w:rsidRDefault="00C47720" w:rsidP="00566BEF">
            <w:pPr>
              <w:pStyle w:val="TabletextLeft"/>
            </w:pPr>
            <w:r w:rsidRPr="005777FC">
              <w:t xml:space="preserve">Australian Made Campaign Limited </w:t>
            </w:r>
          </w:p>
        </w:tc>
      </w:tr>
      <w:tr w:rsidR="00566BEF" w:rsidRPr="004B4D01" w14:paraId="4A5B7915" w14:textId="77777777" w:rsidTr="007A53B1">
        <w:tc>
          <w:tcPr>
            <w:tcW w:w="1021" w:type="pct"/>
          </w:tcPr>
          <w:p w14:paraId="1A767278" w14:textId="77777777" w:rsidR="00566BEF" w:rsidRPr="005D550E" w:rsidRDefault="00C47720" w:rsidP="00566BEF">
            <w:pPr>
              <w:pStyle w:val="TabletextLeft"/>
            </w:pPr>
            <w:r w:rsidRPr="005777FC">
              <w:t>AMIC</w:t>
            </w:r>
          </w:p>
        </w:tc>
        <w:tc>
          <w:tcPr>
            <w:tcW w:w="3979" w:type="pct"/>
          </w:tcPr>
          <w:p w14:paraId="4D121925" w14:textId="77777777" w:rsidR="00566BEF" w:rsidRPr="005D550E" w:rsidRDefault="00C47720" w:rsidP="00566BEF">
            <w:pPr>
              <w:pStyle w:val="TabletextLeft"/>
            </w:pPr>
            <w:r w:rsidRPr="005777FC">
              <w:t xml:space="preserve">Australian </w:t>
            </w:r>
            <w:r w:rsidR="00655677">
              <w:t>M</w:t>
            </w:r>
            <w:r w:rsidRPr="005777FC">
              <w:t xml:space="preserve">eat Industry Council </w:t>
            </w:r>
          </w:p>
        </w:tc>
      </w:tr>
      <w:tr w:rsidR="00566BEF" w:rsidRPr="004B4D01" w14:paraId="3611DBC3" w14:textId="77777777" w:rsidTr="007A53B1">
        <w:tc>
          <w:tcPr>
            <w:tcW w:w="1021" w:type="pct"/>
          </w:tcPr>
          <w:p w14:paraId="3240EFE6" w14:textId="7379E741" w:rsidR="00566BEF" w:rsidRPr="005D550E" w:rsidRDefault="00C47720" w:rsidP="00566BEF">
            <w:pPr>
              <w:pStyle w:val="TabletextLeft"/>
            </w:pPr>
            <w:r w:rsidRPr="005777FC">
              <w:t>AP</w:t>
            </w:r>
            <w:r w:rsidR="00CC363A">
              <w:t>L</w:t>
            </w:r>
          </w:p>
        </w:tc>
        <w:tc>
          <w:tcPr>
            <w:tcW w:w="3979" w:type="pct"/>
          </w:tcPr>
          <w:p w14:paraId="00401929" w14:textId="77777777" w:rsidR="00566BEF" w:rsidRPr="005D550E" w:rsidRDefault="00C47720" w:rsidP="00566BEF">
            <w:pPr>
              <w:pStyle w:val="TabletextLeft"/>
            </w:pPr>
            <w:r w:rsidRPr="005777FC">
              <w:t xml:space="preserve">Australian Pork Limited </w:t>
            </w:r>
          </w:p>
        </w:tc>
      </w:tr>
      <w:tr w:rsidR="00566BEF" w:rsidRPr="004B4D01" w14:paraId="07608914" w14:textId="77777777" w:rsidTr="007A53B1">
        <w:tc>
          <w:tcPr>
            <w:tcW w:w="1021" w:type="pct"/>
          </w:tcPr>
          <w:p w14:paraId="5E02098C" w14:textId="77777777" w:rsidR="00566BEF" w:rsidRPr="005D550E" w:rsidRDefault="00C47720" w:rsidP="00566BEF">
            <w:pPr>
              <w:pStyle w:val="TabletextLeft"/>
            </w:pPr>
            <w:r w:rsidRPr="005777FC">
              <w:t>BCR</w:t>
            </w:r>
          </w:p>
        </w:tc>
        <w:tc>
          <w:tcPr>
            <w:tcW w:w="3979" w:type="pct"/>
          </w:tcPr>
          <w:p w14:paraId="0F3535E0" w14:textId="0B540CA8" w:rsidR="00566BEF" w:rsidRPr="005D550E" w:rsidRDefault="00C47720" w:rsidP="00CC363A">
            <w:pPr>
              <w:pStyle w:val="TabletextLeft"/>
            </w:pPr>
            <w:r w:rsidRPr="005777FC">
              <w:t xml:space="preserve">Benefit cost ratio </w:t>
            </w:r>
          </w:p>
        </w:tc>
      </w:tr>
      <w:tr w:rsidR="00566BEF" w:rsidRPr="004B4D01" w14:paraId="7C21A193" w14:textId="77777777" w:rsidTr="007A53B1">
        <w:tc>
          <w:tcPr>
            <w:tcW w:w="1021" w:type="pct"/>
          </w:tcPr>
          <w:p w14:paraId="1D77684F" w14:textId="77777777" w:rsidR="00566BEF" w:rsidRPr="005D550E" w:rsidRDefault="00C47720" w:rsidP="00566BEF">
            <w:pPr>
              <w:pStyle w:val="TabletextLeft"/>
            </w:pPr>
            <w:r w:rsidRPr="005777FC">
              <w:t>CAF</w:t>
            </w:r>
          </w:p>
        </w:tc>
        <w:tc>
          <w:tcPr>
            <w:tcW w:w="3979" w:type="pct"/>
          </w:tcPr>
          <w:p w14:paraId="08E96057" w14:textId="77777777" w:rsidR="00566BEF" w:rsidRPr="005D550E" w:rsidRDefault="00C47720" w:rsidP="00566BEF">
            <w:pPr>
              <w:pStyle w:val="TabletextLeft"/>
            </w:pPr>
            <w:r w:rsidRPr="005777FC">
              <w:t>Consumer Affairs Forum</w:t>
            </w:r>
          </w:p>
        </w:tc>
      </w:tr>
      <w:tr w:rsidR="00566BEF" w:rsidRPr="004B4D01" w14:paraId="3FC540EB" w14:textId="77777777" w:rsidTr="007A53B1">
        <w:tc>
          <w:tcPr>
            <w:tcW w:w="1021" w:type="pct"/>
          </w:tcPr>
          <w:p w14:paraId="3140788B" w14:textId="77777777" w:rsidR="00566BEF" w:rsidRPr="005D550E" w:rsidRDefault="00C47720" w:rsidP="00566BEF">
            <w:pPr>
              <w:pStyle w:val="TabletextLeft"/>
            </w:pPr>
            <w:r w:rsidRPr="005777FC">
              <w:t>CAGR</w:t>
            </w:r>
          </w:p>
        </w:tc>
        <w:tc>
          <w:tcPr>
            <w:tcW w:w="3979" w:type="pct"/>
          </w:tcPr>
          <w:p w14:paraId="115D34F4" w14:textId="7D562105" w:rsidR="00566BEF" w:rsidRPr="005D550E" w:rsidRDefault="00C47720" w:rsidP="00CC363A">
            <w:pPr>
              <w:pStyle w:val="TabletextLeft"/>
            </w:pPr>
            <w:r w:rsidRPr="005777FC">
              <w:t>Constant annual growth rate</w:t>
            </w:r>
          </w:p>
        </w:tc>
      </w:tr>
      <w:tr w:rsidR="00566BEF" w:rsidRPr="004B4D01" w14:paraId="58C4274D" w14:textId="77777777" w:rsidTr="007A53B1">
        <w:tc>
          <w:tcPr>
            <w:tcW w:w="1021" w:type="pct"/>
          </w:tcPr>
          <w:p w14:paraId="0D584DC4" w14:textId="77777777" w:rsidR="00566BEF" w:rsidRPr="005D550E" w:rsidRDefault="00C47720" w:rsidP="00566BEF">
            <w:pPr>
              <w:pStyle w:val="TabletextLeft"/>
            </w:pPr>
            <w:r w:rsidRPr="005777FC">
              <w:t>CALD</w:t>
            </w:r>
          </w:p>
        </w:tc>
        <w:tc>
          <w:tcPr>
            <w:tcW w:w="3979" w:type="pct"/>
          </w:tcPr>
          <w:p w14:paraId="0FAC1C3E" w14:textId="77777777" w:rsidR="00566BEF" w:rsidRPr="005D550E" w:rsidRDefault="00C47720" w:rsidP="00566BEF">
            <w:pPr>
              <w:pStyle w:val="TabletextLeft"/>
            </w:pPr>
            <w:r w:rsidRPr="005777FC">
              <w:t>Culturally and linguistically diverse</w:t>
            </w:r>
          </w:p>
        </w:tc>
      </w:tr>
      <w:tr w:rsidR="00566BEF" w:rsidRPr="004B4D01" w14:paraId="7A16C65F" w14:textId="77777777" w:rsidTr="007A53B1">
        <w:tc>
          <w:tcPr>
            <w:tcW w:w="1021" w:type="pct"/>
          </w:tcPr>
          <w:p w14:paraId="78249853" w14:textId="77777777" w:rsidR="00566BEF" w:rsidRPr="005D550E" w:rsidRDefault="00C47720" w:rsidP="00566BEF">
            <w:pPr>
              <w:pStyle w:val="TabletextLeft"/>
            </w:pPr>
            <w:r w:rsidRPr="005777FC">
              <w:t>CBA</w:t>
            </w:r>
          </w:p>
        </w:tc>
        <w:tc>
          <w:tcPr>
            <w:tcW w:w="3979" w:type="pct"/>
          </w:tcPr>
          <w:p w14:paraId="2EF4A2D0" w14:textId="7D9D11A7" w:rsidR="00566BEF" w:rsidRPr="005D550E" w:rsidRDefault="00C47720" w:rsidP="00CC363A">
            <w:pPr>
              <w:pStyle w:val="TabletextLeft"/>
            </w:pPr>
            <w:r w:rsidRPr="005777FC">
              <w:t xml:space="preserve">Cost benefit analysis  </w:t>
            </w:r>
          </w:p>
        </w:tc>
      </w:tr>
      <w:tr w:rsidR="00566BEF" w:rsidRPr="004B4D01" w14:paraId="3F7C6CE3" w14:textId="77777777" w:rsidTr="007A53B1">
        <w:tc>
          <w:tcPr>
            <w:tcW w:w="1021" w:type="pct"/>
          </w:tcPr>
          <w:p w14:paraId="56C52F49" w14:textId="77777777" w:rsidR="00566BEF" w:rsidRPr="005D550E" w:rsidRDefault="00C47720" w:rsidP="00566BEF">
            <w:pPr>
              <w:pStyle w:val="TabletextLeft"/>
            </w:pPr>
            <w:r w:rsidRPr="005777FC">
              <w:t>CFA</w:t>
            </w:r>
          </w:p>
        </w:tc>
        <w:tc>
          <w:tcPr>
            <w:tcW w:w="3979" w:type="pct"/>
          </w:tcPr>
          <w:p w14:paraId="65B3D843" w14:textId="77777777" w:rsidR="00566BEF" w:rsidRPr="005D550E" w:rsidRDefault="00C47720" w:rsidP="00566BEF">
            <w:pPr>
              <w:pStyle w:val="TabletextLeft"/>
            </w:pPr>
            <w:r w:rsidRPr="005777FC">
              <w:t xml:space="preserve">Consumers’ Federation of Australia  </w:t>
            </w:r>
          </w:p>
        </w:tc>
      </w:tr>
      <w:tr w:rsidR="00566BEF" w:rsidRPr="004B4D01" w14:paraId="3D02D5B7" w14:textId="77777777" w:rsidTr="007A53B1">
        <w:tc>
          <w:tcPr>
            <w:tcW w:w="1021" w:type="pct"/>
          </w:tcPr>
          <w:p w14:paraId="236A258C" w14:textId="77777777" w:rsidR="00566BEF" w:rsidRPr="005D550E" w:rsidRDefault="00C47720" w:rsidP="00566BEF">
            <w:pPr>
              <w:pStyle w:val="TabletextLeft"/>
            </w:pPr>
            <w:r w:rsidRPr="005777FC">
              <w:t>CoOL</w:t>
            </w:r>
          </w:p>
        </w:tc>
        <w:tc>
          <w:tcPr>
            <w:tcW w:w="3979" w:type="pct"/>
          </w:tcPr>
          <w:p w14:paraId="3A2F209C" w14:textId="77777777" w:rsidR="00566BEF" w:rsidRPr="005D550E" w:rsidRDefault="00C47720" w:rsidP="00566BEF">
            <w:pPr>
              <w:pStyle w:val="TabletextLeft"/>
            </w:pPr>
            <w:r w:rsidRPr="005777FC">
              <w:t>Country of Origin Labelling</w:t>
            </w:r>
          </w:p>
        </w:tc>
      </w:tr>
      <w:tr w:rsidR="00566BEF" w:rsidRPr="004B4D01" w14:paraId="2CD6CB2F" w14:textId="77777777" w:rsidTr="007A53B1">
        <w:tc>
          <w:tcPr>
            <w:tcW w:w="1021" w:type="pct"/>
          </w:tcPr>
          <w:p w14:paraId="30CDAD8A" w14:textId="77777777" w:rsidR="00566BEF" w:rsidRPr="005D550E" w:rsidRDefault="00C47720" w:rsidP="00566BEF">
            <w:pPr>
              <w:pStyle w:val="TabletextLeft"/>
            </w:pPr>
            <w:r w:rsidRPr="005777FC">
              <w:t>DAWE</w:t>
            </w:r>
          </w:p>
        </w:tc>
        <w:tc>
          <w:tcPr>
            <w:tcW w:w="3979" w:type="pct"/>
          </w:tcPr>
          <w:p w14:paraId="5D875BBA" w14:textId="5F7CE638" w:rsidR="00566BEF" w:rsidRPr="005D550E" w:rsidRDefault="00C47720" w:rsidP="00566BEF">
            <w:pPr>
              <w:pStyle w:val="TabletextLeft"/>
            </w:pPr>
            <w:r w:rsidRPr="005777FC">
              <w:t xml:space="preserve">Department of Agriculture, Water and the Environment </w:t>
            </w:r>
          </w:p>
        </w:tc>
      </w:tr>
      <w:tr w:rsidR="00566BEF" w:rsidRPr="004B4D01" w14:paraId="1783C528" w14:textId="77777777" w:rsidTr="007A53B1">
        <w:tc>
          <w:tcPr>
            <w:tcW w:w="1021" w:type="pct"/>
          </w:tcPr>
          <w:p w14:paraId="473D9108" w14:textId="77777777" w:rsidR="00566BEF" w:rsidRPr="005D550E" w:rsidRDefault="00C47720" w:rsidP="00566BEF">
            <w:pPr>
              <w:pStyle w:val="TabletextLeft"/>
            </w:pPr>
            <w:r w:rsidRPr="005777FC">
              <w:t>DISER</w:t>
            </w:r>
          </w:p>
        </w:tc>
        <w:tc>
          <w:tcPr>
            <w:tcW w:w="3979" w:type="pct"/>
          </w:tcPr>
          <w:p w14:paraId="1FF1BA46" w14:textId="5598EDC0" w:rsidR="00566BEF" w:rsidRPr="005D550E" w:rsidRDefault="00C47720" w:rsidP="00566BEF">
            <w:pPr>
              <w:pStyle w:val="TabletextLeft"/>
            </w:pPr>
            <w:r w:rsidRPr="005777FC">
              <w:t xml:space="preserve">Department of Industry, Science, Energy and Resources </w:t>
            </w:r>
          </w:p>
        </w:tc>
      </w:tr>
      <w:tr w:rsidR="00566BEF" w:rsidRPr="004B4D01" w14:paraId="7190E950" w14:textId="77777777" w:rsidTr="007A53B1">
        <w:tc>
          <w:tcPr>
            <w:tcW w:w="1021" w:type="pct"/>
          </w:tcPr>
          <w:p w14:paraId="2E2B0353" w14:textId="77777777" w:rsidR="00566BEF" w:rsidRPr="005D550E" w:rsidRDefault="00C47720" w:rsidP="00566BEF">
            <w:pPr>
              <w:pStyle w:val="TabletextLeft"/>
            </w:pPr>
            <w:r w:rsidRPr="005777FC">
              <w:t>FBIA</w:t>
            </w:r>
          </w:p>
        </w:tc>
        <w:tc>
          <w:tcPr>
            <w:tcW w:w="3979" w:type="pct"/>
          </w:tcPr>
          <w:p w14:paraId="432B5CB8" w14:textId="77777777" w:rsidR="00566BEF" w:rsidRPr="005D550E" w:rsidRDefault="00C47720" w:rsidP="00566BEF">
            <w:pPr>
              <w:pStyle w:val="TabletextLeft"/>
            </w:pPr>
            <w:r w:rsidRPr="005777FC">
              <w:t xml:space="preserve">Food and Beverage Importers Association </w:t>
            </w:r>
          </w:p>
        </w:tc>
      </w:tr>
      <w:tr w:rsidR="00EE5806" w:rsidRPr="004B4D01" w14:paraId="00976A7F" w14:textId="77777777" w:rsidTr="007A53B1">
        <w:tc>
          <w:tcPr>
            <w:tcW w:w="1021" w:type="pct"/>
          </w:tcPr>
          <w:p w14:paraId="67F36A7A" w14:textId="435F13C6" w:rsidR="00EE5806" w:rsidRPr="005777FC" w:rsidRDefault="00EE5806" w:rsidP="00EE5806">
            <w:pPr>
              <w:pStyle w:val="TabletextLeft"/>
            </w:pPr>
            <w:r w:rsidRPr="00294443">
              <w:t>FRDC</w:t>
            </w:r>
          </w:p>
        </w:tc>
        <w:tc>
          <w:tcPr>
            <w:tcW w:w="3979" w:type="pct"/>
          </w:tcPr>
          <w:p w14:paraId="0048B6BF" w14:textId="31865C5C" w:rsidR="00EE5806" w:rsidRPr="005777FC" w:rsidRDefault="00EE5806" w:rsidP="00EE5806">
            <w:pPr>
              <w:pStyle w:val="TabletextLeft"/>
            </w:pPr>
            <w:r w:rsidRPr="00294443">
              <w:t>Fisheries Research and Development Corporation</w:t>
            </w:r>
          </w:p>
        </w:tc>
      </w:tr>
      <w:tr w:rsidR="00566BEF" w:rsidRPr="004B4D01" w14:paraId="5FB4BC08" w14:textId="77777777" w:rsidTr="007A53B1">
        <w:tc>
          <w:tcPr>
            <w:tcW w:w="1021" w:type="pct"/>
          </w:tcPr>
          <w:p w14:paraId="5F53A689" w14:textId="77777777" w:rsidR="00566BEF" w:rsidRPr="005D550E" w:rsidRDefault="00C47720" w:rsidP="00566BEF">
            <w:pPr>
              <w:pStyle w:val="TabletextLeft"/>
            </w:pPr>
            <w:r w:rsidRPr="005777FC">
              <w:t>FY</w:t>
            </w:r>
          </w:p>
        </w:tc>
        <w:tc>
          <w:tcPr>
            <w:tcW w:w="3979" w:type="pct"/>
          </w:tcPr>
          <w:p w14:paraId="2728B501" w14:textId="77777777" w:rsidR="00566BEF" w:rsidRPr="005D550E" w:rsidRDefault="00C47720" w:rsidP="00566BEF">
            <w:pPr>
              <w:pStyle w:val="TabletextLeft"/>
            </w:pPr>
            <w:r w:rsidRPr="005777FC">
              <w:t xml:space="preserve">Financial year </w:t>
            </w:r>
          </w:p>
        </w:tc>
      </w:tr>
      <w:tr w:rsidR="00566BEF" w:rsidRPr="004B4D01" w14:paraId="35F003A0" w14:textId="77777777" w:rsidTr="007A53B1">
        <w:tc>
          <w:tcPr>
            <w:tcW w:w="1021" w:type="pct"/>
          </w:tcPr>
          <w:p w14:paraId="339E627D" w14:textId="77777777" w:rsidR="00566BEF" w:rsidRPr="005D550E" w:rsidRDefault="00C47720" w:rsidP="00566BEF">
            <w:pPr>
              <w:pStyle w:val="TabletextLeft"/>
            </w:pPr>
            <w:r w:rsidRPr="005777FC">
              <w:t>GST</w:t>
            </w:r>
          </w:p>
        </w:tc>
        <w:tc>
          <w:tcPr>
            <w:tcW w:w="3979" w:type="pct"/>
          </w:tcPr>
          <w:p w14:paraId="5E35183F" w14:textId="77777777" w:rsidR="00566BEF" w:rsidRPr="005D550E" w:rsidRDefault="00C47720" w:rsidP="00566BEF">
            <w:pPr>
              <w:pStyle w:val="TabletextLeft"/>
            </w:pPr>
            <w:r w:rsidRPr="005777FC">
              <w:t>Goods and services tax</w:t>
            </w:r>
          </w:p>
        </w:tc>
      </w:tr>
      <w:tr w:rsidR="00B6394B" w:rsidRPr="004B4D01" w14:paraId="260DC7E0" w14:textId="77777777" w:rsidTr="007A53B1">
        <w:tc>
          <w:tcPr>
            <w:tcW w:w="1021" w:type="pct"/>
          </w:tcPr>
          <w:p w14:paraId="3E709E91" w14:textId="56AEF863" w:rsidR="00B6394B" w:rsidRPr="005777FC" w:rsidRDefault="00B6394B" w:rsidP="00566BEF">
            <w:pPr>
              <w:pStyle w:val="TabletextLeft"/>
            </w:pPr>
            <w:r w:rsidRPr="00B6394B">
              <w:t>IT</w:t>
            </w:r>
            <w:r w:rsidRPr="00B6394B">
              <w:tab/>
            </w:r>
          </w:p>
        </w:tc>
        <w:tc>
          <w:tcPr>
            <w:tcW w:w="3979" w:type="pct"/>
          </w:tcPr>
          <w:p w14:paraId="017FFCB1" w14:textId="117BC569" w:rsidR="00B6394B" w:rsidRPr="005777FC" w:rsidRDefault="00B6394B" w:rsidP="00566BEF">
            <w:pPr>
              <w:pStyle w:val="TabletextLeft"/>
            </w:pPr>
            <w:r w:rsidRPr="00B6394B">
              <w:t>Information technology</w:t>
            </w:r>
          </w:p>
        </w:tc>
      </w:tr>
      <w:tr w:rsidR="00566BEF" w:rsidRPr="004B4D01" w14:paraId="5A156E43" w14:textId="77777777" w:rsidTr="007A53B1">
        <w:tc>
          <w:tcPr>
            <w:tcW w:w="1021" w:type="pct"/>
          </w:tcPr>
          <w:p w14:paraId="2E2976FB" w14:textId="77777777" w:rsidR="00566BEF" w:rsidRPr="005D550E" w:rsidRDefault="00C47720" w:rsidP="00566BEF">
            <w:pPr>
              <w:pStyle w:val="TabletextLeft"/>
            </w:pPr>
            <w:r w:rsidRPr="005777FC">
              <w:t>MoU</w:t>
            </w:r>
          </w:p>
        </w:tc>
        <w:tc>
          <w:tcPr>
            <w:tcW w:w="3979" w:type="pct"/>
          </w:tcPr>
          <w:p w14:paraId="07C63615" w14:textId="77777777" w:rsidR="00566BEF" w:rsidRPr="005D550E" w:rsidRDefault="00C47720" w:rsidP="00566BEF">
            <w:pPr>
              <w:pStyle w:val="TabletextLeft"/>
            </w:pPr>
            <w:r w:rsidRPr="005777FC">
              <w:t>Memorandum of Understanding</w:t>
            </w:r>
          </w:p>
        </w:tc>
      </w:tr>
      <w:tr w:rsidR="00F36F7F" w:rsidRPr="004B4D01" w14:paraId="50237B47" w14:textId="77777777" w:rsidTr="007A53B1">
        <w:tc>
          <w:tcPr>
            <w:tcW w:w="1021" w:type="pct"/>
          </w:tcPr>
          <w:p w14:paraId="3E98E904" w14:textId="50D74731" w:rsidR="00F36F7F" w:rsidRPr="005777FC" w:rsidRDefault="00F36F7F" w:rsidP="00F36F7F">
            <w:pPr>
              <w:pStyle w:val="TabletextLeft"/>
            </w:pPr>
            <w:r w:rsidRPr="00E17EE6">
              <w:t>NFC</w:t>
            </w:r>
          </w:p>
        </w:tc>
        <w:tc>
          <w:tcPr>
            <w:tcW w:w="3979" w:type="pct"/>
          </w:tcPr>
          <w:p w14:paraId="0B301F0A" w14:textId="6DD2F19F" w:rsidR="00F36F7F" w:rsidRPr="005777FC" w:rsidRDefault="00F36F7F" w:rsidP="00F36F7F">
            <w:pPr>
              <w:pStyle w:val="TabletextLeft"/>
            </w:pPr>
            <w:r w:rsidRPr="00E17EE6">
              <w:t>Not from concentrate</w:t>
            </w:r>
          </w:p>
        </w:tc>
      </w:tr>
      <w:tr w:rsidR="00566BEF" w:rsidRPr="004B4D01" w14:paraId="47B9AF34" w14:textId="77777777" w:rsidTr="007A53B1">
        <w:tc>
          <w:tcPr>
            <w:tcW w:w="1021" w:type="pct"/>
          </w:tcPr>
          <w:p w14:paraId="0333E7BF" w14:textId="77777777" w:rsidR="00566BEF" w:rsidRPr="005D550E" w:rsidRDefault="00C47720" w:rsidP="00566BEF">
            <w:pPr>
              <w:pStyle w:val="TabletextLeft"/>
            </w:pPr>
            <w:r w:rsidRPr="005777FC">
              <w:t>NFF</w:t>
            </w:r>
          </w:p>
        </w:tc>
        <w:tc>
          <w:tcPr>
            <w:tcW w:w="3979" w:type="pct"/>
          </w:tcPr>
          <w:p w14:paraId="794E30F9" w14:textId="3D268266" w:rsidR="00566BEF" w:rsidRPr="005D550E" w:rsidRDefault="00C47720" w:rsidP="00566BEF">
            <w:pPr>
              <w:pStyle w:val="TabletextLeft"/>
            </w:pPr>
            <w:r w:rsidRPr="005777FC">
              <w:t>National Farmers</w:t>
            </w:r>
            <w:r w:rsidR="000B72C9">
              <w:t>’</w:t>
            </w:r>
            <w:r w:rsidRPr="005777FC">
              <w:t xml:space="preserve"> Federation</w:t>
            </w:r>
          </w:p>
        </w:tc>
      </w:tr>
      <w:tr w:rsidR="00566BEF" w:rsidRPr="004B4D01" w14:paraId="3EDF6DFB" w14:textId="77777777" w:rsidTr="007A53B1">
        <w:tc>
          <w:tcPr>
            <w:tcW w:w="1021" w:type="pct"/>
          </w:tcPr>
          <w:p w14:paraId="39833A47" w14:textId="77777777" w:rsidR="00566BEF" w:rsidRPr="005D550E" w:rsidRDefault="00C47720" w:rsidP="00566BEF">
            <w:pPr>
              <w:pStyle w:val="TabletextLeft"/>
            </w:pPr>
            <w:r w:rsidRPr="005777FC">
              <w:t>NMI</w:t>
            </w:r>
          </w:p>
        </w:tc>
        <w:tc>
          <w:tcPr>
            <w:tcW w:w="3979" w:type="pct"/>
          </w:tcPr>
          <w:p w14:paraId="7A5F8E35" w14:textId="77777777" w:rsidR="00566BEF" w:rsidRPr="005D550E" w:rsidRDefault="00C47720" w:rsidP="00566BEF">
            <w:pPr>
              <w:pStyle w:val="TabletextLeft"/>
            </w:pPr>
            <w:r w:rsidRPr="005777FC">
              <w:t xml:space="preserve">National Measurement Institute </w:t>
            </w:r>
          </w:p>
        </w:tc>
      </w:tr>
      <w:tr w:rsidR="00566BEF" w:rsidRPr="004B4D01" w14:paraId="60B92DD5" w14:textId="77777777" w:rsidTr="007A53B1">
        <w:tc>
          <w:tcPr>
            <w:tcW w:w="1021" w:type="pct"/>
          </w:tcPr>
          <w:p w14:paraId="1C8B1139" w14:textId="77777777" w:rsidR="00566BEF" w:rsidRPr="005D550E" w:rsidRDefault="00C47720" w:rsidP="00566BEF">
            <w:pPr>
              <w:pStyle w:val="TabletextLeft"/>
            </w:pPr>
            <w:r w:rsidRPr="005777FC">
              <w:t>NPV</w:t>
            </w:r>
          </w:p>
        </w:tc>
        <w:tc>
          <w:tcPr>
            <w:tcW w:w="3979" w:type="pct"/>
          </w:tcPr>
          <w:p w14:paraId="1E2085C9" w14:textId="77777777" w:rsidR="00566BEF" w:rsidRPr="005D550E" w:rsidRDefault="00C47720" w:rsidP="00566BEF">
            <w:pPr>
              <w:pStyle w:val="TabletextLeft"/>
            </w:pPr>
            <w:r w:rsidRPr="005777FC">
              <w:t>Net Present Value</w:t>
            </w:r>
          </w:p>
        </w:tc>
      </w:tr>
      <w:tr w:rsidR="00566BEF" w:rsidRPr="004B4D01" w14:paraId="5A566110" w14:textId="77777777" w:rsidTr="007A53B1">
        <w:tc>
          <w:tcPr>
            <w:tcW w:w="1021" w:type="pct"/>
          </w:tcPr>
          <w:p w14:paraId="3B203EF6" w14:textId="77777777" w:rsidR="00566BEF" w:rsidRPr="005D550E" w:rsidRDefault="00C47720" w:rsidP="00566BEF">
            <w:pPr>
              <w:pStyle w:val="TabletextLeft"/>
            </w:pPr>
            <w:r w:rsidRPr="005777FC">
              <w:t>NRA</w:t>
            </w:r>
          </w:p>
        </w:tc>
        <w:tc>
          <w:tcPr>
            <w:tcW w:w="3979" w:type="pct"/>
          </w:tcPr>
          <w:p w14:paraId="5F1C4380" w14:textId="77777777" w:rsidR="00566BEF" w:rsidRPr="005D550E" w:rsidRDefault="00C47720" w:rsidP="00566BEF">
            <w:pPr>
              <w:pStyle w:val="TabletextLeft"/>
            </w:pPr>
            <w:r w:rsidRPr="005777FC">
              <w:t xml:space="preserve">National Retail Association </w:t>
            </w:r>
          </w:p>
        </w:tc>
      </w:tr>
      <w:tr w:rsidR="00566BEF" w:rsidRPr="004B4D01" w14:paraId="08E944F7" w14:textId="77777777" w:rsidTr="007A53B1">
        <w:tc>
          <w:tcPr>
            <w:tcW w:w="1021" w:type="pct"/>
          </w:tcPr>
          <w:p w14:paraId="3ED67B4E" w14:textId="77777777" w:rsidR="00566BEF" w:rsidRPr="005D550E" w:rsidRDefault="00C47720" w:rsidP="00566BEF">
            <w:pPr>
              <w:pStyle w:val="TabletextLeft"/>
            </w:pPr>
            <w:r w:rsidRPr="005777FC">
              <w:t>NSW</w:t>
            </w:r>
          </w:p>
        </w:tc>
        <w:tc>
          <w:tcPr>
            <w:tcW w:w="3979" w:type="pct"/>
          </w:tcPr>
          <w:p w14:paraId="454526AB" w14:textId="77777777" w:rsidR="00566BEF" w:rsidRPr="005D550E" w:rsidRDefault="00C47720" w:rsidP="00566BEF">
            <w:pPr>
              <w:pStyle w:val="TabletextLeft"/>
            </w:pPr>
            <w:r w:rsidRPr="005777FC">
              <w:t xml:space="preserve">New South Wales </w:t>
            </w:r>
          </w:p>
        </w:tc>
      </w:tr>
      <w:tr w:rsidR="00566BEF" w:rsidRPr="004B4D01" w14:paraId="16C94B5F" w14:textId="77777777" w:rsidTr="007A53B1">
        <w:tc>
          <w:tcPr>
            <w:tcW w:w="1021" w:type="pct"/>
          </w:tcPr>
          <w:p w14:paraId="78077F35" w14:textId="77777777" w:rsidR="00566BEF" w:rsidRPr="005D550E" w:rsidRDefault="00C47720" w:rsidP="00566BEF">
            <w:pPr>
              <w:pStyle w:val="TabletextLeft"/>
            </w:pPr>
            <w:r w:rsidRPr="005777FC">
              <w:t>NT</w:t>
            </w:r>
          </w:p>
        </w:tc>
        <w:tc>
          <w:tcPr>
            <w:tcW w:w="3979" w:type="pct"/>
          </w:tcPr>
          <w:p w14:paraId="52A81F65" w14:textId="77777777" w:rsidR="00566BEF" w:rsidRPr="005D550E" w:rsidRDefault="00C47720" w:rsidP="00566BEF">
            <w:pPr>
              <w:pStyle w:val="TabletextLeft"/>
            </w:pPr>
            <w:r w:rsidRPr="005777FC">
              <w:t xml:space="preserve">Northern Territory </w:t>
            </w:r>
          </w:p>
        </w:tc>
      </w:tr>
      <w:tr w:rsidR="00566BEF" w:rsidRPr="004B4D01" w14:paraId="47EF394B" w14:textId="77777777" w:rsidTr="007A53B1">
        <w:tc>
          <w:tcPr>
            <w:tcW w:w="1021" w:type="pct"/>
          </w:tcPr>
          <w:p w14:paraId="435D41A5" w14:textId="0D5BB0F8" w:rsidR="00566BEF" w:rsidRPr="005D550E" w:rsidRDefault="00C47720" w:rsidP="00566BEF">
            <w:pPr>
              <w:pStyle w:val="TabletextLeft"/>
            </w:pPr>
            <w:r w:rsidRPr="005777FC">
              <w:t>QR</w:t>
            </w:r>
            <w:r w:rsidR="00D02102">
              <w:t xml:space="preserve"> </w:t>
            </w:r>
          </w:p>
        </w:tc>
        <w:tc>
          <w:tcPr>
            <w:tcW w:w="3979" w:type="pct"/>
          </w:tcPr>
          <w:p w14:paraId="6BAC3161" w14:textId="11A0D49E" w:rsidR="00566BEF" w:rsidRPr="005D550E" w:rsidRDefault="00C47720" w:rsidP="00566BEF">
            <w:pPr>
              <w:pStyle w:val="TabletextLeft"/>
            </w:pPr>
            <w:r w:rsidRPr="005777FC">
              <w:t xml:space="preserve">Quick Response </w:t>
            </w:r>
          </w:p>
        </w:tc>
      </w:tr>
      <w:tr w:rsidR="00566BEF" w:rsidRPr="004B4D01" w14:paraId="1E1C28B7" w14:textId="77777777" w:rsidTr="007A53B1">
        <w:tc>
          <w:tcPr>
            <w:tcW w:w="1021" w:type="pct"/>
          </w:tcPr>
          <w:p w14:paraId="3F75D12E" w14:textId="77777777" w:rsidR="00566BEF" w:rsidRPr="005D550E" w:rsidRDefault="00C47720" w:rsidP="00566BEF">
            <w:pPr>
              <w:pStyle w:val="TabletextLeft"/>
            </w:pPr>
            <w:r w:rsidRPr="005777FC">
              <w:t>RIS</w:t>
            </w:r>
          </w:p>
        </w:tc>
        <w:tc>
          <w:tcPr>
            <w:tcW w:w="3979" w:type="pct"/>
          </w:tcPr>
          <w:p w14:paraId="25E6B0DF" w14:textId="77777777" w:rsidR="00566BEF" w:rsidRPr="005D550E" w:rsidRDefault="00C47720" w:rsidP="00566BEF">
            <w:pPr>
              <w:pStyle w:val="TabletextLeft"/>
            </w:pPr>
            <w:r w:rsidRPr="005777FC">
              <w:t xml:space="preserve">Regulatory Impact Statement  </w:t>
            </w:r>
          </w:p>
        </w:tc>
      </w:tr>
      <w:tr w:rsidR="00021D50" w:rsidRPr="004B4D01" w14:paraId="2767D303" w14:textId="77777777" w:rsidTr="007A53B1">
        <w:tc>
          <w:tcPr>
            <w:tcW w:w="1021" w:type="pct"/>
          </w:tcPr>
          <w:p w14:paraId="3952B5D2" w14:textId="77777777" w:rsidR="00021D50" w:rsidRPr="005777FC" w:rsidRDefault="00021D50" w:rsidP="00021D50">
            <w:pPr>
              <w:pStyle w:val="TabletextLeft"/>
            </w:pPr>
            <w:r w:rsidRPr="00797112">
              <w:rPr>
                <w:rFonts w:eastAsia="Times New Roman" w:cs="Times New Roman"/>
                <w:szCs w:val="17"/>
                <w:lang w:eastAsia="en-AU"/>
              </w:rPr>
              <w:t>SKU</w:t>
            </w:r>
          </w:p>
        </w:tc>
        <w:tc>
          <w:tcPr>
            <w:tcW w:w="3979" w:type="pct"/>
          </w:tcPr>
          <w:p w14:paraId="3515FBC0" w14:textId="1AFAA9CF" w:rsidR="00021D50" w:rsidRPr="005777FC" w:rsidRDefault="00021D50" w:rsidP="00021D50">
            <w:pPr>
              <w:pStyle w:val="TabletextLeft"/>
            </w:pPr>
            <w:r w:rsidRPr="00797112">
              <w:rPr>
                <w:rFonts w:eastAsia="Times New Roman" w:cs="Times New Roman"/>
                <w:szCs w:val="17"/>
                <w:lang w:eastAsia="en-AU"/>
              </w:rPr>
              <w:t>Stock keeping unit</w:t>
            </w:r>
          </w:p>
        </w:tc>
      </w:tr>
      <w:tr w:rsidR="007A53B1" w:rsidRPr="004B4D01" w14:paraId="5A3AEFC0" w14:textId="77777777" w:rsidTr="007A53B1">
        <w:tc>
          <w:tcPr>
            <w:tcW w:w="1021" w:type="pct"/>
          </w:tcPr>
          <w:p w14:paraId="72D8F68A" w14:textId="57499E64" w:rsidR="007A53B1" w:rsidRPr="00797112" w:rsidRDefault="007A53B1" w:rsidP="007A53B1">
            <w:pPr>
              <w:pStyle w:val="TabletextLeft"/>
              <w:rPr>
                <w:rFonts w:eastAsia="Times New Roman" w:cs="Times New Roman"/>
                <w:szCs w:val="17"/>
                <w:lang w:eastAsia="en-AU"/>
              </w:rPr>
            </w:pPr>
            <w:r w:rsidRPr="006956B6">
              <w:t>WTO</w:t>
            </w:r>
          </w:p>
        </w:tc>
        <w:tc>
          <w:tcPr>
            <w:tcW w:w="3979" w:type="pct"/>
          </w:tcPr>
          <w:p w14:paraId="08770D03" w14:textId="3E4E4EC0" w:rsidR="007A53B1" w:rsidRPr="00797112" w:rsidRDefault="007A53B1" w:rsidP="007A53B1">
            <w:pPr>
              <w:pStyle w:val="TabletextLeft"/>
              <w:rPr>
                <w:rFonts w:eastAsia="Times New Roman" w:cs="Times New Roman"/>
                <w:szCs w:val="17"/>
                <w:lang w:eastAsia="en-AU"/>
              </w:rPr>
            </w:pPr>
            <w:r w:rsidRPr="006956B6">
              <w:t xml:space="preserve">World Trade Organisation </w:t>
            </w:r>
          </w:p>
        </w:tc>
      </w:tr>
      <w:tr w:rsidR="00021D50" w:rsidRPr="004B4D01" w14:paraId="51A5B883" w14:textId="77777777" w:rsidTr="007A53B1">
        <w:tc>
          <w:tcPr>
            <w:tcW w:w="1021" w:type="pct"/>
          </w:tcPr>
          <w:p w14:paraId="5516E0E5" w14:textId="77777777" w:rsidR="00021D50" w:rsidRPr="005777FC" w:rsidRDefault="00021D50" w:rsidP="00021D50">
            <w:pPr>
              <w:pStyle w:val="TabletextLeft"/>
            </w:pPr>
            <w:r w:rsidRPr="00797112">
              <w:rPr>
                <w:rFonts w:eastAsia="Times New Roman" w:cs="Times New Roman"/>
                <w:szCs w:val="17"/>
                <w:lang w:eastAsia="en-AU"/>
              </w:rPr>
              <w:t>WTP</w:t>
            </w:r>
          </w:p>
        </w:tc>
        <w:tc>
          <w:tcPr>
            <w:tcW w:w="3979" w:type="pct"/>
          </w:tcPr>
          <w:p w14:paraId="69BEA3FB" w14:textId="77777777" w:rsidR="00021D50" w:rsidRPr="005777FC" w:rsidRDefault="00021D50" w:rsidP="00021D50">
            <w:pPr>
              <w:pStyle w:val="TabletextLeft"/>
            </w:pPr>
            <w:r w:rsidRPr="00797112">
              <w:rPr>
                <w:rFonts w:eastAsia="Times New Roman" w:cs="Times New Roman"/>
                <w:szCs w:val="17"/>
                <w:lang w:eastAsia="en-AU"/>
              </w:rPr>
              <w:t>Willingness to pay  </w:t>
            </w:r>
          </w:p>
        </w:tc>
      </w:tr>
    </w:tbl>
    <w:p w14:paraId="2EED55A6" w14:textId="77777777" w:rsidR="00F9113D" w:rsidRPr="00672300" w:rsidRDefault="00F9113D" w:rsidP="00672300">
      <w:pPr>
        <w:sectPr w:rsidR="00F9113D" w:rsidRPr="00672300" w:rsidSect="005F043A">
          <w:headerReference w:type="even" r:id="rId23"/>
          <w:headerReference w:type="default" r:id="rId24"/>
          <w:footerReference w:type="default" r:id="rId25"/>
          <w:headerReference w:type="first" r:id="rId26"/>
          <w:pgSz w:w="11906" w:h="16838" w:code="9"/>
          <w:pgMar w:top="1440" w:right="1440" w:bottom="1440" w:left="1440" w:header="680" w:footer="425" w:gutter="0"/>
          <w:pgNumType w:fmt="lowerRoman" w:start="1"/>
          <w:cols w:space="284"/>
          <w:noEndnote/>
          <w:docGrid w:linePitch="360"/>
        </w:sectPr>
      </w:pPr>
    </w:p>
    <w:p w14:paraId="5F520485"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spacing w:before="120"/>
        <w:rPr>
          <w:rFonts w:eastAsia="Times New Roman" w:cs="Times New Roman"/>
          <w:b/>
          <w:iCs/>
        </w:rPr>
      </w:pPr>
      <w:bookmarkStart w:id="12" w:name="_Toc215906318"/>
      <w:bookmarkStart w:id="13" w:name="_Toc227746675"/>
      <w:bookmarkStart w:id="14" w:name="_Toc227746679"/>
      <w:bookmarkStart w:id="15" w:name="_Toc227746683"/>
      <w:bookmarkStart w:id="16" w:name="_Toc227746687"/>
      <w:bookmarkStart w:id="17" w:name="_Toc227748309"/>
      <w:bookmarkStart w:id="18" w:name="_Toc227748327"/>
      <w:bookmarkStart w:id="19" w:name="_Toc227748331"/>
      <w:bookmarkStart w:id="20" w:name="_Toc227748335"/>
      <w:bookmarkStart w:id="21" w:name="_Toc227748374"/>
      <w:bookmarkStart w:id="22" w:name="_Toc227748378"/>
      <w:bookmarkStart w:id="23" w:name="_Toc227748382"/>
      <w:bookmarkStart w:id="24" w:name="_Toc227748494"/>
      <w:bookmarkStart w:id="25" w:name="_Toc227748498"/>
      <w:bookmarkStart w:id="26" w:name="_Toc228005205"/>
      <w:bookmarkStart w:id="27" w:name="_Toc228092496"/>
      <w:bookmarkStart w:id="28" w:name="_Toc228264951"/>
      <w:bookmarkStart w:id="29" w:name="_Toc228264973"/>
      <w:bookmarkStart w:id="30" w:name="_Toc228264977"/>
      <w:bookmarkStart w:id="31" w:name="_Toc228264981"/>
      <w:bookmarkStart w:id="32" w:name="_Toc228264985"/>
      <w:bookmarkStart w:id="33" w:name="_Toc228265215"/>
      <w:bookmarkStart w:id="34" w:name="_Toc288198024"/>
      <w:bookmarkStart w:id="35" w:name="_Toc448829185"/>
      <w:bookmarkStart w:id="36" w:name="_Toc456353381"/>
      <w:bookmarkStart w:id="37" w:name="_Toc462313128"/>
      <w:bookmarkStart w:id="38" w:name="_Toc462317837"/>
      <w:bookmarkStart w:id="39" w:name="_Toc462397802"/>
      <w:bookmarkStart w:id="40" w:name="_Toc463002429"/>
      <w:bookmarkStart w:id="41" w:name="_Toc472586341"/>
      <w:bookmarkStart w:id="42" w:name="_Toc482168119"/>
      <w:bookmarkStart w:id="43" w:name="_Toc482174906"/>
      <w:bookmarkStart w:id="44" w:name="_Toc67499028"/>
      <w:r w:rsidRPr="006E1BCA">
        <w:rPr>
          <w:rFonts w:eastAsia="Times New Roman" w:cs="Times New Roman"/>
          <w:b/>
          <w:iCs/>
        </w:rPr>
        <w:lastRenderedPageBreak/>
        <w:t>Summary of recommendations</w:t>
      </w:r>
    </w:p>
    <w:p w14:paraId="68845661"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spacing w:before="120"/>
        <w:rPr>
          <w:rFonts w:asciiTheme="majorHAnsi" w:eastAsia="Verdana" w:hAnsiTheme="majorHAnsi" w:cs="Segoe UI"/>
        </w:rPr>
      </w:pPr>
      <w:r w:rsidRPr="006E1BCA">
        <w:rPr>
          <w:rFonts w:eastAsia="Times New Roman" w:cs="Times New Roman"/>
          <w:bCs/>
          <w:iCs/>
        </w:rPr>
        <w:t xml:space="preserve">In July 2016, the Australian Government made changes to the Country of Origin Labelling (CoOL) scheme, which came into </w:t>
      </w:r>
      <w:r w:rsidRPr="006E1BCA">
        <w:rPr>
          <w:rFonts w:asciiTheme="majorHAnsi" w:eastAsia="Verdana" w:hAnsiTheme="majorHAnsi" w:cs="Segoe UI"/>
        </w:rPr>
        <w:t xml:space="preserve">effect in July 2018, following a 2-year transition period. The CoOL scheme was enacted by the </w:t>
      </w:r>
      <w:r w:rsidRPr="006E1BCA">
        <w:rPr>
          <w:rFonts w:asciiTheme="majorHAnsi" w:eastAsia="Verdana" w:hAnsiTheme="majorHAnsi" w:cs="Segoe UI"/>
          <w:i/>
          <w:iCs/>
        </w:rPr>
        <w:t>Competition and Consumer Amendment (Country of Origin) Act 2017</w:t>
      </w:r>
      <w:r w:rsidRPr="006E1BCA">
        <w:rPr>
          <w:rFonts w:asciiTheme="majorHAnsi" w:eastAsia="Verdana" w:hAnsiTheme="majorHAnsi" w:cs="Segoe UI"/>
        </w:rPr>
        <w:t xml:space="preserve">, and </w:t>
      </w:r>
      <w:r w:rsidRPr="006E1BCA">
        <w:rPr>
          <w:rFonts w:asciiTheme="majorHAnsi" w:eastAsia="Verdana" w:hAnsiTheme="majorHAnsi" w:cs="Segoe UI"/>
          <w:i/>
          <w:iCs/>
        </w:rPr>
        <w:t xml:space="preserve">the Country of Origin Food Labelling Information Standard 2016 </w:t>
      </w:r>
      <w:r w:rsidRPr="006E1BCA">
        <w:rPr>
          <w:rFonts w:asciiTheme="majorHAnsi" w:eastAsia="Verdana" w:hAnsiTheme="majorHAnsi" w:cs="Segoe UI"/>
        </w:rPr>
        <w:t xml:space="preserve">(the Information Standard). The Department of Industry, Science, Energy and Resources (DISER) commissioned Deloitte to conduct this evaluation of the CoOL scheme. </w:t>
      </w:r>
    </w:p>
    <w:p w14:paraId="37F2AEF1"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t xml:space="preserve">This evaluation has found that the CoOL reforms were well planned and implemented. Consumers appear to desire information about the origin of food. For the scheme to reach its potential, further effort is required to ensure the scheme is well understood. Similarly, while businesses are generally now accustomed to the scheme, there remain some areas of uncertainty in their understanding. As the scheme has been in place for a relatively brief period of time and as the initial cost imposed by any changes in the scheme is quite high, it is prudent to ensure a strong evidence base and case for change exist before making any significant modifications to the scheme. Consequently, the recommendations and findings described below focus on increasing awareness and understanding of the scheme, coupled with steps to ensure robust monitoring of outcomes over a longer period of time, along with adequate compliance activities to ensure the scheme can fully realise its objectives. </w:t>
      </w:r>
    </w:p>
    <w:p w14:paraId="742E1602"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t xml:space="preserve">Recommendations from the evaluation are outlined below. </w:t>
      </w:r>
    </w:p>
    <w:p w14:paraId="270F4F5A"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rPr>
          <w:b/>
          <w:bCs/>
        </w:rPr>
        <w:t xml:space="preserve">Recommendation 1: </w:t>
      </w:r>
      <w:r w:rsidRPr="006E1BCA">
        <w:t>Retain the scheme in its current form for at least a further 2 years due to its current efficiency. This additional retention period will also enable further monitoring of performance and impact. This includes retaining the non-priority list, voluntary application to online sales and current exemption for foodservice.</w:t>
      </w:r>
    </w:p>
    <w:p w14:paraId="1163F6A8"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rPr>
          <w:b/>
          <w:bCs/>
        </w:rPr>
        <w:t xml:space="preserve">Recommendation 2: </w:t>
      </w:r>
      <w:r w:rsidRPr="006E1BCA">
        <w:t>Retain the scheme for food and beverages only and consider any non-food items outside of this scheme.</w:t>
      </w:r>
    </w:p>
    <w:p w14:paraId="42FA3F08"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rPr>
          <w:b/>
          <w:bCs/>
        </w:rPr>
        <w:t xml:space="preserve">Recommendation 3: </w:t>
      </w:r>
      <w:r w:rsidRPr="006E1BCA" w:rsidDel="003E7D2E">
        <w:t xml:space="preserve">Increase awareness and understanding of </w:t>
      </w:r>
      <w:r w:rsidRPr="006E1BCA">
        <w:t>CoOL</w:t>
      </w:r>
      <w:r w:rsidRPr="006E1BCA" w:rsidDel="003E7D2E">
        <w:t xml:space="preserve"> </w:t>
      </w:r>
      <w:r w:rsidRPr="006E1BCA">
        <w:t xml:space="preserve">among consumers and businesses at risk of low compliance </w:t>
      </w:r>
      <w:r w:rsidRPr="006E1BCA" w:rsidDel="003E7D2E">
        <w:t>through a time</w:t>
      </w:r>
      <w:r w:rsidRPr="006E1BCA">
        <w:t>-</w:t>
      </w:r>
      <w:r w:rsidRPr="006E1BCA" w:rsidDel="003E7D2E">
        <w:t>limited information campaign that utilises social media along with other methods of communication, as appropriate</w:t>
      </w:r>
      <w:r w:rsidRPr="006E1BCA">
        <w:t>.</w:t>
      </w:r>
    </w:p>
    <w:p w14:paraId="1550F1FF"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rPr>
          <w:b/>
          <w:bCs/>
        </w:rPr>
        <w:t xml:space="preserve">Recommendation 4: </w:t>
      </w:r>
      <w:r w:rsidRPr="006E1BCA">
        <w:t>DISER ensures data collection and monitoring occurs where it relates to: a) scheme awareness to determine if consumers are more correctly and completely interpreting CoOL labels over time; and b) assessing the impact of the scheme with respect to consumer expectations and scope at appropriate intervals.</w:t>
      </w:r>
    </w:p>
    <w:p w14:paraId="5D60802D"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rPr>
          <w:b/>
          <w:bCs/>
        </w:rPr>
        <w:t xml:space="preserve">Recommendation 5: </w:t>
      </w:r>
      <w:r w:rsidRPr="006E1BCA">
        <w:t>Support the regulator to conduct proactive primary research on industry compliance to inform targeting of compliance activities and ensure trust in the scheme is retained.</w:t>
      </w:r>
    </w:p>
    <w:p w14:paraId="5A22358F" w14:textId="77777777" w:rsidR="009A6B98" w:rsidRPr="006E1BCA" w:rsidRDefault="009A6B98" w:rsidP="003A6E4A">
      <w:pPr>
        <w:pBdr>
          <w:top w:val="single" w:sz="12" w:space="1" w:color="012169" w:themeColor="accent4"/>
          <w:left w:val="single" w:sz="12" w:space="4" w:color="012169" w:themeColor="accent4"/>
          <w:bottom w:val="single" w:sz="12" w:space="1" w:color="012169" w:themeColor="accent4"/>
          <w:right w:val="single" w:sz="12" w:space="4" w:color="012169" w:themeColor="accent4"/>
        </w:pBdr>
        <w:shd w:val="clear" w:color="auto" w:fill="EEF7FC"/>
      </w:pPr>
      <w:r w:rsidRPr="006E1BCA">
        <w:rPr>
          <w:b/>
          <w:bCs/>
        </w:rPr>
        <w:t xml:space="preserve">Recommendation 6: </w:t>
      </w:r>
      <w:r w:rsidRPr="006E1BCA">
        <w:t>Complete a review of wording and definitions in the Information Standard to ensure they are as clear as possible for industry and other stakeholders.</w:t>
      </w:r>
    </w:p>
    <w:p w14:paraId="61FB7C7F" w14:textId="6C03DB8C" w:rsidR="00F9113D" w:rsidRPr="000B136C" w:rsidRDefault="00F9113D" w:rsidP="001579AB">
      <w:pPr>
        <w:pStyle w:val="Heading1un-numbered"/>
      </w:pPr>
      <w:bookmarkStart w:id="45" w:name="_Toc94702025"/>
      <w:r w:rsidRPr="000B136C">
        <w:lastRenderedPageBreak/>
        <w:t>Executive summary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C611051" w14:textId="41E61756" w:rsidR="00A6775E" w:rsidRDefault="00A6775E" w:rsidP="00A6775E">
      <w:pPr>
        <w:pStyle w:val="Heading2un-numbered"/>
      </w:pPr>
      <w:bookmarkStart w:id="46" w:name="_Toc72396549"/>
      <w:bookmarkStart w:id="47" w:name="_Toc94702026"/>
      <w:r>
        <w:t>Introduction</w:t>
      </w:r>
      <w:bookmarkEnd w:id="46"/>
      <w:bookmarkEnd w:id="47"/>
    </w:p>
    <w:p w14:paraId="07E40103" w14:textId="2DCC2C26" w:rsidR="00FF2F2E" w:rsidRDefault="00F711D0" w:rsidP="00FF2F2E">
      <w:r w:rsidRPr="00F711D0">
        <w:rPr>
          <w:rFonts w:eastAsia="Times New Roman" w:cs="Times New Roman"/>
          <w:bCs/>
          <w:iCs/>
          <w:color w:val="262626"/>
        </w:rPr>
        <w:t>In July 2016, the Australian Government</w:t>
      </w:r>
      <w:r w:rsidR="00A554D5">
        <w:rPr>
          <w:rStyle w:val="FootnoteReference"/>
          <w:rFonts w:eastAsia="Times New Roman" w:cs="Times New Roman"/>
          <w:bCs/>
          <w:iCs/>
          <w:color w:val="262626"/>
        </w:rPr>
        <w:footnoteReference w:id="2"/>
      </w:r>
      <w:r w:rsidRPr="00F711D0">
        <w:rPr>
          <w:rFonts w:eastAsia="Times New Roman" w:cs="Times New Roman"/>
          <w:bCs/>
          <w:iCs/>
          <w:color w:val="262626"/>
        </w:rPr>
        <w:t xml:space="preserve"> made changes to the </w:t>
      </w:r>
      <w:r w:rsidR="0061392F">
        <w:rPr>
          <w:rFonts w:eastAsia="Times New Roman" w:cs="Times New Roman"/>
          <w:bCs/>
          <w:iCs/>
          <w:color w:val="262626"/>
        </w:rPr>
        <w:t>C</w:t>
      </w:r>
      <w:r w:rsidRPr="00F711D0">
        <w:rPr>
          <w:rFonts w:eastAsia="Times New Roman" w:cs="Times New Roman"/>
          <w:bCs/>
          <w:iCs/>
          <w:color w:val="262626"/>
        </w:rPr>
        <w:t xml:space="preserve">ountry of </w:t>
      </w:r>
      <w:r w:rsidR="0061392F">
        <w:rPr>
          <w:rFonts w:eastAsia="Times New Roman" w:cs="Times New Roman"/>
          <w:bCs/>
          <w:iCs/>
          <w:color w:val="262626"/>
        </w:rPr>
        <w:t>O</w:t>
      </w:r>
      <w:r w:rsidRPr="00F711D0">
        <w:rPr>
          <w:rFonts w:eastAsia="Times New Roman" w:cs="Times New Roman"/>
          <w:bCs/>
          <w:iCs/>
          <w:color w:val="262626"/>
        </w:rPr>
        <w:t xml:space="preserve">rigin </w:t>
      </w:r>
      <w:r w:rsidR="0061392F">
        <w:rPr>
          <w:rFonts w:eastAsia="Times New Roman" w:cs="Times New Roman"/>
          <w:bCs/>
          <w:iCs/>
          <w:color w:val="262626"/>
        </w:rPr>
        <w:t>L</w:t>
      </w:r>
      <w:r w:rsidRPr="00F711D0">
        <w:rPr>
          <w:rFonts w:eastAsia="Times New Roman" w:cs="Times New Roman"/>
          <w:bCs/>
          <w:iCs/>
          <w:color w:val="262626"/>
        </w:rPr>
        <w:t xml:space="preserve">abelling </w:t>
      </w:r>
      <w:r>
        <w:rPr>
          <w:rFonts w:eastAsia="Times New Roman" w:cs="Times New Roman"/>
          <w:bCs/>
          <w:iCs/>
          <w:color w:val="262626"/>
        </w:rPr>
        <w:t xml:space="preserve">(CoOL) </w:t>
      </w:r>
      <w:r w:rsidR="00E670FE">
        <w:rPr>
          <w:rFonts w:eastAsia="Times New Roman" w:cs="Times New Roman"/>
          <w:bCs/>
          <w:iCs/>
          <w:color w:val="262626"/>
        </w:rPr>
        <w:t>scheme</w:t>
      </w:r>
      <w:r>
        <w:rPr>
          <w:rFonts w:eastAsia="Times New Roman" w:cs="Times New Roman"/>
          <w:bCs/>
          <w:iCs/>
          <w:color w:val="262626"/>
        </w:rPr>
        <w:t>.</w:t>
      </w:r>
      <w:r w:rsidRPr="00F711D0">
        <w:rPr>
          <w:rFonts w:eastAsia="Times New Roman" w:cs="Times New Roman"/>
          <w:bCs/>
          <w:iCs/>
          <w:color w:val="262626"/>
        </w:rPr>
        <w:t xml:space="preserve"> </w:t>
      </w:r>
      <w:r w:rsidR="000E1478">
        <w:rPr>
          <w:rFonts w:eastAsia="Calibri" w:cs="Times New Roman"/>
        </w:rPr>
        <w:t>The changes included the introduction of</w:t>
      </w:r>
      <w:r w:rsidRPr="00CC297D">
        <w:rPr>
          <w:rFonts w:eastAsia="Calibri" w:cs="Times New Roman"/>
        </w:rPr>
        <w:t xml:space="preserve"> visual elements </w:t>
      </w:r>
      <w:r w:rsidR="00B8242B">
        <w:rPr>
          <w:rFonts w:eastAsia="Calibri" w:cs="Times New Roman"/>
        </w:rPr>
        <w:t>to</w:t>
      </w:r>
      <w:r w:rsidRPr="00CC297D">
        <w:rPr>
          <w:rFonts w:eastAsia="Calibri" w:cs="Times New Roman"/>
        </w:rPr>
        <w:t xml:space="preserve"> </w:t>
      </w:r>
      <w:r>
        <w:rPr>
          <w:rFonts w:eastAsia="Calibri" w:cs="Times New Roman"/>
        </w:rPr>
        <w:t>CoOL</w:t>
      </w:r>
      <w:r w:rsidRPr="00CC297D">
        <w:rPr>
          <w:rFonts w:eastAsia="Calibri" w:cs="Times New Roman"/>
        </w:rPr>
        <w:t xml:space="preserve"> </w:t>
      </w:r>
      <w:r w:rsidR="00D21D2F">
        <w:rPr>
          <w:rFonts w:eastAsia="Calibri" w:cs="Times New Roman"/>
        </w:rPr>
        <w:t>in seeking to</w:t>
      </w:r>
      <w:r w:rsidRPr="00CC297D">
        <w:rPr>
          <w:rFonts w:eastAsia="Calibri" w:cs="Times New Roman"/>
        </w:rPr>
        <w:t xml:space="preserve"> </w:t>
      </w:r>
      <w:r w:rsidR="0066639E">
        <w:rPr>
          <w:rFonts w:eastAsia="Calibri" w:cs="Times New Roman"/>
        </w:rPr>
        <w:t xml:space="preserve">provide consumers with </w:t>
      </w:r>
      <w:r w:rsidR="00A2237D">
        <w:rPr>
          <w:rFonts w:eastAsia="Calibri" w:cs="Times New Roman"/>
        </w:rPr>
        <w:t>clearer information</w:t>
      </w:r>
      <w:r w:rsidRPr="00CC297D">
        <w:rPr>
          <w:rFonts w:eastAsia="Calibri" w:cs="Times New Roman"/>
        </w:rPr>
        <w:t>.</w:t>
      </w:r>
      <w:r>
        <w:rPr>
          <w:rStyle w:val="FootnoteReference"/>
          <w:rFonts w:eastAsia="Calibri" w:cs="Times New Roman"/>
        </w:rPr>
        <w:footnoteReference w:id="3"/>
      </w:r>
      <w:r w:rsidRPr="00CC297D">
        <w:rPr>
          <w:rFonts w:eastAsia="Calibri" w:cs="Times New Roman"/>
        </w:rPr>
        <w:t xml:space="preserve"> </w:t>
      </w:r>
      <w:r w:rsidR="00FF2F2E" w:rsidRPr="00302121">
        <w:rPr>
          <w:rFonts w:asciiTheme="majorHAnsi" w:eastAsia="Verdana" w:hAnsiTheme="majorHAnsi" w:cs="Segoe UI"/>
        </w:rPr>
        <w:t>The CoOL reforms came into</w:t>
      </w:r>
      <w:r w:rsidR="00FF2F2E">
        <w:rPr>
          <w:rFonts w:asciiTheme="majorHAnsi" w:eastAsia="Verdana" w:hAnsiTheme="majorHAnsi" w:cs="Segoe UI"/>
        </w:rPr>
        <w:t xml:space="preserve"> </w:t>
      </w:r>
      <w:r w:rsidR="00FF2F2E" w:rsidRPr="00302121">
        <w:rPr>
          <w:rFonts w:asciiTheme="majorHAnsi" w:eastAsia="Verdana" w:hAnsiTheme="majorHAnsi" w:cs="Segoe UI"/>
        </w:rPr>
        <w:t>effect in July 2018</w:t>
      </w:r>
      <w:r w:rsidR="0024566C">
        <w:rPr>
          <w:rFonts w:asciiTheme="majorHAnsi" w:eastAsia="Verdana" w:hAnsiTheme="majorHAnsi" w:cs="Segoe UI"/>
        </w:rPr>
        <w:t xml:space="preserve">, following a </w:t>
      </w:r>
      <w:r w:rsidR="00372AEF">
        <w:rPr>
          <w:rFonts w:asciiTheme="majorHAnsi" w:eastAsia="Verdana" w:hAnsiTheme="majorHAnsi" w:cs="Segoe UI"/>
        </w:rPr>
        <w:t>2-</w:t>
      </w:r>
      <w:r w:rsidR="0024566C">
        <w:rPr>
          <w:rFonts w:asciiTheme="majorHAnsi" w:eastAsia="Verdana" w:hAnsiTheme="majorHAnsi" w:cs="Segoe UI"/>
        </w:rPr>
        <w:t>year transition period,</w:t>
      </w:r>
      <w:r w:rsidR="00FF2F2E">
        <w:rPr>
          <w:rFonts w:asciiTheme="majorHAnsi" w:eastAsia="Verdana" w:hAnsiTheme="majorHAnsi" w:cs="Segoe UI"/>
        </w:rPr>
        <w:t xml:space="preserve"> and were </w:t>
      </w:r>
      <w:r w:rsidR="00FF2F2E" w:rsidRPr="00302121">
        <w:rPr>
          <w:rFonts w:asciiTheme="majorHAnsi" w:eastAsia="Verdana" w:hAnsiTheme="majorHAnsi" w:cs="Segoe UI"/>
        </w:rPr>
        <w:t>en</w:t>
      </w:r>
      <w:r w:rsidR="0011655A">
        <w:rPr>
          <w:rFonts w:asciiTheme="majorHAnsi" w:eastAsia="Verdana" w:hAnsiTheme="majorHAnsi" w:cs="Segoe UI"/>
        </w:rPr>
        <w:t>acted</w:t>
      </w:r>
      <w:r w:rsidR="00FF2F2E" w:rsidRPr="00302121">
        <w:rPr>
          <w:rFonts w:asciiTheme="majorHAnsi" w:eastAsia="Verdana" w:hAnsiTheme="majorHAnsi" w:cs="Segoe UI"/>
        </w:rPr>
        <w:t xml:space="preserve"> by the </w:t>
      </w:r>
      <w:r w:rsidR="00FF2F2E" w:rsidRPr="001033EF">
        <w:rPr>
          <w:rFonts w:asciiTheme="majorHAnsi" w:eastAsia="Verdana" w:hAnsiTheme="majorHAnsi" w:cs="Segoe UI"/>
          <w:i/>
          <w:iCs/>
        </w:rPr>
        <w:t>Competition and Consumer Amendment (Country of Origin) Act 201</w:t>
      </w:r>
      <w:r w:rsidR="006C2331">
        <w:rPr>
          <w:rFonts w:asciiTheme="majorHAnsi" w:eastAsia="Verdana" w:hAnsiTheme="majorHAnsi" w:cs="Segoe UI"/>
          <w:i/>
          <w:iCs/>
        </w:rPr>
        <w:t>7</w:t>
      </w:r>
      <w:r w:rsidR="00FF2F2E" w:rsidRPr="00302121">
        <w:rPr>
          <w:rFonts w:asciiTheme="majorHAnsi" w:eastAsia="Verdana" w:hAnsiTheme="majorHAnsi" w:cs="Segoe UI"/>
        </w:rPr>
        <w:t xml:space="preserve">, and </w:t>
      </w:r>
      <w:r w:rsidR="00FF2F2E" w:rsidRPr="001033EF">
        <w:rPr>
          <w:rFonts w:asciiTheme="majorHAnsi" w:eastAsia="Verdana" w:hAnsiTheme="majorHAnsi" w:cs="Segoe UI"/>
          <w:i/>
          <w:iCs/>
        </w:rPr>
        <w:t xml:space="preserve">the Country of Origin Food Labelling Information Standard 2016 </w:t>
      </w:r>
      <w:r w:rsidR="00FF2F2E" w:rsidRPr="00302121">
        <w:rPr>
          <w:rFonts w:asciiTheme="majorHAnsi" w:eastAsia="Verdana" w:hAnsiTheme="majorHAnsi" w:cs="Segoe UI"/>
        </w:rPr>
        <w:t>(the Information Standard).</w:t>
      </w:r>
      <w:r w:rsidR="00FF2F2E">
        <w:rPr>
          <w:rFonts w:asciiTheme="majorHAnsi" w:eastAsia="Verdana" w:hAnsiTheme="majorHAnsi" w:cs="Segoe UI"/>
        </w:rPr>
        <w:t xml:space="preserve"> </w:t>
      </w:r>
      <w:r w:rsidR="006975A2">
        <w:rPr>
          <w:rFonts w:asciiTheme="majorHAnsi" w:eastAsia="Verdana" w:hAnsiTheme="majorHAnsi" w:cs="Segoe UI"/>
        </w:rPr>
        <w:t>In line with th</w:t>
      </w:r>
      <w:r w:rsidR="00B5336B">
        <w:rPr>
          <w:rFonts w:asciiTheme="majorHAnsi" w:eastAsia="Verdana" w:hAnsiTheme="majorHAnsi" w:cs="Segoe UI"/>
        </w:rPr>
        <w:t xml:space="preserve">e commitment made to review the </w:t>
      </w:r>
      <w:r w:rsidR="00F872FC">
        <w:rPr>
          <w:rFonts w:asciiTheme="majorHAnsi" w:eastAsia="Verdana" w:hAnsiTheme="majorHAnsi" w:cs="Segoe UI"/>
        </w:rPr>
        <w:t xml:space="preserve">CoOL </w:t>
      </w:r>
      <w:r w:rsidR="00E670FE">
        <w:rPr>
          <w:rFonts w:asciiTheme="majorHAnsi" w:eastAsia="Verdana" w:hAnsiTheme="majorHAnsi" w:cs="Segoe UI"/>
        </w:rPr>
        <w:t>scheme</w:t>
      </w:r>
      <w:r w:rsidR="00B5336B">
        <w:rPr>
          <w:rFonts w:asciiTheme="majorHAnsi" w:eastAsia="Verdana" w:hAnsiTheme="majorHAnsi" w:cs="Segoe UI"/>
        </w:rPr>
        <w:t xml:space="preserve"> </w:t>
      </w:r>
      <w:r w:rsidR="00F872FC">
        <w:rPr>
          <w:rFonts w:asciiTheme="majorHAnsi" w:eastAsia="Verdana" w:hAnsiTheme="majorHAnsi" w:cs="Segoe UI"/>
        </w:rPr>
        <w:t xml:space="preserve">(the </w:t>
      </w:r>
      <w:r w:rsidR="00E670FE">
        <w:rPr>
          <w:rFonts w:asciiTheme="majorHAnsi" w:eastAsia="Verdana" w:hAnsiTheme="majorHAnsi" w:cs="Segoe UI"/>
        </w:rPr>
        <w:t>scheme</w:t>
      </w:r>
      <w:r w:rsidR="00F872FC">
        <w:rPr>
          <w:rFonts w:asciiTheme="majorHAnsi" w:eastAsia="Verdana" w:hAnsiTheme="majorHAnsi" w:cs="Segoe UI"/>
        </w:rPr>
        <w:t xml:space="preserve">) </w:t>
      </w:r>
      <w:r w:rsidR="005850DB">
        <w:rPr>
          <w:rFonts w:asciiTheme="majorHAnsi" w:eastAsia="Verdana" w:hAnsiTheme="majorHAnsi" w:cs="Segoe UI"/>
        </w:rPr>
        <w:t xml:space="preserve">2 </w:t>
      </w:r>
      <w:r w:rsidR="00B5336B">
        <w:rPr>
          <w:rFonts w:asciiTheme="majorHAnsi" w:eastAsia="Verdana" w:hAnsiTheme="majorHAnsi" w:cs="Segoe UI"/>
        </w:rPr>
        <w:t xml:space="preserve">years after commencement, the Department of Industry, Science, Energy and Resources (DISER) </w:t>
      </w:r>
      <w:r w:rsidR="005A03CA">
        <w:rPr>
          <w:rFonts w:asciiTheme="majorHAnsi" w:eastAsia="Verdana" w:hAnsiTheme="majorHAnsi" w:cs="Segoe UI"/>
        </w:rPr>
        <w:t xml:space="preserve">has </w:t>
      </w:r>
      <w:r w:rsidR="00F872FC">
        <w:rPr>
          <w:rFonts w:asciiTheme="majorHAnsi" w:eastAsia="Verdana" w:hAnsiTheme="majorHAnsi" w:cs="Segoe UI"/>
        </w:rPr>
        <w:t>commissioned this evaluation</w:t>
      </w:r>
      <w:r w:rsidR="005A03CA">
        <w:rPr>
          <w:rFonts w:asciiTheme="majorHAnsi" w:eastAsia="Verdana" w:hAnsiTheme="majorHAnsi" w:cs="Segoe UI"/>
        </w:rPr>
        <w:t xml:space="preserve"> of the </w:t>
      </w:r>
      <w:r w:rsidR="00BF33C0">
        <w:rPr>
          <w:rFonts w:asciiTheme="majorHAnsi" w:eastAsia="Verdana" w:hAnsiTheme="majorHAnsi" w:cs="Segoe UI"/>
        </w:rPr>
        <w:t>CoOL</w:t>
      </w:r>
      <w:r w:rsidR="0092635B">
        <w:rPr>
          <w:rFonts w:asciiTheme="majorHAnsi" w:eastAsia="Verdana" w:hAnsiTheme="majorHAnsi" w:cs="Segoe UI"/>
        </w:rPr>
        <w:t xml:space="preserve"> scheme</w:t>
      </w:r>
      <w:r w:rsidR="00F37A7C">
        <w:rPr>
          <w:rFonts w:asciiTheme="majorHAnsi" w:eastAsia="Verdana" w:hAnsiTheme="majorHAnsi" w:cs="Segoe UI"/>
        </w:rPr>
        <w:t>.</w:t>
      </w:r>
    </w:p>
    <w:p w14:paraId="3251C4FD" w14:textId="381AB9BC" w:rsidR="00F24A51" w:rsidRPr="00CC297D" w:rsidRDefault="0001010C" w:rsidP="00F24A51">
      <w:pPr>
        <w:rPr>
          <w:rFonts w:eastAsia="Calibri" w:cs="Times New Roman"/>
        </w:rPr>
      </w:pPr>
      <w:r>
        <w:rPr>
          <w:rFonts w:eastAsia="Calibri" w:cs="Times New Roman"/>
        </w:rPr>
        <w:t>Th</w:t>
      </w:r>
      <w:r w:rsidR="00947810">
        <w:rPr>
          <w:rFonts w:eastAsia="Calibri" w:cs="Times New Roman"/>
        </w:rPr>
        <w:t>is</w:t>
      </w:r>
      <w:r w:rsidR="00F24A51" w:rsidRPr="00CC297D">
        <w:rPr>
          <w:rFonts w:eastAsia="Calibri" w:cs="Times New Roman"/>
        </w:rPr>
        <w:t xml:space="preserve"> evaluation </w:t>
      </w:r>
      <w:r w:rsidR="009B651B">
        <w:rPr>
          <w:rFonts w:eastAsia="Calibri" w:cs="Times New Roman"/>
        </w:rPr>
        <w:t>has considered</w:t>
      </w:r>
      <w:r>
        <w:rPr>
          <w:rFonts w:eastAsia="Calibri" w:cs="Times New Roman"/>
        </w:rPr>
        <w:t xml:space="preserve"> whether </w:t>
      </w:r>
      <w:r w:rsidRPr="0001010C">
        <w:rPr>
          <w:rFonts w:eastAsia="Calibri" w:cs="Times New Roman"/>
        </w:rPr>
        <w:t xml:space="preserve">the </w:t>
      </w:r>
      <w:r w:rsidR="00BD284B">
        <w:rPr>
          <w:rFonts w:eastAsia="Calibri" w:cs="Times New Roman"/>
        </w:rPr>
        <w:t>CoOL</w:t>
      </w:r>
      <w:r w:rsidRPr="0001010C">
        <w:rPr>
          <w:rFonts w:eastAsia="Calibri" w:cs="Times New Roman"/>
        </w:rPr>
        <w:t xml:space="preserve"> reforms improved consumer access to information about the origin of food, and clarified the origin claims businesses can make about their products, without imposing excessive costs on those businesses</w:t>
      </w:r>
      <w:r>
        <w:rPr>
          <w:rFonts w:eastAsia="Calibri" w:cs="Times New Roman"/>
        </w:rPr>
        <w:t>.</w:t>
      </w:r>
      <w:r w:rsidR="00441EDA">
        <w:rPr>
          <w:rFonts w:eastAsia="Calibri" w:cs="Times New Roman"/>
        </w:rPr>
        <w:t xml:space="preserve"> </w:t>
      </w:r>
      <w:r w:rsidR="00F24A51" w:rsidRPr="00CC297D">
        <w:rPr>
          <w:rFonts w:eastAsia="Calibri" w:cs="Times New Roman"/>
        </w:rPr>
        <w:t xml:space="preserve"> </w:t>
      </w:r>
    </w:p>
    <w:p w14:paraId="3F885286" w14:textId="1A91092B" w:rsidR="00AC0376" w:rsidRDefault="009B651B" w:rsidP="00AC0376">
      <w:pPr>
        <w:spacing w:before="120"/>
      </w:pPr>
      <w:r>
        <w:t>T</w:t>
      </w:r>
      <w:r w:rsidR="00B067C0">
        <w:t xml:space="preserve">he </w:t>
      </w:r>
      <w:r w:rsidR="00AC0376">
        <w:t xml:space="preserve">evaluation </w:t>
      </w:r>
      <w:r w:rsidR="00B067C0">
        <w:t xml:space="preserve">has considered </w:t>
      </w:r>
      <w:r w:rsidR="00AC0376">
        <w:t xml:space="preserve">24 evaluation questions </w:t>
      </w:r>
      <w:r w:rsidR="00B067C0">
        <w:t>organised by the</w:t>
      </w:r>
      <w:r w:rsidR="0092635B">
        <w:t xml:space="preserve"> following</w:t>
      </w:r>
      <w:r w:rsidR="00AC0376">
        <w:t xml:space="preserve"> </w:t>
      </w:r>
      <w:r w:rsidR="00AA75B8">
        <w:t xml:space="preserve">four </w:t>
      </w:r>
      <w:r w:rsidR="00B067C0">
        <w:t>pillars</w:t>
      </w:r>
      <w:r w:rsidR="00AC0376">
        <w:t xml:space="preserve">: </w:t>
      </w:r>
    </w:p>
    <w:p w14:paraId="6BD2B36C" w14:textId="1590BC10" w:rsidR="00AC0376" w:rsidRPr="00E53797" w:rsidRDefault="00AC0376" w:rsidP="00AC0376">
      <w:pPr>
        <w:pStyle w:val="ListBullet"/>
        <w:rPr>
          <w:rFonts w:asciiTheme="majorHAnsi" w:hAnsiTheme="majorHAnsi"/>
        </w:rPr>
      </w:pPr>
      <w:r w:rsidRPr="00E53797">
        <w:rPr>
          <w:rFonts w:asciiTheme="majorHAnsi" w:hAnsiTheme="majorHAnsi"/>
        </w:rPr>
        <w:t>Design and implementation</w:t>
      </w:r>
      <w:r>
        <w:rPr>
          <w:rFonts w:asciiTheme="majorHAnsi" w:hAnsiTheme="majorHAnsi"/>
        </w:rPr>
        <w:t xml:space="preserve"> (Pillar 1)</w:t>
      </w:r>
    </w:p>
    <w:p w14:paraId="0D3A20C9" w14:textId="77777777" w:rsidR="00AC0376" w:rsidRDefault="00AC0376" w:rsidP="00AC0376">
      <w:pPr>
        <w:pStyle w:val="ListBullet"/>
        <w:rPr>
          <w:rFonts w:asciiTheme="majorHAnsi" w:hAnsiTheme="majorHAnsi"/>
        </w:rPr>
      </w:pPr>
      <w:r>
        <w:rPr>
          <w:rFonts w:asciiTheme="majorHAnsi" w:hAnsiTheme="majorHAnsi"/>
        </w:rPr>
        <w:t>Outcomes, including:</w:t>
      </w:r>
    </w:p>
    <w:p w14:paraId="0A087DE3" w14:textId="6F7E0BDA" w:rsidR="00AC0376" w:rsidRDefault="00E62EC2" w:rsidP="00243314">
      <w:pPr>
        <w:pStyle w:val="ListBullet2"/>
      </w:pPr>
      <w:r>
        <w:t>Consumer understanding and impact: c</w:t>
      </w:r>
      <w:r w:rsidR="00AC0376" w:rsidRPr="00E53797">
        <w:t>onsumers access to origin information</w:t>
      </w:r>
      <w:r w:rsidR="00AC0376">
        <w:t xml:space="preserve"> (Pillar 2)</w:t>
      </w:r>
    </w:p>
    <w:p w14:paraId="02D23028" w14:textId="1DC17D74" w:rsidR="00AC0376" w:rsidRDefault="00E62EC2" w:rsidP="00243314">
      <w:pPr>
        <w:pStyle w:val="ListBullet2"/>
      </w:pPr>
      <w:r>
        <w:t>Business understanding: t</w:t>
      </w:r>
      <w:r w:rsidR="00C40C09">
        <w:t>he</w:t>
      </w:r>
      <w:r w:rsidR="00AC0376">
        <w:t xml:space="preserve"> ability</w:t>
      </w:r>
      <w:r w:rsidR="00C40C09">
        <w:t xml:space="preserve"> of businesses</w:t>
      </w:r>
      <w:r w:rsidR="00AC0376">
        <w:t xml:space="preserve"> to make origin claims (Pillar 3)</w:t>
      </w:r>
    </w:p>
    <w:p w14:paraId="548E14F8" w14:textId="19D19878" w:rsidR="00AC0376" w:rsidRPr="00E53797" w:rsidRDefault="00E10111" w:rsidP="00243314">
      <w:pPr>
        <w:pStyle w:val="ListBullet2"/>
      </w:pPr>
      <w:r>
        <w:t>I</w:t>
      </w:r>
      <w:r w:rsidR="00AC0376">
        <w:t>mpact on business (Pillar 4)</w:t>
      </w:r>
    </w:p>
    <w:p w14:paraId="69C74EE7" w14:textId="123C3D5D" w:rsidR="00AC0376" w:rsidRPr="00F977D1" w:rsidRDefault="00AC0376" w:rsidP="00AC0376">
      <w:pPr>
        <w:pStyle w:val="ListBullet"/>
      </w:pPr>
      <w:r w:rsidRPr="00E53797">
        <w:rPr>
          <w:rFonts w:asciiTheme="majorHAnsi" w:hAnsiTheme="majorHAnsi"/>
        </w:rPr>
        <w:t>Lessons learn</w:t>
      </w:r>
      <w:r>
        <w:rPr>
          <w:rFonts w:asciiTheme="majorHAnsi" w:hAnsiTheme="majorHAnsi"/>
        </w:rPr>
        <w:t>ed</w:t>
      </w:r>
      <w:r w:rsidRPr="00E53797">
        <w:rPr>
          <w:rFonts w:asciiTheme="majorHAnsi" w:hAnsiTheme="majorHAnsi"/>
        </w:rPr>
        <w:t xml:space="preserve"> from the scheme and potential for improvement</w:t>
      </w:r>
    </w:p>
    <w:p w14:paraId="6F31F415" w14:textId="0822E56C" w:rsidR="006C06FD" w:rsidRDefault="00C36374">
      <w:pPr>
        <w:spacing w:before="120"/>
      </w:pPr>
      <w:r>
        <w:t xml:space="preserve">The evaluation </w:t>
      </w:r>
      <w:r w:rsidR="0072001B">
        <w:t xml:space="preserve">featured a range of methods </w:t>
      </w:r>
      <w:r w:rsidR="005A1167">
        <w:t>that utilised both qualitative and quantitative data derived from both primary and secondary sources</w:t>
      </w:r>
      <w:r w:rsidR="0059144C">
        <w:t xml:space="preserve">, including a review of background documents and industry submissions, interviews with </w:t>
      </w:r>
      <w:r w:rsidR="009A5A35">
        <w:t xml:space="preserve">industry members, Commonwealth and State Government departments and agencies, a consumer survey, business survey, consumer focus groups, shopper interviews and a cost benefit analysis (CBA). </w:t>
      </w:r>
    </w:p>
    <w:p w14:paraId="0AB7E60A" w14:textId="6820FD91" w:rsidR="00937485" w:rsidRPr="00533965" w:rsidRDefault="00655530" w:rsidP="00D63957">
      <w:pPr>
        <w:pStyle w:val="Heading2un-numbered"/>
      </w:pPr>
      <w:bookmarkStart w:id="48" w:name="_Toc67499031"/>
      <w:bookmarkStart w:id="49" w:name="_Toc68096387"/>
      <w:bookmarkStart w:id="50" w:name="_Toc72396550"/>
      <w:bookmarkStart w:id="51" w:name="_Toc94702027"/>
      <w:r w:rsidRPr="00D63957">
        <w:t>D</w:t>
      </w:r>
      <w:r w:rsidR="00621A26" w:rsidRPr="00D63957">
        <w:t>esign</w:t>
      </w:r>
      <w:r w:rsidR="00533965" w:rsidRPr="00533965">
        <w:t xml:space="preserve"> and implementation</w:t>
      </w:r>
      <w:bookmarkEnd w:id="48"/>
      <w:bookmarkEnd w:id="49"/>
      <w:bookmarkEnd w:id="50"/>
      <w:bookmarkEnd w:id="51"/>
      <w:r w:rsidR="00621A26">
        <w:t xml:space="preserve"> </w:t>
      </w:r>
    </w:p>
    <w:p w14:paraId="0BF47D56" w14:textId="77777777" w:rsidR="00E20A84" w:rsidRPr="0077646F" w:rsidRDefault="00E20A84" w:rsidP="00E60877">
      <w:pPr>
        <w:pStyle w:val="Heading3un-numbered"/>
      </w:pPr>
      <w:r w:rsidRPr="0077646F">
        <w:t>Rationale</w:t>
      </w:r>
      <w:r>
        <w:t xml:space="preserve"> and evidence for the 2016 CoOL reforms</w:t>
      </w:r>
      <w:r w:rsidRPr="0077646F">
        <w:t xml:space="preserve"> </w:t>
      </w:r>
    </w:p>
    <w:p w14:paraId="3D78F9A6" w14:textId="2C0ADF38" w:rsidR="00E20A84" w:rsidRDefault="00E20A84" w:rsidP="00E20A84">
      <w:pPr>
        <w:rPr>
          <w:rFonts w:eastAsia="Times New Roman" w:cs="Times New Roman"/>
          <w:bCs/>
          <w:iCs/>
          <w:color w:val="262626"/>
        </w:rPr>
      </w:pPr>
      <w:r w:rsidRPr="008739FB">
        <w:rPr>
          <w:rFonts w:eastAsia="Times New Roman" w:cs="Times New Roman"/>
          <w:bCs/>
          <w:iCs/>
          <w:color w:val="262626"/>
        </w:rPr>
        <w:t xml:space="preserve">The 2016 reforms introduced changes to safe harbour defences and brought in visual indicators (i.e. allowing the use of the Australian Made, Australian Grown </w:t>
      </w:r>
      <w:r>
        <w:rPr>
          <w:rFonts w:eastAsia="Times New Roman" w:cs="Times New Roman"/>
          <w:bCs/>
          <w:iCs/>
          <w:color w:val="262626"/>
        </w:rPr>
        <w:t>[</w:t>
      </w:r>
      <w:r w:rsidRPr="008739FB">
        <w:rPr>
          <w:rFonts w:eastAsia="Times New Roman" w:cs="Times New Roman"/>
          <w:bCs/>
          <w:iCs/>
          <w:color w:val="262626"/>
        </w:rPr>
        <w:t>AMAG</w:t>
      </w:r>
      <w:r>
        <w:rPr>
          <w:rFonts w:eastAsia="Times New Roman" w:cs="Times New Roman"/>
          <w:bCs/>
          <w:iCs/>
          <w:color w:val="262626"/>
        </w:rPr>
        <w:t>]</w:t>
      </w:r>
      <w:r w:rsidRPr="008739FB">
        <w:rPr>
          <w:rFonts w:eastAsia="Times New Roman" w:cs="Times New Roman"/>
          <w:bCs/>
          <w:iCs/>
          <w:color w:val="262626"/>
        </w:rPr>
        <w:t xml:space="preserve"> logo and a bar chart and text identifying the proportion of Australian content), designed to better communicate country of origin information at the point of purchase. </w:t>
      </w:r>
      <w:r>
        <w:rPr>
          <w:rFonts w:eastAsia="Times New Roman" w:cs="Times New Roman"/>
          <w:bCs/>
          <w:iCs/>
          <w:color w:val="262626"/>
        </w:rPr>
        <w:t xml:space="preserve">The design of the reforms </w:t>
      </w:r>
      <w:r w:rsidR="00CA6276">
        <w:rPr>
          <w:rFonts w:eastAsia="Times New Roman" w:cs="Times New Roman"/>
          <w:bCs/>
          <w:iCs/>
          <w:color w:val="262626"/>
        </w:rPr>
        <w:t xml:space="preserve">was </w:t>
      </w:r>
      <w:r>
        <w:rPr>
          <w:rFonts w:eastAsia="Times New Roman" w:cs="Times New Roman"/>
          <w:bCs/>
          <w:iCs/>
          <w:color w:val="262626"/>
        </w:rPr>
        <w:t>based on Colmar Brunton research</w:t>
      </w:r>
      <w:r w:rsidR="000B3E1F">
        <w:rPr>
          <w:rFonts w:eastAsia="Times New Roman" w:cs="Times New Roman"/>
          <w:bCs/>
          <w:iCs/>
          <w:color w:val="262626"/>
        </w:rPr>
        <w:t>,</w:t>
      </w:r>
      <w:r>
        <w:rPr>
          <w:rFonts w:eastAsia="Times New Roman" w:cs="Times New Roman"/>
          <w:bCs/>
          <w:iCs/>
          <w:color w:val="262626"/>
        </w:rPr>
        <w:t xml:space="preserve"> which found the visual tool</w:t>
      </w:r>
      <w:r w:rsidR="00DB3256">
        <w:rPr>
          <w:rFonts w:eastAsia="Times New Roman" w:cs="Times New Roman"/>
          <w:bCs/>
          <w:iCs/>
          <w:color w:val="262626"/>
        </w:rPr>
        <w:t>s</w:t>
      </w:r>
      <w:r>
        <w:rPr>
          <w:rFonts w:eastAsia="Times New Roman" w:cs="Times New Roman"/>
          <w:bCs/>
          <w:iCs/>
          <w:color w:val="262626"/>
        </w:rPr>
        <w:t xml:space="preserve"> (i.e. the </w:t>
      </w:r>
      <w:r w:rsidR="00DB3256">
        <w:rPr>
          <w:rFonts w:eastAsia="Times New Roman" w:cs="Times New Roman"/>
          <w:bCs/>
          <w:iCs/>
          <w:color w:val="262626"/>
        </w:rPr>
        <w:t xml:space="preserve">AMAG logo </w:t>
      </w:r>
      <w:r>
        <w:rPr>
          <w:rFonts w:eastAsia="Times New Roman" w:cs="Times New Roman"/>
          <w:bCs/>
          <w:iCs/>
          <w:color w:val="262626"/>
        </w:rPr>
        <w:t>and bar chart) to be most effective</w:t>
      </w:r>
      <w:r w:rsidR="00DB3256">
        <w:rPr>
          <w:rFonts w:eastAsia="Times New Roman" w:cs="Times New Roman"/>
          <w:bCs/>
          <w:iCs/>
          <w:color w:val="262626"/>
        </w:rPr>
        <w:t xml:space="preserve"> in conveying country of origin information to consumers</w:t>
      </w:r>
      <w:r>
        <w:rPr>
          <w:rFonts w:eastAsia="Times New Roman" w:cs="Times New Roman"/>
          <w:bCs/>
          <w:iCs/>
          <w:color w:val="262626"/>
        </w:rPr>
        <w:t xml:space="preserve">. </w:t>
      </w:r>
    </w:p>
    <w:p w14:paraId="650E31FD" w14:textId="790285DA" w:rsidR="00E20A84" w:rsidRDefault="00250DED" w:rsidP="00E20A84">
      <w:pPr>
        <w:rPr>
          <w:rFonts w:eastAsia="Calibri" w:cs="Times New Roman"/>
        </w:rPr>
      </w:pPr>
      <w:r>
        <w:rPr>
          <w:rFonts w:eastAsia="Calibri" w:cs="Times New Roman"/>
        </w:rPr>
        <w:t xml:space="preserve">While </w:t>
      </w:r>
      <w:r w:rsidR="009E7C4C">
        <w:rPr>
          <w:rFonts w:eastAsia="Calibri" w:cs="Times New Roman"/>
        </w:rPr>
        <w:t>DISER</w:t>
      </w:r>
      <w:r w:rsidR="00E20A84" w:rsidRPr="00CC297D">
        <w:rPr>
          <w:rFonts w:eastAsia="Calibri" w:cs="Times New Roman"/>
        </w:rPr>
        <w:t xml:space="preserve"> </w:t>
      </w:r>
      <w:r w:rsidR="00E20A84">
        <w:rPr>
          <w:rFonts w:eastAsia="Calibri" w:cs="Times New Roman"/>
        </w:rPr>
        <w:t>and other Australian Government agencies considered</w:t>
      </w:r>
      <w:r w:rsidR="00E20A84" w:rsidRPr="00CC297D">
        <w:rPr>
          <w:rFonts w:eastAsia="Calibri" w:cs="Times New Roman"/>
        </w:rPr>
        <w:t xml:space="preserve"> alternative approaches</w:t>
      </w:r>
      <w:r>
        <w:rPr>
          <w:rFonts w:eastAsia="Calibri" w:cs="Times New Roman"/>
        </w:rPr>
        <w:t>,</w:t>
      </w:r>
      <w:r w:rsidR="00E20A84" w:rsidRPr="00CC297D">
        <w:rPr>
          <w:rFonts w:eastAsia="Calibri" w:cs="Times New Roman"/>
        </w:rPr>
        <w:t xml:space="preserve"> </w:t>
      </w:r>
      <w:r w:rsidR="00E20A84" w:rsidRPr="001D6254">
        <w:rPr>
          <w:rFonts w:eastAsia="Calibri" w:cs="Times New Roman"/>
        </w:rPr>
        <w:t xml:space="preserve">it </w:t>
      </w:r>
      <w:r>
        <w:rPr>
          <w:rFonts w:eastAsia="Calibri" w:cs="Times New Roman"/>
        </w:rPr>
        <w:t>i</w:t>
      </w:r>
      <w:r w:rsidRPr="001D6254">
        <w:rPr>
          <w:rFonts w:eastAsia="Calibri" w:cs="Times New Roman"/>
        </w:rPr>
        <w:t xml:space="preserve">s </w:t>
      </w:r>
      <w:r w:rsidR="00E20A84" w:rsidRPr="001D6254">
        <w:rPr>
          <w:rFonts w:eastAsia="Calibri" w:cs="Times New Roman"/>
        </w:rPr>
        <w:t xml:space="preserve">unlikely </w:t>
      </w:r>
      <w:r>
        <w:rPr>
          <w:rFonts w:eastAsia="Calibri" w:cs="Times New Roman"/>
        </w:rPr>
        <w:t>these</w:t>
      </w:r>
      <w:r w:rsidR="00E20A84" w:rsidRPr="001D6254">
        <w:rPr>
          <w:rFonts w:eastAsia="Calibri" w:cs="Times New Roman"/>
        </w:rPr>
        <w:t xml:space="preserve"> would have provided a more cost-effective solution than the option that was selected and ultimately implemented.</w:t>
      </w:r>
    </w:p>
    <w:p w14:paraId="5743649F" w14:textId="77777777" w:rsidR="00C95B2B" w:rsidRPr="0077646F" w:rsidRDefault="00C95B2B" w:rsidP="00DB3256">
      <w:pPr>
        <w:pStyle w:val="Heading3un-numbered"/>
      </w:pPr>
      <w:r w:rsidRPr="0077646F">
        <w:t xml:space="preserve">Implementation of </w:t>
      </w:r>
      <w:r>
        <w:t>the CoOL reforms</w:t>
      </w:r>
      <w:r w:rsidRPr="0077646F">
        <w:t xml:space="preserve"> </w:t>
      </w:r>
    </w:p>
    <w:p w14:paraId="41A2018B" w14:textId="3822374B" w:rsidR="00786C5B" w:rsidRDefault="00C95B2B" w:rsidP="00C95B2B">
      <w:pPr>
        <w:rPr>
          <w:rFonts w:eastAsia="Calibri" w:cs="Times New Roman"/>
        </w:rPr>
      </w:pPr>
      <w:r w:rsidRPr="00CC297D">
        <w:rPr>
          <w:rFonts w:eastAsia="Calibri" w:cs="Times New Roman"/>
        </w:rPr>
        <w:t xml:space="preserve">Overall, </w:t>
      </w:r>
      <w:r>
        <w:rPr>
          <w:rFonts w:eastAsia="Calibri" w:cs="Times New Roman"/>
        </w:rPr>
        <w:t xml:space="preserve">most </w:t>
      </w:r>
      <w:r w:rsidRPr="00CC297D">
        <w:rPr>
          <w:rFonts w:eastAsia="Calibri" w:cs="Times New Roman"/>
        </w:rPr>
        <w:t xml:space="preserve">stakeholders </w:t>
      </w:r>
      <w:r>
        <w:rPr>
          <w:rFonts w:eastAsia="Calibri" w:cs="Times New Roman"/>
        </w:rPr>
        <w:t xml:space="preserve">consider </w:t>
      </w:r>
      <w:r w:rsidRPr="00CC297D">
        <w:rPr>
          <w:rFonts w:eastAsia="Calibri" w:cs="Times New Roman"/>
        </w:rPr>
        <w:t xml:space="preserve">that the reforms were </w:t>
      </w:r>
      <w:r>
        <w:rPr>
          <w:rFonts w:eastAsia="Calibri" w:cs="Times New Roman"/>
        </w:rPr>
        <w:t xml:space="preserve">well implemented. Within </w:t>
      </w:r>
      <w:r w:rsidR="00B35EB4">
        <w:rPr>
          <w:rFonts w:eastAsia="Calibri" w:cs="Times New Roman"/>
        </w:rPr>
        <w:t xml:space="preserve">the </w:t>
      </w:r>
      <w:r w:rsidR="008A6E26">
        <w:rPr>
          <w:rFonts w:eastAsia="Calibri" w:cs="Times New Roman"/>
        </w:rPr>
        <w:t>Australian</w:t>
      </w:r>
      <w:r w:rsidR="00B35EB4">
        <w:rPr>
          <w:rFonts w:eastAsia="Calibri" w:cs="Times New Roman"/>
        </w:rPr>
        <w:t xml:space="preserve"> G</w:t>
      </w:r>
      <w:r>
        <w:rPr>
          <w:rFonts w:eastAsia="Calibri" w:cs="Times New Roman"/>
        </w:rPr>
        <w:t xml:space="preserve">overnment, the reforms are considered to be an exemplar of good implementation. </w:t>
      </w:r>
    </w:p>
    <w:p w14:paraId="0FE5EF12" w14:textId="639BD435" w:rsidR="009830DF" w:rsidRDefault="00257B3B" w:rsidP="00C95B2B">
      <w:pPr>
        <w:rPr>
          <w:rFonts w:eastAsia="Calibri" w:cs="Times New Roman"/>
        </w:rPr>
      </w:pPr>
      <w:r>
        <w:rPr>
          <w:rFonts w:eastAsia="Calibri" w:cs="Times New Roman"/>
        </w:rPr>
        <w:t xml:space="preserve">Within industry, some stakeholders would have preferred more time or more information to assist </w:t>
      </w:r>
      <w:r w:rsidR="00A44A32">
        <w:rPr>
          <w:rFonts w:eastAsia="Calibri" w:cs="Times New Roman"/>
        </w:rPr>
        <w:t xml:space="preserve">them </w:t>
      </w:r>
      <w:r>
        <w:rPr>
          <w:rFonts w:eastAsia="Calibri" w:cs="Times New Roman"/>
        </w:rPr>
        <w:t>i</w:t>
      </w:r>
      <w:r w:rsidR="00A54945">
        <w:rPr>
          <w:rFonts w:eastAsia="Calibri" w:cs="Times New Roman"/>
        </w:rPr>
        <w:t xml:space="preserve">n </w:t>
      </w:r>
      <w:r w:rsidR="00A44A32">
        <w:rPr>
          <w:rFonts w:eastAsia="Calibri" w:cs="Times New Roman"/>
        </w:rPr>
        <w:t>transitioning to the revised arrangements</w:t>
      </w:r>
      <w:r w:rsidR="00A54945">
        <w:rPr>
          <w:rFonts w:eastAsia="Calibri" w:cs="Times New Roman"/>
        </w:rPr>
        <w:t>.</w:t>
      </w:r>
      <w:r w:rsidR="00C95B2B" w:rsidRPr="003501A4">
        <w:rPr>
          <w:rFonts w:eastAsia="Calibri" w:cs="Times New Roman"/>
        </w:rPr>
        <w:t xml:space="preserve"> </w:t>
      </w:r>
      <w:r w:rsidR="00786C5B">
        <w:rPr>
          <w:rFonts w:eastAsia="Calibri" w:cs="Times New Roman"/>
        </w:rPr>
        <w:t>In particular</w:t>
      </w:r>
      <w:r w:rsidR="00A623FE">
        <w:rPr>
          <w:rFonts w:eastAsia="Calibri" w:cs="Times New Roman"/>
        </w:rPr>
        <w:t>,</w:t>
      </w:r>
      <w:r w:rsidR="009830DF" w:rsidRPr="009830DF">
        <w:rPr>
          <w:rFonts w:eastAsia="Calibri" w:cs="Times New Roman"/>
        </w:rPr>
        <w:t xml:space="preserve"> larger retailers, food and beverage manufacturers and the meat and dairy industries indicated that a phasing in period of </w:t>
      </w:r>
      <w:r w:rsidR="009830DF" w:rsidRPr="009830DF">
        <w:rPr>
          <w:rFonts w:eastAsia="Calibri" w:cs="Times New Roman"/>
        </w:rPr>
        <w:lastRenderedPageBreak/>
        <w:t xml:space="preserve">longer than </w:t>
      </w:r>
      <w:r w:rsidR="00A623FE">
        <w:rPr>
          <w:rFonts w:eastAsia="Calibri" w:cs="Times New Roman"/>
        </w:rPr>
        <w:t>2</w:t>
      </w:r>
      <w:r w:rsidR="00A623FE" w:rsidRPr="009830DF">
        <w:rPr>
          <w:rFonts w:eastAsia="Calibri" w:cs="Times New Roman"/>
        </w:rPr>
        <w:t xml:space="preserve"> </w:t>
      </w:r>
      <w:r w:rsidR="009830DF" w:rsidRPr="009830DF">
        <w:rPr>
          <w:rFonts w:eastAsia="Calibri" w:cs="Times New Roman"/>
        </w:rPr>
        <w:t xml:space="preserve">years would have been desirable given the significant scale of change required by the new scheme. </w:t>
      </w:r>
    </w:p>
    <w:p w14:paraId="3C2662F6" w14:textId="2A5C9070" w:rsidR="00FD536C" w:rsidRDefault="00FD536C" w:rsidP="00A44A32">
      <w:pPr>
        <w:pStyle w:val="Heading3un-numbered"/>
      </w:pPr>
      <w:r>
        <w:t>Communication and online resources</w:t>
      </w:r>
    </w:p>
    <w:p w14:paraId="34AFABBF" w14:textId="15798FE1" w:rsidR="00FD536C" w:rsidRDefault="00347C39" w:rsidP="00C95B2B">
      <w:pPr>
        <w:rPr>
          <w:rFonts w:eastAsia="Calibri" w:cs="Times New Roman"/>
        </w:rPr>
      </w:pPr>
      <w:r>
        <w:rPr>
          <w:rFonts w:eastAsia="Calibri" w:cs="Times New Roman"/>
        </w:rPr>
        <w:t>Stakeholders from industry peak bodies</w:t>
      </w:r>
      <w:r w:rsidR="00FD536C" w:rsidRPr="003C74DF">
        <w:rPr>
          <w:rFonts w:eastAsia="Calibri" w:cs="Times New Roman"/>
        </w:rPr>
        <w:t xml:space="preserve"> indicate</w:t>
      </w:r>
      <w:r w:rsidR="00FD536C">
        <w:rPr>
          <w:rFonts w:eastAsia="Calibri" w:cs="Times New Roman"/>
        </w:rPr>
        <w:t>d</w:t>
      </w:r>
      <w:r w:rsidR="00FD536C" w:rsidRPr="003C74DF">
        <w:rPr>
          <w:rFonts w:eastAsia="Calibri" w:cs="Times New Roman"/>
        </w:rPr>
        <w:t xml:space="preserve"> that the material and tools that were developed were helpful</w:t>
      </w:r>
      <w:r w:rsidR="00FD536C">
        <w:rPr>
          <w:rFonts w:eastAsia="Calibri" w:cs="Times New Roman"/>
        </w:rPr>
        <w:t xml:space="preserve"> to understand, implement and manage CoOL requirements.</w:t>
      </w:r>
      <w:r w:rsidR="0067538A">
        <w:rPr>
          <w:rFonts w:eastAsia="Calibri" w:cs="Times New Roman"/>
        </w:rPr>
        <w:t xml:space="preserve"> </w:t>
      </w:r>
      <w:r w:rsidR="00FD536C" w:rsidRPr="00347C39">
        <w:t xml:space="preserve">However, survey responses from consumers and businesses suggested </w:t>
      </w:r>
      <w:r w:rsidRPr="00347C39">
        <w:t>that not many recalled</w:t>
      </w:r>
      <w:r w:rsidR="00FD536C" w:rsidRPr="00347C39">
        <w:t xml:space="preserve"> seeing information about the changes to CoOL when they were being introduced.</w:t>
      </w:r>
      <w:r w:rsidR="00FD536C" w:rsidRPr="00FD536C">
        <w:rPr>
          <w:rFonts w:eastAsia="Calibri" w:cs="Times New Roman"/>
        </w:rPr>
        <w:t xml:space="preserve"> </w:t>
      </w:r>
    </w:p>
    <w:p w14:paraId="5CBAB6B1" w14:textId="7635C6B5" w:rsidR="00502EAA" w:rsidRDefault="00997900" w:rsidP="00676F21">
      <w:pPr>
        <w:pStyle w:val="BodyText"/>
      </w:pPr>
      <w:r w:rsidRPr="00676F21">
        <w:t xml:space="preserve">The online tool that was developed to assist businesses in complying with CoOL </w:t>
      </w:r>
      <w:r w:rsidR="0064727A" w:rsidRPr="00676F21">
        <w:t>requirements was well received.</w:t>
      </w:r>
      <w:r w:rsidR="00502EAA" w:rsidRPr="00676F21">
        <w:t xml:space="preserve"> </w:t>
      </w:r>
      <w:r w:rsidR="000F035A" w:rsidRPr="00676F21">
        <w:t>Industry stakeholders indicated that many businesses utilised the tool to</w:t>
      </w:r>
      <w:r w:rsidR="00502EAA" w:rsidRPr="00676F21">
        <w:t xml:space="preserve"> </w:t>
      </w:r>
      <w:r w:rsidR="000F035A" w:rsidRPr="00676F21">
        <w:t xml:space="preserve">assist in the design of </w:t>
      </w:r>
      <w:r w:rsidR="00676F21" w:rsidRPr="00676F21">
        <w:t>CoOL compliant labels.</w:t>
      </w:r>
    </w:p>
    <w:p w14:paraId="78F1C0F2" w14:textId="6B08D54F" w:rsidR="00FD536C" w:rsidRDefault="00F96EF3" w:rsidP="00F96EF3">
      <w:pPr>
        <w:pStyle w:val="Heading2un-numbered"/>
      </w:pPr>
      <w:bookmarkStart w:id="52" w:name="_Toc72396551"/>
      <w:bookmarkStart w:id="53" w:name="_Toc94702028"/>
      <w:r>
        <w:t xml:space="preserve">Consumer </w:t>
      </w:r>
      <w:r w:rsidR="00FD3495">
        <w:t>understanding and impact</w:t>
      </w:r>
      <w:bookmarkEnd w:id="52"/>
      <w:bookmarkEnd w:id="53"/>
    </w:p>
    <w:p w14:paraId="6D4ED516" w14:textId="7B602203" w:rsidR="005E7A66" w:rsidRPr="005E7A66" w:rsidRDefault="00C84B45" w:rsidP="0067538A">
      <w:pPr>
        <w:pStyle w:val="Heading3un-numbered"/>
      </w:pPr>
      <w:r>
        <w:t>CoOL impact on quality of information</w:t>
      </w:r>
    </w:p>
    <w:p w14:paraId="0A7600F4" w14:textId="3FCD57E4" w:rsidR="004F79F9" w:rsidRDefault="00A176D4" w:rsidP="0003754C">
      <w:pPr>
        <w:pStyle w:val="BodyText"/>
        <w:spacing w:after="140"/>
      </w:pPr>
      <w:r w:rsidRPr="00A176D4">
        <w:t>CoOL reform ha</w:t>
      </w:r>
      <w:r w:rsidR="00486ED2">
        <w:t xml:space="preserve">s resulted in the provision of </w:t>
      </w:r>
      <w:r w:rsidRPr="00A176D4">
        <w:t xml:space="preserve">more </w:t>
      </w:r>
      <w:r w:rsidR="00D442D1">
        <w:t xml:space="preserve">information </w:t>
      </w:r>
      <w:r w:rsidR="00486ED2">
        <w:t xml:space="preserve">about food origin that is </w:t>
      </w:r>
      <w:r w:rsidR="00D442D1">
        <w:t xml:space="preserve">of greater quality </w:t>
      </w:r>
      <w:r w:rsidR="00643965">
        <w:t>and consistency</w:t>
      </w:r>
      <w:r w:rsidR="00486ED2">
        <w:t xml:space="preserve"> than was provided previously</w:t>
      </w:r>
      <w:r w:rsidRPr="00A176D4">
        <w:t xml:space="preserve">. The consumer survey indicates that overall, most consumers are satisfied with the amount of information they receive from </w:t>
      </w:r>
      <w:r w:rsidR="00D54F15">
        <w:t>CoOL</w:t>
      </w:r>
      <w:r w:rsidRPr="00A176D4">
        <w:t>.</w:t>
      </w:r>
      <w:r w:rsidR="004F79F9" w:rsidRPr="004F79F9">
        <w:t xml:space="preserve"> </w:t>
      </w:r>
    </w:p>
    <w:p w14:paraId="7AEAF69C" w14:textId="6A4A6025" w:rsidR="00CB3BA6" w:rsidRDefault="00CB3BA6" w:rsidP="00CB3BA6">
      <w:pPr>
        <w:pStyle w:val="Heading3un-numbered"/>
      </w:pPr>
      <w:r>
        <w:t>Consumer understanding of origin information</w:t>
      </w:r>
    </w:p>
    <w:p w14:paraId="20882BB0" w14:textId="5F91272C" w:rsidR="00C84B45" w:rsidRDefault="004F79F9" w:rsidP="0003754C">
      <w:pPr>
        <w:pStyle w:val="BodyText"/>
        <w:spacing w:after="140"/>
      </w:pPr>
      <w:r>
        <w:t>While shopper interviews, focus groups and the consumer survey suggest that the labels are generally able to be understood by consumers, there</w:t>
      </w:r>
      <w:r w:rsidRPr="00C92553">
        <w:t xml:space="preserve"> is some </w:t>
      </w:r>
      <w:r>
        <w:t>misunderstanding</w:t>
      </w:r>
      <w:r w:rsidRPr="00C92553">
        <w:t xml:space="preserve"> of the ‘Made in’ </w:t>
      </w:r>
      <w:r>
        <w:t>statement</w:t>
      </w:r>
      <w:r w:rsidRPr="00C92553">
        <w:t xml:space="preserve">. </w:t>
      </w:r>
      <w:r>
        <w:t xml:space="preserve">With the additional information now provided, consumers can see </w:t>
      </w:r>
      <w:r w:rsidRPr="00C92553">
        <w:t xml:space="preserve">that a product making this claim is not necessarily wholly or predominantly </w:t>
      </w:r>
      <w:r w:rsidR="00783DE7">
        <w:t>composed</w:t>
      </w:r>
      <w:r w:rsidR="00783DE7" w:rsidRPr="00C92553">
        <w:t xml:space="preserve"> </w:t>
      </w:r>
      <w:r w:rsidRPr="00C92553">
        <w:t>of Australian ingredients.</w:t>
      </w:r>
      <w:r>
        <w:t xml:space="preserve"> This sometimes leads to a gap in a consumer’s mind between perceived and actual understanding of what ‘Made in’ means.</w:t>
      </w:r>
    </w:p>
    <w:p w14:paraId="2FCA7F77" w14:textId="4EEEFF2D" w:rsidR="005F361D" w:rsidRDefault="00C84B45" w:rsidP="00C84B45">
      <w:pPr>
        <w:pStyle w:val="Heading3un-numbered"/>
      </w:pPr>
      <w:r>
        <w:t>Consumer attitudes to origin information</w:t>
      </w:r>
      <w:r w:rsidR="005F361D" w:rsidRPr="005F361D">
        <w:t xml:space="preserve"> </w:t>
      </w:r>
    </w:p>
    <w:p w14:paraId="448538A0" w14:textId="43B193AE" w:rsidR="00F96EF3" w:rsidRDefault="005F361D" w:rsidP="00A176D4">
      <w:pPr>
        <w:pStyle w:val="BodyText"/>
      </w:pPr>
      <w:r>
        <w:t>While the scheme has provided consumers with more country of origi</w:t>
      </w:r>
      <w:r w:rsidR="00792AA1">
        <w:t>n information,</w:t>
      </w:r>
      <w:r w:rsidR="00CD7B93">
        <w:t xml:space="preserve"> and most consumers are satisfied with this,</w:t>
      </w:r>
      <w:r>
        <w:t xml:space="preserve"> there remains a subset of consumers who would like </w:t>
      </w:r>
      <w:r w:rsidR="008E6DD2">
        <w:t xml:space="preserve">even </w:t>
      </w:r>
      <w:r>
        <w:t xml:space="preserve">more information </w:t>
      </w:r>
      <w:r w:rsidR="00CD7B93">
        <w:t>about the origin of</w:t>
      </w:r>
      <w:r>
        <w:t xml:space="preserve"> non-Australian ingredients. This group </w:t>
      </w:r>
      <w:r w:rsidR="00CD7B93">
        <w:t xml:space="preserve">of consumers </w:t>
      </w:r>
      <w:r>
        <w:t xml:space="preserve">appear motivated by </w:t>
      </w:r>
      <w:r w:rsidR="00CD7B93">
        <w:t>concerns about</w:t>
      </w:r>
      <w:r>
        <w:t xml:space="preserve"> food </w:t>
      </w:r>
      <w:r w:rsidR="00FF5025">
        <w:t>prove</w:t>
      </w:r>
      <w:r w:rsidR="00AB0352">
        <w:t>nance</w:t>
      </w:r>
      <w:r w:rsidR="00FF5025">
        <w:t xml:space="preserve"> </w:t>
      </w:r>
      <w:r>
        <w:t xml:space="preserve">and safety. </w:t>
      </w:r>
      <w:r w:rsidR="008E6DD2">
        <w:t xml:space="preserve">However, the CoOL scheme is not a food safety </w:t>
      </w:r>
      <w:r w:rsidR="008F0C00">
        <w:t>initiative and</w:t>
      </w:r>
      <w:r w:rsidR="00946A34">
        <w:t>,</w:t>
      </w:r>
      <w:r w:rsidR="008F0C00">
        <w:t xml:space="preserve"> therefore, increased country of origin information would not necessarily meet the requirements of those people seeking more </w:t>
      </w:r>
      <w:r w:rsidR="00095317">
        <w:t>information</w:t>
      </w:r>
      <w:r w:rsidR="004F79F9">
        <w:t xml:space="preserve"> about the origin of ingredients</w:t>
      </w:r>
      <w:r w:rsidR="00095317">
        <w:t>.</w:t>
      </w:r>
    </w:p>
    <w:p w14:paraId="3370DF07" w14:textId="735AD143" w:rsidR="00126275" w:rsidRPr="008F7415" w:rsidRDefault="00513B1B" w:rsidP="00126275">
      <w:pPr>
        <w:pStyle w:val="Heading2un-numbered"/>
      </w:pPr>
      <w:bookmarkStart w:id="54" w:name="_Toc72396552"/>
      <w:bookmarkStart w:id="55" w:name="_Toc94702029"/>
      <w:r>
        <w:t>Business</w:t>
      </w:r>
      <w:r w:rsidR="00FD3495">
        <w:t xml:space="preserve"> understanding and impact</w:t>
      </w:r>
      <w:bookmarkEnd w:id="54"/>
      <w:bookmarkEnd w:id="55"/>
    </w:p>
    <w:p w14:paraId="0C28DC0C" w14:textId="77777777" w:rsidR="00126275" w:rsidRPr="00744A88" w:rsidRDefault="00126275" w:rsidP="00126275">
      <w:pPr>
        <w:pStyle w:val="Heading3un-numbered"/>
      </w:pPr>
      <w:r w:rsidRPr="00744A88">
        <w:t>Business understanding of claims</w:t>
      </w:r>
    </w:p>
    <w:p w14:paraId="168E7D4C" w14:textId="3D966CAA" w:rsidR="00126275" w:rsidRDefault="00126275" w:rsidP="0003754C">
      <w:pPr>
        <w:pStyle w:val="BodyText"/>
        <w:spacing w:after="140"/>
      </w:pPr>
      <w:r>
        <w:t xml:space="preserve">Some businesses are uncertain about certain claims, particularly ‘Made in’, which involves interpreting the meaning of substantial transformation. Engagement with industry stakeholders and business survey responses indicated that the current examples provided by the </w:t>
      </w:r>
      <w:r w:rsidR="00EE3FC3">
        <w:t xml:space="preserve">Australian Competition and Consumer Commission </w:t>
      </w:r>
      <w:r w:rsidR="007E1966">
        <w:t>(</w:t>
      </w:r>
      <w:r>
        <w:t>ACCC</w:t>
      </w:r>
      <w:r w:rsidR="007E1966">
        <w:t>)</w:t>
      </w:r>
      <w:r>
        <w:t xml:space="preserve"> accompanying the definition are somewhat simplistic, particularly for businesses with complex and diverse food supply chains.</w:t>
      </w:r>
    </w:p>
    <w:p w14:paraId="73698447" w14:textId="77A53781" w:rsidR="00126275" w:rsidRDefault="002452BB" w:rsidP="0003754C">
      <w:pPr>
        <w:pStyle w:val="BodyText"/>
        <w:spacing w:after="140"/>
      </w:pPr>
      <w:r>
        <w:t>M</w:t>
      </w:r>
      <w:r w:rsidR="00126275">
        <w:t xml:space="preserve">ore detailed examples from the ACCC could assist in increasing businesses understanding of these </w:t>
      </w:r>
      <w:r w:rsidR="00D855B7">
        <w:t xml:space="preserve">safe harbour </w:t>
      </w:r>
      <w:r w:rsidR="00126275">
        <w:t xml:space="preserve">defences and increase ease of compliance. Equally, it is recognised that examples cannot cover every eventuality. It may be necessary to tighten the wording of the definition in the Information Standard itself to improve clarity. </w:t>
      </w:r>
    </w:p>
    <w:p w14:paraId="3204966C" w14:textId="77777777" w:rsidR="00126275" w:rsidRPr="00744A88" w:rsidRDefault="00126275" w:rsidP="00126275">
      <w:pPr>
        <w:pStyle w:val="Heading3un-numbered"/>
      </w:pPr>
      <w:r w:rsidRPr="00744A88">
        <w:t>Safe harbour defences</w:t>
      </w:r>
    </w:p>
    <w:p w14:paraId="750B862C" w14:textId="654A8E16" w:rsidR="00126275" w:rsidRDefault="00126275" w:rsidP="0003754C">
      <w:pPr>
        <w:pStyle w:val="BodyText"/>
        <w:spacing w:after="140"/>
      </w:pPr>
      <w:r>
        <w:t xml:space="preserve">The issues </w:t>
      </w:r>
      <w:r w:rsidR="791ED0CB">
        <w:t>regarding business understanding</w:t>
      </w:r>
      <w:r>
        <w:t xml:space="preserve"> illustrate why the safe harbour defences are essential for the effective functioning of the scheme. They ensure that a business will not be unreasonably penalised for an incorrect claim, noting that incorrect claims may be inadvertent. Engagement with industry stakeholders indicated support for the safe harbour provisions.</w:t>
      </w:r>
    </w:p>
    <w:p w14:paraId="56273720" w14:textId="77777777" w:rsidR="00126275" w:rsidRDefault="00126275" w:rsidP="00126275">
      <w:pPr>
        <w:pStyle w:val="Heading3un-numbered"/>
      </w:pPr>
      <w:r>
        <w:t>Compliance with CoOL requirements</w:t>
      </w:r>
    </w:p>
    <w:p w14:paraId="3208B448" w14:textId="22E8433E" w:rsidR="00126275" w:rsidRDefault="001B0B16" w:rsidP="0003754C">
      <w:pPr>
        <w:spacing w:after="140"/>
      </w:pPr>
      <w:r w:rsidRPr="00F335BC">
        <w:t>Across major supermarkets, t</w:t>
      </w:r>
      <w:r w:rsidR="00126275" w:rsidRPr="00F335BC">
        <w:t>he</w:t>
      </w:r>
      <w:r w:rsidR="00126275" w:rsidRPr="00D37568">
        <w:t xml:space="preserve"> 2016 CoOL reforms have generally achieved a high level of compliance </w:t>
      </w:r>
      <w:r w:rsidR="357518AC">
        <w:t>for a substantively new scheme</w:t>
      </w:r>
      <w:r w:rsidR="00126275">
        <w:t>.</w:t>
      </w:r>
      <w:r w:rsidR="00126275" w:rsidRPr="00D37568">
        <w:t xml:space="preserve"> The ACCC advised that under this scheme there ha</w:t>
      </w:r>
      <w:r w:rsidR="00B12317">
        <w:t>ve</w:t>
      </w:r>
      <w:r w:rsidR="00126275" w:rsidRPr="00D37568">
        <w:t xml:space="preserve"> been significantly fewer misleading claims made. In total, the trade measurement inspections (targeting areas of potential non-compliance) conducted by the National Measurement Institute (NMI) found 21% of all product lines inspected in 2018-19 were non-compliant. </w:t>
      </w:r>
      <w:r w:rsidR="009828A7">
        <w:t>T</w:t>
      </w:r>
      <w:r w:rsidRPr="00487EDB">
        <w:t>his non-</w:t>
      </w:r>
      <w:r w:rsidRPr="00F335BC">
        <w:lastRenderedPageBreak/>
        <w:t>compliance does not highlight the differences in compliance between major supermarkets and other business types</w:t>
      </w:r>
      <w:r w:rsidR="00C136BF">
        <w:t>,</w:t>
      </w:r>
      <w:r w:rsidRPr="00F335BC">
        <w:t xml:space="preserve"> and between the compliance for prepacked and non-prepacked product lines. </w:t>
      </w:r>
      <w:r w:rsidR="00081B1E">
        <w:t>F</w:t>
      </w:r>
      <w:r w:rsidR="00C1490A">
        <w:t>or</w:t>
      </w:r>
      <w:r w:rsidR="00081B1E">
        <w:t xml:space="preserve"> major supermarkets</w:t>
      </w:r>
      <w:r w:rsidR="00F828DD">
        <w:t>,</w:t>
      </w:r>
      <w:r w:rsidR="00C1490A">
        <w:t xml:space="preserve"> </w:t>
      </w:r>
      <w:r w:rsidR="008F5218">
        <w:t xml:space="preserve">2.4% </w:t>
      </w:r>
      <w:r w:rsidR="00691590">
        <w:t xml:space="preserve">of </w:t>
      </w:r>
      <w:r w:rsidR="009D234A">
        <w:t xml:space="preserve">non-prepacked products </w:t>
      </w:r>
      <w:r w:rsidR="008F5218">
        <w:t xml:space="preserve">were found to be non-compliant and 5.5% </w:t>
      </w:r>
      <w:r w:rsidR="009D234A">
        <w:t>of prepacked products were</w:t>
      </w:r>
      <w:r w:rsidR="00E07246">
        <w:t xml:space="preserve"> found to be non-compliant</w:t>
      </w:r>
      <w:r w:rsidR="006C6328">
        <w:t>. This was in comparison to independent supermarkets</w:t>
      </w:r>
      <w:r w:rsidR="00B9016F">
        <w:t xml:space="preserve"> who had </w:t>
      </w:r>
      <w:r w:rsidR="00647853">
        <w:t>non-compliance</w:t>
      </w:r>
      <w:r w:rsidR="00B9016F">
        <w:t xml:space="preserve"> rates of 19.</w:t>
      </w:r>
      <w:r w:rsidR="00647853">
        <w:t xml:space="preserve">4% </w:t>
      </w:r>
      <w:r w:rsidR="006247B1">
        <w:t>for non-prepacked products and 14.1% for prepacked products.</w:t>
      </w:r>
      <w:r w:rsidR="009D234A">
        <w:t xml:space="preserve"> Other business type</w:t>
      </w:r>
      <w:r w:rsidR="006B7A17">
        <w:t xml:space="preserve">s had non-compliance rates of </w:t>
      </w:r>
      <w:r w:rsidR="00835843">
        <w:t>43% for non-prepacked products and 25% for prepacked products.</w:t>
      </w:r>
      <w:r w:rsidR="006247B1">
        <w:t xml:space="preserve"> </w:t>
      </w:r>
      <w:r w:rsidR="00126275" w:rsidRPr="00D37568">
        <w:t>Other broader research found general rates of non-compliance to be lower - at approximately 9%</w:t>
      </w:r>
      <w:r w:rsidR="00126275">
        <w:t>.</w:t>
      </w:r>
      <w:r w:rsidR="00126275" w:rsidRPr="00D37568">
        <w:t xml:space="preserve"> The main area of non-compliance </w:t>
      </w:r>
      <w:r w:rsidR="00432D82">
        <w:t xml:space="preserve">is </w:t>
      </w:r>
      <w:r w:rsidR="00126275" w:rsidRPr="00D37568">
        <w:t xml:space="preserve">related to </w:t>
      </w:r>
      <w:r w:rsidR="00F335BC" w:rsidRPr="00F335BC">
        <w:t>failure to display a label.</w:t>
      </w:r>
    </w:p>
    <w:p w14:paraId="2BDD002B" w14:textId="77777777" w:rsidR="00B04835" w:rsidRPr="0077646F" w:rsidRDefault="00B04835" w:rsidP="00B04835">
      <w:pPr>
        <w:pStyle w:val="Heading3un-numbered"/>
      </w:pPr>
      <w:r w:rsidRPr="0077646F">
        <w:t>Flexibility of the reforms</w:t>
      </w:r>
    </w:p>
    <w:p w14:paraId="585C3B6D" w14:textId="788C40C2" w:rsidR="00B04835" w:rsidRDefault="00B04835" w:rsidP="00B04835">
      <w:r>
        <w:t>Business survey responses and engagement with industry stakeholders indicates that m</w:t>
      </w:r>
      <w:r w:rsidRPr="00E12157">
        <w:t xml:space="preserve">ost businesses </w:t>
      </w:r>
      <w:r>
        <w:t xml:space="preserve">have found </w:t>
      </w:r>
      <w:r w:rsidRPr="00E12157">
        <w:t>CoOL</w:t>
      </w:r>
      <w:r w:rsidDel="00AF2B86">
        <w:t xml:space="preserve"> </w:t>
      </w:r>
      <w:r w:rsidRPr="00E12157">
        <w:t>sufficiently flexib</w:t>
      </w:r>
      <w:r>
        <w:t>le</w:t>
      </w:r>
      <w:r w:rsidRPr="00E12157">
        <w:t xml:space="preserve"> under business</w:t>
      </w:r>
      <w:r w:rsidR="00FF6C95">
        <w:t>-</w:t>
      </w:r>
      <w:r w:rsidRPr="00E12157">
        <w:t>as</w:t>
      </w:r>
      <w:r w:rsidR="00FF6C95">
        <w:t>-</w:t>
      </w:r>
      <w:r w:rsidRPr="00E12157">
        <w:t>usual circumstances</w:t>
      </w:r>
      <w:r>
        <w:t>. However,</w:t>
      </w:r>
      <w:r w:rsidRPr="00E12157" w:rsidDel="00205042">
        <w:t xml:space="preserve"> </w:t>
      </w:r>
      <w:r>
        <w:t>some</w:t>
      </w:r>
      <w:r w:rsidRPr="00E12157">
        <w:t xml:space="preserve"> business</w:t>
      </w:r>
      <w:r>
        <w:t>es</w:t>
      </w:r>
      <w:r w:rsidRPr="00E12157">
        <w:t xml:space="preserve"> </w:t>
      </w:r>
      <w:r>
        <w:t>have found CoOL</w:t>
      </w:r>
      <w:r w:rsidRPr="00E12157">
        <w:t xml:space="preserve"> difficult to comply with</w:t>
      </w:r>
      <w:r>
        <w:t xml:space="preserve"> when supply chains are disrupted, </w:t>
      </w:r>
      <w:r w:rsidDel="00AF2B86">
        <w:t xml:space="preserve">particularly during </w:t>
      </w:r>
      <w:r>
        <w:t>the COVID-19 pandemic. This is because such disruption makes</w:t>
      </w:r>
      <w:r w:rsidDel="00FF0542">
        <w:t xml:space="preserve"> </w:t>
      </w:r>
      <w:r>
        <w:t>ingredient sourcing less predictable.</w:t>
      </w:r>
    </w:p>
    <w:p w14:paraId="491DA55E" w14:textId="77777777" w:rsidR="00D63A95" w:rsidRDefault="00126275" w:rsidP="00D63A95">
      <w:pPr>
        <w:pStyle w:val="Heading3un-numbered"/>
      </w:pPr>
      <w:r>
        <w:t>Costs to business</w:t>
      </w:r>
    </w:p>
    <w:p w14:paraId="1FE90316" w14:textId="688F50B1" w:rsidR="00D63A95" w:rsidRPr="00D63A95" w:rsidRDefault="00D63A95" w:rsidP="00D63A95">
      <w:pPr>
        <w:pStyle w:val="Heading3un-numbered"/>
        <w:rPr>
          <w:b w:val="0"/>
          <w:bCs w:val="0"/>
        </w:rPr>
      </w:pPr>
      <w:r w:rsidRPr="00D63A95">
        <w:rPr>
          <w:b w:val="0"/>
          <w:bCs w:val="0"/>
        </w:rPr>
        <w:t xml:space="preserve">In examining the costs and benefits of the scheme so far, it is apparent that </w:t>
      </w:r>
      <w:r w:rsidR="00B65F96">
        <w:rPr>
          <w:b w:val="0"/>
          <w:bCs w:val="0"/>
        </w:rPr>
        <w:t>most costs were associated</w:t>
      </w:r>
      <w:r w:rsidRPr="00D63A95">
        <w:rPr>
          <w:b w:val="0"/>
          <w:bCs w:val="0"/>
        </w:rPr>
        <w:t xml:space="preserve"> with the introduction of the scheme. For most businesses</w:t>
      </w:r>
      <w:r w:rsidR="00857539">
        <w:rPr>
          <w:b w:val="0"/>
          <w:bCs w:val="0"/>
        </w:rPr>
        <w:t>,</w:t>
      </w:r>
      <w:r w:rsidRPr="00D63A95">
        <w:rPr>
          <w:b w:val="0"/>
          <w:bCs w:val="0"/>
        </w:rPr>
        <w:t xml:space="preserve"> the ongoing cost of CoOL is reportedly very low. </w:t>
      </w:r>
      <w:r w:rsidR="004F680E" w:rsidRPr="004F680E">
        <w:rPr>
          <w:b w:val="0"/>
          <w:bCs w:val="0"/>
        </w:rPr>
        <w:t>O</w:t>
      </w:r>
      <w:r w:rsidR="004F680E" w:rsidRPr="00AE19A6">
        <w:rPr>
          <w:b w:val="0"/>
          <w:bCs w:val="0"/>
        </w:rPr>
        <w:t xml:space="preserve">verall, the design of the scheme was sensitive to the potential cost to Australian businesses </w:t>
      </w:r>
      <w:r w:rsidR="004F680E" w:rsidRPr="00AE19A6" w:rsidDel="00926AC3">
        <w:rPr>
          <w:b w:val="0"/>
          <w:bCs w:val="0"/>
        </w:rPr>
        <w:t xml:space="preserve">and </w:t>
      </w:r>
      <w:r w:rsidR="004F680E" w:rsidRPr="00AE19A6">
        <w:rPr>
          <w:b w:val="0"/>
          <w:bCs w:val="0"/>
        </w:rPr>
        <w:t xml:space="preserve">the economy </w:t>
      </w:r>
      <w:r w:rsidR="004F680E" w:rsidRPr="00AE19A6" w:rsidDel="00926AC3">
        <w:rPr>
          <w:b w:val="0"/>
          <w:bCs w:val="0"/>
        </w:rPr>
        <w:t>overall</w:t>
      </w:r>
      <w:r w:rsidR="004F680E">
        <w:rPr>
          <w:b w:val="0"/>
          <w:bCs w:val="0"/>
        </w:rPr>
        <w:t xml:space="preserve"> – even though the implementation cost for some businesses was significant, particularly those with a high number of </w:t>
      </w:r>
      <w:r w:rsidR="004F594F">
        <w:rPr>
          <w:b w:val="0"/>
          <w:bCs w:val="0"/>
        </w:rPr>
        <w:t>stock keeping units (SKUs)</w:t>
      </w:r>
      <w:r w:rsidR="004F680E" w:rsidRPr="00AE19A6">
        <w:rPr>
          <w:b w:val="0"/>
          <w:bCs w:val="0"/>
        </w:rPr>
        <w:t xml:space="preserve">. </w:t>
      </w:r>
      <w:r w:rsidRPr="00D63A95">
        <w:rPr>
          <w:b w:val="0"/>
          <w:bCs w:val="0"/>
        </w:rPr>
        <w:t xml:space="preserve">A similar pattern would be observed if the scheme were to be modified – most of the cost relates to </w:t>
      </w:r>
      <w:r w:rsidR="00356A02">
        <w:rPr>
          <w:b w:val="0"/>
          <w:bCs w:val="0"/>
        </w:rPr>
        <w:t xml:space="preserve">the up-front changes required to </w:t>
      </w:r>
      <w:r w:rsidRPr="00D63A95">
        <w:rPr>
          <w:b w:val="0"/>
          <w:bCs w:val="0"/>
        </w:rPr>
        <w:t xml:space="preserve">adopt the new or modified requirements. </w:t>
      </w:r>
    </w:p>
    <w:p w14:paraId="760F660A" w14:textId="2E5AB269" w:rsidR="009A352E" w:rsidRPr="0033650F" w:rsidRDefault="006A7016" w:rsidP="00AE19A6">
      <w:pPr>
        <w:pStyle w:val="Heading2un-numbered"/>
      </w:pPr>
      <w:bookmarkStart w:id="56" w:name="_Toc72396553"/>
      <w:bookmarkStart w:id="57" w:name="_Toc94702030"/>
      <w:r w:rsidRPr="0033650F">
        <w:t xml:space="preserve">Considerations in </w:t>
      </w:r>
      <w:r w:rsidR="00FC77C3" w:rsidRPr="0033650F">
        <w:t>changing the scope of CoOL</w:t>
      </w:r>
      <w:bookmarkEnd w:id="56"/>
      <w:bookmarkEnd w:id="57"/>
    </w:p>
    <w:p w14:paraId="024F02D3" w14:textId="6DE2E508" w:rsidR="00965347" w:rsidRDefault="00965347" w:rsidP="00234950">
      <w:pPr>
        <w:pStyle w:val="Heading3un-numbered"/>
      </w:pPr>
      <w:r>
        <w:t>Cost benefit analysis</w:t>
      </w:r>
    </w:p>
    <w:p w14:paraId="5732E2D4" w14:textId="22EBB838" w:rsidR="00B41643" w:rsidRDefault="00CC09BD" w:rsidP="0003754C">
      <w:pPr>
        <w:pStyle w:val="BodyText"/>
        <w:spacing w:after="140"/>
      </w:pPr>
      <w:r>
        <w:t xml:space="preserve">To inform the implications of any change in the design or coverage of the scheme, </w:t>
      </w:r>
      <w:r w:rsidR="00733990">
        <w:t>a CBA</w:t>
      </w:r>
      <w:r>
        <w:t xml:space="preserve"> was undertaken</w:t>
      </w:r>
      <w:r w:rsidR="00B90EF4">
        <w:t xml:space="preserve">, to understand </w:t>
      </w:r>
      <w:r w:rsidR="00121E50">
        <w:t>the potential impact to government, consumers and businesses</w:t>
      </w:r>
      <w:r w:rsidR="00FC3F32">
        <w:t xml:space="preserve">. </w:t>
      </w:r>
    </w:p>
    <w:p w14:paraId="4F81036F" w14:textId="2AF9CBD0" w:rsidR="00EA3311" w:rsidRDefault="00EA3311" w:rsidP="0003754C">
      <w:pPr>
        <w:pStyle w:val="BodyText"/>
        <w:spacing w:after="140"/>
      </w:pPr>
      <w:r>
        <w:t xml:space="preserve">The benefits of the scheme can mainly be understood in terms of consumer willingness to pay </w:t>
      </w:r>
      <w:r w:rsidR="008D4DC9">
        <w:t xml:space="preserve">(WTP) </w:t>
      </w:r>
      <w:r>
        <w:t xml:space="preserve">for </w:t>
      </w:r>
      <w:r w:rsidR="002B11BB">
        <w:t>CoOL</w:t>
      </w:r>
      <w:r>
        <w:t>. This allows a monetary value of country of origin information to be estimated.</w:t>
      </w:r>
      <w:r w:rsidR="009C42D9">
        <w:t xml:space="preserve"> </w:t>
      </w:r>
      <w:r w:rsidR="00B3511C">
        <w:t>It is important to note that there are limitations associated with measuring consumer utility through WTP studies. There is often a difference between what consumers say they are willing to pay (i.e. stated preferences) and what they are actually willing to pay when observed in real purchasing situations (i.e. revealed preferences).</w:t>
      </w:r>
      <w:r w:rsidR="00FC37B4" w:rsidRPr="00FC37B4">
        <w:t xml:space="preserve"> To account for this known level of bias, </w:t>
      </w:r>
      <w:r w:rsidR="00FC37B4">
        <w:t>the</w:t>
      </w:r>
      <w:r w:rsidR="00FC37B4" w:rsidRPr="00FC37B4">
        <w:t xml:space="preserve"> modelling incorporates an adjustment factor to attempt to reduce the difference between stated and revealed preferences. </w:t>
      </w:r>
      <w:r w:rsidR="008E0004">
        <w:t>Nonetheless</w:t>
      </w:r>
      <w:r w:rsidR="00FC37B4" w:rsidRPr="00FC37B4">
        <w:t xml:space="preserve">, caution should still be applied when assessing the reported </w:t>
      </w:r>
      <w:r w:rsidR="00066208">
        <w:t>WTP</w:t>
      </w:r>
      <w:r w:rsidR="00FC37B4" w:rsidRPr="00FC37B4">
        <w:t xml:space="preserve"> benefits.  </w:t>
      </w:r>
    </w:p>
    <w:p w14:paraId="310CA6D0" w14:textId="2ABEFAA2" w:rsidR="00D83535" w:rsidRPr="00AE19A6" w:rsidRDefault="00915848" w:rsidP="0003754C">
      <w:pPr>
        <w:pStyle w:val="BodyText"/>
        <w:spacing w:after="140"/>
        <w:rPr>
          <w:b/>
          <w:bCs/>
        </w:rPr>
      </w:pPr>
      <w:r>
        <w:t>CBA</w:t>
      </w:r>
      <w:r w:rsidR="00AE19A6" w:rsidRPr="00AE19A6">
        <w:t xml:space="preserve"> of the scheme to date identified that for every $1 of costs incurred, the current CoOL </w:t>
      </w:r>
      <w:r>
        <w:t>s</w:t>
      </w:r>
      <w:r w:rsidR="00AE19A6" w:rsidRPr="00AE19A6">
        <w:t>cheme is estimated to generate $3.30 in benefits</w:t>
      </w:r>
      <w:r w:rsidR="004166BF">
        <w:t>,</w:t>
      </w:r>
      <w:r w:rsidR="00AE19A6" w:rsidRPr="00AE19A6">
        <w:t xml:space="preserve"> taking into account the benefits consumers receive, based on their </w:t>
      </w:r>
      <w:r w:rsidR="009F4148">
        <w:t>WTP</w:t>
      </w:r>
      <w:r w:rsidR="00AE19A6" w:rsidRPr="00AE19A6">
        <w:t xml:space="preserve"> for </w:t>
      </w:r>
      <w:r w:rsidR="002B11BB">
        <w:t>CoOL</w:t>
      </w:r>
      <w:r w:rsidR="00AE19A6" w:rsidRPr="00AE19A6">
        <w:t>. When benefits realised are considered relative to scheme cost, the scheme is expected to ‘break even’ in financial year (FY) 2022</w:t>
      </w:r>
      <w:r w:rsidR="0021232B">
        <w:t xml:space="preserve">. That is, in FY22, </w:t>
      </w:r>
      <w:r w:rsidR="00933B6C">
        <w:t>the</w:t>
      </w:r>
      <w:r w:rsidR="00AE19A6" w:rsidRPr="00AE19A6">
        <w:t xml:space="preserve"> estimated benefits will be equivalent to the estimated cost of the scheme.</w:t>
      </w:r>
    </w:p>
    <w:p w14:paraId="5E885272" w14:textId="6B9C41B1" w:rsidR="000619CE" w:rsidRDefault="00065E61" w:rsidP="0003754C">
      <w:pPr>
        <w:spacing w:after="140"/>
      </w:pPr>
      <w:r>
        <w:t>Additionally, t</w:t>
      </w:r>
      <w:r w:rsidR="0013017E">
        <w:t>he</w:t>
      </w:r>
      <w:r w:rsidR="00965347" w:rsidRPr="001F1D85">
        <w:t xml:space="preserve"> </w:t>
      </w:r>
      <w:r w:rsidR="00A43858">
        <w:t>CBA</w:t>
      </w:r>
      <w:r w:rsidR="00965347" w:rsidRPr="001F1D85">
        <w:t xml:space="preserve"> considered </w:t>
      </w:r>
      <w:r w:rsidR="00581581">
        <w:t>6</w:t>
      </w:r>
      <w:r w:rsidR="00581581" w:rsidRPr="001F1D85">
        <w:t xml:space="preserve"> </w:t>
      </w:r>
      <w:r w:rsidR="00965347" w:rsidRPr="001F1D85">
        <w:t>future</w:t>
      </w:r>
      <w:r w:rsidR="00581581">
        <w:t>-</w:t>
      </w:r>
      <w:r w:rsidR="00965347" w:rsidRPr="001F1D85">
        <w:t xml:space="preserve">state options (with impacts assessed for the period FY2022 to FY2041). A summary of these options and the direction (positive, low or neutral) of their </w:t>
      </w:r>
      <w:r w:rsidR="00673F24">
        <w:t>b</w:t>
      </w:r>
      <w:r w:rsidR="00965347" w:rsidRPr="001F1D85">
        <w:t xml:space="preserve">enefit cost ratio (BCR) is provided in </w:t>
      </w:r>
      <w:r w:rsidR="00965347" w:rsidRPr="001F1D85">
        <w:fldChar w:fldCharType="begin"/>
      </w:r>
      <w:r w:rsidR="00965347" w:rsidRPr="001F1D85">
        <w:instrText xml:space="preserve"> REF _Ref72179987 \n \h  \* MERGEFORMAT </w:instrText>
      </w:r>
      <w:r w:rsidR="00965347" w:rsidRPr="001F1D85">
        <w:fldChar w:fldCharType="separate"/>
      </w:r>
      <w:r w:rsidR="0017363C">
        <w:t>Table i</w:t>
      </w:r>
      <w:r w:rsidR="00965347" w:rsidRPr="001F1D85">
        <w:fldChar w:fldCharType="end"/>
      </w:r>
      <w:r w:rsidR="00965347" w:rsidRPr="001F1D85">
        <w:t>.</w:t>
      </w:r>
      <w:r w:rsidR="00965347" w:rsidRPr="001F1D85">
        <w:rPr>
          <w:rStyle w:val="FootnoteReference"/>
        </w:rPr>
        <w:footnoteReference w:id="4"/>
      </w:r>
      <w:r w:rsidR="00965347" w:rsidRPr="001F1D85">
        <w:t xml:space="preserve"> </w:t>
      </w:r>
    </w:p>
    <w:p w14:paraId="0532090D" w14:textId="622DE146" w:rsidR="000619CE" w:rsidRDefault="000619CE" w:rsidP="000619CE">
      <w:pPr>
        <w:rPr>
          <w:rFonts w:eastAsia="Calibri" w:cs="Times New Roman"/>
        </w:rPr>
      </w:pPr>
      <w:r w:rsidRPr="000619CE">
        <w:rPr>
          <w:rFonts w:eastAsia="Calibri" w:cs="Times New Roman"/>
        </w:rPr>
        <w:t xml:space="preserve">The implications of this analysis for the future development of the scheme is outlined </w:t>
      </w:r>
      <w:r w:rsidR="00EB2B90">
        <w:rPr>
          <w:rFonts w:eastAsia="Calibri" w:cs="Times New Roman"/>
        </w:rPr>
        <w:t>on the subsequent pages</w:t>
      </w:r>
      <w:r w:rsidRPr="000619CE">
        <w:rPr>
          <w:rFonts w:eastAsia="Calibri" w:cs="Times New Roman"/>
        </w:rPr>
        <w:t>, drawing on both the CBA and related analysis.</w:t>
      </w:r>
    </w:p>
    <w:p w14:paraId="2ECFB8A8" w14:textId="77777777" w:rsidR="00965347" w:rsidRPr="001F1D85" w:rsidRDefault="00965347" w:rsidP="00965347">
      <w:pPr>
        <w:pStyle w:val="ExecTableCaption"/>
      </w:pPr>
      <w:bookmarkStart w:id="58" w:name="_Ref72179987"/>
      <w:bookmarkStart w:id="59" w:name="_Toc82590391"/>
      <w:r w:rsidRPr="001F1D85">
        <w:lastRenderedPageBreak/>
        <w:t>: Prospective analysis summary results</w:t>
      </w:r>
      <w:bookmarkEnd w:id="58"/>
      <w:bookmarkEnd w:id="59"/>
    </w:p>
    <w:tbl>
      <w:tblPr>
        <w:tblStyle w:val="Deloittetable"/>
        <w:tblW w:w="9026" w:type="dxa"/>
        <w:tblLook w:val="04A0" w:firstRow="1" w:lastRow="0" w:firstColumn="1" w:lastColumn="0" w:noHBand="0" w:noVBand="1"/>
        <w:tblDescription w:val="The table outlines the six options included in the prospective CBA analysis and their BCR. The only two options with a positive BCR are education and awareness option and the remove non-priority exemption option. "/>
      </w:tblPr>
      <w:tblGrid>
        <w:gridCol w:w="567"/>
        <w:gridCol w:w="2268"/>
        <w:gridCol w:w="4820"/>
        <w:gridCol w:w="1371"/>
      </w:tblGrid>
      <w:tr w:rsidR="00965347" w:rsidRPr="001F1D85" w14:paraId="55FB64B0"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567" w:type="dxa"/>
            <w:tcBorders>
              <w:top w:val="single" w:sz="24" w:space="0" w:color="012169" w:themeColor="accent4"/>
            </w:tcBorders>
          </w:tcPr>
          <w:p w14:paraId="71EBC551" w14:textId="45A12481" w:rsidR="00965347" w:rsidRPr="001F1D85" w:rsidRDefault="00965347" w:rsidP="00642F28">
            <w:pPr>
              <w:rPr>
                <w:b/>
                <w:szCs w:val="17"/>
              </w:rPr>
            </w:pPr>
            <w:r w:rsidRPr="001F1D85">
              <w:rPr>
                <w:b/>
                <w:szCs w:val="17"/>
              </w:rPr>
              <w:t>No</w:t>
            </w:r>
          </w:p>
        </w:tc>
        <w:tc>
          <w:tcPr>
            <w:tcW w:w="2268" w:type="dxa"/>
            <w:tcBorders>
              <w:top w:val="single" w:sz="24" w:space="0" w:color="012169" w:themeColor="accent4"/>
            </w:tcBorders>
          </w:tcPr>
          <w:p w14:paraId="7CFDAEC8" w14:textId="77777777" w:rsidR="00965347" w:rsidRPr="001F1D85" w:rsidRDefault="00965347" w:rsidP="00642F28">
            <w:pPr>
              <w:rPr>
                <w:b/>
                <w:szCs w:val="17"/>
              </w:rPr>
            </w:pPr>
            <w:r w:rsidRPr="001F1D85">
              <w:rPr>
                <w:b/>
                <w:szCs w:val="17"/>
              </w:rPr>
              <w:t>Option</w:t>
            </w:r>
          </w:p>
        </w:tc>
        <w:tc>
          <w:tcPr>
            <w:tcW w:w="4820" w:type="dxa"/>
            <w:tcBorders>
              <w:top w:val="single" w:sz="24" w:space="0" w:color="012169" w:themeColor="accent4"/>
            </w:tcBorders>
          </w:tcPr>
          <w:p w14:paraId="2B272053" w14:textId="77777777" w:rsidR="00965347" w:rsidRPr="001F1D85" w:rsidRDefault="00965347" w:rsidP="00642F28">
            <w:pPr>
              <w:rPr>
                <w:b/>
                <w:szCs w:val="17"/>
              </w:rPr>
            </w:pPr>
            <w:r w:rsidRPr="001F1D85">
              <w:rPr>
                <w:b/>
                <w:szCs w:val="17"/>
              </w:rPr>
              <w:t>Description</w:t>
            </w:r>
          </w:p>
        </w:tc>
        <w:tc>
          <w:tcPr>
            <w:tcW w:w="1371" w:type="dxa"/>
            <w:tcBorders>
              <w:top w:val="single" w:sz="24" w:space="0" w:color="012169" w:themeColor="accent4"/>
            </w:tcBorders>
          </w:tcPr>
          <w:p w14:paraId="170FD8C3" w14:textId="32F507FF" w:rsidR="00965347" w:rsidRPr="001F1D85" w:rsidRDefault="00965347" w:rsidP="00642F28">
            <w:pPr>
              <w:rPr>
                <w:b/>
                <w:szCs w:val="17"/>
              </w:rPr>
            </w:pPr>
            <w:r w:rsidRPr="001F1D85">
              <w:rPr>
                <w:b/>
                <w:szCs w:val="17"/>
              </w:rPr>
              <w:t>BCR</w:t>
            </w:r>
          </w:p>
        </w:tc>
      </w:tr>
      <w:tr w:rsidR="00965347" w:rsidRPr="001F1D85" w14:paraId="3ED09E87" w14:textId="77777777" w:rsidTr="00642F28">
        <w:tc>
          <w:tcPr>
            <w:tcW w:w="0" w:type="dxa"/>
          </w:tcPr>
          <w:p w14:paraId="2852A874" w14:textId="77777777" w:rsidR="00965347" w:rsidRPr="001F1D85" w:rsidRDefault="00965347" w:rsidP="00642F28">
            <w:pPr>
              <w:rPr>
                <w:szCs w:val="17"/>
              </w:rPr>
            </w:pPr>
            <w:r w:rsidRPr="001F1D85">
              <w:rPr>
                <w:szCs w:val="17"/>
              </w:rPr>
              <w:t>1</w:t>
            </w:r>
          </w:p>
        </w:tc>
        <w:tc>
          <w:tcPr>
            <w:tcW w:w="0" w:type="dxa"/>
          </w:tcPr>
          <w:p w14:paraId="06152EEE" w14:textId="0DD067CF" w:rsidR="00965347" w:rsidRPr="001F1D85" w:rsidRDefault="00965347" w:rsidP="00642F28">
            <w:pPr>
              <w:rPr>
                <w:b/>
                <w:szCs w:val="17"/>
              </w:rPr>
            </w:pPr>
            <w:r w:rsidRPr="001F1D85">
              <w:rPr>
                <w:szCs w:val="17"/>
              </w:rPr>
              <w:t>Education</w:t>
            </w:r>
            <w:r w:rsidR="00E869D9">
              <w:rPr>
                <w:szCs w:val="17"/>
              </w:rPr>
              <w:t xml:space="preserve"> and awareness</w:t>
            </w:r>
          </w:p>
        </w:tc>
        <w:tc>
          <w:tcPr>
            <w:tcW w:w="0" w:type="dxa"/>
          </w:tcPr>
          <w:p w14:paraId="75B60A31" w14:textId="556CAE96" w:rsidR="00965347" w:rsidRPr="001F1D85" w:rsidRDefault="00965347" w:rsidP="00642F28">
            <w:pPr>
              <w:rPr>
                <w:szCs w:val="17"/>
              </w:rPr>
            </w:pPr>
            <w:r w:rsidRPr="001F1D85">
              <w:rPr>
                <w:szCs w:val="17"/>
              </w:rPr>
              <w:t xml:space="preserve">Status quo with </w:t>
            </w:r>
            <w:r>
              <w:rPr>
                <w:szCs w:val="17"/>
              </w:rPr>
              <w:t>education and awareness campaign to increase understanding of CoOL</w:t>
            </w:r>
            <w:r w:rsidRPr="001F1D85">
              <w:rPr>
                <w:szCs w:val="17"/>
              </w:rPr>
              <w:t xml:space="preserve">. </w:t>
            </w:r>
          </w:p>
        </w:tc>
        <w:tc>
          <w:tcPr>
            <w:tcW w:w="0" w:type="dxa"/>
          </w:tcPr>
          <w:p w14:paraId="63B200AB" w14:textId="77777777" w:rsidR="00965347" w:rsidRPr="001F1D85" w:rsidRDefault="00965347" w:rsidP="00642F28">
            <w:pPr>
              <w:rPr>
                <w:szCs w:val="17"/>
              </w:rPr>
            </w:pPr>
            <w:r w:rsidRPr="001F1D85">
              <w:rPr>
                <w:szCs w:val="17"/>
              </w:rPr>
              <w:t>Positive</w:t>
            </w:r>
          </w:p>
        </w:tc>
      </w:tr>
      <w:tr w:rsidR="00965347" w:rsidRPr="001F1D85" w14:paraId="7C111016" w14:textId="77777777" w:rsidTr="0003754C">
        <w:trPr>
          <w:trHeight w:val="351"/>
        </w:trPr>
        <w:tc>
          <w:tcPr>
            <w:tcW w:w="0" w:type="dxa"/>
          </w:tcPr>
          <w:p w14:paraId="645E64ED" w14:textId="77777777" w:rsidR="00965347" w:rsidRPr="001F1D85" w:rsidRDefault="00965347" w:rsidP="00642F28">
            <w:pPr>
              <w:rPr>
                <w:szCs w:val="17"/>
              </w:rPr>
            </w:pPr>
            <w:r w:rsidRPr="001F1D85">
              <w:rPr>
                <w:szCs w:val="17"/>
              </w:rPr>
              <w:t>2</w:t>
            </w:r>
          </w:p>
        </w:tc>
        <w:tc>
          <w:tcPr>
            <w:tcW w:w="0" w:type="dxa"/>
          </w:tcPr>
          <w:p w14:paraId="1452C7AB" w14:textId="77777777" w:rsidR="00965347" w:rsidRPr="001F1D85" w:rsidRDefault="00965347" w:rsidP="00642F28">
            <w:pPr>
              <w:rPr>
                <w:b/>
                <w:szCs w:val="17"/>
              </w:rPr>
            </w:pPr>
            <w:r w:rsidRPr="001F1D85">
              <w:rPr>
                <w:szCs w:val="17"/>
              </w:rPr>
              <w:t>Reduced regulatory burden</w:t>
            </w:r>
          </w:p>
        </w:tc>
        <w:tc>
          <w:tcPr>
            <w:tcW w:w="0" w:type="dxa"/>
          </w:tcPr>
          <w:p w14:paraId="46C2B05B" w14:textId="7B9D0851" w:rsidR="00965347" w:rsidRPr="001F1D85" w:rsidRDefault="00965347" w:rsidP="00642F28">
            <w:pPr>
              <w:rPr>
                <w:szCs w:val="17"/>
              </w:rPr>
            </w:pPr>
            <w:r w:rsidRPr="001F1D85">
              <w:rPr>
                <w:szCs w:val="17"/>
              </w:rPr>
              <w:t>Reducing regulatory requirements by providing an option for businesses to provide CoOL information online</w:t>
            </w:r>
            <w:r w:rsidR="00C143A3">
              <w:rPr>
                <w:szCs w:val="17"/>
              </w:rPr>
              <w:t>,</w:t>
            </w:r>
            <w:r w:rsidRPr="001F1D85">
              <w:rPr>
                <w:szCs w:val="17"/>
              </w:rPr>
              <w:t xml:space="preserve"> while retaining instructions on their labelling for how to access this information.</w:t>
            </w:r>
          </w:p>
        </w:tc>
        <w:tc>
          <w:tcPr>
            <w:tcW w:w="0" w:type="dxa"/>
          </w:tcPr>
          <w:p w14:paraId="35F4669B" w14:textId="0FDD9055" w:rsidR="00965347" w:rsidRPr="001F1D85" w:rsidRDefault="00072058" w:rsidP="00642F28">
            <w:pPr>
              <w:rPr>
                <w:szCs w:val="17"/>
              </w:rPr>
            </w:pPr>
            <w:r>
              <w:rPr>
                <w:szCs w:val="17"/>
              </w:rPr>
              <w:t>Negative</w:t>
            </w:r>
          </w:p>
        </w:tc>
      </w:tr>
      <w:tr w:rsidR="00965347" w:rsidRPr="001F1D85" w14:paraId="0527CE04" w14:textId="77777777" w:rsidTr="00642F28">
        <w:tc>
          <w:tcPr>
            <w:tcW w:w="0" w:type="dxa"/>
          </w:tcPr>
          <w:p w14:paraId="35A31CA5" w14:textId="77777777" w:rsidR="00965347" w:rsidRPr="001F1D85" w:rsidRDefault="00965347" w:rsidP="00642F28">
            <w:pPr>
              <w:rPr>
                <w:szCs w:val="17"/>
              </w:rPr>
            </w:pPr>
            <w:r w:rsidRPr="001F1D85">
              <w:rPr>
                <w:szCs w:val="17"/>
              </w:rPr>
              <w:t>3</w:t>
            </w:r>
          </w:p>
        </w:tc>
        <w:tc>
          <w:tcPr>
            <w:tcW w:w="0" w:type="dxa"/>
          </w:tcPr>
          <w:p w14:paraId="4D8EBB22" w14:textId="77777777" w:rsidR="00965347" w:rsidRPr="001F1D85" w:rsidRDefault="00965347" w:rsidP="00642F28">
            <w:pPr>
              <w:rPr>
                <w:b/>
                <w:szCs w:val="17"/>
              </w:rPr>
            </w:pPr>
            <w:r w:rsidRPr="001F1D85">
              <w:rPr>
                <w:szCs w:val="17"/>
              </w:rPr>
              <w:t>Online shopping platforms</w:t>
            </w:r>
          </w:p>
        </w:tc>
        <w:tc>
          <w:tcPr>
            <w:tcW w:w="0" w:type="dxa"/>
          </w:tcPr>
          <w:p w14:paraId="77ADF558" w14:textId="77777777" w:rsidR="00965347" w:rsidRPr="001F1D85" w:rsidRDefault="00965347" w:rsidP="00642F28">
            <w:pPr>
              <w:rPr>
                <w:szCs w:val="17"/>
              </w:rPr>
            </w:pPr>
            <w:r w:rsidRPr="001F1D85">
              <w:rPr>
                <w:szCs w:val="17"/>
              </w:rPr>
              <w:t xml:space="preserve">Extend CoOL information to online shopping platforms for those retailers who already have to comply with CoOL regulation. </w:t>
            </w:r>
          </w:p>
        </w:tc>
        <w:tc>
          <w:tcPr>
            <w:tcW w:w="0" w:type="dxa"/>
          </w:tcPr>
          <w:p w14:paraId="67AA23AF" w14:textId="03D02347" w:rsidR="00965347" w:rsidRPr="001F1D85" w:rsidRDefault="00072058" w:rsidP="00642F28">
            <w:pPr>
              <w:rPr>
                <w:szCs w:val="17"/>
              </w:rPr>
            </w:pPr>
            <w:r>
              <w:rPr>
                <w:szCs w:val="17"/>
              </w:rPr>
              <w:t>Negative</w:t>
            </w:r>
          </w:p>
        </w:tc>
      </w:tr>
      <w:tr w:rsidR="00965347" w:rsidRPr="001F1D85" w14:paraId="6D10BCB8" w14:textId="77777777" w:rsidTr="00642F28">
        <w:tc>
          <w:tcPr>
            <w:tcW w:w="0" w:type="dxa"/>
          </w:tcPr>
          <w:p w14:paraId="63170FF8" w14:textId="77777777" w:rsidR="00965347" w:rsidRPr="001F1D85" w:rsidRDefault="00965347" w:rsidP="00642F28">
            <w:pPr>
              <w:rPr>
                <w:szCs w:val="17"/>
              </w:rPr>
            </w:pPr>
            <w:r w:rsidRPr="001F1D85">
              <w:rPr>
                <w:szCs w:val="17"/>
              </w:rPr>
              <w:t>4</w:t>
            </w:r>
          </w:p>
        </w:tc>
        <w:tc>
          <w:tcPr>
            <w:tcW w:w="0" w:type="dxa"/>
          </w:tcPr>
          <w:p w14:paraId="06CC96DB" w14:textId="77777777" w:rsidR="00965347" w:rsidRPr="001F1D85" w:rsidRDefault="00965347" w:rsidP="00642F28">
            <w:pPr>
              <w:rPr>
                <w:b/>
                <w:szCs w:val="17"/>
              </w:rPr>
            </w:pPr>
            <w:r w:rsidRPr="001F1D85">
              <w:rPr>
                <w:szCs w:val="17"/>
              </w:rPr>
              <w:t>Remove non-priority exemption</w:t>
            </w:r>
          </w:p>
        </w:tc>
        <w:tc>
          <w:tcPr>
            <w:tcW w:w="0" w:type="dxa"/>
          </w:tcPr>
          <w:p w14:paraId="71C40967" w14:textId="77777777" w:rsidR="00965347" w:rsidRPr="001F1D85" w:rsidRDefault="00965347" w:rsidP="00642F28">
            <w:pPr>
              <w:rPr>
                <w:szCs w:val="17"/>
              </w:rPr>
            </w:pPr>
            <w:r w:rsidRPr="001F1D85">
              <w:rPr>
                <w:szCs w:val="17"/>
              </w:rPr>
              <w:t xml:space="preserve">Remove the distinction between priority and non-priority food products so that CoOL regulations apply uniformly to all food products. </w:t>
            </w:r>
          </w:p>
        </w:tc>
        <w:tc>
          <w:tcPr>
            <w:tcW w:w="0" w:type="dxa"/>
          </w:tcPr>
          <w:p w14:paraId="08A996F4" w14:textId="77777777" w:rsidR="00965347" w:rsidRPr="001F1D85" w:rsidRDefault="00965347" w:rsidP="00642F28">
            <w:pPr>
              <w:rPr>
                <w:szCs w:val="17"/>
              </w:rPr>
            </w:pPr>
            <w:r w:rsidRPr="001F1D85">
              <w:rPr>
                <w:szCs w:val="17"/>
              </w:rPr>
              <w:t>Positive</w:t>
            </w:r>
          </w:p>
        </w:tc>
      </w:tr>
      <w:tr w:rsidR="00965347" w:rsidRPr="001F1D85" w14:paraId="5CA781EB" w14:textId="77777777" w:rsidTr="00642F28">
        <w:tc>
          <w:tcPr>
            <w:tcW w:w="0" w:type="dxa"/>
          </w:tcPr>
          <w:p w14:paraId="3624D3E2" w14:textId="77777777" w:rsidR="00965347" w:rsidRPr="001F1D85" w:rsidRDefault="00965347" w:rsidP="00642F28">
            <w:pPr>
              <w:rPr>
                <w:szCs w:val="17"/>
              </w:rPr>
            </w:pPr>
            <w:r w:rsidRPr="001F1D85">
              <w:rPr>
                <w:szCs w:val="17"/>
              </w:rPr>
              <w:t>5</w:t>
            </w:r>
          </w:p>
        </w:tc>
        <w:tc>
          <w:tcPr>
            <w:tcW w:w="0" w:type="dxa"/>
          </w:tcPr>
          <w:p w14:paraId="3DE15473" w14:textId="77777777" w:rsidR="00965347" w:rsidRPr="001F1D85" w:rsidRDefault="00965347" w:rsidP="00642F28">
            <w:pPr>
              <w:rPr>
                <w:b/>
                <w:szCs w:val="17"/>
              </w:rPr>
            </w:pPr>
            <w:r w:rsidRPr="001F1D85">
              <w:rPr>
                <w:szCs w:val="17"/>
              </w:rPr>
              <w:t>Increase information</w:t>
            </w:r>
          </w:p>
        </w:tc>
        <w:tc>
          <w:tcPr>
            <w:tcW w:w="0" w:type="dxa"/>
          </w:tcPr>
          <w:p w14:paraId="0871A755" w14:textId="77777777" w:rsidR="00965347" w:rsidRPr="001F1D85" w:rsidRDefault="00965347" w:rsidP="00642F28">
            <w:pPr>
              <w:rPr>
                <w:szCs w:val="17"/>
              </w:rPr>
            </w:pPr>
            <w:r w:rsidRPr="001F1D85">
              <w:rPr>
                <w:szCs w:val="17"/>
              </w:rPr>
              <w:t>Including more information about ingredients from outside Australia.</w:t>
            </w:r>
          </w:p>
        </w:tc>
        <w:tc>
          <w:tcPr>
            <w:tcW w:w="0" w:type="dxa"/>
          </w:tcPr>
          <w:p w14:paraId="0B2D1C68" w14:textId="77777777" w:rsidR="00965347" w:rsidRPr="001F1D85" w:rsidRDefault="00965347" w:rsidP="00642F28">
            <w:pPr>
              <w:rPr>
                <w:szCs w:val="17"/>
              </w:rPr>
            </w:pPr>
            <w:r w:rsidRPr="001F1D85">
              <w:rPr>
                <w:szCs w:val="17"/>
              </w:rPr>
              <w:t>Neutral</w:t>
            </w:r>
          </w:p>
        </w:tc>
      </w:tr>
      <w:tr w:rsidR="00965347" w:rsidRPr="00E20A84" w14:paraId="5EDE264B" w14:textId="77777777" w:rsidTr="0003754C">
        <w:trPr>
          <w:trHeight w:val="16"/>
        </w:trPr>
        <w:tc>
          <w:tcPr>
            <w:tcW w:w="0" w:type="dxa"/>
          </w:tcPr>
          <w:p w14:paraId="213000CB" w14:textId="77777777" w:rsidR="00965347" w:rsidRPr="001F1D85" w:rsidRDefault="00965347" w:rsidP="00642F28">
            <w:pPr>
              <w:rPr>
                <w:szCs w:val="17"/>
              </w:rPr>
            </w:pPr>
            <w:r w:rsidRPr="001F1D85">
              <w:rPr>
                <w:szCs w:val="17"/>
              </w:rPr>
              <w:t>6</w:t>
            </w:r>
          </w:p>
        </w:tc>
        <w:tc>
          <w:tcPr>
            <w:tcW w:w="0" w:type="dxa"/>
          </w:tcPr>
          <w:p w14:paraId="499B3F37" w14:textId="77777777" w:rsidR="00965347" w:rsidRPr="001F1D85" w:rsidRDefault="00965347" w:rsidP="00642F28">
            <w:pPr>
              <w:rPr>
                <w:b/>
                <w:szCs w:val="17"/>
              </w:rPr>
            </w:pPr>
            <w:r w:rsidRPr="001F1D85">
              <w:rPr>
                <w:szCs w:val="17"/>
              </w:rPr>
              <w:t>Expand to foodservice</w:t>
            </w:r>
          </w:p>
        </w:tc>
        <w:tc>
          <w:tcPr>
            <w:tcW w:w="0" w:type="dxa"/>
          </w:tcPr>
          <w:p w14:paraId="63D50828" w14:textId="77777777" w:rsidR="00965347" w:rsidRPr="001F1D85" w:rsidRDefault="00965347" w:rsidP="00642F28">
            <w:pPr>
              <w:rPr>
                <w:szCs w:val="17"/>
              </w:rPr>
            </w:pPr>
            <w:r w:rsidRPr="001F1D85">
              <w:rPr>
                <w:szCs w:val="17"/>
              </w:rPr>
              <w:t>Expand the current CoOL regulations to all businesses in the foodservice sector.</w:t>
            </w:r>
          </w:p>
        </w:tc>
        <w:tc>
          <w:tcPr>
            <w:tcW w:w="0" w:type="dxa"/>
          </w:tcPr>
          <w:p w14:paraId="7EA6C4F0" w14:textId="46FB0EE3" w:rsidR="00965347" w:rsidRPr="001F1D85" w:rsidRDefault="00072058" w:rsidP="00642F28">
            <w:pPr>
              <w:rPr>
                <w:szCs w:val="17"/>
              </w:rPr>
            </w:pPr>
            <w:r>
              <w:rPr>
                <w:szCs w:val="17"/>
              </w:rPr>
              <w:t>Negative</w:t>
            </w:r>
          </w:p>
        </w:tc>
      </w:tr>
    </w:tbl>
    <w:p w14:paraId="07269CF4" w14:textId="322A2E19" w:rsidR="00E869D9" w:rsidRDefault="00E869D9" w:rsidP="00126275">
      <w:pPr>
        <w:pStyle w:val="Heading3un-numbered"/>
        <w:spacing w:before="240"/>
      </w:pPr>
      <w:r>
        <w:t>Increased education and awareness</w:t>
      </w:r>
    </w:p>
    <w:p w14:paraId="1BEB8411" w14:textId="3E01CB54" w:rsidR="00E869D9" w:rsidRPr="00E869D9" w:rsidRDefault="00E869D9" w:rsidP="0003754C">
      <w:pPr>
        <w:spacing w:after="140"/>
        <w:rPr>
          <w:rFonts w:eastAsia="Calibri" w:cs="Times New Roman"/>
        </w:rPr>
      </w:pPr>
      <w:r w:rsidRPr="001F1D85">
        <w:rPr>
          <w:rFonts w:eastAsia="Calibri" w:cs="Times New Roman"/>
        </w:rPr>
        <w:t xml:space="preserve">The CBA results and broader evaluation </w:t>
      </w:r>
      <w:r>
        <w:rPr>
          <w:rFonts w:eastAsia="Calibri" w:cs="Times New Roman"/>
        </w:rPr>
        <w:t>provide a clear rationale for</w:t>
      </w:r>
      <w:r w:rsidRPr="001F1D85">
        <w:rPr>
          <w:rFonts w:eastAsia="Calibri" w:cs="Times New Roman"/>
        </w:rPr>
        <w:t xml:space="preserve"> a well</w:t>
      </w:r>
      <w:r w:rsidR="009B59A3">
        <w:rPr>
          <w:rFonts w:eastAsia="Calibri" w:cs="Times New Roman"/>
        </w:rPr>
        <w:t>-</w:t>
      </w:r>
      <w:r w:rsidRPr="001F1D85">
        <w:rPr>
          <w:rFonts w:eastAsia="Calibri" w:cs="Times New Roman"/>
        </w:rPr>
        <w:t>targeted awareness and education campaign to be beneficial.</w:t>
      </w:r>
      <w:r>
        <w:rPr>
          <w:rFonts w:eastAsia="Calibri" w:cs="Times New Roman"/>
        </w:rPr>
        <w:t xml:space="preserve"> A</w:t>
      </w:r>
      <w:r w:rsidRPr="001F1D85">
        <w:rPr>
          <w:rFonts w:eastAsia="Calibri" w:cs="Times New Roman"/>
        </w:rPr>
        <w:t xml:space="preserve"> renewed approach to awareness raising and education about CoOL</w:t>
      </w:r>
      <w:r>
        <w:rPr>
          <w:rFonts w:eastAsia="Calibri" w:cs="Times New Roman"/>
        </w:rPr>
        <w:t xml:space="preserve"> appears warranted</w:t>
      </w:r>
      <w:r w:rsidRPr="001F1D85">
        <w:rPr>
          <w:rFonts w:eastAsia="Calibri" w:cs="Times New Roman"/>
        </w:rPr>
        <w:t>. This would primarily target consumers</w:t>
      </w:r>
      <w:r w:rsidR="009B59A3">
        <w:rPr>
          <w:rFonts w:eastAsia="Calibri" w:cs="Times New Roman"/>
        </w:rPr>
        <w:t>,</w:t>
      </w:r>
      <w:r w:rsidRPr="001F1D85">
        <w:rPr>
          <w:rFonts w:eastAsia="Calibri" w:cs="Times New Roman"/>
        </w:rPr>
        <w:t xml:space="preserve"> but would also be of use to industry</w:t>
      </w:r>
      <w:r w:rsidR="00E04296">
        <w:rPr>
          <w:rFonts w:eastAsia="Calibri" w:cs="Times New Roman"/>
        </w:rPr>
        <w:t>, especially for businesses that have been identified as being at a higher risk of non-compl</w:t>
      </w:r>
      <w:r w:rsidR="008A059A">
        <w:rPr>
          <w:rFonts w:eastAsia="Calibri" w:cs="Times New Roman"/>
        </w:rPr>
        <w:t>iance</w:t>
      </w:r>
      <w:r w:rsidRPr="001F1D85">
        <w:rPr>
          <w:rFonts w:eastAsia="Calibri" w:cs="Times New Roman"/>
        </w:rPr>
        <w:t xml:space="preserve">. </w:t>
      </w:r>
      <w:r w:rsidRPr="6AA4E975">
        <w:rPr>
          <w:rFonts w:eastAsia="Calibri" w:cs="Times New Roman"/>
        </w:rPr>
        <w:t>Any short</w:t>
      </w:r>
      <w:r w:rsidR="009B59A3">
        <w:rPr>
          <w:rFonts w:eastAsia="Calibri" w:cs="Times New Roman"/>
        </w:rPr>
        <w:t>-</w:t>
      </w:r>
      <w:r w:rsidRPr="6AA4E975">
        <w:rPr>
          <w:rFonts w:eastAsia="Calibri" w:cs="Times New Roman"/>
        </w:rPr>
        <w:t xml:space="preserve">term campaign needs to be accompanied by an ongoing communication strategy that is engaging and has meaningful reach. </w:t>
      </w:r>
    </w:p>
    <w:p w14:paraId="25D5FB41" w14:textId="0F2B31EA" w:rsidR="00E9783D" w:rsidRDefault="00E9783D" w:rsidP="00126275">
      <w:pPr>
        <w:pStyle w:val="Heading3un-numbered"/>
        <w:spacing w:before="240"/>
      </w:pPr>
      <w:r>
        <w:t>Priority and non-priority foods</w:t>
      </w:r>
    </w:p>
    <w:p w14:paraId="3D3BC57B" w14:textId="4445E807" w:rsidR="00E51C76" w:rsidRDefault="00047181" w:rsidP="0003754C">
      <w:pPr>
        <w:pStyle w:val="BodyText"/>
        <w:spacing w:after="140"/>
      </w:pPr>
      <w:r>
        <w:t>Forty percent</w:t>
      </w:r>
      <w:r w:rsidR="0085259A">
        <w:t xml:space="preserve"> of businesses in the national business survey </w:t>
      </w:r>
      <w:r w:rsidR="00E9783D" w:rsidRPr="00842EA1">
        <w:t xml:space="preserve">and </w:t>
      </w:r>
      <w:r w:rsidR="0085259A">
        <w:t xml:space="preserve">consumers in </w:t>
      </w:r>
      <w:r w:rsidR="00E9783D" w:rsidRPr="00842EA1">
        <w:t>focus group</w:t>
      </w:r>
      <w:r w:rsidR="0085259A">
        <w:t>s</w:t>
      </w:r>
      <w:r w:rsidR="00E9783D" w:rsidRPr="00842EA1">
        <w:t xml:space="preserve"> indicated an interest in CoOL being extended to all food and beverages, including those that are currently non-priority products</w:t>
      </w:r>
      <w:r w:rsidR="006051C4">
        <w:t xml:space="preserve"> (</w:t>
      </w:r>
      <w:r w:rsidR="00E9783D" w:rsidRPr="00842EA1">
        <w:t xml:space="preserve">interest in country of origin </w:t>
      </w:r>
      <w:r w:rsidR="00E9783D">
        <w:t xml:space="preserve">information </w:t>
      </w:r>
      <w:r w:rsidR="00E9783D" w:rsidRPr="00842EA1">
        <w:t>varies considerably by product category</w:t>
      </w:r>
      <w:r w:rsidR="006051C4">
        <w:t>)</w:t>
      </w:r>
      <w:r w:rsidR="00E9783D" w:rsidRPr="00842EA1">
        <w:t xml:space="preserve">. </w:t>
      </w:r>
    </w:p>
    <w:p w14:paraId="1D14B020" w14:textId="61CA6E1E" w:rsidR="00E9783D" w:rsidRPr="00842EA1" w:rsidRDefault="00E51C76" w:rsidP="00E9783D">
      <w:pPr>
        <w:pStyle w:val="BodyText"/>
      </w:pPr>
      <w:r w:rsidRPr="00350889">
        <w:t xml:space="preserve">While the CBA indicates that a </w:t>
      </w:r>
      <w:r>
        <w:t>positive net benefit would be realised by expanding the scheme, it should be noted that e</w:t>
      </w:r>
      <w:r w:rsidRPr="00842EA1">
        <w:t>xpanding CoOL to all foods and beverages would also impose a significant cost on business</w:t>
      </w:r>
      <w:r w:rsidR="00D51987">
        <w:t xml:space="preserve"> due to the need to re</w:t>
      </w:r>
      <w:r w:rsidR="00FC1D26">
        <w:t>-</w:t>
      </w:r>
      <w:r w:rsidR="00D51987">
        <w:t>label or develop new labels.</w:t>
      </w:r>
    </w:p>
    <w:p w14:paraId="4CC8DF22" w14:textId="4D4EE918" w:rsidR="00741927" w:rsidRDefault="005004D1" w:rsidP="00126275">
      <w:pPr>
        <w:pStyle w:val="Heading3un-numbered"/>
      </w:pPr>
      <w:r w:rsidRPr="004C302A">
        <w:t>Foodservice</w:t>
      </w:r>
    </w:p>
    <w:p w14:paraId="51A1F617" w14:textId="56893965" w:rsidR="004C302A" w:rsidRDefault="00753B7C" w:rsidP="0003754C">
      <w:pPr>
        <w:pStyle w:val="BodyText"/>
        <w:spacing w:after="140"/>
      </w:pPr>
      <w:r>
        <w:t>Foodservice – including all food sales in cafes</w:t>
      </w:r>
      <w:r w:rsidR="00C928E0">
        <w:t xml:space="preserve"> and restaurants – is currently exempt from CoOL.</w:t>
      </w:r>
      <w:r w:rsidR="00362E45">
        <w:t xml:space="preserve"> </w:t>
      </w:r>
      <w:r w:rsidR="00CE7A55">
        <w:t xml:space="preserve">A </w:t>
      </w:r>
      <w:r w:rsidR="00CD3FF4">
        <w:t>majority of consumer survey respondents</w:t>
      </w:r>
      <w:r w:rsidR="00BD3981">
        <w:t xml:space="preserve"> </w:t>
      </w:r>
      <w:r w:rsidR="005E6AA0">
        <w:t>(</w:t>
      </w:r>
      <w:r w:rsidR="005E6AA0" w:rsidRPr="00E53797">
        <w:rPr>
          <w:lang w:eastAsia="en-AU"/>
        </w:rPr>
        <w:t>62</w:t>
      </w:r>
      <w:r w:rsidR="005E6AA0">
        <w:rPr>
          <w:lang w:eastAsia="en-AU"/>
        </w:rPr>
        <w:t>%)</w:t>
      </w:r>
      <w:r w:rsidR="005E6AA0" w:rsidRPr="00DC5338">
        <w:rPr>
          <w:lang w:eastAsia="en-AU"/>
        </w:rPr>
        <w:t xml:space="preserve"> </w:t>
      </w:r>
      <w:r w:rsidR="00CD3FF4">
        <w:rPr>
          <w:lang w:eastAsia="en-AU"/>
        </w:rPr>
        <w:t>expressed support</w:t>
      </w:r>
      <w:r w:rsidR="005E6AA0" w:rsidRPr="00DC5338">
        <w:rPr>
          <w:lang w:eastAsia="en-AU"/>
        </w:rPr>
        <w:t xml:space="preserve"> </w:t>
      </w:r>
      <w:r w:rsidR="00BD3981">
        <w:t xml:space="preserve">for expanding CoOL to foodservices and </w:t>
      </w:r>
      <w:r w:rsidR="00CD3FF4">
        <w:t xml:space="preserve">similar sentiments were expressed in </w:t>
      </w:r>
      <w:r w:rsidR="00BD3981">
        <w:t>consumer focus groups.</w:t>
      </w:r>
      <w:r w:rsidR="00362E45">
        <w:t xml:space="preserve"> </w:t>
      </w:r>
    </w:p>
    <w:p w14:paraId="59836F94" w14:textId="58639BE8" w:rsidR="00240770" w:rsidRPr="00681D68" w:rsidRDefault="0096134D" w:rsidP="0003754C">
      <w:pPr>
        <w:pStyle w:val="BodyText"/>
        <w:spacing w:after="140"/>
      </w:pPr>
      <w:r w:rsidRPr="00240770">
        <w:t>However</w:t>
      </w:r>
      <w:r w:rsidR="009F66DA" w:rsidRPr="00681D68">
        <w:t>,</w:t>
      </w:r>
      <w:r w:rsidRPr="00681D68">
        <w:t xml:space="preserve"> CBA results</w:t>
      </w:r>
      <w:r w:rsidRPr="00C60435">
        <w:t xml:space="preserve"> indicate that </w:t>
      </w:r>
      <w:r w:rsidRPr="003E5AD4">
        <w:t>e</w:t>
      </w:r>
      <w:r w:rsidRPr="00B35EB4">
        <w:t>xpanding CoOL to foodservices would impose a significant cost on the foodservice sector due to the large number of small businesses in that sector that deliver unique food products, which cannot achieve the same labelling scale as can the retail food sector which is already covered by CoOL. The benefits are expected to be less than the costs to the Australian community, overall.</w:t>
      </w:r>
      <w:r w:rsidR="00F4089E" w:rsidRPr="00240770">
        <w:t xml:space="preserve"> </w:t>
      </w:r>
    </w:p>
    <w:p w14:paraId="25412439" w14:textId="5AA6BC9E" w:rsidR="00240770" w:rsidRDefault="00240770" w:rsidP="00240770">
      <w:pPr>
        <w:pStyle w:val="BodyText"/>
      </w:pPr>
      <w:r>
        <w:lastRenderedPageBreak/>
        <w:t xml:space="preserve">Additional CBA analysis was conducted specifically in relation to CoOL applying to seafood and meat products sold at foodservices. Several sub-options were examined as part of this, all yielding a similar result in that the costs of imposing this additional regulatory burden on the vast number of Australian foodservices exceeds the benefits of additional information provided to consumers. </w:t>
      </w:r>
    </w:p>
    <w:p w14:paraId="20F53E66" w14:textId="225C67A5" w:rsidR="00363440" w:rsidRDefault="00332E0C" w:rsidP="00126275">
      <w:pPr>
        <w:pStyle w:val="Heading3un-numbered"/>
      </w:pPr>
      <w:r>
        <w:t>Online sales</w:t>
      </w:r>
    </w:p>
    <w:p w14:paraId="3FF13598" w14:textId="19AFD593" w:rsidR="006A150B" w:rsidRPr="00D314DD" w:rsidRDefault="00D314DD" w:rsidP="00D314DD">
      <w:r w:rsidRPr="00D314DD">
        <w:t xml:space="preserve">The two major supermarket chains now provide all country of origin information online for each product, representing a significant proportion of all food sold online. If regulations were to require the provision of this information for food sold online, this would disproportionately affect smaller sellers as large retailers have already made the change. </w:t>
      </w:r>
      <w:r w:rsidR="00EA0EFD">
        <w:t>C</w:t>
      </w:r>
      <w:r w:rsidR="48937260">
        <w:t xml:space="preserve">BA results </w:t>
      </w:r>
      <w:r>
        <w:t>indicate</w:t>
      </w:r>
      <w:r w:rsidRPr="00D314DD">
        <w:t xml:space="preserve"> that mandating the provision of CoOL information online would impose a net cost on the Australian economy. </w:t>
      </w:r>
    </w:p>
    <w:p w14:paraId="7CC19C26" w14:textId="4CA774E1" w:rsidR="000805F3" w:rsidRDefault="000805F3" w:rsidP="00126275">
      <w:pPr>
        <w:pStyle w:val="Heading3un-numbered"/>
      </w:pPr>
      <w:r>
        <w:t>Inclusion of non-food products in CoOL</w:t>
      </w:r>
    </w:p>
    <w:p w14:paraId="389C9B1D" w14:textId="09A12626" w:rsidR="005C7473" w:rsidRDefault="0074786D" w:rsidP="0003754C">
      <w:pPr>
        <w:spacing w:after="140"/>
      </w:pPr>
      <w:r>
        <w:t xml:space="preserve">Based on survey results and consumer focus groups, there was minimal interest in </w:t>
      </w:r>
      <w:r w:rsidR="001A6562">
        <w:t>requiring</w:t>
      </w:r>
      <w:r w:rsidR="00166722">
        <w:t xml:space="preserve"> </w:t>
      </w:r>
      <w:r w:rsidR="00454B49">
        <w:t xml:space="preserve">country of origin information for </w:t>
      </w:r>
      <w:r w:rsidR="001A6562">
        <w:t>non-food products</w:t>
      </w:r>
      <w:r w:rsidR="00454B49">
        <w:t xml:space="preserve">. </w:t>
      </w:r>
      <w:r w:rsidR="005306AC">
        <w:t xml:space="preserve">However, there is currently a debate within the Australian cut flower industry regarding the merits of </w:t>
      </w:r>
      <w:r w:rsidR="002B11BB">
        <w:t>CoOL</w:t>
      </w:r>
      <w:r w:rsidR="00C27205">
        <w:t xml:space="preserve"> being required </w:t>
      </w:r>
      <w:r w:rsidR="005C7473">
        <w:t>for cut flowers.</w:t>
      </w:r>
    </w:p>
    <w:p w14:paraId="5B126815" w14:textId="064126B2" w:rsidR="00454B49" w:rsidRDefault="0049663C" w:rsidP="0003754C">
      <w:pPr>
        <w:spacing w:after="140"/>
      </w:pPr>
      <w:r>
        <w:t>A section</w:t>
      </w:r>
      <w:r w:rsidR="00454B49">
        <w:t xml:space="preserve"> of the cut flower industry </w:t>
      </w:r>
      <w:r w:rsidR="00BA0C4C">
        <w:t xml:space="preserve">has </w:t>
      </w:r>
      <w:r w:rsidR="00454B49">
        <w:t>argued that there is imperfect information in the sector (i.e. that consumers incorrectly assume many flowers, especially natives, are grown in Australia) and raised issues around pest and chemical residue on imported cut flowers. The same stakeholders were unconvinced that an industry-led</w:t>
      </w:r>
      <w:r w:rsidR="006D1756">
        <w:t xml:space="preserve"> voluntary</w:t>
      </w:r>
      <w:r w:rsidR="00454B49">
        <w:t xml:space="preserve"> scheme would be sufficient to entice industry participation and effectively manage the risk to consumers associated with not being informed about the origin of their flowers.</w:t>
      </w:r>
    </w:p>
    <w:p w14:paraId="7F2EB9AF" w14:textId="0C76388F" w:rsidR="006D1756" w:rsidRDefault="006D1756" w:rsidP="0003754C">
      <w:pPr>
        <w:spacing w:after="140"/>
      </w:pPr>
      <w:r>
        <w:t xml:space="preserve">While consumers engaged through the survey and focus groups did not volunteer cut flowers as a product </w:t>
      </w:r>
      <w:r w:rsidR="00F10C81">
        <w:t xml:space="preserve">that would benefit from </w:t>
      </w:r>
      <w:r w:rsidR="002B11BB">
        <w:t>CoOL</w:t>
      </w:r>
      <w:r w:rsidR="00F10C81">
        <w:t>, this may reflect that consumers are not aware that many cut flowers are imported.</w:t>
      </w:r>
    </w:p>
    <w:p w14:paraId="44049A28" w14:textId="7BA1D17E" w:rsidR="000805F3" w:rsidRPr="000805F3" w:rsidRDefault="0016686C" w:rsidP="00454B49">
      <w:r>
        <w:t xml:space="preserve">It is suggested that </w:t>
      </w:r>
      <w:r w:rsidR="0003515B">
        <w:t>the</w:t>
      </w:r>
      <w:r w:rsidR="00454B49">
        <w:t xml:space="preserve"> use of a voluntary mechanism (i.e. voluntary certification or a trademark arrangement) has the potential to more cost-effectively deliver origin information to consumers, as it would be more targeted (to interested consumers and businesses) compared to a regulatory (mandatory) extension of CoOL to cut flowers</w:t>
      </w:r>
      <w:r w:rsidR="0003515B">
        <w:t>. A regulatory extension to cut flowers</w:t>
      </w:r>
      <w:r w:rsidR="00454B49">
        <w:t xml:space="preserve"> would be complex and costly</w:t>
      </w:r>
      <w:r w:rsidR="00FA6868">
        <w:t>,</w:t>
      </w:r>
      <w:r w:rsidR="00454B49">
        <w:t xml:space="preserve"> given the cut flower supply chain and the practice of selling flowers with different origins in a single bunch.</w:t>
      </w:r>
      <w:r w:rsidR="0003515B">
        <w:t xml:space="preserve"> A voluntary scheme could be monitored and</w:t>
      </w:r>
      <w:r w:rsidR="00FA6868">
        <w:t>,</w:t>
      </w:r>
      <w:r w:rsidR="0003515B">
        <w:t xml:space="preserve"> if </w:t>
      </w:r>
      <w:r w:rsidR="00ED7228">
        <w:t>warranted</w:t>
      </w:r>
      <w:r w:rsidR="0003515B">
        <w:t>,</w:t>
      </w:r>
      <w:r w:rsidR="00ED7228">
        <w:t xml:space="preserve"> </w:t>
      </w:r>
      <w:r w:rsidR="00FD383B">
        <w:t xml:space="preserve">the mandating of country of origin information for cut flowers could be reconsidered </w:t>
      </w:r>
      <w:r w:rsidR="00442F4C">
        <w:t xml:space="preserve">at </w:t>
      </w:r>
      <w:r w:rsidR="00A95E7D">
        <w:t xml:space="preserve">a later </w:t>
      </w:r>
      <w:r w:rsidR="00442F4C">
        <w:t>time.</w:t>
      </w:r>
      <w:r w:rsidR="0003515B">
        <w:t xml:space="preserve"> </w:t>
      </w:r>
      <w:r w:rsidR="004149E0">
        <w:t>The concern regarding</w:t>
      </w:r>
      <w:r w:rsidR="009365DC">
        <w:t xml:space="preserve"> the </w:t>
      </w:r>
      <w:r w:rsidR="004149E0">
        <w:t xml:space="preserve">chemical residue </w:t>
      </w:r>
      <w:r w:rsidR="009365DC">
        <w:t>from</w:t>
      </w:r>
      <w:r w:rsidR="004149E0">
        <w:t xml:space="preserve"> imported flowers</w:t>
      </w:r>
      <w:r w:rsidR="009365DC">
        <w:t xml:space="preserve"> to fresh foods and vegetables in the supermarket</w:t>
      </w:r>
      <w:r w:rsidR="004149E0">
        <w:t xml:space="preserve"> is a matter for the Department of Agriculture, Water and the Environment (DAWE) to consider. </w:t>
      </w:r>
    </w:p>
    <w:p w14:paraId="62A74926" w14:textId="43076D17" w:rsidR="00DF1B7C" w:rsidRPr="00DF1B7C" w:rsidRDefault="002A4F40" w:rsidP="00126275">
      <w:pPr>
        <w:pStyle w:val="Heading3un-numbered"/>
      </w:pPr>
      <w:r>
        <w:t>Potential for CoO</w:t>
      </w:r>
      <w:r w:rsidR="00F373CB">
        <w:t>L</w:t>
      </w:r>
      <w:r>
        <w:t xml:space="preserve"> to utilise digital technology</w:t>
      </w:r>
    </w:p>
    <w:p w14:paraId="295B9904" w14:textId="6AA3CE7C" w:rsidR="009D733D" w:rsidRDefault="00082131" w:rsidP="0003754C">
      <w:pPr>
        <w:pStyle w:val="BodyText"/>
        <w:spacing w:after="140"/>
      </w:pPr>
      <w:r>
        <w:t xml:space="preserve">CoOL </w:t>
      </w:r>
      <w:r w:rsidR="002A4F40">
        <w:t>is</w:t>
      </w:r>
      <w:r>
        <w:t xml:space="preserve"> a physical label</w:t>
      </w:r>
      <w:r w:rsidR="00FA6868">
        <w:t>-</w:t>
      </w:r>
      <w:r>
        <w:t xml:space="preserve">based scheme. The evaluation has considered if developments in retail technology could support the increased provision of this information digitally, rather than through labels. This could involve providing more information online (such as via a </w:t>
      </w:r>
      <w:r w:rsidR="00963F66">
        <w:rPr>
          <w:rFonts w:asciiTheme="minorHAnsi" w:eastAsiaTheme="minorEastAsia" w:hAnsiTheme="minorHAnsi"/>
        </w:rPr>
        <w:t>Quick Response</w:t>
      </w:r>
      <w:r w:rsidR="00963F66">
        <w:t xml:space="preserve"> (</w:t>
      </w:r>
      <w:r>
        <w:t>QR</w:t>
      </w:r>
      <w:r w:rsidR="00963F66">
        <w:t>)</w:t>
      </w:r>
      <w:r>
        <w:t xml:space="preserve"> code). </w:t>
      </w:r>
      <w:r w:rsidR="00B22DF7">
        <w:t>A</w:t>
      </w:r>
      <w:r>
        <w:t>t the present time</w:t>
      </w:r>
      <w:r w:rsidR="00D77AC2">
        <w:t>,</w:t>
      </w:r>
      <w:r>
        <w:t xml:space="preserve"> this is not considered a viable alternative. It will</w:t>
      </w:r>
      <w:r w:rsidR="00D77AC2">
        <w:t>,</w:t>
      </w:r>
      <w:r>
        <w:t xml:space="preserve"> however</w:t>
      </w:r>
      <w:r w:rsidR="00D77AC2">
        <w:t>,</w:t>
      </w:r>
      <w:r>
        <w:t xml:space="preserve"> be important for developments in digital retailing to be monitored as dependence on physical labelling is expected to reduce as technology and acceptance by retailers and consumers evolve.</w:t>
      </w:r>
    </w:p>
    <w:p w14:paraId="12F92789" w14:textId="466AFAAC" w:rsidR="00256E36" w:rsidRDefault="00256E36" w:rsidP="00256E36">
      <w:pPr>
        <w:pStyle w:val="Heading2un-numbered"/>
      </w:pPr>
      <w:bookmarkStart w:id="60" w:name="_Toc72396554"/>
      <w:bookmarkStart w:id="61" w:name="_Toc94702031"/>
      <w:r>
        <w:t>Conclusion</w:t>
      </w:r>
      <w:bookmarkEnd w:id="60"/>
      <w:bookmarkEnd w:id="61"/>
    </w:p>
    <w:p w14:paraId="1D62CF58" w14:textId="1C40FA6E" w:rsidR="00486DBF" w:rsidRDefault="00227A24" w:rsidP="005D10A4">
      <w:r>
        <w:t>CoOL reforms were</w:t>
      </w:r>
      <w:r w:rsidR="00050EAA">
        <w:t xml:space="preserve"> well planned and implemented. Consumers appear to </w:t>
      </w:r>
      <w:r w:rsidR="00B330C8">
        <w:t xml:space="preserve">desire information about the origin of food. </w:t>
      </w:r>
      <w:r w:rsidR="00D0033D">
        <w:t>F</w:t>
      </w:r>
      <w:r w:rsidR="00B330C8">
        <w:t>or the scheme to reach its potential</w:t>
      </w:r>
      <w:r w:rsidR="00D0033D">
        <w:t>,</w:t>
      </w:r>
      <w:r w:rsidR="00B330C8">
        <w:t xml:space="preserve"> further effort is required to ensure the scheme is well understood. </w:t>
      </w:r>
      <w:r w:rsidR="00C458C5">
        <w:t xml:space="preserve">Similarly, while businesses are generally now accustomed to the scheme, there remain some areas of uncertainty in their understanding. </w:t>
      </w:r>
      <w:r w:rsidR="00A7272D">
        <w:t xml:space="preserve">As the scheme has been in place for a relatively brief period of time and as the initial cost imposed by any changes in the scheme is quite high, </w:t>
      </w:r>
      <w:r w:rsidR="00EA762E">
        <w:t xml:space="preserve">it is prudent to ensure a strong evidence base and case for change exist before making any significant modifications to the scheme. Consequently, the recommendations and findings described below </w:t>
      </w:r>
      <w:r w:rsidR="00E4316E">
        <w:t>focus on</w:t>
      </w:r>
      <w:r w:rsidR="00237FEB">
        <w:t xml:space="preserve"> increasing awareness and understanding of the scheme, coupled with steps to ensure </w:t>
      </w:r>
      <w:r w:rsidR="00824260">
        <w:t xml:space="preserve">robust monitoring of outcomes over a longer period of time, </w:t>
      </w:r>
      <w:r w:rsidR="00E32BD8">
        <w:t xml:space="preserve">along with adequate compliance activities to ensure the </w:t>
      </w:r>
      <w:r w:rsidR="00066BFA">
        <w:t>scheme can fully realise its objectives.</w:t>
      </w:r>
    </w:p>
    <w:p w14:paraId="60A3A4AE" w14:textId="49DA3FEE" w:rsidR="003115FB" w:rsidRPr="000B52AC" w:rsidRDefault="009E14E8">
      <w:pPr>
        <w:pStyle w:val="Heading1un-numbered"/>
      </w:pPr>
      <w:bookmarkStart w:id="62" w:name="_Toc67499036"/>
      <w:bookmarkStart w:id="63" w:name="_Toc68096392"/>
      <w:bookmarkStart w:id="64" w:name="_Toc94702032"/>
      <w:r>
        <w:lastRenderedPageBreak/>
        <w:t>R</w:t>
      </w:r>
      <w:r w:rsidR="003115FB" w:rsidRPr="000B52AC">
        <w:t>ecommendations</w:t>
      </w:r>
      <w:bookmarkEnd w:id="62"/>
      <w:bookmarkEnd w:id="63"/>
      <w:r w:rsidR="00D57FF5">
        <w:t>, findings and justifications</w:t>
      </w:r>
      <w:bookmarkEnd w:id="64"/>
    </w:p>
    <w:p w14:paraId="33B5D401" w14:textId="3853ABF3" w:rsidR="00ED2583" w:rsidRDefault="00256E36" w:rsidP="00461AF2">
      <w:pPr>
        <w:rPr>
          <w:rFonts w:eastAsia="Times New Roman" w:cs="Times New Roman"/>
          <w:bCs/>
          <w:iCs/>
          <w:color w:val="262626"/>
        </w:rPr>
      </w:pPr>
      <w:r>
        <w:rPr>
          <w:rFonts w:eastAsia="Times New Roman" w:cs="Times New Roman"/>
          <w:bCs/>
          <w:iCs/>
          <w:color w:val="262626"/>
        </w:rPr>
        <w:t>T</w:t>
      </w:r>
      <w:r w:rsidR="00EC7DB8">
        <w:rPr>
          <w:rFonts w:eastAsia="Times New Roman" w:cs="Times New Roman"/>
          <w:bCs/>
          <w:iCs/>
          <w:color w:val="262626"/>
        </w:rPr>
        <w:t xml:space="preserve">he evaluation </w:t>
      </w:r>
      <w:r w:rsidR="00623A20">
        <w:rPr>
          <w:rFonts w:eastAsia="Times New Roman" w:cs="Times New Roman"/>
          <w:bCs/>
          <w:iCs/>
          <w:color w:val="262626"/>
        </w:rPr>
        <w:t xml:space="preserve">has made </w:t>
      </w:r>
      <w:r w:rsidR="00C85B57">
        <w:rPr>
          <w:rFonts w:eastAsia="Times New Roman" w:cs="Times New Roman"/>
          <w:bCs/>
          <w:iCs/>
          <w:color w:val="262626"/>
        </w:rPr>
        <w:t xml:space="preserve">six </w:t>
      </w:r>
      <w:r w:rsidR="00623A20">
        <w:rPr>
          <w:rFonts w:eastAsia="Times New Roman" w:cs="Times New Roman"/>
          <w:bCs/>
          <w:iCs/>
          <w:color w:val="262626"/>
        </w:rPr>
        <w:t>recommendations</w:t>
      </w:r>
      <w:r w:rsidR="005102BC">
        <w:rPr>
          <w:rFonts w:eastAsia="Times New Roman" w:cs="Times New Roman"/>
          <w:bCs/>
          <w:iCs/>
          <w:color w:val="262626"/>
        </w:rPr>
        <w:t>,</w:t>
      </w:r>
      <w:r w:rsidR="00623A20">
        <w:rPr>
          <w:rFonts w:eastAsia="Times New Roman" w:cs="Times New Roman"/>
          <w:bCs/>
          <w:iCs/>
          <w:color w:val="262626"/>
        </w:rPr>
        <w:t xml:space="preserve"> </w:t>
      </w:r>
      <w:r w:rsidR="00C836C0">
        <w:rPr>
          <w:rFonts w:eastAsia="Times New Roman" w:cs="Times New Roman"/>
          <w:bCs/>
          <w:iCs/>
          <w:color w:val="262626"/>
        </w:rPr>
        <w:t xml:space="preserve">which are summarised in </w:t>
      </w:r>
      <w:r w:rsidR="006659B8">
        <w:rPr>
          <w:rFonts w:eastAsia="Times New Roman" w:cs="Times New Roman"/>
          <w:bCs/>
          <w:iCs/>
          <w:color w:val="262626"/>
        </w:rPr>
        <w:fldChar w:fldCharType="begin"/>
      </w:r>
      <w:r w:rsidR="006659B8">
        <w:rPr>
          <w:rFonts w:eastAsia="Times New Roman" w:cs="Times New Roman"/>
          <w:bCs/>
          <w:iCs/>
          <w:color w:val="262626"/>
        </w:rPr>
        <w:instrText xml:space="preserve"> REF _Ref72180081 \n \h </w:instrText>
      </w:r>
      <w:r w:rsidR="006659B8">
        <w:rPr>
          <w:rFonts w:eastAsia="Times New Roman" w:cs="Times New Roman"/>
          <w:bCs/>
          <w:iCs/>
          <w:color w:val="262626"/>
        </w:rPr>
      </w:r>
      <w:r w:rsidR="006659B8">
        <w:rPr>
          <w:rFonts w:eastAsia="Times New Roman" w:cs="Times New Roman"/>
          <w:bCs/>
          <w:iCs/>
          <w:color w:val="262626"/>
        </w:rPr>
        <w:fldChar w:fldCharType="separate"/>
      </w:r>
      <w:r w:rsidR="0017363C">
        <w:rPr>
          <w:rFonts w:eastAsia="Times New Roman" w:cs="Times New Roman"/>
          <w:bCs/>
          <w:iCs/>
          <w:color w:val="262626"/>
        </w:rPr>
        <w:t>Table ii</w:t>
      </w:r>
      <w:r w:rsidR="006659B8">
        <w:rPr>
          <w:rFonts w:eastAsia="Times New Roman" w:cs="Times New Roman"/>
          <w:bCs/>
          <w:iCs/>
          <w:color w:val="262626"/>
        </w:rPr>
        <w:fldChar w:fldCharType="end"/>
      </w:r>
      <w:r w:rsidR="006659B8">
        <w:rPr>
          <w:rFonts w:eastAsia="Times New Roman" w:cs="Times New Roman"/>
          <w:bCs/>
          <w:iCs/>
          <w:color w:val="262626"/>
        </w:rPr>
        <w:t xml:space="preserve"> </w:t>
      </w:r>
      <w:r w:rsidR="007A5DD9">
        <w:rPr>
          <w:rFonts w:eastAsia="Times New Roman" w:cs="Times New Roman"/>
          <w:bCs/>
          <w:iCs/>
          <w:color w:val="262626"/>
        </w:rPr>
        <w:t xml:space="preserve">to </w:t>
      </w:r>
      <w:r w:rsidR="006659B8">
        <w:rPr>
          <w:rFonts w:eastAsia="Times New Roman" w:cs="Times New Roman"/>
          <w:bCs/>
          <w:iCs/>
          <w:color w:val="262626"/>
        </w:rPr>
        <w:fldChar w:fldCharType="begin"/>
      </w:r>
      <w:r w:rsidR="006659B8">
        <w:rPr>
          <w:rFonts w:eastAsia="Times New Roman" w:cs="Times New Roman"/>
          <w:bCs/>
          <w:iCs/>
          <w:color w:val="262626"/>
        </w:rPr>
        <w:instrText xml:space="preserve"> REF _Ref71196364 \n \h </w:instrText>
      </w:r>
      <w:r w:rsidR="006659B8">
        <w:rPr>
          <w:rFonts w:eastAsia="Times New Roman" w:cs="Times New Roman"/>
          <w:bCs/>
          <w:iCs/>
          <w:color w:val="262626"/>
        </w:rPr>
      </w:r>
      <w:r w:rsidR="006659B8">
        <w:rPr>
          <w:rFonts w:eastAsia="Times New Roman" w:cs="Times New Roman"/>
          <w:bCs/>
          <w:iCs/>
          <w:color w:val="262626"/>
        </w:rPr>
        <w:fldChar w:fldCharType="separate"/>
      </w:r>
      <w:r w:rsidR="0017363C">
        <w:rPr>
          <w:rFonts w:eastAsia="Times New Roman" w:cs="Times New Roman"/>
          <w:bCs/>
          <w:iCs/>
          <w:color w:val="262626"/>
        </w:rPr>
        <w:t>Table vii</w:t>
      </w:r>
      <w:r w:rsidR="006659B8">
        <w:rPr>
          <w:rFonts w:eastAsia="Times New Roman" w:cs="Times New Roman"/>
          <w:bCs/>
          <w:iCs/>
          <w:color w:val="262626"/>
        </w:rPr>
        <w:fldChar w:fldCharType="end"/>
      </w:r>
      <w:r w:rsidR="001C3320">
        <w:rPr>
          <w:rFonts w:eastAsia="Times New Roman" w:cs="Times New Roman"/>
          <w:bCs/>
          <w:iCs/>
          <w:color w:val="262626"/>
        </w:rPr>
        <w:t xml:space="preserve">. </w:t>
      </w:r>
      <w:r w:rsidR="008356AB" w:rsidRPr="008356AB">
        <w:rPr>
          <w:rFonts w:eastAsia="Times New Roman" w:cs="Times New Roman"/>
          <w:bCs/>
          <w:iCs/>
          <w:color w:val="262626"/>
        </w:rPr>
        <w:t xml:space="preserve">In framing the recommendations, it has been recognised that the </w:t>
      </w:r>
      <w:r w:rsidR="00E670FE">
        <w:rPr>
          <w:rFonts w:eastAsia="Times New Roman" w:cs="Times New Roman"/>
          <w:bCs/>
          <w:iCs/>
          <w:color w:val="262626"/>
        </w:rPr>
        <w:t>scheme</w:t>
      </w:r>
      <w:r w:rsidR="008356AB" w:rsidRPr="008356AB">
        <w:rPr>
          <w:rFonts w:eastAsia="Times New Roman" w:cs="Times New Roman"/>
          <w:bCs/>
          <w:iCs/>
          <w:color w:val="262626"/>
        </w:rPr>
        <w:t xml:space="preserve"> ha</w:t>
      </w:r>
      <w:r w:rsidR="00266DEE">
        <w:rPr>
          <w:rFonts w:eastAsia="Times New Roman" w:cs="Times New Roman"/>
          <w:bCs/>
          <w:iCs/>
          <w:color w:val="262626"/>
        </w:rPr>
        <w:t>s</w:t>
      </w:r>
      <w:r w:rsidR="008356AB" w:rsidRPr="008356AB">
        <w:rPr>
          <w:rFonts w:eastAsia="Times New Roman" w:cs="Times New Roman"/>
          <w:bCs/>
          <w:iCs/>
          <w:color w:val="262626"/>
        </w:rPr>
        <w:t xml:space="preserve"> operated for just over </w:t>
      </w:r>
      <w:r w:rsidR="005102BC">
        <w:rPr>
          <w:rFonts w:eastAsia="Times New Roman" w:cs="Times New Roman"/>
          <w:bCs/>
          <w:iCs/>
          <w:color w:val="262626"/>
        </w:rPr>
        <w:t xml:space="preserve">2 </w:t>
      </w:r>
      <w:r w:rsidR="008356AB" w:rsidRPr="008356AB">
        <w:rPr>
          <w:rFonts w:eastAsia="Times New Roman" w:cs="Times New Roman"/>
          <w:bCs/>
          <w:iCs/>
          <w:color w:val="262626"/>
        </w:rPr>
        <w:t>years</w:t>
      </w:r>
      <w:r w:rsidR="007A5DD9">
        <w:rPr>
          <w:rFonts w:eastAsia="Times New Roman" w:cs="Times New Roman"/>
          <w:bCs/>
          <w:iCs/>
          <w:color w:val="262626"/>
        </w:rPr>
        <w:t>, at the commencement of this evaluation</w:t>
      </w:r>
      <w:r w:rsidR="008356AB" w:rsidRPr="008356AB">
        <w:rPr>
          <w:rFonts w:eastAsia="Times New Roman" w:cs="Times New Roman"/>
          <w:bCs/>
          <w:iCs/>
          <w:color w:val="262626"/>
        </w:rPr>
        <w:t xml:space="preserve">. The cost of any change in the </w:t>
      </w:r>
      <w:r w:rsidR="00E670FE">
        <w:rPr>
          <w:rFonts w:eastAsia="Times New Roman" w:cs="Times New Roman"/>
          <w:bCs/>
          <w:iCs/>
          <w:color w:val="262626"/>
        </w:rPr>
        <w:t>scheme</w:t>
      </w:r>
      <w:r w:rsidR="008356AB" w:rsidRPr="008356AB">
        <w:rPr>
          <w:rFonts w:eastAsia="Times New Roman" w:cs="Times New Roman"/>
          <w:bCs/>
          <w:iCs/>
          <w:color w:val="262626"/>
        </w:rPr>
        <w:t xml:space="preserve"> would be potentially significant. There would need to be a clear</w:t>
      </w:r>
      <w:r w:rsidR="007B18B0">
        <w:rPr>
          <w:rFonts w:eastAsia="Times New Roman" w:cs="Times New Roman"/>
          <w:bCs/>
          <w:iCs/>
          <w:color w:val="262626"/>
        </w:rPr>
        <w:t xml:space="preserve"> </w:t>
      </w:r>
      <w:r w:rsidR="008356AB" w:rsidRPr="008356AB">
        <w:rPr>
          <w:rFonts w:eastAsia="Times New Roman" w:cs="Times New Roman"/>
          <w:bCs/>
          <w:iCs/>
          <w:color w:val="262626"/>
        </w:rPr>
        <w:t xml:space="preserve">net public benefit to justify any change, </w:t>
      </w:r>
      <w:r w:rsidR="00C5384A">
        <w:rPr>
          <w:rFonts w:eastAsia="Times New Roman" w:cs="Times New Roman"/>
          <w:bCs/>
          <w:iCs/>
          <w:color w:val="262626"/>
        </w:rPr>
        <w:t>based on high</w:t>
      </w:r>
      <w:r w:rsidR="005102BC">
        <w:rPr>
          <w:rFonts w:eastAsia="Times New Roman" w:cs="Times New Roman"/>
          <w:bCs/>
          <w:iCs/>
          <w:color w:val="262626"/>
        </w:rPr>
        <w:t>-</w:t>
      </w:r>
      <w:r w:rsidR="00C5384A">
        <w:rPr>
          <w:rFonts w:eastAsia="Times New Roman" w:cs="Times New Roman"/>
          <w:bCs/>
          <w:iCs/>
          <w:color w:val="262626"/>
        </w:rPr>
        <w:t xml:space="preserve">quality data, </w:t>
      </w:r>
      <w:r w:rsidR="008356AB" w:rsidRPr="008356AB">
        <w:rPr>
          <w:rFonts w:eastAsia="Times New Roman" w:cs="Times New Roman"/>
          <w:bCs/>
          <w:iCs/>
          <w:color w:val="262626"/>
        </w:rPr>
        <w:t>particularly as the Australian economy is in a recovery phase</w:t>
      </w:r>
      <w:r w:rsidR="0044476B">
        <w:rPr>
          <w:rFonts w:eastAsia="Times New Roman" w:cs="Times New Roman"/>
          <w:bCs/>
          <w:iCs/>
          <w:color w:val="262626"/>
        </w:rPr>
        <w:t xml:space="preserve"> from the COVID-19 pandemic</w:t>
      </w:r>
      <w:r w:rsidR="007B18B0">
        <w:rPr>
          <w:rFonts w:eastAsia="Times New Roman" w:cs="Times New Roman"/>
          <w:bCs/>
          <w:iCs/>
          <w:color w:val="262626"/>
        </w:rPr>
        <w:t xml:space="preserve">. </w:t>
      </w:r>
      <w:r w:rsidR="00623A20">
        <w:rPr>
          <w:rFonts w:eastAsia="Times New Roman" w:cs="Times New Roman"/>
          <w:bCs/>
          <w:iCs/>
          <w:color w:val="262626"/>
        </w:rPr>
        <w:t xml:space="preserve">This also provides time for further monitoring of scheme impact and the </w:t>
      </w:r>
      <w:r w:rsidR="00DD40CC">
        <w:rPr>
          <w:rFonts w:eastAsia="Times New Roman" w:cs="Times New Roman"/>
          <w:bCs/>
          <w:iCs/>
          <w:color w:val="262626"/>
        </w:rPr>
        <w:t>evolution of consumer expectation</w:t>
      </w:r>
      <w:r w:rsidR="00C836C0">
        <w:rPr>
          <w:rFonts w:eastAsia="Times New Roman" w:cs="Times New Roman"/>
          <w:bCs/>
          <w:iCs/>
          <w:color w:val="262626"/>
        </w:rPr>
        <w:t>s</w:t>
      </w:r>
      <w:r w:rsidR="00DD40CC">
        <w:rPr>
          <w:rFonts w:eastAsia="Times New Roman" w:cs="Times New Roman"/>
          <w:bCs/>
          <w:iCs/>
          <w:color w:val="262626"/>
        </w:rPr>
        <w:t xml:space="preserve"> and retail labelling trends, including those involving the provision of digital information.</w:t>
      </w:r>
      <w:r w:rsidR="00B07127">
        <w:rPr>
          <w:rFonts w:eastAsia="Times New Roman" w:cs="Times New Roman"/>
          <w:bCs/>
          <w:iCs/>
          <w:color w:val="262626"/>
        </w:rPr>
        <w:t xml:space="preserve"> </w:t>
      </w:r>
    </w:p>
    <w:p w14:paraId="2805ECF5" w14:textId="3E37E68D" w:rsidR="00F63A0C" w:rsidRDefault="00B07127" w:rsidP="00461AF2">
      <w:pPr>
        <w:rPr>
          <w:rFonts w:eastAsia="Times New Roman" w:cs="Times New Roman"/>
          <w:bCs/>
          <w:iCs/>
          <w:color w:val="262626"/>
        </w:rPr>
      </w:pPr>
      <w:r>
        <w:rPr>
          <w:rFonts w:eastAsia="Times New Roman" w:cs="Times New Roman"/>
          <w:bCs/>
          <w:iCs/>
          <w:color w:val="262626"/>
        </w:rPr>
        <w:t xml:space="preserve">Any </w:t>
      </w:r>
      <w:r w:rsidR="003F46B8">
        <w:rPr>
          <w:rFonts w:eastAsia="Times New Roman" w:cs="Times New Roman"/>
          <w:bCs/>
          <w:iCs/>
          <w:color w:val="262626"/>
        </w:rPr>
        <w:t xml:space="preserve">major </w:t>
      </w:r>
      <w:r>
        <w:rPr>
          <w:rFonts w:eastAsia="Times New Roman" w:cs="Times New Roman"/>
          <w:bCs/>
          <w:iCs/>
          <w:color w:val="262626"/>
        </w:rPr>
        <w:t xml:space="preserve">changes </w:t>
      </w:r>
      <w:r w:rsidR="003F46B8">
        <w:rPr>
          <w:rFonts w:eastAsia="Times New Roman" w:cs="Times New Roman"/>
          <w:bCs/>
          <w:iCs/>
          <w:color w:val="262626"/>
        </w:rPr>
        <w:t xml:space="preserve">to the scheme would </w:t>
      </w:r>
      <w:r>
        <w:rPr>
          <w:rFonts w:eastAsia="Times New Roman" w:cs="Times New Roman"/>
          <w:bCs/>
          <w:iCs/>
          <w:color w:val="262626"/>
        </w:rPr>
        <w:t xml:space="preserve">also </w:t>
      </w:r>
      <w:r w:rsidR="003F46B8">
        <w:rPr>
          <w:rFonts w:eastAsia="Times New Roman" w:cs="Times New Roman"/>
          <w:bCs/>
          <w:iCs/>
          <w:color w:val="262626"/>
        </w:rPr>
        <w:t>need to give</w:t>
      </w:r>
      <w:r>
        <w:rPr>
          <w:rFonts w:eastAsia="Times New Roman" w:cs="Times New Roman"/>
          <w:bCs/>
          <w:iCs/>
          <w:color w:val="262626"/>
        </w:rPr>
        <w:t xml:space="preserve"> regard </w:t>
      </w:r>
      <w:r w:rsidR="008525E8">
        <w:rPr>
          <w:rFonts w:eastAsia="Times New Roman" w:cs="Times New Roman"/>
          <w:bCs/>
          <w:iCs/>
          <w:color w:val="262626"/>
        </w:rPr>
        <w:t>to other labelling requirements and pressures on the food sector.</w:t>
      </w:r>
      <w:r>
        <w:rPr>
          <w:rFonts w:eastAsia="Times New Roman" w:cs="Times New Roman"/>
          <w:bCs/>
          <w:iCs/>
          <w:color w:val="262626"/>
        </w:rPr>
        <w:t xml:space="preserve"> </w:t>
      </w:r>
      <w:r w:rsidR="00ED2583">
        <w:rPr>
          <w:rFonts w:eastAsia="Times New Roman" w:cs="Times New Roman"/>
          <w:bCs/>
          <w:iCs/>
          <w:color w:val="262626"/>
        </w:rPr>
        <w:t>In addition, c</w:t>
      </w:r>
      <w:r w:rsidR="00ED2583" w:rsidRPr="00ED2583">
        <w:rPr>
          <w:rFonts w:eastAsia="Times New Roman" w:cs="Times New Roman"/>
          <w:bCs/>
          <w:iCs/>
          <w:color w:val="262626"/>
        </w:rPr>
        <w:t xml:space="preserve">hanges to current CoOL requirements may take time; for instance, as changes to Australian Consumer Law </w:t>
      </w:r>
      <w:r w:rsidR="002305ED">
        <w:rPr>
          <w:rFonts w:eastAsia="Times New Roman" w:cs="Times New Roman"/>
          <w:bCs/>
          <w:iCs/>
          <w:color w:val="262626"/>
        </w:rPr>
        <w:t xml:space="preserve">(ACL) </w:t>
      </w:r>
      <w:r w:rsidR="00ED2583" w:rsidRPr="00ED2583">
        <w:rPr>
          <w:rFonts w:eastAsia="Times New Roman" w:cs="Times New Roman"/>
          <w:bCs/>
          <w:iCs/>
          <w:color w:val="262626"/>
        </w:rPr>
        <w:t xml:space="preserve">regulations require the agreement of </w:t>
      </w:r>
      <w:r w:rsidR="001B2075">
        <w:rPr>
          <w:rFonts w:eastAsia="Times New Roman" w:cs="Times New Roman"/>
          <w:bCs/>
          <w:iCs/>
          <w:color w:val="262626"/>
        </w:rPr>
        <w:t>s</w:t>
      </w:r>
      <w:r w:rsidR="00ED2583" w:rsidRPr="00ED2583">
        <w:rPr>
          <w:rFonts w:eastAsia="Times New Roman" w:cs="Times New Roman"/>
          <w:bCs/>
          <w:iCs/>
          <w:color w:val="262626"/>
        </w:rPr>
        <w:t xml:space="preserve">tates and </w:t>
      </w:r>
      <w:r w:rsidR="001B2075">
        <w:rPr>
          <w:rFonts w:eastAsia="Times New Roman" w:cs="Times New Roman"/>
          <w:bCs/>
          <w:iCs/>
          <w:color w:val="262626"/>
        </w:rPr>
        <w:t>t</w:t>
      </w:r>
      <w:r w:rsidR="00ED2583" w:rsidRPr="00ED2583">
        <w:rPr>
          <w:rFonts w:eastAsia="Times New Roman" w:cs="Times New Roman"/>
          <w:bCs/>
          <w:iCs/>
          <w:color w:val="262626"/>
        </w:rPr>
        <w:t>erritories.</w:t>
      </w:r>
    </w:p>
    <w:p w14:paraId="3F892980" w14:textId="618B6858" w:rsidR="00C80DBC" w:rsidRDefault="00876FFB" w:rsidP="003A6936">
      <w:pPr>
        <w:pStyle w:val="Heading2un-numbered"/>
      </w:pPr>
      <w:bookmarkStart w:id="65" w:name="_Toc72396556"/>
      <w:bookmarkStart w:id="66" w:name="_Toc94702033"/>
      <w:r>
        <w:t xml:space="preserve">Recommendation </w:t>
      </w:r>
      <w:r w:rsidR="00C67FC5">
        <w:t>1</w:t>
      </w:r>
      <w:r>
        <w:t xml:space="preserve">: </w:t>
      </w:r>
      <w:bookmarkEnd w:id="65"/>
      <w:r w:rsidR="00231A5D">
        <w:t xml:space="preserve">Scope of the </w:t>
      </w:r>
      <w:r w:rsidR="003975A4">
        <w:t>scheme</w:t>
      </w:r>
      <w:bookmarkEnd w:id="66"/>
    </w:p>
    <w:p w14:paraId="6CE83FD4" w14:textId="1BE99164" w:rsidR="00E53976" w:rsidRDefault="000140B7">
      <w:pPr>
        <w:pStyle w:val="ExecTableCaption"/>
      </w:pPr>
      <w:bookmarkStart w:id="67" w:name="_Ref72180081"/>
      <w:bookmarkStart w:id="68" w:name="_Toc82590392"/>
      <w:r>
        <w:t>: Recommendation</w:t>
      </w:r>
      <w:r w:rsidR="00E804EB">
        <w:t xml:space="preserve"> </w:t>
      </w:r>
      <w:bookmarkEnd w:id="67"/>
      <w:r w:rsidR="00C67FC5">
        <w:t>1</w:t>
      </w:r>
      <w:bookmarkEnd w:id="68"/>
      <w:r w:rsidR="00E804EB">
        <w:t xml:space="preserve"> </w:t>
      </w:r>
    </w:p>
    <w:tbl>
      <w:tblPr>
        <w:tblStyle w:val="Deloittetable"/>
        <w:tblW w:w="0" w:type="auto"/>
        <w:tblLook w:val="04A0" w:firstRow="1" w:lastRow="0" w:firstColumn="1" w:lastColumn="0" w:noHBand="0" w:noVBand="1"/>
        <w:tblDescription w:val="This table outlines recommendation one: Retain the scheme in its current form for at least a further two 2 years due to its current efficiency. This additional retention period will also enable further evaluation of performance and impact. This includes retaining the non-priority list, voluntary application to online sales, and current exemption for foodservice."/>
      </w:tblPr>
      <w:tblGrid>
        <w:gridCol w:w="1777"/>
        <w:gridCol w:w="7249"/>
      </w:tblGrid>
      <w:tr w:rsidR="001F4AEC" w14:paraId="39487FD1" w14:textId="77777777" w:rsidTr="006E1BCA">
        <w:trPr>
          <w:cnfStyle w:val="100000000000" w:firstRow="1" w:lastRow="0" w:firstColumn="0" w:lastColumn="0" w:oddVBand="0" w:evenVBand="0" w:oddHBand="0" w:evenHBand="0" w:firstRowFirstColumn="0" w:firstRowLastColumn="0" w:lastRowFirstColumn="0" w:lastRowLastColumn="0"/>
          <w:trHeight w:val="661"/>
          <w:tblHeader/>
        </w:trPr>
        <w:tc>
          <w:tcPr>
            <w:tcW w:w="1701" w:type="dxa"/>
            <w:tcBorders>
              <w:top w:val="single" w:sz="24" w:space="0" w:color="012169" w:themeColor="accent4"/>
            </w:tcBorders>
          </w:tcPr>
          <w:p w14:paraId="57687F3C" w14:textId="61ED2E8A" w:rsidR="001F4AEC" w:rsidRDefault="00B57AAC" w:rsidP="00E804EB">
            <w:pPr>
              <w:rPr>
                <w:b/>
                <w:bCs/>
              </w:rPr>
            </w:pPr>
            <w:r>
              <w:rPr>
                <w:b/>
                <w:bCs/>
              </w:rPr>
              <w:t>Recommendation</w:t>
            </w:r>
          </w:p>
        </w:tc>
        <w:tc>
          <w:tcPr>
            <w:tcW w:w="7325" w:type="dxa"/>
            <w:tcBorders>
              <w:top w:val="single" w:sz="24" w:space="0" w:color="012169" w:themeColor="accent4"/>
            </w:tcBorders>
          </w:tcPr>
          <w:p w14:paraId="5EE60486" w14:textId="6379F118" w:rsidR="001F4AEC" w:rsidRPr="00D33484" w:rsidRDefault="003B4B71" w:rsidP="00D82DE5">
            <w:pPr>
              <w:rPr>
                <w:b/>
                <w:bCs/>
              </w:rPr>
            </w:pPr>
            <w:r w:rsidRPr="000A2702">
              <w:rPr>
                <w:b/>
                <w:bCs/>
              </w:rPr>
              <w:t xml:space="preserve">Retain the scheme in its current form for at least a further </w:t>
            </w:r>
            <w:r w:rsidR="00C44341">
              <w:rPr>
                <w:b/>
                <w:bCs/>
              </w:rPr>
              <w:t>2</w:t>
            </w:r>
            <w:r w:rsidR="00C44341" w:rsidRPr="000A2702">
              <w:rPr>
                <w:b/>
                <w:bCs/>
              </w:rPr>
              <w:t xml:space="preserve"> </w:t>
            </w:r>
            <w:r w:rsidRPr="000A2702">
              <w:rPr>
                <w:b/>
                <w:bCs/>
              </w:rPr>
              <w:t xml:space="preserve">years </w:t>
            </w:r>
            <w:r>
              <w:rPr>
                <w:b/>
                <w:bCs/>
              </w:rPr>
              <w:t xml:space="preserve">due to its current efficiency. This additional retention period will also enable further </w:t>
            </w:r>
            <w:r w:rsidR="00465A1A">
              <w:rPr>
                <w:b/>
                <w:bCs/>
              </w:rPr>
              <w:t xml:space="preserve">monitoring </w:t>
            </w:r>
            <w:r>
              <w:rPr>
                <w:b/>
                <w:bCs/>
              </w:rPr>
              <w:t>of perfo</w:t>
            </w:r>
            <w:r w:rsidRPr="000A2702">
              <w:rPr>
                <w:b/>
                <w:bCs/>
              </w:rPr>
              <w:t>rmance and impact. This includes retaining the non-priority list, voluntary application to online sales and current exemption for foodservice.</w:t>
            </w:r>
          </w:p>
        </w:tc>
      </w:tr>
      <w:tr w:rsidR="001F4AEC" w14:paraId="7ABC8F7A" w14:textId="77777777" w:rsidTr="00FB58D6">
        <w:tc>
          <w:tcPr>
            <w:tcW w:w="1701" w:type="dxa"/>
          </w:tcPr>
          <w:p w14:paraId="2D5C476C" w14:textId="0CED73BC" w:rsidR="001F4AEC" w:rsidRDefault="00461AF2" w:rsidP="00E804EB">
            <w:r>
              <w:t>Background</w:t>
            </w:r>
          </w:p>
        </w:tc>
        <w:tc>
          <w:tcPr>
            <w:tcW w:w="7325" w:type="dxa"/>
          </w:tcPr>
          <w:p w14:paraId="482CD38C" w14:textId="22933E59" w:rsidR="001F4AEC" w:rsidRDefault="00461AF2" w:rsidP="00E111BC">
            <w:r w:rsidRPr="00461AF2">
              <w:t xml:space="preserve">The </w:t>
            </w:r>
            <w:r w:rsidR="007404C9">
              <w:t>s</w:t>
            </w:r>
            <w:r w:rsidRPr="00461AF2">
              <w:t>cheme commenced operation in 2016 and</w:t>
            </w:r>
            <w:r w:rsidR="001968F5">
              <w:t xml:space="preserve"> following a 2-year transition period</w:t>
            </w:r>
            <w:r w:rsidRPr="00461AF2">
              <w:t xml:space="preserve"> became fully operational from 2018.</w:t>
            </w:r>
          </w:p>
        </w:tc>
      </w:tr>
      <w:tr w:rsidR="001C5D20" w14:paraId="67EFEC7E" w14:textId="77777777" w:rsidTr="00FB58D6">
        <w:tc>
          <w:tcPr>
            <w:tcW w:w="1701" w:type="dxa"/>
          </w:tcPr>
          <w:p w14:paraId="68A0A5BB" w14:textId="0E4CEED4" w:rsidR="001C5D20" w:rsidRDefault="0096682B" w:rsidP="00E804EB">
            <w:r>
              <w:t>Rationale for the recommendation</w:t>
            </w:r>
          </w:p>
        </w:tc>
        <w:tc>
          <w:tcPr>
            <w:tcW w:w="7325" w:type="dxa"/>
          </w:tcPr>
          <w:p w14:paraId="70D6C1A6" w14:textId="58230EC4" w:rsidR="007404C9" w:rsidRDefault="00020E59" w:rsidP="00CF03F9">
            <w:r>
              <w:t xml:space="preserve">This recommendation </w:t>
            </w:r>
            <w:r w:rsidR="003577EA">
              <w:t xml:space="preserve">reflects </w:t>
            </w:r>
            <w:r w:rsidR="007577E8">
              <w:t xml:space="preserve">findings that the scheme has been well implemented and, overall, is operating efficiently. </w:t>
            </w:r>
            <w:r w:rsidR="007404C9" w:rsidRPr="007404C9">
              <w:t xml:space="preserve">As any change would have significant implications, </w:t>
            </w:r>
            <w:r w:rsidR="007404C9">
              <w:t>any changes to the</w:t>
            </w:r>
            <w:r w:rsidR="007404C9" w:rsidRPr="007404C9">
              <w:t xml:space="preserve"> scope of the scheme require careful consideration.</w:t>
            </w:r>
          </w:p>
          <w:p w14:paraId="38D331B4" w14:textId="44FBC71F" w:rsidR="007404C9" w:rsidRDefault="00902F37" w:rsidP="00CF03F9">
            <w:r>
              <w:t>There</w:t>
            </w:r>
            <w:r w:rsidR="00862AFE">
              <w:t xml:space="preserve"> is consumer support for extending the scope of CoOL t</w:t>
            </w:r>
            <w:r w:rsidR="00BE1D6E">
              <w:t>hrough removing the distinction for non-priority products, making mandatory the application to information for online purchases</w:t>
            </w:r>
            <w:r w:rsidR="00B80B27">
              <w:t>,</w:t>
            </w:r>
            <w:r w:rsidR="00BE1D6E">
              <w:t xml:space="preserve"> removing the current exemption for foodservice</w:t>
            </w:r>
            <w:r w:rsidR="00B80B27">
              <w:t xml:space="preserve"> and/or increasing the provision of information on labels</w:t>
            </w:r>
            <w:r w:rsidR="00BE1D6E">
              <w:t xml:space="preserve">. </w:t>
            </w:r>
          </w:p>
          <w:p w14:paraId="7602E3F4" w14:textId="0F7C1BB9" w:rsidR="001C5D20" w:rsidRPr="008E46FB" w:rsidRDefault="007404C9" w:rsidP="00CF03F9">
            <w:r>
              <w:t>Only one of the proposed changes to scope</w:t>
            </w:r>
            <w:r w:rsidR="00C16E34">
              <w:t xml:space="preserve"> returned a positive BCR in</w:t>
            </w:r>
            <w:r>
              <w:t xml:space="preserve"> </w:t>
            </w:r>
            <w:r w:rsidR="008B08B0">
              <w:t>CBA modelling</w:t>
            </w:r>
            <w:r w:rsidR="006308AC">
              <w:rPr>
                <w:rStyle w:val="FootnoteReference"/>
              </w:rPr>
              <w:footnoteReference w:id="5"/>
            </w:r>
            <w:r w:rsidR="00C16E34">
              <w:t>:</w:t>
            </w:r>
            <w:r w:rsidR="00AB2329">
              <w:t xml:space="preserve"> </w:t>
            </w:r>
            <w:r w:rsidR="00C16E34">
              <w:t>t</w:t>
            </w:r>
            <w:r>
              <w:t xml:space="preserve">he </w:t>
            </w:r>
            <w:r w:rsidR="00B80B27">
              <w:t xml:space="preserve">removal of the non-priority list. </w:t>
            </w:r>
            <w:r w:rsidR="00134D16">
              <w:t xml:space="preserve">As </w:t>
            </w:r>
            <w:r w:rsidR="00D01E17">
              <w:t>WTP</w:t>
            </w:r>
            <w:r w:rsidR="00134D16">
              <w:t xml:space="preserve"> </w:t>
            </w:r>
            <w:r w:rsidR="00997233">
              <w:t xml:space="preserve">estimates </w:t>
            </w:r>
            <w:r>
              <w:t>are</w:t>
            </w:r>
            <w:r w:rsidR="00997233">
              <w:t xml:space="preserve"> subject to</w:t>
            </w:r>
            <w:r w:rsidR="00134D16">
              <w:t xml:space="preserve"> </w:t>
            </w:r>
            <w:r w:rsidR="00997233">
              <w:t xml:space="preserve">various </w:t>
            </w:r>
            <w:r w:rsidR="00134D16">
              <w:t>bias</w:t>
            </w:r>
            <w:r w:rsidR="009D7EB0">
              <w:t>es</w:t>
            </w:r>
            <w:r w:rsidR="00134D16">
              <w:t xml:space="preserve">, </w:t>
            </w:r>
            <w:r w:rsidR="002D5632">
              <w:t xml:space="preserve">and taking into consideration broader evidence, </w:t>
            </w:r>
            <w:r w:rsidR="00902F37">
              <w:t>more time is required for</w:t>
            </w:r>
            <w:r w:rsidR="00727123">
              <w:t xml:space="preserve"> </w:t>
            </w:r>
            <w:r w:rsidR="002D5632">
              <w:t xml:space="preserve">ongoing monitoring of consumer demand </w:t>
            </w:r>
            <w:r w:rsidR="002A6B0D">
              <w:t>and scheme impact</w:t>
            </w:r>
            <w:r w:rsidR="00BA3081">
              <w:t xml:space="preserve">. </w:t>
            </w:r>
          </w:p>
        </w:tc>
      </w:tr>
      <w:tr w:rsidR="001F4AEC" w14:paraId="3BC0F35E" w14:textId="77777777" w:rsidTr="00FB58D6">
        <w:tc>
          <w:tcPr>
            <w:tcW w:w="1701" w:type="dxa"/>
          </w:tcPr>
          <w:p w14:paraId="2ED9318F" w14:textId="27403936" w:rsidR="001F4AEC" w:rsidRPr="005F417D" w:rsidRDefault="00471B3C" w:rsidP="00E804EB">
            <w:pPr>
              <w:rPr>
                <w:b/>
              </w:rPr>
            </w:pPr>
            <w:r w:rsidRPr="005F417D">
              <w:rPr>
                <w:b/>
              </w:rPr>
              <w:t>Key Finding</w:t>
            </w:r>
            <w:r w:rsidR="00271DC6">
              <w:rPr>
                <w:b/>
              </w:rPr>
              <w:t>s</w:t>
            </w:r>
          </w:p>
        </w:tc>
        <w:tc>
          <w:tcPr>
            <w:tcW w:w="7325" w:type="dxa"/>
          </w:tcPr>
          <w:p w14:paraId="5D4F06B3" w14:textId="77777777" w:rsidR="001F4AEC" w:rsidRPr="003E2CAB" w:rsidRDefault="001F4AEC" w:rsidP="00E804EB">
            <w:pPr>
              <w:rPr>
                <w:bCs/>
              </w:rPr>
            </w:pPr>
          </w:p>
        </w:tc>
      </w:tr>
      <w:tr w:rsidR="005347DC" w14:paraId="1B14BED7" w14:textId="77777777" w:rsidTr="00FB58D6">
        <w:tc>
          <w:tcPr>
            <w:tcW w:w="1701" w:type="dxa"/>
          </w:tcPr>
          <w:p w14:paraId="1B99E681" w14:textId="65DF9E83" w:rsidR="005347DC" w:rsidRDefault="005347DC" w:rsidP="005347DC"/>
        </w:tc>
        <w:tc>
          <w:tcPr>
            <w:tcW w:w="7325" w:type="dxa"/>
          </w:tcPr>
          <w:p w14:paraId="7A2C931D" w14:textId="70FA6057" w:rsidR="005347DC" w:rsidRPr="008E46FB" w:rsidRDefault="006A5D53" w:rsidP="005347DC">
            <w:pPr>
              <w:rPr>
                <w:rFonts w:asciiTheme="majorHAnsi" w:hAnsiTheme="majorHAnsi"/>
                <w:b/>
                <w:bCs/>
              </w:rPr>
            </w:pPr>
            <w:r>
              <w:t xml:space="preserve">Australian </w:t>
            </w:r>
            <w:r w:rsidR="005347DC">
              <w:t>Government stakeholders stated the CoOL reforms were widely considered to be a well</w:t>
            </w:r>
            <w:r w:rsidR="00534934">
              <w:t>-</w:t>
            </w:r>
            <w:r w:rsidR="005347DC">
              <w:t>implemented reform and in many respects is considered an implementation exemplar</w:t>
            </w:r>
            <w:r w:rsidR="007D52EF">
              <w:t xml:space="preserve">. (Key finding </w:t>
            </w:r>
            <w:r w:rsidR="004F668B">
              <w:t xml:space="preserve">8, </w:t>
            </w:r>
            <w:r w:rsidR="004F668B" w:rsidRPr="00237138">
              <w:t xml:space="preserve">Section </w:t>
            </w:r>
            <w:r w:rsidR="001A6034" w:rsidRPr="00237138">
              <w:t>3.2</w:t>
            </w:r>
            <w:r w:rsidR="00C93C52" w:rsidRPr="00237138">
              <w:t>)</w:t>
            </w:r>
          </w:p>
        </w:tc>
      </w:tr>
      <w:tr w:rsidR="00C80DBC" w14:paraId="042D27C8" w14:textId="77777777" w:rsidTr="00FB58D6">
        <w:tc>
          <w:tcPr>
            <w:tcW w:w="1701" w:type="dxa"/>
          </w:tcPr>
          <w:p w14:paraId="72162AC3" w14:textId="5E6CAE64" w:rsidR="00C80DBC" w:rsidRDefault="00C80DBC" w:rsidP="00C80DBC"/>
        </w:tc>
        <w:tc>
          <w:tcPr>
            <w:tcW w:w="7325" w:type="dxa"/>
          </w:tcPr>
          <w:p w14:paraId="57737A71" w14:textId="15DBACC6" w:rsidR="00C80DBC" w:rsidRPr="002D759D" w:rsidRDefault="00C80DBC" w:rsidP="00C80DBC">
            <w:r w:rsidRPr="00F977D1">
              <w:rPr>
                <w:rFonts w:asciiTheme="majorHAnsi" w:hAnsiTheme="majorHAnsi"/>
              </w:rPr>
              <w:t xml:space="preserve">In general, CoOL requirements do provide adequate flexibility for food and beverage producers to manage variations in the supply of ingredients when those variations are within a normal </w:t>
            </w:r>
            <w:r>
              <w:rPr>
                <w:rFonts w:asciiTheme="majorHAnsi" w:hAnsiTheme="majorHAnsi"/>
              </w:rPr>
              <w:t>business-as-usual</w:t>
            </w:r>
            <w:r w:rsidRPr="00F977D1">
              <w:rPr>
                <w:rFonts w:asciiTheme="majorHAnsi" w:hAnsiTheme="majorHAnsi"/>
              </w:rPr>
              <w:t xml:space="preserve"> range.</w:t>
            </w:r>
            <w:r w:rsidR="00AB1B7E">
              <w:rPr>
                <w:rFonts w:asciiTheme="majorHAnsi" w:hAnsiTheme="majorHAnsi"/>
              </w:rPr>
              <w:t xml:space="preserve"> </w:t>
            </w:r>
            <w:r w:rsidR="00AB1B7E">
              <w:t>(Key finding 4</w:t>
            </w:r>
            <w:r w:rsidR="00D0625C">
              <w:t>8</w:t>
            </w:r>
            <w:r w:rsidR="00AB1B7E">
              <w:t xml:space="preserve">, </w:t>
            </w:r>
            <w:r w:rsidR="00AB1B7E" w:rsidRPr="0051407F">
              <w:t xml:space="preserve">Section </w:t>
            </w:r>
            <w:r w:rsidR="003571FF" w:rsidRPr="00237138">
              <w:t>5.3</w:t>
            </w:r>
            <w:r w:rsidR="00AB1B7E" w:rsidRPr="00237138">
              <w:t>)</w:t>
            </w:r>
          </w:p>
        </w:tc>
      </w:tr>
      <w:tr w:rsidR="00C80DBC" w14:paraId="624B16D8" w14:textId="77777777" w:rsidTr="00FB58D6">
        <w:tc>
          <w:tcPr>
            <w:tcW w:w="1701" w:type="dxa"/>
          </w:tcPr>
          <w:p w14:paraId="0403BFE5" w14:textId="1C3C5538" w:rsidR="00C80DBC" w:rsidRDefault="00C80DBC" w:rsidP="00C80DBC"/>
        </w:tc>
        <w:tc>
          <w:tcPr>
            <w:tcW w:w="7325" w:type="dxa"/>
          </w:tcPr>
          <w:p w14:paraId="1EE56B1E" w14:textId="32DCA155" w:rsidR="00C80DBC" w:rsidRPr="008E46FB" w:rsidRDefault="00C80DBC" w:rsidP="00C80DBC">
            <w:pPr>
              <w:rPr>
                <w:rFonts w:asciiTheme="majorHAnsi" w:hAnsiTheme="majorHAnsi"/>
              </w:rPr>
            </w:pPr>
            <w:r w:rsidRPr="002D759D">
              <w:t xml:space="preserve">The current CoOL </w:t>
            </w:r>
            <w:r>
              <w:t>scheme is an improvement on the previous scheme, as it</w:t>
            </w:r>
            <w:r w:rsidRPr="002D759D">
              <w:t xml:space="preserve"> provides consumers with more information on the country of origin of their foods. However, there is still a subset of consumers who want more information on non-Australian ingredients.</w:t>
            </w:r>
            <w:r w:rsidR="00AB1B7E">
              <w:t xml:space="preserve"> (</w:t>
            </w:r>
            <w:r w:rsidR="00AB1B7E" w:rsidRPr="00237138">
              <w:t xml:space="preserve">Key finding 11, </w:t>
            </w:r>
            <w:r w:rsidR="00AB1B7E" w:rsidRPr="0051407F">
              <w:t xml:space="preserve">Section </w:t>
            </w:r>
            <w:r w:rsidR="003A5EDD" w:rsidRPr="00237138">
              <w:t>3.3</w:t>
            </w:r>
            <w:r w:rsidR="00AB1B7E" w:rsidRPr="00237138">
              <w:t>)</w:t>
            </w:r>
          </w:p>
        </w:tc>
      </w:tr>
      <w:tr w:rsidR="00C80DBC" w14:paraId="79AA59EC" w14:textId="77777777" w:rsidTr="00FB58D6">
        <w:tc>
          <w:tcPr>
            <w:tcW w:w="1701" w:type="dxa"/>
          </w:tcPr>
          <w:p w14:paraId="6D2153C4" w14:textId="0A6B1A1B" w:rsidR="00C80DBC" w:rsidRDefault="00C80DBC" w:rsidP="00C80DBC">
            <w:pPr>
              <w:rPr>
                <w:rFonts w:asciiTheme="majorHAnsi" w:hAnsiTheme="majorHAnsi"/>
              </w:rPr>
            </w:pPr>
          </w:p>
        </w:tc>
        <w:tc>
          <w:tcPr>
            <w:tcW w:w="7325" w:type="dxa"/>
          </w:tcPr>
          <w:p w14:paraId="329783DC" w14:textId="49D5473D" w:rsidR="00C80DBC" w:rsidRPr="00F977D1" w:rsidRDefault="00C80DBC" w:rsidP="00C80DBC">
            <w:pPr>
              <w:rPr>
                <w:rFonts w:asciiTheme="majorHAnsi" w:hAnsiTheme="majorHAnsi"/>
              </w:rPr>
            </w:pPr>
            <w:r w:rsidRPr="00736471">
              <w:rPr>
                <w:rFonts w:asciiTheme="majorHAnsi" w:hAnsiTheme="majorHAnsi"/>
              </w:rPr>
              <w:t xml:space="preserve">There is mixed evidence about whether consumer demands for </w:t>
            </w:r>
            <w:r w:rsidR="00B209E9">
              <w:rPr>
                <w:rFonts w:asciiTheme="majorHAnsi" w:hAnsiTheme="majorHAnsi"/>
              </w:rPr>
              <w:t>(</w:t>
            </w:r>
            <w:r w:rsidR="006C50A4">
              <w:rPr>
                <w:rFonts w:asciiTheme="majorHAnsi" w:hAnsiTheme="majorHAnsi"/>
              </w:rPr>
              <w:t xml:space="preserve">greater) </w:t>
            </w:r>
            <w:r w:rsidRPr="00736471">
              <w:rPr>
                <w:rFonts w:asciiTheme="majorHAnsi" w:hAnsiTheme="majorHAnsi"/>
              </w:rPr>
              <w:t xml:space="preserve">origin information </w:t>
            </w:r>
            <w:r w:rsidR="00316620">
              <w:rPr>
                <w:rFonts w:asciiTheme="majorHAnsi" w:hAnsiTheme="majorHAnsi"/>
              </w:rPr>
              <w:t>are</w:t>
            </w:r>
            <w:r w:rsidR="00316620" w:rsidRPr="00736471">
              <w:rPr>
                <w:rFonts w:asciiTheme="majorHAnsi" w:hAnsiTheme="majorHAnsi"/>
              </w:rPr>
              <w:t xml:space="preserve"> </w:t>
            </w:r>
            <w:r w:rsidRPr="00736471">
              <w:rPr>
                <w:rFonts w:asciiTheme="majorHAnsi" w:hAnsiTheme="majorHAnsi"/>
              </w:rPr>
              <w:t>changing. It appears most likely that for the wider population</w:t>
            </w:r>
            <w:r w:rsidR="00316620">
              <w:rPr>
                <w:rFonts w:asciiTheme="majorHAnsi" w:hAnsiTheme="majorHAnsi"/>
              </w:rPr>
              <w:t>,</w:t>
            </w:r>
            <w:r w:rsidRPr="00736471">
              <w:rPr>
                <w:rFonts w:asciiTheme="majorHAnsi" w:hAnsiTheme="majorHAnsi"/>
              </w:rPr>
              <w:t xml:space="preserve"> any change is incremental and difficult to detect in the period of time since the scheme was introduced.</w:t>
            </w:r>
            <w:r w:rsidRPr="008E46FB">
              <w:rPr>
                <w:rFonts w:asciiTheme="majorHAnsi" w:hAnsiTheme="majorHAnsi"/>
              </w:rPr>
              <w:t xml:space="preserve"> </w:t>
            </w:r>
            <w:r w:rsidR="00AB1B7E">
              <w:t xml:space="preserve">(Key finding </w:t>
            </w:r>
            <w:r w:rsidR="00D0625C">
              <w:t>39</w:t>
            </w:r>
            <w:r w:rsidR="00AB1B7E">
              <w:t xml:space="preserve">, </w:t>
            </w:r>
            <w:r w:rsidR="00AB1B7E" w:rsidRPr="0051407F">
              <w:t xml:space="preserve">Section </w:t>
            </w:r>
            <w:r w:rsidR="002E35B6" w:rsidRPr="00237138">
              <w:t>4.8</w:t>
            </w:r>
            <w:r w:rsidR="00AB1B7E" w:rsidRPr="00237138">
              <w:t>)</w:t>
            </w:r>
          </w:p>
        </w:tc>
      </w:tr>
      <w:tr w:rsidR="00110054" w14:paraId="70428160" w14:textId="77777777" w:rsidTr="00FB58D6">
        <w:tc>
          <w:tcPr>
            <w:tcW w:w="1701" w:type="dxa"/>
          </w:tcPr>
          <w:p w14:paraId="04EACBF3" w14:textId="161AC94D" w:rsidR="00110054" w:rsidRDefault="00110054" w:rsidP="00110054"/>
        </w:tc>
        <w:tc>
          <w:tcPr>
            <w:tcW w:w="7325" w:type="dxa"/>
          </w:tcPr>
          <w:p w14:paraId="3E9EE1A0" w14:textId="7BC81E77" w:rsidR="00110054" w:rsidRPr="008E46FB" w:rsidRDefault="00110054" w:rsidP="00110054">
            <w:pPr>
              <w:rPr>
                <w:rFonts w:asciiTheme="majorHAnsi" w:hAnsiTheme="majorHAnsi"/>
              </w:rPr>
            </w:pPr>
            <w:r>
              <w:rPr>
                <w:rFonts w:asciiTheme="majorHAnsi" w:hAnsiTheme="majorHAnsi"/>
              </w:rPr>
              <w:t>A</w:t>
            </w:r>
            <w:r w:rsidRPr="00E53797">
              <w:rPr>
                <w:rFonts w:asciiTheme="majorHAnsi" w:hAnsiTheme="majorHAnsi"/>
              </w:rPr>
              <w:t xml:space="preserve"> subset of consumers</w:t>
            </w:r>
            <w:r>
              <w:rPr>
                <w:rFonts w:asciiTheme="majorHAnsi" w:hAnsiTheme="majorHAnsi"/>
              </w:rPr>
              <w:t xml:space="preserve"> are more highly engaged about country of origin and</w:t>
            </w:r>
            <w:r w:rsidRPr="00E53797">
              <w:rPr>
                <w:rFonts w:asciiTheme="majorHAnsi" w:hAnsiTheme="majorHAnsi"/>
              </w:rPr>
              <w:t xml:space="preserve"> are seeking more extensive and detailed information</w:t>
            </w:r>
            <w:r>
              <w:rPr>
                <w:rFonts w:asciiTheme="majorHAnsi" w:hAnsiTheme="majorHAnsi"/>
              </w:rPr>
              <w:t xml:space="preserve"> about the origin of all ingredients</w:t>
            </w:r>
            <w:r w:rsidRPr="00E53797">
              <w:rPr>
                <w:rFonts w:asciiTheme="majorHAnsi" w:hAnsiTheme="majorHAnsi"/>
              </w:rPr>
              <w:t>.</w:t>
            </w:r>
            <w:r w:rsidR="00AB1B7E">
              <w:rPr>
                <w:rFonts w:asciiTheme="majorHAnsi" w:hAnsiTheme="majorHAnsi"/>
              </w:rPr>
              <w:t xml:space="preserve"> </w:t>
            </w:r>
            <w:r w:rsidR="00AB1B7E">
              <w:t>(Key finding 4</w:t>
            </w:r>
            <w:r w:rsidR="00D0625C">
              <w:t>0</w:t>
            </w:r>
            <w:r w:rsidR="00AB1B7E">
              <w:t xml:space="preserve">, </w:t>
            </w:r>
            <w:r w:rsidR="00AB1B7E" w:rsidRPr="0051407F">
              <w:t xml:space="preserve">Section </w:t>
            </w:r>
            <w:r w:rsidR="002E35B6" w:rsidRPr="00237138">
              <w:t>4.8</w:t>
            </w:r>
            <w:r w:rsidR="00AB1B7E" w:rsidRPr="00237138">
              <w:t>)</w:t>
            </w:r>
          </w:p>
        </w:tc>
      </w:tr>
      <w:tr w:rsidR="00110054" w14:paraId="7226D56E" w14:textId="77777777" w:rsidTr="00FB58D6">
        <w:tc>
          <w:tcPr>
            <w:tcW w:w="1701" w:type="dxa"/>
          </w:tcPr>
          <w:p w14:paraId="713138B6" w14:textId="1CA95628" w:rsidR="00110054" w:rsidRDefault="00110054" w:rsidP="00110054"/>
        </w:tc>
        <w:tc>
          <w:tcPr>
            <w:tcW w:w="7325" w:type="dxa"/>
          </w:tcPr>
          <w:p w14:paraId="0859A54B" w14:textId="275B0570" w:rsidR="00110054" w:rsidRPr="008E46FB" w:rsidRDefault="00110054" w:rsidP="00110054">
            <w:pPr>
              <w:rPr>
                <w:rFonts w:asciiTheme="majorHAnsi" w:hAnsiTheme="majorHAnsi"/>
                <w:b/>
                <w:bCs/>
              </w:rPr>
            </w:pPr>
            <w:r>
              <w:t xml:space="preserve">A range of potential improvements have been identified. However, any improvements need to be considered in the context of the scheme’s duration and with regard to overall benefit and cost. Changes to the scheme can be costly – particularly when first introduced - as they typically affect many products, businesses and consumers. </w:t>
            </w:r>
            <w:r w:rsidR="00AB1B7E">
              <w:t>(Key finding 6</w:t>
            </w:r>
            <w:r w:rsidR="00D0625C">
              <w:t>1</w:t>
            </w:r>
            <w:r w:rsidR="00AB1B7E">
              <w:t xml:space="preserve">, </w:t>
            </w:r>
            <w:r w:rsidR="00AB1B7E" w:rsidRPr="0051407F">
              <w:t xml:space="preserve">Section </w:t>
            </w:r>
            <w:r w:rsidR="009157F6" w:rsidRPr="00237138">
              <w:t>6.5</w:t>
            </w:r>
            <w:r w:rsidR="00AB1B7E" w:rsidRPr="00237138">
              <w:t>)</w:t>
            </w:r>
          </w:p>
        </w:tc>
      </w:tr>
      <w:tr w:rsidR="00110054" w14:paraId="565FA1F6" w14:textId="77777777" w:rsidTr="00FB58D6">
        <w:tc>
          <w:tcPr>
            <w:tcW w:w="1701" w:type="dxa"/>
          </w:tcPr>
          <w:p w14:paraId="7677EF1B" w14:textId="77777777" w:rsidR="00110054" w:rsidRDefault="00110054" w:rsidP="00110054"/>
        </w:tc>
        <w:tc>
          <w:tcPr>
            <w:tcW w:w="7325" w:type="dxa"/>
          </w:tcPr>
          <w:p w14:paraId="721CCFDF" w14:textId="0042871A" w:rsidR="00110054" w:rsidRPr="00ED1A5B" w:rsidRDefault="00110054" w:rsidP="00110054">
            <w:r>
              <w:rPr>
                <w:b/>
                <w:bCs/>
              </w:rPr>
              <w:t>Differentiation between priority and non-priority foods</w:t>
            </w:r>
          </w:p>
        </w:tc>
      </w:tr>
      <w:tr w:rsidR="00110054" w14:paraId="1AB4566B" w14:textId="77777777" w:rsidTr="00FB58D6">
        <w:tc>
          <w:tcPr>
            <w:tcW w:w="1701" w:type="dxa"/>
          </w:tcPr>
          <w:p w14:paraId="7231F24A" w14:textId="69EC6969" w:rsidR="00110054" w:rsidRDefault="00110054" w:rsidP="00110054"/>
        </w:tc>
        <w:tc>
          <w:tcPr>
            <w:tcW w:w="7325" w:type="dxa"/>
          </w:tcPr>
          <w:p w14:paraId="0128F10E" w14:textId="0FEDFE92" w:rsidR="00110054" w:rsidRDefault="00110054" w:rsidP="00110054">
            <w:r w:rsidRPr="00ED1A5B">
              <w:t>While there is some support from both business and consumers to remove the non-priority foods category, there are different drivers. Industry has regard to the logic of non-priority foods and whether this is sound and aligned with how business (across manufacturing and retail) understands product categories. Consumers appear to be mainly referring to the desire for consistency across all food products.</w:t>
            </w:r>
            <w:r w:rsidR="00AB1B7E">
              <w:t xml:space="preserve"> (Key finding 1</w:t>
            </w:r>
            <w:r w:rsidR="00AB1B7E" w:rsidRPr="00237138">
              <w:t xml:space="preserve">9, </w:t>
            </w:r>
            <w:r w:rsidR="00AB1B7E" w:rsidRPr="0051407F">
              <w:t xml:space="preserve">Section </w:t>
            </w:r>
            <w:r w:rsidR="00FB52FD" w:rsidRPr="00237138">
              <w:t>4.2</w:t>
            </w:r>
            <w:r w:rsidR="00AB1B7E" w:rsidRPr="00237138">
              <w:t>)</w:t>
            </w:r>
          </w:p>
        </w:tc>
      </w:tr>
      <w:tr w:rsidR="00110054" w14:paraId="4A8F8F0B" w14:textId="77777777" w:rsidTr="00FB58D6">
        <w:tc>
          <w:tcPr>
            <w:tcW w:w="1701" w:type="dxa"/>
          </w:tcPr>
          <w:p w14:paraId="1364006C" w14:textId="2D94C52D" w:rsidR="00110054" w:rsidRDefault="00110054" w:rsidP="00110054"/>
        </w:tc>
        <w:tc>
          <w:tcPr>
            <w:tcW w:w="7325" w:type="dxa"/>
          </w:tcPr>
          <w:p w14:paraId="7E70DB07" w14:textId="5B39D4EA" w:rsidR="00110054" w:rsidRDefault="00110054" w:rsidP="00110054">
            <w:r>
              <w:t>There is insufficient evidence at the present time to support the removal of the non-priority list</w:t>
            </w:r>
            <w:r w:rsidR="00EE584B">
              <w:t>,</w:t>
            </w:r>
            <w:r>
              <w:t xml:space="preserve"> given the cost of change and relatively low interest from consumers. </w:t>
            </w:r>
            <w:r w:rsidR="00AB1B7E">
              <w:t xml:space="preserve">(Key finding 20, </w:t>
            </w:r>
            <w:r w:rsidR="00AB1B7E" w:rsidRPr="0051407F">
              <w:t xml:space="preserve">Section </w:t>
            </w:r>
            <w:r w:rsidR="00FB52FD" w:rsidRPr="00237138">
              <w:t>4.2</w:t>
            </w:r>
            <w:r w:rsidR="00AB1B7E" w:rsidRPr="00237138">
              <w:t>)</w:t>
            </w:r>
          </w:p>
        </w:tc>
      </w:tr>
      <w:tr w:rsidR="00110054" w14:paraId="095CCC78" w14:textId="77777777" w:rsidTr="00FB58D6">
        <w:tc>
          <w:tcPr>
            <w:tcW w:w="1701" w:type="dxa"/>
          </w:tcPr>
          <w:p w14:paraId="65BE7006" w14:textId="3F5D15A1" w:rsidR="00110054" w:rsidRDefault="00110054" w:rsidP="00110054"/>
        </w:tc>
        <w:tc>
          <w:tcPr>
            <w:tcW w:w="7325" w:type="dxa"/>
          </w:tcPr>
          <w:p w14:paraId="55DC8EBD" w14:textId="2C59D32B" w:rsidR="00110054" w:rsidRDefault="00110054" w:rsidP="00110054">
            <w:r w:rsidRPr="00F977D1">
              <w:t xml:space="preserve">There could be a case for better aligning CoOL with established product categories if this were to ease the compliance burden while being aligned with consumer needs. </w:t>
            </w:r>
            <w:r w:rsidR="00AB1B7E">
              <w:t xml:space="preserve">(Key finding 21, </w:t>
            </w:r>
            <w:r w:rsidR="00AB1B7E" w:rsidRPr="0051407F">
              <w:t xml:space="preserve">Section </w:t>
            </w:r>
            <w:r w:rsidR="00FB52FD" w:rsidRPr="00237138">
              <w:t>4.2</w:t>
            </w:r>
            <w:r w:rsidR="00AB1B7E" w:rsidRPr="00237138">
              <w:t>)</w:t>
            </w:r>
          </w:p>
        </w:tc>
      </w:tr>
      <w:tr w:rsidR="00110054" w14:paraId="0316B312" w14:textId="77777777" w:rsidTr="00FB58D6">
        <w:tc>
          <w:tcPr>
            <w:tcW w:w="1701" w:type="dxa"/>
          </w:tcPr>
          <w:p w14:paraId="481CC8F9" w14:textId="7113A9DC" w:rsidR="00110054" w:rsidRDefault="00110054" w:rsidP="00110054"/>
        </w:tc>
        <w:tc>
          <w:tcPr>
            <w:tcW w:w="7325" w:type="dxa"/>
          </w:tcPr>
          <w:p w14:paraId="1356C6D6" w14:textId="0A7CB330" w:rsidR="00110054" w:rsidRDefault="00110054" w:rsidP="00110054">
            <w:r w:rsidRPr="002D759D">
              <w:t>Any change</w:t>
            </w:r>
            <w:r>
              <w:t xml:space="preserve"> to CoOL</w:t>
            </w:r>
            <w:r w:rsidRPr="002D759D">
              <w:t xml:space="preserve"> is likely to have significant cost implications. At this time</w:t>
            </w:r>
            <w:r w:rsidR="000F66D3">
              <w:t>,</w:t>
            </w:r>
            <w:r w:rsidRPr="002D759D">
              <w:t xml:space="preserve"> the net benefit of removing the non-priority list is likely to be marginal</w:t>
            </w:r>
            <w:r>
              <w:t xml:space="preserve"> at best</w:t>
            </w:r>
            <w:r w:rsidRPr="002D759D">
              <w:t>.</w:t>
            </w:r>
            <w:r w:rsidR="00AB1B7E">
              <w:t xml:space="preserve"> (Key finding 22</w:t>
            </w:r>
            <w:r w:rsidR="00AB1B7E" w:rsidRPr="00237138">
              <w:t xml:space="preserve">, </w:t>
            </w:r>
            <w:r w:rsidR="00AB1B7E" w:rsidRPr="0051407F">
              <w:t xml:space="preserve">Section </w:t>
            </w:r>
            <w:r w:rsidR="00FB52FD" w:rsidRPr="00237138">
              <w:t>4.2</w:t>
            </w:r>
            <w:r w:rsidR="00AB1B7E" w:rsidRPr="00237138">
              <w:t>)</w:t>
            </w:r>
          </w:p>
        </w:tc>
      </w:tr>
      <w:tr w:rsidR="00110054" w14:paraId="44F18C5C" w14:textId="77777777" w:rsidTr="00FB58D6">
        <w:tc>
          <w:tcPr>
            <w:tcW w:w="1701" w:type="dxa"/>
          </w:tcPr>
          <w:p w14:paraId="1F8AF97D" w14:textId="77777777" w:rsidR="00110054" w:rsidRDefault="00110054" w:rsidP="00110054"/>
        </w:tc>
        <w:tc>
          <w:tcPr>
            <w:tcW w:w="7325" w:type="dxa"/>
          </w:tcPr>
          <w:p w14:paraId="3191E456" w14:textId="44D607B6" w:rsidR="00110054" w:rsidRDefault="00110054" w:rsidP="00110054">
            <w:pPr>
              <w:rPr>
                <w:b/>
                <w:bCs/>
              </w:rPr>
            </w:pPr>
            <w:r>
              <w:rPr>
                <w:b/>
                <w:bCs/>
              </w:rPr>
              <w:t>CoOL requirements for o</w:t>
            </w:r>
            <w:r w:rsidRPr="00F977D1">
              <w:rPr>
                <w:b/>
                <w:bCs/>
              </w:rPr>
              <w:t>nline sales</w:t>
            </w:r>
          </w:p>
        </w:tc>
      </w:tr>
      <w:tr w:rsidR="00110054" w14:paraId="6249018B" w14:textId="77777777" w:rsidTr="00FB58D6">
        <w:tc>
          <w:tcPr>
            <w:tcW w:w="1701" w:type="dxa"/>
          </w:tcPr>
          <w:p w14:paraId="5D6765DF" w14:textId="1A685E1A" w:rsidR="00110054" w:rsidRDefault="00110054" w:rsidP="00110054"/>
        </w:tc>
        <w:tc>
          <w:tcPr>
            <w:tcW w:w="7325" w:type="dxa"/>
          </w:tcPr>
          <w:p w14:paraId="62BC0642" w14:textId="142E348F" w:rsidR="00110054" w:rsidRDefault="00110054" w:rsidP="00110054">
            <w:pPr>
              <w:rPr>
                <w:b/>
                <w:bCs/>
              </w:rPr>
            </w:pPr>
            <w:r w:rsidRPr="00F977D1">
              <w:t xml:space="preserve">There is now significant information about food being provided online, about country of origin and other aspects of food. The </w:t>
            </w:r>
            <w:r>
              <w:t>two major</w:t>
            </w:r>
            <w:r w:rsidRPr="00F977D1">
              <w:t xml:space="preserve"> retailers now provide country of origin information online for </w:t>
            </w:r>
            <w:r>
              <w:t>many</w:t>
            </w:r>
            <w:r w:rsidRPr="00F977D1">
              <w:t xml:space="preserve"> product</w:t>
            </w:r>
            <w:r>
              <w:t>s</w:t>
            </w:r>
            <w:r w:rsidRPr="00F977D1">
              <w:t>. This represents a significant proportion of all food sold online</w:t>
            </w:r>
            <w:r>
              <w:t xml:space="preserve"> in Australia</w:t>
            </w:r>
            <w:r w:rsidRPr="00F977D1">
              <w:t xml:space="preserve">. Consequently, the </w:t>
            </w:r>
            <w:r>
              <w:t>scheme</w:t>
            </w:r>
            <w:r w:rsidRPr="00F977D1">
              <w:t xml:space="preserve"> has increased the information provided online, despite it not being mandated by regulation</w:t>
            </w:r>
            <w:r>
              <w:t>.</w:t>
            </w:r>
            <w:r w:rsidR="00AB1B7E">
              <w:t xml:space="preserve"> (Key finding 31, </w:t>
            </w:r>
            <w:r w:rsidR="00AB1B7E" w:rsidRPr="0051407F">
              <w:t xml:space="preserve">Section </w:t>
            </w:r>
            <w:r w:rsidR="00F11A3B" w:rsidRPr="00237138">
              <w:t>4.5</w:t>
            </w:r>
            <w:r w:rsidR="00AB1B7E" w:rsidRPr="00237138">
              <w:t>)</w:t>
            </w:r>
          </w:p>
        </w:tc>
      </w:tr>
      <w:tr w:rsidR="00110054" w14:paraId="0F0BF533" w14:textId="77777777" w:rsidTr="00FB58D6">
        <w:tc>
          <w:tcPr>
            <w:tcW w:w="1701" w:type="dxa"/>
          </w:tcPr>
          <w:p w14:paraId="5768B74D" w14:textId="30EEC49E" w:rsidR="00110054" w:rsidRDefault="00110054" w:rsidP="00110054"/>
        </w:tc>
        <w:tc>
          <w:tcPr>
            <w:tcW w:w="7325" w:type="dxa"/>
          </w:tcPr>
          <w:p w14:paraId="674CF97C" w14:textId="3E242E87" w:rsidR="00110054" w:rsidRDefault="00110054" w:rsidP="00110054">
            <w:pPr>
              <w:rPr>
                <w:b/>
                <w:bCs/>
              </w:rPr>
            </w:pPr>
            <w:r w:rsidRPr="00006B8B">
              <w:t>If regulations were to require the provision of this information for all food sold online, this would impose a disproportionately high cost on smaller sellers because large retailers have economies of s</w:t>
            </w:r>
            <w:r>
              <w:t>c</w:t>
            </w:r>
            <w:r w:rsidRPr="00006B8B">
              <w:t>ale and generally have already made the change.</w:t>
            </w:r>
            <w:r w:rsidR="00AB1B7E">
              <w:t xml:space="preserve"> (Key findi</w:t>
            </w:r>
            <w:r w:rsidR="00AB1B7E" w:rsidRPr="00237138">
              <w:t xml:space="preserve">ng 32, </w:t>
            </w:r>
            <w:r w:rsidR="00AB1B7E" w:rsidRPr="0051407F">
              <w:t xml:space="preserve">Section </w:t>
            </w:r>
            <w:r w:rsidR="00F11A3B" w:rsidRPr="00237138">
              <w:t>4.5</w:t>
            </w:r>
            <w:r w:rsidR="00AB1B7E" w:rsidRPr="00237138">
              <w:t>)</w:t>
            </w:r>
          </w:p>
        </w:tc>
      </w:tr>
      <w:tr w:rsidR="00110054" w14:paraId="5DCFFB70" w14:textId="77777777" w:rsidTr="00FB58D6">
        <w:tc>
          <w:tcPr>
            <w:tcW w:w="1701" w:type="dxa"/>
          </w:tcPr>
          <w:p w14:paraId="77B96B92" w14:textId="52F9AB94" w:rsidR="00110054" w:rsidRDefault="00110054" w:rsidP="00110054"/>
        </w:tc>
        <w:tc>
          <w:tcPr>
            <w:tcW w:w="7325" w:type="dxa"/>
          </w:tcPr>
          <w:p w14:paraId="1F60C0C5" w14:textId="3D6C956D" w:rsidR="00110054" w:rsidRDefault="00110054" w:rsidP="00110054">
            <w:pPr>
              <w:rPr>
                <w:b/>
                <w:bCs/>
              </w:rPr>
            </w:pPr>
            <w:r w:rsidRPr="00F977D1">
              <w:t>Any expansion of the regulation to more online sales would need to provide a clear net benefit to consumers, taking account of the cost this would impose on business.</w:t>
            </w:r>
            <w:r w:rsidR="00AB1B7E">
              <w:t xml:space="preserve"> (Key finding 3</w:t>
            </w:r>
            <w:r w:rsidR="00AB1B7E" w:rsidRPr="00237138">
              <w:t xml:space="preserve">3, </w:t>
            </w:r>
            <w:r w:rsidR="00AB1B7E" w:rsidRPr="0051407F">
              <w:t xml:space="preserve">Section </w:t>
            </w:r>
            <w:r w:rsidR="00F11A3B" w:rsidRPr="00237138">
              <w:t>4.5</w:t>
            </w:r>
            <w:r w:rsidR="00AB1B7E" w:rsidRPr="00237138">
              <w:t>)</w:t>
            </w:r>
          </w:p>
        </w:tc>
      </w:tr>
      <w:tr w:rsidR="00110054" w14:paraId="4AE2831A" w14:textId="77777777" w:rsidTr="00FB58D6">
        <w:tc>
          <w:tcPr>
            <w:tcW w:w="1701" w:type="dxa"/>
          </w:tcPr>
          <w:p w14:paraId="15F9F797" w14:textId="77777777" w:rsidR="00110054" w:rsidRDefault="00110054" w:rsidP="00110054"/>
        </w:tc>
        <w:tc>
          <w:tcPr>
            <w:tcW w:w="7325" w:type="dxa"/>
          </w:tcPr>
          <w:p w14:paraId="319C0E6F" w14:textId="5E58F17D" w:rsidR="00110054" w:rsidRDefault="00110054" w:rsidP="00110054">
            <w:r>
              <w:rPr>
                <w:b/>
                <w:bCs/>
              </w:rPr>
              <w:t>Appropriateness of the exemption for foodservice</w:t>
            </w:r>
          </w:p>
        </w:tc>
      </w:tr>
      <w:tr w:rsidR="00110054" w14:paraId="287DEDAB" w14:textId="77777777" w:rsidTr="00FB58D6">
        <w:tc>
          <w:tcPr>
            <w:tcW w:w="1701" w:type="dxa"/>
          </w:tcPr>
          <w:p w14:paraId="6ECC60EC" w14:textId="4F381FDC" w:rsidR="00110054" w:rsidRDefault="00110054" w:rsidP="00110054"/>
        </w:tc>
        <w:tc>
          <w:tcPr>
            <w:tcW w:w="7325" w:type="dxa"/>
          </w:tcPr>
          <w:p w14:paraId="31AF2DD4" w14:textId="1938A585" w:rsidR="00110054" w:rsidRDefault="00110054" w:rsidP="00110054">
            <w:r w:rsidRPr="00F977D1">
              <w:t>While there may be some consumer and business benefit in providing increased country of origin information in foodservice settings</w:t>
            </w:r>
            <w:r>
              <w:t xml:space="preserve"> (e.g. restaurants and cafes)</w:t>
            </w:r>
            <w:r w:rsidRPr="00F977D1">
              <w:t>, any such proposal must be sensitive to the distinct sectors comprising foodservices.</w:t>
            </w:r>
            <w:r w:rsidR="00AB1B7E">
              <w:t xml:space="preserve"> (Key finding 23</w:t>
            </w:r>
            <w:r w:rsidR="00AB1B7E" w:rsidRPr="00237138">
              <w:t xml:space="preserve">, </w:t>
            </w:r>
            <w:r w:rsidR="00AB1B7E" w:rsidRPr="0051407F">
              <w:t xml:space="preserve">Section </w:t>
            </w:r>
            <w:r w:rsidR="0087256E" w:rsidRPr="00237138">
              <w:t>4.3</w:t>
            </w:r>
            <w:r w:rsidR="00AB1B7E" w:rsidRPr="00237138">
              <w:t>)</w:t>
            </w:r>
          </w:p>
        </w:tc>
      </w:tr>
      <w:tr w:rsidR="00110054" w14:paraId="573C8F4D" w14:textId="77777777" w:rsidTr="00FB58D6">
        <w:tc>
          <w:tcPr>
            <w:tcW w:w="1701" w:type="dxa"/>
          </w:tcPr>
          <w:p w14:paraId="02136FD3" w14:textId="372B259F" w:rsidR="00110054" w:rsidRDefault="00110054" w:rsidP="00110054"/>
        </w:tc>
        <w:tc>
          <w:tcPr>
            <w:tcW w:w="7325" w:type="dxa"/>
          </w:tcPr>
          <w:p w14:paraId="3EB595B1" w14:textId="0D4F116B" w:rsidR="00110054" w:rsidRDefault="00110054" w:rsidP="00110054">
            <w:r w:rsidRPr="00F977D1">
              <w:t>It is likely that the practical and cost considerations associated with expanding CoOL in the wider foodservices sector make it more amenable to use in the</w:t>
            </w:r>
            <w:r w:rsidR="007A76A1">
              <w:t xml:space="preserve"> fast</w:t>
            </w:r>
            <w:r w:rsidR="0051046E">
              <w:t>-</w:t>
            </w:r>
            <w:r w:rsidR="007A76A1">
              <w:t>food</w:t>
            </w:r>
            <w:r w:rsidRPr="00F977D1">
              <w:t xml:space="preserve"> sector, particularly in those businesses with a fairly standard menu across restaurants. </w:t>
            </w:r>
            <w:r>
              <w:t>However, it would be challenging to mandate CoOL only in certain types of foodservice businesses.</w:t>
            </w:r>
            <w:r w:rsidR="00AB1B7E">
              <w:t xml:space="preserve"> (Key finding </w:t>
            </w:r>
            <w:r w:rsidR="00AB1B7E" w:rsidRPr="00237138">
              <w:t xml:space="preserve">22, </w:t>
            </w:r>
            <w:r w:rsidR="00AB1B7E" w:rsidRPr="0051407F">
              <w:t xml:space="preserve">Section </w:t>
            </w:r>
            <w:r w:rsidR="008F15FD" w:rsidRPr="00237138">
              <w:t>4.2</w:t>
            </w:r>
            <w:r w:rsidR="00AB1B7E" w:rsidRPr="00237138">
              <w:t>)</w:t>
            </w:r>
          </w:p>
        </w:tc>
      </w:tr>
      <w:tr w:rsidR="00110054" w14:paraId="1DB41410" w14:textId="77777777" w:rsidTr="00FB58D6">
        <w:tc>
          <w:tcPr>
            <w:tcW w:w="1701" w:type="dxa"/>
          </w:tcPr>
          <w:p w14:paraId="4952724F" w14:textId="2D5BE261" w:rsidR="00110054" w:rsidRDefault="00110054" w:rsidP="00110054"/>
        </w:tc>
        <w:tc>
          <w:tcPr>
            <w:tcW w:w="7325" w:type="dxa"/>
          </w:tcPr>
          <w:p w14:paraId="7AF82BC5" w14:textId="1BA38EC9" w:rsidR="00110054" w:rsidRDefault="00110054" w:rsidP="00110054">
            <w:r w:rsidRPr="00F977D1">
              <w:t xml:space="preserve">The mandating of CoOL </w:t>
            </w:r>
            <w:r>
              <w:t>would not</w:t>
            </w:r>
            <w:r w:rsidRPr="00F977D1">
              <w:t xml:space="preserve"> be practical in individual cafes and restaurants if applied at the individual dish or ingredient level. </w:t>
            </w:r>
            <w:r w:rsidR="00AB1B7E">
              <w:t xml:space="preserve">(Key finding 25, </w:t>
            </w:r>
            <w:r w:rsidR="00AB1B7E" w:rsidRPr="0051407F">
              <w:t xml:space="preserve">Section </w:t>
            </w:r>
            <w:r w:rsidR="0087256E" w:rsidRPr="00237138">
              <w:t>4.3</w:t>
            </w:r>
            <w:r w:rsidR="00AB1B7E" w:rsidRPr="00237138">
              <w:t>)</w:t>
            </w:r>
          </w:p>
        </w:tc>
      </w:tr>
      <w:tr w:rsidR="00110054" w14:paraId="198E688C" w14:textId="77777777" w:rsidTr="00FB58D6">
        <w:tc>
          <w:tcPr>
            <w:tcW w:w="1701" w:type="dxa"/>
          </w:tcPr>
          <w:p w14:paraId="36A95277" w14:textId="39087908" w:rsidR="00110054" w:rsidRDefault="00110054" w:rsidP="00110054"/>
        </w:tc>
        <w:tc>
          <w:tcPr>
            <w:tcW w:w="7325" w:type="dxa"/>
          </w:tcPr>
          <w:p w14:paraId="18CD5DA6" w14:textId="758D5EC7" w:rsidR="00110054" w:rsidRDefault="00110054" w:rsidP="00110054">
            <w:r w:rsidRPr="0094635F">
              <w:t>Allowing an alternative claim</w:t>
            </w:r>
            <w:r w:rsidRPr="00F977D1">
              <w:t xml:space="preserve"> indicating the commitment of an individual foodservice business to sourcing Australian ingredients </w:t>
            </w:r>
            <w:r w:rsidRPr="0094635F">
              <w:t>might</w:t>
            </w:r>
            <w:r w:rsidRPr="00F977D1">
              <w:t xml:space="preserve"> be </w:t>
            </w:r>
            <w:r w:rsidR="00876FFB" w:rsidRPr="0094635F">
              <w:t>possible</w:t>
            </w:r>
            <w:r w:rsidR="002648D0">
              <w:t>,</w:t>
            </w:r>
            <w:r w:rsidR="00876FFB" w:rsidRPr="0094635F">
              <w:t xml:space="preserve"> but</w:t>
            </w:r>
            <w:r w:rsidRPr="0094635F">
              <w:t xml:space="preserve"> could run the risk of not</w:t>
            </w:r>
            <w:r w:rsidRPr="00F977D1">
              <w:t xml:space="preserve"> conveying accurate and useful information to consumers.</w:t>
            </w:r>
            <w:r w:rsidR="00AB1B7E">
              <w:t xml:space="preserve"> (Key finding 26, </w:t>
            </w:r>
            <w:r w:rsidR="00AB1B7E" w:rsidRPr="0051407F">
              <w:t xml:space="preserve">Section </w:t>
            </w:r>
            <w:r w:rsidR="0087256E" w:rsidRPr="00237138">
              <w:t>4.3</w:t>
            </w:r>
            <w:r w:rsidR="00AB1B7E" w:rsidRPr="00237138">
              <w:t>)</w:t>
            </w:r>
          </w:p>
        </w:tc>
      </w:tr>
      <w:tr w:rsidR="00110054" w14:paraId="759FC543" w14:textId="77777777" w:rsidTr="00FB58D6">
        <w:tc>
          <w:tcPr>
            <w:tcW w:w="1701" w:type="dxa"/>
          </w:tcPr>
          <w:p w14:paraId="3E7854CB" w14:textId="4FF75F03" w:rsidR="00110054" w:rsidRDefault="00110054" w:rsidP="00110054">
            <w:r>
              <w:t>Evidence</w:t>
            </w:r>
          </w:p>
        </w:tc>
        <w:tc>
          <w:tcPr>
            <w:tcW w:w="7325" w:type="dxa"/>
          </w:tcPr>
          <w:p w14:paraId="2959D07B" w14:textId="3B45A7EA" w:rsidR="00110054" w:rsidRDefault="007D2CA3" w:rsidP="00110054">
            <w:r>
              <w:rPr>
                <w:i/>
                <w:iCs/>
              </w:rPr>
              <w:t>The CBA report</w:t>
            </w:r>
            <w:r w:rsidR="00F546E1">
              <w:rPr>
                <w:rStyle w:val="FootnoteReference"/>
                <w:i/>
                <w:iCs/>
              </w:rPr>
              <w:footnoteReference w:id="6"/>
            </w:r>
            <w:r>
              <w:rPr>
                <w:i/>
                <w:iCs/>
              </w:rPr>
              <w:t xml:space="preserve"> forms </w:t>
            </w:r>
            <w:r w:rsidR="00E97C48">
              <w:rPr>
                <w:i/>
                <w:iCs/>
              </w:rPr>
              <w:t>one</w:t>
            </w:r>
            <w:r>
              <w:rPr>
                <w:i/>
                <w:iCs/>
              </w:rPr>
              <w:t xml:space="preserve"> part of the evidence </w:t>
            </w:r>
            <w:r w:rsidR="00E97C48">
              <w:rPr>
                <w:i/>
                <w:iCs/>
              </w:rPr>
              <w:t xml:space="preserve">base </w:t>
            </w:r>
            <w:r>
              <w:rPr>
                <w:i/>
                <w:iCs/>
              </w:rPr>
              <w:t xml:space="preserve">evaluated in making this recommendation. In addition, </w:t>
            </w:r>
            <w:r w:rsidR="00CE3C05">
              <w:rPr>
                <w:i/>
                <w:iCs/>
              </w:rPr>
              <w:t xml:space="preserve">other research considered is </w:t>
            </w:r>
            <w:r w:rsidR="004A21E1">
              <w:rPr>
                <w:i/>
                <w:iCs/>
              </w:rPr>
              <w:t xml:space="preserve">in </w:t>
            </w:r>
            <w:r w:rsidR="005F417D">
              <w:rPr>
                <w:i/>
                <w:iCs/>
              </w:rPr>
              <w:t>Section</w:t>
            </w:r>
            <w:r w:rsidR="00CE3C05">
              <w:rPr>
                <w:i/>
                <w:iCs/>
              </w:rPr>
              <w:t xml:space="preserve"> </w:t>
            </w:r>
            <w:r w:rsidR="00E60C2F">
              <w:rPr>
                <w:i/>
                <w:iCs/>
              </w:rPr>
              <w:fldChar w:fldCharType="begin"/>
            </w:r>
            <w:r w:rsidR="00E60C2F">
              <w:rPr>
                <w:i/>
                <w:iCs/>
              </w:rPr>
              <w:instrText xml:space="preserve"> REF _Ref71198324 \r \h </w:instrText>
            </w:r>
            <w:r w:rsidR="00436F0D">
              <w:rPr>
                <w:i/>
                <w:iCs/>
              </w:rPr>
              <w:instrText xml:space="preserve"> \* MERGEFORMAT </w:instrText>
            </w:r>
            <w:r w:rsidR="00E60C2F">
              <w:rPr>
                <w:i/>
                <w:iCs/>
              </w:rPr>
            </w:r>
            <w:r w:rsidR="00E60C2F">
              <w:rPr>
                <w:i/>
                <w:iCs/>
              </w:rPr>
              <w:fldChar w:fldCharType="separate"/>
            </w:r>
            <w:r w:rsidR="0017363C">
              <w:rPr>
                <w:i/>
                <w:iCs/>
              </w:rPr>
              <w:t>4.2</w:t>
            </w:r>
            <w:r w:rsidR="00E60C2F">
              <w:rPr>
                <w:i/>
                <w:iCs/>
              </w:rPr>
              <w:fldChar w:fldCharType="end"/>
            </w:r>
            <w:r w:rsidR="00C024F1">
              <w:rPr>
                <w:i/>
                <w:iCs/>
              </w:rPr>
              <w:t xml:space="preserve"> </w:t>
            </w:r>
            <w:r w:rsidR="00C024F1">
              <w:rPr>
                <w:i/>
                <w:iCs/>
              </w:rPr>
              <w:lastRenderedPageBreak/>
              <w:t xml:space="preserve">(Differentiation </w:t>
            </w:r>
            <w:r w:rsidR="00981C81">
              <w:rPr>
                <w:i/>
                <w:iCs/>
              </w:rPr>
              <w:t xml:space="preserve">between </w:t>
            </w:r>
            <w:r w:rsidR="00C024F1">
              <w:rPr>
                <w:i/>
                <w:iCs/>
              </w:rPr>
              <w:t xml:space="preserve">priority and non-priority foods), </w:t>
            </w:r>
            <w:r w:rsidR="005F417D">
              <w:rPr>
                <w:i/>
                <w:iCs/>
              </w:rPr>
              <w:t xml:space="preserve">Section </w:t>
            </w:r>
            <w:r w:rsidR="002B583F">
              <w:rPr>
                <w:i/>
                <w:iCs/>
              </w:rPr>
              <w:fldChar w:fldCharType="begin"/>
            </w:r>
            <w:r w:rsidR="002B583F">
              <w:rPr>
                <w:i/>
                <w:iCs/>
              </w:rPr>
              <w:instrText xml:space="preserve"> REF _Ref71198369 \r \h </w:instrText>
            </w:r>
            <w:r w:rsidR="00436F0D">
              <w:rPr>
                <w:i/>
                <w:iCs/>
              </w:rPr>
              <w:instrText xml:space="preserve"> \* MERGEFORMAT </w:instrText>
            </w:r>
            <w:r w:rsidR="002B583F">
              <w:rPr>
                <w:i/>
                <w:iCs/>
              </w:rPr>
            </w:r>
            <w:r w:rsidR="002B583F">
              <w:rPr>
                <w:i/>
                <w:iCs/>
              </w:rPr>
              <w:fldChar w:fldCharType="separate"/>
            </w:r>
            <w:r w:rsidR="0017363C">
              <w:rPr>
                <w:i/>
                <w:iCs/>
              </w:rPr>
              <w:t>4.5</w:t>
            </w:r>
            <w:r w:rsidR="002B583F">
              <w:rPr>
                <w:i/>
                <w:iCs/>
              </w:rPr>
              <w:fldChar w:fldCharType="end"/>
            </w:r>
            <w:r w:rsidR="00E60C2F">
              <w:rPr>
                <w:i/>
                <w:iCs/>
              </w:rPr>
              <w:t xml:space="preserve"> (CoOL requirements for online sales), </w:t>
            </w:r>
            <w:r w:rsidR="005F417D">
              <w:rPr>
                <w:i/>
                <w:iCs/>
              </w:rPr>
              <w:t>Section</w:t>
            </w:r>
            <w:r w:rsidR="002B583F">
              <w:rPr>
                <w:i/>
                <w:iCs/>
              </w:rPr>
              <w:t xml:space="preserve"> </w:t>
            </w:r>
            <w:r w:rsidR="003E01C4">
              <w:rPr>
                <w:i/>
                <w:iCs/>
              </w:rPr>
              <w:fldChar w:fldCharType="begin"/>
            </w:r>
            <w:r w:rsidR="003E01C4">
              <w:rPr>
                <w:i/>
                <w:iCs/>
              </w:rPr>
              <w:instrText xml:space="preserve"> REF _Ref71198407 \r \h </w:instrText>
            </w:r>
            <w:r w:rsidR="00436F0D">
              <w:rPr>
                <w:i/>
                <w:iCs/>
              </w:rPr>
              <w:instrText xml:space="preserve"> \* MERGEFORMAT </w:instrText>
            </w:r>
            <w:r w:rsidR="003E01C4">
              <w:rPr>
                <w:i/>
                <w:iCs/>
              </w:rPr>
            </w:r>
            <w:r w:rsidR="003E01C4">
              <w:rPr>
                <w:i/>
                <w:iCs/>
              </w:rPr>
              <w:fldChar w:fldCharType="separate"/>
            </w:r>
            <w:r w:rsidR="0017363C">
              <w:rPr>
                <w:i/>
                <w:iCs/>
              </w:rPr>
              <w:t>4.3</w:t>
            </w:r>
            <w:r w:rsidR="003E01C4">
              <w:rPr>
                <w:i/>
                <w:iCs/>
              </w:rPr>
              <w:fldChar w:fldCharType="end"/>
            </w:r>
            <w:r w:rsidR="00E60C2F">
              <w:rPr>
                <w:i/>
                <w:iCs/>
              </w:rPr>
              <w:t xml:space="preserve"> (</w:t>
            </w:r>
            <w:r w:rsidR="00981C81">
              <w:rPr>
                <w:i/>
                <w:iCs/>
              </w:rPr>
              <w:t>Foodservice exemption from the current scope of mandatory CoOL</w:t>
            </w:r>
            <w:r w:rsidR="00E60C2F">
              <w:rPr>
                <w:i/>
                <w:iCs/>
              </w:rPr>
              <w:t>)</w:t>
            </w:r>
            <w:r w:rsidR="00BB513C">
              <w:rPr>
                <w:i/>
                <w:iCs/>
              </w:rPr>
              <w:t xml:space="preserve"> and </w:t>
            </w:r>
            <w:r w:rsidR="005F417D">
              <w:rPr>
                <w:i/>
                <w:iCs/>
              </w:rPr>
              <w:t>Section</w:t>
            </w:r>
            <w:r w:rsidR="00BB513C">
              <w:rPr>
                <w:i/>
                <w:iCs/>
              </w:rPr>
              <w:t xml:space="preserve"> </w:t>
            </w:r>
            <w:r w:rsidR="00BB513C">
              <w:rPr>
                <w:i/>
                <w:iCs/>
              </w:rPr>
              <w:fldChar w:fldCharType="begin"/>
            </w:r>
            <w:r w:rsidR="00BB513C">
              <w:rPr>
                <w:i/>
                <w:iCs/>
              </w:rPr>
              <w:instrText xml:space="preserve"> REF _Ref71198993 \r \h </w:instrText>
            </w:r>
            <w:r w:rsidR="00436F0D">
              <w:rPr>
                <w:i/>
                <w:iCs/>
              </w:rPr>
              <w:instrText xml:space="preserve"> \* MERGEFORMAT </w:instrText>
            </w:r>
            <w:r w:rsidR="00BB513C">
              <w:rPr>
                <w:i/>
                <w:iCs/>
              </w:rPr>
            </w:r>
            <w:r w:rsidR="00BB513C">
              <w:rPr>
                <w:i/>
                <w:iCs/>
              </w:rPr>
              <w:fldChar w:fldCharType="separate"/>
            </w:r>
            <w:r w:rsidR="0017363C">
              <w:rPr>
                <w:i/>
                <w:iCs/>
              </w:rPr>
              <w:t>4.8</w:t>
            </w:r>
            <w:r w:rsidR="00BB513C">
              <w:rPr>
                <w:i/>
                <w:iCs/>
              </w:rPr>
              <w:fldChar w:fldCharType="end"/>
            </w:r>
            <w:r w:rsidR="006400B2">
              <w:rPr>
                <w:i/>
                <w:iCs/>
              </w:rPr>
              <w:t xml:space="preserve"> (</w:t>
            </w:r>
            <w:r w:rsidR="00646CB2">
              <w:rPr>
                <w:i/>
                <w:iCs/>
              </w:rPr>
              <w:t>C</w:t>
            </w:r>
            <w:r w:rsidR="006400B2">
              <w:rPr>
                <w:i/>
                <w:iCs/>
              </w:rPr>
              <w:t>hange in consumer demand</w:t>
            </w:r>
            <w:r w:rsidR="00646CB2">
              <w:rPr>
                <w:i/>
                <w:iCs/>
              </w:rPr>
              <w:t xml:space="preserve"> for origin information</w:t>
            </w:r>
            <w:r w:rsidR="006400B2">
              <w:rPr>
                <w:i/>
                <w:iCs/>
              </w:rPr>
              <w:t>)</w:t>
            </w:r>
            <w:r w:rsidR="00E60C2F">
              <w:rPr>
                <w:i/>
                <w:iCs/>
              </w:rPr>
              <w:t>.</w:t>
            </w:r>
          </w:p>
        </w:tc>
      </w:tr>
    </w:tbl>
    <w:p w14:paraId="5C7B04AF" w14:textId="476B4A5E" w:rsidR="001C5D20" w:rsidRPr="00F672DA" w:rsidRDefault="001C5D20" w:rsidP="00FB58D6">
      <w:pPr>
        <w:tabs>
          <w:tab w:val="right" w:pos="9026"/>
        </w:tabs>
      </w:pPr>
      <w:r w:rsidRPr="00523AB0">
        <w:rPr>
          <w:color w:val="012169" w:themeColor="accent4"/>
          <w:sz w:val="14"/>
          <w:szCs w:val="14"/>
        </w:rPr>
        <w:lastRenderedPageBreak/>
        <w:t>Source: Deloitte Access Economics.</w:t>
      </w:r>
      <w:r w:rsidR="00FB58D6">
        <w:rPr>
          <w:color w:val="75787B" w:themeColor="accent6"/>
          <w:sz w:val="14"/>
          <w:szCs w:val="14"/>
        </w:rPr>
        <w:tab/>
      </w:r>
    </w:p>
    <w:p w14:paraId="03968730" w14:textId="186A4937" w:rsidR="00E804EB" w:rsidRPr="002A281C" w:rsidRDefault="00876FFB" w:rsidP="002A281C">
      <w:pPr>
        <w:pStyle w:val="Heading2un-numbered"/>
      </w:pPr>
      <w:bookmarkStart w:id="69" w:name="_Ref71791082"/>
      <w:bookmarkStart w:id="70" w:name="_Toc72396557"/>
      <w:bookmarkStart w:id="71" w:name="_Toc94702034"/>
      <w:r w:rsidRPr="002A281C">
        <w:t xml:space="preserve">Recommendation 2: </w:t>
      </w:r>
      <w:bookmarkEnd w:id="69"/>
      <w:bookmarkEnd w:id="70"/>
      <w:r w:rsidR="003975A4" w:rsidRPr="002A281C">
        <w:t>Scope of the scheme</w:t>
      </w:r>
      <w:bookmarkEnd w:id="71"/>
    </w:p>
    <w:p w14:paraId="134A5C98" w14:textId="4E1C785A" w:rsidR="00E804EB" w:rsidRDefault="0006587A">
      <w:pPr>
        <w:pStyle w:val="ExecTableCaption"/>
      </w:pPr>
      <w:bookmarkStart w:id="72" w:name="_Toc82590393"/>
      <w:r>
        <w:t>:</w:t>
      </w:r>
      <w:r w:rsidR="0017436C">
        <w:t xml:space="preserve"> Recommendation 2</w:t>
      </w:r>
      <w:bookmarkEnd w:id="72"/>
      <w:r w:rsidR="0017436C">
        <w:t xml:space="preserve"> </w:t>
      </w:r>
    </w:p>
    <w:tbl>
      <w:tblPr>
        <w:tblStyle w:val="Deloittetable"/>
        <w:tblW w:w="0" w:type="auto"/>
        <w:tblLook w:val="04A0" w:firstRow="1" w:lastRow="0" w:firstColumn="1" w:lastColumn="0" w:noHBand="0" w:noVBand="1"/>
        <w:tblDescription w:val="This table outlines recommendation two: Retain the scheme for food and beverages only and consider any non-food items outside of this scheme."/>
      </w:tblPr>
      <w:tblGrid>
        <w:gridCol w:w="1777"/>
        <w:gridCol w:w="7249"/>
      </w:tblGrid>
      <w:tr w:rsidR="0017436C" w14:paraId="468FD03C"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598" w:type="dxa"/>
            <w:tcBorders>
              <w:top w:val="single" w:sz="24" w:space="0" w:color="012169" w:themeColor="accent4"/>
            </w:tcBorders>
          </w:tcPr>
          <w:p w14:paraId="387F2099" w14:textId="77777777" w:rsidR="0017436C" w:rsidRPr="00834C08" w:rsidRDefault="0017436C" w:rsidP="0046051D">
            <w:pPr>
              <w:rPr>
                <w:b/>
                <w:bCs/>
              </w:rPr>
            </w:pPr>
            <w:r w:rsidRPr="00834C08">
              <w:rPr>
                <w:b/>
                <w:bCs/>
              </w:rPr>
              <w:t>Recommendation</w:t>
            </w:r>
          </w:p>
        </w:tc>
        <w:tc>
          <w:tcPr>
            <w:tcW w:w="7322" w:type="dxa"/>
            <w:tcBorders>
              <w:top w:val="single" w:sz="24" w:space="0" w:color="012169" w:themeColor="accent4"/>
            </w:tcBorders>
          </w:tcPr>
          <w:p w14:paraId="3A1EB197" w14:textId="7A10D009" w:rsidR="0017436C" w:rsidRPr="00834C08" w:rsidRDefault="0040469B" w:rsidP="0046051D">
            <w:pPr>
              <w:rPr>
                <w:b/>
                <w:bCs/>
              </w:rPr>
            </w:pPr>
            <w:r w:rsidRPr="00834C08">
              <w:rPr>
                <w:b/>
                <w:bCs/>
              </w:rPr>
              <w:t>Retain the scheme for food and beverages only and consider any non-food items outside of this scheme.</w:t>
            </w:r>
          </w:p>
        </w:tc>
      </w:tr>
      <w:tr w:rsidR="0017436C" w14:paraId="72B0E930" w14:textId="77777777" w:rsidTr="009A1C2E">
        <w:tc>
          <w:tcPr>
            <w:tcW w:w="1598" w:type="dxa"/>
          </w:tcPr>
          <w:p w14:paraId="16347A98" w14:textId="77777777" w:rsidR="0017436C" w:rsidRDefault="0017436C" w:rsidP="0046051D">
            <w:r>
              <w:t>Background</w:t>
            </w:r>
          </w:p>
        </w:tc>
        <w:tc>
          <w:tcPr>
            <w:tcW w:w="7322" w:type="dxa"/>
          </w:tcPr>
          <w:p w14:paraId="764FE92A" w14:textId="3A45D4EC" w:rsidR="0017436C" w:rsidRDefault="004B5DE4" w:rsidP="0046051D">
            <w:r>
              <w:t xml:space="preserve">Since its introduction in 1994, the Australian </w:t>
            </w:r>
            <w:r w:rsidR="002B11BB">
              <w:t>CoOL</w:t>
            </w:r>
            <w:r>
              <w:t xml:space="preserve"> scheme has only ever covered food and beverages. Recently, there has been considerable interest from the cut flowers industry </w:t>
            </w:r>
            <w:r w:rsidR="00F95C6C">
              <w:t xml:space="preserve">and some departmental officials </w:t>
            </w:r>
            <w:r>
              <w:t xml:space="preserve">in </w:t>
            </w:r>
            <w:r w:rsidR="00F95C6C">
              <w:t xml:space="preserve">relation to the inclusion of cut flowers </w:t>
            </w:r>
            <w:r w:rsidR="0096682B">
              <w:t>(not food or beverage)</w:t>
            </w:r>
            <w:r w:rsidR="008C4AA7">
              <w:t xml:space="preserve"> </w:t>
            </w:r>
            <w:r w:rsidR="00FB58D6">
              <w:t>into</w:t>
            </w:r>
            <w:r w:rsidR="008C4AA7">
              <w:t xml:space="preserve"> the scheme. </w:t>
            </w:r>
            <w:r w:rsidR="0096682B">
              <w:t xml:space="preserve"> </w:t>
            </w:r>
          </w:p>
        </w:tc>
      </w:tr>
      <w:tr w:rsidR="001C5D20" w14:paraId="5AA214ED" w14:textId="77777777" w:rsidTr="009A1C2E">
        <w:tc>
          <w:tcPr>
            <w:tcW w:w="1598" w:type="dxa"/>
          </w:tcPr>
          <w:p w14:paraId="017F4182" w14:textId="50CC3D87" w:rsidR="001C5D20" w:rsidRDefault="001C5D20" w:rsidP="0046051D">
            <w:r>
              <w:t>Rationale</w:t>
            </w:r>
            <w:r w:rsidR="0096682B">
              <w:t xml:space="preserve"> for the recommendation</w:t>
            </w:r>
          </w:p>
        </w:tc>
        <w:tc>
          <w:tcPr>
            <w:tcW w:w="7322" w:type="dxa"/>
          </w:tcPr>
          <w:p w14:paraId="6167D416" w14:textId="240625C5" w:rsidR="00C407BD" w:rsidRDefault="00902F37" w:rsidP="0046051D">
            <w:r>
              <w:t>T</w:t>
            </w:r>
            <w:r w:rsidR="00D33104" w:rsidRPr="00D33104">
              <w:t>he majority of consumers did not seek country of origin information for other product types. However, there was some interest in additional information for cloth</w:t>
            </w:r>
            <w:r w:rsidR="009A1C2E">
              <w:t>ing</w:t>
            </w:r>
            <w:r w:rsidR="00D33104" w:rsidRPr="00D33104">
              <w:t xml:space="preserve"> and footwear</w:t>
            </w:r>
            <w:r w:rsidR="000103EA">
              <w:t xml:space="preserve"> (</w:t>
            </w:r>
            <w:r w:rsidR="00BC4B95">
              <w:t>12%</w:t>
            </w:r>
            <w:r w:rsidR="000103EA">
              <w:t>)</w:t>
            </w:r>
            <w:r w:rsidR="00D33104" w:rsidRPr="00D33104">
              <w:t>, electronics</w:t>
            </w:r>
            <w:r w:rsidR="00BC4B95">
              <w:t xml:space="preserve"> (8%)</w:t>
            </w:r>
            <w:r w:rsidR="00D33104" w:rsidRPr="00D33104">
              <w:t xml:space="preserve">, </w:t>
            </w:r>
            <w:r w:rsidR="00B62134">
              <w:t xml:space="preserve">kitchenware and </w:t>
            </w:r>
            <w:r w:rsidR="00D33104" w:rsidRPr="00D33104">
              <w:t>household goods</w:t>
            </w:r>
            <w:r w:rsidR="00B62134">
              <w:t xml:space="preserve"> (8%)</w:t>
            </w:r>
            <w:r w:rsidR="00D33104" w:rsidRPr="00D33104">
              <w:t xml:space="preserve">, </w:t>
            </w:r>
            <w:r w:rsidR="00EE36B1" w:rsidRPr="00424949">
              <w:rPr>
                <w:rFonts w:eastAsia="Times New Roman" w:cs="Arial"/>
                <w:kern w:val="24"/>
                <w:lang w:eastAsia="en-AU"/>
              </w:rPr>
              <w:t>medication and hygiene products (</w:t>
            </w:r>
            <w:r w:rsidR="00EE36B1">
              <w:rPr>
                <w:rFonts w:eastAsia="Times New Roman" w:cs="Arial"/>
                <w:kern w:val="24"/>
                <w:lang w:eastAsia="en-AU"/>
              </w:rPr>
              <w:t>6%</w:t>
            </w:r>
            <w:r w:rsidR="00EE36B1" w:rsidRPr="00424949">
              <w:rPr>
                <w:rFonts w:eastAsia="Times New Roman" w:cs="Arial"/>
                <w:kern w:val="24"/>
                <w:lang w:eastAsia="en-AU"/>
              </w:rPr>
              <w:t>)</w:t>
            </w:r>
            <w:r w:rsidR="00EE36B1">
              <w:rPr>
                <w:rFonts w:eastAsia="Times New Roman" w:cs="Arial"/>
                <w:kern w:val="24"/>
                <w:lang w:eastAsia="en-AU"/>
              </w:rPr>
              <w:t>,</w:t>
            </w:r>
            <w:r w:rsidR="00EE36B1" w:rsidRPr="00424949">
              <w:rPr>
                <w:rFonts w:eastAsia="Times New Roman" w:cs="Arial"/>
                <w:kern w:val="24"/>
                <w:lang w:eastAsia="en-AU"/>
              </w:rPr>
              <w:t xml:space="preserve"> </w:t>
            </w:r>
            <w:r w:rsidR="00EE36B1">
              <w:rPr>
                <w:rFonts w:eastAsia="Times New Roman" w:cs="Arial"/>
                <w:kern w:val="24"/>
                <w:lang w:eastAsia="en-AU"/>
              </w:rPr>
              <w:t xml:space="preserve">and </w:t>
            </w:r>
            <w:r w:rsidR="00EE36B1" w:rsidRPr="00424949">
              <w:rPr>
                <w:rFonts w:eastAsia="Times New Roman" w:cs="Arial"/>
                <w:kern w:val="24"/>
                <w:lang w:eastAsia="en-AU"/>
              </w:rPr>
              <w:t>beauty and cosmetic products</w:t>
            </w:r>
            <w:r w:rsidR="00EE36B1">
              <w:rPr>
                <w:rFonts w:eastAsia="Times New Roman" w:cs="Arial"/>
                <w:kern w:val="24"/>
                <w:lang w:eastAsia="en-AU"/>
              </w:rPr>
              <w:t xml:space="preserve"> </w:t>
            </w:r>
            <w:r w:rsidR="00EE36B1" w:rsidRPr="00424949">
              <w:rPr>
                <w:rFonts w:eastAsia="Times New Roman" w:cs="Arial"/>
                <w:kern w:val="24"/>
                <w:lang w:eastAsia="en-AU"/>
              </w:rPr>
              <w:t>(</w:t>
            </w:r>
            <w:r w:rsidR="00EE36B1">
              <w:rPr>
                <w:rFonts w:eastAsia="Times New Roman" w:cs="Arial"/>
                <w:kern w:val="24"/>
                <w:lang w:eastAsia="en-AU"/>
              </w:rPr>
              <w:t>6%</w:t>
            </w:r>
            <w:r w:rsidR="00EE36B1" w:rsidRPr="00424949">
              <w:rPr>
                <w:rFonts w:eastAsia="Times New Roman" w:cs="Arial"/>
                <w:kern w:val="24"/>
                <w:lang w:eastAsia="en-AU"/>
              </w:rPr>
              <w:t>)</w:t>
            </w:r>
            <w:r w:rsidR="00EE36B1">
              <w:rPr>
                <w:rFonts w:eastAsia="Times New Roman" w:cs="Arial"/>
                <w:kern w:val="24"/>
                <w:lang w:eastAsia="en-AU"/>
              </w:rPr>
              <w:t>.</w:t>
            </w:r>
          </w:p>
          <w:p w14:paraId="0A00C569" w14:textId="1AE3CDB6" w:rsidR="001C5D20" w:rsidRDefault="005A4F59" w:rsidP="006308AC">
            <w:r w:rsidRPr="005A4F59">
              <w:t xml:space="preserve">The consumer survey and consumer focus groups did not indicate that consumers sought country of origin information on cut flowers. However, the cut flower industry has argued that there is imperfect information in the sector. This may explain the results of the survey and indicates a need for the sector to address the current information failure. </w:t>
            </w:r>
            <w:r>
              <w:t>It</w:t>
            </w:r>
            <w:r w:rsidRPr="005A4F59">
              <w:t xml:space="preserve"> does not</w:t>
            </w:r>
            <w:r>
              <w:t>, however,</w:t>
            </w:r>
            <w:r w:rsidRPr="005A4F59">
              <w:t xml:space="preserve"> mean that a food</w:t>
            </w:r>
            <w:r w:rsidR="00F74753">
              <w:t>-</w:t>
            </w:r>
            <w:r w:rsidRPr="005A4F59">
              <w:t>based regulatory scheme should be expanded to address it.</w:t>
            </w:r>
          </w:p>
        </w:tc>
      </w:tr>
      <w:tr w:rsidR="0017436C" w14:paraId="25656DE4" w14:textId="77777777" w:rsidTr="002A1C2D">
        <w:trPr>
          <w:trHeight w:val="534"/>
        </w:trPr>
        <w:tc>
          <w:tcPr>
            <w:tcW w:w="1598" w:type="dxa"/>
          </w:tcPr>
          <w:p w14:paraId="07EEDD3D" w14:textId="77777777" w:rsidR="0017436C" w:rsidRPr="00E129F6" w:rsidRDefault="0017436C" w:rsidP="0046051D">
            <w:pPr>
              <w:rPr>
                <w:b/>
                <w:bCs/>
              </w:rPr>
            </w:pPr>
            <w:r w:rsidRPr="00E129F6">
              <w:rPr>
                <w:b/>
                <w:bCs/>
              </w:rPr>
              <w:t>Key Findings</w:t>
            </w:r>
          </w:p>
        </w:tc>
        <w:tc>
          <w:tcPr>
            <w:tcW w:w="7322" w:type="dxa"/>
          </w:tcPr>
          <w:p w14:paraId="71AA17F1" w14:textId="77777777" w:rsidR="0017436C" w:rsidRDefault="0017436C" w:rsidP="0046051D"/>
        </w:tc>
      </w:tr>
      <w:tr w:rsidR="001323E1" w14:paraId="520E8415" w14:textId="77777777" w:rsidTr="002A1C2D">
        <w:trPr>
          <w:trHeight w:val="1436"/>
        </w:trPr>
        <w:tc>
          <w:tcPr>
            <w:tcW w:w="1598" w:type="dxa"/>
          </w:tcPr>
          <w:p w14:paraId="5DF39162" w14:textId="30577C1C" w:rsidR="001323E1" w:rsidRDefault="001323E1" w:rsidP="001323E1"/>
        </w:tc>
        <w:tc>
          <w:tcPr>
            <w:tcW w:w="7322" w:type="dxa"/>
          </w:tcPr>
          <w:p w14:paraId="641D45E0" w14:textId="1A778586" w:rsidR="001323E1" w:rsidRPr="00237138" w:rsidRDefault="001323E1" w:rsidP="001323E1">
            <w:r w:rsidRPr="00237138">
              <w:rPr>
                <w:rFonts w:asciiTheme="majorHAnsi" w:hAnsiTheme="majorHAnsi"/>
                <w:lang w:eastAsia="en-AU"/>
              </w:rPr>
              <w:t xml:space="preserve">The majority of consumers did not seek country of origin information for other product types. </w:t>
            </w:r>
            <w:r w:rsidR="00971F4B" w:rsidRPr="00D33104">
              <w:t>However, there was some interest in additional information for cloth</w:t>
            </w:r>
            <w:r w:rsidR="00971F4B">
              <w:t>ing</w:t>
            </w:r>
            <w:r w:rsidR="00971F4B" w:rsidRPr="00D33104">
              <w:t xml:space="preserve"> and footwear, electronics, </w:t>
            </w:r>
            <w:r w:rsidR="00971F4B">
              <w:t xml:space="preserve">kitchenware and </w:t>
            </w:r>
            <w:r w:rsidR="00971F4B" w:rsidRPr="00D33104">
              <w:t>household goods</w:t>
            </w:r>
            <w:r w:rsidR="00971F4B">
              <w:t xml:space="preserve"> </w:t>
            </w:r>
            <w:r w:rsidR="00971F4B" w:rsidRPr="00D33104">
              <w:t xml:space="preserve">, </w:t>
            </w:r>
            <w:r w:rsidR="00971F4B" w:rsidRPr="00424949">
              <w:rPr>
                <w:rFonts w:eastAsia="Times New Roman" w:cs="Arial"/>
                <w:kern w:val="24"/>
                <w:lang w:eastAsia="en-AU"/>
              </w:rPr>
              <w:t>medication and hygiene products</w:t>
            </w:r>
            <w:r w:rsidR="00971F4B">
              <w:rPr>
                <w:rFonts w:eastAsia="Times New Roman" w:cs="Arial"/>
                <w:kern w:val="24"/>
                <w:lang w:eastAsia="en-AU"/>
              </w:rPr>
              <w:t>,</w:t>
            </w:r>
            <w:r w:rsidR="00971F4B" w:rsidRPr="00424949">
              <w:rPr>
                <w:rFonts w:eastAsia="Times New Roman" w:cs="Arial"/>
                <w:kern w:val="24"/>
                <w:lang w:eastAsia="en-AU"/>
              </w:rPr>
              <w:t xml:space="preserve"> </w:t>
            </w:r>
            <w:r w:rsidR="00971F4B">
              <w:rPr>
                <w:rFonts w:eastAsia="Times New Roman" w:cs="Arial"/>
                <w:kern w:val="24"/>
                <w:lang w:eastAsia="en-AU"/>
              </w:rPr>
              <w:t xml:space="preserve">and </w:t>
            </w:r>
            <w:r w:rsidR="00971F4B" w:rsidRPr="00424949">
              <w:rPr>
                <w:rFonts w:eastAsia="Times New Roman" w:cs="Arial"/>
                <w:kern w:val="24"/>
                <w:lang w:eastAsia="en-AU"/>
              </w:rPr>
              <w:t>beauty and cosmetic products</w:t>
            </w:r>
            <w:r w:rsidR="006D0EFB">
              <w:rPr>
                <w:rFonts w:eastAsia="Times New Roman" w:cs="Arial"/>
                <w:kern w:val="24"/>
                <w:lang w:eastAsia="en-AU"/>
              </w:rPr>
              <w:t>.</w:t>
            </w:r>
            <w:r w:rsidR="00971F4B">
              <w:rPr>
                <w:rFonts w:eastAsia="Times New Roman" w:cs="Arial"/>
                <w:kern w:val="24"/>
                <w:lang w:eastAsia="en-AU"/>
              </w:rPr>
              <w:t xml:space="preserve"> </w:t>
            </w:r>
            <w:r w:rsidR="00AB1B7E" w:rsidRPr="00237138">
              <w:t>(Key finding 3</w:t>
            </w:r>
            <w:r w:rsidR="00C3047D">
              <w:t>5</w:t>
            </w:r>
            <w:r w:rsidR="00AB1B7E" w:rsidRPr="00237138">
              <w:t xml:space="preserve">, </w:t>
            </w:r>
            <w:r w:rsidR="00AB1B7E" w:rsidRPr="0051407F">
              <w:t xml:space="preserve">Section </w:t>
            </w:r>
            <w:r w:rsidR="0064057C" w:rsidRPr="00237138">
              <w:t>4.7</w:t>
            </w:r>
            <w:r w:rsidR="00AB1B7E" w:rsidRPr="00237138">
              <w:t>)</w:t>
            </w:r>
            <w:r w:rsidRPr="00237138">
              <w:rPr>
                <w:rFonts w:asciiTheme="majorHAnsi" w:hAnsiTheme="majorHAnsi"/>
                <w:lang w:eastAsia="en-AU"/>
              </w:rPr>
              <w:t xml:space="preserve"> </w:t>
            </w:r>
          </w:p>
        </w:tc>
      </w:tr>
      <w:tr w:rsidR="001323E1" w14:paraId="0BC66D9A" w14:textId="77777777" w:rsidTr="009A1C2E">
        <w:tc>
          <w:tcPr>
            <w:tcW w:w="1598" w:type="dxa"/>
          </w:tcPr>
          <w:p w14:paraId="44467AF7" w14:textId="764A1375" w:rsidR="001323E1" w:rsidRDefault="001323E1" w:rsidP="001323E1"/>
        </w:tc>
        <w:tc>
          <w:tcPr>
            <w:tcW w:w="7322" w:type="dxa"/>
          </w:tcPr>
          <w:p w14:paraId="5EE82AFF" w14:textId="2917D70F" w:rsidR="001323E1" w:rsidRPr="00237138" w:rsidRDefault="001323E1" w:rsidP="001323E1">
            <w:r w:rsidRPr="00237138">
              <w:t xml:space="preserve">The consumer survey and consumer focus groups did not indicate that consumers sought country of origin information on cut flowers. However, the cut flower industry has argued that there is imperfect information in the sector. </w:t>
            </w:r>
            <w:r w:rsidR="00AB1B7E" w:rsidRPr="00237138">
              <w:t>(Key finding 3</w:t>
            </w:r>
            <w:r w:rsidR="00E40E2F">
              <w:t>6</w:t>
            </w:r>
            <w:r w:rsidR="00AB1B7E" w:rsidRPr="00237138">
              <w:t xml:space="preserve">, </w:t>
            </w:r>
            <w:r w:rsidR="00AB1B7E" w:rsidRPr="0051407F">
              <w:t xml:space="preserve">Section </w:t>
            </w:r>
            <w:r w:rsidR="0064057C" w:rsidRPr="00237138">
              <w:t>4.7</w:t>
            </w:r>
            <w:r w:rsidR="00AB1B7E" w:rsidRPr="00237138">
              <w:t>)</w:t>
            </w:r>
          </w:p>
        </w:tc>
      </w:tr>
      <w:tr w:rsidR="001323E1" w14:paraId="49B326DD" w14:textId="77777777" w:rsidTr="009A1C2E">
        <w:tc>
          <w:tcPr>
            <w:tcW w:w="1598" w:type="dxa"/>
          </w:tcPr>
          <w:p w14:paraId="0DCF15F8" w14:textId="12D96F09" w:rsidR="001323E1" w:rsidRDefault="001323E1" w:rsidP="001323E1"/>
        </w:tc>
        <w:tc>
          <w:tcPr>
            <w:tcW w:w="7322" w:type="dxa"/>
          </w:tcPr>
          <w:p w14:paraId="5C8A88E8" w14:textId="732FF2E4" w:rsidR="001323E1" w:rsidRPr="00237138" w:rsidRDefault="001323E1">
            <w:r w:rsidRPr="00237138">
              <w:rPr>
                <w:rFonts w:asciiTheme="majorHAnsi" w:hAnsiTheme="majorHAnsi"/>
                <w:lang w:eastAsia="en-AU"/>
              </w:rPr>
              <w:t xml:space="preserve">There may be a need for the sector to address issues associated with pest and chemical residue on imported cut flowers. However, the existing CoOL scheme is unlikely to be the best instrument to address these issues, and inclusion of cut </w:t>
            </w:r>
            <w:r w:rsidRPr="00237138">
              <w:rPr>
                <w:rFonts w:asciiTheme="majorHAnsi" w:hAnsiTheme="majorHAnsi"/>
                <w:lang w:eastAsia="en-AU"/>
              </w:rPr>
              <w:lastRenderedPageBreak/>
              <w:t>flowers in the existing CoOL scheme could impose significant costs on the industry. </w:t>
            </w:r>
            <w:r w:rsidR="003109A0" w:rsidRPr="00237138">
              <w:t xml:space="preserve">Instead, the issues of pest and chemical residue should be managed directly through DAWE. </w:t>
            </w:r>
            <w:r w:rsidR="00AB1B7E" w:rsidRPr="00237138">
              <w:t>(Key finding 3</w:t>
            </w:r>
            <w:r w:rsidR="00E40E2F">
              <w:t>7</w:t>
            </w:r>
            <w:r w:rsidR="00AB1B7E" w:rsidRPr="00237138">
              <w:t xml:space="preserve">, </w:t>
            </w:r>
            <w:r w:rsidR="00AB1B7E" w:rsidRPr="0051407F">
              <w:t xml:space="preserve">Section </w:t>
            </w:r>
            <w:r w:rsidR="0064057C" w:rsidRPr="00237138">
              <w:t>4.7</w:t>
            </w:r>
            <w:r w:rsidR="00AB1B7E" w:rsidRPr="00237138">
              <w:t>)</w:t>
            </w:r>
          </w:p>
        </w:tc>
      </w:tr>
      <w:tr w:rsidR="001323E1" w14:paraId="6C520EE9" w14:textId="77777777" w:rsidTr="009A1C2E">
        <w:tc>
          <w:tcPr>
            <w:tcW w:w="1598" w:type="dxa"/>
          </w:tcPr>
          <w:p w14:paraId="7639A67E" w14:textId="3A8565BD" w:rsidR="001323E1" w:rsidRDefault="001323E1" w:rsidP="001323E1"/>
        </w:tc>
        <w:tc>
          <w:tcPr>
            <w:tcW w:w="7322" w:type="dxa"/>
          </w:tcPr>
          <w:p w14:paraId="1CB524D0" w14:textId="5B94B71C" w:rsidR="00F47D36" w:rsidRPr="00237138" w:rsidRDefault="00F47D36" w:rsidP="001323E1">
            <w:r w:rsidRPr="00237138">
              <w:rPr>
                <w:rFonts w:asciiTheme="majorHAnsi" w:hAnsiTheme="majorHAnsi"/>
                <w:lang w:eastAsia="en-AU"/>
              </w:rPr>
              <w:t>In relation to origin information, the Australian Government should note the potential use of a voluntary industry-based scheme</w:t>
            </w:r>
            <w:r w:rsidR="000D2276" w:rsidRPr="00237138">
              <w:rPr>
                <w:rFonts w:asciiTheme="majorHAnsi" w:hAnsiTheme="majorHAnsi"/>
                <w:lang w:eastAsia="en-AU"/>
              </w:rPr>
              <w:t>,</w:t>
            </w:r>
            <w:r w:rsidRPr="00237138">
              <w:rPr>
                <w:rFonts w:asciiTheme="majorHAnsi" w:hAnsiTheme="majorHAnsi"/>
                <w:lang w:eastAsia="en-AU"/>
              </w:rPr>
              <w:t xml:space="preserve"> such as voluntary certification or a trademark arrangement similar to the NSW Flower Growers Group trademark as a possible lower cost alternative to mandatory regulation.</w:t>
            </w:r>
            <w:r w:rsidRPr="00237138">
              <w:t> </w:t>
            </w:r>
            <w:r w:rsidR="00AB1B7E" w:rsidRPr="00237138">
              <w:t>(Key finding 3</w:t>
            </w:r>
            <w:r w:rsidR="00E40E2F">
              <w:t>8</w:t>
            </w:r>
            <w:r w:rsidR="00AB1B7E" w:rsidRPr="00237138">
              <w:t xml:space="preserve">, </w:t>
            </w:r>
            <w:r w:rsidR="00AB1B7E" w:rsidRPr="0051407F">
              <w:t xml:space="preserve">Section </w:t>
            </w:r>
            <w:r w:rsidR="0064057C" w:rsidRPr="00237138">
              <w:t>4.7</w:t>
            </w:r>
            <w:r w:rsidR="00AB1B7E" w:rsidRPr="00237138">
              <w:t>)</w:t>
            </w:r>
          </w:p>
        </w:tc>
      </w:tr>
      <w:tr w:rsidR="001323E1" w14:paraId="27295283" w14:textId="77777777" w:rsidTr="009A1C2E">
        <w:tc>
          <w:tcPr>
            <w:tcW w:w="1598" w:type="dxa"/>
          </w:tcPr>
          <w:p w14:paraId="51E02F2A" w14:textId="6B46743F" w:rsidR="001323E1" w:rsidRDefault="001323E1" w:rsidP="001323E1">
            <w:r>
              <w:t>Evidence</w:t>
            </w:r>
          </w:p>
        </w:tc>
        <w:tc>
          <w:tcPr>
            <w:tcW w:w="7322" w:type="dxa"/>
          </w:tcPr>
          <w:p w14:paraId="207E44FD" w14:textId="27637679" w:rsidR="001323E1" w:rsidRDefault="0096682B" w:rsidP="001323E1">
            <w:r>
              <w:rPr>
                <w:i/>
                <w:iCs/>
              </w:rPr>
              <w:t xml:space="preserve">The evidence for this recommendation is contained in </w:t>
            </w:r>
            <w:r w:rsidR="005F417D">
              <w:rPr>
                <w:i/>
                <w:iCs/>
              </w:rPr>
              <w:t>Section</w:t>
            </w:r>
            <w:r w:rsidR="009E7A97">
              <w:rPr>
                <w:i/>
                <w:iCs/>
              </w:rPr>
              <w:t xml:space="preserve"> </w:t>
            </w:r>
            <w:r w:rsidR="00204DDD">
              <w:rPr>
                <w:i/>
                <w:iCs/>
              </w:rPr>
              <w:fldChar w:fldCharType="begin"/>
            </w:r>
            <w:r w:rsidR="00204DDD">
              <w:rPr>
                <w:i/>
                <w:iCs/>
              </w:rPr>
              <w:instrText xml:space="preserve"> REF _Ref71199989 \r \h </w:instrText>
            </w:r>
            <w:r w:rsidR="004D3EDC">
              <w:rPr>
                <w:i/>
                <w:iCs/>
              </w:rPr>
              <w:instrText xml:space="preserve"> \* MERGEFORMAT </w:instrText>
            </w:r>
            <w:r w:rsidR="00204DDD">
              <w:rPr>
                <w:i/>
                <w:iCs/>
              </w:rPr>
            </w:r>
            <w:r w:rsidR="00204DDD">
              <w:rPr>
                <w:i/>
                <w:iCs/>
              </w:rPr>
              <w:fldChar w:fldCharType="separate"/>
            </w:r>
            <w:r w:rsidR="0017363C">
              <w:rPr>
                <w:i/>
                <w:iCs/>
              </w:rPr>
              <w:t>4.7</w:t>
            </w:r>
            <w:r w:rsidR="00204DDD">
              <w:rPr>
                <w:i/>
                <w:iCs/>
              </w:rPr>
              <w:fldChar w:fldCharType="end"/>
            </w:r>
            <w:r w:rsidR="00864027">
              <w:rPr>
                <w:i/>
                <w:iCs/>
              </w:rPr>
              <w:t xml:space="preserve"> and discussed </w:t>
            </w:r>
            <w:r w:rsidR="00191DE8">
              <w:rPr>
                <w:i/>
                <w:iCs/>
              </w:rPr>
              <w:t>in detail in the CBA report</w:t>
            </w:r>
            <w:r w:rsidR="00AA6DA4">
              <w:rPr>
                <w:rStyle w:val="FootnoteReference"/>
                <w:i/>
                <w:iCs/>
              </w:rPr>
              <w:footnoteReference w:id="7"/>
            </w:r>
            <w:r w:rsidR="006308AC">
              <w:rPr>
                <w:i/>
                <w:iCs/>
              </w:rPr>
              <w:t>.</w:t>
            </w:r>
          </w:p>
        </w:tc>
      </w:tr>
    </w:tbl>
    <w:p w14:paraId="766F8CCE" w14:textId="77777777" w:rsidR="001C5D20" w:rsidRPr="00F672DA" w:rsidRDefault="001C5D20" w:rsidP="001C5D20">
      <w:r w:rsidRPr="00523AB0">
        <w:rPr>
          <w:color w:val="012169" w:themeColor="accent4"/>
          <w:sz w:val="14"/>
          <w:szCs w:val="14"/>
        </w:rPr>
        <w:t>Source: Deloitte Access Economics.</w:t>
      </w:r>
    </w:p>
    <w:p w14:paraId="5119E592" w14:textId="60BED417" w:rsidR="005B553A" w:rsidRPr="002A281C" w:rsidRDefault="00876FFB" w:rsidP="002A281C">
      <w:pPr>
        <w:pStyle w:val="Heading2un-numbered"/>
      </w:pPr>
      <w:bookmarkStart w:id="73" w:name="_Toc72396558"/>
      <w:bookmarkStart w:id="74" w:name="_Toc94702035"/>
      <w:r w:rsidRPr="002A281C">
        <w:t xml:space="preserve">Recommendation 3: </w:t>
      </w:r>
      <w:bookmarkEnd w:id="73"/>
      <w:r w:rsidR="00456ADA" w:rsidRPr="002A281C">
        <w:t>U</w:t>
      </w:r>
      <w:r w:rsidR="00604C46" w:rsidRPr="002A281C">
        <w:t>nderstanding and impact</w:t>
      </w:r>
      <w:bookmarkEnd w:id="74"/>
    </w:p>
    <w:p w14:paraId="165065D8" w14:textId="0597BC14" w:rsidR="00E53976" w:rsidRDefault="0006587A">
      <w:pPr>
        <w:pStyle w:val="ExecTableCaption"/>
      </w:pPr>
      <w:bookmarkStart w:id="75" w:name="_Toc82590394"/>
      <w:r>
        <w:t>: Recommendation 3</w:t>
      </w:r>
      <w:bookmarkEnd w:id="75"/>
    </w:p>
    <w:tbl>
      <w:tblPr>
        <w:tblStyle w:val="Deloittetable"/>
        <w:tblW w:w="0" w:type="auto"/>
        <w:tblLook w:val="04A0" w:firstRow="1" w:lastRow="0" w:firstColumn="1" w:lastColumn="0" w:noHBand="0" w:noVBand="1"/>
        <w:tblDescription w:val="This table outlines recommendation 3: Increase awareness and understanding of CoOL among consumers and businesses at risk of low compliance. "/>
      </w:tblPr>
      <w:tblGrid>
        <w:gridCol w:w="1843"/>
        <w:gridCol w:w="7183"/>
      </w:tblGrid>
      <w:tr w:rsidR="0013267D" w14:paraId="6241EEB3"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24" w:space="0" w:color="012169" w:themeColor="accent4"/>
            </w:tcBorders>
          </w:tcPr>
          <w:p w14:paraId="3DCA80CA" w14:textId="77777777" w:rsidR="0013267D" w:rsidRPr="00834C08" w:rsidRDefault="0013267D" w:rsidP="0046051D">
            <w:pPr>
              <w:rPr>
                <w:b/>
                <w:bCs/>
              </w:rPr>
            </w:pPr>
            <w:r w:rsidRPr="00834C08">
              <w:rPr>
                <w:b/>
                <w:bCs/>
              </w:rPr>
              <w:t>Recommendation</w:t>
            </w:r>
          </w:p>
        </w:tc>
        <w:tc>
          <w:tcPr>
            <w:tcW w:w="7183" w:type="dxa"/>
            <w:tcBorders>
              <w:top w:val="single" w:sz="24" w:space="0" w:color="012169" w:themeColor="accent4"/>
            </w:tcBorders>
          </w:tcPr>
          <w:p w14:paraId="197CC298" w14:textId="5F0FBC6E" w:rsidR="0013267D" w:rsidRPr="00834C08" w:rsidRDefault="00934C9F" w:rsidP="0046051D">
            <w:pPr>
              <w:rPr>
                <w:b/>
                <w:bCs/>
              </w:rPr>
            </w:pPr>
            <w:r w:rsidRPr="00934C9F" w:rsidDel="003E7D2E">
              <w:rPr>
                <w:b/>
                <w:bCs/>
              </w:rPr>
              <w:t xml:space="preserve">Increase awareness and understanding of </w:t>
            </w:r>
            <w:r w:rsidRPr="00934C9F">
              <w:rPr>
                <w:b/>
                <w:bCs/>
              </w:rPr>
              <w:t>CoOL</w:t>
            </w:r>
            <w:r w:rsidRPr="00934C9F" w:rsidDel="003E7D2E">
              <w:rPr>
                <w:b/>
                <w:bCs/>
              </w:rPr>
              <w:t xml:space="preserve"> </w:t>
            </w:r>
            <w:r w:rsidRPr="00934C9F">
              <w:rPr>
                <w:b/>
                <w:bCs/>
              </w:rPr>
              <w:t>among consumers and businesses at risk of low compliance</w:t>
            </w:r>
            <w:r>
              <w:rPr>
                <w:b/>
                <w:bCs/>
              </w:rPr>
              <w:t xml:space="preserve"> </w:t>
            </w:r>
            <w:r w:rsidR="00E31B80" w:rsidRPr="00834C08">
              <w:rPr>
                <w:b/>
                <w:bCs/>
              </w:rPr>
              <w:t xml:space="preserve">through a time </w:t>
            </w:r>
            <w:r w:rsidR="001F18ED">
              <w:rPr>
                <w:b/>
                <w:bCs/>
              </w:rPr>
              <w:t>-</w:t>
            </w:r>
            <w:r w:rsidR="00E31B80" w:rsidRPr="00834C08">
              <w:rPr>
                <w:b/>
                <w:bCs/>
              </w:rPr>
              <w:t>limited information campaign that utilises social media along with other methods of communication, as appropriate.</w:t>
            </w:r>
          </w:p>
        </w:tc>
      </w:tr>
      <w:tr w:rsidR="0013267D" w14:paraId="477F02DB" w14:textId="77777777" w:rsidTr="00834C08">
        <w:tc>
          <w:tcPr>
            <w:tcW w:w="1843" w:type="dxa"/>
          </w:tcPr>
          <w:p w14:paraId="166F2CAF" w14:textId="77777777" w:rsidR="0013267D" w:rsidRDefault="0013267D" w:rsidP="0046051D">
            <w:r>
              <w:t>Background</w:t>
            </w:r>
          </w:p>
        </w:tc>
        <w:tc>
          <w:tcPr>
            <w:tcW w:w="7183" w:type="dxa"/>
          </w:tcPr>
          <w:p w14:paraId="4211FF61" w14:textId="4AA99514" w:rsidR="0013267D" w:rsidRDefault="002A35A5" w:rsidP="0046051D">
            <w:r w:rsidRPr="002A35A5">
              <w:t>Various communication activities were undertaken in 2016 when the changes to the CoOL requirements were introduced</w:t>
            </w:r>
            <w:r>
              <w:t xml:space="preserve">, including </w:t>
            </w:r>
            <w:r w:rsidRPr="002A35A5">
              <w:t>TV campaigns, radio campaigns, print campaigns and in-store demonstrations, as well as various online resources on CoOL.</w:t>
            </w:r>
          </w:p>
        </w:tc>
      </w:tr>
      <w:tr w:rsidR="0096682B" w14:paraId="5F61C284" w14:textId="77777777" w:rsidTr="001966FE">
        <w:tc>
          <w:tcPr>
            <w:tcW w:w="1843" w:type="dxa"/>
          </w:tcPr>
          <w:p w14:paraId="67C97C7B" w14:textId="44703E69" w:rsidR="0096682B" w:rsidRDefault="0096682B" w:rsidP="0046051D">
            <w:r>
              <w:t>Rationale for the recommendation</w:t>
            </w:r>
          </w:p>
        </w:tc>
        <w:tc>
          <w:tcPr>
            <w:tcW w:w="7183" w:type="dxa"/>
          </w:tcPr>
          <w:p w14:paraId="37B96B9A" w14:textId="5DC95432" w:rsidR="00635032" w:rsidRDefault="00972EB3" w:rsidP="00237138">
            <w:r w:rsidRPr="00972EB3">
              <w:t>The CoOL reforms are almost certain to have improved consumer understanding about the origins of their food to some degree.</w:t>
            </w:r>
            <w:r w:rsidR="00E6209B">
              <w:t xml:space="preserve"> </w:t>
            </w:r>
            <w:r w:rsidR="00E6209B" w:rsidRPr="00E6209B">
              <w:t>However, significant areas of uncertainty remain, driven in part by factors that are a legacy of the previous scheme and partly by the variability in consumer preferences and interpretation of the information provided.</w:t>
            </w:r>
            <w:r w:rsidR="00E6209B">
              <w:t xml:space="preserve"> CBA results</w:t>
            </w:r>
            <w:r w:rsidR="009D3FB6">
              <w:rPr>
                <w:rStyle w:val="FootnoteReference"/>
              </w:rPr>
              <w:footnoteReference w:id="8"/>
            </w:r>
            <w:r w:rsidR="00E6209B">
              <w:t xml:space="preserve"> indicate </w:t>
            </w:r>
            <w:r w:rsidR="008F09CD">
              <w:t xml:space="preserve">a strong return on investment for a </w:t>
            </w:r>
            <w:r w:rsidR="00F26E21">
              <w:t xml:space="preserve">consumer education and awareness campaign. </w:t>
            </w:r>
            <w:r w:rsidR="00635032">
              <w:t xml:space="preserve">Independent </w:t>
            </w:r>
            <w:r w:rsidR="00F5290F">
              <w:t>supermarkets and meat and seafood retailers have lower compliance rates</w:t>
            </w:r>
            <w:r w:rsidR="00B6149D">
              <w:t xml:space="preserve">, </w:t>
            </w:r>
            <w:r w:rsidR="00573745">
              <w:t xml:space="preserve">and may benefit from increased awareness and understanding of CoOL requirements. </w:t>
            </w:r>
          </w:p>
        </w:tc>
      </w:tr>
      <w:tr w:rsidR="0013267D" w14:paraId="5D12816C" w14:textId="77777777" w:rsidTr="00834C08">
        <w:tc>
          <w:tcPr>
            <w:tcW w:w="1843" w:type="dxa"/>
          </w:tcPr>
          <w:p w14:paraId="6E9D647F" w14:textId="77777777" w:rsidR="0013267D" w:rsidRPr="002A5A76" w:rsidRDefault="0013267D" w:rsidP="0046051D">
            <w:pPr>
              <w:rPr>
                <w:b/>
                <w:bCs/>
              </w:rPr>
            </w:pPr>
            <w:r w:rsidRPr="002A5A76">
              <w:rPr>
                <w:b/>
                <w:bCs/>
              </w:rPr>
              <w:t>Key Findings</w:t>
            </w:r>
          </w:p>
        </w:tc>
        <w:tc>
          <w:tcPr>
            <w:tcW w:w="7183" w:type="dxa"/>
          </w:tcPr>
          <w:p w14:paraId="27254D48" w14:textId="77777777" w:rsidR="0013267D" w:rsidRPr="002A5A76" w:rsidRDefault="0013267D" w:rsidP="0046051D">
            <w:pPr>
              <w:rPr>
                <w:b/>
                <w:bCs/>
              </w:rPr>
            </w:pPr>
          </w:p>
        </w:tc>
      </w:tr>
      <w:tr w:rsidR="00F17447" w14:paraId="41F9B4B4" w14:textId="77777777" w:rsidTr="001966FE">
        <w:tc>
          <w:tcPr>
            <w:tcW w:w="1843" w:type="dxa"/>
          </w:tcPr>
          <w:p w14:paraId="1E40BB3D" w14:textId="77777777" w:rsidR="00F17447" w:rsidRDefault="00F17447" w:rsidP="00F17447"/>
        </w:tc>
        <w:tc>
          <w:tcPr>
            <w:tcW w:w="7183" w:type="dxa"/>
          </w:tcPr>
          <w:p w14:paraId="345BD4A6" w14:textId="01F8DEE0" w:rsidR="00F17447" w:rsidRPr="00E91468" w:rsidRDefault="00F17447" w:rsidP="00F17447">
            <w:pPr>
              <w:rPr>
                <w:b/>
                <w:bCs/>
              </w:rPr>
            </w:pPr>
            <w:r w:rsidRPr="00F977D1">
              <w:rPr>
                <w:b/>
              </w:rPr>
              <w:t>Consumer understanding</w:t>
            </w:r>
            <w:r>
              <w:rPr>
                <w:b/>
                <w:bCs/>
              </w:rPr>
              <w:t xml:space="preserve"> of the origin of their foods</w:t>
            </w:r>
          </w:p>
        </w:tc>
      </w:tr>
      <w:tr w:rsidR="00F17447" w14:paraId="3D49685E" w14:textId="77777777" w:rsidTr="001966FE">
        <w:tc>
          <w:tcPr>
            <w:tcW w:w="1843" w:type="dxa"/>
          </w:tcPr>
          <w:p w14:paraId="646DC370" w14:textId="79BCB01C" w:rsidR="00F17447" w:rsidRDefault="00F17447" w:rsidP="00F17447"/>
        </w:tc>
        <w:tc>
          <w:tcPr>
            <w:tcW w:w="7183" w:type="dxa"/>
          </w:tcPr>
          <w:p w14:paraId="61EF8836" w14:textId="694FFE65" w:rsidR="00F17447" w:rsidRPr="00237138" w:rsidRDefault="00F17447" w:rsidP="00F17447">
            <w:pPr>
              <w:rPr>
                <w:b/>
                <w:bCs/>
              </w:rPr>
            </w:pPr>
            <w:r w:rsidRPr="00237138">
              <w:t>The CoOL reforms are almost certain to have improved consumer understanding about the origins of their food to some degree. This is because the scheme now provides more information</w:t>
            </w:r>
            <w:r w:rsidR="00984748" w:rsidRPr="00237138">
              <w:t>,</w:t>
            </w:r>
            <w:r w:rsidRPr="00237138">
              <w:t xml:space="preserve"> which is of higher quality (less prone to misleading </w:t>
            </w:r>
            <w:r w:rsidRPr="00237138">
              <w:lastRenderedPageBreak/>
              <w:t>claims) in a more consistent manner across a wide range of products.</w:t>
            </w:r>
            <w:r w:rsidRPr="00237138">
              <w:rPr>
                <w:rFonts w:asciiTheme="majorHAnsi" w:hAnsiTheme="majorHAnsi"/>
                <w:lang w:eastAsia="en-AU"/>
              </w:rPr>
              <w:t xml:space="preserve"> </w:t>
            </w:r>
            <w:r w:rsidR="00AB1B7E" w:rsidRPr="00237138">
              <w:t xml:space="preserve">(Key finding 16, </w:t>
            </w:r>
            <w:r w:rsidR="00AB1B7E" w:rsidRPr="0051407F">
              <w:t xml:space="preserve">Section </w:t>
            </w:r>
            <w:r w:rsidR="002C377B" w:rsidRPr="00237138">
              <w:t>4.1</w:t>
            </w:r>
            <w:r w:rsidR="00AB1B7E" w:rsidRPr="00237138">
              <w:t>)</w:t>
            </w:r>
          </w:p>
        </w:tc>
      </w:tr>
      <w:tr w:rsidR="00F17447" w14:paraId="2057B033" w14:textId="77777777" w:rsidTr="001966FE">
        <w:tc>
          <w:tcPr>
            <w:tcW w:w="1843" w:type="dxa"/>
          </w:tcPr>
          <w:p w14:paraId="1FC14378" w14:textId="56BD0E71" w:rsidR="00F17447" w:rsidRDefault="00F17447" w:rsidP="00F17447"/>
        </w:tc>
        <w:tc>
          <w:tcPr>
            <w:tcW w:w="7183" w:type="dxa"/>
          </w:tcPr>
          <w:p w14:paraId="544619C6" w14:textId="2DDFF106" w:rsidR="00F17447" w:rsidRPr="00237138" w:rsidRDefault="00F17447" w:rsidP="00F17447">
            <w:pPr>
              <w:rPr>
                <w:b/>
                <w:bCs/>
              </w:rPr>
            </w:pPr>
            <w:r w:rsidRPr="00237138">
              <w:t>Significant areas of uncertainty remain driven</w:t>
            </w:r>
            <w:r w:rsidR="00984748" w:rsidRPr="00237138">
              <w:t>,</w:t>
            </w:r>
            <w:r w:rsidRPr="00237138">
              <w:t xml:space="preserve"> in part by factors that are a legacy of the previous scheme and partly by the variability in consumer preferences and interpretation of the information provided. </w:t>
            </w:r>
            <w:r w:rsidR="00AB1B7E" w:rsidRPr="00237138">
              <w:t xml:space="preserve">(Key finding 17, </w:t>
            </w:r>
            <w:r w:rsidR="00AB1B7E" w:rsidRPr="0051407F">
              <w:t xml:space="preserve">Section </w:t>
            </w:r>
            <w:r w:rsidR="002C377B" w:rsidRPr="00237138">
              <w:t>4.1</w:t>
            </w:r>
            <w:r w:rsidR="00AB1B7E" w:rsidRPr="00237138">
              <w:t>)</w:t>
            </w:r>
          </w:p>
        </w:tc>
      </w:tr>
      <w:tr w:rsidR="00F17447" w14:paraId="07306ED4" w14:textId="77777777" w:rsidTr="001966FE">
        <w:tc>
          <w:tcPr>
            <w:tcW w:w="1843" w:type="dxa"/>
          </w:tcPr>
          <w:p w14:paraId="5D033E59" w14:textId="032E4335" w:rsidR="00F17447" w:rsidRDefault="00F17447" w:rsidP="00F17447"/>
        </w:tc>
        <w:tc>
          <w:tcPr>
            <w:tcW w:w="7183" w:type="dxa"/>
          </w:tcPr>
          <w:p w14:paraId="607BC48E" w14:textId="0D8AB0BB" w:rsidR="00F17447" w:rsidRPr="00237138" w:rsidRDefault="00F17447" w:rsidP="00F17447">
            <w:pPr>
              <w:rPr>
                <w:b/>
                <w:bCs/>
              </w:rPr>
            </w:pPr>
            <w:r w:rsidRPr="00237138">
              <w:t xml:space="preserve">While many consumers report to understand the labels, there is in fact widespread misinterpretation of the information presented. </w:t>
            </w:r>
            <w:r w:rsidR="00AB1B7E" w:rsidRPr="00237138">
              <w:t xml:space="preserve">(Key finding 18, </w:t>
            </w:r>
            <w:r w:rsidR="00AB1B7E" w:rsidRPr="0051407F">
              <w:t xml:space="preserve">Section </w:t>
            </w:r>
            <w:r w:rsidR="002C377B" w:rsidRPr="00237138">
              <w:t>4.1</w:t>
            </w:r>
            <w:r w:rsidR="00AB1B7E" w:rsidRPr="00237138">
              <w:t>)</w:t>
            </w:r>
          </w:p>
        </w:tc>
      </w:tr>
      <w:tr w:rsidR="00F17447" w14:paraId="73E35FA7" w14:textId="77777777" w:rsidTr="001966FE">
        <w:tc>
          <w:tcPr>
            <w:tcW w:w="1843" w:type="dxa"/>
          </w:tcPr>
          <w:p w14:paraId="2D221510" w14:textId="77777777" w:rsidR="00F17447" w:rsidRDefault="00F17447" w:rsidP="00F17447"/>
        </w:tc>
        <w:tc>
          <w:tcPr>
            <w:tcW w:w="7183" w:type="dxa"/>
          </w:tcPr>
          <w:p w14:paraId="0F8EC9E0" w14:textId="20D4FB6F" w:rsidR="00F17447" w:rsidRPr="00254506" w:rsidRDefault="00F17447" w:rsidP="00F17447">
            <w:r w:rsidRPr="00E91468">
              <w:rPr>
                <w:b/>
                <w:bCs/>
              </w:rPr>
              <w:t>Made in claim, AMAG logo</w:t>
            </w:r>
            <w:r w:rsidR="00984748">
              <w:rPr>
                <w:b/>
                <w:bCs/>
              </w:rPr>
              <w:t xml:space="preserve"> and</w:t>
            </w:r>
            <w:r w:rsidRPr="00E91468">
              <w:rPr>
                <w:b/>
                <w:bCs/>
              </w:rPr>
              <w:t xml:space="preserve"> bar chart</w:t>
            </w:r>
          </w:p>
        </w:tc>
      </w:tr>
      <w:tr w:rsidR="00F17447" w14:paraId="0BCEAFC7" w14:textId="77777777" w:rsidTr="001966FE">
        <w:tc>
          <w:tcPr>
            <w:tcW w:w="1843" w:type="dxa"/>
          </w:tcPr>
          <w:p w14:paraId="647B72A1" w14:textId="25BE8721" w:rsidR="00F17447" w:rsidRDefault="00F17447" w:rsidP="00F17447"/>
        </w:tc>
        <w:tc>
          <w:tcPr>
            <w:tcW w:w="7183" w:type="dxa"/>
          </w:tcPr>
          <w:p w14:paraId="6EE96B85" w14:textId="2C299D61" w:rsidR="00F17447" w:rsidRPr="00237138" w:rsidRDefault="00F17447" w:rsidP="00F17447">
            <w:r w:rsidRPr="00237138">
              <w:t xml:space="preserve">The use of the AMAG logo combined with the bar chart does provide consumers with more information that is more accurate than the previous scheme. </w:t>
            </w:r>
            <w:r w:rsidR="00AB1B7E" w:rsidRPr="00237138">
              <w:t xml:space="preserve">(Key finding 28, </w:t>
            </w:r>
            <w:r w:rsidR="00AB1B7E" w:rsidRPr="0051407F">
              <w:t xml:space="preserve">Section </w:t>
            </w:r>
            <w:r w:rsidR="00E872B0" w:rsidRPr="00237138">
              <w:t>4.4</w:t>
            </w:r>
            <w:r w:rsidR="00AB1B7E" w:rsidRPr="00237138">
              <w:t>)</w:t>
            </w:r>
          </w:p>
        </w:tc>
      </w:tr>
      <w:tr w:rsidR="00F17447" w14:paraId="07B6E7C5" w14:textId="77777777" w:rsidTr="001966FE">
        <w:tc>
          <w:tcPr>
            <w:tcW w:w="1843" w:type="dxa"/>
          </w:tcPr>
          <w:p w14:paraId="465FB521" w14:textId="1952B124" w:rsidR="00F17447" w:rsidRDefault="00F17447" w:rsidP="00F17447"/>
        </w:tc>
        <w:tc>
          <w:tcPr>
            <w:tcW w:w="7183" w:type="dxa"/>
          </w:tcPr>
          <w:p w14:paraId="60B4809D" w14:textId="2710BBF0" w:rsidR="00F17447" w:rsidRPr="00237138" w:rsidRDefault="00F17447" w:rsidP="00F17447">
            <w:r w:rsidRPr="00237138">
              <w:t>Despite this, there is an ongoing issue regarding consumer understanding of the ‘Made in’ claim. This issue predates the current scheme. It is likely that the current scheme is surfacing this issue because consumers can see that a product making this claim is not necessarily wholly or predominantly sourced from Australian ingredients.</w:t>
            </w:r>
            <w:r w:rsidR="00AB1B7E" w:rsidRPr="00237138">
              <w:t xml:space="preserve"> (Key finding 29, </w:t>
            </w:r>
            <w:r w:rsidR="00AB1B7E" w:rsidRPr="0051407F">
              <w:t xml:space="preserve">Section </w:t>
            </w:r>
            <w:r w:rsidR="007F54FE" w:rsidRPr="00237138">
              <w:t>4.4</w:t>
            </w:r>
            <w:r w:rsidR="00AB1B7E" w:rsidRPr="00237138">
              <w:t>)</w:t>
            </w:r>
          </w:p>
        </w:tc>
      </w:tr>
      <w:tr w:rsidR="00F17447" w14:paraId="28FEE337" w14:textId="77777777" w:rsidTr="001966FE">
        <w:tc>
          <w:tcPr>
            <w:tcW w:w="1843" w:type="dxa"/>
          </w:tcPr>
          <w:p w14:paraId="184631AE" w14:textId="146275BE" w:rsidR="00F17447" w:rsidRDefault="00F17447" w:rsidP="00F17447"/>
        </w:tc>
        <w:tc>
          <w:tcPr>
            <w:tcW w:w="7183" w:type="dxa"/>
          </w:tcPr>
          <w:p w14:paraId="57EC8D8B" w14:textId="777C5A89" w:rsidR="00F17447" w:rsidRDefault="00F17447" w:rsidP="00F17447">
            <w:r w:rsidRPr="00B460C9">
              <w:t>It may be appropriate to limit misunderstanding in this area by providing additional communication, including possibly a refreshed awareness campaign.</w:t>
            </w:r>
            <w:r w:rsidR="00AB1B7E">
              <w:t xml:space="preserve"> (Key finding 30, </w:t>
            </w:r>
            <w:r w:rsidR="00AB1B7E" w:rsidRPr="0051407F">
              <w:t xml:space="preserve">Section </w:t>
            </w:r>
            <w:r w:rsidR="007F54FE" w:rsidRPr="00237138">
              <w:t>4.4</w:t>
            </w:r>
            <w:r w:rsidR="00AB1B7E" w:rsidRPr="00237138">
              <w:t>)</w:t>
            </w:r>
          </w:p>
        </w:tc>
      </w:tr>
      <w:tr w:rsidR="00F17447" w14:paraId="7DD036F4" w14:textId="77777777" w:rsidTr="001966FE">
        <w:tc>
          <w:tcPr>
            <w:tcW w:w="1843" w:type="dxa"/>
          </w:tcPr>
          <w:p w14:paraId="69A70D8D" w14:textId="77777777" w:rsidR="00F17447" w:rsidRDefault="00F17447" w:rsidP="00F17447"/>
        </w:tc>
        <w:tc>
          <w:tcPr>
            <w:tcW w:w="7183" w:type="dxa"/>
          </w:tcPr>
          <w:p w14:paraId="48BFB6AF" w14:textId="20F5EFDA" w:rsidR="00F17447" w:rsidRDefault="00F17447" w:rsidP="00F17447">
            <w:r>
              <w:rPr>
                <w:b/>
                <w:bCs/>
              </w:rPr>
              <w:t>Communication activities and online resources</w:t>
            </w:r>
          </w:p>
        </w:tc>
      </w:tr>
      <w:tr w:rsidR="00F17447" w14:paraId="4EAB39F6" w14:textId="77777777" w:rsidTr="00834C08">
        <w:tc>
          <w:tcPr>
            <w:tcW w:w="1843" w:type="dxa"/>
          </w:tcPr>
          <w:p w14:paraId="29FBE3E7" w14:textId="204BAE53" w:rsidR="00F17447" w:rsidRDefault="00F17447" w:rsidP="00F17447"/>
        </w:tc>
        <w:tc>
          <w:tcPr>
            <w:tcW w:w="7183" w:type="dxa"/>
          </w:tcPr>
          <w:p w14:paraId="3F62DC53" w14:textId="337FB109" w:rsidR="00F17447" w:rsidRDefault="00F17447" w:rsidP="00F17447">
            <w:r w:rsidRPr="000B0903">
              <w:t>There appears to be a case for a refreshed CoOL awareness campaign. It is likely that any short-term campaign needs to be accompanied by an ongoing communication strategy that is engaging and has meaningful reach</w:t>
            </w:r>
            <w:r>
              <w:t>.</w:t>
            </w:r>
            <w:r w:rsidR="00664C91">
              <w:t xml:space="preserve"> This campaign would aim to improve consumer understanding of the different elements of CoOL. The design, funding and delivery of this campaign would need to be considered further.</w:t>
            </w:r>
            <w:r w:rsidR="000A76DE">
              <w:t xml:space="preserve"> </w:t>
            </w:r>
            <w:r w:rsidR="00AB1B7E">
              <w:t xml:space="preserve">(Key </w:t>
            </w:r>
            <w:r w:rsidR="00AB1B7E" w:rsidRPr="00237138">
              <w:t xml:space="preserve">finding 34, </w:t>
            </w:r>
            <w:r w:rsidR="00AB1B7E" w:rsidRPr="0051407F">
              <w:t xml:space="preserve">Section </w:t>
            </w:r>
            <w:r w:rsidR="000400EE" w:rsidRPr="00237138">
              <w:t>4.6</w:t>
            </w:r>
            <w:r w:rsidR="00AB1B7E" w:rsidRPr="00237138">
              <w:t>)</w:t>
            </w:r>
          </w:p>
        </w:tc>
      </w:tr>
      <w:tr w:rsidR="00F17447" w14:paraId="66AB763C" w14:textId="77777777" w:rsidTr="00834C08">
        <w:tc>
          <w:tcPr>
            <w:tcW w:w="1843" w:type="dxa"/>
          </w:tcPr>
          <w:p w14:paraId="2AE12BA0" w14:textId="5E25F385" w:rsidR="00F17447" w:rsidRDefault="00F17447" w:rsidP="00F17447">
            <w:r>
              <w:t>Evidence</w:t>
            </w:r>
          </w:p>
        </w:tc>
        <w:tc>
          <w:tcPr>
            <w:tcW w:w="7183" w:type="dxa"/>
          </w:tcPr>
          <w:p w14:paraId="1B535332" w14:textId="5FF5C2A1" w:rsidR="00F17447" w:rsidRPr="000C2A1F" w:rsidRDefault="00D93A4A" w:rsidP="00F17447">
            <w:pPr>
              <w:rPr>
                <w:i/>
              </w:rPr>
            </w:pPr>
            <w:r w:rsidRPr="000C2A1F">
              <w:rPr>
                <w:i/>
              </w:rPr>
              <w:t xml:space="preserve">Evidence </w:t>
            </w:r>
            <w:r w:rsidR="00441D68">
              <w:rPr>
                <w:i/>
              </w:rPr>
              <w:t xml:space="preserve">for this recommendation is contained in </w:t>
            </w:r>
            <w:r w:rsidR="005F417D">
              <w:rPr>
                <w:i/>
                <w:iCs/>
              </w:rPr>
              <w:t>Section</w:t>
            </w:r>
            <w:r w:rsidR="00E67929">
              <w:rPr>
                <w:i/>
                <w:iCs/>
              </w:rPr>
              <w:t xml:space="preserve"> 4.1</w:t>
            </w:r>
            <w:r w:rsidR="00441D68">
              <w:rPr>
                <w:i/>
                <w:iCs/>
              </w:rPr>
              <w:t xml:space="preserve"> (</w:t>
            </w:r>
            <w:r w:rsidR="00E263A0">
              <w:rPr>
                <w:i/>
                <w:iCs/>
              </w:rPr>
              <w:t>I</w:t>
            </w:r>
            <w:r w:rsidR="00441D68">
              <w:rPr>
                <w:i/>
              </w:rPr>
              <w:t>mpact of</w:t>
            </w:r>
            <w:r w:rsidR="00441D68" w:rsidRPr="000C2A1F">
              <w:rPr>
                <w:i/>
              </w:rPr>
              <w:t xml:space="preserve"> CoOL reform</w:t>
            </w:r>
            <w:r w:rsidR="00441D68">
              <w:rPr>
                <w:i/>
              </w:rPr>
              <w:t>s</w:t>
            </w:r>
            <w:r w:rsidR="00441D68" w:rsidRPr="000C2A1F">
              <w:rPr>
                <w:i/>
              </w:rPr>
              <w:t xml:space="preserve"> on consumer understanding</w:t>
            </w:r>
            <w:r w:rsidR="00E263A0">
              <w:rPr>
                <w:i/>
              </w:rPr>
              <w:t xml:space="preserve"> of food origin</w:t>
            </w:r>
            <w:r w:rsidR="00441D68">
              <w:rPr>
                <w:i/>
              </w:rPr>
              <w:t>)</w:t>
            </w:r>
            <w:r w:rsidR="00B45300">
              <w:rPr>
                <w:i/>
              </w:rPr>
              <w:t xml:space="preserve">, </w:t>
            </w:r>
            <w:r w:rsidR="005F417D">
              <w:rPr>
                <w:i/>
                <w:iCs/>
              </w:rPr>
              <w:t>Section</w:t>
            </w:r>
            <w:r w:rsidR="00397F4C" w:rsidRPr="000C2A1F">
              <w:rPr>
                <w:i/>
              </w:rPr>
              <w:t xml:space="preserve"> </w:t>
            </w:r>
            <w:r w:rsidR="00397F4C" w:rsidRPr="00876FFB">
              <w:rPr>
                <w:i/>
              </w:rPr>
              <w:fldChar w:fldCharType="begin"/>
            </w:r>
            <w:r w:rsidR="00397F4C" w:rsidRPr="000C2A1F">
              <w:rPr>
                <w:i/>
              </w:rPr>
              <w:instrText xml:space="preserve"> REF _Ref71200398 \r \h </w:instrText>
            </w:r>
            <w:r w:rsidR="000C2A1F">
              <w:rPr>
                <w:i/>
                <w:iCs/>
              </w:rPr>
              <w:instrText xml:space="preserve"> \* MERGEFORMAT </w:instrText>
            </w:r>
            <w:r w:rsidR="00397F4C" w:rsidRPr="00876FFB">
              <w:rPr>
                <w:i/>
              </w:rPr>
            </w:r>
            <w:r w:rsidR="00397F4C" w:rsidRPr="00876FFB">
              <w:rPr>
                <w:i/>
              </w:rPr>
              <w:fldChar w:fldCharType="separate"/>
            </w:r>
            <w:r w:rsidR="0017363C">
              <w:rPr>
                <w:i/>
              </w:rPr>
              <w:t>4.4</w:t>
            </w:r>
            <w:r w:rsidR="00397F4C" w:rsidRPr="00876FFB">
              <w:rPr>
                <w:i/>
              </w:rPr>
              <w:fldChar w:fldCharType="end"/>
            </w:r>
            <w:r w:rsidR="00B45300">
              <w:rPr>
                <w:i/>
              </w:rPr>
              <w:t xml:space="preserve"> (C</w:t>
            </w:r>
            <w:r w:rsidR="00B45300" w:rsidRPr="000C2A1F">
              <w:rPr>
                <w:i/>
              </w:rPr>
              <w:t>onsumer perceptions and expectations of the ‘Made in’ claim, Australian Made logo and bar chart</w:t>
            </w:r>
            <w:r w:rsidR="00B45300">
              <w:rPr>
                <w:i/>
              </w:rPr>
              <w:t>) and</w:t>
            </w:r>
            <w:r w:rsidR="00844484" w:rsidRPr="000C2A1F">
              <w:rPr>
                <w:i/>
              </w:rPr>
              <w:t xml:space="preserve"> </w:t>
            </w:r>
            <w:r w:rsidR="005F417D">
              <w:rPr>
                <w:i/>
                <w:iCs/>
              </w:rPr>
              <w:t>Section</w:t>
            </w:r>
            <w:r w:rsidR="00A247FB" w:rsidRPr="000C2A1F">
              <w:rPr>
                <w:i/>
              </w:rPr>
              <w:t xml:space="preserve"> </w:t>
            </w:r>
            <w:r w:rsidR="00A247FB" w:rsidRPr="00876FFB">
              <w:rPr>
                <w:i/>
              </w:rPr>
              <w:fldChar w:fldCharType="begin"/>
            </w:r>
            <w:r w:rsidR="00A247FB" w:rsidRPr="000C2A1F">
              <w:rPr>
                <w:i/>
              </w:rPr>
              <w:instrText xml:space="preserve"> REF _Ref71200515 \r \h </w:instrText>
            </w:r>
            <w:r w:rsidR="000C2A1F">
              <w:rPr>
                <w:i/>
                <w:iCs/>
              </w:rPr>
              <w:instrText xml:space="preserve"> \* MERGEFORMAT </w:instrText>
            </w:r>
            <w:r w:rsidR="00A247FB" w:rsidRPr="00876FFB">
              <w:rPr>
                <w:i/>
              </w:rPr>
            </w:r>
            <w:r w:rsidR="00A247FB" w:rsidRPr="00876FFB">
              <w:rPr>
                <w:i/>
              </w:rPr>
              <w:fldChar w:fldCharType="separate"/>
            </w:r>
            <w:r w:rsidR="0017363C">
              <w:rPr>
                <w:i/>
              </w:rPr>
              <w:t>4.6</w:t>
            </w:r>
            <w:r w:rsidR="00A247FB" w:rsidRPr="00876FFB">
              <w:rPr>
                <w:i/>
              </w:rPr>
              <w:fldChar w:fldCharType="end"/>
            </w:r>
            <w:r w:rsidR="00B45300">
              <w:rPr>
                <w:i/>
              </w:rPr>
              <w:t xml:space="preserve"> (</w:t>
            </w:r>
            <w:r w:rsidR="00A51AFB">
              <w:rPr>
                <w:i/>
              </w:rPr>
              <w:t xml:space="preserve">Effectiveness of </w:t>
            </w:r>
            <w:r w:rsidR="00B45300" w:rsidRPr="000C2A1F">
              <w:rPr>
                <w:i/>
              </w:rPr>
              <w:t>communication activities and online resources</w:t>
            </w:r>
            <w:r w:rsidR="00A51AFB">
              <w:rPr>
                <w:i/>
              </w:rPr>
              <w:t xml:space="preserve"> for consumers</w:t>
            </w:r>
            <w:r w:rsidR="00B45300">
              <w:rPr>
                <w:i/>
              </w:rPr>
              <w:t>)</w:t>
            </w:r>
            <w:r w:rsidR="00A247FB" w:rsidRPr="000C2A1F">
              <w:rPr>
                <w:i/>
              </w:rPr>
              <w:t>.</w:t>
            </w:r>
            <w:r w:rsidR="00397F4C" w:rsidRPr="000C2A1F">
              <w:rPr>
                <w:i/>
              </w:rPr>
              <w:t xml:space="preserve"> </w:t>
            </w:r>
            <w:r w:rsidR="00B4720B">
              <w:rPr>
                <w:i/>
              </w:rPr>
              <w:t>A summary of the CBA results and recommended approach for the education campaign is provide</w:t>
            </w:r>
            <w:r w:rsidR="00EA5E94">
              <w:rPr>
                <w:i/>
              </w:rPr>
              <w:t>d</w:t>
            </w:r>
            <w:r w:rsidR="00B4720B">
              <w:rPr>
                <w:i/>
              </w:rPr>
              <w:t xml:space="preserve"> in </w:t>
            </w:r>
            <w:r w:rsidR="00E67929">
              <w:rPr>
                <w:i/>
              </w:rPr>
              <w:t>‘</w:t>
            </w:r>
            <w:r w:rsidR="004B4D57">
              <w:rPr>
                <w:i/>
              </w:rPr>
              <w:t>Lessons</w:t>
            </w:r>
            <w:r w:rsidR="0082232A">
              <w:rPr>
                <w:i/>
              </w:rPr>
              <w:t xml:space="preserve"> to improve future initiatives</w:t>
            </w:r>
            <w:r w:rsidR="00E67929">
              <w:rPr>
                <w:i/>
              </w:rPr>
              <w:t>’</w:t>
            </w:r>
            <w:r w:rsidR="0082232A">
              <w:rPr>
                <w:i/>
              </w:rPr>
              <w:t xml:space="preserve">, </w:t>
            </w:r>
            <w:r w:rsidR="00E67929">
              <w:rPr>
                <w:i/>
              </w:rPr>
              <w:t>S</w:t>
            </w:r>
            <w:r w:rsidR="0082232A">
              <w:rPr>
                <w:i/>
              </w:rPr>
              <w:t>ection 6.5.3.</w:t>
            </w:r>
          </w:p>
        </w:tc>
      </w:tr>
    </w:tbl>
    <w:p w14:paraId="143C8A2B" w14:textId="03CA0744" w:rsidR="00E03640" w:rsidRDefault="001C5D20" w:rsidP="008356AB">
      <w:pPr>
        <w:rPr>
          <w:color w:val="75787B" w:themeColor="accent6"/>
          <w:sz w:val="14"/>
          <w:szCs w:val="14"/>
        </w:rPr>
      </w:pPr>
      <w:r w:rsidRPr="00523AB0">
        <w:rPr>
          <w:color w:val="012169" w:themeColor="accent4"/>
          <w:sz w:val="14"/>
          <w:szCs w:val="14"/>
        </w:rPr>
        <w:t>Source: Deloitte Access Economics.</w:t>
      </w:r>
    </w:p>
    <w:p w14:paraId="2C2DB8B9" w14:textId="71F7614C" w:rsidR="00213B75" w:rsidRDefault="00E37668" w:rsidP="0025140D">
      <w:pPr>
        <w:pStyle w:val="Heading2un-numbered"/>
      </w:pPr>
      <w:bookmarkStart w:id="76" w:name="_Toc72396559"/>
      <w:bookmarkStart w:id="77" w:name="_Toc94702036"/>
      <w:r>
        <w:lastRenderedPageBreak/>
        <w:t xml:space="preserve">Recommendation 4: </w:t>
      </w:r>
      <w:bookmarkEnd w:id="76"/>
      <w:r w:rsidR="00DC0541">
        <w:t xml:space="preserve">Consumer </w:t>
      </w:r>
      <w:r w:rsidR="00604C46">
        <w:t>understanding and impact</w:t>
      </w:r>
      <w:bookmarkEnd w:id="77"/>
    </w:p>
    <w:p w14:paraId="528BCBA9" w14:textId="5E0A3C3B" w:rsidR="00E03640" w:rsidRDefault="0013267D">
      <w:pPr>
        <w:pStyle w:val="ExecTableCaption"/>
      </w:pPr>
      <w:bookmarkStart w:id="78" w:name="_Toc82590395"/>
      <w:r>
        <w:t>: Recommendation 4</w:t>
      </w:r>
      <w:bookmarkEnd w:id="78"/>
    </w:p>
    <w:tbl>
      <w:tblPr>
        <w:tblStyle w:val="Deloittetable"/>
        <w:tblW w:w="0" w:type="auto"/>
        <w:tblLook w:val="04A0" w:firstRow="1" w:lastRow="0" w:firstColumn="1" w:lastColumn="0" w:noHBand="0" w:noVBand="1"/>
        <w:tblDescription w:val="This table outlines recommendation 4: DISER ensures data collection and monitoring occurs where it relates to: a) scheme awareness to determine if consumers are more correctly and completely interpreting CoOL labels over time; and b) to assess the impact of the scheme with respect to consumer expectations and scope at regular intervals over time."/>
      </w:tblPr>
      <w:tblGrid>
        <w:gridCol w:w="1777"/>
        <w:gridCol w:w="7249"/>
      </w:tblGrid>
      <w:tr w:rsidR="0013267D" w14:paraId="6E394D13"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single" w:sz="24" w:space="0" w:color="012169" w:themeColor="accent4"/>
            </w:tcBorders>
          </w:tcPr>
          <w:p w14:paraId="09093DD1" w14:textId="77777777" w:rsidR="0013267D" w:rsidRPr="00834C08" w:rsidRDefault="0013267D" w:rsidP="0046051D">
            <w:pPr>
              <w:rPr>
                <w:b/>
                <w:bCs/>
              </w:rPr>
            </w:pPr>
            <w:r w:rsidRPr="00834C08">
              <w:rPr>
                <w:b/>
                <w:bCs/>
              </w:rPr>
              <w:t>Recommendation</w:t>
            </w:r>
          </w:p>
        </w:tc>
        <w:tc>
          <w:tcPr>
            <w:tcW w:w="7325" w:type="dxa"/>
            <w:tcBorders>
              <w:top w:val="single" w:sz="24" w:space="0" w:color="012169" w:themeColor="accent4"/>
            </w:tcBorders>
          </w:tcPr>
          <w:p w14:paraId="429521AA" w14:textId="564853C9" w:rsidR="0013267D" w:rsidRPr="005D37B4" w:rsidRDefault="00903618" w:rsidP="0046051D">
            <w:pPr>
              <w:rPr>
                <w:b/>
                <w:bCs/>
              </w:rPr>
            </w:pPr>
            <w:r w:rsidRPr="005D37B4">
              <w:rPr>
                <w:b/>
                <w:bCs/>
              </w:rPr>
              <w:t xml:space="preserve">DISER ensures data collection and monitoring occurs where it relates to: </w:t>
            </w:r>
            <w:r w:rsidR="00BE51DD" w:rsidRPr="005D37B4">
              <w:rPr>
                <w:b/>
                <w:bCs/>
              </w:rPr>
              <w:br/>
            </w:r>
            <w:r w:rsidRPr="005D37B4">
              <w:rPr>
                <w:b/>
                <w:bCs/>
              </w:rPr>
              <w:t xml:space="preserve">a) scheme awareness to determine if consumers are more correctly and completely interpreting CoOL labels over time; and </w:t>
            </w:r>
            <w:r w:rsidR="00BE51DD" w:rsidRPr="005D37B4">
              <w:rPr>
                <w:b/>
                <w:bCs/>
              </w:rPr>
              <w:br/>
            </w:r>
            <w:r w:rsidRPr="005D37B4">
              <w:rPr>
                <w:b/>
                <w:bCs/>
              </w:rPr>
              <w:t>b) assessing the impact of the scheme with respect to consumer expectations and scope at appropriate intervals.</w:t>
            </w:r>
          </w:p>
        </w:tc>
      </w:tr>
      <w:tr w:rsidR="0013267D" w14:paraId="435E7CEE" w14:textId="77777777" w:rsidTr="0046051D">
        <w:tc>
          <w:tcPr>
            <w:tcW w:w="1701" w:type="dxa"/>
          </w:tcPr>
          <w:p w14:paraId="274EB556" w14:textId="77777777" w:rsidR="0013267D" w:rsidRDefault="0013267D" w:rsidP="0046051D">
            <w:r>
              <w:t>Background</w:t>
            </w:r>
          </w:p>
        </w:tc>
        <w:tc>
          <w:tcPr>
            <w:tcW w:w="7325" w:type="dxa"/>
          </w:tcPr>
          <w:p w14:paraId="118F5938" w14:textId="2DFB8537" w:rsidR="0013267D" w:rsidRDefault="00223494" w:rsidP="0046051D">
            <w:r>
              <w:t xml:space="preserve">The benefits of the scheme are largely derived </w:t>
            </w:r>
            <w:r w:rsidR="00EC53EB">
              <w:t>by</w:t>
            </w:r>
            <w:r>
              <w:t xml:space="preserve"> consumer utility </w:t>
            </w:r>
            <w:r w:rsidR="00EC53EB">
              <w:t xml:space="preserve">and the time saving for consumers in making purchasing decisions that align with their preferences. </w:t>
            </w:r>
            <w:r w:rsidR="00D8460A">
              <w:t>C</w:t>
            </w:r>
            <w:r w:rsidR="00567174">
              <w:t>onsumer inquiries</w:t>
            </w:r>
            <w:r w:rsidR="00D8460A">
              <w:t xml:space="preserve"> have been monitored by</w:t>
            </w:r>
            <w:r w:rsidR="00567174">
              <w:t xml:space="preserve"> </w:t>
            </w:r>
            <w:r w:rsidR="0031097A">
              <w:t>DISER</w:t>
            </w:r>
            <w:r w:rsidR="00061AAB">
              <w:t>,</w:t>
            </w:r>
            <w:r w:rsidR="003A2CA5">
              <w:t xml:space="preserve"> while </w:t>
            </w:r>
            <w:r w:rsidR="00F95936">
              <w:t xml:space="preserve">compliance data has been collected via the </w:t>
            </w:r>
            <w:r w:rsidR="00B85690">
              <w:t>NMI inspections</w:t>
            </w:r>
            <w:r w:rsidR="00EC53EB">
              <w:t xml:space="preserve"> -</w:t>
            </w:r>
            <w:r w:rsidR="00D8460A">
              <w:t xml:space="preserve"> </w:t>
            </w:r>
            <w:r w:rsidR="00EC53EB">
              <w:t>t</w:t>
            </w:r>
            <w:r w:rsidR="00D8460A">
              <w:t xml:space="preserve">hese </w:t>
            </w:r>
            <w:r w:rsidR="00EC53EB">
              <w:t>are not sufficient to monitor consumers’ understanding</w:t>
            </w:r>
            <w:r w:rsidR="003A2CA5">
              <w:t xml:space="preserve"> of,</w:t>
            </w:r>
            <w:r w:rsidR="00383915">
              <w:t xml:space="preserve"> use</w:t>
            </w:r>
            <w:r w:rsidR="003A2CA5">
              <w:t>/value</w:t>
            </w:r>
            <w:r w:rsidR="00383915">
              <w:t xml:space="preserve"> and </w:t>
            </w:r>
            <w:r w:rsidR="003A2CA5">
              <w:t>expectations from CoOL</w:t>
            </w:r>
            <w:r w:rsidR="00383915">
              <w:t xml:space="preserve">. </w:t>
            </w:r>
          </w:p>
        </w:tc>
      </w:tr>
      <w:tr w:rsidR="00E31B80" w14:paraId="352019D1" w14:textId="77777777" w:rsidTr="0046051D">
        <w:tc>
          <w:tcPr>
            <w:tcW w:w="1701" w:type="dxa"/>
          </w:tcPr>
          <w:p w14:paraId="2D0FB648" w14:textId="71BF9643" w:rsidR="00E31B80" w:rsidRPr="008E46FB" w:rsidRDefault="00E31B80" w:rsidP="00E31B80">
            <w:r w:rsidRPr="00E31B80">
              <w:t>Rationale</w:t>
            </w:r>
          </w:p>
        </w:tc>
        <w:tc>
          <w:tcPr>
            <w:tcW w:w="7325" w:type="dxa"/>
          </w:tcPr>
          <w:p w14:paraId="4ED0A393" w14:textId="250DD865" w:rsidR="00E31B80" w:rsidRDefault="00185DCE" w:rsidP="00E31B80">
            <w:r>
              <w:t xml:space="preserve">If whole-scale changes to the scheme are to be made, there would need to be a stronger evidence base of the scheme’s impact and consumer expectations over time. </w:t>
            </w:r>
          </w:p>
        </w:tc>
      </w:tr>
      <w:tr w:rsidR="00E31B80" w14:paraId="3A36C74C" w14:textId="77777777" w:rsidTr="0046051D">
        <w:tc>
          <w:tcPr>
            <w:tcW w:w="1701" w:type="dxa"/>
          </w:tcPr>
          <w:p w14:paraId="1AEB8A29" w14:textId="77777777" w:rsidR="00E31B80" w:rsidRPr="003E2CAB" w:rsidRDefault="00E31B80" w:rsidP="00E31B80">
            <w:pPr>
              <w:rPr>
                <w:b/>
                <w:bCs/>
              </w:rPr>
            </w:pPr>
            <w:r w:rsidRPr="003E2CAB">
              <w:rPr>
                <w:b/>
                <w:bCs/>
              </w:rPr>
              <w:t>Key Findings</w:t>
            </w:r>
          </w:p>
        </w:tc>
        <w:tc>
          <w:tcPr>
            <w:tcW w:w="7325" w:type="dxa"/>
          </w:tcPr>
          <w:p w14:paraId="591FF63F" w14:textId="77777777" w:rsidR="00E31B80" w:rsidRPr="003E2CAB" w:rsidRDefault="00E31B80" w:rsidP="00E31B80">
            <w:pPr>
              <w:rPr>
                <w:b/>
                <w:bCs/>
              </w:rPr>
            </w:pPr>
          </w:p>
        </w:tc>
      </w:tr>
      <w:tr w:rsidR="003746A2" w14:paraId="284B4BD1" w14:textId="77777777" w:rsidTr="0046051D">
        <w:tc>
          <w:tcPr>
            <w:tcW w:w="1701" w:type="dxa"/>
          </w:tcPr>
          <w:p w14:paraId="40758CC7" w14:textId="2532518E" w:rsidR="003746A2" w:rsidRDefault="003746A2" w:rsidP="003746A2"/>
        </w:tc>
        <w:tc>
          <w:tcPr>
            <w:tcW w:w="7325" w:type="dxa"/>
          </w:tcPr>
          <w:p w14:paraId="78A68BBA" w14:textId="53B65B8B" w:rsidR="003746A2" w:rsidRPr="00237138" w:rsidRDefault="003746A2" w:rsidP="003746A2">
            <w:r w:rsidRPr="00237138">
              <w:t>The current CoOL scheme is an improvement on the previous scheme, as it provides consumers with more information on the country of origin of their foods. However, there is still a subset of consumers who want more information on non-Australian ingredients.</w:t>
            </w:r>
            <w:r w:rsidR="00AB1B7E" w:rsidRPr="00237138">
              <w:t xml:space="preserve"> (Key finding 11, </w:t>
            </w:r>
            <w:r w:rsidR="00AB1B7E" w:rsidRPr="0051407F">
              <w:t xml:space="preserve">Section </w:t>
            </w:r>
            <w:r w:rsidR="0058485A" w:rsidRPr="00237138">
              <w:t>3.3</w:t>
            </w:r>
            <w:r w:rsidR="00AB1B7E" w:rsidRPr="00237138">
              <w:t>)</w:t>
            </w:r>
          </w:p>
        </w:tc>
      </w:tr>
      <w:tr w:rsidR="004A08D3" w14:paraId="0104561A" w14:textId="77777777" w:rsidTr="0046051D">
        <w:tc>
          <w:tcPr>
            <w:tcW w:w="1701" w:type="dxa"/>
          </w:tcPr>
          <w:p w14:paraId="6BA86478" w14:textId="166F8A1F" w:rsidR="004A08D3" w:rsidRDefault="004A08D3" w:rsidP="004A08D3"/>
        </w:tc>
        <w:tc>
          <w:tcPr>
            <w:tcW w:w="7325" w:type="dxa"/>
          </w:tcPr>
          <w:p w14:paraId="36233DBD" w14:textId="30BBE11C" w:rsidR="004A08D3" w:rsidRPr="00237138" w:rsidRDefault="004A08D3" w:rsidP="004A08D3">
            <w:r w:rsidRPr="00237138">
              <w:t xml:space="preserve">If it becomes faster and more seamless for consumers to access information about food digitally (which may be a technology that supersedes QR codes), then there could be implications for the current scheme. However, neither of these factors are sufficiently present at this time to necessitate significant change in terms of the information being provided on label versus digitally. </w:t>
            </w:r>
            <w:r w:rsidR="00C87208" w:rsidRPr="00237138">
              <w:t>B</w:t>
            </w:r>
            <w:r w:rsidRPr="00237138">
              <w:t>oth consumer preference and technology require careful monitoring as the scheme develops.</w:t>
            </w:r>
            <w:r w:rsidR="00AB1B7E" w:rsidRPr="00237138">
              <w:t xml:space="preserve"> (Key finding 13, </w:t>
            </w:r>
            <w:r w:rsidR="00AB1B7E" w:rsidRPr="0051407F">
              <w:t xml:space="preserve">Section </w:t>
            </w:r>
            <w:r w:rsidR="00172DD9" w:rsidRPr="00237138">
              <w:t>3.3</w:t>
            </w:r>
            <w:r w:rsidR="00AB1B7E" w:rsidRPr="00237138">
              <w:t>)</w:t>
            </w:r>
          </w:p>
        </w:tc>
      </w:tr>
      <w:tr w:rsidR="0029179A" w14:paraId="37FDA9F6" w14:textId="77777777" w:rsidTr="0046051D">
        <w:tc>
          <w:tcPr>
            <w:tcW w:w="1701" w:type="dxa"/>
          </w:tcPr>
          <w:p w14:paraId="6288847A" w14:textId="501274B4" w:rsidR="0029179A" w:rsidRDefault="0029179A" w:rsidP="0029179A"/>
        </w:tc>
        <w:tc>
          <w:tcPr>
            <w:tcW w:w="7325" w:type="dxa"/>
          </w:tcPr>
          <w:p w14:paraId="2A4F1C4E" w14:textId="6BFBAFA1" w:rsidR="0029179A" w:rsidRDefault="0029179A" w:rsidP="0029179A">
            <w:r w:rsidRPr="00654CDA">
              <w:t xml:space="preserve">While </w:t>
            </w:r>
            <w:r>
              <w:t xml:space="preserve">many </w:t>
            </w:r>
            <w:r w:rsidRPr="00654CDA">
              <w:t xml:space="preserve">consumers report </w:t>
            </w:r>
            <w:r>
              <w:t>to</w:t>
            </w:r>
            <w:r w:rsidRPr="00654CDA">
              <w:t xml:space="preserve"> understan</w:t>
            </w:r>
            <w:r>
              <w:t>d</w:t>
            </w:r>
            <w:r w:rsidRPr="00654CDA">
              <w:t xml:space="preserve"> the</w:t>
            </w:r>
            <w:r>
              <w:t xml:space="preserve"> labels, there is in fact widespread misinterpretation of the information presented. </w:t>
            </w:r>
            <w:r w:rsidR="00AB1B7E">
              <w:t>(Key finding 18</w:t>
            </w:r>
            <w:r w:rsidR="00AB1B7E" w:rsidRPr="00237138">
              <w:t xml:space="preserve">, </w:t>
            </w:r>
            <w:r w:rsidR="00AB1B7E" w:rsidRPr="0051407F">
              <w:t xml:space="preserve">Section </w:t>
            </w:r>
            <w:r w:rsidR="009D5306" w:rsidRPr="00237138">
              <w:t>4.1</w:t>
            </w:r>
            <w:r w:rsidR="00AB1B7E" w:rsidRPr="00237138">
              <w:t>)</w:t>
            </w:r>
          </w:p>
        </w:tc>
      </w:tr>
      <w:tr w:rsidR="00FC0275" w14:paraId="043007F4" w14:textId="77777777" w:rsidTr="0046051D">
        <w:tc>
          <w:tcPr>
            <w:tcW w:w="1701" w:type="dxa"/>
          </w:tcPr>
          <w:p w14:paraId="35E73B32" w14:textId="6F1410BD" w:rsidR="00FC0275" w:rsidRDefault="00FC0275" w:rsidP="00FC0275">
            <w:pPr>
              <w:rPr>
                <w:rFonts w:asciiTheme="majorHAnsi" w:hAnsiTheme="majorHAnsi"/>
              </w:rPr>
            </w:pPr>
          </w:p>
        </w:tc>
        <w:tc>
          <w:tcPr>
            <w:tcW w:w="7325" w:type="dxa"/>
          </w:tcPr>
          <w:p w14:paraId="02D6C429" w14:textId="5B9F7BFA" w:rsidR="00FC0275" w:rsidRPr="00237138" w:rsidRDefault="00FC0275" w:rsidP="00FC0275">
            <w:pPr>
              <w:rPr>
                <w:rFonts w:asciiTheme="majorHAnsi" w:hAnsiTheme="majorHAnsi"/>
              </w:rPr>
            </w:pPr>
            <w:r w:rsidRPr="00237138">
              <w:rPr>
                <w:rFonts w:asciiTheme="majorHAnsi" w:hAnsiTheme="majorHAnsi"/>
              </w:rPr>
              <w:t>There is mixed evidence about whether consumer demands for origin information is changing. It appears most likely that for the wider population</w:t>
            </w:r>
            <w:r w:rsidR="00F82F8C" w:rsidRPr="00237138">
              <w:rPr>
                <w:rFonts w:asciiTheme="majorHAnsi" w:hAnsiTheme="majorHAnsi"/>
              </w:rPr>
              <w:t>,</w:t>
            </w:r>
            <w:r w:rsidRPr="00237138">
              <w:rPr>
                <w:rFonts w:asciiTheme="majorHAnsi" w:hAnsiTheme="majorHAnsi"/>
              </w:rPr>
              <w:t xml:space="preserve"> any change is incremental and difficult to detect in the period of time since the scheme was introduced. </w:t>
            </w:r>
            <w:r w:rsidR="00AB1B7E" w:rsidRPr="00237138">
              <w:t xml:space="preserve">(Key finding </w:t>
            </w:r>
            <w:r w:rsidR="00E40E2F">
              <w:t>39</w:t>
            </w:r>
            <w:r w:rsidR="00AB1B7E" w:rsidRPr="00237138">
              <w:t xml:space="preserve">, </w:t>
            </w:r>
            <w:r w:rsidR="00AB1B7E" w:rsidRPr="0051407F">
              <w:t xml:space="preserve">Section </w:t>
            </w:r>
            <w:r w:rsidR="0001617D" w:rsidRPr="00237138">
              <w:t>4.8</w:t>
            </w:r>
            <w:r w:rsidR="00AB1B7E" w:rsidRPr="00237138">
              <w:t>)</w:t>
            </w:r>
          </w:p>
        </w:tc>
      </w:tr>
      <w:tr w:rsidR="00FC0275" w14:paraId="4DF4E16D" w14:textId="77777777" w:rsidTr="0046051D">
        <w:tc>
          <w:tcPr>
            <w:tcW w:w="1701" w:type="dxa"/>
          </w:tcPr>
          <w:p w14:paraId="196E231A" w14:textId="6FD32808" w:rsidR="00FC0275" w:rsidRDefault="00FC0275" w:rsidP="00FC0275"/>
        </w:tc>
        <w:tc>
          <w:tcPr>
            <w:tcW w:w="7325" w:type="dxa"/>
          </w:tcPr>
          <w:p w14:paraId="31456307" w14:textId="6A6484C2" w:rsidR="00FC0275" w:rsidRPr="00237138" w:rsidRDefault="00FC0275" w:rsidP="00FC0275">
            <w:r w:rsidRPr="00237138">
              <w:rPr>
                <w:rFonts w:asciiTheme="majorHAnsi" w:hAnsiTheme="majorHAnsi"/>
              </w:rPr>
              <w:t>A subset of consumers are more highly engaged about country of origin and are seeking more extensive and detailed information about the origin of all ingredients.</w:t>
            </w:r>
            <w:r w:rsidR="00AB1B7E" w:rsidRPr="00237138">
              <w:rPr>
                <w:rFonts w:asciiTheme="majorHAnsi" w:hAnsiTheme="majorHAnsi"/>
              </w:rPr>
              <w:t xml:space="preserve"> </w:t>
            </w:r>
            <w:r w:rsidR="00AB1B7E" w:rsidRPr="00237138">
              <w:t>(Key finding 4</w:t>
            </w:r>
            <w:r w:rsidR="00E40E2F">
              <w:t>0</w:t>
            </w:r>
            <w:r w:rsidR="00AB1B7E" w:rsidRPr="00237138">
              <w:t xml:space="preserve">, </w:t>
            </w:r>
            <w:r w:rsidR="00AB1B7E" w:rsidRPr="0051407F">
              <w:t xml:space="preserve">Section </w:t>
            </w:r>
            <w:r w:rsidR="0001617D" w:rsidRPr="00237138">
              <w:t>4.8</w:t>
            </w:r>
            <w:r w:rsidR="00AB1B7E" w:rsidRPr="00237138">
              <w:t>)</w:t>
            </w:r>
          </w:p>
        </w:tc>
      </w:tr>
      <w:tr w:rsidR="00FC0275" w14:paraId="6AC90976" w14:textId="77777777" w:rsidTr="0046051D">
        <w:tc>
          <w:tcPr>
            <w:tcW w:w="1701" w:type="dxa"/>
          </w:tcPr>
          <w:p w14:paraId="4679034A" w14:textId="77777777" w:rsidR="00FC0275" w:rsidRDefault="00FC0275" w:rsidP="00FC0275">
            <w:r>
              <w:t>Evidence</w:t>
            </w:r>
          </w:p>
        </w:tc>
        <w:tc>
          <w:tcPr>
            <w:tcW w:w="7325" w:type="dxa"/>
          </w:tcPr>
          <w:p w14:paraId="2B800EEB" w14:textId="44C2A473" w:rsidR="00FC0275" w:rsidRPr="00C5698C" w:rsidRDefault="00FC0275" w:rsidP="00FC0275">
            <w:pPr>
              <w:rPr>
                <w:i/>
              </w:rPr>
            </w:pPr>
            <w:r w:rsidRPr="00C5698C">
              <w:rPr>
                <w:i/>
              </w:rPr>
              <w:t xml:space="preserve">Evidence </w:t>
            </w:r>
            <w:r w:rsidR="00CA09C5">
              <w:rPr>
                <w:i/>
                <w:iCs/>
              </w:rPr>
              <w:t>for the above key findings</w:t>
            </w:r>
            <w:r w:rsidRPr="00C5698C">
              <w:rPr>
                <w:i/>
              </w:rPr>
              <w:t xml:space="preserve"> is provided in </w:t>
            </w:r>
            <w:r w:rsidR="005F417D">
              <w:rPr>
                <w:i/>
                <w:iCs/>
              </w:rPr>
              <w:t>Section</w:t>
            </w:r>
            <w:r w:rsidRPr="00C5698C">
              <w:rPr>
                <w:i/>
              </w:rPr>
              <w:t xml:space="preserve"> </w:t>
            </w:r>
            <w:r w:rsidRPr="00876FFB">
              <w:rPr>
                <w:i/>
              </w:rPr>
              <w:fldChar w:fldCharType="begin"/>
            </w:r>
            <w:r w:rsidRPr="00C5698C">
              <w:rPr>
                <w:i/>
              </w:rPr>
              <w:instrText xml:space="preserve"> REF _Ref71202599 \r \h </w:instrText>
            </w:r>
            <w:r w:rsidRPr="00C5698C">
              <w:rPr>
                <w:i/>
                <w:iCs/>
              </w:rPr>
              <w:instrText xml:space="preserve"> \* MERGEFORMAT </w:instrText>
            </w:r>
            <w:r w:rsidRPr="00876FFB">
              <w:rPr>
                <w:i/>
              </w:rPr>
            </w:r>
            <w:r w:rsidRPr="00876FFB">
              <w:rPr>
                <w:i/>
              </w:rPr>
              <w:fldChar w:fldCharType="separate"/>
            </w:r>
            <w:r w:rsidR="0017363C">
              <w:rPr>
                <w:i/>
              </w:rPr>
              <w:t>3.3</w:t>
            </w:r>
            <w:r w:rsidRPr="00876FFB">
              <w:rPr>
                <w:i/>
              </w:rPr>
              <w:fldChar w:fldCharType="end"/>
            </w:r>
            <w:r>
              <w:rPr>
                <w:i/>
                <w:iCs/>
              </w:rPr>
              <w:t xml:space="preserve">, </w:t>
            </w:r>
            <w:r w:rsidR="005F417D">
              <w:rPr>
                <w:i/>
                <w:iCs/>
              </w:rPr>
              <w:t>Section</w:t>
            </w:r>
            <w:r>
              <w:rPr>
                <w:i/>
                <w:iCs/>
              </w:rPr>
              <w:t xml:space="preserve"> </w:t>
            </w:r>
            <w:r>
              <w:rPr>
                <w:i/>
                <w:iCs/>
              </w:rPr>
              <w:fldChar w:fldCharType="begin"/>
            </w:r>
            <w:r>
              <w:rPr>
                <w:i/>
                <w:iCs/>
              </w:rPr>
              <w:instrText xml:space="preserve"> REF _Ref71202663 \r \h </w:instrText>
            </w:r>
            <w:r w:rsidR="002A5A76">
              <w:rPr>
                <w:i/>
                <w:iCs/>
              </w:rPr>
              <w:instrText xml:space="preserve"> \* MERGEFORMAT </w:instrText>
            </w:r>
            <w:r>
              <w:rPr>
                <w:i/>
                <w:iCs/>
              </w:rPr>
            </w:r>
            <w:r>
              <w:rPr>
                <w:i/>
                <w:iCs/>
              </w:rPr>
              <w:fldChar w:fldCharType="separate"/>
            </w:r>
            <w:r w:rsidR="0017363C">
              <w:rPr>
                <w:i/>
                <w:iCs/>
              </w:rPr>
              <w:t>4.1</w:t>
            </w:r>
            <w:r>
              <w:rPr>
                <w:i/>
                <w:iCs/>
              </w:rPr>
              <w:fldChar w:fldCharType="end"/>
            </w:r>
            <w:r>
              <w:rPr>
                <w:i/>
                <w:iCs/>
              </w:rPr>
              <w:t xml:space="preserve"> and </w:t>
            </w:r>
            <w:r w:rsidR="005F417D">
              <w:rPr>
                <w:i/>
                <w:iCs/>
              </w:rPr>
              <w:t>Section</w:t>
            </w:r>
            <w:r>
              <w:rPr>
                <w:i/>
                <w:iCs/>
              </w:rPr>
              <w:t xml:space="preserve"> </w:t>
            </w:r>
            <w:r>
              <w:rPr>
                <w:i/>
                <w:iCs/>
              </w:rPr>
              <w:fldChar w:fldCharType="begin"/>
            </w:r>
            <w:r>
              <w:rPr>
                <w:i/>
                <w:iCs/>
              </w:rPr>
              <w:instrText xml:space="preserve"> REF _Ref71202765 \r \h </w:instrText>
            </w:r>
            <w:r w:rsidR="002A5A76">
              <w:rPr>
                <w:i/>
                <w:iCs/>
              </w:rPr>
              <w:instrText xml:space="preserve"> \* MERGEFORMAT </w:instrText>
            </w:r>
            <w:r>
              <w:rPr>
                <w:i/>
                <w:iCs/>
              </w:rPr>
            </w:r>
            <w:r>
              <w:rPr>
                <w:i/>
                <w:iCs/>
              </w:rPr>
              <w:fldChar w:fldCharType="separate"/>
            </w:r>
            <w:r w:rsidR="0017363C">
              <w:rPr>
                <w:i/>
                <w:iCs/>
              </w:rPr>
              <w:t>4.8</w:t>
            </w:r>
            <w:r>
              <w:rPr>
                <w:i/>
                <w:iCs/>
              </w:rPr>
              <w:fldChar w:fldCharType="end"/>
            </w:r>
            <w:r>
              <w:rPr>
                <w:i/>
                <w:iCs/>
              </w:rPr>
              <w:t>.</w:t>
            </w:r>
            <w:r w:rsidRPr="00C5698C">
              <w:rPr>
                <w:i/>
              </w:rPr>
              <w:t xml:space="preserve"> </w:t>
            </w:r>
          </w:p>
        </w:tc>
      </w:tr>
    </w:tbl>
    <w:p w14:paraId="4F6DE4AE" w14:textId="77777777" w:rsidR="001C5D20" w:rsidRDefault="001C5D20" w:rsidP="001C5D20">
      <w:pPr>
        <w:rPr>
          <w:color w:val="75787B" w:themeColor="accent6"/>
          <w:sz w:val="14"/>
          <w:szCs w:val="14"/>
        </w:rPr>
      </w:pPr>
      <w:r w:rsidRPr="00523AB0">
        <w:rPr>
          <w:color w:val="012169" w:themeColor="accent4"/>
          <w:sz w:val="14"/>
          <w:szCs w:val="14"/>
        </w:rPr>
        <w:t>Source: Deloitte Access Economics.</w:t>
      </w:r>
    </w:p>
    <w:p w14:paraId="7BCEFDC0" w14:textId="7F1666D6" w:rsidR="0013267D" w:rsidRDefault="00E37668" w:rsidP="0025140D">
      <w:pPr>
        <w:pStyle w:val="Heading2un-numbered"/>
      </w:pPr>
      <w:bookmarkStart w:id="79" w:name="_Toc72396560"/>
      <w:bookmarkStart w:id="80" w:name="_Toc94702037"/>
      <w:r>
        <w:lastRenderedPageBreak/>
        <w:t xml:space="preserve">Recommendation 5: </w:t>
      </w:r>
      <w:bookmarkEnd w:id="79"/>
      <w:r w:rsidR="00D1309A">
        <w:t>Scheme compliance</w:t>
      </w:r>
      <w:bookmarkEnd w:id="80"/>
    </w:p>
    <w:p w14:paraId="75EC782E" w14:textId="6CD2EEF3" w:rsidR="0013267D" w:rsidRDefault="0013267D">
      <w:pPr>
        <w:pStyle w:val="ExecTableCaption"/>
      </w:pPr>
      <w:bookmarkStart w:id="81" w:name="_Toc82590396"/>
      <w:r>
        <w:t>: Recommendation 5</w:t>
      </w:r>
      <w:bookmarkEnd w:id="81"/>
    </w:p>
    <w:tbl>
      <w:tblPr>
        <w:tblStyle w:val="Deloittetable"/>
        <w:tblW w:w="0" w:type="auto"/>
        <w:tblLook w:val="04A0" w:firstRow="1" w:lastRow="0" w:firstColumn="1" w:lastColumn="0" w:noHBand="0" w:noVBand="1"/>
        <w:tblDescription w:val="This table relates to recommendation 5: Support the regulator to conduct pro-active primary research on industry compliance to inform targeting of compliance activities and ensure trust in the system is retained."/>
      </w:tblPr>
      <w:tblGrid>
        <w:gridCol w:w="1777"/>
        <w:gridCol w:w="7249"/>
      </w:tblGrid>
      <w:tr w:rsidR="0013267D" w14:paraId="7E0E4607" w14:textId="77777777" w:rsidTr="002A76CD">
        <w:trPr>
          <w:cnfStyle w:val="100000000000" w:firstRow="1" w:lastRow="0" w:firstColumn="0" w:lastColumn="0" w:oddVBand="0" w:evenVBand="0" w:oddHBand="0" w:evenHBand="0" w:firstRowFirstColumn="0" w:firstRowLastColumn="0" w:lastRowFirstColumn="0" w:lastRowLastColumn="0"/>
          <w:tblHeader/>
        </w:trPr>
        <w:tc>
          <w:tcPr>
            <w:tcW w:w="1777" w:type="dxa"/>
            <w:tcBorders>
              <w:top w:val="single" w:sz="24" w:space="0" w:color="012169" w:themeColor="accent4"/>
            </w:tcBorders>
          </w:tcPr>
          <w:p w14:paraId="45B3A5A4" w14:textId="77777777" w:rsidR="0013267D" w:rsidRPr="00834C08" w:rsidRDefault="0013267D" w:rsidP="0046051D">
            <w:pPr>
              <w:rPr>
                <w:b/>
                <w:bCs/>
              </w:rPr>
            </w:pPr>
            <w:r w:rsidRPr="00834C08">
              <w:rPr>
                <w:b/>
                <w:bCs/>
              </w:rPr>
              <w:t>Recommendation</w:t>
            </w:r>
          </w:p>
        </w:tc>
        <w:tc>
          <w:tcPr>
            <w:tcW w:w="7249" w:type="dxa"/>
            <w:tcBorders>
              <w:top w:val="single" w:sz="24" w:space="0" w:color="012169" w:themeColor="accent4"/>
            </w:tcBorders>
          </w:tcPr>
          <w:p w14:paraId="17E66DC8" w14:textId="12B3A109" w:rsidR="0013267D" w:rsidRPr="00834C08" w:rsidRDefault="0060590F" w:rsidP="0046051D">
            <w:pPr>
              <w:rPr>
                <w:b/>
                <w:bCs/>
              </w:rPr>
            </w:pPr>
            <w:r w:rsidRPr="00834C08">
              <w:rPr>
                <w:b/>
                <w:bCs/>
              </w:rPr>
              <w:t>Support the regulator</w:t>
            </w:r>
            <w:r w:rsidR="00A22443">
              <w:rPr>
                <w:rStyle w:val="FootnoteReference"/>
                <w:b/>
                <w:bCs/>
              </w:rPr>
              <w:footnoteReference w:id="9"/>
            </w:r>
            <w:r w:rsidRPr="00834C08">
              <w:rPr>
                <w:b/>
                <w:bCs/>
              </w:rPr>
              <w:t xml:space="preserve"> to conduct pro-active primary research on industry compliance to inform targeting of compliance activities and ensure trust in the </w:t>
            </w:r>
            <w:r w:rsidR="00100956" w:rsidRPr="00834C08">
              <w:rPr>
                <w:b/>
                <w:bCs/>
              </w:rPr>
              <w:t>s</w:t>
            </w:r>
            <w:r w:rsidR="00100956">
              <w:rPr>
                <w:b/>
                <w:bCs/>
              </w:rPr>
              <w:t>cheme</w:t>
            </w:r>
            <w:r w:rsidR="00100956" w:rsidRPr="00834C08">
              <w:rPr>
                <w:b/>
                <w:bCs/>
              </w:rPr>
              <w:t xml:space="preserve"> </w:t>
            </w:r>
            <w:r w:rsidRPr="00834C08">
              <w:rPr>
                <w:b/>
                <w:bCs/>
              </w:rPr>
              <w:t>is retained.</w:t>
            </w:r>
          </w:p>
        </w:tc>
      </w:tr>
      <w:tr w:rsidR="0013267D" w14:paraId="2D16A771" w14:textId="77777777" w:rsidTr="00A80413">
        <w:tc>
          <w:tcPr>
            <w:tcW w:w="1777" w:type="dxa"/>
          </w:tcPr>
          <w:p w14:paraId="04A1797A" w14:textId="77777777" w:rsidR="0013267D" w:rsidRDefault="0013267D" w:rsidP="0046051D">
            <w:r>
              <w:t>Background</w:t>
            </w:r>
          </w:p>
        </w:tc>
        <w:tc>
          <w:tcPr>
            <w:tcW w:w="7249" w:type="dxa"/>
          </w:tcPr>
          <w:p w14:paraId="41BDE568" w14:textId="09A1F4AF" w:rsidR="0013267D" w:rsidRDefault="0055295E" w:rsidP="0046051D">
            <w:r>
              <w:t xml:space="preserve">The 2016 reforms </w:t>
            </w:r>
            <w:r w:rsidR="00281742" w:rsidRPr="00281742">
              <w:t xml:space="preserve">distilled the role of government monitoring and enforcement </w:t>
            </w:r>
            <w:r w:rsidR="00B85690">
              <w:t xml:space="preserve">of CoOL </w:t>
            </w:r>
            <w:r w:rsidR="00281742" w:rsidRPr="00281742">
              <w:t xml:space="preserve">from multiple agencies down to a single regulator (i.e. the </w:t>
            </w:r>
            <w:r w:rsidR="00B85690">
              <w:t>ACCC</w:t>
            </w:r>
            <w:r w:rsidR="00281742" w:rsidRPr="00281742">
              <w:t>).</w:t>
            </w:r>
            <w:r w:rsidR="009440BA">
              <w:t xml:space="preserve"> T</w:t>
            </w:r>
            <w:r w:rsidR="009440BA" w:rsidRPr="009440BA">
              <w:t xml:space="preserve">he ACCC </w:t>
            </w:r>
            <w:r w:rsidR="00207264">
              <w:t xml:space="preserve">had </w:t>
            </w:r>
            <w:r w:rsidR="009440BA" w:rsidRPr="009440BA">
              <w:t xml:space="preserve">engaged the </w:t>
            </w:r>
            <w:r w:rsidR="00B85690">
              <w:t>NMI</w:t>
            </w:r>
            <w:r w:rsidR="009440BA" w:rsidRPr="009440BA">
              <w:t xml:space="preserve"> to undertake market surveillance for country of origin food labelling</w:t>
            </w:r>
            <w:r w:rsidR="00B85690">
              <w:t xml:space="preserve">, which commenced </w:t>
            </w:r>
            <w:r w:rsidR="009440BA" w:rsidRPr="009440BA">
              <w:t>in September 2018</w:t>
            </w:r>
            <w:r w:rsidR="0010098D">
              <w:t>.</w:t>
            </w:r>
            <w:r w:rsidR="009440BA" w:rsidRPr="009440BA">
              <w:t xml:space="preserve"> </w:t>
            </w:r>
            <w:r w:rsidR="0010098D">
              <w:t xml:space="preserve">This was </w:t>
            </w:r>
            <w:r w:rsidR="009440BA" w:rsidRPr="009440BA">
              <w:t>due to continue until June 2020</w:t>
            </w:r>
            <w:r w:rsidR="00B85690">
              <w:t xml:space="preserve">, </w:t>
            </w:r>
            <w:r w:rsidR="0010098D">
              <w:t>but was interrupted by</w:t>
            </w:r>
            <w:r w:rsidR="00984E9A">
              <w:t xml:space="preserve"> the</w:t>
            </w:r>
            <w:r w:rsidR="00B85690">
              <w:t xml:space="preserve"> COVID-19 pandemic</w:t>
            </w:r>
            <w:r w:rsidR="00207264">
              <w:t>. The ACCC does not currently receive funding for compliance activities</w:t>
            </w:r>
            <w:r w:rsidR="005E1019">
              <w:t>,</w:t>
            </w:r>
            <w:r w:rsidR="0010098D">
              <w:t xml:space="preserve"> and future funding for compliance </w:t>
            </w:r>
            <w:r w:rsidR="00770658">
              <w:t xml:space="preserve">activities </w:t>
            </w:r>
            <w:r w:rsidR="001B4ECC">
              <w:t>i</w:t>
            </w:r>
            <w:r w:rsidR="0010098D">
              <w:t>s unclear</w:t>
            </w:r>
            <w:r w:rsidR="009440BA" w:rsidRPr="009440BA">
              <w:t>.</w:t>
            </w:r>
          </w:p>
        </w:tc>
      </w:tr>
      <w:tr w:rsidR="001565E7" w14:paraId="60050BBE" w14:textId="77777777" w:rsidTr="00A80413">
        <w:tc>
          <w:tcPr>
            <w:tcW w:w="1777" w:type="dxa"/>
          </w:tcPr>
          <w:p w14:paraId="7A082E52" w14:textId="61351C2C" w:rsidR="001565E7" w:rsidRDefault="001565E7" w:rsidP="0046051D">
            <w:r>
              <w:t>Rationale</w:t>
            </w:r>
          </w:p>
        </w:tc>
        <w:tc>
          <w:tcPr>
            <w:tcW w:w="7249" w:type="dxa"/>
          </w:tcPr>
          <w:p w14:paraId="26E5FC19" w14:textId="7189F464" w:rsidR="001565E7" w:rsidRDefault="00CB5BEE" w:rsidP="0046051D">
            <w:r>
              <w:t>The monitoring and compliance activities of the regulator have provided satisfactory outcomes</w:t>
            </w:r>
            <w:r w:rsidR="001B4ECC">
              <w:t>;</w:t>
            </w:r>
            <w:r>
              <w:t xml:space="preserve"> </w:t>
            </w:r>
            <w:r w:rsidR="001B4ECC">
              <w:t>these must</w:t>
            </w:r>
            <w:r>
              <w:t xml:space="preserve"> continue to ensure ongoing integrity of the scheme. </w:t>
            </w:r>
            <w:r w:rsidR="009440BA">
              <w:t>Unless the Australian Government knows whether the scheme is being complied with</w:t>
            </w:r>
            <w:r w:rsidR="00024C3C">
              <w:t>,</w:t>
            </w:r>
            <w:r w:rsidR="009440BA">
              <w:t xml:space="preserve"> then it cannot be clear that the scheme is being effective. This recommendation is </w:t>
            </w:r>
            <w:r w:rsidR="000A46A9">
              <w:t>about ensuring that</w:t>
            </w:r>
            <w:r w:rsidR="001565E7">
              <w:t xml:space="preserve"> the scheme is operating as intended</w:t>
            </w:r>
            <w:r w:rsidR="00F231A2">
              <w:t xml:space="preserve"> in the future.</w:t>
            </w:r>
          </w:p>
        </w:tc>
      </w:tr>
      <w:tr w:rsidR="0013267D" w14:paraId="68481928" w14:textId="77777777" w:rsidTr="00A80413">
        <w:tc>
          <w:tcPr>
            <w:tcW w:w="1777" w:type="dxa"/>
          </w:tcPr>
          <w:p w14:paraId="592259AA" w14:textId="77777777" w:rsidR="0013267D" w:rsidRPr="003E2CAB" w:rsidRDefault="0013267D" w:rsidP="0046051D">
            <w:pPr>
              <w:rPr>
                <w:b/>
                <w:bCs/>
              </w:rPr>
            </w:pPr>
            <w:r w:rsidRPr="003E2CAB">
              <w:rPr>
                <w:b/>
                <w:bCs/>
              </w:rPr>
              <w:t>Key Findings</w:t>
            </w:r>
          </w:p>
        </w:tc>
        <w:tc>
          <w:tcPr>
            <w:tcW w:w="7249" w:type="dxa"/>
          </w:tcPr>
          <w:p w14:paraId="15D6B0C4" w14:textId="6AE5BF97" w:rsidR="0013267D" w:rsidRPr="003E2CAB" w:rsidRDefault="0013267D" w:rsidP="0046051D">
            <w:pPr>
              <w:rPr>
                <w:b/>
                <w:bCs/>
              </w:rPr>
            </w:pPr>
          </w:p>
        </w:tc>
      </w:tr>
      <w:tr w:rsidR="00F4718F" w14:paraId="2C35D14D" w14:textId="77777777" w:rsidTr="00A80413">
        <w:tc>
          <w:tcPr>
            <w:tcW w:w="1777" w:type="dxa"/>
          </w:tcPr>
          <w:p w14:paraId="4BBC385F" w14:textId="77777777" w:rsidR="00F4718F" w:rsidRDefault="00F4718F" w:rsidP="00F4718F"/>
        </w:tc>
        <w:tc>
          <w:tcPr>
            <w:tcW w:w="7249" w:type="dxa"/>
          </w:tcPr>
          <w:p w14:paraId="0ECB66DC" w14:textId="411B9E73" w:rsidR="00F4718F" w:rsidRDefault="00F4718F" w:rsidP="00F4718F">
            <w:r w:rsidRPr="00F977D1">
              <w:rPr>
                <w:rFonts w:eastAsia="Times New Roman" w:cs="Arial"/>
                <w:b/>
                <w:color w:val="000000" w:themeColor="text1"/>
                <w:kern w:val="24"/>
                <w:lang w:eastAsia="en-AU"/>
              </w:rPr>
              <w:t>Compliance with CoOL requirements</w:t>
            </w:r>
          </w:p>
        </w:tc>
      </w:tr>
      <w:tr w:rsidR="00F4718F" w14:paraId="5F3B7B46" w14:textId="77777777" w:rsidTr="00A80413">
        <w:tc>
          <w:tcPr>
            <w:tcW w:w="1777" w:type="dxa"/>
          </w:tcPr>
          <w:p w14:paraId="27AB4679" w14:textId="10359FED" w:rsidR="00F4718F" w:rsidRDefault="00F4718F" w:rsidP="00F4718F"/>
        </w:tc>
        <w:tc>
          <w:tcPr>
            <w:tcW w:w="7249" w:type="dxa"/>
          </w:tcPr>
          <w:p w14:paraId="70BB5F14" w14:textId="19DE3773" w:rsidR="00F4718F" w:rsidRPr="00237138" w:rsidRDefault="00F4718F" w:rsidP="00F4718F">
            <w:r w:rsidRPr="00237138">
              <w:rPr>
                <w:rFonts w:asciiTheme="majorHAnsi" w:hAnsiTheme="majorHAnsi"/>
              </w:rPr>
              <w:t>Despite initial difficulties in implementing and complying with CoOL requirements in the transition period, there is reportedly a generally high level of business compliance with CoOL requirements</w:t>
            </w:r>
            <w:r w:rsidR="0058792F" w:rsidRPr="00237138">
              <w:rPr>
                <w:rFonts w:asciiTheme="majorHAnsi" w:hAnsiTheme="majorHAnsi"/>
              </w:rPr>
              <w:t xml:space="preserve"> for major supermarkets</w:t>
            </w:r>
            <w:r w:rsidRPr="00237138">
              <w:rPr>
                <w:rFonts w:asciiTheme="majorHAnsi" w:hAnsiTheme="majorHAnsi"/>
              </w:rPr>
              <w:t xml:space="preserve">. </w:t>
            </w:r>
            <w:r w:rsidR="00AB1B7E" w:rsidRPr="00237138">
              <w:t>(Key finding 4</w:t>
            </w:r>
            <w:r w:rsidR="00B93F78">
              <w:t>6</w:t>
            </w:r>
            <w:r w:rsidR="00AB1B7E" w:rsidRPr="00237138">
              <w:t xml:space="preserve">, </w:t>
            </w:r>
            <w:r w:rsidR="00AB1B7E" w:rsidRPr="0051407F">
              <w:t xml:space="preserve">Section </w:t>
            </w:r>
            <w:r w:rsidR="00530FD3" w:rsidRPr="00237138">
              <w:t>5.2</w:t>
            </w:r>
            <w:r w:rsidR="00AB1B7E" w:rsidRPr="00237138">
              <w:t>)</w:t>
            </w:r>
          </w:p>
        </w:tc>
      </w:tr>
      <w:tr w:rsidR="00F4718F" w14:paraId="5C8535D4" w14:textId="77777777" w:rsidTr="00A80413">
        <w:tc>
          <w:tcPr>
            <w:tcW w:w="1777" w:type="dxa"/>
          </w:tcPr>
          <w:p w14:paraId="30F9F816" w14:textId="74450FC6" w:rsidR="00F4718F" w:rsidRDefault="00F4718F" w:rsidP="00F4718F"/>
        </w:tc>
        <w:tc>
          <w:tcPr>
            <w:tcW w:w="7249" w:type="dxa"/>
          </w:tcPr>
          <w:p w14:paraId="00AF34B2" w14:textId="4DC3CE70" w:rsidR="00F4718F" w:rsidRPr="00237138" w:rsidRDefault="00F4718F" w:rsidP="00F4718F">
            <w:r w:rsidRPr="00237138">
              <w:rPr>
                <w:rFonts w:asciiTheme="majorHAnsi" w:hAnsiTheme="majorHAnsi"/>
              </w:rPr>
              <w:t xml:space="preserve">However, there were some areas identified (in work undertaken by the </w:t>
            </w:r>
            <w:r w:rsidR="00F47B73" w:rsidRPr="00237138">
              <w:rPr>
                <w:rFonts w:asciiTheme="majorHAnsi" w:hAnsiTheme="majorHAnsi"/>
              </w:rPr>
              <w:t>NMI</w:t>
            </w:r>
            <w:r w:rsidRPr="00237138">
              <w:rPr>
                <w:rFonts w:asciiTheme="majorHAnsi" w:hAnsiTheme="majorHAnsi"/>
              </w:rPr>
              <w:t xml:space="preserve"> for the ACCC </w:t>
            </w:r>
            <w:r w:rsidR="0058792F" w:rsidRPr="00237138">
              <w:rPr>
                <w:rFonts w:asciiTheme="majorHAnsi" w:hAnsiTheme="majorHAnsi"/>
              </w:rPr>
              <w:t>across 2018-19 and 2019-20</w:t>
            </w:r>
            <w:r w:rsidRPr="00237138">
              <w:rPr>
                <w:rFonts w:asciiTheme="majorHAnsi" w:hAnsiTheme="majorHAnsi"/>
              </w:rPr>
              <w:t xml:space="preserve">) as having higher non-compliance rates. These include </w:t>
            </w:r>
            <w:r w:rsidR="00050804" w:rsidRPr="00237138">
              <w:rPr>
                <w:rFonts w:asciiTheme="majorHAnsi" w:hAnsiTheme="majorHAnsi"/>
              </w:rPr>
              <w:t>independent supermarkets and meat and seafood retailers.</w:t>
            </w:r>
            <w:r w:rsidRPr="00237138">
              <w:rPr>
                <w:rFonts w:asciiTheme="majorHAnsi" w:hAnsiTheme="majorHAnsi"/>
              </w:rPr>
              <w:t xml:space="preserve"> </w:t>
            </w:r>
            <w:r w:rsidR="00AB1B7E" w:rsidRPr="00237138">
              <w:t>(Key finding 4</w:t>
            </w:r>
            <w:r w:rsidR="00B93F78">
              <w:t>7</w:t>
            </w:r>
            <w:r w:rsidR="00AB1B7E" w:rsidRPr="00237138">
              <w:t xml:space="preserve">, </w:t>
            </w:r>
            <w:r w:rsidR="00AB1B7E" w:rsidRPr="0051407F">
              <w:t xml:space="preserve">Section </w:t>
            </w:r>
            <w:r w:rsidR="00A80C2C" w:rsidRPr="00237138">
              <w:t>5.2</w:t>
            </w:r>
            <w:r w:rsidR="00AB1B7E" w:rsidRPr="00237138">
              <w:t>)</w:t>
            </w:r>
          </w:p>
        </w:tc>
      </w:tr>
      <w:tr w:rsidR="00783831" w14:paraId="3FF091AA" w14:textId="77777777" w:rsidTr="00A80413">
        <w:tc>
          <w:tcPr>
            <w:tcW w:w="1777" w:type="dxa"/>
          </w:tcPr>
          <w:p w14:paraId="409E7C60" w14:textId="77777777" w:rsidR="00783831" w:rsidRDefault="00783831" w:rsidP="00783831"/>
        </w:tc>
        <w:tc>
          <w:tcPr>
            <w:tcW w:w="7249" w:type="dxa"/>
          </w:tcPr>
          <w:p w14:paraId="1B16420C" w14:textId="7BB1DA26" w:rsidR="00783831" w:rsidRPr="00E53797" w:rsidRDefault="00783831" w:rsidP="00783831">
            <w:pPr>
              <w:rPr>
                <w:rFonts w:asciiTheme="majorHAnsi" w:hAnsiTheme="majorHAnsi"/>
              </w:rPr>
            </w:pPr>
            <w:r w:rsidRPr="00F977D1">
              <w:rPr>
                <w:b/>
                <w:lang w:eastAsia="en-AU"/>
              </w:rPr>
              <w:t>Communication and online resources</w:t>
            </w:r>
          </w:p>
        </w:tc>
      </w:tr>
      <w:tr w:rsidR="00783831" w14:paraId="3CF1045F" w14:textId="77777777" w:rsidTr="00A80413">
        <w:tc>
          <w:tcPr>
            <w:tcW w:w="1777" w:type="dxa"/>
          </w:tcPr>
          <w:p w14:paraId="013C6D44" w14:textId="187B267A" w:rsidR="00783831" w:rsidRDefault="00783831" w:rsidP="00783831"/>
        </w:tc>
        <w:tc>
          <w:tcPr>
            <w:tcW w:w="7249" w:type="dxa"/>
          </w:tcPr>
          <w:p w14:paraId="063867C1" w14:textId="477FE06D" w:rsidR="00783831" w:rsidRPr="00237138" w:rsidRDefault="00783831" w:rsidP="00783831">
            <w:pPr>
              <w:rPr>
                <w:rFonts w:asciiTheme="majorHAnsi" w:hAnsiTheme="majorHAnsi"/>
              </w:rPr>
            </w:pPr>
            <w:r w:rsidRPr="00237138">
              <w:t xml:space="preserve">In general, businesses have indicated that communication activities and online resources were effective in supporting businesses in understanding, implementing and managing CoOL requirements. Continued education and communication to businesses and consumers </w:t>
            </w:r>
            <w:r w:rsidR="008408E1" w:rsidRPr="00237138">
              <w:t xml:space="preserve">are </w:t>
            </w:r>
            <w:r w:rsidRPr="00237138">
              <w:t xml:space="preserve">important. More recently, communication material has not been prominent. </w:t>
            </w:r>
            <w:r w:rsidR="00AB1B7E" w:rsidRPr="00237138">
              <w:t>(Key finding 5</w:t>
            </w:r>
            <w:r w:rsidR="00AF2C59">
              <w:t>4</w:t>
            </w:r>
            <w:r w:rsidR="00AB1B7E" w:rsidRPr="00237138">
              <w:t xml:space="preserve">, </w:t>
            </w:r>
            <w:r w:rsidR="00AB1B7E" w:rsidRPr="0051407F">
              <w:t xml:space="preserve">Section </w:t>
            </w:r>
            <w:r w:rsidR="00A279A1" w:rsidRPr="00237138">
              <w:t>6.1</w:t>
            </w:r>
            <w:r w:rsidR="00AB1B7E" w:rsidRPr="00237138">
              <w:t>)</w:t>
            </w:r>
          </w:p>
        </w:tc>
      </w:tr>
      <w:tr w:rsidR="00A80413" w14:paraId="2ED2E44F" w14:textId="77777777" w:rsidTr="00A80413">
        <w:tc>
          <w:tcPr>
            <w:tcW w:w="1777" w:type="dxa"/>
          </w:tcPr>
          <w:p w14:paraId="2C346548" w14:textId="0FD181BA" w:rsidR="00A80413" w:rsidRDefault="00A80413" w:rsidP="00A80413"/>
        </w:tc>
        <w:tc>
          <w:tcPr>
            <w:tcW w:w="7249" w:type="dxa"/>
          </w:tcPr>
          <w:p w14:paraId="711E348C" w14:textId="465B53B9" w:rsidR="00A80413" w:rsidRPr="00237138" w:rsidRDefault="00A80413" w:rsidP="00A80413">
            <w:pPr>
              <w:rPr>
                <w:rFonts w:asciiTheme="majorHAnsi" w:hAnsiTheme="majorHAnsi"/>
              </w:rPr>
            </w:pPr>
            <w:r>
              <w:t>The</w:t>
            </w:r>
            <w:r w:rsidRPr="00AD0ACA">
              <w:t xml:space="preserve"> examples provided </w:t>
            </w:r>
            <w:r>
              <w:t xml:space="preserve">by the regulator </w:t>
            </w:r>
            <w:r w:rsidRPr="00AD0ACA">
              <w:t>on the definition of ‘substantial transformation’</w:t>
            </w:r>
            <w:r>
              <w:t xml:space="preserve"> could be more detailed as a means of providing further guidance </w:t>
            </w:r>
            <w:r>
              <w:lastRenderedPageBreak/>
              <w:t xml:space="preserve">to industry, noting this is currently predominantly based on legislative and/or regulatory instruments. </w:t>
            </w:r>
            <w:r w:rsidRPr="00237138">
              <w:t>(Key finding 5</w:t>
            </w:r>
            <w:r>
              <w:t>5</w:t>
            </w:r>
            <w:r w:rsidRPr="00237138">
              <w:t xml:space="preserve">, </w:t>
            </w:r>
            <w:r w:rsidRPr="0051407F">
              <w:t xml:space="preserve">Section </w:t>
            </w:r>
            <w:r w:rsidRPr="00237138">
              <w:t>6.1)</w:t>
            </w:r>
          </w:p>
        </w:tc>
      </w:tr>
      <w:tr w:rsidR="00A80413" w14:paraId="37D999EB" w14:textId="77777777" w:rsidTr="00A80413">
        <w:tc>
          <w:tcPr>
            <w:tcW w:w="1777" w:type="dxa"/>
          </w:tcPr>
          <w:p w14:paraId="3422E5C1" w14:textId="77777777" w:rsidR="00A80413" w:rsidRDefault="00A80413" w:rsidP="00A80413">
            <w:r>
              <w:lastRenderedPageBreak/>
              <w:t>Evidence</w:t>
            </w:r>
          </w:p>
        </w:tc>
        <w:tc>
          <w:tcPr>
            <w:tcW w:w="7249" w:type="dxa"/>
          </w:tcPr>
          <w:p w14:paraId="39D4E81E" w14:textId="3C155603" w:rsidR="00A80413" w:rsidRPr="002C2343" w:rsidRDefault="00A80413" w:rsidP="00A80413">
            <w:pPr>
              <w:rPr>
                <w:i/>
              </w:rPr>
            </w:pPr>
            <w:r w:rsidRPr="002C2343">
              <w:rPr>
                <w:i/>
              </w:rPr>
              <w:t xml:space="preserve">Evidence </w:t>
            </w:r>
            <w:r>
              <w:rPr>
                <w:i/>
                <w:iCs/>
              </w:rPr>
              <w:t xml:space="preserve">for </w:t>
            </w:r>
            <w:r w:rsidRPr="002C2343">
              <w:rPr>
                <w:i/>
              </w:rPr>
              <w:t>the</w:t>
            </w:r>
            <w:r>
              <w:rPr>
                <w:i/>
                <w:iCs/>
              </w:rPr>
              <w:t xml:space="preserve"> </w:t>
            </w:r>
            <w:r w:rsidRPr="002C2343">
              <w:rPr>
                <w:i/>
              </w:rPr>
              <w:t xml:space="preserve">key findings is </w:t>
            </w:r>
            <w:r>
              <w:rPr>
                <w:i/>
              </w:rPr>
              <w:t>provided in</w:t>
            </w:r>
            <w:r w:rsidRPr="002C2343">
              <w:rPr>
                <w:i/>
              </w:rPr>
              <w:t xml:space="preserve"> </w:t>
            </w:r>
            <w:r>
              <w:rPr>
                <w:i/>
                <w:iCs/>
              </w:rPr>
              <w:t>Section</w:t>
            </w:r>
            <w:r w:rsidRPr="002C2343">
              <w:rPr>
                <w:i/>
              </w:rPr>
              <w:t xml:space="preserve"> </w:t>
            </w:r>
            <w:r w:rsidRPr="00F60F67">
              <w:rPr>
                <w:i/>
              </w:rPr>
              <w:fldChar w:fldCharType="begin"/>
            </w:r>
            <w:r w:rsidRPr="002C2343">
              <w:rPr>
                <w:i/>
              </w:rPr>
              <w:instrText xml:space="preserve"> REF _Ref71203400 \r \h </w:instrText>
            </w:r>
            <w:r>
              <w:rPr>
                <w:i/>
                <w:iCs/>
              </w:rPr>
              <w:instrText xml:space="preserve"> \* MERGEFORMAT </w:instrText>
            </w:r>
            <w:r w:rsidRPr="00F60F67">
              <w:rPr>
                <w:i/>
              </w:rPr>
            </w:r>
            <w:r w:rsidRPr="00F60F67">
              <w:rPr>
                <w:i/>
              </w:rPr>
              <w:fldChar w:fldCharType="separate"/>
            </w:r>
            <w:r w:rsidR="0017363C">
              <w:rPr>
                <w:i/>
              </w:rPr>
              <w:t>5.2</w:t>
            </w:r>
            <w:r w:rsidRPr="00F60F67">
              <w:rPr>
                <w:i/>
              </w:rPr>
              <w:fldChar w:fldCharType="end"/>
            </w:r>
            <w:r w:rsidRPr="002C2343">
              <w:rPr>
                <w:i/>
              </w:rPr>
              <w:t xml:space="preserve"> and</w:t>
            </w:r>
            <w:r>
              <w:rPr>
                <w:i/>
                <w:iCs/>
              </w:rPr>
              <w:t xml:space="preserve"> Section </w:t>
            </w:r>
            <w:r>
              <w:rPr>
                <w:i/>
                <w:iCs/>
              </w:rPr>
              <w:fldChar w:fldCharType="begin"/>
            </w:r>
            <w:r>
              <w:rPr>
                <w:i/>
                <w:iCs/>
              </w:rPr>
              <w:instrText xml:space="preserve"> REF _Ref71203488 \r \h  \* MERGEFORMAT </w:instrText>
            </w:r>
            <w:r>
              <w:rPr>
                <w:i/>
                <w:iCs/>
              </w:rPr>
            </w:r>
            <w:r>
              <w:rPr>
                <w:i/>
                <w:iCs/>
              </w:rPr>
              <w:fldChar w:fldCharType="separate"/>
            </w:r>
            <w:r w:rsidR="0017363C">
              <w:rPr>
                <w:i/>
                <w:iCs/>
              </w:rPr>
              <w:t>6.1</w:t>
            </w:r>
            <w:r>
              <w:rPr>
                <w:i/>
                <w:iCs/>
              </w:rPr>
              <w:fldChar w:fldCharType="end"/>
            </w:r>
            <w:r>
              <w:rPr>
                <w:i/>
                <w:iCs/>
              </w:rPr>
              <w:t>.</w:t>
            </w:r>
            <w:r w:rsidRPr="002C2343">
              <w:rPr>
                <w:i/>
              </w:rPr>
              <w:t xml:space="preserve"> </w:t>
            </w:r>
          </w:p>
        </w:tc>
      </w:tr>
    </w:tbl>
    <w:p w14:paraId="1A6C7FC2" w14:textId="77777777" w:rsidR="001C5D20" w:rsidRPr="00F672DA" w:rsidRDefault="001C5D20" w:rsidP="001C5D20">
      <w:r w:rsidRPr="00523AB0">
        <w:rPr>
          <w:color w:val="012169" w:themeColor="accent4"/>
          <w:sz w:val="14"/>
          <w:szCs w:val="14"/>
        </w:rPr>
        <w:t>Source: Deloitte Access Economics.</w:t>
      </w:r>
    </w:p>
    <w:p w14:paraId="23854DDD" w14:textId="574A9422" w:rsidR="00E03640" w:rsidRDefault="00E37668" w:rsidP="0025140D">
      <w:pPr>
        <w:pStyle w:val="Heading2un-numbered"/>
      </w:pPr>
      <w:bookmarkStart w:id="82" w:name="_Toc72396561"/>
      <w:bookmarkStart w:id="83" w:name="_Toc94702038"/>
      <w:r>
        <w:t xml:space="preserve">Recommendation 6: </w:t>
      </w:r>
      <w:bookmarkEnd w:id="82"/>
      <w:r w:rsidR="001E7931">
        <w:t>Business understanding</w:t>
      </w:r>
      <w:r w:rsidR="00152A61">
        <w:t xml:space="preserve"> </w:t>
      </w:r>
      <w:r w:rsidR="00C227B4">
        <w:t>and impact</w:t>
      </w:r>
      <w:bookmarkEnd w:id="83"/>
    </w:p>
    <w:p w14:paraId="1BA0056C" w14:textId="74F29F92" w:rsidR="0013267D" w:rsidRDefault="0013267D">
      <w:pPr>
        <w:pStyle w:val="ExecTableCaption"/>
      </w:pPr>
      <w:bookmarkStart w:id="84" w:name="_Ref71196364"/>
      <w:bookmarkStart w:id="85" w:name="_Toc82590397"/>
      <w:r>
        <w:t>: Recommendation 6</w:t>
      </w:r>
      <w:bookmarkEnd w:id="84"/>
      <w:bookmarkEnd w:id="85"/>
    </w:p>
    <w:tbl>
      <w:tblPr>
        <w:tblStyle w:val="Deloittetable"/>
        <w:tblW w:w="0" w:type="auto"/>
        <w:tblLook w:val="04A0" w:firstRow="1" w:lastRow="0" w:firstColumn="1" w:lastColumn="0" w:noHBand="0" w:noVBand="1"/>
        <w:tblDescription w:val="This table relates to recommnedation 6: Complete a review of wording and definitions in the regulations to ensure clarity (mitigate any potential confusion) for industry."/>
      </w:tblPr>
      <w:tblGrid>
        <w:gridCol w:w="1777"/>
        <w:gridCol w:w="7249"/>
      </w:tblGrid>
      <w:tr w:rsidR="0013267D" w14:paraId="7B747F3C" w14:textId="77777777" w:rsidTr="002A76CD">
        <w:trPr>
          <w:cnfStyle w:val="100000000000" w:firstRow="1" w:lastRow="0" w:firstColumn="0" w:lastColumn="0" w:oddVBand="0" w:evenVBand="0" w:oddHBand="0" w:evenHBand="0" w:firstRowFirstColumn="0" w:firstRowLastColumn="0" w:lastRowFirstColumn="0" w:lastRowLastColumn="0"/>
          <w:tblHeader/>
        </w:trPr>
        <w:tc>
          <w:tcPr>
            <w:tcW w:w="1777" w:type="dxa"/>
            <w:tcBorders>
              <w:top w:val="single" w:sz="24" w:space="0" w:color="012169" w:themeColor="accent4"/>
            </w:tcBorders>
          </w:tcPr>
          <w:p w14:paraId="63DBEEBF" w14:textId="77777777" w:rsidR="0013267D" w:rsidRPr="00834C08" w:rsidRDefault="0013267D" w:rsidP="0046051D">
            <w:pPr>
              <w:rPr>
                <w:b/>
                <w:bCs/>
              </w:rPr>
            </w:pPr>
            <w:r w:rsidRPr="00834C08">
              <w:rPr>
                <w:b/>
                <w:bCs/>
              </w:rPr>
              <w:t>Recommendation</w:t>
            </w:r>
          </w:p>
        </w:tc>
        <w:tc>
          <w:tcPr>
            <w:tcW w:w="7249" w:type="dxa"/>
            <w:tcBorders>
              <w:top w:val="single" w:sz="24" w:space="0" w:color="012169" w:themeColor="accent4"/>
            </w:tcBorders>
          </w:tcPr>
          <w:p w14:paraId="0762FC44" w14:textId="144FCEA9" w:rsidR="0013267D" w:rsidRPr="00834C08" w:rsidRDefault="00B53570">
            <w:pPr>
              <w:spacing w:after="0"/>
              <w:rPr>
                <w:b/>
                <w:bCs/>
              </w:rPr>
            </w:pPr>
            <w:r w:rsidRPr="00834C08">
              <w:rPr>
                <w:b/>
                <w:bCs/>
              </w:rPr>
              <w:t xml:space="preserve">Complete a review of wording and definitions in the </w:t>
            </w:r>
            <w:r w:rsidR="00B56830">
              <w:rPr>
                <w:b/>
                <w:bCs/>
              </w:rPr>
              <w:t>Information Standard</w:t>
            </w:r>
            <w:r w:rsidR="00B56830" w:rsidRPr="00834C08">
              <w:rPr>
                <w:b/>
                <w:bCs/>
              </w:rPr>
              <w:t xml:space="preserve"> </w:t>
            </w:r>
            <w:r w:rsidRPr="00834C08">
              <w:rPr>
                <w:b/>
                <w:bCs/>
              </w:rPr>
              <w:t xml:space="preserve">to ensure </w:t>
            </w:r>
            <w:r w:rsidR="00B56830">
              <w:rPr>
                <w:b/>
                <w:bCs/>
              </w:rPr>
              <w:t>they are as clear as possible</w:t>
            </w:r>
            <w:r w:rsidR="00B56830" w:rsidRPr="00834C08">
              <w:rPr>
                <w:b/>
                <w:bCs/>
              </w:rPr>
              <w:t xml:space="preserve"> </w:t>
            </w:r>
            <w:r w:rsidRPr="00834C08">
              <w:rPr>
                <w:b/>
                <w:bCs/>
              </w:rPr>
              <w:t>for industr</w:t>
            </w:r>
            <w:r w:rsidR="00B56830">
              <w:rPr>
                <w:b/>
                <w:bCs/>
              </w:rPr>
              <w:t>y and other stakeholders.</w:t>
            </w:r>
            <w:r w:rsidR="0047620F">
              <w:rPr>
                <w:rStyle w:val="FootnoteReference"/>
                <w:b/>
                <w:bCs/>
              </w:rPr>
              <w:footnoteReference w:id="10"/>
            </w:r>
            <w:r w:rsidR="00B56830">
              <w:rPr>
                <w:b/>
                <w:bCs/>
              </w:rPr>
              <w:t xml:space="preserve"> </w:t>
            </w:r>
          </w:p>
        </w:tc>
      </w:tr>
      <w:tr w:rsidR="0013267D" w14:paraId="6BEF351F" w14:textId="77777777" w:rsidTr="00C14D4E">
        <w:tc>
          <w:tcPr>
            <w:tcW w:w="1777" w:type="dxa"/>
          </w:tcPr>
          <w:p w14:paraId="3F422C63" w14:textId="77777777" w:rsidR="0013267D" w:rsidRDefault="0013267D" w:rsidP="0046051D">
            <w:r>
              <w:t>Background</w:t>
            </w:r>
          </w:p>
        </w:tc>
        <w:tc>
          <w:tcPr>
            <w:tcW w:w="7249" w:type="dxa"/>
          </w:tcPr>
          <w:p w14:paraId="68ADBB16" w14:textId="179C5BF7" w:rsidR="0013267D" w:rsidRDefault="00D3751C">
            <w:pPr>
              <w:spacing w:after="0"/>
            </w:pPr>
            <w:r>
              <w:t xml:space="preserve">The </w:t>
            </w:r>
            <w:r w:rsidR="00A816C9">
              <w:t xml:space="preserve">Country of Origin Food Labelling </w:t>
            </w:r>
            <w:r>
              <w:t>Information Standard</w:t>
            </w:r>
            <w:r w:rsidR="00A816C9">
              <w:t xml:space="preserve"> 2016 was last compiled in August 2017.</w:t>
            </w:r>
            <w:r>
              <w:t xml:space="preserve"> </w:t>
            </w:r>
            <w:r w:rsidR="001565E7">
              <w:t xml:space="preserve">As with any </w:t>
            </w:r>
            <w:r w:rsidR="00A816C9">
              <w:t xml:space="preserve">relatively </w:t>
            </w:r>
            <w:r w:rsidR="001565E7">
              <w:t xml:space="preserve">new regulation, it is to be expected that upon the regulation having been used for a period of time, there may be further revisions needed to ensure stakeholders have a consistent understanding with regard to </w:t>
            </w:r>
            <w:r w:rsidR="00A816C9">
              <w:t xml:space="preserve">its </w:t>
            </w:r>
            <w:r w:rsidR="001565E7">
              <w:t>interpretation. It was not within the scope of the evaluation to undertake a review of legal terms.</w:t>
            </w:r>
          </w:p>
        </w:tc>
      </w:tr>
      <w:tr w:rsidR="001565E7" w14:paraId="2CB17D86" w14:textId="77777777" w:rsidTr="00C14D4E">
        <w:tc>
          <w:tcPr>
            <w:tcW w:w="1777" w:type="dxa"/>
          </w:tcPr>
          <w:p w14:paraId="44697ABC" w14:textId="6B9ABE94" w:rsidR="001565E7" w:rsidRDefault="001565E7" w:rsidP="0046051D">
            <w:r>
              <w:t>Rationale</w:t>
            </w:r>
          </w:p>
        </w:tc>
        <w:tc>
          <w:tcPr>
            <w:tcW w:w="7249" w:type="dxa"/>
          </w:tcPr>
          <w:p w14:paraId="1D965E6F" w14:textId="30080BBC" w:rsidR="001565E7" w:rsidRDefault="001565E7" w:rsidP="001565E7">
            <w:pPr>
              <w:spacing w:after="0"/>
            </w:pPr>
            <w:r>
              <w:t xml:space="preserve">Industry groups </w:t>
            </w:r>
            <w:r w:rsidR="00E77B1E">
              <w:t xml:space="preserve">that are working closely with the regulations </w:t>
            </w:r>
            <w:r>
              <w:t>have reported several issues regarding wording and definitions that warrant a broader review.</w:t>
            </w:r>
          </w:p>
        </w:tc>
      </w:tr>
      <w:tr w:rsidR="0013267D" w14:paraId="6F2BF305" w14:textId="77777777" w:rsidTr="00C14D4E">
        <w:tc>
          <w:tcPr>
            <w:tcW w:w="1777" w:type="dxa"/>
          </w:tcPr>
          <w:p w14:paraId="52D5E94F" w14:textId="77777777" w:rsidR="0013267D" w:rsidRPr="003E2CAB" w:rsidRDefault="0013267D" w:rsidP="0046051D">
            <w:pPr>
              <w:rPr>
                <w:b/>
                <w:bCs/>
              </w:rPr>
            </w:pPr>
            <w:r w:rsidRPr="003E2CAB">
              <w:rPr>
                <w:b/>
                <w:bCs/>
              </w:rPr>
              <w:t>Key Findings</w:t>
            </w:r>
          </w:p>
        </w:tc>
        <w:tc>
          <w:tcPr>
            <w:tcW w:w="7249" w:type="dxa"/>
          </w:tcPr>
          <w:p w14:paraId="7364700F" w14:textId="77777777" w:rsidR="0013267D" w:rsidRPr="003E2CAB" w:rsidRDefault="0013267D" w:rsidP="0046051D">
            <w:pPr>
              <w:rPr>
                <w:b/>
                <w:bCs/>
              </w:rPr>
            </w:pPr>
          </w:p>
        </w:tc>
      </w:tr>
      <w:tr w:rsidR="007A45E9" w14:paraId="5E2729C9" w14:textId="77777777" w:rsidTr="00C14D4E">
        <w:tc>
          <w:tcPr>
            <w:tcW w:w="1777" w:type="dxa"/>
          </w:tcPr>
          <w:p w14:paraId="21A38F08" w14:textId="77777777" w:rsidR="007A45E9" w:rsidRDefault="007A45E9" w:rsidP="007A45E9"/>
        </w:tc>
        <w:tc>
          <w:tcPr>
            <w:tcW w:w="7249" w:type="dxa"/>
          </w:tcPr>
          <w:p w14:paraId="1AB2F329" w14:textId="270E4FB7" w:rsidR="007A45E9" w:rsidRDefault="007A45E9" w:rsidP="007A45E9">
            <w:r w:rsidRPr="00E91468">
              <w:rPr>
                <w:b/>
                <w:bCs/>
              </w:rPr>
              <w:t>Made in claim, AMAG logo</w:t>
            </w:r>
            <w:r w:rsidR="003D3F5B">
              <w:rPr>
                <w:b/>
                <w:bCs/>
              </w:rPr>
              <w:t xml:space="preserve"> and</w:t>
            </w:r>
            <w:r w:rsidRPr="00E91468">
              <w:rPr>
                <w:b/>
                <w:bCs/>
              </w:rPr>
              <w:t xml:space="preserve"> bar chart</w:t>
            </w:r>
          </w:p>
        </w:tc>
      </w:tr>
      <w:tr w:rsidR="007A45E9" w14:paraId="572F9CA4" w14:textId="77777777" w:rsidTr="00C14D4E">
        <w:tc>
          <w:tcPr>
            <w:tcW w:w="1777" w:type="dxa"/>
          </w:tcPr>
          <w:p w14:paraId="1F7ADF36" w14:textId="6B14F81E" w:rsidR="007A45E9" w:rsidRDefault="007A45E9" w:rsidP="007A45E9"/>
        </w:tc>
        <w:tc>
          <w:tcPr>
            <w:tcW w:w="7249" w:type="dxa"/>
          </w:tcPr>
          <w:p w14:paraId="47D1D044" w14:textId="1E7F9288" w:rsidR="007A45E9" w:rsidRDefault="00786E78" w:rsidP="007A45E9">
            <w:r w:rsidRPr="007D5478">
              <w:t>There may be an opportunity to further refine definition(s) and explanations of this and other claims through the regulations and accompanying explanatory material.</w:t>
            </w:r>
            <w:r>
              <w:t xml:space="preserve"> This should address aspects of the labelling consumers have identified as </w:t>
            </w:r>
            <w:r w:rsidRPr="00B87418">
              <w:t xml:space="preserve">confusing to interpret or misleading, </w:t>
            </w:r>
            <w:r>
              <w:t xml:space="preserve">such </w:t>
            </w:r>
            <w:r w:rsidRPr="00B87418">
              <w:t xml:space="preserve">as the symbol </w:t>
            </w:r>
            <w:r>
              <w:t>being</w:t>
            </w:r>
            <w:r w:rsidRPr="00B87418">
              <w:t xml:space="preserve"> associated with Australian ingredients</w:t>
            </w:r>
            <w:r>
              <w:t>,</w:t>
            </w:r>
            <w:r w:rsidRPr="00B87418">
              <w:t xml:space="preserve"> as well as manufacturing</w:t>
            </w:r>
            <w:r>
              <w:t xml:space="preserve">, and explaining </w:t>
            </w:r>
            <w:r w:rsidRPr="00BF4ADB">
              <w:t xml:space="preserve">the criteria for a product to be </w:t>
            </w:r>
            <w:r>
              <w:t>‘</w:t>
            </w:r>
            <w:r w:rsidRPr="00BF4ADB">
              <w:t>Made in Australia</w:t>
            </w:r>
            <w:r>
              <w:t>’</w:t>
            </w:r>
            <w:r w:rsidRPr="00BF4ADB">
              <w:t xml:space="preserve"> to better reflect consumer perceptions.</w:t>
            </w:r>
            <w:r w:rsidRPr="007D5478" w:rsidDel="00786E78">
              <w:t xml:space="preserve"> </w:t>
            </w:r>
            <w:r w:rsidR="00AB1B7E">
              <w:t xml:space="preserve">(Key finding 27, </w:t>
            </w:r>
            <w:r w:rsidR="00AB1B7E" w:rsidRPr="00A440DB">
              <w:t xml:space="preserve">Section </w:t>
            </w:r>
            <w:r w:rsidR="004A46F0" w:rsidRPr="00237138">
              <w:t>4.4</w:t>
            </w:r>
            <w:r w:rsidR="00AB1B7E" w:rsidRPr="00237138">
              <w:t>)</w:t>
            </w:r>
          </w:p>
        </w:tc>
      </w:tr>
      <w:tr w:rsidR="009F5BD6" w14:paraId="2F7AF496" w14:textId="77777777" w:rsidTr="00C14D4E">
        <w:tc>
          <w:tcPr>
            <w:tcW w:w="1777" w:type="dxa"/>
          </w:tcPr>
          <w:p w14:paraId="4F4D399E" w14:textId="77777777" w:rsidR="009F5BD6" w:rsidDel="00AB2ABA" w:rsidRDefault="009F5BD6" w:rsidP="009F5BD6"/>
        </w:tc>
        <w:tc>
          <w:tcPr>
            <w:tcW w:w="7249" w:type="dxa"/>
          </w:tcPr>
          <w:p w14:paraId="60A8315F" w14:textId="7A44E0FD" w:rsidR="009F5BD6" w:rsidRPr="007D5478" w:rsidRDefault="00775F68" w:rsidP="009F5BD6">
            <w:r>
              <w:t>T</w:t>
            </w:r>
            <w:r w:rsidR="009F5BD6" w:rsidRPr="006B22EA">
              <w:t xml:space="preserve">here is an ongoing issue regarding consumer understanding of the ‘Made </w:t>
            </w:r>
            <w:r w:rsidR="009F5BD6">
              <w:t>i</w:t>
            </w:r>
            <w:r w:rsidR="009F5BD6" w:rsidRPr="006B22EA">
              <w:t>n’ claim</w:t>
            </w:r>
            <w:r w:rsidR="009F5BD6">
              <w:t>, including how to interpret the label and the extent to which consumers’ understanding is consistent with the ‘Made in’ claims, particularly where the share of Australian ingredients is low.</w:t>
            </w:r>
            <w:r w:rsidR="009F5BD6" w:rsidRPr="006B22EA">
              <w:t xml:space="preserve"> This issue predates the current scheme. It is likely that the current </w:t>
            </w:r>
            <w:r w:rsidR="009F5BD6">
              <w:t>scheme</w:t>
            </w:r>
            <w:r w:rsidR="009F5BD6" w:rsidRPr="006B22EA">
              <w:t xml:space="preserve"> is surfacing this issue because consumers can see that a product making this claim is not necessarily wholly or predominantly sourced from Australian ingredients.</w:t>
            </w:r>
            <w:r w:rsidR="009F5BD6">
              <w:t xml:space="preserve"> (Key finding 29, Section 4.4)</w:t>
            </w:r>
          </w:p>
        </w:tc>
      </w:tr>
      <w:tr w:rsidR="009F5BD6" w14:paraId="59CCF5A3" w14:textId="77777777" w:rsidTr="00C14D4E">
        <w:tc>
          <w:tcPr>
            <w:tcW w:w="1777" w:type="dxa"/>
          </w:tcPr>
          <w:p w14:paraId="51F57560" w14:textId="772E6FC1" w:rsidR="009F5BD6" w:rsidRDefault="009F5BD6" w:rsidP="009F5BD6"/>
        </w:tc>
        <w:tc>
          <w:tcPr>
            <w:tcW w:w="7249" w:type="dxa"/>
          </w:tcPr>
          <w:p w14:paraId="50A4B552" w14:textId="7CDA06C6" w:rsidR="009F5BD6" w:rsidRDefault="009F5BD6" w:rsidP="009F5BD6">
            <w:r>
              <w:rPr>
                <w:rFonts w:asciiTheme="majorHAnsi" w:hAnsiTheme="majorHAnsi"/>
                <w:b/>
                <w:bCs/>
                <w:lang w:eastAsia="en-AU"/>
              </w:rPr>
              <w:t>Safe harbour defences</w:t>
            </w:r>
          </w:p>
        </w:tc>
      </w:tr>
      <w:tr w:rsidR="009F5BD6" w14:paraId="132998C7" w14:textId="77777777" w:rsidTr="00C14D4E">
        <w:tc>
          <w:tcPr>
            <w:tcW w:w="1777" w:type="dxa"/>
          </w:tcPr>
          <w:p w14:paraId="26F848CE" w14:textId="03AB597F" w:rsidR="009F5BD6" w:rsidRDefault="009F5BD6" w:rsidP="009F5BD6"/>
        </w:tc>
        <w:tc>
          <w:tcPr>
            <w:tcW w:w="7249" w:type="dxa"/>
          </w:tcPr>
          <w:p w14:paraId="1E0DD178" w14:textId="635997C4" w:rsidR="009F5BD6" w:rsidRPr="00237138" w:rsidRDefault="009F5BD6" w:rsidP="009F5BD6">
            <w:r w:rsidRPr="00237138">
              <w:rPr>
                <w:rFonts w:asciiTheme="majorHAnsi" w:hAnsiTheme="majorHAnsi"/>
              </w:rPr>
              <w:t xml:space="preserve">The inclusion of the safe harbour defences within the scheme is desirable and appropriate. The safe harbour defences are generally supported by industry stakeholders. </w:t>
            </w:r>
            <w:r w:rsidRPr="00237138">
              <w:t>(Key finding 4</w:t>
            </w:r>
            <w:r w:rsidR="00BD37DA">
              <w:t>1</w:t>
            </w:r>
            <w:r w:rsidRPr="00237138">
              <w:t xml:space="preserve">, </w:t>
            </w:r>
            <w:r w:rsidRPr="0051407F">
              <w:t xml:space="preserve">Section </w:t>
            </w:r>
            <w:r w:rsidRPr="00237138">
              <w:t>5.1)</w:t>
            </w:r>
          </w:p>
        </w:tc>
      </w:tr>
      <w:tr w:rsidR="009F5BD6" w14:paraId="2CD48ED3" w14:textId="77777777" w:rsidTr="00C14D4E">
        <w:tc>
          <w:tcPr>
            <w:tcW w:w="1777" w:type="dxa"/>
          </w:tcPr>
          <w:p w14:paraId="51091804" w14:textId="5F950AC4" w:rsidR="009F5BD6" w:rsidRDefault="009F5BD6" w:rsidP="009F5BD6"/>
        </w:tc>
        <w:tc>
          <w:tcPr>
            <w:tcW w:w="7249" w:type="dxa"/>
          </w:tcPr>
          <w:p w14:paraId="64EB2AC4" w14:textId="0CFB582E" w:rsidR="009F5BD6" w:rsidRPr="00237138" w:rsidRDefault="009F5BD6" w:rsidP="009F5BD6">
            <w:r w:rsidRPr="00237138">
              <w:rPr>
                <w:rFonts w:asciiTheme="majorHAnsi" w:hAnsiTheme="majorHAnsi"/>
              </w:rPr>
              <w:t xml:space="preserve">Some industry stakeholders consider there is a need to revise some definitions associated with the safe harbour defences (in particular, substantial transformation) to ensure clarity and support ease of compliance. </w:t>
            </w:r>
            <w:r w:rsidRPr="00237138">
              <w:t>(Key finding 4</w:t>
            </w:r>
            <w:r w:rsidR="00BD37DA">
              <w:t>2</w:t>
            </w:r>
            <w:r w:rsidRPr="00237138">
              <w:t xml:space="preserve">, </w:t>
            </w:r>
            <w:r w:rsidRPr="0051407F">
              <w:t xml:space="preserve">Section </w:t>
            </w:r>
            <w:r w:rsidRPr="00237138">
              <w:t>5.1)</w:t>
            </w:r>
          </w:p>
        </w:tc>
      </w:tr>
      <w:tr w:rsidR="009F5BD6" w14:paraId="0B37F06C" w14:textId="77777777" w:rsidTr="00C14D4E">
        <w:tc>
          <w:tcPr>
            <w:tcW w:w="1777" w:type="dxa"/>
          </w:tcPr>
          <w:p w14:paraId="71780486" w14:textId="73CAF2CB" w:rsidR="009F5BD6" w:rsidRDefault="009F5BD6" w:rsidP="009F5BD6"/>
        </w:tc>
        <w:tc>
          <w:tcPr>
            <w:tcW w:w="7249" w:type="dxa"/>
          </w:tcPr>
          <w:p w14:paraId="24527AA6" w14:textId="2B5E895C" w:rsidR="009F5BD6" w:rsidRPr="00237138" w:rsidRDefault="009F5BD6" w:rsidP="009F5BD6">
            <w:r w:rsidRPr="00237138">
              <w:rPr>
                <w:rFonts w:asciiTheme="majorHAnsi" w:hAnsiTheme="majorHAnsi"/>
              </w:rPr>
              <w:t xml:space="preserve">Clearer guidance and more detailed examples from the ACCC could assist in increasing businesses understanding of the safe harbour defences and support ease of compliance. </w:t>
            </w:r>
            <w:r w:rsidR="00C91467" w:rsidRPr="00A838E4">
              <w:rPr>
                <w:rFonts w:asciiTheme="majorHAnsi" w:hAnsiTheme="majorHAnsi"/>
              </w:rPr>
              <w:t>However, the ACCC considers their guidance material already goes as far as it can based on the Information Standard and current case law</w:t>
            </w:r>
            <w:r w:rsidRPr="00237138">
              <w:rPr>
                <w:rFonts w:asciiTheme="majorHAnsi" w:hAnsiTheme="majorHAnsi"/>
              </w:rPr>
              <w:t xml:space="preserve">. A stakeholder forum to ensure a shared understanding of the definition and interpretation of substantial transformation could be beneficial, particularly if changes to the definition were to be pursued. </w:t>
            </w:r>
            <w:r w:rsidRPr="00237138">
              <w:t>(Key finding 4</w:t>
            </w:r>
            <w:r w:rsidR="00BD37DA">
              <w:t>3</w:t>
            </w:r>
            <w:r w:rsidRPr="00237138">
              <w:t xml:space="preserve">, </w:t>
            </w:r>
            <w:r w:rsidRPr="0051407F">
              <w:t xml:space="preserve">Section </w:t>
            </w:r>
            <w:r w:rsidRPr="00237138">
              <w:t>5.1)</w:t>
            </w:r>
          </w:p>
        </w:tc>
      </w:tr>
      <w:tr w:rsidR="009F5BD6" w14:paraId="1ADCE57C" w14:textId="77777777" w:rsidTr="00C14D4E">
        <w:tc>
          <w:tcPr>
            <w:tcW w:w="1777" w:type="dxa"/>
          </w:tcPr>
          <w:p w14:paraId="58C117EF" w14:textId="4BD13DAC" w:rsidR="009F5BD6" w:rsidRDefault="009F5BD6" w:rsidP="009F5BD6"/>
        </w:tc>
        <w:tc>
          <w:tcPr>
            <w:tcW w:w="7249" w:type="dxa"/>
          </w:tcPr>
          <w:p w14:paraId="02C0006C" w14:textId="2D55F5DE" w:rsidR="009F5BD6" w:rsidRPr="00237138" w:rsidRDefault="009F5BD6" w:rsidP="009F5BD6">
            <w:r w:rsidRPr="00237138">
              <w:rPr>
                <w:rFonts w:asciiTheme="majorHAnsi" w:hAnsiTheme="majorHAnsi"/>
              </w:rPr>
              <w:t xml:space="preserve">The definition of fruit and vegetable juice in the Information Standard is unclear and requires revision. </w:t>
            </w:r>
            <w:r w:rsidRPr="00237138">
              <w:t>(Key finding 4</w:t>
            </w:r>
            <w:r w:rsidR="00BD37DA">
              <w:t>4</w:t>
            </w:r>
            <w:r w:rsidRPr="00237138">
              <w:t xml:space="preserve">, </w:t>
            </w:r>
            <w:r w:rsidRPr="0051407F">
              <w:t xml:space="preserve">Section </w:t>
            </w:r>
            <w:r w:rsidRPr="00237138">
              <w:t>5.1)</w:t>
            </w:r>
          </w:p>
        </w:tc>
      </w:tr>
      <w:tr w:rsidR="009F5BD6" w14:paraId="4F17E8F4" w14:textId="77777777" w:rsidTr="00C14D4E">
        <w:tc>
          <w:tcPr>
            <w:tcW w:w="1777" w:type="dxa"/>
          </w:tcPr>
          <w:p w14:paraId="275C8D02" w14:textId="3537C6ED" w:rsidR="009F5BD6" w:rsidRDefault="009F5BD6" w:rsidP="009F5BD6"/>
        </w:tc>
        <w:tc>
          <w:tcPr>
            <w:tcW w:w="7249" w:type="dxa"/>
          </w:tcPr>
          <w:p w14:paraId="249A50BB" w14:textId="294ECE25" w:rsidR="009F5BD6" w:rsidRPr="00237138" w:rsidRDefault="009F5BD6" w:rsidP="009F5BD6">
            <w:r w:rsidRPr="00237138">
              <w:rPr>
                <w:rFonts w:asciiTheme="majorHAnsi" w:hAnsiTheme="majorHAnsi"/>
              </w:rPr>
              <w:t xml:space="preserve">The definition of origin claims related to fishing in the Information Standard is unclear and requires revision. </w:t>
            </w:r>
            <w:r w:rsidRPr="00237138">
              <w:t>(Key finding 4</w:t>
            </w:r>
            <w:r w:rsidR="00BD37DA">
              <w:t>5</w:t>
            </w:r>
            <w:r w:rsidRPr="00237138">
              <w:t xml:space="preserve">, </w:t>
            </w:r>
            <w:r w:rsidRPr="0051407F">
              <w:t xml:space="preserve">Section </w:t>
            </w:r>
            <w:r w:rsidRPr="00237138">
              <w:t>5.1)</w:t>
            </w:r>
          </w:p>
        </w:tc>
      </w:tr>
      <w:tr w:rsidR="009F5BD6" w14:paraId="50E245B0" w14:textId="77777777" w:rsidTr="00C14D4E">
        <w:tc>
          <w:tcPr>
            <w:tcW w:w="1777" w:type="dxa"/>
          </w:tcPr>
          <w:p w14:paraId="529803FC" w14:textId="77777777" w:rsidR="009F5BD6" w:rsidRDefault="009F5BD6" w:rsidP="009F5BD6">
            <w:r>
              <w:t>Evidence</w:t>
            </w:r>
          </w:p>
        </w:tc>
        <w:tc>
          <w:tcPr>
            <w:tcW w:w="7249" w:type="dxa"/>
          </w:tcPr>
          <w:p w14:paraId="2CDDB7D6" w14:textId="0CB02093" w:rsidR="009F5BD6" w:rsidRPr="00CA09C5" w:rsidRDefault="009F5BD6" w:rsidP="009F5BD6">
            <w:pPr>
              <w:rPr>
                <w:i/>
              </w:rPr>
            </w:pPr>
            <w:r>
              <w:rPr>
                <w:i/>
                <w:iCs/>
              </w:rPr>
              <w:t xml:space="preserve">Evidence for the key findings listed above are provided in Section </w:t>
            </w:r>
            <w:r>
              <w:rPr>
                <w:i/>
                <w:iCs/>
              </w:rPr>
              <w:fldChar w:fldCharType="begin"/>
            </w:r>
            <w:r>
              <w:rPr>
                <w:i/>
                <w:iCs/>
              </w:rPr>
              <w:instrText xml:space="preserve"> REF _Ref71203748 \r \h  \* MERGEFORMAT </w:instrText>
            </w:r>
            <w:r>
              <w:rPr>
                <w:i/>
                <w:iCs/>
              </w:rPr>
            </w:r>
            <w:r>
              <w:rPr>
                <w:i/>
                <w:iCs/>
              </w:rPr>
              <w:fldChar w:fldCharType="separate"/>
            </w:r>
            <w:r w:rsidR="0017363C">
              <w:rPr>
                <w:i/>
                <w:iCs/>
              </w:rPr>
              <w:t>4.4</w:t>
            </w:r>
            <w:r>
              <w:rPr>
                <w:i/>
                <w:iCs/>
              </w:rPr>
              <w:fldChar w:fldCharType="end"/>
            </w:r>
            <w:r>
              <w:rPr>
                <w:i/>
                <w:iCs/>
              </w:rPr>
              <w:t xml:space="preserve"> and Section </w:t>
            </w:r>
            <w:r>
              <w:rPr>
                <w:i/>
                <w:iCs/>
              </w:rPr>
              <w:fldChar w:fldCharType="begin"/>
            </w:r>
            <w:r>
              <w:rPr>
                <w:i/>
                <w:iCs/>
              </w:rPr>
              <w:instrText xml:space="preserve"> REF _Ref71203775 \r \h  \* MERGEFORMAT </w:instrText>
            </w:r>
            <w:r>
              <w:rPr>
                <w:i/>
                <w:iCs/>
              </w:rPr>
            </w:r>
            <w:r>
              <w:rPr>
                <w:i/>
                <w:iCs/>
              </w:rPr>
              <w:fldChar w:fldCharType="separate"/>
            </w:r>
            <w:r w:rsidR="0017363C">
              <w:rPr>
                <w:i/>
                <w:iCs/>
              </w:rPr>
              <w:t>5.1</w:t>
            </w:r>
            <w:r>
              <w:rPr>
                <w:i/>
                <w:iCs/>
              </w:rPr>
              <w:fldChar w:fldCharType="end"/>
            </w:r>
            <w:r>
              <w:rPr>
                <w:i/>
                <w:iCs/>
              </w:rPr>
              <w:t>.</w:t>
            </w:r>
          </w:p>
        </w:tc>
      </w:tr>
    </w:tbl>
    <w:p w14:paraId="03B27B96" w14:textId="470A5B1C" w:rsidR="00E53976" w:rsidRPr="00902F37" w:rsidRDefault="001C5D20" w:rsidP="008356AB">
      <w:r w:rsidRPr="00523AB0">
        <w:rPr>
          <w:color w:val="012169" w:themeColor="accent4"/>
          <w:sz w:val="14"/>
          <w:szCs w:val="14"/>
        </w:rPr>
        <w:t>Source: Deloitte Access Economics.</w:t>
      </w:r>
    </w:p>
    <w:p w14:paraId="55579E1B" w14:textId="77777777" w:rsidR="00BF3260" w:rsidRPr="007C781B" w:rsidRDefault="00FC03E2" w:rsidP="00BE307A">
      <w:pPr>
        <w:pStyle w:val="Heading1"/>
        <w:numPr>
          <w:ilvl w:val="0"/>
          <w:numId w:val="20"/>
        </w:numPr>
      </w:pPr>
      <w:bookmarkStart w:id="86" w:name="_Toc66774592"/>
      <w:bookmarkStart w:id="87" w:name="_Toc66774601"/>
      <w:bookmarkStart w:id="88" w:name="_Toc66396655"/>
      <w:bookmarkStart w:id="89" w:name="_Toc67499038"/>
      <w:bookmarkStart w:id="90" w:name="_Toc94702039"/>
      <w:bookmarkEnd w:id="86"/>
      <w:bookmarkEnd w:id="87"/>
      <w:bookmarkEnd w:id="88"/>
      <w:r w:rsidRPr="007C781B">
        <w:lastRenderedPageBreak/>
        <w:t>Introduction</w:t>
      </w:r>
      <w:bookmarkEnd w:id="89"/>
      <w:bookmarkEnd w:id="90"/>
    </w:p>
    <w:p w14:paraId="1D59571D" w14:textId="5963A98A" w:rsidR="00F37CF5" w:rsidRPr="007C781B" w:rsidRDefault="00F37CF5">
      <w:pPr>
        <w:pStyle w:val="Sectionintro"/>
      </w:pPr>
      <w:r w:rsidRPr="007C781B">
        <w:t xml:space="preserve">This chapter </w:t>
      </w:r>
      <w:r w:rsidR="00072236" w:rsidRPr="007C781B">
        <w:t>outlines the</w:t>
      </w:r>
      <w:r w:rsidRPr="007C781B">
        <w:t xml:space="preserve"> </w:t>
      </w:r>
      <w:r w:rsidR="00DC6C52" w:rsidRPr="007C781B">
        <w:t>context for this</w:t>
      </w:r>
      <w:r w:rsidRPr="007C781B">
        <w:t xml:space="preserve"> </w:t>
      </w:r>
      <w:r w:rsidR="00AF2E05">
        <w:t>evaluation</w:t>
      </w:r>
      <w:r w:rsidRPr="007C781B">
        <w:t xml:space="preserve">, the regulatory framework brought about through the 2016 reforms and the evaluation questions </w:t>
      </w:r>
      <w:r w:rsidR="004C18A6" w:rsidRPr="007C781B">
        <w:t>to be</w:t>
      </w:r>
      <w:r w:rsidRPr="007C781B">
        <w:t xml:space="preserve"> answered through this review.</w:t>
      </w:r>
    </w:p>
    <w:p w14:paraId="076FBD32" w14:textId="77777777" w:rsidR="007043D9" w:rsidRPr="007C781B" w:rsidRDefault="007043D9">
      <w:pPr>
        <w:pStyle w:val="Heading2"/>
      </w:pPr>
      <w:bookmarkStart w:id="91" w:name="_Toc67499039"/>
      <w:bookmarkStart w:id="92" w:name="_Toc447626781"/>
      <w:bookmarkStart w:id="93" w:name="_Toc94702040"/>
      <w:r w:rsidRPr="007C781B">
        <w:t>Background to this review</w:t>
      </w:r>
      <w:bookmarkEnd w:id="91"/>
      <w:bookmarkEnd w:id="93"/>
    </w:p>
    <w:p w14:paraId="64B9C97B" w14:textId="5F6BFBBB" w:rsidR="004C18A6" w:rsidRDefault="004C18A6">
      <w:r w:rsidRPr="007016C7">
        <w:t xml:space="preserve">Deloitte </w:t>
      </w:r>
      <w:r w:rsidR="00FA3503">
        <w:t>Australia</w:t>
      </w:r>
      <w:r w:rsidR="009E14E8">
        <w:t xml:space="preserve"> </w:t>
      </w:r>
      <w:r w:rsidR="00F23DD9">
        <w:t>w</w:t>
      </w:r>
      <w:r>
        <w:t>as</w:t>
      </w:r>
      <w:r w:rsidRPr="007016C7">
        <w:t xml:space="preserve"> commissioned by the Department of Industry, Science, Energy and Resources (</w:t>
      </w:r>
      <w:r w:rsidR="006C48C2">
        <w:t>DISER</w:t>
      </w:r>
      <w:r w:rsidRPr="007016C7">
        <w:t>)</w:t>
      </w:r>
      <w:r w:rsidRPr="00150C57">
        <w:rPr>
          <w:vertAlign w:val="superscript"/>
        </w:rPr>
        <w:footnoteReference w:id="11"/>
      </w:r>
      <w:r w:rsidRPr="00150C57">
        <w:t xml:space="preserve"> </w:t>
      </w:r>
      <w:r w:rsidRPr="007016C7">
        <w:t xml:space="preserve">to undertake an evaluation of the impact of the 2016 reforms to </w:t>
      </w:r>
      <w:r w:rsidR="00F9248F">
        <w:t>the Country of Original Labelling (</w:t>
      </w:r>
      <w:r w:rsidR="009D1E94">
        <w:rPr>
          <w:rFonts w:eastAsia="Calibri" w:cs="Times New Roman"/>
        </w:rPr>
        <w:t>CoOL</w:t>
      </w:r>
      <w:r w:rsidR="00F9248F">
        <w:rPr>
          <w:rFonts w:eastAsia="Calibri" w:cs="Times New Roman"/>
        </w:rPr>
        <w:t>)</w:t>
      </w:r>
      <w:r w:rsidR="009D1E94" w:rsidRPr="00CC297D">
        <w:rPr>
          <w:rFonts w:eastAsia="Calibri" w:cs="Times New Roman"/>
        </w:rPr>
        <w:t xml:space="preserve"> </w:t>
      </w:r>
      <w:r w:rsidR="00F9248F">
        <w:rPr>
          <w:rFonts w:eastAsia="Calibri" w:cs="Times New Roman"/>
        </w:rPr>
        <w:t>scheme</w:t>
      </w:r>
      <w:r w:rsidRPr="007016C7">
        <w:t>.</w:t>
      </w:r>
      <w:r>
        <w:t xml:space="preserve"> </w:t>
      </w:r>
      <w:r w:rsidRPr="00302121">
        <w:rPr>
          <w:rFonts w:asciiTheme="majorHAnsi" w:eastAsia="Verdana" w:hAnsiTheme="majorHAnsi" w:cs="Segoe UI"/>
        </w:rPr>
        <w:t>The reforms</w:t>
      </w:r>
      <w:r w:rsidR="00F9248F">
        <w:rPr>
          <w:rFonts w:asciiTheme="majorHAnsi" w:eastAsia="Verdana" w:hAnsiTheme="majorHAnsi" w:cs="Segoe UI"/>
        </w:rPr>
        <w:t xml:space="preserve">, which </w:t>
      </w:r>
      <w:r w:rsidRPr="00302121">
        <w:rPr>
          <w:rFonts w:asciiTheme="majorHAnsi" w:eastAsia="Verdana" w:hAnsiTheme="majorHAnsi" w:cs="Segoe UI"/>
        </w:rPr>
        <w:t>came into</w:t>
      </w:r>
      <w:r>
        <w:rPr>
          <w:rFonts w:asciiTheme="majorHAnsi" w:eastAsia="Verdana" w:hAnsiTheme="majorHAnsi" w:cs="Segoe UI"/>
        </w:rPr>
        <w:t xml:space="preserve"> </w:t>
      </w:r>
      <w:r w:rsidRPr="00302121">
        <w:rPr>
          <w:rFonts w:asciiTheme="majorHAnsi" w:eastAsia="Verdana" w:hAnsiTheme="majorHAnsi" w:cs="Segoe UI"/>
        </w:rPr>
        <w:t>effect in July 2018</w:t>
      </w:r>
      <w:r w:rsidR="002F0983">
        <w:rPr>
          <w:rFonts w:asciiTheme="majorHAnsi" w:eastAsia="Verdana" w:hAnsiTheme="majorHAnsi" w:cs="Segoe UI"/>
        </w:rPr>
        <w:t xml:space="preserve"> following a </w:t>
      </w:r>
      <w:r w:rsidR="00F9248F">
        <w:rPr>
          <w:rFonts w:asciiTheme="majorHAnsi" w:eastAsia="Verdana" w:hAnsiTheme="majorHAnsi" w:cs="Segoe UI"/>
        </w:rPr>
        <w:t xml:space="preserve">2-year </w:t>
      </w:r>
      <w:r w:rsidR="002F0983">
        <w:rPr>
          <w:rFonts w:asciiTheme="majorHAnsi" w:eastAsia="Verdana" w:hAnsiTheme="majorHAnsi" w:cs="Segoe UI"/>
        </w:rPr>
        <w:t>transition period,</w:t>
      </w:r>
      <w:r>
        <w:rPr>
          <w:rFonts w:asciiTheme="majorHAnsi" w:eastAsia="Verdana" w:hAnsiTheme="majorHAnsi" w:cs="Segoe UI"/>
        </w:rPr>
        <w:t xml:space="preserve"> were </w:t>
      </w:r>
      <w:r w:rsidR="00F9248F">
        <w:rPr>
          <w:rFonts w:asciiTheme="majorHAnsi" w:eastAsia="Verdana" w:hAnsiTheme="majorHAnsi" w:cs="Segoe UI"/>
        </w:rPr>
        <w:t>implemented through t</w:t>
      </w:r>
      <w:r w:rsidRPr="00302121">
        <w:rPr>
          <w:rFonts w:asciiTheme="majorHAnsi" w:eastAsia="Verdana" w:hAnsiTheme="majorHAnsi" w:cs="Segoe UI"/>
        </w:rPr>
        <w:t xml:space="preserve">he </w:t>
      </w:r>
      <w:r w:rsidRPr="001033EF">
        <w:rPr>
          <w:rFonts w:asciiTheme="majorHAnsi" w:eastAsia="Verdana" w:hAnsiTheme="majorHAnsi" w:cs="Segoe UI"/>
          <w:i/>
          <w:iCs/>
        </w:rPr>
        <w:t xml:space="preserve">Competition and Consumer Amendment (Country of Origin) Act </w:t>
      </w:r>
      <w:r w:rsidR="00DC421F" w:rsidRPr="001033EF">
        <w:rPr>
          <w:rFonts w:asciiTheme="majorHAnsi" w:eastAsia="Verdana" w:hAnsiTheme="majorHAnsi" w:cs="Segoe UI"/>
          <w:i/>
          <w:iCs/>
        </w:rPr>
        <w:t>201</w:t>
      </w:r>
      <w:r w:rsidR="00DC421F">
        <w:rPr>
          <w:rFonts w:asciiTheme="majorHAnsi" w:eastAsia="Verdana" w:hAnsiTheme="majorHAnsi" w:cs="Segoe UI"/>
          <w:i/>
          <w:iCs/>
        </w:rPr>
        <w:t>7</w:t>
      </w:r>
      <w:r w:rsidR="00DC421F" w:rsidRPr="00302121">
        <w:rPr>
          <w:rFonts w:asciiTheme="majorHAnsi" w:eastAsia="Verdana" w:hAnsiTheme="majorHAnsi" w:cs="Segoe UI"/>
        </w:rPr>
        <w:t xml:space="preserve"> </w:t>
      </w:r>
      <w:r w:rsidRPr="00302121">
        <w:rPr>
          <w:rFonts w:asciiTheme="majorHAnsi" w:eastAsia="Verdana" w:hAnsiTheme="majorHAnsi" w:cs="Segoe UI"/>
        </w:rPr>
        <w:t xml:space="preserve">and </w:t>
      </w:r>
      <w:r w:rsidRPr="001033EF">
        <w:rPr>
          <w:rFonts w:asciiTheme="majorHAnsi" w:eastAsia="Verdana" w:hAnsiTheme="majorHAnsi" w:cs="Segoe UI"/>
          <w:i/>
          <w:iCs/>
        </w:rPr>
        <w:t xml:space="preserve">the Country of Origin Food Labelling Information Standard 2016 </w:t>
      </w:r>
      <w:r w:rsidRPr="00302121">
        <w:rPr>
          <w:rFonts w:asciiTheme="majorHAnsi" w:eastAsia="Verdana" w:hAnsiTheme="majorHAnsi" w:cs="Segoe UI"/>
        </w:rPr>
        <w:t>(the Information Standard).</w:t>
      </w:r>
    </w:p>
    <w:p w14:paraId="3BA72317" w14:textId="7C64BD2B" w:rsidR="00A30189" w:rsidRDefault="007043D9" w:rsidP="00F04A1C">
      <w:r>
        <w:t xml:space="preserve">The </w:t>
      </w:r>
      <w:r w:rsidR="0035589A">
        <w:t>intent of the reforms was</w:t>
      </w:r>
      <w:r>
        <w:t xml:space="preserve"> to provide clear, consistent, informative and easy to find country of origin labels for food</w:t>
      </w:r>
      <w:r w:rsidR="008E3683">
        <w:t>,</w:t>
      </w:r>
      <w:r>
        <w:t xml:space="preserve"> so consumers can make more informed choices about the food they buy, in line with their personal preferences. </w:t>
      </w:r>
      <w:r w:rsidR="00A30189">
        <w:t>Th</w:t>
      </w:r>
      <w:r w:rsidR="00F9248F">
        <w:t>e reforms responded to a</w:t>
      </w:r>
      <w:r w:rsidR="00F10FCE">
        <w:t xml:space="preserve"> </w:t>
      </w:r>
      <w:r w:rsidR="00F10FCE" w:rsidRPr="00F10FCE">
        <w:t xml:space="preserve">2014 </w:t>
      </w:r>
      <w:r w:rsidR="00BD019C">
        <w:t>House of Representatives Standing Committee i</w:t>
      </w:r>
      <w:r w:rsidR="00F10FCE" w:rsidRPr="00F10FCE">
        <w:t>nquiry</w:t>
      </w:r>
      <w:r w:rsidR="00BD019C">
        <w:t xml:space="preserve"> into country of origin food labelling</w:t>
      </w:r>
      <w:r w:rsidR="00F10FCE" w:rsidRPr="00F10FCE">
        <w:t xml:space="preserve"> and </w:t>
      </w:r>
      <w:r w:rsidR="00F10FCE">
        <w:t xml:space="preserve">consumer research </w:t>
      </w:r>
      <w:r w:rsidR="000A4EAF">
        <w:t>by Colmar Brunton</w:t>
      </w:r>
      <w:r w:rsidR="00F757A3">
        <w:t xml:space="preserve">, which </w:t>
      </w:r>
      <w:r w:rsidR="00F10FCE" w:rsidRPr="00F10FCE">
        <w:t xml:space="preserve">indicated that country of origin information was </w:t>
      </w:r>
      <w:r w:rsidR="00A30189">
        <w:t xml:space="preserve">hard to find, confusing </w:t>
      </w:r>
      <w:r w:rsidR="00F10FCE">
        <w:t>and</w:t>
      </w:r>
      <w:r w:rsidR="00A30189">
        <w:t xml:space="preserve"> did not provide enough information.</w:t>
      </w:r>
      <w:r w:rsidR="00E82817" w:rsidRPr="00E82817">
        <w:t xml:space="preserve"> </w:t>
      </w:r>
    </w:p>
    <w:p w14:paraId="31487EA2" w14:textId="77777777" w:rsidR="00C74BE7" w:rsidRDefault="00D837AE">
      <w:pPr>
        <w:pStyle w:val="Heading2"/>
      </w:pPr>
      <w:bookmarkStart w:id="94" w:name="_Toc67499040"/>
      <w:bookmarkStart w:id="95" w:name="_Toc94702041"/>
      <w:r>
        <w:t xml:space="preserve">Purpose </w:t>
      </w:r>
      <w:r w:rsidR="00B235E8" w:rsidRPr="007C781B">
        <w:t>of food labelling regulation</w:t>
      </w:r>
      <w:bookmarkEnd w:id="94"/>
      <w:bookmarkEnd w:id="95"/>
      <w:r w:rsidR="00B235E8" w:rsidRPr="007C781B">
        <w:t xml:space="preserve"> </w:t>
      </w:r>
    </w:p>
    <w:p w14:paraId="452EDD40" w14:textId="7D065342" w:rsidR="00050DA6" w:rsidRDefault="00050DA6" w:rsidP="00D837AE">
      <w:pPr>
        <w:rPr>
          <w:rFonts w:asciiTheme="majorHAnsi" w:hAnsiTheme="majorHAnsi"/>
        </w:rPr>
      </w:pPr>
      <w:r w:rsidRPr="00E53797">
        <w:rPr>
          <w:rFonts w:asciiTheme="majorHAnsi" w:hAnsiTheme="majorHAnsi"/>
        </w:rPr>
        <w:t>Globally,</w:t>
      </w:r>
      <w:r w:rsidR="00BD019C">
        <w:rPr>
          <w:rFonts w:asciiTheme="majorHAnsi" w:hAnsiTheme="majorHAnsi"/>
        </w:rPr>
        <w:t xml:space="preserve"> </w:t>
      </w:r>
      <w:r w:rsidR="00F757A3">
        <w:rPr>
          <w:rFonts w:asciiTheme="majorHAnsi" w:hAnsiTheme="majorHAnsi"/>
        </w:rPr>
        <w:t xml:space="preserve">national </w:t>
      </w:r>
      <w:r w:rsidRPr="00E53797">
        <w:rPr>
          <w:rFonts w:asciiTheme="majorHAnsi" w:hAnsiTheme="majorHAnsi"/>
        </w:rPr>
        <w:t>governments</w:t>
      </w:r>
      <w:r w:rsidR="00BD019C">
        <w:rPr>
          <w:rFonts w:asciiTheme="majorHAnsi" w:hAnsiTheme="majorHAnsi"/>
        </w:rPr>
        <w:t xml:space="preserve"> across comparable advanced economies</w:t>
      </w:r>
      <w:r w:rsidRPr="00E53797">
        <w:rPr>
          <w:rFonts w:asciiTheme="majorHAnsi" w:hAnsiTheme="majorHAnsi"/>
        </w:rPr>
        <w:t xml:space="preserve"> </w:t>
      </w:r>
      <w:r w:rsidR="001763EE">
        <w:rPr>
          <w:rFonts w:asciiTheme="majorHAnsi" w:hAnsiTheme="majorHAnsi"/>
        </w:rPr>
        <w:t>commonly</w:t>
      </w:r>
      <w:r w:rsidR="00BD019C">
        <w:rPr>
          <w:rFonts w:asciiTheme="majorHAnsi" w:hAnsiTheme="majorHAnsi"/>
        </w:rPr>
        <w:t xml:space="preserve"> </w:t>
      </w:r>
      <w:r w:rsidRPr="00E53797">
        <w:rPr>
          <w:rFonts w:asciiTheme="majorHAnsi" w:hAnsiTheme="majorHAnsi"/>
        </w:rPr>
        <w:t>regulate food labelling</w:t>
      </w:r>
      <w:r>
        <w:rPr>
          <w:rFonts w:asciiTheme="majorHAnsi" w:hAnsiTheme="majorHAnsi"/>
        </w:rPr>
        <w:t xml:space="preserve"> to</w:t>
      </w:r>
      <w:r w:rsidRPr="00961F8A">
        <w:rPr>
          <w:rFonts w:asciiTheme="majorHAnsi" w:hAnsiTheme="majorHAnsi"/>
        </w:rPr>
        <w:t xml:space="preserve"> </w:t>
      </w:r>
      <w:r>
        <w:rPr>
          <w:rFonts w:asciiTheme="majorHAnsi" w:hAnsiTheme="majorHAnsi"/>
        </w:rPr>
        <w:t>i</w:t>
      </w:r>
      <w:r w:rsidRPr="00E53797">
        <w:rPr>
          <w:rFonts w:asciiTheme="majorHAnsi" w:hAnsiTheme="majorHAnsi"/>
        </w:rPr>
        <w:t>ncrease consumers</w:t>
      </w:r>
      <w:r>
        <w:rPr>
          <w:rFonts w:asciiTheme="majorHAnsi" w:hAnsiTheme="majorHAnsi"/>
        </w:rPr>
        <w:t>’</w:t>
      </w:r>
      <w:r w:rsidRPr="00E53797">
        <w:rPr>
          <w:rFonts w:asciiTheme="majorHAnsi" w:hAnsiTheme="majorHAnsi"/>
        </w:rPr>
        <w:t xml:space="preserve"> access to information</w:t>
      </w:r>
      <w:r w:rsidR="00CE78B7">
        <w:rPr>
          <w:rFonts w:asciiTheme="majorHAnsi" w:hAnsiTheme="majorHAnsi"/>
        </w:rPr>
        <w:t>.</w:t>
      </w:r>
      <w:r w:rsidRPr="00E53797">
        <w:rPr>
          <w:rStyle w:val="FootnoteReference"/>
          <w:rFonts w:asciiTheme="majorHAnsi" w:hAnsiTheme="majorHAnsi"/>
        </w:rPr>
        <w:footnoteReference w:id="12"/>
      </w:r>
      <w:r>
        <w:rPr>
          <w:rFonts w:asciiTheme="majorHAnsi" w:hAnsiTheme="majorHAnsi"/>
        </w:rPr>
        <w:t xml:space="preserve"> </w:t>
      </w:r>
      <w:r w:rsidR="00F757A3">
        <w:rPr>
          <w:rFonts w:asciiTheme="majorHAnsi" w:hAnsiTheme="majorHAnsi"/>
        </w:rPr>
        <w:t>C</w:t>
      </w:r>
      <w:r w:rsidRPr="00E53797">
        <w:rPr>
          <w:rFonts w:asciiTheme="majorHAnsi" w:hAnsiTheme="majorHAnsi"/>
        </w:rPr>
        <w:t>lear, consistent and achievable food labelling standards</w:t>
      </w:r>
      <w:r w:rsidR="00E3710E">
        <w:rPr>
          <w:rFonts w:asciiTheme="majorHAnsi" w:hAnsiTheme="majorHAnsi"/>
        </w:rPr>
        <w:t xml:space="preserve"> </w:t>
      </w:r>
      <w:r w:rsidRPr="00E53797">
        <w:rPr>
          <w:rFonts w:asciiTheme="majorHAnsi" w:hAnsiTheme="majorHAnsi"/>
        </w:rPr>
        <w:t xml:space="preserve">are </w:t>
      </w:r>
      <w:r w:rsidR="00F757A3">
        <w:rPr>
          <w:rFonts w:asciiTheme="majorHAnsi" w:hAnsiTheme="majorHAnsi"/>
        </w:rPr>
        <w:t xml:space="preserve">created and </w:t>
      </w:r>
      <w:r w:rsidR="00E3710E">
        <w:rPr>
          <w:rFonts w:asciiTheme="majorHAnsi" w:hAnsiTheme="majorHAnsi"/>
        </w:rPr>
        <w:t>enforced to</w:t>
      </w:r>
      <w:r w:rsidRPr="00E53797">
        <w:rPr>
          <w:rFonts w:asciiTheme="majorHAnsi" w:hAnsiTheme="majorHAnsi"/>
        </w:rPr>
        <w:t xml:space="preserve"> verify the validity of labelling claims</w:t>
      </w:r>
      <w:r w:rsidRPr="00E53797">
        <w:rPr>
          <w:rStyle w:val="FootnoteReference"/>
          <w:rFonts w:asciiTheme="majorHAnsi" w:hAnsiTheme="majorHAnsi"/>
        </w:rPr>
        <w:footnoteReference w:id="13"/>
      </w:r>
      <w:r w:rsidR="00E3710E">
        <w:rPr>
          <w:rFonts w:asciiTheme="majorHAnsi" w:hAnsiTheme="majorHAnsi"/>
        </w:rPr>
        <w:t>,</w:t>
      </w:r>
      <w:r>
        <w:rPr>
          <w:rFonts w:asciiTheme="majorHAnsi" w:hAnsiTheme="majorHAnsi"/>
        </w:rPr>
        <w:t xml:space="preserve"> r</w:t>
      </w:r>
      <w:r w:rsidRPr="00E53797">
        <w:rPr>
          <w:rFonts w:asciiTheme="majorHAnsi" w:hAnsiTheme="majorHAnsi"/>
        </w:rPr>
        <w:t>educe risks to individual consumer health and safety</w:t>
      </w:r>
      <w:r w:rsidRPr="00E53797">
        <w:rPr>
          <w:rStyle w:val="FootnoteReference"/>
          <w:rFonts w:asciiTheme="majorHAnsi" w:hAnsiTheme="majorHAnsi"/>
        </w:rPr>
        <w:footnoteReference w:id="14"/>
      </w:r>
      <w:r>
        <w:rPr>
          <w:rFonts w:asciiTheme="majorHAnsi" w:hAnsiTheme="majorHAnsi"/>
        </w:rPr>
        <w:t xml:space="preserve"> and r</w:t>
      </w:r>
      <w:r w:rsidRPr="00E53797">
        <w:rPr>
          <w:rFonts w:asciiTheme="majorHAnsi" w:hAnsiTheme="majorHAnsi"/>
        </w:rPr>
        <w:t xml:space="preserve">ectify any </w:t>
      </w:r>
      <w:r>
        <w:rPr>
          <w:rFonts w:asciiTheme="majorHAnsi" w:hAnsiTheme="majorHAnsi"/>
        </w:rPr>
        <w:t xml:space="preserve">flow on impacts from </w:t>
      </w:r>
      <w:r w:rsidR="00F757A3">
        <w:rPr>
          <w:rFonts w:asciiTheme="majorHAnsi" w:hAnsiTheme="majorHAnsi"/>
        </w:rPr>
        <w:t xml:space="preserve">food </w:t>
      </w:r>
      <w:r>
        <w:rPr>
          <w:rFonts w:asciiTheme="majorHAnsi" w:hAnsiTheme="majorHAnsi"/>
        </w:rPr>
        <w:t>production and consumption</w:t>
      </w:r>
      <w:r w:rsidR="00F757A3">
        <w:rPr>
          <w:rFonts w:asciiTheme="majorHAnsi" w:hAnsiTheme="majorHAnsi"/>
        </w:rPr>
        <w:t xml:space="preserve">, </w:t>
      </w:r>
      <w:r w:rsidRPr="00E53797">
        <w:rPr>
          <w:rFonts w:asciiTheme="majorHAnsi" w:hAnsiTheme="majorHAnsi"/>
        </w:rPr>
        <w:t xml:space="preserve">such as </w:t>
      </w:r>
      <w:r>
        <w:rPr>
          <w:rFonts w:asciiTheme="majorHAnsi" w:hAnsiTheme="majorHAnsi"/>
        </w:rPr>
        <w:t xml:space="preserve">to population health or the </w:t>
      </w:r>
      <w:r w:rsidRPr="00E53797">
        <w:rPr>
          <w:rFonts w:asciiTheme="majorHAnsi" w:hAnsiTheme="majorHAnsi"/>
        </w:rPr>
        <w:t>environment</w:t>
      </w:r>
      <w:r>
        <w:rPr>
          <w:rFonts w:asciiTheme="majorHAnsi" w:hAnsiTheme="majorHAnsi"/>
        </w:rPr>
        <w:t>.</w:t>
      </w:r>
      <w:r w:rsidRPr="00E53797">
        <w:rPr>
          <w:rStyle w:val="FootnoteReference"/>
          <w:rFonts w:asciiTheme="majorHAnsi" w:hAnsiTheme="majorHAnsi"/>
        </w:rPr>
        <w:footnoteReference w:id="15"/>
      </w:r>
      <w:r w:rsidRPr="00E53797">
        <w:rPr>
          <w:rFonts w:asciiTheme="majorHAnsi" w:hAnsiTheme="majorHAnsi"/>
        </w:rPr>
        <w:t xml:space="preserve"> </w:t>
      </w:r>
      <w:r w:rsidR="00F757A3">
        <w:rPr>
          <w:rFonts w:asciiTheme="majorHAnsi" w:hAnsiTheme="majorHAnsi"/>
        </w:rPr>
        <w:t xml:space="preserve">Examples of labelling schemes for several comparable countries </w:t>
      </w:r>
      <w:r w:rsidR="003F087D">
        <w:rPr>
          <w:rFonts w:asciiTheme="majorHAnsi" w:hAnsiTheme="majorHAnsi"/>
        </w:rPr>
        <w:t xml:space="preserve">are </w:t>
      </w:r>
      <w:r w:rsidR="005C55C8">
        <w:rPr>
          <w:rFonts w:asciiTheme="majorHAnsi" w:hAnsiTheme="majorHAnsi"/>
        </w:rPr>
        <w:t xml:space="preserve">in </w:t>
      </w:r>
      <w:r w:rsidR="00170763">
        <w:rPr>
          <w:rFonts w:asciiTheme="majorHAnsi" w:hAnsiTheme="majorHAnsi"/>
        </w:rPr>
        <w:fldChar w:fldCharType="begin"/>
      </w:r>
      <w:r w:rsidR="00170763">
        <w:rPr>
          <w:rFonts w:asciiTheme="majorHAnsi" w:hAnsiTheme="majorHAnsi"/>
        </w:rPr>
        <w:instrText xml:space="preserve"> REF _Ref72180216 \n \h </w:instrText>
      </w:r>
      <w:r w:rsidR="00170763">
        <w:rPr>
          <w:rFonts w:asciiTheme="majorHAnsi" w:hAnsiTheme="majorHAnsi"/>
        </w:rPr>
      </w:r>
      <w:r w:rsidR="00170763">
        <w:rPr>
          <w:rFonts w:asciiTheme="majorHAnsi" w:hAnsiTheme="majorHAnsi"/>
        </w:rPr>
        <w:fldChar w:fldCharType="separate"/>
      </w:r>
      <w:r w:rsidR="0017363C">
        <w:rPr>
          <w:rFonts w:asciiTheme="majorHAnsi" w:hAnsiTheme="majorHAnsi"/>
        </w:rPr>
        <w:t>Appendix A</w:t>
      </w:r>
      <w:r w:rsidR="00170763">
        <w:rPr>
          <w:rFonts w:asciiTheme="majorHAnsi" w:hAnsiTheme="majorHAnsi"/>
        </w:rPr>
        <w:fldChar w:fldCharType="end"/>
      </w:r>
      <w:r w:rsidR="0099172F" w:rsidRPr="0099172F">
        <w:rPr>
          <w:rFonts w:asciiTheme="majorHAnsi" w:hAnsiTheme="majorHAnsi"/>
        </w:rPr>
        <w:t>.</w:t>
      </w:r>
    </w:p>
    <w:p w14:paraId="3FC29CB1" w14:textId="0B601C69" w:rsidR="00610D05" w:rsidRDefault="00B15E37" w:rsidP="00610D05">
      <w:pPr>
        <w:spacing w:before="120"/>
      </w:pPr>
      <w:r>
        <w:rPr>
          <w:rFonts w:asciiTheme="majorHAnsi" w:hAnsiTheme="majorHAnsi"/>
        </w:rPr>
        <w:t>The absence of regulation can result in information asymmetry</w:t>
      </w:r>
      <w:r w:rsidR="0061080C">
        <w:rPr>
          <w:rFonts w:asciiTheme="majorHAnsi" w:hAnsiTheme="majorHAnsi"/>
        </w:rPr>
        <w:t>,</w:t>
      </w:r>
      <w:r>
        <w:rPr>
          <w:rFonts w:asciiTheme="majorHAnsi" w:hAnsiTheme="majorHAnsi"/>
        </w:rPr>
        <w:t xml:space="preserve"> </w:t>
      </w:r>
      <w:r w:rsidR="00BD019C">
        <w:rPr>
          <w:rFonts w:asciiTheme="majorHAnsi" w:hAnsiTheme="majorHAnsi"/>
        </w:rPr>
        <w:t xml:space="preserve">where </w:t>
      </w:r>
      <w:r w:rsidRPr="00F04A1C">
        <w:t>food producers know more about their products than</w:t>
      </w:r>
      <w:r w:rsidRPr="00E53797">
        <w:rPr>
          <w:rFonts w:asciiTheme="majorHAnsi" w:hAnsiTheme="majorHAnsi"/>
        </w:rPr>
        <w:t xml:space="preserve"> </w:t>
      </w:r>
      <w:r>
        <w:rPr>
          <w:rFonts w:asciiTheme="majorHAnsi" w:hAnsiTheme="majorHAnsi"/>
        </w:rPr>
        <w:t xml:space="preserve">do </w:t>
      </w:r>
      <w:r w:rsidRPr="00E53797">
        <w:rPr>
          <w:rFonts w:asciiTheme="majorHAnsi" w:hAnsiTheme="majorHAnsi"/>
        </w:rPr>
        <w:t xml:space="preserve">consumers </w:t>
      </w:r>
      <w:r>
        <w:rPr>
          <w:rFonts w:asciiTheme="majorHAnsi" w:hAnsiTheme="majorHAnsi"/>
        </w:rPr>
        <w:t>a</w:t>
      </w:r>
      <w:r w:rsidRPr="00E53797">
        <w:rPr>
          <w:rFonts w:asciiTheme="majorHAnsi" w:hAnsiTheme="majorHAnsi"/>
        </w:rPr>
        <w:t>nd are able to select which information consumers receive</w:t>
      </w:r>
      <w:r w:rsidRPr="00E53797">
        <w:rPr>
          <w:rStyle w:val="FootnoteReference"/>
          <w:rFonts w:asciiTheme="majorHAnsi" w:hAnsiTheme="majorHAnsi"/>
        </w:rPr>
        <w:footnoteReference w:id="16"/>
      </w:r>
      <w:r>
        <w:rPr>
          <w:rFonts w:asciiTheme="majorHAnsi" w:hAnsiTheme="majorHAnsi"/>
        </w:rPr>
        <w:t xml:space="preserve">. As profit-maximising entities may decide to only include </w:t>
      </w:r>
      <w:r w:rsidRPr="00E53797">
        <w:rPr>
          <w:rFonts w:asciiTheme="majorHAnsi" w:hAnsiTheme="majorHAnsi"/>
        </w:rPr>
        <w:t xml:space="preserve">information </w:t>
      </w:r>
      <w:r>
        <w:rPr>
          <w:rFonts w:asciiTheme="majorHAnsi" w:hAnsiTheme="majorHAnsi"/>
        </w:rPr>
        <w:t xml:space="preserve">that would </w:t>
      </w:r>
      <w:r w:rsidRPr="00E53797">
        <w:rPr>
          <w:rFonts w:asciiTheme="majorHAnsi" w:hAnsiTheme="majorHAnsi"/>
        </w:rPr>
        <w:t xml:space="preserve">generate </w:t>
      </w:r>
      <w:r>
        <w:rPr>
          <w:rFonts w:asciiTheme="majorHAnsi" w:hAnsiTheme="majorHAnsi"/>
        </w:rPr>
        <w:t xml:space="preserve">a profit, consumers may be prevented from </w:t>
      </w:r>
      <w:r w:rsidRPr="00E53797">
        <w:rPr>
          <w:rFonts w:asciiTheme="majorHAnsi" w:hAnsiTheme="majorHAnsi"/>
        </w:rPr>
        <w:t>making consumption choices that align with their preferences.</w:t>
      </w:r>
      <w:r w:rsidRPr="00E53797">
        <w:rPr>
          <w:rStyle w:val="FootnoteReference"/>
          <w:rFonts w:asciiTheme="majorHAnsi" w:hAnsiTheme="majorHAnsi"/>
        </w:rPr>
        <w:footnoteReference w:id="17"/>
      </w:r>
      <w:r>
        <w:rPr>
          <w:rFonts w:asciiTheme="majorHAnsi" w:hAnsiTheme="majorHAnsi"/>
        </w:rPr>
        <w:t xml:space="preserve"> </w:t>
      </w:r>
      <w:r w:rsidR="00610D05" w:rsidRPr="00E53797">
        <w:rPr>
          <w:rFonts w:asciiTheme="majorHAnsi" w:hAnsiTheme="majorHAnsi"/>
        </w:rPr>
        <w:t xml:space="preserve">Furthermore, without any standardisation of food labelling claims, consumers are </w:t>
      </w:r>
      <w:r w:rsidR="00610D05" w:rsidRPr="00E53797">
        <w:rPr>
          <w:rFonts w:asciiTheme="majorHAnsi" w:hAnsiTheme="majorHAnsi"/>
        </w:rPr>
        <w:lastRenderedPageBreak/>
        <w:t>likely to be confused by, mislead by or misinterpret information on food labels</w:t>
      </w:r>
      <w:r w:rsidR="00610D05" w:rsidRPr="00E53797">
        <w:rPr>
          <w:rStyle w:val="FootnoteReference"/>
          <w:rFonts w:asciiTheme="majorHAnsi" w:hAnsiTheme="majorHAnsi"/>
        </w:rPr>
        <w:t xml:space="preserve"> </w:t>
      </w:r>
      <w:r w:rsidR="00610D05" w:rsidRPr="00E53797">
        <w:rPr>
          <w:rStyle w:val="FootnoteReference"/>
          <w:rFonts w:asciiTheme="majorHAnsi" w:hAnsiTheme="majorHAnsi"/>
        </w:rPr>
        <w:footnoteReference w:id="18"/>
      </w:r>
      <w:r w:rsidR="00610D05">
        <w:rPr>
          <w:rFonts w:asciiTheme="majorHAnsi" w:hAnsiTheme="majorHAnsi"/>
        </w:rPr>
        <w:t xml:space="preserve"> and </w:t>
      </w:r>
      <w:r w:rsidR="00E76532">
        <w:rPr>
          <w:rFonts w:asciiTheme="majorHAnsi" w:hAnsiTheme="majorHAnsi"/>
        </w:rPr>
        <w:t xml:space="preserve">may </w:t>
      </w:r>
      <w:r w:rsidR="0061080C">
        <w:rPr>
          <w:rFonts w:asciiTheme="majorHAnsi" w:hAnsiTheme="majorHAnsi"/>
        </w:rPr>
        <w:t xml:space="preserve">not be </w:t>
      </w:r>
      <w:r w:rsidR="00610D05" w:rsidRPr="00E53797">
        <w:rPr>
          <w:rFonts w:asciiTheme="majorHAnsi" w:hAnsiTheme="majorHAnsi"/>
        </w:rPr>
        <w:t>convince</w:t>
      </w:r>
      <w:r w:rsidR="00E76532">
        <w:rPr>
          <w:rFonts w:asciiTheme="majorHAnsi" w:hAnsiTheme="majorHAnsi"/>
        </w:rPr>
        <w:t>d</w:t>
      </w:r>
      <w:r w:rsidR="00610D05" w:rsidRPr="00E53797">
        <w:rPr>
          <w:rFonts w:asciiTheme="majorHAnsi" w:hAnsiTheme="majorHAnsi"/>
        </w:rPr>
        <w:t xml:space="preserve"> of the validity of labelled information.</w:t>
      </w:r>
      <w:r w:rsidR="00610D05" w:rsidRPr="00E53797">
        <w:rPr>
          <w:rStyle w:val="FootnoteReference"/>
          <w:rFonts w:asciiTheme="majorHAnsi" w:hAnsiTheme="majorHAnsi"/>
        </w:rPr>
        <w:footnoteReference w:id="19"/>
      </w:r>
    </w:p>
    <w:p w14:paraId="1116F641" w14:textId="77777777" w:rsidR="002248CA" w:rsidRPr="00E53797" w:rsidRDefault="002248CA" w:rsidP="00F977D1">
      <w:pPr>
        <w:rPr>
          <w:rFonts w:asciiTheme="majorHAnsi" w:hAnsiTheme="majorHAnsi"/>
        </w:rPr>
      </w:pPr>
      <w:r w:rsidRPr="00E53797">
        <w:rPr>
          <w:rFonts w:asciiTheme="majorHAnsi" w:hAnsiTheme="majorHAnsi"/>
        </w:rPr>
        <w:t>Food labels are designed to provide consumers with information that:</w:t>
      </w:r>
    </w:p>
    <w:p w14:paraId="38F1C92C" w14:textId="012EB0C1" w:rsidR="002248CA" w:rsidRPr="00E53797" w:rsidRDefault="007D4A26" w:rsidP="002248CA">
      <w:pPr>
        <w:pStyle w:val="ListBullet"/>
        <w:rPr>
          <w:rFonts w:asciiTheme="majorHAnsi" w:hAnsiTheme="majorHAnsi"/>
        </w:rPr>
      </w:pPr>
      <w:r>
        <w:rPr>
          <w:rFonts w:asciiTheme="majorHAnsi" w:hAnsiTheme="majorHAnsi"/>
        </w:rPr>
        <w:t>C</w:t>
      </w:r>
      <w:r w:rsidR="002248CA" w:rsidRPr="00E53797">
        <w:rPr>
          <w:rFonts w:asciiTheme="majorHAnsi" w:hAnsiTheme="majorHAnsi"/>
        </w:rPr>
        <w:t>ommunicates important health and safety information about products (</w:t>
      </w:r>
      <w:r w:rsidR="00290D69">
        <w:rPr>
          <w:rFonts w:asciiTheme="majorHAnsi" w:hAnsiTheme="majorHAnsi"/>
        </w:rPr>
        <w:t xml:space="preserve">e.g. </w:t>
      </w:r>
      <w:r w:rsidR="002248CA" w:rsidRPr="00E53797">
        <w:rPr>
          <w:rFonts w:asciiTheme="majorHAnsi" w:hAnsiTheme="majorHAnsi"/>
        </w:rPr>
        <w:t>use by dates, allergens or storage and preparation instructions)</w:t>
      </w:r>
      <w:r w:rsidR="002248CA" w:rsidRPr="00E53797">
        <w:rPr>
          <w:rStyle w:val="FootnoteReference"/>
          <w:rFonts w:asciiTheme="majorHAnsi" w:hAnsiTheme="majorHAnsi"/>
        </w:rPr>
        <w:footnoteReference w:id="20"/>
      </w:r>
    </w:p>
    <w:p w14:paraId="7F027391" w14:textId="14C51AF8" w:rsidR="002248CA" w:rsidRPr="00E53797" w:rsidRDefault="007D4A26" w:rsidP="002248CA">
      <w:pPr>
        <w:pStyle w:val="ListBullet"/>
        <w:rPr>
          <w:rFonts w:asciiTheme="majorHAnsi" w:hAnsiTheme="majorHAnsi"/>
        </w:rPr>
      </w:pPr>
      <w:r>
        <w:rPr>
          <w:rFonts w:asciiTheme="majorHAnsi" w:hAnsiTheme="majorHAnsi"/>
        </w:rPr>
        <w:t>A</w:t>
      </w:r>
      <w:r w:rsidR="002248CA" w:rsidRPr="00E53797">
        <w:rPr>
          <w:rFonts w:asciiTheme="majorHAnsi" w:hAnsiTheme="majorHAnsi"/>
        </w:rPr>
        <w:t xml:space="preserve">ssists them in making consumption choices </w:t>
      </w:r>
      <w:r w:rsidR="00290D69">
        <w:rPr>
          <w:rFonts w:asciiTheme="majorHAnsi" w:hAnsiTheme="majorHAnsi"/>
        </w:rPr>
        <w:t>that</w:t>
      </w:r>
      <w:r w:rsidR="002248CA" w:rsidRPr="00E53797">
        <w:rPr>
          <w:rFonts w:asciiTheme="majorHAnsi" w:hAnsiTheme="majorHAnsi"/>
        </w:rPr>
        <w:t xml:space="preserve"> align with their preferences (e.g. information on nutrition, health claims and ingredients)</w:t>
      </w:r>
      <w:r w:rsidR="002248CA" w:rsidRPr="00E53797">
        <w:rPr>
          <w:rStyle w:val="FootnoteReference"/>
          <w:rFonts w:asciiTheme="majorHAnsi" w:hAnsiTheme="majorHAnsi"/>
        </w:rPr>
        <w:footnoteReference w:id="21"/>
      </w:r>
      <w:r w:rsidR="002248CA" w:rsidRPr="00E53797">
        <w:rPr>
          <w:rFonts w:asciiTheme="majorHAnsi" w:hAnsiTheme="majorHAnsi"/>
        </w:rPr>
        <w:t xml:space="preserve"> </w:t>
      </w:r>
    </w:p>
    <w:p w14:paraId="72CE2B66" w14:textId="1DC1D18A" w:rsidR="002248CA" w:rsidRPr="00293C19" w:rsidRDefault="007D4A26" w:rsidP="002248CA">
      <w:pPr>
        <w:pStyle w:val="ListBullet"/>
        <w:rPr>
          <w:rFonts w:asciiTheme="majorHAnsi" w:hAnsiTheme="majorHAnsi"/>
        </w:rPr>
      </w:pPr>
      <w:r>
        <w:rPr>
          <w:rFonts w:asciiTheme="majorHAnsi" w:hAnsiTheme="majorHAnsi"/>
        </w:rPr>
        <w:t>D</w:t>
      </w:r>
      <w:r w:rsidR="002248CA" w:rsidRPr="00E53797">
        <w:rPr>
          <w:rFonts w:asciiTheme="majorHAnsi" w:hAnsiTheme="majorHAnsi"/>
        </w:rPr>
        <w:t>ifferentiates products in the market by marketing certain aspects/attributes of products (e.g. whether a product is organic or outlining the country of origin).</w:t>
      </w:r>
      <w:r w:rsidR="002248CA" w:rsidRPr="00E53797">
        <w:rPr>
          <w:rStyle w:val="FootnoteReference"/>
          <w:rFonts w:asciiTheme="majorHAnsi" w:hAnsiTheme="majorHAnsi"/>
        </w:rPr>
        <w:footnoteReference w:id="22"/>
      </w:r>
    </w:p>
    <w:p w14:paraId="11850F2F" w14:textId="773F8FF6" w:rsidR="001F46DA" w:rsidRDefault="00B235E8" w:rsidP="00F977D1">
      <w:pPr>
        <w:spacing w:before="120"/>
        <w:rPr>
          <w:rFonts w:asciiTheme="majorHAnsi" w:hAnsiTheme="majorHAnsi"/>
        </w:rPr>
      </w:pPr>
      <w:r w:rsidRPr="00E53797">
        <w:rPr>
          <w:rFonts w:asciiTheme="majorHAnsi" w:eastAsia="Calibri" w:hAnsiTheme="majorHAnsi" w:cs="Calibri"/>
        </w:rPr>
        <w:t xml:space="preserve">As most Australians have minimal engagement with food production processes, consumers use labelling to </w:t>
      </w:r>
      <w:r w:rsidR="00B36968">
        <w:rPr>
          <w:rFonts w:asciiTheme="majorHAnsi" w:eastAsia="Calibri" w:hAnsiTheme="majorHAnsi" w:cs="Calibri"/>
        </w:rPr>
        <w:t>help</w:t>
      </w:r>
      <w:r w:rsidRPr="00E53797">
        <w:rPr>
          <w:rFonts w:asciiTheme="majorHAnsi" w:eastAsia="Calibri" w:hAnsiTheme="majorHAnsi" w:cs="Calibri"/>
        </w:rPr>
        <w:t xml:space="preserve"> identif</w:t>
      </w:r>
      <w:r w:rsidR="00B36968">
        <w:rPr>
          <w:rFonts w:asciiTheme="majorHAnsi" w:eastAsia="Calibri" w:hAnsiTheme="majorHAnsi" w:cs="Calibri"/>
        </w:rPr>
        <w:t>y</w:t>
      </w:r>
      <w:r w:rsidRPr="00E53797">
        <w:rPr>
          <w:rFonts w:asciiTheme="majorHAnsi" w:eastAsia="Calibri" w:hAnsiTheme="majorHAnsi" w:cs="Calibri"/>
        </w:rPr>
        <w:t xml:space="preserve"> the composition, source and nutritional quality of ingredients.</w:t>
      </w:r>
      <w:r w:rsidR="007C7E5A" w:rsidRPr="00E53797">
        <w:rPr>
          <w:rStyle w:val="FootnoteReference"/>
          <w:rFonts w:asciiTheme="majorHAnsi" w:eastAsia="Calibri" w:hAnsiTheme="majorHAnsi" w:cs="Calibri"/>
        </w:rPr>
        <w:footnoteReference w:id="23"/>
      </w:r>
      <w:r w:rsidRPr="00E53797">
        <w:rPr>
          <w:rFonts w:asciiTheme="majorHAnsi" w:hAnsiTheme="majorHAnsi"/>
          <w:color w:val="FF0000"/>
        </w:rPr>
        <w:t xml:space="preserve"> </w:t>
      </w:r>
      <w:r w:rsidR="00606E2D">
        <w:rPr>
          <w:rFonts w:asciiTheme="majorHAnsi" w:hAnsiTheme="majorHAnsi"/>
        </w:rPr>
        <w:t>Australian governments have</w:t>
      </w:r>
      <w:r w:rsidR="004D3FD4" w:rsidRPr="00E53797">
        <w:rPr>
          <w:rFonts w:asciiTheme="majorHAnsi" w:hAnsiTheme="majorHAnsi"/>
        </w:rPr>
        <w:t xml:space="preserve"> recognise</w:t>
      </w:r>
      <w:r w:rsidR="00606E2D">
        <w:rPr>
          <w:rFonts w:asciiTheme="majorHAnsi" w:hAnsiTheme="majorHAnsi"/>
        </w:rPr>
        <w:t>d</w:t>
      </w:r>
      <w:r w:rsidR="004D3FD4" w:rsidRPr="00E53797">
        <w:rPr>
          <w:rFonts w:asciiTheme="majorHAnsi" w:hAnsiTheme="majorHAnsi"/>
        </w:rPr>
        <w:t xml:space="preserve"> that effective regulation of food labelling is important</w:t>
      </w:r>
      <w:r w:rsidR="004D3FD4">
        <w:rPr>
          <w:rFonts w:asciiTheme="majorHAnsi" w:hAnsiTheme="majorHAnsi"/>
        </w:rPr>
        <w:t xml:space="preserve">, and Australia has had </w:t>
      </w:r>
      <w:r w:rsidR="002B11BB">
        <w:rPr>
          <w:rFonts w:asciiTheme="majorHAnsi" w:hAnsiTheme="majorHAnsi"/>
        </w:rPr>
        <w:t>CoOL</w:t>
      </w:r>
      <w:r w:rsidR="004D3FD4">
        <w:rPr>
          <w:rFonts w:asciiTheme="majorHAnsi" w:hAnsiTheme="majorHAnsi"/>
        </w:rPr>
        <w:t xml:space="preserve"> regulations since 1994</w:t>
      </w:r>
      <w:r w:rsidR="004D3FD4" w:rsidRPr="00E53797">
        <w:rPr>
          <w:rFonts w:asciiTheme="majorHAnsi" w:hAnsiTheme="majorHAnsi"/>
        </w:rPr>
        <w:t>.</w:t>
      </w:r>
      <w:r w:rsidR="004D3FD4" w:rsidRPr="00E53797">
        <w:rPr>
          <w:rStyle w:val="FootnoteReference"/>
          <w:rFonts w:asciiTheme="majorHAnsi" w:hAnsiTheme="majorHAnsi"/>
        </w:rPr>
        <w:footnoteReference w:id="24"/>
      </w:r>
    </w:p>
    <w:p w14:paraId="57F31FAA" w14:textId="323F55DA" w:rsidR="007E4C2B" w:rsidRPr="007E4C2B" w:rsidRDefault="007E4C2B">
      <w:pPr>
        <w:pStyle w:val="Heading2"/>
      </w:pPr>
      <w:bookmarkStart w:id="96" w:name="_Toc94702042"/>
      <w:r w:rsidRPr="007E4C2B">
        <w:t>Purpose of country of origin labels</w:t>
      </w:r>
      <w:bookmarkEnd w:id="96"/>
    </w:p>
    <w:p w14:paraId="5037BA1B" w14:textId="5C82C4E1" w:rsidR="008E0291" w:rsidRDefault="00726CE0" w:rsidP="00726CE0">
      <w:pPr>
        <w:spacing w:before="120"/>
        <w:rPr>
          <w:rFonts w:asciiTheme="majorHAnsi" w:hAnsiTheme="majorHAnsi"/>
        </w:rPr>
      </w:pPr>
      <w:r w:rsidRPr="00726CE0">
        <w:rPr>
          <w:rFonts w:asciiTheme="majorHAnsi" w:hAnsiTheme="majorHAnsi"/>
        </w:rPr>
        <w:t xml:space="preserve">The aim of the CoOL reforms </w:t>
      </w:r>
      <w:r w:rsidR="00DB7892" w:rsidRPr="00726CE0">
        <w:rPr>
          <w:rFonts w:asciiTheme="majorHAnsi" w:hAnsiTheme="majorHAnsi"/>
        </w:rPr>
        <w:t>was</w:t>
      </w:r>
      <w:r w:rsidRPr="00726CE0">
        <w:rPr>
          <w:rFonts w:asciiTheme="majorHAnsi" w:hAnsiTheme="majorHAnsi"/>
        </w:rPr>
        <w:t xml:space="preserve"> to provide clearer, more consistent, </w:t>
      </w:r>
      <w:r w:rsidR="00DB7892" w:rsidRPr="00726CE0">
        <w:rPr>
          <w:rFonts w:asciiTheme="majorHAnsi" w:hAnsiTheme="majorHAnsi"/>
        </w:rPr>
        <w:t>informative</w:t>
      </w:r>
      <w:r w:rsidRPr="00726CE0">
        <w:rPr>
          <w:rFonts w:asciiTheme="majorHAnsi" w:hAnsiTheme="majorHAnsi"/>
        </w:rPr>
        <w:t xml:space="preserve"> and easy to find labels to assist consumers in making more informed choices about the food they buy, in line with their personal preferences. They were not intended to encourage consumers to buy Australian-made products in preference to imported products</w:t>
      </w:r>
      <w:r w:rsidR="004E6803">
        <w:rPr>
          <w:rFonts w:asciiTheme="majorHAnsi" w:hAnsiTheme="majorHAnsi"/>
        </w:rPr>
        <w:t>,</w:t>
      </w:r>
      <w:r w:rsidRPr="00726CE0">
        <w:rPr>
          <w:rFonts w:asciiTheme="majorHAnsi" w:hAnsiTheme="majorHAnsi"/>
        </w:rPr>
        <w:t xml:space="preserve"> which ensures Australia meets its World Trade Organisation (WTO) obligations</w:t>
      </w:r>
      <w:r w:rsidR="00A16300">
        <w:rPr>
          <w:rFonts w:asciiTheme="majorHAnsi" w:hAnsiTheme="majorHAnsi"/>
        </w:rPr>
        <w:t xml:space="preserve"> and potentially other </w:t>
      </w:r>
      <w:r w:rsidR="00250696">
        <w:rPr>
          <w:rFonts w:asciiTheme="majorHAnsi" w:hAnsiTheme="majorHAnsi"/>
        </w:rPr>
        <w:t xml:space="preserve">obligations under </w:t>
      </w:r>
      <w:r w:rsidR="00A16300">
        <w:rPr>
          <w:rFonts w:asciiTheme="majorHAnsi" w:hAnsiTheme="majorHAnsi"/>
        </w:rPr>
        <w:t>existing free trade agreements</w:t>
      </w:r>
      <w:r w:rsidRPr="00726CE0">
        <w:rPr>
          <w:rFonts w:asciiTheme="majorHAnsi" w:hAnsiTheme="majorHAnsi"/>
        </w:rPr>
        <w:t>.</w:t>
      </w:r>
      <w:r w:rsidR="008F5EB7" w:rsidRPr="008F5EB7">
        <w:t xml:space="preserve"> </w:t>
      </w:r>
    </w:p>
    <w:p w14:paraId="1CF54442" w14:textId="77777777" w:rsidR="001B73A0" w:rsidRPr="00682DDA" w:rsidRDefault="001B73A0">
      <w:pPr>
        <w:pStyle w:val="Heading2"/>
      </w:pPr>
      <w:bookmarkStart w:id="97" w:name="_Toc67499041"/>
      <w:bookmarkStart w:id="98" w:name="_Toc94702043"/>
      <w:r w:rsidRPr="00682DDA">
        <w:t xml:space="preserve">Changes to </w:t>
      </w:r>
      <w:r w:rsidR="009D1E94">
        <w:t>CoOL</w:t>
      </w:r>
      <w:r w:rsidRPr="00682DDA">
        <w:t xml:space="preserve"> implemented in 2016</w:t>
      </w:r>
      <w:bookmarkEnd w:id="97"/>
      <w:bookmarkEnd w:id="98"/>
    </w:p>
    <w:p w14:paraId="084858F1" w14:textId="5A249BDF" w:rsidR="00054FEB" w:rsidRDefault="00054FEB">
      <w:r w:rsidRPr="00421A65">
        <w:t xml:space="preserve">In July 2016, the Australian Government made changes to the </w:t>
      </w:r>
      <w:r w:rsidR="009D1E94">
        <w:rPr>
          <w:rFonts w:eastAsia="Calibri" w:cs="Times New Roman"/>
        </w:rPr>
        <w:t>CoOL</w:t>
      </w:r>
      <w:r w:rsidR="009D1E94" w:rsidRPr="00CC297D">
        <w:rPr>
          <w:rFonts w:eastAsia="Calibri" w:cs="Times New Roman"/>
        </w:rPr>
        <w:t xml:space="preserve"> </w:t>
      </w:r>
      <w:r w:rsidRPr="00421A65">
        <w:t xml:space="preserve">scheme by removing it from the Food </w:t>
      </w:r>
      <w:r w:rsidRPr="009D3D59">
        <w:t>Standards Code</w:t>
      </w:r>
      <w:r>
        <w:t xml:space="preserve"> and regulating it through</w:t>
      </w:r>
      <w:r w:rsidDel="00BD50FB">
        <w:t xml:space="preserve"> </w:t>
      </w:r>
      <w:r w:rsidR="00E61CBE">
        <w:t>ACL</w:t>
      </w:r>
      <w:r>
        <w:t xml:space="preserve"> instead. This change distilled the role of government monitoring and enforcement from multiple agencies down to a single regulator (</w:t>
      </w:r>
      <w:r w:rsidR="008473D5">
        <w:t>ACCC]</w:t>
      </w:r>
      <w:r>
        <w:t>).</w:t>
      </w:r>
      <w:r w:rsidR="00B5019A">
        <w:rPr>
          <w:rStyle w:val="FootnoteReference"/>
        </w:rPr>
        <w:footnoteReference w:id="25"/>
      </w:r>
      <w:r>
        <w:t xml:space="preserve"> In addition, the </w:t>
      </w:r>
      <w:r w:rsidR="000940AB">
        <w:t>Australian</w:t>
      </w:r>
      <w:r>
        <w:t xml:space="preserve"> Government introduced visual elements into</w:t>
      </w:r>
      <w:r w:rsidR="009B6E47">
        <w:t xml:space="preserve"> </w:t>
      </w:r>
      <w:r w:rsidR="009D1E94">
        <w:rPr>
          <w:rFonts w:eastAsia="Calibri" w:cs="Times New Roman"/>
        </w:rPr>
        <w:t>CoOL</w:t>
      </w:r>
      <w:r w:rsidR="009D1E94" w:rsidRPr="00CC297D">
        <w:rPr>
          <w:rFonts w:eastAsia="Calibri" w:cs="Times New Roman"/>
        </w:rPr>
        <w:t xml:space="preserve"> </w:t>
      </w:r>
      <w:r>
        <w:t>information to help make the information easier to find and read for consumers.</w:t>
      </w:r>
      <w:r w:rsidR="007477FD">
        <w:rPr>
          <w:rStyle w:val="FootnoteReference"/>
        </w:rPr>
        <w:footnoteReference w:id="26"/>
      </w:r>
      <w:r>
        <w:t xml:space="preserve"> </w:t>
      </w:r>
      <w:r w:rsidR="00D33484">
        <w:t>The</w:t>
      </w:r>
      <w:r w:rsidR="00F31FD7">
        <w:t xml:space="preserve"> safe harbour provisions</w:t>
      </w:r>
      <w:r w:rsidR="00D33484">
        <w:t xml:space="preserve"> were also amended to i</w:t>
      </w:r>
      <w:r w:rsidR="00D33484" w:rsidRPr="009B275E">
        <w:t>ntroduce the substantial transformation test</w:t>
      </w:r>
      <w:r w:rsidR="00D33484">
        <w:t xml:space="preserve"> and remove the 50% </w:t>
      </w:r>
      <w:r w:rsidR="008D48FF">
        <w:t>production cost test.</w:t>
      </w:r>
    </w:p>
    <w:p w14:paraId="4F5AE345" w14:textId="711BC19E" w:rsidR="009B4C17" w:rsidRDefault="009B4C17" w:rsidP="009B4C17">
      <w:pPr>
        <w:pStyle w:val="ListBullet"/>
        <w:numPr>
          <w:ilvl w:val="0"/>
          <w:numId w:val="0"/>
        </w:numPr>
        <w:rPr>
          <w:szCs w:val="18"/>
        </w:rPr>
      </w:pPr>
      <w:r w:rsidRPr="00D32DE5">
        <w:rPr>
          <w:szCs w:val="18"/>
        </w:rPr>
        <w:t xml:space="preserve">The 2016 reforms </w:t>
      </w:r>
      <w:r w:rsidR="006C6776">
        <w:rPr>
          <w:szCs w:val="18"/>
        </w:rPr>
        <w:t>to</w:t>
      </w:r>
      <w:r w:rsidRPr="00D32DE5">
        <w:rPr>
          <w:szCs w:val="18"/>
        </w:rPr>
        <w:t xml:space="preserve"> </w:t>
      </w:r>
      <w:r>
        <w:rPr>
          <w:szCs w:val="18"/>
        </w:rPr>
        <w:t>the CoOL framework were designed to:</w:t>
      </w:r>
    </w:p>
    <w:p w14:paraId="6CCDB95C" w14:textId="560A637C" w:rsidR="009B4C17" w:rsidRDefault="00005359" w:rsidP="009B4C17">
      <w:pPr>
        <w:pStyle w:val="ListBullet"/>
      </w:pPr>
      <w:r>
        <w:t>B</w:t>
      </w:r>
      <w:r w:rsidR="009B4C17" w:rsidRPr="00D32DE5">
        <w:t>etter communicate country of origin information at the point of purchase</w:t>
      </w:r>
    </w:p>
    <w:p w14:paraId="2B4D02D2" w14:textId="37715886" w:rsidR="009B4C17" w:rsidRPr="00D03DB5" w:rsidRDefault="00005359" w:rsidP="009B4C17">
      <w:pPr>
        <w:pStyle w:val="ListBullet"/>
      </w:pPr>
      <w:r>
        <w:t>P</w:t>
      </w:r>
      <w:r w:rsidR="009B4C17">
        <w:t xml:space="preserve">rovide consumers with reliable, more informative, easier to find and less ambiguous origin information </w:t>
      </w:r>
    </w:p>
    <w:p w14:paraId="44720AA1" w14:textId="497CA5C2" w:rsidR="009B4C17" w:rsidRPr="00B237BE" w:rsidRDefault="00005359" w:rsidP="009B4C17">
      <w:pPr>
        <w:pStyle w:val="ListBullet"/>
      </w:pPr>
      <w:r>
        <w:t>P</w:t>
      </w:r>
      <w:r w:rsidR="009B4C17">
        <w:t>rovide business with greater certainty and clarity about the claims they can make</w:t>
      </w:r>
    </w:p>
    <w:p w14:paraId="0F1DFC31" w14:textId="032D955B" w:rsidR="00F90490" w:rsidRDefault="00B76D21" w:rsidP="00F31FD7">
      <w:pPr>
        <w:spacing w:before="120"/>
      </w:pPr>
      <w:r>
        <w:lastRenderedPageBreak/>
        <w:t>The Australian Government supported the i</w:t>
      </w:r>
      <w:r w:rsidR="00B76057" w:rsidRPr="00A76E48">
        <w:t xml:space="preserve">mplementation of CoOL </w:t>
      </w:r>
      <w:r>
        <w:t xml:space="preserve">with a </w:t>
      </w:r>
      <w:r w:rsidR="007A37C2" w:rsidRPr="00A76E48">
        <w:t>public information and awareness campaign target</w:t>
      </w:r>
      <w:r>
        <w:t>ing</w:t>
      </w:r>
      <w:r w:rsidR="007A37C2" w:rsidRPr="00A76E48">
        <w:t xml:space="preserve"> </w:t>
      </w:r>
      <w:r>
        <w:t>b</w:t>
      </w:r>
      <w:r w:rsidR="007A37C2" w:rsidRPr="00A76E48">
        <w:t>usiness</w:t>
      </w:r>
      <w:r>
        <w:t>es</w:t>
      </w:r>
      <w:r w:rsidR="007A37C2" w:rsidRPr="00A76E48">
        <w:t xml:space="preserve"> and consumers</w:t>
      </w:r>
      <w:r>
        <w:t xml:space="preserve">, and development of </w:t>
      </w:r>
      <w:r w:rsidR="007A37C2" w:rsidRPr="00A76E48">
        <w:t xml:space="preserve">an online tool </w:t>
      </w:r>
      <w:r>
        <w:t xml:space="preserve">to assist businesses </w:t>
      </w:r>
      <w:r w:rsidR="007A37C2" w:rsidRPr="00A76E48">
        <w:t xml:space="preserve">to generate appropriate </w:t>
      </w:r>
      <w:r>
        <w:t xml:space="preserve">product </w:t>
      </w:r>
      <w:r w:rsidR="007A37C2" w:rsidRPr="00A76E48">
        <w:t>label</w:t>
      </w:r>
      <w:r>
        <w:t>s</w:t>
      </w:r>
      <w:r w:rsidR="007A37C2" w:rsidRPr="00A76E48">
        <w:t>.</w:t>
      </w:r>
      <w:r w:rsidR="00655B04" w:rsidRPr="00655B04">
        <w:t xml:space="preserve"> </w:t>
      </w:r>
    </w:p>
    <w:p w14:paraId="0C60A943" w14:textId="2729441B" w:rsidR="00803B9B" w:rsidRDefault="00803B9B" w:rsidP="00E53797">
      <w:pPr>
        <w:rPr>
          <w:rFonts w:asciiTheme="majorHAnsi" w:eastAsia="Verdana" w:hAnsiTheme="majorHAnsi" w:cs="Segoe UI"/>
        </w:rPr>
      </w:pPr>
      <w:r>
        <w:t>Further detail</w:t>
      </w:r>
      <w:r w:rsidR="00BA530B">
        <w:t>s</w:t>
      </w:r>
      <w:r>
        <w:t xml:space="preserve"> on the </w:t>
      </w:r>
      <w:r w:rsidR="00B76D21">
        <w:t xml:space="preserve">reforms </w:t>
      </w:r>
      <w:r>
        <w:t xml:space="preserve">are provided in </w:t>
      </w:r>
      <w:r w:rsidR="00B76D21">
        <w:t>th</w:t>
      </w:r>
      <w:r>
        <w:t xml:space="preserve">e relevant </w:t>
      </w:r>
      <w:r w:rsidR="00B76D21">
        <w:t xml:space="preserve">section of this </w:t>
      </w:r>
      <w:r>
        <w:t xml:space="preserve">evaluation </w:t>
      </w:r>
      <w:r w:rsidR="00B76D21">
        <w:t>report</w:t>
      </w:r>
      <w:r>
        <w:t>.</w:t>
      </w:r>
    </w:p>
    <w:p w14:paraId="734A316C" w14:textId="77777777" w:rsidR="003B57FA" w:rsidRPr="00B559DA" w:rsidRDefault="00B9298A">
      <w:pPr>
        <w:pStyle w:val="Heading2"/>
      </w:pPr>
      <w:bookmarkStart w:id="99" w:name="_Ref67297666"/>
      <w:bookmarkStart w:id="100" w:name="_Toc67499042"/>
      <w:bookmarkStart w:id="101" w:name="_Toc94702044"/>
      <w:r w:rsidRPr="00B559DA">
        <w:t>Evaluation framework</w:t>
      </w:r>
      <w:r w:rsidR="00700A94" w:rsidRPr="00B559DA">
        <w:t xml:space="preserve"> overview</w:t>
      </w:r>
      <w:bookmarkEnd w:id="99"/>
      <w:bookmarkEnd w:id="100"/>
      <w:bookmarkEnd w:id="101"/>
    </w:p>
    <w:p w14:paraId="00570462" w14:textId="47661EDC" w:rsidR="00F6354A" w:rsidRDefault="00F6354A" w:rsidP="00CD1BD3">
      <w:r>
        <w:t xml:space="preserve">Overall, the </w:t>
      </w:r>
      <w:r w:rsidR="00403E91">
        <w:t xml:space="preserve">objective </w:t>
      </w:r>
      <w:r w:rsidR="00485280">
        <w:t>of</w:t>
      </w:r>
      <w:r w:rsidR="000409DF">
        <w:t xml:space="preserve"> </w:t>
      </w:r>
      <w:r w:rsidR="00EF07CB">
        <w:t>th</w:t>
      </w:r>
      <w:r w:rsidR="001C5659">
        <w:t>is</w:t>
      </w:r>
      <w:r w:rsidR="00EF07CB">
        <w:t xml:space="preserve"> evaluation </w:t>
      </w:r>
      <w:r w:rsidR="00EE372A">
        <w:t xml:space="preserve">was to evaluate the impact of the CoOL reforms, as </w:t>
      </w:r>
      <w:r w:rsidR="000409DF">
        <w:t xml:space="preserve">expressed </w:t>
      </w:r>
      <w:r w:rsidR="00422F13">
        <w:t>in</w:t>
      </w:r>
      <w:r w:rsidR="000409DF">
        <w:t xml:space="preserve"> the following</w:t>
      </w:r>
      <w:r w:rsidR="00422F13">
        <w:t xml:space="preserve"> question</w:t>
      </w:r>
      <w:r w:rsidR="00EE372A">
        <w:t>:</w:t>
      </w:r>
    </w:p>
    <w:p w14:paraId="254FD8BA" w14:textId="77777777" w:rsidR="00F6354A" w:rsidRPr="003B7D75" w:rsidRDefault="00F6354A" w:rsidP="00E53797">
      <w:pPr>
        <w:ind w:left="567"/>
        <w:rPr>
          <w:i/>
          <w:iCs/>
        </w:rPr>
      </w:pPr>
      <w:r w:rsidRPr="003B7D75">
        <w:rPr>
          <w:i/>
          <w:iCs/>
        </w:rPr>
        <w:t>Ha</w:t>
      </w:r>
      <w:r w:rsidR="00F57813" w:rsidRPr="003B7D75">
        <w:rPr>
          <w:i/>
          <w:iCs/>
        </w:rPr>
        <w:t>v</w:t>
      </w:r>
      <w:r w:rsidR="003B7D75" w:rsidRPr="003B7D75">
        <w:rPr>
          <w:i/>
          <w:iCs/>
        </w:rPr>
        <w:t>e</w:t>
      </w:r>
      <w:r w:rsidRPr="003B7D75">
        <w:rPr>
          <w:i/>
          <w:iCs/>
        </w:rPr>
        <w:t xml:space="preserve"> the Country of Origin </w:t>
      </w:r>
      <w:r w:rsidR="000D6AAA" w:rsidRPr="003B7D75">
        <w:rPr>
          <w:i/>
          <w:iCs/>
        </w:rPr>
        <w:t xml:space="preserve">Labelling </w:t>
      </w:r>
      <w:r w:rsidR="003B7D75" w:rsidRPr="003B7D75">
        <w:rPr>
          <w:i/>
          <w:iCs/>
        </w:rPr>
        <w:t>reforms improved consumer access to information about the origin of food, and clarified the origin claims businesses can make about their products, without imposing excessive costs on those businesses?</w:t>
      </w:r>
    </w:p>
    <w:p w14:paraId="033A2919" w14:textId="1BBF86C6" w:rsidR="00114F81" w:rsidRDefault="005E15C4" w:rsidP="00CD1BD3">
      <w:r>
        <w:t xml:space="preserve">In </w:t>
      </w:r>
      <w:r w:rsidR="00422F13">
        <w:t>doing so</w:t>
      </w:r>
      <w:r>
        <w:t xml:space="preserve">, the evaluation </w:t>
      </w:r>
      <w:r w:rsidR="005A0C37">
        <w:t xml:space="preserve">sought to </w:t>
      </w:r>
      <w:r w:rsidR="00951DAD">
        <w:t xml:space="preserve">answer </w:t>
      </w:r>
      <w:r w:rsidR="00422F13">
        <w:t>a wide range of</w:t>
      </w:r>
      <w:r w:rsidR="00951DAD">
        <w:t xml:space="preserve"> </w:t>
      </w:r>
      <w:r w:rsidR="00091C52">
        <w:t xml:space="preserve">evaluation </w:t>
      </w:r>
      <w:r w:rsidR="00951DAD">
        <w:t xml:space="preserve">questions </w:t>
      </w:r>
      <w:r w:rsidR="00422F13">
        <w:t xml:space="preserve">listed </w:t>
      </w:r>
      <w:r w:rsidR="00951DAD">
        <w:t xml:space="preserve">in </w:t>
      </w:r>
      <w:r w:rsidR="00170763">
        <w:fldChar w:fldCharType="begin"/>
      </w:r>
      <w:r w:rsidR="00170763">
        <w:instrText xml:space="preserve"> REF _Ref71817622 \n \h </w:instrText>
      </w:r>
      <w:r w:rsidR="00170763">
        <w:fldChar w:fldCharType="separate"/>
      </w:r>
      <w:r w:rsidR="0017363C">
        <w:t>Table 1.1</w:t>
      </w:r>
      <w:r w:rsidR="00170763">
        <w:fldChar w:fldCharType="end"/>
      </w:r>
      <w:r w:rsidR="00170763">
        <w:t xml:space="preserve"> </w:t>
      </w:r>
      <w:r w:rsidR="00422F13">
        <w:t>within the following</w:t>
      </w:r>
      <w:r w:rsidR="00AD26E1">
        <w:t xml:space="preserve"> </w:t>
      </w:r>
      <w:r w:rsidR="00951DAD">
        <w:t>areas</w:t>
      </w:r>
      <w:r w:rsidR="00B01BDC">
        <w:t>:</w:t>
      </w:r>
      <w:r w:rsidR="00951DAD">
        <w:t xml:space="preserve"> </w:t>
      </w:r>
    </w:p>
    <w:p w14:paraId="6947578E" w14:textId="22DD881C" w:rsidR="00890E5F" w:rsidRPr="00E53797" w:rsidRDefault="00BB75FF" w:rsidP="00E53797">
      <w:pPr>
        <w:pStyle w:val="ListBullet"/>
        <w:rPr>
          <w:rFonts w:asciiTheme="majorHAnsi" w:hAnsiTheme="majorHAnsi"/>
        </w:rPr>
      </w:pPr>
      <w:r w:rsidRPr="00E53797">
        <w:rPr>
          <w:rFonts w:asciiTheme="majorHAnsi" w:hAnsiTheme="majorHAnsi"/>
        </w:rPr>
        <w:t>D</w:t>
      </w:r>
      <w:r w:rsidR="00890E5F" w:rsidRPr="00E53797">
        <w:rPr>
          <w:rFonts w:asciiTheme="majorHAnsi" w:hAnsiTheme="majorHAnsi"/>
        </w:rPr>
        <w:t>esign and implementation</w:t>
      </w:r>
      <w:r w:rsidR="00D479F3">
        <w:rPr>
          <w:rFonts w:asciiTheme="majorHAnsi" w:hAnsiTheme="majorHAnsi"/>
        </w:rPr>
        <w:t xml:space="preserve"> (Pillar 1)</w:t>
      </w:r>
    </w:p>
    <w:p w14:paraId="70F6DA9F" w14:textId="77777777" w:rsidR="00960075" w:rsidRDefault="00960075" w:rsidP="00E53797">
      <w:pPr>
        <w:pStyle w:val="ListBullet"/>
        <w:rPr>
          <w:rFonts w:asciiTheme="majorHAnsi" w:hAnsiTheme="majorHAnsi"/>
        </w:rPr>
      </w:pPr>
      <w:r>
        <w:rPr>
          <w:rFonts w:asciiTheme="majorHAnsi" w:hAnsiTheme="majorHAnsi"/>
        </w:rPr>
        <w:t>Outcomes, including:</w:t>
      </w:r>
    </w:p>
    <w:p w14:paraId="492DF627" w14:textId="05766B17" w:rsidR="00061DCD" w:rsidRDefault="00960075" w:rsidP="00960075">
      <w:pPr>
        <w:pStyle w:val="ListBullet"/>
        <w:numPr>
          <w:ilvl w:val="1"/>
          <w:numId w:val="13"/>
        </w:numPr>
        <w:rPr>
          <w:rFonts w:asciiTheme="majorHAnsi" w:hAnsiTheme="majorHAnsi"/>
        </w:rPr>
      </w:pPr>
      <w:r>
        <w:rPr>
          <w:rFonts w:asciiTheme="majorHAnsi" w:hAnsiTheme="majorHAnsi"/>
        </w:rPr>
        <w:t>C</w:t>
      </w:r>
      <w:r w:rsidR="00580F80" w:rsidRPr="00E53797">
        <w:rPr>
          <w:rFonts w:asciiTheme="majorHAnsi" w:hAnsiTheme="majorHAnsi"/>
        </w:rPr>
        <w:t>onsumers</w:t>
      </w:r>
      <w:r w:rsidR="00580F80" w:rsidRPr="00E53797" w:rsidDel="00960075">
        <w:rPr>
          <w:rFonts w:asciiTheme="majorHAnsi" w:hAnsiTheme="majorHAnsi"/>
        </w:rPr>
        <w:t xml:space="preserve"> </w:t>
      </w:r>
      <w:r w:rsidR="00580F80" w:rsidRPr="00E53797">
        <w:rPr>
          <w:rFonts w:asciiTheme="majorHAnsi" w:hAnsiTheme="majorHAnsi"/>
        </w:rPr>
        <w:t>access to origin information</w:t>
      </w:r>
      <w:r w:rsidR="00D479F3">
        <w:rPr>
          <w:rFonts w:asciiTheme="majorHAnsi" w:hAnsiTheme="majorHAnsi"/>
        </w:rPr>
        <w:t xml:space="preserve"> (Pillar 2)</w:t>
      </w:r>
    </w:p>
    <w:p w14:paraId="034921B2" w14:textId="2AF71145" w:rsidR="00960075" w:rsidRDefault="00061DCD" w:rsidP="00960075">
      <w:pPr>
        <w:pStyle w:val="ListBullet"/>
        <w:numPr>
          <w:ilvl w:val="1"/>
          <w:numId w:val="13"/>
        </w:numPr>
        <w:rPr>
          <w:rFonts w:asciiTheme="majorHAnsi" w:hAnsiTheme="majorHAnsi"/>
        </w:rPr>
      </w:pPr>
      <w:r>
        <w:rPr>
          <w:rFonts w:asciiTheme="majorHAnsi" w:hAnsiTheme="majorHAnsi"/>
        </w:rPr>
        <w:t>Clarifying business’ ability to make origin claims</w:t>
      </w:r>
      <w:r w:rsidR="00D479F3">
        <w:rPr>
          <w:rFonts w:asciiTheme="majorHAnsi" w:hAnsiTheme="majorHAnsi"/>
        </w:rPr>
        <w:t xml:space="preserve"> (Pillar 3)</w:t>
      </w:r>
    </w:p>
    <w:p w14:paraId="279E4FE1" w14:textId="635E5B95" w:rsidR="00061DCD" w:rsidRPr="00E53797" w:rsidRDefault="00061DCD" w:rsidP="00F977D1">
      <w:pPr>
        <w:pStyle w:val="ListBullet"/>
        <w:numPr>
          <w:ilvl w:val="1"/>
          <w:numId w:val="13"/>
        </w:numPr>
        <w:rPr>
          <w:rFonts w:asciiTheme="majorHAnsi" w:hAnsiTheme="majorHAnsi"/>
        </w:rPr>
      </w:pPr>
      <w:r>
        <w:rPr>
          <w:rFonts w:asciiTheme="majorHAnsi" w:hAnsiTheme="majorHAnsi"/>
        </w:rPr>
        <w:t>Impact on business</w:t>
      </w:r>
      <w:r w:rsidR="00D479F3">
        <w:rPr>
          <w:rFonts w:asciiTheme="majorHAnsi" w:hAnsiTheme="majorHAnsi"/>
        </w:rPr>
        <w:t xml:space="preserve"> (Pillar 4)</w:t>
      </w:r>
    </w:p>
    <w:p w14:paraId="7F6B36A4" w14:textId="4DEFE4F5" w:rsidR="00694C34" w:rsidRPr="006E6841" w:rsidRDefault="00BB75FF" w:rsidP="006A047B">
      <w:pPr>
        <w:pStyle w:val="ListBullet"/>
      </w:pPr>
      <w:r w:rsidRPr="00E53797">
        <w:rPr>
          <w:rFonts w:asciiTheme="majorHAnsi" w:hAnsiTheme="majorHAnsi"/>
        </w:rPr>
        <w:t>L</w:t>
      </w:r>
      <w:r w:rsidR="006B1F41" w:rsidRPr="00E53797">
        <w:rPr>
          <w:rFonts w:asciiTheme="majorHAnsi" w:hAnsiTheme="majorHAnsi"/>
        </w:rPr>
        <w:t>essons learn</w:t>
      </w:r>
      <w:r w:rsidR="00D77DDF">
        <w:rPr>
          <w:rFonts w:asciiTheme="majorHAnsi" w:hAnsiTheme="majorHAnsi"/>
        </w:rPr>
        <w:t>ed</w:t>
      </w:r>
      <w:r w:rsidR="006B1F41" w:rsidRPr="00E53797">
        <w:rPr>
          <w:rFonts w:asciiTheme="majorHAnsi" w:hAnsiTheme="majorHAnsi"/>
        </w:rPr>
        <w:t xml:space="preserve"> from the scheme</w:t>
      </w:r>
      <w:r w:rsidR="00B204C9" w:rsidRPr="00E53797">
        <w:rPr>
          <w:rFonts w:asciiTheme="majorHAnsi" w:hAnsiTheme="majorHAnsi"/>
        </w:rPr>
        <w:t xml:space="preserve"> </w:t>
      </w:r>
      <w:r w:rsidR="00CC1C3C" w:rsidRPr="00E53797">
        <w:rPr>
          <w:rFonts w:asciiTheme="majorHAnsi" w:hAnsiTheme="majorHAnsi"/>
        </w:rPr>
        <w:t>and potential for improvement</w:t>
      </w:r>
    </w:p>
    <w:p w14:paraId="644971C2" w14:textId="072F70E9" w:rsidR="006E6841" w:rsidRPr="00EB49B4" w:rsidRDefault="00B01887">
      <w:pPr>
        <w:spacing w:before="120"/>
      </w:pPr>
      <w:r>
        <w:t>Accordingly, t</w:t>
      </w:r>
      <w:r w:rsidR="00B01BDC" w:rsidRPr="00EB49B4">
        <w:t xml:space="preserve">he report is organised according to these 4 </w:t>
      </w:r>
      <w:r w:rsidR="009B3853">
        <w:t>p</w:t>
      </w:r>
      <w:r w:rsidR="00B01BDC" w:rsidRPr="00EB49B4">
        <w:t>illars.</w:t>
      </w:r>
    </w:p>
    <w:p w14:paraId="056431CA" w14:textId="250758AA" w:rsidR="003A1A96" w:rsidRDefault="003A1A96" w:rsidP="00DD5C3B">
      <w:pPr>
        <w:pStyle w:val="CaptionTable"/>
      </w:pPr>
      <w:bookmarkStart w:id="102" w:name="_Toc71213207"/>
      <w:bookmarkStart w:id="103" w:name="_Ref71817622"/>
      <w:bookmarkStart w:id="104" w:name="_Toc82590398"/>
      <w:bookmarkEnd w:id="102"/>
      <w:r>
        <w:t xml:space="preserve">: </w:t>
      </w:r>
      <w:r w:rsidR="00301E3E">
        <w:t>Evaluation questions</w:t>
      </w:r>
      <w:bookmarkEnd w:id="103"/>
      <w:bookmarkEnd w:id="104"/>
      <w:r w:rsidR="00301E3E">
        <w:t xml:space="preserve"> </w:t>
      </w:r>
    </w:p>
    <w:tbl>
      <w:tblPr>
        <w:tblStyle w:val="Deloittetable"/>
        <w:tblW w:w="5000" w:type="pct"/>
        <w:tblLook w:val="04A0" w:firstRow="1" w:lastRow="0" w:firstColumn="1" w:lastColumn="0" w:noHBand="0" w:noVBand="1"/>
        <w:tblDescription w:val="This table outlines the 24 evaluation questions across the four pillars"/>
      </w:tblPr>
      <w:tblGrid>
        <w:gridCol w:w="568"/>
        <w:gridCol w:w="3544"/>
        <w:gridCol w:w="424"/>
        <w:gridCol w:w="4490"/>
      </w:tblGrid>
      <w:tr w:rsidR="00120B31" w14:paraId="2D11F211"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314" w:type="pct"/>
            <w:tcBorders>
              <w:top w:val="single" w:sz="24" w:space="0" w:color="012169" w:themeColor="accent4"/>
            </w:tcBorders>
          </w:tcPr>
          <w:p w14:paraId="6FD6C914" w14:textId="77777777" w:rsidR="00120B31" w:rsidRPr="00BB71EF" w:rsidRDefault="00120B31" w:rsidP="00C608ED">
            <w:pPr>
              <w:pStyle w:val="TableHeadingLeft"/>
              <w:spacing w:afterLines="20" w:after="48"/>
              <w:jc w:val="center"/>
              <w:rPr>
                <w:color w:val="012169" w:themeColor="accent4"/>
              </w:rPr>
            </w:pPr>
            <w:r w:rsidRPr="00BB71EF">
              <w:rPr>
                <w:color w:val="auto"/>
              </w:rPr>
              <w:t>Q</w:t>
            </w:r>
          </w:p>
        </w:tc>
        <w:tc>
          <w:tcPr>
            <w:tcW w:w="1963" w:type="pct"/>
            <w:tcBorders>
              <w:top w:val="single" w:sz="24" w:space="0" w:color="012169" w:themeColor="accent4"/>
            </w:tcBorders>
          </w:tcPr>
          <w:p w14:paraId="77F2BA16" w14:textId="78AD3D7B" w:rsidR="00DA4E9B" w:rsidRPr="00BB71EF" w:rsidRDefault="00DA4E9B" w:rsidP="00C608ED">
            <w:pPr>
              <w:pStyle w:val="TableHeadingLeft"/>
              <w:spacing w:afterLines="20" w:after="48"/>
              <w:ind w:left="0"/>
              <w:rPr>
                <w:color w:val="auto"/>
              </w:rPr>
            </w:pPr>
            <w:r w:rsidRPr="00BB71EF">
              <w:rPr>
                <w:color w:val="auto"/>
              </w:rPr>
              <w:t>Pillar One</w:t>
            </w:r>
          </w:p>
          <w:p w14:paraId="1DECF509" w14:textId="614D924F" w:rsidR="00120B31" w:rsidRPr="00BB71EF" w:rsidRDefault="00120B31" w:rsidP="00C608ED">
            <w:pPr>
              <w:pStyle w:val="TableHeadingLeft"/>
              <w:spacing w:afterLines="20" w:after="48"/>
              <w:ind w:left="0"/>
              <w:rPr>
                <w:color w:val="auto"/>
              </w:rPr>
            </w:pPr>
            <w:r w:rsidRPr="00BB71EF">
              <w:rPr>
                <w:color w:val="auto"/>
              </w:rPr>
              <w:t>Design and implementation</w:t>
            </w:r>
          </w:p>
        </w:tc>
        <w:tc>
          <w:tcPr>
            <w:tcW w:w="235" w:type="pct"/>
            <w:tcBorders>
              <w:top w:val="single" w:sz="24" w:space="0" w:color="012169" w:themeColor="accent4"/>
            </w:tcBorders>
          </w:tcPr>
          <w:p w14:paraId="26811BFC" w14:textId="77777777" w:rsidR="00120B31" w:rsidRPr="00BB71EF" w:rsidRDefault="00120B31" w:rsidP="00C608ED">
            <w:pPr>
              <w:pStyle w:val="TableHeadingLeft"/>
              <w:spacing w:afterLines="20" w:after="48"/>
              <w:jc w:val="center"/>
              <w:rPr>
                <w:color w:val="auto"/>
              </w:rPr>
            </w:pPr>
            <w:r w:rsidRPr="00BB71EF">
              <w:rPr>
                <w:color w:val="auto"/>
              </w:rPr>
              <w:t>Q</w:t>
            </w:r>
          </w:p>
        </w:tc>
        <w:tc>
          <w:tcPr>
            <w:tcW w:w="2487" w:type="pct"/>
            <w:tcBorders>
              <w:top w:val="single" w:sz="24" w:space="0" w:color="012169" w:themeColor="accent4"/>
            </w:tcBorders>
          </w:tcPr>
          <w:p w14:paraId="44FC5F40" w14:textId="71F8D311" w:rsidR="00DA4E9B" w:rsidRPr="00BB71EF" w:rsidRDefault="00DA4E9B" w:rsidP="00C608ED">
            <w:pPr>
              <w:pStyle w:val="TableHeadingLeft"/>
              <w:spacing w:afterLines="20" w:after="48"/>
              <w:ind w:left="0"/>
              <w:rPr>
                <w:color w:val="auto"/>
              </w:rPr>
            </w:pPr>
            <w:r w:rsidRPr="00BB71EF">
              <w:rPr>
                <w:color w:val="auto"/>
              </w:rPr>
              <w:t>Pillar 2</w:t>
            </w:r>
          </w:p>
          <w:p w14:paraId="421B517D" w14:textId="291C7D37" w:rsidR="00120B31" w:rsidRPr="00BB71EF" w:rsidRDefault="00120B31" w:rsidP="00C608ED">
            <w:pPr>
              <w:pStyle w:val="TableHeadingLeft"/>
              <w:spacing w:afterLines="20" w:after="48"/>
              <w:ind w:left="0"/>
              <w:rPr>
                <w:color w:val="auto"/>
              </w:rPr>
            </w:pPr>
            <w:r w:rsidRPr="00BB71EF">
              <w:rPr>
                <w:color w:val="auto"/>
              </w:rPr>
              <w:t>Consumer access to origin information</w:t>
            </w:r>
          </w:p>
        </w:tc>
      </w:tr>
      <w:tr w:rsidR="00120B31" w14:paraId="01E69678" w14:textId="77777777" w:rsidTr="002149E1">
        <w:tc>
          <w:tcPr>
            <w:tcW w:w="314" w:type="pct"/>
          </w:tcPr>
          <w:p w14:paraId="24803EDC" w14:textId="77777777" w:rsidR="00120B31" w:rsidRDefault="00120B31" w:rsidP="00C608ED">
            <w:pPr>
              <w:spacing w:afterLines="20" w:after="48"/>
              <w:jc w:val="center"/>
            </w:pPr>
            <w:r>
              <w:t>1</w:t>
            </w:r>
          </w:p>
        </w:tc>
        <w:tc>
          <w:tcPr>
            <w:tcW w:w="1963" w:type="pct"/>
          </w:tcPr>
          <w:p w14:paraId="66F838BD" w14:textId="77777777" w:rsidR="00120B31" w:rsidRPr="00DD5C3B" w:rsidRDefault="00120B31" w:rsidP="00C608ED">
            <w:pPr>
              <w:spacing w:afterLines="20" w:after="48" w:line="240" w:lineRule="auto"/>
              <w:rPr>
                <w:rFonts w:asciiTheme="majorHAnsi" w:eastAsia="Times New Roman" w:hAnsiTheme="majorHAnsi" w:cs="Arial"/>
                <w:sz w:val="18"/>
                <w:lang w:eastAsia="en-AU"/>
              </w:rPr>
            </w:pPr>
            <w:r w:rsidRPr="00E53797">
              <w:rPr>
                <w:rFonts w:asciiTheme="majorHAnsi" w:eastAsia="Times New Roman" w:hAnsiTheme="majorHAnsi" w:cs="Arial"/>
                <w:color w:val="000000" w:themeColor="text1"/>
                <w:kern w:val="24"/>
                <w:lang w:eastAsia="en-AU"/>
              </w:rPr>
              <w:t xml:space="preserve">What were the problems that the CoOL reforms were designed to address? </w:t>
            </w:r>
          </w:p>
        </w:tc>
        <w:tc>
          <w:tcPr>
            <w:tcW w:w="235" w:type="pct"/>
          </w:tcPr>
          <w:p w14:paraId="5BA59B0D" w14:textId="77777777" w:rsidR="00120B31" w:rsidRDefault="00DF6F48" w:rsidP="00C608ED">
            <w:pPr>
              <w:spacing w:afterLines="20" w:after="48"/>
              <w:jc w:val="center"/>
            </w:pPr>
            <w:r>
              <w:t>7</w:t>
            </w:r>
          </w:p>
        </w:tc>
        <w:tc>
          <w:tcPr>
            <w:tcW w:w="2487" w:type="pct"/>
          </w:tcPr>
          <w:p w14:paraId="7B3A2D3E" w14:textId="77777777" w:rsidR="00120B31" w:rsidRDefault="00B4796C" w:rsidP="00C608ED">
            <w:pPr>
              <w:spacing w:afterLines="20" w:after="48"/>
            </w:pPr>
            <w:r w:rsidRPr="00B4796C">
              <w:t>Did the CoOL reforms achieve the objective of improving consumer understanding about the origins of their food?</w:t>
            </w:r>
          </w:p>
        </w:tc>
      </w:tr>
      <w:tr w:rsidR="00120B31" w14:paraId="31C017A5" w14:textId="77777777" w:rsidTr="002149E1">
        <w:tc>
          <w:tcPr>
            <w:tcW w:w="314" w:type="pct"/>
          </w:tcPr>
          <w:p w14:paraId="06271F49" w14:textId="77777777" w:rsidR="00120B31" w:rsidRDefault="00120B31" w:rsidP="00C608ED">
            <w:pPr>
              <w:spacing w:afterLines="20" w:after="48"/>
              <w:jc w:val="center"/>
            </w:pPr>
            <w:r>
              <w:t>2</w:t>
            </w:r>
          </w:p>
        </w:tc>
        <w:tc>
          <w:tcPr>
            <w:tcW w:w="1963" w:type="pct"/>
          </w:tcPr>
          <w:p w14:paraId="25E7F503" w14:textId="77777777" w:rsidR="00120B31" w:rsidRPr="00DD5C3B" w:rsidRDefault="002B224D" w:rsidP="00C608ED">
            <w:pPr>
              <w:spacing w:afterLines="20" w:after="48" w:line="240" w:lineRule="auto"/>
              <w:rPr>
                <w:rFonts w:asciiTheme="majorHAnsi" w:eastAsia="Times New Roman" w:hAnsiTheme="majorHAnsi" w:cs="Arial"/>
                <w:sz w:val="18"/>
                <w:lang w:eastAsia="en-AU"/>
              </w:rPr>
            </w:pPr>
            <w:r w:rsidRPr="00E53797">
              <w:rPr>
                <w:rFonts w:asciiTheme="majorHAnsi" w:eastAsia="Times New Roman" w:hAnsiTheme="majorHAnsi" w:cs="Arial"/>
                <w:color w:val="000000" w:themeColor="text1"/>
                <w:kern w:val="24"/>
                <w:lang w:eastAsia="en-AU"/>
              </w:rPr>
              <w:t>Did clear, evidence-based links exist between the CoOL reforms and the expected outcomes?</w:t>
            </w:r>
          </w:p>
        </w:tc>
        <w:tc>
          <w:tcPr>
            <w:tcW w:w="235" w:type="pct"/>
          </w:tcPr>
          <w:p w14:paraId="4EAF351E" w14:textId="77777777" w:rsidR="00120B31" w:rsidRDefault="00DF6F48" w:rsidP="00C608ED">
            <w:pPr>
              <w:spacing w:afterLines="20" w:after="48"/>
              <w:jc w:val="center"/>
            </w:pPr>
            <w:r>
              <w:t>8</w:t>
            </w:r>
          </w:p>
        </w:tc>
        <w:tc>
          <w:tcPr>
            <w:tcW w:w="2487" w:type="pct"/>
          </w:tcPr>
          <w:p w14:paraId="3295A3F7" w14:textId="77777777" w:rsidR="00120B31" w:rsidRDefault="00B4796C" w:rsidP="00C608ED">
            <w:pPr>
              <w:spacing w:afterLines="20" w:after="48"/>
            </w:pPr>
            <w:r w:rsidRPr="00B4796C">
              <w:t>Does the differentiation between priority and non-priority foods continue to meet consumer expectations?</w:t>
            </w:r>
          </w:p>
        </w:tc>
      </w:tr>
      <w:tr w:rsidR="00120B31" w14:paraId="20E6EF56" w14:textId="77777777" w:rsidTr="002149E1">
        <w:tc>
          <w:tcPr>
            <w:tcW w:w="314" w:type="pct"/>
          </w:tcPr>
          <w:p w14:paraId="3157D169" w14:textId="77777777" w:rsidR="00120B31" w:rsidRDefault="00120B31" w:rsidP="00C608ED">
            <w:pPr>
              <w:spacing w:afterLines="20" w:after="48"/>
              <w:jc w:val="center"/>
            </w:pPr>
            <w:r>
              <w:t>3</w:t>
            </w:r>
          </w:p>
        </w:tc>
        <w:tc>
          <w:tcPr>
            <w:tcW w:w="1963" w:type="pct"/>
          </w:tcPr>
          <w:p w14:paraId="11097307" w14:textId="77777777" w:rsidR="00120B31" w:rsidRDefault="002B224D" w:rsidP="00C608ED">
            <w:pPr>
              <w:spacing w:afterLines="20" w:after="48"/>
            </w:pPr>
            <w:r w:rsidRPr="002B224D">
              <w:t>Were there alternative labelling models which could have more effectively addressed the issues?</w:t>
            </w:r>
          </w:p>
        </w:tc>
        <w:tc>
          <w:tcPr>
            <w:tcW w:w="235" w:type="pct"/>
          </w:tcPr>
          <w:p w14:paraId="328E8AC4" w14:textId="77777777" w:rsidR="00120B31" w:rsidRDefault="00DF6F48" w:rsidP="00C608ED">
            <w:pPr>
              <w:spacing w:afterLines="20" w:after="48"/>
              <w:jc w:val="center"/>
            </w:pPr>
            <w:r>
              <w:t>9</w:t>
            </w:r>
          </w:p>
        </w:tc>
        <w:tc>
          <w:tcPr>
            <w:tcW w:w="2487" w:type="pct"/>
          </w:tcPr>
          <w:p w14:paraId="216E5606" w14:textId="77777777" w:rsidR="00120B31" w:rsidRDefault="004312F8" w:rsidP="00C608ED">
            <w:pPr>
              <w:spacing w:afterLines="20" w:after="48"/>
            </w:pPr>
            <w:r w:rsidRPr="004312F8">
              <w:t>Is the current scope of mandatory CoOL appropriate? Should the exemption for foodservice be maintained?</w:t>
            </w:r>
          </w:p>
        </w:tc>
      </w:tr>
      <w:tr w:rsidR="00120B31" w14:paraId="73DB91F8" w14:textId="77777777" w:rsidTr="002149E1">
        <w:tc>
          <w:tcPr>
            <w:tcW w:w="314" w:type="pct"/>
          </w:tcPr>
          <w:p w14:paraId="567870D6" w14:textId="77777777" w:rsidR="00120B31" w:rsidRDefault="00120B31" w:rsidP="00C608ED">
            <w:pPr>
              <w:spacing w:afterLines="20" w:after="48"/>
              <w:jc w:val="center"/>
            </w:pPr>
            <w:r>
              <w:t>4</w:t>
            </w:r>
          </w:p>
        </w:tc>
        <w:tc>
          <w:tcPr>
            <w:tcW w:w="1963" w:type="pct"/>
          </w:tcPr>
          <w:p w14:paraId="658D9D3A" w14:textId="77777777" w:rsidR="00120B31" w:rsidRDefault="002B224D" w:rsidP="00C608ED">
            <w:pPr>
              <w:spacing w:afterLines="20" w:after="48"/>
            </w:pPr>
            <w:r w:rsidRPr="002B224D">
              <w:t>Have the reforms been flexible enough to accommodate new consumer, industry and technology developments?</w:t>
            </w:r>
          </w:p>
        </w:tc>
        <w:tc>
          <w:tcPr>
            <w:tcW w:w="235" w:type="pct"/>
          </w:tcPr>
          <w:p w14:paraId="04D5B1F6" w14:textId="77777777" w:rsidR="00120B31" w:rsidRDefault="00DF6F48" w:rsidP="00C608ED">
            <w:pPr>
              <w:spacing w:afterLines="20" w:after="48"/>
              <w:jc w:val="center"/>
            </w:pPr>
            <w:r>
              <w:t>10</w:t>
            </w:r>
          </w:p>
        </w:tc>
        <w:tc>
          <w:tcPr>
            <w:tcW w:w="2487" w:type="pct"/>
          </w:tcPr>
          <w:p w14:paraId="1518CF76" w14:textId="77777777" w:rsidR="00120B31" w:rsidRDefault="00DF6F48" w:rsidP="00C608ED">
            <w:pPr>
              <w:spacing w:afterLines="20" w:after="48"/>
            </w:pPr>
            <w:r w:rsidRPr="00DF6F48">
              <w:t>Do the criteria for making a ‘Made in’ claim reflect consumer perceptions and expectations?</w:t>
            </w:r>
          </w:p>
        </w:tc>
      </w:tr>
      <w:tr w:rsidR="00120B31" w14:paraId="047464E4" w14:textId="77777777" w:rsidTr="002149E1">
        <w:tc>
          <w:tcPr>
            <w:tcW w:w="314" w:type="pct"/>
          </w:tcPr>
          <w:p w14:paraId="497BC876" w14:textId="77777777" w:rsidR="00120B31" w:rsidRDefault="00120B31" w:rsidP="00C608ED">
            <w:pPr>
              <w:spacing w:afterLines="20" w:after="48"/>
              <w:jc w:val="center"/>
            </w:pPr>
            <w:r>
              <w:t>5</w:t>
            </w:r>
          </w:p>
        </w:tc>
        <w:tc>
          <w:tcPr>
            <w:tcW w:w="1963" w:type="pct"/>
          </w:tcPr>
          <w:p w14:paraId="2CC629F7" w14:textId="77777777" w:rsidR="00120B31" w:rsidRDefault="002B224D" w:rsidP="00C608ED">
            <w:pPr>
              <w:spacing w:afterLines="20" w:after="48"/>
            </w:pPr>
            <w:r w:rsidRPr="002B224D">
              <w:t>How cost-effective was the provision of information to consumers and businesses?</w:t>
            </w:r>
          </w:p>
        </w:tc>
        <w:tc>
          <w:tcPr>
            <w:tcW w:w="235" w:type="pct"/>
          </w:tcPr>
          <w:p w14:paraId="4944AD11" w14:textId="77777777" w:rsidR="00120B31" w:rsidRDefault="00DF6F48" w:rsidP="00C608ED">
            <w:pPr>
              <w:spacing w:afterLines="20" w:after="48"/>
              <w:jc w:val="center"/>
            </w:pPr>
            <w:r>
              <w:t>11</w:t>
            </w:r>
          </w:p>
        </w:tc>
        <w:tc>
          <w:tcPr>
            <w:tcW w:w="2487" w:type="pct"/>
          </w:tcPr>
          <w:p w14:paraId="6AB031D3" w14:textId="77777777" w:rsidR="00120B31" w:rsidRDefault="00DF6F48" w:rsidP="00C608ED">
            <w:pPr>
              <w:spacing w:afterLines="20" w:after="48"/>
            </w:pPr>
            <w:r w:rsidRPr="00DF6F48">
              <w:t xml:space="preserve">Does use of the Australian Made logo and bar chart reflect consumer perceptions and expectations?  </w:t>
            </w:r>
          </w:p>
        </w:tc>
      </w:tr>
      <w:tr w:rsidR="00120B31" w14:paraId="1B371B7F" w14:textId="77777777" w:rsidTr="002149E1">
        <w:tc>
          <w:tcPr>
            <w:tcW w:w="314" w:type="pct"/>
          </w:tcPr>
          <w:p w14:paraId="004F2E43" w14:textId="77777777" w:rsidR="00120B31" w:rsidRDefault="00120B31" w:rsidP="00C608ED">
            <w:pPr>
              <w:spacing w:afterLines="20" w:after="48"/>
              <w:jc w:val="center"/>
            </w:pPr>
            <w:r>
              <w:t>6</w:t>
            </w:r>
          </w:p>
        </w:tc>
        <w:tc>
          <w:tcPr>
            <w:tcW w:w="1963" w:type="pct"/>
          </w:tcPr>
          <w:p w14:paraId="78AE72FD" w14:textId="77777777" w:rsidR="00120B31" w:rsidRDefault="002B224D" w:rsidP="00C608ED">
            <w:pPr>
              <w:spacing w:afterLines="20" w:after="48"/>
            </w:pPr>
            <w:r w:rsidRPr="002B224D">
              <w:t>Were the CoOL reforms delivered within their original scope, budget and timeframe?</w:t>
            </w:r>
          </w:p>
        </w:tc>
        <w:tc>
          <w:tcPr>
            <w:tcW w:w="235" w:type="pct"/>
          </w:tcPr>
          <w:p w14:paraId="577E4C05" w14:textId="77777777" w:rsidR="00120B31" w:rsidRDefault="00DF6F48" w:rsidP="00C608ED">
            <w:pPr>
              <w:spacing w:afterLines="20" w:after="48"/>
              <w:jc w:val="center"/>
            </w:pPr>
            <w:r>
              <w:t>12</w:t>
            </w:r>
          </w:p>
        </w:tc>
        <w:tc>
          <w:tcPr>
            <w:tcW w:w="2487" w:type="pct"/>
          </w:tcPr>
          <w:p w14:paraId="23374AA3" w14:textId="77777777" w:rsidR="00120B31" w:rsidRDefault="00DF6F48" w:rsidP="00C608ED">
            <w:pPr>
              <w:spacing w:afterLines="20" w:after="48"/>
            </w:pPr>
            <w:r w:rsidRPr="00DF6F48">
              <w:t>Do the CoOL requirements for online sales provide consumers with adequate origin information about products prior to making their purchase?</w:t>
            </w:r>
          </w:p>
        </w:tc>
      </w:tr>
      <w:tr w:rsidR="00120B31" w14:paraId="56C9F0E6" w14:textId="77777777" w:rsidTr="002149E1">
        <w:tc>
          <w:tcPr>
            <w:tcW w:w="314" w:type="pct"/>
          </w:tcPr>
          <w:p w14:paraId="2C26872B" w14:textId="77777777" w:rsidR="00120B31" w:rsidRDefault="00120B31" w:rsidP="00C608ED">
            <w:pPr>
              <w:spacing w:afterLines="20" w:after="48"/>
              <w:jc w:val="center"/>
            </w:pPr>
          </w:p>
        </w:tc>
        <w:tc>
          <w:tcPr>
            <w:tcW w:w="1963" w:type="pct"/>
          </w:tcPr>
          <w:p w14:paraId="5D1C40A8" w14:textId="77777777" w:rsidR="00120B31" w:rsidRDefault="00120B31" w:rsidP="00C608ED">
            <w:pPr>
              <w:spacing w:afterLines="20" w:after="48"/>
            </w:pPr>
          </w:p>
        </w:tc>
        <w:tc>
          <w:tcPr>
            <w:tcW w:w="235" w:type="pct"/>
          </w:tcPr>
          <w:p w14:paraId="1FE9442D" w14:textId="77777777" w:rsidR="00120B31" w:rsidRDefault="00DF6F48" w:rsidP="00C608ED">
            <w:pPr>
              <w:spacing w:afterLines="20" w:after="48"/>
              <w:jc w:val="center"/>
            </w:pPr>
            <w:r>
              <w:t>13</w:t>
            </w:r>
          </w:p>
        </w:tc>
        <w:tc>
          <w:tcPr>
            <w:tcW w:w="2487" w:type="pct"/>
          </w:tcPr>
          <w:p w14:paraId="52E92F57" w14:textId="77777777" w:rsidR="00120B31" w:rsidRDefault="00DF6F48" w:rsidP="00C608ED">
            <w:pPr>
              <w:spacing w:afterLines="20" w:after="48"/>
            </w:pPr>
            <w:r w:rsidRPr="00DF6F48">
              <w:t>Have communication activities and online resources been effective in raising consumer awareness of the CoOL reforms and helping consumers to understand CoOL information?</w:t>
            </w:r>
          </w:p>
        </w:tc>
      </w:tr>
      <w:tr w:rsidR="00DF6F48" w14:paraId="0D3D7D78" w14:textId="77777777" w:rsidTr="002149E1">
        <w:tc>
          <w:tcPr>
            <w:tcW w:w="314" w:type="pct"/>
          </w:tcPr>
          <w:p w14:paraId="1C2B8EA9" w14:textId="77777777" w:rsidR="00DF6F48" w:rsidRDefault="00DF6F48" w:rsidP="00C608ED">
            <w:pPr>
              <w:spacing w:afterLines="20" w:after="48"/>
              <w:jc w:val="center"/>
            </w:pPr>
          </w:p>
        </w:tc>
        <w:tc>
          <w:tcPr>
            <w:tcW w:w="1963" w:type="pct"/>
          </w:tcPr>
          <w:p w14:paraId="4E0C9A79" w14:textId="77777777" w:rsidR="00DF6F48" w:rsidRDefault="00DF6F48" w:rsidP="00C608ED">
            <w:pPr>
              <w:spacing w:afterLines="20" w:after="48"/>
            </w:pPr>
          </w:p>
        </w:tc>
        <w:tc>
          <w:tcPr>
            <w:tcW w:w="235" w:type="pct"/>
          </w:tcPr>
          <w:p w14:paraId="548EECD2" w14:textId="77777777" w:rsidR="00DF6F48" w:rsidRDefault="00DF6F48" w:rsidP="00C608ED">
            <w:pPr>
              <w:spacing w:afterLines="20" w:after="48"/>
              <w:jc w:val="center"/>
            </w:pPr>
            <w:r>
              <w:t>14</w:t>
            </w:r>
          </w:p>
        </w:tc>
        <w:tc>
          <w:tcPr>
            <w:tcW w:w="2487" w:type="pct"/>
          </w:tcPr>
          <w:p w14:paraId="0A201E77" w14:textId="77777777" w:rsidR="00DF6F48" w:rsidRDefault="00DF6F48" w:rsidP="00C608ED">
            <w:pPr>
              <w:spacing w:afterLines="20" w:after="48"/>
            </w:pPr>
            <w:r w:rsidRPr="00DF6F48">
              <w:t>Are there any other product types for which consumers seek greater access to origin information?</w:t>
            </w:r>
          </w:p>
        </w:tc>
      </w:tr>
      <w:tr w:rsidR="00DF6F48" w14:paraId="273FDB24" w14:textId="77777777" w:rsidTr="00694BD9">
        <w:trPr>
          <w:trHeight w:val="359"/>
        </w:trPr>
        <w:tc>
          <w:tcPr>
            <w:tcW w:w="314" w:type="pct"/>
          </w:tcPr>
          <w:p w14:paraId="0B032DF4" w14:textId="77777777" w:rsidR="00DF6F48" w:rsidRDefault="00DF6F48" w:rsidP="00C608ED">
            <w:pPr>
              <w:spacing w:afterLines="20" w:after="48"/>
              <w:jc w:val="center"/>
            </w:pPr>
          </w:p>
        </w:tc>
        <w:tc>
          <w:tcPr>
            <w:tcW w:w="1963" w:type="pct"/>
          </w:tcPr>
          <w:p w14:paraId="14069673" w14:textId="77777777" w:rsidR="00DF6F48" w:rsidRDefault="00DF6F48" w:rsidP="00C608ED">
            <w:pPr>
              <w:spacing w:afterLines="20" w:after="48"/>
            </w:pPr>
          </w:p>
        </w:tc>
        <w:tc>
          <w:tcPr>
            <w:tcW w:w="235" w:type="pct"/>
          </w:tcPr>
          <w:p w14:paraId="5BC68514" w14:textId="77777777" w:rsidR="00DF6F48" w:rsidRDefault="00DF6F48" w:rsidP="00C608ED">
            <w:pPr>
              <w:spacing w:afterLines="20" w:after="48"/>
              <w:jc w:val="center"/>
            </w:pPr>
            <w:r>
              <w:t>15</w:t>
            </w:r>
          </w:p>
        </w:tc>
        <w:tc>
          <w:tcPr>
            <w:tcW w:w="2487" w:type="pct"/>
          </w:tcPr>
          <w:p w14:paraId="69EC3F28" w14:textId="77777777" w:rsidR="00DF6F48" w:rsidRDefault="00DF6F48" w:rsidP="00C608ED">
            <w:pPr>
              <w:spacing w:afterLines="20" w:after="48"/>
            </w:pPr>
            <w:r w:rsidRPr="00DF6F48">
              <w:t>Has consumer demand for origin information changed since the introduction of the reforms?</w:t>
            </w:r>
          </w:p>
        </w:tc>
      </w:tr>
      <w:tr w:rsidR="00DF6F48" w14:paraId="63E70048" w14:textId="77777777" w:rsidTr="00694BD9">
        <w:trPr>
          <w:trHeight w:val="17"/>
        </w:trPr>
        <w:tc>
          <w:tcPr>
            <w:tcW w:w="314" w:type="pct"/>
          </w:tcPr>
          <w:p w14:paraId="57C6C659" w14:textId="0EE5D3BE" w:rsidR="00DF6F48" w:rsidRPr="00BB71EF" w:rsidRDefault="00694BD9" w:rsidP="00C608ED">
            <w:pPr>
              <w:pStyle w:val="TableHeadingLeft"/>
              <w:spacing w:afterLines="20" w:after="48"/>
              <w:jc w:val="center"/>
              <w:rPr>
                <w:color w:val="auto"/>
              </w:rPr>
            </w:pPr>
            <w:r w:rsidRPr="00BB71EF">
              <w:rPr>
                <w:color w:val="auto"/>
              </w:rPr>
              <w:t>Q</w:t>
            </w:r>
          </w:p>
        </w:tc>
        <w:tc>
          <w:tcPr>
            <w:tcW w:w="1963" w:type="pct"/>
          </w:tcPr>
          <w:p w14:paraId="401DC6A0" w14:textId="6B97097D" w:rsidR="00DA4E9B" w:rsidRPr="00BB71EF" w:rsidRDefault="00DA4E9B" w:rsidP="00C608ED">
            <w:pPr>
              <w:pStyle w:val="TableHeadingLeft"/>
              <w:spacing w:afterLines="20" w:after="48"/>
              <w:rPr>
                <w:color w:val="auto"/>
              </w:rPr>
            </w:pPr>
            <w:r w:rsidRPr="00BB71EF">
              <w:rPr>
                <w:color w:val="auto"/>
              </w:rPr>
              <w:t>Pillar 3</w:t>
            </w:r>
          </w:p>
          <w:p w14:paraId="7FB42F1A" w14:textId="5ECED712" w:rsidR="00DF6F48" w:rsidRPr="00BB71EF" w:rsidRDefault="00DF6F48" w:rsidP="00C608ED">
            <w:pPr>
              <w:pStyle w:val="TableHeadingLeft"/>
              <w:spacing w:afterLines="20" w:after="48"/>
              <w:rPr>
                <w:color w:val="auto"/>
              </w:rPr>
            </w:pPr>
            <w:r w:rsidRPr="00BB71EF">
              <w:rPr>
                <w:color w:val="auto"/>
              </w:rPr>
              <w:t>Clarifying business’ ability to make origin claims</w:t>
            </w:r>
          </w:p>
        </w:tc>
        <w:tc>
          <w:tcPr>
            <w:tcW w:w="235" w:type="pct"/>
          </w:tcPr>
          <w:p w14:paraId="3E7FF26E" w14:textId="21F8E8C8" w:rsidR="00DF6F48" w:rsidRPr="00BB71EF" w:rsidRDefault="00694BD9" w:rsidP="00C608ED">
            <w:pPr>
              <w:pStyle w:val="TableHeadingLeft"/>
              <w:spacing w:afterLines="20" w:after="48"/>
              <w:jc w:val="center"/>
              <w:rPr>
                <w:color w:val="auto"/>
              </w:rPr>
            </w:pPr>
            <w:r w:rsidRPr="00BB71EF">
              <w:rPr>
                <w:color w:val="auto"/>
              </w:rPr>
              <w:t>Q</w:t>
            </w:r>
          </w:p>
        </w:tc>
        <w:tc>
          <w:tcPr>
            <w:tcW w:w="2487" w:type="pct"/>
          </w:tcPr>
          <w:p w14:paraId="5CFEC056" w14:textId="1156B94A" w:rsidR="00DA4E9B" w:rsidRPr="00BB71EF" w:rsidRDefault="00DA4E9B" w:rsidP="00C608ED">
            <w:pPr>
              <w:pStyle w:val="TableHeadingLeft"/>
              <w:spacing w:afterLines="20" w:after="48"/>
              <w:rPr>
                <w:color w:val="auto"/>
              </w:rPr>
            </w:pPr>
            <w:r w:rsidRPr="00BB71EF">
              <w:rPr>
                <w:color w:val="auto"/>
              </w:rPr>
              <w:t>Pillar 4</w:t>
            </w:r>
          </w:p>
          <w:p w14:paraId="4D8434B6" w14:textId="1C53FC32" w:rsidR="00DF6F48" w:rsidRPr="00BB71EF" w:rsidRDefault="00DF6F48" w:rsidP="00C608ED">
            <w:pPr>
              <w:pStyle w:val="TableHeadingLeft"/>
              <w:spacing w:afterLines="20" w:after="48"/>
              <w:rPr>
                <w:color w:val="auto"/>
              </w:rPr>
            </w:pPr>
            <w:r w:rsidRPr="00BB71EF">
              <w:rPr>
                <w:color w:val="auto"/>
              </w:rPr>
              <w:t>Impact on business</w:t>
            </w:r>
          </w:p>
        </w:tc>
      </w:tr>
      <w:tr w:rsidR="00DF6F48" w14:paraId="0B189C48" w14:textId="77777777" w:rsidTr="002149E1">
        <w:tc>
          <w:tcPr>
            <w:tcW w:w="314" w:type="pct"/>
          </w:tcPr>
          <w:p w14:paraId="3002C604" w14:textId="77777777" w:rsidR="00DF6F48" w:rsidRDefault="00DF6F48" w:rsidP="00C608ED">
            <w:pPr>
              <w:spacing w:afterLines="20" w:after="48"/>
              <w:jc w:val="center"/>
            </w:pPr>
            <w:r>
              <w:t>16</w:t>
            </w:r>
          </w:p>
        </w:tc>
        <w:tc>
          <w:tcPr>
            <w:tcW w:w="1963" w:type="pct"/>
          </w:tcPr>
          <w:p w14:paraId="75734497" w14:textId="77777777" w:rsidR="00DF6F48" w:rsidRDefault="00DF6F48" w:rsidP="00C608ED">
            <w:pPr>
              <w:spacing w:afterLines="20" w:after="48"/>
            </w:pPr>
            <w:r w:rsidRPr="00DF6F48">
              <w:t>Has the introduction of safe-harbour defences clarified business’ ability to securely make origin claims?</w:t>
            </w:r>
          </w:p>
        </w:tc>
        <w:tc>
          <w:tcPr>
            <w:tcW w:w="235" w:type="pct"/>
          </w:tcPr>
          <w:p w14:paraId="621B5D73" w14:textId="77777777" w:rsidR="00DF6F48" w:rsidRDefault="00DF6F48" w:rsidP="00C608ED">
            <w:pPr>
              <w:spacing w:afterLines="20" w:after="48"/>
              <w:jc w:val="center"/>
            </w:pPr>
            <w:r>
              <w:t>20</w:t>
            </w:r>
          </w:p>
        </w:tc>
        <w:tc>
          <w:tcPr>
            <w:tcW w:w="2487" w:type="pct"/>
          </w:tcPr>
          <w:p w14:paraId="4EDCE3B6" w14:textId="77777777" w:rsidR="00DF6F48" w:rsidRDefault="00DF6F48" w:rsidP="00C608ED">
            <w:pPr>
              <w:spacing w:afterLines="20" w:after="48"/>
            </w:pPr>
            <w:r w:rsidRPr="00DF6F48">
              <w:t>Have communication activities and online resources been effective in supporting businesses to understand, implement and manage CoOL requirements?</w:t>
            </w:r>
          </w:p>
        </w:tc>
      </w:tr>
      <w:tr w:rsidR="00DF6F48" w14:paraId="15DE302E" w14:textId="77777777" w:rsidTr="002149E1">
        <w:tc>
          <w:tcPr>
            <w:tcW w:w="314" w:type="pct"/>
          </w:tcPr>
          <w:p w14:paraId="4A301D7E" w14:textId="77777777" w:rsidR="00DF6F48" w:rsidRDefault="00DF6F48" w:rsidP="00C608ED">
            <w:pPr>
              <w:spacing w:afterLines="20" w:after="48"/>
              <w:jc w:val="center"/>
            </w:pPr>
            <w:r>
              <w:t>17</w:t>
            </w:r>
          </w:p>
        </w:tc>
        <w:tc>
          <w:tcPr>
            <w:tcW w:w="1963" w:type="pct"/>
          </w:tcPr>
          <w:p w14:paraId="32E8527A" w14:textId="77777777" w:rsidR="00DF6F48" w:rsidRDefault="00DF6F48" w:rsidP="00C608ED">
            <w:pPr>
              <w:spacing w:afterLines="20" w:after="48"/>
            </w:pPr>
            <w:r w:rsidRPr="00DF6F48">
              <w:t>How well have businesses complied with CoOL requirements?</w:t>
            </w:r>
          </w:p>
        </w:tc>
        <w:tc>
          <w:tcPr>
            <w:tcW w:w="235" w:type="pct"/>
          </w:tcPr>
          <w:p w14:paraId="15B0D4C9" w14:textId="77777777" w:rsidR="00DF6F48" w:rsidRDefault="00DF6F48" w:rsidP="00C608ED">
            <w:pPr>
              <w:spacing w:afterLines="20" w:after="48"/>
              <w:jc w:val="center"/>
            </w:pPr>
            <w:r>
              <w:t>21</w:t>
            </w:r>
          </w:p>
        </w:tc>
        <w:tc>
          <w:tcPr>
            <w:tcW w:w="2487" w:type="pct"/>
          </w:tcPr>
          <w:p w14:paraId="3BDFDAEB" w14:textId="77777777" w:rsidR="00DF6F48" w:rsidRDefault="00DF6F48" w:rsidP="00C608ED">
            <w:pPr>
              <w:spacing w:afterLines="20" w:after="48"/>
            </w:pPr>
            <w:r w:rsidRPr="00DF6F48">
              <w:t>Did the transition period enable businesses to implement the reforms in an efficient manner, and minimise implementation costs?</w:t>
            </w:r>
          </w:p>
        </w:tc>
      </w:tr>
      <w:tr w:rsidR="00DF6F48" w14:paraId="64B973C2" w14:textId="77777777" w:rsidTr="002149E1">
        <w:tc>
          <w:tcPr>
            <w:tcW w:w="314" w:type="pct"/>
          </w:tcPr>
          <w:p w14:paraId="07EB2124" w14:textId="77777777" w:rsidR="00DF6F48" w:rsidRDefault="00DF6F48" w:rsidP="00C608ED">
            <w:pPr>
              <w:spacing w:afterLines="20" w:after="48"/>
              <w:jc w:val="center"/>
            </w:pPr>
            <w:r>
              <w:t>18</w:t>
            </w:r>
          </w:p>
        </w:tc>
        <w:tc>
          <w:tcPr>
            <w:tcW w:w="1963" w:type="pct"/>
          </w:tcPr>
          <w:p w14:paraId="6263200B" w14:textId="77777777" w:rsidR="00DF6F48" w:rsidRDefault="00DF6F48" w:rsidP="00C608ED">
            <w:pPr>
              <w:spacing w:afterLines="20" w:after="48"/>
            </w:pPr>
            <w:r w:rsidRPr="00DF6F48">
              <w:t>Do the current CoOL requirements provide adequate flexibility for food and beverage producers to manage variations in the supply of ingredients?</w:t>
            </w:r>
          </w:p>
        </w:tc>
        <w:tc>
          <w:tcPr>
            <w:tcW w:w="235" w:type="pct"/>
          </w:tcPr>
          <w:p w14:paraId="0FD12828" w14:textId="77777777" w:rsidR="00DF6F48" w:rsidRDefault="00DF6F48" w:rsidP="00C608ED">
            <w:pPr>
              <w:spacing w:afterLines="20" w:after="48"/>
              <w:jc w:val="center"/>
            </w:pPr>
            <w:r>
              <w:t>22</w:t>
            </w:r>
          </w:p>
        </w:tc>
        <w:tc>
          <w:tcPr>
            <w:tcW w:w="2487" w:type="pct"/>
          </w:tcPr>
          <w:p w14:paraId="65FE380F" w14:textId="77777777" w:rsidR="00DF6F48" w:rsidRDefault="00DF6F48" w:rsidP="00C608ED">
            <w:pPr>
              <w:spacing w:afterLines="20" w:after="48"/>
            </w:pPr>
            <w:r w:rsidRPr="00DF6F48">
              <w:t>What were the realised costs to business associated with meeting the new CoOL requirements?</w:t>
            </w:r>
          </w:p>
        </w:tc>
      </w:tr>
      <w:tr w:rsidR="00DF6F48" w14:paraId="6BB6CE6C" w14:textId="77777777" w:rsidTr="002149E1">
        <w:tc>
          <w:tcPr>
            <w:tcW w:w="314" w:type="pct"/>
          </w:tcPr>
          <w:p w14:paraId="399AD14A" w14:textId="77777777" w:rsidR="00DF6F48" w:rsidRDefault="00DF6F48" w:rsidP="00C608ED">
            <w:pPr>
              <w:spacing w:afterLines="20" w:after="48"/>
              <w:jc w:val="center"/>
            </w:pPr>
            <w:r>
              <w:t>19</w:t>
            </w:r>
          </w:p>
        </w:tc>
        <w:tc>
          <w:tcPr>
            <w:tcW w:w="1963" w:type="pct"/>
          </w:tcPr>
          <w:p w14:paraId="035BC85F" w14:textId="77777777" w:rsidR="00DF6F48" w:rsidRDefault="00DF6F48" w:rsidP="00C608ED">
            <w:pPr>
              <w:spacing w:afterLines="20" w:after="48"/>
            </w:pPr>
            <w:r w:rsidRPr="00DF6F48">
              <w:t>Did the CoOL reforms have any unintended consequences on businesses for particular products, including non-food products? What action, if any, was taken to address the impacts of the CoOL reforms on those businesses that were negatively affected?</w:t>
            </w:r>
          </w:p>
        </w:tc>
        <w:tc>
          <w:tcPr>
            <w:tcW w:w="235" w:type="pct"/>
          </w:tcPr>
          <w:p w14:paraId="732298BC" w14:textId="77777777" w:rsidR="00DF6F48" w:rsidRDefault="00DF6F48" w:rsidP="00C608ED">
            <w:pPr>
              <w:spacing w:afterLines="20" w:after="48"/>
              <w:jc w:val="center"/>
            </w:pPr>
            <w:r>
              <w:t>23</w:t>
            </w:r>
          </w:p>
        </w:tc>
        <w:tc>
          <w:tcPr>
            <w:tcW w:w="2487" w:type="pct"/>
          </w:tcPr>
          <w:p w14:paraId="114A554B" w14:textId="77777777" w:rsidR="00DF6F48" w:rsidRDefault="00DF6F48" w:rsidP="00C608ED">
            <w:pPr>
              <w:spacing w:afterLines="20" w:after="48"/>
            </w:pPr>
            <w:r w:rsidRPr="00DF6F48">
              <w:t>Have food and beverage producers benefited from the increased provision of information to consumers?</w:t>
            </w:r>
          </w:p>
        </w:tc>
      </w:tr>
      <w:tr w:rsidR="00DF6F48" w14:paraId="716330CC" w14:textId="77777777" w:rsidTr="002149E1">
        <w:tc>
          <w:tcPr>
            <w:tcW w:w="314" w:type="pct"/>
          </w:tcPr>
          <w:p w14:paraId="5F19FD91" w14:textId="77777777" w:rsidR="00DF6F48" w:rsidRDefault="00DF6F48" w:rsidP="00C608ED">
            <w:pPr>
              <w:spacing w:afterLines="20" w:after="48"/>
              <w:jc w:val="center"/>
            </w:pPr>
          </w:p>
        </w:tc>
        <w:tc>
          <w:tcPr>
            <w:tcW w:w="1963" w:type="pct"/>
          </w:tcPr>
          <w:p w14:paraId="03219918" w14:textId="77777777" w:rsidR="00DF6F48" w:rsidRDefault="00DF6F48" w:rsidP="00C608ED">
            <w:pPr>
              <w:spacing w:afterLines="20" w:after="48"/>
            </w:pPr>
          </w:p>
        </w:tc>
        <w:tc>
          <w:tcPr>
            <w:tcW w:w="235" w:type="pct"/>
          </w:tcPr>
          <w:p w14:paraId="3AFAD309" w14:textId="77777777" w:rsidR="00DF6F48" w:rsidRDefault="00DF6F48" w:rsidP="00C608ED">
            <w:pPr>
              <w:spacing w:afterLines="20" w:after="48"/>
              <w:jc w:val="center"/>
            </w:pPr>
            <w:r>
              <w:t>24</w:t>
            </w:r>
          </w:p>
        </w:tc>
        <w:tc>
          <w:tcPr>
            <w:tcW w:w="2487" w:type="pct"/>
          </w:tcPr>
          <w:p w14:paraId="437EC548" w14:textId="78E0B909" w:rsidR="00DF6F48" w:rsidRDefault="00DF6F48" w:rsidP="00C608ED">
            <w:pPr>
              <w:spacing w:afterLines="20" w:after="48"/>
            </w:pPr>
            <w:r>
              <w:t>Part a) What lessons can be drawn from business to improve the efficiency or effectiveness of future initiatives?</w:t>
            </w:r>
            <w:r w:rsidR="006F7BC8">
              <w:t xml:space="preserve"> </w:t>
            </w:r>
            <w:r>
              <w:t>Part b)</w:t>
            </w:r>
            <w:r w:rsidR="003A1A96">
              <w:t xml:space="preserve"> question extended to consumers</w:t>
            </w:r>
          </w:p>
        </w:tc>
      </w:tr>
    </w:tbl>
    <w:p w14:paraId="0553F38E" w14:textId="77777777" w:rsidR="00DF6F48" w:rsidRPr="00E53797" w:rsidRDefault="00DF6F48" w:rsidP="00DF6F48">
      <w:pPr>
        <w:pStyle w:val="Caption"/>
        <w:spacing w:before="120"/>
        <w:rPr>
          <w:sz w:val="14"/>
          <w:szCs w:val="14"/>
        </w:rPr>
      </w:pPr>
      <w:r w:rsidRPr="00E53797">
        <w:rPr>
          <w:sz w:val="14"/>
          <w:szCs w:val="14"/>
        </w:rPr>
        <w:t xml:space="preserve">Source: Deloitte Access Economics project plan. </w:t>
      </w:r>
    </w:p>
    <w:p w14:paraId="00B3425E" w14:textId="77777777" w:rsidR="00820775" w:rsidRPr="00DB48C2" w:rsidRDefault="00820775" w:rsidP="0025140D">
      <w:pPr>
        <w:pStyle w:val="Heading2"/>
        <w:pageBreakBefore/>
      </w:pPr>
      <w:bookmarkStart w:id="105" w:name="_Ref66357530"/>
      <w:bookmarkStart w:id="106" w:name="_Toc67499043"/>
      <w:bookmarkStart w:id="107" w:name="_Toc94702045"/>
      <w:r w:rsidRPr="00DB48C2">
        <w:lastRenderedPageBreak/>
        <w:t xml:space="preserve">Cost </w:t>
      </w:r>
      <w:r w:rsidR="003B1BD1">
        <w:t>b</w:t>
      </w:r>
      <w:r w:rsidRPr="00DB48C2">
        <w:t xml:space="preserve">enefit </w:t>
      </w:r>
      <w:r w:rsidR="003B1BD1">
        <w:t>a</w:t>
      </w:r>
      <w:r w:rsidRPr="00DB48C2">
        <w:t>nalysis</w:t>
      </w:r>
      <w:bookmarkEnd w:id="105"/>
      <w:bookmarkEnd w:id="106"/>
      <w:bookmarkEnd w:id="107"/>
    </w:p>
    <w:p w14:paraId="7805B0F7" w14:textId="76E0EF4B" w:rsidR="003F4E8F" w:rsidRPr="00E53797" w:rsidRDefault="00202C09" w:rsidP="00F977D1">
      <w:pPr>
        <w:divId w:val="1641113819"/>
        <w:rPr>
          <w:rFonts w:asciiTheme="majorHAnsi" w:hAnsiTheme="majorHAnsi"/>
        </w:rPr>
      </w:pPr>
      <w:r>
        <w:t xml:space="preserve">A </w:t>
      </w:r>
      <w:r w:rsidR="00AD26E1">
        <w:t xml:space="preserve">CBA </w:t>
      </w:r>
      <w:r>
        <w:t>was undertaken to evaluate the cost-effectiveness of the provision of information to consumers and businesses</w:t>
      </w:r>
      <w:r w:rsidR="00FA4A85">
        <w:t xml:space="preserve"> (</w:t>
      </w:r>
      <w:r w:rsidR="00C04AF5">
        <w:fldChar w:fldCharType="begin"/>
      </w:r>
      <w:r w:rsidR="00C04AF5">
        <w:instrText xml:space="preserve"> REF _Ref72180279 \n \h </w:instrText>
      </w:r>
      <w:r w:rsidR="00C04AF5">
        <w:fldChar w:fldCharType="separate"/>
      </w:r>
      <w:r w:rsidR="0017363C">
        <w:t>Appendix C</w:t>
      </w:r>
      <w:r w:rsidR="00C04AF5">
        <w:fldChar w:fldCharType="end"/>
      </w:r>
      <w:r w:rsidR="00FA4A85">
        <w:t>)</w:t>
      </w:r>
      <w:r w:rsidR="00AD26E1">
        <w:t>. It</w:t>
      </w:r>
      <w:r w:rsidR="00E36143">
        <w:t xml:space="preserve"> considered the net benefit of the current CoOL scheme compared with the scheme that was in place prior to June 2016. </w:t>
      </w:r>
      <w:r w:rsidR="00812728">
        <w:t xml:space="preserve">This </w:t>
      </w:r>
      <w:r w:rsidR="00A75916">
        <w:t xml:space="preserve">economic modelling </w:t>
      </w:r>
      <w:r w:rsidR="00E709A4">
        <w:t>w</w:t>
      </w:r>
      <w:r w:rsidR="00A75916">
        <w:t xml:space="preserve">as previously undertaken by </w:t>
      </w:r>
      <w:r w:rsidR="00940F42">
        <w:t xml:space="preserve">Arup </w:t>
      </w:r>
      <w:r w:rsidR="00A75916">
        <w:t xml:space="preserve">in 2016, which (then) prospectively considered the value of adopting the scheme in its current format. </w:t>
      </w:r>
      <w:r w:rsidR="00CE083E">
        <w:t xml:space="preserve">The modelling at this point was undertaken to inform the implementation of the CoOL scheme. </w:t>
      </w:r>
      <w:r w:rsidR="00E36143">
        <w:t xml:space="preserve">The CBA was also used </w:t>
      </w:r>
      <w:r>
        <w:t xml:space="preserve">to assess </w:t>
      </w:r>
      <w:r w:rsidR="00091C52">
        <w:t>the net benefit of potential future reforms</w:t>
      </w:r>
      <w:r w:rsidR="00091C52">
        <w:rPr>
          <w:rFonts w:asciiTheme="majorHAnsi" w:hAnsiTheme="majorHAnsi"/>
        </w:rPr>
        <w:t xml:space="preserve"> to</w:t>
      </w:r>
      <w:r w:rsidR="0082370C" w:rsidRPr="00E53797">
        <w:rPr>
          <w:rFonts w:asciiTheme="majorHAnsi" w:hAnsiTheme="majorHAnsi"/>
        </w:rPr>
        <w:t xml:space="preserve"> the CoOL scheme</w:t>
      </w:r>
      <w:r w:rsidR="007743E3">
        <w:rPr>
          <w:rFonts w:asciiTheme="majorHAnsi" w:hAnsiTheme="majorHAnsi"/>
        </w:rPr>
        <w:t xml:space="preserve"> as shown in</w:t>
      </w:r>
      <w:r w:rsidR="00C04AF5">
        <w:rPr>
          <w:rFonts w:asciiTheme="majorHAnsi" w:hAnsiTheme="majorHAnsi"/>
        </w:rPr>
        <w:t xml:space="preserve"> </w:t>
      </w:r>
      <w:r w:rsidR="00C04AF5">
        <w:rPr>
          <w:rFonts w:asciiTheme="majorHAnsi" w:hAnsiTheme="majorHAnsi"/>
        </w:rPr>
        <w:fldChar w:fldCharType="begin"/>
      </w:r>
      <w:r w:rsidR="00C04AF5">
        <w:rPr>
          <w:rFonts w:asciiTheme="majorHAnsi" w:hAnsiTheme="majorHAnsi"/>
        </w:rPr>
        <w:instrText xml:space="preserve"> REF _Ref64555237 \n \h </w:instrText>
      </w:r>
      <w:r w:rsidR="00C04AF5">
        <w:rPr>
          <w:rFonts w:asciiTheme="majorHAnsi" w:hAnsiTheme="majorHAnsi"/>
        </w:rPr>
      </w:r>
      <w:r w:rsidR="00C04AF5">
        <w:rPr>
          <w:rFonts w:asciiTheme="majorHAnsi" w:hAnsiTheme="majorHAnsi"/>
        </w:rPr>
        <w:fldChar w:fldCharType="separate"/>
      </w:r>
      <w:r w:rsidR="0017363C">
        <w:rPr>
          <w:rFonts w:asciiTheme="majorHAnsi" w:hAnsiTheme="majorHAnsi"/>
        </w:rPr>
        <w:t>Table 1.2</w:t>
      </w:r>
      <w:r w:rsidR="00C04AF5">
        <w:rPr>
          <w:rFonts w:asciiTheme="majorHAnsi" w:hAnsiTheme="majorHAnsi"/>
        </w:rPr>
        <w:fldChar w:fldCharType="end"/>
      </w:r>
      <w:r w:rsidR="004D7A07">
        <w:rPr>
          <w:rFonts w:asciiTheme="majorHAnsi" w:hAnsiTheme="majorHAnsi"/>
        </w:rPr>
        <w:t>.</w:t>
      </w:r>
    </w:p>
    <w:p w14:paraId="25AB5257" w14:textId="58B1EA07" w:rsidR="007C1DF8" w:rsidRDefault="00C738A3" w:rsidP="00897AC0">
      <w:pPr>
        <w:pStyle w:val="CaptionTable"/>
      </w:pPr>
      <w:bookmarkStart w:id="108" w:name="_Toc65075093"/>
      <w:bookmarkStart w:id="109" w:name="_Ref64555237"/>
      <w:bookmarkStart w:id="110" w:name="_Toc82590399"/>
      <w:bookmarkEnd w:id="108"/>
      <w:r>
        <w:t>:</w:t>
      </w:r>
      <w:r w:rsidR="007C1DF8" w:rsidRPr="00CC297D">
        <w:t xml:space="preserve"> CBA options</w:t>
      </w:r>
      <w:bookmarkEnd w:id="109"/>
      <w:bookmarkEnd w:id="110"/>
    </w:p>
    <w:tbl>
      <w:tblPr>
        <w:tblStyle w:val="Deloittetable"/>
        <w:tblW w:w="9028" w:type="dxa"/>
        <w:tblLayout w:type="fixed"/>
        <w:tblLook w:val="04A0" w:firstRow="1" w:lastRow="0" w:firstColumn="1" w:lastColumn="0" w:noHBand="0" w:noVBand="1"/>
        <w:tblDescription w:val="This table outlines the six CBA options. These were Education&#10;Reduced regulatory burden&#10;Online shopping platforms&#10;Remove non-priority exemption&#10;Increased information&#10;Expand to foodservice"/>
      </w:tblPr>
      <w:tblGrid>
        <w:gridCol w:w="284"/>
        <w:gridCol w:w="1419"/>
        <w:gridCol w:w="6096"/>
        <w:gridCol w:w="1229"/>
      </w:tblGrid>
      <w:tr w:rsidR="00D024D6" w:rsidRPr="00CC297D" w14:paraId="19386EB7" w14:textId="6A294D77" w:rsidTr="007C3C48">
        <w:trPr>
          <w:cnfStyle w:val="100000000000" w:firstRow="1" w:lastRow="0" w:firstColumn="0" w:lastColumn="0" w:oddVBand="0" w:evenVBand="0" w:oddHBand="0" w:evenHBand="0" w:firstRowFirstColumn="0" w:firstRowLastColumn="0" w:lastRowFirstColumn="0" w:lastRowLastColumn="0"/>
          <w:trHeight w:val="274"/>
          <w:tblHeader/>
        </w:trPr>
        <w:tc>
          <w:tcPr>
            <w:tcW w:w="1703" w:type="dxa"/>
            <w:gridSpan w:val="2"/>
            <w:tcBorders>
              <w:top w:val="single" w:sz="24" w:space="0" w:color="012169" w:themeColor="accent4"/>
            </w:tcBorders>
          </w:tcPr>
          <w:p w14:paraId="16CC7A97" w14:textId="77777777" w:rsidR="00D024D6" w:rsidRPr="00E53797" w:rsidRDefault="00D024D6" w:rsidP="007E61AA">
            <w:pPr>
              <w:spacing w:after="0"/>
              <w:rPr>
                <w:rFonts w:asciiTheme="minorHAnsi" w:eastAsia="Calibri" w:hAnsiTheme="minorHAnsi" w:cs="Times New Roman"/>
                <w:b/>
                <w:szCs w:val="17"/>
              </w:rPr>
            </w:pPr>
            <w:r w:rsidRPr="00E53797">
              <w:rPr>
                <w:rFonts w:asciiTheme="minorHAnsi" w:eastAsia="Calibri" w:hAnsiTheme="minorHAnsi" w:cs="Times New Roman"/>
                <w:b/>
                <w:szCs w:val="17"/>
              </w:rPr>
              <w:t>Options subject to CBA review</w:t>
            </w:r>
          </w:p>
        </w:tc>
        <w:tc>
          <w:tcPr>
            <w:tcW w:w="6096" w:type="dxa"/>
            <w:tcBorders>
              <w:top w:val="single" w:sz="24" w:space="0" w:color="012169" w:themeColor="accent4"/>
            </w:tcBorders>
            <w:noWrap/>
          </w:tcPr>
          <w:p w14:paraId="3D87AE59" w14:textId="77777777" w:rsidR="00D024D6" w:rsidRPr="00E53797" w:rsidRDefault="00D024D6" w:rsidP="007E61AA">
            <w:pPr>
              <w:spacing w:after="0"/>
              <w:rPr>
                <w:rFonts w:asciiTheme="minorHAnsi" w:eastAsia="Calibri" w:hAnsiTheme="minorHAnsi" w:cs="Times New Roman"/>
                <w:b/>
                <w:szCs w:val="17"/>
              </w:rPr>
            </w:pPr>
            <w:r w:rsidRPr="00E53797">
              <w:rPr>
                <w:rFonts w:asciiTheme="minorHAnsi" w:eastAsia="Calibri" w:hAnsiTheme="minorHAnsi" w:cs="Times New Roman"/>
                <w:b/>
                <w:szCs w:val="17"/>
              </w:rPr>
              <w:t>Description</w:t>
            </w:r>
          </w:p>
        </w:tc>
        <w:tc>
          <w:tcPr>
            <w:tcW w:w="1229" w:type="dxa"/>
            <w:tcBorders>
              <w:top w:val="single" w:sz="24" w:space="0" w:color="012169" w:themeColor="accent4"/>
            </w:tcBorders>
          </w:tcPr>
          <w:p w14:paraId="4D8DB81B" w14:textId="2C650836" w:rsidR="00D024D6" w:rsidRPr="00E53797" w:rsidRDefault="00D024D6" w:rsidP="007E61AA">
            <w:pPr>
              <w:spacing w:after="0"/>
              <w:rPr>
                <w:rFonts w:asciiTheme="minorHAnsi" w:eastAsia="Calibri" w:hAnsiTheme="minorHAnsi" w:cs="Times New Roman"/>
                <w:b/>
                <w:szCs w:val="17"/>
              </w:rPr>
            </w:pPr>
            <w:r>
              <w:rPr>
                <w:rFonts w:asciiTheme="minorHAnsi" w:eastAsia="Calibri" w:hAnsiTheme="minorHAnsi" w:cs="Times New Roman"/>
                <w:b/>
                <w:szCs w:val="17"/>
              </w:rPr>
              <w:t>CBA report section</w:t>
            </w:r>
          </w:p>
        </w:tc>
      </w:tr>
      <w:tr w:rsidR="007815A5" w:rsidRPr="00CC297D" w14:paraId="579B54D5" w14:textId="25E09F58" w:rsidTr="007555CB">
        <w:trPr>
          <w:trHeight w:val="480"/>
        </w:trPr>
        <w:tc>
          <w:tcPr>
            <w:tcW w:w="284" w:type="dxa"/>
          </w:tcPr>
          <w:p w14:paraId="24FC28EA" w14:textId="77777777" w:rsidR="007815A5" w:rsidRPr="00E53797" w:rsidRDefault="007815A5" w:rsidP="007E61AA">
            <w:pPr>
              <w:spacing w:after="0" w:line="240" w:lineRule="auto"/>
              <w:jc w:val="center"/>
              <w:rPr>
                <w:rFonts w:asciiTheme="minorHAnsi" w:eastAsia="Calibri" w:hAnsiTheme="minorHAnsi" w:cs="Times New Roman"/>
                <w:szCs w:val="17"/>
              </w:rPr>
            </w:pPr>
            <w:r w:rsidRPr="00E53797">
              <w:rPr>
                <w:rFonts w:asciiTheme="minorHAnsi" w:eastAsia="Calibri" w:hAnsiTheme="minorHAnsi" w:cs="Times New Roman"/>
                <w:sz w:val="18"/>
                <w:szCs w:val="17"/>
              </w:rPr>
              <w:t>1</w:t>
            </w:r>
          </w:p>
        </w:tc>
        <w:tc>
          <w:tcPr>
            <w:tcW w:w="1419" w:type="dxa"/>
            <w:hideMark/>
          </w:tcPr>
          <w:p w14:paraId="78BA68F4" w14:textId="77777777" w:rsidR="007815A5" w:rsidRPr="00E53797" w:rsidRDefault="007815A5" w:rsidP="007E61AA">
            <w:pPr>
              <w:spacing w:after="0" w:line="240" w:lineRule="auto"/>
              <w:rPr>
                <w:rFonts w:asciiTheme="minorHAnsi" w:eastAsia="Calibri" w:hAnsiTheme="minorHAnsi" w:cs="Times New Roman"/>
                <w:szCs w:val="17"/>
              </w:rPr>
            </w:pPr>
            <w:r w:rsidRPr="00E53797">
              <w:rPr>
                <w:rFonts w:asciiTheme="minorHAnsi" w:eastAsia="Calibri" w:hAnsiTheme="minorHAnsi" w:cs="Times New Roman"/>
                <w:sz w:val="18"/>
                <w:szCs w:val="17"/>
              </w:rPr>
              <w:t>Education</w:t>
            </w:r>
          </w:p>
        </w:tc>
        <w:tc>
          <w:tcPr>
            <w:tcW w:w="6096" w:type="dxa"/>
            <w:hideMark/>
          </w:tcPr>
          <w:p w14:paraId="22595194" w14:textId="022735DC" w:rsidR="007815A5" w:rsidRPr="00E53797" w:rsidRDefault="007815A5" w:rsidP="007E61AA">
            <w:pPr>
              <w:spacing w:after="0"/>
              <w:contextualSpacing/>
              <w:rPr>
                <w:rFonts w:asciiTheme="minorHAnsi" w:eastAsia="Calibri" w:hAnsiTheme="minorHAnsi" w:cs="Times New Roman"/>
                <w:color w:val="000000"/>
                <w:szCs w:val="17"/>
              </w:rPr>
            </w:pPr>
            <w:r>
              <w:rPr>
                <w:rFonts w:asciiTheme="minorHAnsi" w:eastAsia="Calibri" w:hAnsiTheme="minorHAnsi" w:cs="Times New Roman"/>
                <w:color w:val="000000"/>
                <w:sz w:val="18"/>
                <w:szCs w:val="17"/>
              </w:rPr>
              <w:t xml:space="preserve">The current CoOL reforms </w:t>
            </w:r>
            <w:r w:rsidR="00D257EF">
              <w:rPr>
                <w:rFonts w:asciiTheme="minorHAnsi" w:eastAsia="Calibri" w:hAnsiTheme="minorHAnsi" w:cs="Times New Roman"/>
                <w:color w:val="000000"/>
                <w:sz w:val="18"/>
                <w:szCs w:val="17"/>
              </w:rPr>
              <w:t xml:space="preserve">are </w:t>
            </w:r>
            <w:r>
              <w:rPr>
                <w:rFonts w:asciiTheme="minorHAnsi" w:eastAsia="Calibri" w:hAnsiTheme="minorHAnsi" w:cs="Times New Roman"/>
                <w:color w:val="000000"/>
                <w:sz w:val="18"/>
                <w:szCs w:val="17"/>
              </w:rPr>
              <w:t>in place</w:t>
            </w:r>
            <w:r w:rsidRPr="00E53797">
              <w:rPr>
                <w:rFonts w:asciiTheme="minorHAnsi" w:eastAsia="Calibri" w:hAnsiTheme="minorHAnsi" w:cs="Times New Roman"/>
                <w:color w:val="000000"/>
                <w:sz w:val="18"/>
                <w:szCs w:val="17"/>
              </w:rPr>
              <w:t xml:space="preserve"> with consumer education campaign</w:t>
            </w:r>
          </w:p>
        </w:tc>
        <w:tc>
          <w:tcPr>
            <w:tcW w:w="1229" w:type="dxa"/>
          </w:tcPr>
          <w:p w14:paraId="354DCC5C" w14:textId="20B0272B" w:rsidR="007815A5" w:rsidRDefault="00477686" w:rsidP="007E61AA">
            <w:pPr>
              <w:spacing w:after="0"/>
              <w:contextualSpacing/>
              <w:rPr>
                <w:rFonts w:asciiTheme="minorHAnsi" w:eastAsia="Calibri" w:hAnsiTheme="minorHAnsi" w:cs="Times New Roman"/>
                <w:color w:val="000000"/>
                <w:szCs w:val="17"/>
              </w:rPr>
            </w:pPr>
            <w:r>
              <w:rPr>
                <w:rFonts w:asciiTheme="minorHAnsi" w:eastAsia="Calibri" w:hAnsiTheme="minorHAnsi" w:cs="Times New Roman"/>
                <w:color w:val="000000"/>
                <w:szCs w:val="17"/>
              </w:rPr>
              <w:t xml:space="preserve">Section </w:t>
            </w:r>
            <w:r w:rsidR="005465F6">
              <w:rPr>
                <w:rFonts w:asciiTheme="minorHAnsi" w:eastAsia="Calibri" w:hAnsiTheme="minorHAnsi" w:cs="Times New Roman"/>
                <w:color w:val="000000"/>
                <w:szCs w:val="17"/>
              </w:rPr>
              <w:t>4.3</w:t>
            </w:r>
          </w:p>
        </w:tc>
      </w:tr>
      <w:tr w:rsidR="007815A5" w:rsidRPr="00CC297D" w14:paraId="20A709A9" w14:textId="1787126E" w:rsidTr="007555CB">
        <w:trPr>
          <w:trHeight w:val="505"/>
        </w:trPr>
        <w:tc>
          <w:tcPr>
            <w:tcW w:w="284" w:type="dxa"/>
          </w:tcPr>
          <w:p w14:paraId="7D1266D0" w14:textId="77777777" w:rsidR="007815A5" w:rsidRPr="00E53797" w:rsidRDefault="007815A5" w:rsidP="007E61AA">
            <w:pPr>
              <w:spacing w:after="0" w:line="240" w:lineRule="auto"/>
              <w:jc w:val="center"/>
              <w:rPr>
                <w:rFonts w:asciiTheme="minorHAnsi" w:eastAsia="Calibri" w:hAnsiTheme="minorHAnsi" w:cs="Times New Roman"/>
                <w:szCs w:val="17"/>
              </w:rPr>
            </w:pPr>
            <w:r w:rsidRPr="00E53797">
              <w:rPr>
                <w:rFonts w:asciiTheme="minorHAnsi" w:eastAsia="Calibri" w:hAnsiTheme="minorHAnsi" w:cs="Times New Roman"/>
                <w:sz w:val="18"/>
                <w:szCs w:val="17"/>
              </w:rPr>
              <w:t>2</w:t>
            </w:r>
          </w:p>
        </w:tc>
        <w:tc>
          <w:tcPr>
            <w:tcW w:w="1419" w:type="dxa"/>
          </w:tcPr>
          <w:p w14:paraId="45FF27EF" w14:textId="77777777" w:rsidR="007815A5" w:rsidRPr="00E53797" w:rsidRDefault="007815A5" w:rsidP="007E61AA">
            <w:pPr>
              <w:spacing w:after="0" w:line="240" w:lineRule="auto"/>
              <w:rPr>
                <w:rFonts w:asciiTheme="minorHAnsi" w:eastAsia="Calibri" w:hAnsiTheme="minorHAnsi" w:cs="Times New Roman"/>
                <w:szCs w:val="17"/>
              </w:rPr>
            </w:pPr>
            <w:r w:rsidRPr="00E53797">
              <w:rPr>
                <w:rFonts w:asciiTheme="minorHAnsi" w:eastAsia="Calibri" w:hAnsiTheme="minorHAnsi" w:cs="Times New Roman"/>
                <w:sz w:val="18"/>
                <w:szCs w:val="17"/>
              </w:rPr>
              <w:t>Reduced regulatory burden</w:t>
            </w:r>
          </w:p>
        </w:tc>
        <w:tc>
          <w:tcPr>
            <w:tcW w:w="6096" w:type="dxa"/>
          </w:tcPr>
          <w:p w14:paraId="68ABC4BA" w14:textId="01BFFD74" w:rsidR="007815A5" w:rsidRPr="00E53797" w:rsidRDefault="008326DD" w:rsidP="007E61AA">
            <w:pPr>
              <w:spacing w:after="0"/>
              <w:contextualSpacing/>
              <w:rPr>
                <w:rFonts w:asciiTheme="minorHAnsi" w:eastAsia="Calibri" w:hAnsiTheme="minorHAnsi" w:cs="Times New Roman"/>
                <w:color w:val="000000"/>
                <w:szCs w:val="17"/>
              </w:rPr>
            </w:pPr>
            <w:r w:rsidRPr="00E53797">
              <w:rPr>
                <w:rFonts w:asciiTheme="minorHAnsi" w:eastAsia="Calibri" w:hAnsiTheme="minorHAnsi" w:cs="Times New Roman"/>
                <w:color w:val="000000"/>
                <w:sz w:val="18"/>
                <w:szCs w:val="17"/>
              </w:rPr>
              <w:t>Reduc</w:t>
            </w:r>
            <w:r>
              <w:rPr>
                <w:rFonts w:asciiTheme="minorHAnsi" w:eastAsia="Calibri" w:hAnsiTheme="minorHAnsi" w:cs="Times New Roman"/>
                <w:color w:val="000000"/>
                <w:sz w:val="18"/>
                <w:szCs w:val="17"/>
              </w:rPr>
              <w:t>e</w:t>
            </w:r>
            <w:r w:rsidRPr="00E53797">
              <w:rPr>
                <w:rFonts w:asciiTheme="minorHAnsi" w:eastAsia="Calibri" w:hAnsiTheme="minorHAnsi" w:cs="Times New Roman"/>
                <w:color w:val="000000"/>
                <w:sz w:val="18"/>
                <w:szCs w:val="17"/>
              </w:rPr>
              <w:t xml:space="preserve"> </w:t>
            </w:r>
            <w:r w:rsidR="007815A5" w:rsidRPr="00E53797">
              <w:rPr>
                <w:rFonts w:asciiTheme="minorHAnsi" w:eastAsia="Calibri" w:hAnsiTheme="minorHAnsi" w:cs="Times New Roman"/>
                <w:color w:val="000000"/>
                <w:sz w:val="18"/>
                <w:szCs w:val="17"/>
              </w:rPr>
              <w:t>regulatory requirements by providing an option for businesses to provide CoOL information online while retaining instructions on their labelling for how to access this information</w:t>
            </w:r>
          </w:p>
        </w:tc>
        <w:tc>
          <w:tcPr>
            <w:tcW w:w="1229" w:type="dxa"/>
          </w:tcPr>
          <w:p w14:paraId="33DAC07B" w14:textId="59B57FDA" w:rsidR="007815A5" w:rsidRPr="00E53797" w:rsidRDefault="005465F6" w:rsidP="007E61AA">
            <w:pPr>
              <w:spacing w:after="0"/>
              <w:contextualSpacing/>
              <w:rPr>
                <w:rFonts w:asciiTheme="minorHAnsi" w:eastAsia="Calibri" w:hAnsiTheme="minorHAnsi" w:cs="Times New Roman"/>
                <w:color w:val="000000"/>
                <w:szCs w:val="17"/>
              </w:rPr>
            </w:pPr>
            <w:r>
              <w:rPr>
                <w:rFonts w:asciiTheme="minorHAnsi" w:eastAsia="Calibri" w:hAnsiTheme="minorHAnsi" w:cs="Times New Roman"/>
                <w:color w:val="000000"/>
                <w:szCs w:val="17"/>
              </w:rPr>
              <w:t>Section 4.4</w:t>
            </w:r>
          </w:p>
        </w:tc>
      </w:tr>
      <w:tr w:rsidR="007815A5" w:rsidRPr="00CC297D" w14:paraId="6E9E8A88" w14:textId="07A7CDDA" w:rsidTr="007555CB">
        <w:trPr>
          <w:trHeight w:val="390"/>
        </w:trPr>
        <w:tc>
          <w:tcPr>
            <w:tcW w:w="284" w:type="dxa"/>
          </w:tcPr>
          <w:p w14:paraId="432A5610" w14:textId="77777777" w:rsidR="007815A5" w:rsidRPr="00E53797" w:rsidRDefault="007815A5" w:rsidP="007E61AA">
            <w:pPr>
              <w:spacing w:after="0" w:line="240" w:lineRule="auto"/>
              <w:jc w:val="center"/>
              <w:rPr>
                <w:rFonts w:asciiTheme="minorHAnsi" w:eastAsia="Calibri" w:hAnsiTheme="minorHAnsi" w:cs="Times New Roman"/>
                <w:szCs w:val="17"/>
              </w:rPr>
            </w:pPr>
            <w:r w:rsidRPr="00E53797">
              <w:rPr>
                <w:rFonts w:asciiTheme="minorHAnsi" w:eastAsia="Calibri" w:hAnsiTheme="minorHAnsi" w:cs="Times New Roman"/>
                <w:sz w:val="18"/>
                <w:szCs w:val="17"/>
              </w:rPr>
              <w:t>3</w:t>
            </w:r>
          </w:p>
        </w:tc>
        <w:tc>
          <w:tcPr>
            <w:tcW w:w="1419" w:type="dxa"/>
          </w:tcPr>
          <w:p w14:paraId="4A346A18" w14:textId="77777777" w:rsidR="007815A5" w:rsidRPr="00E53797" w:rsidRDefault="007815A5" w:rsidP="007E61AA">
            <w:pPr>
              <w:spacing w:after="0" w:line="240" w:lineRule="auto"/>
              <w:rPr>
                <w:rFonts w:asciiTheme="minorHAnsi" w:eastAsia="Calibri" w:hAnsiTheme="minorHAnsi" w:cs="Times New Roman"/>
                <w:szCs w:val="17"/>
              </w:rPr>
            </w:pPr>
            <w:r w:rsidRPr="00E53797">
              <w:rPr>
                <w:rFonts w:asciiTheme="minorHAnsi" w:eastAsia="Calibri" w:hAnsiTheme="minorHAnsi" w:cs="Times New Roman"/>
                <w:sz w:val="18"/>
                <w:szCs w:val="17"/>
              </w:rPr>
              <w:t>Online shopping platforms</w:t>
            </w:r>
          </w:p>
        </w:tc>
        <w:tc>
          <w:tcPr>
            <w:tcW w:w="6096" w:type="dxa"/>
          </w:tcPr>
          <w:p w14:paraId="57D70318" w14:textId="77777777" w:rsidR="007815A5" w:rsidRPr="00E53797" w:rsidRDefault="007815A5" w:rsidP="007E61AA">
            <w:pPr>
              <w:spacing w:after="0"/>
              <w:contextualSpacing/>
              <w:rPr>
                <w:rFonts w:asciiTheme="minorHAnsi" w:eastAsia="Calibri" w:hAnsiTheme="minorHAnsi" w:cs="Times New Roman"/>
                <w:color w:val="000000"/>
                <w:szCs w:val="17"/>
              </w:rPr>
            </w:pPr>
            <w:r w:rsidRPr="00E53797">
              <w:rPr>
                <w:rFonts w:asciiTheme="minorHAnsi" w:eastAsia="Calibri" w:hAnsiTheme="minorHAnsi" w:cs="Times New Roman"/>
                <w:color w:val="000000"/>
                <w:sz w:val="18"/>
                <w:szCs w:val="17"/>
              </w:rPr>
              <w:t>Extend CoOL information to online shopping platforms for those retailers who already have to comply with CoOL regulation</w:t>
            </w:r>
          </w:p>
        </w:tc>
        <w:tc>
          <w:tcPr>
            <w:tcW w:w="1229" w:type="dxa"/>
          </w:tcPr>
          <w:p w14:paraId="4B90D7D2" w14:textId="4B3C23C1" w:rsidR="007815A5" w:rsidRPr="00E53797" w:rsidRDefault="005465F6" w:rsidP="007E61AA">
            <w:pPr>
              <w:spacing w:after="0"/>
              <w:contextualSpacing/>
              <w:rPr>
                <w:rFonts w:asciiTheme="minorHAnsi" w:eastAsia="Calibri" w:hAnsiTheme="minorHAnsi" w:cs="Times New Roman"/>
                <w:color w:val="000000"/>
                <w:szCs w:val="17"/>
              </w:rPr>
            </w:pPr>
            <w:r>
              <w:rPr>
                <w:rFonts w:asciiTheme="minorHAnsi" w:eastAsia="Calibri" w:hAnsiTheme="minorHAnsi" w:cs="Times New Roman"/>
                <w:color w:val="000000"/>
                <w:szCs w:val="17"/>
              </w:rPr>
              <w:t>Section 4.5</w:t>
            </w:r>
          </w:p>
        </w:tc>
      </w:tr>
      <w:tr w:rsidR="007815A5" w:rsidRPr="00CC297D" w14:paraId="5EEC7F21" w14:textId="51DC725D" w:rsidTr="007555CB">
        <w:trPr>
          <w:trHeight w:val="390"/>
        </w:trPr>
        <w:tc>
          <w:tcPr>
            <w:tcW w:w="284" w:type="dxa"/>
          </w:tcPr>
          <w:p w14:paraId="533562F0" w14:textId="77777777" w:rsidR="007815A5" w:rsidRPr="00E53797" w:rsidRDefault="007815A5" w:rsidP="007E61AA">
            <w:pPr>
              <w:spacing w:after="0" w:line="240" w:lineRule="auto"/>
              <w:jc w:val="center"/>
              <w:rPr>
                <w:rFonts w:asciiTheme="minorHAnsi" w:eastAsia="Calibri" w:hAnsiTheme="minorHAnsi" w:cs="Times New Roman"/>
                <w:szCs w:val="17"/>
              </w:rPr>
            </w:pPr>
            <w:r w:rsidRPr="00E53797">
              <w:rPr>
                <w:rFonts w:asciiTheme="minorHAnsi" w:eastAsia="Calibri" w:hAnsiTheme="minorHAnsi" w:cs="Times New Roman"/>
                <w:sz w:val="18"/>
                <w:szCs w:val="17"/>
              </w:rPr>
              <w:t>4</w:t>
            </w:r>
          </w:p>
        </w:tc>
        <w:tc>
          <w:tcPr>
            <w:tcW w:w="1419" w:type="dxa"/>
          </w:tcPr>
          <w:p w14:paraId="422181CE" w14:textId="77777777" w:rsidR="007815A5" w:rsidRPr="00E53797" w:rsidRDefault="007815A5" w:rsidP="007E61AA">
            <w:pPr>
              <w:spacing w:after="0" w:line="240" w:lineRule="auto"/>
              <w:rPr>
                <w:rFonts w:asciiTheme="minorHAnsi" w:eastAsia="Calibri" w:hAnsiTheme="minorHAnsi" w:cs="Times New Roman"/>
                <w:szCs w:val="17"/>
              </w:rPr>
            </w:pPr>
            <w:r w:rsidRPr="00E53797">
              <w:rPr>
                <w:rFonts w:asciiTheme="minorHAnsi" w:eastAsia="Calibri" w:hAnsiTheme="minorHAnsi" w:cs="Times New Roman"/>
                <w:sz w:val="18"/>
                <w:szCs w:val="17"/>
              </w:rPr>
              <w:t>Remove non-priority exemption</w:t>
            </w:r>
          </w:p>
        </w:tc>
        <w:tc>
          <w:tcPr>
            <w:tcW w:w="6096" w:type="dxa"/>
          </w:tcPr>
          <w:p w14:paraId="1A7D95E7" w14:textId="77777777" w:rsidR="007815A5" w:rsidRPr="00E53797" w:rsidRDefault="007815A5" w:rsidP="007E61AA">
            <w:pPr>
              <w:spacing w:after="0"/>
              <w:contextualSpacing/>
              <w:rPr>
                <w:rFonts w:asciiTheme="minorHAnsi" w:eastAsia="Calibri" w:hAnsiTheme="minorHAnsi" w:cs="Times New Roman"/>
                <w:color w:val="000000"/>
                <w:szCs w:val="17"/>
              </w:rPr>
            </w:pPr>
            <w:r w:rsidRPr="00E53797">
              <w:rPr>
                <w:rFonts w:asciiTheme="minorHAnsi" w:eastAsia="Calibri" w:hAnsiTheme="minorHAnsi" w:cs="Times New Roman"/>
                <w:color w:val="000000"/>
                <w:sz w:val="18"/>
                <w:szCs w:val="17"/>
              </w:rPr>
              <w:t>Remove the distinction between priority and non-priority food products so that CoOL regulations apply uniformly to all food products</w:t>
            </w:r>
          </w:p>
        </w:tc>
        <w:tc>
          <w:tcPr>
            <w:tcW w:w="1229" w:type="dxa"/>
          </w:tcPr>
          <w:p w14:paraId="111C44DC" w14:textId="1518A96C" w:rsidR="007815A5" w:rsidRPr="00E53797" w:rsidRDefault="005465F6" w:rsidP="007E61AA">
            <w:pPr>
              <w:spacing w:after="0"/>
              <w:contextualSpacing/>
              <w:rPr>
                <w:rFonts w:asciiTheme="minorHAnsi" w:eastAsia="Calibri" w:hAnsiTheme="minorHAnsi" w:cs="Times New Roman"/>
                <w:color w:val="000000"/>
                <w:szCs w:val="17"/>
              </w:rPr>
            </w:pPr>
            <w:r>
              <w:rPr>
                <w:rFonts w:asciiTheme="minorHAnsi" w:eastAsia="Calibri" w:hAnsiTheme="minorHAnsi" w:cs="Times New Roman"/>
                <w:color w:val="000000"/>
                <w:szCs w:val="17"/>
              </w:rPr>
              <w:t>Section 4.6</w:t>
            </w:r>
          </w:p>
        </w:tc>
      </w:tr>
      <w:tr w:rsidR="007815A5" w:rsidRPr="00CC297D" w14:paraId="1F535B09" w14:textId="377F4C5D" w:rsidTr="007555CB">
        <w:trPr>
          <w:trHeight w:val="311"/>
        </w:trPr>
        <w:tc>
          <w:tcPr>
            <w:tcW w:w="284" w:type="dxa"/>
          </w:tcPr>
          <w:p w14:paraId="31D60861" w14:textId="77777777" w:rsidR="007815A5" w:rsidRPr="00E53797" w:rsidRDefault="007815A5" w:rsidP="007E61AA">
            <w:pPr>
              <w:spacing w:after="0" w:line="240" w:lineRule="auto"/>
              <w:jc w:val="center"/>
              <w:rPr>
                <w:rFonts w:asciiTheme="minorHAnsi" w:eastAsia="Calibri" w:hAnsiTheme="minorHAnsi" w:cs="Times New Roman"/>
                <w:szCs w:val="17"/>
              </w:rPr>
            </w:pPr>
            <w:r w:rsidRPr="00E53797">
              <w:rPr>
                <w:rFonts w:asciiTheme="minorHAnsi" w:eastAsia="Calibri" w:hAnsiTheme="minorHAnsi" w:cs="Times New Roman"/>
                <w:sz w:val="18"/>
                <w:szCs w:val="17"/>
              </w:rPr>
              <w:t>5</w:t>
            </w:r>
          </w:p>
        </w:tc>
        <w:tc>
          <w:tcPr>
            <w:tcW w:w="1419" w:type="dxa"/>
          </w:tcPr>
          <w:p w14:paraId="7B0C4096" w14:textId="77777777" w:rsidR="007815A5" w:rsidRPr="00E53797" w:rsidRDefault="007815A5" w:rsidP="007E61AA">
            <w:pPr>
              <w:spacing w:after="0" w:line="240" w:lineRule="auto"/>
              <w:rPr>
                <w:rFonts w:asciiTheme="minorHAnsi" w:eastAsia="Calibri" w:hAnsiTheme="minorHAnsi" w:cs="Times New Roman"/>
                <w:szCs w:val="17"/>
              </w:rPr>
            </w:pPr>
            <w:r w:rsidRPr="00E53797">
              <w:rPr>
                <w:rFonts w:asciiTheme="minorHAnsi" w:eastAsia="Calibri" w:hAnsiTheme="minorHAnsi" w:cs="Times New Roman"/>
                <w:sz w:val="18"/>
                <w:szCs w:val="17"/>
              </w:rPr>
              <w:t>Increased information</w:t>
            </w:r>
          </w:p>
        </w:tc>
        <w:tc>
          <w:tcPr>
            <w:tcW w:w="6096" w:type="dxa"/>
          </w:tcPr>
          <w:p w14:paraId="2016A20C" w14:textId="3D6B04E9" w:rsidR="007815A5" w:rsidRPr="00E53797" w:rsidRDefault="00A05442" w:rsidP="007E61AA">
            <w:pPr>
              <w:spacing w:after="0"/>
              <w:contextualSpacing/>
              <w:rPr>
                <w:rFonts w:asciiTheme="minorHAnsi" w:eastAsia="Calibri" w:hAnsiTheme="minorHAnsi" w:cs="Times New Roman"/>
                <w:color w:val="000000"/>
                <w:szCs w:val="17"/>
              </w:rPr>
            </w:pPr>
            <w:r w:rsidRPr="00E53797">
              <w:rPr>
                <w:rFonts w:asciiTheme="minorHAnsi" w:eastAsia="Calibri" w:hAnsiTheme="minorHAnsi" w:cs="Times New Roman"/>
                <w:color w:val="000000"/>
                <w:sz w:val="18"/>
                <w:szCs w:val="17"/>
              </w:rPr>
              <w:t>Includ</w:t>
            </w:r>
            <w:r>
              <w:rPr>
                <w:rFonts w:asciiTheme="minorHAnsi" w:eastAsia="Calibri" w:hAnsiTheme="minorHAnsi" w:cs="Times New Roman"/>
                <w:color w:val="000000"/>
                <w:sz w:val="18"/>
                <w:szCs w:val="17"/>
              </w:rPr>
              <w:t>e</w:t>
            </w:r>
            <w:r w:rsidRPr="00E53797">
              <w:rPr>
                <w:rFonts w:asciiTheme="minorHAnsi" w:eastAsia="Calibri" w:hAnsiTheme="minorHAnsi" w:cs="Times New Roman"/>
                <w:color w:val="000000"/>
                <w:sz w:val="18"/>
                <w:szCs w:val="17"/>
              </w:rPr>
              <w:t xml:space="preserve"> </w:t>
            </w:r>
            <w:r w:rsidR="007815A5" w:rsidRPr="00E53797">
              <w:rPr>
                <w:rFonts w:asciiTheme="minorHAnsi" w:eastAsia="Calibri" w:hAnsiTheme="minorHAnsi" w:cs="Times New Roman"/>
                <w:color w:val="000000"/>
                <w:sz w:val="18"/>
                <w:szCs w:val="17"/>
              </w:rPr>
              <w:t>more information about ingredients from outside Australia</w:t>
            </w:r>
          </w:p>
        </w:tc>
        <w:tc>
          <w:tcPr>
            <w:tcW w:w="1229" w:type="dxa"/>
          </w:tcPr>
          <w:p w14:paraId="29A15332" w14:textId="09C63BBB" w:rsidR="007815A5" w:rsidRPr="00E53797" w:rsidRDefault="005465F6" w:rsidP="007E61AA">
            <w:pPr>
              <w:spacing w:after="0"/>
              <w:contextualSpacing/>
              <w:rPr>
                <w:rFonts w:asciiTheme="minorHAnsi" w:eastAsia="Calibri" w:hAnsiTheme="minorHAnsi" w:cs="Times New Roman"/>
                <w:color w:val="000000"/>
                <w:szCs w:val="17"/>
              </w:rPr>
            </w:pPr>
            <w:r>
              <w:rPr>
                <w:rFonts w:asciiTheme="minorHAnsi" w:eastAsia="Calibri" w:hAnsiTheme="minorHAnsi" w:cs="Times New Roman"/>
                <w:color w:val="000000"/>
                <w:szCs w:val="17"/>
              </w:rPr>
              <w:t>Section 4.7</w:t>
            </w:r>
          </w:p>
        </w:tc>
      </w:tr>
      <w:tr w:rsidR="007815A5" w:rsidRPr="00CC297D" w14:paraId="5C533650" w14:textId="554425D8" w:rsidTr="007555CB">
        <w:trPr>
          <w:trHeight w:val="390"/>
        </w:trPr>
        <w:tc>
          <w:tcPr>
            <w:tcW w:w="284" w:type="dxa"/>
          </w:tcPr>
          <w:p w14:paraId="5BD83658" w14:textId="77777777" w:rsidR="007815A5" w:rsidRPr="00E53797" w:rsidRDefault="007815A5" w:rsidP="007E61AA">
            <w:pPr>
              <w:spacing w:after="0" w:line="240" w:lineRule="auto"/>
              <w:jc w:val="center"/>
              <w:rPr>
                <w:rFonts w:asciiTheme="minorHAnsi" w:eastAsia="Calibri" w:hAnsiTheme="minorHAnsi" w:cs="Times New Roman"/>
                <w:szCs w:val="17"/>
              </w:rPr>
            </w:pPr>
            <w:r w:rsidRPr="00E53797">
              <w:rPr>
                <w:rFonts w:asciiTheme="minorHAnsi" w:eastAsia="Calibri" w:hAnsiTheme="minorHAnsi" w:cs="Times New Roman"/>
                <w:sz w:val="18"/>
                <w:szCs w:val="17"/>
              </w:rPr>
              <w:t>6</w:t>
            </w:r>
          </w:p>
        </w:tc>
        <w:tc>
          <w:tcPr>
            <w:tcW w:w="1419" w:type="dxa"/>
          </w:tcPr>
          <w:p w14:paraId="10A9B227" w14:textId="77777777" w:rsidR="007815A5" w:rsidRPr="00E53797" w:rsidRDefault="007815A5" w:rsidP="007E61AA">
            <w:pPr>
              <w:spacing w:after="0" w:line="240" w:lineRule="auto"/>
              <w:rPr>
                <w:rFonts w:asciiTheme="minorHAnsi" w:eastAsia="Calibri" w:hAnsiTheme="minorHAnsi" w:cs="Times New Roman"/>
                <w:szCs w:val="17"/>
              </w:rPr>
            </w:pPr>
            <w:r w:rsidRPr="00E53797">
              <w:rPr>
                <w:rFonts w:asciiTheme="minorHAnsi" w:eastAsia="Calibri" w:hAnsiTheme="minorHAnsi" w:cs="Times New Roman"/>
                <w:sz w:val="18"/>
                <w:szCs w:val="17"/>
              </w:rPr>
              <w:t>Expand to foodservice</w:t>
            </w:r>
          </w:p>
        </w:tc>
        <w:tc>
          <w:tcPr>
            <w:tcW w:w="6096" w:type="dxa"/>
          </w:tcPr>
          <w:p w14:paraId="59243006" w14:textId="77777777" w:rsidR="007815A5" w:rsidRPr="00E53797" w:rsidRDefault="007815A5" w:rsidP="007E61AA">
            <w:pPr>
              <w:spacing w:after="0"/>
              <w:contextualSpacing/>
              <w:rPr>
                <w:rFonts w:asciiTheme="minorHAnsi" w:eastAsia="Calibri" w:hAnsiTheme="minorHAnsi" w:cs="Times New Roman"/>
                <w:color w:val="000000"/>
                <w:szCs w:val="17"/>
              </w:rPr>
            </w:pPr>
            <w:r w:rsidRPr="00E53797">
              <w:rPr>
                <w:rFonts w:asciiTheme="minorHAnsi" w:eastAsia="Calibri" w:hAnsiTheme="minorHAnsi" w:cs="Times New Roman"/>
                <w:color w:val="000000"/>
                <w:sz w:val="18"/>
                <w:szCs w:val="17"/>
              </w:rPr>
              <w:t>Expand the current CoOL regulations to all businesses in the foodservice sector</w:t>
            </w:r>
          </w:p>
        </w:tc>
        <w:tc>
          <w:tcPr>
            <w:tcW w:w="1229" w:type="dxa"/>
          </w:tcPr>
          <w:p w14:paraId="326CB18D" w14:textId="2CCF17EE" w:rsidR="007815A5" w:rsidRPr="00E53797" w:rsidRDefault="005465F6" w:rsidP="007E61AA">
            <w:pPr>
              <w:spacing w:after="0"/>
              <w:contextualSpacing/>
              <w:rPr>
                <w:rFonts w:asciiTheme="minorHAnsi" w:eastAsia="Calibri" w:hAnsiTheme="minorHAnsi" w:cs="Times New Roman"/>
                <w:color w:val="000000"/>
                <w:szCs w:val="17"/>
              </w:rPr>
            </w:pPr>
            <w:r>
              <w:rPr>
                <w:rFonts w:asciiTheme="minorHAnsi" w:eastAsia="Calibri" w:hAnsiTheme="minorHAnsi" w:cs="Times New Roman"/>
                <w:color w:val="000000"/>
                <w:szCs w:val="17"/>
              </w:rPr>
              <w:t>Section 4.8</w:t>
            </w:r>
          </w:p>
        </w:tc>
      </w:tr>
      <w:tr w:rsidR="00E438BC" w:rsidRPr="00CC297D" w14:paraId="3C54F766" w14:textId="77777777" w:rsidTr="007555CB">
        <w:trPr>
          <w:trHeight w:val="390"/>
        </w:trPr>
        <w:tc>
          <w:tcPr>
            <w:tcW w:w="9028" w:type="dxa"/>
            <w:gridSpan w:val="4"/>
            <w:tcBorders>
              <w:bottom w:val="single" w:sz="4" w:space="0" w:color="FFFFFF" w:themeColor="background1"/>
            </w:tcBorders>
          </w:tcPr>
          <w:p w14:paraId="1C13BD61" w14:textId="1E3705DD" w:rsidR="00E438BC" w:rsidRPr="00E438BC" w:rsidRDefault="00447032" w:rsidP="00E438BC">
            <w:pPr>
              <w:pStyle w:val="Caption"/>
              <w:spacing w:before="120"/>
              <w:rPr>
                <w:sz w:val="14"/>
                <w:szCs w:val="14"/>
              </w:rPr>
            </w:pPr>
            <w:r w:rsidRPr="00E53797">
              <w:rPr>
                <w:sz w:val="14"/>
                <w:szCs w:val="14"/>
              </w:rPr>
              <w:t>Source: Deloitte Access Economics</w:t>
            </w:r>
            <w:r w:rsidR="00F81074">
              <w:rPr>
                <w:sz w:val="14"/>
                <w:szCs w:val="14"/>
              </w:rPr>
              <w:t xml:space="preserve"> 2021</w:t>
            </w:r>
            <w:r w:rsidR="00830A1D">
              <w:rPr>
                <w:sz w:val="14"/>
                <w:szCs w:val="14"/>
              </w:rPr>
              <w:t xml:space="preserve">, </w:t>
            </w:r>
            <w:r w:rsidR="00190E62">
              <w:rPr>
                <w:i/>
                <w:iCs w:val="0"/>
                <w:sz w:val="14"/>
                <w:szCs w:val="14"/>
              </w:rPr>
              <w:t xml:space="preserve">Evaluation of Country of Origin Labelling reforms: Cost Benefit Analysis, </w:t>
            </w:r>
            <w:r w:rsidR="00190E62">
              <w:rPr>
                <w:sz w:val="14"/>
                <w:szCs w:val="14"/>
              </w:rPr>
              <w:t>for the Department of Industry, Science, Energy and Resources</w:t>
            </w:r>
            <w:r w:rsidRPr="00E53797">
              <w:rPr>
                <w:sz w:val="14"/>
                <w:szCs w:val="14"/>
              </w:rPr>
              <w:t>.</w:t>
            </w:r>
          </w:p>
        </w:tc>
      </w:tr>
    </w:tbl>
    <w:p w14:paraId="45D770CB" w14:textId="77777777" w:rsidR="00A11F6D" w:rsidRPr="00DB6E5A" w:rsidRDefault="00CA15B7">
      <w:pPr>
        <w:pStyle w:val="Heading1"/>
      </w:pPr>
      <w:bookmarkStart w:id="111" w:name="_Toc67499044"/>
      <w:bookmarkStart w:id="112" w:name="_Toc94702046"/>
      <w:r>
        <w:lastRenderedPageBreak/>
        <w:t>Approach</w:t>
      </w:r>
      <w:bookmarkEnd w:id="111"/>
      <w:bookmarkEnd w:id="112"/>
      <w:r w:rsidR="009B0DA9" w:rsidRPr="00DB6E5A">
        <w:t xml:space="preserve"> </w:t>
      </w:r>
    </w:p>
    <w:p w14:paraId="750EE852" w14:textId="7CE66E03" w:rsidR="00A64EFE" w:rsidRPr="00DB6E5A" w:rsidRDefault="003D74CC">
      <w:pPr>
        <w:pStyle w:val="Sectionintro"/>
      </w:pPr>
      <w:r>
        <w:t>M</w:t>
      </w:r>
      <w:r w:rsidR="00C865E6" w:rsidRPr="00DB6E5A">
        <w:t xml:space="preserve">ultiple </w:t>
      </w:r>
      <w:r>
        <w:t>methods</w:t>
      </w:r>
      <w:r w:rsidR="00C865E6" w:rsidRPr="00DB6E5A">
        <w:t xml:space="preserve"> </w:t>
      </w:r>
      <w:r>
        <w:t xml:space="preserve">were used to collect </w:t>
      </w:r>
      <w:r w:rsidR="00F37A05" w:rsidRPr="00DB6E5A">
        <w:t>evidence</w:t>
      </w:r>
      <w:r>
        <w:t xml:space="preserve"> </w:t>
      </w:r>
      <w:r w:rsidR="00F37A05" w:rsidRPr="00DB6E5A">
        <w:t xml:space="preserve">to answer the evaluation questions. </w:t>
      </w:r>
      <w:r w:rsidR="005D585D">
        <w:t>The</w:t>
      </w:r>
      <w:r w:rsidR="0061080C">
        <w:t xml:space="preserve">se </w:t>
      </w:r>
      <w:r w:rsidR="00F37A05" w:rsidRPr="00DB6E5A">
        <w:t>included</w:t>
      </w:r>
      <w:r w:rsidR="00D33788">
        <w:t>:</w:t>
      </w:r>
      <w:r w:rsidR="0061080C">
        <w:t xml:space="preserve"> </w:t>
      </w:r>
      <w:r w:rsidR="00D33788">
        <w:t xml:space="preserve">a review of </w:t>
      </w:r>
      <w:r>
        <w:t>document</w:t>
      </w:r>
      <w:r w:rsidR="00D33788">
        <w:t>s</w:t>
      </w:r>
      <w:r>
        <w:t xml:space="preserve"> and data</w:t>
      </w:r>
      <w:r w:rsidR="0011210B">
        <w:t>;</w:t>
      </w:r>
      <w:r w:rsidR="00D33788">
        <w:t xml:space="preserve"> </w:t>
      </w:r>
      <w:r>
        <w:t>consultation</w:t>
      </w:r>
      <w:r w:rsidR="00D33788">
        <w:t>s</w:t>
      </w:r>
      <w:r>
        <w:t xml:space="preserve"> with industry, businesses</w:t>
      </w:r>
      <w:r w:rsidR="00D33788">
        <w:t xml:space="preserve">, </w:t>
      </w:r>
      <w:r>
        <w:t>consumers</w:t>
      </w:r>
      <w:r w:rsidR="00D33788">
        <w:t xml:space="preserve"> and government</w:t>
      </w:r>
      <w:r w:rsidR="0011210B">
        <w:t>;</w:t>
      </w:r>
      <w:r w:rsidR="00D33788">
        <w:t xml:space="preserve"> </w:t>
      </w:r>
      <w:r w:rsidR="0061080C">
        <w:t>and a cost</w:t>
      </w:r>
      <w:r w:rsidR="000C31F5">
        <w:t xml:space="preserve"> </w:t>
      </w:r>
      <w:r w:rsidR="0061080C">
        <w:t>benefit analysis</w:t>
      </w:r>
      <w:r w:rsidR="003F5815" w:rsidRPr="00DB6E5A">
        <w:t>.</w:t>
      </w:r>
      <w:r w:rsidR="000B4996" w:rsidRPr="00DB6E5A">
        <w:t xml:space="preserve"> </w:t>
      </w:r>
    </w:p>
    <w:p w14:paraId="57F3840E" w14:textId="77777777" w:rsidR="001112C3" w:rsidRPr="00DB6E5A" w:rsidRDefault="00662210">
      <w:pPr>
        <w:pStyle w:val="Heading2"/>
      </w:pPr>
      <w:bookmarkStart w:id="113" w:name="_Ref67297871"/>
      <w:bookmarkStart w:id="114" w:name="_Toc67499045"/>
      <w:bookmarkStart w:id="115" w:name="_Toc94702047"/>
      <w:r w:rsidRPr="00DB6E5A">
        <w:t>Overview of the evaluation framework</w:t>
      </w:r>
      <w:bookmarkEnd w:id="113"/>
      <w:bookmarkEnd w:id="114"/>
      <w:bookmarkEnd w:id="115"/>
    </w:p>
    <w:p w14:paraId="7A36A382" w14:textId="6457E026" w:rsidR="0054160B" w:rsidRPr="0054160B" w:rsidRDefault="005A4FA6" w:rsidP="003C74DF">
      <w:r>
        <w:t>A</w:t>
      </w:r>
      <w:r w:rsidR="005D585D">
        <w:t xml:space="preserve">n evaluation framework </w:t>
      </w:r>
      <w:r>
        <w:t xml:space="preserve">was developed </w:t>
      </w:r>
      <w:r w:rsidR="005D585D">
        <w:t xml:space="preserve">to </w:t>
      </w:r>
      <w:r w:rsidR="006A317F">
        <w:t xml:space="preserve">support the </w:t>
      </w:r>
      <w:r w:rsidR="001112C3">
        <w:t>systematic</w:t>
      </w:r>
      <w:r w:rsidR="005D585D">
        <w:t xml:space="preserve"> evaluation of the</w:t>
      </w:r>
      <w:r w:rsidR="0082300D">
        <w:t xml:space="preserve"> </w:t>
      </w:r>
      <w:r w:rsidR="008416EA">
        <w:t xml:space="preserve">recent </w:t>
      </w:r>
      <w:r w:rsidR="0082300D">
        <w:t>CoOL reforms</w:t>
      </w:r>
      <w:r w:rsidR="005D585D">
        <w:t>,</w:t>
      </w:r>
      <w:r w:rsidR="0082300D">
        <w:t xml:space="preserve"> </w:t>
      </w:r>
      <w:r w:rsidR="00E31123">
        <w:t>identify</w:t>
      </w:r>
      <w:r w:rsidR="006A317F">
        <w:t xml:space="preserve"> </w:t>
      </w:r>
      <w:r w:rsidR="005D585D">
        <w:t>key findings</w:t>
      </w:r>
      <w:r w:rsidR="006A317F">
        <w:t xml:space="preserve"> and develop </w:t>
      </w:r>
      <w:r w:rsidR="005D585D">
        <w:t xml:space="preserve">recommendations for </w:t>
      </w:r>
      <w:r w:rsidR="00E31123">
        <w:t xml:space="preserve">possible </w:t>
      </w:r>
      <w:r w:rsidR="005D585D">
        <w:t xml:space="preserve">future reform. </w:t>
      </w:r>
      <w:r w:rsidR="009744B9">
        <w:t xml:space="preserve">The </w:t>
      </w:r>
      <w:r w:rsidR="00E31123">
        <w:t>structure of the evaluation framework</w:t>
      </w:r>
      <w:r w:rsidR="009744B9">
        <w:t xml:space="preserve"> (</w:t>
      </w:r>
      <w:r w:rsidR="00AF00EE">
        <w:fldChar w:fldCharType="begin"/>
      </w:r>
      <w:r w:rsidR="00AF00EE">
        <w:instrText xml:space="preserve"> REF _Ref65064166 \n \h </w:instrText>
      </w:r>
      <w:r w:rsidR="00AF00EE">
        <w:fldChar w:fldCharType="separate"/>
      </w:r>
      <w:r w:rsidR="0017363C">
        <w:t>Figure 2.1</w:t>
      </w:r>
      <w:r w:rsidR="00AF00EE">
        <w:fldChar w:fldCharType="end"/>
      </w:r>
      <w:r w:rsidR="009744B9">
        <w:t>)</w:t>
      </w:r>
      <w:r w:rsidR="00E31123">
        <w:t xml:space="preserve"> illustrat</w:t>
      </w:r>
      <w:r w:rsidR="009744B9">
        <w:t>es</w:t>
      </w:r>
      <w:r w:rsidR="00E31123">
        <w:t xml:space="preserve"> </w:t>
      </w:r>
      <w:r w:rsidR="000D1E89">
        <w:t xml:space="preserve">how the overarching evaluation objective </w:t>
      </w:r>
      <w:r w:rsidR="00E31123">
        <w:t xml:space="preserve">and evaluation questions link to </w:t>
      </w:r>
      <w:r w:rsidR="009744B9">
        <w:t xml:space="preserve">the </w:t>
      </w:r>
      <w:r w:rsidR="00C264A4" w:rsidRPr="00C264A4">
        <w:t>performance indicator</w:t>
      </w:r>
      <w:r w:rsidR="00E31123">
        <w:t xml:space="preserve"> framework </w:t>
      </w:r>
      <w:r w:rsidR="009C7CF1">
        <w:t>(</w:t>
      </w:r>
      <w:r w:rsidR="00A864BD">
        <w:fldChar w:fldCharType="begin"/>
      </w:r>
      <w:r w:rsidR="00A864BD">
        <w:instrText xml:space="preserve"> REF _Ref72180312 \n \h </w:instrText>
      </w:r>
      <w:r w:rsidR="00A864BD">
        <w:fldChar w:fldCharType="separate"/>
      </w:r>
      <w:r w:rsidR="0017363C">
        <w:t>Appendix B</w:t>
      </w:r>
      <w:r w:rsidR="00A864BD">
        <w:fldChar w:fldCharType="end"/>
      </w:r>
      <w:r w:rsidR="009C7CF1">
        <w:t>)</w:t>
      </w:r>
      <w:r w:rsidR="00C264A4" w:rsidRPr="00C264A4">
        <w:t>.</w:t>
      </w:r>
      <w:r w:rsidR="00F24C29">
        <w:t xml:space="preserve"> </w:t>
      </w:r>
    </w:p>
    <w:p w14:paraId="4E0BBFCB" w14:textId="5309A33F" w:rsidR="00722CC1" w:rsidRDefault="00ED2E28" w:rsidP="00722CC1">
      <w:pPr>
        <w:pStyle w:val="CaptionFigure"/>
      </w:pPr>
      <w:bookmarkStart w:id="116" w:name="_Ref65064166"/>
      <w:bookmarkStart w:id="117" w:name="_Toc82590403"/>
      <w:r>
        <w:t>: S</w:t>
      </w:r>
      <w:r w:rsidRPr="00AC4F64">
        <w:t>tructure of evaluation framework</w:t>
      </w:r>
      <w:bookmarkEnd w:id="116"/>
      <w:bookmarkEnd w:id="117"/>
    </w:p>
    <w:p w14:paraId="33C87956" w14:textId="68A903E5" w:rsidR="00B17E8A" w:rsidRPr="00B17E8A" w:rsidRDefault="000D2E7D" w:rsidP="00B17E8A">
      <w:r w:rsidRPr="000D2E7D">
        <w:rPr>
          <w:noProof/>
          <w:lang w:eastAsia="en-AU"/>
        </w:rPr>
        <w:drawing>
          <wp:inline distT="0" distB="0" distL="0" distR="0" wp14:anchorId="119A68C0" wp14:editId="736DABC4">
            <wp:extent cx="5731510" cy="4583430"/>
            <wp:effectExtent l="0" t="0" r="2540" b="7620"/>
            <wp:docPr id="289242799" name="Picture 289242799" descr="This diagram shows the structure of an evaluation framework comprising five components. These are the evaluation objective, program logic, evaluation questions, performance indicator framework and data tools and stakeholder engagement. 1: the evaluation objective is to look at whether the country of origin labelling reforms have improved customer access to information about the origin of food, and clarified the origin claims businesses can make about their products, without imposing excessive costs. 2: the program logic outlines the theory of investment - that is, what is being done and the intended outcomes. The program logic includes inputs, activities, outputs, and outcomes. 3. Evaluation questions define the scope of the evaluation and relate to the following domains: design and implementation, consumer access to information, clarifying business ability to make origin claims, impact on businesses, and lessons learned. 4: the performance indicator framework includes measures which will be used to determine the performance against each evaluation question. %: data tools and stakeholder engagement show what data will be collected, how it will be collected, and from whom it will be collected to perform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99" name="Picture 289242799" descr="This diagram shows the structure of an evaluation framework comprising five components. These are the evaluation objective, program logic, evaluation questions, performance indicator framework and data tools and stakeholder engagement. 1: the evaluation objective is to look at whether the country of origin labelling reforms have improved customer access to information about the origin of food, and clarified the origin claims businesses can make about their products, without imposing excessive costs. 2: the program logic outlines the theory of investment - that is, what is being done and the intended outcomes. The program logic includes inputs, activities, outputs, and outcomes. 3. Evaluation questions define the scope of the evaluation and relate to the following domains: design and implementation, consumer access to information, clarifying business ability to make origin claims, impact on businesses, and lessons learned. 4: the performance indicator framework includes measures which will be used to determine the performance against each evaluation question. %: data tools and stakeholder engagement show what data will be collected, how it will be collected, and from whom it will be collected to perform the evalu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p>
    <w:p w14:paraId="5CF5F5E6" w14:textId="77777777" w:rsidR="00772EC3" w:rsidRPr="00E53797" w:rsidRDefault="00772EC3" w:rsidP="00772EC3">
      <w:pPr>
        <w:pStyle w:val="Caption"/>
        <w:spacing w:before="0" w:after="0" w:line="240" w:lineRule="auto"/>
        <w:rPr>
          <w:sz w:val="14"/>
          <w:szCs w:val="14"/>
        </w:rPr>
      </w:pPr>
      <w:r w:rsidRPr="00E53797">
        <w:rPr>
          <w:sz w:val="14"/>
          <w:szCs w:val="14"/>
        </w:rPr>
        <w:t>Source: Deloitte Access Economics project plan.</w:t>
      </w:r>
    </w:p>
    <w:p w14:paraId="72798A37" w14:textId="77777777" w:rsidR="00422C46" w:rsidRDefault="00AB0674" w:rsidP="007B49A8">
      <w:pPr>
        <w:pStyle w:val="Heading2"/>
      </w:pPr>
      <w:bookmarkStart w:id="118" w:name="_Toc65074487"/>
      <w:bookmarkStart w:id="119" w:name="_Toc65088209"/>
      <w:bookmarkStart w:id="120" w:name="_Toc66396692"/>
      <w:bookmarkStart w:id="121" w:name="_Toc66396693"/>
      <w:bookmarkStart w:id="122" w:name="_Toc66396694"/>
      <w:bookmarkStart w:id="123" w:name="_Toc94702048"/>
      <w:bookmarkEnd w:id="118"/>
      <w:bookmarkEnd w:id="119"/>
      <w:bookmarkEnd w:id="120"/>
      <w:bookmarkEnd w:id="121"/>
      <w:bookmarkEnd w:id="122"/>
      <w:r>
        <w:t>Overview of research undertaken for this evaluation</w:t>
      </w:r>
      <w:bookmarkEnd w:id="123"/>
    </w:p>
    <w:p w14:paraId="3BB84270" w14:textId="7D80AC7A" w:rsidR="00A724B7" w:rsidRPr="006F176E" w:rsidRDefault="00A724B7" w:rsidP="00F977D1">
      <w:bookmarkStart w:id="124" w:name="_Hlk65094467"/>
      <w:r>
        <w:t>M</w:t>
      </w:r>
      <w:r w:rsidRPr="00DB6E5A">
        <w:t xml:space="preserve">ultiple </w:t>
      </w:r>
      <w:r>
        <w:t>methods</w:t>
      </w:r>
      <w:r w:rsidRPr="00DB6E5A">
        <w:t xml:space="preserve"> </w:t>
      </w:r>
      <w:r>
        <w:t xml:space="preserve">were used to collect </w:t>
      </w:r>
      <w:r w:rsidRPr="00DB6E5A">
        <w:t>evidence</w:t>
      </w:r>
      <w:r>
        <w:t xml:space="preserve"> </w:t>
      </w:r>
      <w:r w:rsidRPr="00DB6E5A">
        <w:t>to</w:t>
      </w:r>
      <w:r w:rsidR="00091C52">
        <w:t xml:space="preserve"> respond to the evaluation questions. </w:t>
      </w:r>
      <w:r w:rsidR="005A4FA6">
        <w:t>The</w:t>
      </w:r>
      <w:r>
        <w:t xml:space="preserve"> literature, documents, submissions and other data</w:t>
      </w:r>
      <w:r w:rsidR="005A4FA6">
        <w:t xml:space="preserve"> were reviewed</w:t>
      </w:r>
      <w:r>
        <w:t xml:space="preserve"> and extensive stakeholder consultation </w:t>
      </w:r>
      <w:r w:rsidR="005A4FA6">
        <w:t xml:space="preserve">was undertaken </w:t>
      </w:r>
      <w:r>
        <w:t>with consumers, businesses, industry and governments</w:t>
      </w:r>
      <w:r w:rsidR="00091C52">
        <w:t xml:space="preserve">, as well as </w:t>
      </w:r>
      <w:r w:rsidR="00091C52">
        <w:lastRenderedPageBreak/>
        <w:t>completing a CBA</w:t>
      </w:r>
      <w:r>
        <w:t>.</w:t>
      </w:r>
      <w:r w:rsidR="007D6420" w:rsidRPr="007D6420">
        <w:t xml:space="preserve"> Further information on </w:t>
      </w:r>
      <w:r w:rsidR="007D6420">
        <w:t xml:space="preserve">the methodology for this evaluation is provided </w:t>
      </w:r>
      <w:r w:rsidR="00CC5C6E">
        <w:t>in</w:t>
      </w:r>
      <w:r w:rsidR="007D6420">
        <w:t xml:space="preserve"> </w:t>
      </w:r>
      <w:r w:rsidR="00A864BD">
        <w:fldChar w:fldCharType="begin"/>
      </w:r>
      <w:r w:rsidR="00A864BD">
        <w:instrText xml:space="preserve"> REF _Ref72180325 \n \h </w:instrText>
      </w:r>
      <w:r w:rsidR="00A864BD">
        <w:fldChar w:fldCharType="separate"/>
      </w:r>
      <w:r w:rsidR="0017363C">
        <w:t>Appendix C</w:t>
      </w:r>
      <w:r w:rsidR="00A864BD">
        <w:fldChar w:fldCharType="end"/>
      </w:r>
      <w:r w:rsidR="007D6420">
        <w:t>.</w:t>
      </w:r>
    </w:p>
    <w:p w14:paraId="26D9903D" w14:textId="09306B70" w:rsidR="00234300" w:rsidRDefault="00234300" w:rsidP="005E1E7B">
      <w:pPr>
        <w:pStyle w:val="Heading3"/>
      </w:pPr>
      <w:bookmarkStart w:id="125" w:name="_Toc67499048"/>
      <w:bookmarkEnd w:id="124"/>
      <w:r>
        <w:t>Document</w:t>
      </w:r>
      <w:r w:rsidR="00652723">
        <w:t xml:space="preserve"> and submissions</w:t>
      </w:r>
      <w:r>
        <w:t xml:space="preserve"> review</w:t>
      </w:r>
      <w:bookmarkEnd w:id="125"/>
    </w:p>
    <w:p w14:paraId="037F4DEE" w14:textId="1CA5353C" w:rsidR="003F1D15" w:rsidRDefault="00A724B7" w:rsidP="00C61BE1">
      <w:pPr>
        <w:rPr>
          <w:rFonts w:asciiTheme="majorHAnsi" w:hAnsiTheme="majorHAnsi"/>
        </w:rPr>
      </w:pPr>
      <w:r>
        <w:rPr>
          <w:rFonts w:asciiTheme="majorHAnsi" w:hAnsiTheme="majorHAnsi"/>
        </w:rPr>
        <w:t>Literature, data and documents reviewed include</w:t>
      </w:r>
      <w:r w:rsidR="00A01FBF">
        <w:rPr>
          <w:rFonts w:asciiTheme="majorHAnsi" w:hAnsiTheme="majorHAnsi"/>
        </w:rPr>
        <w:t xml:space="preserve"> (but are not </w:t>
      </w:r>
      <w:r w:rsidR="00E25841">
        <w:rPr>
          <w:rFonts w:asciiTheme="majorHAnsi" w:hAnsiTheme="majorHAnsi"/>
        </w:rPr>
        <w:t>limited</w:t>
      </w:r>
      <w:r w:rsidR="00A01FBF">
        <w:rPr>
          <w:rFonts w:asciiTheme="majorHAnsi" w:hAnsiTheme="majorHAnsi"/>
        </w:rPr>
        <w:t xml:space="preserve"> to)</w:t>
      </w:r>
      <w:r w:rsidR="003F1D15">
        <w:rPr>
          <w:rFonts w:asciiTheme="majorHAnsi" w:hAnsiTheme="majorHAnsi"/>
        </w:rPr>
        <w:t>:</w:t>
      </w:r>
    </w:p>
    <w:p w14:paraId="4EEBB262" w14:textId="22C37E0E" w:rsidR="001D67F3" w:rsidRDefault="00790933" w:rsidP="00B53A49">
      <w:pPr>
        <w:pStyle w:val="ListBullet"/>
      </w:pPr>
      <w:r w:rsidRPr="00F977D1">
        <w:t xml:space="preserve">Country of Origin Labelling Information Standard </w:t>
      </w:r>
      <w:r w:rsidR="007F62E6">
        <w:t>(</w:t>
      </w:r>
      <w:r w:rsidRPr="00F977D1">
        <w:t>2016</w:t>
      </w:r>
      <w:r w:rsidR="007F62E6">
        <w:t>)</w:t>
      </w:r>
    </w:p>
    <w:p w14:paraId="36A52934" w14:textId="0AE298FD" w:rsidR="003C3017" w:rsidRDefault="003C3017" w:rsidP="00B53A49">
      <w:pPr>
        <w:pStyle w:val="ListBullet"/>
      </w:pPr>
      <w:r w:rsidRPr="00F977D1">
        <w:t>Competiti</w:t>
      </w:r>
      <w:r>
        <w:t xml:space="preserve">on and </w:t>
      </w:r>
      <w:r w:rsidR="002A3DF8">
        <w:t>C</w:t>
      </w:r>
      <w:r w:rsidR="00AA582F" w:rsidRPr="00F977D1">
        <w:t xml:space="preserve">onsumer Amendment Bill </w:t>
      </w:r>
      <w:r w:rsidR="007F62E6">
        <w:t>(</w:t>
      </w:r>
      <w:r w:rsidR="00AA582F" w:rsidRPr="00F977D1">
        <w:t>201</w:t>
      </w:r>
      <w:r w:rsidR="00E40CD0">
        <w:t>7</w:t>
      </w:r>
      <w:r w:rsidR="007F62E6">
        <w:t>)</w:t>
      </w:r>
    </w:p>
    <w:p w14:paraId="551860FB" w14:textId="5F9531CB" w:rsidR="003F1D15" w:rsidRPr="00696F1B" w:rsidRDefault="003C3017" w:rsidP="00B53A49">
      <w:pPr>
        <w:pStyle w:val="ListBullet"/>
      </w:pPr>
      <w:r>
        <w:t>I</w:t>
      </w:r>
      <w:r w:rsidR="007C3362">
        <w:t xml:space="preserve">nquiry report titled </w:t>
      </w:r>
      <w:r w:rsidR="007C3362" w:rsidRPr="007C3362">
        <w:rPr>
          <w:i/>
        </w:rPr>
        <w:t>A clearer message for consumers</w:t>
      </w:r>
      <w:r w:rsidR="007F62E6">
        <w:t xml:space="preserve"> (2014)</w:t>
      </w:r>
    </w:p>
    <w:p w14:paraId="4998CBE2" w14:textId="3ED550DF" w:rsidR="00696F1B" w:rsidRDefault="00696F1B" w:rsidP="00696F1B">
      <w:pPr>
        <w:pStyle w:val="ListBullet"/>
      </w:pPr>
      <w:r>
        <w:t xml:space="preserve">Inquiry into Australia’s food processing sector </w:t>
      </w:r>
      <w:r w:rsidR="007F62E6">
        <w:t>(</w:t>
      </w:r>
      <w:r w:rsidR="00791A6C">
        <w:t>2012</w:t>
      </w:r>
      <w:r w:rsidR="007F62E6">
        <w:t>)</w:t>
      </w:r>
    </w:p>
    <w:p w14:paraId="65FAFC30" w14:textId="5733484F" w:rsidR="00C16CD2" w:rsidRDefault="00A87CBA" w:rsidP="00761632">
      <w:pPr>
        <w:pStyle w:val="ListBullet"/>
      </w:pPr>
      <w:r w:rsidRPr="00A87CBA">
        <w:t>Current requirements for labelling of seafood and seafood products</w:t>
      </w:r>
      <w:r>
        <w:t xml:space="preserve"> </w:t>
      </w:r>
      <w:r w:rsidR="007F62E6">
        <w:t>(</w:t>
      </w:r>
      <w:r>
        <w:t>2014</w:t>
      </w:r>
      <w:r w:rsidR="007F62E6">
        <w:t>)</w:t>
      </w:r>
    </w:p>
    <w:p w14:paraId="162E5D9D" w14:textId="64C8571A" w:rsidR="00BB6D4E" w:rsidRDefault="00BB6D4E" w:rsidP="00B53A49">
      <w:pPr>
        <w:pStyle w:val="ListBullet"/>
      </w:pPr>
      <w:r>
        <w:t xml:space="preserve">Country of Origin </w:t>
      </w:r>
      <w:r w:rsidR="00C6006F">
        <w:t>Regulatory</w:t>
      </w:r>
      <w:r>
        <w:t xml:space="preserve"> Impact Statement </w:t>
      </w:r>
      <w:r w:rsidR="007F5052">
        <w:t>(RIS</w:t>
      </w:r>
      <w:r w:rsidR="00705538">
        <w:t>) (2016</w:t>
      </w:r>
      <w:r w:rsidR="007F5052">
        <w:t>)</w:t>
      </w:r>
    </w:p>
    <w:p w14:paraId="6FC7D616" w14:textId="7C7F1F0C" w:rsidR="00CD2B16" w:rsidRDefault="00CD2B16" w:rsidP="00CD2B16">
      <w:pPr>
        <w:pStyle w:val="ListBullet"/>
      </w:pPr>
      <w:r>
        <w:t>Colmar Brunton research</w:t>
      </w:r>
    </w:p>
    <w:p w14:paraId="264ED200" w14:textId="7350FFA6" w:rsidR="00D43DFD" w:rsidRDefault="00204E9A" w:rsidP="00B53A49">
      <w:pPr>
        <w:pStyle w:val="ListBullet"/>
      </w:pPr>
      <w:r>
        <w:t>DISER Evaluation of CoOL for Food Discussion Paper</w:t>
      </w:r>
      <w:r w:rsidR="00CA2F8C">
        <w:t>,</w:t>
      </w:r>
      <w:r w:rsidR="00756967">
        <w:t xml:space="preserve"> </w:t>
      </w:r>
      <w:r w:rsidR="00E417AD">
        <w:t xml:space="preserve">including </w:t>
      </w:r>
      <w:r w:rsidR="00652897">
        <w:t xml:space="preserve">written submissions and consumer and businesses survey responses </w:t>
      </w:r>
      <w:r w:rsidR="00756967">
        <w:t>(2020)</w:t>
      </w:r>
      <w:r w:rsidR="00587424">
        <w:t xml:space="preserve"> and supplementary submissions to Deloitte</w:t>
      </w:r>
    </w:p>
    <w:p w14:paraId="70D06590" w14:textId="1FF358AD" w:rsidR="00204E9A" w:rsidRDefault="00452A77" w:rsidP="00B53A49">
      <w:pPr>
        <w:pStyle w:val="ListBullet"/>
      </w:pPr>
      <w:r>
        <w:t xml:space="preserve">Stakeholder </w:t>
      </w:r>
      <w:r w:rsidR="00B01528">
        <w:t>submitted responses</w:t>
      </w:r>
      <w:r w:rsidR="00A77E87">
        <w:t xml:space="preserve"> to </w:t>
      </w:r>
      <w:r w:rsidR="00E95328">
        <w:t xml:space="preserve">the </w:t>
      </w:r>
      <w:r w:rsidR="009B0C34">
        <w:t>CoOL</w:t>
      </w:r>
      <w:r w:rsidR="0045480B">
        <w:t xml:space="preserve"> </w:t>
      </w:r>
      <w:r w:rsidR="005F5EF6">
        <w:t xml:space="preserve">Decision </w:t>
      </w:r>
      <w:r w:rsidR="007F5052">
        <w:t>RIS</w:t>
      </w:r>
      <w:r>
        <w:t xml:space="preserve"> </w:t>
      </w:r>
    </w:p>
    <w:p w14:paraId="51E32BCA" w14:textId="3E09C8BA" w:rsidR="001342E3" w:rsidRDefault="00145EAF" w:rsidP="00B53A49">
      <w:pPr>
        <w:pStyle w:val="ListBullet"/>
      </w:pPr>
      <w:r>
        <w:t>Australian Bureau of Statistics (</w:t>
      </w:r>
      <w:r w:rsidR="00FF5394">
        <w:t>ABS</w:t>
      </w:r>
      <w:r>
        <w:t>)</w:t>
      </w:r>
      <w:r w:rsidR="00FF5394">
        <w:t xml:space="preserve"> and </w:t>
      </w:r>
      <w:r w:rsidR="00931417" w:rsidRPr="00931417">
        <w:t xml:space="preserve">Australian Bureau of Agricultural and Resource Economics </w:t>
      </w:r>
      <w:r w:rsidR="00931417">
        <w:t>(ABARE</w:t>
      </w:r>
      <w:r w:rsidR="003B51EE">
        <w:t>S</w:t>
      </w:r>
      <w:r w:rsidR="00931417">
        <w:t xml:space="preserve">) </w:t>
      </w:r>
      <w:r w:rsidR="00FF5394">
        <w:t xml:space="preserve">data </w:t>
      </w:r>
    </w:p>
    <w:p w14:paraId="3F304DFC" w14:textId="179A8F5A" w:rsidR="0096351B" w:rsidRDefault="0021628C" w:rsidP="00562432">
      <w:pPr>
        <w:pStyle w:val="ListBullet"/>
      </w:pPr>
      <w:r>
        <w:t xml:space="preserve">Supplementary submissions provided by stakeholders in the course of </w:t>
      </w:r>
      <w:r w:rsidR="00562432">
        <w:t>the evaluation</w:t>
      </w:r>
    </w:p>
    <w:p w14:paraId="7ED45683" w14:textId="1A9668F9" w:rsidR="003F1D15" w:rsidRDefault="00EC0165" w:rsidP="00B53A49">
      <w:pPr>
        <w:pStyle w:val="ListBullet"/>
      </w:pPr>
      <w:r>
        <w:t>T</w:t>
      </w:r>
      <w:r w:rsidR="00FF7D92" w:rsidRPr="00F977D1">
        <w:t xml:space="preserve">he </w:t>
      </w:r>
      <w:r w:rsidR="00276524" w:rsidRPr="00F977D1">
        <w:t>P</w:t>
      </w:r>
      <w:r w:rsidR="00FF7D92" w:rsidRPr="00F977D1">
        <w:t xml:space="preserve">rogram </w:t>
      </w:r>
      <w:r w:rsidR="00276524" w:rsidRPr="00F977D1">
        <w:t>L</w:t>
      </w:r>
      <w:r w:rsidR="00FF7D92" w:rsidRPr="00F977D1">
        <w:t>ogic</w:t>
      </w:r>
      <w:r w:rsidR="00276524" w:rsidRPr="00F977D1">
        <w:t xml:space="preserve"> for the reforms</w:t>
      </w:r>
    </w:p>
    <w:p w14:paraId="3307EE67" w14:textId="5FEFD90A" w:rsidR="003F1D15" w:rsidRDefault="00EC0165" w:rsidP="00B53A49">
      <w:pPr>
        <w:pStyle w:val="ListBullet"/>
      </w:pPr>
      <w:r>
        <w:t>A</w:t>
      </w:r>
      <w:r w:rsidR="00276524" w:rsidRPr="00F977D1">
        <w:t>n</w:t>
      </w:r>
      <w:r w:rsidR="005A73FD" w:rsidRPr="00F977D1">
        <w:t xml:space="preserve"> origin labelling inbox </w:t>
      </w:r>
      <w:r w:rsidR="000E06A7">
        <w:t>e</w:t>
      </w:r>
      <w:r w:rsidR="005A73FD" w:rsidRPr="00F977D1">
        <w:t xml:space="preserve">nquiry analysis </w:t>
      </w:r>
    </w:p>
    <w:p w14:paraId="5251C759" w14:textId="559D9FF7" w:rsidR="003F1D15" w:rsidRDefault="00EC0165" w:rsidP="00B53A49">
      <w:pPr>
        <w:pStyle w:val="ListBullet"/>
      </w:pPr>
      <w:r>
        <w:t>I</w:t>
      </w:r>
      <w:r w:rsidR="005A73FD" w:rsidRPr="00F977D1">
        <w:t>mported food inspection data reports and s</w:t>
      </w:r>
      <w:r w:rsidR="00CC33AD" w:rsidRPr="00F977D1">
        <w:t xml:space="preserve">everal </w:t>
      </w:r>
      <w:r w:rsidR="00565501" w:rsidRPr="00F977D1">
        <w:t>research reports</w:t>
      </w:r>
      <w:r w:rsidR="00276524" w:rsidRPr="00F977D1">
        <w:t xml:space="preserve"> </w:t>
      </w:r>
    </w:p>
    <w:p w14:paraId="5FA928FD" w14:textId="42F8E60C" w:rsidR="00424BDC" w:rsidRDefault="00EC0165" w:rsidP="005D6D11">
      <w:pPr>
        <w:pStyle w:val="ListBullet"/>
        <w:spacing w:after="240"/>
      </w:pPr>
      <w:r>
        <w:t>A</w:t>
      </w:r>
      <w:r w:rsidR="00652723">
        <w:t>n</w:t>
      </w:r>
      <w:r w:rsidR="00652723" w:rsidRPr="00652723">
        <w:t xml:space="preserve"> extensive list of publicly available evaluations and reports preceding this evaluation.</w:t>
      </w:r>
    </w:p>
    <w:p w14:paraId="542A1DE3" w14:textId="71705BDE" w:rsidR="00A81957" w:rsidRDefault="00091C52" w:rsidP="00E53797">
      <w:pPr>
        <w:pStyle w:val="Heading3"/>
      </w:pPr>
      <w:bookmarkStart w:id="126" w:name="_Toc67499049"/>
      <w:r>
        <w:t xml:space="preserve">Industry and government </w:t>
      </w:r>
      <w:bookmarkEnd w:id="126"/>
      <w:r w:rsidR="004C1C67">
        <w:t>interviews</w:t>
      </w:r>
    </w:p>
    <w:p w14:paraId="3E1FDD6F" w14:textId="1D019DE4" w:rsidR="00876E43" w:rsidRPr="00E53797" w:rsidRDefault="005A4FA6" w:rsidP="00876E43">
      <w:pPr>
        <w:rPr>
          <w:rFonts w:asciiTheme="majorHAnsi" w:hAnsiTheme="majorHAnsi"/>
        </w:rPr>
      </w:pPr>
      <w:r>
        <w:t>Semi-s</w:t>
      </w:r>
      <w:r w:rsidR="000F4B7D">
        <w:t>tructured</w:t>
      </w:r>
      <w:r>
        <w:t xml:space="preserve"> interviews were undertaken </w:t>
      </w:r>
      <w:r w:rsidR="00FB08DF">
        <w:t>with</w:t>
      </w:r>
      <w:r w:rsidR="009A36B3">
        <w:t xml:space="preserve"> </w:t>
      </w:r>
      <w:r w:rsidR="008D5309">
        <w:t xml:space="preserve">industry </w:t>
      </w:r>
      <w:r w:rsidR="000C3C22">
        <w:t xml:space="preserve">members and Commonwealth and State </w:t>
      </w:r>
      <w:r w:rsidR="000C3C22" w:rsidRPr="00E53797">
        <w:rPr>
          <w:rFonts w:asciiTheme="majorHAnsi" w:hAnsiTheme="majorHAnsi"/>
        </w:rPr>
        <w:t xml:space="preserve">Government departments and agencies. </w:t>
      </w:r>
      <w:r w:rsidR="00FD5679">
        <w:rPr>
          <w:rFonts w:asciiTheme="majorHAnsi" w:hAnsiTheme="majorHAnsi"/>
        </w:rPr>
        <w:t xml:space="preserve">The </w:t>
      </w:r>
      <w:r w:rsidR="005A60F4">
        <w:rPr>
          <w:rFonts w:asciiTheme="majorHAnsi" w:hAnsiTheme="majorHAnsi"/>
        </w:rPr>
        <w:t>Australian G</w:t>
      </w:r>
      <w:r w:rsidR="00876E43" w:rsidRPr="00E53797">
        <w:rPr>
          <w:rFonts w:asciiTheme="majorHAnsi" w:hAnsiTheme="majorHAnsi"/>
        </w:rPr>
        <w:t>overnment</w:t>
      </w:r>
      <w:r w:rsidR="001A7A1C" w:rsidRPr="00E53797">
        <w:rPr>
          <w:rFonts w:asciiTheme="majorHAnsi" w:hAnsiTheme="majorHAnsi"/>
        </w:rPr>
        <w:t xml:space="preserve"> </w:t>
      </w:r>
      <w:r w:rsidR="00AD4E84" w:rsidRPr="00E53797">
        <w:rPr>
          <w:rFonts w:asciiTheme="majorHAnsi" w:hAnsiTheme="majorHAnsi"/>
        </w:rPr>
        <w:t xml:space="preserve">consultations </w:t>
      </w:r>
      <w:r w:rsidR="001A7A1C" w:rsidRPr="00E53797">
        <w:rPr>
          <w:rFonts w:asciiTheme="majorHAnsi" w:hAnsiTheme="majorHAnsi"/>
        </w:rPr>
        <w:t>focused</w:t>
      </w:r>
      <w:r w:rsidR="009F0C56" w:rsidRPr="00E53797">
        <w:rPr>
          <w:rFonts w:asciiTheme="majorHAnsi" w:hAnsiTheme="majorHAnsi"/>
        </w:rPr>
        <w:t xml:space="preserve"> on gaining an understanding of the policy context of the CoOL reforms, how they have been implemented and enforced, consumer and business impacts of the framework and possible options for reform.</w:t>
      </w:r>
      <w:r w:rsidR="00F21821" w:rsidRPr="00E53797">
        <w:rPr>
          <w:rFonts w:asciiTheme="majorHAnsi" w:hAnsiTheme="majorHAnsi"/>
        </w:rPr>
        <w:t xml:space="preserve"> </w:t>
      </w:r>
      <w:r w:rsidR="00FE5D59">
        <w:rPr>
          <w:rFonts w:asciiTheme="majorHAnsi" w:hAnsiTheme="majorHAnsi"/>
        </w:rPr>
        <w:t>Industry interviews focus</w:t>
      </w:r>
      <w:r w:rsidR="003A38A0">
        <w:rPr>
          <w:rFonts w:asciiTheme="majorHAnsi" w:hAnsiTheme="majorHAnsi"/>
        </w:rPr>
        <w:t>ed</w:t>
      </w:r>
      <w:r w:rsidR="00FE5D59">
        <w:rPr>
          <w:rFonts w:asciiTheme="majorHAnsi" w:hAnsiTheme="majorHAnsi"/>
        </w:rPr>
        <w:t xml:space="preserve"> on the impacts to business of the reforms.</w:t>
      </w:r>
    </w:p>
    <w:p w14:paraId="208D9968" w14:textId="77777777" w:rsidR="00A81957" w:rsidRDefault="0040405B" w:rsidP="00E53797">
      <w:pPr>
        <w:pStyle w:val="Heading3"/>
      </w:pPr>
      <w:bookmarkStart w:id="127" w:name="_Toc67499050"/>
      <w:r>
        <w:t>Consumer survey</w:t>
      </w:r>
      <w:bookmarkEnd w:id="127"/>
    </w:p>
    <w:p w14:paraId="3867D0AD" w14:textId="621301E7" w:rsidR="00587424" w:rsidRDefault="00F90CA1" w:rsidP="001A04E6">
      <w:pPr>
        <w:spacing w:after="120"/>
        <w:rPr>
          <w:rFonts w:asciiTheme="majorHAnsi" w:hAnsiTheme="majorHAnsi"/>
        </w:rPr>
      </w:pPr>
      <w:r w:rsidRPr="00F90CA1">
        <w:rPr>
          <w:rFonts w:asciiTheme="majorHAnsi" w:hAnsiTheme="majorHAnsi"/>
        </w:rPr>
        <w:t>The</w:t>
      </w:r>
      <w:r w:rsidR="00246A61">
        <w:rPr>
          <w:rFonts w:asciiTheme="majorHAnsi" w:hAnsiTheme="majorHAnsi"/>
        </w:rPr>
        <w:t xml:space="preserve"> </w:t>
      </w:r>
      <w:r w:rsidR="00896FC2">
        <w:rPr>
          <w:rFonts w:asciiTheme="majorHAnsi" w:hAnsiTheme="majorHAnsi"/>
        </w:rPr>
        <w:t xml:space="preserve">purpose of the </w:t>
      </w:r>
      <w:r w:rsidRPr="00F90CA1">
        <w:rPr>
          <w:rFonts w:asciiTheme="majorHAnsi" w:hAnsiTheme="majorHAnsi"/>
        </w:rPr>
        <w:t>consumer survey</w:t>
      </w:r>
      <w:r w:rsidR="0065036E" w:rsidRPr="00F90CA1">
        <w:rPr>
          <w:rFonts w:asciiTheme="majorHAnsi" w:hAnsiTheme="majorHAnsi"/>
        </w:rPr>
        <w:t xml:space="preserve"> </w:t>
      </w:r>
      <w:r w:rsidRPr="00F90CA1">
        <w:rPr>
          <w:rFonts w:asciiTheme="majorHAnsi" w:hAnsiTheme="majorHAnsi"/>
        </w:rPr>
        <w:t xml:space="preserve">was to seek information </w:t>
      </w:r>
      <w:r w:rsidR="00896FC2">
        <w:rPr>
          <w:rFonts w:asciiTheme="majorHAnsi" w:hAnsiTheme="majorHAnsi"/>
        </w:rPr>
        <w:t xml:space="preserve">about </w:t>
      </w:r>
      <w:r w:rsidRPr="00F90CA1">
        <w:rPr>
          <w:rFonts w:asciiTheme="majorHAnsi" w:hAnsiTheme="majorHAnsi"/>
        </w:rPr>
        <w:t>consumers’ understanding of CoOL</w:t>
      </w:r>
      <w:r w:rsidR="00896FC2">
        <w:rPr>
          <w:rFonts w:asciiTheme="majorHAnsi" w:hAnsiTheme="majorHAnsi"/>
        </w:rPr>
        <w:t xml:space="preserve">, the </w:t>
      </w:r>
      <w:r w:rsidRPr="00F90CA1">
        <w:rPr>
          <w:rFonts w:asciiTheme="majorHAnsi" w:hAnsiTheme="majorHAnsi"/>
        </w:rPr>
        <w:t xml:space="preserve">benefits </w:t>
      </w:r>
      <w:r w:rsidR="00896FC2">
        <w:rPr>
          <w:rFonts w:asciiTheme="majorHAnsi" w:hAnsiTheme="majorHAnsi"/>
        </w:rPr>
        <w:t xml:space="preserve">of the </w:t>
      </w:r>
      <w:r w:rsidRPr="00F90CA1">
        <w:rPr>
          <w:rFonts w:asciiTheme="majorHAnsi" w:hAnsiTheme="majorHAnsi"/>
        </w:rPr>
        <w:t xml:space="preserve">current </w:t>
      </w:r>
      <w:r w:rsidR="00E670FE">
        <w:rPr>
          <w:rFonts w:asciiTheme="majorHAnsi" w:hAnsiTheme="majorHAnsi"/>
        </w:rPr>
        <w:t>scheme</w:t>
      </w:r>
      <w:r w:rsidRPr="00F90CA1">
        <w:rPr>
          <w:rFonts w:asciiTheme="majorHAnsi" w:hAnsiTheme="majorHAnsi"/>
        </w:rPr>
        <w:t xml:space="preserve"> </w:t>
      </w:r>
      <w:r w:rsidR="00896FC2">
        <w:rPr>
          <w:rFonts w:asciiTheme="majorHAnsi" w:hAnsiTheme="majorHAnsi"/>
        </w:rPr>
        <w:t xml:space="preserve">and </w:t>
      </w:r>
      <w:r w:rsidRPr="00F90CA1">
        <w:rPr>
          <w:rFonts w:asciiTheme="majorHAnsi" w:hAnsiTheme="majorHAnsi"/>
        </w:rPr>
        <w:t>the information campaign</w:t>
      </w:r>
      <w:r w:rsidR="00896FC2">
        <w:rPr>
          <w:rFonts w:asciiTheme="majorHAnsi" w:hAnsiTheme="majorHAnsi"/>
        </w:rPr>
        <w:t xml:space="preserve"> associated with</w:t>
      </w:r>
      <w:r w:rsidRPr="00F90CA1">
        <w:rPr>
          <w:rFonts w:asciiTheme="majorHAnsi" w:hAnsiTheme="majorHAnsi"/>
        </w:rPr>
        <w:t xml:space="preserve"> it</w:t>
      </w:r>
      <w:r>
        <w:rPr>
          <w:rFonts w:asciiTheme="majorHAnsi" w:hAnsiTheme="majorHAnsi"/>
        </w:rPr>
        <w:t>.</w:t>
      </w:r>
      <w:r w:rsidRPr="00F90CA1">
        <w:rPr>
          <w:rFonts w:asciiTheme="majorHAnsi" w:hAnsiTheme="majorHAnsi"/>
        </w:rPr>
        <w:t xml:space="preserve"> </w:t>
      </w:r>
      <w:r w:rsidR="00587424" w:rsidRPr="00587424">
        <w:rPr>
          <w:rFonts w:asciiTheme="majorHAnsi" w:hAnsiTheme="majorHAnsi"/>
        </w:rPr>
        <w:t>Consumers were asked about the</w:t>
      </w:r>
      <w:r w:rsidR="000E2507">
        <w:rPr>
          <w:rFonts w:asciiTheme="majorHAnsi" w:hAnsiTheme="majorHAnsi"/>
        </w:rPr>
        <w:t>ir</w:t>
      </w:r>
      <w:r w:rsidR="00587424" w:rsidRPr="00587424">
        <w:rPr>
          <w:rFonts w:asciiTheme="majorHAnsi" w:hAnsiTheme="majorHAnsi"/>
        </w:rPr>
        <w:t xml:space="preserve"> </w:t>
      </w:r>
      <w:r w:rsidR="000E2507">
        <w:rPr>
          <w:rFonts w:asciiTheme="majorHAnsi" w:hAnsiTheme="majorHAnsi"/>
        </w:rPr>
        <w:t>understanding</w:t>
      </w:r>
      <w:r w:rsidR="00E65155">
        <w:rPr>
          <w:rFonts w:asciiTheme="majorHAnsi" w:hAnsiTheme="majorHAnsi"/>
        </w:rPr>
        <w:t xml:space="preserve"> of,</w:t>
      </w:r>
      <w:r w:rsidR="000E2507">
        <w:rPr>
          <w:rFonts w:asciiTheme="majorHAnsi" w:hAnsiTheme="majorHAnsi"/>
        </w:rPr>
        <w:t xml:space="preserve"> </w:t>
      </w:r>
      <w:r w:rsidR="00587424" w:rsidRPr="00587424">
        <w:rPr>
          <w:rFonts w:asciiTheme="majorHAnsi" w:hAnsiTheme="majorHAnsi"/>
        </w:rPr>
        <w:t>information requirement</w:t>
      </w:r>
      <w:r w:rsidR="00E65155">
        <w:rPr>
          <w:rFonts w:asciiTheme="majorHAnsi" w:hAnsiTheme="majorHAnsi"/>
        </w:rPr>
        <w:t>s</w:t>
      </w:r>
      <w:r w:rsidR="00587424" w:rsidRPr="00587424">
        <w:rPr>
          <w:rFonts w:asciiTheme="majorHAnsi" w:hAnsiTheme="majorHAnsi"/>
        </w:rPr>
        <w:t xml:space="preserve"> and </w:t>
      </w:r>
      <w:r w:rsidR="00A6765C">
        <w:rPr>
          <w:rFonts w:asciiTheme="majorHAnsi" w:hAnsiTheme="majorHAnsi"/>
        </w:rPr>
        <w:t>WTP</w:t>
      </w:r>
      <w:r w:rsidR="00587424" w:rsidRPr="00587424">
        <w:rPr>
          <w:rFonts w:asciiTheme="majorHAnsi" w:hAnsiTheme="majorHAnsi"/>
        </w:rPr>
        <w:t xml:space="preserve"> </w:t>
      </w:r>
      <w:r w:rsidR="00E65155">
        <w:rPr>
          <w:rFonts w:asciiTheme="majorHAnsi" w:hAnsiTheme="majorHAnsi"/>
        </w:rPr>
        <w:t xml:space="preserve">related to </w:t>
      </w:r>
      <w:r w:rsidR="00587424" w:rsidRPr="00587424">
        <w:rPr>
          <w:rFonts w:asciiTheme="majorHAnsi" w:hAnsiTheme="majorHAnsi"/>
        </w:rPr>
        <w:t>CoOL</w:t>
      </w:r>
      <w:r w:rsidR="000E2507">
        <w:rPr>
          <w:rFonts w:asciiTheme="majorHAnsi" w:hAnsiTheme="majorHAnsi"/>
        </w:rPr>
        <w:t xml:space="preserve"> information</w:t>
      </w:r>
      <w:r w:rsidR="00587424" w:rsidRPr="00587424">
        <w:rPr>
          <w:rFonts w:asciiTheme="majorHAnsi" w:hAnsiTheme="majorHAnsi"/>
        </w:rPr>
        <w:t>.</w:t>
      </w:r>
      <w:r w:rsidR="00F93B6D">
        <w:rPr>
          <w:rFonts w:asciiTheme="majorHAnsi" w:hAnsiTheme="majorHAnsi"/>
        </w:rPr>
        <w:t xml:space="preserve"> </w:t>
      </w:r>
    </w:p>
    <w:p w14:paraId="179594B1" w14:textId="635602E8" w:rsidR="00035961" w:rsidRDefault="001D2C8F" w:rsidP="00035961">
      <w:pPr>
        <w:spacing w:after="120"/>
      </w:pPr>
      <w:r w:rsidRPr="001D2C8F">
        <w:rPr>
          <w:rFonts w:asciiTheme="majorHAnsi" w:hAnsiTheme="majorHAnsi"/>
        </w:rPr>
        <w:t xml:space="preserve">A statistically significant </w:t>
      </w:r>
      <w:r w:rsidR="00AD1032">
        <w:rPr>
          <w:rFonts w:asciiTheme="majorHAnsi" w:hAnsiTheme="majorHAnsi"/>
        </w:rPr>
        <w:t>sample</w:t>
      </w:r>
      <w:r w:rsidR="00AD1032" w:rsidRPr="001D2C8F">
        <w:rPr>
          <w:rFonts w:asciiTheme="majorHAnsi" w:hAnsiTheme="majorHAnsi"/>
        </w:rPr>
        <w:t xml:space="preserve"> </w:t>
      </w:r>
      <w:r w:rsidRPr="001D2C8F">
        <w:rPr>
          <w:rFonts w:asciiTheme="majorHAnsi" w:hAnsiTheme="majorHAnsi"/>
        </w:rPr>
        <w:t xml:space="preserve">of </w:t>
      </w:r>
      <w:r w:rsidR="00AD1032">
        <w:rPr>
          <w:rFonts w:asciiTheme="majorHAnsi" w:hAnsiTheme="majorHAnsi"/>
        </w:rPr>
        <w:t>the Australian population</w:t>
      </w:r>
      <w:r w:rsidRPr="001D2C8F">
        <w:rPr>
          <w:rFonts w:asciiTheme="majorHAnsi" w:hAnsiTheme="majorHAnsi"/>
        </w:rPr>
        <w:t xml:space="preserve"> (</w:t>
      </w:r>
      <w:r w:rsidR="00AD1032">
        <w:rPr>
          <w:rFonts w:asciiTheme="majorHAnsi" w:hAnsiTheme="majorHAnsi"/>
        </w:rPr>
        <w:t>n=</w:t>
      </w:r>
      <w:r w:rsidRPr="001D2C8F">
        <w:rPr>
          <w:rFonts w:asciiTheme="majorHAnsi" w:hAnsiTheme="majorHAnsi"/>
        </w:rPr>
        <w:t>1,010)</w:t>
      </w:r>
      <w:r w:rsidR="00AD1032">
        <w:rPr>
          <w:rFonts w:asciiTheme="majorHAnsi" w:hAnsiTheme="majorHAnsi"/>
        </w:rPr>
        <w:t xml:space="preserve"> was taken</w:t>
      </w:r>
      <w:r w:rsidR="00CB443F">
        <w:rPr>
          <w:rFonts w:asciiTheme="majorHAnsi" w:hAnsiTheme="majorHAnsi"/>
        </w:rPr>
        <w:t>,</w:t>
      </w:r>
      <w:r w:rsidR="00AD1032">
        <w:rPr>
          <w:rFonts w:asciiTheme="majorHAnsi" w:hAnsiTheme="majorHAnsi"/>
        </w:rPr>
        <w:t xml:space="preserve"> including</w:t>
      </w:r>
      <w:r>
        <w:rPr>
          <w:rFonts w:asciiTheme="majorHAnsi" w:hAnsiTheme="majorHAnsi"/>
        </w:rPr>
        <w:t xml:space="preserve"> with regard to </w:t>
      </w:r>
      <w:r w:rsidR="00370CA8">
        <w:rPr>
          <w:rFonts w:asciiTheme="majorHAnsi" w:hAnsiTheme="majorHAnsi"/>
        </w:rPr>
        <w:t>locational distribution, age and gender</w:t>
      </w:r>
      <w:r w:rsidRPr="001D2C8F">
        <w:rPr>
          <w:rFonts w:asciiTheme="majorHAnsi" w:hAnsiTheme="majorHAnsi"/>
        </w:rPr>
        <w:t xml:space="preserve">. </w:t>
      </w:r>
      <w:r w:rsidR="00AD1032">
        <w:rPr>
          <w:rFonts w:asciiTheme="majorHAnsi" w:hAnsiTheme="majorHAnsi"/>
        </w:rPr>
        <w:t xml:space="preserve">While the use of an existing general panel was undertaken to reduce some types of bias, analysis of consumer survey results </w:t>
      </w:r>
      <w:r w:rsidR="00FE5D59">
        <w:rPr>
          <w:rFonts w:asciiTheme="majorHAnsi" w:hAnsiTheme="majorHAnsi"/>
        </w:rPr>
        <w:t xml:space="preserve">also </w:t>
      </w:r>
      <w:r w:rsidR="00AD1032">
        <w:rPr>
          <w:rFonts w:asciiTheme="majorHAnsi" w:hAnsiTheme="majorHAnsi"/>
        </w:rPr>
        <w:t>took into account the propensity for bias in surveys.</w:t>
      </w:r>
      <w:r w:rsidR="00AD1032" w:rsidRPr="00AD1032">
        <w:t xml:space="preserve"> </w:t>
      </w:r>
      <w:bookmarkStart w:id="128" w:name="_Toc67499051"/>
      <w:r w:rsidR="00EE6E21" w:rsidRPr="00F93B6D">
        <w:rPr>
          <w:rFonts w:asciiTheme="majorHAnsi" w:hAnsiTheme="majorHAnsi"/>
        </w:rPr>
        <w:t xml:space="preserve">The consumer survey was not </w:t>
      </w:r>
      <w:r w:rsidR="00EE6E21">
        <w:rPr>
          <w:rFonts w:asciiTheme="majorHAnsi" w:hAnsiTheme="majorHAnsi"/>
        </w:rPr>
        <w:t>relied on</w:t>
      </w:r>
      <w:r w:rsidR="00EE6E21" w:rsidRPr="00F93B6D">
        <w:rPr>
          <w:rFonts w:asciiTheme="majorHAnsi" w:hAnsiTheme="majorHAnsi"/>
        </w:rPr>
        <w:t xml:space="preserve"> </w:t>
      </w:r>
      <w:r w:rsidR="002215EE">
        <w:rPr>
          <w:rFonts w:asciiTheme="majorHAnsi" w:hAnsiTheme="majorHAnsi"/>
        </w:rPr>
        <w:t xml:space="preserve">to </w:t>
      </w:r>
      <w:r w:rsidR="00EE6E21">
        <w:rPr>
          <w:rFonts w:asciiTheme="majorHAnsi" w:hAnsiTheme="majorHAnsi"/>
        </w:rPr>
        <w:t>determine the</w:t>
      </w:r>
      <w:r w:rsidR="00EE6E21" w:rsidRPr="00F93B6D">
        <w:rPr>
          <w:rFonts w:asciiTheme="majorHAnsi" w:hAnsiTheme="majorHAnsi"/>
        </w:rPr>
        <w:t xml:space="preserve"> </w:t>
      </w:r>
      <w:r w:rsidR="00EE6E21">
        <w:rPr>
          <w:rFonts w:asciiTheme="majorHAnsi" w:hAnsiTheme="majorHAnsi"/>
        </w:rPr>
        <w:t xml:space="preserve">extent of </w:t>
      </w:r>
      <w:r w:rsidR="00EE6E21" w:rsidRPr="00F93B6D">
        <w:rPr>
          <w:rFonts w:asciiTheme="majorHAnsi" w:hAnsiTheme="majorHAnsi"/>
        </w:rPr>
        <w:t>correct label interpretation in practice.</w:t>
      </w:r>
    </w:p>
    <w:p w14:paraId="23565662" w14:textId="068AD838" w:rsidR="00781704" w:rsidRDefault="00AE0AEE" w:rsidP="00714EC1">
      <w:pPr>
        <w:pStyle w:val="Heading3"/>
      </w:pPr>
      <w:r w:rsidRPr="00E1365D">
        <w:t>Business survey</w:t>
      </w:r>
      <w:bookmarkEnd w:id="128"/>
      <w:r w:rsidR="000D002E">
        <w:t xml:space="preserve"> </w:t>
      </w:r>
    </w:p>
    <w:p w14:paraId="2B9D46B2" w14:textId="2E7D58A0" w:rsidR="006D1718" w:rsidRDefault="00BF20FE" w:rsidP="00BF20FE">
      <w:pPr>
        <w:spacing w:after="120"/>
      </w:pPr>
      <w:r>
        <w:t>The purpose of th</w:t>
      </w:r>
      <w:r w:rsidR="007D6420">
        <w:t>e business</w:t>
      </w:r>
      <w:r>
        <w:t xml:space="preserve"> survey was to seek information on business costs and benefits associated with the CoOL program</w:t>
      </w:r>
      <w:r w:rsidR="007D6420">
        <w:t xml:space="preserve"> and provide insights for the evaluation questions and CBA related to the costs incurred in implementing the CoOL reforms</w:t>
      </w:r>
      <w:r>
        <w:t xml:space="preserve">. </w:t>
      </w:r>
      <w:r w:rsidR="007D6420">
        <w:t xml:space="preserve">Approximately 632 businesses participated. </w:t>
      </w:r>
    </w:p>
    <w:p w14:paraId="0167B95E" w14:textId="4D0C5B07" w:rsidR="007D6420" w:rsidRDefault="007D6420" w:rsidP="007D6420">
      <w:pPr>
        <w:pStyle w:val="Heading3"/>
      </w:pPr>
      <w:bookmarkStart w:id="129" w:name="_Toc65074957"/>
      <w:bookmarkStart w:id="130" w:name="_Toc65075028"/>
      <w:bookmarkStart w:id="131" w:name="_Toc64287138"/>
      <w:bookmarkStart w:id="132" w:name="_Toc64925791"/>
      <w:bookmarkStart w:id="133" w:name="_Toc67499052"/>
      <w:bookmarkEnd w:id="129"/>
      <w:bookmarkEnd w:id="130"/>
      <w:bookmarkEnd w:id="131"/>
      <w:bookmarkEnd w:id="132"/>
      <w:r>
        <w:t>Consumer focus groups</w:t>
      </w:r>
    </w:p>
    <w:bookmarkEnd w:id="133"/>
    <w:p w14:paraId="1BBE675C" w14:textId="76F4BD37" w:rsidR="005F52E8" w:rsidRDefault="007D6420" w:rsidP="00802084">
      <w:r>
        <w:t>Fifteen o</w:t>
      </w:r>
      <w:r w:rsidR="00E37278" w:rsidRPr="006F176E">
        <w:t xml:space="preserve">nline </w:t>
      </w:r>
      <w:r w:rsidR="00822A7B" w:rsidRPr="006F176E">
        <w:t>consumer</w:t>
      </w:r>
      <w:r w:rsidR="00822A7B">
        <w:t xml:space="preserve"> focus group sessions </w:t>
      </w:r>
      <w:r>
        <w:t xml:space="preserve">were conducted </w:t>
      </w:r>
      <w:r w:rsidR="007B78C7">
        <w:t xml:space="preserve">with </w:t>
      </w:r>
      <w:r>
        <w:t>6</w:t>
      </w:r>
      <w:r w:rsidR="008667E6">
        <w:t xml:space="preserve"> to </w:t>
      </w:r>
      <w:r>
        <w:t>10</w:t>
      </w:r>
      <w:r w:rsidR="008667E6">
        <w:t xml:space="preserve"> </w:t>
      </w:r>
      <w:r w:rsidR="007B78C7">
        <w:t xml:space="preserve">participants </w:t>
      </w:r>
      <w:r>
        <w:t>in each</w:t>
      </w:r>
      <w:r w:rsidR="005E2BF5">
        <w:t>. The purpose of the</w:t>
      </w:r>
      <w:r w:rsidR="00B05190">
        <w:t xml:space="preserve"> consumer focus groups</w:t>
      </w:r>
      <w:r w:rsidR="005E2BF5">
        <w:t xml:space="preserve"> was to understand how important </w:t>
      </w:r>
      <w:r w:rsidR="009D1E94">
        <w:rPr>
          <w:rFonts w:eastAsia="Calibri" w:cs="Times New Roman"/>
        </w:rPr>
        <w:t>CoOL</w:t>
      </w:r>
      <w:r w:rsidR="009D1E94" w:rsidRPr="00CC297D">
        <w:rPr>
          <w:rFonts w:eastAsia="Calibri" w:cs="Times New Roman"/>
        </w:rPr>
        <w:t xml:space="preserve"> </w:t>
      </w:r>
      <w:r w:rsidR="005E2BF5">
        <w:t xml:space="preserve">is </w:t>
      </w:r>
      <w:r w:rsidR="008C4B8B">
        <w:t>for consumers</w:t>
      </w:r>
      <w:r w:rsidR="005E2BF5">
        <w:t xml:space="preserve">, and whether the </w:t>
      </w:r>
      <w:r w:rsidR="00486E2F">
        <w:t>labelling provides clear and adequate information to consumers in making their purchasing decisions.</w:t>
      </w:r>
      <w:r w:rsidR="00C30FDA">
        <w:t xml:space="preserve"> </w:t>
      </w:r>
      <w:r w:rsidR="00D538CC">
        <w:t>As</w:t>
      </w:r>
      <w:r w:rsidR="00A47A1C">
        <w:t xml:space="preserve"> a</w:t>
      </w:r>
      <w:r w:rsidR="00D538CC">
        <w:t xml:space="preserve"> part of the discussion, consumers were also shown various country of origin labels and asked to interpret</w:t>
      </w:r>
      <w:r w:rsidR="00486E2F">
        <w:t xml:space="preserve"> </w:t>
      </w:r>
      <w:r w:rsidR="003E6A9D">
        <w:t>them.</w:t>
      </w:r>
      <w:r w:rsidR="00CB4584" w:rsidRPr="00CB4584">
        <w:t xml:space="preserve"> </w:t>
      </w:r>
      <w:r w:rsidR="005F52E8">
        <w:t xml:space="preserve">Results from the consumer focus groups </w:t>
      </w:r>
      <w:r w:rsidR="004D0CCD">
        <w:t>were</w:t>
      </w:r>
      <w:r w:rsidR="005F52E8">
        <w:t xml:space="preserve"> analysed with the propensity for bias taken into consideration (</w:t>
      </w:r>
      <w:r w:rsidR="00107EAA">
        <w:fldChar w:fldCharType="begin"/>
      </w:r>
      <w:r w:rsidR="00107EAA">
        <w:instrText xml:space="preserve"> REF _Ref72180360 \n \h </w:instrText>
      </w:r>
      <w:r w:rsidR="00107EAA">
        <w:fldChar w:fldCharType="separate"/>
      </w:r>
      <w:r w:rsidR="0017363C">
        <w:t>Appendix C</w:t>
      </w:r>
      <w:r w:rsidR="00107EAA">
        <w:fldChar w:fldCharType="end"/>
      </w:r>
      <w:r w:rsidR="005F52E8">
        <w:t>).</w:t>
      </w:r>
    </w:p>
    <w:p w14:paraId="728FEBB7" w14:textId="650694C6" w:rsidR="00B236EF" w:rsidRDefault="00B236EF" w:rsidP="00E53797">
      <w:pPr>
        <w:pStyle w:val="Heading3"/>
      </w:pPr>
      <w:bookmarkStart w:id="134" w:name="_Toc64287141"/>
      <w:bookmarkStart w:id="135" w:name="_Toc64925794"/>
      <w:bookmarkStart w:id="136" w:name="_Toc65074497"/>
      <w:bookmarkStart w:id="137" w:name="_Toc65088219"/>
      <w:bookmarkStart w:id="138" w:name="_Toc67499053"/>
      <w:bookmarkEnd w:id="134"/>
      <w:bookmarkEnd w:id="135"/>
      <w:bookmarkEnd w:id="136"/>
      <w:bookmarkEnd w:id="137"/>
      <w:r>
        <w:t xml:space="preserve">Shopper </w:t>
      </w:r>
      <w:r w:rsidR="008449D6">
        <w:t>i</w:t>
      </w:r>
      <w:r>
        <w:t>nterview</w:t>
      </w:r>
      <w:r w:rsidR="00AC608A">
        <w:t>s</w:t>
      </w:r>
      <w:bookmarkEnd w:id="138"/>
    </w:p>
    <w:bookmarkEnd w:id="92"/>
    <w:p w14:paraId="0B9B8A7F" w14:textId="33E8CE90" w:rsidR="00490188" w:rsidRPr="00490188" w:rsidRDefault="007D6420" w:rsidP="00FA4A85">
      <w:r>
        <w:t>To</w:t>
      </w:r>
      <w:r w:rsidR="00641D4D">
        <w:t xml:space="preserve"> </w:t>
      </w:r>
      <w:r w:rsidR="00071D80">
        <w:t>undertake real</w:t>
      </w:r>
      <w:r w:rsidR="006E36A7">
        <w:t>-</w:t>
      </w:r>
      <w:r w:rsidR="00071D80">
        <w:t xml:space="preserve">time market research on consumer behaviour, </w:t>
      </w:r>
      <w:r w:rsidR="00D846BE">
        <w:t>s</w:t>
      </w:r>
      <w:r w:rsidR="0001751A">
        <w:t>hopper</w:t>
      </w:r>
      <w:r>
        <w:t>s</w:t>
      </w:r>
      <w:r w:rsidR="005A4FA6">
        <w:t xml:space="preserve"> were surveyed</w:t>
      </w:r>
      <w:r w:rsidR="0001751A">
        <w:t xml:space="preserve"> </w:t>
      </w:r>
      <w:r w:rsidR="00E44DD3">
        <w:t xml:space="preserve">as they </w:t>
      </w:r>
      <w:r w:rsidR="00736A6E">
        <w:t>exited supermarket</w:t>
      </w:r>
      <w:r>
        <w:t>s across Australia</w:t>
      </w:r>
      <w:r w:rsidR="00071D80">
        <w:t xml:space="preserve">. </w:t>
      </w:r>
      <w:r>
        <w:t>Across</w:t>
      </w:r>
      <w:r w:rsidR="00071D80">
        <w:t xml:space="preserve"> </w:t>
      </w:r>
      <w:r w:rsidR="00624785" w:rsidRPr="00E53797">
        <w:t>1</w:t>
      </w:r>
      <w:r w:rsidR="004706CF" w:rsidRPr="00E53797">
        <w:t>3</w:t>
      </w:r>
      <w:r w:rsidR="00092673" w:rsidRPr="009E5E58">
        <w:t xml:space="preserve"> different</w:t>
      </w:r>
      <w:r w:rsidR="00092673">
        <w:t xml:space="preserve"> supermarkets </w:t>
      </w:r>
      <w:r w:rsidR="00573138">
        <w:t xml:space="preserve">in </w:t>
      </w:r>
      <w:r w:rsidR="009E5E58">
        <w:t xml:space="preserve">Melbourne, Brisbane, </w:t>
      </w:r>
      <w:r w:rsidR="009E5E58">
        <w:lastRenderedPageBreak/>
        <w:t>Perth and Hobart</w:t>
      </w:r>
      <w:r w:rsidR="00261160">
        <w:t xml:space="preserve">, </w:t>
      </w:r>
      <w:r>
        <w:t xml:space="preserve">there were </w:t>
      </w:r>
      <w:r w:rsidR="00261160">
        <w:t>295 responses</w:t>
      </w:r>
      <w:r w:rsidR="00092673" w:rsidDel="00261160">
        <w:t>.</w:t>
      </w:r>
      <w:r w:rsidR="00374409">
        <w:t xml:space="preserve"> </w:t>
      </w:r>
      <w:r w:rsidR="00573138">
        <w:t>Th</w:t>
      </w:r>
      <w:r w:rsidR="00ED3F0C">
        <w:t>e</w:t>
      </w:r>
      <w:r w:rsidR="00573138">
        <w:t xml:space="preserve"> interview</w:t>
      </w:r>
      <w:r w:rsidR="00A765A3">
        <w:t>s</w:t>
      </w:r>
      <w:r w:rsidR="00573138">
        <w:t xml:space="preserve"> </w:t>
      </w:r>
      <w:r w:rsidR="00A765A3">
        <w:t xml:space="preserve">aimed to </w:t>
      </w:r>
      <w:r w:rsidR="008E4653">
        <w:t xml:space="preserve">reveal </w:t>
      </w:r>
      <w:r w:rsidR="00750D2C">
        <w:t>the extent to which</w:t>
      </w:r>
      <w:r w:rsidR="00A765A3">
        <w:t xml:space="preserve"> consumers</w:t>
      </w:r>
      <w:r w:rsidR="00BA7A2F">
        <w:t xml:space="preserve"> </w:t>
      </w:r>
      <w:r w:rsidR="00573138">
        <w:t xml:space="preserve">paid attention to </w:t>
      </w:r>
      <w:r w:rsidR="009D1E94">
        <w:rPr>
          <w:rFonts w:eastAsia="Calibri" w:cs="Times New Roman"/>
        </w:rPr>
        <w:t>CoOL</w:t>
      </w:r>
      <w:r w:rsidR="00573138">
        <w:t xml:space="preserve"> on their food and beverage products</w:t>
      </w:r>
      <w:r w:rsidR="00BA7A2F">
        <w:t xml:space="preserve"> </w:t>
      </w:r>
      <w:r w:rsidR="007026F0">
        <w:t xml:space="preserve">when purchasing their groceries </w:t>
      </w:r>
      <w:r w:rsidR="00BA7A2F">
        <w:t xml:space="preserve">and </w:t>
      </w:r>
      <w:r w:rsidR="00573138">
        <w:t xml:space="preserve">the extent to </w:t>
      </w:r>
      <w:r w:rsidR="00BA7A2F">
        <w:t xml:space="preserve">which </w:t>
      </w:r>
      <w:r w:rsidR="00573138">
        <w:t xml:space="preserve">they interpreted country of origin information correctly. </w:t>
      </w:r>
      <w:bookmarkStart w:id="139" w:name="_Toc64977567"/>
      <w:bookmarkStart w:id="140" w:name="_Toc64981830"/>
      <w:bookmarkStart w:id="141" w:name="_Toc64981893"/>
      <w:bookmarkEnd w:id="139"/>
      <w:bookmarkEnd w:id="140"/>
      <w:bookmarkEnd w:id="141"/>
      <w:r w:rsidR="008E4653" w:rsidRPr="008E4653">
        <w:t>Questions were focused around a single product in the consumer’s shopping basket.</w:t>
      </w:r>
      <w:bookmarkStart w:id="142" w:name="_Toc71213096"/>
      <w:bookmarkStart w:id="143" w:name="_Toc65074966"/>
      <w:bookmarkStart w:id="144" w:name="_Toc65075036"/>
      <w:bookmarkStart w:id="145" w:name="_Toc66396748"/>
      <w:bookmarkStart w:id="146" w:name="_Toc66396752"/>
      <w:bookmarkStart w:id="147" w:name="_Toc66396754"/>
      <w:bookmarkStart w:id="148" w:name="_Toc64925796"/>
      <w:bookmarkStart w:id="149" w:name="_Toc65074499"/>
      <w:bookmarkStart w:id="150" w:name="_Toc65088221"/>
      <w:bookmarkEnd w:id="142"/>
      <w:bookmarkEnd w:id="143"/>
      <w:bookmarkEnd w:id="144"/>
      <w:bookmarkEnd w:id="145"/>
      <w:bookmarkEnd w:id="146"/>
      <w:bookmarkEnd w:id="147"/>
      <w:bookmarkEnd w:id="148"/>
      <w:bookmarkEnd w:id="149"/>
      <w:bookmarkEnd w:id="150"/>
    </w:p>
    <w:p w14:paraId="04D7B277" w14:textId="7EDE4C70" w:rsidR="006916DB" w:rsidRDefault="00EC429B" w:rsidP="00141F46">
      <w:pPr>
        <w:pStyle w:val="Heading1"/>
      </w:pPr>
      <w:bookmarkStart w:id="151" w:name="_Toc67499055"/>
      <w:bookmarkStart w:id="152" w:name="_Toc94702049"/>
      <w:r>
        <w:lastRenderedPageBreak/>
        <w:t>Design and implementation of the reforms</w:t>
      </w:r>
      <w:bookmarkEnd w:id="151"/>
      <w:bookmarkEnd w:id="152"/>
    </w:p>
    <w:p w14:paraId="50928259" w14:textId="77777777" w:rsidR="008A2E66" w:rsidRDefault="008A2E66" w:rsidP="006E1BCA">
      <w:pPr>
        <w:pBdr>
          <w:top w:val="single" w:sz="12" w:space="1" w:color="012169" w:themeColor="accent4"/>
          <w:left w:val="single" w:sz="12" w:space="1" w:color="012169" w:themeColor="accent4"/>
          <w:bottom w:val="single" w:sz="12" w:space="1" w:color="012169" w:themeColor="accent4"/>
          <w:right w:val="single" w:sz="12" w:space="1" w:color="012169" w:themeColor="accent4"/>
        </w:pBdr>
        <w:rPr>
          <w:b/>
          <w:bCs/>
        </w:rPr>
      </w:pPr>
      <w:r>
        <w:rPr>
          <w:b/>
          <w:bCs/>
        </w:rPr>
        <w:t>Summary of findings</w:t>
      </w:r>
    </w:p>
    <w:p w14:paraId="1F9F77BC" w14:textId="77777777" w:rsidR="008A2E66" w:rsidRDefault="008A2E66" w:rsidP="006E1BCA">
      <w:pPr>
        <w:pBdr>
          <w:top w:val="single" w:sz="12" w:space="1" w:color="012169" w:themeColor="accent4"/>
          <w:left w:val="single" w:sz="12" w:space="1" w:color="012169" w:themeColor="accent4"/>
          <w:bottom w:val="single" w:sz="12" w:space="1" w:color="012169" w:themeColor="accent4"/>
          <w:right w:val="single" w:sz="12" w:space="1" w:color="012169" w:themeColor="accent4"/>
        </w:pBdr>
      </w:pPr>
      <w:r>
        <w:t>The reforms to Country of Origin Labelling (CoOL) introduced in 2016 aimed to address problems of the previous scheme</w:t>
      </w:r>
      <w:r w:rsidDel="00D471F3">
        <w:t xml:space="preserve">, </w:t>
      </w:r>
      <w:r>
        <w:t>by providing greater clarity of origin information to consumers and clarifying the origin claims that businesses can make</w:t>
      </w:r>
      <w:r w:rsidRPr="00E12157">
        <w:t xml:space="preserve">. While </w:t>
      </w:r>
      <w:r>
        <w:t>2</w:t>
      </w:r>
      <w:r w:rsidRPr="00E12157">
        <w:t xml:space="preserve"> main alternative labelling models were considered in the 2016 </w:t>
      </w:r>
      <w:r>
        <w:t xml:space="preserve">CoOL </w:t>
      </w:r>
      <w:r w:rsidRPr="00E12157">
        <w:t xml:space="preserve">RIS, evidence collected </w:t>
      </w:r>
      <w:r>
        <w:t xml:space="preserve">at that time </w:t>
      </w:r>
      <w:r w:rsidRPr="00E12157">
        <w:t>suggest</w:t>
      </w:r>
      <w:r>
        <w:t>ed</w:t>
      </w:r>
      <w:r w:rsidRPr="00E12157">
        <w:t xml:space="preserve"> that the introduction of visual indicators </w:t>
      </w:r>
      <w:r>
        <w:t>and changes to the</w:t>
      </w:r>
      <w:r w:rsidRPr="00832385">
        <w:t xml:space="preserve"> safe harbour defences </w:t>
      </w:r>
      <w:r>
        <w:t>together were</w:t>
      </w:r>
      <w:r w:rsidRPr="00E12157">
        <w:t xml:space="preserve"> </w:t>
      </w:r>
      <w:r>
        <w:t xml:space="preserve">likely to be </w:t>
      </w:r>
      <w:r w:rsidRPr="00E12157">
        <w:t>the most effective at addressing these problems.</w:t>
      </w:r>
    </w:p>
    <w:p w14:paraId="43C13440" w14:textId="77777777" w:rsidR="008A2E66" w:rsidRDefault="008A2E66" w:rsidP="006E1BCA">
      <w:pPr>
        <w:pBdr>
          <w:top w:val="single" w:sz="12" w:space="1" w:color="012169" w:themeColor="accent4"/>
          <w:left w:val="single" w:sz="12" w:space="1" w:color="012169" w:themeColor="accent4"/>
          <w:bottom w:val="single" w:sz="12" w:space="1" w:color="012169" w:themeColor="accent4"/>
          <w:right w:val="single" w:sz="12" w:space="1" w:color="012169" w:themeColor="accent4"/>
        </w:pBdr>
      </w:pPr>
      <w:r>
        <w:t>Representatives from the Australian G</w:t>
      </w:r>
      <w:r w:rsidRPr="00380D5E">
        <w:t xml:space="preserve">overnment </w:t>
      </w:r>
      <w:r>
        <w:t xml:space="preserve">have </w:t>
      </w:r>
      <w:r w:rsidRPr="00380D5E">
        <w:t>stated that the CoOL reforms were widely considered as an extremely well</w:t>
      </w:r>
      <w:r>
        <w:t>-</w:t>
      </w:r>
      <w:r w:rsidRPr="00380D5E">
        <w:t xml:space="preserve">implemented reform. This was confirmed by industry groups and businesses who acknowledged that the reforms were delivered within their original scope, budget and timeframe. </w:t>
      </w:r>
    </w:p>
    <w:p w14:paraId="65FE43A1" w14:textId="77777777" w:rsidR="008A2E66" w:rsidRDefault="008A2E66" w:rsidP="006E1BCA">
      <w:pPr>
        <w:pBdr>
          <w:top w:val="single" w:sz="12" w:space="1" w:color="012169" w:themeColor="accent4"/>
          <w:left w:val="single" w:sz="12" w:space="1" w:color="012169" w:themeColor="accent4"/>
          <w:bottom w:val="single" w:sz="12" w:space="1" w:color="012169" w:themeColor="accent4"/>
          <w:right w:val="single" w:sz="12" w:space="1" w:color="012169" w:themeColor="accent4"/>
        </w:pBdr>
      </w:pPr>
      <w:r w:rsidRPr="00E12157">
        <w:t>Most businesses agree that the CoOL reforms provide</w:t>
      </w:r>
      <w:r>
        <w:t>d</w:t>
      </w:r>
      <w:r w:rsidRPr="00E12157">
        <w:t xml:space="preserve"> some flexibility to accommodate consumer, industry and technological developments since the implementation of the CoOL reforms. They generally find </w:t>
      </w:r>
      <w:r>
        <w:t>that the</w:t>
      </w:r>
      <w:r w:rsidRPr="00E12157">
        <w:t xml:space="preserve"> CoOL </w:t>
      </w:r>
      <w:r>
        <w:t xml:space="preserve">reforms are </w:t>
      </w:r>
      <w:r w:rsidRPr="00E12157">
        <w:t>sufficiently flexib</w:t>
      </w:r>
      <w:r>
        <w:t>le</w:t>
      </w:r>
      <w:r w:rsidRPr="00E12157">
        <w:t xml:space="preserve"> under </w:t>
      </w:r>
      <w:r>
        <w:t>business-as-usual</w:t>
      </w:r>
      <w:r w:rsidRPr="00E12157">
        <w:t xml:space="preserve"> circumstances</w:t>
      </w:r>
      <w:r>
        <w:t>,</w:t>
      </w:r>
      <w:r w:rsidRPr="00E12157">
        <w:t xml:space="preserve"> though a </w:t>
      </w:r>
      <w:r>
        <w:t xml:space="preserve">significant </w:t>
      </w:r>
      <w:r w:rsidRPr="00E12157">
        <w:t xml:space="preserve">minority of business disagree and </w:t>
      </w:r>
      <w:r>
        <w:t>have found it</w:t>
      </w:r>
      <w:r w:rsidRPr="00E12157">
        <w:t xml:space="preserve"> difficult to comply with</w:t>
      </w:r>
      <w:r w:rsidRPr="00320A6D">
        <w:t xml:space="preserve"> and/or do not consider it sufficiently flexible.</w:t>
      </w:r>
    </w:p>
    <w:p w14:paraId="66756329" w14:textId="77777777" w:rsidR="008A2E66" w:rsidRDefault="008A2E66" w:rsidP="006E1BCA">
      <w:pPr>
        <w:pBdr>
          <w:top w:val="single" w:sz="12" w:space="1" w:color="012169" w:themeColor="accent4"/>
          <w:left w:val="single" w:sz="12" w:space="1" w:color="012169" w:themeColor="accent4"/>
          <w:bottom w:val="single" w:sz="12" w:space="1" w:color="012169" w:themeColor="accent4"/>
          <w:right w:val="single" w:sz="12" w:space="1" w:color="012169" w:themeColor="accent4"/>
        </w:pBdr>
      </w:pPr>
      <w:r w:rsidRPr="00E12157">
        <w:t>While the reforms have provided consumers with more information on the country of origin of their foods, there is still a subset of consumers who want more information on non-Australian ingredients.</w:t>
      </w:r>
      <w:r>
        <w:t xml:space="preserve"> There could be implications for the current scheme if </w:t>
      </w:r>
      <w:r w:rsidRPr="00E12157">
        <w:t xml:space="preserve">consumers are able to access digital information </w:t>
      </w:r>
      <w:r>
        <w:t xml:space="preserve">about their food </w:t>
      </w:r>
      <w:r w:rsidRPr="00E12157">
        <w:t>more seamlessl</w:t>
      </w:r>
      <w:r>
        <w:t xml:space="preserve">y. </w:t>
      </w:r>
      <w:r w:rsidRPr="00E12157">
        <w:t xml:space="preserve">However, </w:t>
      </w:r>
      <w:r>
        <w:t xml:space="preserve">there is not </w:t>
      </w:r>
      <w:r w:rsidRPr="00E12157">
        <w:t xml:space="preserve">currently </w:t>
      </w:r>
      <w:r>
        <w:t>sufficient evidence to move away from on-package labels or to a hybrid scheme with less on-package labelling and more information online</w:t>
      </w:r>
      <w:r w:rsidRPr="00E12157">
        <w:t xml:space="preserve">.   </w:t>
      </w:r>
    </w:p>
    <w:p w14:paraId="4069F669" w14:textId="77777777" w:rsidR="008A2E66" w:rsidRPr="00E53797" w:rsidRDefault="008A2E66" w:rsidP="006E1BCA">
      <w:pPr>
        <w:pBdr>
          <w:top w:val="single" w:sz="12" w:space="1" w:color="012169" w:themeColor="accent4"/>
          <w:left w:val="single" w:sz="12" w:space="1" w:color="012169" w:themeColor="accent4"/>
          <w:bottom w:val="single" w:sz="12" w:space="1" w:color="012169" w:themeColor="accent4"/>
          <w:right w:val="single" w:sz="12" w:space="1" w:color="012169" w:themeColor="accent4"/>
        </w:pBdr>
      </w:pPr>
      <w:r w:rsidRPr="00FE6C15">
        <w:t>The detailed findings related to this pillar can be found at the end of each section.</w:t>
      </w:r>
    </w:p>
    <w:p w14:paraId="47B6D408" w14:textId="77777777" w:rsidR="00BB6DC2" w:rsidRDefault="00897AC0" w:rsidP="00141F46">
      <w:pPr>
        <w:pStyle w:val="Heading2"/>
      </w:pPr>
      <w:bookmarkStart w:id="153" w:name="_Toc65088225"/>
      <w:bookmarkStart w:id="154" w:name="_Toc71213099"/>
      <w:bookmarkStart w:id="155" w:name="_Toc67499056"/>
      <w:bookmarkStart w:id="156" w:name="_Ref72180461"/>
      <w:bookmarkStart w:id="157" w:name="_Toc94702050"/>
      <w:bookmarkEnd w:id="153"/>
      <w:bookmarkEnd w:id="154"/>
      <w:r>
        <w:t>Rationale and evidence for the 2016 CoOL reforms</w:t>
      </w:r>
      <w:bookmarkEnd w:id="155"/>
      <w:bookmarkEnd w:id="156"/>
      <w:bookmarkEnd w:id="157"/>
    </w:p>
    <w:p w14:paraId="4BF11E4F" w14:textId="05493924" w:rsidR="00EA69D4" w:rsidRPr="00E53797" w:rsidRDefault="00B1552C" w:rsidP="00B1552C">
      <w:pPr>
        <w:rPr>
          <w:rFonts w:asciiTheme="majorHAnsi" w:hAnsiTheme="majorHAnsi"/>
        </w:rPr>
      </w:pPr>
      <w:r w:rsidRPr="00E53797">
        <w:rPr>
          <w:rFonts w:asciiTheme="majorHAnsi" w:hAnsiTheme="majorHAnsi"/>
        </w:rPr>
        <w:t xml:space="preserve">The evaluation </w:t>
      </w:r>
      <w:r w:rsidR="002C7BBF">
        <w:rPr>
          <w:rFonts w:asciiTheme="majorHAnsi" w:hAnsiTheme="majorHAnsi"/>
        </w:rPr>
        <w:t>has considered</w:t>
      </w:r>
      <w:r w:rsidR="004A455B" w:rsidRPr="00E53797">
        <w:rPr>
          <w:rFonts w:asciiTheme="majorHAnsi" w:hAnsiTheme="majorHAnsi"/>
        </w:rPr>
        <w:t xml:space="preserve"> the</w:t>
      </w:r>
      <w:r w:rsidR="004D25FB" w:rsidRPr="00E53797">
        <w:rPr>
          <w:rFonts w:asciiTheme="majorHAnsi" w:hAnsiTheme="majorHAnsi"/>
        </w:rPr>
        <w:t xml:space="preserve"> rationale and evidence for the 2016 CoOL reforms. </w:t>
      </w:r>
      <w:r w:rsidR="002C7BBF">
        <w:rPr>
          <w:rFonts w:asciiTheme="majorHAnsi" w:hAnsiTheme="majorHAnsi"/>
        </w:rPr>
        <w:t>This includes</w:t>
      </w:r>
      <w:r w:rsidR="006344C3" w:rsidRPr="00E53797">
        <w:rPr>
          <w:rFonts w:asciiTheme="majorHAnsi" w:hAnsiTheme="majorHAnsi"/>
        </w:rPr>
        <w:t xml:space="preserve"> the</w:t>
      </w:r>
      <w:r w:rsidR="004A455B" w:rsidRPr="00E53797">
        <w:rPr>
          <w:rFonts w:asciiTheme="majorHAnsi" w:hAnsiTheme="majorHAnsi"/>
        </w:rPr>
        <w:t xml:space="preserve"> </w:t>
      </w:r>
      <w:r w:rsidR="002C7BBF">
        <w:rPr>
          <w:rFonts w:asciiTheme="majorHAnsi" w:hAnsiTheme="majorHAnsi"/>
        </w:rPr>
        <w:t xml:space="preserve">policy </w:t>
      </w:r>
      <w:r w:rsidR="00190A88" w:rsidRPr="00E53797">
        <w:rPr>
          <w:rFonts w:asciiTheme="majorHAnsi" w:hAnsiTheme="majorHAnsi"/>
        </w:rPr>
        <w:t>problem</w:t>
      </w:r>
      <w:r w:rsidR="002C7BBF">
        <w:rPr>
          <w:rFonts w:asciiTheme="majorHAnsi" w:hAnsiTheme="majorHAnsi"/>
        </w:rPr>
        <w:t>(</w:t>
      </w:r>
      <w:r w:rsidR="00190A88" w:rsidRPr="00E53797">
        <w:rPr>
          <w:rFonts w:asciiTheme="majorHAnsi" w:hAnsiTheme="majorHAnsi"/>
        </w:rPr>
        <w:t>s</w:t>
      </w:r>
      <w:r w:rsidR="002C7BBF">
        <w:rPr>
          <w:rFonts w:asciiTheme="majorHAnsi" w:hAnsiTheme="majorHAnsi"/>
        </w:rPr>
        <w:t>) that</w:t>
      </w:r>
      <w:r w:rsidR="00190A88" w:rsidRPr="00E53797">
        <w:rPr>
          <w:rFonts w:asciiTheme="majorHAnsi" w:hAnsiTheme="majorHAnsi"/>
        </w:rPr>
        <w:t xml:space="preserve"> the </w:t>
      </w:r>
      <w:r w:rsidR="00032BBB" w:rsidRPr="00E53797">
        <w:rPr>
          <w:rFonts w:asciiTheme="majorHAnsi" w:hAnsiTheme="majorHAnsi"/>
        </w:rPr>
        <w:t>CoOL reforms</w:t>
      </w:r>
      <w:r w:rsidR="00F97B5C" w:rsidRPr="00E53797">
        <w:rPr>
          <w:rFonts w:asciiTheme="majorHAnsi" w:hAnsiTheme="majorHAnsi"/>
        </w:rPr>
        <w:t xml:space="preserve"> were intended to address</w:t>
      </w:r>
      <w:r w:rsidR="00032BBB" w:rsidRPr="00E53797">
        <w:rPr>
          <w:rFonts w:asciiTheme="majorHAnsi" w:hAnsiTheme="majorHAnsi"/>
        </w:rPr>
        <w:t xml:space="preserve">, </w:t>
      </w:r>
      <w:r w:rsidR="00F97B5C" w:rsidRPr="00E53797">
        <w:rPr>
          <w:rFonts w:asciiTheme="majorHAnsi" w:hAnsiTheme="majorHAnsi"/>
        </w:rPr>
        <w:t xml:space="preserve">whether the design </w:t>
      </w:r>
      <w:r w:rsidR="001A1794" w:rsidRPr="00E53797">
        <w:rPr>
          <w:rFonts w:asciiTheme="majorHAnsi" w:hAnsiTheme="majorHAnsi"/>
        </w:rPr>
        <w:t xml:space="preserve">of the reforms </w:t>
      </w:r>
      <w:r w:rsidR="00F97B5C" w:rsidRPr="00E53797">
        <w:rPr>
          <w:rFonts w:asciiTheme="majorHAnsi" w:hAnsiTheme="majorHAnsi"/>
        </w:rPr>
        <w:t>was based on clea</w:t>
      </w:r>
      <w:r w:rsidR="0028587C" w:rsidRPr="00E53797">
        <w:rPr>
          <w:rFonts w:asciiTheme="majorHAnsi" w:hAnsiTheme="majorHAnsi"/>
        </w:rPr>
        <w:t xml:space="preserve">r </w:t>
      </w:r>
      <w:r w:rsidR="00F97B5C" w:rsidRPr="00E53797">
        <w:rPr>
          <w:rFonts w:asciiTheme="majorHAnsi" w:hAnsiTheme="majorHAnsi"/>
        </w:rPr>
        <w:t>evidence</w:t>
      </w:r>
      <w:r w:rsidR="0028587C" w:rsidRPr="00E53797">
        <w:rPr>
          <w:rFonts w:asciiTheme="majorHAnsi" w:hAnsiTheme="majorHAnsi"/>
        </w:rPr>
        <w:t>-based</w:t>
      </w:r>
      <w:r w:rsidR="00AA2BCD" w:rsidRPr="00E53797">
        <w:rPr>
          <w:rFonts w:asciiTheme="majorHAnsi" w:hAnsiTheme="majorHAnsi"/>
        </w:rPr>
        <w:t xml:space="preserve"> links</w:t>
      </w:r>
      <w:r w:rsidR="00E74262">
        <w:rPr>
          <w:rFonts w:asciiTheme="majorHAnsi" w:hAnsiTheme="majorHAnsi"/>
        </w:rPr>
        <w:t xml:space="preserve"> and if </w:t>
      </w:r>
      <w:r w:rsidR="0045557B">
        <w:rPr>
          <w:rFonts w:asciiTheme="majorHAnsi" w:hAnsiTheme="majorHAnsi"/>
        </w:rPr>
        <w:t xml:space="preserve">alternative labelling models </w:t>
      </w:r>
      <w:r w:rsidR="00E74262">
        <w:rPr>
          <w:rFonts w:asciiTheme="majorHAnsi" w:hAnsiTheme="majorHAnsi"/>
        </w:rPr>
        <w:t>may have been superior.</w:t>
      </w:r>
    </w:p>
    <w:p w14:paraId="7C2489A6" w14:textId="4BB03FB2" w:rsidR="004366EA" w:rsidRDefault="00854640" w:rsidP="00141F46">
      <w:pPr>
        <w:pStyle w:val="Heading3"/>
      </w:pPr>
      <w:bookmarkStart w:id="158" w:name="_Toc67499057"/>
      <w:r>
        <w:t>A demonstrated</w:t>
      </w:r>
      <w:r w:rsidR="004366EA">
        <w:t xml:space="preserve"> need for improved transparency around origin of food</w:t>
      </w:r>
      <w:bookmarkEnd w:id="158"/>
      <w:r w:rsidR="004366EA">
        <w:t xml:space="preserve"> </w:t>
      </w:r>
    </w:p>
    <w:p w14:paraId="20C1940D" w14:textId="31566721" w:rsidR="00623FB2" w:rsidRDefault="009D49A3" w:rsidP="00EE08E3">
      <w:r w:rsidRPr="00447E2B">
        <w:t xml:space="preserve">The objective of the CoOL framework is to ensure consumers </w:t>
      </w:r>
      <w:r w:rsidR="006F3308">
        <w:t xml:space="preserve">are provided </w:t>
      </w:r>
      <w:r w:rsidRPr="00447E2B">
        <w:t xml:space="preserve">with </w:t>
      </w:r>
      <w:r>
        <w:t xml:space="preserve">the </w:t>
      </w:r>
      <w:r w:rsidRPr="00447E2B">
        <w:t xml:space="preserve">information </w:t>
      </w:r>
      <w:r w:rsidR="00D7342B">
        <w:t xml:space="preserve">they want </w:t>
      </w:r>
      <w:r w:rsidR="00D41B3C">
        <w:t xml:space="preserve">in order </w:t>
      </w:r>
      <w:r w:rsidRPr="00447E2B">
        <w:t>to make purchasing decisions in line with their preferences</w:t>
      </w:r>
      <w:r>
        <w:t>.</w:t>
      </w:r>
      <w:r w:rsidR="00185EE5">
        <w:rPr>
          <w:rStyle w:val="FootnoteReference"/>
        </w:rPr>
        <w:footnoteReference w:id="27"/>
      </w:r>
      <w:r w:rsidRPr="00447E2B">
        <w:t xml:space="preserve"> </w:t>
      </w:r>
      <w:r w:rsidR="00921901">
        <w:t>However, a</w:t>
      </w:r>
      <w:r w:rsidR="00EE08E3">
        <w:t xml:space="preserve">s outlined in the </w:t>
      </w:r>
      <w:r w:rsidR="00EE08E3" w:rsidRPr="003E2BDD">
        <w:rPr>
          <w:i/>
          <w:iCs/>
        </w:rPr>
        <w:t xml:space="preserve">Country of </w:t>
      </w:r>
      <w:r w:rsidR="007A1C6D">
        <w:rPr>
          <w:i/>
          <w:iCs/>
        </w:rPr>
        <w:t>O</w:t>
      </w:r>
      <w:r w:rsidR="00EE08E3" w:rsidRPr="003E2BDD">
        <w:rPr>
          <w:i/>
          <w:iCs/>
        </w:rPr>
        <w:t xml:space="preserve">rigin </w:t>
      </w:r>
      <w:r w:rsidR="007A1C6D">
        <w:rPr>
          <w:i/>
          <w:iCs/>
        </w:rPr>
        <w:t>L</w:t>
      </w:r>
      <w:r w:rsidR="00EE08E3" w:rsidRPr="003E2BDD">
        <w:rPr>
          <w:i/>
          <w:iCs/>
        </w:rPr>
        <w:t>abelling: Decision Regulatory Impact Statement</w:t>
      </w:r>
      <w:r w:rsidR="006469EB">
        <w:rPr>
          <w:i/>
          <w:iCs/>
        </w:rPr>
        <w:t xml:space="preserve"> </w:t>
      </w:r>
      <w:r w:rsidR="006469EB">
        <w:t>(CoOL RIS)</w:t>
      </w:r>
      <w:r w:rsidR="00EE08E3">
        <w:t>,</w:t>
      </w:r>
      <w:r w:rsidR="00EE08E3">
        <w:rPr>
          <w:rStyle w:val="FootnoteReference"/>
        </w:rPr>
        <w:footnoteReference w:id="28"/>
      </w:r>
      <w:r w:rsidR="00EE08E3">
        <w:t xml:space="preserve"> </w:t>
      </w:r>
      <w:r w:rsidR="00623FB2">
        <w:t xml:space="preserve">a common theme across research and inquiries </w:t>
      </w:r>
      <w:r w:rsidR="00C45426">
        <w:t>was that consumer</w:t>
      </w:r>
      <w:r w:rsidR="00B77488">
        <w:t xml:space="preserve">s </w:t>
      </w:r>
      <w:r w:rsidR="00562561">
        <w:t xml:space="preserve">were dissatisfied </w:t>
      </w:r>
      <w:r w:rsidR="004366EA">
        <w:t xml:space="preserve">with the framework </w:t>
      </w:r>
      <w:r w:rsidR="00443EDC">
        <w:t xml:space="preserve">(prior to the 2016 reforms) </w:t>
      </w:r>
      <w:r w:rsidR="004366EA">
        <w:t>and fou</w:t>
      </w:r>
      <w:r w:rsidR="00D221A1">
        <w:t>nd</w:t>
      </w:r>
      <w:r w:rsidR="004366EA">
        <w:t xml:space="preserve"> origin labels difficult to understand </w:t>
      </w:r>
      <w:r w:rsidR="00717C67">
        <w:t xml:space="preserve">or </w:t>
      </w:r>
      <w:r w:rsidR="004366EA">
        <w:t xml:space="preserve">find. </w:t>
      </w:r>
    </w:p>
    <w:p w14:paraId="5B7D9999" w14:textId="77777777" w:rsidR="00D00121" w:rsidRDefault="00717C67" w:rsidP="00FB0386">
      <w:r>
        <w:lastRenderedPageBreak/>
        <w:t>P</w:t>
      </w:r>
      <w:r w:rsidR="00E065BD">
        <w:t xml:space="preserve">revious </w:t>
      </w:r>
      <w:r w:rsidR="00477EA1">
        <w:t>‘</w:t>
      </w:r>
      <w:r w:rsidR="00E065BD">
        <w:t>Made in</w:t>
      </w:r>
      <w:r w:rsidR="00477EA1">
        <w:t>’</w:t>
      </w:r>
      <w:r w:rsidR="00E065BD">
        <w:t xml:space="preserve"> </w:t>
      </w:r>
      <w:r w:rsidR="00BD7190">
        <w:t>and</w:t>
      </w:r>
      <w:r w:rsidR="00E065BD">
        <w:t xml:space="preserve"> </w:t>
      </w:r>
      <w:r w:rsidR="00477EA1">
        <w:t>‘</w:t>
      </w:r>
      <w:r w:rsidR="00E065BD">
        <w:t>Product o</w:t>
      </w:r>
      <w:r w:rsidR="009514AC">
        <w:t>f</w:t>
      </w:r>
      <w:r w:rsidR="00477EA1">
        <w:t>’</w:t>
      </w:r>
      <w:r w:rsidR="00E065BD">
        <w:t xml:space="preserve"> claims did not clearly indicate the source of ingredients</w:t>
      </w:r>
      <w:r>
        <w:t xml:space="preserve"> to consumers who</w:t>
      </w:r>
      <w:r w:rsidR="00E065BD">
        <w:t xml:space="preserve"> </w:t>
      </w:r>
      <w:r w:rsidR="001A11C1">
        <w:t xml:space="preserve">found that the labels were not providing them </w:t>
      </w:r>
      <w:r>
        <w:t xml:space="preserve">with </w:t>
      </w:r>
      <w:r w:rsidR="001A11C1">
        <w:t>the information they s</w:t>
      </w:r>
      <w:r w:rsidR="00090660">
        <w:t>ought</w:t>
      </w:r>
      <w:r w:rsidR="001A11C1">
        <w:t>, particularly the percentage of ingredients grown in Australia.</w:t>
      </w:r>
      <w:r w:rsidR="006D5AFF">
        <w:rPr>
          <w:rStyle w:val="FootnoteReference"/>
        </w:rPr>
        <w:footnoteReference w:id="29"/>
      </w:r>
      <w:r w:rsidR="001A11C1">
        <w:t xml:space="preserve"> </w:t>
      </w:r>
      <w:r>
        <w:t>Consumers were also interested in whether</w:t>
      </w:r>
      <w:r w:rsidR="001A11C1">
        <w:t xml:space="preserve"> </w:t>
      </w:r>
      <w:r>
        <w:t xml:space="preserve">the </w:t>
      </w:r>
      <w:r w:rsidR="001A11C1">
        <w:t xml:space="preserve">food was processed in Australia. </w:t>
      </w:r>
      <w:r w:rsidR="00945125" w:rsidRPr="002D10E4">
        <w:t>The research</w:t>
      </w:r>
      <w:r w:rsidR="00945125" w:rsidRPr="00E53797">
        <w:t xml:space="preserve"> </w:t>
      </w:r>
      <w:r>
        <w:t xml:space="preserve">documented </w:t>
      </w:r>
      <w:r w:rsidR="003A2020" w:rsidRPr="00E53797">
        <w:t>in the RIS</w:t>
      </w:r>
      <w:r w:rsidR="00657489" w:rsidRPr="00E53797">
        <w:rPr>
          <w:rStyle w:val="FootnoteReference"/>
        </w:rPr>
        <w:footnoteReference w:id="30"/>
      </w:r>
      <w:r w:rsidR="00945125" w:rsidRPr="002D10E4">
        <w:t xml:space="preserve"> </w:t>
      </w:r>
      <w:r w:rsidR="00945125">
        <w:t>found that n</w:t>
      </w:r>
      <w:r w:rsidR="00556D62">
        <w:t xml:space="preserve">ot having access to this information can affect consumer understanding </w:t>
      </w:r>
      <w:r>
        <w:t>of</w:t>
      </w:r>
      <w:r w:rsidR="00556D62">
        <w:t xml:space="preserve"> origin</w:t>
      </w:r>
      <w:r>
        <w:t>,</w:t>
      </w:r>
      <w:r w:rsidR="00556D62">
        <w:t xml:space="preserve"> </w:t>
      </w:r>
      <w:r w:rsidR="00090660">
        <w:t xml:space="preserve">and </w:t>
      </w:r>
      <w:r w:rsidR="00A23967">
        <w:t>the</w:t>
      </w:r>
      <w:r w:rsidR="00090660">
        <w:t xml:space="preserve"> time spent attempting to find and understand </w:t>
      </w:r>
      <w:r w:rsidR="00671B7B">
        <w:t xml:space="preserve">it. </w:t>
      </w:r>
      <w:r w:rsidR="00EE08E3">
        <w:t>These problems limited the effectiveness of the</w:t>
      </w:r>
      <w:r w:rsidR="00386235">
        <w:t xml:space="preserve"> previous</w:t>
      </w:r>
      <w:r w:rsidR="00EE08E3">
        <w:t xml:space="preserve"> country of origin framework. </w:t>
      </w:r>
    </w:p>
    <w:p w14:paraId="0E832028" w14:textId="77777777" w:rsidR="00D00121" w:rsidRDefault="00FB0386" w:rsidP="006D5AFF">
      <w:r>
        <w:t>The RIS</w:t>
      </w:r>
      <w:r>
        <w:rPr>
          <w:rStyle w:val="FootnoteReference"/>
        </w:rPr>
        <w:footnoteReference w:id="31"/>
      </w:r>
      <w:r>
        <w:t xml:space="preserve"> specified that feedback received from c</w:t>
      </w:r>
      <w:r w:rsidRPr="00E53797">
        <w:t xml:space="preserve">onsumers, </w:t>
      </w:r>
      <w:r w:rsidRPr="00DB02A7">
        <w:t>industries</w:t>
      </w:r>
      <w:r w:rsidRPr="00E53797">
        <w:t xml:space="preserve"> and food manufacturers </w:t>
      </w:r>
      <w:r>
        <w:t>indicated that</w:t>
      </w:r>
      <w:r w:rsidRPr="00E53797">
        <w:t xml:space="preserve"> improvements could be made to the CoOL framework to increase the transparency around the origin of ingredients</w:t>
      </w:r>
      <w:r w:rsidR="00717C67">
        <w:t xml:space="preserve"> to improve decision-making at the time of purchase.</w:t>
      </w:r>
      <w:r w:rsidRPr="00E53797">
        <w:t xml:space="preserve"> </w:t>
      </w:r>
    </w:p>
    <w:p w14:paraId="0AF37601" w14:textId="5FC20C18" w:rsidR="00D00121" w:rsidRDefault="00D00121" w:rsidP="006D5AFF">
      <w:r>
        <w:t>The RIS also</w:t>
      </w:r>
      <w:r w:rsidR="00671B7B">
        <w:t xml:space="preserve"> highlighted that</w:t>
      </w:r>
      <w:r w:rsidR="006D5AFF">
        <w:t xml:space="preserve"> meeting the </w:t>
      </w:r>
      <w:r w:rsidR="006D5AFF" w:rsidRPr="00CC297D">
        <w:rPr>
          <w:rFonts w:eastAsia="Calibri" w:cs="Times New Roman"/>
        </w:rPr>
        <w:t>safe harbour defences</w:t>
      </w:r>
      <w:r w:rsidR="006D5AFF">
        <w:t xml:space="preserve"> criteria for claims related to </w:t>
      </w:r>
      <w:r w:rsidR="00477EA1">
        <w:t>‘</w:t>
      </w:r>
      <w:r w:rsidR="006D5AFF">
        <w:t>Made in</w:t>
      </w:r>
      <w:r w:rsidR="00477EA1">
        <w:t>’</w:t>
      </w:r>
      <w:r w:rsidR="006D5AFF">
        <w:t xml:space="preserve"> was particularly challenging for some businesses. The 2014 </w:t>
      </w:r>
      <w:r>
        <w:t>i</w:t>
      </w:r>
      <w:r w:rsidR="006D5AFF">
        <w:t xml:space="preserve">nquiry </w:t>
      </w:r>
      <w:r>
        <w:t>identified the</w:t>
      </w:r>
      <w:r w:rsidR="006D5AFF">
        <w:t xml:space="preserve"> safe harbour criteria </w:t>
      </w:r>
      <w:r>
        <w:t xml:space="preserve">as a source of </w:t>
      </w:r>
      <w:r w:rsidR="006D5AFF">
        <w:t>compliance challenges for industry.</w:t>
      </w:r>
      <w:r w:rsidR="006D5AFF" w:rsidRPr="006D5AFF">
        <w:t xml:space="preserve"> </w:t>
      </w:r>
      <w:r w:rsidR="006D5AFF">
        <w:t xml:space="preserve">To state </w:t>
      </w:r>
      <w:r w:rsidR="00477EA1">
        <w:t>‘</w:t>
      </w:r>
      <w:r w:rsidR="006D5AFF">
        <w:t>Made in Australia</w:t>
      </w:r>
      <w:r w:rsidR="00477EA1">
        <w:t>’</w:t>
      </w:r>
      <w:r w:rsidR="006D5AFF">
        <w:t>, the business must have met the cost of production test</w:t>
      </w:r>
      <w:r w:rsidR="006D5AFF">
        <w:rPr>
          <w:rStyle w:val="FootnoteReference"/>
        </w:rPr>
        <w:footnoteReference w:id="32"/>
      </w:r>
      <w:r w:rsidR="006D5AFF">
        <w:t xml:space="preserve"> and be able to demonstrate that its product was substantially transformed in Australia.</w:t>
      </w:r>
      <w:r w:rsidR="00164F88" w:rsidRPr="00164F88">
        <w:t xml:space="preserve"> </w:t>
      </w:r>
    </w:p>
    <w:p w14:paraId="64B405FA" w14:textId="6521D0D9" w:rsidR="006D5AFF" w:rsidRDefault="00164F88" w:rsidP="006D5AFF">
      <w:r w:rsidRPr="00164F88">
        <w:t>Colmar Brunton research outlined that a few businesses thought the 50</w:t>
      </w:r>
      <w:r w:rsidR="007B2C81">
        <w:t>%</w:t>
      </w:r>
      <w:r w:rsidRPr="00164F88">
        <w:t xml:space="preserve"> </w:t>
      </w:r>
      <w:r w:rsidR="007F7327">
        <w:t>cost of production</w:t>
      </w:r>
      <w:r w:rsidRPr="00164F88">
        <w:t xml:space="preserve"> test on packaging was difficult, complicated and confusing.</w:t>
      </w:r>
      <w:r w:rsidR="006D5AFF">
        <w:t xml:space="preserve"> The RIS stated that, where compliance with the production test was uncertain, businesses often resorted to claims like </w:t>
      </w:r>
      <w:r w:rsidR="00477EA1">
        <w:t>‘</w:t>
      </w:r>
      <w:r w:rsidR="006D5AFF">
        <w:t>Made in Australia</w:t>
      </w:r>
      <w:r w:rsidR="00477EA1">
        <w:t>’</w:t>
      </w:r>
      <w:r w:rsidR="006D5AFF">
        <w:t xml:space="preserve"> from local and imported ingredients’</w:t>
      </w:r>
      <w:r w:rsidR="00F41345">
        <w:t>,</w:t>
      </w:r>
      <w:r w:rsidR="006D5AFF">
        <w:t xml:space="preserve"> which consumers found confusing and unhelpful.</w:t>
      </w:r>
    </w:p>
    <w:p w14:paraId="0C7A674A" w14:textId="245FF54B" w:rsidR="003462BB" w:rsidRPr="004B0CA3" w:rsidRDefault="00363F63" w:rsidP="006D5AFF">
      <w:r>
        <w:t>As a part of the CoOL RIS, consultation with stakeholders indicated it would be useful to clarify substantial transformation for ‘Made in’ related claims, and stakeholders generally agreed the 50% production cost test would be unnecessary if substantial transformation was clarified.</w:t>
      </w:r>
    </w:p>
    <w:p w14:paraId="2989B43B" w14:textId="77777777" w:rsidR="00627055" w:rsidRPr="00394AF0" w:rsidRDefault="00627055" w:rsidP="00627055">
      <w:pPr>
        <w:pStyle w:val="Heading3"/>
      </w:pPr>
      <w:bookmarkStart w:id="159" w:name="_Toc66396763"/>
      <w:bookmarkStart w:id="160" w:name="_Toc67499058"/>
      <w:bookmarkEnd w:id="159"/>
      <w:r>
        <w:t>E</w:t>
      </w:r>
      <w:r w:rsidRPr="00394AF0">
        <w:t>vidence</w:t>
      </w:r>
      <w:r>
        <w:t xml:space="preserve"> and research</w:t>
      </w:r>
      <w:r w:rsidR="00847582">
        <w:t xml:space="preserve"> </w:t>
      </w:r>
      <w:r w:rsidR="00EB1DF3">
        <w:t xml:space="preserve">into </w:t>
      </w:r>
      <w:r w:rsidR="00167C82">
        <w:t xml:space="preserve">CoOL’s </w:t>
      </w:r>
      <w:r w:rsidR="00EB1DF3">
        <w:t>future design</w:t>
      </w:r>
      <w:r w:rsidR="00D93C18">
        <w:t>, guiding the reforms</w:t>
      </w:r>
      <w:bookmarkEnd w:id="160"/>
    </w:p>
    <w:p w14:paraId="22D401DE" w14:textId="76DEAF00" w:rsidR="00263D74" w:rsidRDefault="000A4EAF" w:rsidP="00847582">
      <w:r>
        <w:t xml:space="preserve">In 2015, </w:t>
      </w:r>
      <w:r w:rsidR="00627055">
        <w:t>Colmar Brunton market research with consumers and businesses</w:t>
      </w:r>
      <w:r w:rsidR="00627055" w:rsidDel="000A4EAF">
        <w:t xml:space="preserve"> </w:t>
      </w:r>
      <w:r w:rsidR="00BB2CCA">
        <w:t xml:space="preserve">tested </w:t>
      </w:r>
      <w:r w:rsidR="006F28E3">
        <w:t xml:space="preserve">6 </w:t>
      </w:r>
      <w:r w:rsidR="002F15CC">
        <w:t>future</w:t>
      </w:r>
      <w:r w:rsidR="00343A4A">
        <w:t xml:space="preserve"> concepts</w:t>
      </w:r>
      <w:r w:rsidR="00CD0140">
        <w:t>,</w:t>
      </w:r>
      <w:r w:rsidR="00343A4A">
        <w:t xml:space="preserve"> </w:t>
      </w:r>
      <w:r w:rsidR="00847582">
        <w:t xml:space="preserve">some of which </w:t>
      </w:r>
      <w:r w:rsidR="00D23AA4">
        <w:t>includ</w:t>
      </w:r>
      <w:r w:rsidR="00847582">
        <w:t>ed</w:t>
      </w:r>
      <w:r w:rsidR="00D23AA4">
        <w:t xml:space="preserve"> </w:t>
      </w:r>
      <w:r w:rsidR="00D61F2A">
        <w:t xml:space="preserve">demonstrating that a product was at least partially made in Australia and </w:t>
      </w:r>
      <w:r w:rsidR="00847582">
        <w:t xml:space="preserve">demonstrating </w:t>
      </w:r>
      <w:r w:rsidR="00D61F2A">
        <w:t>the proportion of Australian ingredients.</w:t>
      </w:r>
      <w:r w:rsidR="00D61F2A">
        <w:rPr>
          <w:rStyle w:val="FootnoteReference"/>
        </w:rPr>
        <w:footnoteReference w:id="33"/>
      </w:r>
      <w:r w:rsidR="00DE4618">
        <w:t xml:space="preserve"> </w:t>
      </w:r>
      <w:r w:rsidR="00847582" w:rsidRPr="00447E2B">
        <w:t xml:space="preserve">According to </w:t>
      </w:r>
      <w:r w:rsidR="005E1193">
        <w:t>the</w:t>
      </w:r>
      <w:r w:rsidR="00847582" w:rsidRPr="00447E2B">
        <w:t xml:space="preserve"> research</w:t>
      </w:r>
      <w:r w:rsidR="00847582">
        <w:t>,</w:t>
      </w:r>
      <w:r w:rsidR="00B934E7">
        <w:t xml:space="preserve"> which was conducted on </w:t>
      </w:r>
      <w:r w:rsidR="005B51EA">
        <w:t xml:space="preserve">a </w:t>
      </w:r>
      <w:r w:rsidR="00B934E7">
        <w:t>representative sample of</w:t>
      </w:r>
      <w:r w:rsidR="00847582">
        <w:t xml:space="preserve"> </w:t>
      </w:r>
      <w:r w:rsidR="00D86399">
        <w:t xml:space="preserve">1,220 people, </w:t>
      </w:r>
      <w:r w:rsidR="00847582" w:rsidRPr="00447E2B">
        <w:t>28</w:t>
      </w:r>
      <w:r w:rsidR="007B2C81">
        <w:t>%</w:t>
      </w:r>
      <w:r w:rsidR="00847582" w:rsidRPr="00447E2B">
        <w:t xml:space="preserve"> of consumers ranked percentage of Australian ingredients as the</w:t>
      </w:r>
      <w:r w:rsidR="00B00CBD">
        <w:t xml:space="preserve"> </w:t>
      </w:r>
      <w:r w:rsidR="00847582" w:rsidRPr="00447E2B">
        <w:t xml:space="preserve">CoOL element </w:t>
      </w:r>
      <w:r w:rsidR="00CD2FCA">
        <w:t xml:space="preserve">being </w:t>
      </w:r>
      <w:r w:rsidR="00847582" w:rsidRPr="00447E2B">
        <w:t>most important to them</w:t>
      </w:r>
      <w:r w:rsidR="00263D74">
        <w:t>, while 60</w:t>
      </w:r>
      <w:r w:rsidR="007B2C81">
        <w:t>%</w:t>
      </w:r>
      <w:r w:rsidR="00263D74">
        <w:t xml:space="preserve"> ranked it in their top </w:t>
      </w:r>
      <w:r w:rsidR="006F28E3">
        <w:t xml:space="preserve">3 </w:t>
      </w:r>
      <w:r w:rsidR="00263D74">
        <w:t xml:space="preserve">factors. This </w:t>
      </w:r>
      <w:r w:rsidR="00BC603C">
        <w:t>was</w:t>
      </w:r>
      <w:r w:rsidR="00263D74">
        <w:t xml:space="preserve"> compar</w:t>
      </w:r>
      <w:r w:rsidR="005E1193">
        <w:t>ed</w:t>
      </w:r>
      <w:r w:rsidR="00263D74">
        <w:t xml:space="preserve"> to other factors considered when purchasing food</w:t>
      </w:r>
      <w:r w:rsidR="00CD2FCA">
        <w:t>,</w:t>
      </w:r>
      <w:r w:rsidR="00263D74">
        <w:t xml:space="preserve"> such as</w:t>
      </w:r>
      <w:r w:rsidR="00847582" w:rsidRPr="00447E2B">
        <w:t xml:space="preserve"> convenience, price, quality or health and safety</w:t>
      </w:r>
      <w:r w:rsidR="00263D74">
        <w:t>.</w:t>
      </w:r>
      <w:r w:rsidR="00C2350E">
        <w:rPr>
          <w:rStyle w:val="FootnoteReference"/>
        </w:rPr>
        <w:footnoteReference w:id="34"/>
      </w:r>
    </w:p>
    <w:p w14:paraId="2177FDF8" w14:textId="7951A4B4" w:rsidR="00971151" w:rsidRDefault="00C219A4" w:rsidP="00971151">
      <w:r>
        <w:t>Additionally, the</w:t>
      </w:r>
      <w:r w:rsidR="000D363F" w:rsidRPr="00E53797">
        <w:t xml:space="preserve"> research </w:t>
      </w:r>
      <w:r w:rsidR="00330E6F">
        <w:t>supported the</w:t>
      </w:r>
      <w:r w:rsidR="000D363F" w:rsidRPr="00E53797">
        <w:t xml:space="preserve"> inclusion of icons and/or graphics in CoOL </w:t>
      </w:r>
      <w:r w:rsidR="0080437C">
        <w:t>(</w:t>
      </w:r>
      <w:r w:rsidR="000D363F" w:rsidRPr="00E53797">
        <w:t>by 64</w:t>
      </w:r>
      <w:r w:rsidR="007B2C81">
        <w:t>%</w:t>
      </w:r>
      <w:r w:rsidR="000D363F" w:rsidRPr="00E53797">
        <w:t xml:space="preserve"> of survey respondents</w:t>
      </w:r>
      <w:r w:rsidR="0080437C">
        <w:t>)</w:t>
      </w:r>
      <w:r w:rsidR="005C2092">
        <w:t>,</w:t>
      </w:r>
      <w:r w:rsidR="000D363F" w:rsidRPr="00E53797">
        <w:t xml:space="preserve"> as one of the top </w:t>
      </w:r>
      <w:r w:rsidR="002B3C65">
        <w:t>3</w:t>
      </w:r>
      <w:r w:rsidR="002B3C65" w:rsidRPr="00E53797">
        <w:t xml:space="preserve"> </w:t>
      </w:r>
      <w:r w:rsidR="000D363F" w:rsidRPr="00E53797">
        <w:t xml:space="preserve">ways to simplify and improve CoOL regulations. It found </w:t>
      </w:r>
      <w:r w:rsidR="00804020">
        <w:t xml:space="preserve">that </w:t>
      </w:r>
      <w:r w:rsidR="000D363F" w:rsidRPr="00E53797">
        <w:t>the ‘Kangaroo concept’</w:t>
      </w:r>
      <w:r w:rsidR="00804020">
        <w:t>,</w:t>
      </w:r>
      <w:r w:rsidR="000D363F" w:rsidRPr="00E53797">
        <w:t xml:space="preserve"> where the AMAG logo is used to communicate CoOL information</w:t>
      </w:r>
      <w:r w:rsidR="00804020">
        <w:t>,</w:t>
      </w:r>
      <w:r w:rsidR="000D363F" w:rsidRPr="00E53797">
        <w:t xml:space="preserve"> was </w:t>
      </w:r>
      <w:r w:rsidR="00B81287">
        <w:t xml:space="preserve">most </w:t>
      </w:r>
      <w:r w:rsidR="00180927" w:rsidRPr="00E53797">
        <w:t>preferred</w:t>
      </w:r>
      <w:r w:rsidR="00B81287">
        <w:t xml:space="preserve"> </w:t>
      </w:r>
      <w:r w:rsidR="00180927">
        <w:t>by consumers.</w:t>
      </w:r>
      <w:r w:rsidR="00B81287">
        <w:t xml:space="preserve"> </w:t>
      </w:r>
      <w:r w:rsidR="00B72476" w:rsidRPr="00B72476">
        <w:t xml:space="preserve">The </w:t>
      </w:r>
      <w:r w:rsidR="002B5EFD">
        <w:t xml:space="preserve">2014 </w:t>
      </w:r>
      <w:r w:rsidR="00673B96">
        <w:t>i</w:t>
      </w:r>
      <w:r w:rsidR="00B72476" w:rsidRPr="00B72476">
        <w:t>nquiry recommended a visual descriptor that reflects the safe harbour thresholds of Australian ingredients in the content of a product.</w:t>
      </w:r>
    </w:p>
    <w:p w14:paraId="07598F2F" w14:textId="7CBC32B7" w:rsidR="00351046" w:rsidRDefault="00581B6D" w:rsidP="00A755E9">
      <w:bookmarkStart w:id="161" w:name="_Toc66396768"/>
      <w:bookmarkStart w:id="162" w:name="_Toc65088231"/>
      <w:bookmarkStart w:id="163" w:name="_Toc65088232"/>
      <w:bookmarkEnd w:id="161"/>
      <w:bookmarkEnd w:id="162"/>
      <w:bookmarkEnd w:id="163"/>
      <w:r w:rsidRPr="00D32DE5">
        <w:t xml:space="preserve">The reforms introduced changes to </w:t>
      </w:r>
      <w:r>
        <w:t xml:space="preserve">the CoOL framework </w:t>
      </w:r>
      <w:r w:rsidR="00E342E2">
        <w:t>based on th</w:t>
      </w:r>
      <w:r w:rsidR="00453608">
        <w:t>e</w:t>
      </w:r>
      <w:r w:rsidR="00E342E2">
        <w:t xml:space="preserve"> Colmar Brunton research</w:t>
      </w:r>
      <w:r w:rsidR="00453608">
        <w:t>, including</w:t>
      </w:r>
      <w:r w:rsidR="00E342E2">
        <w:t xml:space="preserve"> </w:t>
      </w:r>
      <w:r>
        <w:t>visual indicators on the label</w:t>
      </w:r>
      <w:r w:rsidR="002B3C65">
        <w:t>,</w:t>
      </w:r>
      <w:r>
        <w:t xml:space="preserve"> which included the AMAG logo and a bar chart and text.</w:t>
      </w:r>
      <w:r w:rsidR="0018303A">
        <w:t xml:space="preserve"> </w:t>
      </w:r>
      <w:r w:rsidR="0018303A">
        <w:lastRenderedPageBreak/>
        <w:t>Improving consumer understanding (and reduced time to establish understanding) was expected to lead to purchasing decisions that better reflected consumer values.</w:t>
      </w:r>
    </w:p>
    <w:p w14:paraId="11D6ABA2" w14:textId="3BAE6175" w:rsidR="00351046" w:rsidRDefault="0018303A" w:rsidP="00351046">
      <w:pPr>
        <w:pStyle w:val="Heading3"/>
      </w:pPr>
      <w:bookmarkStart w:id="164" w:name="_Toc67499059"/>
      <w:r>
        <w:t>A</w:t>
      </w:r>
      <w:r w:rsidR="00351046">
        <w:t xml:space="preserve">lternatives </w:t>
      </w:r>
      <w:bookmarkEnd w:id="164"/>
      <w:r>
        <w:t>unlikely to have delivered more favourable outcomes</w:t>
      </w:r>
      <w:r w:rsidR="00351046">
        <w:t xml:space="preserve"> </w:t>
      </w:r>
    </w:p>
    <w:p w14:paraId="73832A1C" w14:textId="7FD694AB" w:rsidR="0045557B" w:rsidRDefault="0045557B" w:rsidP="00D93C18">
      <w:r>
        <w:t xml:space="preserve">Good public policy development requires the comparison and assessment of options in response to a defined problem. </w:t>
      </w:r>
      <w:r w:rsidRPr="00E53797">
        <w:t xml:space="preserve">There were alternative labelling models identified in the </w:t>
      </w:r>
      <w:r w:rsidR="005F5EF6">
        <w:t xml:space="preserve">2016 Decision </w:t>
      </w:r>
      <w:r w:rsidRPr="00E53797">
        <w:t xml:space="preserve">RIS. Option 1 was a continuation of the CoOL framework that was in place up until June 2016. Option 2 was the introduction of visual elements (bar chart and kangaroo logo) to communicate </w:t>
      </w:r>
      <w:r>
        <w:rPr>
          <w:rFonts w:eastAsia="Calibri" w:cs="Times New Roman"/>
        </w:rPr>
        <w:t>CoOL</w:t>
      </w:r>
      <w:r w:rsidRPr="00E53797">
        <w:t xml:space="preserve"> and changes to the safe harbour defences</w:t>
      </w:r>
      <w:r>
        <w:rPr>
          <w:rFonts w:eastAsia="Calibri" w:cs="Times New Roman"/>
        </w:rPr>
        <w:t xml:space="preserve">. </w:t>
      </w:r>
      <w:r w:rsidRPr="00E53797">
        <w:t xml:space="preserve">Option 2 is now the current </w:t>
      </w:r>
      <w:r>
        <w:rPr>
          <w:rFonts w:eastAsia="Calibri" w:cs="Times New Roman"/>
        </w:rPr>
        <w:t>CoOL</w:t>
      </w:r>
      <w:r w:rsidRPr="00CC297D">
        <w:rPr>
          <w:rFonts w:eastAsia="Calibri" w:cs="Times New Roman"/>
        </w:rPr>
        <w:t xml:space="preserve"> </w:t>
      </w:r>
      <w:r w:rsidRPr="00E53797">
        <w:t>framework. Option 3 was similar to Option 2</w:t>
      </w:r>
      <w:r w:rsidR="00CE3036">
        <w:t>,</w:t>
      </w:r>
      <w:r w:rsidRPr="00E53797">
        <w:t xml:space="preserve"> but included a text</w:t>
      </w:r>
      <w:r w:rsidR="00CE3036">
        <w:t>-</w:t>
      </w:r>
      <w:r w:rsidRPr="00E53797">
        <w:t xml:space="preserve">only approach </w:t>
      </w:r>
      <w:r w:rsidR="00310FFF">
        <w:t>without</w:t>
      </w:r>
      <w:r w:rsidRPr="00E53797">
        <w:t xml:space="preserve"> visual indicators. </w:t>
      </w:r>
    </w:p>
    <w:p w14:paraId="236FE5D5" w14:textId="661259D5" w:rsidR="0011710C" w:rsidRDefault="0045557B" w:rsidP="00D93C18">
      <w:r w:rsidRPr="00E53797">
        <w:t xml:space="preserve">Overall, it </w:t>
      </w:r>
      <w:r w:rsidRPr="000A2A4A">
        <w:t>appears</w:t>
      </w:r>
      <w:r w:rsidRPr="00E53797">
        <w:t xml:space="preserve"> unlikely that alternative labelling models considered in the RIS would have addressed the issues outlined </w:t>
      </w:r>
      <w:r w:rsidR="00A351DF">
        <w:t>above</w:t>
      </w:r>
      <w:r w:rsidRPr="00CA2278">
        <w:t xml:space="preserve"> </w:t>
      </w:r>
      <w:r w:rsidRPr="00E53797">
        <w:t>more effectively</w:t>
      </w:r>
      <w:r>
        <w:t>.</w:t>
      </w:r>
      <w:r w:rsidRPr="000A2A4A">
        <w:t xml:space="preserve"> This is supported by the</w:t>
      </w:r>
      <w:r w:rsidRPr="00CA2278">
        <w:t xml:space="preserve"> CBA modelling</w:t>
      </w:r>
      <w:r w:rsidR="00AB273D">
        <w:rPr>
          <w:rStyle w:val="FootnoteReference"/>
        </w:rPr>
        <w:footnoteReference w:id="35"/>
      </w:r>
      <w:r w:rsidRPr="00CA2278">
        <w:t>, which found that the CoOL regulations</w:t>
      </w:r>
      <w:r w:rsidR="00CE3036">
        <w:t>,</w:t>
      </w:r>
      <w:r w:rsidRPr="00CA2278">
        <w:t xml:space="preserve"> which are currently in place</w:t>
      </w:r>
      <w:r w:rsidR="00CE3036">
        <w:t>,</w:t>
      </w:r>
      <w:r w:rsidRPr="00CA2278">
        <w:t xml:space="preserve"> provide </w:t>
      </w:r>
      <w:r w:rsidR="00CE0CA3" w:rsidRPr="00CE0CA3">
        <w:t>consumers with time</w:t>
      </w:r>
      <w:r w:rsidR="00CE3036">
        <w:t>-</w:t>
      </w:r>
      <w:r w:rsidR="00CE0CA3" w:rsidRPr="00CE0CA3">
        <w:t xml:space="preserve">saving benefits related to the introduction of visual elements </w:t>
      </w:r>
      <w:r w:rsidR="00CE0CA3">
        <w:t xml:space="preserve">and </w:t>
      </w:r>
      <w:r w:rsidRPr="00CA2278">
        <w:t>greater consumer satisfaction, relative to the CoOL regulations which were in effect prior to June 2016.</w:t>
      </w:r>
      <w:r w:rsidR="00855848">
        <w:t xml:space="preserve"> </w:t>
      </w:r>
    </w:p>
    <w:p w14:paraId="6C3FACD6" w14:textId="3AEC2401" w:rsidR="00855848" w:rsidRDefault="00855848" w:rsidP="00D93C18">
      <w:r>
        <w:t xml:space="preserve">The benefits derived from the CBA modelling were predominantly from </w:t>
      </w:r>
      <w:r w:rsidR="00FD6731">
        <w:t xml:space="preserve">time savings because of the visual elements </w:t>
      </w:r>
      <w:r w:rsidR="00310FFF">
        <w:t xml:space="preserve">introduced </w:t>
      </w:r>
      <w:r w:rsidR="00ED2787">
        <w:t xml:space="preserve">on the label (70%) and the increase in consumer WTP (utility) </w:t>
      </w:r>
      <w:r w:rsidR="00921EEF">
        <w:t xml:space="preserve">due to </w:t>
      </w:r>
      <w:r w:rsidR="00BB4BE2">
        <w:t>an</w:t>
      </w:r>
      <w:r w:rsidR="00921EEF">
        <w:t xml:space="preserve"> increase in </w:t>
      </w:r>
      <w:r w:rsidR="00BB4BE2">
        <w:t xml:space="preserve">the </w:t>
      </w:r>
      <w:r w:rsidR="00921EEF">
        <w:t xml:space="preserve">people that understand </w:t>
      </w:r>
      <w:r w:rsidR="00BB4BE2">
        <w:t xml:space="preserve">and utilise </w:t>
      </w:r>
      <w:r w:rsidR="00921EEF">
        <w:t>CoOL (as measured by WTP).</w:t>
      </w:r>
      <w:r w:rsidR="00A45A25">
        <w:t xml:space="preserve"> </w:t>
      </w:r>
      <w:r w:rsidR="0011710C">
        <w:t xml:space="preserve">Hence, </w:t>
      </w:r>
      <w:r w:rsidR="00E83CF0">
        <w:t>O</w:t>
      </w:r>
      <w:r w:rsidR="0011710C">
        <w:t xml:space="preserve">ption 3 of the RIS </w:t>
      </w:r>
      <w:r w:rsidR="00B62932">
        <w:t>(text</w:t>
      </w:r>
      <w:r w:rsidR="00E83CF0">
        <w:t>-</w:t>
      </w:r>
      <w:r w:rsidR="00B62932">
        <w:t>only option) was unlikely to have derived</w:t>
      </w:r>
      <w:r w:rsidR="00BB115A">
        <w:t xml:space="preserve"> a higher </w:t>
      </w:r>
      <w:r w:rsidR="003E396E">
        <w:t>BCR</w:t>
      </w:r>
      <w:r w:rsidR="00BB115A">
        <w:t xml:space="preserve"> as it is unlikely to have delivered the same </w:t>
      </w:r>
      <w:r w:rsidR="00E332CB">
        <w:t>benefits from the scheme</w:t>
      </w:r>
      <w:r w:rsidR="00BB115A">
        <w:t>.</w:t>
      </w:r>
    </w:p>
    <w:p w14:paraId="58BF1B7C" w14:textId="6EBB2611" w:rsidR="00C834C4" w:rsidRPr="00C834C4" w:rsidRDefault="00636793" w:rsidP="00C834C4">
      <w:pPr>
        <w:pStyle w:val="Heading3"/>
      </w:pPr>
      <w:bookmarkStart w:id="165" w:name="_Toc67499060"/>
      <w:r w:rsidRPr="00636793">
        <w:t>Key findings</w:t>
      </w:r>
      <w:r w:rsidR="00674759">
        <w:t xml:space="preserve">: </w:t>
      </w:r>
      <w:bookmarkEnd w:id="165"/>
      <w:r w:rsidR="007E3526">
        <w:t>Rationale and evidence for the 2016 CoOL reforms</w:t>
      </w:r>
    </w:p>
    <w:tbl>
      <w:tblPr>
        <w:tblStyle w:val="Deloittetable"/>
        <w:tblW w:w="5000" w:type="pct"/>
        <w:tblLook w:val="04A0" w:firstRow="1" w:lastRow="0" w:firstColumn="1" w:lastColumn="0" w:noHBand="0" w:noVBand="1"/>
        <w:tblDescription w:val="This table outlines the seven key findings for the chapter. These are 1) There were several problems with the CoOL regulations that were in place prior to the 2016 reforms, many of which were outlined in the 2014 inquiry and the Colmar Brunton research. These indicated that country of origin information was vague and difficult to understand and, therefore, prone to misleading claims.&#10;2) The 2016 reforms introduced changes to safe harbour defences and brought in visual indicators (i.e. allowing the use of the Australian Made, Australian Grown (AMAG) logo and a bar chart and text identifying the proportion of Australian content), designed to better communicate country of origin information at the point of purchase.&#10;3) There are evidence-based links between the CoOL reforms and expected outcomes of the scheme. &#10;4) There was evidence that the introduction of visual elements with an accompanying awareness campaign would likely assist the achievement of increased consumer understanding of the new labels. &#10;5) The provision of updated information and resources on known issues with the scheme, and development resources for businesses to assist in scheme compliance, was guided by evidence.&#10;6) There were 2 main alternative labelling models considered in the 2016 Decision RIS: the previous CoOL framework (Option 1) and the current CoOL framework (Option 2). A third option was considered, which was similar to Option 2, except with a text-only approach to labelling rather than visual indicators.&#10;It appears unlikely that alternative labelling models considered in the 2016 Decision RIS would have addressed the issues outlined in evaluation question one more effectively.&#10;"/>
      </w:tblPr>
      <w:tblGrid>
        <w:gridCol w:w="948"/>
        <w:gridCol w:w="8078"/>
      </w:tblGrid>
      <w:tr w:rsidR="00AB2F4F" w14:paraId="7F7F4337"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525" w:type="pct"/>
            <w:tcBorders>
              <w:top w:val="single" w:sz="24" w:space="0" w:color="012169" w:themeColor="accent4"/>
            </w:tcBorders>
          </w:tcPr>
          <w:p w14:paraId="368E4767" w14:textId="77777777" w:rsidR="00AB2F4F" w:rsidRPr="00AB2F4F" w:rsidRDefault="00AB2F4F" w:rsidP="00316D09">
            <w:pPr>
              <w:rPr>
                <w:b/>
                <w:bCs/>
              </w:rPr>
            </w:pPr>
            <w:r>
              <w:rPr>
                <w:b/>
                <w:bCs/>
              </w:rPr>
              <w:t>Ref</w:t>
            </w:r>
          </w:p>
        </w:tc>
        <w:tc>
          <w:tcPr>
            <w:tcW w:w="4475" w:type="pct"/>
            <w:tcBorders>
              <w:top w:val="single" w:sz="24" w:space="0" w:color="012169" w:themeColor="accent4"/>
            </w:tcBorders>
          </w:tcPr>
          <w:p w14:paraId="0B560EB7" w14:textId="342AF30E" w:rsidR="00AB2F4F" w:rsidRPr="00AB2F4F" w:rsidRDefault="007E3526" w:rsidP="00316D09">
            <w:pPr>
              <w:rPr>
                <w:b/>
                <w:bCs/>
              </w:rPr>
            </w:pPr>
            <w:r w:rsidRPr="007E3526">
              <w:rPr>
                <w:b/>
                <w:bCs/>
              </w:rPr>
              <w:t>What were the problems that the CoOL reforms were designed to address? Did clear, evidence-based links exist between the CoOL reforms and the expected outcomes? Were there alternative labelling models which could have more effectively addressed the issues?</w:t>
            </w:r>
          </w:p>
        </w:tc>
      </w:tr>
      <w:tr w:rsidR="00E866E9" w14:paraId="72860525" w14:textId="77777777" w:rsidTr="00417E0B">
        <w:trPr>
          <w:trHeight w:val="395"/>
        </w:trPr>
        <w:tc>
          <w:tcPr>
            <w:tcW w:w="525" w:type="pct"/>
          </w:tcPr>
          <w:p w14:paraId="504292C9" w14:textId="77777777" w:rsidR="00E866E9" w:rsidRDefault="00E866E9" w:rsidP="00E866E9">
            <w:r>
              <w:t>1</w:t>
            </w:r>
          </w:p>
        </w:tc>
        <w:tc>
          <w:tcPr>
            <w:tcW w:w="4475" w:type="pct"/>
          </w:tcPr>
          <w:p w14:paraId="250601F6" w14:textId="6B6A166E" w:rsidR="00E866E9" w:rsidRDefault="00E866E9" w:rsidP="00E866E9">
            <w:pPr>
              <w:pStyle w:val="ListBullet"/>
              <w:numPr>
                <w:ilvl w:val="0"/>
                <w:numId w:val="0"/>
              </w:numPr>
              <w:spacing w:after="170"/>
            </w:pPr>
            <w:r>
              <w:t xml:space="preserve">There were several problems with the CoOL regulations that were in place prior to the 2016 reforms, many of which were outlined in the 2014 </w:t>
            </w:r>
            <w:r w:rsidR="00B55893">
              <w:t>i</w:t>
            </w:r>
            <w:r>
              <w:t>nquiry and the Colmar Brunton research. These indicated that country of origin information was vague and difficult to understand and</w:t>
            </w:r>
            <w:r w:rsidR="00CA1875">
              <w:t>,</w:t>
            </w:r>
            <w:r>
              <w:t xml:space="preserve"> therefore</w:t>
            </w:r>
            <w:r w:rsidR="00CA1875">
              <w:t>,</w:t>
            </w:r>
            <w:r>
              <w:t xml:space="preserve"> prone to misleading claims.</w:t>
            </w:r>
          </w:p>
        </w:tc>
      </w:tr>
      <w:tr w:rsidR="00E866E9" w14:paraId="5F5BEFC0" w14:textId="77777777" w:rsidTr="00417E0B">
        <w:tc>
          <w:tcPr>
            <w:tcW w:w="525" w:type="pct"/>
          </w:tcPr>
          <w:p w14:paraId="1A8040EC" w14:textId="77777777" w:rsidR="00E866E9" w:rsidRDefault="00E866E9" w:rsidP="00E866E9">
            <w:r>
              <w:t>2</w:t>
            </w:r>
          </w:p>
        </w:tc>
        <w:tc>
          <w:tcPr>
            <w:tcW w:w="4475" w:type="pct"/>
          </w:tcPr>
          <w:p w14:paraId="4547678A" w14:textId="19C05230" w:rsidR="00E866E9" w:rsidRDefault="00E866E9" w:rsidP="00E866E9">
            <w:pPr>
              <w:pStyle w:val="ListBullet"/>
              <w:numPr>
                <w:ilvl w:val="0"/>
                <w:numId w:val="0"/>
              </w:numPr>
              <w:spacing w:after="170"/>
            </w:pPr>
            <w:r>
              <w:t xml:space="preserve">The 2016 reforms introduced changes to safe harbour defences and brought in visual indicators (i.e. allowing the use of the Australian Made, Australian Grown </w:t>
            </w:r>
            <w:r w:rsidR="00FE5A1F">
              <w:t>(</w:t>
            </w:r>
            <w:r>
              <w:t>AMAG</w:t>
            </w:r>
            <w:r w:rsidR="00FE5A1F">
              <w:t>)</w:t>
            </w:r>
            <w:r>
              <w:t xml:space="preserve"> logo and a bar chart and text identifying the proportion of Australian content), designed to better communicate country of origin information at the point of purchase.</w:t>
            </w:r>
          </w:p>
        </w:tc>
      </w:tr>
      <w:tr w:rsidR="00E866E9" w14:paraId="6A3509BE" w14:textId="77777777" w:rsidTr="00417E0B">
        <w:tc>
          <w:tcPr>
            <w:tcW w:w="525" w:type="pct"/>
          </w:tcPr>
          <w:p w14:paraId="650971B0" w14:textId="77777777" w:rsidR="00E866E9" w:rsidRDefault="00E866E9" w:rsidP="00E866E9">
            <w:r>
              <w:t>3</w:t>
            </w:r>
          </w:p>
        </w:tc>
        <w:tc>
          <w:tcPr>
            <w:tcW w:w="4475" w:type="pct"/>
          </w:tcPr>
          <w:p w14:paraId="365B5E15" w14:textId="77777777" w:rsidR="00E866E9" w:rsidRDefault="00E866E9" w:rsidP="00E866E9">
            <w:pPr>
              <w:pStyle w:val="ListBullet"/>
              <w:numPr>
                <w:ilvl w:val="0"/>
                <w:numId w:val="0"/>
              </w:numPr>
              <w:spacing w:after="170"/>
              <w:ind w:left="-6" w:firstLine="6"/>
            </w:pPr>
            <w:r>
              <w:t xml:space="preserve">There are evidence-based links between the CoOL reforms and expected outcomes of the </w:t>
            </w:r>
            <w:r w:rsidR="00E670FE">
              <w:t>scheme</w:t>
            </w:r>
            <w:r>
              <w:t xml:space="preserve">. </w:t>
            </w:r>
          </w:p>
        </w:tc>
      </w:tr>
      <w:tr w:rsidR="00E866E9" w14:paraId="2C18CBEC" w14:textId="77777777" w:rsidTr="00417E0B">
        <w:tc>
          <w:tcPr>
            <w:tcW w:w="525" w:type="pct"/>
          </w:tcPr>
          <w:p w14:paraId="0FC3AE1F" w14:textId="77777777" w:rsidR="00E866E9" w:rsidRDefault="00E866E9" w:rsidP="00E866E9">
            <w:r>
              <w:t>4</w:t>
            </w:r>
          </w:p>
        </w:tc>
        <w:tc>
          <w:tcPr>
            <w:tcW w:w="4475" w:type="pct"/>
          </w:tcPr>
          <w:p w14:paraId="60FB848C" w14:textId="77777777" w:rsidR="00E866E9" w:rsidRDefault="00E866E9" w:rsidP="00E866E9">
            <w:pPr>
              <w:pStyle w:val="ListBullet"/>
              <w:numPr>
                <w:ilvl w:val="0"/>
                <w:numId w:val="0"/>
              </w:numPr>
              <w:spacing w:after="170"/>
            </w:pPr>
            <w:r>
              <w:t xml:space="preserve">There was evidence that the introduction of visual elements with an accompanying awareness campaign would likely assist the achievement of increased consumer understanding of the new labels. </w:t>
            </w:r>
          </w:p>
        </w:tc>
      </w:tr>
      <w:tr w:rsidR="00E866E9" w14:paraId="6CCF77D0" w14:textId="77777777" w:rsidTr="00417E0B">
        <w:tc>
          <w:tcPr>
            <w:tcW w:w="525" w:type="pct"/>
          </w:tcPr>
          <w:p w14:paraId="4E53E723" w14:textId="77777777" w:rsidR="00E866E9" w:rsidRDefault="00E866E9" w:rsidP="00E866E9">
            <w:r>
              <w:t>5</w:t>
            </w:r>
          </w:p>
        </w:tc>
        <w:tc>
          <w:tcPr>
            <w:tcW w:w="4475" w:type="pct"/>
          </w:tcPr>
          <w:p w14:paraId="03D711B8" w14:textId="0C6059C3" w:rsidR="00E866E9" w:rsidRDefault="00E866E9" w:rsidP="00E866E9">
            <w:pPr>
              <w:pStyle w:val="ListBullet"/>
              <w:numPr>
                <w:ilvl w:val="0"/>
                <w:numId w:val="0"/>
              </w:numPr>
              <w:spacing w:after="170"/>
            </w:pPr>
            <w:r>
              <w:t xml:space="preserve">The provision of updated information and resources on known issues with the </w:t>
            </w:r>
            <w:r w:rsidR="00E670FE">
              <w:t>scheme</w:t>
            </w:r>
            <w:r w:rsidR="00CA1875">
              <w:t>,</w:t>
            </w:r>
            <w:r>
              <w:t xml:space="preserve"> and development </w:t>
            </w:r>
            <w:r w:rsidR="00EB3994">
              <w:t xml:space="preserve">of </w:t>
            </w:r>
            <w:r>
              <w:t xml:space="preserve">resources for businesses to assist in </w:t>
            </w:r>
            <w:r w:rsidR="00E670FE">
              <w:t>scheme</w:t>
            </w:r>
            <w:r>
              <w:t xml:space="preserve"> compliance, was guided by evidence.</w:t>
            </w:r>
          </w:p>
        </w:tc>
      </w:tr>
      <w:tr w:rsidR="00E866E9" w14:paraId="32D1182F" w14:textId="77777777" w:rsidTr="00417E0B">
        <w:tc>
          <w:tcPr>
            <w:tcW w:w="525" w:type="pct"/>
          </w:tcPr>
          <w:p w14:paraId="6E345AB3" w14:textId="77777777" w:rsidR="00E866E9" w:rsidRDefault="00E866E9" w:rsidP="00E866E9">
            <w:r>
              <w:t>6</w:t>
            </w:r>
          </w:p>
        </w:tc>
        <w:tc>
          <w:tcPr>
            <w:tcW w:w="4475" w:type="pct"/>
          </w:tcPr>
          <w:p w14:paraId="698873D8" w14:textId="4978597F" w:rsidR="00E866E9" w:rsidRDefault="00E866E9" w:rsidP="00E866E9">
            <w:pPr>
              <w:pStyle w:val="ListBullet"/>
              <w:numPr>
                <w:ilvl w:val="0"/>
                <w:numId w:val="0"/>
              </w:numPr>
              <w:spacing w:after="170"/>
            </w:pPr>
            <w:r w:rsidRPr="002D759D">
              <w:t xml:space="preserve">There were </w:t>
            </w:r>
            <w:r w:rsidR="00CA1875">
              <w:t>2</w:t>
            </w:r>
            <w:r w:rsidR="00CA1875" w:rsidRPr="002D759D">
              <w:t xml:space="preserve"> </w:t>
            </w:r>
            <w:r w:rsidRPr="002D759D">
              <w:t>main alternative labelling models considered in the 2016 Decision RIS: the previous CoOL framework (</w:t>
            </w:r>
            <w:r w:rsidR="00CA1875">
              <w:t>O</w:t>
            </w:r>
            <w:r w:rsidRPr="002D759D">
              <w:t>ption 1) and the current CoOL framework (</w:t>
            </w:r>
            <w:r w:rsidR="00CA1875">
              <w:t>O</w:t>
            </w:r>
            <w:r w:rsidRPr="002D759D">
              <w:t xml:space="preserve">ption 2). A third </w:t>
            </w:r>
            <w:r w:rsidRPr="002D759D">
              <w:lastRenderedPageBreak/>
              <w:t xml:space="preserve">option was considered, which was similar to </w:t>
            </w:r>
            <w:r w:rsidR="00CA1875">
              <w:t>O</w:t>
            </w:r>
            <w:r w:rsidRPr="002D759D">
              <w:t>ption 2, except with a text</w:t>
            </w:r>
            <w:r w:rsidR="00CA1875">
              <w:t>-</w:t>
            </w:r>
            <w:r w:rsidRPr="002D759D">
              <w:t>only approach to labelling rather than visual indicators.</w:t>
            </w:r>
          </w:p>
        </w:tc>
      </w:tr>
      <w:tr w:rsidR="00E866E9" w14:paraId="04CCF377" w14:textId="77777777" w:rsidTr="00417E0B">
        <w:tc>
          <w:tcPr>
            <w:tcW w:w="525" w:type="pct"/>
          </w:tcPr>
          <w:p w14:paraId="1A99A070" w14:textId="77777777" w:rsidR="00E866E9" w:rsidRDefault="00E866E9" w:rsidP="00E866E9">
            <w:r>
              <w:lastRenderedPageBreak/>
              <w:t>7</w:t>
            </w:r>
          </w:p>
        </w:tc>
        <w:tc>
          <w:tcPr>
            <w:tcW w:w="4475" w:type="pct"/>
          </w:tcPr>
          <w:p w14:paraId="12ACA89B" w14:textId="5002041B" w:rsidR="00E866E9" w:rsidRDefault="00E866E9" w:rsidP="00E866E9">
            <w:pPr>
              <w:pStyle w:val="ListBullet"/>
              <w:numPr>
                <w:ilvl w:val="0"/>
                <w:numId w:val="0"/>
              </w:numPr>
              <w:spacing w:after="170"/>
            </w:pPr>
            <w:r w:rsidRPr="002D759D">
              <w:t xml:space="preserve">It appears unlikely that alternative labelling models considered in the 2016 Decision RIS would have addressed the issues outlined in evaluation question </w:t>
            </w:r>
            <w:r w:rsidR="007226DD">
              <w:t>one</w:t>
            </w:r>
            <w:r w:rsidR="007226DD" w:rsidRPr="002D759D">
              <w:t xml:space="preserve"> </w:t>
            </w:r>
            <w:r w:rsidRPr="002D759D">
              <w:t>more effectively.</w:t>
            </w:r>
          </w:p>
        </w:tc>
      </w:tr>
    </w:tbl>
    <w:p w14:paraId="45A4D5B3" w14:textId="77777777" w:rsidR="009E553A" w:rsidRDefault="00330747" w:rsidP="009E553A">
      <w:pPr>
        <w:pStyle w:val="Heading2"/>
      </w:pPr>
      <w:bookmarkStart w:id="166" w:name="_Toc66774327"/>
      <w:bookmarkStart w:id="167" w:name="_Toc67499061"/>
      <w:bookmarkStart w:id="168" w:name="_Toc94702051"/>
      <w:bookmarkEnd w:id="166"/>
      <w:r>
        <w:t xml:space="preserve">Implementation </w:t>
      </w:r>
      <w:r w:rsidR="009E553A">
        <w:t>of reforms relative to</w:t>
      </w:r>
      <w:r w:rsidR="009E553A" w:rsidRPr="00C16587">
        <w:t xml:space="preserve"> original scope, budget and timeframe</w:t>
      </w:r>
      <w:bookmarkEnd w:id="167"/>
      <w:bookmarkEnd w:id="168"/>
    </w:p>
    <w:p w14:paraId="5FA71A14" w14:textId="77777777" w:rsidR="009E553A" w:rsidRDefault="009E553A" w:rsidP="009E553A">
      <w:r>
        <w:t xml:space="preserve">The evaluation has considered whether the CoOL reforms were delivered within their original scope, budget and timeframe.   </w:t>
      </w:r>
    </w:p>
    <w:p w14:paraId="26D701FD" w14:textId="290E2D16" w:rsidR="009E553A" w:rsidRDefault="009E553A" w:rsidP="009E553A">
      <w:pPr>
        <w:pStyle w:val="Heading3"/>
      </w:pPr>
      <w:bookmarkStart w:id="169" w:name="_Toc67499063"/>
      <w:r>
        <w:t>Intended scope, budget and timeframe</w:t>
      </w:r>
      <w:bookmarkEnd w:id="169"/>
    </w:p>
    <w:p w14:paraId="21741417" w14:textId="77777777" w:rsidR="009E553A" w:rsidRDefault="009E553A" w:rsidP="009E553A">
      <w:r>
        <w:t xml:space="preserve">The </w:t>
      </w:r>
      <w:r w:rsidR="009A1008">
        <w:t xml:space="preserve">2016 Decision </w:t>
      </w:r>
      <w:r>
        <w:t>RIS describes the scope of</w:t>
      </w:r>
      <w:r w:rsidR="009A1008">
        <w:t xml:space="preserve"> the preferred</w:t>
      </w:r>
      <w:r>
        <w:t xml:space="preserve"> </w:t>
      </w:r>
      <w:r w:rsidR="009A1008">
        <w:t>option (</w:t>
      </w:r>
      <w:r>
        <w:t>Option 2</w:t>
      </w:r>
      <w:r w:rsidR="009A1008">
        <w:t>)</w:t>
      </w:r>
      <w:r>
        <w:t xml:space="preserve"> as:</w:t>
      </w:r>
    </w:p>
    <w:p w14:paraId="7D336D46" w14:textId="77777777" w:rsidR="009E553A" w:rsidRDefault="009E553A" w:rsidP="009E553A">
      <w:pPr>
        <w:ind w:left="720"/>
        <w:rPr>
          <w:i/>
        </w:rPr>
      </w:pPr>
      <w:r>
        <w:rPr>
          <w:i/>
          <w:iCs/>
        </w:rPr>
        <w:t>“…</w:t>
      </w:r>
      <w:r w:rsidRPr="00647B75">
        <w:rPr>
          <w:i/>
          <w:iCs/>
        </w:rPr>
        <w:t>using the logo of a kangaroo in a triangle on food made, produced or grown in Australia; displaying the proportion of local ingredients on Australian food; simplifying the rules for using certain origin statements and placing country of origin statements on imported food in a box and clarifying claims</w:t>
      </w:r>
      <w:r>
        <w:rPr>
          <w:i/>
          <w:iCs/>
        </w:rPr>
        <w:t>.”</w:t>
      </w:r>
      <w:r>
        <w:rPr>
          <w:rStyle w:val="EndnoteReference"/>
          <w:i/>
          <w:iCs/>
        </w:rPr>
        <w:endnoteReference w:id="2"/>
      </w:r>
    </w:p>
    <w:p w14:paraId="41221E16" w14:textId="10D3C2A2" w:rsidR="009E553A" w:rsidRPr="00647B75" w:rsidRDefault="000A18A9" w:rsidP="009E553A">
      <w:r>
        <w:t>T</w:t>
      </w:r>
      <w:r w:rsidR="009E553A">
        <w:t xml:space="preserve">he </w:t>
      </w:r>
      <w:r w:rsidR="0022008C">
        <w:t xml:space="preserve">Decision </w:t>
      </w:r>
      <w:r w:rsidR="009E553A">
        <w:t xml:space="preserve">RIS </w:t>
      </w:r>
      <w:r w:rsidR="009E553A" w:rsidRPr="0022008C">
        <w:t xml:space="preserve">estimated the cost of this change </w:t>
      </w:r>
      <w:r w:rsidR="0022008C" w:rsidRPr="0022008C">
        <w:t>would</w:t>
      </w:r>
      <w:r w:rsidR="009E553A" w:rsidRPr="0022008C">
        <w:t xml:space="preserve"> be around </w:t>
      </w:r>
      <w:r w:rsidR="009E553A" w:rsidRPr="00F977D1">
        <w:t>$492.0 million</w:t>
      </w:r>
      <w:r w:rsidR="009E553A" w:rsidRPr="0022008C">
        <w:t xml:space="preserve"> and benefits</w:t>
      </w:r>
      <w:r w:rsidR="00E21112">
        <w:t xml:space="preserve"> were expected to be</w:t>
      </w:r>
      <w:r w:rsidR="009E553A" w:rsidRPr="0022008C">
        <w:t xml:space="preserve"> in the order of around </w:t>
      </w:r>
      <w:r w:rsidR="009E553A" w:rsidRPr="00F977D1">
        <w:t>$558.0 million</w:t>
      </w:r>
      <w:r w:rsidR="009E553A" w:rsidRPr="0022008C">
        <w:t xml:space="preserve"> (in present value terms). Together, </w:t>
      </w:r>
      <w:r w:rsidR="00E21112">
        <w:t>the Decision RIS</w:t>
      </w:r>
      <w:r w:rsidR="009E553A" w:rsidRPr="0022008C">
        <w:t xml:space="preserve"> estimated a positive </w:t>
      </w:r>
      <w:r w:rsidR="002F1934">
        <w:t>Net Present Value (</w:t>
      </w:r>
      <w:r w:rsidR="009E553A" w:rsidRPr="0022008C">
        <w:t>NPV</w:t>
      </w:r>
      <w:r w:rsidR="002F1934">
        <w:t>)</w:t>
      </w:r>
      <w:r w:rsidR="009E553A" w:rsidRPr="0022008C">
        <w:t xml:space="preserve"> of </w:t>
      </w:r>
      <w:r w:rsidR="009E553A" w:rsidRPr="00F977D1">
        <w:t>$66.0 million</w:t>
      </w:r>
      <w:r w:rsidR="009E553A" w:rsidRPr="0022008C">
        <w:t xml:space="preserve">, which means that the RIS expected </w:t>
      </w:r>
      <w:r w:rsidR="009E553A" w:rsidRPr="00F977D1">
        <w:t>$66.0</w:t>
      </w:r>
      <w:r w:rsidR="00300753">
        <w:t> </w:t>
      </w:r>
      <w:r w:rsidR="009E553A" w:rsidRPr="00F977D1">
        <w:t>million</w:t>
      </w:r>
      <w:r w:rsidR="009E553A" w:rsidRPr="0022008C">
        <w:t xml:space="preserve"> in additional benefits to the Australian community </w:t>
      </w:r>
      <w:r w:rsidR="008B1522">
        <w:t>from</w:t>
      </w:r>
      <w:r w:rsidR="009E553A" w:rsidRPr="0022008C">
        <w:t xml:space="preserve"> the scheme.</w:t>
      </w:r>
      <w:r w:rsidR="009E553A">
        <w:t xml:space="preserve"> </w:t>
      </w:r>
    </w:p>
    <w:p w14:paraId="54E91B91" w14:textId="52AA0075" w:rsidR="009E553A" w:rsidRDefault="009E553A" w:rsidP="009E553A">
      <w:r>
        <w:t>The RIS also outlined the change to commence as specified in the legislation (which was expected to be July 2016)</w:t>
      </w:r>
      <w:r w:rsidR="009347B4">
        <w:t>,</w:t>
      </w:r>
      <w:r>
        <w:t xml:space="preserve"> which marked the start of a 24-month transition period, before the scheme commenced in its entirety. </w:t>
      </w:r>
      <w:r w:rsidR="00E4196E" w:rsidRPr="00E4196E">
        <w:t>The Country of Origin Food Labelling Information Standard 2016 came into force on 1 July 2016</w:t>
      </w:r>
      <w:r w:rsidR="00E4196E">
        <w:t xml:space="preserve">, </w:t>
      </w:r>
      <w:r w:rsidR="00E4196E" w:rsidRPr="00E4196E">
        <w:t xml:space="preserve">before the scheme commenced in its entirety </w:t>
      </w:r>
      <w:r w:rsidR="009347B4">
        <w:t>on</w:t>
      </w:r>
      <w:r w:rsidR="009347B4" w:rsidRPr="00E4196E">
        <w:t xml:space="preserve"> </w:t>
      </w:r>
      <w:r w:rsidR="00E4196E" w:rsidRPr="00E4196E">
        <w:t>1 July 2018.</w:t>
      </w:r>
    </w:p>
    <w:p w14:paraId="0DD360E5" w14:textId="77777777" w:rsidR="009E553A" w:rsidRDefault="009E553A" w:rsidP="009E553A">
      <w:pPr>
        <w:pStyle w:val="Heading3"/>
      </w:pPr>
      <w:bookmarkStart w:id="170" w:name="_Toc66396777"/>
      <w:bookmarkStart w:id="171" w:name="_Toc67499064"/>
      <w:bookmarkEnd w:id="170"/>
      <w:r>
        <w:t xml:space="preserve">The CoOL </w:t>
      </w:r>
      <w:r w:rsidR="00E670FE">
        <w:t>scheme</w:t>
      </w:r>
      <w:r>
        <w:t xml:space="preserve"> was broadly delivered within the intended</w:t>
      </w:r>
      <w:r w:rsidR="00117CB9">
        <w:t xml:space="preserve"> scope and</w:t>
      </w:r>
      <w:r>
        <w:t xml:space="preserve"> timeframes</w:t>
      </w:r>
      <w:bookmarkEnd w:id="171"/>
    </w:p>
    <w:p w14:paraId="0138F528" w14:textId="783E5439" w:rsidR="00117CB9" w:rsidRDefault="00117CB9" w:rsidP="00117CB9">
      <w:pPr>
        <w:rPr>
          <w:highlight w:val="yellow"/>
        </w:rPr>
      </w:pPr>
      <w:r w:rsidRPr="00647B75">
        <w:t xml:space="preserve">It was expressed in </w:t>
      </w:r>
      <w:r>
        <w:t xml:space="preserve">almost all </w:t>
      </w:r>
      <w:r w:rsidRPr="00647B75">
        <w:t xml:space="preserve">government consultations that </w:t>
      </w:r>
      <w:r>
        <w:t xml:space="preserve">the CoOL </w:t>
      </w:r>
      <w:r w:rsidR="00E670FE">
        <w:t>scheme</w:t>
      </w:r>
      <w:r>
        <w:t xml:space="preserve"> was delivered within the intended scope, as previously detailed in</w:t>
      </w:r>
      <w:r w:rsidR="00417E0B">
        <w:t xml:space="preserve"> Section </w:t>
      </w:r>
      <w:r w:rsidR="00417E0B">
        <w:fldChar w:fldCharType="begin"/>
      </w:r>
      <w:r w:rsidR="00417E0B">
        <w:instrText xml:space="preserve"> REF _Ref72180461 \n \h </w:instrText>
      </w:r>
      <w:r w:rsidR="00417E0B">
        <w:fldChar w:fldCharType="separate"/>
      </w:r>
      <w:r w:rsidR="0017363C">
        <w:t>3.1</w:t>
      </w:r>
      <w:r w:rsidR="00417E0B">
        <w:fldChar w:fldCharType="end"/>
      </w:r>
      <w:r>
        <w:t>. A</w:t>
      </w:r>
      <w:r w:rsidR="00204BFE">
        <w:t>n Australian G</w:t>
      </w:r>
      <w:r w:rsidR="00A62F8E">
        <w:t xml:space="preserve">overnment </w:t>
      </w:r>
      <w:r>
        <w:t>stakeholder further highlighted th</w:t>
      </w:r>
      <w:r w:rsidR="00016919">
        <w:t>at the</w:t>
      </w:r>
      <w:r>
        <w:t xml:space="preserve"> distinction between priority and non-priority products was driven by consumers who valued country on origin information on less processed foods</w:t>
      </w:r>
      <w:r w:rsidR="00262E2B">
        <w:t>,</w:t>
      </w:r>
      <w:r>
        <w:t xml:space="preserve"> such as fresh fruit</w:t>
      </w:r>
      <w:r w:rsidR="00262E2B">
        <w:t>s</w:t>
      </w:r>
      <w:r>
        <w:t xml:space="preserve"> and vegetables. </w:t>
      </w:r>
    </w:p>
    <w:p w14:paraId="036A5616" w14:textId="3B030E88" w:rsidR="00A029E6" w:rsidRDefault="009E553A" w:rsidP="00213CFD">
      <w:r>
        <w:t>Its implementation is broadly in line with the original timeframes</w:t>
      </w:r>
      <w:r w:rsidR="002D4553">
        <w:t xml:space="preserve">, as evidenced by government groups that </w:t>
      </w:r>
      <w:r w:rsidR="00213CFD">
        <w:t>indicated industry groups were able to deliver the CoOL scheme within the intended timeframe</w:t>
      </w:r>
      <w:r w:rsidR="00303D7C">
        <w:t>.</w:t>
      </w:r>
      <w:r>
        <w:t xml:space="preserve"> </w:t>
      </w:r>
      <w:r w:rsidR="00043DB6">
        <w:t xml:space="preserve">Further details on the </w:t>
      </w:r>
      <w:r w:rsidR="00EE601E">
        <w:t xml:space="preserve">response of industry to the </w:t>
      </w:r>
      <w:r w:rsidR="00760C34">
        <w:t>transition</w:t>
      </w:r>
      <w:r w:rsidR="00EE601E">
        <w:t xml:space="preserve"> period is </w:t>
      </w:r>
      <w:r w:rsidR="006236DF">
        <w:t>detailed in</w:t>
      </w:r>
      <w:r w:rsidR="00EE601E">
        <w:t xml:space="preserve"> </w:t>
      </w:r>
      <w:r w:rsidR="00BB4BE2">
        <w:t>S</w:t>
      </w:r>
      <w:r w:rsidR="00EE601E">
        <w:t xml:space="preserve">ection </w:t>
      </w:r>
      <w:r w:rsidR="00EE601E">
        <w:fldChar w:fldCharType="begin"/>
      </w:r>
      <w:r w:rsidR="00EE601E">
        <w:instrText xml:space="preserve"> REF _Ref66883278 \r \h </w:instrText>
      </w:r>
      <w:r w:rsidR="00EE601E">
        <w:fldChar w:fldCharType="separate"/>
      </w:r>
      <w:r w:rsidR="0017363C">
        <w:t>6.2</w:t>
      </w:r>
      <w:r w:rsidR="00EE601E">
        <w:fldChar w:fldCharType="end"/>
      </w:r>
      <w:r w:rsidR="00EE601E">
        <w:t>.</w:t>
      </w:r>
      <w:r w:rsidR="00043DB6">
        <w:t xml:space="preserve"> </w:t>
      </w:r>
    </w:p>
    <w:p w14:paraId="2175430D" w14:textId="5795E566" w:rsidR="009E553A" w:rsidRDefault="00213CFD" w:rsidP="009E553A">
      <w:pPr>
        <w:pStyle w:val="Heading3"/>
      </w:pPr>
      <w:bookmarkStart w:id="172" w:name="_Toc67499065"/>
      <w:r>
        <w:t>C</w:t>
      </w:r>
      <w:r w:rsidR="009E553A">
        <w:t>ost of CoOL</w:t>
      </w:r>
      <w:r>
        <w:t xml:space="preserve"> to industry</w:t>
      </w:r>
      <w:r w:rsidR="009E553A">
        <w:t xml:space="preserve"> </w:t>
      </w:r>
      <w:r>
        <w:t>was</w:t>
      </w:r>
      <w:r w:rsidR="009E553A">
        <w:t xml:space="preserve"> higher than </w:t>
      </w:r>
      <w:bookmarkEnd w:id="172"/>
      <w:r>
        <w:t>original modelling</w:t>
      </w:r>
    </w:p>
    <w:p w14:paraId="2A9A05A4" w14:textId="2829C254" w:rsidR="009E553A" w:rsidRDefault="00213CFD" w:rsidP="009E553A">
      <w:r>
        <w:t>Modelling conducted in 2016 indicated that</w:t>
      </w:r>
      <w:r w:rsidR="009E553A">
        <w:t xml:space="preserve"> the CoOL </w:t>
      </w:r>
      <w:r w:rsidR="00E670FE">
        <w:t>scheme</w:t>
      </w:r>
      <w:r w:rsidR="009E553A">
        <w:t xml:space="preserve"> </w:t>
      </w:r>
      <w:r>
        <w:t>may cost</w:t>
      </w:r>
      <w:r w:rsidR="009E553A">
        <w:t xml:space="preserve"> $597.5 million </w:t>
      </w:r>
      <w:r>
        <w:t>(</w:t>
      </w:r>
      <w:r w:rsidR="002C5F49">
        <w:t>p</w:t>
      </w:r>
      <w:r w:rsidR="00772162">
        <w:t xml:space="preserve">resent </w:t>
      </w:r>
      <w:r w:rsidR="002C5F49">
        <w:t>v</w:t>
      </w:r>
      <w:r w:rsidR="00772162">
        <w:t>alue</w:t>
      </w:r>
      <w:r>
        <w:t xml:space="preserve"> terms) </w:t>
      </w:r>
      <w:r w:rsidR="009E553A">
        <w:t>between FY2016 and FY2041</w:t>
      </w:r>
      <w:r w:rsidR="005A4FA6">
        <w:t>. The</w:t>
      </w:r>
      <w:r w:rsidR="009E553A">
        <w:t xml:space="preserve"> CBA modelling</w:t>
      </w:r>
      <w:r w:rsidR="00AE0EFF">
        <w:t xml:space="preserve"> by Deloitte Australia</w:t>
      </w:r>
      <w:r w:rsidR="009E553A">
        <w:t xml:space="preserve"> suggests the </w:t>
      </w:r>
      <w:r w:rsidR="00E670FE">
        <w:t>scheme</w:t>
      </w:r>
      <w:r w:rsidR="009E553A">
        <w:t xml:space="preserve"> cost</w:t>
      </w:r>
      <w:r w:rsidR="000B14DF">
        <w:t>ed</w:t>
      </w:r>
      <w:r w:rsidR="009E553A">
        <w:t xml:space="preserve"> $</w:t>
      </w:r>
      <w:r w:rsidR="00BD3E3E">
        <w:t>1.7</w:t>
      </w:r>
      <w:r w:rsidR="009E553A">
        <w:t xml:space="preserve"> billion</w:t>
      </w:r>
      <w:r w:rsidR="003C4AC5">
        <w:t xml:space="preserve"> over th</w:t>
      </w:r>
      <w:r w:rsidR="00B56D10">
        <w:t>e same</w:t>
      </w:r>
      <w:r w:rsidR="003C4AC5">
        <w:t xml:space="preserve"> period</w:t>
      </w:r>
      <w:r w:rsidR="009E553A">
        <w:t>.</w:t>
      </w:r>
      <w:r w:rsidR="00A445E0">
        <w:rPr>
          <w:rStyle w:val="FootnoteReference"/>
        </w:rPr>
        <w:footnoteReference w:id="36"/>
      </w:r>
      <w:r w:rsidR="009E553A">
        <w:t xml:space="preserve"> Key reasons for the difference between results </w:t>
      </w:r>
      <w:r w:rsidR="00A1059E">
        <w:t>relate to the</w:t>
      </w:r>
      <w:r>
        <w:t xml:space="preserve"> additional costs likely </w:t>
      </w:r>
      <w:r w:rsidR="00A1059E">
        <w:t>borne by industry that were not factored in, including</w:t>
      </w:r>
      <w:r w:rsidR="009E553A">
        <w:t>:</w:t>
      </w:r>
    </w:p>
    <w:p w14:paraId="71D71C9F" w14:textId="348B64FB" w:rsidR="0042711A" w:rsidRDefault="00495368" w:rsidP="009E553A">
      <w:pPr>
        <w:pStyle w:val="ListBullet"/>
      </w:pPr>
      <w:r>
        <w:lastRenderedPageBreak/>
        <w:t>Previous</w:t>
      </w:r>
      <w:r w:rsidR="009E553A">
        <w:t xml:space="preserve"> modelling assumed very few costs of an ongoing nature post 2017, </w:t>
      </w:r>
      <w:r w:rsidR="00E306EE">
        <w:t xml:space="preserve">whereas </w:t>
      </w:r>
      <w:r w:rsidR="005A4FA6">
        <w:t>the modelling for this evaluation</w:t>
      </w:r>
      <w:r w:rsidR="009E553A">
        <w:t xml:space="preserve"> </w:t>
      </w:r>
      <w:r w:rsidR="004F36BB">
        <w:t>incorporated</w:t>
      </w:r>
      <w:r w:rsidR="009E553A">
        <w:t xml:space="preserve"> </w:t>
      </w:r>
      <w:r w:rsidR="00E306EE">
        <w:t xml:space="preserve">both </w:t>
      </w:r>
      <w:r w:rsidR="001E484C">
        <w:t xml:space="preserve">large </w:t>
      </w:r>
      <w:r w:rsidR="0042711A">
        <w:t>up</w:t>
      </w:r>
      <w:r w:rsidR="008910BC">
        <w:t>-</w:t>
      </w:r>
      <w:r w:rsidR="0042711A">
        <w:t xml:space="preserve">front </w:t>
      </w:r>
      <w:r w:rsidR="00237560">
        <w:t xml:space="preserve">costs </w:t>
      </w:r>
      <w:r w:rsidR="0042711A">
        <w:t>a</w:t>
      </w:r>
      <w:r w:rsidR="00237560">
        <w:t>s well as</w:t>
      </w:r>
      <w:r w:rsidR="0042711A">
        <w:t xml:space="preserve"> ongoing costs as reflected by the business survey</w:t>
      </w:r>
      <w:r w:rsidR="008910BC">
        <w:t>.</w:t>
      </w:r>
      <w:r w:rsidR="0042711A">
        <w:t xml:space="preserve"> </w:t>
      </w:r>
    </w:p>
    <w:p w14:paraId="6471FADE" w14:textId="62ADCD32" w:rsidR="009E553A" w:rsidRDefault="00495368" w:rsidP="009E553A">
      <w:pPr>
        <w:pStyle w:val="ListBullet"/>
      </w:pPr>
      <w:r>
        <w:t>Previous</w:t>
      </w:r>
      <w:r w:rsidR="009E553A">
        <w:t xml:space="preserve"> modelling excluded the up</w:t>
      </w:r>
      <w:r w:rsidR="008910BC">
        <w:t>-</w:t>
      </w:r>
      <w:r w:rsidR="009E553A">
        <w:t>front and ongoing costs to egg and poultry businesses, which understated the cost</w:t>
      </w:r>
      <w:r w:rsidR="008910BC">
        <w:t>.</w:t>
      </w:r>
    </w:p>
    <w:p w14:paraId="03B20147" w14:textId="28961220" w:rsidR="002E22CC" w:rsidRDefault="00C03D68" w:rsidP="00393228">
      <w:pPr>
        <w:pStyle w:val="ListBullet"/>
      </w:pPr>
      <w:r>
        <w:t>Previous</w:t>
      </w:r>
      <w:r w:rsidR="009E553A">
        <w:t xml:space="preserve"> modelling assumed the number of businesses subject to CoOL information regulations remained the same over time</w:t>
      </w:r>
      <w:r w:rsidR="00213CFD">
        <w:t>.</w:t>
      </w:r>
      <w:r w:rsidR="009E553A">
        <w:t xml:space="preserve"> </w:t>
      </w:r>
      <w:r w:rsidR="006E01B5">
        <w:t>For this evaluation, a</w:t>
      </w:r>
      <w:r w:rsidR="009E553A">
        <w:t xml:space="preserve"> </w:t>
      </w:r>
      <w:r w:rsidR="00455774">
        <w:t>c</w:t>
      </w:r>
      <w:r w:rsidR="00455774" w:rsidRPr="00455774">
        <w:t xml:space="preserve">onstant annual growth rate </w:t>
      </w:r>
      <w:r w:rsidR="005A4FA6">
        <w:t>was estimated</w:t>
      </w:r>
      <w:r w:rsidR="009E553A">
        <w:t xml:space="preserve"> for the number of businesses impact</w:t>
      </w:r>
      <w:r w:rsidR="00412A56">
        <w:t>ed</w:t>
      </w:r>
      <w:r w:rsidR="009E553A">
        <w:t xml:space="preserve"> by CoOL.</w:t>
      </w:r>
    </w:p>
    <w:p w14:paraId="5EE7A01D" w14:textId="77777777" w:rsidR="00C22C2A" w:rsidRDefault="00C22C2A" w:rsidP="002E22CC">
      <w:pPr>
        <w:pStyle w:val="ListBullet"/>
        <w:numPr>
          <w:ilvl w:val="0"/>
          <w:numId w:val="0"/>
        </w:numPr>
        <w:ind w:left="340" w:hanging="340"/>
      </w:pPr>
    </w:p>
    <w:p w14:paraId="76F64F86" w14:textId="77777777" w:rsidR="00C834C4" w:rsidRPr="00C834C4" w:rsidRDefault="009E553A" w:rsidP="00035BEA">
      <w:pPr>
        <w:pStyle w:val="Heading3"/>
      </w:pPr>
      <w:bookmarkStart w:id="173" w:name="_Toc66774333"/>
      <w:bookmarkStart w:id="174" w:name="_Toc67499066"/>
      <w:bookmarkEnd w:id="173"/>
      <w:r w:rsidRPr="00E53797">
        <w:t>Key findings</w:t>
      </w:r>
      <w:r>
        <w:t xml:space="preserve">: Implementation of </w:t>
      </w:r>
      <w:r w:rsidR="001F79A8">
        <w:t xml:space="preserve">the </w:t>
      </w:r>
      <w:r>
        <w:t>CoOL reforms</w:t>
      </w:r>
      <w:bookmarkEnd w:id="174"/>
    </w:p>
    <w:tbl>
      <w:tblPr>
        <w:tblStyle w:val="Deloittetable"/>
        <w:tblW w:w="0" w:type="auto"/>
        <w:tblLook w:val="04A0" w:firstRow="1" w:lastRow="0" w:firstColumn="1" w:lastColumn="0" w:noHBand="0" w:noVBand="1"/>
        <w:tblDescription w:val="This table outlines three key findings on the implementation of the CoOL reforms. These are: 1) Government stakeholders stated the CoOL reforms were widely considered to be a well-implemented reform and in many respects are considered an implementation exemplar.&#10;2) Industry groups and businesses generally acknowledged that the reforms were delivered within their original scope, budget and timeframe.&#10;3) Some businesses suggested a longer transition period than 2 years would have been appropriate.&#10;"/>
      </w:tblPr>
      <w:tblGrid>
        <w:gridCol w:w="1134"/>
        <w:gridCol w:w="7892"/>
      </w:tblGrid>
      <w:tr w:rsidR="003967F4" w14:paraId="0123EFC6"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6255C376" w14:textId="77777777" w:rsidR="003967F4" w:rsidRPr="00AB2F4F" w:rsidRDefault="003967F4" w:rsidP="00AB1DCE">
            <w:pPr>
              <w:rPr>
                <w:b/>
                <w:bCs/>
              </w:rPr>
            </w:pPr>
            <w:r>
              <w:rPr>
                <w:b/>
                <w:bCs/>
              </w:rPr>
              <w:t>Ref</w:t>
            </w:r>
          </w:p>
        </w:tc>
        <w:tc>
          <w:tcPr>
            <w:tcW w:w="7892" w:type="dxa"/>
            <w:tcBorders>
              <w:top w:val="single" w:sz="24" w:space="0" w:color="012169" w:themeColor="accent4"/>
            </w:tcBorders>
          </w:tcPr>
          <w:p w14:paraId="0F386268" w14:textId="7AD11FEC" w:rsidR="003967F4" w:rsidRPr="00AB2F4F" w:rsidRDefault="006A77CA" w:rsidP="00AB1DCE">
            <w:pPr>
              <w:rPr>
                <w:b/>
                <w:bCs/>
              </w:rPr>
            </w:pPr>
            <w:r w:rsidRPr="006A77CA">
              <w:rPr>
                <w:b/>
                <w:bCs/>
              </w:rPr>
              <w:t>Were the CoOL reforms delivered within their original scope, budget and timeframe?</w:t>
            </w:r>
          </w:p>
        </w:tc>
      </w:tr>
      <w:tr w:rsidR="002E22CC" w14:paraId="739A9936" w14:textId="77777777" w:rsidTr="008A3CAF">
        <w:tc>
          <w:tcPr>
            <w:tcW w:w="1134" w:type="dxa"/>
          </w:tcPr>
          <w:p w14:paraId="5AB2370D" w14:textId="77777777" w:rsidR="002E22CC" w:rsidRDefault="002E22CC" w:rsidP="002E22CC">
            <w:r>
              <w:t>8</w:t>
            </w:r>
          </w:p>
        </w:tc>
        <w:tc>
          <w:tcPr>
            <w:tcW w:w="7892" w:type="dxa"/>
          </w:tcPr>
          <w:p w14:paraId="01F6C971" w14:textId="47603A24" w:rsidR="002E22CC" w:rsidRDefault="00C57022" w:rsidP="002E22CC">
            <w:pPr>
              <w:pStyle w:val="ListBullet"/>
              <w:numPr>
                <w:ilvl w:val="0"/>
                <w:numId w:val="0"/>
              </w:numPr>
              <w:spacing w:after="170"/>
              <w:ind w:left="-6" w:firstLine="6"/>
            </w:pPr>
            <w:r>
              <w:t xml:space="preserve">Australian </w:t>
            </w:r>
            <w:r w:rsidR="002E22CC">
              <w:t>Government stakeholders stated the CoOL reforms were widely considered to be a well</w:t>
            </w:r>
            <w:r w:rsidR="004D75A3">
              <w:t>-</w:t>
            </w:r>
            <w:r w:rsidR="002E22CC">
              <w:t xml:space="preserve">implemented reform and in many respects </w:t>
            </w:r>
            <w:r w:rsidR="004D75A3">
              <w:t xml:space="preserve">are </w:t>
            </w:r>
            <w:r w:rsidR="002E22CC">
              <w:t>considered an implementation exemplar.</w:t>
            </w:r>
          </w:p>
        </w:tc>
      </w:tr>
      <w:tr w:rsidR="002E22CC" w14:paraId="60DB9ACE" w14:textId="77777777" w:rsidTr="008A3CAF">
        <w:tc>
          <w:tcPr>
            <w:tcW w:w="1134" w:type="dxa"/>
          </w:tcPr>
          <w:p w14:paraId="0CF4B06C" w14:textId="77777777" w:rsidR="002E22CC" w:rsidRDefault="002E22CC" w:rsidP="002E22CC">
            <w:r>
              <w:t>9</w:t>
            </w:r>
          </w:p>
        </w:tc>
        <w:tc>
          <w:tcPr>
            <w:tcW w:w="7892" w:type="dxa"/>
          </w:tcPr>
          <w:p w14:paraId="2220D6C2" w14:textId="77777777" w:rsidR="002E22CC" w:rsidRDefault="002E22CC" w:rsidP="002E22CC">
            <w:pPr>
              <w:pStyle w:val="ListBullet"/>
              <w:numPr>
                <w:ilvl w:val="0"/>
                <w:numId w:val="0"/>
              </w:numPr>
              <w:spacing w:after="170"/>
              <w:ind w:left="-6" w:firstLine="6"/>
            </w:pPr>
            <w:r>
              <w:t>Industry groups and businesses generally acknowledged that the reforms were delivered within their original scope, budget and timeframe.</w:t>
            </w:r>
          </w:p>
        </w:tc>
      </w:tr>
      <w:tr w:rsidR="002E22CC" w14:paraId="5994FD35" w14:textId="77777777" w:rsidTr="008A3CAF">
        <w:tc>
          <w:tcPr>
            <w:tcW w:w="1134" w:type="dxa"/>
          </w:tcPr>
          <w:p w14:paraId="63CEB1DE" w14:textId="77777777" w:rsidR="002E22CC" w:rsidRDefault="002E22CC" w:rsidP="002E22CC">
            <w:r>
              <w:t>10</w:t>
            </w:r>
          </w:p>
        </w:tc>
        <w:tc>
          <w:tcPr>
            <w:tcW w:w="7892" w:type="dxa"/>
          </w:tcPr>
          <w:p w14:paraId="0B8A741C" w14:textId="498B38E0" w:rsidR="002E22CC" w:rsidRDefault="002E22CC" w:rsidP="002E22CC">
            <w:pPr>
              <w:pStyle w:val="ListBullet"/>
              <w:numPr>
                <w:ilvl w:val="0"/>
                <w:numId w:val="0"/>
              </w:numPr>
              <w:spacing w:after="170"/>
              <w:ind w:left="-6" w:firstLine="6"/>
            </w:pPr>
            <w:r>
              <w:t xml:space="preserve">Some businesses suggested a longer transition period than </w:t>
            </w:r>
            <w:r w:rsidR="009F3A0D">
              <w:t xml:space="preserve">2 </w:t>
            </w:r>
            <w:r>
              <w:t>years would have been appropriate.</w:t>
            </w:r>
          </w:p>
        </w:tc>
      </w:tr>
    </w:tbl>
    <w:p w14:paraId="43C2CC72" w14:textId="77777777" w:rsidR="008C0976" w:rsidRDefault="00CE558A" w:rsidP="5DFFFA18">
      <w:pPr>
        <w:pStyle w:val="Heading2"/>
      </w:pPr>
      <w:bookmarkStart w:id="175" w:name="_Toc66774336"/>
      <w:bookmarkStart w:id="176" w:name="_Toc67499067"/>
      <w:bookmarkStart w:id="177" w:name="_Ref71202599"/>
      <w:bookmarkStart w:id="178" w:name="_Toc94702052"/>
      <w:bookmarkEnd w:id="175"/>
      <w:r>
        <w:t>Flexibility of the reforms</w:t>
      </w:r>
      <w:bookmarkStart w:id="179" w:name="_Toc66396786"/>
      <w:bookmarkStart w:id="180" w:name="_Toc66396788"/>
      <w:bookmarkStart w:id="181" w:name="_Toc66396790"/>
      <w:bookmarkStart w:id="182" w:name="_Toc66396792"/>
      <w:bookmarkEnd w:id="176"/>
      <w:bookmarkEnd w:id="177"/>
      <w:bookmarkEnd w:id="179"/>
      <w:bookmarkEnd w:id="180"/>
      <w:bookmarkEnd w:id="181"/>
      <w:bookmarkEnd w:id="182"/>
      <w:bookmarkEnd w:id="178"/>
    </w:p>
    <w:p w14:paraId="232A045D" w14:textId="755C7A19" w:rsidR="001944DD" w:rsidRDefault="005C57FE" w:rsidP="005C2EEF">
      <w:pPr>
        <w:rPr>
          <w:rFonts w:asciiTheme="minorHAnsi" w:eastAsiaTheme="minorEastAsia" w:hAnsiTheme="minorHAnsi"/>
        </w:rPr>
      </w:pPr>
      <w:r>
        <w:rPr>
          <w:rFonts w:asciiTheme="minorHAnsi" w:eastAsiaTheme="minorEastAsia" w:hAnsiTheme="minorHAnsi"/>
        </w:rPr>
        <w:t xml:space="preserve">Several </w:t>
      </w:r>
      <w:r w:rsidR="00742256">
        <w:rPr>
          <w:rFonts w:asciiTheme="minorHAnsi" w:eastAsiaTheme="minorEastAsia" w:hAnsiTheme="minorHAnsi"/>
        </w:rPr>
        <w:t>consumer, industry and technolog</w:t>
      </w:r>
      <w:r w:rsidR="007F63DB">
        <w:rPr>
          <w:rFonts w:asciiTheme="minorHAnsi" w:eastAsiaTheme="minorEastAsia" w:hAnsiTheme="minorHAnsi"/>
        </w:rPr>
        <w:t>ical</w:t>
      </w:r>
      <w:r w:rsidR="00742256">
        <w:rPr>
          <w:rFonts w:asciiTheme="minorHAnsi" w:eastAsiaTheme="minorEastAsia" w:hAnsiTheme="minorHAnsi"/>
        </w:rPr>
        <w:t xml:space="preserve"> developments </w:t>
      </w:r>
      <w:r w:rsidR="00581A6C">
        <w:rPr>
          <w:rFonts w:asciiTheme="minorHAnsi" w:eastAsiaTheme="minorEastAsia" w:hAnsiTheme="minorHAnsi"/>
        </w:rPr>
        <w:t xml:space="preserve">that </w:t>
      </w:r>
      <w:r w:rsidR="00742256">
        <w:rPr>
          <w:rFonts w:asciiTheme="minorHAnsi" w:eastAsiaTheme="minorEastAsia" w:hAnsiTheme="minorHAnsi"/>
        </w:rPr>
        <w:t xml:space="preserve">have taken place </w:t>
      </w:r>
      <w:r w:rsidR="00581A6C">
        <w:rPr>
          <w:rFonts w:asciiTheme="minorHAnsi" w:eastAsiaTheme="minorEastAsia" w:hAnsiTheme="minorHAnsi"/>
        </w:rPr>
        <w:t xml:space="preserve">since </w:t>
      </w:r>
      <w:r w:rsidR="00084696">
        <w:rPr>
          <w:rFonts w:asciiTheme="minorHAnsi" w:eastAsiaTheme="minorEastAsia" w:hAnsiTheme="minorHAnsi"/>
        </w:rPr>
        <w:t>the CoOL reforms</w:t>
      </w:r>
      <w:r w:rsidR="00581A6C">
        <w:rPr>
          <w:rFonts w:asciiTheme="minorHAnsi" w:eastAsiaTheme="minorEastAsia" w:hAnsiTheme="minorHAnsi"/>
        </w:rPr>
        <w:t xml:space="preserve"> have </w:t>
      </w:r>
      <w:r w:rsidR="00084696">
        <w:rPr>
          <w:rFonts w:asciiTheme="minorHAnsi" w:eastAsiaTheme="minorEastAsia" w:hAnsiTheme="minorHAnsi"/>
        </w:rPr>
        <w:t xml:space="preserve">tested the </w:t>
      </w:r>
      <w:r w:rsidR="008A08D5">
        <w:rPr>
          <w:rFonts w:asciiTheme="minorHAnsi" w:eastAsiaTheme="minorEastAsia" w:hAnsiTheme="minorHAnsi"/>
        </w:rPr>
        <w:t xml:space="preserve">flexibility of the </w:t>
      </w:r>
      <w:r w:rsidR="00E670FE">
        <w:rPr>
          <w:rFonts w:asciiTheme="minorHAnsi" w:eastAsiaTheme="minorEastAsia" w:hAnsiTheme="minorHAnsi"/>
        </w:rPr>
        <w:t>scheme</w:t>
      </w:r>
      <w:r w:rsidR="008A08D5">
        <w:rPr>
          <w:rFonts w:asciiTheme="minorHAnsi" w:eastAsiaTheme="minorEastAsia" w:hAnsiTheme="minorHAnsi"/>
        </w:rPr>
        <w:t xml:space="preserve">. These include developments </w:t>
      </w:r>
      <w:r w:rsidR="006E2B80">
        <w:rPr>
          <w:rFonts w:asciiTheme="minorHAnsi" w:eastAsiaTheme="minorEastAsia" w:hAnsiTheme="minorHAnsi"/>
        </w:rPr>
        <w:t xml:space="preserve">in supply chains and the broader production process </w:t>
      </w:r>
      <w:r w:rsidR="00F105C7">
        <w:rPr>
          <w:rFonts w:asciiTheme="minorHAnsi" w:eastAsiaTheme="minorEastAsia" w:hAnsiTheme="minorHAnsi"/>
        </w:rPr>
        <w:t>due to</w:t>
      </w:r>
      <w:r w:rsidR="006E2B80">
        <w:rPr>
          <w:rFonts w:asciiTheme="minorHAnsi" w:eastAsiaTheme="minorEastAsia" w:hAnsiTheme="minorHAnsi"/>
        </w:rPr>
        <w:t xml:space="preserve"> </w:t>
      </w:r>
      <w:r w:rsidR="00204176">
        <w:rPr>
          <w:rFonts w:asciiTheme="minorHAnsi" w:eastAsiaTheme="minorEastAsia" w:hAnsiTheme="minorHAnsi"/>
        </w:rPr>
        <w:t xml:space="preserve">the </w:t>
      </w:r>
      <w:r w:rsidR="006E2B80">
        <w:rPr>
          <w:rFonts w:asciiTheme="minorHAnsi" w:eastAsiaTheme="minorEastAsia" w:hAnsiTheme="minorHAnsi"/>
        </w:rPr>
        <w:t>COVID-19</w:t>
      </w:r>
      <w:r w:rsidR="00A4164F">
        <w:rPr>
          <w:rFonts w:asciiTheme="minorHAnsi" w:eastAsiaTheme="minorEastAsia" w:hAnsiTheme="minorHAnsi"/>
        </w:rPr>
        <w:t xml:space="preserve"> pandemic</w:t>
      </w:r>
      <w:r w:rsidR="006E2B80">
        <w:rPr>
          <w:rFonts w:asciiTheme="minorHAnsi" w:eastAsiaTheme="minorEastAsia" w:hAnsiTheme="minorHAnsi"/>
        </w:rPr>
        <w:t xml:space="preserve">, and </w:t>
      </w:r>
      <w:r w:rsidR="006E2B80" w:rsidDel="009616D2">
        <w:rPr>
          <w:rFonts w:asciiTheme="minorHAnsi" w:eastAsiaTheme="minorEastAsia" w:hAnsiTheme="minorHAnsi"/>
        </w:rPr>
        <w:t xml:space="preserve">the </w:t>
      </w:r>
      <w:r w:rsidR="009616D2">
        <w:rPr>
          <w:rFonts w:asciiTheme="minorHAnsi" w:eastAsiaTheme="minorEastAsia" w:hAnsiTheme="minorHAnsi"/>
        </w:rPr>
        <w:t xml:space="preserve">availability of </w:t>
      </w:r>
      <w:r w:rsidR="006E2B80">
        <w:rPr>
          <w:rFonts w:asciiTheme="minorHAnsi" w:eastAsiaTheme="minorEastAsia" w:hAnsiTheme="minorHAnsi"/>
        </w:rPr>
        <w:t>technological solutions</w:t>
      </w:r>
      <w:r w:rsidR="009F3A0D">
        <w:rPr>
          <w:rFonts w:asciiTheme="minorHAnsi" w:eastAsiaTheme="minorEastAsia" w:hAnsiTheme="minorHAnsi"/>
        </w:rPr>
        <w:t>,</w:t>
      </w:r>
      <w:r w:rsidR="006E2B80">
        <w:rPr>
          <w:rFonts w:asciiTheme="minorHAnsi" w:eastAsiaTheme="minorEastAsia" w:hAnsiTheme="minorHAnsi"/>
        </w:rPr>
        <w:t xml:space="preserve"> such as QR codes</w:t>
      </w:r>
      <w:r w:rsidR="009F3A0D">
        <w:rPr>
          <w:rFonts w:asciiTheme="minorHAnsi" w:eastAsiaTheme="minorEastAsia" w:hAnsiTheme="minorHAnsi"/>
        </w:rPr>
        <w:t>,</w:t>
      </w:r>
      <w:r w:rsidR="00A15991">
        <w:rPr>
          <w:rFonts w:asciiTheme="minorHAnsi" w:eastAsiaTheme="minorEastAsia" w:hAnsiTheme="minorHAnsi"/>
        </w:rPr>
        <w:t xml:space="preserve"> particularly following their use in hospitality settings during the pandemic</w:t>
      </w:r>
      <w:r w:rsidR="006E2B80">
        <w:rPr>
          <w:rFonts w:asciiTheme="minorHAnsi" w:eastAsiaTheme="minorEastAsia" w:hAnsiTheme="minorHAnsi"/>
        </w:rPr>
        <w:t xml:space="preserve">. </w:t>
      </w:r>
    </w:p>
    <w:p w14:paraId="055751F9" w14:textId="77C518D9" w:rsidR="00E3638B" w:rsidRDefault="00E3638B" w:rsidP="00E53797">
      <w:pPr>
        <w:pStyle w:val="Heading3"/>
      </w:pPr>
      <w:bookmarkStart w:id="183" w:name="_Toc66396800"/>
      <w:bookmarkStart w:id="184" w:name="_Toc67499068"/>
      <w:bookmarkEnd w:id="183"/>
      <w:r>
        <w:t xml:space="preserve">Most businesses </w:t>
      </w:r>
      <w:r w:rsidR="00501123">
        <w:t>agree that the reforms are flexible</w:t>
      </w:r>
      <w:r w:rsidR="009F3A0D">
        <w:t>;</w:t>
      </w:r>
      <w:r w:rsidR="00501123">
        <w:t xml:space="preserve"> </w:t>
      </w:r>
      <w:r w:rsidR="00E07F74">
        <w:t>however</w:t>
      </w:r>
      <w:r w:rsidR="009F3A0D">
        <w:t>,</w:t>
      </w:r>
      <w:r w:rsidR="00E07F74">
        <w:t xml:space="preserve"> a </w:t>
      </w:r>
      <w:r w:rsidR="005D5F68">
        <w:t>significant minority</w:t>
      </w:r>
      <w:r w:rsidR="00E07F74">
        <w:t xml:space="preserve"> find it not sufficiently flexible or </w:t>
      </w:r>
      <w:r w:rsidR="002B4828">
        <w:t>challenging to comply with</w:t>
      </w:r>
      <w:bookmarkEnd w:id="184"/>
    </w:p>
    <w:p w14:paraId="01F06938" w14:textId="33670832" w:rsidR="006C65A3" w:rsidRDefault="00CB1C7D" w:rsidP="00F409B1">
      <w:pPr>
        <w:rPr>
          <w:rFonts w:asciiTheme="minorHAnsi" w:eastAsiaTheme="minorEastAsia" w:hAnsiTheme="minorHAnsi"/>
        </w:rPr>
      </w:pPr>
      <w:r w:rsidRPr="00F321C1">
        <w:rPr>
          <w:rFonts w:asciiTheme="minorHAnsi" w:eastAsiaTheme="minorEastAsia" w:hAnsiTheme="minorHAnsi"/>
        </w:rPr>
        <w:t xml:space="preserve">The </w:t>
      </w:r>
      <w:r w:rsidR="00A919E1">
        <w:rPr>
          <w:rFonts w:asciiTheme="minorHAnsi" w:eastAsiaTheme="minorEastAsia" w:hAnsiTheme="minorHAnsi"/>
        </w:rPr>
        <w:t xml:space="preserve">2016 </w:t>
      </w:r>
      <w:r w:rsidRPr="00F321C1">
        <w:rPr>
          <w:rFonts w:asciiTheme="minorHAnsi" w:eastAsiaTheme="minorEastAsia" w:hAnsiTheme="minorHAnsi"/>
        </w:rPr>
        <w:t xml:space="preserve">CoOL </w:t>
      </w:r>
      <w:r w:rsidR="00610AFA">
        <w:rPr>
          <w:rFonts w:asciiTheme="minorHAnsi" w:eastAsiaTheme="minorEastAsia" w:hAnsiTheme="minorHAnsi"/>
        </w:rPr>
        <w:t xml:space="preserve">reforms </w:t>
      </w:r>
      <w:r w:rsidRPr="00F321C1">
        <w:rPr>
          <w:rFonts w:asciiTheme="minorHAnsi" w:eastAsiaTheme="minorEastAsia" w:hAnsiTheme="minorHAnsi"/>
        </w:rPr>
        <w:t>sought to provide</w:t>
      </w:r>
      <w:r w:rsidR="00533C4E">
        <w:rPr>
          <w:rFonts w:asciiTheme="minorHAnsi" w:eastAsiaTheme="minorEastAsia" w:hAnsiTheme="minorHAnsi"/>
        </w:rPr>
        <w:t xml:space="preserve"> some</w:t>
      </w:r>
      <w:r w:rsidRPr="00F321C1">
        <w:rPr>
          <w:rFonts w:asciiTheme="minorHAnsi" w:eastAsiaTheme="minorEastAsia" w:hAnsiTheme="minorHAnsi"/>
        </w:rPr>
        <w:t xml:space="preserve"> flexibility for businesses with measures</w:t>
      </w:r>
      <w:r w:rsidR="008650F9">
        <w:rPr>
          <w:rFonts w:asciiTheme="minorHAnsi" w:eastAsiaTheme="minorEastAsia" w:hAnsiTheme="minorHAnsi"/>
        </w:rPr>
        <w:t>,</w:t>
      </w:r>
      <w:r w:rsidRPr="00F321C1">
        <w:rPr>
          <w:rFonts w:asciiTheme="minorHAnsi" w:eastAsiaTheme="minorEastAsia" w:hAnsiTheme="minorHAnsi"/>
        </w:rPr>
        <w:t xml:space="preserve"> such as </w:t>
      </w:r>
      <w:r w:rsidR="00BB508D">
        <w:rPr>
          <w:rFonts w:asciiTheme="minorHAnsi" w:eastAsiaTheme="minorEastAsia" w:hAnsiTheme="minorHAnsi"/>
        </w:rPr>
        <w:t xml:space="preserve">variations in the </w:t>
      </w:r>
      <w:r w:rsidR="00812301">
        <w:rPr>
          <w:rFonts w:asciiTheme="minorHAnsi" w:eastAsiaTheme="minorEastAsia" w:hAnsiTheme="minorHAnsi"/>
        </w:rPr>
        <w:t>text, sizing</w:t>
      </w:r>
      <w:r w:rsidR="004E2244">
        <w:rPr>
          <w:rFonts w:asciiTheme="minorHAnsi" w:eastAsiaTheme="minorEastAsia" w:hAnsiTheme="minorHAnsi"/>
        </w:rPr>
        <w:t>, location</w:t>
      </w:r>
      <w:r w:rsidR="00812301">
        <w:rPr>
          <w:rFonts w:asciiTheme="minorHAnsi" w:eastAsiaTheme="minorEastAsia" w:hAnsiTheme="minorHAnsi"/>
        </w:rPr>
        <w:t xml:space="preserve"> and colour options with respect to labels. </w:t>
      </w:r>
      <w:r w:rsidR="002D76F1">
        <w:rPr>
          <w:rFonts w:asciiTheme="minorHAnsi" w:eastAsiaTheme="minorEastAsia" w:hAnsiTheme="minorHAnsi"/>
        </w:rPr>
        <w:t xml:space="preserve">There is also flexibility </w:t>
      </w:r>
      <w:r w:rsidR="00177A92">
        <w:rPr>
          <w:rFonts w:asciiTheme="minorHAnsi" w:eastAsiaTheme="minorEastAsia" w:hAnsiTheme="minorHAnsi"/>
        </w:rPr>
        <w:t>with regard to displaying graphical elements (i.e. logo and/or bar chart) for priority foods sold in small packages</w:t>
      </w:r>
      <w:r w:rsidR="00390363">
        <w:rPr>
          <w:rFonts w:asciiTheme="minorHAnsi" w:eastAsiaTheme="minorEastAsia" w:hAnsiTheme="minorHAnsi"/>
        </w:rPr>
        <w:t xml:space="preserve"> and an exemption on food </w:t>
      </w:r>
      <w:r w:rsidR="009D7595">
        <w:rPr>
          <w:rFonts w:asciiTheme="minorHAnsi" w:eastAsiaTheme="minorEastAsia" w:hAnsiTheme="minorHAnsi"/>
        </w:rPr>
        <w:t>destined for export.</w:t>
      </w:r>
      <w:r w:rsidR="008B657A">
        <w:rPr>
          <w:rFonts w:asciiTheme="minorHAnsi" w:eastAsiaTheme="minorEastAsia" w:hAnsiTheme="minorHAnsi"/>
        </w:rPr>
        <w:t xml:space="preserve"> </w:t>
      </w:r>
    </w:p>
    <w:p w14:paraId="6DFA10CA" w14:textId="6D9859C0" w:rsidR="009616D2" w:rsidRDefault="003019F8" w:rsidP="009616D2">
      <w:r>
        <w:rPr>
          <w:rFonts w:asciiTheme="minorHAnsi" w:eastAsiaTheme="minorEastAsia" w:hAnsiTheme="minorHAnsi"/>
        </w:rPr>
        <w:t>Most business survey respondents</w:t>
      </w:r>
      <w:r w:rsidR="06B5D6D8" w:rsidRPr="00E53797">
        <w:rPr>
          <w:rFonts w:eastAsia="Verdana" w:cs="Verdana"/>
        </w:rPr>
        <w:t xml:space="preserve"> </w:t>
      </w:r>
      <w:r w:rsidR="0212DE84" w:rsidRPr="00E53797">
        <w:rPr>
          <w:rFonts w:eastAsia="Verdana" w:cs="Verdana"/>
        </w:rPr>
        <w:t>“</w:t>
      </w:r>
      <w:r w:rsidR="53861370" w:rsidRPr="00E53797">
        <w:rPr>
          <w:rFonts w:eastAsia="Verdana" w:cs="Verdana"/>
        </w:rPr>
        <w:t>agree” or “strongly agree” that</w:t>
      </w:r>
      <w:r w:rsidR="6E01D8C9" w:rsidRPr="00E53797">
        <w:rPr>
          <w:rFonts w:eastAsia="Verdana" w:cs="Verdana"/>
        </w:rPr>
        <w:t xml:space="preserve"> the current</w:t>
      </w:r>
      <w:r w:rsidR="53861370" w:rsidRPr="00E53797">
        <w:rPr>
          <w:rFonts w:eastAsia="Verdana" w:cs="Verdana"/>
        </w:rPr>
        <w:t xml:space="preserve"> </w:t>
      </w:r>
      <w:r w:rsidR="39AD4208" w:rsidRPr="00E53797">
        <w:rPr>
          <w:rFonts w:eastAsia="Verdana" w:cs="Verdana"/>
        </w:rPr>
        <w:t xml:space="preserve">CoOL </w:t>
      </w:r>
      <w:r w:rsidR="53861370" w:rsidRPr="00E53797">
        <w:rPr>
          <w:rFonts w:eastAsia="Verdana" w:cs="Verdana"/>
        </w:rPr>
        <w:t xml:space="preserve">regulations </w:t>
      </w:r>
      <w:r w:rsidR="77522816" w:rsidRPr="00E53797">
        <w:rPr>
          <w:rFonts w:eastAsia="Verdana" w:cs="Verdana"/>
        </w:rPr>
        <w:t>are</w:t>
      </w:r>
      <w:r w:rsidR="53861370" w:rsidRPr="00E53797">
        <w:rPr>
          <w:rFonts w:eastAsia="Verdana" w:cs="Verdana"/>
        </w:rPr>
        <w:t xml:space="preserve"> flexible enough to accommodate consumer preferences</w:t>
      </w:r>
      <w:r w:rsidR="7AB333E2" w:rsidRPr="00E53797">
        <w:rPr>
          <w:rFonts w:eastAsia="Verdana" w:cs="Verdana"/>
        </w:rPr>
        <w:t xml:space="preserve"> (63</w:t>
      </w:r>
      <w:r w:rsidR="00202292">
        <w:rPr>
          <w:rFonts w:eastAsia="Verdana" w:cs="Verdana"/>
        </w:rPr>
        <w:t>%</w:t>
      </w:r>
      <w:r w:rsidR="7AB333E2" w:rsidRPr="00E53797">
        <w:rPr>
          <w:rFonts w:eastAsia="Verdana" w:cs="Verdana"/>
        </w:rPr>
        <w:t>)</w:t>
      </w:r>
      <w:r w:rsidR="5EBCFD69" w:rsidRPr="00E53797">
        <w:rPr>
          <w:rFonts w:eastAsia="Verdana" w:cs="Verdana"/>
        </w:rPr>
        <w:t>,</w:t>
      </w:r>
      <w:r w:rsidR="0374F811" w:rsidRPr="00E53797">
        <w:rPr>
          <w:rFonts w:eastAsia="Verdana" w:cs="Verdana"/>
        </w:rPr>
        <w:t xml:space="preserve"> </w:t>
      </w:r>
      <w:r w:rsidR="53861370" w:rsidRPr="00E53797">
        <w:rPr>
          <w:rFonts w:eastAsia="Verdana" w:cs="Verdana"/>
        </w:rPr>
        <w:t>industry developments</w:t>
      </w:r>
      <w:r w:rsidR="2EA9AAD1" w:rsidRPr="00E53797">
        <w:rPr>
          <w:rFonts w:eastAsia="Verdana" w:cs="Verdana"/>
        </w:rPr>
        <w:t xml:space="preserve"> (59</w:t>
      </w:r>
      <w:r w:rsidR="00202292">
        <w:rPr>
          <w:rFonts w:eastAsia="Verdana" w:cs="Verdana"/>
        </w:rPr>
        <w:t>%</w:t>
      </w:r>
      <w:r w:rsidR="00933176" w:rsidRPr="00E53797">
        <w:rPr>
          <w:rFonts w:eastAsia="Verdana" w:cs="Verdana"/>
        </w:rPr>
        <w:t xml:space="preserve">) </w:t>
      </w:r>
      <w:r w:rsidR="71A95B45" w:rsidRPr="00E53797">
        <w:rPr>
          <w:rFonts w:eastAsia="Verdana" w:cs="Verdana"/>
        </w:rPr>
        <w:t>and technological developments (56</w:t>
      </w:r>
      <w:r w:rsidR="00202292">
        <w:rPr>
          <w:rFonts w:eastAsia="Verdana" w:cs="Verdana"/>
        </w:rPr>
        <w:t>%</w:t>
      </w:r>
      <w:r w:rsidR="00933176" w:rsidRPr="00E53797">
        <w:rPr>
          <w:rFonts w:eastAsia="Verdana" w:cs="Verdana"/>
        </w:rPr>
        <w:t xml:space="preserve">). </w:t>
      </w:r>
      <w:r w:rsidR="006C65A3">
        <w:rPr>
          <w:rFonts w:eastAsia="Verdana" w:cs="Verdana"/>
        </w:rPr>
        <w:t xml:space="preserve">However, a significant minority find it not sufficiently flexible to accommodate </w:t>
      </w:r>
      <w:r w:rsidR="00A919E1" w:rsidRPr="00E53797">
        <w:rPr>
          <w:rFonts w:eastAsia="Verdana" w:cs="Verdana"/>
        </w:rPr>
        <w:t>consumer preferences (</w:t>
      </w:r>
      <w:r w:rsidR="00A919E1">
        <w:rPr>
          <w:rFonts w:eastAsia="Verdana" w:cs="Verdana"/>
        </w:rPr>
        <w:t>37%</w:t>
      </w:r>
      <w:r w:rsidR="00A919E1" w:rsidRPr="00E53797">
        <w:rPr>
          <w:rFonts w:eastAsia="Verdana" w:cs="Verdana"/>
        </w:rPr>
        <w:t>), industry developments (</w:t>
      </w:r>
      <w:r w:rsidR="00A919E1">
        <w:rPr>
          <w:rFonts w:eastAsia="Verdana" w:cs="Verdana"/>
        </w:rPr>
        <w:t>41%</w:t>
      </w:r>
      <w:r w:rsidR="00A919E1" w:rsidRPr="00E53797">
        <w:rPr>
          <w:rFonts w:eastAsia="Verdana" w:cs="Verdana"/>
        </w:rPr>
        <w:t>) and technological developments (</w:t>
      </w:r>
      <w:r w:rsidR="00A919E1">
        <w:rPr>
          <w:rFonts w:eastAsia="Verdana" w:cs="Verdana"/>
        </w:rPr>
        <w:t>44%</w:t>
      </w:r>
      <w:r w:rsidR="00A919E1" w:rsidRPr="00E53797">
        <w:rPr>
          <w:rFonts w:eastAsia="Verdana" w:cs="Verdana"/>
        </w:rPr>
        <w:t>)</w:t>
      </w:r>
      <w:r w:rsidR="00A919E1">
        <w:rPr>
          <w:rFonts w:eastAsia="Verdana" w:cs="Verdana"/>
        </w:rPr>
        <w:t>.</w:t>
      </w:r>
      <w:r w:rsidR="00A919E1" w:rsidDel="00A919E1">
        <w:rPr>
          <w:rFonts w:eastAsia="Verdana" w:cs="Verdana"/>
        </w:rPr>
        <w:t xml:space="preserve"> </w:t>
      </w:r>
      <w:r w:rsidR="00610AFA">
        <w:rPr>
          <w:rFonts w:eastAsia="Verdana" w:cs="Verdana"/>
        </w:rPr>
        <w:t xml:space="preserve">Industry interviewees reported that </w:t>
      </w:r>
      <w:r w:rsidR="009616D2">
        <w:rPr>
          <w:rFonts w:eastAsia="Verdana" w:cs="Verdana"/>
        </w:rPr>
        <w:t xml:space="preserve">some businesses </w:t>
      </w:r>
      <w:r w:rsidR="00581A6C">
        <w:rPr>
          <w:rFonts w:eastAsia="Verdana" w:cs="Verdana"/>
        </w:rPr>
        <w:t xml:space="preserve">have </w:t>
      </w:r>
      <w:r w:rsidR="009616D2">
        <w:rPr>
          <w:rFonts w:eastAsia="Verdana" w:cs="Verdana"/>
        </w:rPr>
        <w:t>require</w:t>
      </w:r>
      <w:r w:rsidR="00581A6C">
        <w:rPr>
          <w:rFonts w:eastAsia="Verdana" w:cs="Verdana"/>
        </w:rPr>
        <w:t>d</w:t>
      </w:r>
      <w:r w:rsidR="009616D2">
        <w:rPr>
          <w:rFonts w:eastAsia="Verdana" w:cs="Verdana"/>
        </w:rPr>
        <w:t xml:space="preserve"> additional flexibility</w:t>
      </w:r>
      <w:r w:rsidR="00217EE7">
        <w:rPr>
          <w:rFonts w:eastAsia="Verdana" w:cs="Verdana"/>
        </w:rPr>
        <w:t xml:space="preserve"> </w:t>
      </w:r>
      <w:r w:rsidR="00202292">
        <w:rPr>
          <w:rFonts w:eastAsia="Verdana" w:cs="Verdana"/>
        </w:rPr>
        <w:t xml:space="preserve">due </w:t>
      </w:r>
      <w:r w:rsidR="00A375AB" w:rsidRPr="00F977D1">
        <w:rPr>
          <w:rFonts w:eastAsia="Verdana" w:cs="Verdana"/>
        </w:rPr>
        <w:t xml:space="preserve">to </w:t>
      </w:r>
      <w:r w:rsidR="004B3DF5">
        <w:rPr>
          <w:rFonts w:eastAsia="Verdana" w:cs="Verdana"/>
        </w:rPr>
        <w:t xml:space="preserve">supply chain disruptions </w:t>
      </w:r>
      <w:r w:rsidR="00F222BD">
        <w:rPr>
          <w:rFonts w:eastAsia="Verdana" w:cs="Verdana"/>
        </w:rPr>
        <w:t xml:space="preserve">from </w:t>
      </w:r>
      <w:r w:rsidR="004B3DF5">
        <w:rPr>
          <w:rFonts w:eastAsia="Verdana" w:cs="Verdana"/>
        </w:rPr>
        <w:t>COVID-19.</w:t>
      </w:r>
      <w:r w:rsidR="005E738B">
        <w:rPr>
          <w:rFonts w:eastAsia="Verdana" w:cs="Verdana"/>
        </w:rPr>
        <w:t xml:space="preserve"> </w:t>
      </w:r>
    </w:p>
    <w:p w14:paraId="18068EE4" w14:textId="44490AD1" w:rsidR="00610AFA" w:rsidRPr="00E53797" w:rsidRDefault="001F3C6A" w:rsidP="005C2EEF">
      <w:pPr>
        <w:rPr>
          <w:rFonts w:eastAsia="Verdana" w:cs="Verdana"/>
        </w:rPr>
      </w:pPr>
      <w:r w:rsidRPr="00E53797">
        <w:rPr>
          <w:rFonts w:eastAsia="Verdana" w:cs="Verdana"/>
        </w:rPr>
        <w:t>B</w:t>
      </w:r>
      <w:r w:rsidR="565D1A42" w:rsidRPr="00E53797">
        <w:rPr>
          <w:rFonts w:eastAsia="Verdana" w:cs="Verdana"/>
        </w:rPr>
        <w:t xml:space="preserve">usiness sentiment </w:t>
      </w:r>
      <w:r w:rsidR="00610AFA">
        <w:rPr>
          <w:rFonts w:eastAsia="Verdana" w:cs="Verdana"/>
        </w:rPr>
        <w:t xml:space="preserve">on </w:t>
      </w:r>
      <w:r w:rsidR="38181374" w:rsidRPr="00E53797">
        <w:rPr>
          <w:rFonts w:eastAsia="Verdana" w:cs="Verdana"/>
        </w:rPr>
        <w:t>the</w:t>
      </w:r>
      <w:r w:rsidR="1C22C037" w:rsidRPr="00E53797">
        <w:rPr>
          <w:rFonts w:eastAsia="Verdana" w:cs="Verdana"/>
        </w:rPr>
        <w:t xml:space="preserve"> </w:t>
      </w:r>
      <w:r w:rsidR="005630E2">
        <w:rPr>
          <w:rFonts w:eastAsia="Verdana" w:cs="Verdana"/>
        </w:rPr>
        <w:t xml:space="preserve">ease of complying with </w:t>
      </w:r>
      <w:r w:rsidR="1C22C037" w:rsidRPr="00E53797">
        <w:rPr>
          <w:rFonts w:eastAsia="Verdana" w:cs="Verdana"/>
        </w:rPr>
        <w:t xml:space="preserve">CoOL regulations </w:t>
      </w:r>
      <w:r w:rsidR="377A8537" w:rsidRPr="00E53797">
        <w:rPr>
          <w:rFonts w:eastAsia="Verdana" w:cs="Verdana"/>
        </w:rPr>
        <w:t>for</w:t>
      </w:r>
      <w:r w:rsidR="31A83D4C" w:rsidRPr="00E53797">
        <w:rPr>
          <w:rFonts w:eastAsia="Verdana" w:cs="Verdana"/>
        </w:rPr>
        <w:t xml:space="preserve"> individual businesses</w:t>
      </w:r>
      <w:r w:rsidR="3B6F5CA7" w:rsidRPr="00E53797">
        <w:rPr>
          <w:rFonts w:eastAsia="Verdana" w:cs="Verdana"/>
        </w:rPr>
        <w:t xml:space="preserve"> </w:t>
      </w:r>
      <w:r w:rsidR="00610AFA">
        <w:rPr>
          <w:rFonts w:eastAsia="Verdana" w:cs="Verdana"/>
        </w:rPr>
        <w:t>was s</w:t>
      </w:r>
      <w:r w:rsidR="000A3523">
        <w:rPr>
          <w:rFonts w:eastAsia="Verdana" w:cs="Verdana"/>
        </w:rPr>
        <w:t>imilar</w:t>
      </w:r>
      <w:r w:rsidR="00610AFA">
        <w:rPr>
          <w:rFonts w:eastAsia="Verdana" w:cs="Verdana"/>
        </w:rPr>
        <w:t>ly</w:t>
      </w:r>
      <w:r w:rsidR="000A3523">
        <w:rPr>
          <w:rFonts w:eastAsia="Verdana" w:cs="Verdana"/>
        </w:rPr>
        <w:t xml:space="preserve"> </w:t>
      </w:r>
      <w:r w:rsidR="00610AFA">
        <w:rPr>
          <w:rFonts w:eastAsia="Verdana" w:cs="Verdana"/>
        </w:rPr>
        <w:t>distributed</w:t>
      </w:r>
      <w:r w:rsidR="279D07FE" w:rsidRPr="00E53797">
        <w:rPr>
          <w:rFonts w:eastAsia="Verdana" w:cs="Verdana"/>
        </w:rPr>
        <w:t xml:space="preserve">. </w:t>
      </w:r>
      <w:r w:rsidR="00610AFA" w:rsidRPr="00953078">
        <w:rPr>
          <w:rFonts w:eastAsia="Verdana" w:cs="Verdana"/>
        </w:rPr>
        <w:t xml:space="preserve">About a fifth (22%) of business survey respondents report that complying with CoOL regulations is either “very easy” or “easy”, with very small businesses </w:t>
      </w:r>
      <w:r w:rsidR="00581A6C">
        <w:rPr>
          <w:rFonts w:eastAsia="Verdana" w:cs="Verdana"/>
        </w:rPr>
        <w:t xml:space="preserve">(31%) </w:t>
      </w:r>
      <w:r w:rsidR="00581A6C" w:rsidRPr="005A2BF7">
        <w:rPr>
          <w:rFonts w:eastAsia="Verdana" w:cs="Verdana"/>
        </w:rPr>
        <w:t xml:space="preserve">more likely </w:t>
      </w:r>
      <w:r w:rsidR="00610AFA" w:rsidRPr="00953078">
        <w:rPr>
          <w:rFonts w:eastAsia="Verdana" w:cs="Verdana"/>
        </w:rPr>
        <w:t>than</w:t>
      </w:r>
      <w:r w:rsidR="00953078">
        <w:rPr>
          <w:rFonts w:eastAsia="Verdana" w:cs="Verdana"/>
        </w:rPr>
        <w:t xml:space="preserve"> medium or</w:t>
      </w:r>
      <w:r w:rsidR="00610AFA" w:rsidRPr="00953078">
        <w:rPr>
          <w:rFonts w:eastAsia="Verdana" w:cs="Verdana"/>
        </w:rPr>
        <w:t xml:space="preserve"> large businesses (20%</w:t>
      </w:r>
      <w:r w:rsidR="008D754F">
        <w:rPr>
          <w:rFonts w:eastAsia="Verdana" w:cs="Verdana"/>
        </w:rPr>
        <w:t xml:space="preserve"> and 20%</w:t>
      </w:r>
      <w:r w:rsidR="00953078">
        <w:rPr>
          <w:rFonts w:eastAsia="Verdana" w:cs="Verdana"/>
        </w:rPr>
        <w:t>, respectively</w:t>
      </w:r>
      <w:r w:rsidR="00610AFA" w:rsidRPr="00953078">
        <w:rPr>
          <w:rFonts w:eastAsia="Verdana" w:cs="Verdana"/>
        </w:rPr>
        <w:t xml:space="preserve">) to report this. A further two-fifths (42%) report that it is “neither easy nor challenging”. </w:t>
      </w:r>
      <w:r w:rsidR="00610AFA">
        <w:rPr>
          <w:rFonts w:eastAsia="Verdana" w:cs="Verdana"/>
        </w:rPr>
        <w:t>T</w:t>
      </w:r>
      <w:r w:rsidR="00610AFA" w:rsidRPr="00953078">
        <w:rPr>
          <w:rFonts w:eastAsia="Verdana" w:cs="Verdana"/>
        </w:rPr>
        <w:t xml:space="preserve">he remaining </w:t>
      </w:r>
      <w:r w:rsidR="000627C3">
        <w:rPr>
          <w:rFonts w:eastAsia="Verdana" w:cs="Verdana"/>
        </w:rPr>
        <w:t xml:space="preserve">36% of </w:t>
      </w:r>
      <w:r w:rsidR="00610AFA" w:rsidRPr="00953078">
        <w:rPr>
          <w:rFonts w:eastAsia="Verdana" w:cs="Verdana"/>
        </w:rPr>
        <w:t>respondents</w:t>
      </w:r>
      <w:r w:rsidR="000627C3">
        <w:rPr>
          <w:rFonts w:eastAsia="Verdana" w:cs="Verdana"/>
        </w:rPr>
        <w:t xml:space="preserve">, however, </w:t>
      </w:r>
      <w:r w:rsidR="00610AFA" w:rsidRPr="00953078">
        <w:rPr>
          <w:rFonts w:eastAsia="Verdana" w:cs="Verdana"/>
        </w:rPr>
        <w:t>report it to be</w:t>
      </w:r>
      <w:r w:rsidR="000627C3" w:rsidRPr="00953078">
        <w:rPr>
          <w:rFonts w:eastAsia="Verdana" w:cs="Verdana"/>
        </w:rPr>
        <w:t xml:space="preserve"> </w:t>
      </w:r>
      <w:r w:rsidR="000627C3">
        <w:rPr>
          <w:rFonts w:eastAsia="Verdana" w:cs="Verdana"/>
        </w:rPr>
        <w:t>“</w:t>
      </w:r>
      <w:r w:rsidR="00610AFA" w:rsidRPr="00953078">
        <w:rPr>
          <w:rFonts w:eastAsia="Verdana" w:cs="Verdana"/>
        </w:rPr>
        <w:t>challenging” or “very challenging”</w:t>
      </w:r>
      <w:r w:rsidR="00953078">
        <w:rPr>
          <w:rFonts w:eastAsia="Verdana" w:cs="Verdana"/>
        </w:rPr>
        <w:t>, with medium</w:t>
      </w:r>
      <w:r w:rsidR="008A3658">
        <w:rPr>
          <w:rFonts w:eastAsia="Verdana" w:cs="Verdana"/>
        </w:rPr>
        <w:t>-</w:t>
      </w:r>
      <w:r w:rsidR="00953078">
        <w:rPr>
          <w:rFonts w:eastAsia="Verdana" w:cs="Verdana"/>
        </w:rPr>
        <w:t xml:space="preserve">size businesses most likely to report it to be (very) challenging (44%, compared </w:t>
      </w:r>
      <w:r w:rsidR="008A3658">
        <w:rPr>
          <w:rFonts w:eastAsia="Verdana" w:cs="Verdana"/>
        </w:rPr>
        <w:t xml:space="preserve">to </w:t>
      </w:r>
      <w:r w:rsidR="00953078">
        <w:rPr>
          <w:rFonts w:eastAsia="Verdana" w:cs="Verdana"/>
        </w:rPr>
        <w:t>36% overall)</w:t>
      </w:r>
      <w:r w:rsidR="00623901">
        <w:rPr>
          <w:rFonts w:eastAsia="Verdana" w:cs="Verdana"/>
        </w:rPr>
        <w:t>.</w:t>
      </w:r>
    </w:p>
    <w:p w14:paraId="543D902F" w14:textId="23345375" w:rsidR="00DF09D6" w:rsidRDefault="00BC7F1F" w:rsidP="00E53797">
      <w:pPr>
        <w:pStyle w:val="Heading3"/>
      </w:pPr>
      <w:bookmarkStart w:id="185" w:name="_Toc67499070"/>
      <w:bookmarkStart w:id="186" w:name="_Ref71832616"/>
      <w:r>
        <w:t>Greater adaptation to technological developments</w:t>
      </w:r>
      <w:r w:rsidR="00DF09D6">
        <w:t xml:space="preserve"> </w:t>
      </w:r>
      <w:r w:rsidR="00841A4A">
        <w:t xml:space="preserve">not universally </w:t>
      </w:r>
      <w:r w:rsidR="00E80DD5">
        <w:t>sought</w:t>
      </w:r>
      <w:bookmarkEnd w:id="185"/>
      <w:bookmarkEnd w:id="186"/>
      <w:r w:rsidR="00E80DD5">
        <w:t xml:space="preserve"> </w:t>
      </w:r>
    </w:p>
    <w:p w14:paraId="58D14638" w14:textId="7E425D4A" w:rsidR="00856F23" w:rsidRDefault="00856F23" w:rsidP="00DF09D6">
      <w:r>
        <w:t xml:space="preserve">Overall, the </w:t>
      </w:r>
      <w:r w:rsidR="00CC096B">
        <w:t>reforms appear to have been flexible to keep up with technolog</w:t>
      </w:r>
      <w:r w:rsidR="00EE5F88">
        <w:t>ical</w:t>
      </w:r>
      <w:r w:rsidR="00CC096B">
        <w:t xml:space="preserve"> developments. </w:t>
      </w:r>
      <w:r w:rsidR="00EE5F88">
        <w:t>While technological adaptation and behavioural change has occurred, leading to an</w:t>
      </w:r>
      <w:r w:rsidR="00F6164C">
        <w:t xml:space="preserve"> increase in online shopping and use of QR codes </w:t>
      </w:r>
      <w:r w:rsidR="00EE5F88">
        <w:t xml:space="preserve">particularly </w:t>
      </w:r>
      <w:r w:rsidR="00F6164C">
        <w:t xml:space="preserve">to support contact tracing related to the </w:t>
      </w:r>
      <w:r w:rsidR="00AF3BB7">
        <w:t>response to the COVID-19 pandemic</w:t>
      </w:r>
      <w:r w:rsidR="00F6164C">
        <w:t>,</w:t>
      </w:r>
      <w:r w:rsidR="00CC096B">
        <w:t xml:space="preserve"> it has not yet reached a point where digital information could replace </w:t>
      </w:r>
      <w:r w:rsidR="00995BDE">
        <w:lastRenderedPageBreak/>
        <w:t xml:space="preserve">physical </w:t>
      </w:r>
      <w:r w:rsidR="00CC096B">
        <w:t xml:space="preserve">labelling. </w:t>
      </w:r>
      <w:r w:rsidR="0027194C">
        <w:t>Monitoring of technological adaption in future, including (but not be limited to) the use of SmartLabel or QR codes, is needed.</w:t>
      </w:r>
      <w:r w:rsidR="005D6D11">
        <w:t xml:space="preserve"> </w:t>
      </w:r>
      <w:r w:rsidR="00627AEB">
        <w:t>T</w:t>
      </w:r>
      <w:r w:rsidR="00EE5F88">
        <w:t xml:space="preserve">he adoption of QR codes </w:t>
      </w:r>
      <w:r w:rsidR="0041321B">
        <w:t>could be characterised as</w:t>
      </w:r>
      <w:r w:rsidR="00EE5F88">
        <w:t xml:space="preserve"> modest </w:t>
      </w:r>
      <w:r w:rsidR="00995BDE">
        <w:t>at best</w:t>
      </w:r>
      <w:r w:rsidR="00EE5F88">
        <w:t xml:space="preserve">. </w:t>
      </w:r>
    </w:p>
    <w:p w14:paraId="6F7FC8CE" w14:textId="0BB59335" w:rsidR="0024666A" w:rsidRDefault="00164132" w:rsidP="0024666A">
      <w:r>
        <w:t>S</w:t>
      </w:r>
      <w:r w:rsidR="0081353A" w:rsidRPr="00A7152E">
        <w:t xml:space="preserve">ome businesses and industry groups are already trialling QR codes on labels to trace the supply chain of ingredients and include additional information on country of origin. However, </w:t>
      </w:r>
      <w:r w:rsidR="00F54008">
        <w:t>this is in its</w:t>
      </w:r>
      <w:r w:rsidR="0081353A" w:rsidRPr="00A7152E">
        <w:t xml:space="preserve"> initial phases and </w:t>
      </w:r>
      <w:r w:rsidR="00933FE4">
        <w:t xml:space="preserve">some businesses </w:t>
      </w:r>
      <w:r w:rsidR="0081353A" w:rsidRPr="00A7152E">
        <w:t>suggest that a future desirable state would</w:t>
      </w:r>
      <w:r w:rsidR="0049737A">
        <w:t xml:space="preserve"> be to</w:t>
      </w:r>
      <w:r w:rsidR="0081353A" w:rsidRPr="00A7152E">
        <w:t xml:space="preserve"> provide consumers information in a hybrid model</w:t>
      </w:r>
      <w:r w:rsidR="0049737A">
        <w:t>.</w:t>
      </w:r>
      <w:r w:rsidR="0081353A" w:rsidRPr="00A7152E">
        <w:t xml:space="preserve"> </w:t>
      </w:r>
    </w:p>
    <w:p w14:paraId="14476759" w14:textId="663F4318" w:rsidR="0024666A" w:rsidRDefault="00D068C8" w:rsidP="00705E49">
      <w:r>
        <w:t xml:space="preserve">Several industry submissions recommended the option to use SmartLabel or QR codes to provide additional and consistent information on country of </w:t>
      </w:r>
      <w:r w:rsidDel="00995BDE">
        <w:t>origin</w:t>
      </w:r>
      <w:r>
        <w:t xml:space="preserve"> and reduce the cost of relabelling of products. </w:t>
      </w:r>
      <w:r w:rsidR="00FB10C8">
        <w:t>An example of this is listing all the countries of origin for complex products that have ingredients sourced worldwide - which might be difficult on a small label</w:t>
      </w:r>
      <w:r w:rsidR="007D1F55">
        <w:t>,</w:t>
      </w:r>
      <w:r w:rsidR="00FB10C8">
        <w:t xml:space="preserve"> but easy to display on a web interface accessed by a QR code. </w:t>
      </w:r>
      <w:r w:rsidRPr="00DE11CB">
        <w:t xml:space="preserve">While the replacement of physical labels by QR codes is not </w:t>
      </w:r>
      <w:r>
        <w:t xml:space="preserve">(yet) </w:t>
      </w:r>
      <w:r w:rsidRPr="00DE11CB">
        <w:t xml:space="preserve">supported </w:t>
      </w:r>
      <w:r>
        <w:t>widely</w:t>
      </w:r>
      <w:r w:rsidRPr="00DE11CB">
        <w:t xml:space="preserve">, the use of QR codes in addition to basic on-package labelling </w:t>
      </w:r>
      <w:r w:rsidRPr="00D068C8">
        <w:t xml:space="preserve">to assist with registering and monitoring ingredient origin in foodservices and retail outlets </w:t>
      </w:r>
      <w:r w:rsidRPr="00DE11CB">
        <w:t xml:space="preserve">is supported </w:t>
      </w:r>
      <w:r>
        <w:t>by representatives of</w:t>
      </w:r>
      <w:r w:rsidRPr="00DE11CB">
        <w:t xml:space="preserve"> several industry groups</w:t>
      </w:r>
      <w:r w:rsidRPr="004C0E71">
        <w:t xml:space="preserve">. </w:t>
      </w:r>
      <w:r w:rsidR="0024666A">
        <w:t>However, a</w:t>
      </w:r>
      <w:r w:rsidR="00DF09D6" w:rsidRPr="00804B97">
        <w:t xml:space="preserve"> range of organisations </w:t>
      </w:r>
      <w:r w:rsidR="00D34990" w:rsidRPr="00804B97">
        <w:t>did not s</w:t>
      </w:r>
      <w:r w:rsidR="00D34990" w:rsidRPr="00367E9B">
        <w:t xml:space="preserve">upport </w:t>
      </w:r>
      <w:r w:rsidR="00DF09D6" w:rsidRPr="00E53797">
        <w:t>the introduction of QR codes</w:t>
      </w:r>
      <w:r w:rsidR="00134901">
        <w:t>,</w:t>
      </w:r>
      <w:r w:rsidR="00DF09D6" w:rsidRPr="00E53797">
        <w:t xml:space="preserve"> suggesting that </w:t>
      </w:r>
      <w:r w:rsidR="00220752" w:rsidRPr="00E53797">
        <w:t>it is laborious to use</w:t>
      </w:r>
      <w:r w:rsidR="00931F71">
        <w:t xml:space="preserve"> particularly for</w:t>
      </w:r>
      <w:r w:rsidR="00220752" w:rsidRPr="00E53797">
        <w:t xml:space="preserve"> </w:t>
      </w:r>
      <w:r w:rsidR="00DF09D6" w:rsidRPr="00E53797">
        <w:t>consumers</w:t>
      </w:r>
      <w:r w:rsidR="00931F71">
        <w:t xml:space="preserve"> </w:t>
      </w:r>
      <w:r w:rsidR="00DF09D6" w:rsidRPr="00E53797">
        <w:t>in</w:t>
      </w:r>
      <w:r w:rsidR="00340B72">
        <w:t xml:space="preserve"> </w:t>
      </w:r>
      <w:r w:rsidR="00DF09D6" w:rsidRPr="00E53797">
        <w:t>older age brackets</w:t>
      </w:r>
      <w:r w:rsidR="009F3A1A">
        <w:t>,</w:t>
      </w:r>
      <w:r w:rsidR="0024666A">
        <w:t xml:space="preserve"> and that </w:t>
      </w:r>
      <w:r w:rsidR="003B6971" w:rsidRPr="00804B97">
        <w:t>shopping decisions</w:t>
      </w:r>
      <w:r w:rsidR="003B6971" w:rsidRPr="00F7441F">
        <w:rPr>
          <w:b/>
        </w:rPr>
        <w:t xml:space="preserve"> </w:t>
      </w:r>
      <w:r w:rsidR="003B6971" w:rsidRPr="00804B97">
        <w:t xml:space="preserve">are </w:t>
      </w:r>
      <w:r w:rsidR="00670E82" w:rsidRPr="00804B97">
        <w:t>mostly made quickl</w:t>
      </w:r>
      <w:r w:rsidR="00670E82" w:rsidRPr="00507E07">
        <w:t>y</w:t>
      </w:r>
      <w:r w:rsidR="00670E82" w:rsidRPr="00804B97">
        <w:t xml:space="preserve">, </w:t>
      </w:r>
      <w:r w:rsidR="0024666A">
        <w:t>such that consumers would not tolerate the additional time to scan the codes</w:t>
      </w:r>
      <w:r w:rsidR="009C0895" w:rsidRPr="00141F46">
        <w:t xml:space="preserve">. </w:t>
      </w:r>
    </w:p>
    <w:p w14:paraId="12547303" w14:textId="670A8CA1" w:rsidR="00164132" w:rsidRDefault="00164132" w:rsidP="00164132">
      <w:r>
        <w:t xml:space="preserve">Another significant change in technology and consumer behaviour since the introduction of the </w:t>
      </w:r>
      <w:r w:rsidR="006B6478">
        <w:t>reforms</w:t>
      </w:r>
      <w:r>
        <w:t xml:space="preserve"> has been the adoption by consumers of online shopping, and subsequent improvement to online </w:t>
      </w:r>
      <w:r w:rsidR="00741AE8">
        <w:t>grocery shopping platforms</w:t>
      </w:r>
      <w:r>
        <w:t>. Coles and Woolworths, which represent over 66% of the current market share across supermarkets and grocery stores in Australia</w:t>
      </w:r>
      <w:r>
        <w:rPr>
          <w:rStyle w:val="FootnoteReference"/>
        </w:rPr>
        <w:footnoteReference w:id="37"/>
      </w:r>
      <w:r w:rsidR="009C2285">
        <w:t>,</w:t>
      </w:r>
      <w:r>
        <w:t xml:space="preserve"> are already providing country of origin information online.</w:t>
      </w:r>
      <w:r w:rsidRPr="004D71E8">
        <w:t xml:space="preserve"> </w:t>
      </w:r>
    </w:p>
    <w:p w14:paraId="6F382906" w14:textId="77777777" w:rsidR="006B0652" w:rsidRDefault="006B0652" w:rsidP="00E53797">
      <w:pPr>
        <w:pStyle w:val="Heading3"/>
      </w:pPr>
      <w:bookmarkStart w:id="187" w:name="_Toc67499071"/>
      <w:bookmarkStart w:id="188" w:name="_Ref71832503"/>
      <w:r>
        <w:t xml:space="preserve">Technological progress is still </w:t>
      </w:r>
      <w:r w:rsidR="008C3CA6">
        <w:t>occurring</w:t>
      </w:r>
      <w:bookmarkEnd w:id="187"/>
      <w:bookmarkEnd w:id="188"/>
    </w:p>
    <w:p w14:paraId="588AB6C7" w14:textId="2A000DC2" w:rsidR="00790C62" w:rsidRDefault="0008451F" w:rsidP="006B0652">
      <w:r>
        <w:t>There are examples of where the</w:t>
      </w:r>
      <w:r w:rsidR="006B0652">
        <w:t xml:space="preserve"> </w:t>
      </w:r>
      <w:r w:rsidR="007C3430">
        <w:t xml:space="preserve">current </w:t>
      </w:r>
      <w:r w:rsidR="00E670FE">
        <w:t>scheme</w:t>
      </w:r>
      <w:r w:rsidR="007C3430">
        <w:t xml:space="preserve"> is </w:t>
      </w:r>
      <w:r w:rsidR="00790C62">
        <w:t xml:space="preserve">already </w:t>
      </w:r>
      <w:r>
        <w:t xml:space="preserve">supporting </w:t>
      </w:r>
      <w:r w:rsidR="00146417">
        <w:t xml:space="preserve">technological progress. The </w:t>
      </w:r>
      <w:r w:rsidR="008C3CA6">
        <w:t>CoOL</w:t>
      </w:r>
      <w:r w:rsidR="00146417">
        <w:t xml:space="preserve"> </w:t>
      </w:r>
      <w:r w:rsidR="00E670FE">
        <w:t>scheme</w:t>
      </w:r>
      <w:r w:rsidR="006B0652">
        <w:t xml:space="preserve"> has </w:t>
      </w:r>
      <w:r w:rsidR="00146417">
        <w:t xml:space="preserve">seen the </w:t>
      </w:r>
      <w:r w:rsidR="002817F9">
        <w:t xml:space="preserve">continuation of </w:t>
      </w:r>
      <w:r w:rsidR="00DB375D">
        <w:t xml:space="preserve">(already occurring) </w:t>
      </w:r>
      <w:r w:rsidR="00146417">
        <w:t>advancement</w:t>
      </w:r>
      <w:r w:rsidR="00DB375D">
        <w:t>s</w:t>
      </w:r>
      <w:r w:rsidR="00146417">
        <w:t xml:space="preserve"> in t</w:t>
      </w:r>
      <w:r w:rsidR="006B0652">
        <w:t>he use of novel techniques to determine the source of origin, quality authentication and product branding of agricultural products. A major operator of a large part of Australia’s research infrastructure, ANSTO, has developed nuclear techniques in the area of seafood provenance. In particular, for Barramundi and Giant Tiger Prawns, ANSTO has investigated its capacity to assess where the seafood lived and whether they were farmed or wild-caught, providing insight into the quality and source of origin of the seafood. The techniques have the potential to be applied to terrestrial agriculture in future</w:t>
      </w:r>
      <w:r w:rsidR="00AC524B">
        <w:t>, where</w:t>
      </w:r>
      <w:r w:rsidR="006B0652" w:rsidRPr="009D2D71">
        <w:t xml:space="preserve"> </w:t>
      </w:r>
      <w:r w:rsidR="0013104B">
        <w:t xml:space="preserve">origin is not </w:t>
      </w:r>
      <w:r w:rsidR="006B0652">
        <w:t xml:space="preserve">currently </w:t>
      </w:r>
      <w:r w:rsidR="006B0652" w:rsidRPr="009D2D71">
        <w:t>identifi</w:t>
      </w:r>
      <w:r w:rsidR="006B0652">
        <w:t>able.</w:t>
      </w:r>
      <w:r w:rsidR="00790C62" w:rsidRPr="00790C62">
        <w:t xml:space="preserve"> </w:t>
      </w:r>
    </w:p>
    <w:p w14:paraId="01F160C1" w14:textId="4F57D5B9" w:rsidR="00361A3F" w:rsidRPr="00393228" w:rsidRDefault="00790C62" w:rsidP="006B0652">
      <w:pPr>
        <w:rPr>
          <w:rFonts w:eastAsia="Verdana" w:cs="Verdana"/>
        </w:rPr>
      </w:pPr>
      <w:r w:rsidRPr="00F977D1">
        <w:rPr>
          <w:rFonts w:eastAsia="Verdana" w:cs="Verdana"/>
        </w:rPr>
        <w:t xml:space="preserve">At least </w:t>
      </w:r>
      <w:r w:rsidR="000759F7">
        <w:rPr>
          <w:rFonts w:eastAsia="Verdana" w:cs="Verdana"/>
        </w:rPr>
        <w:t>2</w:t>
      </w:r>
      <w:r w:rsidR="000759F7" w:rsidRPr="00F977D1">
        <w:rPr>
          <w:rFonts w:eastAsia="Verdana" w:cs="Verdana"/>
        </w:rPr>
        <w:t xml:space="preserve"> </w:t>
      </w:r>
      <w:r w:rsidR="00F56E38" w:rsidRPr="00F977D1">
        <w:rPr>
          <w:rFonts w:eastAsia="Verdana" w:cs="Verdana"/>
        </w:rPr>
        <w:t xml:space="preserve">major </w:t>
      </w:r>
      <w:r w:rsidRPr="00F977D1">
        <w:rPr>
          <w:rFonts w:eastAsia="Verdana" w:cs="Verdana"/>
        </w:rPr>
        <w:t>peak industry bodies</w:t>
      </w:r>
      <w:r w:rsidR="002D1169" w:rsidRPr="00F977D1">
        <w:rPr>
          <w:rFonts w:eastAsia="Verdana" w:cs="Verdana"/>
        </w:rPr>
        <w:t xml:space="preserve"> state that improving technology will allow for information to be supplemented in the label in the case of supply chain changes/disruptions</w:t>
      </w:r>
      <w:r w:rsidR="00023A57">
        <w:rPr>
          <w:rFonts w:eastAsia="Verdana" w:cs="Verdana"/>
        </w:rPr>
        <w:t>. However, the</w:t>
      </w:r>
      <w:r w:rsidR="002D1169" w:rsidRPr="00F977D1">
        <w:rPr>
          <w:rFonts w:eastAsia="Verdana" w:cs="Verdana"/>
        </w:rPr>
        <w:t xml:space="preserve"> current regulatory framework does not allow for that</w:t>
      </w:r>
      <w:r w:rsidR="0013104B">
        <w:rPr>
          <w:rFonts w:eastAsia="Verdana" w:cs="Verdana"/>
        </w:rPr>
        <w:t>.</w:t>
      </w:r>
      <w:r w:rsidR="005C62DE">
        <w:rPr>
          <w:rFonts w:eastAsia="Verdana" w:cs="Verdana"/>
        </w:rPr>
        <w:t xml:space="preserve"> </w:t>
      </w:r>
    </w:p>
    <w:p w14:paraId="2E939CC1" w14:textId="77777777" w:rsidR="00C834C4" w:rsidRPr="00C834C4" w:rsidRDefault="00A7152E" w:rsidP="00902733">
      <w:pPr>
        <w:pStyle w:val="Heading3"/>
      </w:pPr>
      <w:bookmarkStart w:id="189" w:name="_Toc67499072"/>
      <w:r w:rsidRPr="00E53797">
        <w:t xml:space="preserve">Key </w:t>
      </w:r>
      <w:r w:rsidR="004E69CE">
        <w:t>f</w:t>
      </w:r>
      <w:r w:rsidRPr="00E53797">
        <w:t>indings</w:t>
      </w:r>
      <w:r w:rsidR="00674759">
        <w:t xml:space="preserve">: </w:t>
      </w:r>
      <w:r w:rsidR="0083243C">
        <w:t>Flexibility of the reforms</w:t>
      </w:r>
      <w:bookmarkEnd w:id="189"/>
    </w:p>
    <w:tbl>
      <w:tblPr>
        <w:tblStyle w:val="Deloittetable"/>
        <w:tblW w:w="5000" w:type="pct"/>
        <w:tblLook w:val="04A0" w:firstRow="1" w:lastRow="0" w:firstColumn="1" w:lastColumn="0" w:noHBand="0" w:noVBand="1"/>
        <w:tblDescription w:val="This table outlines the findings on the flexibility of the reforms. These are 1) The current CoOL scheme is an improvement on the previous scheme, as it provides consumers with more information on the country of origin of their foods. However, there is still a subset of consumers who want more information on non-Australian ingredients.&#10;2) Businesses are generally finding CoOL sufficiently flexible under business-as-usual conditions. However, there is a significant minority of businesses who either find CoOL difficult to comply with and/or do not consider it sufficiently flexible.&#10;3) If it becomes faster and more seamless for consumers to access information about food digitally (which may be a technology that supersedes QR codes), then there could be implications for the current scheme. However, neither of these factors are sufficiently present at this time to necessitate significant change in terms of the information being provided on label versus digitally. However, both consumer preference and technology require careful monitoring as the scheme develops.&#10;"/>
      </w:tblPr>
      <w:tblGrid>
        <w:gridCol w:w="993"/>
        <w:gridCol w:w="8033"/>
      </w:tblGrid>
      <w:tr w:rsidR="00864B77" w14:paraId="21401A6B" w14:textId="77777777" w:rsidTr="006E1BCA">
        <w:trPr>
          <w:cnfStyle w:val="100000000000" w:firstRow="1" w:lastRow="0" w:firstColumn="0" w:lastColumn="0" w:oddVBand="0" w:evenVBand="0" w:oddHBand="0" w:evenHBand="0" w:firstRowFirstColumn="0" w:firstRowLastColumn="0" w:lastRowFirstColumn="0" w:lastRowLastColumn="0"/>
          <w:trHeight w:val="413"/>
          <w:tblHeader/>
        </w:trPr>
        <w:tc>
          <w:tcPr>
            <w:tcW w:w="550" w:type="pct"/>
            <w:tcBorders>
              <w:top w:val="single" w:sz="24" w:space="0" w:color="012169" w:themeColor="accent4"/>
            </w:tcBorders>
          </w:tcPr>
          <w:p w14:paraId="6FF16D3B" w14:textId="77777777" w:rsidR="00864B77" w:rsidRPr="00AB2F4F" w:rsidRDefault="00864B77" w:rsidP="00AB1DCE">
            <w:pPr>
              <w:rPr>
                <w:b/>
                <w:bCs/>
              </w:rPr>
            </w:pPr>
            <w:r>
              <w:rPr>
                <w:b/>
                <w:bCs/>
              </w:rPr>
              <w:t>Ref</w:t>
            </w:r>
          </w:p>
        </w:tc>
        <w:tc>
          <w:tcPr>
            <w:tcW w:w="4450" w:type="pct"/>
            <w:tcBorders>
              <w:top w:val="single" w:sz="24" w:space="0" w:color="012169" w:themeColor="accent4"/>
            </w:tcBorders>
          </w:tcPr>
          <w:p w14:paraId="1BF85776" w14:textId="40A92EFA" w:rsidR="00864B77" w:rsidRPr="00AB2F4F" w:rsidRDefault="00ED1AF3" w:rsidP="00AB1DCE">
            <w:pPr>
              <w:rPr>
                <w:b/>
                <w:bCs/>
              </w:rPr>
            </w:pPr>
            <w:r w:rsidRPr="00ED1AF3">
              <w:rPr>
                <w:b/>
                <w:bCs/>
              </w:rPr>
              <w:t>Have the reforms been flexible enough to accommodate new consumer, industry and technology developments?</w:t>
            </w:r>
          </w:p>
        </w:tc>
      </w:tr>
      <w:tr w:rsidR="00B53440" w14:paraId="698B7CFD" w14:textId="77777777" w:rsidTr="00D04186">
        <w:tc>
          <w:tcPr>
            <w:tcW w:w="550" w:type="pct"/>
          </w:tcPr>
          <w:p w14:paraId="33423877" w14:textId="77777777" w:rsidR="00B53440" w:rsidRDefault="00B53440" w:rsidP="00B53440">
            <w:r>
              <w:t>11</w:t>
            </w:r>
          </w:p>
        </w:tc>
        <w:tc>
          <w:tcPr>
            <w:tcW w:w="4450" w:type="pct"/>
          </w:tcPr>
          <w:p w14:paraId="0E7CEC8C" w14:textId="77777777" w:rsidR="00B53440" w:rsidRDefault="00B53440" w:rsidP="00B53440">
            <w:pPr>
              <w:pStyle w:val="ListBullet"/>
              <w:numPr>
                <w:ilvl w:val="0"/>
                <w:numId w:val="0"/>
              </w:numPr>
              <w:spacing w:after="170"/>
            </w:pPr>
            <w:r w:rsidRPr="002D759D">
              <w:t xml:space="preserve">The current CoOL </w:t>
            </w:r>
            <w:r w:rsidR="00E670FE">
              <w:t>scheme</w:t>
            </w:r>
            <w:r>
              <w:t xml:space="preserve"> is an improvement on the previous </w:t>
            </w:r>
            <w:r w:rsidR="00E670FE">
              <w:t>scheme</w:t>
            </w:r>
            <w:r>
              <w:t>, as it</w:t>
            </w:r>
            <w:r w:rsidRPr="002D759D">
              <w:t xml:space="preserve"> provides consumers with more information on the country of origin of their foods. However, there is still a subset of consumers who want more information on non-Australian ingredients.</w:t>
            </w:r>
          </w:p>
        </w:tc>
      </w:tr>
      <w:tr w:rsidR="00B53440" w14:paraId="331581C5" w14:textId="77777777" w:rsidTr="00D04186">
        <w:tc>
          <w:tcPr>
            <w:tcW w:w="550" w:type="pct"/>
          </w:tcPr>
          <w:p w14:paraId="2746F6B7" w14:textId="77777777" w:rsidR="00B53440" w:rsidRDefault="00B53440" w:rsidP="00B53440">
            <w:r>
              <w:t>12</w:t>
            </w:r>
          </w:p>
        </w:tc>
        <w:tc>
          <w:tcPr>
            <w:tcW w:w="4450" w:type="pct"/>
          </w:tcPr>
          <w:p w14:paraId="6873872C" w14:textId="77777777" w:rsidR="00B53440" w:rsidRDefault="00B53440" w:rsidP="00B53440">
            <w:pPr>
              <w:pStyle w:val="ListBullet"/>
              <w:numPr>
                <w:ilvl w:val="0"/>
                <w:numId w:val="0"/>
              </w:numPr>
              <w:spacing w:after="170"/>
              <w:ind w:left="-6" w:firstLine="6"/>
            </w:pPr>
            <w:r w:rsidRPr="002D759D">
              <w:t>Businesses are generally finding CoOL sufficiently flexible under business-as-usual conditions. However, there is a significant minority of businesses who either find CoOL difficult to comply with and/or do not consider it sufficiently flexible.</w:t>
            </w:r>
          </w:p>
        </w:tc>
      </w:tr>
      <w:tr w:rsidR="00B53440" w14:paraId="3EB3311B" w14:textId="77777777" w:rsidTr="00D04186">
        <w:tc>
          <w:tcPr>
            <w:tcW w:w="550" w:type="pct"/>
          </w:tcPr>
          <w:p w14:paraId="5B2033CA" w14:textId="77777777" w:rsidR="00B53440" w:rsidRDefault="00B53440" w:rsidP="00B53440">
            <w:r>
              <w:t>13</w:t>
            </w:r>
          </w:p>
        </w:tc>
        <w:tc>
          <w:tcPr>
            <w:tcW w:w="4450" w:type="pct"/>
          </w:tcPr>
          <w:p w14:paraId="7D6FA252" w14:textId="77777777" w:rsidR="00B53440" w:rsidRDefault="00B53440" w:rsidP="00B53440">
            <w:pPr>
              <w:pStyle w:val="ListBullet"/>
              <w:numPr>
                <w:ilvl w:val="0"/>
                <w:numId w:val="0"/>
              </w:numPr>
              <w:spacing w:after="170"/>
              <w:ind w:left="-6" w:firstLine="6"/>
            </w:pPr>
            <w:r w:rsidRPr="002D759D">
              <w:t xml:space="preserve">If it becomes faster and more seamless for consumers to access information about food digitally (which may be a technology that supersedes QR codes), then there could be </w:t>
            </w:r>
            <w:r w:rsidRPr="002D759D">
              <w:lastRenderedPageBreak/>
              <w:t xml:space="preserve">implications for the current </w:t>
            </w:r>
            <w:r w:rsidR="00E670FE">
              <w:t>scheme</w:t>
            </w:r>
            <w:r w:rsidRPr="002D759D">
              <w:t xml:space="preserve">. However, neither of these factors are sufficiently present at this time to necessitate significant change in terms of the information being provided on label versus digitally. However, both consumer preference and technology require careful monitoring as the </w:t>
            </w:r>
            <w:r w:rsidR="00E670FE">
              <w:t>scheme</w:t>
            </w:r>
            <w:r w:rsidRPr="002D759D">
              <w:t xml:space="preserve"> develops</w:t>
            </w:r>
            <w:r>
              <w:t>.</w:t>
            </w:r>
          </w:p>
        </w:tc>
      </w:tr>
    </w:tbl>
    <w:p w14:paraId="7B6FA276" w14:textId="77777777" w:rsidR="008F3ECD" w:rsidRPr="00E53797" w:rsidRDefault="00E32C4E" w:rsidP="00E53797">
      <w:pPr>
        <w:pStyle w:val="Heading2"/>
      </w:pPr>
      <w:bookmarkStart w:id="190" w:name="_Toc66774344"/>
      <w:bookmarkStart w:id="191" w:name="_Toc67499073"/>
      <w:bookmarkStart w:id="192" w:name="_Toc94702053"/>
      <w:bookmarkEnd w:id="190"/>
      <w:r>
        <w:lastRenderedPageBreak/>
        <w:t>S</w:t>
      </w:r>
      <w:r w:rsidR="00E670FE">
        <w:t>cheme</w:t>
      </w:r>
      <w:r w:rsidR="00143908">
        <w:t xml:space="preserve"> cost</w:t>
      </w:r>
      <w:r w:rsidR="00C66A52">
        <w:t>-</w:t>
      </w:r>
      <w:r w:rsidR="00143908">
        <w:t>effectiveness</w:t>
      </w:r>
      <w:bookmarkEnd w:id="191"/>
      <w:bookmarkEnd w:id="192"/>
    </w:p>
    <w:p w14:paraId="04B877EA" w14:textId="77777777" w:rsidR="008F3ECD" w:rsidRDefault="00653E5B">
      <w:r>
        <w:t xml:space="preserve">The cost-effectiveness </w:t>
      </w:r>
      <w:r w:rsidR="00927608">
        <w:t>of the reforms</w:t>
      </w:r>
      <w:r w:rsidR="0077546D">
        <w:t xml:space="preserve"> in the provision of information to consumers and businesses </w:t>
      </w:r>
      <w:r w:rsidR="00143908">
        <w:t>considers</w:t>
      </w:r>
      <w:r w:rsidR="00927608">
        <w:t xml:space="preserve"> whether the </w:t>
      </w:r>
      <w:r w:rsidR="00E670FE">
        <w:t>scheme</w:t>
      </w:r>
      <w:r w:rsidR="00927608">
        <w:t xml:space="preserve"> has achieved its objective </w:t>
      </w:r>
      <w:r w:rsidR="00A40E3E">
        <w:t xml:space="preserve">of </w:t>
      </w:r>
      <w:r w:rsidR="00DF584C">
        <w:t xml:space="preserve">improving consumer access to information about the origin of food, and clarifying the origin claims businesses can make about their products, without imposing excessive costs on those businesses. This is evaluated through </w:t>
      </w:r>
      <w:r w:rsidR="00961551">
        <w:t>measuring</w:t>
      </w:r>
      <w:r w:rsidR="00DF584C">
        <w:t xml:space="preserve"> </w:t>
      </w:r>
      <w:r w:rsidR="00D012E5">
        <w:t xml:space="preserve">the </w:t>
      </w:r>
      <w:r w:rsidR="00DF584C">
        <w:t xml:space="preserve">benefits </w:t>
      </w:r>
      <w:r w:rsidR="003E2362">
        <w:t>(</w:t>
      </w:r>
      <w:r w:rsidR="00DF584C">
        <w:t>to consumers</w:t>
      </w:r>
      <w:r w:rsidR="001B7211">
        <w:t xml:space="preserve"> and business</w:t>
      </w:r>
      <w:r w:rsidR="003E2362">
        <w:t>)</w:t>
      </w:r>
      <w:r w:rsidR="00D012E5">
        <w:t>,</w:t>
      </w:r>
      <w:r w:rsidR="00DF584C">
        <w:t xml:space="preserve"> </w:t>
      </w:r>
      <w:r w:rsidR="003E2362">
        <w:t xml:space="preserve">and costs </w:t>
      </w:r>
      <w:r w:rsidR="00DF584C">
        <w:t>to businesses</w:t>
      </w:r>
      <w:r w:rsidR="003E2362">
        <w:t xml:space="preserve"> and </w:t>
      </w:r>
      <w:r w:rsidR="000408C8">
        <w:t>g</w:t>
      </w:r>
      <w:r w:rsidR="003E2362">
        <w:t>overnment,</w:t>
      </w:r>
      <w:r w:rsidR="00DF584C">
        <w:t xml:space="preserve"> </w:t>
      </w:r>
      <w:r w:rsidR="006C1328">
        <w:t>over time</w:t>
      </w:r>
      <w:r w:rsidR="00961551">
        <w:t>,</w:t>
      </w:r>
      <w:r w:rsidR="006C1328">
        <w:t xml:space="preserve"> in a</w:t>
      </w:r>
      <w:r w:rsidR="00961551">
        <w:t xml:space="preserve"> net sense</w:t>
      </w:r>
      <w:r w:rsidR="006C1328">
        <w:t>.</w:t>
      </w:r>
      <w:r w:rsidR="0029409E">
        <w:t xml:space="preserve"> </w:t>
      </w:r>
      <w:r w:rsidR="006C1328">
        <w:t xml:space="preserve"> </w:t>
      </w:r>
      <w:r w:rsidR="00D012E5">
        <w:t xml:space="preserve"> </w:t>
      </w:r>
      <w:r w:rsidR="00A40E3E">
        <w:t xml:space="preserve"> </w:t>
      </w:r>
    </w:p>
    <w:p w14:paraId="33DD06FA" w14:textId="60BC9633" w:rsidR="008F3ECD" w:rsidRDefault="003B439A">
      <w:pPr>
        <w:pStyle w:val="Heading3"/>
      </w:pPr>
      <w:bookmarkStart w:id="193" w:name="_Toc67499074"/>
      <w:r>
        <w:t xml:space="preserve">2016 reforms </w:t>
      </w:r>
      <w:r w:rsidR="00B10880">
        <w:t>expected to</w:t>
      </w:r>
      <w:r>
        <w:t xml:space="preserve"> deliver a</w:t>
      </w:r>
      <w:r w:rsidR="007B3C73">
        <w:t xml:space="preserve"> net benefit</w:t>
      </w:r>
      <w:bookmarkEnd w:id="193"/>
      <w:r w:rsidR="007B3C73">
        <w:t xml:space="preserve"> </w:t>
      </w:r>
      <w:r>
        <w:t>to the Australian community</w:t>
      </w:r>
    </w:p>
    <w:p w14:paraId="20E4D083" w14:textId="2E3A5311" w:rsidR="00B10880" w:rsidRPr="00666A01" w:rsidRDefault="003D537C" w:rsidP="00B10880">
      <w:r>
        <w:t xml:space="preserve">The CBA </w:t>
      </w:r>
      <w:r w:rsidR="001E004E">
        <w:t xml:space="preserve">model </w:t>
      </w:r>
      <w:r>
        <w:t xml:space="preserve">estimates </w:t>
      </w:r>
      <w:r w:rsidRPr="003C74DF">
        <w:t>the present value of the costs</w:t>
      </w:r>
      <w:r w:rsidR="00150BCA">
        <w:rPr>
          <w:rStyle w:val="FootnoteReference"/>
        </w:rPr>
        <w:footnoteReference w:id="38"/>
      </w:r>
      <w:r w:rsidRPr="003C74DF">
        <w:t xml:space="preserve"> of the current CoOL scheme to be $</w:t>
      </w:r>
      <w:r w:rsidR="00D6245E">
        <w:t>1.7</w:t>
      </w:r>
      <w:r w:rsidR="00654A32">
        <w:t> </w:t>
      </w:r>
      <w:r w:rsidRPr="003C74DF">
        <w:t>billion more costly, relative to the scheme that was in place prior to 2016.</w:t>
      </w:r>
      <w:r w:rsidR="007117DA">
        <w:rPr>
          <w:rStyle w:val="FootnoteReference"/>
        </w:rPr>
        <w:footnoteReference w:id="39"/>
      </w:r>
      <w:r w:rsidRPr="003C74DF">
        <w:t xml:space="preserve"> It also estimates that the current CoOL scheme generates $5.</w:t>
      </w:r>
      <w:r w:rsidR="00D25573" w:rsidRPr="003C74DF">
        <w:t>7</w:t>
      </w:r>
      <w:r w:rsidRPr="003C74DF">
        <w:t xml:space="preserve"> billion more in benefits</w:t>
      </w:r>
      <w:r w:rsidR="00150BCA">
        <w:rPr>
          <w:rStyle w:val="FootnoteReference"/>
        </w:rPr>
        <w:footnoteReference w:id="40"/>
      </w:r>
      <w:r w:rsidRPr="003C74DF">
        <w:t>, relative to the scheme that was in place prior to 2016</w:t>
      </w:r>
      <w:r w:rsidRPr="00C8424F">
        <w:t>.</w:t>
      </w:r>
      <w:r w:rsidR="00B10880" w:rsidRPr="00B10880">
        <w:t xml:space="preserve"> </w:t>
      </w:r>
      <w:r w:rsidR="00B10880" w:rsidRPr="007A4A35">
        <w:t>Compared to the previous scheme, the current scheme benefits include the avoided AMAG licencing costs and time saving for no longer applying the 50</w:t>
      </w:r>
      <w:r w:rsidR="00B10880">
        <w:t>%</w:t>
      </w:r>
      <w:r w:rsidR="00B10880" w:rsidRPr="007A4A35">
        <w:t xml:space="preserve"> production</w:t>
      </w:r>
      <w:r w:rsidR="00B10880" w:rsidRPr="00666A01">
        <w:t xml:space="preserve"> test.</w:t>
      </w:r>
    </w:p>
    <w:p w14:paraId="65FDCBF8" w14:textId="7C9052D4" w:rsidR="00B10880" w:rsidRDefault="003D537C">
      <w:r w:rsidRPr="00666A01">
        <w:t>Overall,</w:t>
      </w:r>
      <w:r w:rsidR="00DB2BFF">
        <w:t xml:space="preserve"> between FY2016 to FY2041,</w:t>
      </w:r>
      <w:r w:rsidRPr="00666A01">
        <w:t xml:space="preserve"> the </w:t>
      </w:r>
      <w:r w:rsidR="00E670FE">
        <w:t>scheme</w:t>
      </w:r>
      <w:r w:rsidRPr="00666A01">
        <w:t xml:space="preserve"> is expected to result in a</w:t>
      </w:r>
      <w:r w:rsidR="005B73C0">
        <w:t>n</w:t>
      </w:r>
      <w:r w:rsidRPr="00666A01">
        <w:t xml:space="preserve"> </w:t>
      </w:r>
      <w:r w:rsidR="00BA3641" w:rsidRPr="007A4A35">
        <w:t>NPV</w:t>
      </w:r>
      <w:r w:rsidRPr="007A4A35">
        <w:t xml:space="preserve">of </w:t>
      </w:r>
      <w:r w:rsidRPr="00F977D1">
        <w:rPr>
          <w:rFonts w:eastAsiaTheme="majorEastAsia" w:cstheme="majorBidi"/>
        </w:rPr>
        <w:t>$</w:t>
      </w:r>
      <w:r w:rsidR="003E485C">
        <w:rPr>
          <w:rFonts w:eastAsiaTheme="majorEastAsia" w:cstheme="majorBidi"/>
        </w:rPr>
        <w:t>4.0</w:t>
      </w:r>
      <w:r w:rsidRPr="007A4A35">
        <w:t xml:space="preserve"> billion, relative </w:t>
      </w:r>
      <w:r w:rsidR="004A2D4C">
        <w:t xml:space="preserve">to </w:t>
      </w:r>
      <w:r w:rsidRPr="007A4A35">
        <w:t xml:space="preserve">the </w:t>
      </w:r>
      <w:r w:rsidR="00F70952" w:rsidRPr="007A4A35">
        <w:t>previous scheme</w:t>
      </w:r>
      <w:r w:rsidRPr="007A4A35">
        <w:t xml:space="preserve">. Since the </w:t>
      </w:r>
      <w:r w:rsidR="00BA3641" w:rsidRPr="007A4A35">
        <w:t>NPV</w:t>
      </w:r>
      <w:r w:rsidRPr="007A4A35">
        <w:t xml:space="preserve"> exceeds zero, the benefits of the current CoOL scheme </w:t>
      </w:r>
      <w:r w:rsidR="00DB2BFF">
        <w:t xml:space="preserve">are expected to </w:t>
      </w:r>
      <w:r w:rsidRPr="007A4A35">
        <w:t xml:space="preserve">exceed the costs, </w:t>
      </w:r>
      <w:r w:rsidR="00B10880">
        <w:t>such that the</w:t>
      </w:r>
      <w:r w:rsidRPr="007A4A35">
        <w:t xml:space="preserve"> current CoOL scheme is </w:t>
      </w:r>
      <w:r w:rsidR="00B10880">
        <w:t xml:space="preserve">considered </w:t>
      </w:r>
      <w:r w:rsidRPr="007A4A35">
        <w:t>more cost</w:t>
      </w:r>
      <w:r w:rsidR="0094259D">
        <w:t>-</w:t>
      </w:r>
      <w:r w:rsidRPr="007A4A35">
        <w:t xml:space="preserve">effective than the </w:t>
      </w:r>
      <w:r w:rsidR="007C0982" w:rsidRPr="007A4A35">
        <w:t>previous scheme</w:t>
      </w:r>
      <w:r w:rsidRPr="007A4A35">
        <w:t xml:space="preserve">. </w:t>
      </w:r>
    </w:p>
    <w:p w14:paraId="46DFE7D5" w14:textId="2848BF78" w:rsidR="003D537C" w:rsidRPr="007A4A35" w:rsidRDefault="00AD14FE">
      <w:r w:rsidRPr="006C59A3">
        <w:t xml:space="preserve">Considering that for every $1 of costs incurred, the current CoOL </w:t>
      </w:r>
      <w:r w:rsidR="0094259D">
        <w:t>s</w:t>
      </w:r>
      <w:r w:rsidRPr="006C59A3">
        <w:t xml:space="preserve">cheme generates </w:t>
      </w:r>
      <w:r w:rsidRPr="007855C9">
        <w:t>$3.</w:t>
      </w:r>
      <w:r w:rsidRPr="006C59A3">
        <w:t xml:space="preserve">3 in benefits, </w:t>
      </w:r>
      <w:r w:rsidR="005A4FA6">
        <w:t>the CBA modelling indicates</w:t>
      </w:r>
      <w:r>
        <w:t xml:space="preserve"> that the current CoOL </w:t>
      </w:r>
      <w:r w:rsidR="0094259D">
        <w:t>s</w:t>
      </w:r>
      <w:r>
        <w:t>cheme</w:t>
      </w:r>
      <w:r w:rsidR="005A4FA6">
        <w:t xml:space="preserve"> is justified</w:t>
      </w:r>
      <w:r>
        <w:t xml:space="preserve">. </w:t>
      </w:r>
      <w:r w:rsidR="00B10880">
        <w:t>The current</w:t>
      </w:r>
      <w:r>
        <w:t xml:space="preserve"> </w:t>
      </w:r>
      <w:r w:rsidR="00B10880">
        <w:t>s</w:t>
      </w:r>
      <w:r>
        <w:t>cheme is expected to break even in FY2022</w:t>
      </w:r>
      <w:r w:rsidR="008D524F">
        <w:t xml:space="preserve"> – meaning the modelled benefits would then have exceeded the </w:t>
      </w:r>
      <w:r w:rsidR="00AC5AB0">
        <w:t>s</w:t>
      </w:r>
      <w:r w:rsidR="008D524F">
        <w:t>cheme costs</w:t>
      </w:r>
      <w:r>
        <w:t>.</w:t>
      </w:r>
    </w:p>
    <w:p w14:paraId="6DE893C3" w14:textId="77777777" w:rsidR="00A02F22" w:rsidRPr="00E53797" w:rsidRDefault="00A02F22" w:rsidP="00E53797">
      <w:pPr>
        <w:pStyle w:val="Heading3"/>
      </w:pPr>
      <w:bookmarkStart w:id="194" w:name="_Toc67499075"/>
      <w:r w:rsidRPr="00E53797">
        <w:t>Key finding</w:t>
      </w:r>
      <w:r>
        <w:t>s</w:t>
      </w:r>
      <w:r w:rsidR="0083243C">
        <w:t>: Cost-effectiveness of the reforms</w:t>
      </w:r>
      <w:bookmarkEnd w:id="194"/>
    </w:p>
    <w:tbl>
      <w:tblPr>
        <w:tblStyle w:val="Deloittetable"/>
        <w:tblW w:w="0" w:type="auto"/>
        <w:tblLook w:val="04A0" w:firstRow="1" w:lastRow="0" w:firstColumn="1" w:lastColumn="0" w:noHBand="0" w:noVBand="1"/>
        <w:tblDescription w:val="This table outlines the two key findings on the cost-effectiveness of the reforms. These are 1) The scheme was sensitive to cost in its design. &#10;2) While the cost of introducing the scheme was relatively significant for some businesses, the cost impact appears to have been largely a one-off, with ongoing costs of the scheme reportedly relatively minor.&#10;"/>
      </w:tblPr>
      <w:tblGrid>
        <w:gridCol w:w="993"/>
        <w:gridCol w:w="7938"/>
      </w:tblGrid>
      <w:tr w:rsidR="00FE20AF" w14:paraId="6CEFCBB7"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993" w:type="dxa"/>
            <w:tcBorders>
              <w:top w:val="single" w:sz="24" w:space="0" w:color="012169" w:themeColor="accent4"/>
            </w:tcBorders>
          </w:tcPr>
          <w:p w14:paraId="0E798D50" w14:textId="77777777" w:rsidR="00FE20AF" w:rsidRPr="00AB2F4F" w:rsidRDefault="00FE20AF" w:rsidP="00AB1DCE">
            <w:pPr>
              <w:rPr>
                <w:b/>
                <w:bCs/>
              </w:rPr>
            </w:pPr>
            <w:r>
              <w:rPr>
                <w:b/>
                <w:bCs/>
              </w:rPr>
              <w:t>Ref</w:t>
            </w:r>
          </w:p>
        </w:tc>
        <w:tc>
          <w:tcPr>
            <w:tcW w:w="7938" w:type="dxa"/>
            <w:tcBorders>
              <w:top w:val="single" w:sz="24" w:space="0" w:color="012169" w:themeColor="accent4"/>
            </w:tcBorders>
          </w:tcPr>
          <w:p w14:paraId="682EF812" w14:textId="078FB206" w:rsidR="00FE20AF" w:rsidRPr="00AB2F4F" w:rsidRDefault="00E6753F" w:rsidP="00AB1DCE">
            <w:pPr>
              <w:rPr>
                <w:b/>
                <w:bCs/>
              </w:rPr>
            </w:pPr>
            <w:r w:rsidRPr="00E6753F">
              <w:rPr>
                <w:b/>
                <w:bCs/>
              </w:rPr>
              <w:t>How cost-effective was the provision of information to consumers and businesses?</w:t>
            </w:r>
          </w:p>
        </w:tc>
      </w:tr>
      <w:tr w:rsidR="00AE71AC" w14:paraId="7ABD93D1" w14:textId="77777777" w:rsidTr="008050E6">
        <w:tc>
          <w:tcPr>
            <w:tcW w:w="993" w:type="dxa"/>
          </w:tcPr>
          <w:p w14:paraId="46670B04" w14:textId="77777777" w:rsidR="00AE71AC" w:rsidRDefault="00AE71AC" w:rsidP="00AE71AC">
            <w:r>
              <w:t>14</w:t>
            </w:r>
          </w:p>
        </w:tc>
        <w:tc>
          <w:tcPr>
            <w:tcW w:w="7938" w:type="dxa"/>
          </w:tcPr>
          <w:p w14:paraId="7A1E62B4" w14:textId="77777777" w:rsidR="00AE71AC" w:rsidRDefault="00AE71AC" w:rsidP="00AE71AC">
            <w:pPr>
              <w:pStyle w:val="ListBullet"/>
              <w:numPr>
                <w:ilvl w:val="0"/>
                <w:numId w:val="0"/>
              </w:numPr>
              <w:spacing w:after="170"/>
            </w:pPr>
            <w:r>
              <w:rPr>
                <w:szCs w:val="18"/>
              </w:rPr>
              <w:t xml:space="preserve">The </w:t>
            </w:r>
            <w:r w:rsidR="00E670FE">
              <w:rPr>
                <w:szCs w:val="18"/>
              </w:rPr>
              <w:t>scheme</w:t>
            </w:r>
            <w:r>
              <w:rPr>
                <w:szCs w:val="18"/>
              </w:rPr>
              <w:t xml:space="preserve"> was sensitive to cost in its design.</w:t>
            </w:r>
            <w:r w:rsidRPr="00E53797">
              <w:rPr>
                <w:szCs w:val="18"/>
              </w:rPr>
              <w:t xml:space="preserve"> </w:t>
            </w:r>
          </w:p>
        </w:tc>
      </w:tr>
      <w:tr w:rsidR="00AE71AC" w14:paraId="03EC81D5" w14:textId="77777777" w:rsidTr="008050E6">
        <w:tc>
          <w:tcPr>
            <w:tcW w:w="993" w:type="dxa"/>
          </w:tcPr>
          <w:p w14:paraId="55DC9FA7" w14:textId="77777777" w:rsidR="00AE71AC" w:rsidRDefault="00AE71AC" w:rsidP="00AE71AC">
            <w:r>
              <w:t>15</w:t>
            </w:r>
          </w:p>
        </w:tc>
        <w:tc>
          <w:tcPr>
            <w:tcW w:w="7938" w:type="dxa"/>
          </w:tcPr>
          <w:p w14:paraId="0BE5A4B6" w14:textId="09E61D63" w:rsidR="00AE71AC" w:rsidRDefault="00AE71AC" w:rsidP="00AE71AC">
            <w:pPr>
              <w:pStyle w:val="ListBullet"/>
              <w:numPr>
                <w:ilvl w:val="0"/>
                <w:numId w:val="0"/>
              </w:numPr>
              <w:spacing w:after="170"/>
            </w:pPr>
            <w:r w:rsidRPr="00E53797">
              <w:rPr>
                <w:szCs w:val="18"/>
              </w:rPr>
              <w:t xml:space="preserve">While the cost of introducing the </w:t>
            </w:r>
            <w:r w:rsidR="006F13F1">
              <w:rPr>
                <w:szCs w:val="18"/>
              </w:rPr>
              <w:t>s</w:t>
            </w:r>
            <w:r w:rsidRPr="00E53797">
              <w:rPr>
                <w:szCs w:val="18"/>
              </w:rPr>
              <w:t xml:space="preserve">cheme was </w:t>
            </w:r>
            <w:r w:rsidRPr="00E53797">
              <w:t>relatively significant for some businesses, the cost impact appears to have been largely a one</w:t>
            </w:r>
            <w:r w:rsidR="0094259D">
              <w:t>-</w:t>
            </w:r>
            <w:r w:rsidRPr="00E53797">
              <w:t xml:space="preserve">off, with ongoing costs of the </w:t>
            </w:r>
            <w:r w:rsidR="006F13F1">
              <w:t>s</w:t>
            </w:r>
            <w:r w:rsidRPr="00E53797">
              <w:t>cheme reportedly relatively minor</w:t>
            </w:r>
            <w:r>
              <w:t>.</w:t>
            </w:r>
          </w:p>
        </w:tc>
      </w:tr>
    </w:tbl>
    <w:p w14:paraId="233D8632" w14:textId="7128F2C1" w:rsidR="00311F8B" w:rsidRDefault="00311F8B">
      <w:pPr>
        <w:pStyle w:val="Heading1"/>
      </w:pPr>
      <w:bookmarkStart w:id="195" w:name="_Toc67499076"/>
      <w:bookmarkStart w:id="196" w:name="_Toc94702054"/>
      <w:r w:rsidRPr="00832FC8">
        <w:lastRenderedPageBreak/>
        <w:t>Consumer access to origin inform</w:t>
      </w:r>
      <w:r>
        <w:t>ation</w:t>
      </w:r>
      <w:bookmarkEnd w:id="195"/>
      <w:bookmarkEnd w:id="196"/>
    </w:p>
    <w:p w14:paraId="51713286" w14:textId="77777777" w:rsidR="00D31CFC" w:rsidRDefault="00D31CFC" w:rsidP="00707154">
      <w:pPr>
        <w:pBdr>
          <w:top w:val="single" w:sz="12" w:space="1" w:color="012169" w:themeColor="accent4"/>
          <w:left w:val="single" w:sz="12" w:space="4" w:color="012169" w:themeColor="accent4"/>
          <w:bottom w:val="single" w:sz="12" w:space="1" w:color="012169" w:themeColor="accent4"/>
          <w:right w:val="single" w:sz="12" w:space="4" w:color="012169" w:themeColor="accent4"/>
        </w:pBdr>
        <w:rPr>
          <w:b/>
          <w:bCs/>
        </w:rPr>
      </w:pPr>
      <w:r>
        <w:rPr>
          <w:b/>
          <w:bCs/>
        </w:rPr>
        <w:t>Summary of findings</w:t>
      </w:r>
    </w:p>
    <w:p w14:paraId="7EAC1C09" w14:textId="77777777" w:rsidR="00D31CFC" w:rsidRDefault="00D31CFC" w:rsidP="00707154">
      <w:pPr>
        <w:pBdr>
          <w:top w:val="single" w:sz="12" w:space="1" w:color="012169" w:themeColor="accent4"/>
          <w:left w:val="single" w:sz="12" w:space="4" w:color="012169" w:themeColor="accent4"/>
          <w:bottom w:val="single" w:sz="12" w:space="1" w:color="012169" w:themeColor="accent4"/>
          <w:right w:val="single" w:sz="12" w:space="4" w:color="012169" w:themeColor="accent4"/>
        </w:pBdr>
        <w:rPr>
          <w:lang w:eastAsia="en-AU"/>
        </w:rPr>
      </w:pPr>
      <w:r w:rsidRPr="00E53797">
        <w:rPr>
          <w:lang w:eastAsia="en-AU"/>
        </w:rPr>
        <w:t xml:space="preserve">The CoOL reforms have achieved the objective of informing consumers about the origin of their food to </w:t>
      </w:r>
      <w:r>
        <w:rPr>
          <w:lang w:eastAsia="en-AU"/>
        </w:rPr>
        <w:t>some</w:t>
      </w:r>
      <w:r w:rsidRPr="00E53797">
        <w:rPr>
          <w:lang w:eastAsia="en-AU"/>
        </w:rPr>
        <w:t xml:space="preserve"> </w:t>
      </w:r>
      <w:r>
        <w:rPr>
          <w:lang w:eastAsia="en-AU"/>
        </w:rPr>
        <w:t>degree. The</w:t>
      </w:r>
      <w:r w:rsidRPr="00245E7E">
        <w:rPr>
          <w:lang w:eastAsia="en-AU"/>
        </w:rPr>
        <w:t xml:space="preserve"> </w:t>
      </w:r>
      <w:r>
        <w:rPr>
          <w:lang w:eastAsia="en-AU"/>
        </w:rPr>
        <w:t>scheme</w:t>
      </w:r>
      <w:r w:rsidRPr="00245E7E">
        <w:rPr>
          <w:lang w:eastAsia="en-AU"/>
        </w:rPr>
        <w:t xml:space="preserve"> now provides more information</w:t>
      </w:r>
      <w:r>
        <w:rPr>
          <w:lang w:eastAsia="en-AU"/>
        </w:rPr>
        <w:t>,</w:t>
      </w:r>
      <w:r w:rsidRPr="00245E7E">
        <w:rPr>
          <w:lang w:eastAsia="en-AU"/>
        </w:rPr>
        <w:t xml:space="preserve"> which is of higher quality (less prone to misleading claims) in a more consistent manner across a wide range of products. However, areas of </w:t>
      </w:r>
      <w:r>
        <w:rPr>
          <w:lang w:eastAsia="en-AU"/>
        </w:rPr>
        <w:t xml:space="preserve">consumer </w:t>
      </w:r>
      <w:r w:rsidRPr="00245E7E">
        <w:rPr>
          <w:lang w:eastAsia="en-AU"/>
        </w:rPr>
        <w:t xml:space="preserve">uncertainty remain, driven in part by factors that are a legacy of the previous </w:t>
      </w:r>
      <w:r>
        <w:rPr>
          <w:lang w:eastAsia="en-AU"/>
        </w:rPr>
        <w:t>scheme</w:t>
      </w:r>
      <w:r w:rsidRPr="00245E7E">
        <w:rPr>
          <w:lang w:eastAsia="en-AU"/>
        </w:rPr>
        <w:t xml:space="preserve"> and partly by the variability in consumer </w:t>
      </w:r>
      <w:r>
        <w:rPr>
          <w:lang w:eastAsia="en-AU"/>
        </w:rPr>
        <w:t>p</w:t>
      </w:r>
      <w:r w:rsidRPr="00245E7E">
        <w:rPr>
          <w:lang w:eastAsia="en-AU"/>
        </w:rPr>
        <w:t xml:space="preserve">references and interpretation of the information provided. </w:t>
      </w:r>
      <w:r>
        <w:rPr>
          <w:lang w:eastAsia="en-AU"/>
        </w:rPr>
        <w:t>There is evidence to suggest that many consumers have an incomplete level of understanding or awareness of key elements of the CoOL scheme.</w:t>
      </w:r>
    </w:p>
    <w:p w14:paraId="2BBC91E9" w14:textId="77777777" w:rsidR="00D31CFC" w:rsidRDefault="00D31CFC" w:rsidP="00707154">
      <w:pPr>
        <w:pBdr>
          <w:top w:val="single" w:sz="12" w:space="1" w:color="012169" w:themeColor="accent4"/>
          <w:left w:val="single" w:sz="12" w:space="4" w:color="012169" w:themeColor="accent4"/>
          <w:bottom w:val="single" w:sz="12" w:space="1" w:color="012169" w:themeColor="accent4"/>
          <w:right w:val="single" w:sz="12" w:space="4" w:color="012169" w:themeColor="accent4"/>
        </w:pBdr>
        <w:rPr>
          <w:lang w:eastAsia="en-AU"/>
        </w:rPr>
      </w:pPr>
      <w:r w:rsidRPr="00867F41">
        <w:rPr>
          <w:lang w:eastAsia="en-AU"/>
        </w:rPr>
        <w:t xml:space="preserve">There is an ongoing issue regarding consumer understanding of the </w:t>
      </w:r>
      <w:r w:rsidRPr="00867F41" w:rsidDel="0016498C">
        <w:rPr>
          <w:lang w:eastAsia="en-AU"/>
        </w:rPr>
        <w:t>‘</w:t>
      </w:r>
      <w:r w:rsidRPr="00867F41">
        <w:rPr>
          <w:lang w:eastAsia="en-AU"/>
        </w:rPr>
        <w:t>Made in</w:t>
      </w:r>
      <w:r>
        <w:rPr>
          <w:lang w:eastAsia="en-AU"/>
        </w:rPr>
        <w:t>’</w:t>
      </w:r>
      <w:r w:rsidRPr="00867F41">
        <w:rPr>
          <w:lang w:eastAsia="en-AU"/>
        </w:rPr>
        <w:t xml:space="preserve"> claim</w:t>
      </w:r>
      <w:r>
        <w:rPr>
          <w:lang w:eastAsia="en-AU"/>
        </w:rPr>
        <w:t>;</w:t>
      </w:r>
      <w:r w:rsidRPr="00867F41">
        <w:rPr>
          <w:lang w:eastAsia="en-AU"/>
        </w:rPr>
        <w:t xml:space="preserve"> however, this issue predates the current </w:t>
      </w:r>
      <w:r>
        <w:rPr>
          <w:lang w:eastAsia="en-AU"/>
        </w:rPr>
        <w:t>scheme</w:t>
      </w:r>
      <w:r w:rsidRPr="00867F41">
        <w:rPr>
          <w:lang w:eastAsia="en-AU"/>
        </w:rPr>
        <w:t xml:space="preserve">. </w:t>
      </w:r>
      <w:r w:rsidRPr="00BC5BAA">
        <w:rPr>
          <w:lang w:eastAsia="en-AU"/>
        </w:rPr>
        <w:t xml:space="preserve">It is likely that the current </w:t>
      </w:r>
      <w:r>
        <w:rPr>
          <w:lang w:eastAsia="en-AU"/>
        </w:rPr>
        <w:t>scheme</w:t>
      </w:r>
      <w:r w:rsidRPr="00BC5BAA">
        <w:rPr>
          <w:lang w:eastAsia="en-AU"/>
        </w:rPr>
        <w:t xml:space="preserve"> is surfacing this issue because consumers can see that a product making this claim is not necessarily wholly or predominantly sourced from Australian ingredients. Further effort could be directed to improving consumer understanding of the meaning of this and associated claims.</w:t>
      </w:r>
      <w:r w:rsidRPr="00BC5BAA">
        <w:t xml:space="preserve"> </w:t>
      </w:r>
      <w:r w:rsidRPr="00BC5BAA">
        <w:rPr>
          <w:lang w:eastAsia="en-AU"/>
        </w:rPr>
        <w:t xml:space="preserve">There may </w:t>
      </w:r>
      <w:r>
        <w:rPr>
          <w:lang w:eastAsia="en-AU"/>
        </w:rPr>
        <w:t xml:space="preserve">also </w:t>
      </w:r>
      <w:r w:rsidRPr="00BC5BAA">
        <w:rPr>
          <w:lang w:eastAsia="en-AU"/>
        </w:rPr>
        <w:t xml:space="preserve">be an opportunity to further refine definition(s) and explanations of this and other claims through the regulations and accompanying explanatory material. </w:t>
      </w:r>
    </w:p>
    <w:p w14:paraId="7C366F3B" w14:textId="77777777" w:rsidR="00D31CFC" w:rsidRDefault="00D31CFC" w:rsidP="00707154">
      <w:pPr>
        <w:pBdr>
          <w:top w:val="single" w:sz="12" w:space="1" w:color="012169" w:themeColor="accent4"/>
          <w:left w:val="single" w:sz="12" w:space="4" w:color="012169" w:themeColor="accent4"/>
          <w:bottom w:val="single" w:sz="12" w:space="1" w:color="012169" w:themeColor="accent4"/>
          <w:right w:val="single" w:sz="12" w:space="4" w:color="012169" w:themeColor="accent4"/>
        </w:pBdr>
        <w:rPr>
          <w:lang w:eastAsia="en-AU"/>
        </w:rPr>
      </w:pPr>
      <w:r w:rsidRPr="00A86A45">
        <w:rPr>
          <w:lang w:eastAsia="en-AU"/>
        </w:rPr>
        <w:t xml:space="preserve">There appears to be a case for a refreshed CoOL awareness campaign of some form. </w:t>
      </w:r>
      <w:r>
        <w:rPr>
          <w:lang w:eastAsia="en-AU"/>
        </w:rPr>
        <w:t>T</w:t>
      </w:r>
      <w:r w:rsidRPr="00A86A45">
        <w:rPr>
          <w:lang w:eastAsia="en-AU"/>
        </w:rPr>
        <w:t>here are several important questions regarding such a campaign</w:t>
      </w:r>
      <w:r>
        <w:rPr>
          <w:lang w:eastAsia="en-AU"/>
        </w:rPr>
        <w:t>,</w:t>
      </w:r>
      <w:r w:rsidRPr="00A86A45">
        <w:rPr>
          <w:lang w:eastAsia="en-AU"/>
        </w:rPr>
        <w:t xml:space="preserve"> including its timing, duration and intensity. </w:t>
      </w:r>
      <w:r>
        <w:rPr>
          <w:lang w:eastAsia="en-AU"/>
        </w:rPr>
        <w:t>A</w:t>
      </w:r>
      <w:r w:rsidRPr="00A86A45">
        <w:rPr>
          <w:lang w:eastAsia="en-AU"/>
        </w:rPr>
        <w:t>ny short</w:t>
      </w:r>
      <w:r>
        <w:rPr>
          <w:lang w:eastAsia="en-AU"/>
        </w:rPr>
        <w:t>-</w:t>
      </w:r>
      <w:r w:rsidRPr="00A86A45">
        <w:rPr>
          <w:lang w:eastAsia="en-AU"/>
        </w:rPr>
        <w:t xml:space="preserve">term campaign needs to be accompanied by an ongoing communication strategy that is engaging and has meaningful reach. </w:t>
      </w:r>
    </w:p>
    <w:p w14:paraId="4F563799" w14:textId="77777777" w:rsidR="00D31CFC" w:rsidRDefault="00D31CFC" w:rsidP="00707154">
      <w:pPr>
        <w:pBdr>
          <w:top w:val="single" w:sz="12" w:space="1" w:color="012169" w:themeColor="accent4"/>
          <w:left w:val="single" w:sz="12" w:space="4" w:color="012169" w:themeColor="accent4"/>
          <w:bottom w:val="single" w:sz="12" w:space="1" w:color="012169" w:themeColor="accent4"/>
          <w:right w:val="single" w:sz="12" w:space="4" w:color="012169" w:themeColor="accent4"/>
        </w:pBdr>
        <w:rPr>
          <w:lang w:eastAsia="en-AU"/>
        </w:rPr>
      </w:pPr>
      <w:r w:rsidRPr="00BC5BAA">
        <w:rPr>
          <w:lang w:eastAsia="en-AU"/>
        </w:rPr>
        <w:t>While there is feedback from business and consumers in support of removing the non-priority food</w:t>
      </w:r>
      <w:r>
        <w:rPr>
          <w:lang w:eastAsia="en-AU"/>
        </w:rPr>
        <w:t xml:space="preserve"> list</w:t>
      </w:r>
      <w:r w:rsidRPr="00BC5BAA">
        <w:rPr>
          <w:lang w:eastAsia="en-AU"/>
        </w:rPr>
        <w:t xml:space="preserve">, </w:t>
      </w:r>
      <w:r>
        <w:rPr>
          <w:lang w:eastAsia="en-AU"/>
        </w:rPr>
        <w:t xml:space="preserve">this appears to mainly reflect the desire for consistency. </w:t>
      </w:r>
      <w:r w:rsidRPr="004775FB">
        <w:rPr>
          <w:lang w:eastAsia="en-AU"/>
        </w:rPr>
        <w:t>There is insufficient evidence at the present time to support the removal of the non-priority list</w:t>
      </w:r>
      <w:r>
        <w:rPr>
          <w:lang w:eastAsia="en-AU"/>
        </w:rPr>
        <w:t>,</w:t>
      </w:r>
      <w:r w:rsidRPr="004775FB">
        <w:rPr>
          <w:lang w:eastAsia="en-AU"/>
        </w:rPr>
        <w:t xml:space="preserve"> given the cost of change and relatively low interest from consumers. </w:t>
      </w:r>
    </w:p>
    <w:p w14:paraId="399FCA84" w14:textId="77777777" w:rsidR="00D31CFC" w:rsidRDefault="00D31CFC" w:rsidP="00707154">
      <w:pPr>
        <w:pBdr>
          <w:top w:val="single" w:sz="12" w:space="1" w:color="012169" w:themeColor="accent4"/>
          <w:left w:val="single" w:sz="12" w:space="4" w:color="012169" w:themeColor="accent4"/>
          <w:bottom w:val="single" w:sz="12" w:space="1" w:color="012169" w:themeColor="accent4"/>
          <w:right w:val="single" w:sz="12" w:space="4" w:color="012169" w:themeColor="accent4"/>
        </w:pBdr>
        <w:rPr>
          <w:lang w:eastAsia="en-AU"/>
        </w:rPr>
      </w:pPr>
      <w:r w:rsidRPr="00A47610">
        <w:rPr>
          <w:lang w:eastAsia="en-AU"/>
        </w:rPr>
        <w:t xml:space="preserve">The mandating of CoOL </w:t>
      </w:r>
      <w:r>
        <w:rPr>
          <w:lang w:eastAsia="en-AU"/>
        </w:rPr>
        <w:t xml:space="preserve">in foodservice settings </w:t>
      </w:r>
      <w:r w:rsidRPr="00A47610">
        <w:rPr>
          <w:lang w:eastAsia="en-AU"/>
        </w:rPr>
        <w:t>is not likely to be practical</w:t>
      </w:r>
      <w:r>
        <w:rPr>
          <w:lang w:eastAsia="en-AU"/>
        </w:rPr>
        <w:t xml:space="preserve"> or deliver a net benefit to the Australian community</w:t>
      </w:r>
      <w:r w:rsidRPr="00A47610">
        <w:rPr>
          <w:lang w:eastAsia="en-AU"/>
        </w:rPr>
        <w:t xml:space="preserve"> in individual cafes and restaurants</w:t>
      </w:r>
      <w:r>
        <w:rPr>
          <w:lang w:eastAsia="en-AU"/>
        </w:rPr>
        <w:t>.</w:t>
      </w:r>
      <w:r w:rsidRPr="00A47610">
        <w:rPr>
          <w:lang w:eastAsia="en-AU"/>
        </w:rPr>
        <w:t xml:space="preserve"> </w:t>
      </w:r>
    </w:p>
    <w:p w14:paraId="4228ECF0" w14:textId="77777777" w:rsidR="00D31CFC" w:rsidRDefault="00D31CFC" w:rsidP="00707154">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rsidRPr="005A1D91">
        <w:t xml:space="preserve">The detailed findings related to this pillar can be found </w:t>
      </w:r>
      <w:r>
        <w:t>at the end of</w:t>
      </w:r>
      <w:r w:rsidRPr="005A1D91">
        <w:t xml:space="preserve"> </w:t>
      </w:r>
      <w:r>
        <w:t>each section.</w:t>
      </w:r>
      <w:r w:rsidRPr="00A37E9F">
        <w:t xml:space="preserve"> </w:t>
      </w:r>
    </w:p>
    <w:p w14:paraId="696E43B5" w14:textId="77777777" w:rsidR="00172A6B" w:rsidRPr="008B1D5D" w:rsidRDefault="00B27606" w:rsidP="00311F8B">
      <w:pPr>
        <w:pStyle w:val="Heading2"/>
      </w:pPr>
      <w:bookmarkStart w:id="197" w:name="_Ref66885501"/>
      <w:bookmarkStart w:id="198" w:name="_Toc67499077"/>
      <w:bookmarkStart w:id="199" w:name="_Ref71200294"/>
      <w:bookmarkStart w:id="200" w:name="_Ref71202663"/>
      <w:bookmarkStart w:id="201" w:name="_Toc94702055"/>
      <w:r>
        <w:t xml:space="preserve">Impact of </w:t>
      </w:r>
      <w:r w:rsidR="00172A6B" w:rsidRPr="008B1D5D">
        <w:t xml:space="preserve">CoOL reforms </w:t>
      </w:r>
      <w:r>
        <w:t>on</w:t>
      </w:r>
      <w:r w:rsidR="00172A6B" w:rsidRPr="008B1D5D">
        <w:t xml:space="preserve"> consumer understanding </w:t>
      </w:r>
      <w:r>
        <w:t xml:space="preserve">of food </w:t>
      </w:r>
      <w:bookmarkEnd w:id="197"/>
      <w:bookmarkEnd w:id="198"/>
      <w:r>
        <w:t>origin</w:t>
      </w:r>
      <w:bookmarkEnd w:id="199"/>
      <w:bookmarkEnd w:id="200"/>
      <w:bookmarkEnd w:id="201"/>
    </w:p>
    <w:p w14:paraId="46287828" w14:textId="62B90420" w:rsidR="00172A6B" w:rsidRPr="008B1D5D" w:rsidRDefault="00172A6B" w:rsidP="00172A6B">
      <w:r>
        <w:t>A key question</w:t>
      </w:r>
      <w:r w:rsidR="003141AF">
        <w:t xml:space="preserve"> of this evaluation</w:t>
      </w:r>
      <w:r>
        <w:t xml:space="preserve"> is the extent to which the reforms improved consumer understanding about the origins of their food (evaluation question 7). Consumer understanding of the origin of their food is associated with a capacity to make purchasing decisions in line with their </w:t>
      </w:r>
      <w:r w:rsidR="00A815D7">
        <w:t>preferences</w:t>
      </w:r>
      <w:r>
        <w:t xml:space="preserve"> and</w:t>
      </w:r>
      <w:r w:rsidR="0032713F">
        <w:t>,</w:t>
      </w:r>
      <w:r>
        <w:t xml:space="preserve"> the</w:t>
      </w:r>
      <w:r w:rsidR="00EC0B7A">
        <w:t>refore</w:t>
      </w:r>
      <w:r w:rsidR="0032713F">
        <w:t>,</w:t>
      </w:r>
      <w:r w:rsidR="00EC0B7A">
        <w:t xml:space="preserve"> consumer empowerment</w:t>
      </w:r>
      <w:r>
        <w:t>. In evaluating consumer understanding of the origin of their food</w:t>
      </w:r>
      <w:r w:rsidR="004D3FAC">
        <w:t>,</w:t>
      </w:r>
      <w:r w:rsidR="00EC3E88">
        <w:t xml:space="preserve"> the </w:t>
      </w:r>
      <w:r w:rsidR="00FE50C3">
        <w:t xml:space="preserve">reported </w:t>
      </w:r>
      <w:r>
        <w:t>use of</w:t>
      </w:r>
      <w:r w:rsidR="00837F75">
        <w:t xml:space="preserve"> and satisfaction with</w:t>
      </w:r>
      <w:r>
        <w:t xml:space="preserve"> CoOL</w:t>
      </w:r>
      <w:r w:rsidR="00FE50C3">
        <w:t xml:space="preserve"> information</w:t>
      </w:r>
      <w:r w:rsidR="00837F75">
        <w:t xml:space="preserve"> </w:t>
      </w:r>
      <w:r w:rsidR="008D524F">
        <w:t>was considered</w:t>
      </w:r>
      <w:r w:rsidR="0016710C">
        <w:t>,</w:t>
      </w:r>
      <w:r w:rsidR="008D524F">
        <w:t xml:space="preserve"> </w:t>
      </w:r>
      <w:r w:rsidR="00A815D7">
        <w:t>as well as</w:t>
      </w:r>
      <w:r>
        <w:t xml:space="preserve"> </w:t>
      </w:r>
      <w:r w:rsidR="008E7CBF">
        <w:t>observations around</w:t>
      </w:r>
      <w:r w:rsidR="00A815D7">
        <w:t xml:space="preserve"> </w:t>
      </w:r>
      <w:r w:rsidR="008E7CBF">
        <w:t xml:space="preserve">actual </w:t>
      </w:r>
      <w:r w:rsidR="00EC3E88">
        <w:t>use and interpretation</w:t>
      </w:r>
      <w:r w:rsidR="00DB700B">
        <w:t xml:space="preserve"> of key elements of the labels</w:t>
      </w:r>
      <w:r w:rsidR="00EC3E88">
        <w:t xml:space="preserve">. </w:t>
      </w:r>
    </w:p>
    <w:p w14:paraId="1996649C" w14:textId="59487838" w:rsidR="00172A6B" w:rsidRDefault="001E4515" w:rsidP="00172A6B">
      <w:pPr>
        <w:pStyle w:val="Heading3"/>
      </w:pPr>
      <w:bookmarkStart w:id="202" w:name="_Toc67499078"/>
      <w:r>
        <w:t>Self-r</w:t>
      </w:r>
      <w:r w:rsidR="00172A6B">
        <w:t>eported understanding</w:t>
      </w:r>
      <w:r w:rsidR="00232443">
        <w:t xml:space="preserve"> and </w:t>
      </w:r>
      <w:r w:rsidR="00172A6B">
        <w:t xml:space="preserve">use </w:t>
      </w:r>
      <w:r w:rsidR="00232443">
        <w:t xml:space="preserve">of CoOL </w:t>
      </w:r>
      <w:r w:rsidR="00172A6B">
        <w:t>is high</w:t>
      </w:r>
      <w:r w:rsidR="00F70D2D">
        <w:t>,</w:t>
      </w:r>
      <w:r w:rsidR="00172A6B">
        <w:t xml:space="preserve"> but lower in practice</w:t>
      </w:r>
      <w:bookmarkEnd w:id="202"/>
    </w:p>
    <w:p w14:paraId="399E727D" w14:textId="6BB565EE" w:rsidR="00172A6B" w:rsidRDefault="00172A6B" w:rsidP="00172A6B">
      <w:pPr>
        <w:spacing w:after="120" w:line="276" w:lineRule="auto"/>
        <w:rPr>
          <w:rFonts w:eastAsia="Times New Roman" w:cs="Arial"/>
          <w:kern w:val="24"/>
          <w:lang w:eastAsia="en-AU"/>
        </w:rPr>
      </w:pPr>
      <w:r>
        <w:rPr>
          <w:rFonts w:eastAsia="Times New Roman" w:cs="Arial"/>
          <w:kern w:val="24"/>
          <w:lang w:eastAsia="en-AU"/>
        </w:rPr>
        <w:t xml:space="preserve">Consumers report an </w:t>
      </w:r>
      <w:r w:rsidRPr="00F808B9">
        <w:rPr>
          <w:rFonts w:eastAsia="Times New Roman" w:cs="Arial"/>
          <w:kern w:val="24"/>
          <w:lang w:eastAsia="en-AU"/>
        </w:rPr>
        <w:t>improved understanding of the origin of food</w:t>
      </w:r>
      <w:r>
        <w:rPr>
          <w:rFonts w:eastAsia="Times New Roman" w:cs="Arial"/>
          <w:kern w:val="24"/>
          <w:lang w:eastAsia="en-AU"/>
        </w:rPr>
        <w:t xml:space="preserve"> following the CoOL reforms</w:t>
      </w:r>
      <w:r w:rsidRPr="00F808B9">
        <w:rPr>
          <w:rFonts w:eastAsia="Times New Roman" w:cs="Arial"/>
          <w:kern w:val="24"/>
          <w:lang w:eastAsia="en-AU"/>
        </w:rPr>
        <w:t>, with 68</w:t>
      </w:r>
      <w:r w:rsidR="007B2C81">
        <w:rPr>
          <w:rFonts w:eastAsia="Times New Roman" w:cs="Arial"/>
          <w:kern w:val="24"/>
          <w:lang w:eastAsia="en-AU"/>
        </w:rPr>
        <w:t>%</w:t>
      </w:r>
      <w:r w:rsidRPr="00F808B9">
        <w:rPr>
          <w:rFonts w:eastAsia="Times New Roman" w:cs="Arial"/>
          <w:kern w:val="24"/>
          <w:lang w:eastAsia="en-AU"/>
        </w:rPr>
        <w:t xml:space="preserve"> of consumers surveyed </w:t>
      </w:r>
      <w:r>
        <w:rPr>
          <w:rFonts w:eastAsia="Times New Roman" w:cs="Arial"/>
          <w:kern w:val="24"/>
          <w:lang w:eastAsia="en-AU"/>
        </w:rPr>
        <w:t xml:space="preserve">in the consumer survey </w:t>
      </w:r>
      <w:r w:rsidRPr="00F808B9">
        <w:rPr>
          <w:rFonts w:eastAsia="Times New Roman" w:cs="Arial"/>
          <w:kern w:val="24"/>
          <w:lang w:eastAsia="en-AU"/>
        </w:rPr>
        <w:t>reporting improved understanding to a “moderate,” “large” or “very large” extent (</w:t>
      </w:r>
      <w:r w:rsidR="001C6850">
        <w:rPr>
          <w:rFonts w:eastAsia="Times New Roman" w:cs="Arial"/>
          <w:kern w:val="24"/>
          <w:lang w:eastAsia="en-AU"/>
        </w:rPr>
        <w:t>see</w:t>
      </w:r>
      <w:r w:rsidRPr="00F808B9">
        <w:rPr>
          <w:rFonts w:eastAsia="Times New Roman" w:cs="Arial"/>
          <w:kern w:val="24"/>
          <w:lang w:eastAsia="en-AU"/>
        </w:rPr>
        <w:t xml:space="preserve"> </w:t>
      </w:r>
      <w:r w:rsidR="006A08BC">
        <w:rPr>
          <w:rFonts w:eastAsia="Times New Roman" w:cs="Arial"/>
          <w:kern w:val="24"/>
          <w:lang w:eastAsia="en-AU"/>
        </w:rPr>
        <w:fldChar w:fldCharType="begin"/>
      </w:r>
      <w:r w:rsidR="006A08BC">
        <w:rPr>
          <w:rFonts w:eastAsia="Times New Roman" w:cs="Arial"/>
          <w:kern w:val="24"/>
          <w:lang w:eastAsia="en-AU"/>
        </w:rPr>
        <w:instrText xml:space="preserve"> REF _Ref66887221 \r \h </w:instrText>
      </w:r>
      <w:r w:rsidR="006A08BC">
        <w:rPr>
          <w:rFonts w:eastAsia="Times New Roman" w:cs="Arial"/>
          <w:kern w:val="24"/>
          <w:lang w:eastAsia="en-AU"/>
        </w:rPr>
      </w:r>
      <w:r w:rsidR="006A08BC">
        <w:rPr>
          <w:rFonts w:eastAsia="Times New Roman" w:cs="Arial"/>
          <w:kern w:val="24"/>
          <w:lang w:eastAsia="en-AU"/>
        </w:rPr>
        <w:fldChar w:fldCharType="separate"/>
      </w:r>
      <w:r w:rsidR="0017363C">
        <w:rPr>
          <w:rFonts w:eastAsia="Times New Roman" w:cs="Arial"/>
          <w:kern w:val="24"/>
          <w:lang w:eastAsia="en-AU"/>
        </w:rPr>
        <w:t>Chart 4.1</w:t>
      </w:r>
      <w:r w:rsidR="006A08BC">
        <w:rPr>
          <w:rFonts w:eastAsia="Times New Roman" w:cs="Arial"/>
          <w:kern w:val="24"/>
          <w:lang w:eastAsia="en-AU"/>
        </w:rPr>
        <w:fldChar w:fldCharType="end"/>
      </w:r>
      <w:r w:rsidR="006A08BC">
        <w:rPr>
          <w:rFonts w:eastAsia="Times New Roman" w:cs="Arial"/>
          <w:kern w:val="24"/>
          <w:lang w:eastAsia="en-AU"/>
        </w:rPr>
        <w:t>)</w:t>
      </w:r>
      <w:r w:rsidRPr="00F808B9">
        <w:rPr>
          <w:rFonts w:eastAsia="Times New Roman" w:cs="Arial"/>
          <w:kern w:val="24"/>
          <w:lang w:eastAsia="en-AU"/>
        </w:rPr>
        <w:t xml:space="preserve">. </w:t>
      </w:r>
      <w:r>
        <w:rPr>
          <w:rFonts w:eastAsia="Times New Roman" w:cs="Arial"/>
          <w:kern w:val="24"/>
          <w:lang w:eastAsia="en-AU"/>
        </w:rPr>
        <w:t>Only 11</w:t>
      </w:r>
      <w:r w:rsidR="007B2C81">
        <w:rPr>
          <w:rFonts w:eastAsia="Times New Roman" w:cs="Arial"/>
          <w:kern w:val="24"/>
          <w:lang w:eastAsia="en-AU"/>
        </w:rPr>
        <w:t>%</w:t>
      </w:r>
      <w:r>
        <w:rPr>
          <w:rFonts w:eastAsia="Times New Roman" w:cs="Arial"/>
          <w:kern w:val="24"/>
          <w:lang w:eastAsia="en-AU"/>
        </w:rPr>
        <w:t xml:space="preserve"> of consumers participating in the consumer survey reported that their understanding </w:t>
      </w:r>
      <w:r w:rsidR="00AC1A00">
        <w:rPr>
          <w:rFonts w:eastAsia="Times New Roman" w:cs="Arial"/>
          <w:kern w:val="24"/>
          <w:lang w:eastAsia="en-AU"/>
        </w:rPr>
        <w:t xml:space="preserve">has </w:t>
      </w:r>
      <w:r>
        <w:rPr>
          <w:rFonts w:eastAsia="Times New Roman" w:cs="Arial"/>
          <w:kern w:val="24"/>
          <w:lang w:eastAsia="en-AU"/>
        </w:rPr>
        <w:t>“not at all” improved through the reforms.</w:t>
      </w:r>
      <w:r w:rsidRPr="009A05D2">
        <w:rPr>
          <w:lang w:eastAsia="en-AU"/>
        </w:rPr>
        <w:t xml:space="preserve"> </w:t>
      </w:r>
    </w:p>
    <w:p w14:paraId="6A67759E" w14:textId="77777777" w:rsidR="00172A6B" w:rsidRDefault="00172A6B" w:rsidP="00172A6B">
      <w:pPr>
        <w:pStyle w:val="CaptionChart"/>
        <w:rPr>
          <w:szCs w:val="17"/>
          <w:lang w:eastAsia="en-AU"/>
        </w:rPr>
      </w:pPr>
      <w:bookmarkStart w:id="203" w:name="_Ref66887221"/>
      <w:bookmarkStart w:id="204" w:name="_Toc82590341"/>
      <w:r w:rsidRPr="006F176E">
        <w:rPr>
          <w:szCs w:val="17"/>
          <w:lang w:eastAsia="en-AU"/>
        </w:rPr>
        <w:lastRenderedPageBreak/>
        <w:t>: Reported improvement in consumer understanding about the origin of food following CoOL reforms</w:t>
      </w:r>
      <w:bookmarkEnd w:id="203"/>
      <w:bookmarkEnd w:id="204"/>
    </w:p>
    <w:p w14:paraId="56225278" w14:textId="0D57CA42" w:rsidR="006A7371" w:rsidRDefault="006A7371" w:rsidP="00172A6B">
      <w:pPr>
        <w:pStyle w:val="Source"/>
      </w:pPr>
      <w:r w:rsidRPr="006A7371">
        <w:rPr>
          <w:noProof/>
          <w:lang w:eastAsia="en-AU"/>
        </w:rPr>
        <w:drawing>
          <wp:inline distT="0" distB="0" distL="0" distR="0" wp14:anchorId="3EC6CB46" wp14:editId="1D34BD67">
            <wp:extent cx="5176299" cy="3097873"/>
            <wp:effectExtent l="0" t="0" r="5715" b="7620"/>
            <wp:docPr id="2" name="Picture 2" descr="Findings are: not at all (11%), to a small extent (21%), to a moderate extent (36%), to a large extent (22%) and to a very large ext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ndings are: not at all (11%), to a small extent (21%), to a moderate extent (36%), to a large extent (22%) and to a very large extent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334" cy="3120037"/>
                    </a:xfrm>
                    <a:prstGeom prst="rect">
                      <a:avLst/>
                    </a:prstGeom>
                    <a:noFill/>
                    <a:ln>
                      <a:noFill/>
                    </a:ln>
                  </pic:spPr>
                </pic:pic>
              </a:graphicData>
            </a:graphic>
          </wp:inline>
        </w:drawing>
      </w:r>
    </w:p>
    <w:p w14:paraId="2102B8A5" w14:textId="1B779881" w:rsidR="00172A6B" w:rsidRPr="009E5C6E" w:rsidRDefault="00172A6B" w:rsidP="00172A6B">
      <w:pPr>
        <w:pStyle w:val="Source"/>
      </w:pPr>
      <w:r w:rsidRPr="009E5C6E">
        <w:t>Source: Deloitte Access Economics’ national consumer survey (2020).</w:t>
      </w:r>
    </w:p>
    <w:p w14:paraId="00725947" w14:textId="43A512FE" w:rsidR="00172A6B" w:rsidRDefault="00172A6B" w:rsidP="00172A6B">
      <w:pPr>
        <w:rPr>
          <w:rFonts w:eastAsia="Times New Roman" w:cs="Arial"/>
          <w:kern w:val="24"/>
          <w:lang w:eastAsia="en-AU"/>
        </w:rPr>
      </w:pPr>
      <w:r w:rsidRPr="007A6960">
        <w:rPr>
          <w:lang w:eastAsia="en-AU"/>
        </w:rPr>
        <w:t>When purchasing food and beverage</w:t>
      </w:r>
      <w:r>
        <w:rPr>
          <w:lang w:eastAsia="en-AU"/>
        </w:rPr>
        <w:t xml:space="preserve"> products</w:t>
      </w:r>
      <w:r w:rsidRPr="007A6960">
        <w:rPr>
          <w:lang w:eastAsia="en-AU"/>
        </w:rPr>
        <w:t xml:space="preserve">, </w:t>
      </w:r>
      <w:r w:rsidRPr="007A6960">
        <w:rPr>
          <w:rFonts w:eastAsia="Times New Roman" w:cs="Arial"/>
          <w:kern w:val="24"/>
          <w:lang w:eastAsia="en-AU"/>
        </w:rPr>
        <w:t>77</w:t>
      </w:r>
      <w:r w:rsidR="007B2C81">
        <w:rPr>
          <w:rFonts w:eastAsia="Times New Roman" w:cs="Arial"/>
          <w:kern w:val="24"/>
          <w:lang w:eastAsia="en-AU"/>
        </w:rPr>
        <w:t>%</w:t>
      </w:r>
      <w:r w:rsidRPr="007A6960">
        <w:rPr>
          <w:rFonts w:eastAsia="Times New Roman" w:cs="Arial"/>
          <w:kern w:val="24"/>
          <w:lang w:eastAsia="en-AU"/>
        </w:rPr>
        <w:t xml:space="preserve"> of survey participants asserted that they refer to country of origin information “sometimes,” “often” or “always”</w:t>
      </w:r>
      <w:r w:rsidR="00487EDB">
        <w:rPr>
          <w:rFonts w:eastAsia="Times New Roman" w:cs="Arial"/>
          <w:kern w:val="24"/>
          <w:lang w:eastAsia="en-AU"/>
        </w:rPr>
        <w:t>.</w:t>
      </w:r>
      <w:r>
        <w:rPr>
          <w:rFonts w:eastAsia="Times New Roman" w:cs="Arial"/>
          <w:kern w:val="24"/>
          <w:lang w:eastAsia="en-AU"/>
        </w:rPr>
        <w:t xml:space="preserve"> </w:t>
      </w:r>
    </w:p>
    <w:p w14:paraId="1585A9EA" w14:textId="336765CF" w:rsidR="00172A6B" w:rsidRDefault="00172A6B" w:rsidP="00172A6B">
      <w:pPr>
        <w:rPr>
          <w:rFonts w:eastAsia="Times New Roman" w:cs="Arial"/>
          <w:kern w:val="24"/>
          <w:lang w:eastAsia="en-AU"/>
        </w:rPr>
      </w:pPr>
      <w:r>
        <w:rPr>
          <w:rFonts w:eastAsia="Times New Roman" w:cs="Arial"/>
          <w:kern w:val="24"/>
          <w:lang w:eastAsia="en-AU"/>
        </w:rPr>
        <w:t xml:space="preserve">In </w:t>
      </w:r>
      <w:r w:rsidR="00862619">
        <w:rPr>
          <w:rFonts w:eastAsia="Times New Roman" w:cs="Arial"/>
          <w:kern w:val="24"/>
          <w:lang w:eastAsia="en-AU"/>
        </w:rPr>
        <w:t>s</w:t>
      </w:r>
      <w:r>
        <w:rPr>
          <w:rFonts w:eastAsia="Times New Roman" w:cs="Arial"/>
          <w:kern w:val="24"/>
          <w:lang w:eastAsia="en-AU"/>
        </w:rPr>
        <w:t xml:space="preserve">hopper </w:t>
      </w:r>
      <w:r w:rsidR="00862619">
        <w:rPr>
          <w:rFonts w:eastAsia="Times New Roman" w:cs="Arial"/>
          <w:kern w:val="24"/>
          <w:lang w:eastAsia="en-AU"/>
        </w:rPr>
        <w:t>i</w:t>
      </w:r>
      <w:r>
        <w:rPr>
          <w:rFonts w:eastAsia="Times New Roman" w:cs="Arial"/>
          <w:kern w:val="24"/>
          <w:lang w:eastAsia="en-AU"/>
        </w:rPr>
        <w:t>nterviews, where consumers had limited awareness of the purpose of the evaluation, 69</w:t>
      </w:r>
      <w:r w:rsidR="007B2C81">
        <w:rPr>
          <w:rFonts w:eastAsia="Times New Roman" w:cs="Arial"/>
          <w:kern w:val="24"/>
          <w:lang w:eastAsia="en-AU"/>
        </w:rPr>
        <w:t>%</w:t>
      </w:r>
      <w:r>
        <w:rPr>
          <w:rFonts w:eastAsia="Times New Roman" w:cs="Arial"/>
          <w:kern w:val="24"/>
          <w:lang w:eastAsia="en-AU"/>
        </w:rPr>
        <w:t xml:space="preserve"> reported that they pay attention to</w:t>
      </w:r>
      <w:r w:rsidRPr="00792F67">
        <w:rPr>
          <w:rFonts w:eastAsia="Times New Roman" w:cs="Arial"/>
          <w:kern w:val="24"/>
          <w:lang w:eastAsia="en-AU"/>
        </w:rPr>
        <w:t xml:space="preserve"> </w:t>
      </w:r>
      <w:r w:rsidRPr="006F0465">
        <w:rPr>
          <w:rFonts w:eastAsia="Times New Roman" w:cs="Arial"/>
          <w:i/>
          <w:iCs/>
          <w:kern w:val="24"/>
          <w:lang w:eastAsia="en-AU"/>
        </w:rPr>
        <w:t>any</w:t>
      </w:r>
      <w:r w:rsidRPr="00792F67">
        <w:rPr>
          <w:rFonts w:eastAsia="Times New Roman" w:cs="Arial"/>
          <w:kern w:val="24"/>
          <w:lang w:eastAsia="en-AU"/>
        </w:rPr>
        <w:t xml:space="preserve"> </w:t>
      </w:r>
      <w:r>
        <w:rPr>
          <w:rFonts w:eastAsia="Times New Roman" w:cs="Arial"/>
          <w:kern w:val="24"/>
          <w:lang w:eastAsia="en-AU"/>
        </w:rPr>
        <w:t>labelling on food to a “moderate”, “large” or “very large” extent</w:t>
      </w:r>
      <w:r w:rsidR="00487EDB">
        <w:rPr>
          <w:rFonts w:eastAsia="Times New Roman" w:cs="Arial"/>
          <w:kern w:val="24"/>
          <w:lang w:eastAsia="en-AU"/>
        </w:rPr>
        <w:t>.</w:t>
      </w:r>
      <w:r>
        <w:rPr>
          <w:rFonts w:eastAsia="Times New Roman" w:cs="Arial"/>
          <w:kern w:val="24"/>
          <w:lang w:eastAsia="en-AU"/>
        </w:rPr>
        <w:t xml:space="preserve"> </w:t>
      </w:r>
    </w:p>
    <w:p w14:paraId="4BE8438A" w14:textId="1D2B5B23" w:rsidR="00172A6B" w:rsidRDefault="00E325AB" w:rsidP="00172A6B">
      <w:pPr>
        <w:rPr>
          <w:rFonts w:eastAsia="Times New Roman" w:cs="Arial"/>
          <w:kern w:val="24"/>
          <w:lang w:eastAsia="en-AU"/>
        </w:rPr>
      </w:pPr>
      <w:bookmarkStart w:id="205" w:name="_Toc66397490"/>
      <w:bookmarkStart w:id="206" w:name="_Toc66397558"/>
      <w:bookmarkEnd w:id="205"/>
      <w:bookmarkEnd w:id="206"/>
      <w:r>
        <w:rPr>
          <w:rFonts w:eastAsia="Times New Roman" w:cs="Arial"/>
          <w:kern w:val="24"/>
          <w:lang w:eastAsia="en-AU"/>
        </w:rPr>
        <w:t xml:space="preserve">In practice, the </w:t>
      </w:r>
      <w:r w:rsidR="00862619">
        <w:rPr>
          <w:rFonts w:eastAsia="Times New Roman" w:cs="Arial"/>
          <w:kern w:val="24"/>
          <w:lang w:eastAsia="en-AU"/>
        </w:rPr>
        <w:t>s</w:t>
      </w:r>
      <w:r>
        <w:rPr>
          <w:rFonts w:eastAsia="Times New Roman" w:cs="Arial"/>
          <w:kern w:val="24"/>
          <w:lang w:eastAsia="en-AU"/>
        </w:rPr>
        <w:t xml:space="preserve">hopper </w:t>
      </w:r>
      <w:r w:rsidR="00862619">
        <w:rPr>
          <w:rFonts w:eastAsia="Times New Roman" w:cs="Arial"/>
          <w:kern w:val="24"/>
          <w:lang w:eastAsia="en-AU"/>
        </w:rPr>
        <w:t>i</w:t>
      </w:r>
      <w:r>
        <w:rPr>
          <w:rFonts w:eastAsia="Times New Roman" w:cs="Arial"/>
          <w:kern w:val="24"/>
          <w:lang w:eastAsia="en-AU"/>
        </w:rPr>
        <w:t xml:space="preserve">nterviews </w:t>
      </w:r>
      <w:r w:rsidR="00785F6C">
        <w:rPr>
          <w:rFonts w:eastAsia="Times New Roman" w:cs="Arial"/>
          <w:kern w:val="24"/>
          <w:lang w:eastAsia="en-AU"/>
        </w:rPr>
        <w:t>identified that a majority of consumers (</w:t>
      </w:r>
      <w:r w:rsidR="00172A6B">
        <w:rPr>
          <w:rFonts w:eastAsia="Times New Roman" w:cs="Arial"/>
          <w:kern w:val="24"/>
          <w:lang w:eastAsia="en-AU"/>
        </w:rPr>
        <w:t>58</w:t>
      </w:r>
      <w:r w:rsidR="007B2C81">
        <w:rPr>
          <w:rFonts w:eastAsia="Times New Roman" w:cs="Arial"/>
          <w:kern w:val="24"/>
          <w:lang w:eastAsia="en-AU"/>
        </w:rPr>
        <w:t>%</w:t>
      </w:r>
      <w:r w:rsidR="00785F6C">
        <w:rPr>
          <w:rFonts w:eastAsia="Times New Roman" w:cs="Arial"/>
          <w:kern w:val="24"/>
          <w:lang w:eastAsia="en-AU"/>
        </w:rPr>
        <w:t>)</w:t>
      </w:r>
      <w:r w:rsidR="00172A6B">
        <w:rPr>
          <w:rFonts w:eastAsia="Times New Roman" w:cs="Arial"/>
          <w:kern w:val="24"/>
          <w:lang w:eastAsia="en-AU"/>
        </w:rPr>
        <w:t xml:space="preserve"> had noticed the country of origin information on a packaged product, either on that day or previously (</w:t>
      </w:r>
      <w:r w:rsidR="00C05321">
        <w:rPr>
          <w:rFonts w:eastAsia="Times New Roman" w:cs="Arial"/>
          <w:kern w:val="24"/>
          <w:lang w:eastAsia="en-AU"/>
        </w:rPr>
        <w:t xml:space="preserve">see </w:t>
      </w:r>
      <w:r w:rsidR="00D72D81">
        <w:rPr>
          <w:rFonts w:eastAsia="Times New Roman" w:cs="Arial"/>
          <w:kern w:val="24"/>
          <w:lang w:eastAsia="en-AU"/>
        </w:rPr>
        <w:fldChar w:fldCharType="begin"/>
      </w:r>
      <w:r w:rsidR="00D72D81">
        <w:rPr>
          <w:rFonts w:eastAsia="Times New Roman" w:cs="Arial"/>
          <w:kern w:val="24"/>
          <w:lang w:eastAsia="en-AU"/>
        </w:rPr>
        <w:instrText xml:space="preserve"> REF _Ref66398147 \r \h </w:instrText>
      </w:r>
      <w:r w:rsidR="00D72D81">
        <w:rPr>
          <w:rFonts w:eastAsia="Times New Roman" w:cs="Arial"/>
          <w:kern w:val="24"/>
          <w:lang w:eastAsia="en-AU"/>
        </w:rPr>
      </w:r>
      <w:r w:rsidR="00D72D81">
        <w:rPr>
          <w:rFonts w:eastAsia="Times New Roman" w:cs="Arial"/>
          <w:kern w:val="24"/>
          <w:lang w:eastAsia="en-AU"/>
        </w:rPr>
        <w:fldChar w:fldCharType="separate"/>
      </w:r>
      <w:r w:rsidR="0017363C">
        <w:rPr>
          <w:rFonts w:eastAsia="Times New Roman" w:cs="Arial"/>
          <w:kern w:val="24"/>
          <w:lang w:eastAsia="en-AU"/>
        </w:rPr>
        <w:t>Chart 4.2</w:t>
      </w:r>
      <w:r w:rsidR="00D72D81">
        <w:rPr>
          <w:rFonts w:eastAsia="Times New Roman" w:cs="Arial"/>
          <w:kern w:val="24"/>
          <w:lang w:eastAsia="en-AU"/>
        </w:rPr>
        <w:fldChar w:fldCharType="end"/>
      </w:r>
      <w:r w:rsidR="00D72D81">
        <w:rPr>
          <w:rFonts w:eastAsia="Times New Roman" w:cs="Arial"/>
          <w:kern w:val="24"/>
          <w:lang w:eastAsia="en-AU"/>
        </w:rPr>
        <w:t xml:space="preserve">). </w:t>
      </w:r>
      <w:r w:rsidR="00E56F12">
        <w:rPr>
          <w:rFonts w:eastAsia="Times New Roman" w:cs="Arial"/>
          <w:kern w:val="24"/>
          <w:lang w:eastAsia="en-AU"/>
        </w:rPr>
        <w:t>Th</w:t>
      </w:r>
      <w:r w:rsidR="00705376">
        <w:rPr>
          <w:rFonts w:eastAsia="Times New Roman" w:cs="Arial"/>
          <w:kern w:val="24"/>
          <w:lang w:eastAsia="en-AU"/>
        </w:rPr>
        <w:t>is is nearly 20</w:t>
      </w:r>
      <w:r w:rsidR="007B2C81">
        <w:rPr>
          <w:rFonts w:eastAsia="Times New Roman" w:cs="Arial"/>
          <w:kern w:val="24"/>
          <w:lang w:eastAsia="en-AU"/>
        </w:rPr>
        <w:t>%</w:t>
      </w:r>
      <w:r w:rsidR="00705376">
        <w:rPr>
          <w:rFonts w:eastAsia="Times New Roman" w:cs="Arial"/>
          <w:kern w:val="24"/>
          <w:lang w:eastAsia="en-AU"/>
        </w:rPr>
        <w:t xml:space="preserve"> less than consumers stated </w:t>
      </w:r>
      <w:r w:rsidR="009B614E">
        <w:rPr>
          <w:rFonts w:eastAsia="Times New Roman" w:cs="Arial"/>
          <w:kern w:val="24"/>
          <w:lang w:eastAsia="en-AU"/>
        </w:rPr>
        <w:t xml:space="preserve">in the surveys, </w:t>
      </w:r>
      <w:r w:rsidR="00BA549C">
        <w:rPr>
          <w:rFonts w:eastAsia="Times New Roman" w:cs="Arial"/>
          <w:kern w:val="24"/>
          <w:lang w:eastAsia="en-AU"/>
        </w:rPr>
        <w:t xml:space="preserve">where the question was more general </w:t>
      </w:r>
      <w:r w:rsidR="00420DB6">
        <w:rPr>
          <w:rFonts w:eastAsia="Times New Roman" w:cs="Arial"/>
          <w:kern w:val="24"/>
          <w:lang w:eastAsia="en-AU"/>
        </w:rPr>
        <w:t>with regard to the use of origin labelling</w:t>
      </w:r>
      <w:r w:rsidR="00705376">
        <w:rPr>
          <w:rFonts w:eastAsia="Times New Roman" w:cs="Arial"/>
          <w:kern w:val="24"/>
          <w:lang w:eastAsia="en-AU"/>
        </w:rPr>
        <w:t xml:space="preserve">. </w:t>
      </w:r>
    </w:p>
    <w:p w14:paraId="2873D096" w14:textId="77777777" w:rsidR="00172A6B" w:rsidRDefault="00172A6B" w:rsidP="00172A6B">
      <w:pPr>
        <w:pStyle w:val="CaptionChart"/>
        <w:spacing w:after="120" w:line="276" w:lineRule="auto"/>
        <w:rPr>
          <w:lang w:eastAsia="en-AU"/>
        </w:rPr>
      </w:pPr>
      <w:bookmarkStart w:id="207" w:name="_Ref66398134"/>
      <w:bookmarkStart w:id="208" w:name="_Ref66398136"/>
      <w:bookmarkStart w:id="209" w:name="_Ref66398147"/>
      <w:bookmarkStart w:id="210" w:name="_Ref66398252"/>
      <w:bookmarkStart w:id="211" w:name="_Toc82590342"/>
      <w:r>
        <w:rPr>
          <w:lang w:eastAsia="en-AU"/>
        </w:rPr>
        <w:t>: Share of consumers that had noticed country of origin information today or previously</w:t>
      </w:r>
      <w:bookmarkEnd w:id="207"/>
      <w:bookmarkEnd w:id="208"/>
      <w:bookmarkEnd w:id="209"/>
      <w:bookmarkEnd w:id="210"/>
      <w:bookmarkEnd w:id="211"/>
      <w:r>
        <w:rPr>
          <w:lang w:eastAsia="en-AU"/>
        </w:rPr>
        <w:t xml:space="preserve">   </w:t>
      </w:r>
    </w:p>
    <w:p w14:paraId="3D5BE983" w14:textId="3653F76F" w:rsidR="00B03119" w:rsidRDefault="00AF1110" w:rsidP="00172A6B">
      <w:pPr>
        <w:pStyle w:val="Source"/>
      </w:pPr>
      <w:r w:rsidRPr="00AF1110">
        <w:rPr>
          <w:noProof/>
          <w:lang w:eastAsia="en-AU"/>
        </w:rPr>
        <w:drawing>
          <wp:inline distT="0" distB="0" distL="0" distR="0" wp14:anchorId="3C067149" wp14:editId="62A02C58">
            <wp:extent cx="4587875" cy="2687320"/>
            <wp:effectExtent l="0" t="0" r="3175" b="0"/>
            <wp:docPr id="6" name="Picture 6" descr="Findings are: No - never (43%), yes - previously (42%) and yes - today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ndings are: No - never (43%), yes - previously (42%) and yes - today (15%)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2687320"/>
                    </a:xfrm>
                    <a:prstGeom prst="rect">
                      <a:avLst/>
                    </a:prstGeom>
                    <a:noFill/>
                    <a:ln>
                      <a:noFill/>
                    </a:ln>
                  </pic:spPr>
                </pic:pic>
              </a:graphicData>
            </a:graphic>
          </wp:inline>
        </w:drawing>
      </w:r>
    </w:p>
    <w:p w14:paraId="2864085F" w14:textId="466C21DD" w:rsidR="00172A6B" w:rsidRPr="009E5C6E" w:rsidRDefault="00172A6B" w:rsidP="00172A6B">
      <w:pPr>
        <w:pStyle w:val="Source"/>
      </w:pPr>
      <w:r w:rsidRPr="009E5C6E">
        <w:lastRenderedPageBreak/>
        <w:t xml:space="preserve">Source: Deloitte Access Economics’ </w:t>
      </w:r>
      <w:r>
        <w:t>shopper interview analysis (2021).</w:t>
      </w:r>
    </w:p>
    <w:p w14:paraId="20A1F79C" w14:textId="6A5C73D9" w:rsidR="00172A6B" w:rsidRDefault="00172A6B" w:rsidP="00172A6B">
      <w:pPr>
        <w:rPr>
          <w:rFonts w:eastAsia="Times New Roman" w:cs="Arial"/>
          <w:kern w:val="24"/>
          <w:lang w:eastAsia="en-AU"/>
        </w:rPr>
      </w:pPr>
      <w:r>
        <w:rPr>
          <w:rFonts w:eastAsia="Times New Roman" w:cs="Arial"/>
          <w:kern w:val="24"/>
          <w:lang w:eastAsia="en-AU"/>
        </w:rPr>
        <w:t xml:space="preserve">The regularity of use of CoOL labels will vary significantly between product categories and the extent of familiarity that consumers have with particular products. </w:t>
      </w:r>
      <w:r w:rsidR="00420DB6">
        <w:rPr>
          <w:rFonts w:eastAsia="Times New Roman" w:cs="Arial"/>
          <w:kern w:val="24"/>
          <w:lang w:eastAsia="en-AU"/>
        </w:rPr>
        <w:t>While</w:t>
      </w:r>
      <w:r w:rsidR="005812B5" w:rsidRPr="00754E9D">
        <w:rPr>
          <w:rFonts w:eastAsia="Times New Roman" w:cs="Arial"/>
          <w:kern w:val="24"/>
          <w:lang w:eastAsia="en-AU"/>
        </w:rPr>
        <w:t xml:space="preserve"> 58</w:t>
      </w:r>
      <w:r w:rsidR="007B2C81">
        <w:rPr>
          <w:rFonts w:eastAsia="Times New Roman" w:cs="Arial"/>
          <w:kern w:val="24"/>
          <w:lang w:eastAsia="en-AU"/>
        </w:rPr>
        <w:t>%</w:t>
      </w:r>
      <w:r w:rsidR="005812B5" w:rsidRPr="00754E9D">
        <w:rPr>
          <w:rFonts w:eastAsia="Times New Roman" w:cs="Arial"/>
          <w:kern w:val="24"/>
          <w:lang w:eastAsia="en-AU"/>
        </w:rPr>
        <w:t xml:space="preserve"> </w:t>
      </w:r>
      <w:r w:rsidR="00420DB6">
        <w:rPr>
          <w:rFonts w:eastAsia="Times New Roman" w:cs="Arial"/>
          <w:kern w:val="24"/>
          <w:lang w:eastAsia="en-AU"/>
        </w:rPr>
        <w:t xml:space="preserve">shoppers surveyed </w:t>
      </w:r>
      <w:r w:rsidR="00AB2894">
        <w:rPr>
          <w:rFonts w:eastAsia="Times New Roman" w:cs="Arial"/>
          <w:kern w:val="24"/>
          <w:lang w:eastAsia="en-AU"/>
        </w:rPr>
        <w:t xml:space="preserve">in the shopper interviews </w:t>
      </w:r>
      <w:r w:rsidR="005812B5" w:rsidRPr="00754E9D">
        <w:rPr>
          <w:rFonts w:eastAsia="Times New Roman" w:cs="Arial"/>
          <w:kern w:val="24"/>
          <w:lang w:eastAsia="en-AU"/>
        </w:rPr>
        <w:t>report having paid attention to the label</w:t>
      </w:r>
      <w:r w:rsidR="00C738DE">
        <w:rPr>
          <w:rFonts w:eastAsia="Times New Roman" w:cs="Arial"/>
          <w:kern w:val="24"/>
          <w:lang w:eastAsia="en-AU"/>
        </w:rPr>
        <w:t>,</w:t>
      </w:r>
      <w:r w:rsidR="00AB2894">
        <w:rPr>
          <w:rFonts w:eastAsia="Times New Roman" w:cs="Arial"/>
          <w:kern w:val="24"/>
          <w:lang w:eastAsia="en-AU"/>
        </w:rPr>
        <w:t xml:space="preserve"> </w:t>
      </w:r>
      <w:r w:rsidR="005812B5" w:rsidRPr="00754E9D">
        <w:rPr>
          <w:rFonts w:eastAsia="Times New Roman" w:cs="Arial"/>
          <w:kern w:val="24"/>
          <w:lang w:eastAsia="en-AU"/>
        </w:rPr>
        <w:t>most did not refer to it on the date of purchase.</w:t>
      </w:r>
      <w:r w:rsidR="005812B5">
        <w:rPr>
          <w:rFonts w:eastAsia="Times New Roman" w:cs="Arial"/>
          <w:kern w:val="24"/>
          <w:lang w:eastAsia="en-AU"/>
        </w:rPr>
        <w:t xml:space="preserve"> </w:t>
      </w:r>
      <w:r>
        <w:rPr>
          <w:rFonts w:eastAsia="Times New Roman" w:cs="Arial"/>
          <w:kern w:val="24"/>
          <w:lang w:eastAsia="en-AU"/>
        </w:rPr>
        <w:t xml:space="preserve">The shopper interviews indicated that only </w:t>
      </w:r>
      <w:r w:rsidR="009838F9">
        <w:rPr>
          <w:rFonts w:eastAsia="Times New Roman" w:cs="Arial"/>
          <w:kern w:val="24"/>
          <w:lang w:eastAsia="en-AU"/>
        </w:rPr>
        <w:t>12</w:t>
      </w:r>
      <w:r w:rsidR="007B2C81">
        <w:rPr>
          <w:rFonts w:eastAsia="Times New Roman" w:cs="Arial"/>
          <w:kern w:val="24"/>
          <w:lang w:eastAsia="en-AU"/>
        </w:rPr>
        <w:t>%</w:t>
      </w:r>
      <w:r>
        <w:rPr>
          <w:rFonts w:eastAsia="Times New Roman" w:cs="Arial"/>
          <w:kern w:val="24"/>
          <w:lang w:eastAsia="en-AU"/>
        </w:rPr>
        <w:t xml:space="preserve"> of consumers report having looked at country of origin information on the selected packaged product when asked “What part of the labelling did you look at</w:t>
      </w:r>
      <w:r w:rsidR="00D12AD3">
        <w:rPr>
          <w:rFonts w:eastAsia="Times New Roman" w:cs="Arial"/>
          <w:kern w:val="24"/>
          <w:lang w:eastAsia="en-AU"/>
        </w:rPr>
        <w:t xml:space="preserve">?” </w:t>
      </w:r>
      <w:r>
        <w:rPr>
          <w:rFonts w:eastAsia="Times New Roman" w:cs="Arial"/>
          <w:kern w:val="24"/>
          <w:lang w:eastAsia="en-AU"/>
        </w:rPr>
        <w:t>(see</w:t>
      </w:r>
      <w:r w:rsidDel="00D72D81">
        <w:rPr>
          <w:rFonts w:eastAsia="Times New Roman" w:cs="Arial"/>
          <w:kern w:val="24"/>
          <w:lang w:eastAsia="en-AU"/>
        </w:rPr>
        <w:t xml:space="preserve"> </w:t>
      </w:r>
      <w:r w:rsidR="00D72D81">
        <w:rPr>
          <w:rFonts w:eastAsia="Times New Roman" w:cs="Arial"/>
          <w:kern w:val="24"/>
          <w:lang w:eastAsia="en-AU"/>
        </w:rPr>
        <w:fldChar w:fldCharType="begin"/>
      </w:r>
      <w:r w:rsidR="00D72D81">
        <w:rPr>
          <w:rFonts w:eastAsia="Times New Roman" w:cs="Arial"/>
          <w:kern w:val="24"/>
          <w:lang w:eastAsia="en-AU"/>
        </w:rPr>
        <w:instrText xml:space="preserve"> REF _Ref66398203 \r \h </w:instrText>
      </w:r>
      <w:r w:rsidR="00D72D81">
        <w:rPr>
          <w:rFonts w:eastAsia="Times New Roman" w:cs="Arial"/>
          <w:kern w:val="24"/>
          <w:lang w:eastAsia="en-AU"/>
        </w:rPr>
      </w:r>
      <w:r w:rsidR="00D72D81">
        <w:rPr>
          <w:rFonts w:eastAsia="Times New Roman" w:cs="Arial"/>
          <w:kern w:val="24"/>
          <w:lang w:eastAsia="en-AU"/>
        </w:rPr>
        <w:fldChar w:fldCharType="separate"/>
      </w:r>
      <w:r w:rsidR="0017363C">
        <w:rPr>
          <w:rFonts w:eastAsia="Times New Roman" w:cs="Arial"/>
          <w:kern w:val="24"/>
          <w:lang w:eastAsia="en-AU"/>
        </w:rPr>
        <w:t>Chart 4.3</w:t>
      </w:r>
      <w:r w:rsidR="00D72D81">
        <w:rPr>
          <w:rFonts w:eastAsia="Times New Roman" w:cs="Arial"/>
          <w:kern w:val="24"/>
          <w:lang w:eastAsia="en-AU"/>
        </w:rPr>
        <w:fldChar w:fldCharType="end"/>
      </w:r>
      <w:r>
        <w:rPr>
          <w:rFonts w:eastAsia="Times New Roman" w:cs="Arial"/>
          <w:kern w:val="24"/>
          <w:lang w:eastAsia="en-AU"/>
        </w:rPr>
        <w:t xml:space="preserve">). </w:t>
      </w:r>
      <w:r w:rsidR="00474D3C">
        <w:rPr>
          <w:rFonts w:eastAsia="Times New Roman" w:cs="Arial"/>
          <w:kern w:val="24"/>
          <w:lang w:eastAsia="en-AU"/>
        </w:rPr>
        <w:t>M</w:t>
      </w:r>
      <w:r>
        <w:rPr>
          <w:rFonts w:eastAsia="Times New Roman" w:cs="Arial"/>
          <w:kern w:val="24"/>
          <w:lang w:eastAsia="en-AU"/>
        </w:rPr>
        <w:t>any more (approximately 43</w:t>
      </w:r>
      <w:r w:rsidR="007B2C81">
        <w:rPr>
          <w:rFonts w:eastAsia="Times New Roman" w:cs="Arial"/>
          <w:kern w:val="24"/>
          <w:lang w:eastAsia="en-AU"/>
        </w:rPr>
        <w:t>%</w:t>
      </w:r>
      <w:r>
        <w:rPr>
          <w:rFonts w:eastAsia="Times New Roman" w:cs="Arial"/>
          <w:kern w:val="24"/>
          <w:lang w:eastAsia="en-AU"/>
        </w:rPr>
        <w:t>)</w:t>
      </w:r>
      <w:r w:rsidR="001402F1">
        <w:rPr>
          <w:rFonts w:eastAsia="Times New Roman" w:cs="Arial"/>
          <w:kern w:val="24"/>
          <w:lang w:eastAsia="en-AU"/>
        </w:rPr>
        <w:t>,</w:t>
      </w:r>
      <w:r>
        <w:rPr>
          <w:rFonts w:eastAsia="Times New Roman" w:cs="Arial"/>
          <w:kern w:val="24"/>
          <w:lang w:eastAsia="en-AU"/>
        </w:rPr>
        <w:t xml:space="preserve"> </w:t>
      </w:r>
      <w:r w:rsidR="00474D3C">
        <w:rPr>
          <w:rFonts w:eastAsia="Times New Roman" w:cs="Arial"/>
          <w:kern w:val="24"/>
          <w:lang w:eastAsia="en-AU"/>
        </w:rPr>
        <w:t>however</w:t>
      </w:r>
      <w:r w:rsidR="001402F1">
        <w:rPr>
          <w:rFonts w:eastAsia="Times New Roman" w:cs="Arial"/>
          <w:kern w:val="24"/>
          <w:lang w:eastAsia="en-AU"/>
        </w:rPr>
        <w:t>,</w:t>
      </w:r>
      <w:r w:rsidR="00474D3C">
        <w:rPr>
          <w:rFonts w:eastAsia="Times New Roman" w:cs="Arial"/>
          <w:kern w:val="24"/>
          <w:lang w:eastAsia="en-AU"/>
        </w:rPr>
        <w:t xml:space="preserve"> </w:t>
      </w:r>
      <w:r>
        <w:rPr>
          <w:rFonts w:eastAsia="Times New Roman" w:cs="Arial"/>
          <w:kern w:val="24"/>
          <w:lang w:eastAsia="en-AU"/>
        </w:rPr>
        <w:t xml:space="preserve">report having used the </w:t>
      </w:r>
      <w:r>
        <w:rPr>
          <w:rFonts w:eastAsia="Calibri" w:cs="Times New Roman"/>
        </w:rPr>
        <w:t>CoOL</w:t>
      </w:r>
      <w:r w:rsidRPr="00CC297D">
        <w:rPr>
          <w:rFonts w:eastAsia="Calibri" w:cs="Times New Roman"/>
        </w:rPr>
        <w:t xml:space="preserve"> </w:t>
      </w:r>
      <w:r>
        <w:rPr>
          <w:rFonts w:eastAsia="Times New Roman" w:cs="Arial"/>
          <w:kern w:val="24"/>
          <w:lang w:eastAsia="en-AU"/>
        </w:rPr>
        <w:t>information to establish trust around the particular purchases</w:t>
      </w:r>
      <w:r w:rsidR="005232BB">
        <w:rPr>
          <w:rFonts w:eastAsia="Times New Roman" w:cs="Arial"/>
          <w:kern w:val="24"/>
          <w:lang w:eastAsia="en-AU"/>
        </w:rPr>
        <w:t xml:space="preserve"> over time</w:t>
      </w:r>
      <w:r>
        <w:rPr>
          <w:rFonts w:eastAsia="Times New Roman" w:cs="Arial"/>
          <w:kern w:val="24"/>
          <w:lang w:eastAsia="en-AU"/>
        </w:rPr>
        <w:t xml:space="preserve">. </w:t>
      </w:r>
    </w:p>
    <w:p w14:paraId="00A4E003" w14:textId="77777777" w:rsidR="00172A6B" w:rsidRDefault="00172A6B" w:rsidP="00172A6B">
      <w:pPr>
        <w:pStyle w:val="CaptionChart"/>
        <w:spacing w:after="120" w:line="276" w:lineRule="auto"/>
        <w:rPr>
          <w:lang w:eastAsia="en-AU"/>
        </w:rPr>
      </w:pPr>
      <w:bookmarkStart w:id="212" w:name="_Ref66398203"/>
      <w:bookmarkStart w:id="213" w:name="_Toc82590343"/>
      <w:r>
        <w:rPr>
          <w:lang w:eastAsia="en-AU"/>
        </w:rPr>
        <w:t>: Part of the label that consumers report having looked at when unprompted</w:t>
      </w:r>
      <w:bookmarkEnd w:id="212"/>
      <w:bookmarkEnd w:id="213"/>
    </w:p>
    <w:p w14:paraId="00AF55B0" w14:textId="6575B64E" w:rsidR="00A4270B" w:rsidRDefault="00A4270B" w:rsidP="00172A6B">
      <w:pPr>
        <w:pStyle w:val="Source"/>
      </w:pPr>
      <w:r w:rsidRPr="00A4270B">
        <w:rPr>
          <w:noProof/>
          <w:lang w:eastAsia="en-AU"/>
        </w:rPr>
        <w:drawing>
          <wp:inline distT="0" distB="0" distL="0" distR="0" wp14:anchorId="326DFDDC" wp14:editId="6830C4AA">
            <wp:extent cx="4923155" cy="2896870"/>
            <wp:effectExtent l="0" t="0" r="0" b="0"/>
            <wp:docPr id="10" name="Picture 10" descr="Findings are: brand/marketing (38%), nutritional information (27%), other (25%), ingredients (20%), country of origin (12%), health star rating (4%) and cooking instructio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ndings are: brand/marketing (38%), nutritional information (27%), other (25%), ingredients (20%), country of origin (12%), health star rating (4%) and cooking instructions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3155" cy="2896870"/>
                    </a:xfrm>
                    <a:prstGeom prst="rect">
                      <a:avLst/>
                    </a:prstGeom>
                    <a:noFill/>
                    <a:ln>
                      <a:noFill/>
                    </a:ln>
                  </pic:spPr>
                </pic:pic>
              </a:graphicData>
            </a:graphic>
          </wp:inline>
        </w:drawing>
      </w:r>
    </w:p>
    <w:p w14:paraId="3B67511C" w14:textId="046DBB19" w:rsidR="00172A6B" w:rsidRPr="009E5C6E" w:rsidRDefault="00172A6B" w:rsidP="00172A6B">
      <w:pPr>
        <w:pStyle w:val="Source"/>
      </w:pPr>
      <w:r w:rsidRPr="009E5C6E">
        <w:t xml:space="preserve">Source: Deloitte Access Economics’ </w:t>
      </w:r>
      <w:r>
        <w:t>shopper interview analysis (2021).</w:t>
      </w:r>
    </w:p>
    <w:p w14:paraId="059F806F" w14:textId="4A0FA6C1" w:rsidR="00C25D41" w:rsidRPr="00250AC8" w:rsidRDefault="00172A6B" w:rsidP="00172A6B">
      <w:r>
        <w:rPr>
          <w:rFonts w:eastAsia="Times New Roman" w:cs="Arial"/>
          <w:kern w:val="24"/>
          <w:lang w:eastAsia="en-AU"/>
        </w:rPr>
        <w:t xml:space="preserve">Consumers use country of origin information in addition to other information </w:t>
      </w:r>
      <w:r w:rsidR="00BC0E0B">
        <w:rPr>
          <w:rFonts w:eastAsia="Times New Roman" w:cs="Arial"/>
          <w:kern w:val="24"/>
          <w:lang w:eastAsia="en-AU"/>
        </w:rPr>
        <w:t>on</w:t>
      </w:r>
      <w:r>
        <w:rPr>
          <w:rFonts w:eastAsia="Times New Roman" w:cs="Arial"/>
          <w:kern w:val="24"/>
          <w:lang w:eastAsia="en-AU"/>
        </w:rPr>
        <w:t xml:space="preserve"> price, taste, brand, food safety and nutritional information in a complex way.</w:t>
      </w:r>
      <w:r>
        <w:rPr>
          <w:rStyle w:val="FootnoteReference"/>
          <w:rFonts w:eastAsia="Times New Roman" w:cs="Arial"/>
          <w:kern w:val="24"/>
          <w:lang w:eastAsia="en-AU"/>
        </w:rPr>
        <w:footnoteReference w:id="41"/>
      </w:r>
      <w:r>
        <w:rPr>
          <w:rFonts w:eastAsia="Times New Roman" w:cs="Arial"/>
          <w:kern w:val="24"/>
          <w:lang w:eastAsia="en-AU"/>
        </w:rPr>
        <w:t xml:space="preserve"> Country of origin </w:t>
      </w:r>
      <w:r w:rsidR="00FA56F9">
        <w:rPr>
          <w:rFonts w:eastAsia="Times New Roman" w:cs="Arial"/>
          <w:kern w:val="24"/>
          <w:lang w:eastAsia="en-AU"/>
        </w:rPr>
        <w:t xml:space="preserve">information </w:t>
      </w:r>
      <w:r>
        <w:rPr>
          <w:rFonts w:eastAsia="Times New Roman" w:cs="Arial"/>
          <w:kern w:val="24"/>
          <w:lang w:eastAsia="en-AU"/>
        </w:rPr>
        <w:t xml:space="preserve">is more likely to be reported as important when </w:t>
      </w:r>
      <w:r w:rsidR="00FA56F9">
        <w:rPr>
          <w:rFonts w:eastAsia="Times New Roman" w:cs="Arial"/>
          <w:kern w:val="24"/>
          <w:lang w:eastAsia="en-AU"/>
        </w:rPr>
        <w:t xml:space="preserve">a consumer is </w:t>
      </w:r>
      <w:r>
        <w:rPr>
          <w:rFonts w:eastAsia="Times New Roman" w:cs="Arial"/>
          <w:kern w:val="24"/>
          <w:lang w:eastAsia="en-AU"/>
        </w:rPr>
        <w:t>directly asked (or prompted) about country of origin. When unprompted about factors</w:t>
      </w:r>
      <w:r w:rsidR="00866AA0">
        <w:rPr>
          <w:rFonts w:eastAsia="Times New Roman" w:cs="Arial"/>
          <w:kern w:val="24"/>
          <w:lang w:eastAsia="en-AU"/>
        </w:rPr>
        <w:t xml:space="preserve"> most important</w:t>
      </w:r>
      <w:r>
        <w:rPr>
          <w:rFonts w:eastAsia="Times New Roman" w:cs="Arial"/>
          <w:kern w:val="24"/>
          <w:lang w:eastAsia="en-AU"/>
        </w:rPr>
        <w:t xml:space="preserve"> to their food and beverage product purchases, 35</w:t>
      </w:r>
      <w:r w:rsidR="007B2C81">
        <w:rPr>
          <w:rFonts w:eastAsia="Times New Roman" w:cs="Arial"/>
          <w:kern w:val="24"/>
          <w:lang w:eastAsia="en-AU"/>
        </w:rPr>
        <w:t>%</w:t>
      </w:r>
      <w:r>
        <w:rPr>
          <w:rFonts w:eastAsia="Times New Roman" w:cs="Arial"/>
          <w:kern w:val="24"/>
          <w:lang w:eastAsia="en-AU"/>
        </w:rPr>
        <w:t xml:space="preserve"> of consumers report that country of origin information is a significant factor (see</w:t>
      </w:r>
      <w:r w:rsidDel="00D72D81">
        <w:rPr>
          <w:rFonts w:eastAsia="Times New Roman" w:cs="Arial"/>
          <w:kern w:val="24"/>
          <w:lang w:eastAsia="en-AU"/>
        </w:rPr>
        <w:t xml:space="preserve"> </w:t>
      </w:r>
      <w:r w:rsidR="00485EFA">
        <w:rPr>
          <w:rFonts w:eastAsia="Times New Roman" w:cs="Arial"/>
          <w:kern w:val="24"/>
          <w:lang w:eastAsia="en-AU"/>
        </w:rPr>
        <w:fldChar w:fldCharType="begin"/>
      </w:r>
      <w:r w:rsidR="00485EFA">
        <w:rPr>
          <w:rFonts w:eastAsia="Times New Roman" w:cs="Arial"/>
          <w:kern w:val="24"/>
          <w:lang w:eastAsia="en-AU"/>
        </w:rPr>
        <w:instrText xml:space="preserve"> REF _Ref66398297 \r \h </w:instrText>
      </w:r>
      <w:r w:rsidR="00485EFA">
        <w:rPr>
          <w:rFonts w:eastAsia="Times New Roman" w:cs="Arial"/>
          <w:kern w:val="24"/>
          <w:lang w:eastAsia="en-AU"/>
        </w:rPr>
      </w:r>
      <w:r w:rsidR="00485EFA">
        <w:rPr>
          <w:rFonts w:eastAsia="Times New Roman" w:cs="Arial"/>
          <w:kern w:val="24"/>
          <w:lang w:eastAsia="en-AU"/>
        </w:rPr>
        <w:fldChar w:fldCharType="separate"/>
      </w:r>
      <w:r w:rsidR="0017363C">
        <w:rPr>
          <w:rFonts w:eastAsia="Times New Roman" w:cs="Arial"/>
          <w:kern w:val="24"/>
          <w:lang w:eastAsia="en-AU"/>
        </w:rPr>
        <w:t>Chart 4.4</w:t>
      </w:r>
      <w:r w:rsidR="00485EFA">
        <w:rPr>
          <w:rFonts w:eastAsia="Times New Roman" w:cs="Arial"/>
          <w:kern w:val="24"/>
          <w:lang w:eastAsia="en-AU"/>
        </w:rPr>
        <w:fldChar w:fldCharType="end"/>
      </w:r>
      <w:r>
        <w:rPr>
          <w:rFonts w:eastAsia="Times New Roman" w:cs="Arial"/>
          <w:kern w:val="24"/>
          <w:lang w:eastAsia="en-AU"/>
        </w:rPr>
        <w:t xml:space="preserve">). </w:t>
      </w:r>
      <w:r w:rsidR="005C7736">
        <w:t>The rank of these factors changes when the single most important factor is considered. For example, country of origin becomes the second most important factor to consumers (20%) behind price (34%).</w:t>
      </w:r>
    </w:p>
    <w:p w14:paraId="64182786" w14:textId="63B108A5" w:rsidR="005C7736" w:rsidRPr="0054120C" w:rsidRDefault="005C7736" w:rsidP="005C7736">
      <w:pPr>
        <w:pStyle w:val="CaptionChart"/>
        <w:spacing w:after="120" w:line="276" w:lineRule="auto"/>
        <w:rPr>
          <w:lang w:eastAsia="en-AU"/>
        </w:rPr>
      </w:pPr>
      <w:bookmarkStart w:id="214" w:name="_Ref66398297"/>
      <w:bookmarkStart w:id="215" w:name="_Toc82590344"/>
      <w:r>
        <w:rPr>
          <w:lang w:eastAsia="en-AU"/>
        </w:rPr>
        <w:lastRenderedPageBreak/>
        <w:t>: Factors consumers report as most important when shopping for food and beverages: unprompted, multiple factors may be selected</w:t>
      </w:r>
      <w:bookmarkEnd w:id="214"/>
      <w:bookmarkEnd w:id="215"/>
    </w:p>
    <w:p w14:paraId="02823679" w14:textId="78088035" w:rsidR="00214FDC" w:rsidRDefault="00214FDC" w:rsidP="005C7736">
      <w:pPr>
        <w:pStyle w:val="Source"/>
        <w:spacing w:before="0" w:after="0" w:line="360" w:lineRule="auto"/>
      </w:pPr>
      <w:r w:rsidRPr="00214FDC">
        <w:rPr>
          <w:noProof/>
          <w:lang w:eastAsia="en-AU"/>
        </w:rPr>
        <w:drawing>
          <wp:inline distT="0" distB="0" distL="0" distR="0" wp14:anchorId="570AD7C8" wp14:editId="2B2CC8C3">
            <wp:extent cx="5113325" cy="2689197"/>
            <wp:effectExtent l="0" t="0" r="0" b="0"/>
            <wp:docPr id="28" name="Picture 28" descr="Factors selected are: price (63%), nutritional information (43%), quality/appearance (35%), country of origin (36%), ingredients (32%), brand/marketing (26%), other (17%), health star rating (16%) and cooking instruction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actors selected are: price (63%), nutritional information (43%), quality/appearance (35%), country of origin (36%), ingredients (32%), brand/marketing (26%), other (17%), health star rating (16%) and cooking instructions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5278" cy="2695483"/>
                    </a:xfrm>
                    <a:prstGeom prst="rect">
                      <a:avLst/>
                    </a:prstGeom>
                    <a:noFill/>
                    <a:ln>
                      <a:noFill/>
                    </a:ln>
                  </pic:spPr>
                </pic:pic>
              </a:graphicData>
            </a:graphic>
          </wp:inline>
        </w:drawing>
      </w:r>
    </w:p>
    <w:p w14:paraId="0DB13E50" w14:textId="66D7DE90" w:rsidR="005C7736" w:rsidRDefault="005C7736" w:rsidP="005C7736">
      <w:pPr>
        <w:pStyle w:val="Source"/>
        <w:spacing w:before="0" w:after="0" w:line="360" w:lineRule="auto"/>
        <w:rPr>
          <w:noProof/>
        </w:rPr>
      </w:pPr>
      <w:r w:rsidRPr="009E5C6E">
        <w:t xml:space="preserve">Source: Deloitte Access Economics’ </w:t>
      </w:r>
      <w:r>
        <w:t>national consumer survey analysis (2020).</w:t>
      </w:r>
    </w:p>
    <w:p w14:paraId="79D9BA67" w14:textId="340CE6D2" w:rsidR="00FA56F9" w:rsidRDefault="00172A6B" w:rsidP="00172A6B">
      <w:r>
        <w:rPr>
          <w:rFonts w:eastAsia="Times New Roman" w:cs="Arial"/>
          <w:kern w:val="24"/>
          <w:lang w:eastAsia="en-AU"/>
        </w:rPr>
        <w:t xml:space="preserve">In contrast, </w:t>
      </w:r>
      <w:r w:rsidR="00B20DE6">
        <w:rPr>
          <w:rFonts w:eastAsia="Times New Roman" w:cs="Arial"/>
          <w:kern w:val="24"/>
          <w:lang w:eastAsia="en-AU"/>
        </w:rPr>
        <w:t xml:space="preserve">the consumer survey indicated that - when prompted </w:t>
      </w:r>
      <w:r w:rsidR="00C51EC2">
        <w:rPr>
          <w:rFonts w:eastAsia="Times New Roman" w:cs="Arial"/>
          <w:kern w:val="24"/>
          <w:lang w:eastAsia="en-AU"/>
        </w:rPr>
        <w:t>– 74% o</w:t>
      </w:r>
      <w:r>
        <w:t xml:space="preserve">f </w:t>
      </w:r>
      <w:r w:rsidRPr="007A6960">
        <w:t>consumers</w:t>
      </w:r>
      <w:r>
        <w:t xml:space="preserve"> report</w:t>
      </w:r>
      <w:r w:rsidR="00B20DE6">
        <w:t>ed</w:t>
      </w:r>
      <w:r w:rsidRPr="007A6960">
        <w:t xml:space="preserve"> information relating to country of origin as </w:t>
      </w:r>
      <w:r>
        <w:t xml:space="preserve">“moderately </w:t>
      </w:r>
      <w:r w:rsidRPr="007A6960">
        <w:t>important</w:t>
      </w:r>
      <w:r w:rsidR="00F40201">
        <w:t>,</w:t>
      </w:r>
      <w:r>
        <w:t>” “important” or “very important” in</w:t>
      </w:r>
      <w:r w:rsidRPr="007A6960" w:rsidDel="00841C69">
        <w:t xml:space="preserve"> </w:t>
      </w:r>
      <w:r w:rsidRPr="007A6960">
        <w:t>deciding between similar food and beverage products</w:t>
      </w:r>
      <w:r>
        <w:t xml:space="preserve">. </w:t>
      </w:r>
      <w:r w:rsidR="00C25D41" w:rsidRPr="00C25D41">
        <w:t>Nearly half (48</w:t>
      </w:r>
      <w:r w:rsidR="007B2C81">
        <w:t>%</w:t>
      </w:r>
      <w:r w:rsidR="00C25D41" w:rsidRPr="00C25D41">
        <w:t>)</w:t>
      </w:r>
      <w:r w:rsidR="00C25D41">
        <w:t xml:space="preserve"> of consumer survey respondents</w:t>
      </w:r>
      <w:r w:rsidR="00C25D41" w:rsidRPr="00C25D41">
        <w:t xml:space="preserve"> indicate it is either their first, second or third most important factor. </w:t>
      </w:r>
    </w:p>
    <w:p w14:paraId="5B4998C0" w14:textId="204210D2" w:rsidR="001379E1" w:rsidRDefault="00172A6B" w:rsidP="00172A6B">
      <w:r>
        <w:t>Consumers also report a variety of factors that were important to them, with price usually the most important factor</w:t>
      </w:r>
      <w:r w:rsidR="00CD6E46">
        <w:t>,</w:t>
      </w:r>
      <w:r>
        <w:t xml:space="preserve"> followed by nutritional information</w:t>
      </w:r>
      <w:r w:rsidR="0093426F">
        <w:t>, quality/appearance and country of origin</w:t>
      </w:r>
      <w:r>
        <w:t xml:space="preserve">. </w:t>
      </w:r>
      <w:r w:rsidR="008D524F">
        <w:t>T</w:t>
      </w:r>
      <w:r w:rsidR="006C1E79">
        <w:t>he</w:t>
      </w:r>
      <w:r>
        <w:t xml:space="preserve"> level of interest in country of origin information </w:t>
      </w:r>
      <w:r w:rsidR="003272A2">
        <w:t xml:space="preserve">varies </w:t>
      </w:r>
      <w:r w:rsidR="000A34D0">
        <w:t xml:space="preserve">by product category and </w:t>
      </w:r>
      <w:r w:rsidR="006C1E79">
        <w:t>the country of origin</w:t>
      </w:r>
      <w:r w:rsidR="000A34D0">
        <w:t>.</w:t>
      </w:r>
      <w:r>
        <w:t xml:space="preserve"> </w:t>
      </w:r>
      <w:r w:rsidR="007623A7">
        <w:t xml:space="preserve">In comparing </w:t>
      </w:r>
      <w:r w:rsidR="000B5D0E">
        <w:t>the results of the national consumer survey with the shopper interviews, it seems that c</w:t>
      </w:r>
      <w:r w:rsidR="00BB2567" w:rsidRPr="00BB2567">
        <w:t xml:space="preserve">onsumers </w:t>
      </w:r>
      <w:r w:rsidR="00BB2567">
        <w:t xml:space="preserve">also have a </w:t>
      </w:r>
      <w:r w:rsidR="00BB2567" w:rsidRPr="00BB2567">
        <w:t>tend</w:t>
      </w:r>
      <w:r w:rsidR="00BB2567">
        <w:t>ency</w:t>
      </w:r>
      <w:r w:rsidR="00BB2567" w:rsidRPr="00BB2567">
        <w:t xml:space="preserve"> to overstate the importance of country of origin (and preference for Australian</w:t>
      </w:r>
      <w:r w:rsidR="00677037">
        <w:t>-</w:t>
      </w:r>
      <w:r w:rsidR="00BB2567" w:rsidRPr="00BB2567">
        <w:t>produced products).</w:t>
      </w:r>
    </w:p>
    <w:p w14:paraId="3175F064" w14:textId="273920A6" w:rsidR="00172A6B" w:rsidRDefault="00BB2567" w:rsidP="00172A6B">
      <w:r>
        <w:t>Many</w:t>
      </w:r>
      <w:r w:rsidR="00172A6B" w:rsidRPr="00947530">
        <w:t xml:space="preserve"> consumers </w:t>
      </w:r>
      <w:r>
        <w:t>consider it</w:t>
      </w:r>
      <w:r w:rsidR="00172A6B" w:rsidRPr="00947530">
        <w:t xml:space="preserve"> </w:t>
      </w:r>
      <w:r>
        <w:t>im</w:t>
      </w:r>
      <w:r w:rsidR="00172A6B" w:rsidRPr="00947530">
        <w:t>practical to check the country of origin</w:t>
      </w:r>
      <w:r w:rsidR="00F4007F">
        <w:t xml:space="preserve"> information</w:t>
      </w:r>
      <w:r w:rsidR="00172A6B" w:rsidRPr="00947530">
        <w:t xml:space="preserve"> of every product during every shopping trip. Consequently, they are relying on their perception of a product’s attributes (where country of origin may vary in its relative importance). </w:t>
      </w:r>
      <w:r w:rsidR="00172A6B" w:rsidRPr="003A1E97">
        <w:t>However, this is complicated by significant variability among consumers and across product categories</w:t>
      </w:r>
      <w:r w:rsidR="00AE291C">
        <w:t>, as well as</w:t>
      </w:r>
      <w:r w:rsidR="00172A6B" w:rsidRPr="003A1E97">
        <w:t xml:space="preserve"> individual products. Products often cited as being those where consumers consider country of origin a major factor in their purchasing decision are seafood, meat, fresh fruit</w:t>
      </w:r>
      <w:r w:rsidR="008A3E38">
        <w:t>s</w:t>
      </w:r>
      <w:r w:rsidR="00172A6B" w:rsidRPr="003A1E97">
        <w:t xml:space="preserve"> and vegetables and frozen berries.</w:t>
      </w:r>
    </w:p>
    <w:p w14:paraId="149402B9" w14:textId="6283BEBD" w:rsidR="00172A6B" w:rsidRDefault="00172A6B" w:rsidP="00172A6B">
      <w:r>
        <w:t>Thus, while CoOL information could be important to up to 74</w:t>
      </w:r>
      <w:r w:rsidR="007B2C81">
        <w:t>%</w:t>
      </w:r>
      <w:r>
        <w:t xml:space="preserve"> of consumers in theory, a much lower share appear</w:t>
      </w:r>
      <w:r w:rsidR="00FF34B6">
        <w:t>s</w:t>
      </w:r>
      <w:r>
        <w:t xml:space="preserve"> to use this information regularly as a prominent part of their decision</w:t>
      </w:r>
      <w:r w:rsidR="00FF34B6">
        <w:t>-</w:t>
      </w:r>
      <w:r>
        <w:t>making (</w:t>
      </w:r>
      <w:r w:rsidR="009D098E">
        <w:t>ranging</w:t>
      </w:r>
      <w:r>
        <w:t xml:space="preserve"> between 35</w:t>
      </w:r>
      <w:r w:rsidR="003A3DD0">
        <w:t xml:space="preserve">% </w:t>
      </w:r>
      <w:r w:rsidR="00426C22">
        <w:t xml:space="preserve">and </w:t>
      </w:r>
      <w:r w:rsidR="00026CA8">
        <w:t>4</w:t>
      </w:r>
      <w:r>
        <w:t>8</w:t>
      </w:r>
      <w:r w:rsidR="007B2C81">
        <w:t>%</w:t>
      </w:r>
      <w:r>
        <w:t>).</w:t>
      </w:r>
    </w:p>
    <w:p w14:paraId="33AAE179" w14:textId="77777777" w:rsidR="00172A6B" w:rsidRPr="006F022A" w:rsidRDefault="00172A6B" w:rsidP="00172A6B">
      <w:pPr>
        <w:pStyle w:val="Heading3"/>
      </w:pPr>
      <w:bookmarkStart w:id="216" w:name="_Toc66397495"/>
      <w:bookmarkStart w:id="217" w:name="_Toc66397563"/>
      <w:bookmarkStart w:id="218" w:name="_Toc67499079"/>
      <w:bookmarkEnd w:id="216"/>
      <w:bookmarkEnd w:id="217"/>
      <w:r w:rsidRPr="006F022A">
        <w:t>Age plays a significant role in the use of CoOL</w:t>
      </w:r>
      <w:bookmarkEnd w:id="218"/>
    </w:p>
    <w:p w14:paraId="2046A5E8" w14:textId="3CD4ADE5" w:rsidR="001B15FC" w:rsidRPr="007A6960" w:rsidRDefault="001B15FC" w:rsidP="001B15FC">
      <w:pPr>
        <w:spacing w:after="120" w:line="276" w:lineRule="auto"/>
      </w:pPr>
      <w:r>
        <w:t>The</w:t>
      </w:r>
      <w:r w:rsidRPr="007A6960">
        <w:t xml:space="preserve"> </w:t>
      </w:r>
      <w:r>
        <w:t xml:space="preserve">consumer </w:t>
      </w:r>
      <w:r w:rsidRPr="007A6960">
        <w:t xml:space="preserve">survey results indicate </w:t>
      </w:r>
      <w:r>
        <w:t xml:space="preserve">country of origin </w:t>
      </w:r>
      <w:r w:rsidRPr="007A6960">
        <w:t>information is more</w:t>
      </w:r>
      <w:r>
        <w:t xml:space="preserve"> frequently</w:t>
      </w:r>
      <w:r w:rsidRPr="007A6960">
        <w:t xml:space="preserve"> important to older consumers above 65 years of age</w:t>
      </w:r>
      <w:r>
        <w:t xml:space="preserve"> (where </w:t>
      </w:r>
      <w:r w:rsidRPr="007A6960">
        <w:t>37</w:t>
      </w:r>
      <w:r>
        <w:t>%</w:t>
      </w:r>
      <w:r w:rsidRPr="007A6960">
        <w:t xml:space="preserve"> consider it to be very important) than younger consumers between 18</w:t>
      </w:r>
      <w:r w:rsidR="003336D1">
        <w:t xml:space="preserve"> and </w:t>
      </w:r>
      <w:r w:rsidRPr="007A6960">
        <w:t>34 years of age (</w:t>
      </w:r>
      <w:r>
        <w:t xml:space="preserve">where </w:t>
      </w:r>
      <w:r w:rsidRPr="007A6960">
        <w:t>20</w:t>
      </w:r>
      <w:r>
        <w:t>%</w:t>
      </w:r>
      <w:r w:rsidRPr="007A6960">
        <w:t xml:space="preserve"> consider it to be very important).</w:t>
      </w:r>
      <w:r>
        <w:t xml:space="preserve"> This is similarly reflected in the factors most important to consumers when purchasing food and beverages, by age bracket (</w:t>
      </w:r>
      <w:r w:rsidR="002151B2">
        <w:t>see</w:t>
      </w:r>
      <w:r w:rsidR="00D0625C">
        <w:t xml:space="preserve"> </w:t>
      </w:r>
      <w:r w:rsidR="00D0625C">
        <w:fldChar w:fldCharType="begin"/>
      </w:r>
      <w:r w:rsidR="00D0625C">
        <w:instrText xml:space="preserve"> REF _Ref75880290 \r \h </w:instrText>
      </w:r>
      <w:r w:rsidR="00D0625C">
        <w:fldChar w:fldCharType="separate"/>
      </w:r>
      <w:r w:rsidR="0017363C">
        <w:t>Chart 4.5</w:t>
      </w:r>
      <w:r w:rsidR="00D0625C">
        <w:fldChar w:fldCharType="end"/>
      </w:r>
      <w:r>
        <w:t xml:space="preserve">). </w:t>
      </w:r>
      <w:r w:rsidRPr="007A6960">
        <w:t xml:space="preserve"> </w:t>
      </w:r>
    </w:p>
    <w:p w14:paraId="515777D1" w14:textId="77777777" w:rsidR="001B15FC" w:rsidRPr="006412EE" w:rsidRDefault="001B15FC" w:rsidP="001B15FC">
      <w:pPr>
        <w:pStyle w:val="CaptionChart"/>
        <w:rPr>
          <w:lang w:eastAsia="en-AU"/>
        </w:rPr>
      </w:pPr>
      <w:bookmarkStart w:id="219" w:name="_Ref75880290"/>
      <w:bookmarkStart w:id="220" w:name="_Toc82590345"/>
      <w:r>
        <w:rPr>
          <w:lang w:eastAsia="en-AU"/>
        </w:rPr>
        <w:lastRenderedPageBreak/>
        <w:t>: Consumers: most important factor when purchasing food and beverages, by age</w:t>
      </w:r>
      <w:bookmarkEnd w:id="219"/>
      <w:bookmarkEnd w:id="220"/>
    </w:p>
    <w:p w14:paraId="1B0E9D25" w14:textId="68779F9C" w:rsidR="006D409D" w:rsidRDefault="006D409D" w:rsidP="001B15FC">
      <w:pPr>
        <w:rPr>
          <w:color w:val="75787B" w:themeColor="accent6"/>
          <w:sz w:val="14"/>
          <w:szCs w:val="14"/>
        </w:rPr>
      </w:pPr>
      <w:r w:rsidRPr="006D409D">
        <w:rPr>
          <w:noProof/>
          <w:lang w:eastAsia="en-AU"/>
        </w:rPr>
        <w:drawing>
          <wp:inline distT="0" distB="0" distL="0" distR="0" wp14:anchorId="4AC0BEF5" wp14:editId="1678668B">
            <wp:extent cx="5544922" cy="3094983"/>
            <wp:effectExtent l="0" t="0" r="0" b="0"/>
            <wp:docPr id="31" name="Picture 31" descr="Consumers: most important factor when purchasing food and beverages, by age. Findings for age group 18-34: price (40%), country of origin (7%), quality/appearance (14%), ingredients (15%), nutritional information (14%) and brand (10%). For age group 35-64: price (33%), country of origin 22%), quality/appearance (17%), ingredients (11%), nutritional information (9%) and brand (7%). For age group 65+: price (25%), country of origin 32%), quality/appearance (11%), ingredients (15%), nutritional information (9%) and brand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nsumers: most important factor when purchasing food and beverages, by age. Findings for age group 18-34: price (40%), country of origin (7%), quality/appearance (14%), ingredients (15%), nutritional information (14%) and brand (10%). For age group 35-64: price (33%), country of origin 22%), quality/appearance (17%), ingredients (11%), nutritional information (9%) and brand (7%). For age group 65+: price (25%), country of origin 32%), quality/appearance (11%), ingredients (15%), nutritional information (9%) and brand (9%).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9504" cy="3097541"/>
                    </a:xfrm>
                    <a:prstGeom prst="rect">
                      <a:avLst/>
                    </a:prstGeom>
                    <a:noFill/>
                    <a:ln>
                      <a:noFill/>
                    </a:ln>
                  </pic:spPr>
                </pic:pic>
              </a:graphicData>
            </a:graphic>
          </wp:inline>
        </w:drawing>
      </w:r>
    </w:p>
    <w:p w14:paraId="239C7228" w14:textId="02B2A91E" w:rsidR="001B15FC" w:rsidRPr="002B4F80" w:rsidRDefault="001B15FC" w:rsidP="001B15FC">
      <w:pPr>
        <w:rPr>
          <w:color w:val="75787B" w:themeColor="accent6"/>
          <w:sz w:val="14"/>
        </w:rPr>
      </w:pPr>
      <w:r w:rsidRPr="0071405B">
        <w:rPr>
          <w:color w:val="012169" w:themeColor="accent4"/>
          <w:sz w:val="14"/>
          <w:szCs w:val="14"/>
        </w:rPr>
        <w:t>Source: Deloitte Access Economics’ national consumer survey (2020).</w:t>
      </w:r>
    </w:p>
    <w:p w14:paraId="3D98A2C5" w14:textId="5683AA5A" w:rsidR="005D6D13" w:rsidRDefault="00D36F57" w:rsidP="00172A6B">
      <w:pPr>
        <w:rPr>
          <w:rFonts w:eastAsia="Times New Roman" w:cs="Arial"/>
          <w:kern w:val="24"/>
          <w:lang w:eastAsia="en-AU"/>
        </w:rPr>
      </w:pPr>
      <w:r>
        <w:rPr>
          <w:rFonts w:eastAsia="Times New Roman" w:cs="Arial"/>
          <w:kern w:val="24"/>
          <w:lang w:eastAsia="en-AU"/>
        </w:rPr>
        <w:t xml:space="preserve">Mirroring the level of importance </w:t>
      </w:r>
      <w:r w:rsidR="006F22AE">
        <w:rPr>
          <w:rFonts w:eastAsia="Times New Roman" w:cs="Arial"/>
          <w:kern w:val="24"/>
          <w:lang w:eastAsia="en-AU"/>
        </w:rPr>
        <w:t xml:space="preserve">of </w:t>
      </w:r>
      <w:r>
        <w:rPr>
          <w:rFonts w:eastAsia="Times New Roman" w:cs="Arial"/>
          <w:kern w:val="24"/>
          <w:lang w:eastAsia="en-AU"/>
        </w:rPr>
        <w:t>results, t</w:t>
      </w:r>
      <w:r w:rsidR="00172A6B" w:rsidRPr="007A6960">
        <w:rPr>
          <w:rFonts w:eastAsia="Times New Roman" w:cs="Arial"/>
          <w:kern w:val="24"/>
          <w:lang w:eastAsia="en-AU"/>
        </w:rPr>
        <w:t xml:space="preserve">he </w:t>
      </w:r>
      <w:r w:rsidR="00172A6B">
        <w:rPr>
          <w:rFonts w:eastAsia="Times New Roman" w:cs="Arial"/>
          <w:kern w:val="24"/>
          <w:lang w:eastAsia="en-AU"/>
        </w:rPr>
        <w:t xml:space="preserve">consumer </w:t>
      </w:r>
      <w:r w:rsidR="00172A6B" w:rsidRPr="007A6960">
        <w:rPr>
          <w:rFonts w:eastAsia="Times New Roman" w:cs="Arial"/>
          <w:kern w:val="24"/>
          <w:lang w:eastAsia="en-AU"/>
        </w:rPr>
        <w:t xml:space="preserve">survey indicates that consumers aged 65 </w:t>
      </w:r>
      <w:r w:rsidR="00172A6B">
        <w:rPr>
          <w:rFonts w:eastAsia="Times New Roman" w:cs="Arial"/>
          <w:kern w:val="24"/>
          <w:lang w:eastAsia="en-AU"/>
        </w:rPr>
        <w:t xml:space="preserve">years </w:t>
      </w:r>
      <w:r w:rsidR="00172A6B" w:rsidRPr="007A6960">
        <w:rPr>
          <w:rFonts w:eastAsia="Times New Roman" w:cs="Arial"/>
          <w:kern w:val="24"/>
          <w:lang w:eastAsia="en-AU"/>
        </w:rPr>
        <w:t xml:space="preserve">and above were more likely to refer to </w:t>
      </w:r>
      <w:r w:rsidR="00172A6B">
        <w:rPr>
          <w:rFonts w:eastAsia="Calibri" w:cs="Times New Roman"/>
        </w:rPr>
        <w:t>CoOL</w:t>
      </w:r>
      <w:r w:rsidR="00172A6B" w:rsidRPr="00CC297D">
        <w:rPr>
          <w:rFonts w:eastAsia="Calibri" w:cs="Times New Roman"/>
        </w:rPr>
        <w:t xml:space="preserve"> </w:t>
      </w:r>
      <w:r w:rsidR="00172A6B" w:rsidRPr="007A6960">
        <w:rPr>
          <w:rFonts w:eastAsia="Times New Roman" w:cs="Arial"/>
          <w:kern w:val="24"/>
          <w:lang w:eastAsia="en-AU"/>
        </w:rPr>
        <w:t xml:space="preserve">than consumers aged </w:t>
      </w:r>
      <w:r w:rsidR="006F22AE">
        <w:rPr>
          <w:rFonts w:eastAsia="Times New Roman" w:cs="Arial"/>
          <w:kern w:val="24"/>
          <w:lang w:eastAsia="en-AU"/>
        </w:rPr>
        <w:t xml:space="preserve">between </w:t>
      </w:r>
      <w:r w:rsidR="00172A6B" w:rsidRPr="007A6960">
        <w:rPr>
          <w:rFonts w:eastAsia="Times New Roman" w:cs="Arial"/>
          <w:kern w:val="24"/>
          <w:lang w:eastAsia="en-AU"/>
        </w:rPr>
        <w:t>18</w:t>
      </w:r>
      <w:r w:rsidR="006F22AE">
        <w:rPr>
          <w:rFonts w:eastAsia="Times New Roman" w:cs="Arial"/>
          <w:kern w:val="24"/>
          <w:lang w:eastAsia="en-AU"/>
        </w:rPr>
        <w:t xml:space="preserve"> and </w:t>
      </w:r>
      <w:r w:rsidR="00172A6B" w:rsidRPr="007A6960">
        <w:rPr>
          <w:rFonts w:eastAsia="Times New Roman" w:cs="Arial"/>
          <w:kern w:val="24"/>
          <w:lang w:eastAsia="en-AU"/>
        </w:rPr>
        <w:t xml:space="preserve">34 </w:t>
      </w:r>
      <w:r w:rsidR="005F3CD0">
        <w:rPr>
          <w:rFonts w:eastAsia="Times New Roman" w:cs="Arial"/>
          <w:kern w:val="24"/>
          <w:lang w:eastAsia="en-AU"/>
        </w:rPr>
        <w:t xml:space="preserve">years </w:t>
      </w:r>
      <w:r w:rsidR="00172A6B" w:rsidRPr="007A6960">
        <w:rPr>
          <w:rFonts w:eastAsia="Times New Roman" w:cs="Arial"/>
          <w:kern w:val="24"/>
          <w:lang w:eastAsia="en-AU"/>
        </w:rPr>
        <w:t>(</w:t>
      </w:r>
      <w:r w:rsidR="00172A6B">
        <w:rPr>
          <w:rFonts w:eastAsia="Times New Roman" w:cs="Arial"/>
          <w:kern w:val="24"/>
          <w:lang w:eastAsia="en-AU"/>
        </w:rPr>
        <w:t>se</w:t>
      </w:r>
      <w:r w:rsidR="005F3CD0">
        <w:rPr>
          <w:rFonts w:eastAsia="Times New Roman" w:cs="Arial"/>
          <w:kern w:val="24"/>
          <w:lang w:eastAsia="en-AU"/>
        </w:rPr>
        <w:t xml:space="preserve">e </w:t>
      </w:r>
      <w:r w:rsidR="005F3CD0">
        <w:rPr>
          <w:rFonts w:eastAsia="Times New Roman" w:cs="Arial"/>
          <w:kern w:val="24"/>
          <w:lang w:eastAsia="en-AU"/>
        </w:rPr>
        <w:fldChar w:fldCharType="begin"/>
      </w:r>
      <w:r w:rsidR="005F3CD0">
        <w:rPr>
          <w:rFonts w:eastAsia="Times New Roman" w:cs="Arial"/>
          <w:kern w:val="24"/>
          <w:lang w:eastAsia="en-AU"/>
        </w:rPr>
        <w:instrText xml:space="preserve"> REF _Ref67321715 \r \h </w:instrText>
      </w:r>
      <w:r w:rsidR="005F3CD0">
        <w:rPr>
          <w:rFonts w:eastAsia="Times New Roman" w:cs="Arial"/>
          <w:kern w:val="24"/>
          <w:lang w:eastAsia="en-AU"/>
        </w:rPr>
      </w:r>
      <w:r w:rsidR="005F3CD0">
        <w:rPr>
          <w:rFonts w:eastAsia="Times New Roman" w:cs="Arial"/>
          <w:kern w:val="24"/>
          <w:lang w:eastAsia="en-AU"/>
        </w:rPr>
        <w:fldChar w:fldCharType="separate"/>
      </w:r>
      <w:r w:rsidR="0017363C">
        <w:rPr>
          <w:rFonts w:eastAsia="Times New Roman" w:cs="Arial"/>
          <w:kern w:val="24"/>
          <w:lang w:eastAsia="en-AU"/>
        </w:rPr>
        <w:t>Chart 4.6</w:t>
      </w:r>
      <w:r w:rsidR="005F3CD0">
        <w:rPr>
          <w:rFonts w:eastAsia="Times New Roman" w:cs="Arial"/>
          <w:kern w:val="24"/>
          <w:lang w:eastAsia="en-AU"/>
        </w:rPr>
        <w:fldChar w:fldCharType="end"/>
      </w:r>
      <w:r w:rsidR="00172A6B" w:rsidRPr="007A6960">
        <w:rPr>
          <w:rFonts w:eastAsia="Times New Roman" w:cs="Arial"/>
          <w:kern w:val="24"/>
          <w:lang w:eastAsia="en-AU"/>
        </w:rPr>
        <w:t xml:space="preserve">). </w:t>
      </w:r>
      <w:r w:rsidR="00172A6B">
        <w:rPr>
          <w:rFonts w:eastAsia="Times New Roman" w:cs="Arial"/>
          <w:kern w:val="24"/>
          <w:lang w:eastAsia="en-AU"/>
        </w:rPr>
        <w:t xml:space="preserve">The 65 </w:t>
      </w:r>
      <w:r w:rsidR="0026370C">
        <w:rPr>
          <w:rFonts w:eastAsia="Times New Roman" w:cs="Arial"/>
          <w:kern w:val="24"/>
          <w:lang w:eastAsia="en-AU"/>
        </w:rPr>
        <w:t>years</w:t>
      </w:r>
      <w:r w:rsidR="00172A6B">
        <w:rPr>
          <w:rFonts w:eastAsia="Times New Roman" w:cs="Arial"/>
          <w:kern w:val="24"/>
          <w:lang w:eastAsia="en-AU"/>
        </w:rPr>
        <w:t xml:space="preserve"> </w:t>
      </w:r>
      <w:r w:rsidR="00AE4EA3">
        <w:rPr>
          <w:rFonts w:eastAsia="Times New Roman" w:cs="Arial"/>
          <w:kern w:val="24"/>
          <w:lang w:eastAsia="en-AU"/>
        </w:rPr>
        <w:t xml:space="preserve">and </w:t>
      </w:r>
      <w:r w:rsidR="003C5D4C">
        <w:rPr>
          <w:rFonts w:eastAsia="Times New Roman" w:cs="Arial"/>
          <w:kern w:val="24"/>
          <w:lang w:eastAsia="en-AU"/>
        </w:rPr>
        <w:t xml:space="preserve">over </w:t>
      </w:r>
      <w:r w:rsidR="00172A6B">
        <w:rPr>
          <w:rFonts w:eastAsia="Times New Roman" w:cs="Arial"/>
          <w:kern w:val="24"/>
          <w:lang w:eastAsia="en-AU"/>
        </w:rPr>
        <w:t>age group is more likely than the 18</w:t>
      </w:r>
      <w:r w:rsidR="006F22AE">
        <w:rPr>
          <w:rFonts w:eastAsia="Times New Roman" w:cs="Arial"/>
          <w:kern w:val="24"/>
          <w:lang w:eastAsia="en-AU"/>
        </w:rPr>
        <w:t xml:space="preserve"> to </w:t>
      </w:r>
      <w:r w:rsidR="00172A6B">
        <w:rPr>
          <w:rFonts w:eastAsia="Times New Roman" w:cs="Arial"/>
          <w:kern w:val="24"/>
          <w:lang w:eastAsia="en-AU"/>
        </w:rPr>
        <w:t>34 year</w:t>
      </w:r>
      <w:r w:rsidR="005332A2">
        <w:rPr>
          <w:rFonts w:eastAsia="Times New Roman" w:cs="Arial"/>
          <w:kern w:val="24"/>
          <w:lang w:eastAsia="en-AU"/>
        </w:rPr>
        <w:t>s</w:t>
      </w:r>
      <w:r w:rsidR="00172A6B">
        <w:rPr>
          <w:rFonts w:eastAsia="Times New Roman" w:cs="Arial"/>
          <w:kern w:val="24"/>
          <w:lang w:eastAsia="en-AU"/>
        </w:rPr>
        <w:t xml:space="preserve"> age group to “always” refer to country of origin information (27</w:t>
      </w:r>
      <w:r w:rsidR="007B2C81">
        <w:rPr>
          <w:rFonts w:eastAsia="Times New Roman" w:cs="Arial"/>
          <w:kern w:val="24"/>
          <w:lang w:eastAsia="en-AU"/>
        </w:rPr>
        <w:t>%</w:t>
      </w:r>
      <w:r w:rsidR="00172A6B">
        <w:rPr>
          <w:rFonts w:eastAsia="Times New Roman" w:cs="Arial"/>
          <w:kern w:val="24"/>
          <w:lang w:eastAsia="en-AU"/>
        </w:rPr>
        <w:t xml:space="preserve"> of respondents, compared to 9</w:t>
      </w:r>
      <w:r w:rsidR="007B2C81">
        <w:rPr>
          <w:rFonts w:eastAsia="Times New Roman" w:cs="Arial"/>
          <w:kern w:val="24"/>
          <w:lang w:eastAsia="en-AU"/>
        </w:rPr>
        <w:t>%</w:t>
      </w:r>
      <w:r w:rsidR="00172A6B">
        <w:rPr>
          <w:rFonts w:eastAsia="Times New Roman" w:cs="Arial"/>
          <w:kern w:val="24"/>
          <w:lang w:eastAsia="en-AU"/>
        </w:rPr>
        <w:t>). The youngest age bracket (18</w:t>
      </w:r>
      <w:r w:rsidR="004A4CFE">
        <w:rPr>
          <w:rFonts w:eastAsia="Times New Roman" w:cs="Arial"/>
          <w:kern w:val="24"/>
          <w:lang w:eastAsia="en-AU"/>
        </w:rPr>
        <w:t xml:space="preserve"> to </w:t>
      </w:r>
      <w:r w:rsidR="00172A6B">
        <w:rPr>
          <w:rFonts w:eastAsia="Times New Roman" w:cs="Arial"/>
          <w:kern w:val="24"/>
          <w:lang w:eastAsia="en-AU"/>
        </w:rPr>
        <w:t xml:space="preserve">34 years) </w:t>
      </w:r>
      <w:r w:rsidR="004A4CFE">
        <w:rPr>
          <w:rFonts w:eastAsia="Times New Roman" w:cs="Arial"/>
          <w:kern w:val="24"/>
          <w:lang w:eastAsia="en-AU"/>
        </w:rPr>
        <w:t xml:space="preserve">is </w:t>
      </w:r>
      <w:r w:rsidR="00172A6B">
        <w:rPr>
          <w:rFonts w:eastAsia="Times New Roman" w:cs="Arial"/>
          <w:kern w:val="24"/>
          <w:lang w:eastAsia="en-AU"/>
        </w:rPr>
        <w:t xml:space="preserve">more likely to “never” or “rarely” refer to </w:t>
      </w:r>
      <w:r w:rsidR="00172A6B">
        <w:rPr>
          <w:rFonts w:eastAsia="Calibri" w:cs="Times New Roman"/>
        </w:rPr>
        <w:t>CoOL</w:t>
      </w:r>
      <w:r w:rsidR="00172A6B">
        <w:rPr>
          <w:rFonts w:eastAsia="Times New Roman" w:cs="Arial"/>
          <w:kern w:val="24"/>
          <w:lang w:eastAsia="en-AU"/>
        </w:rPr>
        <w:t>. The 35-</w:t>
      </w:r>
      <w:r w:rsidR="004A4CFE">
        <w:rPr>
          <w:rFonts w:eastAsia="Times New Roman" w:cs="Arial"/>
          <w:kern w:val="24"/>
          <w:lang w:eastAsia="en-AU"/>
        </w:rPr>
        <w:t xml:space="preserve">year-old to </w:t>
      </w:r>
      <w:r w:rsidR="00172A6B">
        <w:rPr>
          <w:rFonts w:eastAsia="Times New Roman" w:cs="Arial"/>
          <w:kern w:val="24"/>
          <w:lang w:eastAsia="en-AU"/>
        </w:rPr>
        <w:t>64-year</w:t>
      </w:r>
      <w:r w:rsidR="004A4CFE">
        <w:rPr>
          <w:rFonts w:eastAsia="Times New Roman" w:cs="Arial"/>
          <w:kern w:val="24"/>
          <w:lang w:eastAsia="en-AU"/>
        </w:rPr>
        <w:t>-</w:t>
      </w:r>
      <w:r w:rsidR="00172A6B">
        <w:rPr>
          <w:rFonts w:eastAsia="Times New Roman" w:cs="Arial"/>
          <w:kern w:val="24"/>
          <w:lang w:eastAsia="en-AU"/>
        </w:rPr>
        <w:t xml:space="preserve">old age bracket falls neatly in between regarding stated frequency of use. </w:t>
      </w:r>
    </w:p>
    <w:p w14:paraId="23A921CE" w14:textId="77777777" w:rsidR="00172A6B" w:rsidRDefault="00172A6B" w:rsidP="00172A6B">
      <w:pPr>
        <w:pStyle w:val="CaptionChart"/>
        <w:rPr>
          <w:lang w:eastAsia="en-AU"/>
        </w:rPr>
      </w:pPr>
      <w:bookmarkStart w:id="221" w:name="_Ref67321715"/>
      <w:bookmarkStart w:id="222" w:name="_Toc82590346"/>
      <w:r>
        <w:rPr>
          <w:lang w:eastAsia="en-AU"/>
        </w:rPr>
        <w:t xml:space="preserve">: How often consumers refer to </w:t>
      </w:r>
      <w:r>
        <w:rPr>
          <w:rFonts w:eastAsia="Calibri" w:cs="Times New Roman"/>
        </w:rPr>
        <w:t>CoOL</w:t>
      </w:r>
      <w:r>
        <w:rPr>
          <w:lang w:eastAsia="en-AU"/>
        </w:rPr>
        <w:t>, by age</w:t>
      </w:r>
      <w:bookmarkEnd w:id="221"/>
      <w:bookmarkEnd w:id="222"/>
    </w:p>
    <w:p w14:paraId="15C86ED2" w14:textId="06DEA4E3" w:rsidR="00936D75" w:rsidRDefault="00796808" w:rsidP="00172A6B">
      <w:pPr>
        <w:pStyle w:val="Source"/>
      </w:pPr>
      <w:r w:rsidRPr="00796808">
        <w:rPr>
          <w:noProof/>
          <w:lang w:eastAsia="en-AU"/>
        </w:rPr>
        <w:drawing>
          <wp:inline distT="0" distB="0" distL="0" distR="0" wp14:anchorId="6703C6A8" wp14:editId="5FACF164">
            <wp:extent cx="5617845" cy="2830830"/>
            <wp:effectExtent l="0" t="0" r="1905" b="7620"/>
            <wp:docPr id="35" name="Picture 35" descr="Findings for age group 18-34: never (10%), rarely (20%), sometimes (37%), often (25%) and always (9%). For age group 35-64: never (6%), rarely (16%), sometimes (28%), often (29%) and always (20%). For age group 65+: never (4%), rarely (10%), sometimes (25%), often (34%) and always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ndings for age group 18-34: never (10%), rarely (20%), sometimes (37%), often (25%) and always (9%). For age group 35-64: never (6%), rarely (16%), sometimes (28%), often (29%) and always (20%). For age group 65+: never (4%), rarely (10%), sometimes (25%), often (34%) and always (27%).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7845" cy="2830830"/>
                    </a:xfrm>
                    <a:prstGeom prst="rect">
                      <a:avLst/>
                    </a:prstGeom>
                    <a:noFill/>
                    <a:ln>
                      <a:noFill/>
                    </a:ln>
                  </pic:spPr>
                </pic:pic>
              </a:graphicData>
            </a:graphic>
          </wp:inline>
        </w:drawing>
      </w:r>
    </w:p>
    <w:p w14:paraId="71081BF8" w14:textId="00249082" w:rsidR="00172A6B" w:rsidRPr="009E5C6E" w:rsidRDefault="00172A6B" w:rsidP="00172A6B">
      <w:pPr>
        <w:pStyle w:val="Source"/>
      </w:pPr>
      <w:r w:rsidRPr="009E5C6E">
        <w:t>Source: Deloitte Access Economics’ national consumer survey (2020).</w:t>
      </w:r>
    </w:p>
    <w:p w14:paraId="3D6493C1" w14:textId="526A1869" w:rsidR="00172A6B" w:rsidRPr="00261BDB" w:rsidRDefault="00915E1A" w:rsidP="00172A6B">
      <w:pPr>
        <w:pStyle w:val="Heading3"/>
        <w:rPr>
          <w:rFonts w:eastAsia="Times New Roman" w:cs="Arial"/>
          <w:kern w:val="24"/>
          <w:lang w:eastAsia="en-AU"/>
        </w:rPr>
      </w:pPr>
      <w:bookmarkStart w:id="223" w:name="_Ref66976471"/>
      <w:bookmarkStart w:id="224" w:name="_Toc67499080"/>
      <w:bookmarkStart w:id="225" w:name="_Ref71814657"/>
      <w:r>
        <w:rPr>
          <w:rFonts w:eastAsia="Times New Roman" w:cs="Arial"/>
          <w:kern w:val="24"/>
          <w:lang w:eastAsia="en-AU"/>
        </w:rPr>
        <w:lastRenderedPageBreak/>
        <w:t>V</w:t>
      </w:r>
      <w:r w:rsidR="00172A6B" w:rsidRPr="00261BDB">
        <w:rPr>
          <w:rFonts w:eastAsia="Times New Roman" w:cs="Arial"/>
          <w:kern w:val="24"/>
          <w:lang w:eastAsia="en-AU"/>
        </w:rPr>
        <w:t>arying satisfaction with in</w:t>
      </w:r>
      <w:r w:rsidR="002B4F80">
        <w:rPr>
          <w:rFonts w:eastAsia="Times New Roman" w:cs="Arial"/>
          <w:kern w:val="24"/>
          <w:lang w:eastAsia="en-AU"/>
        </w:rPr>
        <w:t xml:space="preserve">formation </w:t>
      </w:r>
      <w:r w:rsidR="00172A6B" w:rsidRPr="00261BDB">
        <w:rPr>
          <w:rFonts w:eastAsia="Times New Roman" w:cs="Arial"/>
          <w:kern w:val="24"/>
          <w:lang w:eastAsia="en-AU"/>
        </w:rPr>
        <w:t>when ingredients are not Australian</w:t>
      </w:r>
      <w:bookmarkEnd w:id="223"/>
      <w:r w:rsidR="00172A6B" w:rsidRPr="00261BDB">
        <w:rPr>
          <w:rFonts w:eastAsia="Times New Roman" w:cs="Arial"/>
          <w:kern w:val="24"/>
          <w:lang w:eastAsia="en-AU"/>
        </w:rPr>
        <w:t xml:space="preserve"> </w:t>
      </w:r>
      <w:r w:rsidR="009C7760">
        <w:rPr>
          <w:rFonts w:eastAsia="Times New Roman" w:cs="Arial"/>
          <w:kern w:val="24"/>
          <w:lang w:eastAsia="en-AU"/>
        </w:rPr>
        <w:t xml:space="preserve">and overstated </w:t>
      </w:r>
      <w:r w:rsidR="008811A2">
        <w:rPr>
          <w:rFonts w:eastAsia="Times New Roman" w:cs="Arial"/>
          <w:kern w:val="24"/>
          <w:lang w:eastAsia="en-AU"/>
        </w:rPr>
        <w:t>confidence of label interpretation by consumers</w:t>
      </w:r>
      <w:bookmarkEnd w:id="224"/>
      <w:bookmarkEnd w:id="225"/>
      <w:r w:rsidR="009C7760">
        <w:rPr>
          <w:rFonts w:eastAsia="Times New Roman" w:cs="Arial"/>
          <w:kern w:val="24"/>
          <w:lang w:eastAsia="en-AU"/>
        </w:rPr>
        <w:t xml:space="preserve"> </w:t>
      </w:r>
    </w:p>
    <w:p w14:paraId="56852F80" w14:textId="77777777" w:rsidR="00172A6B" w:rsidRDefault="00172A6B" w:rsidP="00EB2EC2">
      <w:r>
        <w:t xml:space="preserve">The majority of opinions from stakeholder consultations revealed that the CoOL reforms achieved the objective of improving consumer understanding about the origins of their foods only to some extent. </w:t>
      </w:r>
    </w:p>
    <w:p w14:paraId="4E7C30EB" w14:textId="5690E201" w:rsidR="00F86BA4" w:rsidRDefault="00172A6B" w:rsidP="00EB2EC2">
      <w:r>
        <w:t>The ACCC believe</w:t>
      </w:r>
      <w:r w:rsidR="00354D34">
        <w:t>s</w:t>
      </w:r>
      <w:r>
        <w:t xml:space="preserve"> that the recent CoOL reforms were an improvement to the scheme prior to 2016</w:t>
      </w:r>
      <w:r w:rsidR="00CA2DFB">
        <w:t>. It reports</w:t>
      </w:r>
      <w:r>
        <w:t xml:space="preserve"> that consumers </w:t>
      </w:r>
      <w:r w:rsidR="00CA2DFB">
        <w:t>are</w:t>
      </w:r>
      <w:r>
        <w:t xml:space="preserve"> becoming accustomed to the new country of origin labels and</w:t>
      </w:r>
      <w:r w:rsidR="00CA2DFB">
        <w:t xml:space="preserve"> </w:t>
      </w:r>
      <w:r>
        <w:t xml:space="preserve">it has provided consumers with the necessary information on the origin of their food purchases. </w:t>
      </w:r>
      <w:r w:rsidRPr="00AC3D71">
        <w:t xml:space="preserve">Both </w:t>
      </w:r>
      <w:r w:rsidR="009C23EF">
        <w:t>DISER</w:t>
      </w:r>
      <w:r w:rsidR="00FB4325" w:rsidRPr="00AC3D71">
        <w:t xml:space="preserve"> </w:t>
      </w:r>
      <w:r w:rsidRPr="00AC3D71">
        <w:t>and the ACCC advised that they receive a relatively low volume of enquiries about CoOL from both consumers and business</w:t>
      </w:r>
      <w:r w:rsidR="000D7F20">
        <w:t>es</w:t>
      </w:r>
      <w:r w:rsidRPr="00AC3D71">
        <w:t xml:space="preserve">. The ACCC advised </w:t>
      </w:r>
      <w:r w:rsidR="00F86BA4">
        <w:t>there has been a</w:t>
      </w:r>
      <w:r w:rsidRPr="00AC3D71">
        <w:t xml:space="preserve"> reduced incidence of deliberately misleading information on labels compared to the previous scheme. </w:t>
      </w:r>
    </w:p>
    <w:p w14:paraId="0D6D8509" w14:textId="2793381A" w:rsidR="00172A6B" w:rsidRDefault="00F86BA4" w:rsidP="00EB2EC2">
      <w:r>
        <w:t>W</w:t>
      </w:r>
      <w:r w:rsidR="00172A6B">
        <w:t>hile the percentage of Australian ingredients is now displayed,</w:t>
      </w:r>
      <w:r>
        <w:t xml:space="preserve"> </w:t>
      </w:r>
      <w:r w:rsidR="00172A6B">
        <w:t xml:space="preserve">there is still a lack of clarity around the origin of non-Australian ingredients. Austrade stated that because the intention of the CoOL reforms was to better inform consumers on the origin of their foods, this should include which markets their ingredients have come from, in particular for ingredients which are not Australian. </w:t>
      </w:r>
    </w:p>
    <w:p w14:paraId="3D955FB2" w14:textId="5556060F" w:rsidR="002A43C7" w:rsidRPr="00DB50C5" w:rsidRDefault="002A43C7" w:rsidP="002A43C7">
      <w:pPr>
        <w:spacing w:after="120" w:line="276" w:lineRule="auto"/>
        <w:rPr>
          <w:rFonts w:eastAsia="Times New Roman" w:cs="Arial"/>
          <w:kern w:val="24"/>
          <w:lang w:eastAsia="en-AU"/>
        </w:rPr>
      </w:pPr>
      <w:r>
        <w:t xml:space="preserve">Around </w:t>
      </w:r>
      <w:r w:rsidRPr="00DB50C5">
        <w:rPr>
          <w:rFonts w:eastAsia="Times New Roman" w:cs="Arial"/>
          <w:kern w:val="24"/>
          <w:lang w:eastAsia="en-AU"/>
        </w:rPr>
        <w:t>59</w:t>
      </w:r>
      <w:r w:rsidR="007B2C81">
        <w:rPr>
          <w:rFonts w:eastAsia="Times New Roman" w:cs="Arial"/>
          <w:kern w:val="24"/>
          <w:lang w:eastAsia="en-AU"/>
        </w:rPr>
        <w:t>%</w:t>
      </w:r>
      <w:r w:rsidRPr="00DB50C5">
        <w:rPr>
          <w:rFonts w:eastAsia="Times New Roman" w:cs="Arial"/>
          <w:kern w:val="24"/>
          <w:lang w:eastAsia="en-AU"/>
        </w:rPr>
        <w:t xml:space="preserve"> of respondents to </w:t>
      </w:r>
      <w:r>
        <w:rPr>
          <w:rFonts w:eastAsia="Times New Roman" w:cs="Arial"/>
          <w:kern w:val="24"/>
          <w:lang w:eastAsia="en-AU"/>
        </w:rPr>
        <w:t>the</w:t>
      </w:r>
      <w:r w:rsidRPr="00DB50C5">
        <w:rPr>
          <w:rFonts w:eastAsia="Times New Roman" w:cs="Arial"/>
          <w:kern w:val="24"/>
          <w:lang w:eastAsia="en-AU"/>
        </w:rPr>
        <w:t xml:space="preserve"> consumer survey regard receiving origin information of ingredients from countries other than Australia as either “important” or “very important”, with an additional 20</w:t>
      </w:r>
      <w:r w:rsidR="007B2C81">
        <w:rPr>
          <w:rFonts w:eastAsia="Times New Roman" w:cs="Arial"/>
          <w:kern w:val="24"/>
          <w:lang w:eastAsia="en-AU"/>
        </w:rPr>
        <w:t>%</w:t>
      </w:r>
      <w:r w:rsidRPr="00DB50C5">
        <w:rPr>
          <w:rFonts w:eastAsia="Times New Roman" w:cs="Arial"/>
          <w:kern w:val="24"/>
          <w:lang w:eastAsia="en-AU"/>
        </w:rPr>
        <w:t xml:space="preserve"> considering it to be “moderately important” (</w:t>
      </w:r>
      <w:r>
        <w:rPr>
          <w:rFonts w:eastAsia="Times New Roman" w:cs="Arial"/>
          <w:kern w:val="24"/>
          <w:lang w:eastAsia="en-AU"/>
        </w:rPr>
        <w:t xml:space="preserve">see </w:t>
      </w:r>
      <w:r>
        <w:rPr>
          <w:rFonts w:eastAsia="Times New Roman" w:cs="Arial"/>
          <w:kern w:val="24"/>
          <w:lang w:eastAsia="en-AU"/>
        </w:rPr>
        <w:fldChar w:fldCharType="begin"/>
      </w:r>
      <w:r>
        <w:rPr>
          <w:rFonts w:eastAsia="Times New Roman" w:cs="Arial"/>
          <w:kern w:val="24"/>
          <w:lang w:eastAsia="en-AU"/>
        </w:rPr>
        <w:instrText xml:space="preserve"> REF _Ref67324445 \r \h </w:instrText>
      </w:r>
      <w:r>
        <w:rPr>
          <w:rFonts w:eastAsia="Times New Roman" w:cs="Arial"/>
          <w:kern w:val="24"/>
          <w:lang w:eastAsia="en-AU"/>
        </w:rPr>
      </w:r>
      <w:r>
        <w:rPr>
          <w:rFonts w:eastAsia="Times New Roman" w:cs="Arial"/>
          <w:kern w:val="24"/>
          <w:lang w:eastAsia="en-AU"/>
        </w:rPr>
        <w:fldChar w:fldCharType="separate"/>
      </w:r>
      <w:r w:rsidR="0017363C">
        <w:rPr>
          <w:rFonts w:eastAsia="Times New Roman" w:cs="Arial"/>
          <w:kern w:val="24"/>
          <w:lang w:eastAsia="en-AU"/>
        </w:rPr>
        <w:t>Chart 4.7</w:t>
      </w:r>
      <w:r>
        <w:rPr>
          <w:rFonts w:eastAsia="Times New Roman" w:cs="Arial"/>
          <w:kern w:val="24"/>
          <w:lang w:eastAsia="en-AU"/>
        </w:rPr>
        <w:fldChar w:fldCharType="end"/>
      </w:r>
      <w:r w:rsidRPr="00DB50C5">
        <w:rPr>
          <w:rFonts w:eastAsia="Times New Roman" w:cs="Arial"/>
          <w:kern w:val="24"/>
          <w:lang w:eastAsia="en-AU"/>
        </w:rPr>
        <w:t>).</w:t>
      </w:r>
    </w:p>
    <w:p w14:paraId="55F8EBFF" w14:textId="76E3525D" w:rsidR="002A43C7" w:rsidRDefault="002A43C7" w:rsidP="002A43C7">
      <w:pPr>
        <w:pStyle w:val="CaptionChart"/>
        <w:rPr>
          <w:lang w:eastAsia="en-AU"/>
        </w:rPr>
      </w:pPr>
      <w:bookmarkStart w:id="226" w:name="_Ref67324445"/>
      <w:bookmarkStart w:id="227" w:name="_Toc82590347"/>
      <w:r>
        <w:rPr>
          <w:lang w:eastAsia="en-AU"/>
        </w:rPr>
        <w:t>: Importance to consumers of having information about the origin of ingredients from countries other than Australia</w:t>
      </w:r>
      <w:bookmarkEnd w:id="226"/>
      <w:bookmarkEnd w:id="227"/>
    </w:p>
    <w:p w14:paraId="22497DDB" w14:textId="46D34BDA" w:rsidR="005B3CC0" w:rsidRDefault="008771C4" w:rsidP="002A43C7">
      <w:pPr>
        <w:pStyle w:val="Source"/>
      </w:pPr>
      <w:r w:rsidRPr="008771C4">
        <w:rPr>
          <w:noProof/>
          <w:lang w:eastAsia="en-AU"/>
        </w:rPr>
        <w:drawing>
          <wp:inline distT="0" distB="0" distL="0" distR="0" wp14:anchorId="63DC2465" wp14:editId="19B2C70A">
            <wp:extent cx="5574030" cy="3101340"/>
            <wp:effectExtent l="0" t="0" r="7620" b="3810"/>
            <wp:docPr id="37" name="Picture 37" descr="Findings are: not at all important (6%), slightly important (15%), moderately (20%), important (24%) and very importan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ndings are: not at all important (6%), slightly important (15%), moderately (20%), important (24%) and very important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4030" cy="3101340"/>
                    </a:xfrm>
                    <a:prstGeom prst="rect">
                      <a:avLst/>
                    </a:prstGeom>
                    <a:noFill/>
                    <a:ln>
                      <a:noFill/>
                    </a:ln>
                  </pic:spPr>
                </pic:pic>
              </a:graphicData>
            </a:graphic>
          </wp:inline>
        </w:drawing>
      </w:r>
    </w:p>
    <w:p w14:paraId="2BB3903A" w14:textId="61D422D7" w:rsidR="002A43C7" w:rsidRPr="00E57F5C" w:rsidRDefault="002A43C7" w:rsidP="002A43C7">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22B0CE66" w14:textId="65BDFDED" w:rsidR="00172A6B" w:rsidRPr="006A08BC" w:rsidRDefault="00172A6B" w:rsidP="00EB2EC2">
      <w:pPr>
        <w:rPr>
          <w:rFonts w:eastAsia="Times New Roman" w:cs="Arial"/>
          <w:kern w:val="24"/>
          <w:lang w:eastAsia="en-AU"/>
        </w:rPr>
      </w:pPr>
      <w:r w:rsidRPr="007A6960">
        <w:t xml:space="preserve">Consumers </w:t>
      </w:r>
      <w:r>
        <w:t>are generally</w:t>
      </w:r>
      <w:r w:rsidRPr="007A6960">
        <w:t xml:space="preserve"> confident in their understanding of how to interpret country of origin information, with 72</w:t>
      </w:r>
      <w:r w:rsidR="007B2C81">
        <w:t>%</w:t>
      </w:r>
      <w:r w:rsidRPr="007A6960">
        <w:t xml:space="preserve"> indicating that they understand how to interpret the information</w:t>
      </w:r>
      <w:r w:rsidRPr="007A6960">
        <w:rPr>
          <w:rFonts w:eastAsia="Times New Roman" w:cs="Arial"/>
          <w:kern w:val="24"/>
          <w:lang w:eastAsia="en-AU"/>
        </w:rPr>
        <w:t xml:space="preserve">. </w:t>
      </w:r>
      <w:r>
        <w:rPr>
          <w:rFonts w:eastAsia="Times New Roman" w:cs="Arial"/>
          <w:kern w:val="24"/>
          <w:lang w:eastAsia="en-AU"/>
        </w:rPr>
        <w:t>However, as discussed</w:t>
      </w:r>
      <w:r w:rsidR="00EA2099">
        <w:rPr>
          <w:rFonts w:eastAsia="Times New Roman" w:cs="Arial"/>
          <w:kern w:val="24"/>
          <w:lang w:eastAsia="en-AU"/>
        </w:rPr>
        <w:t>,</w:t>
      </w:r>
      <w:r>
        <w:rPr>
          <w:rFonts w:eastAsia="Times New Roman" w:cs="Arial"/>
          <w:kern w:val="24"/>
          <w:lang w:eastAsia="en-AU"/>
        </w:rPr>
        <w:t xml:space="preserve"> this confidence is</w:t>
      </w:r>
      <w:r w:rsidR="00AC5912">
        <w:rPr>
          <w:rFonts w:eastAsia="Times New Roman" w:cs="Arial"/>
          <w:kern w:val="24"/>
          <w:lang w:eastAsia="en-AU"/>
        </w:rPr>
        <w:t xml:space="preserve"> </w:t>
      </w:r>
      <w:r w:rsidR="002A43C7">
        <w:rPr>
          <w:rFonts w:eastAsia="Times New Roman" w:cs="Arial"/>
          <w:kern w:val="24"/>
          <w:lang w:eastAsia="en-AU"/>
        </w:rPr>
        <w:t>to a degree misplaced</w:t>
      </w:r>
      <w:r>
        <w:rPr>
          <w:rFonts w:eastAsia="Times New Roman" w:cs="Arial"/>
          <w:kern w:val="24"/>
          <w:lang w:eastAsia="en-AU"/>
        </w:rPr>
        <w:t xml:space="preserve">. </w:t>
      </w:r>
    </w:p>
    <w:p w14:paraId="6411FFAF" w14:textId="2D56501F" w:rsidR="0079140E" w:rsidRDefault="002A43C7" w:rsidP="00172A6B">
      <w:pPr>
        <w:pStyle w:val="ListBullet"/>
        <w:numPr>
          <w:ilvl w:val="0"/>
          <w:numId w:val="0"/>
        </w:numPr>
        <w:rPr>
          <w:rFonts w:eastAsia="Times New Roman" w:cs="Arial"/>
          <w:kern w:val="24"/>
          <w:lang w:eastAsia="en-AU"/>
        </w:rPr>
      </w:pPr>
      <w:r>
        <w:rPr>
          <w:rFonts w:eastAsia="Times New Roman" w:cs="Arial"/>
          <w:kern w:val="24"/>
          <w:lang w:eastAsia="en-AU"/>
        </w:rPr>
        <w:t>Analysis of the s</w:t>
      </w:r>
      <w:r w:rsidR="00172A6B">
        <w:rPr>
          <w:rFonts w:eastAsia="Times New Roman" w:cs="Arial"/>
          <w:kern w:val="24"/>
          <w:lang w:eastAsia="en-AU"/>
        </w:rPr>
        <w:t>hopper interview</w:t>
      </w:r>
      <w:r>
        <w:rPr>
          <w:rFonts w:eastAsia="Times New Roman" w:cs="Arial"/>
          <w:kern w:val="24"/>
          <w:lang w:eastAsia="en-AU"/>
        </w:rPr>
        <w:t>s</w:t>
      </w:r>
      <w:r w:rsidR="00172A6B">
        <w:rPr>
          <w:rFonts w:eastAsia="Times New Roman" w:cs="Arial"/>
          <w:kern w:val="24"/>
          <w:lang w:eastAsia="en-AU"/>
        </w:rPr>
        <w:t xml:space="preserve"> suggest</w:t>
      </w:r>
      <w:r w:rsidR="00806083">
        <w:rPr>
          <w:rFonts w:eastAsia="Times New Roman" w:cs="Arial"/>
          <w:kern w:val="24"/>
          <w:lang w:eastAsia="en-AU"/>
        </w:rPr>
        <w:t>s</w:t>
      </w:r>
      <w:r w:rsidR="00172A6B">
        <w:rPr>
          <w:rFonts w:eastAsia="Times New Roman" w:cs="Arial"/>
          <w:kern w:val="24"/>
          <w:lang w:eastAsia="en-AU"/>
        </w:rPr>
        <w:t xml:space="preserve"> that consumers do not widely understand all aspects of </w:t>
      </w:r>
      <w:r w:rsidR="00172A6B">
        <w:rPr>
          <w:rFonts w:eastAsia="Calibri" w:cs="Times New Roman"/>
        </w:rPr>
        <w:t>CoOL</w:t>
      </w:r>
      <w:r w:rsidR="00F64E43">
        <w:rPr>
          <w:rFonts w:eastAsia="Calibri" w:cs="Times New Roman"/>
        </w:rPr>
        <w:t xml:space="preserve"> (</w:t>
      </w:r>
      <w:r w:rsidR="00EA2099">
        <w:rPr>
          <w:rFonts w:eastAsia="Calibri" w:cs="Times New Roman"/>
        </w:rPr>
        <w:t xml:space="preserve">see </w:t>
      </w:r>
      <w:r w:rsidR="00F64E43">
        <w:rPr>
          <w:rFonts w:eastAsia="Calibri" w:cs="Times New Roman"/>
        </w:rPr>
        <w:fldChar w:fldCharType="begin"/>
      </w:r>
      <w:r w:rsidR="00F64E43">
        <w:rPr>
          <w:rFonts w:eastAsia="Calibri" w:cs="Times New Roman"/>
        </w:rPr>
        <w:instrText xml:space="preserve"> REF _Ref68016126 \r \h </w:instrText>
      </w:r>
      <w:r w:rsidR="00F64E43">
        <w:rPr>
          <w:rFonts w:eastAsia="Calibri" w:cs="Times New Roman"/>
        </w:rPr>
      </w:r>
      <w:r w:rsidR="00F64E43">
        <w:rPr>
          <w:rFonts w:eastAsia="Calibri" w:cs="Times New Roman"/>
        </w:rPr>
        <w:fldChar w:fldCharType="separate"/>
      </w:r>
      <w:r w:rsidR="0017363C">
        <w:rPr>
          <w:rFonts w:eastAsia="Calibri" w:cs="Times New Roman"/>
        </w:rPr>
        <w:t>Chart 4.8</w:t>
      </w:r>
      <w:r w:rsidR="00F64E43">
        <w:rPr>
          <w:rFonts w:eastAsia="Calibri" w:cs="Times New Roman"/>
        </w:rPr>
        <w:fldChar w:fldCharType="end"/>
      </w:r>
      <w:r w:rsidR="00F64E43">
        <w:rPr>
          <w:rFonts w:eastAsia="Calibri" w:cs="Times New Roman"/>
        </w:rPr>
        <w:t>)</w:t>
      </w:r>
      <w:r w:rsidR="00172A6B">
        <w:rPr>
          <w:rFonts w:eastAsia="Times New Roman" w:cs="Arial"/>
          <w:kern w:val="24"/>
          <w:lang w:eastAsia="en-AU"/>
        </w:rPr>
        <w:t xml:space="preserve">. </w:t>
      </w:r>
      <w:r w:rsidR="00F64E43">
        <w:rPr>
          <w:rFonts w:eastAsia="Times New Roman" w:cs="Arial"/>
          <w:kern w:val="24"/>
          <w:lang w:eastAsia="en-AU"/>
        </w:rPr>
        <w:t>Overall, l</w:t>
      </w:r>
      <w:r w:rsidR="0079140E">
        <w:rPr>
          <w:rFonts w:eastAsia="Times New Roman" w:cs="Arial"/>
          <w:kern w:val="24"/>
          <w:lang w:eastAsia="en-AU"/>
        </w:rPr>
        <w:t>ess than one</w:t>
      </w:r>
      <w:r w:rsidR="00EA2099">
        <w:rPr>
          <w:rFonts w:eastAsia="Times New Roman" w:cs="Arial"/>
          <w:kern w:val="24"/>
          <w:lang w:eastAsia="en-AU"/>
        </w:rPr>
        <w:t>-</w:t>
      </w:r>
      <w:r w:rsidR="0079140E">
        <w:rPr>
          <w:rFonts w:eastAsia="Times New Roman" w:cs="Arial"/>
          <w:kern w:val="24"/>
          <w:lang w:eastAsia="en-AU"/>
        </w:rPr>
        <w:t>third (</w:t>
      </w:r>
      <w:r w:rsidR="00172A6B">
        <w:rPr>
          <w:rFonts w:eastAsia="Times New Roman" w:cs="Arial"/>
          <w:kern w:val="24"/>
          <w:lang w:eastAsia="en-AU"/>
        </w:rPr>
        <w:t>31</w:t>
      </w:r>
      <w:r w:rsidR="007B2C81">
        <w:rPr>
          <w:rFonts w:eastAsia="Times New Roman" w:cs="Arial"/>
          <w:kern w:val="24"/>
          <w:lang w:eastAsia="en-AU"/>
        </w:rPr>
        <w:t>%</w:t>
      </w:r>
      <w:r w:rsidR="0079140E">
        <w:rPr>
          <w:rFonts w:eastAsia="Times New Roman" w:cs="Arial"/>
          <w:kern w:val="24"/>
          <w:lang w:eastAsia="en-AU"/>
        </w:rPr>
        <w:t>)</w:t>
      </w:r>
      <w:r w:rsidR="00172A6B">
        <w:rPr>
          <w:rFonts w:eastAsia="Times New Roman" w:cs="Arial"/>
          <w:kern w:val="24"/>
          <w:lang w:eastAsia="en-AU"/>
        </w:rPr>
        <w:t xml:space="preserve"> of consumers correctly interprete</w:t>
      </w:r>
      <w:r w:rsidR="0079140E">
        <w:rPr>
          <w:rFonts w:eastAsia="Times New Roman" w:cs="Arial"/>
          <w:kern w:val="24"/>
          <w:lang w:eastAsia="en-AU"/>
        </w:rPr>
        <w:t>d</w:t>
      </w:r>
      <w:r w:rsidR="00172A6B">
        <w:rPr>
          <w:rFonts w:eastAsia="Times New Roman" w:cs="Arial"/>
          <w:kern w:val="24"/>
          <w:lang w:eastAsia="en-AU"/>
        </w:rPr>
        <w:t xml:space="preserve"> country of origin labels presented on a </w:t>
      </w:r>
      <w:r w:rsidR="0079140E">
        <w:rPr>
          <w:rFonts w:eastAsia="Times New Roman" w:cs="Arial"/>
          <w:kern w:val="24"/>
          <w:lang w:eastAsia="en-AU"/>
        </w:rPr>
        <w:t>product selected at random</w:t>
      </w:r>
      <w:r w:rsidR="00172A6B">
        <w:rPr>
          <w:rFonts w:eastAsia="Times New Roman" w:cs="Arial"/>
          <w:kern w:val="24"/>
          <w:lang w:eastAsia="en-AU"/>
        </w:rPr>
        <w:t xml:space="preserve">. </w:t>
      </w:r>
      <w:r w:rsidR="00D21660">
        <w:rPr>
          <w:rFonts w:eastAsia="Times New Roman" w:cs="Arial"/>
          <w:kern w:val="24"/>
          <w:lang w:eastAsia="en-AU"/>
        </w:rPr>
        <w:t>Less than half (44</w:t>
      </w:r>
      <w:r w:rsidR="007B2C81">
        <w:rPr>
          <w:rFonts w:eastAsia="Times New Roman" w:cs="Arial"/>
          <w:kern w:val="24"/>
          <w:lang w:eastAsia="en-AU"/>
        </w:rPr>
        <w:t>%</w:t>
      </w:r>
      <w:r w:rsidR="00D21660">
        <w:rPr>
          <w:rFonts w:eastAsia="Times New Roman" w:cs="Arial"/>
          <w:kern w:val="24"/>
          <w:lang w:eastAsia="en-AU"/>
        </w:rPr>
        <w:t>) of consumers could partially identify the label information. One</w:t>
      </w:r>
      <w:r w:rsidR="008E3F68">
        <w:rPr>
          <w:rFonts w:eastAsia="Times New Roman" w:cs="Arial"/>
          <w:kern w:val="24"/>
          <w:lang w:eastAsia="en-AU"/>
        </w:rPr>
        <w:t>-</w:t>
      </w:r>
      <w:r w:rsidR="00D21660">
        <w:rPr>
          <w:rFonts w:eastAsia="Times New Roman" w:cs="Arial"/>
          <w:kern w:val="24"/>
          <w:lang w:eastAsia="en-AU"/>
        </w:rPr>
        <w:t xml:space="preserve">quarter </w:t>
      </w:r>
      <w:r w:rsidR="00DF4D55">
        <w:rPr>
          <w:rFonts w:eastAsia="Times New Roman" w:cs="Arial"/>
          <w:kern w:val="24"/>
          <w:lang w:eastAsia="en-AU"/>
        </w:rPr>
        <w:t>(</w:t>
      </w:r>
      <w:r w:rsidR="00D21660">
        <w:rPr>
          <w:rFonts w:eastAsia="Times New Roman" w:cs="Arial"/>
          <w:kern w:val="24"/>
          <w:lang w:eastAsia="en-AU"/>
        </w:rPr>
        <w:t>25</w:t>
      </w:r>
      <w:r w:rsidR="007B2C81">
        <w:rPr>
          <w:rFonts w:eastAsia="Times New Roman" w:cs="Arial"/>
          <w:kern w:val="24"/>
          <w:lang w:eastAsia="en-AU"/>
        </w:rPr>
        <w:t>%</w:t>
      </w:r>
      <w:r w:rsidR="00DF4D55">
        <w:rPr>
          <w:rFonts w:eastAsia="Times New Roman" w:cs="Arial"/>
          <w:kern w:val="24"/>
          <w:lang w:eastAsia="en-AU"/>
        </w:rPr>
        <w:t>)</w:t>
      </w:r>
      <w:r w:rsidR="00D21660">
        <w:rPr>
          <w:rFonts w:eastAsia="Times New Roman" w:cs="Arial"/>
          <w:kern w:val="24"/>
          <w:lang w:eastAsia="en-AU"/>
        </w:rPr>
        <w:t xml:space="preserve"> did not interpret the labels correctly </w:t>
      </w:r>
      <w:r w:rsidR="00DF4D55">
        <w:rPr>
          <w:rFonts w:eastAsia="Times New Roman" w:cs="Arial"/>
          <w:kern w:val="24"/>
          <w:lang w:eastAsia="en-AU"/>
        </w:rPr>
        <w:t>at all.</w:t>
      </w:r>
    </w:p>
    <w:p w14:paraId="218ACA0C" w14:textId="77777777" w:rsidR="00172A6B" w:rsidRDefault="00172A6B" w:rsidP="00172A6B">
      <w:pPr>
        <w:pStyle w:val="ListBullet"/>
        <w:numPr>
          <w:ilvl w:val="0"/>
          <w:numId w:val="0"/>
        </w:numPr>
        <w:rPr>
          <w:rFonts w:eastAsia="Times New Roman" w:cs="Arial"/>
          <w:kern w:val="24"/>
          <w:lang w:eastAsia="en-AU"/>
        </w:rPr>
      </w:pPr>
    </w:p>
    <w:p w14:paraId="6475F04B" w14:textId="49EBB9BA" w:rsidR="00172A6B" w:rsidRDefault="00172A6B" w:rsidP="00172A6B">
      <w:pPr>
        <w:pStyle w:val="CaptionChart"/>
        <w:rPr>
          <w:lang w:eastAsia="en-AU"/>
        </w:rPr>
      </w:pPr>
      <w:bookmarkStart w:id="228" w:name="_Ref68016126"/>
      <w:bookmarkStart w:id="229" w:name="_Toc82590348"/>
      <w:r>
        <w:rPr>
          <w:lang w:eastAsia="en-AU"/>
        </w:rPr>
        <w:lastRenderedPageBreak/>
        <w:t xml:space="preserve">: Share of consumers that interpreted labels correctly: Grown </w:t>
      </w:r>
      <w:r w:rsidR="004926DA">
        <w:rPr>
          <w:lang w:eastAsia="en-AU"/>
        </w:rPr>
        <w:t>i</w:t>
      </w:r>
      <w:r>
        <w:rPr>
          <w:lang w:eastAsia="en-AU"/>
        </w:rPr>
        <w:t xml:space="preserve">n, Product of, Made </w:t>
      </w:r>
      <w:r w:rsidR="004926DA">
        <w:rPr>
          <w:lang w:eastAsia="en-AU"/>
        </w:rPr>
        <w:t>i</w:t>
      </w:r>
      <w:r>
        <w:rPr>
          <w:lang w:eastAsia="en-AU"/>
        </w:rPr>
        <w:t xml:space="preserve">n, Packed </w:t>
      </w:r>
      <w:r w:rsidR="00EF31DF">
        <w:rPr>
          <w:lang w:eastAsia="en-AU"/>
        </w:rPr>
        <w:t>i</w:t>
      </w:r>
      <w:r>
        <w:rPr>
          <w:lang w:eastAsia="en-AU"/>
        </w:rPr>
        <w:t>n and “Australian…”</w:t>
      </w:r>
      <w:bookmarkEnd w:id="228"/>
      <w:bookmarkEnd w:id="229"/>
    </w:p>
    <w:p w14:paraId="6B6689DE" w14:textId="6AC50EC0" w:rsidR="000F0BF7" w:rsidRDefault="000F0BF7" w:rsidP="00172A6B">
      <w:pPr>
        <w:pStyle w:val="Source"/>
      </w:pPr>
      <w:r w:rsidRPr="000F0BF7">
        <w:rPr>
          <w:noProof/>
          <w:lang w:eastAsia="en-AU"/>
        </w:rPr>
        <w:drawing>
          <wp:inline distT="0" distB="0" distL="0" distR="0" wp14:anchorId="4554C33D" wp14:editId="0F487444">
            <wp:extent cx="5731510" cy="3119120"/>
            <wp:effectExtent l="0" t="0" r="2540" b="5080"/>
            <wp:docPr id="38" name="Picture 38" descr="Findings are: Grown in: yes (50%), no (42%) and partially (8%). Product of: yes (31%), no (31%), partially (38%). Made in: yes (31%), no (43%) and partially (38%). Packed in: yes (40%), no (40%), partially (20%). Australia...: yes (40%), no (50%), partial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ndings are: Grown in: yes (50%), no (42%) and partially (8%). Product of: yes (31%), no (31%), partially (38%). Made in: yes (31%), no (43%) and partially (38%). Packed in: yes (40%), no (40%), partially (20%). Australia...: yes (40%), no (50%), partially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119120"/>
                    </a:xfrm>
                    <a:prstGeom prst="rect">
                      <a:avLst/>
                    </a:prstGeom>
                    <a:noFill/>
                    <a:ln>
                      <a:noFill/>
                    </a:ln>
                  </pic:spPr>
                </pic:pic>
              </a:graphicData>
            </a:graphic>
          </wp:inline>
        </w:drawing>
      </w:r>
    </w:p>
    <w:p w14:paraId="0DDDB0CC" w14:textId="345CE915" w:rsidR="00172A6B" w:rsidRPr="009E5C6E" w:rsidRDefault="00172A6B" w:rsidP="00172A6B">
      <w:pPr>
        <w:pStyle w:val="Source"/>
      </w:pPr>
      <w:r w:rsidRPr="009E5C6E">
        <w:t xml:space="preserve">Source: Deloitte Access Economics’ </w:t>
      </w:r>
      <w:r w:rsidR="00E30626">
        <w:t>s</w:t>
      </w:r>
      <w:r>
        <w:t xml:space="preserve">hopper </w:t>
      </w:r>
      <w:r w:rsidR="00E30626">
        <w:t>i</w:t>
      </w:r>
      <w:r>
        <w:t>nterview survey (2021).</w:t>
      </w:r>
    </w:p>
    <w:p w14:paraId="0CD44BEB" w14:textId="5328CAC1" w:rsidR="00172A6B" w:rsidRPr="003B5903" w:rsidRDefault="004D246A" w:rsidP="003B5903">
      <w:r>
        <w:rPr>
          <w:rFonts w:eastAsia="Times New Roman" w:cs="Arial"/>
          <w:kern w:val="24"/>
          <w:lang w:eastAsia="en-AU"/>
        </w:rPr>
        <w:t>In this context, however</w:t>
      </w:r>
      <w:r w:rsidR="006D61B6">
        <w:rPr>
          <w:rFonts w:eastAsia="Times New Roman" w:cs="Arial"/>
          <w:kern w:val="24"/>
          <w:lang w:eastAsia="en-AU"/>
        </w:rPr>
        <w:t>,</w:t>
      </w:r>
      <w:r>
        <w:rPr>
          <w:rFonts w:eastAsia="Times New Roman" w:cs="Arial"/>
          <w:kern w:val="24"/>
          <w:lang w:eastAsia="en-AU"/>
        </w:rPr>
        <w:t xml:space="preserve"> it is important to note that</w:t>
      </w:r>
      <w:r w:rsidR="00172A6B">
        <w:rPr>
          <w:rFonts w:eastAsia="Times New Roman" w:cs="Arial"/>
          <w:kern w:val="24"/>
          <w:lang w:eastAsia="en-AU"/>
        </w:rPr>
        <w:t xml:space="preserve"> consumers </w:t>
      </w:r>
      <w:r w:rsidR="001D1FBD">
        <w:rPr>
          <w:rFonts w:eastAsia="Times New Roman" w:cs="Arial"/>
          <w:kern w:val="24"/>
          <w:lang w:eastAsia="en-AU"/>
        </w:rPr>
        <w:t xml:space="preserve">predominantly </w:t>
      </w:r>
      <w:r w:rsidR="00A92765">
        <w:rPr>
          <w:rFonts w:eastAsia="Times New Roman" w:cs="Arial"/>
          <w:kern w:val="24"/>
          <w:lang w:eastAsia="en-AU"/>
        </w:rPr>
        <w:t>report being</w:t>
      </w:r>
      <w:r w:rsidR="00172A6B">
        <w:rPr>
          <w:rFonts w:eastAsia="Times New Roman" w:cs="Arial"/>
          <w:kern w:val="24"/>
          <w:lang w:eastAsia="en-AU"/>
        </w:rPr>
        <w:t xml:space="preserve"> satisfied </w:t>
      </w:r>
      <w:r w:rsidR="00172A6B" w:rsidRPr="00F808B9">
        <w:rPr>
          <w:rFonts w:eastAsia="Times New Roman" w:cs="Arial"/>
          <w:kern w:val="24"/>
          <w:lang w:eastAsia="en-AU"/>
        </w:rPr>
        <w:t xml:space="preserve">with the amount of information they receive from </w:t>
      </w:r>
      <w:r>
        <w:rPr>
          <w:rFonts w:eastAsia="Times New Roman" w:cs="Arial"/>
          <w:kern w:val="24"/>
          <w:lang w:eastAsia="en-AU"/>
        </w:rPr>
        <w:t>CoOL labels</w:t>
      </w:r>
      <w:r w:rsidR="008C2903">
        <w:rPr>
          <w:rFonts w:eastAsia="Times New Roman" w:cs="Arial"/>
          <w:kern w:val="24"/>
          <w:lang w:eastAsia="en-AU"/>
        </w:rPr>
        <w:t xml:space="preserve"> </w:t>
      </w:r>
      <w:r w:rsidR="00B41828">
        <w:rPr>
          <w:rFonts w:eastAsia="Times New Roman" w:cs="Arial"/>
          <w:kern w:val="24"/>
          <w:lang w:eastAsia="en-AU"/>
        </w:rPr>
        <w:t>about</w:t>
      </w:r>
      <w:r w:rsidR="008C2903">
        <w:rPr>
          <w:rFonts w:eastAsia="Times New Roman" w:cs="Arial"/>
          <w:kern w:val="24"/>
          <w:lang w:eastAsia="en-AU"/>
        </w:rPr>
        <w:t xml:space="preserve"> where their food is grown, produced, made and packed</w:t>
      </w:r>
      <w:r w:rsidR="00933305" w:rsidRPr="00F808B9">
        <w:rPr>
          <w:rFonts w:eastAsia="Times New Roman" w:cs="Arial"/>
          <w:kern w:val="24"/>
          <w:lang w:eastAsia="en-AU"/>
        </w:rPr>
        <w:t>.</w:t>
      </w:r>
      <w:r w:rsidR="002721C5">
        <w:t xml:space="preserve"> </w:t>
      </w:r>
      <w:r>
        <w:rPr>
          <w:rFonts w:eastAsia="Times New Roman" w:cs="Arial"/>
          <w:kern w:val="24"/>
          <w:lang w:eastAsia="en-AU"/>
        </w:rPr>
        <w:t xml:space="preserve">This satisfaction rating </w:t>
      </w:r>
      <w:r w:rsidR="006B6EC7">
        <w:rPr>
          <w:rFonts w:eastAsia="Times New Roman" w:cs="Arial"/>
          <w:kern w:val="24"/>
          <w:lang w:eastAsia="en-AU"/>
        </w:rPr>
        <w:t>wa</w:t>
      </w:r>
      <w:r>
        <w:rPr>
          <w:rFonts w:eastAsia="Times New Roman" w:cs="Arial"/>
          <w:kern w:val="24"/>
          <w:lang w:eastAsia="en-AU"/>
        </w:rPr>
        <w:t xml:space="preserve">s provided at the same time the </w:t>
      </w:r>
      <w:r w:rsidR="00172A6B">
        <w:rPr>
          <w:rFonts w:eastAsia="Times New Roman" w:cs="Arial"/>
          <w:kern w:val="24"/>
          <w:lang w:eastAsia="en-AU"/>
        </w:rPr>
        <w:t xml:space="preserve">information </w:t>
      </w:r>
      <w:r w:rsidR="006B6EC7">
        <w:rPr>
          <w:rFonts w:eastAsia="Times New Roman" w:cs="Arial"/>
          <w:kern w:val="24"/>
          <w:lang w:eastAsia="en-AU"/>
        </w:rPr>
        <w:t>was</w:t>
      </w:r>
      <w:r w:rsidR="00172A6B">
        <w:rPr>
          <w:rFonts w:eastAsia="Times New Roman" w:cs="Arial"/>
          <w:kern w:val="24"/>
          <w:lang w:eastAsia="en-AU"/>
        </w:rPr>
        <w:t xml:space="preserve"> presented to </w:t>
      </w:r>
      <w:r w:rsidR="006B6EC7">
        <w:rPr>
          <w:rFonts w:eastAsia="Times New Roman" w:cs="Arial"/>
          <w:kern w:val="24"/>
          <w:lang w:eastAsia="en-AU"/>
        </w:rPr>
        <w:t>consumers</w:t>
      </w:r>
      <w:r w:rsidR="00172A6B" w:rsidRPr="00F808B9">
        <w:rPr>
          <w:rFonts w:eastAsia="Times New Roman" w:cs="Arial"/>
          <w:kern w:val="24"/>
          <w:lang w:eastAsia="en-AU"/>
        </w:rPr>
        <w:t xml:space="preserve">. </w:t>
      </w:r>
      <w:r w:rsidR="00172A6B">
        <w:rPr>
          <w:rFonts w:eastAsia="Times New Roman" w:cs="Arial"/>
          <w:kern w:val="24"/>
          <w:lang w:eastAsia="en-AU"/>
        </w:rPr>
        <w:t>Overall, roughly 60</w:t>
      </w:r>
      <w:r w:rsidR="007B2C81">
        <w:rPr>
          <w:rFonts w:eastAsia="Times New Roman" w:cs="Arial"/>
          <w:kern w:val="24"/>
          <w:lang w:eastAsia="en-AU"/>
        </w:rPr>
        <w:t>%</w:t>
      </w:r>
      <w:r w:rsidR="00172A6B">
        <w:rPr>
          <w:rFonts w:eastAsia="Times New Roman" w:cs="Arial"/>
          <w:kern w:val="24"/>
          <w:lang w:eastAsia="en-AU"/>
        </w:rPr>
        <w:t xml:space="preserve"> of consumers indicate that they “agree” or “strongly agree</w:t>
      </w:r>
      <w:r w:rsidR="008C2903">
        <w:rPr>
          <w:rFonts w:eastAsia="Times New Roman" w:cs="Arial"/>
          <w:kern w:val="24"/>
          <w:lang w:eastAsia="en-AU"/>
        </w:rPr>
        <w:t>”</w:t>
      </w:r>
      <w:r w:rsidR="00172A6B">
        <w:rPr>
          <w:rFonts w:eastAsia="Times New Roman" w:cs="Arial"/>
          <w:kern w:val="24"/>
          <w:lang w:eastAsia="en-AU"/>
        </w:rPr>
        <w:t xml:space="preserve"> with the amount of information received. </w:t>
      </w:r>
    </w:p>
    <w:p w14:paraId="5E299AFD" w14:textId="53B37F7E" w:rsidR="003B5903" w:rsidRDefault="003B5903" w:rsidP="00546DBF">
      <w:r>
        <w:rPr>
          <w:rFonts w:eastAsia="Times New Roman" w:cs="Arial"/>
          <w:kern w:val="24"/>
          <w:lang w:eastAsia="en-AU"/>
        </w:rPr>
        <w:t xml:space="preserve">Other research suggests there is </w:t>
      </w:r>
      <w:r>
        <w:t>a lack of clarity around the terminology used in the labels, such as the differences between ‘Made in’ and ‘Product of’.</w:t>
      </w:r>
      <w:r>
        <w:rPr>
          <w:rStyle w:val="FootnoteReference"/>
        </w:rPr>
        <w:footnoteReference w:id="42"/>
      </w:r>
      <w:r>
        <w:t xml:space="preserve"> </w:t>
      </w:r>
      <w:r w:rsidR="00172A6B" w:rsidRPr="00DB50C5">
        <w:t xml:space="preserve">Consumers </w:t>
      </w:r>
      <w:r w:rsidR="00387C87">
        <w:t xml:space="preserve">participating </w:t>
      </w:r>
      <w:r w:rsidR="00172A6B" w:rsidRPr="00DB50C5">
        <w:t>in</w:t>
      </w:r>
      <w:r w:rsidR="00387C87">
        <w:t xml:space="preserve"> the</w:t>
      </w:r>
      <w:r w:rsidR="00172A6B" w:rsidRPr="00DB50C5">
        <w:t xml:space="preserve"> focus groups had widely varying interpretations of whether the </w:t>
      </w:r>
      <w:r w:rsidR="00806083">
        <w:t>labels</w:t>
      </w:r>
      <w:r w:rsidR="00172A6B" w:rsidRPr="00DB50C5">
        <w:t xml:space="preserve"> w</w:t>
      </w:r>
      <w:r w:rsidR="00806083">
        <w:t>ere</w:t>
      </w:r>
      <w:r w:rsidR="00172A6B" w:rsidRPr="00DB50C5">
        <w:t xml:space="preserve"> sufficient and clear</w:t>
      </w:r>
      <w:r w:rsidR="00387C87">
        <w:t>.</w:t>
      </w:r>
      <w:r w:rsidR="00172A6B" w:rsidRPr="00DB50C5">
        <w:t xml:space="preserve"> </w:t>
      </w:r>
      <w:r w:rsidR="00387C87">
        <w:t>M</w:t>
      </w:r>
      <w:r w:rsidR="00172A6B" w:rsidRPr="00DB50C5">
        <w:t xml:space="preserve">ost </w:t>
      </w:r>
      <w:r>
        <w:t xml:space="preserve">consumers </w:t>
      </w:r>
      <w:r w:rsidR="00172A6B" w:rsidRPr="00DB50C5">
        <w:t>sought more information</w:t>
      </w:r>
      <w:r w:rsidR="004832A6">
        <w:t xml:space="preserve"> in relation to the</w:t>
      </w:r>
      <w:r w:rsidR="00172A6B" w:rsidRPr="00DB50C5">
        <w:t xml:space="preserve"> source of </w:t>
      </w:r>
      <w:r w:rsidR="00387C87">
        <w:t>non-Australian</w:t>
      </w:r>
      <w:r w:rsidR="00172A6B" w:rsidRPr="00DB50C5">
        <w:t xml:space="preserve"> ingredients, the interpretation of terminology</w:t>
      </w:r>
      <w:r w:rsidR="00126625">
        <w:t>,</w:t>
      </w:r>
      <w:r w:rsidR="00172A6B" w:rsidRPr="00DB50C5">
        <w:t xml:space="preserve"> such as </w:t>
      </w:r>
      <w:r w:rsidR="00172A6B" w:rsidRPr="00DB50C5" w:rsidDel="00AD52C7">
        <w:t>‘</w:t>
      </w:r>
      <w:r w:rsidR="00172A6B">
        <w:t>P</w:t>
      </w:r>
      <w:r w:rsidR="00172A6B" w:rsidRPr="00DB50C5">
        <w:t>roduct of</w:t>
      </w:r>
      <w:r w:rsidR="004926DA">
        <w:t>’</w:t>
      </w:r>
      <w:r w:rsidR="00172A6B" w:rsidRPr="00DB50C5">
        <w:t xml:space="preserve"> and </w:t>
      </w:r>
      <w:r w:rsidR="00172A6B" w:rsidRPr="00DB50C5" w:rsidDel="00AD52C7">
        <w:t>‘</w:t>
      </w:r>
      <w:r w:rsidR="00172A6B">
        <w:t>M</w:t>
      </w:r>
      <w:r w:rsidR="00172A6B" w:rsidRPr="00DB50C5">
        <w:t>ade in</w:t>
      </w:r>
      <w:r w:rsidR="004926DA">
        <w:t>’</w:t>
      </w:r>
      <w:r w:rsidR="00172A6B" w:rsidRPr="00DB50C5">
        <w:t>, and</w:t>
      </w:r>
      <w:r w:rsidR="004832A6">
        <w:t>/or</w:t>
      </w:r>
      <w:r w:rsidR="00172A6B" w:rsidRPr="00DB50C5">
        <w:t xml:space="preserve"> the concordance between symbols claiming a product was Australian and the large proportion of overseas ingredients. </w:t>
      </w:r>
    </w:p>
    <w:p w14:paraId="152127CC" w14:textId="6C9371C8" w:rsidR="00172A6B" w:rsidRPr="00DB50C5" w:rsidRDefault="004832A6" w:rsidP="00546DBF">
      <w:r>
        <w:t>While c</w:t>
      </w:r>
      <w:r w:rsidR="00172A6B" w:rsidRPr="00DB50C5">
        <w:t xml:space="preserve">onsumers </w:t>
      </w:r>
      <w:r w:rsidR="001E37B9">
        <w:t>generally report</w:t>
      </w:r>
      <w:r w:rsidR="00172A6B" w:rsidRPr="00DB50C5">
        <w:t xml:space="preserve"> that information </w:t>
      </w:r>
      <w:r w:rsidR="001E37B9">
        <w:t>on</w:t>
      </w:r>
      <w:r w:rsidR="00172A6B" w:rsidRPr="00DB50C5">
        <w:t xml:space="preserve"> the Australian</w:t>
      </w:r>
      <w:r w:rsidR="005B6A30">
        <w:t>-</w:t>
      </w:r>
      <w:r w:rsidR="001E37B9">
        <w:t xml:space="preserve">sourced </w:t>
      </w:r>
      <w:r>
        <w:t>ingredient component</w:t>
      </w:r>
      <w:r w:rsidR="00172A6B" w:rsidRPr="00DB50C5">
        <w:t xml:space="preserve"> </w:t>
      </w:r>
      <w:r w:rsidR="001E37B9">
        <w:t>is</w:t>
      </w:r>
      <w:r w:rsidR="00172A6B" w:rsidRPr="00DB50C5">
        <w:t xml:space="preserve"> </w:t>
      </w:r>
      <w:r>
        <w:t>clear,</w:t>
      </w:r>
      <w:r w:rsidR="00172A6B" w:rsidRPr="00DB50C5">
        <w:t xml:space="preserve"> </w:t>
      </w:r>
      <w:r w:rsidR="001E37B9">
        <w:t>it was</w:t>
      </w:r>
      <w:r w:rsidR="00172A6B" w:rsidRPr="00DB50C5">
        <w:t xml:space="preserve"> confusing to see the kangaroo logo alongside a</w:t>
      </w:r>
      <w:r>
        <w:t>n empty</w:t>
      </w:r>
      <w:r w:rsidR="00172A6B" w:rsidRPr="00DB50C5">
        <w:t xml:space="preserve"> bar chart</w:t>
      </w:r>
      <w:r w:rsidR="00700759">
        <w:t xml:space="preserve"> (e.g. a ‘Made in Australia’ claim with </w:t>
      </w:r>
      <w:r w:rsidR="006277DE">
        <w:t xml:space="preserve">a </w:t>
      </w:r>
      <w:r w:rsidR="00700759">
        <w:t>large proportion of imported ingredients)</w:t>
      </w:r>
      <w:r w:rsidR="00172A6B" w:rsidRPr="00DB50C5">
        <w:t>.</w:t>
      </w:r>
      <w:r w:rsidR="00E52D7D">
        <w:rPr>
          <w:rStyle w:val="FootnoteReference"/>
        </w:rPr>
        <w:footnoteReference w:id="43"/>
      </w:r>
      <w:r w:rsidR="00172A6B" w:rsidRPr="00DB50C5">
        <w:t xml:space="preserve"> </w:t>
      </w:r>
      <w:r w:rsidR="006277DE" w:rsidRPr="006277DE">
        <w:t>Consumers perceive the kangaroo logo as being indicative of the fact that a product is entirely Australian, despite this not necessarily being the case.</w:t>
      </w:r>
    </w:p>
    <w:p w14:paraId="4EDA29EB" w14:textId="3EF2D139" w:rsidR="005E399A" w:rsidRDefault="00172A6B" w:rsidP="006A08BC">
      <w:pPr>
        <w:pStyle w:val="Heading3"/>
      </w:pPr>
      <w:bookmarkStart w:id="230" w:name="_Toc67499082"/>
      <w:bookmarkStart w:id="231" w:name="_Ref72181074"/>
      <w:r w:rsidRPr="000F0AC2">
        <w:t>Key findings</w:t>
      </w:r>
      <w:r>
        <w:t>: Consumer understanding of the origin of their foods</w:t>
      </w:r>
      <w:bookmarkEnd w:id="230"/>
      <w:bookmarkEnd w:id="231"/>
    </w:p>
    <w:tbl>
      <w:tblPr>
        <w:tblStyle w:val="Deloittetable"/>
        <w:tblW w:w="0" w:type="auto"/>
        <w:tblLook w:val="04A0" w:firstRow="1" w:lastRow="0" w:firstColumn="1" w:lastColumn="0" w:noHBand="0" w:noVBand="1"/>
        <w:tblDescription w:val="This table makes three key findings for consumer understanding of the origin of their foods. These are that 1) The CoOL reforms are almost certain to have improved consumer understanding about the origins of their food to some degree. This is because the scheme now provides more information, which is of higher quality (less prone to misleading claims) in a more consistent manner across a wide range of products. &#10;2) Significant areas of uncertainty remain, driven in part by factors that are a legacy of the previous scheme and partly by the variability in consumer preferences and interpretation of the information provided. &#10;3) While many consumers report to understand the labels, there is in fact widespread misinterpretation of the information presented. "/>
      </w:tblPr>
      <w:tblGrid>
        <w:gridCol w:w="1134"/>
        <w:gridCol w:w="7892"/>
      </w:tblGrid>
      <w:tr w:rsidR="005E399A" w14:paraId="20ED3329"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2286ECB2" w14:textId="77777777" w:rsidR="005E399A" w:rsidRPr="00AB2F4F" w:rsidRDefault="005E399A" w:rsidP="00AB1DCE">
            <w:pPr>
              <w:rPr>
                <w:b/>
                <w:bCs/>
              </w:rPr>
            </w:pPr>
            <w:r>
              <w:rPr>
                <w:b/>
                <w:bCs/>
              </w:rPr>
              <w:t>Ref</w:t>
            </w:r>
          </w:p>
        </w:tc>
        <w:tc>
          <w:tcPr>
            <w:tcW w:w="7892" w:type="dxa"/>
            <w:tcBorders>
              <w:top w:val="single" w:sz="24" w:space="0" w:color="012169" w:themeColor="accent4"/>
            </w:tcBorders>
          </w:tcPr>
          <w:p w14:paraId="2D3337B7" w14:textId="4B127099" w:rsidR="005E399A" w:rsidRPr="00AB2F4F" w:rsidRDefault="00E35F86" w:rsidP="00AB1DCE">
            <w:pPr>
              <w:rPr>
                <w:b/>
                <w:bCs/>
              </w:rPr>
            </w:pPr>
            <w:r w:rsidRPr="00E35F86">
              <w:rPr>
                <w:b/>
                <w:bCs/>
              </w:rPr>
              <w:t>Did the CoOL reforms achieve the objective of improving consumer understanding about the origins of their food?</w:t>
            </w:r>
          </w:p>
        </w:tc>
      </w:tr>
      <w:tr w:rsidR="00AE71AC" w14:paraId="15165BE2" w14:textId="77777777" w:rsidTr="000167E9">
        <w:tc>
          <w:tcPr>
            <w:tcW w:w="1134" w:type="dxa"/>
          </w:tcPr>
          <w:p w14:paraId="46D070E7" w14:textId="77777777" w:rsidR="00AE71AC" w:rsidRDefault="00AE71AC" w:rsidP="00AE71AC">
            <w:r>
              <w:t>16</w:t>
            </w:r>
          </w:p>
        </w:tc>
        <w:tc>
          <w:tcPr>
            <w:tcW w:w="7892" w:type="dxa"/>
          </w:tcPr>
          <w:p w14:paraId="458832EC" w14:textId="5076E707" w:rsidR="00AE71AC" w:rsidRDefault="00AE71AC" w:rsidP="00AE71AC">
            <w:pPr>
              <w:pStyle w:val="ListBullet"/>
              <w:numPr>
                <w:ilvl w:val="0"/>
                <w:numId w:val="0"/>
              </w:numPr>
              <w:spacing w:after="170"/>
            </w:pPr>
            <w:r w:rsidRPr="00F977D1">
              <w:t xml:space="preserve">The CoOL reforms are almost certain to have improved consumer understanding about the origins of their food to some degree. This is because the </w:t>
            </w:r>
            <w:r w:rsidR="00E670FE">
              <w:t>scheme</w:t>
            </w:r>
            <w:r w:rsidRPr="00F977D1">
              <w:t xml:space="preserve"> now provides more information</w:t>
            </w:r>
            <w:r w:rsidR="003041FA">
              <w:t>,</w:t>
            </w:r>
            <w:r w:rsidRPr="00F977D1">
              <w:t xml:space="preserve"> which is of higher quality (less prone to misleading claims) in a more consistent manner across a wide range of products.</w:t>
            </w:r>
            <w:r w:rsidRPr="00E53797">
              <w:rPr>
                <w:rFonts w:asciiTheme="majorHAnsi" w:hAnsiTheme="majorHAnsi"/>
                <w:lang w:eastAsia="en-AU"/>
              </w:rPr>
              <w:t xml:space="preserve"> </w:t>
            </w:r>
          </w:p>
        </w:tc>
      </w:tr>
      <w:tr w:rsidR="00AE71AC" w14:paraId="11592C10" w14:textId="77777777" w:rsidTr="000167E9">
        <w:tc>
          <w:tcPr>
            <w:tcW w:w="1134" w:type="dxa"/>
          </w:tcPr>
          <w:p w14:paraId="15CF9FE8" w14:textId="77777777" w:rsidR="00AE71AC" w:rsidRDefault="00AE71AC" w:rsidP="00AE71AC">
            <w:r>
              <w:lastRenderedPageBreak/>
              <w:t>17</w:t>
            </w:r>
          </w:p>
        </w:tc>
        <w:tc>
          <w:tcPr>
            <w:tcW w:w="7892" w:type="dxa"/>
          </w:tcPr>
          <w:p w14:paraId="5936409A" w14:textId="77777777" w:rsidR="00AE71AC" w:rsidRDefault="00AE71AC" w:rsidP="00AE71AC">
            <w:pPr>
              <w:pStyle w:val="ListBullet"/>
              <w:numPr>
                <w:ilvl w:val="0"/>
                <w:numId w:val="0"/>
              </w:numPr>
              <w:spacing w:after="170"/>
            </w:pPr>
            <w:r>
              <w:t>S</w:t>
            </w:r>
            <w:r w:rsidRPr="00F977D1">
              <w:t xml:space="preserve">ignificant areas of uncertainty remain, driven in part by factors that are a legacy of the previous </w:t>
            </w:r>
            <w:r w:rsidR="00E670FE">
              <w:t>scheme</w:t>
            </w:r>
            <w:r w:rsidRPr="00F977D1">
              <w:t xml:space="preserve"> and partly by the variability in consumer preferences and interpretation of the information provided. </w:t>
            </w:r>
          </w:p>
        </w:tc>
      </w:tr>
      <w:tr w:rsidR="00AE71AC" w14:paraId="357FF3DD" w14:textId="77777777" w:rsidTr="000167E9">
        <w:tc>
          <w:tcPr>
            <w:tcW w:w="1134" w:type="dxa"/>
          </w:tcPr>
          <w:p w14:paraId="24FC2CAB" w14:textId="77777777" w:rsidR="00AE71AC" w:rsidRDefault="00AE71AC" w:rsidP="00AE71AC">
            <w:r>
              <w:t>18</w:t>
            </w:r>
          </w:p>
        </w:tc>
        <w:tc>
          <w:tcPr>
            <w:tcW w:w="7892" w:type="dxa"/>
          </w:tcPr>
          <w:p w14:paraId="794A6134" w14:textId="77777777" w:rsidR="00AE71AC" w:rsidRDefault="00AE71AC" w:rsidP="00AE71AC">
            <w:pPr>
              <w:pStyle w:val="ListBullet"/>
              <w:numPr>
                <w:ilvl w:val="0"/>
                <w:numId w:val="0"/>
              </w:numPr>
              <w:spacing w:after="170"/>
              <w:ind w:left="-6" w:firstLine="6"/>
            </w:pPr>
            <w:r w:rsidRPr="00654CDA">
              <w:t xml:space="preserve">While </w:t>
            </w:r>
            <w:r>
              <w:t xml:space="preserve">many </w:t>
            </w:r>
            <w:r w:rsidRPr="00654CDA">
              <w:t xml:space="preserve">consumers report </w:t>
            </w:r>
            <w:r>
              <w:t>to</w:t>
            </w:r>
            <w:r w:rsidRPr="00654CDA">
              <w:t xml:space="preserve"> understan</w:t>
            </w:r>
            <w:r>
              <w:t>d</w:t>
            </w:r>
            <w:r w:rsidRPr="00654CDA">
              <w:t xml:space="preserve"> the</w:t>
            </w:r>
            <w:r>
              <w:t xml:space="preserve"> labels, there is in fact widespread misinterpretation of the information presented. </w:t>
            </w:r>
          </w:p>
        </w:tc>
      </w:tr>
    </w:tbl>
    <w:p w14:paraId="08BB3563" w14:textId="77777777" w:rsidR="00172A6B" w:rsidRDefault="00034A4C" w:rsidP="00172A6B">
      <w:pPr>
        <w:pStyle w:val="Heading2"/>
      </w:pPr>
      <w:bookmarkStart w:id="232" w:name="_Toc66774355"/>
      <w:bookmarkStart w:id="233" w:name="_Ref71198324"/>
      <w:bookmarkStart w:id="234" w:name="_Toc67499083"/>
      <w:bookmarkStart w:id="235" w:name="_Toc94702056"/>
      <w:bookmarkEnd w:id="232"/>
      <w:r>
        <w:t>D</w:t>
      </w:r>
      <w:r w:rsidR="00172A6B" w:rsidRPr="008B1D5D">
        <w:t>ifferentiation between priority and non-priority foods</w:t>
      </w:r>
      <w:bookmarkEnd w:id="233"/>
      <w:bookmarkEnd w:id="235"/>
      <w:r w:rsidR="00172A6B" w:rsidRPr="008B1D5D">
        <w:t xml:space="preserve"> </w:t>
      </w:r>
      <w:bookmarkEnd w:id="234"/>
    </w:p>
    <w:p w14:paraId="10FBD11D" w14:textId="0C541724" w:rsidR="00172A6B" w:rsidRDefault="00172A6B" w:rsidP="00172A6B">
      <w:pPr>
        <w:spacing w:after="120" w:line="276" w:lineRule="auto"/>
      </w:pPr>
      <w:r w:rsidRPr="00650048">
        <w:t>The distinction between priority and non-priority foods was introduced to reduce regulatory burden</w:t>
      </w:r>
      <w:r>
        <w:t xml:space="preserve"> in relation to products where consumers have less interest in CoOL information. Non-priority foods are not exempt</w:t>
      </w:r>
      <w:r w:rsidR="00852C94">
        <w:t>,</w:t>
      </w:r>
      <w:r>
        <w:t xml:space="preserve"> but have</w:t>
      </w:r>
      <w:r w:rsidR="00FD2DD8">
        <w:t xml:space="preserve"> fewer</w:t>
      </w:r>
      <w:r>
        <w:t xml:space="preserve"> labelling requirements. Our examination of evaluation question 8 considers whether this distinction continues to meet consumer needs.</w:t>
      </w:r>
    </w:p>
    <w:p w14:paraId="2791F737" w14:textId="6F8109AD" w:rsidR="00172A6B" w:rsidRPr="00EF3E06" w:rsidRDefault="00172A6B" w:rsidP="00172A6B">
      <w:pPr>
        <w:pStyle w:val="Heading3"/>
        <w:rPr>
          <w:rFonts w:eastAsia="Times New Roman" w:cs="Arial"/>
          <w:kern w:val="24"/>
          <w:lang w:eastAsia="en-AU"/>
        </w:rPr>
      </w:pPr>
      <w:bookmarkStart w:id="236" w:name="_Toc67499084"/>
      <w:r>
        <w:rPr>
          <w:rFonts w:eastAsia="Times New Roman" w:cs="Arial"/>
          <w:kern w:val="24"/>
          <w:lang w:eastAsia="en-AU"/>
        </w:rPr>
        <w:t>Two</w:t>
      </w:r>
      <w:r w:rsidR="00E04640">
        <w:rPr>
          <w:rFonts w:eastAsia="Times New Roman" w:cs="Arial"/>
          <w:kern w:val="24"/>
          <w:lang w:eastAsia="en-AU"/>
        </w:rPr>
        <w:t>-</w:t>
      </w:r>
      <w:r>
        <w:rPr>
          <w:rFonts w:eastAsia="Times New Roman" w:cs="Arial"/>
          <w:kern w:val="24"/>
          <w:lang w:eastAsia="en-AU"/>
        </w:rPr>
        <w:t>fifths of</w:t>
      </w:r>
      <w:r w:rsidRPr="00EF3E06">
        <w:rPr>
          <w:rFonts w:eastAsia="Times New Roman" w:cs="Arial"/>
          <w:kern w:val="24"/>
          <w:lang w:eastAsia="en-AU"/>
        </w:rPr>
        <w:t xml:space="preserve"> consumers</w:t>
      </w:r>
      <w:r>
        <w:rPr>
          <w:rFonts w:eastAsia="Times New Roman" w:cs="Arial"/>
          <w:kern w:val="24"/>
          <w:lang w:eastAsia="en-AU"/>
        </w:rPr>
        <w:t xml:space="preserve"> </w:t>
      </w:r>
      <w:r w:rsidRPr="00EF3E06">
        <w:rPr>
          <w:rFonts w:eastAsia="Times New Roman" w:cs="Arial"/>
          <w:kern w:val="24"/>
          <w:lang w:eastAsia="en-AU"/>
        </w:rPr>
        <w:t>sought more origin information on non-priority products</w:t>
      </w:r>
      <w:bookmarkEnd w:id="236"/>
    </w:p>
    <w:p w14:paraId="2DEB59DB" w14:textId="2A9E2138" w:rsidR="00172A6B" w:rsidRPr="00E17813" w:rsidRDefault="00172A6B" w:rsidP="00172A6B">
      <w:pPr>
        <w:spacing w:after="120" w:line="276" w:lineRule="auto"/>
        <w:rPr>
          <w:rFonts w:eastAsia="Verdana" w:cs="Verdana"/>
          <w:color w:val="000000" w:themeColor="text1"/>
        </w:rPr>
      </w:pPr>
      <w:r>
        <w:t>Submissions by consumer peak bodies and groups</w:t>
      </w:r>
      <w:r w:rsidR="00325BD6">
        <w:t>,</w:t>
      </w:r>
      <w:r>
        <w:t xml:space="preserve"> such as CHOICE and the </w:t>
      </w:r>
      <w:r w:rsidR="00325BD6" w:rsidRPr="00325BD6">
        <w:t xml:space="preserve">Consumers’ Federation of Australia </w:t>
      </w:r>
      <w:r w:rsidR="00325BD6">
        <w:t>(</w:t>
      </w:r>
      <w:r>
        <w:t>CFA</w:t>
      </w:r>
      <w:r w:rsidR="00325BD6">
        <w:t>),</w:t>
      </w:r>
      <w:r>
        <w:t xml:space="preserve"> suggest that consumers support remov</w:t>
      </w:r>
      <w:r w:rsidR="005C01CE">
        <w:t>ing</w:t>
      </w:r>
      <w:r>
        <w:t xml:space="preserve"> the non-priority classification in order to provide improved information and consistency. </w:t>
      </w:r>
      <w:r w:rsidR="000215FF">
        <w:rPr>
          <w:color w:val="000000" w:themeColor="text1"/>
        </w:rPr>
        <w:t>Forty per</w:t>
      </w:r>
      <w:r w:rsidR="00DD68A4">
        <w:rPr>
          <w:color w:val="000000" w:themeColor="text1"/>
        </w:rPr>
        <w:t xml:space="preserve"> </w:t>
      </w:r>
      <w:r w:rsidR="000215FF">
        <w:rPr>
          <w:color w:val="000000" w:themeColor="text1"/>
        </w:rPr>
        <w:t>cent</w:t>
      </w:r>
      <w:r w:rsidR="008D524F">
        <w:rPr>
          <w:color w:val="000000" w:themeColor="text1"/>
        </w:rPr>
        <w:t xml:space="preserve"> of respondents to the consumer survey reported that</w:t>
      </w:r>
      <w:r w:rsidRPr="00E17813">
        <w:rPr>
          <w:rFonts w:eastAsia="Verdana" w:cs="Verdana"/>
          <w:color w:val="000000" w:themeColor="text1"/>
        </w:rPr>
        <w:t xml:space="preserve"> the differentiation between priority and non-priority foods does not continue to meet their expectations, </w:t>
      </w:r>
      <w:r>
        <w:rPr>
          <w:rFonts w:eastAsia="Verdana" w:cs="Verdana"/>
          <w:color w:val="000000" w:themeColor="text1"/>
        </w:rPr>
        <w:t>where those consumers identified</w:t>
      </w:r>
      <w:r w:rsidRPr="00E17813">
        <w:rPr>
          <w:rFonts w:eastAsia="Verdana" w:cs="Verdana"/>
          <w:color w:val="000000" w:themeColor="text1"/>
        </w:rPr>
        <w:t xml:space="preserve"> at least one type of non-priority food for which they would like more country of origin information. </w:t>
      </w:r>
    </w:p>
    <w:p w14:paraId="2A84E7CB" w14:textId="5C849EC0" w:rsidR="00984A72" w:rsidRDefault="00984A72" w:rsidP="00984A72">
      <w:pPr>
        <w:spacing w:after="120" w:line="276" w:lineRule="auto"/>
        <w:rPr>
          <w:color w:val="000000" w:themeColor="text1"/>
        </w:rPr>
      </w:pPr>
      <w:r w:rsidRPr="00E17813">
        <w:rPr>
          <w:color w:val="000000" w:themeColor="text1"/>
        </w:rPr>
        <w:t xml:space="preserve">Consumer support for non-priority </w:t>
      </w:r>
      <w:r>
        <w:rPr>
          <w:color w:val="000000" w:themeColor="text1"/>
        </w:rPr>
        <w:t>origin</w:t>
      </w:r>
      <w:r w:rsidRPr="00E17813">
        <w:rPr>
          <w:color w:val="000000" w:themeColor="text1"/>
        </w:rPr>
        <w:t xml:space="preserve"> information </w:t>
      </w:r>
      <w:r>
        <w:rPr>
          <w:color w:val="000000" w:themeColor="text1"/>
        </w:rPr>
        <w:t>is</w:t>
      </w:r>
      <w:r w:rsidRPr="00E17813">
        <w:rPr>
          <w:color w:val="000000" w:themeColor="text1"/>
        </w:rPr>
        <w:t xml:space="preserve"> due to a variety of reasons</w:t>
      </w:r>
      <w:r>
        <w:rPr>
          <w:color w:val="000000" w:themeColor="text1"/>
        </w:rPr>
        <w:t>, with the most common being the desire for consistency</w:t>
      </w:r>
      <w:r w:rsidRPr="00E17813">
        <w:rPr>
          <w:color w:val="000000" w:themeColor="text1"/>
        </w:rPr>
        <w:t xml:space="preserve">. Of all consumers who would prefer a change to the distinction of priority products, the </w:t>
      </w:r>
      <w:r>
        <w:rPr>
          <w:color w:val="000000" w:themeColor="text1"/>
        </w:rPr>
        <w:t xml:space="preserve">most common </w:t>
      </w:r>
      <w:r w:rsidRPr="00E17813">
        <w:rPr>
          <w:color w:val="000000" w:themeColor="text1"/>
        </w:rPr>
        <w:t xml:space="preserve">reason for this </w:t>
      </w:r>
      <w:r>
        <w:rPr>
          <w:color w:val="000000" w:themeColor="text1"/>
        </w:rPr>
        <w:t>(</w:t>
      </w:r>
      <w:r w:rsidRPr="00E17813">
        <w:rPr>
          <w:color w:val="000000" w:themeColor="text1"/>
        </w:rPr>
        <w:t>as identified by 33</w:t>
      </w:r>
      <w:r>
        <w:rPr>
          <w:color w:val="000000" w:themeColor="text1"/>
        </w:rPr>
        <w:t>%</w:t>
      </w:r>
      <w:r w:rsidRPr="00E17813">
        <w:rPr>
          <w:color w:val="000000" w:themeColor="text1"/>
        </w:rPr>
        <w:t xml:space="preserve"> of these consumers</w:t>
      </w:r>
      <w:r>
        <w:rPr>
          <w:color w:val="000000" w:themeColor="text1"/>
        </w:rPr>
        <w:t>)</w:t>
      </w:r>
      <w:r w:rsidRPr="00E17813">
        <w:rPr>
          <w:color w:val="000000" w:themeColor="text1"/>
        </w:rPr>
        <w:t xml:space="preserve"> was that there should be no differentiation between non-priority products and all consumable products should have </w:t>
      </w:r>
      <w:r>
        <w:rPr>
          <w:color w:val="000000" w:themeColor="text1"/>
        </w:rPr>
        <w:t xml:space="preserve">(the same) </w:t>
      </w:r>
      <w:r w:rsidRPr="00E17813">
        <w:rPr>
          <w:color w:val="000000" w:themeColor="text1"/>
        </w:rPr>
        <w:t xml:space="preserve">CoOL information. </w:t>
      </w:r>
      <w:r>
        <w:rPr>
          <w:color w:val="000000" w:themeColor="text1"/>
        </w:rPr>
        <w:t>For a</w:t>
      </w:r>
      <w:r w:rsidRPr="00E17813">
        <w:rPr>
          <w:color w:val="000000" w:themeColor="text1"/>
        </w:rPr>
        <w:t>nother 17</w:t>
      </w:r>
      <w:r>
        <w:rPr>
          <w:color w:val="000000" w:themeColor="text1"/>
        </w:rPr>
        <w:t>%</w:t>
      </w:r>
      <w:r w:rsidRPr="00E17813">
        <w:rPr>
          <w:color w:val="000000" w:themeColor="text1"/>
        </w:rPr>
        <w:t xml:space="preserve"> of t</w:t>
      </w:r>
      <w:r>
        <w:rPr>
          <w:color w:val="000000" w:themeColor="text1"/>
        </w:rPr>
        <w:t>hese</w:t>
      </w:r>
      <w:r w:rsidRPr="00E17813">
        <w:rPr>
          <w:color w:val="000000" w:themeColor="text1"/>
        </w:rPr>
        <w:t xml:space="preserve"> consumers</w:t>
      </w:r>
      <w:r>
        <w:rPr>
          <w:color w:val="000000" w:themeColor="text1"/>
        </w:rPr>
        <w:t>, the reason provided was greater</w:t>
      </w:r>
      <w:r w:rsidRPr="00E17813">
        <w:rPr>
          <w:color w:val="000000" w:themeColor="text1"/>
        </w:rPr>
        <w:t xml:space="preserve"> </w:t>
      </w:r>
      <w:r w:rsidRPr="00537921">
        <w:rPr>
          <w:iCs/>
          <w:color w:val="000000" w:themeColor="text1"/>
        </w:rPr>
        <w:t xml:space="preserve">transparency </w:t>
      </w:r>
      <w:r w:rsidRPr="00E17813">
        <w:rPr>
          <w:color w:val="000000" w:themeColor="text1"/>
        </w:rPr>
        <w:t xml:space="preserve">relating to the origin of all products. Other consumers </w:t>
      </w:r>
      <w:r>
        <w:rPr>
          <w:color w:val="000000" w:themeColor="text1"/>
        </w:rPr>
        <w:t xml:space="preserve">indicated that </w:t>
      </w:r>
      <w:r w:rsidRPr="00E17813">
        <w:rPr>
          <w:color w:val="000000" w:themeColor="text1"/>
        </w:rPr>
        <w:t xml:space="preserve">they </w:t>
      </w:r>
      <w:r>
        <w:rPr>
          <w:color w:val="000000" w:themeColor="text1"/>
        </w:rPr>
        <w:t xml:space="preserve">sought the </w:t>
      </w:r>
      <w:r w:rsidRPr="00E17813">
        <w:rPr>
          <w:color w:val="000000" w:themeColor="text1"/>
        </w:rPr>
        <w:t xml:space="preserve">information for non-priority products to </w:t>
      </w:r>
      <w:r>
        <w:rPr>
          <w:color w:val="000000" w:themeColor="text1"/>
        </w:rPr>
        <w:t xml:space="preserve">enable them to </w:t>
      </w:r>
      <w:r w:rsidRPr="00E17813">
        <w:rPr>
          <w:color w:val="000000" w:themeColor="text1"/>
        </w:rPr>
        <w:t xml:space="preserve">support Australian products or avoid products from other countries. </w:t>
      </w:r>
    </w:p>
    <w:p w14:paraId="747C9E4A" w14:textId="088B479B" w:rsidR="000D14DD" w:rsidRPr="005D77F8" w:rsidRDefault="00172A6B" w:rsidP="005D77F8">
      <w:pPr>
        <w:spacing w:after="120" w:line="276" w:lineRule="auto"/>
        <w:rPr>
          <w:rFonts w:eastAsia="Times New Roman" w:cs="Arial"/>
          <w:color w:val="000000" w:themeColor="text1"/>
          <w:kern w:val="24"/>
          <w:lang w:eastAsia="en-AU"/>
        </w:rPr>
      </w:pPr>
      <w:r w:rsidRPr="00E17813">
        <w:rPr>
          <w:rFonts w:eastAsia="Verdana" w:cs="Verdana"/>
          <w:color w:val="000000" w:themeColor="text1"/>
        </w:rPr>
        <w:t xml:space="preserve">Consumer support for </w:t>
      </w:r>
      <w:r>
        <w:rPr>
          <w:rFonts w:eastAsia="Verdana" w:cs="Verdana"/>
          <w:color w:val="000000" w:themeColor="text1"/>
        </w:rPr>
        <w:t xml:space="preserve">greater origin information on </w:t>
      </w:r>
      <w:r w:rsidRPr="00E17813">
        <w:rPr>
          <w:rFonts w:eastAsia="Verdana" w:cs="Verdana"/>
          <w:color w:val="000000" w:themeColor="text1"/>
        </w:rPr>
        <w:t>non-priority product</w:t>
      </w:r>
      <w:r w:rsidR="005349D1">
        <w:rPr>
          <w:rFonts w:eastAsia="Verdana" w:cs="Verdana"/>
          <w:color w:val="000000" w:themeColor="text1"/>
        </w:rPr>
        <w:t>s</w:t>
      </w:r>
      <w:r w:rsidRPr="00E17813">
        <w:rPr>
          <w:rFonts w:eastAsia="Verdana" w:cs="Verdana"/>
          <w:color w:val="000000" w:themeColor="text1"/>
        </w:rPr>
        <w:t xml:space="preserve"> is strongest for non-beverage products</w:t>
      </w:r>
      <w:r w:rsidR="00E01717">
        <w:rPr>
          <w:rFonts w:eastAsia="Verdana" w:cs="Verdana"/>
          <w:color w:val="000000" w:themeColor="text1"/>
        </w:rPr>
        <w:t>,</w:t>
      </w:r>
      <w:r w:rsidRPr="00E17813">
        <w:rPr>
          <w:rFonts w:eastAsia="Verdana" w:cs="Verdana"/>
          <w:color w:val="000000" w:themeColor="text1"/>
        </w:rPr>
        <w:t xml:space="preserve"> such as </w:t>
      </w:r>
      <w:r w:rsidRPr="00E17813">
        <w:rPr>
          <w:rFonts w:eastAsia="Times New Roman" w:cs="Arial"/>
          <w:color w:val="000000" w:themeColor="text1"/>
          <w:kern w:val="24"/>
          <w:lang w:eastAsia="en-AU"/>
        </w:rPr>
        <w:t>biscuits and snack food, tea and coffee, and confectionary</w:t>
      </w:r>
      <w:r>
        <w:rPr>
          <w:rFonts w:eastAsia="Times New Roman" w:cs="Arial"/>
          <w:color w:val="000000" w:themeColor="text1"/>
          <w:kern w:val="24"/>
          <w:lang w:eastAsia="en-AU"/>
        </w:rPr>
        <w:t>.</w:t>
      </w:r>
      <w:r w:rsidR="005D77F8">
        <w:rPr>
          <w:rFonts w:eastAsia="Times New Roman" w:cs="Arial"/>
          <w:color w:val="000000" w:themeColor="text1"/>
          <w:kern w:val="24"/>
          <w:lang w:eastAsia="en-AU"/>
        </w:rPr>
        <w:t xml:space="preserve"> </w:t>
      </w:r>
      <w:r w:rsidR="000D14DD">
        <w:t>One non-priority product category which was notably different was alcohol</w:t>
      </w:r>
      <w:r w:rsidR="00FF20A6">
        <w:t xml:space="preserve">, for </w:t>
      </w:r>
      <w:r w:rsidR="000D14DD">
        <w:t>which consumers</w:t>
      </w:r>
      <w:r w:rsidR="00FF20A6">
        <w:t xml:space="preserve"> were least likely to</w:t>
      </w:r>
      <w:r w:rsidR="000D14DD">
        <w:t xml:space="preserve"> </w:t>
      </w:r>
      <w:r w:rsidR="00FF20A6">
        <w:t xml:space="preserve">want </w:t>
      </w:r>
      <w:r w:rsidR="000D14DD">
        <w:t xml:space="preserve">more information (see </w:t>
      </w:r>
      <w:r w:rsidR="006F13F1">
        <w:fldChar w:fldCharType="begin"/>
      </w:r>
      <w:r w:rsidR="006F13F1">
        <w:instrText xml:space="preserve"> REF _Ref67318858 \r \h </w:instrText>
      </w:r>
      <w:r w:rsidR="006F13F1">
        <w:fldChar w:fldCharType="separate"/>
      </w:r>
      <w:r w:rsidR="0017363C">
        <w:t>Chart 4.9</w:t>
      </w:r>
      <w:r w:rsidR="006F13F1">
        <w:fldChar w:fldCharType="end"/>
      </w:r>
      <w:r w:rsidR="00840680">
        <w:t>)</w:t>
      </w:r>
      <w:r w:rsidR="00FF20A6">
        <w:t>.</w:t>
      </w:r>
      <w:r w:rsidR="00A534FF">
        <w:t xml:space="preserve"> </w:t>
      </w:r>
      <w:r w:rsidR="00FF20A6">
        <w:t>B</w:t>
      </w:r>
      <w:r w:rsidR="000D14DD">
        <w:t xml:space="preserve">usinesses noted that alcohol is already subject to substantial labelling </w:t>
      </w:r>
      <w:r w:rsidR="000D14DD" w:rsidRPr="008649BA">
        <w:t>regulations</w:t>
      </w:r>
      <w:r w:rsidR="007C2AFD">
        <w:t>,</w:t>
      </w:r>
      <w:r w:rsidR="000D14DD" w:rsidRPr="008649BA">
        <w:t xml:space="preserve"> and</w:t>
      </w:r>
      <w:r w:rsidR="00FF20A6">
        <w:t xml:space="preserve"> some inf</w:t>
      </w:r>
      <w:r w:rsidR="00FF20A6" w:rsidRPr="008649BA">
        <w:t>ormation on</w:t>
      </w:r>
      <w:r w:rsidR="00FF20A6">
        <w:t xml:space="preserve"> origin</w:t>
      </w:r>
      <w:r w:rsidR="00FF20A6" w:rsidRPr="008649BA">
        <w:t xml:space="preserve"> labelling </w:t>
      </w:r>
      <w:r w:rsidR="00FF20A6">
        <w:t xml:space="preserve">is already provided </w:t>
      </w:r>
      <w:r w:rsidR="00FF20A6" w:rsidRPr="008649BA">
        <w:t>as part of its own industry</w:t>
      </w:r>
      <w:r w:rsidR="00FF20A6">
        <w:t xml:space="preserve"> standards.</w:t>
      </w:r>
      <w:r w:rsidR="00250AC8">
        <w:t xml:space="preserve"> </w:t>
      </w:r>
    </w:p>
    <w:p w14:paraId="6BD16B06" w14:textId="77777777" w:rsidR="00172A6B" w:rsidRPr="00882DA7" w:rsidRDefault="00172A6B" w:rsidP="00172A6B">
      <w:pPr>
        <w:pStyle w:val="CaptionChart"/>
      </w:pPr>
      <w:bookmarkStart w:id="237" w:name="_Ref67318858"/>
      <w:bookmarkStart w:id="238" w:name="_Toc82590349"/>
      <w:r>
        <w:lastRenderedPageBreak/>
        <w:t>: Level of consumer support for more country of origin information on non-priority products, by product type</w:t>
      </w:r>
      <w:bookmarkEnd w:id="237"/>
      <w:bookmarkEnd w:id="238"/>
    </w:p>
    <w:p w14:paraId="771120CD" w14:textId="753D3990" w:rsidR="00610B10" w:rsidRDefault="00436CFA" w:rsidP="00D336B2">
      <w:pPr>
        <w:rPr>
          <w:color w:val="75787B" w:themeColor="accent6"/>
          <w:sz w:val="14"/>
          <w:szCs w:val="14"/>
        </w:rPr>
      </w:pPr>
      <w:r w:rsidRPr="00436CFA">
        <w:rPr>
          <w:noProof/>
          <w:lang w:eastAsia="en-AU"/>
        </w:rPr>
        <w:drawing>
          <wp:inline distT="0" distB="0" distL="0" distR="0" wp14:anchorId="6CF7D347" wp14:editId="053F69D7">
            <wp:extent cx="5705652" cy="3227892"/>
            <wp:effectExtent l="0" t="0" r="0" b="0"/>
            <wp:docPr id="42" name="Picture 42" descr="Findings are: biscuits/snack foods (83%), tea and coffee (75%), confectionary (73%), seasoning (67%), botted water (67%), soft drinks/sport drinks (64%) and alcoholic beverage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ndings are: biscuits/snack foods (83%), tea and coffee (75%), confectionary (73%), seasoning (67%), botted water (67%), soft drinks/sport drinks (64%) and alcoholic beverages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9771" cy="3235879"/>
                    </a:xfrm>
                    <a:prstGeom prst="rect">
                      <a:avLst/>
                    </a:prstGeom>
                    <a:noFill/>
                    <a:ln>
                      <a:noFill/>
                    </a:ln>
                  </pic:spPr>
                </pic:pic>
              </a:graphicData>
            </a:graphic>
          </wp:inline>
        </w:drawing>
      </w:r>
    </w:p>
    <w:p w14:paraId="5C03C5FB" w14:textId="1230D968" w:rsidR="00172A6B" w:rsidRPr="000844E1" w:rsidRDefault="00172A6B" w:rsidP="00D336B2">
      <w:pPr>
        <w:rPr>
          <w:color w:val="75787B" w:themeColor="accent6"/>
          <w:sz w:val="14"/>
        </w:rPr>
      </w:pPr>
      <w:r w:rsidRPr="0071405B">
        <w:rPr>
          <w:color w:val="012169" w:themeColor="accent4"/>
          <w:sz w:val="14"/>
          <w:szCs w:val="14"/>
        </w:rPr>
        <w:t>Source: Deloitte Access Economics’ national consumer survey (2020).</w:t>
      </w:r>
    </w:p>
    <w:p w14:paraId="17CF1151" w14:textId="77777777" w:rsidR="00172A6B" w:rsidRPr="00E53797" w:rsidRDefault="00172A6B" w:rsidP="00172A6B">
      <w:pPr>
        <w:pStyle w:val="Heading3"/>
        <w:rPr>
          <w:rFonts w:eastAsia="Times New Roman" w:cs="Arial"/>
          <w:kern w:val="24"/>
          <w:lang w:eastAsia="en-AU"/>
        </w:rPr>
      </w:pPr>
      <w:bookmarkStart w:id="239" w:name="_Toc67499085"/>
      <w:r>
        <w:rPr>
          <w:rFonts w:eastAsia="Times New Roman" w:cs="Arial"/>
          <w:kern w:val="24"/>
          <w:lang w:eastAsia="en-AU"/>
        </w:rPr>
        <w:t>Minimal c</w:t>
      </w:r>
      <w:r w:rsidRPr="00E53797">
        <w:rPr>
          <w:rFonts w:eastAsia="Times New Roman" w:cs="Arial"/>
          <w:kern w:val="24"/>
          <w:lang w:eastAsia="en-AU"/>
        </w:rPr>
        <w:t xml:space="preserve">onsumer-initiated discussion on </w:t>
      </w:r>
      <w:r>
        <w:rPr>
          <w:rFonts w:eastAsia="Times New Roman" w:cs="Arial"/>
          <w:kern w:val="24"/>
          <w:lang w:eastAsia="en-AU"/>
        </w:rPr>
        <w:t xml:space="preserve">origin labelling of </w:t>
      </w:r>
      <w:r w:rsidRPr="00E53797">
        <w:rPr>
          <w:rFonts w:eastAsia="Times New Roman" w:cs="Arial"/>
          <w:kern w:val="24"/>
          <w:lang w:eastAsia="en-AU"/>
        </w:rPr>
        <w:t>non-priority food</w:t>
      </w:r>
      <w:r>
        <w:rPr>
          <w:rFonts w:eastAsia="Times New Roman" w:cs="Arial"/>
          <w:kern w:val="24"/>
          <w:lang w:eastAsia="en-AU"/>
        </w:rPr>
        <w:t>s</w:t>
      </w:r>
      <w:bookmarkEnd w:id="239"/>
      <w:r w:rsidRPr="00E53797">
        <w:rPr>
          <w:rFonts w:eastAsia="Times New Roman" w:cs="Arial"/>
          <w:kern w:val="24"/>
          <w:lang w:eastAsia="en-AU"/>
        </w:rPr>
        <w:t xml:space="preserve"> </w:t>
      </w:r>
    </w:p>
    <w:p w14:paraId="7DD80FD0" w14:textId="75252F11" w:rsidR="00172A6B" w:rsidRDefault="00172A6B" w:rsidP="00172A6B">
      <w:pPr>
        <w:spacing w:after="120" w:line="276" w:lineRule="auto"/>
      </w:pPr>
      <w:r w:rsidRPr="00E17813">
        <w:t>In the consumer focus groups, consumer-initiated discussion about the extension of the scheme to non-priority foods was minimal</w:t>
      </w:r>
      <w:r w:rsidR="000B5B51">
        <w:t>,</w:t>
      </w:r>
      <w:r>
        <w:t xml:space="preserve"> suggesting that (when unprompted by a direct question) the desire for more information on non-priority products was not strong.</w:t>
      </w:r>
      <w:r w:rsidRPr="00E17813">
        <w:t xml:space="preserve"> </w:t>
      </w:r>
      <w:r>
        <w:t xml:space="preserve">However, </w:t>
      </w:r>
      <w:r w:rsidRPr="00E17813">
        <w:t xml:space="preserve">when asked about the </w:t>
      </w:r>
      <w:r>
        <w:t>removal of the distinction</w:t>
      </w:r>
      <w:r w:rsidRPr="00E17813">
        <w:t>, consumers tended to respond in favour of the extension</w:t>
      </w:r>
      <w:r w:rsidR="00000AF5">
        <w:t>, although</w:t>
      </w:r>
      <w:r w:rsidRPr="00E17813">
        <w:t xml:space="preserve"> consumers </w:t>
      </w:r>
      <w:r>
        <w:t>often appeared to be influenced by</w:t>
      </w:r>
      <w:r w:rsidRPr="00E17813">
        <w:t xml:space="preserve"> previous respondents.</w:t>
      </w:r>
    </w:p>
    <w:p w14:paraId="64E39206" w14:textId="66A27959" w:rsidR="007B0D81" w:rsidRPr="00E17813" w:rsidRDefault="00155FCF" w:rsidP="007B0D81">
      <w:pPr>
        <w:spacing w:after="120" w:line="276" w:lineRule="auto"/>
      </w:pPr>
      <w:r>
        <w:t xml:space="preserve">Many </w:t>
      </w:r>
      <w:r w:rsidR="007B0D81" w:rsidRPr="002C2467">
        <w:t>consumer focus group</w:t>
      </w:r>
      <w:r>
        <w:t xml:space="preserve"> participants</w:t>
      </w:r>
      <w:r w:rsidR="007B0D81" w:rsidRPr="002C2467">
        <w:t xml:space="preserve"> state</w:t>
      </w:r>
      <w:r>
        <w:t>d</w:t>
      </w:r>
      <w:r w:rsidR="007B0D81" w:rsidRPr="002C2467">
        <w:t xml:space="preserve"> that there were certain products where they had little or no interest in country of origin</w:t>
      </w:r>
      <w:r w:rsidR="00000AF5">
        <w:t xml:space="preserve"> information</w:t>
      </w:r>
      <w:r w:rsidR="007B0D81" w:rsidRPr="002C2467">
        <w:t>. Often these seemed to align with products currently deemed non-priority (e.g. confectionary and processed snack foods)</w:t>
      </w:r>
      <w:r w:rsidR="007B0D81" w:rsidRPr="00E17813">
        <w:t xml:space="preserve">. </w:t>
      </w:r>
    </w:p>
    <w:p w14:paraId="263F7739" w14:textId="3B0FF96A" w:rsidR="00172A6B" w:rsidRDefault="00172A6B" w:rsidP="00172A6B">
      <w:pPr>
        <w:pStyle w:val="Heading3"/>
      </w:pPr>
      <w:bookmarkStart w:id="240" w:name="_Toc67499086"/>
      <w:r>
        <w:t xml:space="preserve">Stakeholders </w:t>
      </w:r>
      <w:r w:rsidR="00173975">
        <w:t>including</w:t>
      </w:r>
      <w:r>
        <w:t xml:space="preserve"> consumers </w:t>
      </w:r>
      <w:r w:rsidR="00173975">
        <w:t>un</w:t>
      </w:r>
      <w:r>
        <w:t xml:space="preserve">clear </w:t>
      </w:r>
      <w:r w:rsidR="00173975">
        <w:t>about</w:t>
      </w:r>
      <w:r>
        <w:t xml:space="preserve"> rationale for </w:t>
      </w:r>
      <w:bookmarkEnd w:id="240"/>
      <w:r w:rsidR="00173975">
        <w:t>categories</w:t>
      </w:r>
    </w:p>
    <w:p w14:paraId="6BCD9CD9" w14:textId="2EFAB496" w:rsidR="00172A6B" w:rsidRDefault="00172A6B" w:rsidP="003623C4">
      <w:r w:rsidRPr="00E17813">
        <w:t xml:space="preserve">The sentiment </w:t>
      </w:r>
      <w:r w:rsidR="0077711F">
        <w:t>of</w:t>
      </w:r>
      <w:r w:rsidRPr="00E17813">
        <w:t xml:space="preserve"> businesses </w:t>
      </w:r>
      <w:r w:rsidR="0077711F">
        <w:t>as expressed in submissions</w:t>
      </w:r>
      <w:r w:rsidR="00C94365">
        <w:t xml:space="preserve"> was that they were unclear on the</w:t>
      </w:r>
      <w:r w:rsidRPr="00E17813">
        <w:t xml:space="preserve"> </w:t>
      </w:r>
      <w:r w:rsidR="00C94365" w:rsidRPr="00ED1A5B">
        <w:t>logic of non-priority foods</w:t>
      </w:r>
      <w:r w:rsidR="00C94365">
        <w:t xml:space="preserve">. </w:t>
      </w:r>
      <w:r w:rsidRPr="00E17813">
        <w:t xml:space="preserve">The National Retail Association </w:t>
      </w:r>
      <w:r>
        <w:t>(NRA)</w:t>
      </w:r>
      <w:r w:rsidRPr="00E17813">
        <w:t xml:space="preserve"> </w:t>
      </w:r>
      <w:r w:rsidR="0077711F">
        <w:t>state</w:t>
      </w:r>
      <w:r w:rsidRPr="00E17813">
        <w:t xml:space="preserve"> that the Australian regulations are unique in making the distinction between the </w:t>
      </w:r>
      <w:r w:rsidR="003E2D55">
        <w:t>two</w:t>
      </w:r>
      <w:r w:rsidR="003E2D55" w:rsidRPr="00E17813">
        <w:t xml:space="preserve"> </w:t>
      </w:r>
      <w:r w:rsidRPr="00E17813">
        <w:t xml:space="preserve">groups, and that other countries such as New Zealand do not </w:t>
      </w:r>
      <w:r>
        <w:t>do so</w:t>
      </w:r>
      <w:r w:rsidRPr="00E17813">
        <w:t xml:space="preserve">. </w:t>
      </w:r>
      <w:r w:rsidR="0077711F">
        <w:t>Other i</w:t>
      </w:r>
      <w:r w:rsidRPr="00E17813">
        <w:t xml:space="preserve">ndustry groups </w:t>
      </w:r>
      <w:r w:rsidR="0077711F">
        <w:t>echo the confusion of</w:t>
      </w:r>
      <w:r w:rsidRPr="00E17813">
        <w:t xml:space="preserve"> consumers</w:t>
      </w:r>
      <w:r w:rsidR="0077711F">
        <w:t xml:space="preserve"> around the rationale for the distinction</w:t>
      </w:r>
      <w:r w:rsidRPr="00E17813">
        <w:t xml:space="preserve">, such as </w:t>
      </w:r>
      <w:r w:rsidR="00EE1D08">
        <w:t xml:space="preserve">the </w:t>
      </w:r>
      <w:r w:rsidRPr="00E17813">
        <w:t>Australian Meat Industry Council</w:t>
      </w:r>
      <w:r w:rsidR="000F6013">
        <w:t xml:space="preserve"> (AMIC)</w:t>
      </w:r>
      <w:r w:rsidRPr="00E17813">
        <w:t xml:space="preserve">, who stated that the difference between </w:t>
      </w:r>
      <w:r>
        <w:t xml:space="preserve">priority and non-priority foods had not been communicated well. Groups including Australian Industry Group (Ai Group) and the </w:t>
      </w:r>
      <w:r w:rsidR="00B21711">
        <w:t xml:space="preserve">Australian Made Campaign </w:t>
      </w:r>
      <w:r w:rsidR="000F749B">
        <w:t xml:space="preserve">Limited </w:t>
      </w:r>
      <w:r w:rsidR="00B21711">
        <w:t>(</w:t>
      </w:r>
      <w:r>
        <w:t>AMCL</w:t>
      </w:r>
      <w:r w:rsidR="00B21711">
        <w:t>)</w:t>
      </w:r>
      <w:r>
        <w:t xml:space="preserve"> indicate that all foods should be subject to the CoOL regulations and abide by the requirements set on priority foods.</w:t>
      </w:r>
    </w:p>
    <w:p w14:paraId="4A071430" w14:textId="1468E9C7" w:rsidR="00172A6B" w:rsidRDefault="00172A6B" w:rsidP="003623C4">
      <w:pPr>
        <w:spacing w:after="120" w:line="276" w:lineRule="auto"/>
      </w:pPr>
      <w:r w:rsidRPr="00E17813">
        <w:t>Consumers also seem</w:t>
      </w:r>
      <w:r>
        <w:t>ed to be unclear about the nuances of the distinction, such as why biscuits and snack foods are non-priority products</w:t>
      </w:r>
      <w:r w:rsidR="00943ED9">
        <w:t>,</w:t>
      </w:r>
      <w:r>
        <w:t xml:space="preserve"> while cakes are considered a priority product. Another example of ambiguity provided in the submissions to DISER is confectionary items that might have fresh ingredients, such as chocolate ice-cream topping.</w:t>
      </w:r>
    </w:p>
    <w:p w14:paraId="0C9E49E3" w14:textId="77777777" w:rsidR="00172A6B" w:rsidRPr="00D553B0" w:rsidRDefault="00172A6B" w:rsidP="00172A6B">
      <w:pPr>
        <w:pStyle w:val="Heading3"/>
      </w:pPr>
      <w:bookmarkStart w:id="241" w:name="_Toc67499087"/>
      <w:r w:rsidRPr="00D553B0">
        <w:t xml:space="preserve">Clearer or lower burden </w:t>
      </w:r>
      <w:r>
        <w:t>distinction</w:t>
      </w:r>
      <w:r w:rsidRPr="00D553B0">
        <w:t xml:space="preserve"> of non-priority items may reduce regulatory burden</w:t>
      </w:r>
      <w:bookmarkEnd w:id="241"/>
      <w:r w:rsidRPr="00D553B0">
        <w:t xml:space="preserve"> </w:t>
      </w:r>
    </w:p>
    <w:p w14:paraId="77A91112" w14:textId="77777777" w:rsidR="00EC7752" w:rsidRPr="00685DDC" w:rsidRDefault="00172A6B" w:rsidP="00EC7752">
      <w:r>
        <w:t>While some stakeholders report that consumer research initially underpinned the differentiation between priority and non-priority foods, the</w:t>
      </w:r>
      <w:r w:rsidR="009D21A7">
        <w:t>se stakeholders</w:t>
      </w:r>
      <w:r>
        <w:t xml:space="preserve"> also report there has been ambiguity in the categorisation of priority and non-priority foods to work through. </w:t>
      </w:r>
      <w:r w:rsidR="00EC7752">
        <w:t>Some peak bodies representing primary producers</w:t>
      </w:r>
      <w:r w:rsidR="00EC7752" w:rsidRPr="00E53797">
        <w:t xml:space="preserve"> and </w:t>
      </w:r>
      <w:r w:rsidR="00EC7752">
        <w:t>industry</w:t>
      </w:r>
      <w:r w:rsidR="00EC7752" w:rsidRPr="00E53797">
        <w:t xml:space="preserve"> </w:t>
      </w:r>
      <w:r w:rsidR="00EC7752">
        <w:t xml:space="preserve">suggest </w:t>
      </w:r>
      <w:r w:rsidR="00EC7752" w:rsidRPr="00E53797">
        <w:t xml:space="preserve">that if the current distinction between </w:t>
      </w:r>
      <w:r w:rsidR="00EC7752" w:rsidRPr="00E53797">
        <w:lastRenderedPageBreak/>
        <w:t xml:space="preserve">priority and non-priority foods </w:t>
      </w:r>
      <w:r w:rsidR="00EC7752">
        <w:t xml:space="preserve">were to </w:t>
      </w:r>
      <w:r w:rsidR="00EC7752" w:rsidRPr="00E53797">
        <w:t xml:space="preserve">remain, an assessment of the types of foods under each category </w:t>
      </w:r>
      <w:r w:rsidR="00EC7752">
        <w:t>was needed</w:t>
      </w:r>
      <w:r w:rsidR="00EC7752" w:rsidRPr="00E53797">
        <w:t xml:space="preserve"> as this is often confusing for both industry members and consumers.</w:t>
      </w:r>
    </w:p>
    <w:p w14:paraId="23D36E7F" w14:textId="654AFECC" w:rsidR="00172A6B" w:rsidRPr="00685DDC" w:rsidRDefault="00172A6B" w:rsidP="00172A6B">
      <w:r w:rsidRPr="00E952CD">
        <w:t>A major food retailer has reported that the definition of non-priority foods remains ambiguous and inconsistent. As an example, the stakeholder pointed to the subjective nature of whether chocolate ice-cream topping fits within the definition of confectionary or elsewhere within the Information Standard. The stakeholder suggests that it is similarly hard to communicate to customers why biscuits and snack foods are non-priority items</w:t>
      </w:r>
      <w:r w:rsidRPr="00E53797">
        <w:t>,</w:t>
      </w:r>
      <w:r w:rsidRPr="00E952CD">
        <w:t xml:space="preserve"> for instance, while cakes are considered priority items.</w:t>
      </w:r>
      <w:r w:rsidRPr="001451B2">
        <w:t xml:space="preserve"> </w:t>
      </w:r>
      <w:r>
        <w:t xml:space="preserve">The </w:t>
      </w:r>
      <w:r>
        <w:rPr>
          <w:rFonts w:eastAsia="Verdana" w:cs="Verdana"/>
        </w:rPr>
        <w:t>AMIC</w:t>
      </w:r>
      <w:r w:rsidRPr="0044718D" w:rsidDel="00655677">
        <w:t xml:space="preserve"> </w:t>
      </w:r>
      <w:r w:rsidRPr="0044718D">
        <w:t>stated that the definitions for priority and non-priority foods are not clear</w:t>
      </w:r>
      <w:r>
        <w:t>.</w:t>
      </w:r>
    </w:p>
    <w:p w14:paraId="0142B164" w14:textId="07B06014" w:rsidR="00172A6B" w:rsidRDefault="00172A6B" w:rsidP="00172A6B">
      <w:r>
        <w:t xml:space="preserve">A manufacturer of snacks pointed out the difficulties </w:t>
      </w:r>
      <w:r w:rsidR="00572F05">
        <w:t>experienced</w:t>
      </w:r>
      <w:r>
        <w:t xml:space="preserve"> in distinguishing certain products as priority or non-priority product</w:t>
      </w:r>
      <w:r w:rsidR="0065103A">
        <w:t>s</w:t>
      </w:r>
      <w:r>
        <w:t xml:space="preserve">. </w:t>
      </w:r>
      <w:r w:rsidR="00B95097">
        <w:t xml:space="preserve">This </w:t>
      </w:r>
      <w:r>
        <w:t>included tr</w:t>
      </w:r>
      <w:r w:rsidR="00572F05">
        <w:t>ai</w:t>
      </w:r>
      <w:r>
        <w:t>l mixes</w:t>
      </w:r>
      <w:r w:rsidR="0065103A">
        <w:t>,</w:t>
      </w:r>
      <w:r>
        <w:t xml:space="preserve"> which had both chocolate and nut content, chocolate</w:t>
      </w:r>
      <w:r w:rsidR="0065103A">
        <w:t>-</w:t>
      </w:r>
      <w:r>
        <w:t>coated fruit bars and chocolate</w:t>
      </w:r>
      <w:r w:rsidR="0065103A">
        <w:t>-</w:t>
      </w:r>
      <w:r>
        <w:t xml:space="preserve">coated nuts. For these products, they had to be conservative and classify them as priority products </w:t>
      </w:r>
      <w:r w:rsidR="00B038AF">
        <w:t xml:space="preserve">because one of the components </w:t>
      </w:r>
      <w:r>
        <w:t xml:space="preserve">(e.g. the nuts or the fruit) was classified as a priority product. They emphasised the uncertainty in this process and thought there should be more guidance, explanations and complex examples provided to industry. An alternative approach suggested was to have specific percentages outlined in the regulations. </w:t>
      </w:r>
    </w:p>
    <w:p w14:paraId="5AA2AC79" w14:textId="0E0093F2" w:rsidR="00172A6B" w:rsidRDefault="00172A6B" w:rsidP="00172A6B">
      <w:pPr>
        <w:pStyle w:val="Heading3"/>
      </w:pPr>
      <w:bookmarkStart w:id="242" w:name="_Toc67499088"/>
      <w:r>
        <w:t xml:space="preserve">Businesses </w:t>
      </w:r>
      <w:r w:rsidR="00F7723A">
        <w:t xml:space="preserve">that would be </w:t>
      </w:r>
      <w:r>
        <w:t>affected are not supportive</w:t>
      </w:r>
      <w:bookmarkEnd w:id="242"/>
      <w:r w:rsidR="00EC7752">
        <w:t xml:space="preserve"> of </w:t>
      </w:r>
      <w:r w:rsidR="00F7723A">
        <w:t>removing the distinction</w:t>
      </w:r>
    </w:p>
    <w:p w14:paraId="2535A0DA" w14:textId="146299A3" w:rsidR="00172A6B" w:rsidRDefault="00172A6B" w:rsidP="003623C4">
      <w:r>
        <w:t xml:space="preserve">Given that the scheme now currently has the priority and non-priority distinction, businesses with a focus on non-priority foods are not supportive of the removal of its distinction. </w:t>
      </w:r>
      <w:r w:rsidRPr="00913E1C">
        <w:t>Groups that have opposed the extension include fast</w:t>
      </w:r>
      <w:r w:rsidR="003742F2">
        <w:t>-</w:t>
      </w:r>
      <w:r w:rsidRPr="00913E1C">
        <w:t>moving consumer goods groups and producer groups</w:t>
      </w:r>
      <w:r w:rsidR="003742F2">
        <w:t>,</w:t>
      </w:r>
      <w:r w:rsidRPr="00913E1C">
        <w:t xml:space="preserve"> such as </w:t>
      </w:r>
      <w:r>
        <w:t>th</w:t>
      </w:r>
      <w:r w:rsidR="00F4068B">
        <w:t xml:space="preserve">ose representing </w:t>
      </w:r>
      <w:r>
        <w:t xml:space="preserve">the </w:t>
      </w:r>
      <w:r w:rsidR="00F4068B">
        <w:t>meat and dairy industries</w:t>
      </w:r>
      <w:r>
        <w:t>, as well as the State Agriculture Departments.</w:t>
      </w:r>
      <w:r w:rsidR="00B844BD">
        <w:t xml:space="preserve"> </w:t>
      </w:r>
      <w:r>
        <w:t>Australian Dairy Farmers have supported the operation in the current format, while the Australian Da</w:t>
      </w:r>
      <w:r w:rsidR="009E0560">
        <w:t>i</w:t>
      </w:r>
      <w:r>
        <w:t xml:space="preserve">ry Industry Council indicated they have not seen any feedback from consumers supporting extension of the full CoOL regulations to these items. </w:t>
      </w:r>
    </w:p>
    <w:p w14:paraId="156899CC" w14:textId="2BF6FD33" w:rsidR="00172A6B" w:rsidRPr="00E61BD7" w:rsidRDefault="00B844BD" w:rsidP="00172A6B">
      <w:pPr>
        <w:pStyle w:val="Heading3"/>
      </w:pPr>
      <w:r>
        <w:t>Po</w:t>
      </w:r>
      <w:r w:rsidR="00733897">
        <w:t>ssible</w:t>
      </w:r>
      <w:r>
        <w:t xml:space="preserve"> net benefit from removal of distinction </w:t>
      </w:r>
      <w:r w:rsidR="00733897">
        <w:t>using consumer survey results</w:t>
      </w:r>
    </w:p>
    <w:p w14:paraId="68E0EF57" w14:textId="23FC5F6F" w:rsidR="003B7799" w:rsidRDefault="00416884" w:rsidP="00172A6B">
      <w:r>
        <w:t>An</w:t>
      </w:r>
      <w:r w:rsidR="00172A6B">
        <w:t xml:space="preserve"> option of the </w:t>
      </w:r>
      <w:r w:rsidR="003E78C2">
        <w:t xml:space="preserve">prospective </w:t>
      </w:r>
      <w:r w:rsidR="00172A6B">
        <w:t>CBA analysis</w:t>
      </w:r>
      <w:r w:rsidR="005D0B6A">
        <w:rPr>
          <w:rStyle w:val="FootnoteReference"/>
        </w:rPr>
        <w:footnoteReference w:id="44"/>
      </w:r>
      <w:r w:rsidR="00172A6B">
        <w:t xml:space="preserve"> </w:t>
      </w:r>
      <w:r>
        <w:t>was</w:t>
      </w:r>
      <w:r w:rsidR="00172A6B">
        <w:t xml:space="preserve"> to remove the distinction between priority and non-priority food products</w:t>
      </w:r>
      <w:r w:rsidR="00AD42E6">
        <w:t>,</w:t>
      </w:r>
      <w:r w:rsidR="00172A6B">
        <w:t xml:space="preserve"> so that CoOL regulations apply uniformly to all food products. </w:t>
      </w:r>
      <w:r w:rsidR="00B017C3">
        <w:t>U</w:t>
      </w:r>
      <w:r w:rsidR="00793328">
        <w:t xml:space="preserve">sing the </w:t>
      </w:r>
      <w:r w:rsidR="008A3BB1">
        <w:t>WTP</w:t>
      </w:r>
      <w:r w:rsidR="00793328">
        <w:t xml:space="preserve"> estimates of the consumer survey</w:t>
      </w:r>
      <w:r w:rsidR="00B017C3">
        <w:t xml:space="preserve"> demonstrates the </w:t>
      </w:r>
      <w:r w:rsidR="00A22C4E">
        <w:t>potential</w:t>
      </w:r>
      <w:r w:rsidR="00793328">
        <w:t xml:space="preserve"> </w:t>
      </w:r>
      <w:r w:rsidR="00B017C3">
        <w:t xml:space="preserve">for the removal of the non-priority list </w:t>
      </w:r>
      <w:r w:rsidR="00793328">
        <w:t>to deliver a net benefit to the Australian community.</w:t>
      </w:r>
      <w:r w:rsidR="002742FD">
        <w:t xml:space="preserve"> However, other data sources suggest </w:t>
      </w:r>
      <w:r w:rsidR="005C1401">
        <w:t xml:space="preserve">consumers place a lower priority on the removal of this </w:t>
      </w:r>
      <w:r w:rsidR="00EC29D0">
        <w:t xml:space="preserve">non-priority distinction and </w:t>
      </w:r>
      <w:r w:rsidR="00B017C3">
        <w:t xml:space="preserve">that careful attention to this </w:t>
      </w:r>
      <w:r w:rsidR="008A3BB1">
        <w:t>WTP</w:t>
      </w:r>
      <w:r w:rsidR="00B017C3">
        <w:t xml:space="preserve"> is needed as modelling generates positive values from </w:t>
      </w:r>
      <w:r w:rsidR="0077663E">
        <w:t>its</w:t>
      </w:r>
      <w:r w:rsidR="00B017C3">
        <w:t xml:space="preserve"> application to a wide number of products. C</w:t>
      </w:r>
      <w:r w:rsidR="00EC29D0">
        <w:t xml:space="preserve">onsidering </w:t>
      </w:r>
      <w:r w:rsidR="00B017C3">
        <w:t>this</w:t>
      </w:r>
      <w:r w:rsidR="008A3BB1">
        <w:t>,</w:t>
      </w:r>
      <w:r w:rsidR="00B017C3">
        <w:t xml:space="preserve"> and that </w:t>
      </w:r>
      <w:r w:rsidR="00EC29D0">
        <w:t xml:space="preserve">the scheme has </w:t>
      </w:r>
      <w:r>
        <w:t>only been operational since mid-2018,</w:t>
      </w:r>
      <w:r w:rsidR="00EC29D0">
        <w:t xml:space="preserve"> </w:t>
      </w:r>
      <w:r>
        <w:t>the evaluation finds that</w:t>
      </w:r>
      <w:r w:rsidR="00EC29D0">
        <w:t xml:space="preserve"> further monitoring of this issue</w:t>
      </w:r>
      <w:r>
        <w:t xml:space="preserve"> is needed</w:t>
      </w:r>
      <w:r w:rsidR="007B1074">
        <w:t>.</w:t>
      </w:r>
    </w:p>
    <w:p w14:paraId="184ABA58" w14:textId="77777777" w:rsidR="00172A6B" w:rsidRDefault="00172A6B" w:rsidP="00172A6B">
      <w:pPr>
        <w:pStyle w:val="Heading3"/>
      </w:pPr>
      <w:bookmarkStart w:id="243" w:name="_Toc67499090"/>
      <w:r w:rsidRPr="003466A2">
        <w:t>Key findings</w:t>
      </w:r>
      <w:r>
        <w:t>: Differentiation between priority and non-priority foods</w:t>
      </w:r>
      <w:bookmarkEnd w:id="243"/>
    </w:p>
    <w:tbl>
      <w:tblPr>
        <w:tblStyle w:val="Deloittetable"/>
        <w:tblW w:w="5000" w:type="pct"/>
        <w:tblLook w:val="04A0" w:firstRow="1" w:lastRow="0" w:firstColumn="1" w:lastColumn="0" w:noHBand="0" w:noVBand="1"/>
        <w:tblDescription w:val="This table outlines the four key findings for the differentiation between priority and non-priority products. These are that 1) While there is some support from both business and consumers to remove the non-priority foods category, there are different drivers. Industry has regard to the (across manufacturing and retail) and understands product categories. Consumers appear to be mainly referring to the desire for consistency across all food products.&#10;2) There is insufficient evidence at the present time to support the removal of the non-priority list, given the cost of change and relatively low interest from consumers. &#10;3) There could be a case for better aligning CoOL with established product categories if this were to ease the compliance burden while being aligned with consumer needs. &#10;4) Any change to CoOL is likely to have significant cost implications. At this time, the net benefit of removing the non-priority list is likely to be marginal at best.&#10;"/>
      </w:tblPr>
      <w:tblGrid>
        <w:gridCol w:w="1134"/>
        <w:gridCol w:w="7892"/>
      </w:tblGrid>
      <w:tr w:rsidR="00716735" w14:paraId="11A22660"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628" w:type="pct"/>
            <w:tcBorders>
              <w:top w:val="single" w:sz="24" w:space="0" w:color="012169" w:themeColor="accent4"/>
            </w:tcBorders>
          </w:tcPr>
          <w:p w14:paraId="05DB7E5D" w14:textId="77777777" w:rsidR="00716735" w:rsidRPr="00AB2F4F" w:rsidRDefault="00716735" w:rsidP="00AB1DCE">
            <w:pPr>
              <w:rPr>
                <w:b/>
                <w:bCs/>
              </w:rPr>
            </w:pPr>
            <w:r>
              <w:rPr>
                <w:b/>
                <w:bCs/>
              </w:rPr>
              <w:t>Ref</w:t>
            </w:r>
          </w:p>
        </w:tc>
        <w:tc>
          <w:tcPr>
            <w:tcW w:w="4372" w:type="pct"/>
            <w:tcBorders>
              <w:top w:val="single" w:sz="24" w:space="0" w:color="012169" w:themeColor="accent4"/>
            </w:tcBorders>
          </w:tcPr>
          <w:p w14:paraId="508B78B2" w14:textId="6002C278" w:rsidR="00716735" w:rsidRPr="00AB2F4F" w:rsidRDefault="00A24D8F" w:rsidP="00AB1DCE">
            <w:pPr>
              <w:rPr>
                <w:b/>
                <w:bCs/>
              </w:rPr>
            </w:pPr>
            <w:r w:rsidRPr="00A24D8F">
              <w:rPr>
                <w:b/>
                <w:bCs/>
              </w:rPr>
              <w:t>Does the differentiation between priority and non-priority foods continue</w:t>
            </w:r>
            <w:r w:rsidR="00931611">
              <w:rPr>
                <w:b/>
                <w:bCs/>
              </w:rPr>
              <w:t>s</w:t>
            </w:r>
            <w:r w:rsidRPr="00A24D8F">
              <w:rPr>
                <w:b/>
                <w:bCs/>
              </w:rPr>
              <w:t xml:space="preserve"> to meet consumer expectations?</w:t>
            </w:r>
          </w:p>
        </w:tc>
      </w:tr>
      <w:tr w:rsidR="00E33FB2" w14:paraId="60CC8169" w14:textId="77777777" w:rsidTr="00C734CF">
        <w:tc>
          <w:tcPr>
            <w:tcW w:w="628" w:type="pct"/>
          </w:tcPr>
          <w:p w14:paraId="14A6DEF5" w14:textId="77777777" w:rsidR="00E33FB2" w:rsidRDefault="00E33FB2" w:rsidP="00E33FB2">
            <w:r>
              <w:t>19</w:t>
            </w:r>
          </w:p>
        </w:tc>
        <w:tc>
          <w:tcPr>
            <w:tcW w:w="4372" w:type="pct"/>
          </w:tcPr>
          <w:p w14:paraId="60C42BAD" w14:textId="25ACC8CD" w:rsidR="00E33FB2" w:rsidRDefault="00E33FB2" w:rsidP="00E33FB2">
            <w:pPr>
              <w:pStyle w:val="ListBullet"/>
              <w:numPr>
                <w:ilvl w:val="0"/>
                <w:numId w:val="0"/>
              </w:numPr>
              <w:spacing w:after="170"/>
            </w:pPr>
            <w:r w:rsidRPr="00ED1A5B">
              <w:t xml:space="preserve">While there is some support from both business and consumers to remove the non-priority foods category, there are different drivers. Industry has regard to (across manufacturing and retail) </w:t>
            </w:r>
            <w:r w:rsidR="00950CBC">
              <w:t xml:space="preserve">and </w:t>
            </w:r>
            <w:r w:rsidRPr="00ED1A5B">
              <w:t>understands product categories. Consumers appear to be mainly referring to the desire for consistency across all food products.</w:t>
            </w:r>
          </w:p>
        </w:tc>
      </w:tr>
      <w:tr w:rsidR="00E33FB2" w14:paraId="3DF8A310" w14:textId="77777777" w:rsidTr="00C734CF">
        <w:tc>
          <w:tcPr>
            <w:tcW w:w="628" w:type="pct"/>
          </w:tcPr>
          <w:p w14:paraId="208D72C3" w14:textId="77777777" w:rsidR="00E33FB2" w:rsidRDefault="00E33FB2" w:rsidP="00E33FB2">
            <w:r>
              <w:t>20</w:t>
            </w:r>
          </w:p>
        </w:tc>
        <w:tc>
          <w:tcPr>
            <w:tcW w:w="4372" w:type="pct"/>
          </w:tcPr>
          <w:p w14:paraId="6D785F9B" w14:textId="2142D1B3" w:rsidR="00E33FB2" w:rsidRDefault="00E33FB2" w:rsidP="00E33FB2">
            <w:pPr>
              <w:pStyle w:val="ListBullet"/>
              <w:numPr>
                <w:ilvl w:val="0"/>
                <w:numId w:val="0"/>
              </w:numPr>
              <w:spacing w:after="170"/>
            </w:pPr>
            <w:r>
              <w:t>There is insufficient evidence at the present time to support the removal of the non-priority list</w:t>
            </w:r>
            <w:r w:rsidR="00950CBC">
              <w:t>,</w:t>
            </w:r>
            <w:r>
              <w:t xml:space="preserve"> given the cost of change and relatively low interest from consumers. </w:t>
            </w:r>
          </w:p>
        </w:tc>
      </w:tr>
      <w:tr w:rsidR="00E33FB2" w14:paraId="0762835E" w14:textId="77777777" w:rsidTr="00C734CF">
        <w:tc>
          <w:tcPr>
            <w:tcW w:w="628" w:type="pct"/>
          </w:tcPr>
          <w:p w14:paraId="06946A11" w14:textId="77777777" w:rsidR="00E33FB2" w:rsidRDefault="00E33FB2" w:rsidP="00E33FB2">
            <w:r>
              <w:t>21</w:t>
            </w:r>
          </w:p>
        </w:tc>
        <w:tc>
          <w:tcPr>
            <w:tcW w:w="4372" w:type="pct"/>
          </w:tcPr>
          <w:p w14:paraId="06B5CC12" w14:textId="77777777" w:rsidR="00E33FB2" w:rsidRDefault="00E33FB2" w:rsidP="00E33FB2">
            <w:pPr>
              <w:pStyle w:val="ListBullet"/>
              <w:numPr>
                <w:ilvl w:val="0"/>
                <w:numId w:val="0"/>
              </w:numPr>
              <w:spacing w:after="170"/>
              <w:ind w:left="-6" w:firstLine="6"/>
            </w:pPr>
            <w:r w:rsidRPr="00F977D1">
              <w:t xml:space="preserve">There could be a case for better aligning CoOL with established product categories if this were to ease the compliance burden while being aligned with consumer needs. </w:t>
            </w:r>
          </w:p>
        </w:tc>
      </w:tr>
      <w:tr w:rsidR="00E33FB2" w14:paraId="05568955" w14:textId="77777777" w:rsidTr="00C734CF">
        <w:tc>
          <w:tcPr>
            <w:tcW w:w="628" w:type="pct"/>
          </w:tcPr>
          <w:p w14:paraId="695662CB" w14:textId="77777777" w:rsidR="00E33FB2" w:rsidRDefault="00E33FB2" w:rsidP="00E33FB2">
            <w:r>
              <w:lastRenderedPageBreak/>
              <w:t>22</w:t>
            </w:r>
          </w:p>
        </w:tc>
        <w:tc>
          <w:tcPr>
            <w:tcW w:w="4372" w:type="pct"/>
          </w:tcPr>
          <w:p w14:paraId="3219080C" w14:textId="787586C6" w:rsidR="00E33FB2" w:rsidRDefault="00E33FB2" w:rsidP="00E33FB2">
            <w:pPr>
              <w:pStyle w:val="ListBullet"/>
              <w:numPr>
                <w:ilvl w:val="0"/>
                <w:numId w:val="0"/>
              </w:numPr>
              <w:spacing w:after="170"/>
              <w:ind w:left="-6" w:firstLine="6"/>
            </w:pPr>
            <w:r w:rsidRPr="002D759D">
              <w:t>Any change</w:t>
            </w:r>
            <w:r>
              <w:t xml:space="preserve"> to CoOL</w:t>
            </w:r>
            <w:r w:rsidRPr="002D759D">
              <w:t xml:space="preserve"> is likely to have significant cost implications. At this time</w:t>
            </w:r>
            <w:r w:rsidR="005D4973">
              <w:t>,</w:t>
            </w:r>
            <w:r w:rsidRPr="002D759D">
              <w:t xml:space="preserve"> the net benefit of removing the non-priority list is likely to be marginal</w:t>
            </w:r>
            <w:r>
              <w:t xml:space="preserve"> at best</w:t>
            </w:r>
            <w:r w:rsidRPr="002D759D">
              <w:t>.</w:t>
            </w:r>
          </w:p>
        </w:tc>
      </w:tr>
    </w:tbl>
    <w:p w14:paraId="63DF349A" w14:textId="062EC0B2" w:rsidR="00172A6B" w:rsidRPr="00480064" w:rsidRDefault="00780592" w:rsidP="00172A6B">
      <w:pPr>
        <w:pStyle w:val="Heading2"/>
      </w:pPr>
      <w:bookmarkStart w:id="244" w:name="_Toc66774364"/>
      <w:bookmarkStart w:id="245" w:name="_Toc67499091"/>
      <w:bookmarkStart w:id="246" w:name="_Ref71198407"/>
      <w:bookmarkStart w:id="247" w:name="_Toc94702057"/>
      <w:bookmarkEnd w:id="244"/>
      <w:r>
        <w:t xml:space="preserve">Foodservice exemption from the </w:t>
      </w:r>
      <w:r w:rsidR="00172A6B" w:rsidRPr="008B1D5D" w:rsidDel="00034A4C">
        <w:t>c</w:t>
      </w:r>
      <w:r w:rsidR="00172A6B" w:rsidRPr="008B1D5D">
        <w:t>urrent scope of mandatory CoOL</w:t>
      </w:r>
      <w:bookmarkEnd w:id="245"/>
      <w:bookmarkEnd w:id="246"/>
      <w:bookmarkEnd w:id="247"/>
    </w:p>
    <w:p w14:paraId="04F1F707" w14:textId="77777777" w:rsidR="003354C2" w:rsidRDefault="00172A6B" w:rsidP="003623C4">
      <w:pPr>
        <w:rPr>
          <w:lang w:eastAsia="en-AU"/>
        </w:rPr>
      </w:pPr>
      <w:r>
        <w:rPr>
          <w:lang w:eastAsia="en-AU"/>
        </w:rPr>
        <w:t>Businesses preparing food for immediate public consumption (foodservice) have long been exempt from mandatory origin labelling. The exemption of foodservice has existed in the Australia New Zealand Food Standards Code since 2005 and</w:t>
      </w:r>
      <w:r w:rsidR="00265D6E">
        <w:rPr>
          <w:lang w:eastAsia="en-AU"/>
        </w:rPr>
        <w:t xml:space="preserve"> it was</w:t>
      </w:r>
      <w:r>
        <w:rPr>
          <w:lang w:eastAsia="en-AU"/>
        </w:rPr>
        <w:t xml:space="preserve"> maintained when the current scheme was introduced.</w:t>
      </w:r>
      <w:r>
        <w:rPr>
          <w:rStyle w:val="FootnoteReference"/>
          <w:rFonts w:eastAsia="Times New Roman" w:cs="Arial"/>
          <w:color w:val="000000" w:themeColor="text1"/>
          <w:kern w:val="24"/>
          <w:lang w:eastAsia="en-AU"/>
        </w:rPr>
        <w:footnoteReference w:id="45"/>
      </w:r>
      <w:r w:rsidR="003354C2">
        <w:rPr>
          <w:lang w:eastAsia="en-AU"/>
        </w:rPr>
        <w:t xml:space="preserve"> </w:t>
      </w:r>
    </w:p>
    <w:p w14:paraId="169E114E" w14:textId="5665F3C3" w:rsidR="00172A6B" w:rsidRDefault="00172A6B" w:rsidP="003623C4">
      <w:r>
        <w:rPr>
          <w:lang w:eastAsia="en-AU"/>
        </w:rPr>
        <w:t xml:space="preserve">Evaluation </w:t>
      </w:r>
      <w:r w:rsidR="000B41CC">
        <w:rPr>
          <w:lang w:eastAsia="en-AU"/>
        </w:rPr>
        <w:t>q</w:t>
      </w:r>
      <w:r>
        <w:rPr>
          <w:lang w:eastAsia="en-AU"/>
        </w:rPr>
        <w:t xml:space="preserve">uestion 9 </w:t>
      </w:r>
      <w:r w:rsidR="008D524F">
        <w:rPr>
          <w:lang w:eastAsia="en-AU"/>
        </w:rPr>
        <w:t>considers</w:t>
      </w:r>
      <w:r>
        <w:rPr>
          <w:lang w:eastAsia="en-AU"/>
        </w:rPr>
        <w:t xml:space="preserve"> the appropriateness of exemptions for the foodservice sector. In addressing this </w:t>
      </w:r>
      <w:r w:rsidDel="003354C2">
        <w:rPr>
          <w:lang w:eastAsia="en-AU"/>
        </w:rPr>
        <w:t>question</w:t>
      </w:r>
      <w:r w:rsidR="003354C2">
        <w:rPr>
          <w:lang w:eastAsia="en-AU"/>
        </w:rPr>
        <w:t>,</w:t>
      </w:r>
      <w:r>
        <w:rPr>
          <w:lang w:eastAsia="en-AU"/>
        </w:rPr>
        <w:t xml:space="preserve"> it is important to understand the diversity of the foodservice sector. It includes individually owned or operated restaurants, cafes and takeaways, and farmers market stalls, as well as chain stores with a standard or near</w:t>
      </w:r>
      <w:r w:rsidR="008D458D">
        <w:rPr>
          <w:lang w:eastAsia="en-AU"/>
        </w:rPr>
        <w:t>-</w:t>
      </w:r>
      <w:r>
        <w:rPr>
          <w:lang w:eastAsia="en-AU"/>
        </w:rPr>
        <w:t>standard menu. As such, we analyse the appropriateness of the current scope with regard to the type of foodservice establishment</w:t>
      </w:r>
      <w:r w:rsidR="0050256F">
        <w:rPr>
          <w:lang w:eastAsia="en-AU"/>
        </w:rPr>
        <w:t>;</w:t>
      </w:r>
      <w:r w:rsidR="00B06480">
        <w:rPr>
          <w:lang w:eastAsia="en-AU"/>
        </w:rPr>
        <w:t xml:space="preserve"> however</w:t>
      </w:r>
      <w:r w:rsidR="0050256F">
        <w:rPr>
          <w:lang w:eastAsia="en-AU"/>
        </w:rPr>
        <w:t>,</w:t>
      </w:r>
      <w:r w:rsidR="00B06480">
        <w:rPr>
          <w:lang w:eastAsia="en-AU"/>
        </w:rPr>
        <w:t xml:space="preserve"> the CBA examines the impact of extension of CoOL requirements to the entire foodservice sector</w:t>
      </w:r>
      <w:r w:rsidRPr="00E53797">
        <w:rPr>
          <w:lang w:eastAsia="en-AU"/>
        </w:rPr>
        <w:t>.</w:t>
      </w:r>
    </w:p>
    <w:p w14:paraId="490A9130" w14:textId="77777777" w:rsidR="00172A6B" w:rsidRPr="009B0C14" w:rsidRDefault="00172A6B" w:rsidP="00172A6B">
      <w:pPr>
        <w:pStyle w:val="Heading3"/>
      </w:pPr>
      <w:bookmarkStart w:id="248" w:name="_Toc67499092"/>
      <w:r>
        <w:t>Consumer desire for extension to the foodservice sector</w:t>
      </w:r>
      <w:bookmarkEnd w:id="248"/>
    </w:p>
    <w:p w14:paraId="3570AC97" w14:textId="63F71623" w:rsidR="00172A6B" w:rsidRDefault="00172A6B" w:rsidP="003623C4">
      <w:pPr>
        <w:rPr>
          <w:lang w:eastAsia="en-AU"/>
        </w:rPr>
      </w:pPr>
      <w:r w:rsidRPr="00DC5338">
        <w:rPr>
          <w:lang w:eastAsia="en-AU"/>
        </w:rPr>
        <w:t>Consumers’ opinions regarding the appropriateness of the current scope of CoOL varie</w:t>
      </w:r>
      <w:r>
        <w:rPr>
          <w:lang w:eastAsia="en-AU"/>
        </w:rPr>
        <w:t>s</w:t>
      </w:r>
      <w:r w:rsidRPr="00DC5338">
        <w:rPr>
          <w:lang w:eastAsia="en-AU"/>
        </w:rPr>
        <w:t>. According to the consumer survey, 49</w:t>
      </w:r>
      <w:r w:rsidR="007B2C81">
        <w:rPr>
          <w:lang w:eastAsia="en-AU"/>
        </w:rPr>
        <w:t>%</w:t>
      </w:r>
      <w:r w:rsidRPr="00DC5338">
        <w:rPr>
          <w:lang w:eastAsia="en-AU"/>
        </w:rPr>
        <w:t xml:space="preserve"> of consumers are satisfied with the current CoOL scope, while 28</w:t>
      </w:r>
      <w:r w:rsidR="007B2C81">
        <w:rPr>
          <w:lang w:eastAsia="en-AU"/>
        </w:rPr>
        <w:t>%</w:t>
      </w:r>
      <w:r w:rsidRPr="00DC5338">
        <w:rPr>
          <w:lang w:eastAsia="en-AU"/>
        </w:rPr>
        <w:t xml:space="preserve"> are unsure about their level of satisfaction. </w:t>
      </w:r>
      <w:r>
        <w:rPr>
          <w:lang w:eastAsia="en-AU"/>
        </w:rPr>
        <w:t xml:space="preserve">However, </w:t>
      </w:r>
      <w:r w:rsidRPr="00E53797">
        <w:rPr>
          <w:lang w:eastAsia="en-AU"/>
        </w:rPr>
        <w:t>62</w:t>
      </w:r>
      <w:r w:rsidR="007B2C81">
        <w:rPr>
          <w:lang w:eastAsia="en-AU"/>
        </w:rPr>
        <w:t>%</w:t>
      </w:r>
      <w:r w:rsidRPr="00DC5338">
        <w:rPr>
          <w:lang w:eastAsia="en-AU"/>
        </w:rPr>
        <w:t xml:space="preserve"> </w:t>
      </w:r>
      <w:r>
        <w:rPr>
          <w:lang w:eastAsia="en-AU"/>
        </w:rPr>
        <w:t xml:space="preserve">of consumers </w:t>
      </w:r>
      <w:r w:rsidRPr="00DC5338">
        <w:rPr>
          <w:lang w:eastAsia="en-AU"/>
        </w:rPr>
        <w:t>indicate</w:t>
      </w:r>
      <w:r>
        <w:rPr>
          <w:lang w:eastAsia="en-AU"/>
        </w:rPr>
        <w:t>d</w:t>
      </w:r>
      <w:r w:rsidRPr="00DC5338">
        <w:rPr>
          <w:lang w:eastAsia="en-AU"/>
        </w:rPr>
        <w:t xml:space="preserve"> their support for the extension of CoOL requirements to the foodservice sector. </w:t>
      </w:r>
    </w:p>
    <w:p w14:paraId="307220AE" w14:textId="20D8CB03" w:rsidR="00172A6B" w:rsidRPr="00DC5338" w:rsidRDefault="00172A6B" w:rsidP="003623C4">
      <w:pPr>
        <w:rPr>
          <w:lang w:eastAsia="en-AU"/>
        </w:rPr>
      </w:pPr>
      <w:r>
        <w:rPr>
          <w:lang w:eastAsia="en-AU"/>
        </w:rPr>
        <w:t>C</w:t>
      </w:r>
      <w:r w:rsidRPr="00DC5338">
        <w:rPr>
          <w:lang w:eastAsia="en-AU"/>
        </w:rPr>
        <w:t>onsumers who supported the extension of CoOL requirements did so for a variety of foodservice business types</w:t>
      </w:r>
      <w:r w:rsidR="00A33A95">
        <w:rPr>
          <w:lang w:eastAsia="en-AU"/>
        </w:rPr>
        <w:t xml:space="preserve"> </w:t>
      </w:r>
      <w:r w:rsidR="007246A1">
        <w:rPr>
          <w:lang w:eastAsia="en-AU"/>
        </w:rPr>
        <w:t xml:space="preserve">with between </w:t>
      </w:r>
      <w:r w:rsidR="000110C7">
        <w:rPr>
          <w:lang w:eastAsia="en-AU"/>
        </w:rPr>
        <w:t>60</w:t>
      </w:r>
      <w:r w:rsidR="0050256F">
        <w:rPr>
          <w:lang w:eastAsia="en-AU"/>
        </w:rPr>
        <w:t>%</w:t>
      </w:r>
      <w:r w:rsidR="000110C7">
        <w:rPr>
          <w:lang w:eastAsia="en-AU"/>
        </w:rPr>
        <w:t xml:space="preserve"> </w:t>
      </w:r>
      <w:r w:rsidR="0050256F">
        <w:rPr>
          <w:lang w:eastAsia="en-AU"/>
        </w:rPr>
        <w:t>and</w:t>
      </w:r>
      <w:r w:rsidR="000110C7">
        <w:rPr>
          <w:lang w:eastAsia="en-AU"/>
        </w:rPr>
        <w:t xml:space="preserve"> 70% support in each case</w:t>
      </w:r>
      <w:r w:rsidRPr="00DC5338">
        <w:rPr>
          <w:lang w:eastAsia="en-AU"/>
        </w:rPr>
        <w:t>. The support for extension to fast</w:t>
      </w:r>
      <w:r w:rsidR="0051046E">
        <w:rPr>
          <w:lang w:eastAsia="en-AU"/>
        </w:rPr>
        <w:t>-</w:t>
      </w:r>
      <w:r w:rsidRPr="00DC5338">
        <w:rPr>
          <w:lang w:eastAsia="en-AU"/>
        </w:rPr>
        <w:t>food and takeaway establishments was marginally higher</w:t>
      </w:r>
      <w:r>
        <w:rPr>
          <w:lang w:eastAsia="en-AU"/>
        </w:rPr>
        <w:t>, at 69</w:t>
      </w:r>
      <w:r w:rsidR="007B2C81">
        <w:rPr>
          <w:lang w:eastAsia="en-AU"/>
        </w:rPr>
        <w:t>%</w:t>
      </w:r>
      <w:r>
        <w:rPr>
          <w:lang w:eastAsia="en-AU"/>
        </w:rPr>
        <w:t xml:space="preserve"> of all consumers surveyed,</w:t>
      </w:r>
      <w:r w:rsidRPr="00DC5338">
        <w:rPr>
          <w:lang w:eastAsia="en-AU"/>
        </w:rPr>
        <w:t xml:space="preserve"> than other foodservice business types.</w:t>
      </w:r>
    </w:p>
    <w:p w14:paraId="46FBED55" w14:textId="50EEE8E0" w:rsidR="00172A6B" w:rsidRDefault="00172A6B" w:rsidP="00172A6B">
      <w:r>
        <w:t>Of respondents who supported an extension to the foodservice sector, 43</w:t>
      </w:r>
      <w:r w:rsidR="007B2C81">
        <w:t>%</w:t>
      </w:r>
      <w:r>
        <w:t xml:space="preserve"> would like information relating to the major ingredients in a dish, 28</w:t>
      </w:r>
      <w:r w:rsidR="007B2C81">
        <w:t>%</w:t>
      </w:r>
      <w:r>
        <w:t xml:space="preserve"> would like information for the whole dish and 30</w:t>
      </w:r>
      <w:r w:rsidR="007B2C81">
        <w:t>%</w:t>
      </w:r>
      <w:r>
        <w:t xml:space="preserve"> would like information relating to each specific ingredient (see </w:t>
      </w:r>
      <w:r w:rsidR="00825D11">
        <w:fldChar w:fldCharType="begin"/>
      </w:r>
      <w:r w:rsidR="00825D11">
        <w:instrText xml:space="preserve"> REF _Ref68079275 \r \h </w:instrText>
      </w:r>
      <w:r w:rsidR="00825D11">
        <w:fldChar w:fldCharType="separate"/>
      </w:r>
      <w:r w:rsidR="0017363C">
        <w:t>Chart 4.10</w:t>
      </w:r>
      <w:r w:rsidR="00825D11">
        <w:fldChar w:fldCharType="end"/>
      </w:r>
      <w:r>
        <w:t>).</w:t>
      </w:r>
    </w:p>
    <w:p w14:paraId="49CC9F15" w14:textId="77777777" w:rsidR="00172A6B" w:rsidRDefault="00172A6B">
      <w:r>
        <w:t>The value to consumers (as articulated in consumer focus groups) from</w:t>
      </w:r>
      <w:r w:rsidRPr="00C866C7">
        <w:t xml:space="preserve"> extension to foodservice varied</w:t>
      </w:r>
      <w:r>
        <w:t>,</w:t>
      </w:r>
      <w:r w:rsidRPr="00C866C7">
        <w:t xml:space="preserve"> based on the type of foodservice establishment being discussed and individual preferences regarding the importance of country of origin information.</w:t>
      </w:r>
      <w:r>
        <w:t xml:space="preserve"> </w:t>
      </w:r>
      <w:r w:rsidRPr="00BD45B8">
        <w:t xml:space="preserve">Some consumers felt it would be desirable for the menu to indicate country of origin of each dish. Many consumers acknowledged the practical difficulties of doing this. Some consumers suggested an overarching statement could be </w:t>
      </w:r>
      <w:r>
        <w:t>provided</w:t>
      </w:r>
      <w:r w:rsidRPr="00BD45B8">
        <w:t xml:space="preserve"> to indicate that a foodservice business prefers Australian ingredients.</w:t>
      </w:r>
    </w:p>
    <w:p w14:paraId="49FFD43A" w14:textId="77777777" w:rsidR="00172A6B" w:rsidRDefault="00172A6B" w:rsidP="00172A6B">
      <w:pPr>
        <w:pStyle w:val="CaptionChart"/>
        <w:rPr>
          <w:lang w:eastAsia="en-AU"/>
        </w:rPr>
      </w:pPr>
      <w:bookmarkStart w:id="249" w:name="_Ref68079275"/>
      <w:bookmarkStart w:id="250" w:name="_Toc82590350"/>
      <w:r>
        <w:rPr>
          <w:lang w:eastAsia="en-AU"/>
        </w:rPr>
        <w:lastRenderedPageBreak/>
        <w:t>: Type of country of origin information consumers seek for the foodservice sector</w:t>
      </w:r>
      <w:bookmarkEnd w:id="249"/>
      <w:bookmarkEnd w:id="250"/>
    </w:p>
    <w:p w14:paraId="5C3871AE" w14:textId="230F9E3E" w:rsidR="0065228F" w:rsidRDefault="00D577DC" w:rsidP="00172A6B">
      <w:pPr>
        <w:pStyle w:val="Source"/>
      </w:pPr>
      <w:r w:rsidRPr="00D577DC">
        <w:rPr>
          <w:noProof/>
          <w:lang w:eastAsia="en-AU"/>
        </w:rPr>
        <w:drawing>
          <wp:inline distT="0" distB="0" distL="0" distR="0" wp14:anchorId="3973F59A" wp14:editId="123A3670">
            <wp:extent cx="5430543" cy="2750515"/>
            <wp:effectExtent l="0" t="0" r="0" b="0"/>
            <wp:docPr id="46" name="Picture 46" descr="Findings are: each ingredient (30%), major ingredients (43%) and whole dis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ndings are: each ingredient (30%), major ingredients (43%) and whole dish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3028" cy="2756839"/>
                    </a:xfrm>
                    <a:prstGeom prst="rect">
                      <a:avLst/>
                    </a:prstGeom>
                    <a:noFill/>
                    <a:ln>
                      <a:noFill/>
                    </a:ln>
                  </pic:spPr>
                </pic:pic>
              </a:graphicData>
            </a:graphic>
          </wp:inline>
        </w:drawing>
      </w:r>
    </w:p>
    <w:p w14:paraId="48EEDD2E" w14:textId="07AEE94A" w:rsidR="00172A6B" w:rsidRPr="00E57F5C" w:rsidRDefault="00172A6B" w:rsidP="00172A6B">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0EA80827" w14:textId="77777777" w:rsidR="00172A6B" w:rsidRDefault="00172A6B" w:rsidP="00172A6B">
      <w:pPr>
        <w:pStyle w:val="Heading3"/>
      </w:pPr>
      <w:bookmarkStart w:id="251" w:name="_Toc67499093"/>
      <w:r>
        <w:t>Less widespread support from industry and the regulator for extension to foodservice settings</w:t>
      </w:r>
      <w:bookmarkEnd w:id="251"/>
    </w:p>
    <w:p w14:paraId="5F4D7CDC" w14:textId="66EBF168" w:rsidR="00172A6B" w:rsidRDefault="00172A6B" w:rsidP="003623C4">
      <w:r>
        <w:t>The business survey indicated divided views on the extension of CoOL requirements to the foodservice sector. Roughly</w:t>
      </w:r>
      <w:r w:rsidR="00BC14EF">
        <w:t>,</w:t>
      </w:r>
      <w:r>
        <w:t xml:space="preserve"> half of respondents supported the extension, while the other half was opposed or unsure (</w:t>
      </w:r>
      <w:r w:rsidR="00286969">
        <w:t xml:space="preserve">see </w:t>
      </w:r>
      <w:r w:rsidR="00EB5F72">
        <w:fldChar w:fldCharType="begin"/>
      </w:r>
      <w:r w:rsidR="00EB5F72">
        <w:instrText xml:space="preserve"> REF _Ref68079420 \r \h </w:instrText>
      </w:r>
      <w:r w:rsidR="00EB5F72">
        <w:fldChar w:fldCharType="separate"/>
      </w:r>
      <w:r w:rsidR="0017363C">
        <w:t>Chart 4.11</w:t>
      </w:r>
      <w:r w:rsidR="00EB5F72">
        <w:fldChar w:fldCharType="end"/>
      </w:r>
      <w:r>
        <w:t>). There was marginally more support (56</w:t>
      </w:r>
      <w:r w:rsidR="007B2C81">
        <w:t>%</w:t>
      </w:r>
      <w:r>
        <w:t>) for an extension to fast</w:t>
      </w:r>
      <w:r w:rsidR="0051046E">
        <w:t>-</w:t>
      </w:r>
      <w:r>
        <w:t>food and takeaway outlets than the other business types (52</w:t>
      </w:r>
      <w:r w:rsidR="007B2C81">
        <w:t>%</w:t>
      </w:r>
      <w:r>
        <w:t xml:space="preserve">). </w:t>
      </w:r>
    </w:p>
    <w:p w14:paraId="3ABBE2B5" w14:textId="7EEFCE9F" w:rsidR="00172A6B" w:rsidRDefault="00172A6B" w:rsidP="00172A6B">
      <w:pPr>
        <w:pStyle w:val="CaptionChart"/>
      </w:pPr>
      <w:bookmarkStart w:id="252" w:name="_Ref68079420"/>
      <w:bookmarkStart w:id="253" w:name="_Toc82590351"/>
      <w:r>
        <w:t>: Level of business support for extension of CoOL requirements to foodservice sector, by business type</w:t>
      </w:r>
      <w:bookmarkEnd w:id="252"/>
      <w:bookmarkEnd w:id="253"/>
      <w:r>
        <w:t xml:space="preserve"> </w:t>
      </w:r>
    </w:p>
    <w:p w14:paraId="190F93C0" w14:textId="24402B8C" w:rsidR="00814C27" w:rsidRDefault="00814C27" w:rsidP="00172A6B">
      <w:pPr>
        <w:pStyle w:val="Source"/>
      </w:pPr>
      <w:r w:rsidRPr="00814C27">
        <w:rPr>
          <w:noProof/>
          <w:lang w:eastAsia="en-AU"/>
        </w:rPr>
        <w:drawing>
          <wp:inline distT="0" distB="0" distL="0" distR="0" wp14:anchorId="4D66DFDE" wp14:editId="4822A7FE">
            <wp:extent cx="5428997" cy="3189427"/>
            <wp:effectExtent l="0" t="0" r="635" b="0"/>
            <wp:docPr id="47" name="Picture 47" descr="This chart captures the following different types of businesses - cafes and restaurants, farmers markets or similar, fast food and takeaway outlets and other sites where food is prepared and served. For each of these, more than 50 per cent of businesses were sup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chart captures the following different types of businesses - cafes and restaurants, farmers markets or similar, fast food and takeaway outlets and other sites where food is prepared and served. For each of these, more than 50 per cent of businesses were supporti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34246" cy="3192510"/>
                    </a:xfrm>
                    <a:prstGeom prst="rect">
                      <a:avLst/>
                    </a:prstGeom>
                    <a:noFill/>
                    <a:ln>
                      <a:noFill/>
                    </a:ln>
                  </pic:spPr>
                </pic:pic>
              </a:graphicData>
            </a:graphic>
          </wp:inline>
        </w:drawing>
      </w:r>
    </w:p>
    <w:p w14:paraId="57B2EEC3" w14:textId="2D33033A" w:rsidR="00172A6B" w:rsidRDefault="00172A6B" w:rsidP="00172A6B">
      <w:pPr>
        <w:pStyle w:val="Source"/>
      </w:pPr>
      <w:r w:rsidRPr="00842E04">
        <w:t xml:space="preserve">Source: Deloitte Access Economics’ national </w:t>
      </w:r>
      <w:r>
        <w:t>business</w:t>
      </w:r>
      <w:r w:rsidRPr="00842E04">
        <w:t xml:space="preserve"> survey</w:t>
      </w:r>
      <w:r>
        <w:t xml:space="preserve"> (2020)</w:t>
      </w:r>
      <w:r w:rsidRPr="00842E04">
        <w:t>.</w:t>
      </w:r>
    </w:p>
    <w:p w14:paraId="067E95CC" w14:textId="37084730" w:rsidR="00172A6B" w:rsidRDefault="00172A6B" w:rsidP="003623C4">
      <w:r>
        <w:t xml:space="preserve">Stakeholder consultations suggested support for or against the extension of CoOL to foodservice varies across industry groups. </w:t>
      </w:r>
      <w:r w:rsidRPr="00D1252F">
        <w:t>There is a general reticence to see any expansion</w:t>
      </w:r>
      <w:r w:rsidR="00BC14EF">
        <w:t>,</w:t>
      </w:r>
      <w:r w:rsidRPr="00D1252F">
        <w:t xml:space="preserve"> unless there will </w:t>
      </w:r>
      <w:r w:rsidRPr="00D1252F">
        <w:lastRenderedPageBreak/>
        <w:t>be clear benefits to consumers that inform decision</w:t>
      </w:r>
      <w:r w:rsidR="00BC14EF">
        <w:t>-</w:t>
      </w:r>
      <w:r w:rsidRPr="00D1252F">
        <w:t>making.</w:t>
      </w:r>
      <w:r w:rsidRPr="00C16910">
        <w:t xml:space="preserve"> </w:t>
      </w:r>
      <w:r>
        <w:t>However, some</w:t>
      </w:r>
      <w:r w:rsidRPr="00C16910">
        <w:t xml:space="preserve"> industry representatives </w:t>
      </w:r>
      <w:r>
        <w:t xml:space="preserve">support the extension in certain settings (as discussed below), on the basis of </w:t>
      </w:r>
      <w:r w:rsidRPr="00C16910">
        <w:t>consumer expectation</w:t>
      </w:r>
      <w:r>
        <w:t>s</w:t>
      </w:r>
      <w:r w:rsidRPr="00C16910">
        <w:t xml:space="preserve"> </w:t>
      </w:r>
      <w:r>
        <w:t>for origin</w:t>
      </w:r>
      <w:r w:rsidRPr="00C16910">
        <w:t xml:space="preserve"> information </w:t>
      </w:r>
      <w:r>
        <w:t>being the</w:t>
      </w:r>
      <w:r w:rsidRPr="00C16910">
        <w:t xml:space="preserve"> same for foodservice products.</w:t>
      </w:r>
      <w:r w:rsidR="00DF64A2">
        <w:t xml:space="preserve"> </w:t>
      </w:r>
    </w:p>
    <w:p w14:paraId="41455640" w14:textId="569EF77D" w:rsidR="00172A6B" w:rsidRDefault="00172A6B" w:rsidP="003623C4">
      <w:r>
        <w:t>Some industry groups that are in support of expanding to foodservice have expressed that the exemption was based on presumptuous factors</w:t>
      </w:r>
      <w:r w:rsidR="003E577D">
        <w:t>,</w:t>
      </w:r>
      <w:r>
        <w:t xml:space="preserve"> such as the cost of implementation that might not be as burdensome for </w:t>
      </w:r>
      <w:r w:rsidRPr="00F661F2">
        <w:rPr>
          <w:i/>
        </w:rPr>
        <w:t xml:space="preserve">most </w:t>
      </w:r>
      <w:r w:rsidR="007A76A1">
        <w:rPr>
          <w:i/>
        </w:rPr>
        <w:t>fast</w:t>
      </w:r>
      <w:r w:rsidR="0051046E">
        <w:rPr>
          <w:i/>
        </w:rPr>
        <w:t>-</w:t>
      </w:r>
      <w:r w:rsidR="007A76A1">
        <w:rPr>
          <w:i/>
        </w:rPr>
        <w:t>food</w:t>
      </w:r>
      <w:r w:rsidRPr="00F661F2">
        <w:rPr>
          <w:i/>
        </w:rPr>
        <w:t xml:space="preserve"> businesses</w:t>
      </w:r>
      <w:r>
        <w:t>. Industry group members</w:t>
      </w:r>
      <w:r w:rsidR="003E577D">
        <w:t>,</w:t>
      </w:r>
      <w:r>
        <w:t xml:space="preserve"> including the Australian Chicken Meat Federation, Australian Pork</w:t>
      </w:r>
      <w:r w:rsidR="0078563C">
        <w:t xml:space="preserve"> Limited</w:t>
      </w:r>
      <w:r>
        <w:t xml:space="preserve"> </w:t>
      </w:r>
      <w:r w:rsidR="0078563C">
        <w:t xml:space="preserve">(APL) </w:t>
      </w:r>
      <w:r>
        <w:t xml:space="preserve">and the National Farmers’ Federation </w:t>
      </w:r>
      <w:r w:rsidR="00ED4A6C">
        <w:t xml:space="preserve">(NFF) </w:t>
      </w:r>
      <w:r>
        <w:t xml:space="preserve">supported expanding CoOL regulations to part of the foodservice sector, to </w:t>
      </w:r>
      <w:r w:rsidR="007A76A1">
        <w:t>fast</w:t>
      </w:r>
      <w:r w:rsidR="0051046E">
        <w:t>-</w:t>
      </w:r>
      <w:r w:rsidR="007A76A1">
        <w:t>food</w:t>
      </w:r>
      <w:r>
        <w:t xml:space="preserve"> settings, where there exists a fairly stable menu and ingredients. </w:t>
      </w:r>
    </w:p>
    <w:p w14:paraId="698E558A" w14:textId="5357E8D6" w:rsidR="0045294B" w:rsidRDefault="0045294B" w:rsidP="0045294B">
      <w:r>
        <w:t>Convenient foods sector stakeholders suggested that exemptions should be maintained due to practical reasons</w:t>
      </w:r>
      <w:r w:rsidR="00C645FB">
        <w:t>,</w:t>
      </w:r>
      <w:r>
        <w:t xml:space="preserve"> such as consumer information overload on menu cards. For complex food items that are assembled using a variety of ingredients sourced from multiple countries, the expansion might pose additional difficulties and costs to display every piece of origin information.</w:t>
      </w:r>
      <w:r>
        <w:rPr>
          <w:rStyle w:val="FootnoteReference"/>
        </w:rPr>
        <w:footnoteReference w:id="46"/>
      </w:r>
      <w:r>
        <w:t xml:space="preserve"> In addition, it was noted that some </w:t>
      </w:r>
      <w:r w:rsidR="007A76A1">
        <w:t>fast</w:t>
      </w:r>
      <w:r w:rsidR="0051046E">
        <w:t>-</w:t>
      </w:r>
      <w:r w:rsidR="007A76A1">
        <w:t>food</w:t>
      </w:r>
      <w:r>
        <w:t xml:space="preserve"> chains were already implementing CoOL voluntarily. </w:t>
      </w:r>
    </w:p>
    <w:p w14:paraId="1C0AB65C" w14:textId="70786AF8" w:rsidR="00172A6B" w:rsidRDefault="00172A6B" w:rsidP="003623C4">
      <w:r>
        <w:t xml:space="preserve">Austrade and several industry group members argue that the current scope of mandatory CoOL is not appropriate and should </w:t>
      </w:r>
      <w:r w:rsidR="000607D2">
        <w:t xml:space="preserve">be </w:t>
      </w:r>
      <w:r>
        <w:t>expand</w:t>
      </w:r>
      <w:r w:rsidR="000607D2">
        <w:t>ed</w:t>
      </w:r>
      <w:r>
        <w:t xml:space="preserve"> to the foodservice sector. Austrade’s view was that consumers would expect the same or similar information on country of origin </w:t>
      </w:r>
      <w:r w:rsidR="000607D2">
        <w:t>for</w:t>
      </w:r>
      <w:r>
        <w:t xml:space="preserve"> food purchased in restaurants, cafes or takeaway</w:t>
      </w:r>
      <w:r w:rsidR="000607D2">
        <w:t xml:space="preserve"> settings</w:t>
      </w:r>
      <w:r>
        <w:t xml:space="preserve">. </w:t>
      </w:r>
    </w:p>
    <w:p w14:paraId="6202AA7B" w14:textId="6E8C359A" w:rsidR="00172A6B" w:rsidRDefault="000607D2" w:rsidP="003623C4">
      <w:r>
        <w:t>On the other hand, r</w:t>
      </w:r>
      <w:r w:rsidR="00345324">
        <w:t>epresentatives of the</w:t>
      </w:r>
      <w:r w:rsidR="00172A6B">
        <w:t xml:space="preserve"> ACCC, </w:t>
      </w:r>
      <w:r w:rsidR="004F1CBF" w:rsidRPr="005777FC">
        <w:t>Australian Food and Grocery Council</w:t>
      </w:r>
      <w:r w:rsidR="004F1CBF">
        <w:t xml:space="preserve"> (</w:t>
      </w:r>
      <w:r w:rsidR="00172A6B">
        <w:t>AFGC</w:t>
      </w:r>
      <w:r w:rsidR="004F1CBF">
        <w:t>)</w:t>
      </w:r>
      <w:r w:rsidR="00C645FB">
        <w:t xml:space="preserve"> and</w:t>
      </w:r>
      <w:r w:rsidR="00172A6B">
        <w:t xml:space="preserve"> Department of Health and International Chamber of Commerce indicated there is no desire to expand the CoOL reforms, particularly to the foodservice sector. The ACCC has seen almost no demand from consumers to expand CoOL to the foodservice sector. The Department of Health commented that the cost of expanding CoOL reforms to the foodservice sector would be too costly, in particular for small businesses. </w:t>
      </w:r>
    </w:p>
    <w:p w14:paraId="6AD11C44" w14:textId="13F14950" w:rsidR="00172A6B" w:rsidRDefault="00172A6B" w:rsidP="003623C4">
      <w:r>
        <w:t xml:space="preserve">Concerns were raised </w:t>
      </w:r>
      <w:r w:rsidR="000B3C61">
        <w:t>by</w:t>
      </w:r>
      <w:r w:rsidRPr="002E7F50">
        <w:t xml:space="preserve"> </w:t>
      </w:r>
      <w:r w:rsidR="00DF2F67">
        <w:t>a representative of</w:t>
      </w:r>
      <w:r w:rsidR="000B3C61">
        <w:t xml:space="preserve"> a</w:t>
      </w:r>
      <w:r w:rsidR="0033176B">
        <w:t xml:space="preserve"> peak body for </w:t>
      </w:r>
      <w:r w:rsidR="006C2642">
        <w:t xml:space="preserve">a specific foodservices </w:t>
      </w:r>
      <w:r w:rsidR="00C877FB">
        <w:t>business type</w:t>
      </w:r>
      <w:r w:rsidR="006C2642" w:rsidRPr="002E7F50">
        <w:t xml:space="preserve"> </w:t>
      </w:r>
      <w:r w:rsidRPr="002E7F50">
        <w:t>about</w:t>
      </w:r>
      <w:r>
        <w:t xml:space="preserve"> the impacts of the expansion being widely different for foodservice entities of different sizes. Small cafes and restaurants might face costs that are more burdensome than those faced by larger groups</w:t>
      </w:r>
      <w:r w:rsidR="009215DA">
        <w:t>,</w:t>
      </w:r>
      <w:r>
        <w:t xml:space="preserve"> such as fast-food chains.</w:t>
      </w:r>
      <w:r>
        <w:rPr>
          <w:rStyle w:val="FootnoteReference"/>
        </w:rPr>
        <w:footnoteReference w:id="47"/>
      </w:r>
      <w:r>
        <w:t xml:space="preserve"> </w:t>
      </w:r>
      <w:r w:rsidR="0045294B">
        <w:t>There were additional concerns of its extension</w:t>
      </w:r>
      <w:r w:rsidR="009215DA">
        <w:t>,</w:t>
      </w:r>
      <w:r w:rsidR="0045294B">
        <w:t xml:space="preserve"> given the</w:t>
      </w:r>
      <w:r>
        <w:t xml:space="preserve"> multitude of hardships </w:t>
      </w:r>
      <w:r w:rsidR="0045294B">
        <w:t>experienced by the foodservice sector</w:t>
      </w:r>
      <w:r w:rsidR="009215DA">
        <w:t>,</w:t>
      </w:r>
      <w:r w:rsidR="0045294B">
        <w:t xml:space="preserve"> </w:t>
      </w:r>
      <w:r>
        <w:t>such as bushfires, droughts</w:t>
      </w:r>
      <w:r w:rsidR="009215DA">
        <w:t xml:space="preserve"> and</w:t>
      </w:r>
      <w:r>
        <w:t xml:space="preserve"> COVID-19 would make it impractical (and unaffordable) to consider at this point in time. </w:t>
      </w:r>
      <w:r w:rsidR="0045294B">
        <w:t>It was argued that in</w:t>
      </w:r>
      <w:r>
        <w:t xml:space="preserve"> many cases staff working in dine-in settings should have origin information to provide to consumers </w:t>
      </w:r>
      <w:r w:rsidR="009C7D5B">
        <w:t>as needed</w:t>
      </w:r>
      <w:r w:rsidR="0045294B">
        <w:t>.</w:t>
      </w:r>
      <w:r>
        <w:t xml:space="preserve"> </w:t>
      </w:r>
    </w:p>
    <w:p w14:paraId="61D0951E" w14:textId="6014FADB" w:rsidR="007448FA" w:rsidRDefault="00A42047" w:rsidP="007448FA">
      <w:pPr>
        <w:pStyle w:val="Heading3"/>
        <w:spacing w:before="120"/>
      </w:pPr>
      <w:bookmarkStart w:id="254" w:name="_Toc66396891"/>
      <w:bookmarkStart w:id="255" w:name="_Toc67499094"/>
      <w:bookmarkEnd w:id="254"/>
      <w:r>
        <w:t>S</w:t>
      </w:r>
      <w:r w:rsidR="007448FA">
        <w:t>eafood sold in foodservice settings</w:t>
      </w:r>
      <w:bookmarkEnd w:id="255"/>
    </w:p>
    <w:p w14:paraId="19F58E32" w14:textId="400D94F1" w:rsidR="007448FA" w:rsidRDefault="00A42047" w:rsidP="007448FA">
      <w:r>
        <w:t xml:space="preserve">Some representatives of the </w:t>
      </w:r>
      <w:r w:rsidR="007448FA">
        <w:t>seafood industry consider</w:t>
      </w:r>
      <w:r>
        <w:t xml:space="preserve"> that</w:t>
      </w:r>
      <w:r w:rsidR="007448FA">
        <w:t xml:space="preserve"> it has a somewhat unique case for the extension of </w:t>
      </w:r>
      <w:r w:rsidR="007448FA">
        <w:rPr>
          <w:rFonts w:eastAsia="Calibri" w:cs="Times New Roman"/>
        </w:rPr>
        <w:t>CoOL</w:t>
      </w:r>
      <w:r w:rsidR="007448FA" w:rsidRPr="00CC297D">
        <w:rPr>
          <w:rFonts w:eastAsia="Calibri" w:cs="Times New Roman"/>
        </w:rPr>
        <w:t xml:space="preserve"> </w:t>
      </w:r>
      <w:r w:rsidR="007448FA">
        <w:t>to foodservice settings due to the ‘far higher’ levels of consumer interest in seafood than other food types, and the common misconception that fish sold in Australian venues for immediate consumption is sourced locally, despite the majority being imported.</w:t>
      </w:r>
      <w:r w:rsidR="007448FA">
        <w:rPr>
          <w:rStyle w:val="FootnoteReference"/>
        </w:rPr>
        <w:footnoteReference w:id="48"/>
      </w:r>
      <w:r w:rsidR="007448FA">
        <w:t xml:space="preserve"> </w:t>
      </w:r>
      <w:r w:rsidR="008D524F">
        <w:t>A</w:t>
      </w:r>
      <w:r w:rsidR="007448FA">
        <w:t xml:space="preserve">s previously mentioned in </w:t>
      </w:r>
      <w:r w:rsidR="007E10C3">
        <w:t xml:space="preserve">Section </w:t>
      </w:r>
      <w:r w:rsidR="007E10C3">
        <w:fldChar w:fldCharType="begin"/>
      </w:r>
      <w:r w:rsidR="007E10C3">
        <w:instrText xml:space="preserve"> REF _Ref72181074 \n \h </w:instrText>
      </w:r>
      <w:r w:rsidR="007E10C3">
        <w:fldChar w:fldCharType="separate"/>
      </w:r>
      <w:r w:rsidR="0017363C">
        <w:t>4.1.4</w:t>
      </w:r>
      <w:r w:rsidR="007E10C3">
        <w:fldChar w:fldCharType="end"/>
      </w:r>
      <w:r w:rsidR="008D524F">
        <w:t xml:space="preserve">, </w:t>
      </w:r>
      <w:r w:rsidR="007448FA" w:rsidRPr="00A33958">
        <w:t>seafood</w:t>
      </w:r>
      <w:r w:rsidR="007448FA">
        <w:t xml:space="preserve"> is one of several categories where </w:t>
      </w:r>
      <w:r w:rsidR="007448FA" w:rsidRPr="00A33958">
        <w:t>consumers consider country of origin a major factor in their purchasing</w:t>
      </w:r>
      <w:r w:rsidR="007448FA">
        <w:t xml:space="preserve"> decision</w:t>
      </w:r>
      <w:r w:rsidR="007448FA" w:rsidRPr="00A33958">
        <w:t>.</w:t>
      </w:r>
      <w:r w:rsidR="007448FA">
        <w:t xml:space="preserve"> In addition, it was argued that the standards in sustainability, safety and hygiene in Australia place additional cost on the Australian industry, without consumers (or producers) being able to observe or signal this value.</w:t>
      </w:r>
    </w:p>
    <w:p w14:paraId="7C5CD606" w14:textId="0D22E6F9" w:rsidR="007448FA" w:rsidRDefault="007448FA" w:rsidP="007448FA">
      <w:r>
        <w:t>This will become an increasingly important issue in Australia and as forecast by IBISWorld,</w:t>
      </w:r>
      <w:r>
        <w:rPr>
          <w:rStyle w:val="FootnoteReference"/>
        </w:rPr>
        <w:footnoteReference w:id="49"/>
      </w:r>
      <w:r>
        <w:t xml:space="preserve"> consumers will become increasingly conscious of how their fish and other seafood products are sourced over the next </w:t>
      </w:r>
      <w:r w:rsidR="00073798">
        <w:t xml:space="preserve">5 </w:t>
      </w:r>
      <w:r>
        <w:t xml:space="preserve">years. This rising consciousness is projected to negatively affect </w:t>
      </w:r>
      <w:r>
        <w:lastRenderedPageBreak/>
        <w:t>consumption of imported products over the period, as consumers will not be certain of overseas sustainability measures, particularly in countries with fewer regulations.</w:t>
      </w:r>
    </w:p>
    <w:p w14:paraId="108B976C" w14:textId="470F1BD0" w:rsidR="007448FA" w:rsidRDefault="007448FA" w:rsidP="007448FA">
      <w:r>
        <w:t xml:space="preserve">In a survey conducted by </w:t>
      </w:r>
      <w:r w:rsidR="00552BA6" w:rsidRPr="00552BA6">
        <w:t xml:space="preserve">Fisheries Research and Development Corporation </w:t>
      </w:r>
      <w:r w:rsidR="00552BA6">
        <w:t>(</w:t>
      </w:r>
      <w:r>
        <w:t>FRDC</w:t>
      </w:r>
      <w:r w:rsidR="00552BA6">
        <w:t>)</w:t>
      </w:r>
      <w:r>
        <w:t xml:space="preserve"> in 2019, consumers indicated that for seafood, it is not always stated where it is from, how fresh it is or whether it is sustainable. They raised that having access to this information would be beneficial.</w:t>
      </w:r>
      <w:r>
        <w:rPr>
          <w:rStyle w:val="FootnoteReference"/>
        </w:rPr>
        <w:footnoteReference w:id="50"/>
      </w:r>
      <w:r>
        <w:t xml:space="preserve"> In this survey, consumers also rated the importance of sustainability in their seafood purchases at 6.5/10, putting the issue </w:t>
      </w:r>
      <w:r w:rsidR="002F7E03">
        <w:t xml:space="preserve">tenth </w:t>
      </w:r>
      <w:r>
        <w:t>on a list of 14 considerations. The study did not explain a direct link between those most important considerations and (perceptions around) origin. The most important considerations were product freshness and that the seafood was safe to eat – both of which were rated at 8.3/10 and found to be more important than price</w:t>
      </w:r>
      <w:r w:rsidR="0015058E">
        <w:t>.</w:t>
      </w:r>
      <w:r>
        <w:t xml:space="preserve"> </w:t>
      </w:r>
    </w:p>
    <w:p w14:paraId="563CCBCC" w14:textId="77777777" w:rsidR="007448FA" w:rsidRDefault="007448FA" w:rsidP="007448FA">
      <w:pPr>
        <w:pStyle w:val="Heading3"/>
        <w:spacing w:before="120"/>
      </w:pPr>
      <w:r>
        <w:t>Size and characteristics of Australian seafood industry</w:t>
      </w:r>
    </w:p>
    <w:p w14:paraId="673593E0" w14:textId="29AACBF0" w:rsidR="0015058E" w:rsidRDefault="007448FA" w:rsidP="007448FA">
      <w:r>
        <w:t>Australia’s total apparent consumption of seafood is estimated to have been 341</w:t>
      </w:r>
      <w:r w:rsidR="00C040B4">
        <w:t xml:space="preserve"> </w:t>
      </w:r>
      <w:r>
        <w:t>kt in 2017-18 on a processed edible basis.</w:t>
      </w:r>
      <w:r>
        <w:rPr>
          <w:rStyle w:val="FootnoteReference"/>
        </w:rPr>
        <w:footnoteReference w:id="51"/>
      </w:r>
      <w:r>
        <w:t xml:space="preserve"> Per capita consumption of seafood is trending downwards over time, from a </w:t>
      </w:r>
      <w:r w:rsidR="0015058E">
        <w:t>peak</w:t>
      </w:r>
      <w:r>
        <w:t xml:space="preserve"> of 15.5</w:t>
      </w:r>
      <w:r w:rsidR="008E3138">
        <w:t xml:space="preserve"> </w:t>
      </w:r>
      <w:r>
        <w:t>kg in 2003-04 to 13.7</w:t>
      </w:r>
      <w:r w:rsidR="008E3138">
        <w:t xml:space="preserve"> </w:t>
      </w:r>
      <w:r>
        <w:t xml:space="preserve">kg in 2017-18. However, the overall consumption of meat (including seafood) has remained relatively stable for the </w:t>
      </w:r>
      <w:r w:rsidR="00114352">
        <w:t xml:space="preserve">10 </w:t>
      </w:r>
      <w:r>
        <w:t xml:space="preserve">years to 2017-18 and increased alongside population growth. </w:t>
      </w:r>
    </w:p>
    <w:p w14:paraId="75632879" w14:textId="27031F68" w:rsidR="007448FA" w:rsidRDefault="0015058E" w:rsidP="007448FA">
      <w:r>
        <w:t>D</w:t>
      </w:r>
      <w:r w:rsidR="007448FA">
        <w:t>espite falling per capita consumption</w:t>
      </w:r>
      <w:r>
        <w:t>,</w:t>
      </w:r>
      <w:r w:rsidR="007448FA">
        <w:t xml:space="preserve"> the proportion of seafood consumed from imports has consistently increased from 55.4% in 1998-99 to a peak of 68.6% in 2013-14</w:t>
      </w:r>
      <w:r>
        <w:t>.</w:t>
      </w:r>
      <w:r w:rsidR="00882B94">
        <w:rPr>
          <w:rStyle w:val="FootnoteReference"/>
        </w:rPr>
        <w:footnoteReference w:id="52"/>
      </w:r>
      <w:r w:rsidR="007448FA">
        <w:t xml:space="preserve"> </w:t>
      </w:r>
      <w:r>
        <w:t xml:space="preserve">The latest data (2017-18) suggests that imports have </w:t>
      </w:r>
      <w:r w:rsidR="007448FA">
        <w:t>decreas</w:t>
      </w:r>
      <w:r>
        <w:t xml:space="preserve">ed </w:t>
      </w:r>
      <w:r w:rsidR="007448FA">
        <w:t xml:space="preserve">to 64.9%. This corresponds with a peak in domestic seafood production of </w:t>
      </w:r>
      <w:r w:rsidR="00D64712">
        <w:t>wild caught</w:t>
      </w:r>
      <w:r w:rsidR="007448FA">
        <w:t xml:space="preserve"> fish in 2004-05</w:t>
      </w:r>
      <w:r w:rsidR="00883846">
        <w:t>,</w:t>
      </w:r>
      <w:r w:rsidR="007448FA">
        <w:t xml:space="preserve"> </w:t>
      </w:r>
      <w:r w:rsidR="00883846">
        <w:t>of</w:t>
      </w:r>
      <w:r w:rsidR="007448FA">
        <w:t xml:space="preserve"> 236.3</w:t>
      </w:r>
      <w:r w:rsidR="00817E9B">
        <w:t xml:space="preserve"> </w:t>
      </w:r>
      <w:r w:rsidR="007448FA">
        <w:t>kt</w:t>
      </w:r>
      <w:r w:rsidR="00883846">
        <w:t>,</w:t>
      </w:r>
      <w:r w:rsidR="007448FA">
        <w:t xml:space="preserve"> compared to 173.4</w:t>
      </w:r>
      <w:r w:rsidR="00817E9B">
        <w:t xml:space="preserve"> </w:t>
      </w:r>
      <w:r w:rsidR="007448FA">
        <w:t>kt in 2017-18</w:t>
      </w:r>
      <w:r w:rsidR="00883846">
        <w:t>.</w:t>
      </w:r>
    </w:p>
    <w:p w14:paraId="7814A237" w14:textId="185E73B5" w:rsidR="007448FA" w:rsidRDefault="007448FA" w:rsidP="007448FA">
      <w:r>
        <w:t xml:space="preserve">As shown below, the apparent consumption of Australian seafood has remained relatively </w:t>
      </w:r>
      <w:r w:rsidR="001636F1">
        <w:t xml:space="preserve">constant </w:t>
      </w:r>
      <w:r>
        <w:t xml:space="preserve">over time, where the increase in consumption of seafood is predominantly met </w:t>
      </w:r>
      <w:r w:rsidR="005A12AD">
        <w:t>through</w:t>
      </w:r>
      <w:r>
        <w:t xml:space="preserve"> </w:t>
      </w:r>
      <w:r w:rsidR="005A12AD">
        <w:t>imports</w:t>
      </w:r>
      <w:r>
        <w:t>. It should</w:t>
      </w:r>
      <w:r w:rsidR="00A877EA">
        <w:t>,</w:t>
      </w:r>
      <w:r>
        <w:t xml:space="preserve"> therefore</w:t>
      </w:r>
      <w:r w:rsidR="00A877EA">
        <w:t>,</w:t>
      </w:r>
      <w:r>
        <w:t xml:space="preserve"> be noted that the supply of Australian</w:t>
      </w:r>
      <w:r w:rsidR="00A877EA">
        <w:t>-</w:t>
      </w:r>
      <w:r w:rsidR="005A12AD">
        <w:t xml:space="preserve">produced </w:t>
      </w:r>
      <w:r>
        <w:t>seafood is relatively fixed, where limited local supply of wild-caught fish is anticipated to contribute to higher domestic fish and other seafood prices</w:t>
      </w:r>
      <w:r w:rsidR="005A12AD">
        <w:t xml:space="preserve"> in the foreseeable future</w:t>
      </w:r>
      <w:r>
        <w:t>.</w:t>
      </w:r>
      <w:r>
        <w:rPr>
          <w:rStyle w:val="FootnoteReference"/>
        </w:rPr>
        <w:footnoteReference w:id="53"/>
      </w:r>
    </w:p>
    <w:p w14:paraId="6087DC74" w14:textId="70BE933F" w:rsidR="00804878" w:rsidRDefault="0085002E" w:rsidP="00804878">
      <w:pPr>
        <w:pStyle w:val="CaptionChart"/>
      </w:pPr>
      <w:bookmarkStart w:id="256" w:name="_Toc82590352"/>
      <w:r>
        <w:lastRenderedPageBreak/>
        <w:t>:</w:t>
      </w:r>
      <w:r w:rsidR="007448FA">
        <w:t xml:space="preserve"> Consumption of seafood in Australia and share of imports over time</w:t>
      </w:r>
      <w:bookmarkEnd w:id="256"/>
    </w:p>
    <w:p w14:paraId="2F664A14" w14:textId="03DDB16C" w:rsidR="00804878" w:rsidRDefault="00804878" w:rsidP="007D4F11">
      <w:pPr>
        <w:pStyle w:val="Source"/>
        <w:spacing w:before="60" w:after="120"/>
      </w:pPr>
      <w:r w:rsidRPr="00804878">
        <w:rPr>
          <w:noProof/>
          <w:lang w:eastAsia="en-AU"/>
        </w:rPr>
        <w:drawing>
          <wp:inline distT="0" distB="0" distL="0" distR="0" wp14:anchorId="3D5298D0" wp14:editId="3DF39532">
            <wp:extent cx="5654675" cy="2691765"/>
            <wp:effectExtent l="0" t="0" r="3175" b="0"/>
            <wp:docPr id="48" name="Picture 48" descr="Findings are: apparent total consumption increased from 239kt to 341kt from 1998-99 to 2017-18. Percentage of consumption from imports increased from 55.4% to 64.9% from 1998-99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ndings are: apparent total consumption increased from 239kt to 341kt from 1998-99 to 2017-18. Percentage of consumption from imports increased from 55.4% to 64.9% from 1998-99 to 2017-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4675" cy="2691765"/>
                    </a:xfrm>
                    <a:prstGeom prst="rect">
                      <a:avLst/>
                    </a:prstGeom>
                    <a:noFill/>
                    <a:ln>
                      <a:noFill/>
                    </a:ln>
                  </pic:spPr>
                </pic:pic>
              </a:graphicData>
            </a:graphic>
          </wp:inline>
        </w:drawing>
      </w:r>
    </w:p>
    <w:p w14:paraId="0FFFAAAC" w14:textId="5721311F" w:rsidR="007448FA" w:rsidRDefault="007448FA" w:rsidP="007D4F11">
      <w:pPr>
        <w:pStyle w:val="Source"/>
        <w:spacing w:before="60" w:after="120"/>
      </w:pPr>
      <w:r w:rsidRPr="00842E04">
        <w:t>Source:</w:t>
      </w:r>
      <w:r>
        <w:t xml:space="preserve"> Deloitte Access Economics using</w:t>
      </w:r>
      <w:r w:rsidRPr="00842E04">
        <w:t xml:space="preserve"> </w:t>
      </w:r>
      <w:r>
        <w:t>ABARES data, Table 4: Apparent consumption of seafood, Australia, 1998-99 to 2017-18.</w:t>
      </w:r>
    </w:p>
    <w:p w14:paraId="5E434626" w14:textId="4771A5B0" w:rsidR="007448FA" w:rsidRDefault="005351B6" w:rsidP="007448FA">
      <w:pPr>
        <w:pStyle w:val="CaptionChart"/>
      </w:pPr>
      <w:bookmarkStart w:id="257" w:name="_Toc82590353"/>
      <w:r>
        <w:t>:</w:t>
      </w:r>
      <w:r w:rsidR="007448FA">
        <w:t xml:space="preserve"> Apparent consumption of seafood in Australia by source, over time</w:t>
      </w:r>
      <w:bookmarkEnd w:id="257"/>
    </w:p>
    <w:p w14:paraId="7B0196F1" w14:textId="30B390A1" w:rsidR="000D26AD" w:rsidRDefault="000D26AD" w:rsidP="00D956A9">
      <w:pPr>
        <w:pStyle w:val="Source"/>
        <w:spacing w:before="0" w:after="0"/>
      </w:pPr>
      <w:r w:rsidRPr="000D26AD">
        <w:rPr>
          <w:noProof/>
          <w:lang w:eastAsia="en-AU"/>
        </w:rPr>
        <w:drawing>
          <wp:inline distT="0" distB="0" distL="0" distR="0" wp14:anchorId="7D9431B8" wp14:editId="6CE40739">
            <wp:extent cx="5659120" cy="2700020"/>
            <wp:effectExtent l="0" t="0" r="0" b="5080"/>
            <wp:docPr id="49" name="Picture 49" descr="This chart shows consumption from domestic production has peaked and troughed over time and other than a peak in 2002-2002 has remained below the consumption from imports. Apparent consumption from imports (kt) increased from 132.4kt to 221.5kt from 1998-99 to 2017-18. Apparent consumption from domestic production increased from 106.6kt to 119.8kt from 1998-99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chart shows consumption from domestic production has peaked and troughed over time and other than a peak in 2002-2002 has remained below the consumption from imports. Apparent consumption from imports (kt) increased from 132.4kt to 221.5kt from 1998-99 to 2017-18. Apparent consumption from domestic production increased from 106.6kt to 119.8kt from 1998-99 to 2017-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59120" cy="2700020"/>
                    </a:xfrm>
                    <a:prstGeom prst="rect">
                      <a:avLst/>
                    </a:prstGeom>
                    <a:noFill/>
                    <a:ln>
                      <a:noFill/>
                    </a:ln>
                  </pic:spPr>
                </pic:pic>
              </a:graphicData>
            </a:graphic>
          </wp:inline>
        </w:drawing>
      </w:r>
    </w:p>
    <w:p w14:paraId="139813F1" w14:textId="10EC0927" w:rsidR="00D85FFD" w:rsidRPr="00D85FFD" w:rsidRDefault="007448FA" w:rsidP="00D85FFD">
      <w:pPr>
        <w:pStyle w:val="Source"/>
        <w:spacing w:before="0" w:after="0"/>
      </w:pPr>
      <w:r w:rsidRPr="00842E04">
        <w:t xml:space="preserve">Source: </w:t>
      </w:r>
      <w:r>
        <w:t>Deloitte Access Economics using ABARES data, Table 4: Apparent consumption of seafood, Australia, 1998-99 to 2017-18.</w:t>
      </w:r>
    </w:p>
    <w:p w14:paraId="68A232FB" w14:textId="77777777" w:rsidR="007448FA" w:rsidRDefault="007448FA" w:rsidP="00A977AD">
      <w:pPr>
        <w:pStyle w:val="Heading4"/>
        <w:numPr>
          <w:ilvl w:val="3"/>
          <w:numId w:val="44"/>
        </w:numPr>
      </w:pPr>
      <w:r>
        <w:t>Dimensions of seafood industry</w:t>
      </w:r>
    </w:p>
    <w:p w14:paraId="318AA6B8" w14:textId="7A899F19" w:rsidR="007448FA" w:rsidRDefault="007448FA" w:rsidP="007448FA">
      <w:r>
        <w:t xml:space="preserve">The </w:t>
      </w:r>
      <w:r w:rsidR="00DF1A55">
        <w:t xml:space="preserve">Australian </w:t>
      </w:r>
      <w:r>
        <w:t xml:space="preserve">seafood industry can be dissected </w:t>
      </w:r>
      <w:r w:rsidR="00E3380E">
        <w:t>into</w:t>
      </w:r>
      <w:r>
        <w:t xml:space="preserve"> seafood retailing, wholesaling and processing, comprising of:</w:t>
      </w:r>
    </w:p>
    <w:p w14:paraId="252FA7C1" w14:textId="12790B51" w:rsidR="00DF1A55" w:rsidRDefault="007448FA" w:rsidP="007448FA">
      <w:pPr>
        <w:pStyle w:val="ListBullet"/>
      </w:pPr>
      <w:r>
        <w:t xml:space="preserve">Seafood retailing, with </w:t>
      </w:r>
      <w:r w:rsidR="00DF1A55">
        <w:t xml:space="preserve">an </w:t>
      </w:r>
      <w:r>
        <w:t>estimated annual industry revenue of $935.9 million ($24.3 million in profit)</w:t>
      </w:r>
      <w:r w:rsidR="00DF1A55">
        <w:t>. This segment</w:t>
      </w:r>
      <w:r>
        <w:t xml:space="preserve"> compris</w:t>
      </w:r>
      <w:r w:rsidR="00DF1A55">
        <w:t>es</w:t>
      </w:r>
      <w:r>
        <w:t xml:space="preserve"> of specialised retailers that sell fish, shellfish and molluscs </w:t>
      </w:r>
      <w:r w:rsidR="00DF1A55">
        <w:t xml:space="preserve">and </w:t>
      </w:r>
      <w:r>
        <w:t>exclud</w:t>
      </w:r>
      <w:r w:rsidR="00DF1A55">
        <w:t xml:space="preserve">es </w:t>
      </w:r>
      <w:r>
        <w:t>mass retailers such as supermarkets</w:t>
      </w:r>
      <w:r w:rsidR="00322403">
        <w:t>.</w:t>
      </w:r>
    </w:p>
    <w:p w14:paraId="37932174" w14:textId="48B3D022" w:rsidR="00DF1A55" w:rsidRDefault="007448FA" w:rsidP="00DF1A55">
      <w:pPr>
        <w:pStyle w:val="ListBullet2"/>
      </w:pPr>
      <w:r>
        <w:t>Households represent the major market for the Seafood Retailing industry</w:t>
      </w:r>
      <w:r w:rsidR="00322403">
        <w:t>.</w:t>
      </w:r>
    </w:p>
    <w:p w14:paraId="2F2AAB06" w14:textId="3DDF7936" w:rsidR="007448FA" w:rsidRDefault="007448FA" w:rsidP="00DF1A55">
      <w:pPr>
        <w:pStyle w:val="ListBullet2"/>
      </w:pPr>
      <w:r>
        <w:lastRenderedPageBreak/>
        <w:t>However, some seafood meal providers</w:t>
      </w:r>
      <w:r w:rsidR="000A03CC">
        <w:rPr>
          <w:rStyle w:val="FootnoteReference"/>
        </w:rPr>
        <w:footnoteReference w:id="54"/>
      </w:r>
      <w:r>
        <w:t xml:space="preserve"> may ‘occasionally purchase items from industry operators’.</w:t>
      </w:r>
      <w:r>
        <w:rPr>
          <w:rStyle w:val="FootnoteReference"/>
        </w:rPr>
        <w:footnoteReference w:id="55"/>
      </w:r>
      <w:r>
        <w:t xml:space="preserve"> </w:t>
      </w:r>
    </w:p>
    <w:p w14:paraId="430CB0FB" w14:textId="2E7BFF47" w:rsidR="000A03CC" w:rsidRDefault="007448FA" w:rsidP="007448FA">
      <w:pPr>
        <w:pStyle w:val="ListBullet"/>
      </w:pPr>
      <w:r>
        <w:t>Fish and seafood wholesaling in Australia, with an estimated annual revenue of $4.3 billion ($89.3 million profit)</w:t>
      </w:r>
      <w:r w:rsidR="000A03CC">
        <w:t>. This segment</w:t>
      </w:r>
      <w:r>
        <w:t xml:space="preserve"> compris</w:t>
      </w:r>
      <w:r w:rsidR="000A03CC">
        <w:t>es</w:t>
      </w:r>
      <w:r>
        <w:t xml:space="preserve"> of industry operators</w:t>
      </w:r>
      <w:r w:rsidR="00322403">
        <w:t>,</w:t>
      </w:r>
      <w:r>
        <w:t xml:space="preserve"> primarily </w:t>
      </w:r>
      <w:r w:rsidR="000A03CC">
        <w:t xml:space="preserve">involved </w:t>
      </w:r>
      <w:r>
        <w:t>in the purchase of fish and seafood from the aquaculture, wild fishing and seafood processing industries</w:t>
      </w:r>
      <w:r w:rsidR="00322403">
        <w:t>.</w:t>
      </w:r>
      <w:r>
        <w:rPr>
          <w:rStyle w:val="FootnoteReference"/>
        </w:rPr>
        <w:footnoteReference w:id="56"/>
      </w:r>
      <w:r>
        <w:t xml:space="preserve"> </w:t>
      </w:r>
    </w:p>
    <w:p w14:paraId="4E745185" w14:textId="2D492787" w:rsidR="000A03CC" w:rsidRDefault="007448FA" w:rsidP="000A03CC">
      <w:pPr>
        <w:pStyle w:val="ListBullet2"/>
      </w:pPr>
      <w:r>
        <w:t>The largest buyers from this sector are foodservice establishments</w:t>
      </w:r>
      <w:r w:rsidR="00316293">
        <w:t>,</w:t>
      </w:r>
      <w:r>
        <w:t xml:space="preserve"> including restaurants, cafes, clubs, fast-food outlets and hotels (purchasing 49.9%) and a further 7.1% purchased for sale at fish and chip shops</w:t>
      </w:r>
      <w:r w:rsidR="00316293">
        <w:t>.</w:t>
      </w:r>
    </w:p>
    <w:p w14:paraId="12EFD847" w14:textId="087A5F8B" w:rsidR="007448FA" w:rsidRDefault="007448FA" w:rsidP="000A03CC">
      <w:pPr>
        <w:pStyle w:val="ListBullet2"/>
      </w:pPr>
      <w:r>
        <w:t>Other major customers of this sector include retailers/supermarkets (31.6%) and fishmongers (11.4%).</w:t>
      </w:r>
    </w:p>
    <w:p w14:paraId="341E526F" w14:textId="6A7E3B29" w:rsidR="00CF5D19" w:rsidRDefault="007448FA" w:rsidP="007448FA">
      <w:pPr>
        <w:pStyle w:val="ListBullet"/>
      </w:pPr>
      <w:r>
        <w:t>Seafood processing</w:t>
      </w:r>
      <w:r>
        <w:rPr>
          <w:rStyle w:val="FootnoteReference"/>
        </w:rPr>
        <w:footnoteReference w:id="57"/>
      </w:r>
      <w:r>
        <w:t>, with an estimated industry revenue of $940.9 million</w:t>
      </w:r>
      <w:r w:rsidR="00316293">
        <w:t>.</w:t>
      </w:r>
      <w:r>
        <w:t xml:space="preserve"> </w:t>
      </w:r>
    </w:p>
    <w:p w14:paraId="1648E021" w14:textId="2CF0FCC8" w:rsidR="007448FA" w:rsidRDefault="00CF5D19" w:rsidP="00CF5D19">
      <w:pPr>
        <w:pStyle w:val="ListBullet2"/>
      </w:pPr>
      <w:r>
        <w:t>A</w:t>
      </w:r>
      <w:r w:rsidR="007448FA">
        <w:t xml:space="preserve">pproximately 10% of the production from this market </w:t>
      </w:r>
      <w:r>
        <w:t xml:space="preserve">segment is </w:t>
      </w:r>
      <w:r w:rsidR="007448FA">
        <w:t>estimated to be destined for the foodservice (restaurant) sector.</w:t>
      </w:r>
      <w:r w:rsidR="007448FA">
        <w:rPr>
          <w:rStyle w:val="FootnoteReference"/>
        </w:rPr>
        <w:footnoteReference w:id="58"/>
      </w:r>
      <w:r w:rsidR="007448FA">
        <w:t xml:space="preserve">  </w:t>
      </w:r>
    </w:p>
    <w:p w14:paraId="04CB1EA5" w14:textId="5104D33D" w:rsidR="007448FA" w:rsidRDefault="00B4309A" w:rsidP="00B4309A">
      <w:r>
        <w:t>Australia-wide, there are approximately 46,000</w:t>
      </w:r>
      <w:r>
        <w:rPr>
          <w:rStyle w:val="FootnoteReference"/>
        </w:rPr>
        <w:footnoteReference w:id="59"/>
      </w:r>
      <w:r>
        <w:t xml:space="preserve"> foodservice sector businesses that supply seafood as part of their menu.</w:t>
      </w:r>
      <w:r>
        <w:rPr>
          <w:rStyle w:val="FootnoteReference"/>
        </w:rPr>
        <w:footnoteReference w:id="60"/>
      </w:r>
      <w:r>
        <w:t xml:space="preserve"> </w:t>
      </w:r>
      <w:r w:rsidR="007448FA">
        <w:t xml:space="preserve">The </w:t>
      </w:r>
      <w:r w:rsidR="00CF5D19">
        <w:t xml:space="preserve">dissection of the industry by segments </w:t>
      </w:r>
      <w:r w:rsidR="00C66F0A">
        <w:t xml:space="preserve">(above) </w:t>
      </w:r>
      <w:r w:rsidR="00CF5D19">
        <w:t xml:space="preserve">indicates </w:t>
      </w:r>
      <w:r w:rsidR="007448FA">
        <w:t xml:space="preserve">the extent of seafood production not currently covered by CoOL regulations, which </w:t>
      </w:r>
      <w:r w:rsidR="00CF5D19">
        <w:t>may be</w:t>
      </w:r>
      <w:r w:rsidR="007448FA">
        <w:t xml:space="preserve"> impacted if CoOL w</w:t>
      </w:r>
      <w:r w:rsidR="00CF5D19">
        <w:t>ere</w:t>
      </w:r>
      <w:r w:rsidR="007448FA">
        <w:t xml:space="preserve"> extended </w:t>
      </w:r>
      <w:r w:rsidR="00CC60EF">
        <w:t>to the</w:t>
      </w:r>
      <w:r w:rsidR="007448FA">
        <w:t xml:space="preserve"> foodservice sector </w:t>
      </w:r>
      <w:r w:rsidR="00CC60EF">
        <w:t>(</w:t>
      </w:r>
      <w:r w:rsidR="007448FA">
        <w:t>for seafood purchases</w:t>
      </w:r>
      <w:r w:rsidR="00CC60EF">
        <w:t>)</w:t>
      </w:r>
      <w:r w:rsidR="007448FA">
        <w:t xml:space="preserve">. </w:t>
      </w:r>
      <w:r w:rsidR="00CF5D19">
        <w:t>This would predominantly comprise of f</w:t>
      </w:r>
      <w:r w:rsidR="007448FA">
        <w:t xml:space="preserve">ish and seafood wholesaling (with up to 57% of the industry potentially impacted), and a further small component (potentially 10%) of the seafood processing sector. </w:t>
      </w:r>
    </w:p>
    <w:p w14:paraId="7F634C72" w14:textId="05EA56FF" w:rsidR="007448FA" w:rsidRDefault="007448FA" w:rsidP="007448FA">
      <w:pPr>
        <w:pStyle w:val="Heading4"/>
      </w:pPr>
      <w:r>
        <w:t>Background to CoOL considerations for seafood in foodservice sector</w:t>
      </w:r>
    </w:p>
    <w:p w14:paraId="199719E4" w14:textId="77777777" w:rsidR="00C20F1C" w:rsidRDefault="007448FA" w:rsidP="00F56B18">
      <w:r>
        <w:t>Australia’s level and composition of seafood production means that imports are required to fill the gap between Australia’s seafood consumption and local seafood supply.</w:t>
      </w:r>
      <w:r>
        <w:rPr>
          <w:rStyle w:val="FootnoteReference"/>
        </w:rPr>
        <w:footnoteReference w:id="61"/>
      </w:r>
      <w:r w:rsidR="00CC60EF">
        <w:t xml:space="preserve"> </w:t>
      </w:r>
      <w:r>
        <w:t>The seafood sector has long lobbied to have CoOL extended to seafood sales in the foodservice sector</w:t>
      </w:r>
      <w:r w:rsidR="00C20F1C">
        <w:t>, and t</w:t>
      </w:r>
      <w:r>
        <w:t xml:space="preserve">he Northern Territory (NT) already requires </w:t>
      </w:r>
      <w:r>
        <w:rPr>
          <w:rFonts w:eastAsia="Calibri" w:cs="Times New Roman"/>
        </w:rPr>
        <w:t>CoOL</w:t>
      </w:r>
      <w:r>
        <w:t xml:space="preserve"> on seafood sold in foodservice settings.</w:t>
      </w:r>
      <w:r w:rsidR="00F56B18">
        <w:rPr>
          <w:rStyle w:val="FootnoteReference"/>
        </w:rPr>
        <w:footnoteReference w:id="62"/>
      </w:r>
      <w:r>
        <w:t xml:space="preserve"> </w:t>
      </w:r>
    </w:p>
    <w:p w14:paraId="278058FF" w14:textId="0467B4FE" w:rsidR="00F56B18" w:rsidRDefault="00BC4A68" w:rsidP="00F56B18">
      <w:r>
        <w:t>The NT requirements apply to all venues selling seafood to the public for consumption and were brought into effect to assist consumers to make informed seafood choices.</w:t>
      </w:r>
      <w:r>
        <w:rPr>
          <w:rStyle w:val="FootnoteReference"/>
        </w:rPr>
        <w:footnoteReference w:id="63"/>
      </w:r>
      <w:r>
        <w:t xml:space="preserve"> </w:t>
      </w:r>
      <w:r w:rsidR="00F56B18">
        <w:t>The introduction of the NT scheme is estimated to have cost, on average, $630 per business to implement (in 2008 dollars),</w:t>
      </w:r>
      <w:r w:rsidR="00F56B18">
        <w:rPr>
          <w:rStyle w:val="FootnoteReference"/>
        </w:rPr>
        <w:footnoteReference w:id="64"/>
      </w:r>
      <w:r w:rsidR="00F56B18">
        <w:t xml:space="preserve"> while the industry is reported to have experienced some ‘huge’ advantages, according to one stakeholder. </w:t>
      </w:r>
    </w:p>
    <w:p w14:paraId="73A79320" w14:textId="3916B56A" w:rsidR="007448FA" w:rsidRDefault="007448FA" w:rsidP="007448FA">
      <w:r>
        <w:t xml:space="preserve">The 2014 Parliamentary Standing Committee </w:t>
      </w:r>
      <w:r w:rsidR="00AA4D0C">
        <w:t>i</w:t>
      </w:r>
      <w:r>
        <w:t xml:space="preserve">nquiry paper, </w:t>
      </w:r>
      <w:r w:rsidRPr="005C5BE0">
        <w:rPr>
          <w:i/>
          <w:iCs/>
        </w:rPr>
        <w:t>A clearer message for consumers</w:t>
      </w:r>
      <w:r>
        <w:t xml:space="preserve">, recommended ‘that the NT </w:t>
      </w:r>
      <w:r>
        <w:rPr>
          <w:rFonts w:eastAsia="Calibri" w:cs="Times New Roman"/>
        </w:rPr>
        <w:t>CoOL</w:t>
      </w:r>
      <w:r w:rsidRPr="00CC297D">
        <w:rPr>
          <w:rFonts w:eastAsia="Calibri" w:cs="Times New Roman"/>
        </w:rPr>
        <w:t xml:space="preserve"> </w:t>
      </w:r>
      <w:r>
        <w:t xml:space="preserve">of seafood in the foodservice sector be referred to the Council of Australian Governments for consideration’. In March 2015, a Bill was introduced to implement the </w:t>
      </w:r>
      <w:r w:rsidR="007B77B6">
        <w:lastRenderedPageBreak/>
        <w:t>i</w:t>
      </w:r>
      <w:r>
        <w:t>nquiry’s recommendations.</w:t>
      </w:r>
      <w:r>
        <w:rPr>
          <w:rStyle w:val="FootnoteReference"/>
        </w:rPr>
        <w:footnoteReference w:id="65"/>
      </w:r>
      <w:r>
        <w:t xml:space="preserve"> The Bill proposed amending the </w:t>
      </w:r>
      <w:r w:rsidRPr="002C059C">
        <w:rPr>
          <w:i/>
          <w:iCs/>
        </w:rPr>
        <w:t>Food Standards Australia New Zealand Act 1991</w:t>
      </w:r>
      <w:r w:rsidRPr="00B82B23">
        <w:t xml:space="preserve"> to provide a standard which would require fish sold for immediate consumption to be labelled according to existing CoOL requirements. </w:t>
      </w:r>
      <w:r>
        <w:t xml:space="preserve">However, it was rejected, in part due to a view that </w:t>
      </w:r>
      <w:r w:rsidRPr="00B82B23">
        <w:t>‘it is actually the responsibility of the states and territories’.</w:t>
      </w:r>
      <w:r>
        <w:rPr>
          <w:rStyle w:val="FootnoteReference"/>
        </w:rPr>
        <w:footnoteReference w:id="66"/>
      </w:r>
      <w:r w:rsidRPr="00B82B23">
        <w:t xml:space="preserve"> </w:t>
      </w:r>
    </w:p>
    <w:p w14:paraId="7EC431B3" w14:textId="42A1ED57" w:rsidR="007448FA" w:rsidRDefault="00924F58" w:rsidP="007448FA">
      <w:r>
        <w:t>I</w:t>
      </w:r>
      <w:r w:rsidR="007448FA" w:rsidRPr="002C059C">
        <w:t xml:space="preserve">n 2016, as part of the negotiations for the </w:t>
      </w:r>
      <w:r w:rsidR="007448FA">
        <w:t xml:space="preserve">CoOL </w:t>
      </w:r>
      <w:r w:rsidR="007448FA" w:rsidRPr="002C059C">
        <w:t xml:space="preserve">reforms, all state and territory ministers </w:t>
      </w:r>
      <w:r w:rsidR="007448FA">
        <w:t>partaking in</w:t>
      </w:r>
      <w:r w:rsidR="007448FA" w:rsidRPr="002C059C">
        <w:t xml:space="preserve"> the Legislative and Governance Forum on Consumer Affairs (CAF) agreed to continue the exemption of mandatory CoOL in foodservice, including seafood and fast food. </w:t>
      </w:r>
    </w:p>
    <w:p w14:paraId="47B3A2A1" w14:textId="1DDAB609" w:rsidR="007448FA" w:rsidRDefault="00924F58" w:rsidP="007448FA">
      <w:r>
        <w:t>However, t</w:t>
      </w:r>
      <w:r w:rsidR="007448FA">
        <w:t>he</w:t>
      </w:r>
      <w:r w:rsidR="007448FA" w:rsidRPr="002C059C">
        <w:t xml:space="preserve"> Commonwealth</w:t>
      </w:r>
      <w:r w:rsidR="007448FA">
        <w:t xml:space="preserve"> undertook a</w:t>
      </w:r>
      <w:r w:rsidR="007448FA" w:rsidRPr="002C059C">
        <w:t xml:space="preserve"> consultation process in 2017</w:t>
      </w:r>
      <w:r w:rsidR="007448FA">
        <w:t xml:space="preserve"> to consider the issues surrounding consumer access to seafood origin information in foodservice purchases. Subsequent to this process, </w:t>
      </w:r>
      <w:r w:rsidR="007448FA" w:rsidRPr="002C059C">
        <w:t>the Australian and New Zealand Ministerial Forum on Food Regulation considered the issue of seafood origin labelling in foodservice in October 2018. The Forum noted, based on extensive consumer research</w:t>
      </w:r>
      <w:r w:rsidR="007448FA">
        <w:t xml:space="preserve">, that there was </w:t>
      </w:r>
      <w:r w:rsidR="007448FA" w:rsidRPr="002C059C">
        <w:t>insufficient evidence to warrant extension of origin labelling to seafood in the foodservice sector</w:t>
      </w:r>
      <w:r w:rsidR="007448FA">
        <w:t>.</w:t>
      </w:r>
    </w:p>
    <w:p w14:paraId="5172C50B" w14:textId="0DA5D078" w:rsidR="007448FA" w:rsidRPr="00E53797" w:rsidRDefault="007448FA" w:rsidP="007448FA">
      <w:r w:rsidRPr="008C218A">
        <w:t xml:space="preserve">When </w:t>
      </w:r>
      <w:r w:rsidRPr="002C059C">
        <w:t xml:space="preserve">CAF was requested </w:t>
      </w:r>
      <w:r w:rsidRPr="008C218A">
        <w:t xml:space="preserve">in 2018 </w:t>
      </w:r>
      <w:r w:rsidRPr="002C059C">
        <w:t>to further consider the matter of seafood origin labelling with respect to any new evidence and experience</w:t>
      </w:r>
      <w:r w:rsidRPr="008C218A">
        <w:t xml:space="preserve">, </w:t>
      </w:r>
      <w:r>
        <w:t xml:space="preserve">it </w:t>
      </w:r>
      <w:r w:rsidR="00665E27">
        <w:t xml:space="preserve">was </w:t>
      </w:r>
      <w:r>
        <w:t>decided</w:t>
      </w:r>
      <w:r w:rsidRPr="002C059C">
        <w:t xml:space="preserve"> </w:t>
      </w:r>
      <w:r w:rsidR="00665E27">
        <w:t xml:space="preserve">that there </w:t>
      </w:r>
      <w:r w:rsidRPr="002C059C">
        <w:t xml:space="preserve">would be no further changes to the </w:t>
      </w:r>
      <w:r>
        <w:t>ACL</w:t>
      </w:r>
      <w:r w:rsidRPr="002C059C">
        <w:t xml:space="preserve"> on </w:t>
      </w:r>
      <w:r>
        <w:rPr>
          <w:rFonts w:eastAsia="Calibri" w:cs="Times New Roman"/>
        </w:rPr>
        <w:t>CoOL</w:t>
      </w:r>
      <w:r w:rsidRPr="00CC297D">
        <w:rPr>
          <w:rFonts w:eastAsia="Calibri" w:cs="Times New Roman"/>
        </w:rPr>
        <w:t xml:space="preserve"> </w:t>
      </w:r>
      <w:r w:rsidRPr="002C059C">
        <w:t>at that time</w:t>
      </w:r>
      <w:r>
        <w:t>.</w:t>
      </w:r>
      <w:r>
        <w:rPr>
          <w:rStyle w:val="FootnoteReference"/>
          <w:rFonts w:eastAsia="Times New Roman"/>
        </w:rPr>
        <w:footnoteReference w:id="67"/>
      </w:r>
    </w:p>
    <w:p w14:paraId="3AFE0692" w14:textId="5BA2172A" w:rsidR="007448FA" w:rsidRDefault="00FC20E6" w:rsidP="007448FA">
      <w:pPr>
        <w:pStyle w:val="Heading4"/>
      </w:pPr>
      <w:r>
        <w:t xml:space="preserve">Key considerations </w:t>
      </w:r>
      <w:r w:rsidR="00513E6C">
        <w:t>relating to seafood</w:t>
      </w:r>
    </w:p>
    <w:p w14:paraId="3E4EE522" w14:textId="7DABB44B" w:rsidR="007448FA" w:rsidRPr="00F60A63" w:rsidRDefault="007448FA" w:rsidP="007448FA">
      <w:r w:rsidRPr="00D553B0">
        <w:t xml:space="preserve">There is a </w:t>
      </w:r>
      <w:r w:rsidR="00513E6C">
        <w:t xml:space="preserve">stated preference from </w:t>
      </w:r>
      <w:r w:rsidR="00D17EFF">
        <w:t>some representatives</w:t>
      </w:r>
      <w:r w:rsidRPr="001E4253">
        <w:t xml:space="preserve"> </w:t>
      </w:r>
      <w:r w:rsidR="00D17EFF">
        <w:t>of</w:t>
      </w:r>
      <w:r w:rsidRPr="001E4253">
        <w:t xml:space="preserve"> the seafood industry to expand the CoOL requirements to seafood sold in foodservice settings. </w:t>
      </w:r>
      <w:r w:rsidR="006044A9">
        <w:t xml:space="preserve">Some consumers expressed similar sentiments </w:t>
      </w:r>
      <w:r w:rsidR="00366928">
        <w:t xml:space="preserve">through focus groups and shopper interviews. </w:t>
      </w:r>
      <w:r>
        <w:t xml:space="preserve">However, </w:t>
      </w:r>
      <w:r w:rsidR="00266065">
        <w:t>as was emphasised by foodservice industry representatives, all impact</w:t>
      </w:r>
      <w:r w:rsidR="00242F21">
        <w:t>s of such a suggestion require careful consideration – including the costs this would impose on these businesses</w:t>
      </w:r>
      <w:r w:rsidRPr="00D553B0">
        <w:t>.</w:t>
      </w:r>
    </w:p>
    <w:p w14:paraId="73B917E0" w14:textId="2D3B473D" w:rsidR="007448FA" w:rsidRDefault="007448FA" w:rsidP="007448FA">
      <w:r w:rsidRPr="00D553B0">
        <w:t xml:space="preserve">The view of several groups </w:t>
      </w:r>
      <w:r>
        <w:t>i</w:t>
      </w:r>
      <w:r w:rsidRPr="00C747DE">
        <w:t xml:space="preserve">s that the current exemption </w:t>
      </w:r>
      <w:r>
        <w:t>for</w:t>
      </w:r>
      <w:r w:rsidRPr="00C747DE">
        <w:t xml:space="preserve"> seafood sold in foodservice settings </w:t>
      </w:r>
      <w:r>
        <w:t>means consumers</w:t>
      </w:r>
      <w:r w:rsidRPr="00C747DE">
        <w:t xml:space="preserve"> are denied the opportunity to make informed choices at the point of sale.</w:t>
      </w:r>
      <w:r w:rsidRPr="00783434">
        <w:t xml:space="preserve"> </w:t>
      </w:r>
      <w:r>
        <w:t xml:space="preserve">Representatives of the prawn farm industry </w:t>
      </w:r>
      <w:r w:rsidRPr="00783434">
        <w:t>suggest that consumers are unaware</w:t>
      </w:r>
      <w:r>
        <w:t xml:space="preserve"> of t</w:t>
      </w:r>
      <w:r w:rsidR="00924F58">
        <w:t xml:space="preserve">he extent </w:t>
      </w:r>
      <w:r w:rsidR="006E77E4">
        <w:t>to which their seafood is imported</w:t>
      </w:r>
      <w:r w:rsidRPr="00783434">
        <w:t>.</w:t>
      </w:r>
      <w:r>
        <w:t xml:space="preserve"> Of all seafood which is imported into Australia, approximately 64% came from Thailand, China, Vietnam and New Zealand in 2017-18. Almost all of these imports were shipped (94%) to Australia (as it is less important to preserve the quality of lower unit value products such as canned or frozen Finfish). This is in comparison to 78% of Australian exports</w:t>
      </w:r>
      <w:r w:rsidR="00665E27">
        <w:t>,</w:t>
      </w:r>
      <w:r>
        <w:t xml:space="preserve"> which were airfreighted.</w:t>
      </w:r>
      <w:r>
        <w:rPr>
          <w:rStyle w:val="FootnoteReference"/>
        </w:rPr>
        <w:footnoteReference w:id="68"/>
      </w:r>
    </w:p>
    <w:p w14:paraId="1ED5D401" w14:textId="785E0EC8" w:rsidR="007448FA" w:rsidRDefault="007448FA" w:rsidP="007448FA">
      <w:r>
        <w:t>Representatives from a seafood industry peak body commented that the removal of the exemption of country of origin on the foodservice sector needs to be carefully managed</w:t>
      </w:r>
      <w:r w:rsidR="006E77E4">
        <w:t xml:space="preserve">, as </w:t>
      </w:r>
      <w:r w:rsidR="00C70404">
        <w:t xml:space="preserve">the </w:t>
      </w:r>
      <w:r w:rsidR="006E77E4">
        <w:t xml:space="preserve">foodservice sector </w:t>
      </w:r>
      <w:r w:rsidR="00C70404">
        <w:t>is</w:t>
      </w:r>
      <w:r w:rsidR="006E77E4">
        <w:t xml:space="preserve"> important to the seafood industry</w:t>
      </w:r>
      <w:r w:rsidR="00C70404">
        <w:t xml:space="preserve"> and has been impacted by</w:t>
      </w:r>
      <w:r w:rsidR="006E77E4">
        <w:t xml:space="preserve"> COVID-19</w:t>
      </w:r>
      <w:r w:rsidR="00C70404">
        <w:t xml:space="preserve">. </w:t>
      </w:r>
      <w:r>
        <w:t>However, the group maintains that reporting on country of origin should be mandatory for seafood</w:t>
      </w:r>
      <w:r w:rsidR="00DF5626">
        <w:t xml:space="preserve"> as:</w:t>
      </w:r>
    </w:p>
    <w:p w14:paraId="0C32E5EF" w14:textId="5628B91D" w:rsidR="007448FA" w:rsidRDefault="007448FA" w:rsidP="007448FA">
      <w:pPr>
        <w:pStyle w:val="ListBullet"/>
      </w:pPr>
      <w:r>
        <w:t>There are more imports in the seafood</w:t>
      </w:r>
      <w:r w:rsidRPr="00456CD8">
        <w:t xml:space="preserve"> sector, than </w:t>
      </w:r>
      <w:r>
        <w:t>sectors such as lamb, beef, chicken, and pork (excluding bacon and ham)</w:t>
      </w:r>
      <w:r w:rsidR="00665E27">
        <w:t>.</w:t>
      </w:r>
    </w:p>
    <w:p w14:paraId="17ABC4D0" w14:textId="73527216" w:rsidR="007448FA" w:rsidRDefault="00F17054" w:rsidP="007448FA">
      <w:pPr>
        <w:pStyle w:val="ListBullet"/>
      </w:pPr>
      <w:r>
        <w:t>F</w:t>
      </w:r>
      <w:r w:rsidR="007448FA">
        <w:t>ish are being caught</w:t>
      </w:r>
      <w:r>
        <w:t xml:space="preserve"> from a public resource</w:t>
      </w:r>
      <w:r w:rsidR="007448FA">
        <w:t>,</w:t>
      </w:r>
      <w:r>
        <w:t xml:space="preserve"> where a </w:t>
      </w:r>
      <w:r w:rsidR="007448FA">
        <w:t xml:space="preserve">‘higher’ social licence </w:t>
      </w:r>
      <w:r>
        <w:t xml:space="preserve">is </w:t>
      </w:r>
      <w:r w:rsidR="007448FA">
        <w:t>needed</w:t>
      </w:r>
      <w:r w:rsidR="00665E27">
        <w:t>.</w:t>
      </w:r>
    </w:p>
    <w:p w14:paraId="33AA21E0" w14:textId="24BBA805" w:rsidR="007448FA" w:rsidRDefault="00DF5626" w:rsidP="007448FA">
      <w:pPr>
        <w:pStyle w:val="ListBullet"/>
      </w:pPr>
      <w:r>
        <w:t>A</w:t>
      </w:r>
      <w:r w:rsidR="007448FA">
        <w:t xml:space="preserve"> high share of Australian seafood is consumed through foodservice (estimated by the industry to be 60% of total seafood consumption), not amenable to on package solutions.</w:t>
      </w:r>
    </w:p>
    <w:p w14:paraId="20E25EB3" w14:textId="3F30AC03" w:rsidR="007448FA" w:rsidRPr="00D553B0" w:rsidRDefault="00DF5626" w:rsidP="00B22DBB">
      <w:r>
        <w:lastRenderedPageBreak/>
        <w:t>Without</w:t>
      </w:r>
      <w:r w:rsidR="007448FA">
        <w:t xml:space="preserve"> </w:t>
      </w:r>
      <w:r w:rsidR="002B11BB">
        <w:t>CoOL</w:t>
      </w:r>
      <w:r>
        <w:t>,</w:t>
      </w:r>
      <w:r w:rsidR="007448FA">
        <w:t xml:space="preserve"> proponents </w:t>
      </w:r>
      <w:r>
        <w:t>say it is difficult to</w:t>
      </w:r>
      <w:r w:rsidR="007448FA">
        <w:t xml:space="preserve"> connect with their consumers</w:t>
      </w:r>
      <w:r w:rsidR="007448FA" w:rsidDel="00680E2F">
        <w:t xml:space="preserve"> </w:t>
      </w:r>
      <w:r w:rsidR="007448FA">
        <w:t xml:space="preserve">and to convey product attributes </w:t>
      </w:r>
      <w:r>
        <w:t>justifying the</w:t>
      </w:r>
      <w:r w:rsidR="007448FA">
        <w:t xml:space="preserve"> price</w:t>
      </w:r>
      <w:r>
        <w:t xml:space="preserve"> disparity</w:t>
      </w:r>
      <w:r w:rsidR="007448FA">
        <w:t xml:space="preserve"> between </w:t>
      </w:r>
      <w:r>
        <w:t>local and</w:t>
      </w:r>
      <w:r w:rsidR="007448FA">
        <w:t xml:space="preserve"> imported fish. The industry concedes that implementation of </w:t>
      </w:r>
      <w:r w:rsidR="007448FA">
        <w:rPr>
          <w:rFonts w:eastAsia="Calibri" w:cs="Times New Roman"/>
        </w:rPr>
        <w:t>CoOL</w:t>
      </w:r>
      <w:r w:rsidR="007448FA">
        <w:t xml:space="preserve"> on seafood in foodservice settings could remain exempt for </w:t>
      </w:r>
      <w:r w:rsidR="007448FA" w:rsidRPr="00387D21">
        <w:t>hospitals, prisons, pubs and clubs</w:t>
      </w:r>
      <w:r w:rsidR="007448FA">
        <w:t>. The industry</w:t>
      </w:r>
      <w:r w:rsidR="007448FA" w:rsidDel="004A7E3A">
        <w:t xml:space="preserve"> </w:t>
      </w:r>
      <w:r w:rsidR="007448FA">
        <w:t xml:space="preserve">is also prepared to run a communication campaign to inform consumers that seafood that is not labelled as originating from Australia could not be assumed to be Australian. </w:t>
      </w:r>
    </w:p>
    <w:p w14:paraId="2757C814" w14:textId="4943D837" w:rsidR="007448FA" w:rsidRDefault="007448FA" w:rsidP="007448FA">
      <w:r>
        <w:t>Another peak industry body representing importers</w:t>
      </w:r>
      <w:r w:rsidRPr="001E4253">
        <w:t xml:space="preserve"> </w:t>
      </w:r>
      <w:r>
        <w:t xml:space="preserve">of seafood </w:t>
      </w:r>
      <w:r w:rsidRPr="001E4253">
        <w:t>suggested that if CoOL reforms were mandatory for the foodservice sector and</w:t>
      </w:r>
      <w:r w:rsidR="00665E27">
        <w:t>,</w:t>
      </w:r>
      <w:r w:rsidRPr="001E4253">
        <w:t xml:space="preserve"> in particular</w:t>
      </w:r>
      <w:r w:rsidR="00665E27">
        <w:t>,</w:t>
      </w:r>
      <w:r w:rsidRPr="001E4253">
        <w:t xml:space="preserve"> for seafood dishes, this may result in less seafood on menus </w:t>
      </w:r>
      <w:r>
        <w:t>due to the</w:t>
      </w:r>
      <w:r w:rsidRPr="001E4253">
        <w:t xml:space="preserve"> large regulatory burden </w:t>
      </w:r>
      <w:r>
        <w:t>for</w:t>
      </w:r>
      <w:r w:rsidRPr="001E4253">
        <w:t xml:space="preserve"> businesses to pri</w:t>
      </w:r>
      <w:r w:rsidRPr="002E0191">
        <w:t>nt this inf</w:t>
      </w:r>
      <w:r w:rsidRPr="00D553B0">
        <w:t>ormation on menus.</w:t>
      </w:r>
      <w:r>
        <w:t xml:space="preserve"> This contrasts with the views of other industry groups that</w:t>
      </w:r>
      <w:r w:rsidRPr="00D564F1">
        <w:t xml:space="preserve"> argue that there is a standing order on seafood in most cases such that the relabelling cost</w:t>
      </w:r>
      <w:r>
        <w:t>s</w:t>
      </w:r>
      <w:r w:rsidRPr="00D564F1">
        <w:t xml:space="preserve"> would not be </w:t>
      </w:r>
      <w:r>
        <w:t>prohibitive</w:t>
      </w:r>
      <w:r w:rsidRPr="00D564F1">
        <w:t>.</w:t>
      </w:r>
      <w:r>
        <w:t xml:space="preserve"> This point is contested by representatives of importers</w:t>
      </w:r>
      <w:r w:rsidRPr="00886579">
        <w:t xml:space="preserve"> </w:t>
      </w:r>
      <w:r>
        <w:t xml:space="preserve">and others who </w:t>
      </w:r>
      <w:r w:rsidRPr="00886579">
        <w:t xml:space="preserve">see </w:t>
      </w:r>
      <w:r>
        <w:t xml:space="preserve">implementation of </w:t>
      </w:r>
      <w:r>
        <w:rPr>
          <w:rFonts w:eastAsia="Calibri" w:cs="Times New Roman"/>
        </w:rPr>
        <w:t>CoOL</w:t>
      </w:r>
      <w:r w:rsidRPr="00CC297D">
        <w:rPr>
          <w:rFonts w:eastAsia="Calibri" w:cs="Times New Roman"/>
        </w:rPr>
        <w:t xml:space="preserve"> </w:t>
      </w:r>
      <w:r>
        <w:t>on seafood in the foodservice sector</w:t>
      </w:r>
      <w:r w:rsidRPr="00886579">
        <w:t xml:space="preserve"> as being very difficult</w:t>
      </w:r>
      <w:r>
        <w:t xml:space="preserve">.   </w:t>
      </w:r>
    </w:p>
    <w:p w14:paraId="70CDD272" w14:textId="77777777" w:rsidR="00C60435" w:rsidRDefault="00C60435" w:rsidP="00C60435">
      <w:r>
        <w:t>Given consumers’ demand for such information, which has been identified as being likely to be stronger for seafood as a category than other food sold in foodservice settings, a further initial analysis on the potential costs and benefits was undertaken on applying CoOL to the foodservices sector for seafood. Specifically, two options were explored:</w:t>
      </w:r>
    </w:p>
    <w:p w14:paraId="230F6191" w14:textId="77777777" w:rsidR="00C60435" w:rsidRDefault="00C60435" w:rsidP="00C60435">
      <w:pPr>
        <w:pStyle w:val="ListNumber"/>
        <w:numPr>
          <w:ilvl w:val="0"/>
          <w:numId w:val="47"/>
        </w:numPr>
      </w:pPr>
      <w:r w:rsidRPr="00D14DA3">
        <w:rPr>
          <w:b/>
          <w:bCs/>
        </w:rPr>
        <w:t>Ingredient specific</w:t>
      </w:r>
      <w:r>
        <w:t xml:space="preserve">, where foodservice businesses would report country of origin information for all menu items that contain seafood. </w:t>
      </w:r>
    </w:p>
    <w:p w14:paraId="201EBEC9" w14:textId="77777777" w:rsidR="00C60435" w:rsidRDefault="00C60435" w:rsidP="00C60435">
      <w:pPr>
        <w:pStyle w:val="ListNumber"/>
      </w:pPr>
      <w:r w:rsidRPr="00E429EB">
        <w:rPr>
          <w:b/>
          <w:bCs/>
        </w:rPr>
        <w:t>Establishment specific</w:t>
      </w:r>
      <w:r>
        <w:t>, where foodservice businesses would report country of origin information regarding the use of Australian seafood ingredients by that establishment in one overarching and binary statement reflecting whether all seafood is sourced locally.</w:t>
      </w:r>
    </w:p>
    <w:p w14:paraId="1556BC13" w14:textId="1AB5FDFF" w:rsidR="00481087" w:rsidRDefault="00C60435" w:rsidP="00C60435">
      <w:r>
        <w:t xml:space="preserve">This analysis found that the costs of increased regulatory burden in the form of compliance outweigh benefits to consumers of increased information as measured by WTP. This was true for all sub-options examined. </w:t>
      </w:r>
    </w:p>
    <w:p w14:paraId="036E18DA" w14:textId="4A019B06" w:rsidR="00C60435" w:rsidRDefault="00C60435" w:rsidP="00C60435">
      <w:r>
        <w:t xml:space="preserve">This analysis was however constrained in scope in terms stakeholder consultation, and the WTP was calculated based on a survey pertaining to all products not just seafood. There is the possibility that consumers may exhibit higher WTP for seafood products compared with other food types. As such, if such an option were to be considered in future, a more comprehensive CBA would be required to validate results including the accuracy of the WTP. </w:t>
      </w:r>
    </w:p>
    <w:p w14:paraId="3AA50222" w14:textId="2B29F36E" w:rsidR="006C4D95" w:rsidRDefault="006C4D95" w:rsidP="00C60435">
      <w:r w:rsidRPr="006C4D95">
        <w:t>Further analysis was conducted analysing the impact on foodservice businesses if this option applied to seafood and meat products. The main variable change associated with this was the number of businesses that would be affected, increasing from 55% of businesses to 96.5% of businesses. Under these options, the BCR increased but continued to be less than one.</w:t>
      </w:r>
    </w:p>
    <w:p w14:paraId="4C7585F7" w14:textId="77777777" w:rsidR="0098687C" w:rsidRDefault="0098687C" w:rsidP="0098687C">
      <w:pPr>
        <w:pStyle w:val="Heading4"/>
      </w:pPr>
      <w:r>
        <w:t>Understanding potential market impacts following the NT experience</w:t>
      </w:r>
    </w:p>
    <w:p w14:paraId="2EE63FFB" w14:textId="52DDD9EE" w:rsidR="00BB5ACD" w:rsidRDefault="007448FA" w:rsidP="007448FA">
      <w:r>
        <w:t xml:space="preserve">A study was undertaken in 2011 to track the impacts </w:t>
      </w:r>
      <w:r w:rsidR="00BB5ACD">
        <w:t>of the</w:t>
      </w:r>
      <w:r w:rsidR="00EC1611">
        <w:t xml:space="preserve"> </w:t>
      </w:r>
      <w:r w:rsidR="00C312CE">
        <w:t xml:space="preserve">NT’s </w:t>
      </w:r>
      <w:r w:rsidR="00EC1611">
        <w:t>implementation of</w:t>
      </w:r>
      <w:r>
        <w:t xml:space="preserve"> seafood </w:t>
      </w:r>
      <w:r w:rsidR="00BB5ACD">
        <w:t xml:space="preserve">origin </w:t>
      </w:r>
      <w:r>
        <w:t>labelling laws</w:t>
      </w:r>
      <w:r w:rsidR="00BB5ACD">
        <w:t xml:space="preserve"> in dining venues</w:t>
      </w:r>
      <w:r>
        <w:t>.</w:t>
      </w:r>
      <w:r>
        <w:rPr>
          <w:rStyle w:val="FootnoteReference"/>
        </w:rPr>
        <w:footnoteReference w:id="69"/>
      </w:r>
      <w:r>
        <w:t xml:space="preserve"> These findings provide</w:t>
      </w:r>
      <w:r w:rsidR="00BB5ACD">
        <w:t xml:space="preserve"> some</w:t>
      </w:r>
      <w:r>
        <w:t xml:space="preserve"> insight into potential market related impacts if a national scheme were to be introduced</w:t>
      </w:r>
      <w:r w:rsidR="00C312CE">
        <w:t>, although a national level scheme may ha</w:t>
      </w:r>
      <w:r w:rsidR="002F62CE">
        <w:t>ve different effects</w:t>
      </w:r>
      <w:r w:rsidR="00F718D7">
        <w:t>.</w:t>
      </w:r>
    </w:p>
    <w:p w14:paraId="79CB1BF3" w14:textId="6F4C048E" w:rsidR="007448FA" w:rsidRDefault="007448FA" w:rsidP="007448FA">
      <w:r>
        <w:t>Th</w:t>
      </w:r>
      <w:r w:rsidR="00BB5ACD">
        <w:t>e</w:t>
      </w:r>
      <w:r>
        <w:t xml:space="preserve"> study indicated that consumers purchase seafood </w:t>
      </w:r>
      <w:r w:rsidR="00BB5ACD">
        <w:t>in</w:t>
      </w:r>
      <w:r>
        <w:t xml:space="preserve"> varying amounts, with 43% classified as ‘high seafood consumers’ (i.e. they ate seafood from dining or takeaway venues once or more a week)</w:t>
      </w:r>
      <w:r w:rsidR="00BB5ACD">
        <w:t>.</w:t>
      </w:r>
      <w:r w:rsidR="00BB5ACD">
        <w:rPr>
          <w:rStyle w:val="FootnoteReference"/>
        </w:rPr>
        <w:footnoteReference w:id="70"/>
      </w:r>
      <w:r w:rsidR="00BB5ACD">
        <w:t xml:space="preserve"> </w:t>
      </w:r>
      <w:r>
        <w:t>For these consumers, country of origin was the second most influential factor when choosing seafood in any type of venue (rating as 4.2/5.0 for restaurant and cafe and 4.0/5.0 for takeaway outlet). This was second to freshness of seafood</w:t>
      </w:r>
      <w:r w:rsidR="008C0A4F">
        <w:t>,</w:t>
      </w:r>
      <w:r>
        <w:t xml:space="preserve"> which was overwhelmingly the most important factor (rating 4.8/5.0 for restaurant and cafe and 4.7/5.0 for takeaway outlet) for consumers. </w:t>
      </w:r>
    </w:p>
    <w:p w14:paraId="7FFC270B" w14:textId="6FCC08EA" w:rsidR="007448FA" w:rsidRDefault="004D167C" w:rsidP="007448FA">
      <w:r>
        <w:lastRenderedPageBreak/>
        <w:t xml:space="preserve">The study showed that </w:t>
      </w:r>
      <w:r w:rsidR="00C410A7">
        <w:t xml:space="preserve">some </w:t>
      </w:r>
      <w:r>
        <w:t>c</w:t>
      </w:r>
      <w:r w:rsidR="007448FA">
        <w:t>onsumers place a high</w:t>
      </w:r>
      <w:r>
        <w:t>er</w:t>
      </w:r>
      <w:r w:rsidR="007448FA">
        <w:t xml:space="preserve"> value on ‘local wild-caught’ seafood and were willing to pay 25% more than a similar option sourced from overseas.</w:t>
      </w:r>
      <w:r w:rsidR="00BA4A41">
        <w:rPr>
          <w:rStyle w:val="FootnoteReference"/>
        </w:rPr>
        <w:footnoteReference w:id="71"/>
      </w:r>
      <w:r w:rsidR="007448FA">
        <w:t xml:space="preserve"> </w:t>
      </w:r>
      <w:r w:rsidR="002B1DEE">
        <w:t xml:space="preserve">This </w:t>
      </w:r>
      <w:r w:rsidR="002D7947">
        <w:t xml:space="preserve">price differential </w:t>
      </w:r>
      <w:r w:rsidR="00BC16FB">
        <w:t>m</w:t>
      </w:r>
      <w:r w:rsidR="002D7947">
        <w:t xml:space="preserve">ay not, however, be sufficient to cover the price differential </w:t>
      </w:r>
      <w:r w:rsidR="001819A5">
        <w:t>between local and imported fish</w:t>
      </w:r>
      <w:r w:rsidR="00C81BF1">
        <w:t xml:space="preserve"> options</w:t>
      </w:r>
      <w:r w:rsidR="003231CA">
        <w:t>.</w:t>
      </w:r>
    </w:p>
    <w:p w14:paraId="68498144" w14:textId="32ADB8E9" w:rsidR="008E4144" w:rsidRDefault="008E4144" w:rsidP="008E4144">
      <w:r>
        <w:t>NT demand for a wider range of ‘local’ fish species was reported to be ‘increasing’, but this effect may be dampened by supply of local options. Of the five companies questioned about this impact, labelling laws had an impact on two companies – with them reducing their import inventory by 10% and 20%</w:t>
      </w:r>
      <w:r w:rsidR="00840738">
        <w:t>,</w:t>
      </w:r>
      <w:r w:rsidR="00D96FC2">
        <w:t xml:space="preserve"> respectively</w:t>
      </w:r>
      <w:r>
        <w:t>. Two of the companies that registered no change indicated a trend from their customers seeking more ‘local’ content.</w:t>
      </w:r>
    </w:p>
    <w:p w14:paraId="264E626D" w14:textId="28018374" w:rsidR="008E4144" w:rsidRDefault="008E4144" w:rsidP="008E4144">
      <w:r>
        <w:t xml:space="preserve">Not all consumers were well educated about the scheme. Where only imported products must be identified, and non-labelled products were </w:t>
      </w:r>
      <w:r w:rsidR="00D425E7">
        <w:t xml:space="preserve">from </w:t>
      </w:r>
      <w:r>
        <w:t xml:space="preserve">Australia, </w:t>
      </w:r>
      <w:r w:rsidR="007448FA">
        <w:t xml:space="preserve">over 40% of respondents </w:t>
      </w:r>
      <w:r>
        <w:t xml:space="preserve">inaccurately </w:t>
      </w:r>
      <w:r w:rsidR="007448FA">
        <w:t>assumed seafood which did not display a label of origin was imported.</w:t>
      </w:r>
      <w:r>
        <w:rPr>
          <w:rStyle w:val="FootnoteReference"/>
        </w:rPr>
        <w:footnoteReference w:id="72"/>
      </w:r>
      <w:r>
        <w:t xml:space="preserve"> </w:t>
      </w:r>
    </w:p>
    <w:p w14:paraId="14183EDA" w14:textId="1368DF75" w:rsidR="00B86018" w:rsidRDefault="00C410A7" w:rsidP="00B86018">
      <w:r>
        <w:t>Industry</w:t>
      </w:r>
      <w:r w:rsidR="00A77BD3">
        <w:t xml:space="preserve"> compliance was relatively high (90% compliance by licensed fish retailers)</w:t>
      </w:r>
      <w:r>
        <w:t xml:space="preserve">, and costs </w:t>
      </w:r>
      <w:r w:rsidR="00B86018">
        <w:t xml:space="preserve">appear to be </w:t>
      </w:r>
      <w:r w:rsidR="00AA2DD0">
        <w:t xml:space="preserve">relatively </w:t>
      </w:r>
      <w:r w:rsidR="00B86018">
        <w:t xml:space="preserve">modest. </w:t>
      </w:r>
      <w:r w:rsidR="00A77BD3">
        <w:t>On average, venues advised they spent $630 implementing requirements for the labelling laws. The initial cost to venues in implementing the labelling laws was highest following the legislation’s introduction as large expenditure items</w:t>
      </w:r>
      <w:r w:rsidR="00DE6006">
        <w:t>,</w:t>
      </w:r>
      <w:r w:rsidR="00A77BD3">
        <w:t xml:space="preserve"> such as menu boards were updated, and these costs subsequently decreased over time. </w:t>
      </w:r>
      <w:r w:rsidR="00B86018">
        <w:t xml:space="preserve">Where approximately 55% of venues indicated they have fish or seafood specials on their menu, printed menus were considered by venues as the most effective mechanism to communicate seafood origin. Around 35% of venues surveyed did not change their menu at any point during the year and 20% of venues changed their menu around </w:t>
      </w:r>
      <w:r w:rsidR="00D04607">
        <w:t>four</w:t>
      </w:r>
      <w:r w:rsidR="00B86018">
        <w:t xml:space="preserve"> times a year.</w:t>
      </w:r>
    </w:p>
    <w:p w14:paraId="068EA5E7" w14:textId="2F87CC4A" w:rsidR="004760CE" w:rsidRDefault="007A5D19" w:rsidP="007448FA">
      <w:r>
        <w:t>The</w:t>
      </w:r>
      <w:r w:rsidR="007448FA">
        <w:t xml:space="preserve"> </w:t>
      </w:r>
      <w:r>
        <w:t xml:space="preserve">introduction of the </w:t>
      </w:r>
      <w:r w:rsidR="007448FA">
        <w:t xml:space="preserve">labelling laws did not </w:t>
      </w:r>
      <w:r>
        <w:t xml:space="preserve">appear to </w:t>
      </w:r>
      <w:r w:rsidR="007448FA">
        <w:t>reduce the range and volume of seafood available in fish retail outlets</w:t>
      </w:r>
      <w:r w:rsidR="00A77BD3">
        <w:t>. T</w:t>
      </w:r>
      <w:r w:rsidR="007448FA">
        <w:t xml:space="preserve">here was </w:t>
      </w:r>
      <w:r w:rsidR="000D0AF2">
        <w:t>reportedly</w:t>
      </w:r>
      <w:r w:rsidR="007448FA">
        <w:t xml:space="preserve"> no evidence for an overall reduction in the use of seafood as a key menu item. </w:t>
      </w:r>
    </w:p>
    <w:p w14:paraId="4248B179" w14:textId="3750E977" w:rsidR="007448FA" w:rsidRPr="005E3286" w:rsidRDefault="00F25C12" w:rsidP="005E3286">
      <w:pPr>
        <w:pStyle w:val="Heading4"/>
      </w:pPr>
      <w:r>
        <w:t xml:space="preserve">Concluding comments on next steps </w:t>
      </w:r>
    </w:p>
    <w:p w14:paraId="6CA2C4F6" w14:textId="5CB8224F" w:rsidR="00530DE7" w:rsidRDefault="00F25C12" w:rsidP="00F25DAD">
      <w:r>
        <w:t xml:space="preserve">The market impacts described </w:t>
      </w:r>
      <w:r w:rsidR="001016DE">
        <w:t xml:space="preserve">in relation to the NT scheme </w:t>
      </w:r>
      <w:r w:rsidR="003847F2">
        <w:t>may assist in</w:t>
      </w:r>
      <w:r w:rsidR="00F034B1">
        <w:t xml:space="preserve"> understanding </w:t>
      </w:r>
      <w:r w:rsidR="003847F2">
        <w:t xml:space="preserve">some of </w:t>
      </w:r>
      <w:r w:rsidR="007C2227">
        <w:t xml:space="preserve">the potential </w:t>
      </w:r>
      <w:r w:rsidR="003847F2">
        <w:t xml:space="preserve">adjustments (and </w:t>
      </w:r>
      <w:r w:rsidR="00F034B1">
        <w:t xml:space="preserve">the costs </w:t>
      </w:r>
      <w:r w:rsidR="003847F2">
        <w:t xml:space="preserve">of those) </w:t>
      </w:r>
      <w:r w:rsidR="00F034B1">
        <w:t>to industry</w:t>
      </w:r>
      <w:r w:rsidR="004E7639">
        <w:t xml:space="preserve"> </w:t>
      </w:r>
      <w:r w:rsidR="00E32F2D">
        <w:t xml:space="preserve">from introducing </w:t>
      </w:r>
      <w:r w:rsidR="003847F2">
        <w:t>seafood</w:t>
      </w:r>
      <w:r w:rsidR="00E32F2D">
        <w:t xml:space="preserve"> in foodservice settings </w:t>
      </w:r>
      <w:r w:rsidR="001D3DAE">
        <w:t>into</w:t>
      </w:r>
      <w:r w:rsidR="004E7639">
        <w:t xml:space="preserve"> the </w:t>
      </w:r>
      <w:r w:rsidR="00E32F2D">
        <w:t>CoOL framework</w:t>
      </w:r>
      <w:r w:rsidR="004E7639">
        <w:t>.</w:t>
      </w:r>
      <w:r>
        <w:t xml:space="preserve"> </w:t>
      </w:r>
      <w:r w:rsidR="004E7639">
        <w:t xml:space="preserve">However, these accounts </w:t>
      </w:r>
      <w:r w:rsidR="00F034B1">
        <w:t xml:space="preserve">do not </w:t>
      </w:r>
      <w:r w:rsidR="00E32F2D">
        <w:t>sufficiently answer the question of the potential</w:t>
      </w:r>
      <w:r w:rsidR="00952E0C">
        <w:t xml:space="preserve"> </w:t>
      </w:r>
      <w:r w:rsidR="00F034B1">
        <w:t xml:space="preserve">benefits </w:t>
      </w:r>
      <w:r w:rsidR="00E32F2D">
        <w:t xml:space="preserve">to consumers that would drive scheme benefits. </w:t>
      </w:r>
    </w:p>
    <w:p w14:paraId="36CD3ECF" w14:textId="39515250" w:rsidR="00F25DAD" w:rsidRDefault="00C77A68" w:rsidP="00F25DAD">
      <w:r>
        <w:t xml:space="preserve">While there may be winners and losers in the market for seafood, consumers would be the principal beneficiaries of the proposed labelling of seafood in foodservice settings. </w:t>
      </w:r>
      <w:r w:rsidR="00805B8A">
        <w:t>Furthermore, there is limited supply of local seafood</w:t>
      </w:r>
      <w:r w:rsidR="00DE6006">
        <w:t>,</w:t>
      </w:r>
      <w:r w:rsidR="00805B8A">
        <w:t xml:space="preserve"> and during periods of high demand, where the need for increased supply appears to be met largely from overseas sources.</w:t>
      </w:r>
      <w:r w:rsidR="00805B8A">
        <w:rPr>
          <w:rStyle w:val="FootnoteReference"/>
        </w:rPr>
        <w:footnoteReference w:id="73"/>
      </w:r>
      <w:r w:rsidR="00805B8A">
        <w:t xml:space="preserve"> </w:t>
      </w:r>
      <w:r>
        <w:t>In</w:t>
      </w:r>
      <w:r w:rsidR="00843D17">
        <w:t xml:space="preserve"> a supply constrained setting, producers may be </w:t>
      </w:r>
      <w:r w:rsidR="00530DE7">
        <w:t>constrained</w:t>
      </w:r>
      <w:r w:rsidR="00843D17">
        <w:t xml:space="preserve"> in their ability to change their menus </w:t>
      </w:r>
      <w:r w:rsidR="00530DE7">
        <w:t>(particularly in the short term) while</w:t>
      </w:r>
      <w:r w:rsidR="00843D17">
        <w:t xml:space="preserve"> consumers may benefit from </w:t>
      </w:r>
      <w:r w:rsidR="00BD0314">
        <w:t>knowing where the seafood is from</w:t>
      </w:r>
      <w:r w:rsidR="0012245E">
        <w:t>, regardless</w:t>
      </w:r>
      <w:r w:rsidR="00BD0314">
        <w:t xml:space="preserve"> </w:t>
      </w:r>
      <w:r w:rsidR="0012245E">
        <w:t>of whether they choose to purchase</w:t>
      </w:r>
      <w:r w:rsidR="00BD0314">
        <w:t xml:space="preserve"> </w:t>
      </w:r>
      <w:r w:rsidR="00805B8A">
        <w:t xml:space="preserve">a </w:t>
      </w:r>
      <w:r w:rsidR="00BD0314">
        <w:t>seafood</w:t>
      </w:r>
      <w:r w:rsidR="00805B8A">
        <w:t xml:space="preserve"> based dish</w:t>
      </w:r>
      <w:r w:rsidR="0012245E">
        <w:t>.</w:t>
      </w:r>
    </w:p>
    <w:p w14:paraId="691E5F40" w14:textId="5257B305" w:rsidR="0003384E" w:rsidRDefault="0012245E" w:rsidP="003623C4">
      <w:r>
        <w:t>A more in</w:t>
      </w:r>
      <w:r w:rsidR="00DE6006">
        <w:t>-</w:t>
      </w:r>
      <w:r>
        <w:t xml:space="preserve">depth study is required, with ongoing monitoring of the issue, in order to </w:t>
      </w:r>
      <w:r w:rsidR="00027771">
        <w:t xml:space="preserve">identify the specific costs and benefits of introducing seafood origin labelling to foodservice settings (such as consumers’ </w:t>
      </w:r>
      <w:r w:rsidR="00EA7160">
        <w:t>WTP</w:t>
      </w:r>
      <w:r w:rsidR="00027771">
        <w:t xml:space="preserve"> to have origin labelling on seafood or the costs of administering the scheme). </w:t>
      </w:r>
      <w:r w:rsidR="00504419">
        <w:t xml:space="preserve">In addition, implementation would not be appropriate at this time given the impact of COVID-19 to </w:t>
      </w:r>
      <w:r w:rsidR="00504419" w:rsidRPr="00504419">
        <w:t>the foodservice sector (and which may continue to occur)</w:t>
      </w:r>
      <w:r w:rsidR="00805B8A">
        <w:t>.</w:t>
      </w:r>
      <w:r w:rsidR="007448FA">
        <w:t xml:space="preserve"> </w:t>
      </w:r>
      <w:r w:rsidR="00027771">
        <w:t xml:space="preserve">A cheaper alternative to </w:t>
      </w:r>
      <w:r w:rsidR="00805B8A">
        <w:t>consider may be</w:t>
      </w:r>
      <w:r w:rsidR="007448FA">
        <w:t xml:space="preserve"> a consumer education campaign where </w:t>
      </w:r>
      <w:r w:rsidR="00027771">
        <w:t>consumers</w:t>
      </w:r>
      <w:r w:rsidR="007448FA">
        <w:t xml:space="preserve"> are made aware of seafood consumption (i.e. levels of import / local product) in Australia</w:t>
      </w:r>
      <w:r w:rsidR="00027771">
        <w:t xml:space="preserve"> and advised to seek further information if desired</w:t>
      </w:r>
      <w:r w:rsidR="007448FA">
        <w:t xml:space="preserve">. </w:t>
      </w:r>
    </w:p>
    <w:p w14:paraId="69F39DA2" w14:textId="1CD445B2" w:rsidR="00172A6B" w:rsidRPr="003C74DF" w:rsidRDefault="00220607" w:rsidP="00172A6B">
      <w:pPr>
        <w:pStyle w:val="Heading3"/>
      </w:pPr>
      <w:bookmarkStart w:id="258" w:name="_Toc67499095"/>
      <w:r>
        <w:lastRenderedPageBreak/>
        <w:t xml:space="preserve">Expansion to the </w:t>
      </w:r>
      <w:r w:rsidR="00172A6B" w:rsidRPr="003C74DF">
        <w:t xml:space="preserve">foodservice sector </w:t>
      </w:r>
      <w:r w:rsidR="00E1027A">
        <w:t xml:space="preserve">as a whole likely to deliver </w:t>
      </w:r>
      <w:bookmarkEnd w:id="258"/>
      <w:r w:rsidR="001256B1">
        <w:t xml:space="preserve">low </w:t>
      </w:r>
      <w:r w:rsidR="00DF176E">
        <w:t xml:space="preserve">net benefit </w:t>
      </w:r>
    </w:p>
    <w:p w14:paraId="41F33D79" w14:textId="6BF8F257" w:rsidR="004A76A5" w:rsidRDefault="004A76A5" w:rsidP="004A76A5">
      <w:r w:rsidRPr="003C74DF">
        <w:t>Th</w:t>
      </w:r>
      <w:r>
        <w:t>e</w:t>
      </w:r>
      <w:r w:rsidRPr="003C74DF">
        <w:t xml:space="preserve"> CBA </w:t>
      </w:r>
      <w:r w:rsidR="00337273">
        <w:t>modelled an option</w:t>
      </w:r>
      <w:r w:rsidR="00A32BC4">
        <w:t xml:space="preserve"> </w:t>
      </w:r>
      <w:r w:rsidRPr="003C74DF">
        <w:t xml:space="preserve">to expand the current CoOL regulations to all businesses in the foodservice sector. The total cost of this CBA option is </w:t>
      </w:r>
      <w:r>
        <w:t>significant and o</w:t>
      </w:r>
      <w:r w:rsidRPr="003C74DF">
        <w:t xml:space="preserve">verall, this option generates </w:t>
      </w:r>
      <w:r>
        <w:t>far</w:t>
      </w:r>
      <w:r w:rsidRPr="003C74DF">
        <w:t xml:space="preserve"> </w:t>
      </w:r>
      <w:r>
        <w:t>fewer</w:t>
      </w:r>
      <w:r w:rsidRPr="003C74DF">
        <w:t xml:space="preserve"> benefits to the Australian community, relative to the current</w:t>
      </w:r>
      <w:r>
        <w:t xml:space="preserve"> CoOL scheme.</w:t>
      </w:r>
    </w:p>
    <w:p w14:paraId="7A113FCE" w14:textId="69E87B02" w:rsidR="00F51A1C" w:rsidRDefault="00B81F39" w:rsidP="002A658D">
      <w:r>
        <w:t xml:space="preserve">Industries </w:t>
      </w:r>
      <w:r w:rsidR="00DE6006">
        <w:t>that</w:t>
      </w:r>
      <w:r>
        <w:t xml:space="preserve"> contribute to the foodservice sector include</w:t>
      </w:r>
      <w:r w:rsidR="00AE2816">
        <w:t>:</w:t>
      </w:r>
      <w:r w:rsidR="000C6218">
        <w:t xml:space="preserve"> cafe</w:t>
      </w:r>
      <w:r w:rsidR="00AE2816">
        <w:t>s</w:t>
      </w:r>
      <w:r w:rsidR="000C6218">
        <w:t xml:space="preserve"> and restaurants</w:t>
      </w:r>
      <w:r w:rsidR="00AE2816">
        <w:t>;</w:t>
      </w:r>
      <w:r w:rsidR="000C6218">
        <w:t xml:space="preserve"> </w:t>
      </w:r>
      <w:r w:rsidR="00026D43">
        <w:t>takeaway food retailing</w:t>
      </w:r>
      <w:r w:rsidR="00AE2816">
        <w:t>;</w:t>
      </w:r>
      <w:r w:rsidR="00022F95">
        <w:t xml:space="preserve"> catering services</w:t>
      </w:r>
      <w:r w:rsidR="00AE2816">
        <w:t>;</w:t>
      </w:r>
      <w:r w:rsidR="00026D43">
        <w:t xml:space="preserve"> </w:t>
      </w:r>
      <w:r w:rsidR="008609E3">
        <w:t>p</w:t>
      </w:r>
      <w:r w:rsidR="00026D43">
        <w:t>ubs,</w:t>
      </w:r>
      <w:r w:rsidR="00A8264E" w:rsidRPr="00A8264E">
        <w:t xml:space="preserve"> </w:t>
      </w:r>
      <w:r w:rsidR="00A8264E">
        <w:t>t</w:t>
      </w:r>
      <w:r w:rsidR="00A8264E" w:rsidRPr="00A8264E">
        <w:t xml:space="preserve">averns and </w:t>
      </w:r>
      <w:r w:rsidR="00A8264E">
        <w:t>b</w:t>
      </w:r>
      <w:r w:rsidR="00A8264E" w:rsidRPr="00A8264E">
        <w:t>ars</w:t>
      </w:r>
      <w:r w:rsidR="00AE2816">
        <w:t>;</w:t>
      </w:r>
      <w:r w:rsidR="00A8264E">
        <w:t xml:space="preserve"> and c</w:t>
      </w:r>
      <w:r w:rsidR="00D06A24">
        <w:t xml:space="preserve">lubs. </w:t>
      </w:r>
      <w:r w:rsidR="00630397">
        <w:t>These industries are reflected in the CBA model.</w:t>
      </w:r>
      <w:r w:rsidR="00D90BB5">
        <w:t xml:space="preserve"> </w:t>
      </w:r>
      <w:r w:rsidR="0013341C">
        <w:t xml:space="preserve">Of these industries, </w:t>
      </w:r>
      <w:r w:rsidR="00035A25">
        <w:t xml:space="preserve">the </w:t>
      </w:r>
      <w:r w:rsidR="00C1584D">
        <w:t>largest</w:t>
      </w:r>
      <w:r w:rsidR="00035A25">
        <w:t xml:space="preserve"> proportion </w:t>
      </w:r>
      <w:r w:rsidR="004B7D04">
        <w:t xml:space="preserve">of </w:t>
      </w:r>
      <w:r w:rsidR="00B12A48">
        <w:t xml:space="preserve">foodservice businesses </w:t>
      </w:r>
      <w:r w:rsidR="00DE6006">
        <w:t xml:space="preserve">is </w:t>
      </w:r>
      <w:r w:rsidR="00B12A48">
        <w:t xml:space="preserve">attributed to </w:t>
      </w:r>
      <w:r w:rsidR="00035A25">
        <w:t xml:space="preserve">cafes and restaurants </w:t>
      </w:r>
      <w:r w:rsidR="00893E0B">
        <w:t>(</w:t>
      </w:r>
      <w:r w:rsidR="00CD7475">
        <w:t>5</w:t>
      </w:r>
      <w:r w:rsidR="008B0C96">
        <w:t>3</w:t>
      </w:r>
      <w:r w:rsidR="00CD7475">
        <w:t>%)</w:t>
      </w:r>
      <w:r w:rsidR="00EC1A86">
        <w:t>, followed by takeaway foodservices (</w:t>
      </w:r>
      <w:r w:rsidR="00E22E29">
        <w:t>3</w:t>
      </w:r>
      <w:r w:rsidR="00771B93">
        <w:t>1</w:t>
      </w:r>
      <w:r w:rsidR="00B83F4C">
        <w:t>%)</w:t>
      </w:r>
      <w:r w:rsidR="00411660">
        <w:t>.</w:t>
      </w:r>
      <w:r w:rsidR="008053EA">
        <w:rPr>
          <w:rStyle w:val="FootnoteReference"/>
        </w:rPr>
        <w:footnoteReference w:id="74"/>
      </w:r>
      <w:r w:rsidR="00411660">
        <w:t xml:space="preserve"> The </w:t>
      </w:r>
      <w:r w:rsidR="00F51A1C">
        <w:t xml:space="preserve">breakdown of </w:t>
      </w:r>
      <w:r w:rsidR="008F65C2">
        <w:t xml:space="preserve">the </w:t>
      </w:r>
      <w:r w:rsidR="00F51A1C">
        <w:t xml:space="preserve">foodservice sector by </w:t>
      </w:r>
      <w:r w:rsidR="002A690A">
        <w:t>all contributing</w:t>
      </w:r>
      <w:r w:rsidR="00F51A1C">
        <w:t xml:space="preserve"> industr</w:t>
      </w:r>
      <w:r w:rsidR="00502F97">
        <w:t xml:space="preserve">ies </w:t>
      </w:r>
      <w:r w:rsidR="00B2634D">
        <w:t xml:space="preserve">at </w:t>
      </w:r>
      <w:r w:rsidR="00D3021C">
        <w:t>June 2019 (pre-COVID</w:t>
      </w:r>
      <w:r w:rsidR="006B428F">
        <w:t>-19</w:t>
      </w:r>
      <w:r w:rsidR="00D3021C">
        <w:t>) and June 2020 (during COVID-19)</w:t>
      </w:r>
      <w:r w:rsidR="00DE6006">
        <w:t xml:space="preserve"> is as follows</w:t>
      </w:r>
      <w:r w:rsidR="0061618C">
        <w:t xml:space="preserve">. </w:t>
      </w:r>
    </w:p>
    <w:p w14:paraId="6198B4C1" w14:textId="7D04026E" w:rsidR="001842EF" w:rsidRDefault="00357A27" w:rsidP="00902733">
      <w:r>
        <w:fldChar w:fldCharType="begin"/>
      </w:r>
      <w:r>
        <w:instrText xml:space="preserve"> REF _Ref71549661 \n \h </w:instrText>
      </w:r>
      <w:r>
        <w:fldChar w:fldCharType="separate"/>
      </w:r>
      <w:r w:rsidR="0017363C">
        <w:t>Chart 4.14</w:t>
      </w:r>
      <w:r>
        <w:fldChar w:fldCharType="end"/>
      </w:r>
      <w:r>
        <w:t xml:space="preserve"> shows the proportion of </w:t>
      </w:r>
      <w:r w:rsidR="009C79DD">
        <w:t>small</w:t>
      </w:r>
      <w:r w:rsidR="00FF3973">
        <w:t xml:space="preserve"> (</w:t>
      </w:r>
      <w:r w:rsidR="005C13E7">
        <w:t>1-19 employees)</w:t>
      </w:r>
      <w:r w:rsidR="009C79DD">
        <w:t xml:space="preserve">, medium </w:t>
      </w:r>
      <w:r w:rsidR="005C13E7">
        <w:t xml:space="preserve">(20-199 employees) </w:t>
      </w:r>
      <w:r w:rsidR="009C79DD">
        <w:t xml:space="preserve">and large </w:t>
      </w:r>
      <w:r w:rsidR="00C205CF">
        <w:t xml:space="preserve">(200+ employees) </w:t>
      </w:r>
      <w:r w:rsidR="009C79DD">
        <w:t xml:space="preserve">businesses </w:t>
      </w:r>
      <w:r w:rsidR="00F75E32">
        <w:t>across</w:t>
      </w:r>
      <w:r w:rsidR="009C79DD">
        <w:t xml:space="preserve"> each industry </w:t>
      </w:r>
      <w:r w:rsidR="00F75E32">
        <w:t>that contributes to</w:t>
      </w:r>
      <w:r w:rsidR="009C79DD">
        <w:t xml:space="preserve"> the foodservice sector. </w:t>
      </w:r>
      <w:r w:rsidR="004E30C6">
        <w:t xml:space="preserve">As shown, the largest components of the foodservice sector comprise of small business (comprising approximately 90% of Australia’s foodservice sector). </w:t>
      </w:r>
      <w:r w:rsidR="00B4496C">
        <w:t xml:space="preserve">In addition to the costs borne </w:t>
      </w:r>
      <w:r w:rsidR="004E30C6">
        <w:t>predominantly by small businesses</w:t>
      </w:r>
      <w:r w:rsidR="00B4496C">
        <w:t>, there would be significant</w:t>
      </w:r>
      <w:r w:rsidR="000957B9">
        <w:t xml:space="preserve"> </w:t>
      </w:r>
      <w:r w:rsidR="004E30C6">
        <w:t xml:space="preserve">governance </w:t>
      </w:r>
      <w:r w:rsidR="000957B9">
        <w:t>cost</w:t>
      </w:r>
      <w:r w:rsidR="00B4496C">
        <w:t>s</w:t>
      </w:r>
      <w:r w:rsidR="000957B9">
        <w:t xml:space="preserve"> to monitor and enforce </w:t>
      </w:r>
      <w:r w:rsidR="00212EBA">
        <w:t>such a change to ensure compliance</w:t>
      </w:r>
      <w:r w:rsidR="00FF16FC" w:rsidRPr="00FF16FC">
        <w:t>.</w:t>
      </w:r>
    </w:p>
    <w:p w14:paraId="50091DCB" w14:textId="2A8D7AF6" w:rsidR="007214BF" w:rsidRDefault="007214BF" w:rsidP="007214BF">
      <w:pPr>
        <w:pStyle w:val="CaptionChart"/>
      </w:pPr>
      <w:bookmarkStart w:id="259" w:name="_Ref71549661"/>
      <w:bookmarkStart w:id="260" w:name="_Toc82590354"/>
      <w:r>
        <w:t>: Breakdown of industries within the foodservice sector by business size</w:t>
      </w:r>
      <w:bookmarkEnd w:id="259"/>
      <w:bookmarkEnd w:id="260"/>
      <w:r>
        <w:t xml:space="preserve"> </w:t>
      </w:r>
    </w:p>
    <w:p w14:paraId="0754A8ED" w14:textId="7910F4F2" w:rsidR="005A0CA9" w:rsidRDefault="005A0CA9" w:rsidP="00AE4544">
      <w:pPr>
        <w:pStyle w:val="Source"/>
      </w:pPr>
      <w:r w:rsidRPr="005A0CA9">
        <w:rPr>
          <w:noProof/>
          <w:lang w:eastAsia="en-AU"/>
        </w:rPr>
        <w:drawing>
          <wp:inline distT="0" distB="0" distL="0" distR="0" wp14:anchorId="49AE69BC" wp14:editId="50547BBB">
            <wp:extent cx="5731510" cy="3308350"/>
            <wp:effectExtent l="0" t="0" r="2540" b="6350"/>
            <wp:docPr id="51" name="Picture 51" descr="This stacked column chart shows that the breakdown of industries within the foodservice sector are predominantly very small or small (1-19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stacked column chart shows that the breakdown of industries within the foodservice sector are predominantly very small or small (1-19 employe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308350"/>
                    </a:xfrm>
                    <a:prstGeom prst="rect">
                      <a:avLst/>
                    </a:prstGeom>
                    <a:noFill/>
                    <a:ln>
                      <a:noFill/>
                    </a:ln>
                  </pic:spPr>
                </pic:pic>
              </a:graphicData>
            </a:graphic>
          </wp:inline>
        </w:drawing>
      </w:r>
    </w:p>
    <w:p w14:paraId="1D80E795" w14:textId="7447F37B" w:rsidR="00AE4544" w:rsidRDefault="00AE4544" w:rsidP="00AE4544">
      <w:pPr>
        <w:pStyle w:val="Source"/>
      </w:pPr>
      <w:r w:rsidRPr="00842E04">
        <w:t xml:space="preserve">Source: Deloitte Access Economics’ </w:t>
      </w:r>
      <w:r>
        <w:t>using ABS Counts of Australian Businesses data</w:t>
      </w:r>
      <w:r w:rsidR="00B91A8F">
        <w:t>.</w:t>
      </w:r>
    </w:p>
    <w:p w14:paraId="3C352EAC" w14:textId="6DF0DC1C" w:rsidR="006C3CC5" w:rsidRDefault="007C315A" w:rsidP="001624E6">
      <w:r>
        <w:t>Any implementation of CoOL to the foodservice sector and subsequently its monitoring, enforcement and compliance costs w</w:t>
      </w:r>
      <w:r w:rsidR="002D26FD">
        <w:t>ould</w:t>
      </w:r>
      <w:r>
        <w:t xml:space="preserve"> need to </w:t>
      </w:r>
      <w:r w:rsidR="00102270">
        <w:t>consider the</w:t>
      </w:r>
      <w:r>
        <w:t xml:space="preserve"> impact </w:t>
      </w:r>
      <w:r w:rsidR="002B0678">
        <w:t xml:space="preserve">of </w:t>
      </w:r>
      <w:r>
        <w:t xml:space="preserve">COVID-19 </w:t>
      </w:r>
      <w:r w:rsidR="00102270">
        <w:t>on industry</w:t>
      </w:r>
      <w:r>
        <w:t xml:space="preserve">. In April 2020, cafes, </w:t>
      </w:r>
      <w:r w:rsidR="005608D3">
        <w:t>restaurants</w:t>
      </w:r>
      <w:r>
        <w:t xml:space="preserve"> and catering services turnover fell by 52.6%</w:t>
      </w:r>
      <w:r w:rsidR="00102270">
        <w:t xml:space="preserve"> in response to the first wave of COVID-19 cases with the imposed hard lockdowns across Australia. Meanwhile,</w:t>
      </w:r>
      <w:r>
        <w:t xml:space="preserve"> </w:t>
      </w:r>
      <w:r w:rsidR="00102270">
        <w:t>t</w:t>
      </w:r>
      <w:r>
        <w:t>akeaway foodservices fell by 16.8% (a seasonal estimated fall of $1,975.5 million).</w:t>
      </w:r>
      <w:r w:rsidR="00B91A8F">
        <w:rPr>
          <w:rStyle w:val="FootnoteReference"/>
        </w:rPr>
        <w:footnoteReference w:id="75"/>
      </w:r>
      <w:r>
        <w:t xml:space="preserve"> </w:t>
      </w:r>
      <w:r w:rsidR="004F7C2F">
        <w:fldChar w:fldCharType="begin"/>
      </w:r>
      <w:r w:rsidR="004F7C2F">
        <w:instrText xml:space="preserve"> REF _Ref71558042 \n \h </w:instrText>
      </w:r>
      <w:r w:rsidR="004F7C2F">
        <w:fldChar w:fldCharType="separate"/>
      </w:r>
      <w:r w:rsidR="0017363C">
        <w:t>Chart 4.15</w:t>
      </w:r>
      <w:r w:rsidR="004F7C2F">
        <w:fldChar w:fldCharType="end"/>
      </w:r>
      <w:r w:rsidR="004F7C2F">
        <w:t xml:space="preserve"> shows the café, restaurant and takeaway foodservices turnover </w:t>
      </w:r>
      <w:r w:rsidR="00002082">
        <w:t xml:space="preserve">from June 2019 to March 2021. </w:t>
      </w:r>
    </w:p>
    <w:p w14:paraId="6E47C846" w14:textId="4175BA4C" w:rsidR="003A2627" w:rsidRDefault="00560DDB" w:rsidP="001624E6">
      <w:r>
        <w:lastRenderedPageBreak/>
        <w:t>While t</w:t>
      </w:r>
      <w:r w:rsidR="007C315A">
        <w:t xml:space="preserve">he foodservice industry has slowly recovered, </w:t>
      </w:r>
      <w:r w:rsidR="00A5707B">
        <w:t xml:space="preserve">whereby </w:t>
      </w:r>
      <w:r w:rsidR="007C315A">
        <w:t xml:space="preserve">cafe, restaurants and takeaway foodservices turnover rose higher than the pre-COVID period </w:t>
      </w:r>
      <w:r w:rsidR="00A5707B">
        <w:t xml:space="preserve">in March 2021 </w:t>
      </w:r>
      <w:r w:rsidR="007C315A">
        <w:t>(</w:t>
      </w:r>
      <w:r w:rsidR="00A5707B">
        <w:t xml:space="preserve">to </w:t>
      </w:r>
      <w:r w:rsidR="007C315A">
        <w:t>over $4 billion)</w:t>
      </w:r>
      <w:r w:rsidR="00A5707B">
        <w:t xml:space="preserve">, the </w:t>
      </w:r>
      <w:r w:rsidR="0015518A">
        <w:t>sharp fall in turnover experienced in 2020 is indicative of the volatility of the sector</w:t>
      </w:r>
      <w:r w:rsidR="009A523A">
        <w:t xml:space="preserve"> </w:t>
      </w:r>
      <w:r w:rsidR="007F7006">
        <w:t xml:space="preserve">with regard to </w:t>
      </w:r>
      <w:r w:rsidR="00022963">
        <w:t xml:space="preserve">health and policy </w:t>
      </w:r>
      <w:r w:rsidR="00305D7A">
        <w:t>considerations of COVID-19</w:t>
      </w:r>
      <w:r w:rsidR="00DE6006">
        <w:t>,</w:t>
      </w:r>
      <w:r w:rsidR="00305D7A">
        <w:t xml:space="preserve"> which remain somewhat uncertain</w:t>
      </w:r>
      <w:r w:rsidR="007C315A">
        <w:t>.</w:t>
      </w:r>
      <w:r w:rsidR="00BE2913">
        <w:rPr>
          <w:rStyle w:val="FootnoteReference"/>
        </w:rPr>
        <w:footnoteReference w:id="76"/>
      </w:r>
      <w:r w:rsidR="007C315A">
        <w:t xml:space="preserve"> </w:t>
      </w:r>
      <w:r w:rsidR="002B0678">
        <w:t>Also</w:t>
      </w:r>
      <w:r w:rsidR="00C2362B">
        <w:t xml:space="preserve">, the sector has been supported heavily through </w:t>
      </w:r>
      <w:r w:rsidR="008C7D97">
        <w:t xml:space="preserve">government economic </w:t>
      </w:r>
      <w:r w:rsidR="002B0678">
        <w:t xml:space="preserve">(wage) </w:t>
      </w:r>
      <w:r w:rsidR="008C7D97">
        <w:t>stimulus</w:t>
      </w:r>
      <w:r w:rsidR="008164EA">
        <w:t>.</w:t>
      </w:r>
    </w:p>
    <w:p w14:paraId="5B2A0873" w14:textId="7D08471C" w:rsidR="003A2627" w:rsidRPr="007C315A" w:rsidRDefault="003A2627" w:rsidP="001624E6">
      <w:pPr>
        <w:pStyle w:val="CaptionChart"/>
      </w:pPr>
      <w:bookmarkStart w:id="261" w:name="_Ref71558042"/>
      <w:bookmarkStart w:id="262" w:name="_Toc82590355"/>
      <w:r>
        <w:t xml:space="preserve">: </w:t>
      </w:r>
      <w:r w:rsidR="00493666">
        <w:t xml:space="preserve">Cafes, restaurants and takeaway foodservices </w:t>
      </w:r>
      <w:r w:rsidR="0046790F">
        <w:t>turnover</w:t>
      </w:r>
      <w:r w:rsidR="005A41DB">
        <w:t>, June 2019 to March 2021.</w:t>
      </w:r>
      <w:bookmarkEnd w:id="261"/>
      <w:bookmarkEnd w:id="262"/>
      <w:r w:rsidR="005A41DB">
        <w:t xml:space="preserve"> </w:t>
      </w:r>
    </w:p>
    <w:p w14:paraId="5A77261C" w14:textId="793DD382" w:rsidR="00D20CF3" w:rsidRDefault="00D20CF3" w:rsidP="00D502B2">
      <w:pPr>
        <w:pStyle w:val="Source"/>
      </w:pPr>
      <w:r w:rsidRPr="00D20CF3">
        <w:rPr>
          <w:noProof/>
          <w:lang w:eastAsia="en-AU"/>
        </w:rPr>
        <w:drawing>
          <wp:inline distT="0" distB="0" distL="0" distR="0" wp14:anchorId="44882448" wp14:editId="2B2AFFBE">
            <wp:extent cx="5654675" cy="2640965"/>
            <wp:effectExtent l="0" t="0" r="3175" b="6985"/>
            <wp:docPr id="52" name="Picture 52" descr="This chart shows the turnover remained relatively stable in 2019, reduced sharply in the first quarter of 2020 and then has been increasing to March 2021 back to the same level a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chart shows the turnover remained relatively stable in 2019, reduced sharply in the first quarter of 2020 and then has been increasing to March 2021 back to the same level as 20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54675" cy="2640965"/>
                    </a:xfrm>
                    <a:prstGeom prst="rect">
                      <a:avLst/>
                    </a:prstGeom>
                    <a:noFill/>
                    <a:ln>
                      <a:noFill/>
                    </a:ln>
                  </pic:spPr>
                </pic:pic>
              </a:graphicData>
            </a:graphic>
          </wp:inline>
        </w:drawing>
      </w:r>
    </w:p>
    <w:p w14:paraId="7E993231" w14:textId="6E5F561A" w:rsidR="006C27D8" w:rsidRDefault="00F54D2C" w:rsidP="00D502B2">
      <w:pPr>
        <w:pStyle w:val="Source"/>
      </w:pPr>
      <w:r w:rsidRPr="00842E04">
        <w:t xml:space="preserve">Source: Deloitte Access Economics </w:t>
      </w:r>
      <w:r>
        <w:t xml:space="preserve">using ABS </w:t>
      </w:r>
      <w:r w:rsidR="00425F97" w:rsidRPr="00425F97">
        <w:t>Retail Trade Australia</w:t>
      </w:r>
      <w:r>
        <w:t xml:space="preserve"> data.</w:t>
      </w:r>
    </w:p>
    <w:p w14:paraId="6C3428FB" w14:textId="23FE6571" w:rsidR="00E95462" w:rsidRDefault="008164EA" w:rsidP="00902733">
      <w:r>
        <w:t>However, f</w:t>
      </w:r>
      <w:r w:rsidR="00AD54D1">
        <w:t xml:space="preserve">urther work could be undertaken to examine the costs and benefits </w:t>
      </w:r>
      <w:r w:rsidR="00B505BC">
        <w:t xml:space="preserve">for </w:t>
      </w:r>
      <w:r w:rsidR="00AD54D1">
        <w:t xml:space="preserve">specific subsets </w:t>
      </w:r>
      <w:r w:rsidR="00A42F73">
        <w:t xml:space="preserve">of the foodservice sector </w:t>
      </w:r>
      <w:r w:rsidR="000E4C09">
        <w:t>(</w:t>
      </w:r>
      <w:r w:rsidR="00CF4D67" w:rsidRPr="00CF4D67">
        <w:t>of some way of identifying Australian products</w:t>
      </w:r>
      <w:r w:rsidR="000E4C09">
        <w:t>)</w:t>
      </w:r>
      <w:r w:rsidR="00CF4D67">
        <w:t xml:space="preserve"> </w:t>
      </w:r>
      <w:r w:rsidR="00A42F73">
        <w:t>where consumer interest may be higher</w:t>
      </w:r>
      <w:r w:rsidR="00AD54D1">
        <w:t>.</w:t>
      </w:r>
      <w:r w:rsidR="00AD504A">
        <w:t xml:space="preserve"> </w:t>
      </w:r>
    </w:p>
    <w:p w14:paraId="28150997" w14:textId="77777777" w:rsidR="00496A87" w:rsidRPr="00496A87" w:rsidRDefault="00172A6B" w:rsidP="005B2AF0">
      <w:pPr>
        <w:pStyle w:val="Heading3"/>
      </w:pPr>
      <w:bookmarkStart w:id="263" w:name="_Toc67499096"/>
      <w:r>
        <w:t>Key findings: Appropriateness of the exemption for foodservice</w:t>
      </w:r>
      <w:bookmarkEnd w:id="263"/>
    </w:p>
    <w:tbl>
      <w:tblPr>
        <w:tblStyle w:val="Deloittetable"/>
        <w:tblW w:w="5000" w:type="pct"/>
        <w:tblLook w:val="04A0" w:firstRow="1" w:lastRow="0" w:firstColumn="1" w:lastColumn="0" w:noHBand="0" w:noVBand="1"/>
        <w:tblDescription w:val="This table outlines the four key findings related to the appropriateness of the exemption for foodservice businesses. These are 1) While there may be some consumer and business benefit in providing increased country of origin information in foodservice settings (e.g. restaurants and cafes), any such proposal must be sensitive to the distinct sectors comprising foodservices.&#10;2) It is likely that the practical and cost considerations associated with expanding CoOL in the wider foodservices sector make it more amenable to use in the fast -food sector, particularly in those businesses with a fairly standard menu across restaurants. However, it would be challenging to mandate CoOL only in certain types of foodservice businesses.&#10;3) The mandating of CoOL would not be practical in individual cafes and restaurants if applied at the individual dish or ingredient level. &#10;4) Allowing an alternative claim indicating the commitment of an individual foodservice business to sourcing Australian ingredients might be possible, but could run the risk of not conveying accurate and useful information to consumers."/>
      </w:tblPr>
      <w:tblGrid>
        <w:gridCol w:w="1134"/>
        <w:gridCol w:w="7892"/>
      </w:tblGrid>
      <w:tr w:rsidR="00496A87" w14:paraId="50CD134F"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628" w:type="pct"/>
            <w:tcBorders>
              <w:top w:val="single" w:sz="24" w:space="0" w:color="012169" w:themeColor="accent4"/>
            </w:tcBorders>
          </w:tcPr>
          <w:p w14:paraId="4A1DA89E" w14:textId="77777777" w:rsidR="00496A87" w:rsidRPr="00AB2F4F" w:rsidRDefault="00496A87" w:rsidP="00AB1DCE">
            <w:pPr>
              <w:rPr>
                <w:b/>
                <w:bCs/>
              </w:rPr>
            </w:pPr>
            <w:r>
              <w:rPr>
                <w:b/>
                <w:bCs/>
              </w:rPr>
              <w:t>Ref</w:t>
            </w:r>
          </w:p>
        </w:tc>
        <w:tc>
          <w:tcPr>
            <w:tcW w:w="4372" w:type="pct"/>
            <w:tcBorders>
              <w:top w:val="single" w:sz="24" w:space="0" w:color="012169" w:themeColor="accent4"/>
            </w:tcBorders>
          </w:tcPr>
          <w:p w14:paraId="6EDA892A" w14:textId="5A1F3943" w:rsidR="00496A87" w:rsidRPr="00AB2F4F" w:rsidRDefault="00A24D8F" w:rsidP="00AB1DCE">
            <w:pPr>
              <w:rPr>
                <w:b/>
                <w:bCs/>
              </w:rPr>
            </w:pPr>
            <w:r w:rsidRPr="00A24D8F">
              <w:rPr>
                <w:b/>
                <w:bCs/>
              </w:rPr>
              <w:t>Is the current scope of mandatory CoOL appropriate? Should the exemption for foodservice be maintained?</w:t>
            </w:r>
          </w:p>
        </w:tc>
      </w:tr>
      <w:tr w:rsidR="005C27C1" w14:paraId="23E70F81" w14:textId="77777777" w:rsidTr="000E4C09">
        <w:tc>
          <w:tcPr>
            <w:tcW w:w="628" w:type="pct"/>
          </w:tcPr>
          <w:p w14:paraId="666A8BB3" w14:textId="77777777" w:rsidR="005C27C1" w:rsidRDefault="005C27C1" w:rsidP="005C27C1">
            <w:r>
              <w:t>23</w:t>
            </w:r>
          </w:p>
        </w:tc>
        <w:tc>
          <w:tcPr>
            <w:tcW w:w="4372" w:type="pct"/>
          </w:tcPr>
          <w:p w14:paraId="207E2F3E" w14:textId="77777777" w:rsidR="005C27C1" w:rsidRDefault="005C27C1" w:rsidP="005C27C1">
            <w:pPr>
              <w:pStyle w:val="ListBullet"/>
              <w:numPr>
                <w:ilvl w:val="0"/>
                <w:numId w:val="0"/>
              </w:numPr>
              <w:spacing w:after="170"/>
            </w:pPr>
            <w:r w:rsidRPr="00F977D1">
              <w:t>While there may be some consumer and business benefit in providing increased country of origin information in foodservice settings</w:t>
            </w:r>
            <w:r>
              <w:t xml:space="preserve"> (e.g. restaurants and cafes)</w:t>
            </w:r>
            <w:r w:rsidRPr="00F977D1">
              <w:t>, any such proposal must be sensitive to the distinct sectors comprising foodservices.</w:t>
            </w:r>
          </w:p>
        </w:tc>
      </w:tr>
      <w:tr w:rsidR="005C27C1" w14:paraId="50024C9E" w14:textId="77777777" w:rsidTr="000E4C09">
        <w:tc>
          <w:tcPr>
            <w:tcW w:w="628" w:type="pct"/>
          </w:tcPr>
          <w:p w14:paraId="724A8141" w14:textId="77777777" w:rsidR="005C27C1" w:rsidRDefault="005C27C1" w:rsidP="005C27C1">
            <w:r>
              <w:t>24</w:t>
            </w:r>
          </w:p>
        </w:tc>
        <w:tc>
          <w:tcPr>
            <w:tcW w:w="4372" w:type="pct"/>
          </w:tcPr>
          <w:p w14:paraId="2F4DA010" w14:textId="6A4E41B2" w:rsidR="005C27C1" w:rsidRDefault="005C27C1" w:rsidP="005C27C1">
            <w:pPr>
              <w:pStyle w:val="ListBullet"/>
              <w:numPr>
                <w:ilvl w:val="0"/>
                <w:numId w:val="0"/>
              </w:numPr>
              <w:spacing w:after="170"/>
            </w:pPr>
            <w:r w:rsidRPr="00F977D1">
              <w:t xml:space="preserve">It is likely that the practical and cost considerations associated with expanding CoOL in the wider foodservices sector make it more amenable to use in the </w:t>
            </w:r>
            <w:r w:rsidR="007A76A1">
              <w:t>fast</w:t>
            </w:r>
            <w:r w:rsidR="0051046E">
              <w:t>-</w:t>
            </w:r>
            <w:r w:rsidR="007A76A1">
              <w:t>food</w:t>
            </w:r>
            <w:r w:rsidRPr="00F977D1">
              <w:t xml:space="preserve"> sector, particularly in those businesses with a fairly standard menu across restaurants. </w:t>
            </w:r>
            <w:r>
              <w:t>However, it would be challenging to mandate CoOL only in certain types of foodservice businesses.</w:t>
            </w:r>
          </w:p>
        </w:tc>
      </w:tr>
      <w:tr w:rsidR="005C27C1" w14:paraId="25E0FE5D" w14:textId="77777777" w:rsidTr="000E4C09">
        <w:tc>
          <w:tcPr>
            <w:tcW w:w="628" w:type="pct"/>
          </w:tcPr>
          <w:p w14:paraId="03423C31" w14:textId="77777777" w:rsidR="005C27C1" w:rsidRDefault="005C27C1" w:rsidP="005C27C1">
            <w:r>
              <w:t>25</w:t>
            </w:r>
          </w:p>
        </w:tc>
        <w:tc>
          <w:tcPr>
            <w:tcW w:w="4372" w:type="pct"/>
          </w:tcPr>
          <w:p w14:paraId="1F0BE1C5" w14:textId="77777777" w:rsidR="005C27C1" w:rsidRDefault="005C27C1" w:rsidP="005C27C1">
            <w:pPr>
              <w:pStyle w:val="ListBullet"/>
              <w:numPr>
                <w:ilvl w:val="0"/>
                <w:numId w:val="0"/>
              </w:numPr>
              <w:spacing w:after="170"/>
            </w:pPr>
            <w:r w:rsidRPr="00F977D1">
              <w:t xml:space="preserve">The mandating of CoOL </w:t>
            </w:r>
            <w:r>
              <w:t>would not</w:t>
            </w:r>
            <w:r w:rsidRPr="00F977D1">
              <w:t xml:space="preserve"> be practical in individual cafes and restaurants if applied at the individual dish or ingredient level. </w:t>
            </w:r>
          </w:p>
        </w:tc>
      </w:tr>
      <w:tr w:rsidR="005C27C1" w14:paraId="4F6364C1" w14:textId="77777777" w:rsidTr="000E4C09">
        <w:tc>
          <w:tcPr>
            <w:tcW w:w="628" w:type="pct"/>
          </w:tcPr>
          <w:p w14:paraId="438AFE51" w14:textId="77777777" w:rsidR="005C27C1" w:rsidRDefault="005C27C1" w:rsidP="005C27C1">
            <w:r>
              <w:t>26</w:t>
            </w:r>
          </w:p>
        </w:tc>
        <w:tc>
          <w:tcPr>
            <w:tcW w:w="4372" w:type="pct"/>
          </w:tcPr>
          <w:p w14:paraId="464B3CAC" w14:textId="77777777" w:rsidR="005C27C1" w:rsidRDefault="002B051C" w:rsidP="005C27C1">
            <w:pPr>
              <w:pStyle w:val="ListBullet"/>
              <w:numPr>
                <w:ilvl w:val="0"/>
                <w:numId w:val="0"/>
              </w:numPr>
              <w:spacing w:after="170"/>
            </w:pPr>
            <w:r w:rsidRPr="002B051C">
              <w:t>Allowing an alternative claim</w:t>
            </w:r>
            <w:r w:rsidR="005C27C1" w:rsidRPr="00F977D1">
              <w:t xml:space="preserve"> indicating the commitment of an individual foodservice business to sourcing Australian ingredients </w:t>
            </w:r>
            <w:r w:rsidRPr="002B051C">
              <w:t>might</w:t>
            </w:r>
            <w:r w:rsidR="005C27C1" w:rsidRPr="00F977D1">
              <w:t xml:space="preserve"> be </w:t>
            </w:r>
            <w:r w:rsidRPr="002B051C">
              <w:t>possible, but could run the risk of not</w:t>
            </w:r>
            <w:r w:rsidR="005C27C1" w:rsidRPr="00F977D1">
              <w:t xml:space="preserve"> conveying accurate and useful information to consumers.</w:t>
            </w:r>
          </w:p>
        </w:tc>
      </w:tr>
    </w:tbl>
    <w:p w14:paraId="331D2AE3" w14:textId="573B32CA" w:rsidR="00172A6B" w:rsidRDefault="005110B4" w:rsidP="00172A6B">
      <w:pPr>
        <w:pStyle w:val="Heading2"/>
      </w:pPr>
      <w:bookmarkStart w:id="264" w:name="_Toc66774372"/>
      <w:bookmarkStart w:id="265" w:name="_Ref71200398"/>
      <w:bookmarkStart w:id="266" w:name="_Ref71203748"/>
      <w:bookmarkStart w:id="267" w:name="_Toc67499097"/>
      <w:bookmarkStart w:id="268" w:name="_Toc94702058"/>
      <w:bookmarkEnd w:id="264"/>
      <w:r>
        <w:lastRenderedPageBreak/>
        <w:t>Consumer</w:t>
      </w:r>
      <w:r w:rsidR="00172A6B" w:rsidRPr="008B1D5D" w:rsidDel="005110B4">
        <w:t xml:space="preserve"> perceptions and expectations</w:t>
      </w:r>
      <w:r>
        <w:t xml:space="preserve"> of t</w:t>
      </w:r>
      <w:r w:rsidR="00CA6E4F">
        <w:t>he</w:t>
      </w:r>
      <w:r w:rsidR="00172A6B" w:rsidRPr="008B1D5D">
        <w:t xml:space="preserve"> ‘Made in’ claim</w:t>
      </w:r>
      <w:r>
        <w:t xml:space="preserve">, </w:t>
      </w:r>
      <w:r w:rsidR="00172A6B">
        <w:t>Australian Made logo and bar chart</w:t>
      </w:r>
      <w:bookmarkEnd w:id="265"/>
      <w:bookmarkEnd w:id="266"/>
      <w:bookmarkEnd w:id="268"/>
      <w:r w:rsidR="00172A6B">
        <w:t xml:space="preserve"> </w:t>
      </w:r>
      <w:bookmarkEnd w:id="267"/>
    </w:p>
    <w:p w14:paraId="7196849A" w14:textId="77777777" w:rsidR="00EA0730" w:rsidRDefault="00172A6B" w:rsidP="00EA0730">
      <w:r>
        <w:t xml:space="preserve">Food labelling schemes are largely driven by the need to overcome information asymmetry and to provide consumers with clearer messages regarding their food. </w:t>
      </w:r>
      <w:r w:rsidR="00EA0730">
        <w:t>The ‘Made in’ claim is a significant part of the scheme, allowing businesses to make ‘Made in’ statements where the food underwent its last substantial transformation in the country specified even where all (or even any) ingredients are not from that specified country. Businesses making the ‘Made in’ claim are able to use the kangaroo label, while the bar chart is required to indicate the extent of Australian ingredients.</w:t>
      </w:r>
    </w:p>
    <w:p w14:paraId="64DEF026" w14:textId="20A32436" w:rsidR="00BF4972" w:rsidRDefault="002B1DEE" w:rsidP="00BF4972">
      <w:r>
        <w:t>T</w:t>
      </w:r>
      <w:r w:rsidR="00172A6B">
        <w:t xml:space="preserve">he issues identified with the </w:t>
      </w:r>
      <w:r w:rsidR="002C6E66">
        <w:t>‘</w:t>
      </w:r>
      <w:r w:rsidR="00172A6B">
        <w:t xml:space="preserve">Made </w:t>
      </w:r>
      <w:r w:rsidR="002C6E66">
        <w:t>i</w:t>
      </w:r>
      <w:r w:rsidR="00172A6B">
        <w:t>n</w:t>
      </w:r>
      <w:r w:rsidR="002C6E66">
        <w:t>’</w:t>
      </w:r>
      <w:r w:rsidR="00172A6B">
        <w:t xml:space="preserve"> claim predate the current scheme</w:t>
      </w:r>
      <w:r>
        <w:t xml:space="preserve"> to some extent</w:t>
      </w:r>
      <w:r w:rsidR="00172A6B">
        <w:t>.</w:t>
      </w:r>
      <w:r w:rsidR="00172A6B">
        <w:rPr>
          <w:rStyle w:val="FootnoteReference"/>
        </w:rPr>
        <w:footnoteReference w:id="77"/>
      </w:r>
      <w:r w:rsidR="00172A6B">
        <w:t xml:space="preserve"> These evaluation questions are intended to address the extent to which the scheme is addressing this misunderstanding. </w:t>
      </w:r>
      <w:r w:rsidR="00BF4972">
        <w:t xml:space="preserve">As such, the evaluation has considered whether the criteria for making a ‘Made in’ claim (evaluation question 10) and whether the use of the Australian Made logo and bar chart (evaluation question 11) reflect consumer perceptions and expectations. </w:t>
      </w:r>
    </w:p>
    <w:p w14:paraId="0305D7D6" w14:textId="751B6665" w:rsidR="00172A6B" w:rsidRDefault="003B347E" w:rsidP="00172A6B">
      <w:pPr>
        <w:pStyle w:val="Heading3"/>
      </w:pPr>
      <w:bookmarkStart w:id="269" w:name="_Toc67499098"/>
      <w:r>
        <w:t>C</w:t>
      </w:r>
      <w:r w:rsidR="00172A6B">
        <w:t xml:space="preserve">onsumers do not </w:t>
      </w:r>
      <w:r w:rsidR="00CD4D11">
        <w:t>universally</w:t>
      </w:r>
      <w:r w:rsidR="00172A6B">
        <w:t xml:space="preserve"> </w:t>
      </w:r>
      <w:r>
        <w:t>accept or</w:t>
      </w:r>
      <w:r w:rsidR="00172A6B">
        <w:t xml:space="preserve"> understand the </w:t>
      </w:r>
      <w:r w:rsidR="002C6E66">
        <w:t>‘</w:t>
      </w:r>
      <w:r w:rsidR="00172A6B">
        <w:t xml:space="preserve">Made </w:t>
      </w:r>
      <w:r w:rsidR="002C6E66">
        <w:t>i</w:t>
      </w:r>
      <w:r w:rsidR="00172A6B">
        <w:t>n</w:t>
      </w:r>
      <w:r w:rsidR="002C6E66">
        <w:t>’</w:t>
      </w:r>
      <w:r w:rsidR="00172A6B">
        <w:t xml:space="preserve"> claim</w:t>
      </w:r>
      <w:bookmarkEnd w:id="269"/>
    </w:p>
    <w:p w14:paraId="1235E8D6" w14:textId="4469508E" w:rsidR="00172A6B" w:rsidRDefault="00172A6B" w:rsidP="00172A6B">
      <w:pPr>
        <w:rPr>
          <w:color w:val="000000" w:themeColor="text1"/>
          <w:lang w:eastAsia="en-AU"/>
        </w:rPr>
      </w:pPr>
      <w:r w:rsidRPr="003C4EED">
        <w:rPr>
          <w:color w:val="000000" w:themeColor="text1"/>
          <w:lang w:eastAsia="en-AU"/>
        </w:rPr>
        <w:t>The majority of consumers that responded to the consumer survey (65</w:t>
      </w:r>
      <w:r w:rsidR="007B2C81">
        <w:rPr>
          <w:color w:val="000000" w:themeColor="text1"/>
          <w:lang w:eastAsia="en-AU"/>
        </w:rPr>
        <w:t>%</w:t>
      </w:r>
      <w:r w:rsidRPr="003C4EED">
        <w:rPr>
          <w:color w:val="000000" w:themeColor="text1"/>
          <w:lang w:eastAsia="en-AU"/>
        </w:rPr>
        <w:t xml:space="preserve">) </w:t>
      </w:r>
      <w:r>
        <w:rPr>
          <w:color w:val="000000" w:themeColor="text1"/>
          <w:lang w:eastAsia="en-AU"/>
        </w:rPr>
        <w:t xml:space="preserve">state they </w:t>
      </w:r>
      <w:r w:rsidRPr="003C4EED">
        <w:rPr>
          <w:color w:val="000000" w:themeColor="text1"/>
          <w:lang w:eastAsia="en-AU"/>
        </w:rPr>
        <w:t xml:space="preserve">are satisfied with the criteria businesses must meet in order to make a </w:t>
      </w:r>
      <w:r w:rsidR="00993029">
        <w:rPr>
          <w:color w:val="000000" w:themeColor="text1"/>
          <w:lang w:eastAsia="en-AU"/>
        </w:rPr>
        <w:t>‘</w:t>
      </w:r>
      <w:r w:rsidRPr="003C4EED">
        <w:rPr>
          <w:color w:val="000000" w:themeColor="text1"/>
          <w:lang w:eastAsia="en-AU"/>
        </w:rPr>
        <w:t>Made in</w:t>
      </w:r>
      <w:r w:rsidR="00993029">
        <w:rPr>
          <w:color w:val="000000" w:themeColor="text1"/>
          <w:lang w:eastAsia="en-AU"/>
        </w:rPr>
        <w:t>’</w:t>
      </w:r>
      <w:r w:rsidRPr="003C4EED">
        <w:rPr>
          <w:color w:val="000000" w:themeColor="text1"/>
          <w:lang w:eastAsia="en-AU"/>
        </w:rPr>
        <w:t xml:space="preserve"> statement (</w:t>
      </w:r>
      <w:r>
        <w:rPr>
          <w:color w:val="000000" w:themeColor="text1"/>
          <w:lang w:eastAsia="en-AU"/>
        </w:rPr>
        <w:t>see</w:t>
      </w:r>
      <w:r w:rsidR="009E384A">
        <w:rPr>
          <w:color w:val="000000" w:themeColor="text1"/>
          <w:lang w:eastAsia="en-AU"/>
        </w:rPr>
        <w:t xml:space="preserve"> </w:t>
      </w:r>
      <w:r w:rsidR="009E384A">
        <w:rPr>
          <w:color w:val="000000" w:themeColor="text1"/>
          <w:lang w:eastAsia="en-AU"/>
        </w:rPr>
        <w:fldChar w:fldCharType="begin"/>
      </w:r>
      <w:r w:rsidR="009E384A">
        <w:rPr>
          <w:color w:val="000000" w:themeColor="text1"/>
          <w:lang w:eastAsia="en-AU"/>
        </w:rPr>
        <w:instrText xml:space="preserve"> REF _Ref68086395 \r \h </w:instrText>
      </w:r>
      <w:r w:rsidR="009E384A">
        <w:rPr>
          <w:color w:val="000000" w:themeColor="text1"/>
          <w:lang w:eastAsia="en-AU"/>
        </w:rPr>
      </w:r>
      <w:r w:rsidR="009E384A">
        <w:rPr>
          <w:color w:val="000000" w:themeColor="text1"/>
          <w:lang w:eastAsia="en-AU"/>
        </w:rPr>
        <w:fldChar w:fldCharType="separate"/>
      </w:r>
      <w:r w:rsidR="0017363C">
        <w:rPr>
          <w:color w:val="000000" w:themeColor="text1"/>
          <w:lang w:eastAsia="en-AU"/>
        </w:rPr>
        <w:t>Chart 4.16</w:t>
      </w:r>
      <w:r w:rsidR="009E384A">
        <w:rPr>
          <w:color w:val="000000" w:themeColor="text1"/>
          <w:lang w:eastAsia="en-AU"/>
        </w:rPr>
        <w:fldChar w:fldCharType="end"/>
      </w:r>
      <w:r w:rsidRPr="003C4EED">
        <w:rPr>
          <w:color w:val="000000" w:themeColor="text1"/>
          <w:lang w:eastAsia="en-AU"/>
        </w:rPr>
        <w:t>). Around one quarter (25</w:t>
      </w:r>
      <w:r w:rsidR="007B2C81">
        <w:rPr>
          <w:color w:val="000000" w:themeColor="text1"/>
          <w:lang w:eastAsia="en-AU"/>
        </w:rPr>
        <w:t>%</w:t>
      </w:r>
      <w:r w:rsidRPr="003C4EED">
        <w:rPr>
          <w:color w:val="000000" w:themeColor="text1"/>
          <w:lang w:eastAsia="en-AU"/>
        </w:rPr>
        <w:t xml:space="preserve">) are ‘neither satisfied nor dissatisfied’, while only </w:t>
      </w:r>
      <w:r w:rsidR="007B2C81">
        <w:rPr>
          <w:color w:val="000000" w:themeColor="text1"/>
          <w:lang w:eastAsia="en-AU"/>
        </w:rPr>
        <w:t>8%</w:t>
      </w:r>
      <w:r w:rsidRPr="003C4EED">
        <w:rPr>
          <w:color w:val="000000" w:themeColor="text1"/>
          <w:lang w:eastAsia="en-AU"/>
        </w:rPr>
        <w:t xml:space="preserve"> are dissatisfied and </w:t>
      </w:r>
      <w:r>
        <w:rPr>
          <w:color w:val="000000" w:themeColor="text1"/>
          <w:lang w:eastAsia="en-AU"/>
        </w:rPr>
        <w:t>one per cent</w:t>
      </w:r>
      <w:r w:rsidRPr="003C4EED">
        <w:rPr>
          <w:color w:val="000000" w:themeColor="text1"/>
          <w:lang w:eastAsia="en-AU"/>
        </w:rPr>
        <w:t xml:space="preserve"> are very dissatisfied.</w:t>
      </w:r>
    </w:p>
    <w:p w14:paraId="7549F971" w14:textId="2B51B4FE" w:rsidR="00172A6B" w:rsidRDefault="00172A6B" w:rsidP="00C604D8">
      <w:pPr>
        <w:spacing w:after="120" w:line="276" w:lineRule="auto"/>
        <w:rPr>
          <w:rFonts w:eastAsia="Times New Roman" w:cs="Arial"/>
          <w:color w:val="000000" w:themeColor="text1"/>
          <w:kern w:val="24"/>
          <w:lang w:eastAsia="en-AU"/>
        </w:rPr>
      </w:pPr>
      <w:r>
        <w:rPr>
          <w:rFonts w:eastAsia="Times New Roman" w:cs="Arial"/>
          <w:color w:val="000000" w:themeColor="text1"/>
          <w:kern w:val="24"/>
          <w:lang w:eastAsia="en-AU"/>
        </w:rPr>
        <w:t xml:space="preserve">Few </w:t>
      </w:r>
      <w:r w:rsidRPr="003C4EED">
        <w:rPr>
          <w:rFonts w:eastAsia="Times New Roman" w:cs="Arial"/>
          <w:color w:val="000000" w:themeColor="text1"/>
          <w:kern w:val="24"/>
          <w:lang w:eastAsia="en-AU"/>
        </w:rPr>
        <w:t xml:space="preserve">consumers </w:t>
      </w:r>
      <w:r w:rsidR="00CA092C">
        <w:rPr>
          <w:rFonts w:eastAsia="Times New Roman" w:cs="Arial"/>
          <w:color w:val="000000" w:themeColor="text1"/>
          <w:kern w:val="24"/>
          <w:lang w:eastAsia="en-AU"/>
        </w:rPr>
        <w:t>(0-12%)</w:t>
      </w:r>
      <w:r w:rsidR="00CA092C" w:rsidRPr="003C4EED">
        <w:rPr>
          <w:rFonts w:eastAsia="Times New Roman" w:cs="Arial"/>
          <w:color w:val="000000" w:themeColor="text1"/>
          <w:kern w:val="24"/>
          <w:lang w:eastAsia="en-AU"/>
        </w:rPr>
        <w:t xml:space="preserve"> </w:t>
      </w:r>
      <w:r w:rsidRPr="003C4EED">
        <w:rPr>
          <w:rFonts w:eastAsia="Times New Roman" w:cs="Arial"/>
          <w:color w:val="000000" w:themeColor="text1"/>
          <w:kern w:val="24"/>
          <w:lang w:eastAsia="en-AU"/>
        </w:rPr>
        <w:t xml:space="preserve">responded </w:t>
      </w:r>
      <w:r w:rsidR="008C016D">
        <w:rPr>
          <w:rFonts w:eastAsia="Times New Roman" w:cs="Arial"/>
          <w:color w:val="000000" w:themeColor="text1"/>
          <w:kern w:val="24"/>
          <w:lang w:eastAsia="en-AU"/>
        </w:rPr>
        <w:t xml:space="preserve">to the consumer survey </w:t>
      </w:r>
      <w:r w:rsidRPr="003C4EED">
        <w:rPr>
          <w:rFonts w:eastAsia="Times New Roman" w:cs="Arial"/>
          <w:color w:val="000000" w:themeColor="text1"/>
          <w:kern w:val="24"/>
          <w:lang w:eastAsia="en-AU"/>
        </w:rPr>
        <w:t xml:space="preserve">that the definitions </w:t>
      </w:r>
      <w:r w:rsidR="0011634B">
        <w:rPr>
          <w:rFonts w:eastAsia="Times New Roman" w:cs="Arial"/>
          <w:color w:val="000000" w:themeColor="text1"/>
          <w:kern w:val="24"/>
          <w:lang w:eastAsia="en-AU"/>
        </w:rPr>
        <w:t xml:space="preserve">of ‘Grown in’, ‘Product of’, ‘Made in’ and ‘Packed in’ </w:t>
      </w:r>
      <w:r w:rsidR="006B559B">
        <w:rPr>
          <w:rFonts w:eastAsia="Times New Roman" w:cs="Arial"/>
          <w:color w:val="000000" w:themeColor="text1"/>
          <w:kern w:val="24"/>
          <w:lang w:eastAsia="en-AU"/>
        </w:rPr>
        <w:t>were</w:t>
      </w:r>
      <w:r w:rsidR="002E5DCB">
        <w:rPr>
          <w:rFonts w:eastAsia="Times New Roman" w:cs="Arial"/>
          <w:color w:val="000000" w:themeColor="text1"/>
          <w:kern w:val="24"/>
          <w:lang w:eastAsia="en-AU"/>
        </w:rPr>
        <w:t xml:space="preserve"> </w:t>
      </w:r>
      <w:r>
        <w:rPr>
          <w:rFonts w:eastAsia="Times New Roman" w:cs="Arial"/>
          <w:color w:val="000000" w:themeColor="text1"/>
          <w:kern w:val="24"/>
          <w:lang w:eastAsia="en-AU"/>
        </w:rPr>
        <w:t>“</w:t>
      </w:r>
      <w:r w:rsidRPr="003C4EED">
        <w:rPr>
          <w:rFonts w:eastAsia="Times New Roman" w:cs="Arial"/>
          <w:color w:val="000000" w:themeColor="text1"/>
          <w:kern w:val="24"/>
          <w:lang w:eastAsia="en-AU"/>
        </w:rPr>
        <w:t>not at all</w:t>
      </w:r>
      <w:r>
        <w:rPr>
          <w:rFonts w:eastAsia="Times New Roman" w:cs="Arial"/>
          <w:color w:val="000000" w:themeColor="text1"/>
          <w:kern w:val="24"/>
          <w:lang w:eastAsia="en-AU"/>
        </w:rPr>
        <w:t>”</w:t>
      </w:r>
      <w:r w:rsidRPr="003C4EED">
        <w:rPr>
          <w:rFonts w:eastAsia="Times New Roman" w:cs="Arial"/>
          <w:color w:val="000000" w:themeColor="text1"/>
          <w:kern w:val="24"/>
          <w:lang w:eastAsia="en-AU"/>
        </w:rPr>
        <w:t xml:space="preserve"> or </w:t>
      </w:r>
      <w:r>
        <w:rPr>
          <w:rFonts w:eastAsia="Times New Roman" w:cs="Arial"/>
          <w:color w:val="000000" w:themeColor="text1"/>
          <w:kern w:val="24"/>
          <w:lang w:eastAsia="en-AU"/>
        </w:rPr>
        <w:t>“</w:t>
      </w:r>
      <w:r w:rsidRPr="003C4EED">
        <w:rPr>
          <w:rFonts w:eastAsia="Times New Roman" w:cs="Arial"/>
          <w:color w:val="000000" w:themeColor="text1"/>
          <w:kern w:val="24"/>
          <w:lang w:eastAsia="en-AU"/>
        </w:rPr>
        <w:t>to a small extent</w:t>
      </w:r>
      <w:r>
        <w:rPr>
          <w:rFonts w:eastAsia="Times New Roman" w:cs="Arial"/>
          <w:color w:val="000000" w:themeColor="text1"/>
          <w:kern w:val="24"/>
          <w:lang w:eastAsia="en-AU"/>
        </w:rPr>
        <w:t>”</w:t>
      </w:r>
      <w:r w:rsidRPr="003C4EED">
        <w:rPr>
          <w:rFonts w:eastAsia="Times New Roman" w:cs="Arial"/>
          <w:color w:val="000000" w:themeColor="text1"/>
          <w:kern w:val="24"/>
          <w:lang w:eastAsia="en-AU"/>
        </w:rPr>
        <w:t xml:space="preserve"> harmonious with their understanding. </w:t>
      </w:r>
      <w:r w:rsidR="00CD4D11">
        <w:rPr>
          <w:rFonts w:eastAsia="Times New Roman" w:cs="Arial"/>
          <w:color w:val="000000" w:themeColor="text1"/>
          <w:kern w:val="24"/>
          <w:lang w:eastAsia="en-AU"/>
        </w:rPr>
        <w:t>When the CoOL reforms were explained to consumers, m</w:t>
      </w:r>
      <w:r w:rsidR="007B2C81">
        <w:rPr>
          <w:rFonts w:eastAsia="Times New Roman" w:cs="Arial"/>
          <w:color w:val="000000" w:themeColor="text1"/>
          <w:kern w:val="24"/>
          <w:lang w:eastAsia="en-AU"/>
        </w:rPr>
        <w:t>ost (</w:t>
      </w:r>
      <w:r>
        <w:rPr>
          <w:rFonts w:eastAsia="Times New Roman" w:cs="Arial"/>
          <w:color w:val="000000" w:themeColor="text1"/>
          <w:kern w:val="24"/>
          <w:lang w:eastAsia="en-AU"/>
        </w:rPr>
        <w:t>56</w:t>
      </w:r>
      <w:r w:rsidR="007B2C81">
        <w:rPr>
          <w:rFonts w:eastAsia="Times New Roman" w:cs="Arial"/>
          <w:color w:val="000000" w:themeColor="text1"/>
          <w:kern w:val="24"/>
          <w:lang w:eastAsia="en-AU"/>
        </w:rPr>
        <w:t>%)</w:t>
      </w:r>
      <w:r w:rsidRPr="003C4EED">
        <w:rPr>
          <w:rFonts w:eastAsia="Times New Roman" w:cs="Arial"/>
          <w:color w:val="000000" w:themeColor="text1"/>
          <w:kern w:val="24"/>
          <w:lang w:eastAsia="en-AU"/>
        </w:rPr>
        <w:t xml:space="preserve"> suggested their understanding was largely consistent with the definitions</w:t>
      </w:r>
      <w:r w:rsidR="009C13A0">
        <w:rPr>
          <w:rFonts w:eastAsia="Times New Roman" w:cs="Arial"/>
          <w:color w:val="000000" w:themeColor="text1"/>
          <w:kern w:val="24"/>
          <w:lang w:eastAsia="en-AU"/>
        </w:rPr>
        <w:t>,</w:t>
      </w:r>
      <w:r w:rsidR="003B347E">
        <w:rPr>
          <w:rFonts w:eastAsia="Times New Roman" w:cs="Arial"/>
          <w:color w:val="000000" w:themeColor="text1"/>
          <w:kern w:val="24"/>
          <w:lang w:eastAsia="en-AU"/>
        </w:rPr>
        <w:t xml:space="preserve"> and a further</w:t>
      </w:r>
      <w:r>
        <w:rPr>
          <w:rFonts w:eastAsia="Times New Roman" w:cs="Arial"/>
          <w:color w:val="000000" w:themeColor="text1"/>
          <w:kern w:val="24"/>
          <w:lang w:eastAsia="en-AU"/>
        </w:rPr>
        <w:t xml:space="preserve"> </w:t>
      </w:r>
      <w:r w:rsidR="003B347E">
        <w:rPr>
          <w:rFonts w:eastAsia="Times New Roman" w:cs="Arial"/>
          <w:color w:val="000000" w:themeColor="text1"/>
          <w:kern w:val="24"/>
          <w:lang w:eastAsia="en-AU"/>
        </w:rPr>
        <w:t xml:space="preserve">one third considered </w:t>
      </w:r>
      <w:r w:rsidR="00866074">
        <w:rPr>
          <w:rFonts w:eastAsia="Times New Roman" w:cs="Arial"/>
          <w:color w:val="000000" w:themeColor="text1"/>
          <w:kern w:val="24"/>
          <w:lang w:eastAsia="en-AU"/>
        </w:rPr>
        <w:t xml:space="preserve">this to be the case </w:t>
      </w:r>
      <w:r>
        <w:rPr>
          <w:rFonts w:eastAsia="Times New Roman" w:cs="Arial"/>
          <w:color w:val="000000" w:themeColor="text1"/>
          <w:kern w:val="24"/>
          <w:lang w:eastAsia="en-AU"/>
        </w:rPr>
        <w:t>“to a moderate extent”</w:t>
      </w:r>
      <w:r w:rsidR="00866074">
        <w:rPr>
          <w:rFonts w:eastAsia="Times New Roman" w:cs="Arial"/>
          <w:color w:val="000000" w:themeColor="text1"/>
          <w:kern w:val="24"/>
          <w:lang w:eastAsia="en-AU"/>
        </w:rPr>
        <w:t>.</w:t>
      </w:r>
      <w:r w:rsidR="00044AFD">
        <w:rPr>
          <w:rFonts w:eastAsia="Times New Roman" w:cs="Arial"/>
          <w:color w:val="000000" w:themeColor="text1"/>
          <w:kern w:val="24"/>
          <w:lang w:eastAsia="en-AU"/>
        </w:rPr>
        <w:t xml:space="preserve"> </w:t>
      </w:r>
      <w:r w:rsidR="00044AFD">
        <w:rPr>
          <w:color w:val="000000" w:themeColor="text1"/>
          <w:lang w:eastAsia="en-AU"/>
        </w:rPr>
        <w:t xml:space="preserve">There was some limited variation across ages, for instance, </w:t>
      </w:r>
      <w:r w:rsidRPr="003C4EED">
        <w:rPr>
          <w:color w:val="000000" w:themeColor="text1"/>
          <w:lang w:eastAsia="en-AU"/>
        </w:rPr>
        <w:t>14</w:t>
      </w:r>
      <w:r w:rsidR="007B2C81">
        <w:rPr>
          <w:color w:val="000000" w:themeColor="text1"/>
          <w:lang w:eastAsia="en-AU"/>
        </w:rPr>
        <w:t>%</w:t>
      </w:r>
      <w:r w:rsidRPr="003C4EED">
        <w:rPr>
          <w:color w:val="000000" w:themeColor="text1"/>
          <w:lang w:eastAsia="en-AU"/>
        </w:rPr>
        <w:t xml:space="preserve"> of consumers aged 65</w:t>
      </w:r>
      <w:r w:rsidR="00ED2A30">
        <w:rPr>
          <w:color w:val="000000" w:themeColor="text1"/>
          <w:lang w:eastAsia="en-AU"/>
        </w:rPr>
        <w:t xml:space="preserve"> </w:t>
      </w:r>
      <w:r>
        <w:rPr>
          <w:color w:val="000000" w:themeColor="text1"/>
          <w:lang w:eastAsia="en-AU"/>
        </w:rPr>
        <w:t>years</w:t>
      </w:r>
      <w:r w:rsidRPr="003C4EED">
        <w:rPr>
          <w:color w:val="000000" w:themeColor="text1"/>
          <w:lang w:eastAsia="en-AU"/>
        </w:rPr>
        <w:t xml:space="preserve"> and </w:t>
      </w:r>
      <w:r w:rsidR="00DE6006">
        <w:rPr>
          <w:color w:val="000000" w:themeColor="text1"/>
          <w:lang w:eastAsia="en-AU"/>
        </w:rPr>
        <w:t>more</w:t>
      </w:r>
      <w:r w:rsidR="00DE6006" w:rsidRPr="003C4EED">
        <w:rPr>
          <w:color w:val="000000" w:themeColor="text1"/>
          <w:lang w:eastAsia="en-AU"/>
        </w:rPr>
        <w:t xml:space="preserve"> </w:t>
      </w:r>
      <w:r w:rsidRPr="003C4EED">
        <w:rPr>
          <w:color w:val="000000" w:themeColor="text1"/>
          <w:lang w:eastAsia="en-AU"/>
        </w:rPr>
        <w:t xml:space="preserve">report that their understanding of the </w:t>
      </w:r>
      <w:r>
        <w:rPr>
          <w:color w:val="000000" w:themeColor="text1"/>
          <w:lang w:eastAsia="en-AU"/>
        </w:rPr>
        <w:t>‘</w:t>
      </w:r>
      <w:r w:rsidRPr="003C4EED">
        <w:rPr>
          <w:color w:val="000000" w:themeColor="text1"/>
          <w:lang w:eastAsia="en-AU"/>
        </w:rPr>
        <w:t xml:space="preserve">Made </w:t>
      </w:r>
      <w:r>
        <w:rPr>
          <w:color w:val="000000" w:themeColor="text1"/>
          <w:lang w:eastAsia="en-AU"/>
        </w:rPr>
        <w:t>i</w:t>
      </w:r>
      <w:r w:rsidRPr="003C4EED">
        <w:rPr>
          <w:color w:val="000000" w:themeColor="text1"/>
          <w:lang w:eastAsia="en-AU"/>
        </w:rPr>
        <w:t>n</w:t>
      </w:r>
      <w:r>
        <w:rPr>
          <w:color w:val="000000" w:themeColor="text1"/>
          <w:lang w:eastAsia="en-AU"/>
        </w:rPr>
        <w:t>’</w:t>
      </w:r>
      <w:r w:rsidRPr="003C4EED">
        <w:rPr>
          <w:color w:val="000000" w:themeColor="text1"/>
          <w:lang w:eastAsia="en-AU"/>
        </w:rPr>
        <w:t xml:space="preserve"> statement is </w:t>
      </w:r>
      <w:r w:rsidR="00993029">
        <w:rPr>
          <w:color w:val="000000" w:themeColor="text1"/>
          <w:lang w:eastAsia="en-AU"/>
        </w:rPr>
        <w:t>“</w:t>
      </w:r>
      <w:r w:rsidRPr="003C4EED">
        <w:rPr>
          <w:color w:val="000000" w:themeColor="text1"/>
          <w:lang w:eastAsia="en-AU"/>
        </w:rPr>
        <w:t>not at all</w:t>
      </w:r>
      <w:r w:rsidR="00993029">
        <w:rPr>
          <w:color w:val="000000" w:themeColor="text1"/>
          <w:lang w:eastAsia="en-AU"/>
        </w:rPr>
        <w:t>”</w:t>
      </w:r>
      <w:r w:rsidRPr="003C4EED">
        <w:rPr>
          <w:color w:val="000000" w:themeColor="text1"/>
          <w:lang w:eastAsia="en-AU"/>
        </w:rPr>
        <w:t xml:space="preserve"> or </w:t>
      </w:r>
      <w:r w:rsidR="00993029">
        <w:rPr>
          <w:color w:val="000000" w:themeColor="text1"/>
          <w:lang w:eastAsia="en-AU"/>
        </w:rPr>
        <w:t>“</w:t>
      </w:r>
      <w:r w:rsidRPr="003C4EED">
        <w:rPr>
          <w:color w:val="000000" w:themeColor="text1"/>
          <w:lang w:eastAsia="en-AU"/>
        </w:rPr>
        <w:t>to a small extent</w:t>
      </w:r>
      <w:r w:rsidR="00993029">
        <w:rPr>
          <w:color w:val="000000" w:themeColor="text1"/>
          <w:lang w:eastAsia="en-AU"/>
        </w:rPr>
        <w:t>”</w:t>
      </w:r>
      <w:r w:rsidRPr="003C4EED">
        <w:rPr>
          <w:color w:val="000000" w:themeColor="text1"/>
          <w:lang w:eastAsia="en-AU"/>
        </w:rPr>
        <w:t xml:space="preserve"> consistent with the definition, compared to </w:t>
      </w:r>
      <w:r w:rsidR="007B2C81">
        <w:rPr>
          <w:color w:val="000000" w:themeColor="text1"/>
          <w:lang w:eastAsia="en-AU"/>
        </w:rPr>
        <w:t>9%</w:t>
      </w:r>
      <w:r w:rsidRPr="003C4EED">
        <w:rPr>
          <w:color w:val="000000" w:themeColor="text1"/>
          <w:lang w:eastAsia="en-AU"/>
        </w:rPr>
        <w:t xml:space="preserve"> of </w:t>
      </w:r>
      <w:r>
        <w:rPr>
          <w:color w:val="000000" w:themeColor="text1"/>
          <w:lang w:eastAsia="en-AU"/>
        </w:rPr>
        <w:t xml:space="preserve">respondents aged </w:t>
      </w:r>
      <w:r w:rsidRPr="003C4EED">
        <w:rPr>
          <w:color w:val="000000" w:themeColor="text1"/>
          <w:lang w:eastAsia="en-AU"/>
        </w:rPr>
        <w:t>18-34 year</w:t>
      </w:r>
      <w:r>
        <w:rPr>
          <w:color w:val="000000" w:themeColor="text1"/>
          <w:lang w:eastAsia="en-AU"/>
        </w:rPr>
        <w:t>s</w:t>
      </w:r>
      <w:r w:rsidRPr="003C4EED">
        <w:rPr>
          <w:color w:val="000000" w:themeColor="text1"/>
          <w:lang w:eastAsia="en-AU"/>
        </w:rPr>
        <w:t xml:space="preserve"> and 11</w:t>
      </w:r>
      <w:r w:rsidR="007B2C81">
        <w:rPr>
          <w:color w:val="000000" w:themeColor="text1"/>
          <w:lang w:eastAsia="en-AU"/>
        </w:rPr>
        <w:t>%</w:t>
      </w:r>
      <w:r w:rsidRPr="003C4EED">
        <w:rPr>
          <w:color w:val="000000" w:themeColor="text1"/>
          <w:lang w:eastAsia="en-AU"/>
        </w:rPr>
        <w:t xml:space="preserve"> of </w:t>
      </w:r>
      <w:r>
        <w:rPr>
          <w:color w:val="000000" w:themeColor="text1"/>
          <w:lang w:eastAsia="en-AU"/>
        </w:rPr>
        <w:t xml:space="preserve">respondents </w:t>
      </w:r>
      <w:r w:rsidR="00DE6006">
        <w:rPr>
          <w:color w:val="000000" w:themeColor="text1"/>
          <w:lang w:eastAsia="en-AU"/>
        </w:rPr>
        <w:t xml:space="preserve">aged </w:t>
      </w:r>
      <w:r w:rsidRPr="003C4EED">
        <w:rPr>
          <w:color w:val="000000" w:themeColor="text1"/>
          <w:lang w:eastAsia="en-AU"/>
        </w:rPr>
        <w:t>35-64 year</w:t>
      </w:r>
      <w:r>
        <w:rPr>
          <w:color w:val="000000" w:themeColor="text1"/>
          <w:lang w:eastAsia="en-AU"/>
        </w:rPr>
        <w:t>s</w:t>
      </w:r>
      <w:r w:rsidRPr="003C4EED">
        <w:rPr>
          <w:color w:val="000000" w:themeColor="text1"/>
          <w:lang w:eastAsia="en-AU"/>
        </w:rPr>
        <w:t>.</w:t>
      </w:r>
      <w:r w:rsidR="00A43B27">
        <w:rPr>
          <w:color w:val="000000" w:themeColor="text1"/>
          <w:lang w:eastAsia="en-AU"/>
        </w:rPr>
        <w:t xml:space="preserve"> </w:t>
      </w:r>
      <w:r>
        <w:rPr>
          <w:rFonts w:eastAsia="Times New Roman" w:cs="Arial"/>
          <w:color w:val="000000" w:themeColor="text1"/>
          <w:kern w:val="24"/>
          <w:lang w:eastAsia="en-AU"/>
        </w:rPr>
        <w:t xml:space="preserve">While this appears positive, it could also be indicative of </w:t>
      </w:r>
      <w:r w:rsidRPr="003C4EED">
        <w:rPr>
          <w:rFonts w:eastAsia="Times New Roman" w:cs="Arial"/>
          <w:color w:val="000000" w:themeColor="text1"/>
          <w:kern w:val="24"/>
          <w:lang w:eastAsia="en-AU"/>
        </w:rPr>
        <w:t xml:space="preserve">some degree of response bias </w:t>
      </w:r>
      <w:r>
        <w:rPr>
          <w:rFonts w:eastAsia="Times New Roman" w:cs="Arial"/>
          <w:color w:val="000000" w:themeColor="text1"/>
          <w:kern w:val="24"/>
          <w:lang w:eastAsia="en-AU"/>
        </w:rPr>
        <w:t xml:space="preserve">(acquiescence bias) </w:t>
      </w:r>
      <w:r w:rsidRPr="003C4EED">
        <w:rPr>
          <w:rFonts w:eastAsia="Times New Roman" w:cs="Arial"/>
          <w:color w:val="000000" w:themeColor="text1"/>
          <w:kern w:val="24"/>
          <w:lang w:eastAsia="en-AU"/>
        </w:rPr>
        <w:t>in the survey results (</w:t>
      </w:r>
      <w:r>
        <w:rPr>
          <w:rFonts w:eastAsia="Times New Roman" w:cs="Arial"/>
          <w:color w:val="000000" w:themeColor="text1"/>
          <w:kern w:val="24"/>
          <w:lang w:eastAsia="en-AU"/>
        </w:rPr>
        <w:t xml:space="preserve">see </w:t>
      </w:r>
      <w:r w:rsidR="00AF0E2B">
        <w:rPr>
          <w:rFonts w:eastAsia="Times New Roman" w:cs="Arial"/>
          <w:color w:val="000000" w:themeColor="text1"/>
          <w:kern w:val="24"/>
          <w:lang w:eastAsia="en-AU"/>
        </w:rPr>
        <w:fldChar w:fldCharType="begin"/>
      </w:r>
      <w:r w:rsidR="00AF0E2B">
        <w:rPr>
          <w:rFonts w:eastAsia="Times New Roman" w:cs="Arial"/>
          <w:color w:val="000000" w:themeColor="text1"/>
          <w:kern w:val="24"/>
          <w:lang w:eastAsia="en-AU"/>
        </w:rPr>
        <w:instrText xml:space="preserve"> REF _Ref68086395 \r \h </w:instrText>
      </w:r>
      <w:r w:rsidR="00AF0E2B">
        <w:rPr>
          <w:rFonts w:eastAsia="Times New Roman" w:cs="Arial"/>
          <w:color w:val="000000" w:themeColor="text1"/>
          <w:kern w:val="24"/>
          <w:lang w:eastAsia="en-AU"/>
        </w:rPr>
      </w:r>
      <w:r w:rsidR="00AF0E2B">
        <w:rPr>
          <w:rFonts w:eastAsia="Times New Roman" w:cs="Arial"/>
          <w:color w:val="000000" w:themeColor="text1"/>
          <w:kern w:val="24"/>
          <w:lang w:eastAsia="en-AU"/>
        </w:rPr>
        <w:fldChar w:fldCharType="separate"/>
      </w:r>
      <w:r w:rsidR="0017363C">
        <w:rPr>
          <w:rFonts w:eastAsia="Times New Roman" w:cs="Arial"/>
          <w:color w:val="000000" w:themeColor="text1"/>
          <w:kern w:val="24"/>
          <w:lang w:eastAsia="en-AU"/>
        </w:rPr>
        <w:t>Chart 4.16</w:t>
      </w:r>
      <w:r w:rsidR="00AF0E2B">
        <w:rPr>
          <w:rFonts w:eastAsia="Times New Roman" w:cs="Arial"/>
          <w:color w:val="000000" w:themeColor="text1"/>
          <w:kern w:val="24"/>
          <w:lang w:eastAsia="en-AU"/>
        </w:rPr>
        <w:fldChar w:fldCharType="end"/>
      </w:r>
      <w:r w:rsidRPr="003C4EED" w:rsidDel="00E11417">
        <w:rPr>
          <w:rFonts w:eastAsia="Times New Roman" w:cs="Arial"/>
          <w:color w:val="000000" w:themeColor="text1"/>
          <w:kern w:val="24"/>
          <w:lang w:eastAsia="en-AU"/>
        </w:rPr>
        <w:fldChar w:fldCharType="begin"/>
      </w:r>
      <w:r w:rsidRPr="003C4EED" w:rsidDel="00E11417">
        <w:rPr>
          <w:rFonts w:eastAsia="Times New Roman" w:cs="Arial"/>
          <w:color w:val="000000" w:themeColor="text1"/>
          <w:kern w:val="24"/>
          <w:lang w:eastAsia="en-AU"/>
        </w:rPr>
        <w:fldChar w:fldCharType="separate"/>
      </w:r>
      <w:r>
        <w:rPr>
          <w:rFonts w:eastAsia="Times New Roman" w:cs="Arial"/>
          <w:b/>
          <w:bCs/>
          <w:color w:val="000000" w:themeColor="text1"/>
          <w:kern w:val="24"/>
          <w:lang w:val="en-US" w:eastAsia="en-AU"/>
        </w:rPr>
        <w:t>Error! No bookmark name given.</w:t>
      </w:r>
      <w:r w:rsidRPr="003C4EED" w:rsidDel="00E11417">
        <w:rPr>
          <w:rFonts w:eastAsia="Times New Roman" w:cs="Arial"/>
          <w:color w:val="000000" w:themeColor="text1"/>
          <w:kern w:val="24"/>
          <w:lang w:eastAsia="en-AU"/>
        </w:rPr>
        <w:fldChar w:fldCharType="end"/>
      </w:r>
      <w:r w:rsidRPr="003C4EED">
        <w:rPr>
          <w:rFonts w:eastAsia="Times New Roman" w:cs="Arial"/>
          <w:color w:val="000000" w:themeColor="text1"/>
          <w:kern w:val="24"/>
          <w:lang w:eastAsia="en-AU"/>
        </w:rPr>
        <w:t>)</w:t>
      </w:r>
      <w:r w:rsidR="00735797">
        <w:rPr>
          <w:rFonts w:eastAsia="Times New Roman" w:cs="Arial"/>
          <w:color w:val="000000" w:themeColor="text1"/>
          <w:kern w:val="24"/>
          <w:lang w:eastAsia="en-AU"/>
        </w:rPr>
        <w:t xml:space="preserve">. </w:t>
      </w:r>
    </w:p>
    <w:p w14:paraId="60DB690C" w14:textId="3B58B3AB" w:rsidR="00172A6B" w:rsidRDefault="00172A6B" w:rsidP="00172A6B">
      <w:pPr>
        <w:pStyle w:val="CaptionChart"/>
      </w:pPr>
      <w:bookmarkStart w:id="270" w:name="_Ref68086395"/>
      <w:bookmarkStart w:id="271" w:name="_Ref75264292"/>
      <w:bookmarkStart w:id="272" w:name="_Toc82590356"/>
      <w:r w:rsidRPr="629E5C1C">
        <w:rPr>
          <w:rFonts w:eastAsia="Times New Roman" w:cs="Arial"/>
          <w:color w:val="046937"/>
          <w:lang w:eastAsia="en-AU"/>
        </w:rPr>
        <w:t>:</w:t>
      </w:r>
      <w:r>
        <w:rPr>
          <w:rFonts w:eastAsia="Times New Roman" w:cs="Arial"/>
          <w:color w:val="046A38" w:themeColor="accent2"/>
          <w:kern w:val="24"/>
          <w:lang w:eastAsia="en-AU"/>
        </w:rPr>
        <w:t xml:space="preserve"> </w:t>
      </w:r>
      <w:r w:rsidRPr="0082066E">
        <w:t xml:space="preserve">Extent that </w:t>
      </w:r>
      <w:r>
        <w:t xml:space="preserve">consumers’ understanding of various </w:t>
      </w:r>
      <w:r w:rsidRPr="0082066E">
        <w:t xml:space="preserve">statements is consistent with </w:t>
      </w:r>
      <w:r>
        <w:t>the definition, by statement</w:t>
      </w:r>
      <w:bookmarkEnd w:id="270"/>
      <w:bookmarkEnd w:id="271"/>
      <w:bookmarkEnd w:id="272"/>
      <w:r>
        <w:t xml:space="preserve"> </w:t>
      </w:r>
    </w:p>
    <w:p w14:paraId="691A4902" w14:textId="6C02ED67" w:rsidR="005D093B" w:rsidRDefault="005D093B" w:rsidP="00172A6B">
      <w:pPr>
        <w:pStyle w:val="Source"/>
      </w:pPr>
      <w:r w:rsidRPr="005D093B">
        <w:rPr>
          <w:noProof/>
          <w:lang w:eastAsia="en-AU"/>
        </w:rPr>
        <w:drawing>
          <wp:inline distT="0" distB="0" distL="0" distR="0" wp14:anchorId="1693B4E6" wp14:editId="108E8D1E">
            <wp:extent cx="5731510" cy="2635885"/>
            <wp:effectExtent l="0" t="0" r="2540" b="0"/>
            <wp:docPr id="53" name="Picture 53" descr="Findings are: For grown in: not at all (2%), to a small extent (7%), to a moderate extent (34%), to a large extent (41%), to a very large extent (17%). For product of: not at all (2%), to a small extent (9%), to a moderate extent (35%), to a large extent (39%), to a very large extent (16%). For Made In: not at all (2%), to a small extent (9%), to a moderate extent (33%), to a large extent (37%), to a very large extent (20%). For packed in: not at all (2%), to a small extent (10%), to a moderate extent (33%), to a large extent (38%), to a very large exten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ndings are: For grown in: not at all (2%), to a small extent (7%), to a moderate extent (34%), to a large extent (41%), to a very large extent (17%). For product of: not at all (2%), to a small extent (9%), to a moderate extent (35%), to a large extent (39%), to a very large extent (16%). For Made In: not at all (2%), to a small extent (9%), to a moderate extent (33%), to a large extent (37%), to a very large extent (20%). For packed in: not at all (2%), to a small extent (10%), to a moderate extent (33%), to a large extent (38%), to a very large extent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635885"/>
                    </a:xfrm>
                    <a:prstGeom prst="rect">
                      <a:avLst/>
                    </a:prstGeom>
                    <a:noFill/>
                    <a:ln>
                      <a:noFill/>
                    </a:ln>
                  </pic:spPr>
                </pic:pic>
              </a:graphicData>
            </a:graphic>
          </wp:inline>
        </w:drawing>
      </w:r>
    </w:p>
    <w:p w14:paraId="5C59ED97" w14:textId="60885463" w:rsidR="00172A6B" w:rsidRDefault="00172A6B" w:rsidP="00172A6B">
      <w:pPr>
        <w:pStyle w:val="Source"/>
      </w:pPr>
      <w:r w:rsidRPr="00842E04">
        <w:t>Source: Deloitte Access Economics’ national consumer survey</w:t>
      </w:r>
      <w:r>
        <w:t xml:space="preserve"> (2020)</w:t>
      </w:r>
      <w:r w:rsidRPr="00842E04">
        <w:t>.</w:t>
      </w:r>
    </w:p>
    <w:p w14:paraId="4505DFB6" w14:textId="23B210FC" w:rsidR="0019070C" w:rsidRDefault="00172A6B" w:rsidP="00172A6B">
      <w:pPr>
        <w:spacing w:after="120" w:line="276" w:lineRule="auto"/>
      </w:pPr>
      <w:r>
        <w:lastRenderedPageBreak/>
        <w:t xml:space="preserve">There is a range of other non-quantitative evidence that the </w:t>
      </w:r>
      <w:r w:rsidR="003C2722">
        <w:t>‘</w:t>
      </w:r>
      <w:r>
        <w:t>Made in</w:t>
      </w:r>
      <w:r w:rsidR="003C2722">
        <w:t>’</w:t>
      </w:r>
      <w:r>
        <w:t xml:space="preserve"> claim </w:t>
      </w:r>
      <w:r w:rsidR="006E08E4">
        <w:t>is</w:t>
      </w:r>
      <w:r>
        <w:t xml:space="preserve"> meeting consumer expectations only to a limited extent. There appears to be </w:t>
      </w:r>
      <w:r w:rsidR="00780040">
        <w:t>two</w:t>
      </w:r>
      <w:r>
        <w:t xml:space="preserve"> issues: the general awareness of how to interpret the label and the extent to which consumers’ understanding is consistent with the </w:t>
      </w:r>
      <w:r w:rsidR="003C2722">
        <w:t>‘</w:t>
      </w:r>
      <w:r>
        <w:t>Made in</w:t>
      </w:r>
      <w:r w:rsidR="003C2722">
        <w:t>’</w:t>
      </w:r>
      <w:r>
        <w:t xml:space="preserve"> claims, particularly where the share of Australian ingredients is low.</w:t>
      </w:r>
      <w:r w:rsidR="00C5636F" w:rsidRPr="00C5636F">
        <w:t xml:space="preserve"> </w:t>
      </w:r>
    </w:p>
    <w:p w14:paraId="7C481284" w14:textId="5EDA5FF1" w:rsidR="0011730F" w:rsidRDefault="00172A6B" w:rsidP="00705B4F">
      <w:r w:rsidRPr="00B87418">
        <w:t xml:space="preserve">A significant </w:t>
      </w:r>
      <w:r w:rsidRPr="00035236">
        <w:t>proportion</w:t>
      </w:r>
      <w:r w:rsidRPr="00B87418">
        <w:t xml:space="preserve"> of the consumers participating in consumer focus groups expressed that the labels were confusing to interpret or misleading, as the symbol was associated with Australian ingredients</w:t>
      </w:r>
      <w:r w:rsidR="00DE6006">
        <w:t>,</w:t>
      </w:r>
      <w:r w:rsidRPr="00B87418">
        <w:t xml:space="preserve"> as well as manufacturing. Some consumers thought the </w:t>
      </w:r>
      <w:r w:rsidR="003C2722">
        <w:t>‘</w:t>
      </w:r>
      <w:r w:rsidRPr="00B87418">
        <w:t xml:space="preserve">Made </w:t>
      </w:r>
      <w:r>
        <w:t>i</w:t>
      </w:r>
      <w:r w:rsidRPr="00B87418">
        <w:t>n</w:t>
      </w:r>
      <w:r w:rsidR="003C2722">
        <w:t>’</w:t>
      </w:r>
      <w:r w:rsidRPr="00B87418">
        <w:t xml:space="preserve"> labels could be less confusing for customers if they were separated into distinct categories of </w:t>
      </w:r>
      <w:r w:rsidR="003C2722">
        <w:t>‘</w:t>
      </w:r>
      <w:r>
        <w:t>M</w:t>
      </w:r>
      <w:r w:rsidRPr="00B87418">
        <w:t xml:space="preserve">anufactured </w:t>
      </w:r>
      <w:r>
        <w:t>i</w:t>
      </w:r>
      <w:r w:rsidRPr="00B87418">
        <w:t>n</w:t>
      </w:r>
      <w:r w:rsidR="003C2722">
        <w:t>’</w:t>
      </w:r>
      <w:r w:rsidRPr="00B87418">
        <w:t xml:space="preserve"> and </w:t>
      </w:r>
      <w:r w:rsidR="003C2722">
        <w:t>‘</w:t>
      </w:r>
      <w:r>
        <w:t>G</w:t>
      </w:r>
      <w:r w:rsidRPr="00B87418">
        <w:t xml:space="preserve">rown </w:t>
      </w:r>
      <w:r>
        <w:t>i</w:t>
      </w:r>
      <w:r w:rsidRPr="00B87418">
        <w:t>n</w:t>
      </w:r>
      <w:r w:rsidR="003C2722">
        <w:t>’</w:t>
      </w:r>
      <w:r w:rsidR="001B293B">
        <w:t>,</w:t>
      </w:r>
      <w:r w:rsidRPr="00B87418">
        <w:t xml:space="preserve"> to differentiate between when the ingredients were Australian from when the processing was Australian. </w:t>
      </w:r>
    </w:p>
    <w:p w14:paraId="678EFED4" w14:textId="71865BB1" w:rsidR="00597D91" w:rsidRDefault="00007BB5" w:rsidP="00597D91">
      <w:pPr>
        <w:spacing w:after="120" w:line="276" w:lineRule="auto"/>
      </w:pPr>
      <w:r>
        <w:t xml:space="preserve">This view was also expressed in stakeholder consultation, </w:t>
      </w:r>
      <w:r w:rsidR="00413194">
        <w:t>for instance, t</w:t>
      </w:r>
      <w:r>
        <w:t xml:space="preserve">he </w:t>
      </w:r>
      <w:r w:rsidR="00B40E14">
        <w:t>NFF</w:t>
      </w:r>
      <w:r>
        <w:t xml:space="preserve"> suggests that the term ‘Made in Australia’ should be replaced </w:t>
      </w:r>
      <w:r w:rsidR="006A4A01">
        <w:t xml:space="preserve">with </w:t>
      </w:r>
      <w:r>
        <w:t>‘Manufactured in Australia’ to remove the ambiguity that exists with some consumers.</w:t>
      </w:r>
      <w:r w:rsidR="00BC5F27">
        <w:t xml:space="preserve"> </w:t>
      </w:r>
      <w:r w:rsidR="00B9144F">
        <w:t xml:space="preserve">A </w:t>
      </w:r>
      <w:r w:rsidR="00FA0F3A">
        <w:t>manufacturer (as expressed in a submission to DISER) reported</w:t>
      </w:r>
      <w:r w:rsidR="00CD579B">
        <w:t>ly</w:t>
      </w:r>
      <w:r w:rsidR="00FA0F3A">
        <w:t xml:space="preserve"> </w:t>
      </w:r>
      <w:r w:rsidR="00705B4F">
        <w:t xml:space="preserve">experienced </w:t>
      </w:r>
      <w:r w:rsidR="00CD579B">
        <w:t>new</w:t>
      </w:r>
      <w:r w:rsidR="00FA0F3A">
        <w:t xml:space="preserve"> consumer </w:t>
      </w:r>
      <w:r w:rsidR="00BC5F27">
        <w:t>i</w:t>
      </w:r>
      <w:r w:rsidR="00FA0F3A">
        <w:t xml:space="preserve">nquiries regarding ‘Packed in’ labels, with consumers </w:t>
      </w:r>
      <w:r w:rsidR="00CD579B">
        <w:t>concerned</w:t>
      </w:r>
      <w:r w:rsidR="00FA0F3A">
        <w:t xml:space="preserve"> </w:t>
      </w:r>
      <w:r w:rsidR="00CD579B">
        <w:t xml:space="preserve">that products were being </w:t>
      </w:r>
      <w:r w:rsidR="00FA0F3A">
        <w:t>manufactur</w:t>
      </w:r>
      <w:r w:rsidR="00CD579B">
        <w:t>ed</w:t>
      </w:r>
      <w:r w:rsidR="00FA0F3A">
        <w:t xml:space="preserve"> offshore, when this was not the case. </w:t>
      </w:r>
    </w:p>
    <w:p w14:paraId="75A69ABA" w14:textId="6438DF4F" w:rsidR="00172A6B" w:rsidRPr="00B87418" w:rsidRDefault="0030687A" w:rsidP="005B2AF0">
      <w:r>
        <w:t>According to the CHOICE consumer survey,</w:t>
      </w:r>
      <w:r w:rsidDel="00BF68A8">
        <w:t xml:space="preserve"> </w:t>
      </w:r>
      <w:r>
        <w:t>some consumers have even stated that the CoOL reforms have exacerbated the confusion regarding country of origin claims.</w:t>
      </w:r>
    </w:p>
    <w:p w14:paraId="64127A4D" w14:textId="6894617B" w:rsidR="005B4880" w:rsidRDefault="00172A6B" w:rsidP="00834C08">
      <w:r>
        <w:t xml:space="preserve">The low level of ‘correct’ understanding of labels in the shopper interviews also suggests that general awareness is low. </w:t>
      </w:r>
      <w:r w:rsidR="00353B66">
        <w:t xml:space="preserve">Overall, only one in four Australian shoppers correctly identified all elements of the CoOL labels. </w:t>
      </w:r>
      <w:r w:rsidR="00D12103">
        <w:t xml:space="preserve">In many instances, consumers accepted the label once the elements of the label were understood together. </w:t>
      </w:r>
      <w:r>
        <w:t xml:space="preserve">Comparing these results to the consumer survey indicating high levels of satisfaction with the </w:t>
      </w:r>
      <w:r w:rsidR="00A01EA9">
        <w:t>‘</w:t>
      </w:r>
      <w:r>
        <w:t>Made in</w:t>
      </w:r>
      <w:r w:rsidR="00A01EA9">
        <w:t>’</w:t>
      </w:r>
      <w:r>
        <w:t xml:space="preserve"> labels (when consumers were provided information of the labels), suggests that education and awareness is one of the significant issues </w:t>
      </w:r>
      <w:r w:rsidR="00A04B23">
        <w:t>underlying</w:t>
      </w:r>
      <w:r>
        <w:t xml:space="preserve"> consumer understanding</w:t>
      </w:r>
      <w:r w:rsidR="00320BBB">
        <w:t xml:space="preserve"> and acceptance</w:t>
      </w:r>
      <w:r>
        <w:t xml:space="preserve"> of the </w:t>
      </w:r>
      <w:r w:rsidR="00A01EA9">
        <w:t>‘</w:t>
      </w:r>
      <w:r>
        <w:t>Made in</w:t>
      </w:r>
      <w:r w:rsidR="00A01EA9">
        <w:t>’</w:t>
      </w:r>
      <w:r>
        <w:t xml:space="preserve"> claim.  </w:t>
      </w:r>
    </w:p>
    <w:p w14:paraId="2E78093B" w14:textId="14177C91" w:rsidR="00172A6B" w:rsidRDefault="005B4880" w:rsidP="00172A6B">
      <w:pPr>
        <w:spacing w:after="120" w:line="276" w:lineRule="auto"/>
      </w:pPr>
      <w:r w:rsidRPr="00C5636F">
        <w:t>There is an understanding among government and industry stakeholders that some consumers may find it confusing to see a product labelled Australian that has a ruler with a small proportion of Australian ingredients</w:t>
      </w:r>
      <w:r>
        <w:t>,</w:t>
      </w:r>
      <w:r w:rsidRPr="00C5636F">
        <w:t xml:space="preserve"> but that this issue reflects a pre-existing consumer misunderstanding of the meaning of ‘Made in’</w:t>
      </w:r>
      <w:r>
        <w:t>.</w:t>
      </w:r>
    </w:p>
    <w:p w14:paraId="340FF55E" w14:textId="6C6E3F97" w:rsidR="00172A6B" w:rsidRPr="00202B80" w:rsidRDefault="00172A6B" w:rsidP="00172A6B">
      <w:pPr>
        <w:pStyle w:val="Heading3"/>
        <w:rPr>
          <w:lang w:eastAsia="en-AU"/>
        </w:rPr>
      </w:pPr>
      <w:bookmarkStart w:id="273" w:name="_Toc67499099"/>
      <w:r w:rsidRPr="00202B80">
        <w:rPr>
          <w:lang w:eastAsia="en-AU"/>
        </w:rPr>
        <w:t>Australian Made</w:t>
      </w:r>
      <w:r>
        <w:rPr>
          <w:lang w:eastAsia="en-AU"/>
        </w:rPr>
        <w:t xml:space="preserve"> </w:t>
      </w:r>
      <w:r w:rsidRPr="00202B80">
        <w:rPr>
          <w:lang w:eastAsia="en-AU"/>
        </w:rPr>
        <w:t>logo</w:t>
      </w:r>
      <w:r>
        <w:rPr>
          <w:lang w:eastAsia="en-AU"/>
        </w:rPr>
        <w:t xml:space="preserve"> and bar chart are not widely understood and not universally accepted where Australian ingredients </w:t>
      </w:r>
      <w:r w:rsidR="00DE6006">
        <w:rPr>
          <w:lang w:eastAsia="en-AU"/>
        </w:rPr>
        <w:t xml:space="preserve">are </w:t>
      </w:r>
      <w:r>
        <w:rPr>
          <w:lang w:eastAsia="en-AU"/>
        </w:rPr>
        <w:t>low</w:t>
      </w:r>
      <w:bookmarkEnd w:id="273"/>
      <w:r>
        <w:rPr>
          <w:lang w:eastAsia="en-AU"/>
        </w:rPr>
        <w:t xml:space="preserve"> </w:t>
      </w:r>
    </w:p>
    <w:p w14:paraId="6BD98403" w14:textId="227BCF3F" w:rsidR="00315C20" w:rsidRDefault="00172A6B" w:rsidP="00315C20">
      <w:r>
        <w:rPr>
          <w:rFonts w:eastAsia="Times New Roman" w:cs="Arial"/>
          <w:color w:val="000000" w:themeColor="text1"/>
          <w:kern w:val="24"/>
          <w:lang w:eastAsia="en-AU"/>
        </w:rPr>
        <w:t>C</w:t>
      </w:r>
      <w:r w:rsidRPr="003C4EED">
        <w:rPr>
          <w:rFonts w:eastAsia="Times New Roman" w:cs="Arial"/>
          <w:color w:val="000000" w:themeColor="text1"/>
          <w:kern w:val="24"/>
          <w:lang w:eastAsia="en-AU"/>
        </w:rPr>
        <w:t>onsumer</w:t>
      </w:r>
      <w:r w:rsidR="003963B5">
        <w:rPr>
          <w:rFonts w:eastAsia="Times New Roman" w:cs="Arial"/>
          <w:color w:val="000000" w:themeColor="text1"/>
          <w:kern w:val="24"/>
          <w:lang w:eastAsia="en-AU"/>
        </w:rPr>
        <w:t>s</w:t>
      </w:r>
      <w:r w:rsidRPr="003C4EED">
        <w:rPr>
          <w:rFonts w:eastAsia="Times New Roman" w:cs="Arial"/>
          <w:color w:val="000000" w:themeColor="text1"/>
          <w:kern w:val="24"/>
          <w:lang w:eastAsia="en-AU"/>
        </w:rPr>
        <w:t xml:space="preserve"> </w:t>
      </w:r>
      <w:r>
        <w:rPr>
          <w:rFonts w:eastAsia="Times New Roman" w:cs="Arial"/>
          <w:color w:val="000000" w:themeColor="text1"/>
          <w:kern w:val="24"/>
          <w:lang w:eastAsia="en-AU"/>
        </w:rPr>
        <w:t xml:space="preserve">state that they </w:t>
      </w:r>
      <w:r w:rsidRPr="003C4EED">
        <w:rPr>
          <w:rFonts w:eastAsia="Times New Roman" w:cs="Arial"/>
          <w:color w:val="000000" w:themeColor="text1"/>
          <w:kern w:val="24"/>
          <w:lang w:eastAsia="en-AU"/>
        </w:rPr>
        <w:t>are</w:t>
      </w:r>
      <w:r>
        <w:rPr>
          <w:rFonts w:eastAsia="Times New Roman" w:cs="Arial"/>
          <w:color w:val="000000" w:themeColor="text1"/>
          <w:kern w:val="24"/>
          <w:lang w:eastAsia="en-AU"/>
        </w:rPr>
        <w:t xml:space="preserve"> broadly</w:t>
      </w:r>
      <w:r w:rsidRPr="003C4EED">
        <w:rPr>
          <w:rFonts w:eastAsia="Times New Roman" w:cs="Arial"/>
          <w:color w:val="000000" w:themeColor="text1"/>
          <w:kern w:val="24"/>
          <w:lang w:eastAsia="en-AU"/>
        </w:rPr>
        <w:t xml:space="preserve"> “satisfied” or “very satisfied” with the use of the</w:t>
      </w:r>
      <w:r>
        <w:rPr>
          <w:rFonts w:eastAsia="Times New Roman" w:cs="Arial"/>
          <w:color w:val="000000" w:themeColor="text1"/>
          <w:kern w:val="24"/>
          <w:lang w:eastAsia="en-AU"/>
        </w:rPr>
        <w:t xml:space="preserve"> Australian Made</w:t>
      </w:r>
      <w:r w:rsidRPr="003C4EED">
        <w:rPr>
          <w:rFonts w:eastAsia="Times New Roman" w:cs="Arial"/>
          <w:color w:val="000000" w:themeColor="text1"/>
          <w:kern w:val="24"/>
          <w:lang w:eastAsia="en-AU"/>
        </w:rPr>
        <w:t xml:space="preserve"> </w:t>
      </w:r>
      <w:r>
        <w:rPr>
          <w:rFonts w:eastAsia="Times New Roman" w:cs="Arial"/>
          <w:color w:val="000000" w:themeColor="text1"/>
          <w:kern w:val="24"/>
          <w:lang w:eastAsia="en-AU"/>
        </w:rPr>
        <w:t>(</w:t>
      </w:r>
      <w:r w:rsidRPr="003C4EED">
        <w:rPr>
          <w:rFonts w:eastAsia="Times New Roman" w:cs="Arial"/>
          <w:color w:val="000000" w:themeColor="text1"/>
          <w:kern w:val="24"/>
          <w:lang w:eastAsia="en-AU"/>
        </w:rPr>
        <w:t>kangaroo</w:t>
      </w:r>
      <w:r>
        <w:rPr>
          <w:rFonts w:eastAsia="Times New Roman" w:cs="Arial"/>
          <w:color w:val="000000" w:themeColor="text1"/>
          <w:kern w:val="24"/>
          <w:lang w:eastAsia="en-AU"/>
        </w:rPr>
        <w:t>)</w:t>
      </w:r>
      <w:r w:rsidRPr="003C4EED">
        <w:rPr>
          <w:rFonts w:eastAsia="Times New Roman" w:cs="Arial"/>
          <w:color w:val="000000" w:themeColor="text1"/>
          <w:kern w:val="24"/>
          <w:lang w:eastAsia="en-AU"/>
        </w:rPr>
        <w:t xml:space="preserve"> logo (80</w:t>
      </w:r>
      <w:r w:rsidR="007B2C81">
        <w:rPr>
          <w:rFonts w:eastAsia="Times New Roman" w:cs="Arial"/>
          <w:color w:val="000000" w:themeColor="text1"/>
          <w:kern w:val="24"/>
          <w:lang w:eastAsia="en-AU"/>
        </w:rPr>
        <w:t>%</w:t>
      </w:r>
      <w:r w:rsidRPr="003C4EED">
        <w:rPr>
          <w:rFonts w:eastAsia="Times New Roman" w:cs="Arial"/>
          <w:color w:val="000000" w:themeColor="text1"/>
          <w:kern w:val="24"/>
          <w:lang w:eastAsia="en-AU"/>
        </w:rPr>
        <w:t>), bar chart (74</w:t>
      </w:r>
      <w:r w:rsidR="007B2C81">
        <w:rPr>
          <w:rFonts w:eastAsia="Times New Roman" w:cs="Arial"/>
          <w:color w:val="000000" w:themeColor="text1"/>
          <w:kern w:val="24"/>
          <w:lang w:eastAsia="en-AU"/>
        </w:rPr>
        <w:t>%</w:t>
      </w:r>
      <w:r w:rsidRPr="003C4EED">
        <w:rPr>
          <w:rFonts w:eastAsia="Times New Roman" w:cs="Arial"/>
          <w:color w:val="000000" w:themeColor="text1"/>
          <w:kern w:val="24"/>
          <w:lang w:eastAsia="en-AU"/>
        </w:rPr>
        <w:t>) and explanatory text (75</w:t>
      </w:r>
      <w:r w:rsidR="007B2C81">
        <w:rPr>
          <w:rFonts w:eastAsia="Times New Roman" w:cs="Arial"/>
          <w:color w:val="000000" w:themeColor="text1"/>
          <w:kern w:val="24"/>
          <w:lang w:eastAsia="en-AU"/>
        </w:rPr>
        <w:t>%</w:t>
      </w:r>
      <w:r w:rsidRPr="003C4EED">
        <w:rPr>
          <w:rFonts w:eastAsia="Times New Roman" w:cs="Arial"/>
          <w:color w:val="000000" w:themeColor="text1"/>
          <w:kern w:val="24"/>
          <w:lang w:eastAsia="en-AU"/>
        </w:rPr>
        <w:t xml:space="preserve">). </w:t>
      </w:r>
      <w:r w:rsidR="00315C20">
        <w:t>Research undertaken by Mintel in 2017</w:t>
      </w:r>
      <w:r w:rsidR="00315C20">
        <w:rPr>
          <w:rStyle w:val="FootnoteReference"/>
        </w:rPr>
        <w:footnoteReference w:id="78"/>
      </w:r>
      <w:r w:rsidR="00315C20">
        <w:t xml:space="preserve"> suggested that the recent changes to the Australian Made logo had a positive effect on a sample of Australian consumers, with </w:t>
      </w:r>
      <w:r w:rsidR="00DE6006">
        <w:t xml:space="preserve">6 </w:t>
      </w:r>
      <w:r w:rsidR="00315C20">
        <w:t xml:space="preserve">in </w:t>
      </w:r>
      <w:r w:rsidR="00DE6006">
        <w:t xml:space="preserve">10 </w:t>
      </w:r>
      <w:r w:rsidR="00315C20">
        <w:t xml:space="preserve">Australians (based in urban areas) agreeing that the new percentage bar tells them clearly the proportion of ingredients in the product that are either local or imported. The research also revealed that 72% of Australians based in metropolitan areas make the effort to buy food or beverage products with an Australian Made logo, while 17% always did. When looking at the motivation behind these choices, Mintel found that </w:t>
      </w:r>
      <w:r w:rsidR="00DE6006">
        <w:t xml:space="preserve">3 </w:t>
      </w:r>
      <w:r w:rsidR="00315C20">
        <w:t xml:space="preserve">in </w:t>
      </w:r>
      <w:r w:rsidR="00DE6006">
        <w:t xml:space="preserve">10 </w:t>
      </w:r>
      <w:r w:rsidR="00315C20">
        <w:t xml:space="preserve">suggest the Australian Made logo helps instil trust in the product/brand, while one in four believe that it builds the authenticity of a product. </w:t>
      </w:r>
    </w:p>
    <w:p w14:paraId="5F523BDF" w14:textId="0CAAE308" w:rsidR="0043754D" w:rsidRDefault="00315C20" w:rsidP="0043754D">
      <w:r>
        <w:rPr>
          <w:rFonts w:eastAsia="Times New Roman" w:cs="Arial"/>
          <w:color w:val="000000" w:themeColor="text1"/>
          <w:kern w:val="24"/>
          <w:lang w:eastAsia="en-AU"/>
        </w:rPr>
        <w:t>However</w:t>
      </w:r>
      <w:r w:rsidR="00101930">
        <w:rPr>
          <w:rFonts w:eastAsia="Times New Roman" w:cs="Arial"/>
          <w:color w:val="000000" w:themeColor="text1"/>
          <w:kern w:val="24"/>
          <w:lang w:eastAsia="en-AU"/>
        </w:rPr>
        <w:t>,</w:t>
      </w:r>
      <w:r>
        <w:rPr>
          <w:rFonts w:eastAsia="Times New Roman" w:cs="Arial"/>
          <w:color w:val="000000" w:themeColor="text1"/>
          <w:kern w:val="24"/>
          <w:lang w:eastAsia="en-AU"/>
        </w:rPr>
        <w:t xml:space="preserve"> </w:t>
      </w:r>
      <w:r w:rsidR="00004D0F">
        <w:t>c</w:t>
      </w:r>
      <w:r w:rsidR="0043754D">
        <w:t>onsumer focus groups and stakeholder consultation indicated there is confusion regarding the ‘Australian made’ logo claims and corresponding bar chart among a subset of consumers.</w:t>
      </w:r>
      <w:r w:rsidR="0043754D" w:rsidRPr="0043754D">
        <w:t xml:space="preserve"> </w:t>
      </w:r>
      <w:r w:rsidR="0043754D">
        <w:t>In shopper interviews, in many cases, consumers were not aware of the Australian Made (Kangaroo) logo and bar chart.</w:t>
      </w:r>
      <w:r w:rsidR="0043754D" w:rsidRPr="0043754D">
        <w:t xml:space="preserve"> </w:t>
      </w:r>
      <w:r w:rsidR="0043754D">
        <w:t>Survey results presented by APL indicated more clarity is needed in consumer understanding of the combined kangaroo logo and bar chart.</w:t>
      </w:r>
      <w:r w:rsidR="0043754D">
        <w:rPr>
          <w:rStyle w:val="FootnoteReference"/>
        </w:rPr>
        <w:footnoteReference w:id="79"/>
      </w:r>
      <w:r w:rsidR="0043754D">
        <w:t xml:space="preserve"> </w:t>
      </w:r>
    </w:p>
    <w:p w14:paraId="3E44B04D" w14:textId="7F3FD88B" w:rsidR="00172A6B" w:rsidRDefault="00004D0F">
      <w:r>
        <w:rPr>
          <w:rFonts w:eastAsia="Times New Roman" w:cs="Arial"/>
          <w:color w:val="000000" w:themeColor="text1"/>
          <w:kern w:val="24"/>
          <w:lang w:eastAsia="en-AU"/>
        </w:rPr>
        <w:lastRenderedPageBreak/>
        <w:t>Further, confusion remains regarding the Australian Made logo and bar chart w</w:t>
      </w:r>
      <w:r w:rsidR="008C1F5A">
        <w:rPr>
          <w:rFonts w:eastAsia="Times New Roman" w:cs="Arial"/>
          <w:color w:val="000000" w:themeColor="text1"/>
          <w:kern w:val="24"/>
          <w:lang w:eastAsia="en-AU"/>
        </w:rPr>
        <w:t>h</w:t>
      </w:r>
      <w:r>
        <w:rPr>
          <w:rFonts w:eastAsia="Times New Roman" w:cs="Arial"/>
          <w:color w:val="000000" w:themeColor="text1"/>
          <w:kern w:val="24"/>
          <w:lang w:eastAsia="en-AU"/>
        </w:rPr>
        <w:t xml:space="preserve">ere Australian ingredients are low. </w:t>
      </w:r>
      <w:r w:rsidR="00172A6B" w:rsidRPr="00BF4ADB">
        <w:t>A summary from surveys undertaken by DISER</w:t>
      </w:r>
      <w:r w:rsidR="00172A6B">
        <w:t xml:space="preserve"> in 2020</w:t>
      </w:r>
      <w:r w:rsidR="00172A6B" w:rsidRPr="00BF4ADB">
        <w:t xml:space="preserve"> indicate there is a perception that products with the Australian Made logo are 100</w:t>
      </w:r>
      <w:r w:rsidR="007B2C81">
        <w:t>%</w:t>
      </w:r>
      <w:r w:rsidR="00172A6B" w:rsidRPr="00BF4ADB">
        <w:t xml:space="preserve"> Australian, and that the criteria for a product to be </w:t>
      </w:r>
      <w:r w:rsidR="00A40E7F">
        <w:t>‘</w:t>
      </w:r>
      <w:r w:rsidR="00172A6B" w:rsidRPr="00BF4ADB">
        <w:t>Made in Australia</w:t>
      </w:r>
      <w:r w:rsidR="00A40E7F">
        <w:t>’</w:t>
      </w:r>
      <w:r w:rsidR="00172A6B" w:rsidRPr="00BF4ADB">
        <w:t xml:space="preserve"> should be changed to better reflect consumer perceptions. </w:t>
      </w:r>
      <w:r w:rsidR="00172A6B" w:rsidRPr="00AB137E">
        <w:t>This is especially the case where the kangaroo has been associated with solely Australian sourced ingredients.</w:t>
      </w:r>
      <w:r w:rsidR="00D37A48" w:rsidRPr="00D37A48">
        <w:t xml:space="preserve"> The submission from Australian Made logo group stated that bacon and ham products made from imported pork attract concern due to the label stating ‘Made in Australia’ with a small proportion (for instance, ‘less than 10%’) of Australian ingredients.</w:t>
      </w:r>
      <w:r w:rsidR="00B5701C">
        <w:t xml:space="preserve"> </w:t>
      </w:r>
      <w:r w:rsidR="00172A6B" w:rsidRPr="00B87418">
        <w:t xml:space="preserve">Some consumers interviewed in </w:t>
      </w:r>
      <w:r w:rsidR="00A72EDE">
        <w:t xml:space="preserve">the </w:t>
      </w:r>
      <w:r w:rsidR="00172A6B" w:rsidRPr="00B87418">
        <w:t xml:space="preserve">consumer focus groups felt that the kangaroo logo should be reserved for products that are </w:t>
      </w:r>
      <w:r w:rsidR="00172A6B">
        <w:t>“</w:t>
      </w:r>
      <w:r w:rsidR="00172A6B" w:rsidRPr="00B87418">
        <w:t>more Australian</w:t>
      </w:r>
      <w:r w:rsidR="00172A6B">
        <w:t>”</w:t>
      </w:r>
      <w:r w:rsidR="00DE6006">
        <w:t>,</w:t>
      </w:r>
      <w:r w:rsidR="00E926E3">
        <w:t xml:space="preserve"> </w:t>
      </w:r>
      <w:r w:rsidR="00AD2BF4">
        <w:t>such as</w:t>
      </w:r>
      <w:r w:rsidR="00172A6B" w:rsidRPr="00B87418">
        <w:t xml:space="preserve"> for products that are grown, manufactured and packaged in Australia.</w:t>
      </w:r>
      <w:r w:rsidR="00172A6B" w:rsidRPr="00B87418">
        <w:rPr>
          <w:rStyle w:val="FootnoteReference"/>
        </w:rPr>
        <w:footnoteReference w:id="80"/>
      </w:r>
      <w:r w:rsidR="00172A6B" w:rsidRPr="00B87418">
        <w:t xml:space="preserve"> </w:t>
      </w:r>
    </w:p>
    <w:p w14:paraId="6359F737" w14:textId="5F72BE8C" w:rsidR="00172A6B" w:rsidRDefault="00427633" w:rsidP="00172A6B">
      <w:pPr>
        <w:pStyle w:val="Heading3"/>
      </w:pPr>
      <w:r>
        <w:t>Stakeholder led solutions t</w:t>
      </w:r>
      <w:r w:rsidR="004A4A14">
        <w:t xml:space="preserve">o </w:t>
      </w:r>
      <w:r w:rsidR="00E84A38">
        <w:t>raise awareness or acceptance of ‘Made in’</w:t>
      </w:r>
    </w:p>
    <w:p w14:paraId="0D6DDB97" w14:textId="77777777" w:rsidR="00172A6B" w:rsidRDefault="00172A6B" w:rsidP="00172A6B">
      <w:r>
        <w:t xml:space="preserve">Given the general perception that a product with the logo is entirely Australian, various submissions recommended an education campaign that continuously/regularly educates consumers about how the different types of labels should be interpreted. Other recommendations from submissions include: </w:t>
      </w:r>
    </w:p>
    <w:p w14:paraId="4A8DE4D4" w14:textId="4412ED48" w:rsidR="00172A6B" w:rsidRDefault="00172A6B" w:rsidP="00172A6B">
      <w:pPr>
        <w:pStyle w:val="ListBullet"/>
      </w:pPr>
      <w:r>
        <w:t>Increasing the prominence of the ruler that visually displays the proportion of Australian ingredients</w:t>
      </w:r>
      <w:r w:rsidR="00DE6006">
        <w:t>.</w:t>
      </w:r>
      <w:r>
        <w:t xml:space="preserve"> </w:t>
      </w:r>
    </w:p>
    <w:p w14:paraId="409082F7" w14:textId="2525B594" w:rsidR="00172A6B" w:rsidRDefault="00172A6B" w:rsidP="00172A6B">
      <w:pPr>
        <w:pStyle w:val="ListBullet"/>
      </w:pPr>
      <w:r>
        <w:t xml:space="preserve">Reconsideration of the terminology on labels, such as to replace the term </w:t>
      </w:r>
      <w:r w:rsidR="00A40E7F">
        <w:t>‘</w:t>
      </w:r>
      <w:r>
        <w:t>Made in</w:t>
      </w:r>
      <w:r w:rsidR="00A40E7F">
        <w:t>’</w:t>
      </w:r>
      <w:r>
        <w:t xml:space="preserve"> with </w:t>
      </w:r>
      <w:r w:rsidR="00A40E7F">
        <w:t>‘</w:t>
      </w:r>
      <w:r>
        <w:t>Manufactured in</w:t>
      </w:r>
      <w:r w:rsidR="00A40E7F">
        <w:t>’</w:t>
      </w:r>
      <w:r>
        <w:t xml:space="preserve">, or to have </w:t>
      </w:r>
      <w:r w:rsidR="00A84DAD">
        <w:t>three</w:t>
      </w:r>
      <w:r>
        <w:t xml:space="preserve"> distinct categories of </w:t>
      </w:r>
      <w:r w:rsidR="00A40E7F">
        <w:rPr>
          <w:color w:val="000000" w:themeColor="text1"/>
        </w:rPr>
        <w:t>‘</w:t>
      </w:r>
      <w:r w:rsidRPr="00633696">
        <w:rPr>
          <w:color w:val="000000" w:themeColor="text1"/>
        </w:rPr>
        <w:t xml:space="preserve">Grown </w:t>
      </w:r>
      <w:r>
        <w:rPr>
          <w:color w:val="000000" w:themeColor="text1"/>
        </w:rPr>
        <w:t>i</w:t>
      </w:r>
      <w:r w:rsidRPr="00633696">
        <w:rPr>
          <w:color w:val="000000" w:themeColor="text1"/>
        </w:rPr>
        <w:t>n</w:t>
      </w:r>
      <w:r w:rsidR="00A40E7F">
        <w:rPr>
          <w:color w:val="000000" w:themeColor="text1"/>
        </w:rPr>
        <w:t>’</w:t>
      </w:r>
      <w:r w:rsidRPr="00633696">
        <w:rPr>
          <w:color w:val="000000" w:themeColor="text1"/>
        </w:rPr>
        <w:t xml:space="preserve">, </w:t>
      </w:r>
      <w:r w:rsidR="00A40E7F">
        <w:rPr>
          <w:color w:val="000000" w:themeColor="text1"/>
        </w:rPr>
        <w:t>‘</w:t>
      </w:r>
      <w:r w:rsidRPr="00633696">
        <w:rPr>
          <w:color w:val="000000" w:themeColor="text1"/>
        </w:rPr>
        <w:t xml:space="preserve">Manufactured </w:t>
      </w:r>
      <w:r>
        <w:rPr>
          <w:color w:val="000000" w:themeColor="text1"/>
        </w:rPr>
        <w:t>i</w:t>
      </w:r>
      <w:r w:rsidRPr="00633696">
        <w:rPr>
          <w:color w:val="000000" w:themeColor="text1"/>
        </w:rPr>
        <w:t>n</w:t>
      </w:r>
      <w:r w:rsidR="00A40E7F">
        <w:rPr>
          <w:color w:val="000000" w:themeColor="text1"/>
        </w:rPr>
        <w:t>’</w:t>
      </w:r>
      <w:r w:rsidRPr="00633696">
        <w:rPr>
          <w:color w:val="000000" w:themeColor="text1"/>
        </w:rPr>
        <w:t xml:space="preserve"> and </w:t>
      </w:r>
      <w:r w:rsidR="00A40E7F">
        <w:rPr>
          <w:color w:val="000000" w:themeColor="text1"/>
        </w:rPr>
        <w:t>‘</w:t>
      </w:r>
      <w:r w:rsidRPr="00633696">
        <w:rPr>
          <w:color w:val="000000" w:themeColor="text1"/>
        </w:rPr>
        <w:t>Package</w:t>
      </w:r>
      <w:r>
        <w:rPr>
          <w:color w:val="000000" w:themeColor="text1"/>
        </w:rPr>
        <w:t>d i</w:t>
      </w:r>
      <w:r w:rsidRPr="00633696">
        <w:rPr>
          <w:color w:val="000000" w:themeColor="text1"/>
        </w:rPr>
        <w:t>n</w:t>
      </w:r>
      <w:r w:rsidR="00A40E7F">
        <w:rPr>
          <w:color w:val="000000" w:themeColor="text1"/>
        </w:rPr>
        <w:t>’</w:t>
      </w:r>
      <w:r w:rsidR="00DE6006">
        <w:rPr>
          <w:color w:val="000000" w:themeColor="text1"/>
        </w:rPr>
        <w:t>.</w:t>
      </w:r>
      <w:r w:rsidRPr="00633696">
        <w:rPr>
          <w:color w:val="000000" w:themeColor="text1"/>
        </w:rPr>
        <w:t xml:space="preserve"> </w:t>
      </w:r>
    </w:p>
    <w:p w14:paraId="3C90D251" w14:textId="77777777" w:rsidR="00DC75D6" w:rsidRDefault="00172A6B" w:rsidP="00172A6B">
      <w:pPr>
        <w:pStyle w:val="ListBullet"/>
      </w:pPr>
      <w:r>
        <w:t xml:space="preserve">Increasing the threshold of Australian ingredients for products to be </w:t>
      </w:r>
      <w:r w:rsidR="00A40E7F">
        <w:t>‘</w:t>
      </w:r>
      <w:r>
        <w:t>Made in Australia</w:t>
      </w:r>
      <w:r w:rsidR="00A40E7F">
        <w:t>’</w:t>
      </w:r>
      <w:r>
        <w:t xml:space="preserve"> and/or banning products from displaying a kangaroo unless they contain a majority of Australian ingredients.</w:t>
      </w:r>
      <w:r w:rsidR="0084146D">
        <w:rPr>
          <w:rStyle w:val="FootnoteReference"/>
        </w:rPr>
        <w:footnoteReference w:id="81"/>
      </w:r>
      <w:r>
        <w:t xml:space="preserve"> </w:t>
      </w:r>
    </w:p>
    <w:p w14:paraId="2652ED7A" w14:textId="278B176E" w:rsidR="00172A6B" w:rsidRDefault="00DC75D6" w:rsidP="00172A6B">
      <w:pPr>
        <w:pStyle w:val="ListBullet"/>
      </w:pPr>
      <w:r>
        <w:t>Using</w:t>
      </w:r>
      <w:r w:rsidR="00172A6B">
        <w:t xml:space="preserve"> QR codes to register and monitor information provided to consumers, as well as to display detailed information that might not be practically feasible on a physical label</w:t>
      </w:r>
      <w:r w:rsidR="00A4230F">
        <w:t xml:space="preserve"> (see Section</w:t>
      </w:r>
      <w:r w:rsidR="00243F12">
        <w:t xml:space="preserve"> </w:t>
      </w:r>
      <w:r w:rsidR="00243F12">
        <w:fldChar w:fldCharType="begin"/>
      </w:r>
      <w:r w:rsidR="00243F12">
        <w:instrText xml:space="preserve"> REF _Ref71832616 \r \h </w:instrText>
      </w:r>
      <w:r w:rsidR="00243F12">
        <w:fldChar w:fldCharType="separate"/>
      </w:r>
      <w:r w:rsidR="0017363C">
        <w:t>3.3.2</w:t>
      </w:r>
      <w:r w:rsidR="00243F12">
        <w:fldChar w:fldCharType="end"/>
      </w:r>
      <w:r w:rsidR="003050E0">
        <w:t>)</w:t>
      </w:r>
      <w:r w:rsidR="00172A6B">
        <w:t xml:space="preserve">. </w:t>
      </w:r>
    </w:p>
    <w:p w14:paraId="566D27D4" w14:textId="77777777" w:rsidR="000601EC" w:rsidRPr="000601EC" w:rsidRDefault="00172A6B" w:rsidP="004D4599">
      <w:pPr>
        <w:pStyle w:val="Heading3"/>
      </w:pPr>
      <w:bookmarkStart w:id="274" w:name="_Toc67499101"/>
      <w:r w:rsidRPr="00633696">
        <w:t>Key findings</w:t>
      </w:r>
      <w:r>
        <w:t xml:space="preserve">: </w:t>
      </w:r>
      <w:r w:rsidR="000601EC">
        <w:t>Made in claim, AMAG logo, bar chart</w:t>
      </w:r>
      <w:bookmarkEnd w:id="274"/>
    </w:p>
    <w:tbl>
      <w:tblPr>
        <w:tblStyle w:val="Deloittetable"/>
        <w:tblW w:w="0" w:type="auto"/>
        <w:tblLook w:val="04A0" w:firstRow="1" w:lastRow="0" w:firstColumn="1" w:lastColumn="0" w:noHBand="0" w:noVBand="1"/>
        <w:tblDescription w:val="This Table outlines the four key findings related to the AMAG logo, Made in Claim and bar chart. These are that 1) here may be an opportunity to further refine definition(s) and explanations of this and other claims through the regulations and accompanying explanatory material. This should address aspects of the labelling consumers have identified as confusing to interpret or misleading, such as the symbol being associated with Australian ingredients, as well as manufacturing, and explaining the criteria for a product to be ‘Made in Australia’ to better reflect consumer perceptions.&#10;2) The use of the AMAG logo combined with the bar chart does provide consumers with more information that is more accurate than the previous scheme. &#10;3) Despite this, there is an ongoing issue regarding consumer understanding of the ‘Made in’ claim, including how to interpret the label and the extent to which consumers’ understanding is consistent with the ‘Made in’ claims, particularly where the share of Australian ingredients is low. This issue predates the current scheme. It is likely that the current scheme is surfacing this issue because consumers can see that a product making this claim is not necessarily wholly or predominantly sourced from Australian ingredients.&#10;4) It may be appropriate to limit misunderstanding in this area by providing additional communication, including possibly a refreshed awareness campaign."/>
      </w:tblPr>
      <w:tblGrid>
        <w:gridCol w:w="1134"/>
        <w:gridCol w:w="7892"/>
      </w:tblGrid>
      <w:tr w:rsidR="005A243D" w14:paraId="38699717"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349DC6EF" w14:textId="77777777" w:rsidR="005A243D" w:rsidRPr="00AB2F4F" w:rsidRDefault="005A243D" w:rsidP="00AB1DCE">
            <w:pPr>
              <w:rPr>
                <w:b/>
                <w:bCs/>
              </w:rPr>
            </w:pPr>
            <w:r>
              <w:rPr>
                <w:b/>
                <w:bCs/>
              </w:rPr>
              <w:t>Ref</w:t>
            </w:r>
          </w:p>
        </w:tc>
        <w:tc>
          <w:tcPr>
            <w:tcW w:w="7892" w:type="dxa"/>
            <w:tcBorders>
              <w:top w:val="single" w:sz="24" w:space="0" w:color="012169" w:themeColor="accent4"/>
            </w:tcBorders>
          </w:tcPr>
          <w:p w14:paraId="23E58D47" w14:textId="1EB6FBB7" w:rsidR="005A243D" w:rsidRPr="00AB2F4F" w:rsidRDefault="00615DA5" w:rsidP="00AB1DCE">
            <w:pPr>
              <w:rPr>
                <w:b/>
                <w:bCs/>
              </w:rPr>
            </w:pPr>
            <w:r w:rsidRPr="00615DA5">
              <w:rPr>
                <w:b/>
                <w:bCs/>
              </w:rPr>
              <w:t>Do the criteria for making a ‘Made in’ claim reflect consumer perceptions and expectations?</w:t>
            </w:r>
            <w:r w:rsidR="00DD64EF">
              <w:t xml:space="preserve"> </w:t>
            </w:r>
            <w:r w:rsidR="00DD64EF" w:rsidRPr="00DD64EF">
              <w:rPr>
                <w:b/>
                <w:bCs/>
              </w:rPr>
              <w:t xml:space="preserve">Does use of the Australian Made logo and bar chart reflect consumer perceptions and expectations?  </w:t>
            </w:r>
          </w:p>
        </w:tc>
      </w:tr>
      <w:tr w:rsidR="005C27C1" w14:paraId="39F27766" w14:textId="77777777" w:rsidTr="00BA49D3">
        <w:tc>
          <w:tcPr>
            <w:tcW w:w="1134" w:type="dxa"/>
          </w:tcPr>
          <w:p w14:paraId="45D60CF8" w14:textId="77777777" w:rsidR="005C27C1" w:rsidRDefault="005C27C1" w:rsidP="005C27C1">
            <w:r>
              <w:t>27</w:t>
            </w:r>
          </w:p>
        </w:tc>
        <w:tc>
          <w:tcPr>
            <w:tcW w:w="7892" w:type="dxa"/>
          </w:tcPr>
          <w:p w14:paraId="3FBC681A" w14:textId="1C26C11C" w:rsidR="005C27C1" w:rsidRDefault="005C27C1" w:rsidP="005C27C1">
            <w:pPr>
              <w:pStyle w:val="ListBullet"/>
              <w:numPr>
                <w:ilvl w:val="0"/>
                <w:numId w:val="0"/>
              </w:numPr>
              <w:spacing w:after="170"/>
            </w:pPr>
            <w:r w:rsidRPr="007D5478">
              <w:t>There may be an opportunity to further refine definition(s) and explanations of this and other claims through the regulations and accompanying explanatory material.</w:t>
            </w:r>
            <w:r w:rsidR="00E139E1">
              <w:t xml:space="preserve"> </w:t>
            </w:r>
            <w:r w:rsidR="00B74976">
              <w:t>This should address aspects of the label</w:t>
            </w:r>
            <w:r w:rsidR="008D7BE6">
              <w:t>ling</w:t>
            </w:r>
            <w:r w:rsidR="00B74976">
              <w:t xml:space="preserve"> consumers have identified as </w:t>
            </w:r>
            <w:r w:rsidR="00510382" w:rsidRPr="00B87418">
              <w:t xml:space="preserve">confusing to interpret or misleading, </w:t>
            </w:r>
            <w:r w:rsidR="00B74976">
              <w:t xml:space="preserve">such </w:t>
            </w:r>
            <w:r w:rsidR="00510382" w:rsidRPr="00B87418">
              <w:t xml:space="preserve">as the symbol </w:t>
            </w:r>
            <w:r w:rsidR="0011483D">
              <w:t>being</w:t>
            </w:r>
            <w:r w:rsidR="00510382" w:rsidRPr="00B87418">
              <w:t xml:space="preserve"> associated with Australian ingredients</w:t>
            </w:r>
            <w:r w:rsidR="00510382">
              <w:t>,</w:t>
            </w:r>
            <w:r w:rsidR="00510382" w:rsidRPr="00B87418">
              <w:t xml:space="preserve"> as well as manufacturing</w:t>
            </w:r>
            <w:r w:rsidR="009B3B25">
              <w:t xml:space="preserve">, and explaining </w:t>
            </w:r>
            <w:r w:rsidR="009B3B25" w:rsidRPr="00BF4ADB">
              <w:t xml:space="preserve">the criteria for a product to be </w:t>
            </w:r>
            <w:r w:rsidR="009B3B25">
              <w:t>‘</w:t>
            </w:r>
            <w:r w:rsidR="009B3B25" w:rsidRPr="00BF4ADB">
              <w:t>Made in Australia</w:t>
            </w:r>
            <w:r w:rsidR="009B3B25">
              <w:t>’</w:t>
            </w:r>
            <w:r w:rsidR="009B3B25" w:rsidRPr="00BF4ADB">
              <w:t xml:space="preserve"> to better reflect consumer perceptions.</w:t>
            </w:r>
          </w:p>
        </w:tc>
      </w:tr>
      <w:tr w:rsidR="005C27C1" w14:paraId="23937D0B" w14:textId="77777777" w:rsidTr="00BA49D3">
        <w:tc>
          <w:tcPr>
            <w:tcW w:w="1134" w:type="dxa"/>
          </w:tcPr>
          <w:p w14:paraId="25DB689C" w14:textId="77777777" w:rsidR="005C27C1" w:rsidRDefault="005C27C1" w:rsidP="005C27C1">
            <w:r>
              <w:t>28</w:t>
            </w:r>
          </w:p>
        </w:tc>
        <w:tc>
          <w:tcPr>
            <w:tcW w:w="7892" w:type="dxa"/>
          </w:tcPr>
          <w:p w14:paraId="6D48F95E" w14:textId="77777777" w:rsidR="005C27C1" w:rsidRDefault="005C27C1" w:rsidP="005C27C1">
            <w:pPr>
              <w:pStyle w:val="ListBullet"/>
              <w:numPr>
                <w:ilvl w:val="0"/>
                <w:numId w:val="0"/>
              </w:numPr>
              <w:spacing w:after="170"/>
            </w:pPr>
            <w:r w:rsidRPr="00254506">
              <w:t xml:space="preserve">The use of the AMAG logo combined with the bar chart does provide consumers with more information that is more accurate than the previous scheme. </w:t>
            </w:r>
          </w:p>
        </w:tc>
      </w:tr>
      <w:tr w:rsidR="005C27C1" w14:paraId="6A2B6DC7" w14:textId="77777777" w:rsidTr="00BA49D3">
        <w:tc>
          <w:tcPr>
            <w:tcW w:w="1134" w:type="dxa"/>
          </w:tcPr>
          <w:p w14:paraId="6C30C611" w14:textId="77777777" w:rsidR="005C27C1" w:rsidRDefault="005C27C1" w:rsidP="005C27C1">
            <w:r>
              <w:t>29</w:t>
            </w:r>
          </w:p>
        </w:tc>
        <w:tc>
          <w:tcPr>
            <w:tcW w:w="7892" w:type="dxa"/>
          </w:tcPr>
          <w:p w14:paraId="262B676C" w14:textId="02CA5B1D" w:rsidR="005C27C1" w:rsidRDefault="005C27C1" w:rsidP="005C27C1">
            <w:pPr>
              <w:pStyle w:val="ListBullet"/>
              <w:numPr>
                <w:ilvl w:val="0"/>
                <w:numId w:val="0"/>
              </w:numPr>
              <w:spacing w:after="170"/>
              <w:ind w:left="-6" w:firstLine="6"/>
            </w:pPr>
            <w:r w:rsidRPr="006B22EA">
              <w:t xml:space="preserve">Despite this, there is an ongoing issue regarding consumer understanding of the ‘Made </w:t>
            </w:r>
            <w:r>
              <w:t>i</w:t>
            </w:r>
            <w:r w:rsidRPr="006B22EA">
              <w:t>n’ claim</w:t>
            </w:r>
            <w:r w:rsidR="00C14A6B">
              <w:t xml:space="preserve">, including how to interpret the label </w:t>
            </w:r>
            <w:r w:rsidR="007766E6">
              <w:t>and the extent to which consumers’ understanding is consistent with the ‘Made in’ claims, particularly where the share of Australian ingredients is low.</w:t>
            </w:r>
            <w:r w:rsidRPr="006B22EA">
              <w:t xml:space="preserve"> This issue predates the current scheme. It is likely that the current </w:t>
            </w:r>
            <w:r w:rsidR="006F13F1">
              <w:t>s</w:t>
            </w:r>
            <w:r w:rsidR="00E670FE">
              <w:t>cheme</w:t>
            </w:r>
            <w:r w:rsidRPr="006B22EA">
              <w:t xml:space="preserve"> is surfacing this issue because consumers can see that a product making this claim is not necessarily wholly or predominantly sourced from Australian ingredients.</w:t>
            </w:r>
          </w:p>
        </w:tc>
      </w:tr>
      <w:tr w:rsidR="005C27C1" w14:paraId="565406F0" w14:textId="77777777" w:rsidTr="00BA49D3">
        <w:tc>
          <w:tcPr>
            <w:tcW w:w="1134" w:type="dxa"/>
          </w:tcPr>
          <w:p w14:paraId="1F1F5971" w14:textId="77777777" w:rsidR="005C27C1" w:rsidRDefault="005C27C1" w:rsidP="005C27C1">
            <w:r>
              <w:lastRenderedPageBreak/>
              <w:t>30</w:t>
            </w:r>
          </w:p>
        </w:tc>
        <w:tc>
          <w:tcPr>
            <w:tcW w:w="7892" w:type="dxa"/>
          </w:tcPr>
          <w:p w14:paraId="10B6F7FB" w14:textId="77777777" w:rsidR="005C27C1" w:rsidRDefault="005C27C1" w:rsidP="005C27C1">
            <w:pPr>
              <w:pStyle w:val="ListBullet"/>
              <w:numPr>
                <w:ilvl w:val="0"/>
                <w:numId w:val="0"/>
              </w:numPr>
              <w:spacing w:after="170"/>
              <w:ind w:left="-6" w:firstLine="6"/>
            </w:pPr>
            <w:r w:rsidRPr="00B460C9">
              <w:t>It may be appropriate to limit misunderstanding in this area by providing additional communication, including possibly a refreshed awareness campaign.</w:t>
            </w:r>
          </w:p>
        </w:tc>
      </w:tr>
    </w:tbl>
    <w:p w14:paraId="709B0C36" w14:textId="77777777" w:rsidR="00172A6B" w:rsidRDefault="00172A6B" w:rsidP="00172A6B">
      <w:pPr>
        <w:pStyle w:val="Heading2"/>
      </w:pPr>
      <w:bookmarkStart w:id="275" w:name="_Toc66699444"/>
      <w:bookmarkStart w:id="276" w:name="_Toc66774378"/>
      <w:bookmarkStart w:id="277" w:name="_Ref71198369"/>
      <w:bookmarkStart w:id="278" w:name="_Toc67499102"/>
      <w:bookmarkStart w:id="279" w:name="_Toc94702059"/>
      <w:bookmarkEnd w:id="275"/>
      <w:bookmarkEnd w:id="276"/>
      <w:r w:rsidRPr="00C20F51">
        <w:t>CoOL requirements for online sales</w:t>
      </w:r>
      <w:bookmarkEnd w:id="277"/>
      <w:bookmarkEnd w:id="279"/>
      <w:r w:rsidRPr="00C20F51">
        <w:t xml:space="preserve"> </w:t>
      </w:r>
      <w:bookmarkEnd w:id="278"/>
    </w:p>
    <w:p w14:paraId="07306A75" w14:textId="12D45B36" w:rsidR="00172A6B" w:rsidRDefault="00172A6B" w:rsidP="00172A6B">
      <w:pPr>
        <w:spacing w:after="120" w:line="276" w:lineRule="auto"/>
        <w:rPr>
          <w:rFonts w:eastAsia="Times New Roman" w:cs="Arial"/>
          <w:color w:val="000000" w:themeColor="text1"/>
          <w:kern w:val="24"/>
          <w:lang w:eastAsia="en-AU"/>
        </w:rPr>
      </w:pPr>
      <w:r>
        <w:rPr>
          <w:rFonts w:eastAsia="Times New Roman" w:cs="Arial"/>
          <w:color w:val="000000" w:themeColor="text1"/>
          <w:kern w:val="24"/>
          <w:lang w:eastAsia="en-AU"/>
        </w:rPr>
        <w:t xml:space="preserve">The current </w:t>
      </w:r>
      <w:r>
        <w:rPr>
          <w:rFonts w:eastAsia="Calibri" w:cs="Times New Roman"/>
        </w:rPr>
        <w:t>CoOL</w:t>
      </w:r>
      <w:r w:rsidRPr="00CC297D">
        <w:rPr>
          <w:rFonts w:eastAsia="Calibri" w:cs="Times New Roman"/>
        </w:rPr>
        <w:t xml:space="preserve"> </w:t>
      </w:r>
      <w:r>
        <w:rPr>
          <w:rFonts w:eastAsia="Times New Roman" w:cs="Arial"/>
          <w:color w:val="000000" w:themeColor="text1"/>
          <w:kern w:val="24"/>
          <w:lang w:eastAsia="en-AU"/>
        </w:rPr>
        <w:t xml:space="preserve">requirements do not apply to food and beverages that are purchased online, however businesses may choose to highlight this information (voluntarily) regardless. There is now significant information about food and beverages that is being provided online </w:t>
      </w:r>
      <w:r w:rsidR="00353478">
        <w:rPr>
          <w:rFonts w:eastAsia="Times New Roman" w:cs="Arial"/>
          <w:color w:val="000000" w:themeColor="text1"/>
          <w:kern w:val="24"/>
          <w:lang w:eastAsia="en-AU"/>
        </w:rPr>
        <w:t xml:space="preserve">by </w:t>
      </w:r>
      <w:r>
        <w:rPr>
          <w:rFonts w:eastAsia="Times New Roman" w:cs="Arial"/>
          <w:color w:val="000000" w:themeColor="text1"/>
          <w:kern w:val="24"/>
          <w:lang w:eastAsia="en-AU"/>
        </w:rPr>
        <w:t xml:space="preserve">major retailers, about country of origin and other aspects of food. Against a backdrop of increasing online sales and information provision, </w:t>
      </w:r>
      <w:r w:rsidR="002B1DEE">
        <w:rPr>
          <w:rFonts w:eastAsia="Times New Roman" w:cs="Arial"/>
          <w:color w:val="000000" w:themeColor="text1"/>
          <w:kern w:val="24"/>
          <w:lang w:eastAsia="en-AU"/>
        </w:rPr>
        <w:t>the evaluation has considered</w:t>
      </w:r>
      <w:r>
        <w:rPr>
          <w:rFonts w:eastAsia="Times New Roman" w:cs="Arial"/>
          <w:color w:val="000000" w:themeColor="text1"/>
          <w:kern w:val="24"/>
          <w:lang w:eastAsia="en-AU"/>
        </w:rPr>
        <w:t xml:space="preserve"> the extent to which consumers purchasing products </w:t>
      </w:r>
      <w:r w:rsidR="00AB7C88">
        <w:rPr>
          <w:rFonts w:eastAsia="Times New Roman" w:cs="Arial"/>
          <w:color w:val="000000" w:themeColor="text1"/>
          <w:kern w:val="24"/>
          <w:lang w:eastAsia="en-AU"/>
        </w:rPr>
        <w:t>online</w:t>
      </w:r>
      <w:r>
        <w:rPr>
          <w:rFonts w:eastAsia="Times New Roman" w:cs="Arial"/>
          <w:color w:val="000000" w:themeColor="text1"/>
          <w:kern w:val="24"/>
          <w:lang w:eastAsia="en-AU"/>
        </w:rPr>
        <w:t xml:space="preserve"> have “adequate” origin information about products prior to making their purchase. This question considers “adequate” with regard to the consumer and business expectations regarding </w:t>
      </w:r>
      <w:r>
        <w:rPr>
          <w:rFonts w:eastAsia="Calibri" w:cs="Times New Roman"/>
        </w:rPr>
        <w:t>CoOL</w:t>
      </w:r>
      <w:r w:rsidRPr="00CC297D">
        <w:rPr>
          <w:rFonts w:eastAsia="Calibri" w:cs="Times New Roman"/>
        </w:rPr>
        <w:t xml:space="preserve"> </w:t>
      </w:r>
      <w:r>
        <w:rPr>
          <w:rFonts w:eastAsia="Times New Roman" w:cs="Arial"/>
          <w:color w:val="000000" w:themeColor="text1"/>
          <w:kern w:val="24"/>
          <w:lang w:eastAsia="en-AU"/>
        </w:rPr>
        <w:t>for online sales of food and beverage products, as well as the potential cost-effectiveness of regulating the provision of country of origin information for online sales.</w:t>
      </w:r>
    </w:p>
    <w:p w14:paraId="6770C146" w14:textId="77777777" w:rsidR="00172A6B" w:rsidRDefault="00172A6B" w:rsidP="00172A6B">
      <w:pPr>
        <w:pStyle w:val="Heading3"/>
        <w:rPr>
          <w:lang w:eastAsia="en-AU"/>
        </w:rPr>
      </w:pPr>
      <w:bookmarkStart w:id="280" w:name="_Toc67499103"/>
      <w:r>
        <w:rPr>
          <w:lang w:eastAsia="en-AU"/>
        </w:rPr>
        <w:t>Most consumers expect the same country of origin information to be made available for online purchases</w:t>
      </w:r>
      <w:bookmarkEnd w:id="280"/>
    </w:p>
    <w:p w14:paraId="601079DF" w14:textId="4E174901" w:rsidR="003D7BB0" w:rsidRPr="00E57F5C" w:rsidRDefault="00172A6B" w:rsidP="003D7BB0">
      <w:pPr>
        <w:spacing w:after="120" w:line="276" w:lineRule="auto"/>
        <w:rPr>
          <w:rFonts w:eastAsia="Times New Roman" w:cs="Arial"/>
          <w:color w:val="046A38" w:themeColor="accent2"/>
          <w:kern w:val="24"/>
          <w:lang w:eastAsia="en-AU"/>
        </w:rPr>
      </w:pPr>
      <w:r>
        <w:rPr>
          <w:rFonts w:eastAsia="Times New Roman" w:cs="Arial"/>
          <w:color w:val="000000" w:themeColor="text1"/>
          <w:kern w:val="24"/>
          <w:lang w:eastAsia="en-AU"/>
        </w:rPr>
        <w:t>The</w:t>
      </w:r>
      <w:r w:rsidRPr="00633696">
        <w:rPr>
          <w:rFonts w:eastAsia="Times New Roman" w:cs="Arial"/>
          <w:color w:val="000000" w:themeColor="text1"/>
          <w:kern w:val="24"/>
          <w:lang w:eastAsia="en-AU"/>
        </w:rPr>
        <w:t xml:space="preserve"> consumer survey indicate</w:t>
      </w:r>
      <w:r>
        <w:rPr>
          <w:rFonts w:eastAsia="Times New Roman" w:cs="Arial"/>
          <w:color w:val="000000" w:themeColor="text1"/>
          <w:kern w:val="24"/>
          <w:lang w:eastAsia="en-AU"/>
        </w:rPr>
        <w:t>d</w:t>
      </w:r>
      <w:r w:rsidRPr="00633696">
        <w:rPr>
          <w:rFonts w:eastAsia="Times New Roman" w:cs="Arial"/>
          <w:color w:val="000000" w:themeColor="text1"/>
          <w:kern w:val="24"/>
          <w:lang w:eastAsia="en-AU"/>
        </w:rPr>
        <w:t xml:space="preserve"> that 27</w:t>
      </w:r>
      <w:r w:rsidR="007B2C81">
        <w:rPr>
          <w:rFonts w:eastAsia="Times New Roman" w:cs="Arial"/>
          <w:color w:val="000000" w:themeColor="text1"/>
          <w:kern w:val="24"/>
          <w:lang w:eastAsia="en-AU"/>
        </w:rPr>
        <w:t>%</w:t>
      </w:r>
      <w:r w:rsidRPr="00633696">
        <w:rPr>
          <w:rFonts w:eastAsia="Times New Roman" w:cs="Arial"/>
          <w:color w:val="000000" w:themeColor="text1"/>
          <w:kern w:val="24"/>
          <w:lang w:eastAsia="en-AU"/>
        </w:rPr>
        <w:t xml:space="preserve"> of survey participants currently purchase food and beverages online</w:t>
      </w:r>
      <w:r>
        <w:rPr>
          <w:rFonts w:eastAsia="Times New Roman" w:cs="Arial"/>
          <w:color w:val="000000" w:themeColor="text1"/>
          <w:kern w:val="24"/>
          <w:lang w:eastAsia="en-AU"/>
        </w:rPr>
        <w:t>.</w:t>
      </w:r>
      <w:r w:rsidRPr="00633696">
        <w:rPr>
          <w:rFonts w:eastAsia="Times New Roman" w:cs="Arial"/>
          <w:color w:val="000000" w:themeColor="text1"/>
          <w:kern w:val="24"/>
          <w:lang w:eastAsia="en-AU"/>
        </w:rPr>
        <w:t xml:space="preserve"> </w:t>
      </w:r>
      <w:r>
        <w:rPr>
          <w:rFonts w:eastAsia="Times New Roman" w:cs="Arial"/>
          <w:color w:val="000000" w:themeColor="text1"/>
          <w:kern w:val="24"/>
          <w:lang w:eastAsia="en-AU"/>
        </w:rPr>
        <w:t xml:space="preserve">Around </w:t>
      </w:r>
      <w:r w:rsidR="001F0F2B" w:rsidRPr="00633696">
        <w:rPr>
          <w:rFonts w:eastAsia="Times New Roman" w:cs="Arial"/>
          <w:color w:val="000000" w:themeColor="text1"/>
          <w:kern w:val="24"/>
          <w:lang w:eastAsia="en-AU"/>
        </w:rPr>
        <w:t>2</w:t>
      </w:r>
      <w:r w:rsidR="001F0F2B">
        <w:rPr>
          <w:rFonts w:eastAsia="Times New Roman" w:cs="Arial"/>
          <w:color w:val="000000" w:themeColor="text1"/>
          <w:kern w:val="24"/>
          <w:lang w:eastAsia="en-AU"/>
        </w:rPr>
        <w:t>0</w:t>
      </w:r>
      <w:r w:rsidR="007B2C81">
        <w:rPr>
          <w:rFonts w:eastAsia="Times New Roman" w:cs="Arial"/>
          <w:color w:val="000000" w:themeColor="text1"/>
          <w:kern w:val="24"/>
          <w:lang w:eastAsia="en-AU"/>
        </w:rPr>
        <w:t>%</w:t>
      </w:r>
      <w:r w:rsidRPr="00633696">
        <w:rPr>
          <w:rFonts w:eastAsia="Times New Roman" w:cs="Arial"/>
          <w:color w:val="000000" w:themeColor="text1"/>
          <w:kern w:val="24"/>
          <w:lang w:eastAsia="en-AU"/>
        </w:rPr>
        <w:t xml:space="preserve"> of these individuals do so at least every week (</w:t>
      </w:r>
      <w:r>
        <w:rPr>
          <w:rFonts w:eastAsia="Times New Roman" w:cs="Arial"/>
          <w:color w:val="000000" w:themeColor="text1"/>
          <w:kern w:val="24"/>
          <w:lang w:eastAsia="en-AU"/>
        </w:rPr>
        <w:t>see</w:t>
      </w:r>
      <w:r w:rsidRPr="00633696">
        <w:rPr>
          <w:rFonts w:eastAsia="Times New Roman" w:cs="Arial"/>
          <w:color w:val="000000" w:themeColor="text1"/>
          <w:kern w:val="24"/>
          <w:lang w:eastAsia="en-AU"/>
        </w:rPr>
        <w:t xml:space="preserve"> </w:t>
      </w:r>
      <w:r w:rsidR="00AF0E2B">
        <w:rPr>
          <w:rFonts w:eastAsia="Times New Roman" w:cs="Arial"/>
          <w:color w:val="000000" w:themeColor="text1"/>
          <w:kern w:val="24"/>
          <w:lang w:eastAsia="en-AU"/>
        </w:rPr>
        <w:fldChar w:fldCharType="begin"/>
      </w:r>
      <w:r w:rsidR="00AF0E2B">
        <w:rPr>
          <w:rFonts w:eastAsia="Times New Roman" w:cs="Arial"/>
          <w:color w:val="000000" w:themeColor="text1"/>
          <w:kern w:val="24"/>
          <w:lang w:eastAsia="en-AU"/>
        </w:rPr>
        <w:instrText xml:space="preserve"> REF _Ref68086498 \r \h </w:instrText>
      </w:r>
      <w:r w:rsidR="00AF0E2B">
        <w:rPr>
          <w:rFonts w:eastAsia="Times New Roman" w:cs="Arial"/>
          <w:color w:val="000000" w:themeColor="text1"/>
          <w:kern w:val="24"/>
          <w:lang w:eastAsia="en-AU"/>
        </w:rPr>
      </w:r>
      <w:r w:rsidR="00AF0E2B">
        <w:rPr>
          <w:rFonts w:eastAsia="Times New Roman" w:cs="Arial"/>
          <w:color w:val="000000" w:themeColor="text1"/>
          <w:kern w:val="24"/>
          <w:lang w:eastAsia="en-AU"/>
        </w:rPr>
        <w:fldChar w:fldCharType="separate"/>
      </w:r>
      <w:r w:rsidR="0017363C">
        <w:rPr>
          <w:rFonts w:eastAsia="Times New Roman" w:cs="Arial"/>
          <w:color w:val="000000" w:themeColor="text1"/>
          <w:kern w:val="24"/>
          <w:lang w:eastAsia="en-AU"/>
        </w:rPr>
        <w:t>Chart 4.17</w:t>
      </w:r>
      <w:r w:rsidR="00AF0E2B">
        <w:rPr>
          <w:rFonts w:eastAsia="Times New Roman" w:cs="Arial"/>
          <w:color w:val="000000" w:themeColor="text1"/>
          <w:kern w:val="24"/>
          <w:lang w:eastAsia="en-AU"/>
        </w:rPr>
        <w:fldChar w:fldCharType="end"/>
      </w:r>
      <w:r w:rsidRPr="00633696">
        <w:rPr>
          <w:rFonts w:eastAsia="Times New Roman" w:cs="Arial"/>
          <w:color w:val="000000" w:themeColor="text1"/>
          <w:kern w:val="24"/>
          <w:lang w:eastAsia="en-AU"/>
        </w:rPr>
        <w:t>). Consumers aged 18</w:t>
      </w:r>
      <w:r>
        <w:rPr>
          <w:rFonts w:eastAsia="Times New Roman" w:cs="Arial"/>
          <w:color w:val="000000" w:themeColor="text1"/>
          <w:kern w:val="24"/>
          <w:lang w:eastAsia="en-AU"/>
        </w:rPr>
        <w:t>-</w:t>
      </w:r>
      <w:r w:rsidRPr="00633696">
        <w:rPr>
          <w:rFonts w:eastAsia="Times New Roman" w:cs="Arial"/>
          <w:color w:val="000000" w:themeColor="text1"/>
          <w:kern w:val="24"/>
          <w:lang w:eastAsia="en-AU"/>
        </w:rPr>
        <w:t>34 years are marginally more likely to buy food and beverage products online than consumers aged 65 years and above (</w:t>
      </w:r>
      <w:r>
        <w:rPr>
          <w:rFonts w:eastAsia="Times New Roman" w:cs="Arial"/>
          <w:color w:val="000000" w:themeColor="text1"/>
          <w:kern w:val="24"/>
          <w:lang w:eastAsia="en-AU"/>
        </w:rPr>
        <w:t>see</w:t>
      </w:r>
      <w:r w:rsidRPr="00633696">
        <w:rPr>
          <w:rFonts w:eastAsia="Times New Roman" w:cs="Arial"/>
          <w:color w:val="000000" w:themeColor="text1"/>
          <w:kern w:val="24"/>
          <w:lang w:eastAsia="en-AU"/>
        </w:rPr>
        <w:t xml:space="preserve"> </w:t>
      </w:r>
      <w:r w:rsidR="00C31155">
        <w:rPr>
          <w:rFonts w:eastAsia="Times New Roman" w:cs="Arial"/>
          <w:color w:val="000000" w:themeColor="text1"/>
          <w:kern w:val="24"/>
          <w:lang w:eastAsia="en-AU"/>
        </w:rPr>
        <w:fldChar w:fldCharType="begin"/>
      </w:r>
      <w:r w:rsidR="00C31155">
        <w:rPr>
          <w:rFonts w:eastAsia="Times New Roman" w:cs="Arial"/>
          <w:color w:val="000000" w:themeColor="text1"/>
          <w:kern w:val="24"/>
          <w:lang w:eastAsia="en-AU"/>
        </w:rPr>
        <w:instrText xml:space="preserve"> REF _Ref68086538 \r \h </w:instrText>
      </w:r>
      <w:r w:rsidR="00C31155">
        <w:rPr>
          <w:rFonts w:eastAsia="Times New Roman" w:cs="Arial"/>
          <w:color w:val="000000" w:themeColor="text1"/>
          <w:kern w:val="24"/>
          <w:lang w:eastAsia="en-AU"/>
        </w:rPr>
      </w:r>
      <w:r w:rsidR="00C31155">
        <w:rPr>
          <w:rFonts w:eastAsia="Times New Roman" w:cs="Arial"/>
          <w:color w:val="000000" w:themeColor="text1"/>
          <w:kern w:val="24"/>
          <w:lang w:eastAsia="en-AU"/>
        </w:rPr>
        <w:fldChar w:fldCharType="separate"/>
      </w:r>
      <w:r w:rsidR="0017363C">
        <w:rPr>
          <w:rFonts w:eastAsia="Times New Roman" w:cs="Arial"/>
          <w:color w:val="000000" w:themeColor="text1"/>
          <w:kern w:val="24"/>
          <w:lang w:eastAsia="en-AU"/>
        </w:rPr>
        <w:t>Chart 4.18</w:t>
      </w:r>
      <w:r w:rsidR="00C31155">
        <w:rPr>
          <w:rFonts w:eastAsia="Times New Roman" w:cs="Arial"/>
          <w:color w:val="000000" w:themeColor="text1"/>
          <w:kern w:val="24"/>
          <w:lang w:eastAsia="en-AU"/>
        </w:rPr>
        <w:fldChar w:fldCharType="end"/>
      </w:r>
      <w:r w:rsidRPr="00633696">
        <w:rPr>
          <w:rFonts w:eastAsia="Times New Roman" w:cs="Arial"/>
          <w:color w:val="000000" w:themeColor="text1"/>
          <w:kern w:val="24"/>
          <w:lang w:eastAsia="en-AU"/>
        </w:rPr>
        <w:t>).</w:t>
      </w:r>
      <w:r w:rsidR="003D7BB0" w:rsidRPr="003D7BB0">
        <w:rPr>
          <w:rFonts w:eastAsia="Times New Roman" w:cs="Arial"/>
          <w:color w:val="000000" w:themeColor="text1"/>
          <w:kern w:val="24"/>
          <w:lang w:eastAsia="en-AU"/>
        </w:rPr>
        <w:t xml:space="preserve"> </w:t>
      </w:r>
      <w:r w:rsidR="003D7BB0" w:rsidRPr="00633696">
        <w:rPr>
          <w:rFonts w:eastAsia="Times New Roman" w:cs="Arial"/>
          <w:color w:val="000000" w:themeColor="text1"/>
          <w:kern w:val="24"/>
          <w:lang w:eastAsia="en-AU"/>
        </w:rPr>
        <w:t>Of all participants in the consumer survey, 27</w:t>
      </w:r>
      <w:r w:rsidR="003D7BB0">
        <w:rPr>
          <w:rFonts w:eastAsia="Times New Roman" w:cs="Arial"/>
          <w:color w:val="000000" w:themeColor="text1"/>
          <w:kern w:val="24"/>
          <w:lang w:eastAsia="en-AU"/>
        </w:rPr>
        <w:t>%</w:t>
      </w:r>
      <w:r w:rsidR="003D7BB0" w:rsidRPr="00633696">
        <w:rPr>
          <w:rFonts w:eastAsia="Times New Roman" w:cs="Arial"/>
          <w:color w:val="000000" w:themeColor="text1"/>
          <w:kern w:val="24"/>
          <w:lang w:eastAsia="en-AU"/>
        </w:rPr>
        <w:t xml:space="preserve"> indicated that they plan to purchase food and beverages online in the future, with consumers aged 18</w:t>
      </w:r>
      <w:r w:rsidR="003D7BB0">
        <w:rPr>
          <w:rFonts w:eastAsia="Times New Roman" w:cs="Arial"/>
          <w:color w:val="000000" w:themeColor="text1"/>
          <w:kern w:val="24"/>
          <w:lang w:eastAsia="en-AU"/>
        </w:rPr>
        <w:t>-</w:t>
      </w:r>
      <w:r w:rsidR="003D7BB0" w:rsidRPr="00633696">
        <w:rPr>
          <w:rFonts w:eastAsia="Times New Roman" w:cs="Arial"/>
          <w:color w:val="000000" w:themeColor="text1"/>
          <w:kern w:val="24"/>
          <w:lang w:eastAsia="en-AU"/>
        </w:rPr>
        <w:t>34 years marginally more likely than consumers aged 35</w:t>
      </w:r>
      <w:r w:rsidR="003D7BB0">
        <w:rPr>
          <w:rFonts w:eastAsia="Times New Roman" w:cs="Arial"/>
          <w:color w:val="000000" w:themeColor="text1"/>
          <w:kern w:val="24"/>
          <w:lang w:eastAsia="en-AU"/>
        </w:rPr>
        <w:t>-</w:t>
      </w:r>
      <w:r w:rsidR="003D7BB0" w:rsidRPr="00633696">
        <w:rPr>
          <w:rFonts w:eastAsia="Times New Roman" w:cs="Arial"/>
          <w:color w:val="000000" w:themeColor="text1"/>
          <w:kern w:val="24"/>
          <w:lang w:eastAsia="en-AU"/>
        </w:rPr>
        <w:t>64 years</w:t>
      </w:r>
      <w:r w:rsidR="004A0841">
        <w:rPr>
          <w:rFonts w:eastAsia="Times New Roman" w:cs="Arial"/>
          <w:color w:val="000000" w:themeColor="text1"/>
          <w:kern w:val="24"/>
          <w:lang w:eastAsia="en-AU"/>
        </w:rPr>
        <w:t>,</w:t>
      </w:r>
      <w:r w:rsidR="003D7BB0" w:rsidRPr="00633696">
        <w:rPr>
          <w:rFonts w:eastAsia="Times New Roman" w:cs="Arial"/>
          <w:color w:val="000000" w:themeColor="text1"/>
          <w:kern w:val="24"/>
          <w:lang w:eastAsia="en-AU"/>
        </w:rPr>
        <w:t xml:space="preserve"> and significantly more likely than consumers aged 65 years and over to (plan to) purchase their food and beverages online</w:t>
      </w:r>
      <w:r w:rsidR="003D7BB0">
        <w:rPr>
          <w:rFonts w:eastAsia="Times New Roman" w:cs="Arial"/>
          <w:color w:val="000000" w:themeColor="text1"/>
          <w:kern w:val="24"/>
          <w:lang w:eastAsia="en-AU"/>
        </w:rPr>
        <w:t>.</w:t>
      </w:r>
    </w:p>
    <w:p w14:paraId="62FB3923" w14:textId="77777777" w:rsidR="00172A6B" w:rsidRDefault="00172A6B" w:rsidP="00172A6B">
      <w:pPr>
        <w:pStyle w:val="CaptionChart"/>
        <w:rPr>
          <w:lang w:eastAsia="en-AU"/>
        </w:rPr>
      </w:pPr>
      <w:bookmarkStart w:id="281" w:name="_Ref68086498"/>
      <w:bookmarkStart w:id="282" w:name="_Toc82590357"/>
      <w:r>
        <w:rPr>
          <w:lang w:eastAsia="en-AU"/>
        </w:rPr>
        <w:t>: How frequently consumers who purchase food online actually buy their food and beverages online</w:t>
      </w:r>
      <w:bookmarkEnd w:id="281"/>
      <w:bookmarkEnd w:id="282"/>
      <w:r>
        <w:rPr>
          <w:lang w:eastAsia="en-AU"/>
        </w:rPr>
        <w:t xml:space="preserve"> </w:t>
      </w:r>
    </w:p>
    <w:p w14:paraId="620C7B7C" w14:textId="736F4B49" w:rsidR="001175EF" w:rsidRDefault="00483143" w:rsidP="00172A6B">
      <w:pPr>
        <w:pStyle w:val="Source"/>
      </w:pPr>
      <w:r w:rsidRPr="00483143">
        <w:rPr>
          <w:noProof/>
          <w:lang w:eastAsia="en-AU"/>
        </w:rPr>
        <w:drawing>
          <wp:inline distT="0" distB="0" distL="0" distR="0" wp14:anchorId="18A2EA25" wp14:editId="1A2B9F90">
            <wp:extent cx="5434965" cy="2735580"/>
            <wp:effectExtent l="0" t="0" r="0" b="7620"/>
            <wp:docPr id="55" name="Picture 55" descr="Findings are: A few times a year (37%), once or twice a month (35%), once a week (20%), more than once a we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ndings are: A few times a year (37%), once or twice a month (35%), once a week (20%), more than once a week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34965" cy="2735580"/>
                    </a:xfrm>
                    <a:prstGeom prst="rect">
                      <a:avLst/>
                    </a:prstGeom>
                    <a:noFill/>
                    <a:ln>
                      <a:noFill/>
                    </a:ln>
                  </pic:spPr>
                </pic:pic>
              </a:graphicData>
            </a:graphic>
          </wp:inline>
        </w:drawing>
      </w:r>
    </w:p>
    <w:p w14:paraId="585749B9" w14:textId="1009C663" w:rsidR="00172A6B" w:rsidRPr="00E57F5C" w:rsidRDefault="00172A6B" w:rsidP="00172A6B">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27B41427" w14:textId="77777777" w:rsidR="00172A6B" w:rsidRDefault="00172A6B" w:rsidP="00172A6B">
      <w:pPr>
        <w:pStyle w:val="CaptionChart"/>
        <w:rPr>
          <w:lang w:eastAsia="en-AU"/>
        </w:rPr>
      </w:pPr>
      <w:bookmarkStart w:id="283" w:name="_Ref68086538"/>
      <w:bookmarkStart w:id="284" w:name="_Toc82590358"/>
      <w:r>
        <w:rPr>
          <w:lang w:eastAsia="en-AU"/>
        </w:rPr>
        <w:lastRenderedPageBreak/>
        <w:t>: Proportion of consumers that purchase their food and beverages online, by age category</w:t>
      </w:r>
      <w:bookmarkEnd w:id="283"/>
      <w:bookmarkEnd w:id="284"/>
    </w:p>
    <w:p w14:paraId="7D82BF28" w14:textId="470E3394" w:rsidR="00C92BB7" w:rsidRDefault="005676EB" w:rsidP="00172A6B">
      <w:pPr>
        <w:pStyle w:val="Source"/>
      </w:pPr>
      <w:r w:rsidRPr="005676EB">
        <w:rPr>
          <w:noProof/>
          <w:lang w:eastAsia="en-AU"/>
        </w:rPr>
        <w:drawing>
          <wp:inline distT="0" distB="0" distL="0" distR="0" wp14:anchorId="6700551F" wp14:editId="1A16A327">
            <wp:extent cx="5731510" cy="2786380"/>
            <wp:effectExtent l="0" t="0" r="2540" b="0"/>
            <wp:docPr id="57" name="Picture 57" descr="This chart shows that 18-34 year olds are more likely to purchase their food online compared to 35-64 year olds and 65 or over year olds. &#10;For age group 18-34, yes (36%), no (64%), for age group 35-64, yes (27%), no (73%), and for age group 65+ yes (14%), no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chart shows that 18-34 year olds are more likely to purchase their food online compared to 35-64 year olds and 65 or over year olds. &#10;For age group 18-34, yes (36%), no (64%), for age group 35-64, yes (27%), no (73%), and for age group 65+ yes (14%), no (8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786380"/>
                    </a:xfrm>
                    <a:prstGeom prst="rect">
                      <a:avLst/>
                    </a:prstGeom>
                    <a:noFill/>
                    <a:ln>
                      <a:noFill/>
                    </a:ln>
                  </pic:spPr>
                </pic:pic>
              </a:graphicData>
            </a:graphic>
          </wp:inline>
        </w:drawing>
      </w:r>
    </w:p>
    <w:p w14:paraId="3EA2C7FB" w14:textId="3E4523FF" w:rsidR="00172A6B" w:rsidRPr="00E57F5C" w:rsidRDefault="00172A6B" w:rsidP="00172A6B">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05DEC94B" w14:textId="565F5D86" w:rsidR="00172A6B" w:rsidRPr="00633696" w:rsidRDefault="00172A6B" w:rsidP="00172A6B">
      <w:pPr>
        <w:spacing w:after="120" w:line="276" w:lineRule="auto"/>
        <w:rPr>
          <w:rFonts w:eastAsia="Times New Roman" w:cs="Arial"/>
          <w:color w:val="000000" w:themeColor="text1"/>
          <w:kern w:val="24"/>
          <w:lang w:eastAsia="en-AU"/>
        </w:rPr>
      </w:pPr>
      <w:r w:rsidRPr="00633696">
        <w:rPr>
          <w:rFonts w:eastAsia="Times New Roman" w:cs="Arial"/>
          <w:color w:val="000000" w:themeColor="text1"/>
          <w:kern w:val="24"/>
          <w:lang w:eastAsia="en-AU"/>
        </w:rPr>
        <w:t>Of consumers who purchase their food and beverages online, 83</w:t>
      </w:r>
      <w:r w:rsidR="007B2C81">
        <w:rPr>
          <w:rFonts w:eastAsia="Times New Roman" w:cs="Arial"/>
          <w:color w:val="000000" w:themeColor="text1"/>
          <w:kern w:val="24"/>
          <w:lang w:eastAsia="en-AU"/>
        </w:rPr>
        <w:t>%</w:t>
      </w:r>
      <w:r w:rsidRPr="00633696">
        <w:rPr>
          <w:rFonts w:eastAsia="Times New Roman" w:cs="Arial"/>
          <w:color w:val="000000" w:themeColor="text1"/>
          <w:kern w:val="24"/>
          <w:lang w:eastAsia="en-AU"/>
        </w:rPr>
        <w:t xml:space="preserve"> have noticed country of origin information. Of these, 65</w:t>
      </w:r>
      <w:r w:rsidR="007B2C81">
        <w:rPr>
          <w:rFonts w:eastAsia="Times New Roman" w:cs="Arial"/>
          <w:color w:val="000000" w:themeColor="text1"/>
          <w:kern w:val="24"/>
          <w:lang w:eastAsia="en-AU"/>
        </w:rPr>
        <w:t>%</w:t>
      </w:r>
      <w:r w:rsidRPr="00633696">
        <w:rPr>
          <w:rFonts w:eastAsia="Times New Roman" w:cs="Arial"/>
          <w:color w:val="000000" w:themeColor="text1"/>
          <w:kern w:val="24"/>
          <w:lang w:eastAsia="en-AU"/>
        </w:rPr>
        <w:t xml:space="preserve"> either “agree” or “strongly agree” that the information provided relating to country of origin is adequate for them to make an online purchase. However, 70</w:t>
      </w:r>
      <w:r w:rsidR="007B2C81">
        <w:rPr>
          <w:rFonts w:eastAsia="Times New Roman" w:cs="Arial"/>
          <w:color w:val="000000" w:themeColor="text1"/>
          <w:kern w:val="24"/>
          <w:lang w:eastAsia="en-AU"/>
        </w:rPr>
        <w:t>%</w:t>
      </w:r>
      <w:r w:rsidRPr="00633696">
        <w:rPr>
          <w:rFonts w:eastAsia="Times New Roman" w:cs="Arial"/>
          <w:color w:val="000000" w:themeColor="text1"/>
          <w:kern w:val="24"/>
          <w:lang w:eastAsia="en-AU"/>
        </w:rPr>
        <w:t xml:space="preserve"> of these participants also agree that further information about the country of origin should be provided online, suggesting a potential for response bias (</w:t>
      </w:r>
      <w:r>
        <w:rPr>
          <w:rFonts w:eastAsia="Times New Roman" w:cs="Arial"/>
          <w:color w:val="000000" w:themeColor="text1"/>
          <w:kern w:val="24"/>
          <w:lang w:eastAsia="en-AU"/>
        </w:rPr>
        <w:t>see</w:t>
      </w:r>
      <w:r w:rsidRPr="00633696">
        <w:rPr>
          <w:rFonts w:eastAsia="Times New Roman" w:cs="Arial"/>
          <w:color w:val="000000" w:themeColor="text1"/>
          <w:kern w:val="24"/>
          <w:lang w:eastAsia="en-AU"/>
        </w:rPr>
        <w:t xml:space="preserve"> </w:t>
      </w:r>
      <w:r w:rsidR="00C31155">
        <w:rPr>
          <w:rFonts w:eastAsia="Times New Roman" w:cs="Arial"/>
          <w:color w:val="000000" w:themeColor="text1"/>
          <w:kern w:val="24"/>
          <w:lang w:eastAsia="en-AU"/>
        </w:rPr>
        <w:fldChar w:fldCharType="begin"/>
      </w:r>
      <w:r w:rsidR="00C31155">
        <w:rPr>
          <w:rFonts w:eastAsia="Times New Roman" w:cs="Arial"/>
          <w:color w:val="000000" w:themeColor="text1"/>
          <w:kern w:val="24"/>
          <w:lang w:eastAsia="en-AU"/>
        </w:rPr>
        <w:instrText xml:space="preserve"> REF _Ref68086562 \r \h </w:instrText>
      </w:r>
      <w:r w:rsidR="00C31155">
        <w:rPr>
          <w:rFonts w:eastAsia="Times New Roman" w:cs="Arial"/>
          <w:color w:val="000000" w:themeColor="text1"/>
          <w:kern w:val="24"/>
          <w:lang w:eastAsia="en-AU"/>
        </w:rPr>
      </w:r>
      <w:r w:rsidR="00C31155">
        <w:rPr>
          <w:rFonts w:eastAsia="Times New Roman" w:cs="Arial"/>
          <w:color w:val="000000" w:themeColor="text1"/>
          <w:kern w:val="24"/>
          <w:lang w:eastAsia="en-AU"/>
        </w:rPr>
        <w:fldChar w:fldCharType="separate"/>
      </w:r>
      <w:r w:rsidR="0017363C">
        <w:rPr>
          <w:rFonts w:eastAsia="Times New Roman" w:cs="Arial"/>
          <w:color w:val="000000" w:themeColor="text1"/>
          <w:kern w:val="24"/>
          <w:lang w:eastAsia="en-AU"/>
        </w:rPr>
        <w:t>Chart 4.19</w:t>
      </w:r>
      <w:r w:rsidR="00C31155">
        <w:rPr>
          <w:rFonts w:eastAsia="Times New Roman" w:cs="Arial"/>
          <w:color w:val="000000" w:themeColor="text1"/>
          <w:kern w:val="24"/>
          <w:lang w:eastAsia="en-AU"/>
        </w:rPr>
        <w:fldChar w:fldCharType="end"/>
      </w:r>
      <w:r w:rsidRPr="00633696">
        <w:rPr>
          <w:rFonts w:eastAsia="Times New Roman" w:cs="Arial"/>
          <w:color w:val="000000" w:themeColor="text1"/>
          <w:kern w:val="24"/>
          <w:lang w:eastAsia="en-AU"/>
        </w:rPr>
        <w:t xml:space="preserve">). </w:t>
      </w:r>
    </w:p>
    <w:p w14:paraId="4EDD054E" w14:textId="67F6A57E" w:rsidR="00172A6B" w:rsidRDefault="00172A6B" w:rsidP="00172A6B">
      <w:pPr>
        <w:pStyle w:val="CaptionChart"/>
        <w:rPr>
          <w:lang w:eastAsia="en-AU"/>
        </w:rPr>
      </w:pPr>
      <w:bookmarkStart w:id="285" w:name="_Ref68086562"/>
      <w:bookmarkStart w:id="286" w:name="_Toc82590359"/>
      <w:r>
        <w:rPr>
          <w:lang w:eastAsia="en-AU"/>
        </w:rPr>
        <w:t>: Adequacy of information provided online relating to country of origin</w:t>
      </w:r>
      <w:bookmarkEnd w:id="285"/>
      <w:bookmarkEnd w:id="286"/>
      <w:r>
        <w:rPr>
          <w:lang w:eastAsia="en-AU"/>
        </w:rPr>
        <w:t xml:space="preserve"> </w:t>
      </w:r>
    </w:p>
    <w:p w14:paraId="4A620685" w14:textId="15EFD473" w:rsidR="006C74D1" w:rsidRDefault="006C74D1" w:rsidP="00172A6B">
      <w:pPr>
        <w:pStyle w:val="Source"/>
      </w:pPr>
      <w:r w:rsidRPr="006C74D1">
        <w:rPr>
          <w:noProof/>
          <w:lang w:eastAsia="en-AU"/>
        </w:rPr>
        <w:drawing>
          <wp:inline distT="0" distB="0" distL="0" distR="0" wp14:anchorId="07AA2DFD" wp14:editId="1961D8AB">
            <wp:extent cx="5325745" cy="3094355"/>
            <wp:effectExtent l="0" t="0" r="8255" b="0"/>
            <wp:docPr id="58" name="Picture 58" descr="This chart captured two categories: whether the information online is adequate and whether further information should be provided. Approximately 40% of respondents 'agree' that the information online is adequate, and approximately 25% strongly agree it is adequate. Approximately 41% agree further information should be provided and almost 30% strongly agree more information should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chart captured two categories: whether the information online is adequate and whether further information should be provided. Approximately 40% of respondents 'agree' that the information online is adequate, and approximately 25% strongly agree it is adequate. Approximately 41% agree further information should be provided and almost 30% strongly agree more information should be provid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25745" cy="3094355"/>
                    </a:xfrm>
                    <a:prstGeom prst="rect">
                      <a:avLst/>
                    </a:prstGeom>
                    <a:noFill/>
                    <a:ln>
                      <a:noFill/>
                    </a:ln>
                  </pic:spPr>
                </pic:pic>
              </a:graphicData>
            </a:graphic>
          </wp:inline>
        </w:drawing>
      </w:r>
    </w:p>
    <w:p w14:paraId="6DF81962" w14:textId="41ED5EFE" w:rsidR="00172A6B" w:rsidRPr="00E57F5C" w:rsidRDefault="00172A6B" w:rsidP="00172A6B">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7C20ECA9" w14:textId="3E465EAA" w:rsidR="00172A6B" w:rsidRPr="00633696" w:rsidRDefault="00172A6B" w:rsidP="00172A6B">
      <w:pPr>
        <w:spacing w:after="120" w:line="276" w:lineRule="auto"/>
        <w:rPr>
          <w:rFonts w:eastAsia="Times New Roman" w:cs="Arial"/>
          <w:color w:val="000000" w:themeColor="text1"/>
          <w:kern w:val="24"/>
          <w:lang w:eastAsia="en-AU"/>
        </w:rPr>
      </w:pPr>
      <w:r w:rsidRPr="00633696">
        <w:rPr>
          <w:rFonts w:eastAsia="Times New Roman" w:cs="Arial"/>
          <w:color w:val="000000" w:themeColor="text1"/>
          <w:kern w:val="24"/>
          <w:lang w:eastAsia="en-AU"/>
        </w:rPr>
        <w:t>The consumer survey results suggest that country of origin information is an important determinant of online consumer behaviour to some consumers, with 29</w:t>
      </w:r>
      <w:r w:rsidR="007B2C81">
        <w:rPr>
          <w:rFonts w:eastAsia="Times New Roman" w:cs="Arial"/>
          <w:color w:val="000000" w:themeColor="text1"/>
          <w:kern w:val="24"/>
          <w:lang w:eastAsia="en-AU"/>
        </w:rPr>
        <w:t>%</w:t>
      </w:r>
      <w:r w:rsidRPr="00633696">
        <w:rPr>
          <w:rFonts w:eastAsia="Times New Roman" w:cs="Arial"/>
          <w:color w:val="000000" w:themeColor="text1"/>
          <w:kern w:val="24"/>
          <w:lang w:eastAsia="en-AU"/>
        </w:rPr>
        <w:t xml:space="preserve"> of participants stating that they would be more likely to purchase food and beverages online if additional country of origin information was available. </w:t>
      </w:r>
      <w:r>
        <w:rPr>
          <w:rFonts w:eastAsia="Times New Roman" w:cs="Arial"/>
          <w:color w:val="000000" w:themeColor="text1"/>
          <w:kern w:val="24"/>
          <w:lang w:eastAsia="en-AU"/>
        </w:rPr>
        <w:t xml:space="preserve">This could mean that the share of consumers purchasing food and </w:t>
      </w:r>
      <w:r>
        <w:rPr>
          <w:rFonts w:eastAsia="Times New Roman" w:cs="Arial"/>
          <w:color w:val="000000" w:themeColor="text1"/>
          <w:kern w:val="24"/>
          <w:lang w:eastAsia="en-AU"/>
        </w:rPr>
        <w:lastRenderedPageBreak/>
        <w:t xml:space="preserve">beverages online may increase with </w:t>
      </w:r>
      <w:r>
        <w:rPr>
          <w:rFonts w:eastAsia="Calibri" w:cs="Times New Roman"/>
        </w:rPr>
        <w:t>CoOL</w:t>
      </w:r>
      <w:r w:rsidRPr="00CC297D">
        <w:rPr>
          <w:rFonts w:eastAsia="Calibri" w:cs="Times New Roman"/>
        </w:rPr>
        <w:t xml:space="preserve"> </w:t>
      </w:r>
      <w:r>
        <w:rPr>
          <w:rFonts w:eastAsia="Times New Roman" w:cs="Arial"/>
          <w:color w:val="000000" w:themeColor="text1"/>
          <w:kern w:val="24"/>
          <w:lang w:eastAsia="en-AU"/>
        </w:rPr>
        <w:t>information, noting that approximately 27</w:t>
      </w:r>
      <w:r w:rsidR="007B2C81">
        <w:rPr>
          <w:rFonts w:eastAsia="Times New Roman" w:cs="Arial"/>
          <w:color w:val="000000" w:themeColor="text1"/>
          <w:kern w:val="24"/>
          <w:lang w:eastAsia="en-AU"/>
        </w:rPr>
        <w:t>%</w:t>
      </w:r>
      <w:r>
        <w:rPr>
          <w:rFonts w:eastAsia="Times New Roman" w:cs="Arial"/>
          <w:color w:val="000000" w:themeColor="text1"/>
          <w:kern w:val="24"/>
          <w:lang w:eastAsia="en-AU"/>
        </w:rPr>
        <w:t xml:space="preserve"> stated they planned to buy online in future. </w:t>
      </w:r>
    </w:p>
    <w:p w14:paraId="6DD821A8" w14:textId="152632C9" w:rsidR="003C6BF0" w:rsidRDefault="00172A6B" w:rsidP="00172A6B">
      <w:pPr>
        <w:spacing w:after="120" w:line="276" w:lineRule="auto"/>
      </w:pPr>
      <w:r w:rsidRPr="00633696">
        <w:rPr>
          <w:rFonts w:eastAsia="Times New Roman" w:cs="Arial"/>
          <w:color w:val="000000" w:themeColor="text1"/>
          <w:kern w:val="24"/>
          <w:lang w:eastAsia="en-AU"/>
        </w:rPr>
        <w:t xml:space="preserve">The majority of survey participants </w:t>
      </w:r>
      <w:r>
        <w:rPr>
          <w:rFonts w:eastAsia="Times New Roman" w:cs="Arial"/>
          <w:color w:val="000000" w:themeColor="text1"/>
          <w:kern w:val="24"/>
          <w:lang w:eastAsia="en-AU"/>
        </w:rPr>
        <w:t>(77</w:t>
      </w:r>
      <w:r w:rsidR="007B2C81">
        <w:rPr>
          <w:rFonts w:eastAsia="Times New Roman" w:cs="Arial"/>
          <w:color w:val="000000" w:themeColor="text1"/>
          <w:kern w:val="24"/>
          <w:lang w:eastAsia="en-AU"/>
        </w:rPr>
        <w:t>%</w:t>
      </w:r>
      <w:r>
        <w:rPr>
          <w:rFonts w:eastAsia="Times New Roman" w:cs="Arial"/>
          <w:color w:val="000000" w:themeColor="text1"/>
          <w:kern w:val="24"/>
          <w:lang w:eastAsia="en-AU"/>
        </w:rPr>
        <w:t xml:space="preserve">) </w:t>
      </w:r>
      <w:r w:rsidRPr="00633696">
        <w:rPr>
          <w:rFonts w:eastAsia="Times New Roman" w:cs="Arial"/>
          <w:color w:val="000000" w:themeColor="text1"/>
          <w:kern w:val="24"/>
          <w:lang w:eastAsia="en-AU"/>
        </w:rPr>
        <w:t>believe that online food and beverage products should provide the same level of country of origin information as food and beverages purchased in-store.</w:t>
      </w:r>
      <w:r>
        <w:rPr>
          <w:rFonts w:eastAsia="Times New Roman" w:cs="Arial"/>
          <w:color w:val="000000" w:themeColor="text1"/>
          <w:kern w:val="24"/>
          <w:lang w:eastAsia="en-AU"/>
        </w:rPr>
        <w:t xml:space="preserve"> </w:t>
      </w:r>
      <w:r w:rsidR="003C6BF0">
        <w:rPr>
          <w:rFonts w:eastAsia="Times New Roman" w:cs="Arial"/>
          <w:color w:val="000000" w:themeColor="text1"/>
          <w:kern w:val="24"/>
          <w:lang w:eastAsia="en-AU"/>
        </w:rPr>
        <w:t>Others wanted more information to be provided online (20</w:t>
      </w:r>
      <w:r w:rsidR="007B2C81">
        <w:rPr>
          <w:rFonts w:eastAsia="Times New Roman" w:cs="Arial"/>
          <w:color w:val="000000" w:themeColor="text1"/>
          <w:kern w:val="24"/>
          <w:lang w:eastAsia="en-AU"/>
        </w:rPr>
        <w:t>%</w:t>
      </w:r>
      <w:r w:rsidR="003C6BF0">
        <w:rPr>
          <w:rFonts w:eastAsia="Times New Roman" w:cs="Arial"/>
          <w:color w:val="000000" w:themeColor="text1"/>
          <w:kern w:val="24"/>
          <w:lang w:eastAsia="en-AU"/>
        </w:rPr>
        <w:t xml:space="preserve"> of survey respondents), while few supported less information or the status quo.</w:t>
      </w:r>
    </w:p>
    <w:p w14:paraId="5BB4EE3D" w14:textId="127982A3" w:rsidR="00F126B2" w:rsidRDefault="008F63B5" w:rsidP="00F126B2">
      <w:pPr>
        <w:pStyle w:val="Heading3"/>
        <w:rPr>
          <w:lang w:eastAsia="en-AU"/>
        </w:rPr>
      </w:pPr>
      <w:r>
        <w:rPr>
          <w:lang w:eastAsia="en-AU"/>
        </w:rPr>
        <w:t>Provision of origin information online</w:t>
      </w:r>
    </w:p>
    <w:p w14:paraId="72907237" w14:textId="5C9A7F06" w:rsidR="00172A6B" w:rsidRDefault="00172A6B" w:rsidP="00172A6B">
      <w:r>
        <w:t>Respondents to the business survey indicate that only 17</w:t>
      </w:r>
      <w:r w:rsidR="007B2C81">
        <w:t>%</w:t>
      </w:r>
      <w:r>
        <w:t xml:space="preserve"> of businesses sell food or beverage products online. Of these businesses, 92</w:t>
      </w:r>
      <w:r w:rsidR="007B2C81">
        <w:t>%</w:t>
      </w:r>
      <w:r>
        <w:t xml:space="preserve"> provide country of origin information for some or all of their products (see </w:t>
      </w:r>
      <w:r w:rsidR="003C6BF0">
        <w:fldChar w:fldCharType="begin"/>
      </w:r>
      <w:r w:rsidR="003C6BF0">
        <w:instrText xml:space="preserve"> REF _Ref68086810 \r \h </w:instrText>
      </w:r>
      <w:r w:rsidR="003C6BF0">
        <w:fldChar w:fldCharType="separate"/>
      </w:r>
      <w:r w:rsidR="0017363C">
        <w:t>Chart 4.20</w:t>
      </w:r>
      <w:r w:rsidR="003C6BF0">
        <w:fldChar w:fldCharType="end"/>
      </w:r>
      <w:r>
        <w:t>). Around 55</w:t>
      </w:r>
      <w:r w:rsidR="007B2C81">
        <w:t>%</w:t>
      </w:r>
      <w:r>
        <w:t xml:space="preserve"> of businesses believe that CoOL requirements should be extended online, while 25</w:t>
      </w:r>
      <w:r w:rsidR="007B2C81">
        <w:t>%</w:t>
      </w:r>
      <w:r>
        <w:t xml:space="preserve"> of businesses were “unsure” and 20</w:t>
      </w:r>
      <w:r w:rsidR="007B2C81">
        <w:t>%</w:t>
      </w:r>
      <w:r>
        <w:t xml:space="preserve"> did not think the CoOL requirements should be extended online (see </w:t>
      </w:r>
      <w:r w:rsidR="003C6BF0">
        <w:fldChar w:fldCharType="begin"/>
      </w:r>
      <w:r w:rsidR="003C6BF0">
        <w:instrText xml:space="preserve"> REF _Ref68086830 \r \h </w:instrText>
      </w:r>
      <w:r w:rsidR="003C6BF0">
        <w:fldChar w:fldCharType="separate"/>
      </w:r>
      <w:r w:rsidR="0017363C">
        <w:t>Chart 4.21</w:t>
      </w:r>
      <w:r w:rsidR="003C6BF0">
        <w:fldChar w:fldCharType="end"/>
      </w:r>
      <w:r>
        <w:t>).</w:t>
      </w:r>
    </w:p>
    <w:p w14:paraId="2A7A9CA5" w14:textId="77777777" w:rsidR="00172A6B" w:rsidRDefault="00172A6B" w:rsidP="00172A6B">
      <w:pPr>
        <w:pStyle w:val="CaptionChart"/>
      </w:pPr>
      <w:bookmarkStart w:id="287" w:name="_Ref68086810"/>
      <w:bookmarkStart w:id="288" w:name="_Toc82590360"/>
      <w:r>
        <w:t>: Proportion of businesses that provide CoOL information for food or beverage products sold online</w:t>
      </w:r>
      <w:bookmarkEnd w:id="287"/>
      <w:bookmarkEnd w:id="288"/>
    </w:p>
    <w:p w14:paraId="4D32AF18" w14:textId="4E7A4AAB" w:rsidR="007F60F1" w:rsidRDefault="00FC13D3" w:rsidP="00172A6B">
      <w:pPr>
        <w:pStyle w:val="Source"/>
      </w:pPr>
      <w:r w:rsidRPr="00FC13D3">
        <w:rPr>
          <w:noProof/>
          <w:lang w:eastAsia="en-AU"/>
        </w:rPr>
        <w:drawing>
          <wp:inline distT="0" distB="0" distL="0" distR="0" wp14:anchorId="51DABEB7" wp14:editId="77E71A0A">
            <wp:extent cx="5025542" cy="2475479"/>
            <wp:effectExtent l="0" t="0" r="3810" b="1270"/>
            <wp:docPr id="60" name="Picture 60" descr="Findings are: Yes, for all products sold online (59%), yes, for some products sold online (32%) and n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ndings are: Yes, for all products sold online (59%), yes, for some products sold online (32%) and no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2059" cy="2478689"/>
                    </a:xfrm>
                    <a:prstGeom prst="rect">
                      <a:avLst/>
                    </a:prstGeom>
                    <a:noFill/>
                    <a:ln>
                      <a:noFill/>
                    </a:ln>
                  </pic:spPr>
                </pic:pic>
              </a:graphicData>
            </a:graphic>
          </wp:inline>
        </w:drawing>
      </w:r>
    </w:p>
    <w:p w14:paraId="3CD838BD" w14:textId="4302603C" w:rsidR="00172A6B" w:rsidRDefault="00172A6B" w:rsidP="00172A6B">
      <w:pPr>
        <w:pStyle w:val="Source"/>
      </w:pPr>
      <w:r>
        <w:t xml:space="preserve"> </w:t>
      </w:r>
      <w:r w:rsidRPr="00842E04">
        <w:t xml:space="preserve">Source: Deloitte Access Economics’ national </w:t>
      </w:r>
      <w:r>
        <w:t>business</w:t>
      </w:r>
      <w:r w:rsidRPr="00842E04">
        <w:t xml:space="preserve"> survey</w:t>
      </w:r>
      <w:r>
        <w:t xml:space="preserve"> (2020)</w:t>
      </w:r>
      <w:r w:rsidRPr="00842E04">
        <w:t>.</w:t>
      </w:r>
      <w:r>
        <w:t xml:space="preserve">  </w:t>
      </w:r>
    </w:p>
    <w:p w14:paraId="4E05797C" w14:textId="77777777" w:rsidR="00172A6B" w:rsidRDefault="00172A6B" w:rsidP="00172A6B">
      <w:pPr>
        <w:pStyle w:val="CaptionChart"/>
      </w:pPr>
      <w:bookmarkStart w:id="289" w:name="_Ref68086830"/>
      <w:bookmarkStart w:id="290" w:name="_Toc82590361"/>
      <w:r>
        <w:t>: Business support for extending CoOL requirements to products sold online</w:t>
      </w:r>
      <w:bookmarkEnd w:id="289"/>
      <w:bookmarkEnd w:id="290"/>
    </w:p>
    <w:p w14:paraId="5B2965EB" w14:textId="5CA43C4F" w:rsidR="00656DF8" w:rsidRDefault="00656DF8" w:rsidP="00172A6B">
      <w:pPr>
        <w:pStyle w:val="Source"/>
      </w:pPr>
      <w:r w:rsidRPr="00656DF8">
        <w:rPr>
          <w:noProof/>
          <w:lang w:eastAsia="en-AU"/>
        </w:rPr>
        <w:drawing>
          <wp:inline distT="0" distB="0" distL="0" distR="0" wp14:anchorId="170E5DFC" wp14:editId="3BB55BE3">
            <wp:extent cx="5076749" cy="2759026"/>
            <wp:effectExtent l="0" t="0" r="0" b="3810"/>
            <wp:docPr id="61" name="Picture 61" descr="Findings are:  proportion of businesses that say yes (55%), proportion of businesses that say no (20%), proportion of businesses that are uns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ndings are:  proportion of businesses that say yes (55%), proportion of businesses that say no (20%), proportion of businesses that are uns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6459" cy="2764303"/>
                    </a:xfrm>
                    <a:prstGeom prst="rect">
                      <a:avLst/>
                    </a:prstGeom>
                    <a:noFill/>
                    <a:ln>
                      <a:noFill/>
                    </a:ln>
                  </pic:spPr>
                </pic:pic>
              </a:graphicData>
            </a:graphic>
          </wp:inline>
        </w:drawing>
      </w:r>
    </w:p>
    <w:p w14:paraId="340D4773" w14:textId="18038C48" w:rsidR="00172A6B" w:rsidRDefault="00172A6B" w:rsidP="00172A6B">
      <w:pPr>
        <w:pStyle w:val="Source"/>
      </w:pPr>
      <w:r w:rsidRPr="00842E04">
        <w:t xml:space="preserve">Source: Deloitte Access Economics’ national </w:t>
      </w:r>
      <w:r>
        <w:t>business</w:t>
      </w:r>
      <w:r w:rsidRPr="00842E04">
        <w:t xml:space="preserve"> survey</w:t>
      </w:r>
      <w:r>
        <w:t xml:space="preserve"> (2020)</w:t>
      </w:r>
      <w:r w:rsidRPr="00842E04">
        <w:t>.</w:t>
      </w:r>
    </w:p>
    <w:p w14:paraId="7C7AC44A" w14:textId="77777777" w:rsidR="00172A6B" w:rsidRDefault="00172A6B" w:rsidP="00172A6B">
      <w:r>
        <w:lastRenderedPageBreak/>
        <w:t xml:space="preserve">The submissions presented various suggestions of the level of information that could be provided, and the need to regulate. </w:t>
      </w:r>
    </w:p>
    <w:p w14:paraId="56A5AB49" w14:textId="4C508455" w:rsidR="00322BDF" w:rsidRPr="00343140" w:rsidRDefault="00322BDF" w:rsidP="00322BDF">
      <w:pPr>
        <w:spacing w:after="120" w:line="276" w:lineRule="auto"/>
      </w:pPr>
      <w:r>
        <w:t xml:space="preserve">Consultation with industry stakeholders suggested, </w:t>
      </w:r>
      <w:r w:rsidRPr="00E53797">
        <w:t>on balance, there was agreement</w:t>
      </w:r>
      <w:r>
        <w:t xml:space="preserve"> that an Australian retailer with an online presence should disclose CoOL requirements for online sales.</w:t>
      </w:r>
      <w:r w:rsidR="00153DD5">
        <w:rPr>
          <w:rStyle w:val="FootnoteReference"/>
        </w:rPr>
        <w:footnoteReference w:id="82"/>
      </w:r>
      <w:r w:rsidRPr="00DB04F8">
        <w:t xml:space="preserve"> </w:t>
      </w:r>
      <w:r w:rsidR="002B270E">
        <w:t xml:space="preserve">Consumer groups </w:t>
      </w:r>
      <w:r w:rsidR="00B068DB">
        <w:t xml:space="preserve">advocated for the information provided online to be as informative as that provided on physical labels, </w:t>
      </w:r>
      <w:r w:rsidR="00892C81">
        <w:t>or at the least a</w:t>
      </w:r>
      <w:r w:rsidR="00B068DB">
        <w:t xml:space="preserve"> text stating the country of origin at the minimum with more information provided if possible</w:t>
      </w:r>
      <w:r w:rsidR="00343140">
        <w:t xml:space="preserve"> (as recommended by CHOICE)</w:t>
      </w:r>
      <w:r w:rsidR="00B068DB">
        <w:t>.</w:t>
      </w:r>
      <w:r w:rsidR="00343140">
        <w:t xml:space="preserve"> </w:t>
      </w:r>
      <w:r>
        <w:t xml:space="preserve">In addition, a submission made by the regulator stated their preference for the information provided online to be in the same format as that on physical labels. </w:t>
      </w:r>
    </w:p>
    <w:p w14:paraId="0CC94FF5" w14:textId="54DAD1F6" w:rsidR="00172A6B" w:rsidRDefault="00DE08FB" w:rsidP="00172A6B">
      <w:r>
        <w:t xml:space="preserve">Despite agreement on the </w:t>
      </w:r>
      <w:r w:rsidR="006C446F">
        <w:t>need for origin</w:t>
      </w:r>
      <w:r>
        <w:t xml:space="preserve"> information</w:t>
      </w:r>
      <w:r w:rsidR="006C446F">
        <w:t xml:space="preserve"> for online purchases</w:t>
      </w:r>
      <w:r>
        <w:t>, stakeholder</w:t>
      </w:r>
      <w:r w:rsidR="00D10AF2">
        <w:t>s were less certain of the</w:t>
      </w:r>
      <w:r>
        <w:t xml:space="preserve"> need to regulate. </w:t>
      </w:r>
      <w:r w:rsidR="00172A6B" w:rsidRPr="00091EE8">
        <w:t xml:space="preserve">The beverage industry questioned the need </w:t>
      </w:r>
      <w:r w:rsidR="00172A6B">
        <w:t xml:space="preserve">for CoOL information for online products </w:t>
      </w:r>
      <w:r w:rsidR="00172A6B" w:rsidRPr="00091EE8">
        <w:t>given that retailer interface with consumers was improving rapidly, such as through high resolution images.</w:t>
      </w:r>
      <w:r w:rsidR="00172A6B" w:rsidRPr="000316CF">
        <w:t xml:space="preserve"> Large retailers </w:t>
      </w:r>
      <w:r w:rsidR="00172A6B">
        <w:t xml:space="preserve">and other submitters </w:t>
      </w:r>
      <w:r w:rsidR="00172A6B" w:rsidRPr="000316CF">
        <w:t xml:space="preserve">noted that </w:t>
      </w:r>
      <w:r w:rsidR="00172A6B">
        <w:t>major supermarket chains</w:t>
      </w:r>
      <w:r w:rsidR="00172A6B" w:rsidRPr="000316CF">
        <w:t xml:space="preserve"> now provide detailed country of origin information online. </w:t>
      </w:r>
      <w:r w:rsidR="00172A6B">
        <w:t xml:space="preserve">This was to ensure consumer expectations were being met and was possible because the CoOL information was already in their </w:t>
      </w:r>
      <w:r w:rsidR="000769D5">
        <w:t>Information Technology (</w:t>
      </w:r>
      <w:r w:rsidR="00172A6B">
        <w:t>IT</w:t>
      </w:r>
      <w:r w:rsidR="000769D5">
        <w:t xml:space="preserve">) </w:t>
      </w:r>
      <w:r w:rsidR="00172A6B" w:rsidRPr="000316CF">
        <w:t>systems</w:t>
      </w:r>
      <w:r w:rsidR="00172A6B">
        <w:t xml:space="preserve">. </w:t>
      </w:r>
      <w:r w:rsidR="00172A6B" w:rsidRPr="000316CF">
        <w:t xml:space="preserve"> </w:t>
      </w:r>
    </w:p>
    <w:p w14:paraId="220D3443" w14:textId="77777777" w:rsidR="00172A6B" w:rsidRDefault="00172A6B" w:rsidP="00172A6B">
      <w:r>
        <w:t>The AFGC argued that even though Coles and Woolworths were already placing information online</w:t>
      </w:r>
      <w:r w:rsidR="0061685E">
        <w:rPr>
          <w:rStyle w:val="FootnoteReference"/>
        </w:rPr>
        <w:footnoteReference w:id="83"/>
      </w:r>
      <w:r>
        <w:t>, the introduction of mandatory provision of information online would create the opportunity for manufacturers to be mis-represented if information was not accurately reported by the retailer. This could create additional layers of reporting requirements between retailers and manufacturers and therefore would add cost, potentially without large benefit.</w:t>
      </w:r>
      <w:r w:rsidRPr="009D7EDF">
        <w:t xml:space="preserve"> </w:t>
      </w:r>
    </w:p>
    <w:p w14:paraId="1A474036" w14:textId="7A458397" w:rsidR="00172A6B" w:rsidRDefault="00172A6B" w:rsidP="00172A6B">
      <w:r>
        <w:t xml:space="preserve">The </w:t>
      </w:r>
      <w:r>
        <w:rPr>
          <w:rFonts w:eastAsia="Verdana" w:cs="Verdana"/>
        </w:rPr>
        <w:t>AMIC</w:t>
      </w:r>
      <w:r>
        <w:t xml:space="preserve"> stated for online sales that customers should be able to enquire with the company directly to gather country of origin information.</w:t>
      </w:r>
    </w:p>
    <w:p w14:paraId="07C87D2A" w14:textId="3C09C224" w:rsidR="00172A6B" w:rsidRDefault="00172A6B" w:rsidP="00CD300A">
      <w:r>
        <w:t>As o</w:t>
      </w:r>
      <w:r w:rsidRPr="00144323">
        <w:t>nline displays of information are also easier to update than physical labels</w:t>
      </w:r>
      <w:r>
        <w:t>,</w:t>
      </w:r>
      <w:r w:rsidRPr="00144323">
        <w:t xml:space="preserve"> some stakeholders </w:t>
      </w:r>
      <w:r>
        <w:t xml:space="preserve">indicated that online provision of information could be </w:t>
      </w:r>
      <w:r w:rsidRPr="00144323">
        <w:t xml:space="preserve">a </w:t>
      </w:r>
      <w:r>
        <w:t>way of meeting labelling requirements in the event of unforeseen supply changes</w:t>
      </w:r>
      <w:r w:rsidRPr="00144323">
        <w:t xml:space="preserve">. </w:t>
      </w:r>
    </w:p>
    <w:p w14:paraId="31767153" w14:textId="39878C62" w:rsidR="00172A6B" w:rsidRDefault="00343140" w:rsidP="00172A6B">
      <w:pPr>
        <w:pStyle w:val="Heading3"/>
      </w:pPr>
      <w:bookmarkStart w:id="291" w:name="_Toc67499104"/>
      <w:r>
        <w:t>CoOL extension to o</w:t>
      </w:r>
      <w:r w:rsidR="00172A6B">
        <w:t xml:space="preserve">nline shopping platforms </w:t>
      </w:r>
      <w:bookmarkEnd w:id="291"/>
      <w:r>
        <w:t>unlikely to deliver a net benefit</w:t>
      </w:r>
    </w:p>
    <w:p w14:paraId="27E6586B" w14:textId="0296036C" w:rsidR="00172A6B" w:rsidRDefault="00172A6B">
      <w:r>
        <w:t>This option of the CBA analysis proposes to extend CoOL information to online shopping platforms for those retailers who already have to comply with CoOL regulations.</w:t>
      </w:r>
      <w:r w:rsidR="00CB1B6C">
        <w:rPr>
          <w:rStyle w:val="FootnoteReference"/>
        </w:rPr>
        <w:footnoteReference w:id="84"/>
      </w:r>
      <w:r>
        <w:t xml:space="preserve"> The total cost of this CBA option is </w:t>
      </w:r>
      <w:r w:rsidRPr="008819D6">
        <w:t xml:space="preserve">estimated </w:t>
      </w:r>
      <w:r w:rsidR="00AD0332">
        <w:t>to be significant</w:t>
      </w:r>
      <w:r w:rsidR="00343140">
        <w:t>,</w:t>
      </w:r>
      <w:r w:rsidR="00AD0332">
        <w:t xml:space="preserve"> </w:t>
      </w:r>
      <w:r w:rsidR="00C1562C">
        <w:t>given</w:t>
      </w:r>
      <w:r w:rsidRPr="008819D6">
        <w:t xml:space="preserve"> the </w:t>
      </w:r>
      <w:r w:rsidR="00C1562C">
        <w:t xml:space="preserve">extensive number of small businesses, </w:t>
      </w:r>
      <w:r w:rsidR="00AD0332">
        <w:t xml:space="preserve">while the </w:t>
      </w:r>
      <w:r w:rsidRPr="008819D6">
        <w:t xml:space="preserve">benefits </w:t>
      </w:r>
      <w:r w:rsidR="00AD0332">
        <w:t>relatively small.</w:t>
      </w:r>
      <w:r w:rsidRPr="008819D6">
        <w:t xml:space="preserve"> Overall, the option results in </w:t>
      </w:r>
      <w:r w:rsidR="000D3427">
        <w:t>considerably</w:t>
      </w:r>
      <w:r>
        <w:t xml:space="preserve"> less in net benefits to the Australian community, relative to the current CoOL scheme. </w:t>
      </w:r>
    </w:p>
    <w:p w14:paraId="4ADABD7D" w14:textId="77777777" w:rsidR="00172A6B" w:rsidRPr="00521AF1" w:rsidRDefault="00172A6B" w:rsidP="00172A6B">
      <w:pPr>
        <w:pStyle w:val="Heading3"/>
      </w:pPr>
      <w:bookmarkStart w:id="292" w:name="_Toc67499105"/>
      <w:r w:rsidRPr="00521AF1">
        <w:t>Key findings</w:t>
      </w:r>
      <w:r>
        <w:t>: CoOL requirements for online sales</w:t>
      </w:r>
      <w:bookmarkEnd w:id="292"/>
    </w:p>
    <w:tbl>
      <w:tblPr>
        <w:tblStyle w:val="Deloittetable"/>
        <w:tblW w:w="0" w:type="auto"/>
        <w:tblLook w:val="04A0" w:firstRow="1" w:lastRow="0" w:firstColumn="1" w:lastColumn="0" w:noHBand="0" w:noVBand="1"/>
        <w:tblDescription w:val="This table outlines the three key findings related to CoOL requirements for online sales. These are that 1) There is now significant information about food being provided online, about country of origin and other aspects of food. The two major retailers now provide country of origin information online for many products. This represents a significant proportion of all food sold online in Australia. Consequently, the scheme has increased the information provided online, despite it not being mandated by regulation.&#10;2) If regulations were to require the provision of this information for all food sold online, this would impose a disproportionately high cost on smaller sellers because large retailers have economies of scale and generally have already made the change.&#10;3) Any expansion of the regulation to more online sales would need to provide a clear net benefit to consumers, taking account of the cost this would impose on business.&#10;"/>
      </w:tblPr>
      <w:tblGrid>
        <w:gridCol w:w="1134"/>
        <w:gridCol w:w="7892"/>
      </w:tblGrid>
      <w:tr w:rsidR="005A243D" w14:paraId="0D118214"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44A43C3A" w14:textId="77777777" w:rsidR="005A243D" w:rsidRPr="00AB2F4F" w:rsidRDefault="005A243D" w:rsidP="00AB1DCE">
            <w:pPr>
              <w:rPr>
                <w:b/>
                <w:bCs/>
              </w:rPr>
            </w:pPr>
            <w:r>
              <w:rPr>
                <w:b/>
                <w:bCs/>
              </w:rPr>
              <w:t>Ref</w:t>
            </w:r>
          </w:p>
        </w:tc>
        <w:tc>
          <w:tcPr>
            <w:tcW w:w="7892" w:type="dxa"/>
            <w:tcBorders>
              <w:top w:val="single" w:sz="24" w:space="0" w:color="012169" w:themeColor="accent4"/>
            </w:tcBorders>
          </w:tcPr>
          <w:p w14:paraId="6BA75269" w14:textId="0A9A7C56" w:rsidR="005A243D" w:rsidRPr="00AB2F4F" w:rsidRDefault="00615DA5" w:rsidP="00AB1DCE">
            <w:pPr>
              <w:rPr>
                <w:b/>
                <w:bCs/>
              </w:rPr>
            </w:pPr>
            <w:r w:rsidRPr="00615DA5">
              <w:rPr>
                <w:b/>
                <w:bCs/>
              </w:rPr>
              <w:t>Do the CoOL requirements for online sales provide consumers with adequate origin information about products prior to making their purchase?</w:t>
            </w:r>
          </w:p>
        </w:tc>
      </w:tr>
      <w:tr w:rsidR="009F5DD7" w14:paraId="50645BB6" w14:textId="77777777" w:rsidTr="00BA49D3">
        <w:tc>
          <w:tcPr>
            <w:tcW w:w="1134" w:type="dxa"/>
          </w:tcPr>
          <w:p w14:paraId="73B7FD86" w14:textId="77777777" w:rsidR="009F5DD7" w:rsidRDefault="009F5DD7" w:rsidP="009F5DD7">
            <w:r>
              <w:t>31</w:t>
            </w:r>
          </w:p>
        </w:tc>
        <w:tc>
          <w:tcPr>
            <w:tcW w:w="7892" w:type="dxa"/>
          </w:tcPr>
          <w:p w14:paraId="7485E9B9" w14:textId="72B58F4E" w:rsidR="009F5DD7" w:rsidRDefault="009F5DD7" w:rsidP="009F5DD7">
            <w:pPr>
              <w:pStyle w:val="ListBullet"/>
              <w:numPr>
                <w:ilvl w:val="0"/>
                <w:numId w:val="0"/>
              </w:numPr>
              <w:spacing w:after="170"/>
            </w:pPr>
            <w:r w:rsidRPr="00F977D1">
              <w:t xml:space="preserve">There is now significant information about food being provided online, about country of origin and other aspects of food. The </w:t>
            </w:r>
            <w:r w:rsidR="00F517C2">
              <w:t xml:space="preserve">two </w:t>
            </w:r>
            <w:r>
              <w:t>major</w:t>
            </w:r>
            <w:r w:rsidRPr="00F977D1">
              <w:t xml:space="preserve"> retailers now provide country of origin information online for </w:t>
            </w:r>
            <w:r>
              <w:t>many</w:t>
            </w:r>
            <w:r w:rsidRPr="00F977D1">
              <w:t xml:space="preserve"> product</w:t>
            </w:r>
            <w:r>
              <w:t>s</w:t>
            </w:r>
            <w:r w:rsidRPr="00F977D1">
              <w:t>. This represents a significant proportion of all food sold online</w:t>
            </w:r>
            <w:r>
              <w:t xml:space="preserve"> in Australia</w:t>
            </w:r>
            <w:r w:rsidRPr="00F977D1">
              <w:t xml:space="preserve">. Consequently, the </w:t>
            </w:r>
            <w:r w:rsidR="00E670FE">
              <w:t>scheme</w:t>
            </w:r>
            <w:r w:rsidRPr="00F977D1">
              <w:t xml:space="preserve"> has increased the information provided online, despite it not being mandated by regulation</w:t>
            </w:r>
            <w:r>
              <w:t>.</w:t>
            </w:r>
          </w:p>
        </w:tc>
      </w:tr>
      <w:tr w:rsidR="009F5DD7" w14:paraId="05FB3E3F" w14:textId="77777777" w:rsidTr="00BA49D3">
        <w:tc>
          <w:tcPr>
            <w:tcW w:w="1134" w:type="dxa"/>
          </w:tcPr>
          <w:p w14:paraId="351F388C" w14:textId="77777777" w:rsidR="009F5DD7" w:rsidRDefault="009F5DD7" w:rsidP="009F5DD7">
            <w:r>
              <w:lastRenderedPageBreak/>
              <w:t>32</w:t>
            </w:r>
          </w:p>
        </w:tc>
        <w:tc>
          <w:tcPr>
            <w:tcW w:w="7892" w:type="dxa"/>
          </w:tcPr>
          <w:p w14:paraId="09C92E20" w14:textId="77777777" w:rsidR="009F5DD7" w:rsidRPr="00082B8E" w:rsidRDefault="009F5DD7" w:rsidP="009F5DD7">
            <w:r w:rsidRPr="00006B8B">
              <w:t>If regulations were to require the provision of this information for all food sold online, this would impose a disproportionately high cost on smaller sellers because large retailers have economies of s</w:t>
            </w:r>
            <w:r>
              <w:t>c</w:t>
            </w:r>
            <w:r w:rsidRPr="00006B8B">
              <w:t>ale and generally have already made the change.</w:t>
            </w:r>
          </w:p>
        </w:tc>
      </w:tr>
      <w:tr w:rsidR="009F5DD7" w14:paraId="445DCDD8" w14:textId="77777777" w:rsidTr="00BA49D3">
        <w:tc>
          <w:tcPr>
            <w:tcW w:w="1134" w:type="dxa"/>
          </w:tcPr>
          <w:p w14:paraId="128FA858" w14:textId="77777777" w:rsidR="009F5DD7" w:rsidRDefault="009F5DD7" w:rsidP="009F5DD7">
            <w:r>
              <w:t>33</w:t>
            </w:r>
          </w:p>
        </w:tc>
        <w:tc>
          <w:tcPr>
            <w:tcW w:w="7892" w:type="dxa"/>
          </w:tcPr>
          <w:p w14:paraId="2C39E6F3" w14:textId="77777777" w:rsidR="009F5DD7" w:rsidRDefault="009F5DD7" w:rsidP="009F5DD7">
            <w:pPr>
              <w:pStyle w:val="ListBullet"/>
              <w:numPr>
                <w:ilvl w:val="0"/>
                <w:numId w:val="0"/>
              </w:numPr>
              <w:spacing w:after="170"/>
              <w:ind w:left="-6" w:firstLine="6"/>
            </w:pPr>
            <w:r w:rsidRPr="00F977D1">
              <w:t>Any expansion of the regulation to more online sales would need to provide a clear net benefit to consumers, taking account of the cost this would impose on business.</w:t>
            </w:r>
          </w:p>
        </w:tc>
      </w:tr>
    </w:tbl>
    <w:p w14:paraId="5DAEC1F1" w14:textId="77777777" w:rsidR="00172A6B" w:rsidRDefault="005110B4" w:rsidP="00172A6B">
      <w:pPr>
        <w:pStyle w:val="Heading2"/>
      </w:pPr>
      <w:bookmarkStart w:id="293" w:name="_Toc66774383"/>
      <w:bookmarkStart w:id="294" w:name="_Ref71200515"/>
      <w:bookmarkStart w:id="295" w:name="_Toc67499106"/>
      <w:bookmarkStart w:id="296" w:name="_Toc94702060"/>
      <w:bookmarkEnd w:id="293"/>
      <w:r>
        <w:t>Effectiveness of</w:t>
      </w:r>
      <w:r w:rsidR="00172A6B" w:rsidRPr="00C20F51">
        <w:t xml:space="preserve"> communication activities and online resources </w:t>
      </w:r>
      <w:r>
        <w:t>for</w:t>
      </w:r>
      <w:r w:rsidR="00172A6B" w:rsidRPr="00C20F51">
        <w:t xml:space="preserve"> consumer</w:t>
      </w:r>
      <w:r w:rsidR="003C421D">
        <w:t>s</w:t>
      </w:r>
      <w:bookmarkEnd w:id="294"/>
      <w:bookmarkEnd w:id="296"/>
      <w:r w:rsidR="00172A6B" w:rsidRPr="00C20F51">
        <w:t xml:space="preserve"> </w:t>
      </w:r>
      <w:bookmarkEnd w:id="295"/>
    </w:p>
    <w:p w14:paraId="145318AA" w14:textId="566674D0" w:rsidR="00172A6B" w:rsidRDefault="00172A6B" w:rsidP="00172A6B">
      <w:r>
        <w:t xml:space="preserve">Various communication activities were undertaken in 2016 when the changes to the CoOL requirements were introduced. </w:t>
      </w:r>
      <w:r w:rsidRPr="00332716">
        <w:t xml:space="preserve">The Australian Government allocated a budget </w:t>
      </w:r>
      <w:r>
        <w:t xml:space="preserve">of $15.2 million </w:t>
      </w:r>
      <w:r w:rsidRPr="00332716">
        <w:t>to an awareness campaign to accompany CoOL</w:t>
      </w:r>
      <w:r>
        <w:t>, although</w:t>
      </w:r>
      <w:r w:rsidRPr="00332716">
        <w:t xml:space="preserve"> </w:t>
      </w:r>
      <w:r>
        <w:t xml:space="preserve">the final </w:t>
      </w:r>
      <w:r w:rsidRPr="00332716">
        <w:t xml:space="preserve">campaign cost </w:t>
      </w:r>
      <w:r>
        <w:t>of</w:t>
      </w:r>
      <w:r w:rsidRPr="00332716">
        <w:t xml:space="preserve"> $12.3 million</w:t>
      </w:r>
      <w:r>
        <w:t xml:space="preserve"> was below its original budget</w:t>
      </w:r>
      <w:r w:rsidRPr="00332716">
        <w:t xml:space="preserve">. </w:t>
      </w:r>
      <w:r>
        <w:t xml:space="preserve">The communications included TV campaigns, radio campaigns, print campaigns and in-store demonstrations, as well as various online resources on </w:t>
      </w:r>
      <w:r>
        <w:rPr>
          <w:rFonts w:eastAsia="Calibri" w:cs="Times New Roman"/>
        </w:rPr>
        <w:t>CoOL</w:t>
      </w:r>
      <w:r>
        <w:t xml:space="preserve">. </w:t>
      </w:r>
      <w:r w:rsidR="004F7456">
        <w:t>T</w:t>
      </w:r>
      <w:r w:rsidR="002B1DEE">
        <w:t>he evaluation</w:t>
      </w:r>
      <w:r>
        <w:t xml:space="preserve"> considered the effectiveness of those campaigns in raising consumer awareness of the CoOL reforms at the time of the reforms, and with respect to the evidence of consumer awareness of CoOL labels at present. </w:t>
      </w:r>
    </w:p>
    <w:p w14:paraId="52E5EAA1" w14:textId="1000157B" w:rsidR="00172A6B" w:rsidRDefault="00172A6B" w:rsidP="00172A6B">
      <w:pPr>
        <w:pStyle w:val="Heading3"/>
      </w:pPr>
      <w:bookmarkStart w:id="297" w:name="_Toc67499107"/>
      <w:r>
        <w:t xml:space="preserve">Less than one in five consumers recall the communication campaign </w:t>
      </w:r>
      <w:bookmarkEnd w:id="297"/>
    </w:p>
    <w:p w14:paraId="5966F728" w14:textId="4DE17B3C" w:rsidR="00172A6B" w:rsidRPr="006B5EFC" w:rsidRDefault="00172A6B" w:rsidP="00172A6B">
      <w:pPr>
        <w:spacing w:after="120" w:line="276" w:lineRule="auto"/>
      </w:pPr>
      <w:r w:rsidRPr="006B5EFC">
        <w:t>The consumer survey suggest</w:t>
      </w:r>
      <w:r>
        <w:t>s</w:t>
      </w:r>
      <w:r w:rsidRPr="006B5EFC">
        <w:t xml:space="preserve"> that only 17</w:t>
      </w:r>
      <w:r w:rsidR="007B2C81">
        <w:t>%</w:t>
      </w:r>
      <w:r w:rsidRPr="006B5EFC">
        <w:t xml:space="preserve"> of participants recall seeing advertising material relating to CoOL information. Of th</w:t>
      </w:r>
      <w:r w:rsidRPr="006B5EFC" w:rsidDel="00C645A7">
        <w:t>ose</w:t>
      </w:r>
      <w:r w:rsidRPr="006B5EFC">
        <w:t xml:space="preserve"> participants who recall seeing the advertising campaign, this was </w:t>
      </w:r>
      <w:r w:rsidR="00EA1EFA">
        <w:t xml:space="preserve">most commonly </w:t>
      </w:r>
      <w:r w:rsidRPr="006B5EFC">
        <w:t>via television or social media (</w:t>
      </w:r>
      <w:r>
        <w:t>see</w:t>
      </w:r>
      <w:r w:rsidRPr="006B5EFC">
        <w:t xml:space="preserve"> </w:t>
      </w:r>
      <w:r w:rsidR="003C6BF0">
        <w:fldChar w:fldCharType="begin"/>
      </w:r>
      <w:r w:rsidR="003C6BF0">
        <w:instrText xml:space="preserve"> REF _Ref68086873 \r \h </w:instrText>
      </w:r>
      <w:r w:rsidR="003C6BF0">
        <w:fldChar w:fldCharType="separate"/>
      </w:r>
      <w:r w:rsidR="0017363C">
        <w:t>Chart 4.22</w:t>
      </w:r>
      <w:r w:rsidR="003C6BF0">
        <w:fldChar w:fldCharType="end"/>
      </w:r>
      <w:r w:rsidRPr="006B5EFC">
        <w:t xml:space="preserve">). </w:t>
      </w:r>
      <w:r>
        <w:t>T</w:t>
      </w:r>
      <w:r w:rsidRPr="00D5575D">
        <w:t xml:space="preserve">he majority of consumers who did recall seeing the advertising campaign felt that it was useful in raising awareness of the CoOL reforms and improving </w:t>
      </w:r>
      <w:r w:rsidRPr="00D5575D">
        <w:rPr>
          <w:rFonts w:eastAsia="Times New Roman" w:cs="Arial"/>
          <w:kern w:val="24"/>
          <w:lang w:eastAsia="en-AU"/>
        </w:rPr>
        <w:t>their</w:t>
      </w:r>
      <w:r w:rsidRPr="00D5575D">
        <w:t xml:space="preserve"> understanding of country of origin information (</w:t>
      </w:r>
      <w:r>
        <w:t>see</w:t>
      </w:r>
      <w:r w:rsidRPr="00D5575D">
        <w:t xml:space="preserve"> </w:t>
      </w:r>
      <w:r w:rsidR="003C6BF0">
        <w:fldChar w:fldCharType="begin"/>
      </w:r>
      <w:r w:rsidR="003C6BF0">
        <w:instrText xml:space="preserve"> REF _Ref68086884 \r \h </w:instrText>
      </w:r>
      <w:r w:rsidR="003C6BF0">
        <w:fldChar w:fldCharType="separate"/>
      </w:r>
      <w:r w:rsidR="0017363C">
        <w:t>Chart 4.23</w:t>
      </w:r>
      <w:r w:rsidR="003C6BF0">
        <w:fldChar w:fldCharType="end"/>
      </w:r>
      <w:r w:rsidRPr="00D5575D">
        <w:t>).</w:t>
      </w:r>
    </w:p>
    <w:p w14:paraId="3DAC245F" w14:textId="50D6A0F9" w:rsidR="00172A6B" w:rsidRDefault="00172A6B" w:rsidP="00172A6B">
      <w:pPr>
        <w:pStyle w:val="CaptionChart"/>
      </w:pPr>
      <w:bookmarkStart w:id="298" w:name="_Ref68086873"/>
      <w:bookmarkStart w:id="299" w:name="_Toc82590362"/>
      <w:r>
        <w:t>: CoOL communication campaign that consumers recall seeing, by method of communication</w:t>
      </w:r>
      <w:bookmarkEnd w:id="298"/>
      <w:bookmarkEnd w:id="299"/>
    </w:p>
    <w:p w14:paraId="227C84EF" w14:textId="0820B2CF" w:rsidR="00C1706D" w:rsidRDefault="00F80EE7" w:rsidP="00172A6B">
      <w:pPr>
        <w:pStyle w:val="Source"/>
      </w:pPr>
      <w:r w:rsidRPr="00F80EE7">
        <w:rPr>
          <w:noProof/>
          <w:lang w:eastAsia="en-AU"/>
        </w:rPr>
        <w:drawing>
          <wp:inline distT="0" distB="0" distL="0" distR="0" wp14:anchorId="3A514DFF" wp14:editId="109AF743">
            <wp:extent cx="5494020" cy="2860040"/>
            <wp:effectExtent l="0" t="0" r="0" b="0"/>
            <wp:docPr id="63" name="Picture 63" descr="Findings are: TV (64%), social media (42%), in-store (30%), print (24%), radio (22%) and o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ndings are: TV (64%), social media (42%), in-store (30%), print (24%), radio (22%) and other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94020" cy="2860040"/>
                    </a:xfrm>
                    <a:prstGeom prst="rect">
                      <a:avLst/>
                    </a:prstGeom>
                    <a:noFill/>
                    <a:ln>
                      <a:noFill/>
                    </a:ln>
                  </pic:spPr>
                </pic:pic>
              </a:graphicData>
            </a:graphic>
          </wp:inline>
        </w:drawing>
      </w:r>
    </w:p>
    <w:p w14:paraId="58140ED0" w14:textId="45F9FD70" w:rsidR="00172A6B" w:rsidRPr="00E57F5C" w:rsidRDefault="00172A6B" w:rsidP="00172A6B">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1489363B" w14:textId="77BBEE05" w:rsidR="00172A6B" w:rsidRDefault="00172A6B" w:rsidP="00172A6B">
      <w:pPr>
        <w:pStyle w:val="CaptionChart"/>
      </w:pPr>
      <w:bookmarkStart w:id="300" w:name="_Ref68086884"/>
      <w:bookmarkStart w:id="301" w:name="_Toc82590363"/>
      <w:r>
        <w:lastRenderedPageBreak/>
        <w:t xml:space="preserve">: Extent that communication campaign about </w:t>
      </w:r>
      <w:r>
        <w:rPr>
          <w:rFonts w:eastAsia="Calibri" w:cs="Times New Roman"/>
        </w:rPr>
        <w:t>CoOL</w:t>
      </w:r>
      <w:r w:rsidRPr="00CC297D">
        <w:rPr>
          <w:rFonts w:eastAsia="Calibri" w:cs="Times New Roman"/>
        </w:rPr>
        <w:t xml:space="preserve"> </w:t>
      </w:r>
      <w:r>
        <w:t xml:space="preserve">was useful, by </w:t>
      </w:r>
      <w:bookmarkEnd w:id="300"/>
      <w:r w:rsidR="001D0362">
        <w:t>outcome</w:t>
      </w:r>
      <w:bookmarkEnd w:id="301"/>
      <w:r w:rsidR="001D0362">
        <w:t xml:space="preserve"> </w:t>
      </w:r>
    </w:p>
    <w:p w14:paraId="454A88E8" w14:textId="1F0B495A" w:rsidR="00DB5286" w:rsidRDefault="00DB5286" w:rsidP="00172A6B">
      <w:pPr>
        <w:pStyle w:val="Source"/>
      </w:pPr>
      <w:r w:rsidRPr="00DB5286">
        <w:rPr>
          <w:noProof/>
          <w:lang w:eastAsia="en-AU"/>
        </w:rPr>
        <w:drawing>
          <wp:inline distT="0" distB="0" distL="0" distR="0" wp14:anchorId="6B27AE80" wp14:editId="28FC95BF">
            <wp:extent cx="5731510" cy="3108325"/>
            <wp:effectExtent l="0" t="0" r="2540" b="0"/>
            <wp:docPr id="289242752" name="Picture 289242752" descr="The categories for which the usefulness of the communication campaign is measured are 'improved awareness' and 'improved understanding'. Findings for improved awareness are: not at all (2%), to a small extent (7%), to a moderate extent (25%), to a large extent (40%), to a very large extent (25%). For improved understanding are: not at all (2%), to a small extent (12%), to a moderate extent (27%), to a large extent (34%), to a very large extent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52" name="Picture 289242752" descr="The categories for which the usefulness of the communication campaign is measured are 'improved awareness' and 'improved understanding'. Findings for improved awareness are: not at all (2%), to a small extent (7%), to a moderate extent (25%), to a large extent (40%), to a very large extent (25%). For improved understanding are: not at all (2%), to a small extent (12%), to a moderate extent (27%), to a large extent (34%), to a very large extent (24%).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108325"/>
                    </a:xfrm>
                    <a:prstGeom prst="rect">
                      <a:avLst/>
                    </a:prstGeom>
                    <a:noFill/>
                    <a:ln>
                      <a:noFill/>
                    </a:ln>
                  </pic:spPr>
                </pic:pic>
              </a:graphicData>
            </a:graphic>
          </wp:inline>
        </w:drawing>
      </w:r>
    </w:p>
    <w:p w14:paraId="5A07309A" w14:textId="2189FA0D" w:rsidR="00172A6B" w:rsidRPr="00E57F5C" w:rsidRDefault="00172A6B" w:rsidP="00172A6B">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60E06547" w14:textId="11D43887" w:rsidR="00172A6B" w:rsidRPr="0059694F" w:rsidRDefault="00172A6B" w:rsidP="00172A6B">
      <w:pPr>
        <w:spacing w:after="120" w:line="276" w:lineRule="auto"/>
        <w:rPr>
          <w:rFonts w:eastAsia="Times New Roman" w:cs="Arial"/>
          <w:kern w:val="24"/>
          <w:lang w:eastAsia="en-AU"/>
        </w:rPr>
      </w:pPr>
      <w:r>
        <w:rPr>
          <w:rFonts w:eastAsia="Times New Roman" w:cs="Arial"/>
          <w:kern w:val="24"/>
          <w:lang w:eastAsia="en-AU"/>
        </w:rPr>
        <w:t>The</w:t>
      </w:r>
      <w:r w:rsidRPr="0059694F">
        <w:rPr>
          <w:rFonts w:eastAsia="Times New Roman" w:cs="Arial"/>
          <w:kern w:val="24"/>
          <w:lang w:eastAsia="en-AU"/>
        </w:rPr>
        <w:t xml:space="preserve"> consumer survey indicates that a small proportion of consumers (16</w:t>
      </w:r>
      <w:r w:rsidR="007B2C81">
        <w:rPr>
          <w:rFonts w:eastAsia="Times New Roman" w:cs="Arial"/>
          <w:kern w:val="24"/>
          <w:lang w:eastAsia="en-AU"/>
        </w:rPr>
        <w:t>%</w:t>
      </w:r>
      <w:r w:rsidRPr="0059694F">
        <w:rPr>
          <w:rFonts w:eastAsia="Times New Roman" w:cs="Arial"/>
          <w:kern w:val="24"/>
          <w:lang w:eastAsia="en-AU"/>
        </w:rPr>
        <w:t xml:space="preserve">) </w:t>
      </w:r>
      <w:r w:rsidR="00DE6006">
        <w:rPr>
          <w:rFonts w:eastAsia="Times New Roman" w:cs="Arial"/>
          <w:kern w:val="24"/>
          <w:lang w:eastAsia="en-AU"/>
        </w:rPr>
        <w:t>has</w:t>
      </w:r>
      <w:r w:rsidR="00DE6006" w:rsidRPr="0059694F">
        <w:rPr>
          <w:rFonts w:eastAsia="Times New Roman" w:cs="Arial"/>
          <w:kern w:val="24"/>
          <w:lang w:eastAsia="en-AU"/>
        </w:rPr>
        <w:t xml:space="preserve"> </w:t>
      </w:r>
      <w:r w:rsidRPr="0059694F">
        <w:rPr>
          <w:rFonts w:eastAsia="Times New Roman" w:cs="Arial"/>
          <w:kern w:val="24"/>
          <w:lang w:eastAsia="en-AU"/>
        </w:rPr>
        <w:t>utilised online resources to enhance their understanding of country of origin information</w:t>
      </w:r>
      <w:r>
        <w:rPr>
          <w:rFonts w:eastAsia="Times New Roman" w:cs="Arial"/>
          <w:kern w:val="24"/>
          <w:lang w:eastAsia="en-AU"/>
        </w:rPr>
        <w:t xml:space="preserve"> (see </w:t>
      </w:r>
      <w:r w:rsidR="003C6BF0">
        <w:rPr>
          <w:rFonts w:eastAsia="Times New Roman" w:cs="Arial"/>
          <w:kern w:val="24"/>
          <w:lang w:eastAsia="en-AU"/>
        </w:rPr>
        <w:fldChar w:fldCharType="begin"/>
      </w:r>
      <w:r w:rsidR="003C6BF0">
        <w:rPr>
          <w:rFonts w:eastAsia="Times New Roman" w:cs="Arial"/>
          <w:kern w:val="24"/>
          <w:lang w:eastAsia="en-AU"/>
        </w:rPr>
        <w:instrText xml:space="preserve"> REF _Ref68086907 \r \h </w:instrText>
      </w:r>
      <w:r w:rsidR="003C6BF0">
        <w:rPr>
          <w:rFonts w:eastAsia="Times New Roman" w:cs="Arial"/>
          <w:kern w:val="24"/>
          <w:lang w:eastAsia="en-AU"/>
        </w:rPr>
      </w:r>
      <w:r w:rsidR="003C6BF0">
        <w:rPr>
          <w:rFonts w:eastAsia="Times New Roman" w:cs="Arial"/>
          <w:kern w:val="24"/>
          <w:lang w:eastAsia="en-AU"/>
        </w:rPr>
        <w:fldChar w:fldCharType="separate"/>
      </w:r>
      <w:r w:rsidR="0017363C">
        <w:rPr>
          <w:rFonts w:eastAsia="Times New Roman" w:cs="Arial"/>
          <w:kern w:val="24"/>
          <w:lang w:eastAsia="en-AU"/>
        </w:rPr>
        <w:t>Chart 4.24</w:t>
      </w:r>
      <w:r w:rsidR="003C6BF0">
        <w:rPr>
          <w:rFonts w:eastAsia="Times New Roman" w:cs="Arial"/>
          <w:kern w:val="24"/>
          <w:lang w:eastAsia="en-AU"/>
        </w:rPr>
        <w:fldChar w:fldCharType="end"/>
      </w:r>
      <w:r>
        <w:rPr>
          <w:rFonts w:eastAsia="Times New Roman" w:cs="Arial"/>
          <w:kern w:val="24"/>
          <w:lang w:eastAsia="en-AU"/>
        </w:rPr>
        <w:t>)</w:t>
      </w:r>
      <w:r w:rsidRPr="0059694F">
        <w:rPr>
          <w:rFonts w:eastAsia="Times New Roman" w:cs="Arial"/>
          <w:kern w:val="24"/>
          <w:lang w:eastAsia="en-AU"/>
        </w:rPr>
        <w:t xml:space="preserve">. Of </w:t>
      </w:r>
      <w:r w:rsidR="00DF3A9C">
        <w:rPr>
          <w:rFonts w:eastAsia="Times New Roman" w:cs="Arial"/>
          <w:kern w:val="24"/>
          <w:lang w:eastAsia="en-AU"/>
        </w:rPr>
        <w:t>these</w:t>
      </w:r>
      <w:r w:rsidRPr="0059694F">
        <w:rPr>
          <w:rFonts w:eastAsia="Times New Roman" w:cs="Arial"/>
          <w:kern w:val="24"/>
          <w:lang w:eastAsia="en-AU"/>
        </w:rPr>
        <w:t xml:space="preserve">, most referred to either the business.gov.au </w:t>
      </w:r>
      <w:r w:rsidR="00397D18">
        <w:rPr>
          <w:rFonts w:eastAsia="Times New Roman" w:cs="Arial"/>
          <w:kern w:val="24"/>
          <w:lang w:eastAsia="en-AU"/>
        </w:rPr>
        <w:t>(40%)</w:t>
      </w:r>
      <w:r w:rsidRPr="0059694F">
        <w:rPr>
          <w:rFonts w:eastAsia="Times New Roman" w:cs="Arial"/>
          <w:kern w:val="24"/>
          <w:lang w:eastAsia="en-AU"/>
        </w:rPr>
        <w:t xml:space="preserve"> or the ACCC websites</w:t>
      </w:r>
      <w:r w:rsidR="00397D18">
        <w:rPr>
          <w:rFonts w:eastAsia="Times New Roman" w:cs="Arial"/>
          <w:kern w:val="24"/>
          <w:lang w:eastAsia="en-AU"/>
        </w:rPr>
        <w:t xml:space="preserve"> (34%)</w:t>
      </w:r>
      <w:r w:rsidR="008F6E11">
        <w:rPr>
          <w:rFonts w:eastAsia="Times New Roman" w:cs="Arial"/>
          <w:kern w:val="24"/>
          <w:lang w:eastAsia="en-AU"/>
        </w:rPr>
        <w:t>,</w:t>
      </w:r>
      <w:r w:rsidRPr="0059694F">
        <w:rPr>
          <w:rFonts w:eastAsia="Times New Roman" w:cs="Arial"/>
          <w:kern w:val="24"/>
          <w:lang w:eastAsia="en-AU"/>
        </w:rPr>
        <w:t xml:space="preserve"> with a lesser share referring to the DISER website. </w:t>
      </w:r>
    </w:p>
    <w:p w14:paraId="04B3F1C3" w14:textId="54EA49FF" w:rsidR="00172A6B" w:rsidRDefault="00172A6B" w:rsidP="00172A6B">
      <w:pPr>
        <w:pStyle w:val="CaptionChart"/>
        <w:rPr>
          <w:lang w:eastAsia="en-AU"/>
        </w:rPr>
      </w:pPr>
      <w:bookmarkStart w:id="302" w:name="_Ref68086907"/>
      <w:bookmarkStart w:id="303" w:name="_Toc82590364"/>
      <w:r>
        <w:rPr>
          <w:lang w:eastAsia="en-AU"/>
        </w:rPr>
        <w:t>: Online resources that are referred to by consumers</w:t>
      </w:r>
      <w:bookmarkEnd w:id="302"/>
      <w:bookmarkEnd w:id="303"/>
    </w:p>
    <w:p w14:paraId="6EEA6F38" w14:textId="72E7A33C" w:rsidR="007E4C44" w:rsidRDefault="00BE4136" w:rsidP="00172A6B">
      <w:pPr>
        <w:pStyle w:val="Source"/>
      </w:pPr>
      <w:r w:rsidRPr="00BE4136">
        <w:rPr>
          <w:noProof/>
          <w:lang w:eastAsia="en-AU"/>
        </w:rPr>
        <w:drawing>
          <wp:inline distT="0" distB="0" distL="0" distR="0" wp14:anchorId="55BCD20A" wp14:editId="78C61357">
            <wp:extent cx="5731510" cy="3097530"/>
            <wp:effectExtent l="0" t="0" r="2540" b="7620"/>
            <wp:docPr id="289242754" name="Picture 289242754" descr="Findings are: Business.gov.au website (40%), ACCC website (34%) DISER website (17%) and other resour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54" name="Picture 289242754" descr="Findings are: Business.gov.au website (40%), ACCC website (34%) DISER website (17%) and other resources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097530"/>
                    </a:xfrm>
                    <a:prstGeom prst="rect">
                      <a:avLst/>
                    </a:prstGeom>
                    <a:noFill/>
                    <a:ln>
                      <a:noFill/>
                    </a:ln>
                  </pic:spPr>
                </pic:pic>
              </a:graphicData>
            </a:graphic>
          </wp:inline>
        </w:drawing>
      </w:r>
    </w:p>
    <w:p w14:paraId="09B0DFB3" w14:textId="0D57732E" w:rsidR="00172A6B" w:rsidRPr="00E57F5C" w:rsidRDefault="00172A6B" w:rsidP="00172A6B">
      <w:pPr>
        <w:pStyle w:val="Source"/>
        <w:rPr>
          <w:rFonts w:eastAsia="Times New Roman" w:cs="Arial"/>
          <w:color w:val="046A38" w:themeColor="accent2"/>
          <w:kern w:val="24"/>
          <w:lang w:eastAsia="en-AU"/>
        </w:rPr>
      </w:pPr>
      <w:r w:rsidRPr="00842E04">
        <w:t>Source: Deloitte Access Economics’ national consumer survey</w:t>
      </w:r>
      <w:r>
        <w:t xml:space="preserve"> (2020)</w:t>
      </w:r>
      <w:r w:rsidRPr="00842E04">
        <w:t>.</w:t>
      </w:r>
    </w:p>
    <w:p w14:paraId="618286BB" w14:textId="52290289" w:rsidR="00172A6B" w:rsidRPr="00407A01" w:rsidRDefault="00172A6B" w:rsidP="00172A6B">
      <w:pPr>
        <w:spacing w:after="120" w:line="276" w:lineRule="auto"/>
        <w:rPr>
          <w:rFonts w:eastAsia="Times New Roman" w:cs="Arial"/>
          <w:kern w:val="24"/>
          <w:lang w:eastAsia="en-AU"/>
        </w:rPr>
      </w:pPr>
      <w:r w:rsidRPr="00407A01">
        <w:rPr>
          <w:rFonts w:eastAsia="Times New Roman" w:cs="Arial"/>
          <w:kern w:val="24"/>
          <w:lang w:eastAsia="en-AU"/>
        </w:rPr>
        <w:t xml:space="preserve">The majority of survey participants who used these </w:t>
      </w:r>
      <w:r w:rsidR="005B56F2">
        <w:rPr>
          <w:rFonts w:eastAsia="Times New Roman" w:cs="Arial"/>
          <w:kern w:val="24"/>
          <w:lang w:eastAsia="en-AU"/>
        </w:rPr>
        <w:t xml:space="preserve">online </w:t>
      </w:r>
      <w:r w:rsidRPr="00407A01">
        <w:rPr>
          <w:rFonts w:eastAsia="Times New Roman" w:cs="Arial"/>
          <w:kern w:val="24"/>
          <w:lang w:eastAsia="en-AU"/>
        </w:rPr>
        <w:t xml:space="preserve">resources </w:t>
      </w:r>
      <w:r>
        <w:rPr>
          <w:rFonts w:eastAsia="Times New Roman" w:cs="Arial"/>
          <w:kern w:val="24"/>
          <w:lang w:eastAsia="en-AU"/>
        </w:rPr>
        <w:t>considered them</w:t>
      </w:r>
      <w:r w:rsidRPr="00407A01">
        <w:rPr>
          <w:rFonts w:eastAsia="Times New Roman" w:cs="Arial"/>
          <w:kern w:val="24"/>
          <w:lang w:eastAsia="en-AU"/>
        </w:rPr>
        <w:t xml:space="preserve"> useful in both raising their awareness of the CoOL reforms and improving their understanding of CoOL information (</w:t>
      </w:r>
      <w:r>
        <w:rPr>
          <w:rFonts w:eastAsia="Times New Roman" w:cs="Arial"/>
          <w:kern w:val="24"/>
          <w:lang w:eastAsia="en-AU"/>
        </w:rPr>
        <w:t xml:space="preserve">see </w:t>
      </w:r>
      <w:r w:rsidR="00D01BE1">
        <w:rPr>
          <w:rFonts w:eastAsia="Times New Roman" w:cs="Arial"/>
          <w:kern w:val="24"/>
          <w:lang w:eastAsia="en-AU"/>
        </w:rPr>
        <w:fldChar w:fldCharType="begin"/>
      </w:r>
      <w:r w:rsidR="00D01BE1">
        <w:rPr>
          <w:rFonts w:eastAsia="Times New Roman" w:cs="Arial"/>
          <w:kern w:val="24"/>
          <w:lang w:eastAsia="en-AU"/>
        </w:rPr>
        <w:instrText xml:space="preserve"> REF _Ref68086991 \r \h </w:instrText>
      </w:r>
      <w:r w:rsidR="00D01BE1">
        <w:rPr>
          <w:rFonts w:eastAsia="Times New Roman" w:cs="Arial"/>
          <w:kern w:val="24"/>
          <w:lang w:eastAsia="en-AU"/>
        </w:rPr>
      </w:r>
      <w:r w:rsidR="00D01BE1">
        <w:rPr>
          <w:rFonts w:eastAsia="Times New Roman" w:cs="Arial"/>
          <w:kern w:val="24"/>
          <w:lang w:eastAsia="en-AU"/>
        </w:rPr>
        <w:fldChar w:fldCharType="separate"/>
      </w:r>
      <w:r w:rsidR="0017363C">
        <w:rPr>
          <w:rFonts w:eastAsia="Times New Roman" w:cs="Arial"/>
          <w:kern w:val="24"/>
          <w:lang w:eastAsia="en-AU"/>
        </w:rPr>
        <w:t>Chart 4.25</w:t>
      </w:r>
      <w:r w:rsidR="00D01BE1">
        <w:rPr>
          <w:rFonts w:eastAsia="Times New Roman" w:cs="Arial"/>
          <w:kern w:val="24"/>
          <w:lang w:eastAsia="en-AU"/>
        </w:rPr>
        <w:fldChar w:fldCharType="end"/>
      </w:r>
      <w:r w:rsidRPr="00407A01">
        <w:rPr>
          <w:rFonts w:eastAsia="Times New Roman" w:cs="Arial"/>
          <w:kern w:val="24"/>
          <w:lang w:eastAsia="en-AU"/>
        </w:rPr>
        <w:t xml:space="preserve">). </w:t>
      </w:r>
    </w:p>
    <w:p w14:paraId="67779051" w14:textId="4D6888A2" w:rsidR="00172A6B" w:rsidRDefault="00172A6B" w:rsidP="00172A6B">
      <w:pPr>
        <w:pStyle w:val="CaptionChart"/>
      </w:pPr>
      <w:bookmarkStart w:id="304" w:name="_Ref68086922"/>
      <w:bookmarkStart w:id="305" w:name="_Ref68086991"/>
      <w:bookmarkStart w:id="306" w:name="_Toc82590365"/>
      <w:r>
        <w:rPr>
          <w:lang w:eastAsia="en-AU"/>
        </w:rPr>
        <w:lastRenderedPageBreak/>
        <w:t xml:space="preserve">: </w:t>
      </w:r>
      <w:r>
        <w:t xml:space="preserve">Extent that online resources related to </w:t>
      </w:r>
      <w:r>
        <w:rPr>
          <w:rFonts w:eastAsia="Calibri" w:cs="Times New Roman"/>
        </w:rPr>
        <w:t>CoOL</w:t>
      </w:r>
      <w:r w:rsidRPr="00CC297D">
        <w:rPr>
          <w:rFonts w:eastAsia="Calibri" w:cs="Times New Roman"/>
        </w:rPr>
        <w:t xml:space="preserve"> </w:t>
      </w:r>
      <w:r>
        <w:t xml:space="preserve">are useful, by </w:t>
      </w:r>
      <w:bookmarkEnd w:id="304"/>
      <w:bookmarkEnd w:id="305"/>
      <w:r w:rsidR="00533F91">
        <w:t>outcome</w:t>
      </w:r>
      <w:bookmarkEnd w:id="306"/>
      <w:r w:rsidR="00533F91">
        <w:t xml:space="preserve"> </w:t>
      </w:r>
    </w:p>
    <w:p w14:paraId="5A925BEC" w14:textId="19C4EFE8" w:rsidR="00991B85" w:rsidRDefault="00991B85" w:rsidP="00172A6B">
      <w:pPr>
        <w:pStyle w:val="Source"/>
      </w:pPr>
      <w:r w:rsidRPr="00991B85">
        <w:rPr>
          <w:noProof/>
          <w:lang w:eastAsia="en-AU"/>
        </w:rPr>
        <w:drawing>
          <wp:inline distT="0" distB="0" distL="0" distR="0" wp14:anchorId="600010C3" wp14:editId="1C5674D8">
            <wp:extent cx="5731510" cy="3021965"/>
            <wp:effectExtent l="0" t="0" r="2540" b="6985"/>
            <wp:docPr id="289242755" name="Picture 289242755" descr="The categories for which the usefulness of online resources is measured are 'improved awareness' and 'improved understanding'. The majority found it improved their awareness and understanding to a moderate, large or very large extent. &#10;Findings for improve awareness: not at all (1%), to a small extent (7%), to a moderate extent (29%), to a large extent (34%), to a very large extent (21%). For improve understanding: not at all (4%), to a small extent (9%), to a moderate extent (31%), to a large extent (31%), to a very large extent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55" name="Picture 289242755" descr="The categories for which the usefulness of online resources is measured are 'improved awareness' and 'improved understanding'. The majority found it improved their awareness and understanding to a moderate, large or very large extent. &#10;Findings for improve awareness: not at all (1%), to a small extent (7%), to a moderate extent (29%), to a large extent (34%), to a very large extent (21%). For improve understanding: not at all (4%), to a small extent (9%), to a moderate extent (31%), to a large extent (31%), to a very large extent (26%).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021965"/>
                    </a:xfrm>
                    <a:prstGeom prst="rect">
                      <a:avLst/>
                    </a:prstGeom>
                    <a:noFill/>
                    <a:ln>
                      <a:noFill/>
                    </a:ln>
                  </pic:spPr>
                </pic:pic>
              </a:graphicData>
            </a:graphic>
          </wp:inline>
        </w:drawing>
      </w:r>
    </w:p>
    <w:p w14:paraId="20721B9F" w14:textId="06934388" w:rsidR="00172A6B" w:rsidRDefault="00172A6B" w:rsidP="00172A6B">
      <w:pPr>
        <w:pStyle w:val="Source"/>
      </w:pPr>
      <w:r w:rsidRPr="00842E04">
        <w:t>Source: Deloitte Access Economics’ national consumer survey</w:t>
      </w:r>
      <w:r>
        <w:t xml:space="preserve"> (2020)</w:t>
      </w:r>
      <w:r w:rsidRPr="00842E04">
        <w:t>.</w:t>
      </w:r>
    </w:p>
    <w:p w14:paraId="549A576F" w14:textId="30BBC854" w:rsidR="00172A6B" w:rsidRDefault="00172A6B" w:rsidP="00172A6B">
      <w:r w:rsidRPr="00740BB7">
        <w:t xml:space="preserve">Overall, </w:t>
      </w:r>
      <w:r w:rsidR="00DA0231">
        <w:t xml:space="preserve">government and industry stakeholders, </w:t>
      </w:r>
      <w:r w:rsidRPr="00740BB7">
        <w:t>businesses and consumers</w:t>
      </w:r>
      <w:r w:rsidR="004A58F7">
        <w:t>/consumer groups</w:t>
      </w:r>
      <w:r w:rsidRPr="00740BB7">
        <w:t xml:space="preserve"> indicated the educational campaign was insufficient </w:t>
      </w:r>
      <w:r w:rsidR="00770797">
        <w:t>in that there was no</w:t>
      </w:r>
      <w:r w:rsidR="008D5C3F">
        <w:t xml:space="preserve"> </w:t>
      </w:r>
      <w:r w:rsidR="00770797">
        <w:t xml:space="preserve">ongoing efforts to raise consumer awareness, </w:t>
      </w:r>
      <w:r w:rsidRPr="00740BB7">
        <w:t xml:space="preserve">and </w:t>
      </w:r>
      <w:r w:rsidR="009C7182" w:rsidRPr="00740BB7">
        <w:t>a renewed</w:t>
      </w:r>
      <w:r w:rsidR="009C7182">
        <w:t xml:space="preserve"> </w:t>
      </w:r>
      <w:r w:rsidRPr="00740BB7">
        <w:t>awareness campaign is required for consumers</w:t>
      </w:r>
      <w:r w:rsidR="00D900CE">
        <w:t xml:space="preserve"> (see Section </w:t>
      </w:r>
      <w:r w:rsidR="00D900CE">
        <w:fldChar w:fldCharType="begin"/>
      </w:r>
      <w:r w:rsidR="00D900CE">
        <w:instrText xml:space="preserve"> REF _Ref64894127 \r \h </w:instrText>
      </w:r>
      <w:r w:rsidR="00D900CE">
        <w:fldChar w:fldCharType="separate"/>
      </w:r>
      <w:r w:rsidR="0017363C">
        <w:t>6.5.3</w:t>
      </w:r>
      <w:r w:rsidR="00D900CE">
        <w:fldChar w:fldCharType="end"/>
      </w:r>
      <w:r w:rsidR="00D900CE">
        <w:t>)</w:t>
      </w:r>
      <w:r w:rsidR="00F73D5A">
        <w:t>.</w:t>
      </w:r>
      <w:r w:rsidRPr="00740BB7">
        <w:t xml:space="preserve"> </w:t>
      </w:r>
      <w:r w:rsidR="004A58F7" w:rsidRPr="004A58F7">
        <w:t xml:space="preserve">Ongoing education of consumers has also been touted as useful because new consumers are constantly entering the market. Some industry stakeholder groups </w:t>
      </w:r>
      <w:r w:rsidR="004A2BD9">
        <w:t xml:space="preserve">recommended that </w:t>
      </w:r>
      <w:r w:rsidR="004A58F7" w:rsidRPr="004A58F7">
        <w:t>educational campaigns are</w:t>
      </w:r>
      <w:r w:rsidR="0016436B">
        <w:t xml:space="preserve"> regularly pursued following</w:t>
      </w:r>
      <w:r w:rsidR="004A58F7" w:rsidRPr="004A58F7">
        <w:t xml:space="preserve"> major changes to the Standard.</w:t>
      </w:r>
    </w:p>
    <w:p w14:paraId="401931C3" w14:textId="67A6CAE9" w:rsidR="00172A6B" w:rsidRDefault="000A753F" w:rsidP="00172A6B">
      <w:r>
        <w:t xml:space="preserve">For instance, the </w:t>
      </w:r>
      <w:r w:rsidR="00172A6B">
        <w:t xml:space="preserve">Australian Chicken Meat Federation highlighted that although there was some consumer education at the time of the CoOL reform implementation, over time the education and awareness campaign dissipated. A number of industry stakeholders suggested the passage of time since the initial campaign is a reason why there is a misunderstanding of the country of origin labels. </w:t>
      </w:r>
    </w:p>
    <w:p w14:paraId="2196EA05" w14:textId="24293477" w:rsidR="00172A6B" w:rsidRPr="00E57F5C" w:rsidRDefault="00172A6B" w:rsidP="00172A6B">
      <w:pPr>
        <w:spacing w:after="120" w:line="276" w:lineRule="auto"/>
        <w:rPr>
          <w:rFonts w:eastAsia="Times New Roman" w:cs="Arial"/>
          <w:color w:val="046A38" w:themeColor="accent2"/>
          <w:kern w:val="24"/>
          <w:lang w:eastAsia="en-AU"/>
        </w:rPr>
      </w:pPr>
      <w:r>
        <w:t xml:space="preserve">Submissions by the </w:t>
      </w:r>
      <w:r>
        <w:rPr>
          <w:rFonts w:eastAsia="Verdana" w:cs="Verdana"/>
        </w:rPr>
        <w:t>AMIC</w:t>
      </w:r>
      <w:r>
        <w:t xml:space="preserve"> and several other groups called for more education campaigns for consumers</w:t>
      </w:r>
      <w:r w:rsidR="00DE6006">
        <w:t>,</w:t>
      </w:r>
      <w:r>
        <w:t xml:space="preserve"> as well as businesses to improve clarity around labelling terminology. The </w:t>
      </w:r>
      <w:r>
        <w:rPr>
          <w:rFonts w:eastAsia="Verdana" w:cs="Verdana"/>
        </w:rPr>
        <w:t>AMIC</w:t>
      </w:r>
      <w:r>
        <w:t xml:space="preserve"> stated that communication has not had a positive impact on consumer understanding and consumers are disappointed by the misleading labelling of items that claim to be Australian with imported pork.</w:t>
      </w:r>
    </w:p>
    <w:p w14:paraId="286CC5FB" w14:textId="56D9BAB2" w:rsidR="00172A6B" w:rsidRPr="00740BB7" w:rsidRDefault="00172A6B" w:rsidP="00172A6B">
      <w:r>
        <w:t>T</w:t>
      </w:r>
      <w:r w:rsidRPr="00740BB7">
        <w:t>he consumer survey suggest</w:t>
      </w:r>
      <w:r>
        <w:t>ed</w:t>
      </w:r>
      <w:r w:rsidRPr="00740BB7">
        <w:t xml:space="preserve"> that consumers would prefer future awareness campaigns relating to CoOL to be online, with 44</w:t>
      </w:r>
      <w:r w:rsidR="007B2C81">
        <w:t>%</w:t>
      </w:r>
      <w:r w:rsidRPr="00740BB7">
        <w:t xml:space="preserve"> of participants selecting this as a preferred communication channel. Consumers</w:t>
      </w:r>
      <w:r>
        <w:t>’</w:t>
      </w:r>
      <w:r w:rsidRPr="00740BB7">
        <w:t xml:space="preserve"> </w:t>
      </w:r>
      <w:r>
        <w:t>second</w:t>
      </w:r>
      <w:r w:rsidRPr="00740BB7">
        <w:t xml:space="preserve"> preference was TV, with 18</w:t>
      </w:r>
      <w:r w:rsidR="007B2C81">
        <w:t>%</w:t>
      </w:r>
      <w:r w:rsidRPr="00740BB7">
        <w:t xml:space="preserve"> selecting this as a preferred communication channel (</w:t>
      </w:r>
      <w:r>
        <w:t>see</w:t>
      </w:r>
      <w:r w:rsidRPr="00740BB7">
        <w:t xml:space="preserve"> </w:t>
      </w:r>
      <w:r w:rsidR="00D01BE1">
        <w:fldChar w:fldCharType="begin"/>
      </w:r>
      <w:r w:rsidR="00D01BE1">
        <w:instrText xml:space="preserve"> REF _Ref68087009 \r \h </w:instrText>
      </w:r>
      <w:r w:rsidR="00D01BE1">
        <w:fldChar w:fldCharType="separate"/>
      </w:r>
      <w:r w:rsidR="0017363C">
        <w:t>Chart 4.26</w:t>
      </w:r>
      <w:r w:rsidR="00D01BE1">
        <w:fldChar w:fldCharType="end"/>
      </w:r>
      <w:r w:rsidRPr="00740BB7">
        <w:t xml:space="preserve">). </w:t>
      </w:r>
    </w:p>
    <w:p w14:paraId="6FF406AC" w14:textId="77777777" w:rsidR="00172A6B" w:rsidRDefault="00172A6B" w:rsidP="00172A6B">
      <w:pPr>
        <w:pStyle w:val="CaptionChart"/>
      </w:pPr>
      <w:bookmarkStart w:id="307" w:name="_Ref68087009"/>
      <w:bookmarkStart w:id="308" w:name="_Toc82590366"/>
      <w:r>
        <w:lastRenderedPageBreak/>
        <w:t xml:space="preserve">: Consumers’ preferences for future communication on </w:t>
      </w:r>
      <w:r>
        <w:rPr>
          <w:rFonts w:eastAsia="Calibri" w:cs="Times New Roman"/>
        </w:rPr>
        <w:t>CoOL</w:t>
      </w:r>
      <w:r>
        <w:t>, by method of communication</w:t>
      </w:r>
      <w:bookmarkEnd w:id="307"/>
      <w:bookmarkEnd w:id="308"/>
    </w:p>
    <w:p w14:paraId="6D8507EB" w14:textId="31135358" w:rsidR="00892411" w:rsidRDefault="00C55354" w:rsidP="009F5DD7">
      <w:pPr>
        <w:pStyle w:val="Source"/>
      </w:pPr>
      <w:r w:rsidRPr="00C55354">
        <w:rPr>
          <w:noProof/>
          <w:lang w:eastAsia="en-AU"/>
        </w:rPr>
        <w:drawing>
          <wp:inline distT="0" distB="0" distL="0" distR="0" wp14:anchorId="0CF70ADC" wp14:editId="0A530099">
            <wp:extent cx="5731510" cy="3141345"/>
            <wp:effectExtent l="0" t="0" r="2540" b="1905"/>
            <wp:docPr id="289242756" name="Picture 289242756" descr="Findings are: TV (18%), radio (6%), print (10%), in-store (9%), online (website, email or social media 44%), N/A don't want to answer (12%),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56" name="Picture 289242756" descr="Findings are: TV (18%), radio (6%), print (10%), in-store (9%), online (website, email or social media 44%), N/A don't want to answer (12%), other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141345"/>
                    </a:xfrm>
                    <a:prstGeom prst="rect">
                      <a:avLst/>
                    </a:prstGeom>
                    <a:noFill/>
                    <a:ln>
                      <a:noFill/>
                    </a:ln>
                  </pic:spPr>
                </pic:pic>
              </a:graphicData>
            </a:graphic>
          </wp:inline>
        </w:drawing>
      </w:r>
    </w:p>
    <w:p w14:paraId="3FE1D58E" w14:textId="4DF93C24" w:rsidR="009F5DD7" w:rsidRDefault="00172A6B" w:rsidP="009F5DD7">
      <w:pPr>
        <w:pStyle w:val="Source"/>
      </w:pPr>
      <w:r w:rsidRPr="00842E04">
        <w:t>Source: Deloitte Access Economics’ national consumer survey</w:t>
      </w:r>
      <w:r>
        <w:t xml:space="preserve"> (2020)</w:t>
      </w:r>
      <w:r w:rsidRPr="00842E04">
        <w:t>.</w:t>
      </w:r>
    </w:p>
    <w:p w14:paraId="523D00D3" w14:textId="77777777" w:rsidR="00172A6B" w:rsidRPr="003C74DF" w:rsidRDefault="00172A6B" w:rsidP="00172A6B">
      <w:pPr>
        <w:pStyle w:val="Heading3"/>
      </w:pPr>
      <w:bookmarkStart w:id="309" w:name="_Toc67499108"/>
      <w:r w:rsidRPr="003C74DF">
        <w:t xml:space="preserve">Key </w:t>
      </w:r>
      <w:r>
        <w:t>f</w:t>
      </w:r>
      <w:r w:rsidRPr="003C74DF">
        <w:t>indings</w:t>
      </w:r>
      <w:r>
        <w:t>: Communication activities and online resources</w:t>
      </w:r>
      <w:bookmarkEnd w:id="309"/>
    </w:p>
    <w:tbl>
      <w:tblPr>
        <w:tblStyle w:val="Deloittetable"/>
        <w:tblW w:w="0" w:type="auto"/>
        <w:tblLook w:val="04A0" w:firstRow="1" w:lastRow="0" w:firstColumn="1" w:lastColumn="0" w:noHBand="0" w:noVBand="1"/>
        <w:tblDescription w:val="This table provides one key finding regarding commjnication activities and online resources. This is that there appears to be a case for a refreshed CoOL awareness campaign. It is likely that any short-term campaign needs to be accompanied by an ongoing communication strategy that is engaging and has meaningful reach. This campaign would aim to improve consumer understanding of the different elements of CoOL. The design, funding and delivery of this campaign would need to be considered further. "/>
      </w:tblPr>
      <w:tblGrid>
        <w:gridCol w:w="1134"/>
        <w:gridCol w:w="7892"/>
      </w:tblGrid>
      <w:tr w:rsidR="005A243D" w14:paraId="0FF55EA8"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09558023" w14:textId="77777777" w:rsidR="005A243D" w:rsidRPr="00AB2F4F" w:rsidRDefault="005A243D" w:rsidP="00AB1DCE">
            <w:pPr>
              <w:rPr>
                <w:b/>
                <w:bCs/>
              </w:rPr>
            </w:pPr>
            <w:r>
              <w:rPr>
                <w:b/>
                <w:bCs/>
              </w:rPr>
              <w:t>Ref</w:t>
            </w:r>
          </w:p>
        </w:tc>
        <w:tc>
          <w:tcPr>
            <w:tcW w:w="7892" w:type="dxa"/>
            <w:tcBorders>
              <w:top w:val="single" w:sz="24" w:space="0" w:color="012169" w:themeColor="accent4"/>
            </w:tcBorders>
          </w:tcPr>
          <w:p w14:paraId="30217E41" w14:textId="0B5813CF" w:rsidR="005A243D" w:rsidRPr="00AB2F4F" w:rsidRDefault="00615DA5" w:rsidP="00AB1DCE">
            <w:pPr>
              <w:rPr>
                <w:b/>
                <w:bCs/>
              </w:rPr>
            </w:pPr>
            <w:r w:rsidRPr="00615DA5">
              <w:rPr>
                <w:b/>
                <w:bCs/>
              </w:rPr>
              <w:t>Have communication activities and online resources been effective in raising consumer awareness of the CoOL reforms and helping consumers to understand CoOL information?</w:t>
            </w:r>
          </w:p>
        </w:tc>
      </w:tr>
      <w:tr w:rsidR="008F2D8B" w14:paraId="025BB21D" w14:textId="77777777" w:rsidTr="00BA49D3">
        <w:tc>
          <w:tcPr>
            <w:tcW w:w="1134" w:type="dxa"/>
          </w:tcPr>
          <w:p w14:paraId="533CFABE" w14:textId="77777777" w:rsidR="008F2D8B" w:rsidRDefault="008F2D8B" w:rsidP="008F2D8B">
            <w:r>
              <w:t>34</w:t>
            </w:r>
          </w:p>
        </w:tc>
        <w:tc>
          <w:tcPr>
            <w:tcW w:w="7892" w:type="dxa"/>
          </w:tcPr>
          <w:p w14:paraId="656C2F33" w14:textId="10DD3916" w:rsidR="008F2D8B" w:rsidRPr="00BB6212" w:rsidRDefault="008F2D8B" w:rsidP="008F2D8B">
            <w:pPr>
              <w:rPr>
                <w:highlight w:val="cyan"/>
              </w:rPr>
            </w:pPr>
            <w:r w:rsidRPr="000B0903">
              <w:t>There appears to be a case for a refreshed CoOL awareness campaign. It is likely that any short-term campaign needs to be accompanied by an ongoing communication strategy that is engaging and has meaningful reach</w:t>
            </w:r>
            <w:r>
              <w:t>.</w:t>
            </w:r>
            <w:r w:rsidR="00E87D2D">
              <w:t xml:space="preserve"> This campaign would </w:t>
            </w:r>
            <w:r w:rsidR="004A292C">
              <w:t xml:space="preserve">aim to </w:t>
            </w:r>
            <w:r w:rsidR="00B26196">
              <w:t xml:space="preserve">improve consumer understanding of the different elements of </w:t>
            </w:r>
            <w:r w:rsidR="004A292C">
              <w:t>CoOL</w:t>
            </w:r>
            <w:r w:rsidR="00B26196">
              <w:t xml:space="preserve">. </w:t>
            </w:r>
            <w:r w:rsidR="00841A21">
              <w:t>The design</w:t>
            </w:r>
            <w:r w:rsidR="004071E1">
              <w:t>, funding</w:t>
            </w:r>
            <w:r w:rsidR="00841A21">
              <w:t xml:space="preserve"> and delivery of this campaign would need to be considered</w:t>
            </w:r>
            <w:r w:rsidR="004071E1">
              <w:t xml:space="preserve"> further</w:t>
            </w:r>
            <w:r w:rsidR="00841A21">
              <w:t>.</w:t>
            </w:r>
            <w:r w:rsidR="002D7666">
              <w:t xml:space="preserve"> </w:t>
            </w:r>
          </w:p>
        </w:tc>
      </w:tr>
    </w:tbl>
    <w:p w14:paraId="49A6CC2C" w14:textId="77777777" w:rsidR="00172A6B" w:rsidRDefault="003C421D" w:rsidP="00172A6B">
      <w:pPr>
        <w:pStyle w:val="Heading2"/>
        <w:spacing w:after="120"/>
      </w:pPr>
      <w:bookmarkStart w:id="310" w:name="_Toc67499109"/>
      <w:bookmarkStart w:id="311" w:name="_Ref71199989"/>
      <w:bookmarkStart w:id="312" w:name="_Toc94702061"/>
      <w:r>
        <w:t>O</w:t>
      </w:r>
      <w:r w:rsidR="00172A6B" w:rsidRPr="00C20F51">
        <w:t>ther product types for which consumers seek greater access to origin information</w:t>
      </w:r>
      <w:bookmarkEnd w:id="310"/>
      <w:bookmarkEnd w:id="311"/>
      <w:bookmarkEnd w:id="312"/>
    </w:p>
    <w:p w14:paraId="1EF391CC" w14:textId="7BE7FE4D" w:rsidR="00172A6B" w:rsidRDefault="00172A6B" w:rsidP="00172A6B">
      <w:pPr>
        <w:spacing w:after="120" w:line="276" w:lineRule="auto"/>
      </w:pPr>
      <w:r>
        <w:t xml:space="preserve">Currently, the CoOL reforms apply to food and beverage products. </w:t>
      </w:r>
      <w:r w:rsidR="002B1DEE">
        <w:t>The evaluation has</w:t>
      </w:r>
      <w:r>
        <w:t xml:space="preserve"> examined the extent to which consumers are seeking greater access to origin information on other products. This discussion is provided below, including a separate discussion on extension of CoOL to cut flowers.</w:t>
      </w:r>
    </w:p>
    <w:p w14:paraId="012D0279" w14:textId="5A25C645" w:rsidR="00172A6B" w:rsidRDefault="00172A6B" w:rsidP="00172A6B">
      <w:pPr>
        <w:pStyle w:val="Heading3"/>
      </w:pPr>
      <w:bookmarkStart w:id="313" w:name="_Toc67499110"/>
      <w:r>
        <w:t xml:space="preserve">A minority of consumers </w:t>
      </w:r>
      <w:r w:rsidR="001A54D2">
        <w:t>sought origin information on</w:t>
      </w:r>
      <w:r>
        <w:t xml:space="preserve"> non-food products </w:t>
      </w:r>
      <w:bookmarkEnd w:id="313"/>
    </w:p>
    <w:p w14:paraId="36C49ABF" w14:textId="540065AB" w:rsidR="00172A6B" w:rsidRDefault="00172A6B" w:rsidP="00245FFC">
      <w:pPr>
        <w:rPr>
          <w:lang w:eastAsia="en-AU"/>
        </w:rPr>
      </w:pPr>
      <w:r>
        <w:t xml:space="preserve">There was little customer support for extension of CoOL requirements to non-food </w:t>
      </w:r>
      <w:r w:rsidRPr="00424949">
        <w:t>products. Of all survey participants in the</w:t>
      </w:r>
      <w:r w:rsidRPr="00424949">
        <w:rPr>
          <w:rFonts w:eastAsia="Times New Roman" w:cs="Arial"/>
          <w:kern w:val="24"/>
          <w:lang w:eastAsia="en-AU"/>
        </w:rPr>
        <w:t xml:space="preserve"> consumer survey, 33</w:t>
      </w:r>
      <w:r w:rsidR="008E4653">
        <w:rPr>
          <w:rFonts w:eastAsia="Times New Roman" w:cs="Arial"/>
          <w:kern w:val="24"/>
          <w:lang w:eastAsia="en-AU"/>
        </w:rPr>
        <w:t>%</w:t>
      </w:r>
      <w:r w:rsidRPr="00424949">
        <w:rPr>
          <w:rFonts w:eastAsia="Times New Roman" w:cs="Arial"/>
          <w:kern w:val="24"/>
          <w:lang w:eastAsia="en-AU"/>
        </w:rPr>
        <w:t xml:space="preserve"> identified non-food products for which they would like country of origin information. </w:t>
      </w:r>
      <w:r w:rsidRPr="00903487">
        <w:t xml:space="preserve">Consumers in focus groups did not indicate any desire for information on other product types. However, there were no </w:t>
      </w:r>
      <w:r>
        <w:t>specific</w:t>
      </w:r>
      <w:r w:rsidRPr="00903487">
        <w:t xml:space="preserve"> discussion questions for consumers about this extension.</w:t>
      </w:r>
    </w:p>
    <w:p w14:paraId="2765CE7F" w14:textId="652B8107" w:rsidR="00997CF5" w:rsidRDefault="00172A6B" w:rsidP="00245FFC">
      <w:pPr>
        <w:rPr>
          <w:rFonts w:eastAsia="Times New Roman" w:cs="Arial"/>
          <w:kern w:val="24"/>
          <w:lang w:eastAsia="en-AU"/>
        </w:rPr>
      </w:pPr>
      <w:r w:rsidRPr="00424949">
        <w:rPr>
          <w:rFonts w:eastAsia="Times New Roman" w:cs="Arial"/>
          <w:kern w:val="24"/>
          <w:lang w:eastAsia="en-AU"/>
        </w:rPr>
        <w:t xml:space="preserve">The main non-food products </w:t>
      </w:r>
      <w:r>
        <w:rPr>
          <w:rFonts w:eastAsia="Times New Roman" w:cs="Arial"/>
          <w:kern w:val="24"/>
          <w:lang w:eastAsia="en-AU"/>
        </w:rPr>
        <w:t xml:space="preserve">identified by those consumers who </w:t>
      </w:r>
      <w:r w:rsidRPr="00424949">
        <w:rPr>
          <w:rFonts w:eastAsia="Times New Roman" w:cs="Arial"/>
          <w:kern w:val="24"/>
          <w:lang w:eastAsia="en-AU"/>
        </w:rPr>
        <w:t>supported an extension of CoOL included: cloth</w:t>
      </w:r>
      <w:r>
        <w:rPr>
          <w:rFonts w:eastAsia="Times New Roman" w:cs="Arial"/>
          <w:kern w:val="24"/>
          <w:lang w:eastAsia="en-AU"/>
        </w:rPr>
        <w:t>ing</w:t>
      </w:r>
      <w:r w:rsidRPr="00424949">
        <w:rPr>
          <w:rFonts w:eastAsia="Times New Roman" w:cs="Arial"/>
          <w:kern w:val="24"/>
          <w:lang w:eastAsia="en-AU"/>
        </w:rPr>
        <w:t xml:space="preserve"> and footwear (12</w:t>
      </w:r>
      <w:r w:rsidR="008E4653">
        <w:rPr>
          <w:rFonts w:eastAsia="Times New Roman" w:cs="Arial"/>
          <w:kern w:val="24"/>
          <w:lang w:eastAsia="en-AU"/>
        </w:rPr>
        <w:t>%</w:t>
      </w:r>
      <w:r w:rsidRPr="00424949">
        <w:rPr>
          <w:rFonts w:eastAsia="Times New Roman" w:cs="Arial"/>
          <w:kern w:val="24"/>
          <w:lang w:eastAsia="en-AU"/>
        </w:rPr>
        <w:t>); all non-food products (</w:t>
      </w:r>
      <w:r w:rsidR="008E4653">
        <w:rPr>
          <w:rFonts w:eastAsia="Times New Roman" w:cs="Arial"/>
          <w:kern w:val="24"/>
          <w:lang w:eastAsia="en-AU"/>
        </w:rPr>
        <w:t>9%</w:t>
      </w:r>
      <w:r w:rsidRPr="00424949">
        <w:rPr>
          <w:rFonts w:eastAsia="Times New Roman" w:cs="Arial"/>
          <w:kern w:val="24"/>
          <w:lang w:eastAsia="en-AU"/>
        </w:rPr>
        <w:t>); electronics (</w:t>
      </w:r>
      <w:r w:rsidR="008E4653">
        <w:rPr>
          <w:rFonts w:eastAsia="Times New Roman" w:cs="Arial"/>
          <w:kern w:val="24"/>
          <w:lang w:eastAsia="en-AU"/>
        </w:rPr>
        <w:t>8%</w:t>
      </w:r>
      <w:r w:rsidRPr="00424949">
        <w:rPr>
          <w:rFonts w:eastAsia="Times New Roman" w:cs="Arial"/>
          <w:kern w:val="24"/>
          <w:lang w:eastAsia="en-AU"/>
        </w:rPr>
        <w:t>); kitchenware and household goods (</w:t>
      </w:r>
      <w:r w:rsidR="008E4653">
        <w:rPr>
          <w:rFonts w:eastAsia="Times New Roman" w:cs="Arial"/>
          <w:kern w:val="24"/>
          <w:lang w:eastAsia="en-AU"/>
        </w:rPr>
        <w:t>8%</w:t>
      </w:r>
      <w:r>
        <w:rPr>
          <w:rFonts w:eastAsia="Times New Roman" w:cs="Arial"/>
          <w:kern w:val="24"/>
          <w:lang w:eastAsia="en-AU"/>
        </w:rPr>
        <w:t>)</w:t>
      </w:r>
      <w:r w:rsidRPr="00424949">
        <w:rPr>
          <w:rFonts w:eastAsia="Times New Roman" w:cs="Arial"/>
          <w:kern w:val="24"/>
          <w:lang w:eastAsia="en-AU"/>
        </w:rPr>
        <w:t>; medication and hygiene products (</w:t>
      </w:r>
      <w:r w:rsidR="008E4653">
        <w:rPr>
          <w:rFonts w:eastAsia="Times New Roman" w:cs="Arial"/>
          <w:kern w:val="24"/>
          <w:lang w:eastAsia="en-AU"/>
        </w:rPr>
        <w:t>6%</w:t>
      </w:r>
      <w:r w:rsidRPr="00424949">
        <w:rPr>
          <w:rFonts w:eastAsia="Times New Roman" w:cs="Arial"/>
          <w:kern w:val="24"/>
          <w:lang w:eastAsia="en-AU"/>
        </w:rPr>
        <w:t xml:space="preserve">); </w:t>
      </w:r>
      <w:r>
        <w:rPr>
          <w:rFonts w:eastAsia="Times New Roman" w:cs="Arial"/>
          <w:kern w:val="24"/>
          <w:lang w:eastAsia="en-AU"/>
        </w:rPr>
        <w:t xml:space="preserve">and </w:t>
      </w:r>
      <w:r w:rsidRPr="00424949">
        <w:rPr>
          <w:rFonts w:eastAsia="Times New Roman" w:cs="Arial"/>
          <w:kern w:val="24"/>
          <w:lang w:eastAsia="en-AU"/>
        </w:rPr>
        <w:t>beauty and cosmetic products</w:t>
      </w:r>
      <w:r>
        <w:rPr>
          <w:rFonts w:eastAsia="Times New Roman" w:cs="Arial"/>
          <w:kern w:val="24"/>
          <w:lang w:eastAsia="en-AU"/>
        </w:rPr>
        <w:t xml:space="preserve"> </w:t>
      </w:r>
      <w:r w:rsidRPr="00424949">
        <w:rPr>
          <w:rFonts w:eastAsia="Times New Roman" w:cs="Arial"/>
          <w:kern w:val="24"/>
          <w:lang w:eastAsia="en-AU"/>
        </w:rPr>
        <w:t>(</w:t>
      </w:r>
      <w:r w:rsidR="008E4653">
        <w:rPr>
          <w:rFonts w:eastAsia="Times New Roman" w:cs="Arial"/>
          <w:kern w:val="24"/>
          <w:lang w:eastAsia="en-AU"/>
        </w:rPr>
        <w:t>6%</w:t>
      </w:r>
      <w:r w:rsidRPr="00424949">
        <w:rPr>
          <w:rFonts w:eastAsia="Times New Roman" w:cs="Arial"/>
          <w:kern w:val="24"/>
          <w:lang w:eastAsia="en-AU"/>
        </w:rPr>
        <w:t>)</w:t>
      </w:r>
      <w:r>
        <w:rPr>
          <w:rFonts w:eastAsia="Times New Roman" w:cs="Arial"/>
          <w:kern w:val="24"/>
          <w:lang w:eastAsia="en-AU"/>
        </w:rPr>
        <w:t>.</w:t>
      </w:r>
      <w:r w:rsidRPr="00424949">
        <w:rPr>
          <w:rFonts w:eastAsia="Times New Roman" w:cs="Arial"/>
          <w:kern w:val="24"/>
          <w:lang w:eastAsia="en-AU"/>
        </w:rPr>
        <w:t xml:space="preserve"> </w:t>
      </w:r>
      <w:r>
        <w:rPr>
          <w:rFonts w:eastAsia="Times New Roman" w:cs="Arial"/>
          <w:kern w:val="24"/>
          <w:lang w:eastAsia="en-AU"/>
        </w:rPr>
        <w:t xml:space="preserve">There was minor interest in </w:t>
      </w:r>
      <w:r w:rsidRPr="00424949">
        <w:rPr>
          <w:rFonts w:eastAsia="Times New Roman" w:cs="Arial"/>
          <w:kern w:val="24"/>
          <w:lang w:eastAsia="en-AU"/>
        </w:rPr>
        <w:t>furniture</w:t>
      </w:r>
      <w:r>
        <w:rPr>
          <w:rFonts w:eastAsia="Times New Roman" w:cs="Arial"/>
          <w:kern w:val="24"/>
          <w:lang w:eastAsia="en-AU"/>
        </w:rPr>
        <w:t xml:space="preserve"> (</w:t>
      </w:r>
      <w:r w:rsidR="008E4653">
        <w:rPr>
          <w:rFonts w:eastAsia="Times New Roman" w:cs="Arial"/>
          <w:kern w:val="24"/>
          <w:lang w:eastAsia="en-AU"/>
        </w:rPr>
        <w:t>4%</w:t>
      </w:r>
      <w:r>
        <w:rPr>
          <w:rFonts w:eastAsia="Times New Roman" w:cs="Arial"/>
          <w:kern w:val="24"/>
          <w:lang w:eastAsia="en-AU"/>
        </w:rPr>
        <w:t>);</w:t>
      </w:r>
      <w:r w:rsidRPr="00424949">
        <w:rPr>
          <w:rFonts w:eastAsia="Times New Roman" w:cs="Arial"/>
          <w:kern w:val="24"/>
          <w:lang w:eastAsia="en-AU"/>
        </w:rPr>
        <w:t xml:space="preserve"> automotives; toys; cleaning products </w:t>
      </w:r>
      <w:r w:rsidRPr="00424949">
        <w:rPr>
          <w:rFonts w:eastAsia="Times New Roman" w:cs="Arial"/>
          <w:kern w:val="24"/>
          <w:lang w:eastAsia="en-AU"/>
        </w:rPr>
        <w:lastRenderedPageBreak/>
        <w:t>(</w:t>
      </w:r>
      <w:r w:rsidR="007B2C81">
        <w:rPr>
          <w:rFonts w:eastAsia="Times New Roman" w:cs="Arial"/>
          <w:kern w:val="24"/>
          <w:lang w:eastAsia="en-AU"/>
        </w:rPr>
        <w:t>3</w:t>
      </w:r>
      <w:r w:rsidR="00FC1126">
        <w:rPr>
          <w:rFonts w:eastAsia="Times New Roman" w:cs="Arial"/>
          <w:kern w:val="24"/>
          <w:lang w:eastAsia="en-AU"/>
        </w:rPr>
        <w:t>%</w:t>
      </w:r>
      <w:r>
        <w:rPr>
          <w:rFonts w:eastAsia="Times New Roman" w:cs="Arial"/>
          <w:kern w:val="24"/>
          <w:lang w:eastAsia="en-AU"/>
        </w:rPr>
        <w:t>, respectively</w:t>
      </w:r>
      <w:r w:rsidRPr="00424949">
        <w:rPr>
          <w:rFonts w:eastAsia="Times New Roman" w:cs="Arial"/>
          <w:kern w:val="24"/>
          <w:lang w:eastAsia="en-AU"/>
        </w:rPr>
        <w:t>); pet food (</w:t>
      </w:r>
      <w:r w:rsidR="008E4653">
        <w:rPr>
          <w:rFonts w:eastAsia="Times New Roman" w:cs="Arial"/>
          <w:kern w:val="24"/>
          <w:lang w:eastAsia="en-AU"/>
        </w:rPr>
        <w:t>2%</w:t>
      </w:r>
      <w:r w:rsidRPr="00424949">
        <w:rPr>
          <w:rFonts w:eastAsia="Times New Roman" w:cs="Arial"/>
          <w:kern w:val="24"/>
          <w:lang w:eastAsia="en-AU"/>
        </w:rPr>
        <w:t>)</w:t>
      </w:r>
      <w:r w:rsidR="00AF0CD2">
        <w:rPr>
          <w:rFonts w:eastAsia="Times New Roman" w:cs="Arial"/>
          <w:kern w:val="24"/>
          <w:lang w:eastAsia="en-AU"/>
        </w:rPr>
        <w:t>;</w:t>
      </w:r>
      <w:r w:rsidRPr="00424949">
        <w:rPr>
          <w:rFonts w:eastAsia="Times New Roman" w:cs="Arial"/>
          <w:kern w:val="24"/>
          <w:lang w:eastAsia="en-AU"/>
        </w:rPr>
        <w:t xml:space="preserve"> flowers /plants</w:t>
      </w:r>
      <w:r w:rsidR="00AF0CD2">
        <w:rPr>
          <w:rFonts w:eastAsia="Times New Roman" w:cs="Arial"/>
          <w:kern w:val="24"/>
          <w:lang w:eastAsia="en-AU"/>
        </w:rPr>
        <w:t xml:space="preserve"> (1%);</w:t>
      </w:r>
      <w:r w:rsidRPr="00424949">
        <w:rPr>
          <w:rFonts w:eastAsia="Times New Roman" w:cs="Arial"/>
          <w:kern w:val="24"/>
          <w:lang w:eastAsia="en-AU"/>
        </w:rPr>
        <w:t xml:space="preserve"> machinery and tools</w:t>
      </w:r>
      <w:r w:rsidR="00AF0CD2">
        <w:rPr>
          <w:rFonts w:eastAsia="Times New Roman" w:cs="Arial"/>
          <w:kern w:val="24"/>
          <w:lang w:eastAsia="en-AU"/>
        </w:rPr>
        <w:t xml:space="preserve"> (1%)</w:t>
      </w:r>
      <w:r w:rsidR="003738F3">
        <w:rPr>
          <w:rFonts w:eastAsia="Times New Roman" w:cs="Arial"/>
          <w:kern w:val="24"/>
          <w:lang w:eastAsia="en-AU"/>
        </w:rPr>
        <w:t>;</w:t>
      </w:r>
      <w:r w:rsidRPr="00424949">
        <w:rPr>
          <w:rFonts w:eastAsia="Times New Roman" w:cs="Arial"/>
          <w:kern w:val="24"/>
          <w:lang w:eastAsia="en-AU"/>
        </w:rPr>
        <w:t xml:space="preserve"> and bedding (</w:t>
      </w:r>
      <w:r w:rsidR="008E4653">
        <w:rPr>
          <w:rFonts w:eastAsia="Times New Roman" w:cs="Arial"/>
          <w:kern w:val="24"/>
          <w:lang w:eastAsia="en-AU"/>
        </w:rPr>
        <w:t>1%</w:t>
      </w:r>
      <w:r w:rsidRPr="00424949">
        <w:rPr>
          <w:rFonts w:eastAsia="Times New Roman" w:cs="Arial"/>
          <w:kern w:val="24"/>
          <w:lang w:eastAsia="en-AU"/>
        </w:rPr>
        <w:t>).</w:t>
      </w:r>
    </w:p>
    <w:p w14:paraId="4AD7634F" w14:textId="3E4E9415" w:rsidR="00172A6B" w:rsidRPr="00903487" w:rsidRDefault="00172A6B" w:rsidP="00245FFC">
      <w:r w:rsidRPr="00903487">
        <w:t xml:space="preserve">Consultation with government and industry stakeholders did not reveal any other product types for which consumers </w:t>
      </w:r>
      <w:r>
        <w:t>consistently sought</w:t>
      </w:r>
      <w:r w:rsidRPr="00903487">
        <w:t xml:space="preserve"> greater access to country </w:t>
      </w:r>
      <w:r w:rsidR="003D57E5">
        <w:t>of</w:t>
      </w:r>
      <w:r w:rsidR="003D57E5" w:rsidRPr="00903487">
        <w:t xml:space="preserve"> </w:t>
      </w:r>
      <w:r w:rsidRPr="00903487">
        <w:t xml:space="preserve">origin information. </w:t>
      </w:r>
      <w:r w:rsidR="007B478E">
        <w:t>Although, i</w:t>
      </w:r>
      <w:r w:rsidRPr="00903487">
        <w:t>t was noted several times that origin information should be clear</w:t>
      </w:r>
      <w:r>
        <w:t>er</w:t>
      </w:r>
      <w:r w:rsidRPr="00903487">
        <w:t xml:space="preserve"> for seafood and pork products. </w:t>
      </w:r>
    </w:p>
    <w:p w14:paraId="4409A8AA" w14:textId="6C77A321" w:rsidR="00172A6B" w:rsidRDefault="00172A6B" w:rsidP="00245FFC">
      <w:r>
        <w:t xml:space="preserve">Respondents to the national business survey were also asked whether the mandatory CoOL requirements should be extended to any non-food products. </w:t>
      </w:r>
      <w:r w:rsidR="003119F2">
        <w:t>Nearly half (</w:t>
      </w:r>
      <w:r>
        <w:t>40</w:t>
      </w:r>
      <w:r w:rsidR="008E4653">
        <w:t>%</w:t>
      </w:r>
      <w:r w:rsidR="003119F2">
        <w:t>)</w:t>
      </w:r>
      <w:r>
        <w:t xml:space="preserve"> of businesses agreed that it should be extended to non-food products, 28</w:t>
      </w:r>
      <w:r w:rsidR="008E4653">
        <w:t>%</w:t>
      </w:r>
      <w:r>
        <w:t xml:space="preserve"> of businesses disagreed with the extension and 32</w:t>
      </w:r>
      <w:r w:rsidR="008E4653">
        <w:t>%</w:t>
      </w:r>
      <w:r>
        <w:t xml:space="preserve"> of businesses were unsure. </w:t>
      </w:r>
    </w:p>
    <w:p w14:paraId="184B3AE6" w14:textId="1B0222C3" w:rsidR="00172A6B" w:rsidRDefault="00172A6B" w:rsidP="00172A6B">
      <w:pPr>
        <w:pStyle w:val="Heading3"/>
      </w:pPr>
      <w:bookmarkStart w:id="314" w:name="_Toc67499111"/>
      <w:r>
        <w:t>The Australian cut flower industry</w:t>
      </w:r>
      <w:bookmarkEnd w:id="314"/>
      <w:r>
        <w:t xml:space="preserve"> </w:t>
      </w:r>
    </w:p>
    <w:p w14:paraId="61D386C7" w14:textId="77777777" w:rsidR="00F13D5F" w:rsidRPr="00DC7225" w:rsidRDefault="00F13D5F" w:rsidP="00F13D5F">
      <w:pPr>
        <w:pStyle w:val="Heading4"/>
      </w:pPr>
      <w:r>
        <w:t>Background</w:t>
      </w:r>
    </w:p>
    <w:p w14:paraId="0AE6775C" w14:textId="753A0860" w:rsidR="00F13D5F" w:rsidRPr="00DC7225" w:rsidRDefault="00F13D5F" w:rsidP="00F13D5F">
      <w:r w:rsidRPr="00DC7225">
        <w:rPr>
          <w:rFonts w:cs="Segoe UI"/>
          <w:color w:val="000000"/>
        </w:rPr>
        <w:t xml:space="preserve">There is limited information on the </w:t>
      </w:r>
      <w:r>
        <w:rPr>
          <w:rFonts w:cs="Segoe UI"/>
          <w:color w:val="000000"/>
        </w:rPr>
        <w:t xml:space="preserve">volume </w:t>
      </w:r>
      <w:r w:rsidRPr="00DC7225">
        <w:rPr>
          <w:rFonts w:cs="Segoe UI"/>
          <w:color w:val="000000"/>
        </w:rPr>
        <w:t>of flowers imported into Australia. A few years ago</w:t>
      </w:r>
      <w:r w:rsidR="00DC6838">
        <w:rPr>
          <w:rFonts w:cs="Segoe UI"/>
          <w:color w:val="000000"/>
        </w:rPr>
        <w:t>,</w:t>
      </w:r>
      <w:r w:rsidRPr="00DC7225">
        <w:rPr>
          <w:rFonts w:cs="Segoe UI"/>
          <w:color w:val="000000"/>
        </w:rPr>
        <w:t xml:space="preserve"> </w:t>
      </w:r>
      <w:r w:rsidRPr="00DC7225">
        <w:rPr>
          <w:color w:val="26242E"/>
        </w:rPr>
        <w:t xml:space="preserve">the (then) </w:t>
      </w:r>
      <w:r w:rsidR="00735D71">
        <w:rPr>
          <w:color w:val="26242E"/>
        </w:rPr>
        <w:t xml:space="preserve">Department of Agriculture and Water Resources </w:t>
      </w:r>
      <w:r w:rsidRPr="00DC7225">
        <w:rPr>
          <w:color w:val="26242E"/>
        </w:rPr>
        <w:t>estimated that 10</w:t>
      </w:r>
      <w:r>
        <w:rPr>
          <w:color w:val="26242E"/>
        </w:rPr>
        <w:t>%</w:t>
      </w:r>
      <w:r w:rsidRPr="00DC7225">
        <w:rPr>
          <w:color w:val="26242E"/>
        </w:rPr>
        <w:t xml:space="preserve"> of cut flowers and foliage sold in Australia were imported, but </w:t>
      </w:r>
      <w:r>
        <w:rPr>
          <w:color w:val="26242E"/>
        </w:rPr>
        <w:t xml:space="preserve">some </w:t>
      </w:r>
      <w:r w:rsidRPr="00DC7225">
        <w:rPr>
          <w:color w:val="26242E"/>
        </w:rPr>
        <w:t xml:space="preserve">industry estimates at the time </w:t>
      </w:r>
      <w:r>
        <w:rPr>
          <w:color w:val="26242E"/>
        </w:rPr>
        <w:t xml:space="preserve">suggested </w:t>
      </w:r>
      <w:r w:rsidRPr="00DC7225">
        <w:rPr>
          <w:color w:val="26242E"/>
        </w:rPr>
        <w:t xml:space="preserve">the figure </w:t>
      </w:r>
      <w:r>
        <w:rPr>
          <w:color w:val="26242E"/>
        </w:rPr>
        <w:t>was</w:t>
      </w:r>
      <w:r w:rsidRPr="00DC7225">
        <w:rPr>
          <w:color w:val="26242E"/>
        </w:rPr>
        <w:t xml:space="preserve"> closer to 30</w:t>
      </w:r>
      <w:r>
        <w:rPr>
          <w:color w:val="26242E"/>
        </w:rPr>
        <w:t>%</w:t>
      </w:r>
      <w:r w:rsidRPr="00DC7225">
        <w:rPr>
          <w:color w:val="26242E"/>
        </w:rPr>
        <w:t xml:space="preserve">. Our own consultation heard from separate sources that </w:t>
      </w:r>
      <w:r w:rsidRPr="00DC7225">
        <w:rPr>
          <w:rFonts w:cs="Segoe UI"/>
          <w:color w:val="000000"/>
        </w:rPr>
        <w:t>roughly 50</w:t>
      </w:r>
      <w:r>
        <w:rPr>
          <w:rFonts w:cs="Segoe UI"/>
          <w:color w:val="000000"/>
        </w:rPr>
        <w:t>%</w:t>
      </w:r>
      <w:r w:rsidRPr="00DC7225">
        <w:rPr>
          <w:rFonts w:cs="Segoe UI"/>
          <w:color w:val="000000"/>
        </w:rPr>
        <w:t xml:space="preserve"> of cut flowers sold in Australia are imported, with this proportion changing throughout the year based on demand (which peaks for events such as Valentine’s Day and Mother’s Day) and seasonality.</w:t>
      </w:r>
      <w:r w:rsidRPr="0076348A">
        <w:t xml:space="preserve"> </w:t>
      </w:r>
      <w:r w:rsidRPr="00DC7225">
        <w:t xml:space="preserve">While not </w:t>
      </w:r>
      <w:r>
        <w:t>solely</w:t>
      </w:r>
      <w:r w:rsidRPr="00DC7225">
        <w:t xml:space="preserve"> the case, flowers sold in supermarkets are more likely to have been imported than those sold at florists.</w:t>
      </w:r>
    </w:p>
    <w:p w14:paraId="467DA996" w14:textId="6793AC50" w:rsidR="00F13D5F" w:rsidRPr="00DC7225" w:rsidRDefault="00F13D5F" w:rsidP="00F13D5F">
      <w:r w:rsidRPr="00DC7225">
        <w:t xml:space="preserve">Most imports come from </w:t>
      </w:r>
      <w:r w:rsidR="004D53AD">
        <w:t>six to eight</w:t>
      </w:r>
      <w:r w:rsidRPr="00DC7225">
        <w:t xml:space="preserve"> key countries including Malaysia, Colombia, </w:t>
      </w:r>
      <w:r w:rsidRPr="00DC7225">
        <w:rPr>
          <w:rFonts w:cs="Segoe UI"/>
          <w:color w:val="000000"/>
        </w:rPr>
        <w:t xml:space="preserve">China, Kenya, South Africa and Ecuador. Most have significantly lower labour costs than Australia, and often </w:t>
      </w:r>
      <w:r>
        <w:rPr>
          <w:rFonts w:cs="Segoe UI"/>
          <w:color w:val="000000"/>
        </w:rPr>
        <w:t xml:space="preserve">superior </w:t>
      </w:r>
      <w:r w:rsidRPr="00DC7225">
        <w:rPr>
          <w:rFonts w:cs="Segoe UI"/>
          <w:color w:val="000000"/>
        </w:rPr>
        <w:t>growing conditions. For example, roses are best grown at around 2,000</w:t>
      </w:r>
      <w:r>
        <w:rPr>
          <w:rFonts w:cs="Segoe UI"/>
          <w:color w:val="000000"/>
        </w:rPr>
        <w:t xml:space="preserve"> metres</w:t>
      </w:r>
      <w:r w:rsidRPr="00DC7225">
        <w:rPr>
          <w:rFonts w:cs="Segoe UI"/>
          <w:color w:val="000000"/>
        </w:rPr>
        <w:t xml:space="preserve"> above sea level and hence suited to locations such as Kenya and Ecuador. </w:t>
      </w:r>
      <w:r>
        <w:rPr>
          <w:rFonts w:cs="Segoe UI"/>
          <w:color w:val="000000"/>
        </w:rPr>
        <w:t>I</w:t>
      </w:r>
      <w:r w:rsidRPr="00DC7225">
        <w:rPr>
          <w:rFonts w:cs="Segoe UI"/>
          <w:color w:val="000000"/>
        </w:rPr>
        <w:t>mports from these countries have affected the Australian industry</w:t>
      </w:r>
      <w:r>
        <w:rPr>
          <w:rFonts w:cs="Segoe UI"/>
          <w:color w:val="000000"/>
        </w:rPr>
        <w:t xml:space="preserve"> - </w:t>
      </w:r>
      <w:r w:rsidRPr="00DC7225">
        <w:rPr>
          <w:rFonts w:cs="Segoe UI"/>
          <w:color w:val="000000"/>
        </w:rPr>
        <w:t>IBISW</w:t>
      </w:r>
      <w:r>
        <w:rPr>
          <w:rFonts w:cs="Segoe UI"/>
          <w:color w:val="000000"/>
        </w:rPr>
        <w:t>o</w:t>
      </w:r>
      <w:r w:rsidRPr="00DC7225">
        <w:rPr>
          <w:rFonts w:cs="Segoe UI"/>
          <w:color w:val="000000"/>
        </w:rPr>
        <w:t xml:space="preserve">rld cites the example of the Atherton tablelands which has seen the number of rose </w:t>
      </w:r>
      <w:r>
        <w:rPr>
          <w:rFonts w:cs="Segoe UI"/>
          <w:color w:val="000000"/>
        </w:rPr>
        <w:t>growers</w:t>
      </w:r>
      <w:r w:rsidRPr="00DC7225">
        <w:rPr>
          <w:rFonts w:cs="Segoe UI"/>
          <w:color w:val="000000"/>
        </w:rPr>
        <w:t xml:space="preserve"> fall from 11 to one over the past 20 years.</w:t>
      </w:r>
      <w:r w:rsidRPr="00DC7225">
        <w:rPr>
          <w:rStyle w:val="FootnoteReference"/>
          <w:rFonts w:cs="Segoe UI"/>
          <w:color w:val="000000"/>
        </w:rPr>
        <w:footnoteReference w:id="85"/>
      </w:r>
    </w:p>
    <w:p w14:paraId="6B5FBD57" w14:textId="77777777" w:rsidR="00F13D5F" w:rsidRPr="00BA49D3" w:rsidRDefault="00F13D5F" w:rsidP="00F13D5F">
      <w:pPr>
        <w:pStyle w:val="Heading4"/>
      </w:pPr>
      <w:r w:rsidRPr="00E53797">
        <w:t>Imported flowers and chemical concerns</w:t>
      </w:r>
    </w:p>
    <w:p w14:paraId="52EFAC5D" w14:textId="77777777" w:rsidR="00F13D5F" w:rsidRPr="00DC7225" w:rsidRDefault="00F13D5F" w:rsidP="00F13D5F">
      <w:r>
        <w:t>As imports have increased over the past few years</w:t>
      </w:r>
      <w:r w:rsidRPr="00DC7225">
        <w:t xml:space="preserve">, some florists and Australian growers have expressed concern about the use of chemicals to treat flowers which are imported into Australia. This issue has featured in a number of </w:t>
      </w:r>
      <w:r>
        <w:t xml:space="preserve">recent </w:t>
      </w:r>
      <w:r w:rsidRPr="00DC7225">
        <w:t xml:space="preserve">press reports, with concerns surrounding the fact that stems of cut flowers </w:t>
      </w:r>
      <w:r>
        <w:t>are often dipped</w:t>
      </w:r>
      <w:r w:rsidRPr="00DC7225">
        <w:t xml:space="preserve"> </w:t>
      </w:r>
      <w:r>
        <w:t xml:space="preserve">in </w:t>
      </w:r>
      <w:r w:rsidRPr="00DC7225">
        <w:t>glyphosate</w:t>
      </w:r>
      <w:r>
        <w:t xml:space="preserve"> or treated with methyl bromide fumigation</w:t>
      </w:r>
      <w:r w:rsidRPr="00DC7225">
        <w:t xml:space="preserve"> </w:t>
      </w:r>
      <w:r>
        <w:t xml:space="preserve">prior to </w:t>
      </w:r>
      <w:r w:rsidRPr="00DC7225">
        <w:t>enter</w:t>
      </w:r>
      <w:r>
        <w:t>ing</w:t>
      </w:r>
      <w:r w:rsidRPr="00DC7225">
        <w:t xml:space="preserve"> Australia, and that chemical residue </w:t>
      </w:r>
      <w:r>
        <w:t xml:space="preserve">can </w:t>
      </w:r>
      <w:r w:rsidRPr="00DC7225">
        <w:t>remain on the stems, posing health risks to florists and consumers.</w:t>
      </w:r>
    </w:p>
    <w:p w14:paraId="4FB44C11" w14:textId="1A24624E" w:rsidR="00F13D5F" w:rsidRPr="00DC7225" w:rsidRDefault="00F13D5F" w:rsidP="00F13D5F">
      <w:r w:rsidRPr="00DC7225">
        <w:t>New regulations, introduced in March 2018</w:t>
      </w:r>
      <w:r>
        <w:t xml:space="preserve"> in response to high levels of pest infestation on imported cut flowers</w:t>
      </w:r>
      <w:r w:rsidRPr="00DC7225">
        <w:t xml:space="preserve">, required the exporting country’s National Plant Protection Organisation to certify the flowers are pest-free and to fumigate them before they are shipped to Australia. However, </w:t>
      </w:r>
      <w:r>
        <w:t>compliance did not substantially improve</w:t>
      </w:r>
      <w:r w:rsidR="005140EB">
        <w:t>,</w:t>
      </w:r>
      <w:r>
        <w:t xml:space="preserve"> and in September 2019</w:t>
      </w:r>
      <w:r w:rsidR="00DE6006">
        <w:t>,</w:t>
      </w:r>
      <w:r>
        <w:t xml:space="preserve"> the Government introduced requirements for an export permit from Columbia, Ecuador or Kenya. This improved outcomes, however, non-compliance remains high, with non-compliance at 63% from one country and at or above 20% from several other countries, from September 2019 to January 2020.</w:t>
      </w:r>
      <w:r w:rsidRPr="008572A4">
        <w:rPr>
          <w:rStyle w:val="FootnoteReference"/>
          <w:color w:val="26242E"/>
        </w:rPr>
        <w:t xml:space="preserve"> </w:t>
      </w:r>
      <w:r>
        <w:rPr>
          <w:rStyle w:val="FootnoteReference"/>
          <w:color w:val="26242E"/>
        </w:rPr>
        <w:footnoteReference w:id="86"/>
      </w:r>
    </w:p>
    <w:p w14:paraId="1FCDEA19" w14:textId="77777777" w:rsidR="00F13D5F" w:rsidRPr="00BA49D3" w:rsidRDefault="00F13D5F" w:rsidP="00F13D5F">
      <w:pPr>
        <w:pStyle w:val="Heading4"/>
      </w:pPr>
      <w:r w:rsidRPr="00E53797">
        <w:t>Stakeholder views</w:t>
      </w:r>
    </w:p>
    <w:p w14:paraId="399A892A" w14:textId="370E0745" w:rsidR="00F13D5F" w:rsidRDefault="00F13D5F" w:rsidP="00F13D5F">
      <w:r w:rsidRPr="00DC7225">
        <w:t xml:space="preserve">There are </w:t>
      </w:r>
      <w:r>
        <w:t>two</w:t>
      </w:r>
      <w:r w:rsidRPr="00DC7225">
        <w:t xml:space="preserve"> different sets of </w:t>
      </w:r>
      <w:r w:rsidR="0056149D">
        <w:t xml:space="preserve">stakeholder </w:t>
      </w:r>
      <w:r w:rsidR="00172A6B" w:rsidRPr="00DC7225">
        <w:t>views on the need for a CoOL scheme in the cut flower industry.</w:t>
      </w:r>
      <w:r w:rsidR="00172A6B">
        <w:t xml:space="preserve"> </w:t>
      </w:r>
      <w:r>
        <w:t>One view is that a CoOL scheme is desirable because it will:</w:t>
      </w:r>
    </w:p>
    <w:p w14:paraId="788CE00E" w14:textId="00DC1A97" w:rsidR="00F13D5F" w:rsidRDefault="00F13D5F" w:rsidP="00F13D5F">
      <w:pPr>
        <w:pStyle w:val="ListParagraph"/>
        <w:numPr>
          <w:ilvl w:val="0"/>
          <w:numId w:val="18"/>
        </w:numPr>
        <w:spacing w:after="160" w:line="256" w:lineRule="auto"/>
      </w:pPr>
      <w:r>
        <w:t>Better inform customers about the origin of cut flowers</w:t>
      </w:r>
      <w:r w:rsidR="00DE6006">
        <w:t>.</w:t>
      </w:r>
    </w:p>
    <w:p w14:paraId="4F7C6415" w14:textId="16F4B493" w:rsidR="00F13D5F" w:rsidRDefault="00F13D5F" w:rsidP="00F13D5F">
      <w:pPr>
        <w:pStyle w:val="ListParagraph"/>
        <w:numPr>
          <w:ilvl w:val="0"/>
          <w:numId w:val="18"/>
        </w:numPr>
        <w:spacing w:after="160" w:line="256" w:lineRule="auto"/>
      </w:pPr>
      <w:r>
        <w:t>Correct apparent misperceptions by consumers that cut flowers (especially Australian natives) are all grown in Australia</w:t>
      </w:r>
      <w:r w:rsidR="00DE6006">
        <w:t>.</w:t>
      </w:r>
      <w:r>
        <w:t xml:space="preserve">  </w:t>
      </w:r>
    </w:p>
    <w:p w14:paraId="72186227" w14:textId="44C03B34" w:rsidR="00F13D5F" w:rsidRDefault="00F13D5F" w:rsidP="00F13D5F">
      <w:pPr>
        <w:pStyle w:val="ListParagraph"/>
        <w:numPr>
          <w:ilvl w:val="0"/>
          <w:numId w:val="18"/>
        </w:numPr>
        <w:spacing w:after="160" w:line="256" w:lineRule="auto"/>
      </w:pPr>
      <w:r>
        <w:t>Highlight imports and signal to workers and consumers that certain flowers might have pests and chemical residue</w:t>
      </w:r>
      <w:r w:rsidR="00DE6006">
        <w:t>.</w:t>
      </w:r>
    </w:p>
    <w:p w14:paraId="2C7A5AEB" w14:textId="77777777" w:rsidR="00F13D5F" w:rsidRDefault="00F13D5F" w:rsidP="00F13D5F">
      <w:pPr>
        <w:pStyle w:val="ListParagraph"/>
        <w:numPr>
          <w:ilvl w:val="0"/>
          <w:numId w:val="18"/>
        </w:numPr>
        <w:spacing w:after="160" w:line="256" w:lineRule="auto"/>
      </w:pPr>
      <w:r>
        <w:lastRenderedPageBreak/>
        <w:t>Promote local growers and sales of Australian flowers, improving growers’ financial viability and reducing biosecurity risks.</w:t>
      </w:r>
    </w:p>
    <w:p w14:paraId="6CFEC0CF" w14:textId="2591A70A" w:rsidR="00F13D5F" w:rsidRDefault="00F13D5F" w:rsidP="00CD300A">
      <w:r>
        <w:t xml:space="preserve">The issue of a lack of consumer knowledge about the origin of flowers was highlighted by stakeholders that supported CoOL for flowers. For example, Flower Industry Australia provided anecdotal evidence that staff members and managers at supermarkets in Melbourne, Sydney, Grafton and the Gold Coast were unaware of the origin of flowers. </w:t>
      </w:r>
    </w:p>
    <w:p w14:paraId="6A7773EB" w14:textId="62F44AB7" w:rsidR="00F13D5F" w:rsidRPr="00DC7225" w:rsidRDefault="00F13D5F" w:rsidP="00CD300A">
      <w:r>
        <w:t xml:space="preserve">The Australian Flower Council supported CoOL for the above reasons but noted that </w:t>
      </w:r>
      <w:r w:rsidRPr="00DC7225">
        <w:t xml:space="preserve">CoOL for cut flowers would </w:t>
      </w:r>
      <w:r>
        <w:t xml:space="preserve">require </w:t>
      </w:r>
      <w:r w:rsidRPr="00DC7225">
        <w:t>solutions that are slightly different from those that are required for food items, due to mixed bunches being made from individual flowers sourced worldwide.</w:t>
      </w:r>
      <w:r>
        <w:t xml:space="preserve"> </w:t>
      </w:r>
    </w:p>
    <w:p w14:paraId="03A6F4E9" w14:textId="1461B928" w:rsidR="00F13D5F" w:rsidRPr="00DC7225" w:rsidRDefault="00F13D5F" w:rsidP="00CD300A">
      <w:r>
        <w:t xml:space="preserve">The </w:t>
      </w:r>
      <w:r w:rsidR="00045603">
        <w:t>NFF</w:t>
      </w:r>
      <w:r w:rsidRPr="00DC7225">
        <w:t xml:space="preserve"> suggest</w:t>
      </w:r>
      <w:r>
        <w:t>ed that the rationale for</w:t>
      </w:r>
      <w:r w:rsidRPr="00DC7225">
        <w:t xml:space="preserve"> providing country of origin information </w:t>
      </w:r>
      <w:r>
        <w:t>for</w:t>
      </w:r>
      <w:r w:rsidRPr="00DC7225">
        <w:t xml:space="preserve"> cut flowers at the point of sale is no different </w:t>
      </w:r>
      <w:r>
        <w:t xml:space="preserve">to that for </w:t>
      </w:r>
      <w:r w:rsidRPr="00DC7225">
        <w:t>food products</w:t>
      </w:r>
      <w:r w:rsidR="00BF1456">
        <w:t>,</w:t>
      </w:r>
      <w:r w:rsidRPr="00DC7225">
        <w:t xml:space="preserve"> and should be in place to better inform consumers on their purchasing choice.</w:t>
      </w:r>
    </w:p>
    <w:p w14:paraId="370E4FC2" w14:textId="3E42B309" w:rsidR="00F13D5F" w:rsidRDefault="00F13D5F" w:rsidP="00F13D5F">
      <w:pPr>
        <w:pStyle w:val="ListBullet"/>
        <w:numPr>
          <w:ilvl w:val="0"/>
          <w:numId w:val="0"/>
        </w:numPr>
      </w:pPr>
      <w:r w:rsidRPr="00DC7225">
        <w:rPr>
          <w:szCs w:val="18"/>
        </w:rPr>
        <w:t>On the other hand</w:t>
      </w:r>
      <w:r>
        <w:rPr>
          <w:szCs w:val="18"/>
        </w:rPr>
        <w:t>,</w:t>
      </w:r>
      <w:r w:rsidRPr="00DC7225">
        <w:rPr>
          <w:szCs w:val="18"/>
        </w:rPr>
        <w:t xml:space="preserve"> </w:t>
      </w:r>
      <w:r>
        <w:t>opponents to the inclusion of cut flowers in the CoOL scheme cited concerns including the following:</w:t>
      </w:r>
    </w:p>
    <w:p w14:paraId="3B169966" w14:textId="27466C3B" w:rsidR="00F13D5F" w:rsidRPr="004D3AA3" w:rsidRDefault="00F13D5F" w:rsidP="00F13D5F">
      <w:pPr>
        <w:pStyle w:val="ListParagraph"/>
        <w:numPr>
          <w:ilvl w:val="0"/>
          <w:numId w:val="18"/>
        </w:numPr>
        <w:spacing w:after="160" w:line="256" w:lineRule="auto"/>
      </w:pPr>
      <w:r>
        <w:t xml:space="preserve">Practical difficulties: the supply </w:t>
      </w:r>
      <w:r w:rsidR="000F4832">
        <w:t xml:space="preserve">chain </w:t>
      </w:r>
      <w:r>
        <w:t xml:space="preserve">for cut flowers is complex with many handling steps including exporters and importers, growers, wholesale markets, distributors and retailers </w:t>
      </w:r>
    </w:p>
    <w:p w14:paraId="6D07A250" w14:textId="1FDB3461" w:rsidR="00F13D5F" w:rsidRPr="004D3AA3" w:rsidRDefault="00F13D5F" w:rsidP="00F13D5F">
      <w:pPr>
        <w:pStyle w:val="ListParagraph"/>
        <w:numPr>
          <w:ilvl w:val="0"/>
          <w:numId w:val="18"/>
        </w:numPr>
        <w:spacing w:after="160" w:line="256" w:lineRule="auto"/>
      </w:pPr>
      <w:r>
        <w:t>Often flowers do</w:t>
      </w:r>
      <w:r w:rsidR="00C52C17">
        <w:t xml:space="preserve"> </w:t>
      </w:r>
      <w:r>
        <w:t>n</w:t>
      </w:r>
      <w:r w:rsidR="00C52C17">
        <w:t>o</w:t>
      </w:r>
      <w:r>
        <w:t xml:space="preserve">t have any labels as they move through </w:t>
      </w:r>
      <w:r w:rsidR="002E52DD">
        <w:t xml:space="preserve">the </w:t>
      </w:r>
      <w:r>
        <w:t>supply chain. This makes tracing origins complex and costly</w:t>
      </w:r>
    </w:p>
    <w:p w14:paraId="58EAC31C" w14:textId="77777777" w:rsidR="00F13D5F" w:rsidRPr="004D3AA3" w:rsidRDefault="00F13D5F" w:rsidP="00F13D5F">
      <w:pPr>
        <w:pStyle w:val="ListParagraph"/>
        <w:numPr>
          <w:ilvl w:val="0"/>
          <w:numId w:val="18"/>
        </w:numPr>
        <w:spacing w:after="160" w:line="256" w:lineRule="auto"/>
      </w:pPr>
      <w:r>
        <w:t>There are particular complexities with labelling for mixed bunches of flowers where they are a mix of imported and local flowers</w:t>
      </w:r>
    </w:p>
    <w:p w14:paraId="414BE050" w14:textId="79A01CCA" w:rsidR="00F13D5F" w:rsidRPr="00DD216E" w:rsidRDefault="00F13D5F" w:rsidP="00F13D5F">
      <w:pPr>
        <w:pStyle w:val="ListParagraph"/>
        <w:numPr>
          <w:ilvl w:val="0"/>
          <w:numId w:val="18"/>
        </w:numPr>
        <w:spacing w:after="160" w:line="256" w:lineRule="auto"/>
      </w:pPr>
      <w:r>
        <w:t>Many growers are small businesses and labelling costs would be a significant impost</w:t>
      </w:r>
    </w:p>
    <w:p w14:paraId="16E9406C" w14:textId="7F3AC39E" w:rsidR="00F13D5F" w:rsidRPr="00DD216E" w:rsidRDefault="00F13D5F" w:rsidP="00F13D5F">
      <w:pPr>
        <w:pStyle w:val="ListParagraph"/>
        <w:numPr>
          <w:ilvl w:val="0"/>
          <w:numId w:val="18"/>
        </w:numPr>
        <w:spacing w:after="160" w:line="256" w:lineRule="auto"/>
      </w:pPr>
      <w:r w:rsidRPr="00DD216E">
        <w:t xml:space="preserve">There is a lack of consumer demand for </w:t>
      </w:r>
      <w:r>
        <w:rPr>
          <w:rFonts w:eastAsia="Calibri" w:cs="Times New Roman"/>
        </w:rPr>
        <w:t>CoOL.</w:t>
      </w:r>
      <w:r w:rsidRPr="00CC297D">
        <w:rPr>
          <w:rFonts w:eastAsia="Calibri" w:cs="Times New Roman"/>
        </w:rPr>
        <w:t xml:space="preserve"> </w:t>
      </w:r>
      <w:r w:rsidRPr="00DD216E">
        <w:t>One major industry player indicated it had a register of customer comments going back to 2013 and there had not been a single question regarding the origin of flowers</w:t>
      </w:r>
    </w:p>
    <w:p w14:paraId="0D591D2B" w14:textId="77777777" w:rsidR="00F13D5F" w:rsidRPr="00CD3ACB" w:rsidRDefault="00F13D5F" w:rsidP="00F13D5F">
      <w:pPr>
        <w:pStyle w:val="ListParagraph"/>
        <w:numPr>
          <w:ilvl w:val="0"/>
          <w:numId w:val="18"/>
        </w:numPr>
        <w:spacing w:after="160" w:line="256" w:lineRule="auto"/>
      </w:pPr>
      <w:r>
        <w:t xml:space="preserve">There is often a lack of alternative flower options even if </w:t>
      </w:r>
      <w:r>
        <w:rPr>
          <w:rFonts w:eastAsia="Calibri" w:cs="Times New Roman"/>
        </w:rPr>
        <w:t>CoOL</w:t>
      </w:r>
      <w:r w:rsidRPr="00CC297D">
        <w:rPr>
          <w:rFonts w:eastAsia="Calibri" w:cs="Times New Roman"/>
        </w:rPr>
        <w:t xml:space="preserve"> </w:t>
      </w:r>
      <w:r>
        <w:t>information was available and consumers sought to purchase Australian flowers. Seasonality often means there are no directly comparable Australian flowers at certain times of the year.</w:t>
      </w:r>
    </w:p>
    <w:p w14:paraId="2EC0BB5C" w14:textId="77777777" w:rsidR="00F13D5F" w:rsidRPr="00E53797" w:rsidRDefault="00F13D5F" w:rsidP="00F13D5F">
      <w:pPr>
        <w:pStyle w:val="Heading4"/>
        <w:rPr>
          <w:iCs w:val="0"/>
        </w:rPr>
      </w:pPr>
      <w:r>
        <w:t>Consumer engagement is only modest</w:t>
      </w:r>
    </w:p>
    <w:p w14:paraId="32E08FDD" w14:textId="1DAC0A07" w:rsidR="00F13D5F" w:rsidRDefault="00F13D5F" w:rsidP="00F13D5F">
      <w:r>
        <w:t>Our consumer research suggested that</w:t>
      </w:r>
      <w:r w:rsidRPr="00DC7225">
        <w:t xml:space="preserve"> having access to more precise country of origin information for cut flowers does not appear to be important to consumers. Cut flowers were not routinely identified in either the consumer focus groups or </w:t>
      </w:r>
      <w:r>
        <w:t xml:space="preserve">the </w:t>
      </w:r>
      <w:r w:rsidRPr="00DC7225">
        <w:t xml:space="preserve">consumer survey as a non-food product for which consumers would like to </w:t>
      </w:r>
      <w:r>
        <w:t>see</w:t>
      </w:r>
      <w:r w:rsidRPr="00DC7225">
        <w:t xml:space="preserve"> country of origin information. </w:t>
      </w:r>
      <w:r>
        <w:t>However, issues around the origin of cut flowers</w:t>
      </w:r>
      <w:r w:rsidR="00DE6006">
        <w:t>,</w:t>
      </w:r>
      <w:r>
        <w:t xml:space="preserve"> including biosecurity and health risks from imported flowers, have been highlighted recently in a number of press reports. An online change.org petition calling for the mandatory labelling of imported cut flowers and foliage has been circulating for </w:t>
      </w:r>
      <w:r w:rsidR="00E73A04">
        <w:t>six</w:t>
      </w:r>
      <w:r>
        <w:t xml:space="preserve"> months and had 1,540 signatures at 16 February 2021. </w:t>
      </w:r>
    </w:p>
    <w:p w14:paraId="6BFBEA26" w14:textId="49E556F3" w:rsidR="00F13D5F" w:rsidRDefault="00F13D5F" w:rsidP="00F13D5F">
      <w:r w:rsidRPr="00714E2C">
        <w:t>The Australian Flower Council notes a proportion of people in the flower industry are already using QR codes, social media and various other communication applications to engage and inform consumers.</w:t>
      </w:r>
    </w:p>
    <w:p w14:paraId="3A529DFB" w14:textId="77777777" w:rsidR="00F13D5F" w:rsidRPr="00BA49D3" w:rsidRDefault="00F13D5F" w:rsidP="00F13D5F">
      <w:pPr>
        <w:pStyle w:val="Heading4"/>
      </w:pPr>
      <w:r w:rsidRPr="00E53797">
        <w:t xml:space="preserve">The </w:t>
      </w:r>
      <w:r>
        <w:t>New South Wales</w:t>
      </w:r>
      <w:r w:rsidRPr="00E53797">
        <w:t xml:space="preserve"> Grown in Australia </w:t>
      </w:r>
      <w:r w:rsidRPr="008B0C11">
        <w:t>trademark</w:t>
      </w:r>
    </w:p>
    <w:p w14:paraId="0E836880" w14:textId="0408F998" w:rsidR="00F13D5F" w:rsidRPr="00E53797" w:rsidRDefault="00F13D5F" w:rsidP="00F13D5F">
      <w:r>
        <w:t>Following an application by the Flower Growers Group of New South Wales (NSW) the</w:t>
      </w:r>
      <w:r w:rsidRPr="00DC7225">
        <w:t xml:space="preserve"> </w:t>
      </w:r>
      <w:r>
        <w:t>Australian Government</w:t>
      </w:r>
      <w:r w:rsidRPr="00DC7225">
        <w:t xml:space="preserve"> approved a</w:t>
      </w:r>
      <w:r>
        <w:t xml:space="preserve">n Australian-grown trademark for cut flowers in 2018. The trademark can be applied only to flowers which are grown in </w:t>
      </w:r>
      <w:r w:rsidR="00E011B7">
        <w:t>Australia and</w:t>
      </w:r>
      <w:r>
        <w:t xml:space="preserve"> cannot be used where Australian flowers are combined with imported flowers.</w:t>
      </w:r>
      <w:r>
        <w:rPr>
          <w:rStyle w:val="FootnoteReference"/>
        </w:rPr>
        <w:footnoteReference w:id="87"/>
      </w:r>
      <w:r>
        <w:t xml:space="preserve"> However</w:t>
      </w:r>
      <w:r w:rsidR="00E011B7">
        <w:t>,</w:t>
      </w:r>
      <w:r>
        <w:t xml:space="preserve"> take-up of the trademark has been low, reportedly because funds have not been available to promote its use.</w:t>
      </w:r>
    </w:p>
    <w:p w14:paraId="30B49DEB" w14:textId="77777777" w:rsidR="00F13D5F" w:rsidRPr="00BA49D3" w:rsidRDefault="00F13D5F" w:rsidP="00F13D5F">
      <w:pPr>
        <w:pStyle w:val="Heading4"/>
      </w:pPr>
      <w:r w:rsidRPr="00E53797">
        <w:t xml:space="preserve">International </w:t>
      </w:r>
      <w:r>
        <w:rPr>
          <w:rFonts w:eastAsia="Calibri" w:cs="Times New Roman"/>
        </w:rPr>
        <w:t>CoOL</w:t>
      </w:r>
      <w:r w:rsidRPr="00CC297D">
        <w:rPr>
          <w:rFonts w:eastAsia="Calibri" w:cs="Times New Roman"/>
        </w:rPr>
        <w:t xml:space="preserve"> </w:t>
      </w:r>
      <w:r w:rsidRPr="00E53797">
        <w:t>schemes</w:t>
      </w:r>
      <w:r>
        <w:t xml:space="preserve"> for flowers</w:t>
      </w:r>
    </w:p>
    <w:p w14:paraId="1C1B0C0D" w14:textId="5E1D6339" w:rsidR="00F13D5F" w:rsidRPr="00E9038A" w:rsidRDefault="002B1DEE" w:rsidP="00F13D5F">
      <w:r>
        <w:t>A desktop scan did not</w:t>
      </w:r>
      <w:r w:rsidR="00F13D5F" w:rsidRPr="00E9038A">
        <w:t xml:space="preserve"> </w:t>
      </w:r>
      <w:r w:rsidR="00F13D5F">
        <w:t>identify</w:t>
      </w:r>
      <w:r w:rsidR="00F13D5F" w:rsidRPr="00E9038A">
        <w:t xml:space="preserve"> any overseas examples of mandatory </w:t>
      </w:r>
      <w:r w:rsidR="00F13D5F">
        <w:rPr>
          <w:rFonts w:eastAsia="Calibri" w:cs="Times New Roman"/>
        </w:rPr>
        <w:t>CoOL</w:t>
      </w:r>
      <w:r w:rsidR="00F13D5F" w:rsidRPr="00CC297D">
        <w:rPr>
          <w:rFonts w:eastAsia="Calibri" w:cs="Times New Roman"/>
        </w:rPr>
        <w:t xml:space="preserve"> </w:t>
      </w:r>
      <w:r w:rsidR="00F13D5F" w:rsidRPr="00E9038A">
        <w:t>requirements for cut flowers. However</w:t>
      </w:r>
      <w:r w:rsidR="00F13D5F">
        <w:t>,</w:t>
      </w:r>
      <w:r w:rsidR="00F13D5F" w:rsidRPr="00E9038A">
        <w:t xml:space="preserve"> </w:t>
      </w:r>
      <w:r w:rsidR="00F13D5F">
        <w:t xml:space="preserve">some </w:t>
      </w:r>
      <w:r w:rsidR="00F13D5F" w:rsidRPr="00E9038A">
        <w:t xml:space="preserve">non-mandatory regional and national schemes do </w:t>
      </w:r>
      <w:r w:rsidR="00331E8D" w:rsidRPr="00E9038A">
        <w:t>exist</w:t>
      </w:r>
      <w:r w:rsidR="00331E8D">
        <w:t>. F</w:t>
      </w:r>
      <w:r w:rsidR="00F13D5F" w:rsidRPr="00E9038A">
        <w:t>or example</w:t>
      </w:r>
      <w:r w:rsidR="00F13D5F">
        <w:t>,</w:t>
      </w:r>
      <w:r w:rsidR="00F13D5F" w:rsidRPr="00E9038A">
        <w:t xml:space="preserve"> the </w:t>
      </w:r>
      <w:r w:rsidR="00F13D5F" w:rsidRPr="00E9038A">
        <w:lastRenderedPageBreak/>
        <w:t>Californian Cut Flower Commission initiated a</w:t>
      </w:r>
      <w:r w:rsidR="0066798F">
        <w:t>n</w:t>
      </w:r>
      <w:r w:rsidR="00F13D5F" w:rsidRPr="00E9038A">
        <w:t xml:space="preserve"> “American Grown” certification scheme for cut flowers in 2014</w:t>
      </w:r>
      <w:r w:rsidR="00F13D5F">
        <w:t>.</w:t>
      </w:r>
      <w:r w:rsidR="00F13D5F" w:rsidRPr="00E9038A">
        <w:rPr>
          <w:rStyle w:val="FootnoteReference"/>
        </w:rPr>
        <w:footnoteReference w:id="88"/>
      </w:r>
    </w:p>
    <w:p w14:paraId="1BC3D1F1" w14:textId="230D1076" w:rsidR="00F13D5F" w:rsidRPr="00BA49D3" w:rsidRDefault="00F13D5F" w:rsidP="00F13D5F">
      <w:pPr>
        <w:pStyle w:val="Heading4"/>
      </w:pPr>
      <w:r>
        <w:t xml:space="preserve">The inclusion of cut flowers </w:t>
      </w:r>
      <w:r w:rsidR="0066798F">
        <w:t>with</w:t>
      </w:r>
      <w:r>
        <w:t xml:space="preserve">in </w:t>
      </w:r>
      <w:r w:rsidR="00C7237D">
        <w:t xml:space="preserve">the </w:t>
      </w:r>
      <w:r>
        <w:t xml:space="preserve">existing </w:t>
      </w:r>
      <w:r w:rsidR="00C7237D">
        <w:t xml:space="preserve">CoOL </w:t>
      </w:r>
      <w:r>
        <w:t xml:space="preserve">scheme </w:t>
      </w:r>
      <w:r w:rsidR="004B41F5">
        <w:t xml:space="preserve">is </w:t>
      </w:r>
      <w:r>
        <w:t>unlikely to be warranted</w:t>
      </w:r>
    </w:p>
    <w:p w14:paraId="4259B855" w14:textId="34DF4A20" w:rsidR="00F13D5F" w:rsidRDefault="00F13D5F" w:rsidP="00F13D5F">
      <w:r>
        <w:t>The existing CoOL scheme is designed for food</w:t>
      </w:r>
      <w:r w:rsidR="008A0317">
        <w:t>,</w:t>
      </w:r>
      <w:r>
        <w:t xml:space="preserve"> and amendments would need to be made to accommodate cut flowers. A relatively straightforward way of doing so would be to require cut flowers to be identified at the point of retail sale as either:</w:t>
      </w:r>
    </w:p>
    <w:p w14:paraId="07016E0C" w14:textId="42046FE3" w:rsidR="00F13D5F" w:rsidRDefault="00F13D5F" w:rsidP="00F13D5F">
      <w:pPr>
        <w:pStyle w:val="ListParagraph"/>
        <w:numPr>
          <w:ilvl w:val="0"/>
          <w:numId w:val="18"/>
        </w:numPr>
        <w:spacing w:after="160" w:line="256" w:lineRule="auto"/>
      </w:pPr>
      <w:r>
        <w:t>Grown in Australia (where 100% of the bunch/arrangement are grown in Australia)</w:t>
      </w:r>
      <w:r w:rsidR="00D24340">
        <w:t>.</w:t>
      </w:r>
    </w:p>
    <w:p w14:paraId="5CE77BAE" w14:textId="3F4541F0" w:rsidR="00F13D5F" w:rsidRDefault="00F13D5F" w:rsidP="00F13D5F">
      <w:pPr>
        <w:pStyle w:val="ListParagraph"/>
        <w:numPr>
          <w:ilvl w:val="0"/>
          <w:numId w:val="18"/>
        </w:numPr>
        <w:spacing w:after="160" w:line="256" w:lineRule="auto"/>
      </w:pPr>
      <w:r>
        <w:t>Grown outside Australia (which could cover the situation when bunches/arrangements are entirely grown in a single overseas country, or multiple overseas countries)</w:t>
      </w:r>
      <w:r w:rsidR="00D24340">
        <w:t>.</w:t>
      </w:r>
    </w:p>
    <w:p w14:paraId="37809A54" w14:textId="77777777" w:rsidR="00F13D5F" w:rsidRDefault="00F13D5F" w:rsidP="00F13D5F">
      <w:pPr>
        <w:pStyle w:val="ListParagraph"/>
        <w:numPr>
          <w:ilvl w:val="0"/>
          <w:numId w:val="18"/>
        </w:numPr>
        <w:spacing w:after="160" w:line="256" w:lineRule="auto"/>
      </w:pPr>
      <w:r>
        <w:t>Grown in Australia and overseas (where flowers are of mixed origin). A decision would need to be made regarding whether it is desirable to specify what proportion of flowers, in the case of a mixed bunch, are from overseas – i.e. aligning with the existing CoOL scheme for food - or simply identifying that some are from overseas.</w:t>
      </w:r>
    </w:p>
    <w:p w14:paraId="5BAD535E" w14:textId="6E23AF72" w:rsidR="00F13D5F" w:rsidRDefault="00F13D5F" w:rsidP="00F13D5F">
      <w:r>
        <w:t xml:space="preserve">An alternative option would be to enable or mandate flowers 100% grown in Australia to be identified as “Grown in Australia”, similar to the existing trademark, but not require overseas grown flowers to be identified as such. However, this form of labelling would be quite different from the existing CoOL scheme which provides that products or ingredients from overseas are identified as such. </w:t>
      </w:r>
    </w:p>
    <w:p w14:paraId="23642899" w14:textId="77777777" w:rsidR="00F13D5F" w:rsidRDefault="00F13D5F" w:rsidP="00F13D5F">
      <w:r>
        <w:t>Having considered the nature of the industry and stakeholders’ positions, our view is that the benefits of including cut flowers in the existing CoOL scheme (even with specific provisions relating to cut flowers) are unlikely to exceed the costs. While consumer interest in the origin of cut flowers has increased recently, it does not appear to currently be at a level that would justify inclusion in the scheme. The supply chain complexities and common practice of selling flowers in mixed bunches is problematic and it would not be practical for flower sellers to specify the proportion of flowers in a particular bunch or arrangement that are from overseas. Ultimately there is a risk that CoOL labelling would lead to higher costs for consumers.</w:t>
      </w:r>
    </w:p>
    <w:p w14:paraId="54763B31" w14:textId="545E00D8" w:rsidR="00F13D5F" w:rsidRDefault="002B1DEE" w:rsidP="00F13D5F">
      <w:r>
        <w:t>P</w:t>
      </w:r>
      <w:r w:rsidR="00F13D5F">
        <w:t xml:space="preserve">ests and chemical residue issues in respect of imported cut flowers do need addressing and there are potential consumer safety concerns; however, the existing CoOL scheme </w:t>
      </w:r>
      <w:r>
        <w:t>is not necessarily the appropriate</w:t>
      </w:r>
      <w:r w:rsidR="00F13D5F">
        <w:t xml:space="preserve"> instrument to do so. Instead, t</w:t>
      </w:r>
      <w:r w:rsidR="00F13D5F" w:rsidRPr="00D33F0A">
        <w:t xml:space="preserve">he issues of pest and chemical residue should be managed </w:t>
      </w:r>
      <w:r w:rsidR="00F13D5F">
        <w:t xml:space="preserve">directly </w:t>
      </w:r>
      <w:r w:rsidR="00F13D5F" w:rsidRPr="00D33F0A">
        <w:t xml:space="preserve">through </w:t>
      </w:r>
      <w:r w:rsidR="003C1246">
        <w:t>DAWE</w:t>
      </w:r>
      <w:r w:rsidR="00F13D5F" w:rsidRPr="00D33F0A">
        <w:t xml:space="preserve">. </w:t>
      </w:r>
    </w:p>
    <w:p w14:paraId="07C6AD67" w14:textId="239E8D99" w:rsidR="0020596D" w:rsidRDefault="00F13D5F" w:rsidP="00AC3137">
      <w:r>
        <w:t xml:space="preserve">To the extent that some form of origin labelling for cut flowers </w:t>
      </w:r>
      <w:r w:rsidR="00EB0586">
        <w:t>is considered desirable</w:t>
      </w:r>
      <w:r w:rsidR="009A770D">
        <w:t xml:space="preserve">, there are </w:t>
      </w:r>
      <w:r w:rsidR="00AC3137">
        <w:t>a</w:t>
      </w:r>
      <w:r>
        <w:t xml:space="preserve"> </w:t>
      </w:r>
      <w:r w:rsidR="009A770D">
        <w:t xml:space="preserve">number of </w:t>
      </w:r>
      <w:r w:rsidR="00E23157">
        <w:t>paths that could be followed</w:t>
      </w:r>
      <w:r w:rsidR="00E45F96">
        <w:t xml:space="preserve">. </w:t>
      </w:r>
      <w:r w:rsidR="000B6E82">
        <w:t>These include</w:t>
      </w:r>
      <w:r w:rsidR="0020596D">
        <w:t>:</w:t>
      </w:r>
    </w:p>
    <w:p w14:paraId="7BB1C2CD" w14:textId="675BE953" w:rsidR="00F13D5F" w:rsidRDefault="003F5A5C" w:rsidP="00F13D5F">
      <w:pPr>
        <w:pStyle w:val="ListParagraph"/>
        <w:numPr>
          <w:ilvl w:val="0"/>
          <w:numId w:val="18"/>
        </w:numPr>
        <w:spacing w:after="160" w:line="256" w:lineRule="auto"/>
      </w:pPr>
      <w:r>
        <w:t xml:space="preserve">A </w:t>
      </w:r>
      <w:r w:rsidR="00F13D5F">
        <w:t>voluntary, industry</w:t>
      </w:r>
      <w:r w:rsidR="009E776A">
        <w:t>-</w:t>
      </w:r>
      <w:r w:rsidR="00F13D5F">
        <w:t>based scheme</w:t>
      </w:r>
    </w:p>
    <w:p w14:paraId="698845EF" w14:textId="4FF5CF06" w:rsidR="00F13D5F" w:rsidRDefault="00F13D5F" w:rsidP="00F13D5F">
      <w:pPr>
        <w:pStyle w:val="ListParagraph"/>
        <w:numPr>
          <w:ilvl w:val="0"/>
          <w:numId w:val="18"/>
        </w:numPr>
        <w:spacing w:after="160" w:line="256" w:lineRule="auto"/>
      </w:pPr>
      <w:r>
        <w:t>A mandatory, government-established scheme.</w:t>
      </w:r>
    </w:p>
    <w:p w14:paraId="2413F545" w14:textId="53C0543C" w:rsidR="00F13D5F" w:rsidRDefault="00F13D5F" w:rsidP="00F13D5F">
      <w:pPr>
        <w:spacing w:after="160" w:line="256" w:lineRule="auto"/>
      </w:pPr>
      <w:r>
        <w:t>These options are briefly discussed below. Note that other alternatives (e.g. mandatory, industry-based schemes) are also available.</w:t>
      </w:r>
    </w:p>
    <w:p w14:paraId="105A0D1F" w14:textId="479E8F6C" w:rsidR="00F13D5F" w:rsidRPr="002E2B25" w:rsidRDefault="00F13D5F" w:rsidP="00F13D5F">
      <w:pPr>
        <w:rPr>
          <w:i/>
          <w:iCs/>
        </w:rPr>
      </w:pPr>
      <w:r w:rsidRPr="002E2B25">
        <w:rPr>
          <w:i/>
          <w:iCs/>
        </w:rPr>
        <w:t>Voluntary, industry-based scheme</w:t>
      </w:r>
    </w:p>
    <w:p w14:paraId="612FF2C1" w14:textId="5ECF49F9" w:rsidR="00F13D5F" w:rsidRDefault="00F13D5F" w:rsidP="00F13D5F">
      <w:r>
        <w:t>Voluntary, industry-based regulatory schemes are most likely to be appropriate where there are clearly defined problems, but no high risk of serious or widespread harms to consumers. Where there are cost advantages and/or increased flexibility in industry-based schemes to address industry problems compared to government regulation, then there is a greater chance of improving market outcomes and minimising compliance costs.</w:t>
      </w:r>
      <w:r>
        <w:rPr>
          <w:rStyle w:val="FootnoteReference"/>
        </w:rPr>
        <w:footnoteReference w:id="89"/>
      </w:r>
    </w:p>
    <w:p w14:paraId="43361C7A" w14:textId="034C4451" w:rsidR="00F13D5F" w:rsidRDefault="00F13D5F" w:rsidP="00F13D5F">
      <w:pPr>
        <w:spacing w:after="160" w:line="256" w:lineRule="auto"/>
      </w:pPr>
      <w:r>
        <w:t>Voluntary schemes work best with an active industry association and a mature industry structure. They are also more successful where there is an incentive to comply with self-regulation – for example to gain market advantage.</w:t>
      </w:r>
    </w:p>
    <w:p w14:paraId="1FE58DE7" w14:textId="2B7E9D28" w:rsidR="00F13D5F" w:rsidRPr="002E3EDF" w:rsidRDefault="00F13D5F" w:rsidP="00F13D5F">
      <w:pPr>
        <w:spacing w:after="160" w:line="256" w:lineRule="auto"/>
      </w:pPr>
      <w:r>
        <w:lastRenderedPageBreak/>
        <w:t>Voluntary schemes can often be more flexible and able to change to reflect altered industry circumstances than mandatory government schemes.</w:t>
      </w:r>
    </w:p>
    <w:p w14:paraId="56C996D3" w14:textId="5EFC92EC" w:rsidR="00F13D5F" w:rsidRDefault="00F13D5F" w:rsidP="00F13D5F">
      <w:r>
        <w:t>One option for a voluntary industry-based scheme would involve a certification or trademark arrangement similar to, or potentially using, the NSW Flower Growers Group trademark. Such a scheme could:</w:t>
      </w:r>
    </w:p>
    <w:p w14:paraId="0EABF632" w14:textId="02270921" w:rsidR="00F13D5F" w:rsidRDefault="00F13D5F" w:rsidP="00F13D5F">
      <w:pPr>
        <w:pStyle w:val="ListParagraph"/>
        <w:numPr>
          <w:ilvl w:val="0"/>
          <w:numId w:val="18"/>
        </w:numPr>
        <w:spacing w:after="160" w:line="256" w:lineRule="auto"/>
      </w:pPr>
      <w:r>
        <w:t>Allow consumers to identify cut flowers that are grown in Australia</w:t>
      </w:r>
      <w:r w:rsidR="009E776A">
        <w:t>.</w:t>
      </w:r>
    </w:p>
    <w:p w14:paraId="761091F6" w14:textId="2E95EE10" w:rsidR="00F13D5F" w:rsidRDefault="00F13D5F" w:rsidP="00F13D5F">
      <w:pPr>
        <w:pStyle w:val="ListParagraph"/>
        <w:numPr>
          <w:ilvl w:val="0"/>
          <w:numId w:val="18"/>
        </w:numPr>
        <w:spacing w:after="160" w:line="256" w:lineRule="auto"/>
      </w:pPr>
      <w:r>
        <w:t>Avoid many of the costs associated with a mandatory scheme</w:t>
      </w:r>
      <w:r w:rsidR="009E776A">
        <w:t>.</w:t>
      </w:r>
    </w:p>
    <w:p w14:paraId="74BC743D" w14:textId="222E081D" w:rsidR="00F13D5F" w:rsidRDefault="00F13D5F" w:rsidP="00F13D5F">
      <w:pPr>
        <w:pStyle w:val="ListParagraph"/>
        <w:numPr>
          <w:ilvl w:val="0"/>
          <w:numId w:val="18"/>
        </w:numPr>
        <w:spacing w:after="160" w:line="256" w:lineRule="auto"/>
      </w:pPr>
      <w:r>
        <w:t>Allow individual sellers (and growers) to make a decision about whether to become certified or use the trademark.</w:t>
      </w:r>
    </w:p>
    <w:p w14:paraId="1781DCDE" w14:textId="15C42D46" w:rsidR="00F13D5F" w:rsidRPr="00855F20" w:rsidRDefault="00F13D5F" w:rsidP="00F13D5F">
      <w:pPr>
        <w:rPr>
          <w:i/>
          <w:iCs/>
        </w:rPr>
      </w:pPr>
      <w:r w:rsidRPr="00855F20">
        <w:rPr>
          <w:i/>
          <w:iCs/>
        </w:rPr>
        <w:t>Mandatory, government schemes</w:t>
      </w:r>
    </w:p>
    <w:p w14:paraId="4523D0CE" w14:textId="4C12FC54" w:rsidR="00F13D5F" w:rsidRDefault="00F13D5F" w:rsidP="00F13D5F">
      <w:r>
        <w:t>Mandatory, government</w:t>
      </w:r>
      <w:r w:rsidR="009E776A">
        <w:t>-</w:t>
      </w:r>
      <w:r>
        <w:t>established schemes (of which CoOL is an example) have the advantage of being comprehensive (in that the entire industry must comply), are often developed using public processes that balance industry and consumer needs, and usually have stronger compliance and enforcement mechanisms. They tend to be more appropriate in circumstances where the consequence of inappropriate action is high and/or compliance with voluntary arrangements is likely to be low.</w:t>
      </w:r>
    </w:p>
    <w:p w14:paraId="30BAF0A0" w14:textId="782848B5" w:rsidR="00F13D5F" w:rsidRDefault="00F13D5F" w:rsidP="00F13D5F">
      <w:r>
        <w:t>The downside of such schemes is that they are often more expensive to implement and less flexible than voluntary schemes. Compliance costs can often be an issue, particularly for small businesses, who would otherwise be able to choose to ‘opt out’ under a voluntary industry-based scheme.</w:t>
      </w:r>
    </w:p>
    <w:p w14:paraId="7628CACB" w14:textId="77777777" w:rsidR="00F13D5F" w:rsidRDefault="00F13D5F" w:rsidP="00F13D5F">
      <w:r>
        <w:t xml:space="preserve">We understand that </w:t>
      </w:r>
      <w:r w:rsidRPr="005108AF">
        <w:t xml:space="preserve">Flower Industry Australia </w:t>
      </w:r>
      <w:r>
        <w:t xml:space="preserve">has </w:t>
      </w:r>
      <w:r w:rsidRPr="005108AF">
        <w:t xml:space="preserve">indicated that </w:t>
      </w:r>
      <w:r>
        <w:t>it is</w:t>
      </w:r>
      <w:r w:rsidRPr="005108AF">
        <w:t xml:space="preserve"> strongly opposed to an industry-led voluntary mechanism and would prefer a legislated scheme</w:t>
      </w:r>
      <w:r>
        <w:t>.</w:t>
      </w:r>
    </w:p>
    <w:p w14:paraId="15F8C376" w14:textId="1B0E5D00" w:rsidR="00F13D5F" w:rsidRPr="00BA49D3" w:rsidRDefault="00F13D5F" w:rsidP="00F13D5F">
      <w:pPr>
        <w:pStyle w:val="Heading4"/>
      </w:pPr>
      <w:r>
        <w:t>Conclusion</w:t>
      </w:r>
    </w:p>
    <w:p w14:paraId="0BA6AC2E" w14:textId="41436493" w:rsidR="00F13D5F" w:rsidRDefault="00F13D5F" w:rsidP="00F13D5F">
      <w:r>
        <w:t>As set out above, we do not consider that cut flowers should be included in the existing CoOL scheme as we are concerned about the costs of doing so relative to the benefits. We are also not convinced that strong consumer demand for inclusion of cut flowers in CoOL currently exists, although we do recognise that this may be due to consumers making the</w:t>
      </w:r>
      <w:r w:rsidR="00BA4EF0">
        <w:t xml:space="preserve"> (incorrect)</w:t>
      </w:r>
      <w:r>
        <w:t xml:space="preserve"> assumption that cut flowers are grown in Australia.</w:t>
      </w:r>
    </w:p>
    <w:p w14:paraId="68804AF5" w14:textId="53B2CDE0" w:rsidR="00F13D5F" w:rsidRDefault="00F13D5F" w:rsidP="00F13D5F">
      <w:r>
        <w:t xml:space="preserve">To the extent that the government and/or industry do wish to pursue a </w:t>
      </w:r>
      <w:r w:rsidR="002B11BB">
        <w:t>CoOL</w:t>
      </w:r>
      <w:r>
        <w:t xml:space="preserve"> scheme for cut flowers, a less onerous and more tailored arrangement than the CoOL scheme would be appropriate. This could take the form of either a voluntary, industry-based scheme or a mandatory government scheme.</w:t>
      </w:r>
    </w:p>
    <w:p w14:paraId="1CC8868D" w14:textId="77777777" w:rsidR="00F13D5F" w:rsidRDefault="00F13D5F" w:rsidP="00F13D5F">
      <w:r>
        <w:t xml:space="preserve">Our concern with a mandatory government scheme is the risk that it may impose excessive costs on the many smaller participants in the industry, potentially placing them at a competitive disadvantage. Although it would be less comprehensive, and thus not generate a similar level of consumer benefit, a voluntary industry-based scheme would give smaller operators the ability to decide whether to participate or not. </w:t>
      </w:r>
    </w:p>
    <w:p w14:paraId="53DE9821" w14:textId="390BA303" w:rsidR="00F13D5F" w:rsidRDefault="00F13D5F" w:rsidP="00F13D5F">
      <w:r>
        <w:t>Our initial view is that, at least initially, a voluntary, industry-based scheme would be more appropriate. Depending on its success (including cost, impact on prices, take-up and consumer acceptance) a subsequent decision could be made as to whether a mandatory scheme should be adopted.</w:t>
      </w:r>
    </w:p>
    <w:p w14:paraId="1D7EF9B7" w14:textId="77777777" w:rsidR="00F13D5F" w:rsidRDefault="00F13D5F" w:rsidP="00F13D5F">
      <w:r>
        <w:t>We note that the NSW Flower Growers Group has had difficulty in funding the rollout of its trademark and there is therefore a case for Government funding and support for the industry to establish a scheme. This may assist with the success of the scheme and help to bring together the divergent views that currently exist within the industry on the desirability of a labelling scheme.</w:t>
      </w:r>
    </w:p>
    <w:p w14:paraId="0FE7EDDE" w14:textId="77777777" w:rsidR="00172A6B" w:rsidRPr="003C74DF" w:rsidRDefault="00172A6B" w:rsidP="00172A6B">
      <w:pPr>
        <w:pStyle w:val="Heading3"/>
        <w:rPr>
          <w:rFonts w:eastAsia="Times New Roman" w:cs="Arial"/>
          <w:color w:val="000000" w:themeColor="text1"/>
          <w:kern w:val="24"/>
          <w:lang w:eastAsia="en-AU"/>
        </w:rPr>
      </w:pPr>
      <w:bookmarkStart w:id="315" w:name="_Toc67499112"/>
      <w:r w:rsidRPr="003C74DF">
        <w:rPr>
          <w:rFonts w:eastAsia="Times New Roman" w:cs="Arial"/>
          <w:color w:val="000000" w:themeColor="text1"/>
          <w:kern w:val="24"/>
          <w:lang w:eastAsia="en-AU"/>
        </w:rPr>
        <w:lastRenderedPageBreak/>
        <w:t>Key finding</w:t>
      </w:r>
      <w:r>
        <w:rPr>
          <w:rFonts w:eastAsia="Times New Roman" w:cs="Arial"/>
          <w:color w:val="000000" w:themeColor="text1"/>
          <w:kern w:val="24"/>
          <w:lang w:eastAsia="en-AU"/>
        </w:rPr>
        <w:t>s: Other product types and CoOL</w:t>
      </w:r>
      <w:bookmarkEnd w:id="315"/>
    </w:p>
    <w:tbl>
      <w:tblPr>
        <w:tblStyle w:val="Deloittetable"/>
        <w:tblW w:w="0" w:type="auto"/>
        <w:tblLook w:val="04A0" w:firstRow="1" w:lastRow="0" w:firstColumn="1" w:lastColumn="0" w:noHBand="0" w:noVBand="1"/>
        <w:tblDescription w:val="This table outlines the four key findings related to other product types and CoOL. These are that 1) The majority of consumers did not seek country of origin information for other product types. However, there was some interest in additional information for clothes and footwear, electronics, household goods, hygiene products and cosmetic products.  &#10;2) The consumer survey and consumer focus groups did not indicate that consumers sought country of origin information on cut flowers. However, the cut flower industry has argued that there is imperfect information in the sector. &#10;3) There may be a need for the sector to address issues associated with pest and chemical residue on imported cut flowers. However, the existing CoOL scheme is unlikely to be the best instrument to address these issues, and inclusion of cut flowers in the existing CoOL scheme could impose significant costs on the industry. Instead, the issues of pest and chemical residue should be managed directly through DAWE.&#10;4) In relation to origin information, the Australian Government should note the potential use of a voluntary industry-based scheme, such as voluntary certification or a trademark arrangement similar to the NSW Flower Growers Group trademark as a possible lower cost alternative to mandatory regulation. "/>
      </w:tblPr>
      <w:tblGrid>
        <w:gridCol w:w="1134"/>
        <w:gridCol w:w="7892"/>
      </w:tblGrid>
      <w:tr w:rsidR="005A243D" w14:paraId="24D8ECF5"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4F9D13E5" w14:textId="77777777" w:rsidR="005A243D" w:rsidRPr="00AB2F4F" w:rsidRDefault="005A243D" w:rsidP="00AB1DCE">
            <w:pPr>
              <w:rPr>
                <w:b/>
                <w:bCs/>
              </w:rPr>
            </w:pPr>
            <w:r>
              <w:rPr>
                <w:b/>
                <w:bCs/>
              </w:rPr>
              <w:t>Ref</w:t>
            </w:r>
          </w:p>
        </w:tc>
        <w:tc>
          <w:tcPr>
            <w:tcW w:w="7892" w:type="dxa"/>
            <w:tcBorders>
              <w:top w:val="single" w:sz="24" w:space="0" w:color="012169" w:themeColor="accent4"/>
            </w:tcBorders>
          </w:tcPr>
          <w:p w14:paraId="58112583" w14:textId="052EDD4F" w:rsidR="005A243D" w:rsidRPr="00AB2F4F" w:rsidRDefault="0066449F" w:rsidP="00AB1DCE">
            <w:pPr>
              <w:rPr>
                <w:b/>
                <w:bCs/>
              </w:rPr>
            </w:pPr>
            <w:r w:rsidRPr="0066449F">
              <w:rPr>
                <w:b/>
                <w:bCs/>
              </w:rPr>
              <w:t>Are there any other product types for which consumers seek greater access to origin information?</w:t>
            </w:r>
          </w:p>
        </w:tc>
      </w:tr>
      <w:tr w:rsidR="00457916" w14:paraId="24DFFB2C" w14:textId="77777777" w:rsidTr="00BA49D3">
        <w:tc>
          <w:tcPr>
            <w:tcW w:w="1134" w:type="dxa"/>
          </w:tcPr>
          <w:p w14:paraId="310728BB" w14:textId="7D9B58D7" w:rsidR="00457916" w:rsidRDefault="00D0625C" w:rsidP="00457916">
            <w:r>
              <w:t>35</w:t>
            </w:r>
          </w:p>
        </w:tc>
        <w:tc>
          <w:tcPr>
            <w:tcW w:w="7892" w:type="dxa"/>
          </w:tcPr>
          <w:p w14:paraId="7AB24A79" w14:textId="782A033D" w:rsidR="00457916" w:rsidRDefault="00457916" w:rsidP="00457916">
            <w:pPr>
              <w:pStyle w:val="ListBullet"/>
              <w:numPr>
                <w:ilvl w:val="0"/>
                <w:numId w:val="0"/>
              </w:numPr>
              <w:spacing w:after="170"/>
            </w:pPr>
            <w:r w:rsidRPr="00E53797">
              <w:rPr>
                <w:rFonts w:asciiTheme="majorHAnsi" w:hAnsiTheme="majorHAnsi"/>
                <w:szCs w:val="18"/>
                <w:lang w:eastAsia="en-AU"/>
              </w:rPr>
              <w:t xml:space="preserve">The majority of consumers did not seek country of origin information for other product types. </w:t>
            </w:r>
            <w:r w:rsidR="009D172C" w:rsidRPr="00D33104">
              <w:t>However, there was some interest in additional information for cloth</w:t>
            </w:r>
            <w:r w:rsidR="009D172C">
              <w:t>ing</w:t>
            </w:r>
            <w:r w:rsidR="009D172C" w:rsidRPr="00D33104">
              <w:t xml:space="preserve"> and footwear</w:t>
            </w:r>
            <w:r w:rsidR="009D172C">
              <w:t xml:space="preserve"> (12%)</w:t>
            </w:r>
            <w:r w:rsidR="009D172C" w:rsidRPr="00D33104">
              <w:t>, electronics</w:t>
            </w:r>
            <w:r w:rsidR="009D172C">
              <w:t xml:space="preserve"> (8%)</w:t>
            </w:r>
            <w:r w:rsidR="009D172C" w:rsidRPr="00D33104">
              <w:t xml:space="preserve">, </w:t>
            </w:r>
            <w:r w:rsidR="009D172C">
              <w:t xml:space="preserve">kitchenware and </w:t>
            </w:r>
            <w:r w:rsidR="009D172C" w:rsidRPr="00D33104">
              <w:t>household goods</w:t>
            </w:r>
            <w:r w:rsidR="009D172C">
              <w:t xml:space="preserve"> (8%)</w:t>
            </w:r>
            <w:r w:rsidR="009D172C" w:rsidRPr="00D33104">
              <w:t xml:space="preserve">, </w:t>
            </w:r>
            <w:r w:rsidR="009D172C" w:rsidRPr="00424949">
              <w:rPr>
                <w:rFonts w:eastAsia="Times New Roman" w:cs="Arial"/>
                <w:kern w:val="24"/>
                <w:lang w:eastAsia="en-AU"/>
              </w:rPr>
              <w:t>medication and hygiene products (</w:t>
            </w:r>
            <w:r w:rsidR="009D172C">
              <w:rPr>
                <w:rFonts w:eastAsia="Times New Roman" w:cs="Arial"/>
                <w:kern w:val="24"/>
                <w:lang w:eastAsia="en-AU"/>
              </w:rPr>
              <w:t>6%</w:t>
            </w:r>
            <w:r w:rsidR="009D172C" w:rsidRPr="00424949">
              <w:rPr>
                <w:rFonts w:eastAsia="Times New Roman" w:cs="Arial"/>
                <w:kern w:val="24"/>
                <w:lang w:eastAsia="en-AU"/>
              </w:rPr>
              <w:t>)</w:t>
            </w:r>
            <w:r w:rsidR="009D172C">
              <w:rPr>
                <w:rFonts w:eastAsia="Times New Roman" w:cs="Arial"/>
                <w:kern w:val="24"/>
                <w:lang w:eastAsia="en-AU"/>
              </w:rPr>
              <w:t>,</w:t>
            </w:r>
            <w:r w:rsidR="009D172C" w:rsidRPr="00424949">
              <w:rPr>
                <w:rFonts w:eastAsia="Times New Roman" w:cs="Arial"/>
                <w:kern w:val="24"/>
                <w:lang w:eastAsia="en-AU"/>
              </w:rPr>
              <w:t xml:space="preserve"> </w:t>
            </w:r>
            <w:r w:rsidR="009D172C">
              <w:rPr>
                <w:rFonts w:eastAsia="Times New Roman" w:cs="Arial"/>
                <w:kern w:val="24"/>
                <w:lang w:eastAsia="en-AU"/>
              </w:rPr>
              <w:t xml:space="preserve">and </w:t>
            </w:r>
            <w:r w:rsidR="009D172C" w:rsidRPr="00424949">
              <w:rPr>
                <w:rFonts w:eastAsia="Times New Roman" w:cs="Arial"/>
                <w:kern w:val="24"/>
                <w:lang w:eastAsia="en-AU"/>
              </w:rPr>
              <w:t>beauty and cosmetic products</w:t>
            </w:r>
            <w:r w:rsidR="009D172C">
              <w:rPr>
                <w:rFonts w:eastAsia="Times New Roman" w:cs="Arial"/>
                <w:kern w:val="24"/>
                <w:lang w:eastAsia="en-AU"/>
              </w:rPr>
              <w:t xml:space="preserve"> </w:t>
            </w:r>
            <w:r w:rsidR="009D172C" w:rsidRPr="00424949">
              <w:rPr>
                <w:rFonts w:eastAsia="Times New Roman" w:cs="Arial"/>
                <w:kern w:val="24"/>
                <w:lang w:eastAsia="en-AU"/>
              </w:rPr>
              <w:t>(</w:t>
            </w:r>
            <w:r w:rsidR="009D172C">
              <w:rPr>
                <w:rFonts w:eastAsia="Times New Roman" w:cs="Arial"/>
                <w:kern w:val="24"/>
                <w:lang w:eastAsia="en-AU"/>
              </w:rPr>
              <w:t>6%</w:t>
            </w:r>
            <w:r w:rsidR="009D172C" w:rsidRPr="00424949">
              <w:rPr>
                <w:rFonts w:eastAsia="Times New Roman" w:cs="Arial"/>
                <w:kern w:val="24"/>
                <w:lang w:eastAsia="en-AU"/>
              </w:rPr>
              <w:t>)</w:t>
            </w:r>
            <w:r w:rsidRPr="00E53797">
              <w:rPr>
                <w:rFonts w:asciiTheme="majorHAnsi" w:hAnsiTheme="majorHAnsi"/>
                <w:szCs w:val="18"/>
                <w:lang w:eastAsia="en-AU"/>
              </w:rPr>
              <w:t xml:space="preserve">.  </w:t>
            </w:r>
          </w:p>
        </w:tc>
      </w:tr>
      <w:tr w:rsidR="00457916" w14:paraId="4E1929F6" w14:textId="77777777" w:rsidTr="00BA49D3">
        <w:tc>
          <w:tcPr>
            <w:tcW w:w="1134" w:type="dxa"/>
          </w:tcPr>
          <w:p w14:paraId="3FB37A29" w14:textId="7ECB2E52" w:rsidR="00457916" w:rsidRDefault="00D0625C" w:rsidP="00457916">
            <w:r>
              <w:t>36</w:t>
            </w:r>
          </w:p>
        </w:tc>
        <w:tc>
          <w:tcPr>
            <w:tcW w:w="7892" w:type="dxa"/>
          </w:tcPr>
          <w:p w14:paraId="6362530E" w14:textId="77777777" w:rsidR="00457916" w:rsidRDefault="00457916" w:rsidP="00457916">
            <w:pPr>
              <w:pStyle w:val="ListBullet"/>
              <w:numPr>
                <w:ilvl w:val="0"/>
                <w:numId w:val="0"/>
              </w:numPr>
              <w:spacing w:after="170"/>
            </w:pPr>
            <w:r>
              <w:t xml:space="preserve">The consumer survey and consumer focus groups did not indicate that consumers sought country of origin information on cut flowers. However, the cut flower industry has argued that there is imperfect information in the sector. </w:t>
            </w:r>
          </w:p>
        </w:tc>
      </w:tr>
      <w:tr w:rsidR="00457916" w14:paraId="350DF09F" w14:textId="77777777" w:rsidTr="00BA49D3">
        <w:tc>
          <w:tcPr>
            <w:tcW w:w="1134" w:type="dxa"/>
          </w:tcPr>
          <w:p w14:paraId="366B8F18" w14:textId="53BD0709" w:rsidR="00457916" w:rsidRDefault="00D0625C" w:rsidP="00457916">
            <w:r>
              <w:t>37</w:t>
            </w:r>
          </w:p>
        </w:tc>
        <w:tc>
          <w:tcPr>
            <w:tcW w:w="7892" w:type="dxa"/>
          </w:tcPr>
          <w:p w14:paraId="575D658F" w14:textId="44810A7D" w:rsidR="00457916" w:rsidRDefault="00457916" w:rsidP="00457916">
            <w:pPr>
              <w:pStyle w:val="ListBullet"/>
              <w:numPr>
                <w:ilvl w:val="0"/>
                <w:numId w:val="0"/>
              </w:numPr>
              <w:spacing w:after="170"/>
            </w:pPr>
            <w:r w:rsidRPr="007819A0">
              <w:rPr>
                <w:rFonts w:asciiTheme="majorHAnsi" w:hAnsiTheme="majorHAnsi"/>
                <w:szCs w:val="18"/>
                <w:lang w:eastAsia="en-AU"/>
              </w:rPr>
              <w:t xml:space="preserve">There may be a need for the sector to address issues associated with pest and chemical residue on imported cut flowers. However, the existing CoOL </w:t>
            </w:r>
            <w:r w:rsidR="00E670FE">
              <w:rPr>
                <w:rFonts w:asciiTheme="majorHAnsi" w:hAnsiTheme="majorHAnsi"/>
                <w:szCs w:val="18"/>
                <w:lang w:eastAsia="en-AU"/>
              </w:rPr>
              <w:t>scheme</w:t>
            </w:r>
            <w:r w:rsidRPr="007819A0">
              <w:rPr>
                <w:rFonts w:asciiTheme="majorHAnsi" w:hAnsiTheme="majorHAnsi"/>
                <w:szCs w:val="18"/>
                <w:lang w:eastAsia="en-AU"/>
              </w:rPr>
              <w:t xml:space="preserve"> is unlikely to be the best instrument to address these issues, and inclusion of cut flowers in the existing CoOL scheme could impose significant costs on the industry. </w:t>
            </w:r>
            <w:r w:rsidR="003109A0">
              <w:t>Instead, t</w:t>
            </w:r>
            <w:r w:rsidR="003109A0" w:rsidRPr="00D33F0A">
              <w:t xml:space="preserve">he issues of pest and chemical residue should be managed </w:t>
            </w:r>
            <w:r w:rsidR="003109A0">
              <w:t xml:space="preserve">directly </w:t>
            </w:r>
            <w:r w:rsidR="003109A0" w:rsidRPr="00D33F0A">
              <w:t xml:space="preserve">through </w:t>
            </w:r>
            <w:r w:rsidR="003109A0">
              <w:t>DAWE</w:t>
            </w:r>
            <w:r w:rsidR="003109A0" w:rsidRPr="00D33F0A">
              <w:t>.</w:t>
            </w:r>
          </w:p>
        </w:tc>
      </w:tr>
      <w:tr w:rsidR="00457916" w14:paraId="68D0C171" w14:textId="77777777" w:rsidTr="00BA49D3">
        <w:tc>
          <w:tcPr>
            <w:tcW w:w="1134" w:type="dxa"/>
          </w:tcPr>
          <w:p w14:paraId="72D4DD26" w14:textId="15C3B8DE" w:rsidR="00457916" w:rsidRDefault="00D0625C" w:rsidP="00457916">
            <w:r>
              <w:t>38</w:t>
            </w:r>
          </w:p>
        </w:tc>
        <w:tc>
          <w:tcPr>
            <w:tcW w:w="7892" w:type="dxa"/>
          </w:tcPr>
          <w:p w14:paraId="6B34EF64" w14:textId="29814E75" w:rsidR="00457916" w:rsidRDefault="001E1B87" w:rsidP="00457916">
            <w:pPr>
              <w:pStyle w:val="ListBullet"/>
              <w:numPr>
                <w:ilvl w:val="0"/>
                <w:numId w:val="0"/>
              </w:numPr>
              <w:spacing w:after="170"/>
            </w:pPr>
            <w:r w:rsidRPr="007819A0">
              <w:rPr>
                <w:rFonts w:asciiTheme="majorHAnsi" w:hAnsiTheme="majorHAnsi"/>
                <w:szCs w:val="18"/>
                <w:lang w:eastAsia="en-AU"/>
              </w:rPr>
              <w:t xml:space="preserve">In relation to origin information, </w:t>
            </w:r>
            <w:r>
              <w:rPr>
                <w:rFonts w:asciiTheme="majorHAnsi" w:hAnsiTheme="majorHAnsi"/>
                <w:szCs w:val="18"/>
                <w:lang w:eastAsia="en-AU"/>
              </w:rPr>
              <w:t xml:space="preserve">the Australian Government should note the potential use of </w:t>
            </w:r>
            <w:r>
              <w:rPr>
                <w:rFonts w:asciiTheme="majorHAnsi" w:hAnsiTheme="majorHAnsi"/>
                <w:lang w:eastAsia="en-AU"/>
              </w:rPr>
              <w:t>a voluntary industry-based scheme</w:t>
            </w:r>
            <w:r w:rsidR="00CF4DC0">
              <w:rPr>
                <w:rFonts w:asciiTheme="majorHAnsi" w:hAnsiTheme="majorHAnsi"/>
                <w:lang w:eastAsia="en-AU"/>
              </w:rPr>
              <w:t>,</w:t>
            </w:r>
            <w:r>
              <w:rPr>
                <w:rFonts w:asciiTheme="majorHAnsi" w:hAnsiTheme="majorHAnsi"/>
                <w:lang w:eastAsia="en-AU"/>
              </w:rPr>
              <w:t xml:space="preserve"> such as </w:t>
            </w:r>
            <w:r w:rsidRPr="007819A0">
              <w:rPr>
                <w:rFonts w:asciiTheme="majorHAnsi" w:hAnsiTheme="majorHAnsi"/>
                <w:szCs w:val="18"/>
                <w:lang w:eastAsia="en-AU"/>
              </w:rPr>
              <w:t>voluntary certification or</w:t>
            </w:r>
            <w:r>
              <w:rPr>
                <w:rFonts w:asciiTheme="majorHAnsi" w:hAnsiTheme="majorHAnsi"/>
                <w:szCs w:val="18"/>
                <w:lang w:eastAsia="en-AU"/>
              </w:rPr>
              <w:t xml:space="preserve"> a </w:t>
            </w:r>
            <w:r w:rsidRPr="007819A0">
              <w:rPr>
                <w:rFonts w:asciiTheme="majorHAnsi" w:hAnsiTheme="majorHAnsi"/>
                <w:szCs w:val="18"/>
                <w:lang w:eastAsia="en-AU"/>
              </w:rPr>
              <w:t>trademark arrangement similar to the NSW Flower Growers Group trade</w:t>
            </w:r>
            <w:r>
              <w:rPr>
                <w:rFonts w:asciiTheme="majorHAnsi" w:hAnsiTheme="majorHAnsi"/>
                <w:szCs w:val="18"/>
                <w:lang w:eastAsia="en-AU"/>
              </w:rPr>
              <w:t>mark</w:t>
            </w:r>
            <w:r w:rsidRPr="007819A0">
              <w:rPr>
                <w:rFonts w:asciiTheme="majorHAnsi" w:hAnsiTheme="majorHAnsi"/>
                <w:szCs w:val="18"/>
                <w:lang w:eastAsia="en-AU"/>
              </w:rPr>
              <w:t xml:space="preserve"> </w:t>
            </w:r>
            <w:r>
              <w:rPr>
                <w:rFonts w:asciiTheme="majorHAnsi" w:hAnsiTheme="majorHAnsi"/>
                <w:szCs w:val="18"/>
                <w:lang w:eastAsia="en-AU"/>
              </w:rPr>
              <w:t xml:space="preserve">as a possible lower cost alternative to </w:t>
            </w:r>
            <w:r>
              <w:rPr>
                <w:rFonts w:asciiTheme="majorHAnsi" w:hAnsiTheme="majorHAnsi"/>
                <w:lang w:eastAsia="en-AU"/>
              </w:rPr>
              <w:t>mandatory regulation.</w:t>
            </w:r>
            <w:r w:rsidRPr="00F65988">
              <w:t> </w:t>
            </w:r>
          </w:p>
        </w:tc>
      </w:tr>
    </w:tbl>
    <w:p w14:paraId="2B99FE78" w14:textId="77777777" w:rsidR="00172A6B" w:rsidRDefault="003C421D" w:rsidP="00172A6B">
      <w:pPr>
        <w:pStyle w:val="Heading2"/>
      </w:pPr>
      <w:bookmarkStart w:id="316" w:name="_Toc66774391"/>
      <w:bookmarkStart w:id="317" w:name="_Ref71198993"/>
      <w:bookmarkStart w:id="318" w:name="_Ref71202765"/>
      <w:bookmarkStart w:id="319" w:name="_Toc67499113"/>
      <w:bookmarkStart w:id="320" w:name="_Toc94702062"/>
      <w:bookmarkEnd w:id="316"/>
      <w:r>
        <w:t>Change in</w:t>
      </w:r>
      <w:r w:rsidRPr="00C20F51">
        <w:t xml:space="preserve"> </w:t>
      </w:r>
      <w:r w:rsidR="00172A6B" w:rsidRPr="00C20F51">
        <w:t>consumer demand for origin information</w:t>
      </w:r>
      <w:bookmarkEnd w:id="317"/>
      <w:bookmarkEnd w:id="318"/>
      <w:bookmarkEnd w:id="320"/>
      <w:r w:rsidR="00172A6B" w:rsidRPr="00C20F51">
        <w:t xml:space="preserve"> </w:t>
      </w:r>
      <w:bookmarkEnd w:id="319"/>
    </w:p>
    <w:p w14:paraId="4DC40315" w14:textId="584EBD75" w:rsidR="00172A6B" w:rsidRDefault="00172A6B" w:rsidP="00172A6B">
      <w:r>
        <w:t>The overarching evaluation question considers, for consumers, whether the CoOL reforms have improved consumer access to information about the origin of food. It is</w:t>
      </w:r>
      <w:r w:rsidR="00CF4DC0">
        <w:t>,</w:t>
      </w:r>
      <w:r>
        <w:t xml:space="preserve"> therefore</w:t>
      </w:r>
      <w:r w:rsidR="00CF4DC0">
        <w:t>,</w:t>
      </w:r>
      <w:r>
        <w:t xml:space="preserve"> relevant to consider the origin information that consumers require access to, and whether this has changed since the introduction of the reforms (evaluation question 15). If additional information is sought, it is then necessary to consider whether changes can be made without imposing excessive costs. </w:t>
      </w:r>
    </w:p>
    <w:p w14:paraId="73B70D06" w14:textId="12FED593" w:rsidR="00172A6B" w:rsidRDefault="00D032D2" w:rsidP="00172A6B">
      <w:pPr>
        <w:pStyle w:val="Heading3"/>
      </w:pPr>
      <w:bookmarkStart w:id="321" w:name="_Toc67499114"/>
      <w:r>
        <w:t>A</w:t>
      </w:r>
      <w:r w:rsidR="00172A6B">
        <w:t xml:space="preserve"> subset of consumers </w:t>
      </w:r>
      <w:r>
        <w:t>would like</w:t>
      </w:r>
      <w:r w:rsidR="00172A6B">
        <w:t xml:space="preserve"> more information</w:t>
      </w:r>
      <w:bookmarkEnd w:id="321"/>
      <w:r w:rsidR="00172A6B">
        <w:t xml:space="preserve"> </w:t>
      </w:r>
    </w:p>
    <w:p w14:paraId="507B9B8F" w14:textId="7531C1F8" w:rsidR="00086752" w:rsidRDefault="00086752" w:rsidP="00086752">
      <w:r w:rsidRPr="00903487">
        <w:t xml:space="preserve">Some government and industry stakeholder consultations indicated there has been no change to consumer demand for country of origin information since the introduction of the CoOL reforms. </w:t>
      </w:r>
      <w:r w:rsidRPr="00AA07F4">
        <w:t>Both DISER and the ACCC reported that the volume of enquiries about CoOL is low and this is the case for both business and consumers.</w:t>
      </w:r>
      <w:r>
        <w:t xml:space="preserve"> </w:t>
      </w:r>
      <w:r w:rsidRPr="00EB368D">
        <w:t xml:space="preserve">DISER advised that the volume of </w:t>
      </w:r>
      <w:r w:rsidR="00ED7156">
        <w:t>e</w:t>
      </w:r>
      <w:r w:rsidRPr="00EB368D">
        <w:t>nquiries from business increased during the period when the scheme was being introduced</w:t>
      </w:r>
      <w:r w:rsidR="002746FF">
        <w:t>,</w:t>
      </w:r>
      <w:r w:rsidRPr="00EB368D">
        <w:t xml:space="preserve"> but has since tailed off.  </w:t>
      </w:r>
    </w:p>
    <w:p w14:paraId="310BAADF" w14:textId="2EEDA810" w:rsidR="00086752" w:rsidRPr="001F3799" w:rsidRDefault="00086752" w:rsidP="00086752">
      <w:r w:rsidRPr="00086752">
        <w:t xml:space="preserve">Industry submissions indicate that the volume of questions about the country of origin has decreased for some areas, and that the types of questions posed has changed. </w:t>
      </w:r>
      <w:r>
        <w:t>C</w:t>
      </w:r>
      <w:r w:rsidRPr="00903487">
        <w:t xml:space="preserve">onsumers now ask specific questions about the proportion of ingredients from various countries, referencing the food labels, whereas the questions prior to the reforms were simply about where the items were from. This is an indication of the </w:t>
      </w:r>
      <w:r>
        <w:t xml:space="preserve">(increased) </w:t>
      </w:r>
      <w:r w:rsidRPr="00903487">
        <w:t xml:space="preserve">level of engagement </w:t>
      </w:r>
      <w:r w:rsidR="007F765B">
        <w:t xml:space="preserve">that a subset of </w:t>
      </w:r>
      <w:r w:rsidRPr="00903487">
        <w:t xml:space="preserve">consumers have with CoOL information and the type of </w:t>
      </w:r>
      <w:r w:rsidRPr="001F3799">
        <w:t xml:space="preserve">information they seek. </w:t>
      </w:r>
      <w:r w:rsidR="00826EA4">
        <w:t>One manufacturer reported an i</w:t>
      </w:r>
      <w:r w:rsidR="00E3402A">
        <w:t>ncrease in the demand for information on social media and</w:t>
      </w:r>
      <w:r w:rsidR="00F90684">
        <w:t xml:space="preserve"> through</w:t>
      </w:r>
      <w:r w:rsidR="00E3402A">
        <w:t xml:space="preserve"> consumer hotlines</w:t>
      </w:r>
      <w:r w:rsidR="00432379">
        <w:t xml:space="preserve"> </w:t>
      </w:r>
      <w:r w:rsidR="00F90684">
        <w:t xml:space="preserve">concerning </w:t>
      </w:r>
      <w:r w:rsidR="00432379">
        <w:t xml:space="preserve">specific details </w:t>
      </w:r>
      <w:r w:rsidR="00563021">
        <w:t>of</w:t>
      </w:r>
      <w:r w:rsidR="00432379">
        <w:t xml:space="preserve"> origin</w:t>
      </w:r>
      <w:r w:rsidR="00563021">
        <w:t xml:space="preserve"> - with regard to </w:t>
      </w:r>
      <w:r w:rsidR="00A70211">
        <w:t>high-interest countries</w:t>
      </w:r>
      <w:r w:rsidR="00563021">
        <w:t xml:space="preserve"> -</w:t>
      </w:r>
      <w:r w:rsidR="00A70211">
        <w:t xml:space="preserve"> particularly since the </w:t>
      </w:r>
      <w:r w:rsidR="00F90684">
        <w:t>start of the global pandemic</w:t>
      </w:r>
      <w:r w:rsidR="00A70211">
        <w:t>.</w:t>
      </w:r>
    </w:p>
    <w:p w14:paraId="4AADEE2C" w14:textId="6DCE4CF9" w:rsidR="00172A6B" w:rsidRPr="00903487" w:rsidRDefault="00172A6B" w:rsidP="00F479A7">
      <w:pPr>
        <w:rPr>
          <w:rFonts w:eastAsia="Times New Roman" w:cs="Arial"/>
          <w:kern w:val="24"/>
          <w:lang w:eastAsia="en-AU"/>
        </w:rPr>
      </w:pPr>
      <w:r>
        <w:t>The</w:t>
      </w:r>
      <w:r w:rsidRPr="00903487">
        <w:t xml:space="preserve"> consumer survey indicate</w:t>
      </w:r>
      <w:r>
        <w:t>d</w:t>
      </w:r>
      <w:r w:rsidRPr="00903487">
        <w:t xml:space="preserve"> that 48</w:t>
      </w:r>
      <w:r w:rsidR="007B2C81">
        <w:t>%</w:t>
      </w:r>
      <w:r w:rsidRPr="00903487">
        <w:t xml:space="preserve"> of consumers have experienced a change in their preference for country of origin information in recent years. Of these individuals, 92</w:t>
      </w:r>
      <w:r w:rsidR="007B2C81">
        <w:t>%</w:t>
      </w:r>
      <w:r w:rsidRPr="00903487">
        <w:t xml:space="preserve"> now desire more country of origin information than they did previously. </w:t>
      </w:r>
      <w:r w:rsidR="007B2C81">
        <w:t>Nearly the majority (</w:t>
      </w:r>
      <w:r w:rsidRPr="00903487">
        <w:t>45</w:t>
      </w:r>
      <w:r w:rsidR="007B2C81">
        <w:t>%)</w:t>
      </w:r>
      <w:r w:rsidRPr="00903487">
        <w:t xml:space="preserve"> of consumers would like country of origin information for all ingredients in the product. </w:t>
      </w:r>
    </w:p>
    <w:p w14:paraId="0D96F3E4" w14:textId="34D54902" w:rsidR="00172A6B" w:rsidRDefault="00172A6B">
      <w:r w:rsidRPr="00903487">
        <w:t xml:space="preserve">Consumers preferred level of information </w:t>
      </w:r>
      <w:r>
        <w:t>appears to have</w:t>
      </w:r>
      <w:r w:rsidRPr="00903487">
        <w:t xml:space="preserve"> changed for a variety of reasons. Of all consumers who had a change in the information they require, the main reason was that there was an increased need to support Australian products, the Australian economy, local jobs and farmers</w:t>
      </w:r>
      <w:r>
        <w:t xml:space="preserve"> </w:t>
      </w:r>
      <w:r>
        <w:lastRenderedPageBreak/>
        <w:t>(30</w:t>
      </w:r>
      <w:r w:rsidR="008E4653">
        <w:t>%</w:t>
      </w:r>
      <w:r>
        <w:t>)</w:t>
      </w:r>
      <w:r w:rsidRPr="00903487">
        <w:t>. Other consumers indicated that it was due to a preference to have access to more information</w:t>
      </w:r>
      <w:r w:rsidR="00B93CF4">
        <w:t xml:space="preserve"> </w:t>
      </w:r>
      <w:r w:rsidR="00B93CF4" w:rsidRPr="00903487">
        <w:t>(24</w:t>
      </w:r>
      <w:r w:rsidR="00B93CF4">
        <w:t>%</w:t>
      </w:r>
      <w:r w:rsidR="00B93CF4" w:rsidRPr="00903487">
        <w:t>)</w:t>
      </w:r>
      <w:r w:rsidRPr="00903487">
        <w:t xml:space="preserve"> or to avoid purchasing products from certain countries (11</w:t>
      </w:r>
      <w:r w:rsidR="008E4653">
        <w:t>%</w:t>
      </w:r>
      <w:r w:rsidRPr="00903487">
        <w:t xml:space="preserve">). Other reasons </w:t>
      </w:r>
      <w:r>
        <w:t>cited</w:t>
      </w:r>
      <w:r w:rsidRPr="00903487">
        <w:t xml:space="preserve"> included</w:t>
      </w:r>
      <w:r w:rsidR="00115AA3">
        <w:t>:</w:t>
      </w:r>
      <w:r w:rsidRPr="00903487">
        <w:t xml:space="preserve"> COVID-19 (</w:t>
      </w:r>
      <w:r w:rsidR="008E4653">
        <w:t>5%</w:t>
      </w:r>
      <w:r w:rsidRPr="00903487">
        <w:t>); health (</w:t>
      </w:r>
      <w:r w:rsidR="008E4653">
        <w:t>4%</w:t>
      </w:r>
      <w:r w:rsidRPr="00903487">
        <w:t>) and different hygiene and quality control standards in other countries (</w:t>
      </w:r>
      <w:r w:rsidR="00466A3A">
        <w:t>2%</w:t>
      </w:r>
      <w:r w:rsidRPr="00903487">
        <w:t>).</w:t>
      </w:r>
    </w:p>
    <w:p w14:paraId="5A2CF0F0" w14:textId="5924BEDA" w:rsidR="00172A6B" w:rsidRDefault="00172A6B" w:rsidP="00F479A7">
      <w:r w:rsidRPr="00903487">
        <w:t xml:space="preserve">The consumer focus groups </w:t>
      </w:r>
      <w:r>
        <w:t>did not provide direct information about whether</w:t>
      </w:r>
      <w:r w:rsidRPr="00903487">
        <w:t xml:space="preserve"> the </w:t>
      </w:r>
      <w:r>
        <w:t>consumer demand</w:t>
      </w:r>
      <w:r w:rsidRPr="00903487">
        <w:t xml:space="preserve"> for </w:t>
      </w:r>
      <w:r>
        <w:t xml:space="preserve">information </w:t>
      </w:r>
      <w:r w:rsidRPr="00903487">
        <w:t xml:space="preserve">increased </w:t>
      </w:r>
      <w:r>
        <w:t>post the reforms.</w:t>
      </w:r>
      <w:r w:rsidRPr="00903487">
        <w:t xml:space="preserve"> </w:t>
      </w:r>
      <w:r>
        <w:t>However</w:t>
      </w:r>
      <w:r w:rsidR="001F3799">
        <w:t>,</w:t>
      </w:r>
      <w:r>
        <w:t xml:space="preserve"> c</w:t>
      </w:r>
      <w:r w:rsidRPr="00903487">
        <w:t xml:space="preserve">onsumers expressed an increased desire to support local businesses due to the recent droughts, bushfires and the pandemic. </w:t>
      </w:r>
    </w:p>
    <w:p w14:paraId="09240B85" w14:textId="2778B605" w:rsidR="00172A6B" w:rsidRDefault="00172A6B">
      <w:r>
        <w:t xml:space="preserve">Many stakeholders, such as </w:t>
      </w:r>
      <w:r w:rsidR="00067C36">
        <w:t xml:space="preserve">in </w:t>
      </w:r>
      <w:r>
        <w:t xml:space="preserve">the dairy and pork industry, as well as the Department of Health </w:t>
      </w:r>
      <w:r w:rsidRPr="00903487">
        <w:t xml:space="preserve">indicated that the rationale for the CoOL reforms remains unchanged and there </w:t>
      </w:r>
      <w:r w:rsidR="00FC502B">
        <w:t>is no</w:t>
      </w:r>
      <w:r w:rsidRPr="00903487">
        <w:t xml:space="preserve"> evidence to indicate there </w:t>
      </w:r>
      <w:r w:rsidR="00FC502B">
        <w:t>has been</w:t>
      </w:r>
      <w:r w:rsidRPr="00903487">
        <w:t xml:space="preserve"> a change </w:t>
      </w:r>
      <w:r w:rsidR="00FC502B">
        <w:t>in consumer demand for origin information</w:t>
      </w:r>
      <w:r w:rsidRPr="00903487">
        <w:t xml:space="preserve">. </w:t>
      </w:r>
    </w:p>
    <w:p w14:paraId="097E422F" w14:textId="77777777" w:rsidR="00C5699B" w:rsidRDefault="00C5699B" w:rsidP="00C5699B">
      <w:pPr>
        <w:pStyle w:val="Heading3"/>
      </w:pPr>
      <w:bookmarkStart w:id="322" w:name="_Ref66976730"/>
      <w:bookmarkStart w:id="323" w:name="_Toc67499081"/>
      <w:r>
        <w:t>Consumer motivations to know origin information: higher for seafood and pork</w:t>
      </w:r>
      <w:bookmarkEnd w:id="322"/>
      <w:bookmarkEnd w:id="323"/>
    </w:p>
    <w:p w14:paraId="4BBDC357" w14:textId="78BD7396" w:rsidR="00C5699B" w:rsidRDefault="00C5699B" w:rsidP="00C5699B">
      <w:r w:rsidRPr="00DB50C5">
        <w:t>The motivation for consumers to know where products are sourced from varies</w:t>
      </w:r>
      <w:r w:rsidR="00A923DC">
        <w:t xml:space="preserve"> across products</w:t>
      </w:r>
      <w:r>
        <w:t>.</w:t>
      </w:r>
      <w:r w:rsidRPr="00DB50C5">
        <w:t xml:space="preserve"> </w:t>
      </w:r>
      <w:r w:rsidR="00A923DC">
        <w:t>S</w:t>
      </w:r>
      <w:r w:rsidRPr="00DB50C5">
        <w:t xml:space="preserve">ustainable production and ethics </w:t>
      </w:r>
      <w:r>
        <w:t>were raised, especially for meats and seafood</w:t>
      </w:r>
      <w:r w:rsidRPr="00DB50C5">
        <w:t>.</w:t>
      </w:r>
      <w:r>
        <w:t xml:space="preserve"> The Australian Marine Conservation Society stated that consumer demands for sustainably sourced foods is increasing but consumers are unaware of the volume of seafood </w:t>
      </w:r>
      <w:r w:rsidR="00A923DC">
        <w:t xml:space="preserve">that is </w:t>
      </w:r>
      <w:r>
        <w:t xml:space="preserve">sourced </w:t>
      </w:r>
      <w:r w:rsidR="00A923DC">
        <w:t>(</w:t>
      </w:r>
      <w:r>
        <w:t>overseas</w:t>
      </w:r>
      <w:r w:rsidR="00A923DC">
        <w:t>)</w:t>
      </w:r>
      <w:r>
        <w:t xml:space="preserve"> in environmentally degrading ways. </w:t>
      </w:r>
    </w:p>
    <w:p w14:paraId="49FBB845" w14:textId="0895335E" w:rsidR="00C5699B" w:rsidRDefault="00C5699B" w:rsidP="00C5699B">
      <w:r>
        <w:t xml:space="preserve">Free text responses from the consumer survey indicated that numerous consumers were content to pay for country of origin labels in foodservice venues on the basis that they desired seafood and fish products to be labelled. Responses indicated that those consumers felt mislead by fish and chip shops and would seek to avoid eating fish/seafood from overseas or particular overseas markets when dining out. Fewer comments were received from survey respondents in relation to the origin of meat in foodservice settings, compared with seafood. </w:t>
      </w:r>
    </w:p>
    <w:p w14:paraId="58D91CD6" w14:textId="10EB38EA" w:rsidR="00C5699B" w:rsidRDefault="00C5699B" w:rsidP="00C5699B">
      <w:r>
        <w:t>The Cattle Council of Australia identified consumer interests span animal welfare</w:t>
      </w:r>
      <w:r w:rsidR="002746FF">
        <w:t>,</w:t>
      </w:r>
      <w:r>
        <w:t xml:space="preserve"> as well as nutritional and sustainability credentials. Other concerns raised by an independent consumer submission in relation to overseas products include concerns about </w:t>
      </w:r>
      <w:r w:rsidRPr="00DB50C5">
        <w:t xml:space="preserve">child or slave labour, poor or unsafe working conditions, and funding for illegal activities. </w:t>
      </w:r>
      <w:r>
        <w:t>For a subset of consumers, origin information on source ingredients provides a strong measure of quality.</w:t>
      </w:r>
    </w:p>
    <w:p w14:paraId="1C341B8E" w14:textId="0C575210" w:rsidR="00C5699B" w:rsidRDefault="00C5699B" w:rsidP="00C5699B">
      <w:r>
        <w:t xml:space="preserve">Stakeholder consultations with AMCL and </w:t>
      </w:r>
      <w:r w:rsidR="00C800E8">
        <w:t>DAWE</w:t>
      </w:r>
      <w:r w:rsidR="002750F6">
        <w:t xml:space="preserve"> </w:t>
      </w:r>
      <w:r>
        <w:t xml:space="preserve">suggests that consumers are </w:t>
      </w:r>
      <w:r w:rsidRPr="00DC375D">
        <w:t>most</w:t>
      </w:r>
      <w:r>
        <w:t xml:space="preserve"> concerned about </w:t>
      </w:r>
      <w:r>
        <w:rPr>
          <w:rFonts w:eastAsia="Calibri" w:cs="Times New Roman"/>
        </w:rPr>
        <w:t>CoOL</w:t>
      </w:r>
      <w:r w:rsidRPr="00CC297D">
        <w:rPr>
          <w:rFonts w:eastAsia="Calibri" w:cs="Times New Roman"/>
        </w:rPr>
        <w:t xml:space="preserve"> </w:t>
      </w:r>
      <w:r>
        <w:t>on pork products</w:t>
      </w:r>
      <w:r w:rsidR="00E22487">
        <w:t>,</w:t>
      </w:r>
      <w:r>
        <w:t xml:space="preserve"> including ham and bacon. Complaints often revolve around pork products</w:t>
      </w:r>
      <w:r w:rsidR="00E22487">
        <w:t>,</w:t>
      </w:r>
      <w:r>
        <w:t xml:space="preserve"> which have a ‘Made in Australia’ claim</w:t>
      </w:r>
      <w:r w:rsidR="00E22487">
        <w:t>,</w:t>
      </w:r>
      <w:r>
        <w:t xml:space="preserve"> but do not print the country from which the pork originates. </w:t>
      </w:r>
    </w:p>
    <w:p w14:paraId="7C7AB64C" w14:textId="2F607BB4" w:rsidR="00F9409F" w:rsidRDefault="00F9409F">
      <w:pPr>
        <w:pStyle w:val="Heading3"/>
      </w:pPr>
      <w:r>
        <w:t xml:space="preserve">CBA modelling </w:t>
      </w:r>
      <w:r w:rsidR="00D60DDF">
        <w:t>indicates</w:t>
      </w:r>
      <w:r w:rsidR="006B1A80">
        <w:t xml:space="preserve"> a </w:t>
      </w:r>
      <w:r w:rsidR="00F419F9">
        <w:t>neutral impact of requiring additional information on non-Australian ingredients</w:t>
      </w:r>
    </w:p>
    <w:p w14:paraId="00650407" w14:textId="35ACDF12" w:rsidR="00D43542" w:rsidRDefault="00FB1B75" w:rsidP="00D43542">
      <w:r>
        <w:t xml:space="preserve">CBA modelling </w:t>
      </w:r>
      <w:r w:rsidR="00C4625A">
        <w:t>of an option to increase information on</w:t>
      </w:r>
      <w:r w:rsidR="008E3290">
        <w:t xml:space="preserve"> non-Australian ingredients, relative to the Status Quo, indicates </w:t>
      </w:r>
      <w:r w:rsidR="00247C07">
        <w:t xml:space="preserve">there may be </w:t>
      </w:r>
      <w:r w:rsidR="00F01D6D">
        <w:t xml:space="preserve">a neutral impact </w:t>
      </w:r>
      <w:r w:rsidR="00882D15">
        <w:t xml:space="preserve">(where the costs are similar to the benefits) </w:t>
      </w:r>
      <w:r w:rsidR="00F01D6D">
        <w:t xml:space="preserve">from </w:t>
      </w:r>
      <w:r w:rsidR="00E23582">
        <w:t>extending the requirement to report on non-Australian ingredients</w:t>
      </w:r>
      <w:r w:rsidR="00AE4E1A">
        <w:t>.</w:t>
      </w:r>
      <w:r w:rsidR="00AE4E1A">
        <w:rPr>
          <w:rStyle w:val="FootnoteReference"/>
        </w:rPr>
        <w:footnoteReference w:id="90"/>
      </w:r>
      <w:r w:rsidR="008D080C">
        <w:t xml:space="preserve"> </w:t>
      </w:r>
      <w:r w:rsidR="002B1DEE">
        <w:t xml:space="preserve">The </w:t>
      </w:r>
      <w:r w:rsidR="00006DD8">
        <w:t xml:space="preserve">impact of requiring </w:t>
      </w:r>
      <w:r w:rsidR="00D43542">
        <w:t>all businesses that currently supply priority goods to outline the foreign country responsible for the highest portion of non</w:t>
      </w:r>
      <w:r w:rsidR="00E22487">
        <w:noBreakHyphen/>
      </w:r>
      <w:r w:rsidR="00D43542">
        <w:t>Australian ingredients in their product(s)</w:t>
      </w:r>
      <w:r w:rsidR="002B1DEE">
        <w:t xml:space="preserve"> was modelled</w:t>
      </w:r>
      <w:r w:rsidR="00D43542">
        <w:t xml:space="preserve">. The new information would be disclosed in text on the label, in addition to the bar chart disclosing the proportion of Australian ingredients. </w:t>
      </w:r>
    </w:p>
    <w:p w14:paraId="01971E64" w14:textId="43F681E4" w:rsidR="00D43542" w:rsidRPr="005058D2" w:rsidRDefault="00D43542">
      <w:r>
        <w:t>In this option</w:t>
      </w:r>
      <w:r w:rsidR="00CF2F28">
        <w:t>,</w:t>
      </w:r>
      <w:r>
        <w:t xml:space="preserve"> businesses </w:t>
      </w:r>
      <w:r w:rsidRPr="005058D2">
        <w:t>face higher product labelling costs both on a once-off basis to redesign labels and become compliant, and on an ongoing basis to remain compliant. On an ongoing basis, extra labelling costs would be incurred if the country responsible for the highest portion of non</w:t>
      </w:r>
      <w:r w:rsidR="00E22487">
        <w:noBreakHyphen/>
      </w:r>
      <w:r w:rsidRPr="005058D2">
        <w:t xml:space="preserve">Australian ingredients changes. </w:t>
      </w:r>
      <w:r w:rsidR="000041A6">
        <w:t>B</w:t>
      </w:r>
      <w:r w:rsidRPr="005058D2">
        <w:t xml:space="preserve">usinesses will also need to increase the amount spent on staff and systems to track the origin of foreign ingredients because the Status Quo only requires them to track and report the proportion of Australian ingredients. </w:t>
      </w:r>
    </w:p>
    <w:p w14:paraId="1D758FAA" w14:textId="649EDE71" w:rsidR="00D43542" w:rsidRPr="005058D2" w:rsidRDefault="00D43542" w:rsidP="00D43542">
      <w:r w:rsidRPr="005058D2">
        <w:lastRenderedPageBreak/>
        <w:t xml:space="preserve">The benefit of this option is the additional information on the origin of ingredients that becomes available to Australian consumers. It is measured through an uplift in the WTP by the cohort of Australian consumers that want this extra information. </w:t>
      </w:r>
    </w:p>
    <w:p w14:paraId="42151C1D" w14:textId="37667160" w:rsidR="00D43542" w:rsidRDefault="00D43542" w:rsidP="00D43542">
      <w:r w:rsidRPr="005058D2">
        <w:t xml:space="preserve">Overall, this option generates </w:t>
      </w:r>
      <w:r w:rsidR="00334948">
        <w:t>a neutral (small positive)</w:t>
      </w:r>
      <w:r w:rsidRPr="005058D2">
        <w:t xml:space="preserve"> net benefit</w:t>
      </w:r>
      <w:r>
        <w:t xml:space="preserve"> to the Australian community, relative to the Status Quo. </w:t>
      </w:r>
      <w:r w:rsidR="00AA5995">
        <w:t xml:space="preserve">That is, most businesses would </w:t>
      </w:r>
      <w:r w:rsidR="006B1A80">
        <w:t>incur additional burden</w:t>
      </w:r>
      <w:r w:rsidR="007D2212">
        <w:t>,</w:t>
      </w:r>
      <w:r w:rsidR="006B1A80">
        <w:t xml:space="preserve"> which is not significantly offset by an increase in consumer benefit from individuals who value this information. </w:t>
      </w:r>
      <w:r w:rsidR="006B5DA6">
        <w:t xml:space="preserve"> </w:t>
      </w:r>
    </w:p>
    <w:p w14:paraId="6D0E6FC5" w14:textId="62E1E530" w:rsidR="00D43542" w:rsidRDefault="00D43542" w:rsidP="00D43542">
      <w:r>
        <w:t>There are a few additional points for consideration. The first is that this option considered the additional burden would be placed on 95</w:t>
      </w:r>
      <w:r w:rsidR="00012742">
        <w:t xml:space="preserve">% </w:t>
      </w:r>
      <w:r>
        <w:t xml:space="preserve">of businesses. </w:t>
      </w:r>
      <w:r w:rsidR="00B21369">
        <w:t>DISER</w:t>
      </w:r>
      <w:r>
        <w:t xml:space="preserve"> may reduce this proportion by decreasing the number of businesses subject to additional labelling requirements. This may be achieved - for example - by picking a cut-off point</w:t>
      </w:r>
      <w:r w:rsidR="007D2212">
        <w:t>,</w:t>
      </w:r>
      <w:r>
        <w:t xml:space="preserve"> such as 50</w:t>
      </w:r>
      <w:r w:rsidR="00E613DE">
        <w:t>%</w:t>
      </w:r>
      <w:r>
        <w:t xml:space="preserve"> ingredients outside Australia. This exemption ‘level’ could be defined by asking consumers the point at which they seek out more information. </w:t>
      </w:r>
    </w:p>
    <w:p w14:paraId="0E0FE408" w14:textId="0F2248B8" w:rsidR="00CE66F4" w:rsidRDefault="00CE66F4" w:rsidP="00D43542">
      <w:r>
        <w:t xml:space="preserve">On the cost side, </w:t>
      </w:r>
      <w:r w:rsidR="00B21369">
        <w:t>DISER</w:t>
      </w:r>
      <w:r>
        <w:t xml:space="preserve"> may consider options to limit additional information provision to online forums only. That is, consumers could be directed to a website if they are interested in finding out further information about a product.</w:t>
      </w:r>
    </w:p>
    <w:p w14:paraId="46DAA91C" w14:textId="08AE56CA" w:rsidR="00172A6B" w:rsidRPr="00067BA0" w:rsidRDefault="00172A6B" w:rsidP="00172A6B">
      <w:pPr>
        <w:pStyle w:val="Heading3"/>
      </w:pPr>
      <w:bookmarkStart w:id="324" w:name="_Toc67499115"/>
      <w:r w:rsidRPr="00067BA0">
        <w:t>Key findings</w:t>
      </w:r>
      <w:r>
        <w:t>: Consumer demand for origin information</w:t>
      </w:r>
      <w:bookmarkEnd w:id="324"/>
    </w:p>
    <w:tbl>
      <w:tblPr>
        <w:tblStyle w:val="Deloittetable"/>
        <w:tblW w:w="0" w:type="auto"/>
        <w:tblLook w:val="04A0" w:firstRow="1" w:lastRow="0" w:firstColumn="1" w:lastColumn="0" w:noHBand="0" w:noVBand="1"/>
        <w:tblDescription w:val="This table outlines the two key findings related to consumer demand for origin information. These are that 1) There is mixed evidence about whether consumer demands for origin information is changing. It appears most likely that for the wider population, any change is incremental and difficult to detect in the period of time since the scheme was introduced. &#10;2) A subset of consumers are more highly engaged about country of origin and are seeking more extensive and detailed information about the origin of all ingredients."/>
      </w:tblPr>
      <w:tblGrid>
        <w:gridCol w:w="1134"/>
        <w:gridCol w:w="7892"/>
      </w:tblGrid>
      <w:tr w:rsidR="005A243D" w14:paraId="7F78BE12"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4D966F10" w14:textId="77777777" w:rsidR="005A243D" w:rsidRPr="00AB2F4F" w:rsidRDefault="005A243D" w:rsidP="00AB1DCE">
            <w:pPr>
              <w:rPr>
                <w:b/>
                <w:bCs/>
              </w:rPr>
            </w:pPr>
            <w:r>
              <w:rPr>
                <w:b/>
                <w:bCs/>
              </w:rPr>
              <w:t>Ref</w:t>
            </w:r>
          </w:p>
        </w:tc>
        <w:tc>
          <w:tcPr>
            <w:tcW w:w="7892" w:type="dxa"/>
            <w:tcBorders>
              <w:top w:val="single" w:sz="24" w:space="0" w:color="012169" w:themeColor="accent4"/>
            </w:tcBorders>
          </w:tcPr>
          <w:p w14:paraId="1F2F9520" w14:textId="1ADD0602" w:rsidR="005A243D" w:rsidRPr="00AB2F4F" w:rsidRDefault="0066449F" w:rsidP="00AB1DCE">
            <w:pPr>
              <w:rPr>
                <w:b/>
                <w:bCs/>
              </w:rPr>
            </w:pPr>
            <w:r w:rsidRPr="0066449F">
              <w:rPr>
                <w:b/>
                <w:bCs/>
              </w:rPr>
              <w:t>Has consumer demand for origin information changed since the introduction of the reforms?</w:t>
            </w:r>
          </w:p>
        </w:tc>
      </w:tr>
      <w:tr w:rsidR="00FF3714" w14:paraId="654DBCF4" w14:textId="77777777" w:rsidTr="00BA49D3">
        <w:tc>
          <w:tcPr>
            <w:tcW w:w="1134" w:type="dxa"/>
          </w:tcPr>
          <w:p w14:paraId="5620A363" w14:textId="314C6BFF" w:rsidR="00FF3714" w:rsidRDefault="00D0625C" w:rsidP="00FF3714">
            <w:r>
              <w:t>39</w:t>
            </w:r>
          </w:p>
        </w:tc>
        <w:tc>
          <w:tcPr>
            <w:tcW w:w="7892" w:type="dxa"/>
          </w:tcPr>
          <w:p w14:paraId="3D28E7B4" w14:textId="2BD79203" w:rsidR="00FF3714" w:rsidRDefault="00FF3714" w:rsidP="00FF3714">
            <w:pPr>
              <w:pStyle w:val="ListBullet"/>
              <w:numPr>
                <w:ilvl w:val="0"/>
                <w:numId w:val="0"/>
              </w:numPr>
              <w:spacing w:after="170"/>
            </w:pPr>
            <w:r w:rsidRPr="00E53797">
              <w:rPr>
                <w:rFonts w:asciiTheme="majorHAnsi" w:hAnsiTheme="majorHAnsi"/>
                <w:szCs w:val="18"/>
              </w:rPr>
              <w:t>There is mixed evidence about whether consumer demands for origin information is changing. It appears most likely that for the wider population</w:t>
            </w:r>
            <w:r w:rsidR="007D2212">
              <w:rPr>
                <w:rFonts w:asciiTheme="majorHAnsi" w:hAnsiTheme="majorHAnsi"/>
                <w:szCs w:val="18"/>
              </w:rPr>
              <w:t>,</w:t>
            </w:r>
            <w:r w:rsidRPr="00E53797">
              <w:rPr>
                <w:rFonts w:asciiTheme="majorHAnsi" w:hAnsiTheme="majorHAnsi"/>
                <w:szCs w:val="18"/>
              </w:rPr>
              <w:t xml:space="preserve"> any change is incremental and difficult to detect in the period of time since the scheme was introduced. </w:t>
            </w:r>
          </w:p>
        </w:tc>
      </w:tr>
      <w:tr w:rsidR="00FF3714" w14:paraId="63DFB74E" w14:textId="77777777" w:rsidTr="00BA49D3">
        <w:tc>
          <w:tcPr>
            <w:tcW w:w="1134" w:type="dxa"/>
          </w:tcPr>
          <w:p w14:paraId="7256D14D" w14:textId="5BD7F578" w:rsidR="00FF3714" w:rsidRDefault="00D0625C" w:rsidP="00FF3714">
            <w:r>
              <w:t>40</w:t>
            </w:r>
          </w:p>
        </w:tc>
        <w:tc>
          <w:tcPr>
            <w:tcW w:w="7892" w:type="dxa"/>
          </w:tcPr>
          <w:p w14:paraId="07A8700F" w14:textId="3BA21954" w:rsidR="00FF3714" w:rsidRDefault="00FF3714" w:rsidP="00FF3714">
            <w:pPr>
              <w:pStyle w:val="ListBullet"/>
              <w:numPr>
                <w:ilvl w:val="0"/>
                <w:numId w:val="0"/>
              </w:numPr>
              <w:spacing w:after="170"/>
            </w:pPr>
            <w:r>
              <w:rPr>
                <w:rFonts w:asciiTheme="majorHAnsi" w:hAnsiTheme="majorHAnsi"/>
                <w:szCs w:val="18"/>
              </w:rPr>
              <w:t>A</w:t>
            </w:r>
            <w:r w:rsidRPr="00E53797">
              <w:rPr>
                <w:rFonts w:asciiTheme="majorHAnsi" w:hAnsiTheme="majorHAnsi"/>
                <w:szCs w:val="18"/>
              </w:rPr>
              <w:t xml:space="preserve"> subset of consumers</w:t>
            </w:r>
            <w:r>
              <w:rPr>
                <w:rFonts w:asciiTheme="majorHAnsi" w:hAnsiTheme="majorHAnsi"/>
                <w:szCs w:val="18"/>
              </w:rPr>
              <w:t xml:space="preserve"> are more highly engaged about country of origin and</w:t>
            </w:r>
            <w:r w:rsidRPr="00E53797">
              <w:rPr>
                <w:rFonts w:asciiTheme="majorHAnsi" w:hAnsiTheme="majorHAnsi"/>
                <w:szCs w:val="18"/>
              </w:rPr>
              <w:t xml:space="preserve"> are seeking more extensive and detailed information</w:t>
            </w:r>
            <w:r>
              <w:rPr>
                <w:rFonts w:asciiTheme="majorHAnsi" w:hAnsiTheme="majorHAnsi"/>
                <w:szCs w:val="18"/>
              </w:rPr>
              <w:t xml:space="preserve"> about the origin of all ingredients</w:t>
            </w:r>
            <w:r w:rsidRPr="00E53797">
              <w:rPr>
                <w:rFonts w:asciiTheme="majorHAnsi" w:hAnsiTheme="majorHAnsi"/>
                <w:szCs w:val="18"/>
              </w:rPr>
              <w:t>.</w:t>
            </w:r>
          </w:p>
        </w:tc>
      </w:tr>
    </w:tbl>
    <w:p w14:paraId="18880C98" w14:textId="77777777" w:rsidR="00172A6B" w:rsidRPr="008B1D5D" w:rsidRDefault="00172A6B" w:rsidP="00172A6B">
      <w:pPr>
        <w:pStyle w:val="Heading2"/>
      </w:pPr>
      <w:bookmarkStart w:id="325" w:name="_Toc67499116"/>
      <w:bookmarkStart w:id="326" w:name="_Toc94702063"/>
      <w:r>
        <w:t>Other insights from consumers</w:t>
      </w:r>
      <w:bookmarkEnd w:id="325"/>
      <w:bookmarkEnd w:id="326"/>
    </w:p>
    <w:p w14:paraId="3657F438" w14:textId="4C758503" w:rsidR="00172A6B" w:rsidRDefault="008C3C11" w:rsidP="00172A6B">
      <w:pPr>
        <w:spacing w:after="120" w:line="276" w:lineRule="auto"/>
        <w:rPr>
          <w:rFonts w:eastAsia="Times New Roman" w:cs="Arial"/>
          <w:color w:val="000000" w:themeColor="text1"/>
          <w:kern w:val="24"/>
          <w:lang w:eastAsia="en-AU"/>
        </w:rPr>
      </w:pPr>
      <w:r>
        <w:rPr>
          <w:rFonts w:eastAsia="Times New Roman" w:cs="Arial"/>
          <w:color w:val="000000" w:themeColor="text1"/>
          <w:kern w:val="24"/>
          <w:lang w:eastAsia="en-AU"/>
        </w:rPr>
        <w:t xml:space="preserve">As </w:t>
      </w:r>
      <w:r w:rsidR="00172A6B">
        <w:rPr>
          <w:rFonts w:eastAsia="Times New Roman" w:cs="Arial"/>
          <w:color w:val="000000" w:themeColor="text1"/>
          <w:kern w:val="24"/>
          <w:lang w:eastAsia="en-AU"/>
        </w:rPr>
        <w:t xml:space="preserve">identified above, consumer research and stakeholder consultation widely demonstrated the need for enhanced awareness of the CoOL scheme. There were also a range of other suggestions provided by consumers </w:t>
      </w:r>
      <w:r w:rsidR="00302AFD">
        <w:rPr>
          <w:rFonts w:eastAsia="Times New Roman" w:cs="Arial"/>
          <w:color w:val="000000" w:themeColor="text1"/>
          <w:kern w:val="24"/>
          <w:lang w:eastAsia="en-AU"/>
        </w:rPr>
        <w:t>which are</w:t>
      </w:r>
      <w:r w:rsidR="00172A6B" w:rsidDel="00302AFD">
        <w:rPr>
          <w:rFonts w:eastAsia="Times New Roman" w:cs="Arial"/>
          <w:color w:val="000000" w:themeColor="text1"/>
          <w:kern w:val="24"/>
          <w:lang w:eastAsia="en-AU"/>
        </w:rPr>
        <w:t xml:space="preserve"> </w:t>
      </w:r>
      <w:r w:rsidR="00172A6B">
        <w:rPr>
          <w:rFonts w:eastAsia="Times New Roman" w:cs="Arial"/>
          <w:color w:val="000000" w:themeColor="text1"/>
          <w:kern w:val="24"/>
          <w:lang w:eastAsia="en-AU"/>
        </w:rPr>
        <w:t xml:space="preserve">detailed below. </w:t>
      </w:r>
    </w:p>
    <w:p w14:paraId="6740C961" w14:textId="77777777" w:rsidR="00172A6B" w:rsidRDefault="00172A6B" w:rsidP="00172A6B">
      <w:pPr>
        <w:spacing w:after="120" w:line="276" w:lineRule="auto"/>
        <w:rPr>
          <w:rFonts w:eastAsia="Times New Roman" w:cs="Arial"/>
          <w:color w:val="000000" w:themeColor="text1"/>
          <w:kern w:val="24"/>
          <w:lang w:eastAsia="en-AU"/>
        </w:rPr>
      </w:pPr>
      <w:r>
        <w:rPr>
          <w:rFonts w:eastAsia="Times New Roman" w:cs="Arial"/>
          <w:color w:val="000000" w:themeColor="text1"/>
          <w:kern w:val="24"/>
          <w:lang w:eastAsia="en-AU"/>
        </w:rPr>
        <w:t>The suggestions provided by consumer survey</w:t>
      </w:r>
      <w:r w:rsidRPr="00244413">
        <w:rPr>
          <w:rFonts w:eastAsia="Times New Roman" w:cs="Arial"/>
          <w:color w:val="000000" w:themeColor="text1"/>
          <w:kern w:val="24"/>
          <w:lang w:eastAsia="en-AU"/>
        </w:rPr>
        <w:t xml:space="preserve"> </w:t>
      </w:r>
      <w:r>
        <w:rPr>
          <w:rFonts w:eastAsia="Times New Roman" w:cs="Arial"/>
          <w:color w:val="000000" w:themeColor="text1"/>
          <w:kern w:val="24"/>
          <w:lang w:eastAsia="en-AU"/>
        </w:rPr>
        <w:t>participants related to:</w:t>
      </w:r>
    </w:p>
    <w:p w14:paraId="3B7A818E" w14:textId="7AB01548" w:rsidR="00172A6B" w:rsidRDefault="005710DC" w:rsidP="00F479A7">
      <w:pPr>
        <w:pStyle w:val="ListBullet"/>
      </w:pPr>
      <w:r>
        <w:t>P</w:t>
      </w:r>
      <w:r w:rsidR="00172A6B">
        <w:t xml:space="preserve">resentation of the label, where consumers desired </w:t>
      </w:r>
      <w:r w:rsidR="00172A6B" w:rsidRPr="00244413">
        <w:t>clearer labelling and making the size of the labels larger (</w:t>
      </w:r>
      <w:r w:rsidR="00172A6B">
        <w:t>32</w:t>
      </w:r>
      <w:r w:rsidR="007B2C81">
        <w:t>%</w:t>
      </w:r>
      <w:r w:rsidR="00E613DE">
        <w:t xml:space="preserve"> of comments</w:t>
      </w:r>
      <w:r w:rsidR="00172A6B" w:rsidRPr="00244413">
        <w:t xml:space="preserve">), </w:t>
      </w:r>
      <w:r w:rsidR="00C415F4">
        <w:t xml:space="preserve">and </w:t>
      </w:r>
      <w:r>
        <w:t>having</w:t>
      </w:r>
      <w:r w:rsidR="00172A6B" w:rsidRPr="0089346E">
        <w:t xml:space="preserve"> CoOL information </w:t>
      </w:r>
      <w:r>
        <w:t>in the same</w:t>
      </w:r>
      <w:r w:rsidR="00172A6B" w:rsidRPr="0089346E">
        <w:t xml:space="preserve"> place (</w:t>
      </w:r>
      <w:r w:rsidR="007B2C81">
        <w:t>5%</w:t>
      </w:r>
      <w:r w:rsidR="00172A6B" w:rsidRPr="0089346E">
        <w:t>)</w:t>
      </w:r>
    </w:p>
    <w:p w14:paraId="65C8ECF7" w14:textId="2AA35C84" w:rsidR="00172A6B" w:rsidRDefault="005710DC" w:rsidP="00F479A7">
      <w:pPr>
        <w:pStyle w:val="ListBullet"/>
      </w:pPr>
      <w:r>
        <w:t>C</w:t>
      </w:r>
      <w:r w:rsidR="00172A6B">
        <w:t xml:space="preserve">overage of the label, where consumers wanted </w:t>
      </w:r>
      <w:r w:rsidR="00172A6B" w:rsidRPr="00244413">
        <w:t>country of origin information included for all ingredients (</w:t>
      </w:r>
      <w:r w:rsidR="00172A6B">
        <w:t>25</w:t>
      </w:r>
      <w:r w:rsidR="007B2C81">
        <w:t>%</w:t>
      </w:r>
      <w:r w:rsidR="00172A6B" w:rsidRPr="00244413">
        <w:t>)</w:t>
      </w:r>
      <w:r w:rsidR="00172A6B">
        <w:t xml:space="preserve"> or</w:t>
      </w:r>
      <w:r w:rsidR="00172A6B" w:rsidRPr="00244413">
        <w:t xml:space="preserve"> more specific information (</w:t>
      </w:r>
      <w:r w:rsidR="007B2C81">
        <w:t>7%</w:t>
      </w:r>
      <w:r w:rsidR="00172A6B">
        <w:t>)</w:t>
      </w:r>
    </w:p>
    <w:p w14:paraId="6837AB66" w14:textId="06F0E2A6" w:rsidR="00172A6B" w:rsidRDefault="00172A6B" w:rsidP="00F479A7">
      <w:pPr>
        <w:pStyle w:val="ListBullet"/>
      </w:pPr>
      <w:r>
        <w:t xml:space="preserve">Their understanding of and trust in the label, where consumers wanted </w:t>
      </w:r>
      <w:r w:rsidRPr="00244413">
        <w:t xml:space="preserve">the information </w:t>
      </w:r>
      <w:r>
        <w:t xml:space="preserve">to be </w:t>
      </w:r>
      <w:r w:rsidRPr="00244413">
        <w:t>easier to understand (</w:t>
      </w:r>
      <w:r>
        <w:t>13</w:t>
      </w:r>
      <w:r w:rsidR="007B2C81">
        <w:t>%</w:t>
      </w:r>
      <w:r w:rsidRPr="00244413">
        <w:t>)</w:t>
      </w:r>
      <w:r>
        <w:t xml:space="preserve">, for </w:t>
      </w:r>
      <w:r w:rsidRPr="00244413">
        <w:t xml:space="preserve">a communication campaign </w:t>
      </w:r>
      <w:r>
        <w:t xml:space="preserve">to be run </w:t>
      </w:r>
      <w:r w:rsidRPr="00B95E9C">
        <w:t>(</w:t>
      </w:r>
      <w:r w:rsidR="007B2C81">
        <w:t>3%</w:t>
      </w:r>
      <w:r w:rsidRPr="00E53797">
        <w:t>)</w:t>
      </w:r>
      <w:r w:rsidRPr="00244413">
        <w:t xml:space="preserve"> and</w:t>
      </w:r>
      <w:r>
        <w:t xml:space="preserve"> to ensure</w:t>
      </w:r>
      <w:r w:rsidRPr="00244413">
        <w:t xml:space="preserve"> the accuracy of CoOL information (</w:t>
      </w:r>
      <w:r w:rsidR="007B2C81">
        <w:t>3%</w:t>
      </w:r>
      <w:r w:rsidRPr="00244413">
        <w:t>)</w:t>
      </w:r>
    </w:p>
    <w:p w14:paraId="3AB768EF" w14:textId="6233BCEA" w:rsidR="00172A6B" w:rsidRDefault="00172A6B" w:rsidP="00F479A7">
      <w:pPr>
        <w:pStyle w:val="ListBullet"/>
      </w:pPr>
      <w:r>
        <w:t xml:space="preserve">Other issues, such as </w:t>
      </w:r>
      <w:r w:rsidRPr="00244413">
        <w:t>changing the use of the iconic kangaroo logo (</w:t>
      </w:r>
      <w:r w:rsidR="007B2C81">
        <w:t>4%</w:t>
      </w:r>
      <w:r w:rsidRPr="00244413">
        <w:t>)</w:t>
      </w:r>
      <w:r>
        <w:t xml:space="preserve"> and </w:t>
      </w:r>
      <w:r w:rsidRPr="00244413">
        <w:t>having QR codes (</w:t>
      </w:r>
      <w:r w:rsidR="007B2C81">
        <w:t>3%</w:t>
      </w:r>
      <w:r w:rsidRPr="00244413">
        <w:t>)</w:t>
      </w:r>
    </w:p>
    <w:p w14:paraId="29415C7C" w14:textId="302A1385" w:rsidR="00172A6B" w:rsidRPr="00E53797" w:rsidRDefault="00172A6B" w:rsidP="00172A6B">
      <w:r w:rsidRPr="00E53797">
        <w:t xml:space="preserve">Consumers </w:t>
      </w:r>
      <w:r>
        <w:t xml:space="preserve">also reported through the consumer survey that they </w:t>
      </w:r>
      <w:r w:rsidRPr="00E53797">
        <w:t>want more information about products</w:t>
      </w:r>
      <w:r w:rsidR="007D2212">
        <w:t>,</w:t>
      </w:r>
      <w:r w:rsidRPr="00E53797">
        <w:t xml:space="preserve"> including</w:t>
      </w:r>
      <w:r>
        <w:t>:</w:t>
      </w:r>
      <w:r w:rsidRPr="00E53797">
        <w:t xml:space="preserve"> ethical /environmental compliance</w:t>
      </w:r>
      <w:r>
        <w:t>;</w:t>
      </w:r>
      <w:r w:rsidRPr="00E53797">
        <w:t xml:space="preserve"> dates that the product was manufactured / shipped / packed</w:t>
      </w:r>
      <w:r>
        <w:t>;</w:t>
      </w:r>
      <w:r w:rsidRPr="00E53797">
        <w:t xml:space="preserve"> additives</w:t>
      </w:r>
      <w:r>
        <w:t>;</w:t>
      </w:r>
      <w:r w:rsidRPr="00E53797">
        <w:t xml:space="preserve"> allergy information</w:t>
      </w:r>
      <w:r>
        <w:t>;</w:t>
      </w:r>
      <w:r w:rsidRPr="00E53797">
        <w:t xml:space="preserve"> and company ownership/profit information. </w:t>
      </w:r>
    </w:p>
    <w:p w14:paraId="4B85DBB6" w14:textId="77777777" w:rsidR="002203A3" w:rsidRDefault="002203A3">
      <w:pPr>
        <w:pStyle w:val="ListBullet"/>
        <w:numPr>
          <w:ilvl w:val="0"/>
          <w:numId w:val="0"/>
        </w:numPr>
      </w:pPr>
    </w:p>
    <w:p w14:paraId="694AA6B6" w14:textId="048F36C7" w:rsidR="00F23079" w:rsidRDefault="00F23079">
      <w:pPr>
        <w:pStyle w:val="Heading1"/>
      </w:pPr>
      <w:bookmarkStart w:id="327" w:name="_Toc64925825"/>
      <w:bookmarkStart w:id="328" w:name="_Toc65074546"/>
      <w:bookmarkStart w:id="329" w:name="_Toc65088281"/>
      <w:bookmarkStart w:id="330" w:name="_Toc64287159"/>
      <w:bookmarkStart w:id="331" w:name="_Toc64925826"/>
      <w:bookmarkStart w:id="332" w:name="_Toc65074547"/>
      <w:bookmarkStart w:id="333" w:name="_Toc65088282"/>
      <w:bookmarkStart w:id="334" w:name="_Toc66396919"/>
      <w:bookmarkStart w:id="335" w:name="_Toc66396933"/>
      <w:bookmarkStart w:id="336" w:name="_Toc66396953"/>
      <w:bookmarkStart w:id="337" w:name="_Toc66396971"/>
      <w:bookmarkStart w:id="338" w:name="_Toc66396973"/>
      <w:bookmarkStart w:id="339" w:name="_Toc66396975"/>
      <w:bookmarkStart w:id="340" w:name="_Toc66396977"/>
      <w:bookmarkStart w:id="341" w:name="_Toc66396982"/>
      <w:bookmarkStart w:id="342" w:name="_Toc66396995"/>
      <w:bookmarkStart w:id="343" w:name="_Toc66396997"/>
      <w:bookmarkStart w:id="344" w:name="_Toc66396999"/>
      <w:bookmarkStart w:id="345" w:name="_Toc66397004"/>
      <w:bookmarkStart w:id="346" w:name="_Toc66397026"/>
      <w:bookmarkStart w:id="347" w:name="_Toc66397029"/>
      <w:bookmarkStart w:id="348" w:name="_Toc66397036"/>
      <w:bookmarkStart w:id="349" w:name="_Toc66397038"/>
      <w:bookmarkStart w:id="350" w:name="_Toc65074560"/>
      <w:bookmarkStart w:id="351" w:name="_Toc65088297"/>
      <w:bookmarkStart w:id="352" w:name="_Toc66397050"/>
      <w:bookmarkStart w:id="353" w:name="_Toc66397058"/>
      <w:bookmarkStart w:id="354" w:name="_Toc66397064"/>
      <w:bookmarkStart w:id="355" w:name="_Toc66397069"/>
      <w:bookmarkStart w:id="356" w:name="_Toc66397071"/>
      <w:bookmarkStart w:id="357" w:name="_Toc66397073"/>
      <w:bookmarkStart w:id="358" w:name="_Toc66397075"/>
      <w:bookmarkStart w:id="359" w:name="_Toc66397077"/>
      <w:bookmarkStart w:id="360" w:name="_Toc66397079"/>
      <w:bookmarkStart w:id="361" w:name="_Toc66397081"/>
      <w:bookmarkStart w:id="362" w:name="_Toc66397089"/>
      <w:bookmarkStart w:id="363" w:name="_Toc66397092"/>
      <w:bookmarkStart w:id="364" w:name="_Toc66397094"/>
      <w:bookmarkStart w:id="365" w:name="_Toc66397097"/>
      <w:bookmarkStart w:id="366" w:name="_Toc66397099"/>
      <w:bookmarkStart w:id="367" w:name="_Toc66397101"/>
      <w:bookmarkStart w:id="368" w:name="_Toc66397105"/>
      <w:bookmarkStart w:id="369" w:name="_Toc66397108"/>
      <w:bookmarkStart w:id="370" w:name="_Toc66397110"/>
      <w:bookmarkStart w:id="371" w:name="_Toc66397115"/>
      <w:bookmarkStart w:id="372" w:name="_Toc66397117"/>
      <w:bookmarkStart w:id="373" w:name="_Toc66397119"/>
      <w:bookmarkStart w:id="374" w:name="_Toc64925848"/>
      <w:bookmarkStart w:id="375" w:name="_Toc65074571"/>
      <w:bookmarkStart w:id="376" w:name="_Toc65088308"/>
      <w:bookmarkStart w:id="377" w:name="_Toc64925853"/>
      <w:bookmarkStart w:id="378" w:name="_Toc65074576"/>
      <w:bookmarkStart w:id="379" w:name="_Toc65088313"/>
      <w:bookmarkStart w:id="380" w:name="_Toc64925855"/>
      <w:bookmarkStart w:id="381" w:name="_Toc65074578"/>
      <w:bookmarkStart w:id="382" w:name="_Toc65088315"/>
      <w:bookmarkStart w:id="383" w:name="_Toc64925857"/>
      <w:bookmarkStart w:id="384" w:name="_Toc65074580"/>
      <w:bookmarkStart w:id="385" w:name="_Toc65088317"/>
      <w:bookmarkStart w:id="386" w:name="_Toc64925865"/>
      <w:bookmarkStart w:id="387" w:name="_Toc65074588"/>
      <w:bookmarkStart w:id="388" w:name="_Toc65088325"/>
      <w:bookmarkStart w:id="389" w:name="_Toc64925868"/>
      <w:bookmarkStart w:id="390" w:name="_Toc65074591"/>
      <w:bookmarkStart w:id="391" w:name="_Toc65088328"/>
      <w:bookmarkStart w:id="392" w:name="_Toc64925870"/>
      <w:bookmarkStart w:id="393" w:name="_Toc65074593"/>
      <w:bookmarkStart w:id="394" w:name="_Toc65088330"/>
      <w:bookmarkStart w:id="395" w:name="_Toc64925872"/>
      <w:bookmarkStart w:id="396" w:name="_Toc65074595"/>
      <w:bookmarkStart w:id="397" w:name="_Toc65088332"/>
      <w:bookmarkStart w:id="398" w:name="_Toc64925875"/>
      <w:bookmarkStart w:id="399" w:name="_Toc65074598"/>
      <w:bookmarkStart w:id="400" w:name="_Toc65088335"/>
      <w:bookmarkStart w:id="401" w:name="_Toc64925877"/>
      <w:bookmarkStart w:id="402" w:name="_Toc65074600"/>
      <w:bookmarkStart w:id="403" w:name="_Toc65088337"/>
      <w:bookmarkStart w:id="404" w:name="_Toc64925880"/>
      <w:bookmarkStart w:id="405" w:name="_Toc65074603"/>
      <w:bookmarkStart w:id="406" w:name="_Toc65088340"/>
      <w:bookmarkStart w:id="407" w:name="_Toc64925881"/>
      <w:bookmarkStart w:id="408" w:name="_Toc65074604"/>
      <w:bookmarkStart w:id="409" w:name="_Toc65088341"/>
      <w:bookmarkStart w:id="410" w:name="_Toc64925883"/>
      <w:bookmarkStart w:id="411" w:name="_Toc65074606"/>
      <w:bookmarkStart w:id="412" w:name="_Toc65088343"/>
      <w:bookmarkStart w:id="413" w:name="_Toc66397122"/>
      <w:bookmarkStart w:id="414" w:name="_Toc65160774"/>
      <w:bookmarkStart w:id="415" w:name="_Toc65160775"/>
      <w:bookmarkStart w:id="416" w:name="_Toc66397149"/>
      <w:bookmarkStart w:id="417" w:name="_Toc66397171"/>
      <w:bookmarkStart w:id="418" w:name="_Toc66397207"/>
      <w:bookmarkStart w:id="419" w:name="_Toc66397218"/>
      <w:bookmarkStart w:id="420" w:name="_Toc64925891"/>
      <w:bookmarkStart w:id="421" w:name="_Toc65074616"/>
      <w:bookmarkStart w:id="422" w:name="_Toc65088355"/>
      <w:bookmarkStart w:id="423" w:name="_Toc64925893"/>
      <w:bookmarkStart w:id="424" w:name="_Toc65074618"/>
      <w:bookmarkStart w:id="425" w:name="_Toc65088358"/>
      <w:bookmarkStart w:id="426" w:name="_Toc64925894"/>
      <w:bookmarkStart w:id="427" w:name="_Toc65074619"/>
      <w:bookmarkStart w:id="428" w:name="_Toc65088359"/>
      <w:bookmarkStart w:id="429" w:name="_Toc64287182"/>
      <w:bookmarkStart w:id="430" w:name="_Toc64925895"/>
      <w:bookmarkStart w:id="431" w:name="_Toc65074620"/>
      <w:bookmarkStart w:id="432" w:name="_Toc65088360"/>
      <w:bookmarkStart w:id="433" w:name="_Toc65088363"/>
      <w:bookmarkStart w:id="434" w:name="_Toc66397261"/>
      <w:bookmarkStart w:id="435" w:name="_Toc66397265"/>
      <w:bookmarkStart w:id="436" w:name="_Toc66397267"/>
      <w:bookmarkStart w:id="437" w:name="_Toc66397275"/>
      <w:bookmarkStart w:id="438" w:name="_Toc66397277"/>
      <w:bookmarkStart w:id="439" w:name="_Toc66397280"/>
      <w:bookmarkStart w:id="440" w:name="_Toc66397282"/>
      <w:bookmarkStart w:id="441" w:name="_Toc66397285"/>
      <w:bookmarkStart w:id="442" w:name="_Toc66397291"/>
      <w:bookmarkStart w:id="443" w:name="_Toc66397293"/>
      <w:bookmarkStart w:id="444" w:name="_Toc66397295"/>
      <w:bookmarkStart w:id="445" w:name="_Toc66397308"/>
      <w:bookmarkStart w:id="446" w:name="_Toc66397318"/>
      <w:bookmarkStart w:id="447" w:name="_Toc66397320"/>
      <w:bookmarkStart w:id="448" w:name="_Toc66397322"/>
      <w:bookmarkStart w:id="449" w:name="_Toc66397327"/>
      <w:bookmarkStart w:id="450" w:name="_Toc65088369"/>
      <w:bookmarkStart w:id="451" w:name="_Toc65088371"/>
      <w:bookmarkStart w:id="452" w:name="_Toc65088373"/>
      <w:bookmarkStart w:id="453" w:name="_Toc65088375"/>
      <w:bookmarkStart w:id="454" w:name="_Toc65074630"/>
      <w:bookmarkStart w:id="455" w:name="_Toc65088386"/>
      <w:bookmarkStart w:id="456" w:name="_Toc65074631"/>
      <w:bookmarkStart w:id="457" w:name="_Toc65088387"/>
      <w:bookmarkStart w:id="458" w:name="_Toc65074651"/>
      <w:bookmarkStart w:id="459" w:name="_Toc65088407"/>
      <w:bookmarkStart w:id="460" w:name="_Toc65074659"/>
      <w:bookmarkStart w:id="461" w:name="_Toc65088415"/>
      <w:bookmarkStart w:id="462" w:name="_Toc65074682"/>
      <w:bookmarkStart w:id="463" w:name="_Toc65088438"/>
      <w:bookmarkStart w:id="464" w:name="_Toc65160799"/>
      <w:bookmarkStart w:id="465" w:name="_Toc65160800"/>
      <w:bookmarkStart w:id="466" w:name="_Toc67499117"/>
      <w:bookmarkStart w:id="467" w:name="_Toc94702064"/>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lastRenderedPageBreak/>
        <w:t>Clarifying business ability to make origin claims</w:t>
      </w:r>
      <w:bookmarkEnd w:id="466"/>
      <w:bookmarkEnd w:id="467"/>
    </w:p>
    <w:p w14:paraId="60AA6542" w14:textId="77777777" w:rsidR="000D4308" w:rsidRDefault="000D4308"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rPr>
          <w:b/>
          <w:bCs/>
        </w:rPr>
      </w:pPr>
      <w:r>
        <w:rPr>
          <w:b/>
          <w:bCs/>
        </w:rPr>
        <w:t>Summary of findings</w:t>
      </w:r>
    </w:p>
    <w:p w14:paraId="03FB7304" w14:textId="77777777" w:rsidR="000D4308" w:rsidRDefault="000D4308"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 xml:space="preserve">Industry stakeholders support the inclusion of safe harbour defences in the scheme, despite the limited awareness of the defences with only one quarter of businesses being aware of them. However, some businesses were uncertain about the definition the ‘Made in’ claim requirements in particular with regard to substantial transformation. </w:t>
      </w:r>
    </w:p>
    <w:p w14:paraId="6078125B" w14:textId="77777777" w:rsidR="000D4308" w:rsidRDefault="000D4308"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 xml:space="preserve">To improve clarity and increase business compliance with the scheme, some industry stakeholders have suggested reviewing the definitions associated with the defences. Additionally, it was suggested that clearer guidance and more detailed examples from the ACCC could assist with this. There were some simplistic regulatory issues also identified which, if changed, would not substantially change the operation of the scheme in Australia. Those raised with Deloitte related to fish, fruit and vegetable drinks and inconsistencies with overseas jurisdictions.  </w:t>
      </w:r>
    </w:p>
    <w:p w14:paraId="796505D8" w14:textId="537C9370" w:rsidR="000D4308" w:rsidRDefault="000D4308"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 xml:space="preserve">In general, businesses complied with the CoOL requirements, but there were some areas of higher non-compliance. These related to certain areas such as the ‘Made in’ claim or substantial transformation test and were found to be higher among certain groups, such as traders of CALD groups, independent supermarkets </w:t>
      </w:r>
      <w:r w:rsidR="009119EC">
        <w:t>and</w:t>
      </w:r>
      <w:r>
        <w:t xml:space="preserve"> butchers.</w:t>
      </w:r>
    </w:p>
    <w:p w14:paraId="339E390A" w14:textId="77777777" w:rsidR="000D4308" w:rsidRDefault="000D4308"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 xml:space="preserve">When operating in a </w:t>
      </w:r>
      <w:r w:rsidDel="000C50C0">
        <w:t>business</w:t>
      </w:r>
      <w:r>
        <w:t>-as-usual environment, CoOL requirements were found to provide adequate flexibility for food and beverage producers to manage variations in the supply of ingredients. However, there is a low level of business satisfaction relating to the flexibility of the current CoOL scheme for extenuating circumstances, such as COVID-19 or the Australian bushfires. To manage these variations and increase the flexibility of the scheme, suggestions relating to the percentages on the label were made.</w:t>
      </w:r>
    </w:p>
    <w:p w14:paraId="0535166F" w14:textId="2F88EBB2" w:rsidR="000D4308" w:rsidRPr="000D4308" w:rsidRDefault="000D4308"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While the CoOL reforms have had some unintended negative consequences on businesses, the impact was broadly as expected. However, for some businesses or sectors, the impact was more extensive than anticipated. In response, these sectors or businesses were provided with additional support or sought advice to support implementation</w:t>
      </w:r>
      <w:r w:rsidRPr="00F53671">
        <w:t xml:space="preserve">. </w:t>
      </w:r>
      <w:r w:rsidRPr="00640F78">
        <w:t>The detailed findings related to this pillar can be found at the end of each section.</w:t>
      </w:r>
    </w:p>
    <w:p w14:paraId="0D3242B1" w14:textId="77777777" w:rsidR="007966D9" w:rsidRDefault="003C421D" w:rsidP="00CC0C4D">
      <w:pPr>
        <w:pStyle w:val="Heading2"/>
      </w:pPr>
      <w:bookmarkStart w:id="468" w:name="_Ref71203775"/>
      <w:bookmarkStart w:id="469" w:name="_Toc67499118"/>
      <w:bookmarkStart w:id="470" w:name="_Toc94702065"/>
      <w:r>
        <w:t>S</w:t>
      </w:r>
      <w:r w:rsidR="00CC2ED0" w:rsidRPr="005C5C02">
        <w:t>afe-harbour defences</w:t>
      </w:r>
      <w:bookmarkEnd w:id="468"/>
      <w:bookmarkEnd w:id="470"/>
      <w:r w:rsidR="00CC2ED0" w:rsidRPr="005C5C02">
        <w:t xml:space="preserve"> </w:t>
      </w:r>
      <w:bookmarkEnd w:id="469"/>
    </w:p>
    <w:p w14:paraId="5C35290F" w14:textId="2E81BA90" w:rsidR="00820130" w:rsidRDefault="00FE6BA6" w:rsidP="00341577">
      <w:r>
        <w:t xml:space="preserve">Safe harbour defences have been part of the </w:t>
      </w:r>
      <w:r w:rsidR="007A1C6D">
        <w:rPr>
          <w:rFonts w:eastAsia="Calibri" w:cs="Times New Roman"/>
        </w:rPr>
        <w:t>CoOL</w:t>
      </w:r>
      <w:r>
        <w:t xml:space="preserve"> framework</w:t>
      </w:r>
      <w:r w:rsidR="00AC3137">
        <w:t xml:space="preserve"> predating the</w:t>
      </w:r>
      <w:r>
        <w:t xml:space="preserve"> </w:t>
      </w:r>
      <w:r w:rsidR="00AC3137">
        <w:t xml:space="preserve">current </w:t>
      </w:r>
      <w:r>
        <w:t xml:space="preserve">scheme. The rationale for having safe harbour defences was that it reduced complexity and uncertainty for businesses when making country of origin claims, thereby reducing the regulatory burden on businesses. </w:t>
      </w:r>
      <w:r w:rsidR="008A6534" w:rsidRPr="008A6534">
        <w:t xml:space="preserve">As part of the CoOL reforms, changes to the safe harbour provisions for country of origin claims under the ACL were made in order to make it easier for businesses to use safe harbour defences (through the </w:t>
      </w:r>
      <w:r w:rsidR="008A6534" w:rsidRPr="006C300D">
        <w:rPr>
          <w:i/>
        </w:rPr>
        <w:t>Competition and Consumer Amendment (Country of Origin) Act 2017</w:t>
      </w:r>
      <w:r w:rsidR="008A6534" w:rsidRPr="008A6534">
        <w:t>).</w:t>
      </w:r>
      <w:r w:rsidR="009F4E3B">
        <w:t xml:space="preserve"> </w:t>
      </w:r>
      <w:r w:rsidR="00D50176">
        <w:t>These included the abolition of the</w:t>
      </w:r>
      <w:r w:rsidR="005C3223">
        <w:t xml:space="preserve"> cost of</w:t>
      </w:r>
      <w:r w:rsidR="00D50176">
        <w:t xml:space="preserve"> production test for ‘</w:t>
      </w:r>
      <w:r w:rsidR="005E1C67">
        <w:t>M</w:t>
      </w:r>
      <w:r w:rsidR="00D50176">
        <w:t xml:space="preserve">ade in’ claims </w:t>
      </w:r>
      <w:r w:rsidR="009E5AD9">
        <w:t>and a change in the definition of ‘substantially transformed’</w:t>
      </w:r>
      <w:r w:rsidR="008B76DB">
        <w:t xml:space="preserve">. </w:t>
      </w:r>
    </w:p>
    <w:p w14:paraId="7E751D74" w14:textId="6D31173C" w:rsidR="001B2C5A" w:rsidRDefault="001B2C5A" w:rsidP="001B2C5A">
      <w:r w:rsidRPr="009B275E">
        <w:t>The new safe harbour defences introduced the substantial transformation test.</w:t>
      </w:r>
      <w:r>
        <w:t xml:space="preserve"> For a good to meet the new substantial transformation test it must, </w:t>
      </w:r>
      <w:r w:rsidR="00AE48B8">
        <w:t>“</w:t>
      </w:r>
      <w:r>
        <w:t>as a result of one or more processes undertaken in that country</w:t>
      </w:r>
      <w:r w:rsidR="00AE48B8">
        <w:t>”</w:t>
      </w:r>
      <w:r>
        <w:t xml:space="preserve">, be </w:t>
      </w:r>
      <w:r w:rsidR="00AE48B8">
        <w:t>“</w:t>
      </w:r>
      <w:r>
        <w:t xml:space="preserve">fundamentally different in identity, nature or essential character </w:t>
      </w:r>
      <w:r w:rsidR="00417E15">
        <w:t xml:space="preserve">from </w:t>
      </w:r>
      <w:r>
        <w:t>all of their imported ingredients or components</w:t>
      </w:r>
      <w:r w:rsidR="00AE48B8">
        <w:t>”</w:t>
      </w:r>
      <w:r>
        <w:t>.</w:t>
      </w:r>
      <w:r>
        <w:rPr>
          <w:rStyle w:val="FootnoteReference"/>
        </w:rPr>
        <w:footnoteReference w:id="91"/>
      </w:r>
      <w:r>
        <w:t xml:space="preserve"> In addition, as explained by the ACCC, </w:t>
      </w:r>
      <w:r w:rsidR="00156B66">
        <w:t>“</w:t>
      </w:r>
      <w:r>
        <w:t>p</w:t>
      </w:r>
      <w:r w:rsidRPr="001E7CC9">
        <w:t xml:space="preserve">rocesses </w:t>
      </w:r>
      <w:r w:rsidRPr="001E7CC9">
        <w:lastRenderedPageBreak/>
        <w:t xml:space="preserve">that only change the form or appearance of imported ingredients or components no longer qualify as a </w:t>
      </w:r>
      <w:r w:rsidR="00156B66">
        <w:t>‘</w:t>
      </w:r>
      <w:r w:rsidRPr="001E7CC9">
        <w:t>substantial transformation</w:t>
      </w:r>
      <w:r>
        <w:t>’</w:t>
      </w:r>
      <w:r w:rsidR="0026140B">
        <w:t xml:space="preserve"> </w:t>
      </w:r>
      <w:r w:rsidR="00156B66">
        <w:t>”</w:t>
      </w:r>
      <w:r w:rsidRPr="001E7CC9">
        <w:t>.</w:t>
      </w:r>
      <w:r>
        <w:rPr>
          <w:rStyle w:val="FootnoteReference"/>
        </w:rPr>
        <w:footnoteReference w:id="92"/>
      </w:r>
      <w:r w:rsidRPr="005156DC">
        <w:t xml:space="preserve"> </w:t>
      </w:r>
    </w:p>
    <w:p w14:paraId="71956673" w14:textId="23CC6EA4" w:rsidR="006D1474" w:rsidRDefault="009114B3" w:rsidP="001B2C5A">
      <w:r>
        <w:t>I</w:t>
      </w:r>
      <w:r w:rsidR="007313BD">
        <w:t xml:space="preserve">nformation and </w:t>
      </w:r>
      <w:r w:rsidR="00DB3793">
        <w:t xml:space="preserve">guidance material </w:t>
      </w:r>
      <w:r w:rsidR="0026140B">
        <w:t>were</w:t>
      </w:r>
      <w:r w:rsidR="00DB3793">
        <w:t xml:space="preserve"> released</w:t>
      </w:r>
      <w:r>
        <w:t xml:space="preserve"> to businesses</w:t>
      </w:r>
      <w:r w:rsidR="00DB3793">
        <w:t xml:space="preserve"> through the industry associations, </w:t>
      </w:r>
      <w:r w:rsidR="006D1474">
        <w:t>and ACCC/DISER</w:t>
      </w:r>
      <w:r w:rsidR="00DB3793">
        <w:t xml:space="preserve"> to </w:t>
      </w:r>
      <w:r w:rsidR="00017D93" w:rsidRPr="00314D0F">
        <w:t xml:space="preserve">increase industry understanding of, adoption and compliance with the regulations. </w:t>
      </w:r>
      <w:r w:rsidR="006D1474">
        <w:t>Over the medium term</w:t>
      </w:r>
      <w:r w:rsidR="00644671">
        <w:t>,</w:t>
      </w:r>
      <w:r w:rsidR="006D1474">
        <w:t xml:space="preserve"> it was intended that </w:t>
      </w:r>
      <w:r w:rsidR="000D1298">
        <w:t xml:space="preserve">there would be </w:t>
      </w:r>
      <w:r>
        <w:t xml:space="preserve">improved </w:t>
      </w:r>
      <w:r w:rsidR="000D1298">
        <w:t xml:space="preserve">confidence in business’ ability to make CoOL claims, and this would lead to reduced regulatory burden </w:t>
      </w:r>
      <w:r>
        <w:t>in achieving a trusted CoOL framework in the long term.</w:t>
      </w:r>
    </w:p>
    <w:p w14:paraId="70555C43" w14:textId="5135887D" w:rsidR="00341577" w:rsidRDefault="008B76DB" w:rsidP="00341577">
      <w:r>
        <w:t>This evaluation question</w:t>
      </w:r>
      <w:r w:rsidR="00190BA2">
        <w:t xml:space="preserve"> (</w:t>
      </w:r>
      <w:r w:rsidR="000E0341">
        <w:t>e</w:t>
      </w:r>
      <w:r w:rsidR="00190BA2">
        <w:t xml:space="preserve">valuation </w:t>
      </w:r>
      <w:r w:rsidR="000E0341">
        <w:t>q</w:t>
      </w:r>
      <w:r w:rsidR="00190BA2">
        <w:t xml:space="preserve">uestion </w:t>
      </w:r>
      <w:r w:rsidR="00A63CC0">
        <w:t>16)</w:t>
      </w:r>
      <w:r>
        <w:t xml:space="preserve"> tested whether the introduction of these defences clarified </w:t>
      </w:r>
      <w:r w:rsidR="00AD69ED">
        <w:t>business’ ability to securely make country of origin claims.</w:t>
      </w:r>
      <w:r w:rsidR="006D1474">
        <w:t xml:space="preserve"> </w:t>
      </w:r>
    </w:p>
    <w:p w14:paraId="15C17AE4" w14:textId="498054FC" w:rsidR="0051115B" w:rsidRDefault="00FE2136" w:rsidP="00022546">
      <w:pPr>
        <w:pStyle w:val="Heading3"/>
      </w:pPr>
      <w:bookmarkStart w:id="471" w:name="_Toc67499119"/>
      <w:r>
        <w:rPr>
          <w:rFonts w:eastAsia="Calibri" w:cs="Times New Roman"/>
        </w:rPr>
        <w:t>S</w:t>
      </w:r>
      <w:r w:rsidRPr="00CC297D">
        <w:rPr>
          <w:rFonts w:eastAsia="Calibri" w:cs="Times New Roman"/>
        </w:rPr>
        <w:t>afe harbour defences</w:t>
      </w:r>
      <w:r>
        <w:rPr>
          <w:rFonts w:eastAsia="Calibri" w:cs="Times New Roman"/>
        </w:rPr>
        <w:t xml:space="preserve"> </w:t>
      </w:r>
      <w:r w:rsidR="00BA5E50">
        <w:t xml:space="preserve">beneficial </w:t>
      </w:r>
      <w:bookmarkEnd w:id="471"/>
      <w:r w:rsidR="00052CAC">
        <w:t>where known to business</w:t>
      </w:r>
    </w:p>
    <w:p w14:paraId="3A943CBE" w14:textId="5EE7B95F" w:rsidR="008B1881" w:rsidRPr="008B1881" w:rsidRDefault="006E1B03" w:rsidP="008B1881">
      <w:pPr>
        <w:spacing w:line="257" w:lineRule="auto"/>
        <w:rPr>
          <w:rFonts w:asciiTheme="minorHAnsi" w:eastAsiaTheme="minorEastAsia" w:hAnsiTheme="minorHAnsi"/>
        </w:rPr>
      </w:pPr>
      <w:r>
        <w:rPr>
          <w:rFonts w:asciiTheme="minorHAnsi" w:eastAsiaTheme="minorEastAsia" w:hAnsiTheme="minorHAnsi"/>
        </w:rPr>
        <w:t>The</w:t>
      </w:r>
      <w:r w:rsidR="008B1881" w:rsidRPr="008B1881">
        <w:rPr>
          <w:rFonts w:asciiTheme="minorHAnsi" w:eastAsiaTheme="minorEastAsia" w:hAnsiTheme="minorHAnsi"/>
        </w:rPr>
        <w:t xml:space="preserve"> business survey highlighted that approximately one in </w:t>
      </w:r>
      <w:r w:rsidR="00F1784D">
        <w:rPr>
          <w:rFonts w:asciiTheme="minorHAnsi" w:eastAsiaTheme="minorEastAsia" w:hAnsiTheme="minorHAnsi"/>
        </w:rPr>
        <w:t>four</w:t>
      </w:r>
      <w:r w:rsidR="008B1881" w:rsidRPr="008B1881">
        <w:rPr>
          <w:rFonts w:asciiTheme="minorHAnsi" w:eastAsiaTheme="minorEastAsia" w:hAnsiTheme="minorHAnsi"/>
        </w:rPr>
        <w:t xml:space="preserve"> (26</w:t>
      </w:r>
      <w:r w:rsidR="007B2C81">
        <w:rPr>
          <w:rFonts w:asciiTheme="minorHAnsi" w:eastAsiaTheme="minorEastAsia" w:hAnsiTheme="minorHAnsi"/>
        </w:rPr>
        <w:t>%</w:t>
      </w:r>
      <w:r w:rsidR="008B1881" w:rsidRPr="008B1881">
        <w:rPr>
          <w:rFonts w:asciiTheme="minorHAnsi" w:eastAsiaTheme="minorEastAsia" w:hAnsiTheme="minorHAnsi"/>
        </w:rPr>
        <w:t>) respondents subject to CoOL regulations have heard of the safe-harbour defences. Despite this limited awareness, approximately half of businesses (52</w:t>
      </w:r>
      <w:r w:rsidR="007B2C81">
        <w:rPr>
          <w:rFonts w:asciiTheme="minorHAnsi" w:eastAsiaTheme="minorEastAsia" w:hAnsiTheme="minorHAnsi"/>
        </w:rPr>
        <w:t>%</w:t>
      </w:r>
      <w:r w:rsidR="008B1881" w:rsidRPr="008B1881">
        <w:rPr>
          <w:rFonts w:asciiTheme="minorHAnsi" w:eastAsiaTheme="minorEastAsia" w:hAnsiTheme="minorHAnsi"/>
        </w:rPr>
        <w:t>) aware</w:t>
      </w:r>
      <w:r w:rsidR="008B1881" w:rsidRPr="008B1881" w:rsidDel="00A454DF">
        <w:rPr>
          <w:rFonts w:asciiTheme="minorHAnsi" w:eastAsiaTheme="minorEastAsia" w:hAnsiTheme="minorHAnsi"/>
        </w:rPr>
        <w:t xml:space="preserve"> </w:t>
      </w:r>
      <w:r w:rsidR="008B1881" w:rsidRPr="008B1881">
        <w:rPr>
          <w:rFonts w:asciiTheme="minorHAnsi" w:eastAsiaTheme="minorEastAsia" w:hAnsiTheme="minorHAnsi"/>
        </w:rPr>
        <w:t xml:space="preserve">of these safe-harbour defences have used them to defend a country of origin claim.    </w:t>
      </w:r>
    </w:p>
    <w:p w14:paraId="63EB1C8A" w14:textId="4DA5506D" w:rsidR="002F26B9" w:rsidRDefault="008F0745" w:rsidP="00341577">
      <w:pPr>
        <w:rPr>
          <w:rFonts w:asciiTheme="minorHAnsi" w:eastAsiaTheme="minorEastAsia" w:hAnsiTheme="minorHAnsi"/>
        </w:rPr>
      </w:pPr>
      <w:r>
        <w:rPr>
          <w:rFonts w:asciiTheme="minorHAnsi" w:eastAsiaTheme="minorEastAsia" w:hAnsiTheme="minorHAnsi"/>
        </w:rPr>
        <w:t>While</w:t>
      </w:r>
      <w:r w:rsidR="008B1881" w:rsidRPr="004026C0">
        <w:rPr>
          <w:rFonts w:asciiTheme="minorHAnsi" w:eastAsiaTheme="minorEastAsia" w:hAnsiTheme="minorHAnsi"/>
        </w:rPr>
        <w:t xml:space="preserve"> there is a need to clarify</w:t>
      </w:r>
      <w:r w:rsidR="008B1881" w:rsidRPr="433808EF">
        <w:rPr>
          <w:rFonts w:asciiTheme="minorHAnsi" w:eastAsiaTheme="minorEastAsia" w:hAnsiTheme="minorHAnsi"/>
        </w:rPr>
        <w:t xml:space="preserve"> </w:t>
      </w:r>
      <w:r w:rsidR="008B1881" w:rsidRPr="004026C0">
        <w:rPr>
          <w:rFonts w:asciiTheme="minorHAnsi" w:eastAsiaTheme="minorEastAsia" w:hAnsiTheme="minorHAnsi"/>
        </w:rPr>
        <w:t>some</w:t>
      </w:r>
      <w:r w:rsidR="00B3397E">
        <w:rPr>
          <w:rFonts w:asciiTheme="minorHAnsi" w:eastAsiaTheme="minorEastAsia" w:hAnsiTheme="minorHAnsi"/>
        </w:rPr>
        <w:t xml:space="preserve"> of the</w:t>
      </w:r>
      <w:r w:rsidR="008B1881" w:rsidRPr="004026C0">
        <w:rPr>
          <w:rFonts w:asciiTheme="minorHAnsi" w:eastAsiaTheme="minorEastAsia" w:hAnsiTheme="minorHAnsi"/>
        </w:rPr>
        <w:t xml:space="preserve"> </w:t>
      </w:r>
      <w:r w:rsidR="008B1881" w:rsidRPr="00CC297D">
        <w:rPr>
          <w:rFonts w:eastAsia="Calibri" w:cs="Times New Roman"/>
        </w:rPr>
        <w:t>safe harbour defences</w:t>
      </w:r>
      <w:r w:rsidR="008B1881" w:rsidRPr="004026C0">
        <w:rPr>
          <w:rFonts w:asciiTheme="minorHAnsi" w:eastAsiaTheme="minorEastAsia" w:hAnsiTheme="minorHAnsi"/>
        </w:rPr>
        <w:t xml:space="preserve">, government and industry groups commented </w:t>
      </w:r>
      <w:r w:rsidR="0070415A">
        <w:rPr>
          <w:rFonts w:asciiTheme="minorHAnsi" w:eastAsiaTheme="minorEastAsia" w:hAnsiTheme="minorHAnsi"/>
        </w:rPr>
        <w:t xml:space="preserve">that </w:t>
      </w:r>
      <w:r w:rsidR="008B1881" w:rsidRPr="004026C0">
        <w:rPr>
          <w:rFonts w:asciiTheme="minorHAnsi" w:eastAsiaTheme="minorEastAsia" w:hAnsiTheme="minorHAnsi"/>
        </w:rPr>
        <w:t xml:space="preserve">the </w:t>
      </w:r>
      <w:r w:rsidR="00E1354A">
        <w:rPr>
          <w:rFonts w:asciiTheme="minorHAnsi" w:eastAsiaTheme="minorEastAsia" w:hAnsiTheme="minorHAnsi"/>
        </w:rPr>
        <w:t xml:space="preserve">use of </w:t>
      </w:r>
      <w:r w:rsidR="008B1881" w:rsidRPr="00CC297D">
        <w:rPr>
          <w:rFonts w:eastAsia="Calibri" w:cs="Times New Roman"/>
        </w:rPr>
        <w:t>safe harbour defences</w:t>
      </w:r>
      <w:r w:rsidR="008B1881">
        <w:rPr>
          <w:rFonts w:eastAsia="Calibri" w:cs="Times New Roman"/>
        </w:rPr>
        <w:t xml:space="preserve"> </w:t>
      </w:r>
      <w:r w:rsidR="00E1354A">
        <w:rPr>
          <w:rFonts w:asciiTheme="minorHAnsi" w:eastAsiaTheme="minorEastAsia" w:hAnsiTheme="minorHAnsi"/>
        </w:rPr>
        <w:t>is</w:t>
      </w:r>
      <w:r w:rsidR="008B1881" w:rsidRPr="004026C0">
        <w:rPr>
          <w:rFonts w:asciiTheme="minorHAnsi" w:eastAsiaTheme="minorEastAsia" w:hAnsiTheme="minorHAnsi"/>
        </w:rPr>
        <w:t xml:space="preserve"> beneficial for business</w:t>
      </w:r>
      <w:r w:rsidR="0051115B">
        <w:rPr>
          <w:rFonts w:asciiTheme="minorHAnsi" w:eastAsiaTheme="minorEastAsia" w:hAnsiTheme="minorHAnsi"/>
        </w:rPr>
        <w:t xml:space="preserve">es </w:t>
      </w:r>
      <w:r w:rsidR="00E1354A">
        <w:rPr>
          <w:rFonts w:asciiTheme="minorHAnsi" w:eastAsiaTheme="minorEastAsia" w:hAnsiTheme="minorHAnsi"/>
        </w:rPr>
        <w:t>as it provides certainty that defensible claims can be made. A contrast was drawn with at least one other regulatory scheme (relating to customs) where the absence of</w:t>
      </w:r>
      <w:r w:rsidR="00FE2136" w:rsidRPr="00FE2136">
        <w:rPr>
          <w:rFonts w:eastAsia="Calibri" w:cs="Times New Roman"/>
        </w:rPr>
        <w:t xml:space="preserve"> </w:t>
      </w:r>
      <w:r w:rsidR="00FE2136" w:rsidRPr="00CC297D">
        <w:rPr>
          <w:rFonts w:eastAsia="Calibri" w:cs="Times New Roman"/>
        </w:rPr>
        <w:t>safe harbour defences</w:t>
      </w:r>
      <w:r w:rsidR="00FE2136">
        <w:rPr>
          <w:rFonts w:eastAsia="Calibri" w:cs="Times New Roman"/>
        </w:rPr>
        <w:t xml:space="preserve"> </w:t>
      </w:r>
      <w:r w:rsidR="00E1354A">
        <w:rPr>
          <w:rFonts w:asciiTheme="minorHAnsi" w:eastAsiaTheme="minorEastAsia" w:hAnsiTheme="minorHAnsi"/>
        </w:rPr>
        <w:t xml:space="preserve">imposed </w:t>
      </w:r>
      <w:r w:rsidR="009A1A40">
        <w:rPr>
          <w:rFonts w:asciiTheme="minorHAnsi" w:eastAsiaTheme="minorEastAsia" w:hAnsiTheme="minorHAnsi"/>
        </w:rPr>
        <w:t xml:space="preserve">a </w:t>
      </w:r>
      <w:r w:rsidR="00E1354A">
        <w:rPr>
          <w:rFonts w:asciiTheme="minorHAnsi" w:eastAsiaTheme="minorEastAsia" w:hAnsiTheme="minorHAnsi"/>
        </w:rPr>
        <w:t>significant cost in the event of non-compliance.</w:t>
      </w:r>
      <w:r w:rsidR="002C0841">
        <w:rPr>
          <w:rFonts w:asciiTheme="minorHAnsi" w:eastAsiaTheme="minorEastAsia" w:hAnsiTheme="minorHAnsi"/>
        </w:rPr>
        <w:t xml:space="preserve"> </w:t>
      </w:r>
    </w:p>
    <w:p w14:paraId="4DB2B9F7" w14:textId="7C990EE1" w:rsidR="0095609D" w:rsidRDefault="003F2DB8" w:rsidP="00E53797">
      <w:pPr>
        <w:pStyle w:val="Heading3"/>
      </w:pPr>
      <w:bookmarkStart w:id="472" w:name="_Toc67499120"/>
      <w:r>
        <w:t xml:space="preserve">A subset of industry </w:t>
      </w:r>
      <w:r w:rsidR="009C0483">
        <w:t xml:space="preserve">stakeholders </w:t>
      </w:r>
      <w:r>
        <w:t>query</w:t>
      </w:r>
      <w:r w:rsidR="008C08EE">
        <w:t xml:space="preserve"> current rules and guidelines</w:t>
      </w:r>
      <w:r w:rsidR="0019608E">
        <w:t xml:space="preserve"> around substantial transformation</w:t>
      </w:r>
      <w:bookmarkEnd w:id="472"/>
    </w:p>
    <w:p w14:paraId="5C951EC8" w14:textId="77777777" w:rsidR="0019608E" w:rsidRDefault="0019608E" w:rsidP="00075A4A">
      <w:r>
        <w:t>The review of the relevant documentation indicated that the safe-harbour defences have achieved their aim of providing businesses the ability to securely make origin claims to an extent.</w:t>
      </w:r>
    </w:p>
    <w:p w14:paraId="5FCAC7A1" w14:textId="257C330E" w:rsidR="00075A4A" w:rsidRDefault="00075A4A" w:rsidP="00075A4A">
      <w:r>
        <w:t>A range of s</w:t>
      </w:r>
      <w:r w:rsidRPr="00097225">
        <w:t xml:space="preserve">takeholder consultations </w:t>
      </w:r>
      <w:r w:rsidRPr="00C206CC">
        <w:t>(and</w:t>
      </w:r>
      <w:r>
        <w:t xml:space="preserve"> associated submissions) from industry</w:t>
      </w:r>
      <w:r w:rsidRPr="0061689C">
        <w:t xml:space="preserve"> in the convenien</w:t>
      </w:r>
      <w:r w:rsidR="00EC7685">
        <w:t>ce</w:t>
      </w:r>
      <w:r w:rsidRPr="0061689C">
        <w:t xml:space="preserve"> </w:t>
      </w:r>
      <w:r>
        <w:t xml:space="preserve">and manufactured </w:t>
      </w:r>
      <w:r w:rsidRPr="0061689C">
        <w:t xml:space="preserve">foods sector expressed </w:t>
      </w:r>
      <w:r>
        <w:t xml:space="preserve">their concern with the current rules and guidelines used to establish </w:t>
      </w:r>
      <w:r w:rsidR="00C92D31">
        <w:t>‘</w:t>
      </w:r>
      <w:r>
        <w:t>substantial transformation</w:t>
      </w:r>
      <w:r w:rsidR="00C92D31">
        <w:t>’</w:t>
      </w:r>
      <w:r>
        <w:t xml:space="preserve">. These stakeholders characterise the definitions (and application of those definitions) as both subjective and ambiguous, leading to uncertainty around associated outcomes. The removal of the ‘objective calculations’ underpinning the previous defences was seen by one food manufacturer as making it more open to interpretation. </w:t>
      </w:r>
      <w:r w:rsidR="000B05DE">
        <w:t xml:space="preserve">A </w:t>
      </w:r>
      <w:r w:rsidR="008B4B01">
        <w:t>peak industry association</w:t>
      </w:r>
      <w:r w:rsidR="00EF6E74">
        <w:t xml:space="preserve"> </w:t>
      </w:r>
      <w:r>
        <w:t xml:space="preserve">criticised the definition of substantial transformation, </w:t>
      </w:r>
      <w:r w:rsidR="00E41F39">
        <w:t>and</w:t>
      </w:r>
      <w:r>
        <w:t xml:space="preserve"> cited ambiguities and inconsistencies in the guidance provided by the ACCC. </w:t>
      </w:r>
      <w:r w:rsidR="00D80CFE">
        <w:t>C</w:t>
      </w:r>
      <w:r>
        <w:t xml:space="preserve">oncerns regarding substantial transformation were raised </w:t>
      </w:r>
      <w:r w:rsidR="00D80CFE">
        <w:t xml:space="preserve">by </w:t>
      </w:r>
      <w:r>
        <w:t>at least one government stakeholder.</w:t>
      </w:r>
    </w:p>
    <w:p w14:paraId="5B85B980" w14:textId="0F555A0D" w:rsidR="00075A4A" w:rsidRDefault="00075A4A" w:rsidP="00075A4A">
      <w:r>
        <w:t xml:space="preserve">In one submission, the stakeholder observed that </w:t>
      </w:r>
      <w:r w:rsidRPr="00D80CFE">
        <w:t xml:space="preserve">guidelines </w:t>
      </w:r>
      <w:r>
        <w:t xml:space="preserve">around </w:t>
      </w:r>
      <w:r w:rsidR="005E1C67">
        <w:t>‘</w:t>
      </w:r>
      <w:r>
        <w:t xml:space="preserve">Made </w:t>
      </w:r>
      <w:r w:rsidR="00AC29C8">
        <w:t>i</w:t>
      </w:r>
      <w:r>
        <w:t>n</w:t>
      </w:r>
      <w:r w:rsidR="005E1C67">
        <w:t>’</w:t>
      </w:r>
      <w:r>
        <w:t xml:space="preserve"> focus on the production of food rather than its content. However, the stakeholder reported that the application of the </w:t>
      </w:r>
      <w:r w:rsidR="00720DB4">
        <w:t>‘</w:t>
      </w:r>
      <w:r>
        <w:t xml:space="preserve">Made </w:t>
      </w:r>
      <w:r w:rsidR="00AC29C8">
        <w:t>i</w:t>
      </w:r>
      <w:r>
        <w:t>n</w:t>
      </w:r>
      <w:r w:rsidR="00720DB4">
        <w:t>’</w:t>
      </w:r>
      <w:r>
        <w:t xml:space="preserve"> test is different </w:t>
      </w:r>
      <w:r w:rsidRPr="00054C37">
        <w:rPr>
          <w:i/>
          <w:iCs/>
        </w:rPr>
        <w:t>in practice</w:t>
      </w:r>
      <w:r>
        <w:t>, where content is as much a focus as the process</w:t>
      </w:r>
      <w:r w:rsidR="00333B94">
        <w:t>,</w:t>
      </w:r>
      <w:r>
        <w:t xml:space="preserve"> because it is the content or ingredients against which the ‘fundamental difference in identity, nature or essential characteristics’ are judged. </w:t>
      </w:r>
      <w:r w:rsidR="003322CB">
        <w:t>Some stakeholders report that the focus on the individual ingredient level, rather than the entire food product</w:t>
      </w:r>
      <w:r w:rsidR="00DE767F">
        <w:t>,</w:t>
      </w:r>
      <w:r w:rsidR="003322CB">
        <w:t xml:space="preserve"> causes confusion. </w:t>
      </w:r>
    </w:p>
    <w:p w14:paraId="342A570B" w14:textId="25BC34B4" w:rsidR="00F33754" w:rsidRDefault="00075A4A" w:rsidP="00075A4A">
      <w:r>
        <w:t>Stakeholders reported that the examples provided by the ACCC are too simplistic and unhelpful for industry groups with complex and diverse food supply chains.</w:t>
      </w:r>
      <w:r w:rsidR="00CE1B6A" w:rsidRPr="00CE1B6A">
        <w:t xml:space="preserve"> </w:t>
      </w:r>
      <w:r w:rsidR="002E7478">
        <w:t xml:space="preserve">Consultation with representatives from Ai Group also recommended further guidance from ACCC would be beneficial in supporting business to continue to make accurate country of origin claims. </w:t>
      </w:r>
      <w:r w:rsidR="00CE1B6A" w:rsidRPr="00CE1B6A">
        <w:t>A stakeholder in food manufacturing</w:t>
      </w:r>
      <w:r w:rsidR="00CE1B6A" w:rsidRPr="00CE1B6A" w:rsidDel="008B4B01">
        <w:t xml:space="preserve"> </w:t>
      </w:r>
      <w:r w:rsidR="00CE1B6A" w:rsidRPr="00CE1B6A">
        <w:t>referred to ambiguity in the approach taken (of a yes/no of each process) in table 8 of the user guidance.</w:t>
      </w:r>
      <w:r w:rsidR="005A18AD">
        <w:rPr>
          <w:rStyle w:val="FootnoteReference"/>
        </w:rPr>
        <w:footnoteReference w:id="93"/>
      </w:r>
      <w:r>
        <w:t xml:space="preserve"> In addition, there were concerns that the regulator was not required to </w:t>
      </w:r>
      <w:r w:rsidR="00D50FE3">
        <w:t>engage with industry o</w:t>
      </w:r>
      <w:r>
        <w:t>r consumer</w:t>
      </w:r>
      <w:r w:rsidR="00D50FE3">
        <w:t>s</w:t>
      </w:r>
      <w:r>
        <w:t xml:space="preserve"> in relation to the decisions and guidance on how substantial transformation should be determined. </w:t>
      </w:r>
    </w:p>
    <w:p w14:paraId="2195F26D" w14:textId="6DD2C47E" w:rsidR="0079427F" w:rsidRDefault="001A3366" w:rsidP="0079427F">
      <w:r w:rsidRPr="00DB329D">
        <w:lastRenderedPageBreak/>
        <w:t xml:space="preserve">The ACCC itself stated that due to the changes made to the Information Standard, businesses and consumers have different interpretations of what the term </w:t>
      </w:r>
      <w:r w:rsidR="00720DB4" w:rsidRPr="00DB329D">
        <w:t>‘</w:t>
      </w:r>
      <w:r w:rsidRPr="00DB329D">
        <w:t>Made in</w:t>
      </w:r>
      <w:r w:rsidR="00720DB4" w:rsidRPr="00DB329D">
        <w:t>’</w:t>
      </w:r>
      <w:r w:rsidRPr="00DB329D">
        <w:t xml:space="preserve"> referred to. They believe this should be made clearer and more consistent going forward. </w:t>
      </w:r>
      <w:r w:rsidR="00845345" w:rsidRPr="00DB329D">
        <w:t>The</w:t>
      </w:r>
      <w:r w:rsidR="00F33754" w:rsidRPr="00DB329D">
        <w:t xml:space="preserve"> ACCC reports</w:t>
      </w:r>
      <w:r w:rsidR="00845345" w:rsidRPr="00DB329D">
        <w:t>, however,</w:t>
      </w:r>
      <w:r w:rsidR="00F33754" w:rsidRPr="00DB329D">
        <w:t xml:space="preserve"> to be limited in the extent to which the differences in views between industry and the regulator can be resolved without changes to the regulations</w:t>
      </w:r>
      <w:r w:rsidR="00DB329D">
        <w:t>.</w:t>
      </w:r>
      <w:r w:rsidR="00F33754" w:rsidRPr="00DB329D">
        <w:t xml:space="preserve"> </w:t>
      </w:r>
      <w:r w:rsidR="0079427F">
        <w:t xml:space="preserve">That is, the ACCC </w:t>
      </w:r>
      <w:r w:rsidR="00931431">
        <w:t>is</w:t>
      </w:r>
      <w:r w:rsidR="0079427F">
        <w:t xml:space="preserve"> limited in the extent to which more guidance would address the underlying issue that industry do not agree with how substantial transformation is defined</w:t>
      </w:r>
      <w:r w:rsidR="00931431">
        <w:t xml:space="preserve">, given </w:t>
      </w:r>
      <w:r w:rsidR="002A4F28">
        <w:t>the substantial transformation test</w:t>
      </w:r>
      <w:r w:rsidR="00931431">
        <w:t xml:space="preserve"> is under the jurisdiction of </w:t>
      </w:r>
      <w:r w:rsidR="00CD1478">
        <w:t>Australian courts</w:t>
      </w:r>
      <w:r w:rsidR="0079427F">
        <w:t>. For instance, stakeholders pointed to the fact that there could be an extensive process of manufacturing where the product is unrecognisable from when it was sourced, however it could be determined as not substantially transformed and require a ‘Packed in’ statement. Such examples would unlikely change with more guidance.</w:t>
      </w:r>
    </w:p>
    <w:p w14:paraId="33409DE5" w14:textId="554BDE94" w:rsidR="00075A4A" w:rsidRDefault="00075A4A" w:rsidP="00075A4A">
      <w:r>
        <w:t xml:space="preserve">Some industry and government stakeholders have called for the re-evaluation of the substantial transformation definition and/or guidance around its application to make it easier for industry to comply with its use. </w:t>
      </w:r>
      <w:r w:rsidR="00EF7096">
        <w:t>I</w:t>
      </w:r>
      <w:r w:rsidR="00845345">
        <w:t>ndustry representatives</w:t>
      </w:r>
      <w:r w:rsidR="00EF7096">
        <w:t xml:space="preserve"> suggested the following solutions</w:t>
      </w:r>
      <w:r>
        <w:t>:</w:t>
      </w:r>
    </w:p>
    <w:p w14:paraId="50F6251E" w14:textId="1ADF3586" w:rsidR="00CD12A2" w:rsidRDefault="00495C40" w:rsidP="00075A4A">
      <w:pPr>
        <w:pStyle w:val="ListBullet"/>
      </w:pPr>
      <w:r>
        <w:t>Regulatory change, to refine the</w:t>
      </w:r>
      <w:r w:rsidR="00075A4A" w:rsidRPr="008215A0">
        <w:t xml:space="preserve"> </w:t>
      </w:r>
      <w:r w:rsidR="00CD12A2">
        <w:t xml:space="preserve">substantial transformation </w:t>
      </w:r>
      <w:r w:rsidR="00075A4A" w:rsidRPr="008215A0">
        <w:t>test</w:t>
      </w:r>
      <w:r w:rsidR="004F617F">
        <w:t>. Among other suggestions by industry, substantial transformation could</w:t>
      </w:r>
      <w:r w:rsidR="00075A4A" w:rsidRPr="008215A0">
        <w:t xml:space="preserve"> instead focus on the country of manufacture, where either a substantial amount of processing takes </w:t>
      </w:r>
      <w:r w:rsidR="00CD12A2" w:rsidRPr="008215A0">
        <w:t>place,</w:t>
      </w:r>
      <w:r w:rsidR="00075A4A" w:rsidRPr="008215A0">
        <w:t xml:space="preserve"> or the most important processing takes place</w:t>
      </w:r>
      <w:r w:rsidR="008F6750">
        <w:t xml:space="preserve">. </w:t>
      </w:r>
      <w:r w:rsidR="002B1DEE">
        <w:t>It is</w:t>
      </w:r>
      <w:r w:rsidR="008F6750">
        <w:t xml:space="preserve"> note</w:t>
      </w:r>
      <w:r w:rsidR="002B1DEE">
        <w:t>d</w:t>
      </w:r>
      <w:r w:rsidR="008F6750">
        <w:t xml:space="preserve"> that:</w:t>
      </w:r>
      <w:r w:rsidR="00075A4A" w:rsidRPr="008215A0">
        <w:t xml:space="preserve"> </w:t>
      </w:r>
    </w:p>
    <w:p w14:paraId="0DFAE251" w14:textId="02E25A95" w:rsidR="00CD12A2" w:rsidRDefault="001A3D59" w:rsidP="00CD12A2">
      <w:pPr>
        <w:pStyle w:val="ListBullet2"/>
      </w:pPr>
      <w:r>
        <w:t>T</w:t>
      </w:r>
      <w:r w:rsidR="00075A4A">
        <w:t>his would</w:t>
      </w:r>
      <w:r w:rsidR="00075A4A" w:rsidRPr="008215A0">
        <w:t xml:space="preserve"> </w:t>
      </w:r>
      <w:r w:rsidR="00075A4A">
        <w:t xml:space="preserve">allow for the advancement of </w:t>
      </w:r>
      <w:r w:rsidR="00075A4A" w:rsidRPr="008215A0">
        <w:t>local food manufacturing that relies on imported ingredients</w:t>
      </w:r>
      <w:r w:rsidR="008F23EC">
        <w:t>, noting this is not the intent of the scheme.</w:t>
      </w:r>
      <w:r w:rsidR="00075A4A" w:rsidRPr="008215A0">
        <w:t xml:space="preserve"> </w:t>
      </w:r>
    </w:p>
    <w:p w14:paraId="75E82767" w14:textId="1CA1F6CF" w:rsidR="00075A4A" w:rsidRDefault="00EF7096" w:rsidP="00075A4A">
      <w:pPr>
        <w:pStyle w:val="ListBullet"/>
      </w:pPr>
      <w:r>
        <w:t xml:space="preserve">Alternatively, amend the </w:t>
      </w:r>
      <w:r w:rsidR="00075A4A" w:rsidRPr="008215A0">
        <w:t>substantial transformation test</w:t>
      </w:r>
      <w:r w:rsidR="00075A4A">
        <w:t xml:space="preserve"> to</w:t>
      </w:r>
      <w:r w:rsidR="00075A4A" w:rsidRPr="008215A0">
        <w:t xml:space="preserve"> focus on whether the product is substantively different</w:t>
      </w:r>
      <w:r w:rsidR="00CD12A2">
        <w:t xml:space="preserve"> </w:t>
      </w:r>
      <w:r w:rsidR="00CD12A2" w:rsidRPr="008215A0">
        <w:t>once processed</w:t>
      </w:r>
      <w:r w:rsidR="00CD12A2">
        <w:t xml:space="preserve"> in</w:t>
      </w:r>
      <w:r w:rsidR="00075A4A" w:rsidRPr="008215A0">
        <w:t xml:space="preserve"> either its basic characteristics</w:t>
      </w:r>
      <w:r w:rsidR="00CD12A2">
        <w:t xml:space="preserve">, </w:t>
      </w:r>
      <w:r w:rsidR="00075A4A" w:rsidRPr="002617D0">
        <w:t>purpose or utility</w:t>
      </w:r>
      <w:r w:rsidR="00075A4A" w:rsidRPr="008215A0">
        <w:t xml:space="preserve"> from its ingredients</w:t>
      </w:r>
      <w:r w:rsidR="00650B45">
        <w:t xml:space="preserve"> (i.e. focusing on consumer utility from the product in its unprocessed and processed forms)</w:t>
      </w:r>
      <w:r w:rsidR="00075A4A" w:rsidRPr="008215A0">
        <w:t xml:space="preserve"> </w:t>
      </w:r>
      <w:r w:rsidR="00B6678D">
        <w:t xml:space="preserve">or whether it is readily reversible </w:t>
      </w:r>
    </w:p>
    <w:p w14:paraId="1433067C" w14:textId="0C189D59" w:rsidR="004F71A8" w:rsidRDefault="004F71A8" w:rsidP="00075A4A">
      <w:pPr>
        <w:pStyle w:val="ListBullet"/>
      </w:pPr>
      <w:r>
        <w:t xml:space="preserve">Alternatively, non-regulatory </w:t>
      </w:r>
      <w:r w:rsidR="002F7F71">
        <w:t>measures</w:t>
      </w:r>
      <w:r>
        <w:t xml:space="preserve"> </w:t>
      </w:r>
      <w:r w:rsidR="002F7F71">
        <w:t xml:space="preserve">to </w:t>
      </w:r>
      <w:r>
        <w:t xml:space="preserve">increase the clarity </w:t>
      </w:r>
      <w:r w:rsidR="002F7F71">
        <w:t>of</w:t>
      </w:r>
      <w:r>
        <w:t xml:space="preserve"> current safe harbour </w:t>
      </w:r>
      <w:r w:rsidRPr="00CC297D">
        <w:rPr>
          <w:rFonts w:eastAsia="Calibri" w:cs="Times New Roman"/>
        </w:rPr>
        <w:t>defences</w:t>
      </w:r>
      <w:r w:rsidR="008F23EC">
        <w:rPr>
          <w:rFonts w:eastAsia="Calibri" w:cs="Times New Roman"/>
        </w:rPr>
        <w:t>:</w:t>
      </w:r>
      <w:r>
        <w:rPr>
          <w:rFonts w:eastAsia="Calibri" w:cs="Times New Roman"/>
        </w:rPr>
        <w:t xml:space="preserve"> </w:t>
      </w:r>
    </w:p>
    <w:p w14:paraId="33431137" w14:textId="00BBDD0F" w:rsidR="00BD53DF" w:rsidRDefault="001A3D59" w:rsidP="001A3D59">
      <w:pPr>
        <w:pStyle w:val="ListBullet2"/>
      </w:pPr>
      <w:r>
        <w:t>T</w:t>
      </w:r>
      <w:r w:rsidR="0021580F">
        <w:t>hrough</w:t>
      </w:r>
      <w:r w:rsidR="00075A4A">
        <w:t xml:space="preserve"> </w:t>
      </w:r>
      <w:r w:rsidR="0026633C">
        <w:t xml:space="preserve">(re)establishing a hotline </w:t>
      </w:r>
      <w:r w:rsidR="00075A4A">
        <w:t xml:space="preserve">to </w:t>
      </w:r>
      <w:r w:rsidR="00D85742">
        <w:t xml:space="preserve">allow industry to </w:t>
      </w:r>
      <w:r w:rsidR="00075A4A">
        <w:t>discuss</w:t>
      </w:r>
      <w:r w:rsidR="00D85742">
        <w:t xml:space="preserve"> </w:t>
      </w:r>
      <w:r w:rsidR="002F7F71">
        <w:t xml:space="preserve">the </w:t>
      </w:r>
      <w:r w:rsidR="00075A4A">
        <w:t xml:space="preserve">interpretation of guidelines  </w:t>
      </w:r>
    </w:p>
    <w:p w14:paraId="4C1F13E9" w14:textId="5807781A" w:rsidR="00BD53DF" w:rsidRDefault="008F23EC" w:rsidP="004E7A17">
      <w:pPr>
        <w:pStyle w:val="ListBullet2"/>
      </w:pPr>
      <w:r>
        <w:t>Issuing f</w:t>
      </w:r>
      <w:r w:rsidR="00075A4A">
        <w:t xml:space="preserve">urther guidance material and more complex examples </w:t>
      </w:r>
      <w:r>
        <w:t>to</w:t>
      </w:r>
      <w:r w:rsidR="00075A4A">
        <w:t xml:space="preserve"> assist industry in the application of the existing regulations</w:t>
      </w:r>
      <w:r w:rsidR="005D6C27">
        <w:t>.</w:t>
      </w:r>
    </w:p>
    <w:p w14:paraId="33331662" w14:textId="1F0F2364" w:rsidR="004E7A17" w:rsidRDefault="002B1DEE" w:rsidP="002B1DEE">
      <w:pPr>
        <w:spacing w:before="170"/>
      </w:pPr>
      <w:r>
        <w:t>F</w:t>
      </w:r>
      <w:r w:rsidR="00BD53DF">
        <w:t>urther guidance material</w:t>
      </w:r>
      <w:r w:rsidR="00F8346E">
        <w:t xml:space="preserve">, </w:t>
      </w:r>
      <w:r w:rsidR="00670D9C">
        <w:t xml:space="preserve">while useful, </w:t>
      </w:r>
      <w:r w:rsidR="004B7B49">
        <w:t>is unlikely to</w:t>
      </w:r>
      <w:r w:rsidR="00F8346E">
        <w:t xml:space="preserve"> resolve the difference</w:t>
      </w:r>
      <w:r w:rsidR="00FA39C1">
        <w:t xml:space="preserve"> between how a segment of the food manufacturing sector </w:t>
      </w:r>
      <w:r w:rsidR="00E211E0">
        <w:t xml:space="preserve">(as well as a segment of Australian consumers) </w:t>
      </w:r>
      <w:r w:rsidR="005F04D3">
        <w:t xml:space="preserve">would like </w:t>
      </w:r>
      <w:r w:rsidR="0067475A">
        <w:t xml:space="preserve">to see </w:t>
      </w:r>
      <w:r w:rsidR="005F04D3">
        <w:t xml:space="preserve">substantial transformation </w:t>
      </w:r>
      <w:r w:rsidR="0067475A">
        <w:t>defined</w:t>
      </w:r>
      <w:r w:rsidR="005F04D3">
        <w:t xml:space="preserve"> and the current definition in the legislation</w:t>
      </w:r>
      <w:r w:rsidR="00661BA0">
        <w:t xml:space="preserve">. </w:t>
      </w:r>
      <w:r w:rsidR="007A0666">
        <w:t xml:space="preserve">It is important to note that this issue is mainly raised by the convenience and manufactured </w:t>
      </w:r>
      <w:r w:rsidR="001C7EBE">
        <w:t xml:space="preserve">food sectors. </w:t>
      </w:r>
    </w:p>
    <w:p w14:paraId="4774880D" w14:textId="419988B5" w:rsidR="00075A4A" w:rsidRDefault="00207900" w:rsidP="009567E5">
      <w:r>
        <w:t>However, f</w:t>
      </w:r>
      <w:r w:rsidR="004E333B">
        <w:t xml:space="preserve">urther guidance may assist </w:t>
      </w:r>
      <w:r>
        <w:t xml:space="preserve">industry </w:t>
      </w:r>
      <w:r w:rsidR="004E333B">
        <w:t>using the current regulations</w:t>
      </w:r>
      <w:r>
        <w:t>.</w:t>
      </w:r>
      <w:r w:rsidR="004E333B">
        <w:t xml:space="preserve"> </w:t>
      </w:r>
      <w:r>
        <w:t>S</w:t>
      </w:r>
      <w:r w:rsidR="007C7CA1">
        <w:t xml:space="preserve">takeholder </w:t>
      </w:r>
      <w:r>
        <w:t xml:space="preserve">raised </w:t>
      </w:r>
      <w:r w:rsidR="007C7CA1">
        <w:t>th</w:t>
      </w:r>
      <w:r w:rsidR="005A32C9">
        <w:t>e need to explain ‘identify’</w:t>
      </w:r>
      <w:r w:rsidR="003B44E4">
        <w:t>,</w:t>
      </w:r>
      <w:r w:rsidR="005A32C9">
        <w:t xml:space="preserve"> ‘nature’</w:t>
      </w:r>
      <w:r w:rsidR="003B44E4">
        <w:t xml:space="preserve"> and ‘essential characteristics’ of the ingredients</w:t>
      </w:r>
      <w:r w:rsidR="005A32C9">
        <w:t xml:space="preserve"> in relation to the substantial transformation test, and how to interpret these terms </w:t>
      </w:r>
      <w:r w:rsidR="00A81DED">
        <w:t>in</w:t>
      </w:r>
      <w:r w:rsidR="0037263B">
        <w:t xml:space="preserve"> the</w:t>
      </w:r>
      <w:r w:rsidR="00A81DED">
        <w:t xml:space="preserve"> dynamic supply chain. </w:t>
      </w:r>
      <w:r>
        <w:t xml:space="preserve">For instance, a </w:t>
      </w:r>
      <w:r w:rsidR="009F3320">
        <w:t xml:space="preserve">stakeholder </w:t>
      </w:r>
      <w:r>
        <w:t>suggested that</w:t>
      </w:r>
      <w:r w:rsidR="009F3320">
        <w:t xml:space="preserve"> ‘more meaningful examples within the guidance are requested, including greater illustrations of the in</w:t>
      </w:r>
      <w:r w:rsidR="00DA58A2">
        <w:t>t</w:t>
      </w:r>
      <w:r w:rsidR="009F3320">
        <w:t xml:space="preserve">ent of the terms </w:t>
      </w:r>
      <w:r w:rsidR="00DA58A2">
        <w:t xml:space="preserve">‘identity’, ‘nature’ and ‘essential character’ in the </w:t>
      </w:r>
      <w:r w:rsidR="002B36E8">
        <w:t>s</w:t>
      </w:r>
      <w:r w:rsidR="00DA58A2">
        <w:t xml:space="preserve">tandard. </w:t>
      </w:r>
      <w:r w:rsidR="004E333B">
        <w:t>They also mentioned the need to further define and provide food</w:t>
      </w:r>
      <w:r w:rsidR="002B36E8">
        <w:noBreakHyphen/>
      </w:r>
      <w:r w:rsidR="004E333B">
        <w:t>related examples of ‘subs</w:t>
      </w:r>
      <w:r w:rsidR="008E5C5E">
        <w:t>ta</w:t>
      </w:r>
      <w:r w:rsidR="004E333B">
        <w:t>ntial transformation</w:t>
      </w:r>
      <w:r w:rsidR="003369B5">
        <w:t xml:space="preserve">’, particularly in the ACCC guidance for ‘Grown in’ and ‘Product of’ to determine whether an ingredient is ‘significant’ when considering these representations. </w:t>
      </w:r>
      <w:r w:rsidR="00B85F1F">
        <w:t>More examples are said to be required in the guidance</w:t>
      </w:r>
      <w:r w:rsidR="004E7A17">
        <w:t>.</w:t>
      </w:r>
      <w:r w:rsidR="00B85F1F">
        <w:t xml:space="preserve"> </w:t>
      </w:r>
    </w:p>
    <w:p w14:paraId="5C943875" w14:textId="77777777" w:rsidR="00075A4A" w:rsidRPr="00507E07" w:rsidRDefault="00075A4A" w:rsidP="00E53797">
      <w:pPr>
        <w:pStyle w:val="Heading3"/>
      </w:pPr>
      <w:bookmarkStart w:id="473" w:name="_Toc67499121"/>
      <w:r w:rsidRPr="00507E07">
        <w:t xml:space="preserve">Other </w:t>
      </w:r>
      <w:r w:rsidR="0019608E">
        <w:t>definitional issues raised</w:t>
      </w:r>
      <w:bookmarkEnd w:id="473"/>
    </w:p>
    <w:p w14:paraId="3D46C343" w14:textId="3A1E6D22" w:rsidR="00075A4A" w:rsidRDefault="00075A4A" w:rsidP="00075A4A">
      <w:r>
        <w:t xml:space="preserve">A food manufacturer has also highlighted the lack of clear guidance about fish catching areas to identify the specific origin of the fish and what is considered </w:t>
      </w:r>
      <w:r w:rsidR="00DE490F">
        <w:t xml:space="preserve">as </w:t>
      </w:r>
      <w:r>
        <w:t xml:space="preserve">the true source, whether that be </w:t>
      </w:r>
      <w:r w:rsidR="00DE490F">
        <w:t>defined with respect to the</w:t>
      </w:r>
      <w:r>
        <w:t xml:space="preserve"> ship, port or international versus local waters. It was suggested that the regulations could refer to (be consistent with) existing definitions established through either the Marine Stewardship Council or the Aquaculture Stewardship Council certification process. </w:t>
      </w:r>
    </w:p>
    <w:p w14:paraId="5EBDA440" w14:textId="2CB20B70" w:rsidR="00075A4A" w:rsidRDefault="00075A4A" w:rsidP="00075A4A">
      <w:r>
        <w:t>In addition, one stakeholder reported that there are differences between global legislation and Australian legislation, where suppliers (from overseas) frequently misunderstand their requirements. The stakeholder suggest</w:t>
      </w:r>
      <w:r w:rsidR="007D33FF">
        <w:t>s</w:t>
      </w:r>
      <w:r>
        <w:t xml:space="preserve"> m</w:t>
      </w:r>
      <w:r w:rsidRPr="00890E88">
        <w:t>odify</w:t>
      </w:r>
      <w:r>
        <w:t>ing the</w:t>
      </w:r>
      <w:r w:rsidRPr="00890E88">
        <w:t xml:space="preserve"> legislati</w:t>
      </w:r>
      <w:r>
        <w:t>ve</w:t>
      </w:r>
      <w:r w:rsidRPr="00890E88">
        <w:t xml:space="preserve"> requirements for overseas </w:t>
      </w:r>
      <w:r w:rsidRPr="00890E88">
        <w:lastRenderedPageBreak/>
        <w:t xml:space="preserve">manufactured products. Removing the requirement for differentiation for </w:t>
      </w:r>
      <w:r w:rsidR="00720DB4">
        <w:t>‘</w:t>
      </w:r>
      <w:r w:rsidRPr="00890E88">
        <w:t>Packed in</w:t>
      </w:r>
      <w:r w:rsidR="00720DB4">
        <w:t>’</w:t>
      </w:r>
      <w:r w:rsidRPr="00890E88">
        <w:t xml:space="preserve"> and </w:t>
      </w:r>
      <w:r w:rsidR="00720DB4">
        <w:t>‘</w:t>
      </w:r>
      <w:r w:rsidRPr="00890E88">
        <w:t>Made in</w:t>
      </w:r>
      <w:r w:rsidR="00720DB4">
        <w:t>’</w:t>
      </w:r>
      <w:r w:rsidRPr="00890E88">
        <w:t xml:space="preserve"> for overseas manufacturing </w:t>
      </w:r>
      <w:r>
        <w:t>is suggested as a way of</w:t>
      </w:r>
      <w:r w:rsidRPr="00890E88">
        <w:t xml:space="preserve"> simplify</w:t>
      </w:r>
      <w:r>
        <w:t>ing</w:t>
      </w:r>
      <w:r w:rsidRPr="00890E88">
        <w:t xml:space="preserve"> the process and align</w:t>
      </w:r>
      <w:r>
        <w:t>ing</w:t>
      </w:r>
      <w:r w:rsidRPr="00890E88">
        <w:t xml:space="preserve"> legislation more closely with international regulations</w:t>
      </w:r>
      <w:r>
        <w:t>.</w:t>
      </w:r>
    </w:p>
    <w:p w14:paraId="56E53E18" w14:textId="0F08F77B" w:rsidR="008E5C5E" w:rsidRDefault="00075A4A" w:rsidP="00AD6C1D">
      <w:r>
        <w:t xml:space="preserve">Another stakeholder noted problems with the definition of fruit and vegetable juices and drinks as per </w:t>
      </w:r>
      <w:r w:rsidR="004259DE">
        <w:t xml:space="preserve">Section </w:t>
      </w:r>
      <w:r>
        <w:t>3 of the Information Standard</w:t>
      </w:r>
      <w:r w:rsidR="004259DE">
        <w:t xml:space="preserve"> (page</w:t>
      </w:r>
      <w:r w:rsidR="00A93AD0">
        <w:t>s</w:t>
      </w:r>
      <w:r w:rsidR="004259DE">
        <w:t xml:space="preserve"> 35</w:t>
      </w:r>
      <w:r w:rsidR="004A44D1">
        <w:t xml:space="preserve"> to 3</w:t>
      </w:r>
      <w:r w:rsidR="007C58BA">
        <w:t>6</w:t>
      </w:r>
      <w:r w:rsidR="004259DE">
        <w:t>)</w:t>
      </w:r>
      <w:r>
        <w:t>. The definition</w:t>
      </w:r>
      <w:r w:rsidR="00A93AD0">
        <w:t>,</w:t>
      </w:r>
      <w:r>
        <w:t xml:space="preserve"> which appears to be based on the Food Standards Code</w:t>
      </w:r>
      <w:r w:rsidR="00A93AD0">
        <w:t>,</w:t>
      </w:r>
      <w:r>
        <w:t xml:space="preserve"> specifies that these beverage types contain either water, mineralised water or sugars. However, the stakeholder submission identified that this causes problems as “not-from-concentrate juices” do not contain any of these ingredients. Additionally, they noted that the inclusion of “milk-like drinks” in this part of the Standard (i.e. under fruit and vegetable juices and drinks) was confusing and should be included elsewhere</w:t>
      </w:r>
      <w:r w:rsidR="00C5181D">
        <w:t xml:space="preserve"> (</w:t>
      </w:r>
      <w:r w:rsidR="008A0B33">
        <w:t xml:space="preserve">see </w:t>
      </w:r>
      <w:r w:rsidR="008A0B33">
        <w:fldChar w:fldCharType="begin"/>
      </w:r>
      <w:r w:rsidR="008A0B33">
        <w:instrText xml:space="preserve"> REF _Ref72181638 \n \h </w:instrText>
      </w:r>
      <w:r w:rsidR="008A0B33">
        <w:fldChar w:fldCharType="separate"/>
      </w:r>
      <w:r w:rsidR="0017363C">
        <w:t>Appendix D</w:t>
      </w:r>
      <w:r w:rsidR="008A0B33">
        <w:fldChar w:fldCharType="end"/>
      </w:r>
      <w:r w:rsidR="00C5181D">
        <w:t>)</w:t>
      </w:r>
      <w:r>
        <w:t xml:space="preserve">. </w:t>
      </w:r>
      <w:r w:rsidR="00B74025">
        <w:t xml:space="preserve">A stakeholder from the beverages industry also </w:t>
      </w:r>
      <w:r w:rsidR="00704E5A">
        <w:t>requested</w:t>
      </w:r>
      <w:r w:rsidR="00AF7262">
        <w:t xml:space="preserve"> </w:t>
      </w:r>
      <w:r w:rsidR="0009385E">
        <w:t>(</w:t>
      </w:r>
      <w:r w:rsidR="00AF7262">
        <w:t>in relation to the Information Standard</w:t>
      </w:r>
      <w:r w:rsidR="0009385E">
        <w:t>)</w:t>
      </w:r>
      <w:r w:rsidR="00B74025">
        <w:t xml:space="preserve"> clear</w:t>
      </w:r>
      <w:r w:rsidR="00704E5A">
        <w:t>(er)</w:t>
      </w:r>
      <w:r w:rsidR="00B74025">
        <w:t xml:space="preserve"> requirements </w:t>
      </w:r>
      <w:r w:rsidR="00704E5A">
        <w:t>in relation to</w:t>
      </w:r>
      <w:r w:rsidR="00B74025">
        <w:t xml:space="preserve"> importing raw materials and finished goods. </w:t>
      </w:r>
    </w:p>
    <w:p w14:paraId="67CFF573" w14:textId="3D05466E" w:rsidR="00185304" w:rsidRDefault="008E5C5E" w:rsidP="006C300D">
      <w:pPr>
        <w:pStyle w:val="ListBullet"/>
        <w:numPr>
          <w:ilvl w:val="0"/>
          <w:numId w:val="0"/>
        </w:numPr>
      </w:pPr>
      <w:r>
        <w:t>A food manufacturer also requested more information to determine the origin of water when it is a greater part of the process than simple rehydration of a raw material back to its original state</w:t>
      </w:r>
      <w:r w:rsidR="008014C4">
        <w:t>.</w:t>
      </w:r>
      <w:r>
        <w:t xml:space="preserve"> </w:t>
      </w:r>
      <w:r w:rsidR="008014C4">
        <w:t xml:space="preserve">They state that this </w:t>
      </w:r>
      <w:r>
        <w:t>i</w:t>
      </w:r>
      <w:r w:rsidR="00AD6C1D">
        <w:t>t i</w:t>
      </w:r>
      <w:r>
        <w:t xml:space="preserve">s not always clear if 12(2) or 12(3) applies. </w:t>
      </w:r>
      <w:r w:rsidR="002B15AF">
        <w:t xml:space="preserve">The stakeholder mentioned that they would like further guidance in calculating of water as a proportion (%) of the food in different scenarios, such as when less water remains present in the finished product </w:t>
      </w:r>
      <w:r w:rsidR="00AD6C1D">
        <w:t>(e.g.</w:t>
      </w:r>
      <w:r w:rsidR="002B15AF">
        <w:t xml:space="preserve"> baked goods</w:t>
      </w:r>
      <w:r w:rsidR="00AD6C1D">
        <w:t>)</w:t>
      </w:r>
      <w:r w:rsidR="002B15AF">
        <w:t>.</w:t>
      </w:r>
    </w:p>
    <w:p w14:paraId="30C8D499" w14:textId="77777777" w:rsidR="00AD6C1D" w:rsidRDefault="00AD6C1D" w:rsidP="00AD6C1D">
      <w:pPr>
        <w:pStyle w:val="ListBullet"/>
        <w:numPr>
          <w:ilvl w:val="0"/>
          <w:numId w:val="0"/>
        </w:numPr>
      </w:pPr>
    </w:p>
    <w:p w14:paraId="0E6BC8F9" w14:textId="658881EC" w:rsidR="00AD6C1D" w:rsidRDefault="00AD6C1D" w:rsidP="006C300D">
      <w:pPr>
        <w:pStyle w:val="ListBullet"/>
        <w:numPr>
          <w:ilvl w:val="0"/>
          <w:numId w:val="0"/>
        </w:numPr>
      </w:pPr>
      <w:r>
        <w:t xml:space="preserve">In addition, the NRA raised the need for greater clarity on what constitutes “foodservice” under Section 14(2) and called for it to be defined further in the Information Standard. </w:t>
      </w:r>
    </w:p>
    <w:p w14:paraId="30083257" w14:textId="77777777" w:rsidR="006C2BEA" w:rsidRPr="003C74DF" w:rsidRDefault="006C2BEA" w:rsidP="006C300D">
      <w:pPr>
        <w:pStyle w:val="Heading3"/>
        <w:spacing w:before="120"/>
      </w:pPr>
      <w:bookmarkStart w:id="474" w:name="_Toc65088447"/>
      <w:bookmarkStart w:id="475" w:name="_Toc65088454"/>
      <w:bookmarkStart w:id="476" w:name="_Toc65088455"/>
      <w:bookmarkStart w:id="477" w:name="_Toc67499122"/>
      <w:bookmarkEnd w:id="474"/>
      <w:bookmarkEnd w:id="475"/>
      <w:bookmarkEnd w:id="476"/>
      <w:r w:rsidRPr="003C74DF">
        <w:t>Key findings</w:t>
      </w:r>
      <w:r w:rsidR="00F00C10">
        <w:t xml:space="preserve">: </w:t>
      </w:r>
      <w:r w:rsidR="00C11915">
        <w:t>Safe harbour defences</w:t>
      </w:r>
      <w:bookmarkEnd w:id="477"/>
    </w:p>
    <w:tbl>
      <w:tblPr>
        <w:tblStyle w:val="Deloittetable"/>
        <w:tblW w:w="0" w:type="auto"/>
        <w:tblLook w:val="04A0" w:firstRow="1" w:lastRow="0" w:firstColumn="1" w:lastColumn="0" w:noHBand="0" w:noVBand="1"/>
        <w:tblDescription w:val="This table outlines the five key findings related to safe harbour defences. These are that 1) The inclusion of the safe harbour defences within the scheme is desirable and appropriate. The safe harbour defences are generally supported by industry stakeholders.&#10;2) Some industry stakeholders consider there is a need to revise some definitions associated with the safe harbour defences (in particular, substantial transformation) to ensure clarity and support ease of compliance.&#10;3) Clearer guidance and more detailed examples from the ACCC could assist in increasing businesses understanding of these defences and support ease of compliance. However, the ACCC considers their guidance material to go as far as it can without legislative change. A stakeholder forum to ensure a shared understanding of the definition and interpretation of substantial transformation could be beneficial particularly if changes to the definition were to be pursued.&#10;4) The definition of fruit and vegetable juice in the Information Standard is unclear and requires revision. &#10;5) The definition of origin claims related to fishing in the Information Standard is unclear and requires revision. "/>
      </w:tblPr>
      <w:tblGrid>
        <w:gridCol w:w="1134"/>
        <w:gridCol w:w="7892"/>
      </w:tblGrid>
      <w:tr w:rsidR="00F224D7" w14:paraId="688707B5"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45800D38" w14:textId="77777777" w:rsidR="00F224D7" w:rsidRPr="00AB2F4F" w:rsidRDefault="00F224D7" w:rsidP="00C546E2">
            <w:pPr>
              <w:rPr>
                <w:b/>
                <w:bCs/>
              </w:rPr>
            </w:pPr>
            <w:r>
              <w:rPr>
                <w:b/>
                <w:bCs/>
              </w:rPr>
              <w:t>Ref</w:t>
            </w:r>
          </w:p>
        </w:tc>
        <w:tc>
          <w:tcPr>
            <w:tcW w:w="7892" w:type="dxa"/>
            <w:tcBorders>
              <w:top w:val="single" w:sz="24" w:space="0" w:color="012169" w:themeColor="accent4"/>
            </w:tcBorders>
          </w:tcPr>
          <w:p w14:paraId="5C880079" w14:textId="3C4D81FA" w:rsidR="00F224D7" w:rsidRPr="00942CD6" w:rsidRDefault="0066449F" w:rsidP="00C546E2">
            <w:pPr>
              <w:rPr>
                <w:b/>
                <w:bCs/>
              </w:rPr>
            </w:pPr>
            <w:r w:rsidRPr="0066449F">
              <w:rPr>
                <w:b/>
                <w:bCs/>
              </w:rPr>
              <w:t>Has the introduction of safe</w:t>
            </w:r>
            <w:r w:rsidR="00A93AD0">
              <w:rPr>
                <w:b/>
                <w:bCs/>
              </w:rPr>
              <w:t xml:space="preserve"> </w:t>
            </w:r>
            <w:r w:rsidRPr="0066449F">
              <w:rPr>
                <w:b/>
                <w:bCs/>
              </w:rPr>
              <w:t>harbour defences clarified business’ ability to securely make origin claims?</w:t>
            </w:r>
          </w:p>
        </w:tc>
      </w:tr>
      <w:tr w:rsidR="00185304" w14:paraId="7B1156D2" w14:textId="77777777" w:rsidTr="00594328">
        <w:tc>
          <w:tcPr>
            <w:tcW w:w="1134" w:type="dxa"/>
          </w:tcPr>
          <w:p w14:paraId="1F3F9E39" w14:textId="04801862" w:rsidR="00185304" w:rsidRDefault="00D0625C" w:rsidP="00185304">
            <w:r>
              <w:t>41</w:t>
            </w:r>
          </w:p>
        </w:tc>
        <w:tc>
          <w:tcPr>
            <w:tcW w:w="7892" w:type="dxa"/>
          </w:tcPr>
          <w:p w14:paraId="66A5A0A9" w14:textId="77777777" w:rsidR="00185304" w:rsidRDefault="00185304" w:rsidP="00185304">
            <w:pPr>
              <w:pStyle w:val="ListBullet"/>
              <w:numPr>
                <w:ilvl w:val="0"/>
                <w:numId w:val="0"/>
              </w:numPr>
              <w:spacing w:after="170"/>
            </w:pPr>
            <w:r w:rsidRPr="00E53797">
              <w:rPr>
                <w:rFonts w:asciiTheme="majorHAnsi" w:hAnsiTheme="majorHAnsi"/>
              </w:rPr>
              <w:t xml:space="preserve">The inclusion of the safe harbour defences within the </w:t>
            </w:r>
            <w:r w:rsidR="00E670FE">
              <w:rPr>
                <w:rFonts w:asciiTheme="majorHAnsi" w:hAnsiTheme="majorHAnsi"/>
              </w:rPr>
              <w:t>scheme</w:t>
            </w:r>
            <w:r w:rsidRPr="00E53797">
              <w:rPr>
                <w:rFonts w:asciiTheme="majorHAnsi" w:hAnsiTheme="majorHAnsi"/>
              </w:rPr>
              <w:t xml:space="preserve"> is desirable and appropriate. The safe harbour defences are generally supported by industry stakeholders</w:t>
            </w:r>
            <w:r>
              <w:rPr>
                <w:rFonts w:asciiTheme="majorHAnsi" w:hAnsiTheme="majorHAnsi"/>
              </w:rPr>
              <w:t>.</w:t>
            </w:r>
          </w:p>
        </w:tc>
      </w:tr>
      <w:tr w:rsidR="00185304" w14:paraId="607C7777" w14:textId="77777777" w:rsidTr="00594328">
        <w:tc>
          <w:tcPr>
            <w:tcW w:w="1134" w:type="dxa"/>
          </w:tcPr>
          <w:p w14:paraId="633CB7EA" w14:textId="413422CC" w:rsidR="00185304" w:rsidRDefault="00D0625C" w:rsidP="00185304">
            <w:r>
              <w:t>42</w:t>
            </w:r>
          </w:p>
        </w:tc>
        <w:tc>
          <w:tcPr>
            <w:tcW w:w="7892" w:type="dxa"/>
          </w:tcPr>
          <w:p w14:paraId="2B686F24" w14:textId="77777777" w:rsidR="00185304" w:rsidRDefault="00185304" w:rsidP="00185304">
            <w:pPr>
              <w:pStyle w:val="ListBullet"/>
              <w:numPr>
                <w:ilvl w:val="0"/>
                <w:numId w:val="0"/>
              </w:numPr>
              <w:spacing w:after="170"/>
            </w:pPr>
            <w:r w:rsidRPr="00E53797">
              <w:rPr>
                <w:rFonts w:asciiTheme="majorHAnsi" w:hAnsiTheme="majorHAnsi"/>
              </w:rPr>
              <w:t>Some industry stakeholders consider there is a need to revise some definitions associated with the safe harbour defences (in particular, substantial transformation) to ensure clarity and support ease of compliance</w:t>
            </w:r>
            <w:r>
              <w:rPr>
                <w:rFonts w:asciiTheme="majorHAnsi" w:hAnsiTheme="majorHAnsi"/>
              </w:rPr>
              <w:t>.</w:t>
            </w:r>
          </w:p>
        </w:tc>
      </w:tr>
      <w:tr w:rsidR="00185304" w14:paraId="4712159D" w14:textId="77777777" w:rsidTr="00594328">
        <w:tc>
          <w:tcPr>
            <w:tcW w:w="1134" w:type="dxa"/>
          </w:tcPr>
          <w:p w14:paraId="220003B2" w14:textId="0827B29F" w:rsidR="00185304" w:rsidRDefault="00D0625C" w:rsidP="00185304">
            <w:r>
              <w:t>43</w:t>
            </w:r>
          </w:p>
        </w:tc>
        <w:tc>
          <w:tcPr>
            <w:tcW w:w="7892" w:type="dxa"/>
          </w:tcPr>
          <w:p w14:paraId="759A99FA" w14:textId="51691837" w:rsidR="00185304" w:rsidRPr="00D91B16" w:rsidRDefault="00185304" w:rsidP="00AD2831">
            <w:pPr>
              <w:pStyle w:val="ListBullet"/>
              <w:numPr>
                <w:ilvl w:val="0"/>
                <w:numId w:val="0"/>
              </w:numPr>
              <w:spacing w:after="170"/>
            </w:pPr>
            <w:r w:rsidRPr="00E53797">
              <w:rPr>
                <w:rFonts w:asciiTheme="majorHAnsi" w:hAnsiTheme="majorHAnsi"/>
              </w:rPr>
              <w:t xml:space="preserve">Clearer guidance and more detailed examples from the ACCC could assist in increasing businesses understanding of these </w:t>
            </w:r>
            <w:r w:rsidR="00D855B7">
              <w:rPr>
                <w:rFonts w:asciiTheme="majorHAnsi" w:hAnsiTheme="majorHAnsi"/>
              </w:rPr>
              <w:t xml:space="preserve">safe harbour </w:t>
            </w:r>
            <w:r w:rsidRPr="00E53797">
              <w:rPr>
                <w:rFonts w:asciiTheme="majorHAnsi" w:hAnsiTheme="majorHAnsi"/>
              </w:rPr>
              <w:t>defences and support ease of compliance</w:t>
            </w:r>
            <w:r>
              <w:rPr>
                <w:rFonts w:asciiTheme="majorHAnsi" w:hAnsiTheme="majorHAnsi"/>
              </w:rPr>
              <w:t xml:space="preserve">. </w:t>
            </w:r>
            <w:r w:rsidR="00EC4321" w:rsidRPr="00DE6749">
              <w:rPr>
                <w:rFonts w:asciiTheme="majorHAnsi" w:hAnsiTheme="majorHAnsi"/>
              </w:rPr>
              <w:t>However, the ACCC considers their guidance material already goes as far as it can based on the Information Standard and current case law</w:t>
            </w:r>
            <w:r w:rsidR="00DF5534">
              <w:rPr>
                <w:rFonts w:asciiTheme="majorHAnsi" w:hAnsiTheme="majorHAnsi"/>
              </w:rPr>
              <w:t xml:space="preserve">. </w:t>
            </w:r>
            <w:r w:rsidRPr="00663C99">
              <w:rPr>
                <w:rFonts w:asciiTheme="majorHAnsi" w:hAnsiTheme="majorHAnsi"/>
              </w:rPr>
              <w:t xml:space="preserve">A stakeholder forum to ensure a shared understanding </w:t>
            </w:r>
            <w:r>
              <w:rPr>
                <w:rFonts w:asciiTheme="majorHAnsi" w:hAnsiTheme="majorHAnsi"/>
              </w:rPr>
              <w:t>of the</w:t>
            </w:r>
            <w:r w:rsidRPr="00663C99">
              <w:rPr>
                <w:rFonts w:asciiTheme="majorHAnsi" w:hAnsiTheme="majorHAnsi"/>
              </w:rPr>
              <w:t xml:space="preserve"> definition and interpretation of substantial transformation</w:t>
            </w:r>
            <w:r>
              <w:rPr>
                <w:rFonts w:asciiTheme="majorHAnsi" w:hAnsiTheme="majorHAnsi"/>
              </w:rPr>
              <w:t xml:space="preserve"> could be beneficial</w:t>
            </w:r>
            <w:r w:rsidR="00DF5534">
              <w:rPr>
                <w:rFonts w:asciiTheme="majorHAnsi" w:hAnsiTheme="majorHAnsi"/>
              </w:rPr>
              <w:t xml:space="preserve"> particularly if changes to the definition were to be pursued</w:t>
            </w:r>
            <w:r w:rsidRPr="00663C99">
              <w:rPr>
                <w:rFonts w:asciiTheme="majorHAnsi" w:hAnsiTheme="majorHAnsi"/>
              </w:rPr>
              <w:t>.</w:t>
            </w:r>
          </w:p>
        </w:tc>
      </w:tr>
      <w:tr w:rsidR="00185304" w14:paraId="184CAB91" w14:textId="77777777" w:rsidTr="00594328">
        <w:tc>
          <w:tcPr>
            <w:tcW w:w="1134" w:type="dxa"/>
          </w:tcPr>
          <w:p w14:paraId="1BD40360" w14:textId="75FC2E50" w:rsidR="00185304" w:rsidRDefault="00D0625C" w:rsidP="00185304">
            <w:r>
              <w:t>44</w:t>
            </w:r>
          </w:p>
        </w:tc>
        <w:tc>
          <w:tcPr>
            <w:tcW w:w="7892" w:type="dxa"/>
          </w:tcPr>
          <w:p w14:paraId="2F923D76" w14:textId="77777777" w:rsidR="00185304" w:rsidRDefault="00185304" w:rsidP="00185304">
            <w:pPr>
              <w:pStyle w:val="ListBullet"/>
              <w:numPr>
                <w:ilvl w:val="0"/>
                <w:numId w:val="0"/>
              </w:numPr>
              <w:spacing w:after="170"/>
            </w:pPr>
            <w:r>
              <w:rPr>
                <w:rFonts w:asciiTheme="majorHAnsi" w:hAnsiTheme="majorHAnsi"/>
              </w:rPr>
              <w:t xml:space="preserve">The definition of fruit and vegetable juice in the Information Standard is unclear and requires revision. </w:t>
            </w:r>
          </w:p>
        </w:tc>
      </w:tr>
      <w:tr w:rsidR="00185304" w14:paraId="203F6B83" w14:textId="77777777" w:rsidTr="00594328">
        <w:tc>
          <w:tcPr>
            <w:tcW w:w="1134" w:type="dxa"/>
          </w:tcPr>
          <w:p w14:paraId="505E8908" w14:textId="6689A7E0" w:rsidR="00185304" w:rsidRDefault="00D0625C" w:rsidP="00185304">
            <w:r>
              <w:t>45</w:t>
            </w:r>
          </w:p>
        </w:tc>
        <w:tc>
          <w:tcPr>
            <w:tcW w:w="7892" w:type="dxa"/>
          </w:tcPr>
          <w:p w14:paraId="55BBC9F4" w14:textId="77777777" w:rsidR="00185304" w:rsidRDefault="00185304" w:rsidP="00185304">
            <w:pPr>
              <w:pStyle w:val="ListBullet"/>
              <w:numPr>
                <w:ilvl w:val="0"/>
                <w:numId w:val="0"/>
              </w:numPr>
              <w:spacing w:after="170"/>
            </w:pPr>
            <w:r>
              <w:rPr>
                <w:rFonts w:asciiTheme="majorHAnsi" w:hAnsiTheme="majorHAnsi"/>
              </w:rPr>
              <w:t>The definition of origin claims related to fishing in the Information Standard is unclear and requires revision.</w:t>
            </w:r>
          </w:p>
        </w:tc>
      </w:tr>
    </w:tbl>
    <w:p w14:paraId="3C0C3A36" w14:textId="77777777" w:rsidR="00D00A56" w:rsidRDefault="00906552" w:rsidP="00D00A56">
      <w:pPr>
        <w:pStyle w:val="Heading2"/>
      </w:pPr>
      <w:bookmarkStart w:id="478" w:name="_Toc66774405"/>
      <w:bookmarkStart w:id="479" w:name="_Toc67499123"/>
      <w:bookmarkStart w:id="480" w:name="_Ref71203400"/>
      <w:bookmarkStart w:id="481" w:name="_Toc94702066"/>
      <w:bookmarkEnd w:id="478"/>
      <w:r>
        <w:t>B</w:t>
      </w:r>
      <w:r w:rsidR="00CC2ED0" w:rsidRPr="005C5C02">
        <w:t>usiness compli</w:t>
      </w:r>
      <w:r>
        <w:t>ance</w:t>
      </w:r>
      <w:r w:rsidR="00CC2ED0" w:rsidRPr="005C5C02">
        <w:t xml:space="preserve"> with CoOL requirements</w:t>
      </w:r>
      <w:bookmarkEnd w:id="479"/>
      <w:bookmarkEnd w:id="480"/>
      <w:bookmarkEnd w:id="481"/>
    </w:p>
    <w:p w14:paraId="3C21F73E" w14:textId="6DE25D84" w:rsidR="00506E27" w:rsidRDefault="00E30D0D" w:rsidP="00F479A7">
      <w:r>
        <w:t xml:space="preserve">Compliance </w:t>
      </w:r>
      <w:r w:rsidR="00040FB4">
        <w:t>with the</w:t>
      </w:r>
      <w:r>
        <w:t xml:space="preserve"> new </w:t>
      </w:r>
      <w:r w:rsidR="00F80DA5">
        <w:t xml:space="preserve">CoOL requirements </w:t>
      </w:r>
      <w:r w:rsidR="00537295">
        <w:t xml:space="preserve">is </w:t>
      </w:r>
      <w:r w:rsidR="00040FB4">
        <w:t xml:space="preserve">one of the </w:t>
      </w:r>
      <w:r w:rsidR="00E61AC9">
        <w:t>medium-term</w:t>
      </w:r>
      <w:r w:rsidR="00040FB4">
        <w:t xml:space="preserve"> outcomes in the Program Logic</w:t>
      </w:r>
      <w:r w:rsidR="004F0389">
        <w:t xml:space="preserve"> and </w:t>
      </w:r>
      <w:r w:rsidR="004F4296">
        <w:t>impacts the</w:t>
      </w:r>
      <w:r w:rsidR="004F0389">
        <w:t xml:space="preserve"> trust in</w:t>
      </w:r>
      <w:r w:rsidR="007561E8">
        <w:t>,</w:t>
      </w:r>
      <w:r w:rsidR="004F0389">
        <w:t xml:space="preserve"> and integrity of</w:t>
      </w:r>
      <w:r w:rsidR="007561E8">
        <w:t>,</w:t>
      </w:r>
      <w:r w:rsidR="004F0389">
        <w:t xml:space="preserve"> the </w:t>
      </w:r>
      <w:r w:rsidR="00E670FE">
        <w:t>scheme</w:t>
      </w:r>
      <w:r w:rsidR="004F4296">
        <w:t xml:space="preserve"> (a </w:t>
      </w:r>
      <w:r w:rsidR="00842D99">
        <w:t>long-term</w:t>
      </w:r>
      <w:r w:rsidR="004F4296">
        <w:t xml:space="preserve"> outcome)</w:t>
      </w:r>
      <w:r w:rsidR="004F0389">
        <w:t xml:space="preserve">. </w:t>
      </w:r>
      <w:r w:rsidR="00D35C3A">
        <w:t xml:space="preserve">According to </w:t>
      </w:r>
      <w:r w:rsidR="00EA7698">
        <w:t xml:space="preserve">the ACCC submission, </w:t>
      </w:r>
      <w:r w:rsidR="00D35C3A">
        <w:t xml:space="preserve">there is mandatory </w:t>
      </w:r>
      <w:r w:rsidR="007A1C6D">
        <w:rPr>
          <w:rFonts w:eastAsia="Calibri" w:cs="Times New Roman"/>
        </w:rPr>
        <w:t>CoOL</w:t>
      </w:r>
      <w:r w:rsidR="007A1C6D" w:rsidRPr="00CC297D">
        <w:rPr>
          <w:rFonts w:eastAsia="Calibri" w:cs="Times New Roman"/>
        </w:rPr>
        <w:t xml:space="preserve"> </w:t>
      </w:r>
      <w:r w:rsidR="00541094">
        <w:t xml:space="preserve">for food in Australia per labelling requirements, and failure to comply </w:t>
      </w:r>
      <w:r w:rsidR="002C1366">
        <w:t>may result in a fine of up to $10</w:t>
      </w:r>
      <w:r w:rsidR="008E50F3">
        <w:t>.0</w:t>
      </w:r>
      <w:r w:rsidR="002C1366">
        <w:t xml:space="preserve"> million for corporations and $</w:t>
      </w:r>
      <w:r w:rsidR="008E50F3">
        <w:t xml:space="preserve">0.5 million </w:t>
      </w:r>
      <w:r w:rsidR="002C1366">
        <w:t xml:space="preserve">for individuals. </w:t>
      </w:r>
      <w:r w:rsidR="004F4296">
        <w:t xml:space="preserve">In this section, </w:t>
      </w:r>
      <w:r w:rsidR="00190BA2">
        <w:t>business</w:t>
      </w:r>
      <w:r w:rsidR="002B1DEE">
        <w:t xml:space="preserve"> compliance</w:t>
      </w:r>
      <w:r w:rsidR="00190BA2">
        <w:t xml:space="preserve"> with the CoOL requirements under the CoOL reforms</w:t>
      </w:r>
      <w:r w:rsidR="002B1DEE">
        <w:t xml:space="preserve"> is considered</w:t>
      </w:r>
      <w:r w:rsidR="004F4296">
        <w:t xml:space="preserve"> (</w:t>
      </w:r>
      <w:r w:rsidR="008E50F3">
        <w:t>e</w:t>
      </w:r>
      <w:r w:rsidR="004F4296">
        <w:t xml:space="preserve">valuation </w:t>
      </w:r>
      <w:r w:rsidR="008E50F3">
        <w:t>q</w:t>
      </w:r>
      <w:r w:rsidR="004F4296">
        <w:t>uestion 17)</w:t>
      </w:r>
      <w:r w:rsidR="00190BA2">
        <w:t xml:space="preserve">. </w:t>
      </w:r>
    </w:p>
    <w:p w14:paraId="7E16E641" w14:textId="01A38463" w:rsidR="004C7C9D" w:rsidRDefault="009771A6" w:rsidP="004C7C9D">
      <w:pPr>
        <w:pStyle w:val="Heading3"/>
      </w:pPr>
      <w:bookmarkStart w:id="482" w:name="_Toc66774407"/>
      <w:bookmarkStart w:id="483" w:name="_Toc67499124"/>
      <w:bookmarkEnd w:id="482"/>
      <w:r w:rsidRPr="007A727F">
        <w:lastRenderedPageBreak/>
        <w:t>Varied</w:t>
      </w:r>
      <w:r w:rsidRPr="008345B9">
        <w:t xml:space="preserve"> </w:t>
      </w:r>
      <w:r w:rsidR="004C7C9D">
        <w:t>compliance with the CoOL requirements</w:t>
      </w:r>
      <w:bookmarkEnd w:id="483"/>
      <w:r w:rsidR="004C7C9D">
        <w:t xml:space="preserve"> </w:t>
      </w:r>
      <w:r w:rsidR="001F37AD" w:rsidRPr="007A727F">
        <w:t>across trader types</w:t>
      </w:r>
      <w:r w:rsidR="004C7C9D" w:rsidRPr="008345B9">
        <w:t xml:space="preserve"> </w:t>
      </w:r>
    </w:p>
    <w:p w14:paraId="4F8C388F" w14:textId="05E6A1B4" w:rsidR="00F12708" w:rsidRDefault="004C7C9D" w:rsidP="00F479A7">
      <w:r>
        <w:t xml:space="preserve">Once the Standards took effect in 2018, </w:t>
      </w:r>
      <w:r w:rsidR="00C32141">
        <w:t xml:space="preserve">the </w:t>
      </w:r>
      <w:r>
        <w:t xml:space="preserve">ACCC conducted a series of </w:t>
      </w:r>
      <w:r w:rsidR="00FF5266">
        <w:t>surveillance, engagement and compliance activities</w:t>
      </w:r>
      <w:r>
        <w:t>.</w:t>
      </w:r>
      <w:r w:rsidR="00FF5266">
        <w:t xml:space="preserve"> </w:t>
      </w:r>
      <w:r>
        <w:t>T</w:t>
      </w:r>
      <w:r w:rsidR="00A4669C">
        <w:t xml:space="preserve">he ACCC found </w:t>
      </w:r>
      <w:r w:rsidR="00C32141">
        <w:t xml:space="preserve">there was </w:t>
      </w:r>
      <w:r w:rsidR="008B7337" w:rsidRPr="007A727F">
        <w:t>high levels of compliance in major supermarkets</w:t>
      </w:r>
      <w:r w:rsidR="009771A6" w:rsidRPr="007A727F">
        <w:t>, lowers levels of compliance in independent supermarkets and much lower levels of compliance in all other business types</w:t>
      </w:r>
      <w:r w:rsidR="000B7CCA" w:rsidRPr="007A727F">
        <w:t xml:space="preserve"> (i.e.</w:t>
      </w:r>
      <w:r w:rsidR="00AB1240" w:rsidRPr="007A727F">
        <w:t xml:space="preserve"> delicatessen, fruit and vegetable retail, meat retail, meat wholesale, poultry retail, seafood retai</w:t>
      </w:r>
      <w:r w:rsidR="00703D18" w:rsidRPr="007A727F">
        <w:t>l and small food businesses)</w:t>
      </w:r>
      <w:r w:rsidR="009771A6" w:rsidRPr="007A727F">
        <w:t>.</w:t>
      </w:r>
      <w:r w:rsidR="001F37AD" w:rsidRPr="007A727F">
        <w:t xml:space="preserve"> </w:t>
      </w:r>
    </w:p>
    <w:p w14:paraId="5162A3FC" w14:textId="63C027EB" w:rsidR="00925D26" w:rsidRDefault="007C7614" w:rsidP="00F479A7">
      <w:r>
        <w:t>Consultations with industry groups revealed that over time, businesses have generally</w:t>
      </w:r>
      <w:r w:rsidR="00B456D3">
        <w:t xml:space="preserve"> been able to</w:t>
      </w:r>
      <w:r>
        <w:t xml:space="preserve"> </w:t>
      </w:r>
      <w:r w:rsidR="00F12708">
        <w:t>(</w:t>
      </w:r>
      <w:r w:rsidR="00B456D3">
        <w:t xml:space="preserve">or </w:t>
      </w:r>
      <w:r w:rsidR="00F12708">
        <w:t xml:space="preserve">found it easier to) </w:t>
      </w:r>
      <w:r>
        <w:t>compl</w:t>
      </w:r>
      <w:r w:rsidR="00B456D3">
        <w:t>y</w:t>
      </w:r>
      <w:r>
        <w:t xml:space="preserve"> with the CoOL requirements.</w:t>
      </w:r>
      <w:r w:rsidRPr="00C83136">
        <w:t xml:space="preserve"> </w:t>
      </w:r>
      <w:r w:rsidR="00925D26">
        <w:t xml:space="preserve">A large meat manufacturer indicated that </w:t>
      </w:r>
      <w:r>
        <w:t>the initial phase of implement</w:t>
      </w:r>
      <w:r w:rsidR="00925D26">
        <w:t>ing</w:t>
      </w:r>
      <w:r>
        <w:t xml:space="preserve"> </w:t>
      </w:r>
      <w:r w:rsidR="0043749D" w:rsidRPr="007A727F">
        <w:t>the</w:t>
      </w:r>
      <w:r w:rsidR="0043749D" w:rsidRPr="008345B9">
        <w:t xml:space="preserve"> </w:t>
      </w:r>
      <w:r>
        <w:t xml:space="preserve">CoOL reform placed additional regulatory burden on industry members </w:t>
      </w:r>
      <w:r w:rsidR="00925D26">
        <w:t xml:space="preserve">as they had </w:t>
      </w:r>
      <w:r>
        <w:t>to recalculate the proportion of Australian ingredients in their products. However, over</w:t>
      </w:r>
      <w:r w:rsidR="00925D26">
        <w:t xml:space="preserve"> </w:t>
      </w:r>
      <w:r>
        <w:t>time</w:t>
      </w:r>
      <w:r w:rsidR="00925D26">
        <w:t>,</w:t>
      </w:r>
      <w:r>
        <w:t xml:space="preserve"> industry members have had no issues with implementation and compliance with the CoOL requirements.</w:t>
      </w:r>
    </w:p>
    <w:p w14:paraId="5039D2D0" w14:textId="4E14447C" w:rsidR="006C4B53" w:rsidRDefault="00A7758C" w:rsidP="00F479A7">
      <w:r>
        <w:t xml:space="preserve">This is consistent with what has been said by </w:t>
      </w:r>
      <w:r w:rsidR="00B73F16">
        <w:t>various</w:t>
      </w:r>
      <w:r w:rsidR="00EB3904">
        <w:t xml:space="preserve"> government</w:t>
      </w:r>
      <w:r w:rsidR="00B73F16">
        <w:t xml:space="preserve"> agencies</w:t>
      </w:r>
      <w:r w:rsidR="00EB3904">
        <w:t xml:space="preserve"> involved in compliance including the ACCC, Australian Border Force</w:t>
      </w:r>
      <w:r w:rsidR="00F3772A">
        <w:t xml:space="preserve"> (ABF)</w:t>
      </w:r>
      <w:r w:rsidR="00EB3904">
        <w:t xml:space="preserve"> and</w:t>
      </w:r>
      <w:r w:rsidR="006B33E4">
        <w:t xml:space="preserve"> </w:t>
      </w:r>
      <w:r w:rsidR="006542A6">
        <w:t xml:space="preserve">DAWE </w:t>
      </w:r>
      <w:r>
        <w:t xml:space="preserve">who </w:t>
      </w:r>
      <w:r w:rsidR="00EB3904">
        <w:t xml:space="preserve">indicated </w:t>
      </w:r>
      <w:r w:rsidR="006B33E4">
        <w:t xml:space="preserve">that there were </w:t>
      </w:r>
      <w:r w:rsidR="00EB3904">
        <w:t xml:space="preserve">generally high levels of </w:t>
      </w:r>
      <w:r>
        <w:t xml:space="preserve">business </w:t>
      </w:r>
      <w:r w:rsidR="00EB3904">
        <w:t>compliance.</w:t>
      </w:r>
      <w:r w:rsidR="003D3305">
        <w:t xml:space="preserve"> </w:t>
      </w:r>
    </w:p>
    <w:p w14:paraId="55594E5A" w14:textId="77777777" w:rsidR="006C4B53" w:rsidRDefault="00FC2E7C" w:rsidP="006C4B53">
      <w:pPr>
        <w:pStyle w:val="NoSpacing"/>
      </w:pPr>
      <w:r>
        <w:t>To</w:t>
      </w:r>
      <w:r w:rsidR="00762AB1">
        <w:t xml:space="preserve"> assist with implementation of</w:t>
      </w:r>
      <w:r w:rsidR="00281F4C">
        <w:t xml:space="preserve"> and compliance with</w:t>
      </w:r>
      <w:r w:rsidR="00762AB1">
        <w:t xml:space="preserve"> the Standard, t</w:t>
      </w:r>
      <w:r w:rsidR="006C4B53">
        <w:t xml:space="preserve">he ACCC </w:t>
      </w:r>
      <w:r w:rsidR="006B33E4">
        <w:t>undertook</w:t>
      </w:r>
      <w:r w:rsidR="006C4B53">
        <w:t xml:space="preserve"> considerable engagement with major supermarkets including Coles and</w:t>
      </w:r>
      <w:r w:rsidR="00A14775">
        <w:t xml:space="preserve"> Woolworths</w:t>
      </w:r>
      <w:r w:rsidR="006C4B53">
        <w:t>.</w:t>
      </w:r>
      <w:r w:rsidR="00EB3904">
        <w:t xml:space="preserve"> Due to this engagement, s</w:t>
      </w:r>
      <w:r w:rsidR="00C637D5">
        <w:t>ome of the</w:t>
      </w:r>
      <w:r w:rsidR="00762AB1">
        <w:t xml:space="preserve"> response</w:t>
      </w:r>
      <w:r w:rsidR="00C637D5">
        <w:t>s initiated by</w:t>
      </w:r>
      <w:r w:rsidR="00762AB1">
        <w:t xml:space="preserve"> these supermark</w:t>
      </w:r>
      <w:r w:rsidR="00C637D5">
        <w:t>ets included:</w:t>
      </w:r>
    </w:p>
    <w:p w14:paraId="5E1FB5E6" w14:textId="49FA1D1B" w:rsidR="006C4B53" w:rsidRDefault="006C4B53" w:rsidP="00BE307A">
      <w:pPr>
        <w:pStyle w:val="NoSpacing"/>
        <w:numPr>
          <w:ilvl w:val="0"/>
          <w:numId w:val="17"/>
        </w:numPr>
        <w:ind w:left="284" w:hanging="284"/>
      </w:pPr>
      <w:r>
        <w:t>Sending emails to supplie</w:t>
      </w:r>
      <w:r w:rsidR="00C637D5">
        <w:t>r</w:t>
      </w:r>
      <w:r>
        <w:t xml:space="preserve">s asking them to ensure compliance with the </w:t>
      </w:r>
      <w:r w:rsidR="00794241">
        <w:t>s</w:t>
      </w:r>
      <w:r>
        <w:t xml:space="preserve">tandard prior to it coming into effect </w:t>
      </w:r>
    </w:p>
    <w:p w14:paraId="01922548" w14:textId="77777777" w:rsidR="006C4B53" w:rsidRDefault="006C4B53" w:rsidP="00BE307A">
      <w:pPr>
        <w:pStyle w:val="NoSpacing"/>
        <w:numPr>
          <w:ilvl w:val="0"/>
          <w:numId w:val="17"/>
        </w:numPr>
        <w:ind w:left="284" w:hanging="284"/>
      </w:pPr>
      <w:r>
        <w:t xml:space="preserve">Following up with </w:t>
      </w:r>
      <w:r w:rsidR="00BC6CA2">
        <w:t xml:space="preserve">suppliers by </w:t>
      </w:r>
      <w:r>
        <w:t>request</w:t>
      </w:r>
      <w:r w:rsidR="00BC6CA2">
        <w:t xml:space="preserve">ing them </w:t>
      </w:r>
      <w:r>
        <w:t xml:space="preserve">to review incomplete or mistaken labels </w:t>
      </w:r>
    </w:p>
    <w:p w14:paraId="5EACDDC6" w14:textId="77777777" w:rsidR="00A14775" w:rsidRDefault="006C4B53" w:rsidP="00BE307A">
      <w:pPr>
        <w:pStyle w:val="NoSpacing"/>
        <w:numPr>
          <w:ilvl w:val="0"/>
          <w:numId w:val="17"/>
        </w:numPr>
        <w:ind w:left="284" w:hanging="284"/>
      </w:pPr>
      <w:r>
        <w:t xml:space="preserve">Employing team members specifically to manage the implementation of the Standard </w:t>
      </w:r>
    </w:p>
    <w:p w14:paraId="20C47E23" w14:textId="1B3B81C2" w:rsidR="00AC043D" w:rsidRDefault="00A14775" w:rsidP="007A727F">
      <w:pPr>
        <w:pStyle w:val="NoSpacing"/>
        <w:numPr>
          <w:ilvl w:val="0"/>
          <w:numId w:val="17"/>
        </w:numPr>
        <w:spacing w:after="170"/>
        <w:ind w:left="284" w:hanging="284"/>
      </w:pPr>
      <w:r>
        <w:t>U</w:t>
      </w:r>
      <w:r w:rsidR="006C4B53">
        <w:t xml:space="preserve">pgrading </w:t>
      </w:r>
      <w:r w:rsidR="00627B43">
        <w:t xml:space="preserve">of </w:t>
      </w:r>
      <w:r w:rsidR="006C4B53">
        <w:t>IT systems</w:t>
      </w:r>
      <w:r w:rsidR="002D3025">
        <w:t xml:space="preserve"> to cater to the new requirements</w:t>
      </w:r>
      <w:r w:rsidR="006C4B53">
        <w:t xml:space="preserve"> </w:t>
      </w:r>
    </w:p>
    <w:p w14:paraId="11708271" w14:textId="109DF88D" w:rsidR="004318C1" w:rsidRPr="008345B9" w:rsidRDefault="00225D0B" w:rsidP="007A727F">
      <w:r>
        <w:t>The George Institute for Global Health</w:t>
      </w:r>
      <w:r w:rsidR="004318C1" w:rsidRPr="008345B9">
        <w:t xml:space="preserve"> made a submission to DISER containing research statistics about the compliance levels of CoOL based on their FoodSwitch database</w:t>
      </w:r>
      <w:r w:rsidR="00794241">
        <w:t>,</w:t>
      </w:r>
      <w:r w:rsidR="004318C1" w:rsidRPr="008345B9">
        <w:t xml:space="preserve"> which contains food packaging and nutrition information for approximately 80,000 products sold in Australia. The research suggested that </w:t>
      </w:r>
      <w:r w:rsidR="00794241">
        <w:t>9%</w:t>
      </w:r>
      <w:r w:rsidR="004318C1" w:rsidRPr="008345B9">
        <w:t xml:space="preserve"> of the products were not displaying CoOL.</w:t>
      </w:r>
    </w:p>
    <w:p w14:paraId="2D27C35B" w14:textId="39B3C10E" w:rsidR="00944E1E" w:rsidRDefault="00F57B5B" w:rsidP="0010384A">
      <w:pPr>
        <w:spacing w:before="120"/>
      </w:pPr>
      <w:r w:rsidRPr="007A727F">
        <w:t>However</w:t>
      </w:r>
      <w:r w:rsidR="001E5F2E" w:rsidRPr="007A727F">
        <w:t>,</w:t>
      </w:r>
      <w:r w:rsidR="00944E1E" w:rsidRPr="008345B9">
        <w:t xml:space="preserve"> </w:t>
      </w:r>
      <w:r w:rsidR="00E46D3E" w:rsidRPr="007A727F">
        <w:t xml:space="preserve">market surveillance undertaken by the NMI indicated that there was varied compliance levels with CoOL requirements across trader types. </w:t>
      </w:r>
      <w:r w:rsidR="00965638" w:rsidRPr="007A727F">
        <w:t>T</w:t>
      </w:r>
      <w:r w:rsidR="003B1C5C" w:rsidRPr="008345B9">
        <w:t>he</w:t>
      </w:r>
      <w:r w:rsidR="003B1C5C">
        <w:t xml:space="preserve"> ACCC engaged the </w:t>
      </w:r>
      <w:r w:rsidR="00DC7026">
        <w:t>NMI</w:t>
      </w:r>
      <w:r w:rsidR="003B1C5C">
        <w:t xml:space="preserve"> to undertake market surveillance for country of origin food labelling</w:t>
      </w:r>
      <w:r w:rsidR="001E5F2E" w:rsidRPr="007A727F">
        <w:t xml:space="preserve"> </w:t>
      </w:r>
      <w:r w:rsidRPr="007A727F">
        <w:t>b</w:t>
      </w:r>
      <w:r w:rsidR="000E736A" w:rsidRPr="007A727F">
        <w:t>etween August 2018 and March 2020</w:t>
      </w:r>
      <w:r w:rsidRPr="007A727F">
        <w:t>.</w:t>
      </w:r>
      <w:r w:rsidR="003B1C5C">
        <w:t xml:space="preserve"> Across </w:t>
      </w:r>
      <w:r w:rsidRPr="007A727F">
        <w:t>841</w:t>
      </w:r>
      <w:r w:rsidR="003B1C5C">
        <w:t xml:space="preserve"> businesses in regional, remote and metropolitan areas, </w:t>
      </w:r>
      <w:r w:rsidR="0010299B" w:rsidRPr="007A727F">
        <w:t>16,820</w:t>
      </w:r>
      <w:r w:rsidR="003B1C5C">
        <w:t xml:space="preserve"> product lines sold were checked for country of origin labels. </w:t>
      </w:r>
    </w:p>
    <w:p w14:paraId="47A7CAC5" w14:textId="3B7C30B9" w:rsidR="00871246" w:rsidRDefault="00F61698" w:rsidP="00871246">
      <w:pPr>
        <w:pStyle w:val="Heading3"/>
      </w:pPr>
      <w:bookmarkStart w:id="484" w:name="_Toc67499125"/>
      <w:r>
        <w:t>Higher rates of</w:t>
      </w:r>
      <w:r w:rsidR="00871246">
        <w:t xml:space="preserve"> non-compliance</w:t>
      </w:r>
      <w:r w:rsidR="005D6148">
        <w:t xml:space="preserve"> </w:t>
      </w:r>
      <w:r>
        <w:t xml:space="preserve">were </w:t>
      </w:r>
      <w:r w:rsidR="004F2539">
        <w:t>reported for some trader types</w:t>
      </w:r>
      <w:r>
        <w:t xml:space="preserve"> </w:t>
      </w:r>
      <w:bookmarkEnd w:id="484"/>
    </w:p>
    <w:p w14:paraId="3A53C1A2" w14:textId="53C4EE3A" w:rsidR="00B307F9" w:rsidRPr="007A727F" w:rsidRDefault="00EA0D75" w:rsidP="00F479A7">
      <w:r>
        <w:t xml:space="preserve">In total, the </w:t>
      </w:r>
      <w:r w:rsidR="00E551FD">
        <w:t xml:space="preserve">trade measurement inspections conducted by the </w:t>
      </w:r>
      <w:r w:rsidR="00C8534A">
        <w:t xml:space="preserve">NMI </w:t>
      </w:r>
      <w:r w:rsidR="00E551FD">
        <w:t xml:space="preserve">found that </w:t>
      </w:r>
      <w:r w:rsidR="009900F6" w:rsidRPr="007A727F">
        <w:t>2</w:t>
      </w:r>
      <w:r w:rsidR="009900F6">
        <w:t>4.5</w:t>
      </w:r>
      <w:r w:rsidR="007B2C81">
        <w:t>%</w:t>
      </w:r>
      <w:r w:rsidR="00ED7517">
        <w:t xml:space="preserve"> of all product lines inspected in 2018-19 </w:t>
      </w:r>
      <w:r w:rsidR="00E00A03">
        <w:t>and 2019-20</w:t>
      </w:r>
      <w:r w:rsidR="00ED7517" w:rsidRPr="002E66CE">
        <w:t xml:space="preserve"> </w:t>
      </w:r>
      <w:r w:rsidR="00ED7517">
        <w:t xml:space="preserve">were non-compliant. </w:t>
      </w:r>
      <w:r w:rsidR="00EF5D0F">
        <w:t>T</w:t>
      </w:r>
      <w:r w:rsidR="0087478D" w:rsidRPr="007A727F">
        <w:t xml:space="preserve">his </w:t>
      </w:r>
      <w:r w:rsidR="00A23A21">
        <w:t xml:space="preserve">non-compliance </w:t>
      </w:r>
      <w:r w:rsidR="0087478D" w:rsidRPr="007A727F">
        <w:t xml:space="preserve">does not highlight the significant differences </w:t>
      </w:r>
      <w:r w:rsidR="00B307F9" w:rsidRPr="007A727F">
        <w:t>in compliance between major supermarkets and other business types</w:t>
      </w:r>
      <w:r w:rsidR="00551418">
        <w:t>,</w:t>
      </w:r>
      <w:r w:rsidR="00B307F9" w:rsidRPr="007A727F">
        <w:t xml:space="preserve"> and between</w:t>
      </w:r>
      <w:r w:rsidR="004F2539">
        <w:t xml:space="preserve"> the</w:t>
      </w:r>
      <w:r w:rsidR="00B307F9" w:rsidRPr="007A727F">
        <w:t xml:space="preserve"> compliance for prepacked and non-prepacked product lines. </w:t>
      </w:r>
    </w:p>
    <w:p w14:paraId="750E3F4E" w14:textId="4CF81B5B" w:rsidR="00F61698" w:rsidRDefault="007A727F" w:rsidP="00696A84">
      <w:r>
        <w:t>A</w:t>
      </w:r>
      <w:r w:rsidR="008A2DB0">
        <w:t xml:space="preserve">s shown in </w:t>
      </w:r>
      <w:r w:rsidR="003C1F53">
        <w:fldChar w:fldCharType="begin"/>
      </w:r>
      <w:r w:rsidR="003C1F53">
        <w:instrText xml:space="preserve"> REF _Ref75255990 \r \h </w:instrText>
      </w:r>
      <w:r w:rsidR="003C1F53">
        <w:fldChar w:fldCharType="separate"/>
      </w:r>
      <w:r w:rsidR="0017363C">
        <w:t>Chart 5.1</w:t>
      </w:r>
      <w:r w:rsidR="003C1F53">
        <w:fldChar w:fldCharType="end"/>
      </w:r>
      <w:r w:rsidR="008A2DB0">
        <w:t>, a</w:t>
      </w:r>
      <w:r>
        <w:t xml:space="preserve"> high level of compliance was found in the major supermar</w:t>
      </w:r>
      <w:r w:rsidR="000B3A3A">
        <w:t>ket group where only 2.4% of non-pre</w:t>
      </w:r>
      <w:r w:rsidR="008A2DB0">
        <w:t>-</w:t>
      </w:r>
      <w:r w:rsidR="000B3A3A">
        <w:t xml:space="preserve">packaged product lines were </w:t>
      </w:r>
      <w:r w:rsidR="002E66CE">
        <w:t xml:space="preserve">found to be </w:t>
      </w:r>
      <w:r w:rsidR="000B3A3A">
        <w:t>non-compliant and 5.5% of pre-packaged product lines</w:t>
      </w:r>
      <w:r w:rsidR="002E66CE">
        <w:t xml:space="preserve"> were found to be non-compliant</w:t>
      </w:r>
      <w:r w:rsidR="000B3A3A">
        <w:t>.</w:t>
      </w:r>
      <w:r w:rsidR="002E66CE">
        <w:t xml:space="preserve"> This is in comparison to independent supermarkets, meat and seafood retailers and all other business types who were found to have higher rates of non-compliance. For example,</w:t>
      </w:r>
      <w:r w:rsidR="00A27AB4">
        <w:t xml:space="preserve"> for independent supermarkets,</w:t>
      </w:r>
      <w:r w:rsidR="00882283">
        <w:t xml:space="preserve"> 19.4% of </w:t>
      </w:r>
      <w:r w:rsidR="00A27AB4">
        <w:t>non-pre</w:t>
      </w:r>
      <w:r w:rsidR="00794241">
        <w:noBreakHyphen/>
      </w:r>
      <w:r w:rsidR="00A27AB4">
        <w:t xml:space="preserve">packaged product lines were found to be non-compliant and </w:t>
      </w:r>
      <w:r w:rsidR="002A03D3">
        <w:t>14.</w:t>
      </w:r>
      <w:r w:rsidR="005661F0">
        <w:t>1%</w:t>
      </w:r>
      <w:r w:rsidR="00A27AB4" w:rsidRPr="00A27AB4">
        <w:t xml:space="preserve"> </w:t>
      </w:r>
      <w:r w:rsidR="00A27AB4">
        <w:t>of pre-packaged product lines were found to be non-compliant.</w:t>
      </w:r>
      <w:r w:rsidR="0050112A">
        <w:t xml:space="preserve"> This was notably higher for other businesses whereby 43% of non-pre-packaged product lines were found to be non-compliant and </w:t>
      </w:r>
      <w:r w:rsidR="0093063C">
        <w:t xml:space="preserve">25% of pre-packaged product lines were found to be non-compliant. These differences could potentially reflect </w:t>
      </w:r>
      <w:r w:rsidR="00696A84">
        <w:t>ACCC’s considerable engagement with major supermarkets.</w:t>
      </w:r>
    </w:p>
    <w:p w14:paraId="235D3920" w14:textId="647ADEF2" w:rsidR="00D96392" w:rsidRDefault="00D96392" w:rsidP="00642F28">
      <w:pPr>
        <w:pStyle w:val="CaptionChart"/>
      </w:pPr>
      <w:bookmarkStart w:id="485" w:name="_Ref75255990"/>
      <w:bookmarkStart w:id="486" w:name="_Toc82590367"/>
      <w:r>
        <w:lastRenderedPageBreak/>
        <w:t xml:space="preserve">: </w:t>
      </w:r>
      <w:r w:rsidR="00A04C28">
        <w:t>CoOL n</w:t>
      </w:r>
      <w:r>
        <w:t>on</w:t>
      </w:r>
      <w:r w:rsidR="00A04C28">
        <w:t>-</w:t>
      </w:r>
      <w:r>
        <w:t>compliance</w:t>
      </w:r>
      <w:r w:rsidR="003C1F53">
        <w:t>, by trader type and product type, 2018-2020</w:t>
      </w:r>
      <w:bookmarkEnd w:id="485"/>
      <w:bookmarkEnd w:id="486"/>
    </w:p>
    <w:p w14:paraId="66FD8245" w14:textId="29060E82" w:rsidR="00E04FAB" w:rsidRDefault="00E04FAB" w:rsidP="00734CA8">
      <w:pPr>
        <w:pStyle w:val="Source"/>
      </w:pPr>
      <w:r w:rsidRPr="00E04FAB">
        <w:rPr>
          <w:noProof/>
          <w:lang w:eastAsia="en-AU"/>
        </w:rPr>
        <w:drawing>
          <wp:inline distT="0" distB="0" distL="0" distR="0" wp14:anchorId="4565492B" wp14:editId="1B25F3F8">
            <wp:extent cx="5676900" cy="3035935"/>
            <wp:effectExtent l="0" t="0" r="0" b="0"/>
            <wp:docPr id="289242757" name="Picture 289242757" descr="Findings are: for major supermarkets, non pre-packaged (2.4%), pre-packaged (5.5%). Independent supermarkets, non-pre-packaged (19.4%), pre-packaged (14.1%). Other businesses: non-pre-packaged (43%), pre-packaged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57" name="Picture 289242757" descr="Findings are: for major supermarkets, non pre-packaged (2.4%), pre-packaged (5.5%). Independent supermarkets, non-pre-packaged (19.4%), pre-packaged (14.1%). Other businesses: non-pre-packaged (43%), pre-packaged (25%).&#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6900" cy="3035935"/>
                    </a:xfrm>
                    <a:prstGeom prst="rect">
                      <a:avLst/>
                    </a:prstGeom>
                    <a:noFill/>
                    <a:ln>
                      <a:noFill/>
                    </a:ln>
                  </pic:spPr>
                </pic:pic>
              </a:graphicData>
            </a:graphic>
          </wp:inline>
        </w:drawing>
      </w:r>
    </w:p>
    <w:p w14:paraId="76E32E4E" w14:textId="0AB543FA" w:rsidR="00734CA8" w:rsidRPr="00DE508C" w:rsidRDefault="00734CA8" w:rsidP="00734CA8">
      <w:pPr>
        <w:pStyle w:val="Source"/>
      </w:pPr>
      <w:r w:rsidRPr="00842E04">
        <w:t xml:space="preserve">Source: </w:t>
      </w:r>
      <w:r>
        <w:t>National Measurement Institute (2020)</w:t>
      </w:r>
      <w:r w:rsidRPr="00842E04">
        <w:t>.</w:t>
      </w:r>
    </w:p>
    <w:p w14:paraId="0B1ABFB0" w14:textId="4048123A" w:rsidR="00993E6D" w:rsidRDefault="00A41385" w:rsidP="00F479A7">
      <w:r>
        <w:t>More specifically, t</w:t>
      </w:r>
      <w:r w:rsidR="00A23A21" w:rsidRPr="007A727F">
        <w:t>he main area</w:t>
      </w:r>
      <w:r w:rsidR="007234F3">
        <w:t>s</w:t>
      </w:r>
      <w:r w:rsidR="00A23A21" w:rsidRPr="007A727F">
        <w:t xml:space="preserve"> of non-compliance </w:t>
      </w:r>
      <w:r w:rsidR="00D455BC">
        <w:t xml:space="preserve">across all business types </w:t>
      </w:r>
      <w:r w:rsidR="007234F3">
        <w:t>included</w:t>
      </w:r>
      <w:r w:rsidR="00D455BC">
        <w:t xml:space="preserve"> failure to display a label </w:t>
      </w:r>
      <w:r w:rsidR="003F33E9">
        <w:t>(68.5%)</w:t>
      </w:r>
      <w:r w:rsidR="007234F3">
        <w:t xml:space="preserve"> and display or formatting issues (21</w:t>
      </w:r>
      <w:r w:rsidR="009900F6">
        <w:t>.5%).</w:t>
      </w:r>
      <w:r w:rsidR="00A23A21">
        <w:t xml:space="preserve"> </w:t>
      </w:r>
    </w:p>
    <w:p w14:paraId="71A90DF7" w14:textId="5D7618F7" w:rsidR="004E2BF6" w:rsidRDefault="00A05DAD">
      <w:r>
        <w:t>Austrade</w:t>
      </w:r>
      <w:r w:rsidR="00D4351C">
        <w:t xml:space="preserve"> noted that f</w:t>
      </w:r>
      <w:r w:rsidR="00101E3D">
        <w:t xml:space="preserve">or products with dynamic supply chains or </w:t>
      </w:r>
      <w:r w:rsidR="00D4351C">
        <w:t xml:space="preserve">that </w:t>
      </w:r>
      <w:r w:rsidR="00101E3D">
        <w:t xml:space="preserve">require mixed ingredients, </w:t>
      </w:r>
      <w:r w:rsidR="00CF3527">
        <w:t xml:space="preserve">seasonality </w:t>
      </w:r>
      <w:r w:rsidR="00517836">
        <w:t xml:space="preserve">has been a concern </w:t>
      </w:r>
      <w:r w:rsidR="00A21E63">
        <w:t>for some products</w:t>
      </w:r>
      <w:r w:rsidR="002C1BEA">
        <w:t>,</w:t>
      </w:r>
      <w:r w:rsidR="00A43B51">
        <w:t xml:space="preserve"> making it more challenging for these products to r</w:t>
      </w:r>
      <w:r w:rsidR="00517836">
        <w:t xml:space="preserve">emain compliant with </w:t>
      </w:r>
      <w:r w:rsidR="00A43B51">
        <w:t xml:space="preserve">the </w:t>
      </w:r>
      <w:r w:rsidR="00517836">
        <w:t>CoOL requirements</w:t>
      </w:r>
      <w:r w:rsidR="00A43B51">
        <w:t>.</w:t>
      </w:r>
      <w:r w:rsidR="00517836">
        <w:t xml:space="preserve"> </w:t>
      </w:r>
    </w:p>
    <w:p w14:paraId="7D89B31D" w14:textId="36F3DA11" w:rsidR="002F7260" w:rsidRDefault="00A22B15">
      <w:r>
        <w:t xml:space="preserve">Consultation with </w:t>
      </w:r>
      <w:r w:rsidR="0078563C">
        <w:t>APL</w:t>
      </w:r>
      <w:r>
        <w:t xml:space="preserve"> revealed that </w:t>
      </w:r>
      <w:r w:rsidR="002A1111">
        <w:t xml:space="preserve">butchers’ </w:t>
      </w:r>
      <w:r>
        <w:t xml:space="preserve">compliance </w:t>
      </w:r>
      <w:r w:rsidR="002A1111">
        <w:t xml:space="preserve">with </w:t>
      </w:r>
      <w:r>
        <w:t xml:space="preserve">the CoOL reforms </w:t>
      </w:r>
      <w:r w:rsidR="009B71F3">
        <w:t xml:space="preserve">has been </w:t>
      </w:r>
      <w:r w:rsidR="007B0E86">
        <w:t xml:space="preserve">low, </w:t>
      </w:r>
      <w:r w:rsidR="009B71F3">
        <w:t xml:space="preserve">with </w:t>
      </w:r>
      <w:r w:rsidR="007B0E86">
        <w:t xml:space="preserve">less than </w:t>
      </w:r>
      <w:r w:rsidR="007B2C81">
        <w:t>5%</w:t>
      </w:r>
      <w:r w:rsidR="007B0E86">
        <w:t xml:space="preserve"> of stores </w:t>
      </w:r>
      <w:r w:rsidR="007B4524">
        <w:t xml:space="preserve">correctly </w:t>
      </w:r>
      <w:r w:rsidR="007B0E86">
        <w:t xml:space="preserve">complying </w:t>
      </w:r>
      <w:r w:rsidR="009B71F3">
        <w:t xml:space="preserve">with </w:t>
      </w:r>
      <w:r w:rsidR="007B0E86">
        <w:t xml:space="preserve">the CoOL requirements. </w:t>
      </w:r>
      <w:r w:rsidR="007B4524">
        <w:t xml:space="preserve">A representative from </w:t>
      </w:r>
      <w:r w:rsidR="0078563C">
        <w:t xml:space="preserve">APL </w:t>
      </w:r>
      <w:r w:rsidR="00FE6F90">
        <w:t xml:space="preserve">suggested </w:t>
      </w:r>
      <w:r w:rsidR="007B4524">
        <w:t>that</w:t>
      </w:r>
      <w:r w:rsidR="00FE6F90">
        <w:t xml:space="preserve"> this may be due to </w:t>
      </w:r>
      <w:r w:rsidR="0095510A">
        <w:t xml:space="preserve">lack of awareness </w:t>
      </w:r>
      <w:r w:rsidR="00A63763">
        <w:t xml:space="preserve">from </w:t>
      </w:r>
      <w:r w:rsidR="0095510A">
        <w:t>butchers and small business that they are required to comply with CoOL regulations</w:t>
      </w:r>
      <w:r w:rsidR="00365F2A">
        <w:t xml:space="preserve">. </w:t>
      </w:r>
      <w:r w:rsidR="00A63763">
        <w:t xml:space="preserve">Additionally, </w:t>
      </w:r>
      <w:r w:rsidR="00A42D2F">
        <w:t xml:space="preserve">they believed that </w:t>
      </w:r>
      <w:r w:rsidR="00A63763">
        <w:t>a</w:t>
      </w:r>
      <w:r w:rsidR="00365F2A">
        <w:t xml:space="preserve"> lack of enforcement from ACCC </w:t>
      </w:r>
      <w:r w:rsidR="00081D59">
        <w:t xml:space="preserve">may explain low compliance among butchers. </w:t>
      </w:r>
    </w:p>
    <w:p w14:paraId="17223D6C" w14:textId="71EFC77F" w:rsidR="00AC264D" w:rsidRDefault="00392297" w:rsidP="00CB25C1">
      <w:r>
        <w:t>It</w:t>
      </w:r>
      <w:r w:rsidR="00D3431D">
        <w:t xml:space="preserve"> is important to note that</w:t>
      </w:r>
      <w:r>
        <w:t>,</w:t>
      </w:r>
      <w:r w:rsidR="00D3431D">
        <w:t xml:space="preserve"> in line with their published compliance and enforcement approach, the ACCC resolved most of these matters by sending letters to businesses providing information and seeking changes to address non-compliance. </w:t>
      </w:r>
      <w:r w:rsidR="000D26BE">
        <w:t xml:space="preserve">However, </w:t>
      </w:r>
      <w:r w:rsidR="00317C85">
        <w:t>CoOL is no longer a priority in ACCC’s Compliance and Enforcement Policy</w:t>
      </w:r>
      <w:r w:rsidR="00463B0F">
        <w:t>,</w:t>
      </w:r>
      <w:r w:rsidR="00C36E46">
        <w:t xml:space="preserve"> which supports consistent triage </w:t>
      </w:r>
      <w:r w:rsidR="00E54DE4">
        <w:t xml:space="preserve">for all matters considered by ACCC. This impacts potential future investigations of non-compliance. </w:t>
      </w:r>
    </w:p>
    <w:p w14:paraId="6E687F30" w14:textId="7431BD93" w:rsidR="00AC264D" w:rsidRDefault="00255CBE">
      <w:pPr>
        <w:pStyle w:val="Heading3"/>
      </w:pPr>
      <w:bookmarkStart w:id="487" w:name="_Toc67499126"/>
      <w:r>
        <w:t xml:space="preserve">A lower compliance option </w:t>
      </w:r>
      <w:r w:rsidR="00686DA3">
        <w:t>for the scheme is unlikely to deliver a net benefit</w:t>
      </w:r>
    </w:p>
    <w:p w14:paraId="7361C84E" w14:textId="1A92BA6B" w:rsidR="005E6B6D" w:rsidRPr="00256949" w:rsidRDefault="005E6B6D" w:rsidP="005E6B6D">
      <w:r>
        <w:t>The CBA considered a prospective option to reduce regulatory burden.</w:t>
      </w:r>
      <w:r w:rsidR="0001397C">
        <w:rPr>
          <w:rStyle w:val="FootnoteReference"/>
        </w:rPr>
        <w:footnoteReference w:id="94"/>
      </w:r>
      <w:r>
        <w:t xml:space="preserve"> Businesses that are already subject to CoOL regulations would have the option to move their CoOL information online, and instead use the physical label to indicate to consumers where they can </w:t>
      </w:r>
      <w:r w:rsidRPr="00256949">
        <w:t xml:space="preserve">access CoOL information. </w:t>
      </w:r>
      <w:r w:rsidR="00ED7E5B">
        <w:t>Some business</w:t>
      </w:r>
      <w:r w:rsidR="00463B0F">
        <w:t>es</w:t>
      </w:r>
      <w:r w:rsidR="00ED7E5B">
        <w:t xml:space="preserve"> would continue to display the</w:t>
      </w:r>
      <w:r w:rsidR="00952D53">
        <w:t xml:space="preserve"> current</w:t>
      </w:r>
      <w:r w:rsidR="00ED7E5B">
        <w:t xml:space="preserve"> labels</w:t>
      </w:r>
      <w:r w:rsidRPr="00256949">
        <w:t xml:space="preserve">, which leaves costs and benefits unchanged </w:t>
      </w:r>
      <w:r w:rsidR="00952D53">
        <w:t>(</w:t>
      </w:r>
      <w:r w:rsidRPr="00256949">
        <w:t>relative to the Status Quo</w:t>
      </w:r>
      <w:r w:rsidR="00952D53">
        <w:t>) while</w:t>
      </w:r>
      <w:r w:rsidRPr="00256949">
        <w:t xml:space="preserve"> </w:t>
      </w:r>
      <w:r w:rsidR="00952D53">
        <w:t>o</w:t>
      </w:r>
      <w:r w:rsidRPr="00256949">
        <w:t>ther businesses</w:t>
      </w:r>
      <w:r>
        <w:t>,</w:t>
      </w:r>
      <w:r w:rsidRPr="00256949">
        <w:t xml:space="preserve"> </w:t>
      </w:r>
      <w:r w:rsidR="00952D53">
        <w:t>would</w:t>
      </w:r>
      <w:r w:rsidRPr="00256949">
        <w:t xml:space="preserve"> move </w:t>
      </w:r>
      <w:r w:rsidR="00952D53">
        <w:t>CoOL</w:t>
      </w:r>
      <w:r w:rsidRPr="00256949">
        <w:t xml:space="preserve"> information online to avoid frequent product labelling costs. In this option</w:t>
      </w:r>
      <w:r w:rsidR="00463B0F">
        <w:t>,</w:t>
      </w:r>
      <w:r w:rsidRPr="00256949">
        <w:t xml:space="preserve"> it is assumed that </w:t>
      </w:r>
      <w:r w:rsidR="004745F8">
        <w:t>8%</w:t>
      </w:r>
      <w:r w:rsidRPr="00256949">
        <w:t xml:space="preserve"> of businesses currently subject to CoOL regulations opt to provide this information online.</w:t>
      </w:r>
      <w:r w:rsidR="00B67B1E">
        <w:rPr>
          <w:rStyle w:val="FootnoteReference"/>
        </w:rPr>
        <w:footnoteReference w:id="95"/>
      </w:r>
    </w:p>
    <w:p w14:paraId="252173B1" w14:textId="7D9B602A" w:rsidR="005E6B6D" w:rsidRPr="00256949" w:rsidRDefault="005E6B6D" w:rsidP="005E6B6D">
      <w:r w:rsidRPr="00256949">
        <w:t xml:space="preserve">For those businesses which opt to place CoOL information online, it is assumed that they avoid ongoing labelling costs from FY2022 onwards. </w:t>
      </w:r>
      <w:r w:rsidR="00042FCB">
        <w:t xml:space="preserve">Information is then </w:t>
      </w:r>
      <w:r w:rsidRPr="00256949">
        <w:t xml:space="preserve">less accessible to consumers </w:t>
      </w:r>
      <w:r w:rsidRPr="00256949">
        <w:lastRenderedPageBreak/>
        <w:t>and the consumer search time for this information rises</w:t>
      </w:r>
      <w:r w:rsidR="00042FCB">
        <w:t>, with an associated cost</w:t>
      </w:r>
      <w:r w:rsidRPr="00256949">
        <w:t xml:space="preserve">. Similarly, consumer WTP is assumed to decline significantly relative to the Status Quo as some CoOL information becomes less accessible to consumers. </w:t>
      </w:r>
    </w:p>
    <w:p w14:paraId="3E734E8B" w14:textId="42B99C4D" w:rsidR="005D5F46" w:rsidRDefault="005E6B6D" w:rsidP="00042FCB">
      <w:r w:rsidRPr="00256949">
        <w:t>The analysis suggests that the avoided product labelling benefits are outweighed by the reduction in consumer utility and increased consumer search time, generating a negative NPV</w:t>
      </w:r>
      <w:r w:rsidR="00042FCB">
        <w:t>.</w:t>
      </w:r>
      <w:r w:rsidRPr="00256949">
        <w:t xml:space="preserve"> </w:t>
      </w:r>
    </w:p>
    <w:p w14:paraId="4ABF27ED" w14:textId="35E15850" w:rsidR="007D677A" w:rsidRPr="007D677A" w:rsidRDefault="00190BA2" w:rsidP="00042FCB">
      <w:pPr>
        <w:pStyle w:val="Heading3"/>
        <w:spacing w:before="120"/>
      </w:pPr>
      <w:r w:rsidRPr="00190BA2">
        <w:t>Key findings</w:t>
      </w:r>
      <w:r w:rsidR="00C11915">
        <w:t>: Compliance with CoOL requirements</w:t>
      </w:r>
      <w:bookmarkEnd w:id="487"/>
    </w:p>
    <w:tbl>
      <w:tblPr>
        <w:tblStyle w:val="Deloittetable"/>
        <w:tblW w:w="0" w:type="auto"/>
        <w:tblLook w:val="04A0" w:firstRow="1" w:lastRow="0" w:firstColumn="1" w:lastColumn="0" w:noHBand="0" w:noVBand="1"/>
        <w:tblDescription w:val="This table shows two key findings related to compliance with CoOL requirements. These are that 1) despite initial difficulties in implementing and complying with CoOL requirements in the transition period, there is reportedly a generally high level of business compliance with CoOL requirements for major supermarkets. &#10;2) However, there were some areas identified (in work undertaken by the NMI for the ACCC across 2018-19 and 2019-20) as having higher non-compliance rates. These include independent supermarkets and meat and seafood retailers.  "/>
      </w:tblPr>
      <w:tblGrid>
        <w:gridCol w:w="1134"/>
        <w:gridCol w:w="7892"/>
      </w:tblGrid>
      <w:tr w:rsidR="00F224D7" w14:paraId="4D0975BA"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226B7994" w14:textId="77777777" w:rsidR="00F224D7" w:rsidRPr="00AB2F4F" w:rsidRDefault="00F224D7" w:rsidP="00C546E2">
            <w:pPr>
              <w:rPr>
                <w:b/>
                <w:bCs/>
              </w:rPr>
            </w:pPr>
            <w:r>
              <w:rPr>
                <w:b/>
                <w:bCs/>
              </w:rPr>
              <w:t>Ref</w:t>
            </w:r>
          </w:p>
        </w:tc>
        <w:tc>
          <w:tcPr>
            <w:tcW w:w="7892" w:type="dxa"/>
            <w:tcBorders>
              <w:top w:val="single" w:sz="24" w:space="0" w:color="012169" w:themeColor="accent4"/>
            </w:tcBorders>
          </w:tcPr>
          <w:p w14:paraId="1023EB60" w14:textId="412C9B6C" w:rsidR="00F224D7" w:rsidRPr="00AB2F4F" w:rsidRDefault="0066449F" w:rsidP="00C546E2">
            <w:pPr>
              <w:rPr>
                <w:b/>
                <w:bCs/>
              </w:rPr>
            </w:pPr>
            <w:r w:rsidRPr="0066449F">
              <w:rPr>
                <w:b/>
                <w:bCs/>
              </w:rPr>
              <w:t>How well have businesses complied with CoOL requirements?</w:t>
            </w:r>
          </w:p>
        </w:tc>
      </w:tr>
      <w:tr w:rsidR="00ED4E86" w14:paraId="3CB66786" w14:textId="77777777" w:rsidTr="00594328">
        <w:tc>
          <w:tcPr>
            <w:tcW w:w="1134" w:type="dxa"/>
          </w:tcPr>
          <w:p w14:paraId="7EF62EB8" w14:textId="0589D473" w:rsidR="00ED4E86" w:rsidRDefault="00D0625C" w:rsidP="00ED4E86">
            <w:r>
              <w:t>46</w:t>
            </w:r>
          </w:p>
        </w:tc>
        <w:tc>
          <w:tcPr>
            <w:tcW w:w="7892" w:type="dxa"/>
          </w:tcPr>
          <w:p w14:paraId="456B33FE" w14:textId="10646621" w:rsidR="00ED4E86" w:rsidRDefault="00ED4E86" w:rsidP="00ED4E86">
            <w:pPr>
              <w:pStyle w:val="ListBullet"/>
              <w:numPr>
                <w:ilvl w:val="0"/>
                <w:numId w:val="0"/>
              </w:numPr>
              <w:spacing w:after="170"/>
            </w:pPr>
            <w:r w:rsidRPr="00E53797">
              <w:rPr>
                <w:rFonts w:asciiTheme="majorHAnsi" w:hAnsiTheme="majorHAnsi"/>
              </w:rPr>
              <w:t>Despite initial difficulties in implementing and complying with CoOL requirements in the transition period, there is reportedly a generally high level of business compliance with CoOL requirements</w:t>
            </w:r>
            <w:r w:rsidR="00182A6F" w:rsidRPr="00AE7244">
              <w:rPr>
                <w:rFonts w:asciiTheme="majorHAnsi" w:hAnsiTheme="majorHAnsi"/>
              </w:rPr>
              <w:t xml:space="preserve"> for major supermarkets</w:t>
            </w:r>
            <w:r w:rsidRPr="00E53797">
              <w:rPr>
                <w:rFonts w:asciiTheme="majorHAnsi" w:hAnsiTheme="majorHAnsi"/>
              </w:rPr>
              <w:t xml:space="preserve">. </w:t>
            </w:r>
          </w:p>
        </w:tc>
      </w:tr>
      <w:tr w:rsidR="00ED4E86" w14:paraId="7EDAFF35" w14:textId="77777777" w:rsidTr="00594328">
        <w:tc>
          <w:tcPr>
            <w:tcW w:w="1134" w:type="dxa"/>
          </w:tcPr>
          <w:p w14:paraId="3CAE47C3" w14:textId="13A7ED1D" w:rsidR="00ED4E86" w:rsidRDefault="00D0625C" w:rsidP="00ED4E86">
            <w:r>
              <w:t>47</w:t>
            </w:r>
          </w:p>
        </w:tc>
        <w:tc>
          <w:tcPr>
            <w:tcW w:w="7892" w:type="dxa"/>
          </w:tcPr>
          <w:p w14:paraId="0503D3A4" w14:textId="55C78257" w:rsidR="00ED4E86" w:rsidRDefault="00ED4E86" w:rsidP="00ED4E86">
            <w:pPr>
              <w:pStyle w:val="ListBullet"/>
              <w:numPr>
                <w:ilvl w:val="0"/>
                <w:numId w:val="0"/>
              </w:numPr>
              <w:spacing w:after="170"/>
            </w:pPr>
            <w:r w:rsidRPr="00E53797">
              <w:rPr>
                <w:rFonts w:asciiTheme="majorHAnsi" w:hAnsiTheme="majorHAnsi"/>
              </w:rPr>
              <w:t xml:space="preserve">However, there were some areas identified (in work undertaken by the </w:t>
            </w:r>
            <w:r w:rsidR="009F44CA">
              <w:rPr>
                <w:rFonts w:asciiTheme="majorHAnsi" w:hAnsiTheme="majorHAnsi"/>
              </w:rPr>
              <w:t>NMI</w:t>
            </w:r>
            <w:r w:rsidRPr="00E53797">
              <w:rPr>
                <w:rFonts w:asciiTheme="majorHAnsi" w:hAnsiTheme="majorHAnsi"/>
              </w:rPr>
              <w:t xml:space="preserve"> for the ACCC </w:t>
            </w:r>
            <w:r w:rsidR="00182A6F" w:rsidRPr="00AE7244">
              <w:rPr>
                <w:rFonts w:asciiTheme="majorHAnsi" w:hAnsiTheme="majorHAnsi"/>
              </w:rPr>
              <w:t>across 2018-19 and 2019-20</w:t>
            </w:r>
            <w:r w:rsidRPr="00E53797">
              <w:rPr>
                <w:rFonts w:asciiTheme="majorHAnsi" w:hAnsiTheme="majorHAnsi"/>
              </w:rPr>
              <w:t xml:space="preserve">) as having higher non-compliance rates. These include </w:t>
            </w:r>
            <w:r w:rsidR="00AE7244" w:rsidRPr="00AE7244">
              <w:t>independent supermarkets and meat and seafood retailers</w:t>
            </w:r>
            <w:r w:rsidR="00AE7244" w:rsidRPr="00487EDB">
              <w:t xml:space="preserve">. </w:t>
            </w:r>
            <w:r w:rsidRPr="00487EDB">
              <w:rPr>
                <w:rFonts w:asciiTheme="majorHAnsi" w:hAnsiTheme="majorHAnsi"/>
              </w:rPr>
              <w:t xml:space="preserve"> </w:t>
            </w:r>
          </w:p>
        </w:tc>
      </w:tr>
    </w:tbl>
    <w:p w14:paraId="327DA325" w14:textId="77777777" w:rsidR="00EB072D" w:rsidRDefault="00906552" w:rsidP="00EB072D">
      <w:pPr>
        <w:pStyle w:val="Heading2"/>
      </w:pPr>
      <w:bookmarkStart w:id="488" w:name="_Toc67499127"/>
      <w:bookmarkStart w:id="489" w:name="_Toc94702067"/>
      <w:r>
        <w:t>F</w:t>
      </w:r>
      <w:r w:rsidR="00CC2ED0" w:rsidRPr="005C5C02">
        <w:t xml:space="preserve">lexibility </w:t>
      </w:r>
      <w:r w:rsidR="00253A21">
        <w:t xml:space="preserve">of CoOL </w:t>
      </w:r>
      <w:r w:rsidR="00CC2ED0" w:rsidRPr="005C5C02">
        <w:t xml:space="preserve">to manage </w:t>
      </w:r>
      <w:r>
        <w:t xml:space="preserve">ingredient </w:t>
      </w:r>
      <w:r w:rsidR="00CC2ED0" w:rsidRPr="005C5C02">
        <w:t>variation</w:t>
      </w:r>
      <w:bookmarkEnd w:id="488"/>
      <w:bookmarkEnd w:id="489"/>
      <w:r w:rsidR="00CC2ED0" w:rsidRPr="005C5C02">
        <w:t xml:space="preserve"> </w:t>
      </w:r>
    </w:p>
    <w:p w14:paraId="2B3F702E" w14:textId="2C4020E4" w:rsidR="00D8495F" w:rsidRDefault="008F4A24" w:rsidP="37D0343E">
      <w:pPr>
        <w:spacing w:line="257" w:lineRule="auto"/>
      </w:pPr>
      <w:r>
        <w:t xml:space="preserve">Food and beverage </w:t>
      </w:r>
      <w:r w:rsidR="006867F1">
        <w:t xml:space="preserve">producers </w:t>
      </w:r>
      <w:r w:rsidR="00A4025B">
        <w:t xml:space="preserve">rely on their </w:t>
      </w:r>
      <w:r w:rsidR="00FC40D7">
        <w:t xml:space="preserve">ability to regularly source </w:t>
      </w:r>
      <w:r w:rsidR="006867F1">
        <w:t>certain ingre</w:t>
      </w:r>
      <w:r w:rsidR="005D7812">
        <w:t>dients</w:t>
      </w:r>
      <w:r w:rsidR="003901E4">
        <w:t xml:space="preserve"> as key components </w:t>
      </w:r>
      <w:r w:rsidR="00786EF4">
        <w:t>of</w:t>
      </w:r>
      <w:r w:rsidR="003901E4">
        <w:t xml:space="preserve"> their supply chain. </w:t>
      </w:r>
      <w:r w:rsidR="00C42EA2">
        <w:t xml:space="preserve">However, </w:t>
      </w:r>
      <w:r w:rsidR="00AD6119">
        <w:t>at times, certain factors</w:t>
      </w:r>
      <w:r w:rsidR="00A6468D">
        <w:t>,</w:t>
      </w:r>
      <w:r w:rsidR="00AD6119">
        <w:t xml:space="preserve"> </w:t>
      </w:r>
      <w:r w:rsidR="001A6773">
        <w:t>such as</w:t>
      </w:r>
      <w:r w:rsidR="00AD6119">
        <w:t xml:space="preserve"> </w:t>
      </w:r>
      <w:r w:rsidR="00757B9E">
        <w:t>natural disaste</w:t>
      </w:r>
      <w:r w:rsidR="00150D03">
        <w:t>r</w:t>
      </w:r>
      <w:r w:rsidR="00CF05C0">
        <w:t>s</w:t>
      </w:r>
      <w:r w:rsidR="00150D03">
        <w:t>,</w:t>
      </w:r>
      <w:r w:rsidR="00757B9E">
        <w:t xml:space="preserve"> </w:t>
      </w:r>
      <w:r w:rsidR="00AD6119">
        <w:t>price movements, closure</w:t>
      </w:r>
      <w:r w:rsidR="00150D03">
        <w:t xml:space="preserve"> </w:t>
      </w:r>
      <w:r w:rsidR="00CF05C0">
        <w:t xml:space="preserve">of </w:t>
      </w:r>
      <w:r w:rsidR="00150D03">
        <w:t xml:space="preserve">or temporary </w:t>
      </w:r>
      <w:r w:rsidR="00CF05C0">
        <w:t>shortfall</w:t>
      </w:r>
      <w:r w:rsidR="00AD6119">
        <w:t xml:space="preserve"> </w:t>
      </w:r>
      <w:r w:rsidR="00CF05C0">
        <w:t>at</w:t>
      </w:r>
      <w:r w:rsidR="00AD6119">
        <w:t xml:space="preserve"> food production facilities</w:t>
      </w:r>
      <w:r w:rsidR="00CF05C0">
        <w:t xml:space="preserve"> of key suppliers</w:t>
      </w:r>
      <w:r w:rsidR="00AD6119">
        <w:t xml:space="preserve"> </w:t>
      </w:r>
      <w:r w:rsidR="0003177B">
        <w:t>or</w:t>
      </w:r>
      <w:r w:rsidR="00AD6119">
        <w:t xml:space="preserve"> food trade policies</w:t>
      </w:r>
      <w:r w:rsidR="001A6773">
        <w:t xml:space="preserve"> </w:t>
      </w:r>
      <w:r w:rsidR="00AD6119">
        <w:t xml:space="preserve">impact </w:t>
      </w:r>
      <w:r w:rsidR="001A6773">
        <w:t>a producer’s</w:t>
      </w:r>
      <w:r w:rsidR="00AD6119">
        <w:t xml:space="preserve"> </w:t>
      </w:r>
      <w:r w:rsidR="006429CC">
        <w:t xml:space="preserve">ability to </w:t>
      </w:r>
      <w:r w:rsidR="00AD6119">
        <w:t xml:space="preserve">use these ingredients. </w:t>
      </w:r>
      <w:r w:rsidR="001F57FB">
        <w:t xml:space="preserve">Each variation in </w:t>
      </w:r>
      <w:r w:rsidR="00550EB8">
        <w:t xml:space="preserve">the supply of ingredients would inherently impact </w:t>
      </w:r>
      <w:r w:rsidR="00F85D8C">
        <w:t>a products’</w:t>
      </w:r>
      <w:r w:rsidR="00550EB8">
        <w:t xml:space="preserve"> country of origin information</w:t>
      </w:r>
      <w:r w:rsidR="00F85D8C">
        <w:t xml:space="preserve">. </w:t>
      </w:r>
      <w:r w:rsidR="002B1DEE">
        <w:t>The evaluation has considered</w:t>
      </w:r>
      <w:r w:rsidR="00CA4FC8">
        <w:t xml:space="preserve"> whether the</w:t>
      </w:r>
      <w:r w:rsidR="00CE38BA">
        <w:t xml:space="preserve"> current CoOL requirements provide adequate flexibility for food and beverage producers to manage these variations (</w:t>
      </w:r>
      <w:r w:rsidR="000E0341">
        <w:t>e</w:t>
      </w:r>
      <w:r w:rsidR="00CE38BA">
        <w:t xml:space="preserve">valuation </w:t>
      </w:r>
      <w:r w:rsidR="000E0341">
        <w:t xml:space="preserve">question </w:t>
      </w:r>
      <w:r w:rsidR="008A283B">
        <w:t xml:space="preserve">18). </w:t>
      </w:r>
    </w:p>
    <w:p w14:paraId="3BBF5B85" w14:textId="77777777" w:rsidR="00FD1526" w:rsidRPr="00DF1CFF" w:rsidRDefault="005F26CC" w:rsidP="000379FF">
      <w:pPr>
        <w:pStyle w:val="Heading3"/>
      </w:pPr>
      <w:bookmarkStart w:id="490" w:name="_Toc67499128"/>
      <w:r>
        <w:t>Low levels of satisfaction with the flexibility of the current CoOL scheme</w:t>
      </w:r>
      <w:bookmarkEnd w:id="490"/>
    </w:p>
    <w:p w14:paraId="3726C9BE" w14:textId="77777777" w:rsidR="00CD5B42" w:rsidRDefault="0089646D" w:rsidP="00AC7F15">
      <w:r>
        <w:t>According to the submissions,</w:t>
      </w:r>
      <w:r w:rsidR="00570409">
        <w:t xml:space="preserve"> b</w:t>
      </w:r>
      <w:r w:rsidR="00CD5B42" w:rsidRPr="0061689C">
        <w:t>usinesses across various sectors declared</w:t>
      </w:r>
      <w:r w:rsidR="00CD5B42">
        <w:t xml:space="preserve"> that</w:t>
      </w:r>
      <w:r w:rsidR="00CD5B42" w:rsidRPr="0061689C">
        <w:t xml:space="preserve"> </w:t>
      </w:r>
      <w:r w:rsidR="00CD5B42">
        <w:t xml:space="preserve">when faced with supply shocks, the current CoOL requirements </w:t>
      </w:r>
      <w:r w:rsidR="00275A12">
        <w:t>provided</w:t>
      </w:r>
      <w:r w:rsidR="00E16CC6">
        <w:t xml:space="preserve"> </w:t>
      </w:r>
      <w:r w:rsidR="00CD5B42" w:rsidRPr="0061689C">
        <w:t>inadequate flexibility</w:t>
      </w:r>
      <w:r w:rsidR="00E16CC6">
        <w:t xml:space="preserve">. </w:t>
      </w:r>
      <w:r w:rsidR="003A2936">
        <w:t xml:space="preserve">The majority of consultations with industry groups indicated </w:t>
      </w:r>
      <w:r w:rsidR="00257959">
        <w:t xml:space="preserve">that </w:t>
      </w:r>
      <w:r w:rsidR="003A2936">
        <w:t>the current CoOL requirements are inflexible for food and beverage producers to manage variations in the supply of ingredients.</w:t>
      </w:r>
    </w:p>
    <w:p w14:paraId="6616625A" w14:textId="6CEA30DA" w:rsidR="00563C57" w:rsidRPr="00EE6D72" w:rsidRDefault="00563C57" w:rsidP="00563C57">
      <w:r w:rsidRPr="0061689C">
        <w:t>Sudden changes to supply chains have made the declaration of the proportion of Australian ingredients difficult</w:t>
      </w:r>
      <w:r w:rsidR="00042EF7">
        <w:t xml:space="preserve"> and often </w:t>
      </w:r>
      <w:r w:rsidR="00B34879">
        <w:t>made it more costly for</w:t>
      </w:r>
      <w:r w:rsidR="00B34879" w:rsidRPr="0061689C">
        <w:t xml:space="preserve"> </w:t>
      </w:r>
      <w:r w:rsidR="00191491">
        <w:t>businesses</w:t>
      </w:r>
      <w:r w:rsidR="00042EF7" w:rsidRPr="0061689C">
        <w:t xml:space="preserve"> to make accurate country of origin claims.</w:t>
      </w:r>
      <w:r w:rsidR="002B4109">
        <w:t xml:space="preserve"> </w:t>
      </w:r>
      <w:r w:rsidR="00550408">
        <w:t xml:space="preserve">The </w:t>
      </w:r>
      <w:r w:rsidRPr="0061689C">
        <w:t xml:space="preserve">impacts </w:t>
      </w:r>
      <w:r w:rsidR="002B4109">
        <w:t>to businesses</w:t>
      </w:r>
      <w:r w:rsidRPr="0061689C">
        <w:t xml:space="preserve"> of sudden</w:t>
      </w:r>
      <w:r w:rsidR="00550408">
        <w:t xml:space="preserve"> supply chain</w:t>
      </w:r>
      <w:r w:rsidRPr="0061689C">
        <w:t xml:space="preserve"> changes include </w:t>
      </w:r>
      <w:r w:rsidR="003E00BD" w:rsidRPr="0061689C">
        <w:t>significant label wastage</w:t>
      </w:r>
      <w:r w:rsidR="003E00BD">
        <w:t xml:space="preserve">, </w:t>
      </w:r>
      <w:r w:rsidR="003E00BD" w:rsidRPr="0061689C">
        <w:t>the risk of non-compliance</w:t>
      </w:r>
      <w:r w:rsidR="003E00BD">
        <w:t xml:space="preserve"> with the </w:t>
      </w:r>
      <w:r w:rsidR="0034211A">
        <w:t xml:space="preserve">requirements and </w:t>
      </w:r>
      <w:r w:rsidR="004010A2">
        <w:t>relabelling</w:t>
      </w:r>
      <w:r w:rsidRPr="0061689C">
        <w:t xml:space="preserve"> costs</w:t>
      </w:r>
      <w:r w:rsidR="00A6468D">
        <w:t>,</w:t>
      </w:r>
      <w:r w:rsidRPr="0061689C">
        <w:t xml:space="preserve"> </w:t>
      </w:r>
      <w:r w:rsidR="00AC7F15">
        <w:t>which</w:t>
      </w:r>
      <w:r w:rsidRPr="0061689C">
        <w:t xml:space="preserve"> </w:t>
      </w:r>
      <w:r w:rsidR="00AC7F15">
        <w:t>may</w:t>
      </w:r>
      <w:r w:rsidRPr="0061689C">
        <w:t xml:space="preserve"> </w:t>
      </w:r>
      <w:r w:rsidR="0034211A">
        <w:t>be passed on</w:t>
      </w:r>
      <w:r w:rsidRPr="0061689C">
        <w:t xml:space="preserve"> to customers</w:t>
      </w:r>
      <w:r w:rsidR="004010A2">
        <w:t xml:space="preserve"> or lead to a decision not to produce a product</w:t>
      </w:r>
      <w:r w:rsidR="00450D50">
        <w:t xml:space="preserve"> for that period of time</w:t>
      </w:r>
      <w:r w:rsidR="0034211A">
        <w:t>.</w:t>
      </w:r>
      <w:r w:rsidR="005A4D38" w:rsidRPr="005A4D38">
        <w:t xml:space="preserve"> </w:t>
      </w:r>
      <w:r w:rsidR="005A4D38">
        <w:t>Additionally, consultation with State Agriculture Departments indicated that industry groups are deliberately underquoting the percent</w:t>
      </w:r>
      <w:r w:rsidR="00450D50">
        <w:t>age</w:t>
      </w:r>
      <w:r w:rsidR="005A4D38">
        <w:t xml:space="preserve"> of Australian ingredients to avoid amending the</w:t>
      </w:r>
      <w:r w:rsidR="00E737F2">
        <w:t>ir CoOL</w:t>
      </w:r>
      <w:r w:rsidR="005A4D38">
        <w:t xml:space="preserve"> labels.</w:t>
      </w:r>
      <w:r w:rsidR="004103BA">
        <w:t xml:space="preserve"> </w:t>
      </w:r>
      <w:r w:rsidR="00450D50">
        <w:t xml:space="preserve">This was also verified by businesses that were consulted as a part of the evaluation. </w:t>
      </w:r>
    </w:p>
    <w:p w14:paraId="03C7F8DB" w14:textId="216E4E2D" w:rsidR="00083CEF" w:rsidRPr="00CF03F9" w:rsidRDefault="005E68DA" w:rsidP="00CF03F9">
      <w:r>
        <w:t xml:space="preserve">As illustrated in </w:t>
      </w:r>
      <w:r w:rsidR="00DE766B">
        <w:fldChar w:fldCharType="begin"/>
      </w:r>
      <w:r w:rsidR="00DE766B">
        <w:instrText xml:space="preserve"> REF _Ref61621089 \r \h </w:instrText>
      </w:r>
      <w:r w:rsidR="00DE766B">
        <w:fldChar w:fldCharType="separate"/>
      </w:r>
      <w:r w:rsidR="0017363C">
        <w:t>Chart 5.2</w:t>
      </w:r>
      <w:r w:rsidR="00DE766B">
        <w:fldChar w:fldCharType="end"/>
      </w:r>
      <w:r>
        <w:t xml:space="preserve">, </w:t>
      </w:r>
      <w:r w:rsidR="00264488" w:rsidRPr="00FB1B55">
        <w:rPr>
          <w:rFonts w:eastAsia="Verdana" w:cs="Verdana"/>
        </w:rPr>
        <w:t>o</w:t>
      </w:r>
      <w:r w:rsidR="1A443AE7" w:rsidRPr="00FB1B55">
        <w:rPr>
          <w:rFonts w:eastAsia="Verdana" w:cs="Verdana"/>
        </w:rPr>
        <w:t xml:space="preserve">nly </w:t>
      </w:r>
      <w:r w:rsidR="000A3426" w:rsidRPr="00FB1B55">
        <w:rPr>
          <w:rFonts w:eastAsia="Verdana" w:cs="Verdana"/>
        </w:rPr>
        <w:t>19</w:t>
      </w:r>
      <w:r w:rsidR="007B2C81">
        <w:rPr>
          <w:rFonts w:eastAsia="Verdana" w:cs="Verdana"/>
        </w:rPr>
        <w:t>%</w:t>
      </w:r>
      <w:r w:rsidR="1A443AE7" w:rsidRPr="00FB1B55">
        <w:rPr>
          <w:rFonts w:eastAsia="Verdana" w:cs="Verdana"/>
        </w:rPr>
        <w:t xml:space="preserve"> of </w:t>
      </w:r>
      <w:r w:rsidR="00264488" w:rsidRPr="00FB1B55">
        <w:rPr>
          <w:rFonts w:eastAsia="Verdana" w:cs="Verdana"/>
        </w:rPr>
        <w:t xml:space="preserve">the </w:t>
      </w:r>
      <w:r w:rsidR="1A443AE7" w:rsidRPr="00FB1B55">
        <w:rPr>
          <w:rFonts w:eastAsia="Verdana" w:cs="Verdana"/>
        </w:rPr>
        <w:t xml:space="preserve">respondents to </w:t>
      </w:r>
      <w:r w:rsidR="006E1B03">
        <w:rPr>
          <w:rFonts w:eastAsia="Verdana" w:cs="Verdana"/>
        </w:rPr>
        <w:t xml:space="preserve">the </w:t>
      </w:r>
      <w:r w:rsidR="1A443AE7" w:rsidRPr="00FB1B55">
        <w:rPr>
          <w:rFonts w:eastAsia="Verdana" w:cs="Verdana"/>
        </w:rPr>
        <w:t xml:space="preserve">business survey reported </w:t>
      </w:r>
      <w:r w:rsidR="3830AD7F" w:rsidRPr="00FB1B55">
        <w:rPr>
          <w:rFonts w:eastAsia="Verdana" w:cs="Verdana"/>
        </w:rPr>
        <w:t>being satisfied</w:t>
      </w:r>
      <w:r w:rsidR="4A8F86AF" w:rsidRPr="00FB1B55">
        <w:rPr>
          <w:rFonts w:eastAsia="Verdana" w:cs="Verdana"/>
        </w:rPr>
        <w:t xml:space="preserve"> with</w:t>
      </w:r>
      <w:r w:rsidR="1A443AE7" w:rsidRPr="00FB1B55">
        <w:rPr>
          <w:rFonts w:eastAsia="Verdana" w:cs="Verdana"/>
        </w:rPr>
        <w:t xml:space="preserve"> the </w:t>
      </w:r>
      <w:r w:rsidR="341F2B74" w:rsidRPr="00FB1B55">
        <w:rPr>
          <w:rFonts w:eastAsia="Verdana" w:cs="Verdana"/>
        </w:rPr>
        <w:t xml:space="preserve">flexibility of the </w:t>
      </w:r>
      <w:r w:rsidR="1A443AE7" w:rsidRPr="00FB1B55">
        <w:rPr>
          <w:rFonts w:eastAsia="Verdana" w:cs="Verdana"/>
        </w:rPr>
        <w:t xml:space="preserve">current CoOL requirements to a “large” or “very large” extent. </w:t>
      </w:r>
      <w:r w:rsidR="006B518E">
        <w:rPr>
          <w:rFonts w:eastAsia="Verdana" w:cs="Verdana"/>
        </w:rPr>
        <w:t>A</w:t>
      </w:r>
      <w:r w:rsidR="005D21AC">
        <w:rPr>
          <w:rFonts w:eastAsia="Verdana" w:cs="Verdana"/>
        </w:rPr>
        <w:t>lmost one third</w:t>
      </w:r>
      <w:r w:rsidR="006B518E">
        <w:rPr>
          <w:rFonts w:eastAsia="Verdana" w:cs="Verdana"/>
        </w:rPr>
        <w:t xml:space="preserve"> (30%) reported that they were “not at all” or “to a small extent” satisfied with the flexibility of the CoOL requirements. Most businesses (</w:t>
      </w:r>
      <w:r w:rsidR="006B518E" w:rsidRPr="00FB1B55">
        <w:rPr>
          <w:rFonts w:eastAsia="Verdana" w:cs="Verdana"/>
        </w:rPr>
        <w:t>51</w:t>
      </w:r>
      <w:r w:rsidR="006B518E">
        <w:rPr>
          <w:rFonts w:eastAsia="Verdana" w:cs="Verdana"/>
        </w:rPr>
        <w:t xml:space="preserve">%) </w:t>
      </w:r>
      <w:r w:rsidR="006B518E" w:rsidRPr="00FB1B55">
        <w:rPr>
          <w:rFonts w:eastAsia="Verdana" w:cs="Verdana"/>
        </w:rPr>
        <w:t>reported that they were satisfied to a “moderate” extent</w:t>
      </w:r>
      <w:r w:rsidR="006B518E">
        <w:rPr>
          <w:rFonts w:eastAsia="Verdana" w:cs="Verdana"/>
        </w:rPr>
        <w:t xml:space="preserve">. </w:t>
      </w:r>
    </w:p>
    <w:p w14:paraId="08351E4B" w14:textId="77777777" w:rsidR="000A3426" w:rsidRDefault="000A3426" w:rsidP="00032726">
      <w:pPr>
        <w:pStyle w:val="CaptionChart"/>
      </w:pPr>
      <w:bookmarkStart w:id="491" w:name="_Ref61621089"/>
      <w:bookmarkStart w:id="492" w:name="_Toc82590368"/>
      <w:r>
        <w:lastRenderedPageBreak/>
        <w:t xml:space="preserve">: </w:t>
      </w:r>
      <w:r w:rsidR="007D0010">
        <w:t>Business – extent of satisfaction with flexibility of CoOL requirements</w:t>
      </w:r>
      <w:bookmarkEnd w:id="491"/>
      <w:bookmarkEnd w:id="492"/>
      <w:r w:rsidR="007D0010">
        <w:t xml:space="preserve"> </w:t>
      </w:r>
    </w:p>
    <w:p w14:paraId="62B76B6E" w14:textId="17E36CF4" w:rsidR="00345389" w:rsidRDefault="00345389" w:rsidP="007D0010">
      <w:pPr>
        <w:pStyle w:val="Source"/>
      </w:pPr>
      <w:r w:rsidRPr="00345389">
        <w:rPr>
          <w:noProof/>
          <w:lang w:eastAsia="en-AU"/>
        </w:rPr>
        <w:drawing>
          <wp:inline distT="0" distB="0" distL="0" distR="0" wp14:anchorId="2A0C9D0C" wp14:editId="7C2CA329">
            <wp:extent cx="5720486" cy="3157681"/>
            <wp:effectExtent l="0" t="0" r="0" b="5080"/>
            <wp:docPr id="289242758" name="Picture 289242758" descr="Findings are: not at all (9%), to a small extent (21%), to a moderate extent (51%), to a large extent (15%), to a very large ext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58" name="Picture 289242758" descr="Findings are: not at all (9%), to a small extent (21%), to a moderate extent (51%), to a large extent (15%), to a very large extent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3920" cy="3181657"/>
                    </a:xfrm>
                    <a:prstGeom prst="rect">
                      <a:avLst/>
                    </a:prstGeom>
                    <a:noFill/>
                    <a:ln>
                      <a:noFill/>
                    </a:ln>
                  </pic:spPr>
                </pic:pic>
              </a:graphicData>
            </a:graphic>
          </wp:inline>
        </w:drawing>
      </w:r>
    </w:p>
    <w:p w14:paraId="0BD0E352" w14:textId="746F08F4" w:rsidR="007D0010" w:rsidRPr="00DE508C" w:rsidRDefault="007D0010" w:rsidP="007D0010">
      <w:pPr>
        <w:pStyle w:val="Source"/>
      </w:pPr>
      <w:r w:rsidRPr="00842E04">
        <w:t xml:space="preserve">Source: Deloitte Access Economics’ national </w:t>
      </w:r>
      <w:r>
        <w:t>business</w:t>
      </w:r>
      <w:r w:rsidRPr="00842E04">
        <w:t xml:space="preserve"> survey</w:t>
      </w:r>
      <w:r>
        <w:t xml:space="preserve"> (2020)</w:t>
      </w:r>
      <w:r w:rsidRPr="00842E04">
        <w:t>.</w:t>
      </w:r>
    </w:p>
    <w:p w14:paraId="35B42F81" w14:textId="77777777" w:rsidR="00C45B6D" w:rsidRPr="00C45B6D" w:rsidRDefault="008E003B" w:rsidP="001E0AE6">
      <w:pPr>
        <w:pStyle w:val="Heading3"/>
      </w:pPr>
      <w:bookmarkStart w:id="493" w:name="_Toc67499129"/>
      <w:r>
        <w:t>B</w:t>
      </w:r>
      <w:r w:rsidR="000537C5">
        <w:t xml:space="preserve">usinesses opinions </w:t>
      </w:r>
      <w:r>
        <w:t>impacted by exceptional circumstances</w:t>
      </w:r>
      <w:bookmarkEnd w:id="493"/>
      <w:r>
        <w:t xml:space="preserve"> </w:t>
      </w:r>
    </w:p>
    <w:p w14:paraId="5C8F4273" w14:textId="11FB582F" w:rsidR="00DC4819" w:rsidRDefault="006B2837" w:rsidP="00DC4819">
      <w:r>
        <w:t>Some of th</w:t>
      </w:r>
      <w:r w:rsidR="001958DE">
        <w:t xml:space="preserve">ese businesses supply chains have been heavily impacted by </w:t>
      </w:r>
      <w:r w:rsidR="00127C32">
        <w:t>the events of 2020</w:t>
      </w:r>
      <w:r w:rsidR="006F7A32">
        <w:t>,</w:t>
      </w:r>
      <w:r w:rsidR="00127C32">
        <w:t xml:space="preserve"> including the COVID-19 pandemic and the Australian bushfires</w:t>
      </w:r>
      <w:r w:rsidR="00097510">
        <w:t>, as well as drought in the preceding years</w:t>
      </w:r>
      <w:r w:rsidR="00127C32">
        <w:t xml:space="preserve">. </w:t>
      </w:r>
      <w:r w:rsidR="00DC4819">
        <w:t>Ai Group and several other industry stakeholders commented on the impact</w:t>
      </w:r>
      <w:r w:rsidR="00097510">
        <w:t xml:space="preserve"> of these</w:t>
      </w:r>
      <w:r w:rsidR="00DC4819">
        <w:t xml:space="preserve"> recent events</w:t>
      </w:r>
      <w:r w:rsidR="00097510">
        <w:t>.</w:t>
      </w:r>
      <w:r w:rsidR="00DC4819">
        <w:t xml:space="preserve"> </w:t>
      </w:r>
      <w:r w:rsidR="002073F1" w:rsidRPr="002073F1">
        <w:t>Consultation with</w:t>
      </w:r>
      <w:r w:rsidR="002029B7">
        <w:t xml:space="preserve"> a</w:t>
      </w:r>
      <w:r w:rsidR="002073F1" w:rsidRPr="002073F1">
        <w:t xml:space="preserve"> food manufacturer confirmed that the lack of an exemption process or flexibility to deal with extenuating circumstances has meant significant resources are spent</w:t>
      </w:r>
      <w:r w:rsidR="002029B7">
        <w:t xml:space="preserve"> try</w:t>
      </w:r>
      <w:r w:rsidR="00C65AD4">
        <w:t>ing</w:t>
      </w:r>
      <w:r w:rsidR="002029B7">
        <w:t xml:space="preserve"> to keep </w:t>
      </w:r>
      <w:r w:rsidR="00EA5839">
        <w:t>ahead of forced supply chain changes.</w:t>
      </w:r>
      <w:r w:rsidR="002073F1" w:rsidRPr="002073F1">
        <w:t xml:space="preserve"> </w:t>
      </w:r>
    </w:p>
    <w:p w14:paraId="7EF526C4" w14:textId="693E7945" w:rsidR="00FB1B55" w:rsidRDefault="00C57896" w:rsidP="00083CEF">
      <w:pPr>
        <w:rPr>
          <w:rFonts w:eastAsia="Verdana" w:cs="Verdana"/>
        </w:rPr>
      </w:pPr>
      <w:r>
        <w:rPr>
          <w:rFonts w:eastAsia="Verdana" w:cs="Verdana"/>
        </w:rPr>
        <w:t xml:space="preserve">While </w:t>
      </w:r>
      <w:r w:rsidR="00A45F5C">
        <w:rPr>
          <w:rFonts w:eastAsia="Verdana" w:cs="Verdana"/>
        </w:rPr>
        <w:t>only a small percentage of businesses reported satisfaction</w:t>
      </w:r>
      <w:r w:rsidR="00BA7969">
        <w:rPr>
          <w:rFonts w:eastAsia="Verdana" w:cs="Verdana"/>
        </w:rPr>
        <w:t xml:space="preserve"> (19</w:t>
      </w:r>
      <w:r w:rsidR="007B2C81">
        <w:rPr>
          <w:rFonts w:eastAsia="Verdana" w:cs="Verdana"/>
        </w:rPr>
        <w:t>%</w:t>
      </w:r>
      <w:r w:rsidR="00842D99">
        <w:rPr>
          <w:rFonts w:eastAsia="Verdana" w:cs="Verdana"/>
        </w:rPr>
        <w:t>)</w:t>
      </w:r>
      <w:r w:rsidR="00985274">
        <w:rPr>
          <w:rFonts w:eastAsia="Verdana" w:cs="Verdana"/>
        </w:rPr>
        <w:t xml:space="preserve"> with </w:t>
      </w:r>
      <w:r w:rsidR="00A45F5C">
        <w:rPr>
          <w:rFonts w:eastAsia="Verdana" w:cs="Verdana"/>
        </w:rPr>
        <w:t xml:space="preserve">the flexibility of the CoOL </w:t>
      </w:r>
      <w:r w:rsidR="00BA7969">
        <w:rPr>
          <w:rFonts w:eastAsia="Verdana" w:cs="Verdana"/>
        </w:rPr>
        <w:t>requirements,</w:t>
      </w:r>
      <w:r w:rsidR="002A5D99" w:rsidRPr="00FB1B55">
        <w:rPr>
          <w:rFonts w:eastAsia="Verdana" w:cs="Verdana"/>
        </w:rPr>
        <w:t xml:space="preserve"> 37</w:t>
      </w:r>
      <w:r w:rsidR="007B2C81">
        <w:rPr>
          <w:rFonts w:eastAsia="Verdana" w:cs="Verdana"/>
        </w:rPr>
        <w:t>%</w:t>
      </w:r>
      <w:r w:rsidR="002A5D99" w:rsidRPr="00FB1B55">
        <w:rPr>
          <w:rFonts w:eastAsia="Verdana" w:cs="Verdana"/>
        </w:rPr>
        <w:t xml:space="preserve"> of businesses </w:t>
      </w:r>
      <w:r w:rsidR="005F4B0B" w:rsidRPr="00FB1B55">
        <w:rPr>
          <w:rFonts w:eastAsia="Verdana" w:cs="Verdana"/>
        </w:rPr>
        <w:t>reported that there was a</w:t>
      </w:r>
      <w:r w:rsidR="002A5D99" w:rsidRPr="00FB1B55">
        <w:rPr>
          <w:rFonts w:eastAsia="Verdana" w:cs="Verdana"/>
        </w:rPr>
        <w:t xml:space="preserve"> change in </w:t>
      </w:r>
      <w:r w:rsidR="00600178" w:rsidRPr="00FB1B55">
        <w:rPr>
          <w:rFonts w:eastAsia="Verdana" w:cs="Verdana"/>
        </w:rPr>
        <w:t xml:space="preserve">their </w:t>
      </w:r>
      <w:r w:rsidR="002A5D99" w:rsidRPr="00FB1B55">
        <w:rPr>
          <w:rFonts w:eastAsia="Verdana" w:cs="Verdana"/>
        </w:rPr>
        <w:t xml:space="preserve">opinion </w:t>
      </w:r>
      <w:r w:rsidR="002C5514">
        <w:rPr>
          <w:rFonts w:eastAsia="Verdana" w:cs="Verdana"/>
        </w:rPr>
        <w:t xml:space="preserve">(on the flexibility of the scheme) </w:t>
      </w:r>
      <w:r w:rsidR="002A5D99" w:rsidRPr="00FB1B55">
        <w:rPr>
          <w:rFonts w:eastAsia="Verdana" w:cs="Verdana"/>
        </w:rPr>
        <w:t>due to C</w:t>
      </w:r>
      <w:r w:rsidR="00FB1B55">
        <w:rPr>
          <w:rFonts w:eastAsia="Verdana" w:cs="Verdana"/>
        </w:rPr>
        <w:t>OVID</w:t>
      </w:r>
      <w:r w:rsidR="002A5D99" w:rsidRPr="00FB1B55">
        <w:rPr>
          <w:rFonts w:eastAsia="Verdana" w:cs="Verdana"/>
        </w:rPr>
        <w:t>-19.</w:t>
      </w:r>
      <w:r w:rsidR="004119D8" w:rsidRPr="00FB1B55">
        <w:rPr>
          <w:rFonts w:eastAsia="Verdana" w:cs="Verdana"/>
        </w:rPr>
        <w:t xml:space="preserve"> </w:t>
      </w:r>
      <w:r w:rsidR="007F7163" w:rsidRPr="00FB1B55">
        <w:rPr>
          <w:rFonts w:eastAsia="Verdana" w:cs="Verdana"/>
        </w:rPr>
        <w:t>Some of t</w:t>
      </w:r>
      <w:r w:rsidR="00C8759C" w:rsidRPr="00FB1B55">
        <w:rPr>
          <w:rFonts w:eastAsia="Verdana" w:cs="Verdana"/>
        </w:rPr>
        <w:t xml:space="preserve">he reasons identified </w:t>
      </w:r>
      <w:r w:rsidR="007F7163" w:rsidRPr="00FB1B55">
        <w:rPr>
          <w:rFonts w:eastAsia="Verdana" w:cs="Verdana"/>
        </w:rPr>
        <w:t xml:space="preserve">for the change in </w:t>
      </w:r>
      <w:r w:rsidR="002C5514">
        <w:rPr>
          <w:rFonts w:eastAsia="Verdana" w:cs="Verdana"/>
        </w:rPr>
        <w:t>their</w:t>
      </w:r>
      <w:r w:rsidR="007F7163" w:rsidRPr="00FB1B55">
        <w:rPr>
          <w:rFonts w:eastAsia="Verdana" w:cs="Verdana"/>
        </w:rPr>
        <w:t xml:space="preserve"> opinions included </w:t>
      </w:r>
      <w:r w:rsidR="00DB6CB3" w:rsidRPr="00FB1B55">
        <w:rPr>
          <w:rFonts w:eastAsia="Verdana" w:cs="Verdana"/>
        </w:rPr>
        <w:t xml:space="preserve">supply chain disruptions </w:t>
      </w:r>
      <w:r w:rsidR="00B16623" w:rsidRPr="00FB1B55">
        <w:rPr>
          <w:rFonts w:eastAsia="Verdana" w:cs="Verdana"/>
        </w:rPr>
        <w:t>(</w:t>
      </w:r>
      <w:r w:rsidR="0034383C" w:rsidRPr="00FB1B55">
        <w:rPr>
          <w:rFonts w:eastAsia="Verdana" w:cs="Verdana"/>
        </w:rPr>
        <w:t>18</w:t>
      </w:r>
      <w:r w:rsidR="007B2C81">
        <w:rPr>
          <w:rFonts w:eastAsia="Verdana" w:cs="Verdana"/>
        </w:rPr>
        <w:t>%</w:t>
      </w:r>
      <w:r w:rsidR="00B16623" w:rsidRPr="00FB1B55">
        <w:rPr>
          <w:rFonts w:eastAsia="Verdana" w:cs="Verdana"/>
        </w:rPr>
        <w:t>)</w:t>
      </w:r>
      <w:r w:rsidR="00345357" w:rsidRPr="00FB1B55">
        <w:rPr>
          <w:rFonts w:eastAsia="Verdana" w:cs="Verdana"/>
        </w:rPr>
        <w:t>,</w:t>
      </w:r>
      <w:r w:rsidR="00E117B5" w:rsidRPr="00FB1B55">
        <w:rPr>
          <w:rFonts w:eastAsia="Verdana" w:cs="Verdana"/>
        </w:rPr>
        <w:t xml:space="preserve"> an</w:t>
      </w:r>
      <w:r w:rsidR="00345357" w:rsidRPr="00FB1B55">
        <w:rPr>
          <w:rFonts w:eastAsia="Verdana" w:cs="Verdana"/>
        </w:rPr>
        <w:t xml:space="preserve"> increased demand for origin information and Australian products (</w:t>
      </w:r>
      <w:r w:rsidR="0034383C" w:rsidRPr="00FB1B55">
        <w:rPr>
          <w:rFonts w:eastAsia="Verdana" w:cs="Verdana"/>
        </w:rPr>
        <w:t>12</w:t>
      </w:r>
      <w:r w:rsidR="007B2C81">
        <w:rPr>
          <w:rFonts w:eastAsia="Verdana" w:cs="Verdana"/>
        </w:rPr>
        <w:t>%</w:t>
      </w:r>
      <w:r w:rsidR="00345357" w:rsidRPr="00FB1B55">
        <w:rPr>
          <w:rFonts w:eastAsia="Verdana" w:cs="Verdana"/>
        </w:rPr>
        <w:t xml:space="preserve">) and </w:t>
      </w:r>
      <w:r w:rsidR="0034383C" w:rsidRPr="00FB1B55">
        <w:rPr>
          <w:rFonts w:eastAsia="Verdana" w:cs="Verdana"/>
        </w:rPr>
        <w:t>a</w:t>
      </w:r>
      <w:r w:rsidR="00E117B5" w:rsidRPr="00FB1B55">
        <w:rPr>
          <w:rFonts w:eastAsia="Verdana" w:cs="Verdana"/>
        </w:rPr>
        <w:t xml:space="preserve"> more cautious </w:t>
      </w:r>
      <w:r w:rsidR="0034383C" w:rsidRPr="00FB1B55">
        <w:rPr>
          <w:rFonts w:eastAsia="Verdana" w:cs="Verdana"/>
        </w:rPr>
        <w:t>approach being taken</w:t>
      </w:r>
      <w:r w:rsidR="00E117B5" w:rsidRPr="00FB1B55">
        <w:rPr>
          <w:rFonts w:eastAsia="Verdana" w:cs="Verdana"/>
        </w:rPr>
        <w:t xml:space="preserve"> (</w:t>
      </w:r>
      <w:r w:rsidR="007B2C81">
        <w:rPr>
          <w:rFonts w:eastAsia="Verdana" w:cs="Verdana"/>
        </w:rPr>
        <w:t>4%</w:t>
      </w:r>
      <w:r w:rsidR="00E117B5" w:rsidRPr="00FB1B55">
        <w:rPr>
          <w:rFonts w:eastAsia="Verdana" w:cs="Verdana"/>
        </w:rPr>
        <w:t>).</w:t>
      </w:r>
      <w:r w:rsidR="009F6174" w:rsidRPr="00FB1B55">
        <w:rPr>
          <w:rFonts w:eastAsia="Verdana" w:cs="Verdana"/>
        </w:rPr>
        <w:t xml:space="preserve"> </w:t>
      </w:r>
    </w:p>
    <w:p w14:paraId="1DDD2A1C" w14:textId="333A9CE0" w:rsidR="00B46DDE" w:rsidRDefault="00083CEF" w:rsidP="00EB072D">
      <w:r w:rsidRPr="0061689C">
        <w:t xml:space="preserve">A solution proposed </w:t>
      </w:r>
      <w:r w:rsidR="005B3954">
        <w:t xml:space="preserve">by </w:t>
      </w:r>
      <w:r w:rsidR="00AB7C88">
        <w:t>one large food manufacturer</w:t>
      </w:r>
      <w:r w:rsidR="002E2E3C" w:rsidRPr="00E53797">
        <w:t xml:space="preserve"> </w:t>
      </w:r>
      <w:r w:rsidRPr="00CE21CA">
        <w:t>to mitigate</w:t>
      </w:r>
      <w:r w:rsidRPr="0061689C">
        <w:t xml:space="preserve"> the impacts </w:t>
      </w:r>
      <w:r w:rsidR="005B3954">
        <w:t>of</w:t>
      </w:r>
      <w:r w:rsidRPr="0061689C">
        <w:t xml:space="preserve"> sudden external shocks</w:t>
      </w:r>
      <w:r w:rsidR="006F7A32">
        <w:t>,</w:t>
      </w:r>
      <w:r w:rsidRPr="0061689C">
        <w:t xml:space="preserve"> such as </w:t>
      </w:r>
      <w:r w:rsidR="00547BDB">
        <w:t>natural disasters,</w:t>
      </w:r>
      <w:r w:rsidR="005B3954">
        <w:t xml:space="preserve"> </w:t>
      </w:r>
      <w:r w:rsidRPr="0061689C">
        <w:t xml:space="preserve">droughts, bushfires and pandemics is </w:t>
      </w:r>
      <w:r w:rsidR="005B3954">
        <w:t xml:space="preserve">to </w:t>
      </w:r>
      <w:r w:rsidRPr="0061689C">
        <w:t>hav</w:t>
      </w:r>
      <w:r w:rsidR="005B3954">
        <w:t>e</w:t>
      </w:r>
      <w:r w:rsidRPr="0061689C">
        <w:t xml:space="preserve"> a grace period to </w:t>
      </w:r>
      <w:r w:rsidR="005B3954">
        <w:t xml:space="preserve">allow businesses </w:t>
      </w:r>
      <w:r w:rsidRPr="0061689C">
        <w:t>to manage short</w:t>
      </w:r>
      <w:r w:rsidR="006F7A32">
        <w:t>-</w:t>
      </w:r>
      <w:r w:rsidRPr="0061689C">
        <w:t>term ingredient changes.</w:t>
      </w:r>
      <w:r w:rsidR="000B5F34">
        <w:t xml:space="preserve"> </w:t>
      </w:r>
      <w:r w:rsidR="00EB072D">
        <w:t>The NRA</w:t>
      </w:r>
      <w:r w:rsidR="006176DC">
        <w:t>,</w:t>
      </w:r>
      <w:r w:rsidR="005B3954">
        <w:rPr>
          <w:rStyle w:val="FootnoteReference"/>
        </w:rPr>
        <w:footnoteReference w:id="96"/>
      </w:r>
      <w:r w:rsidR="00EB072D">
        <w:t xml:space="preserve"> </w:t>
      </w:r>
      <w:r w:rsidR="00983CD5">
        <w:t>also suggested</w:t>
      </w:r>
      <w:r w:rsidR="00EB072D">
        <w:t xml:space="preserve"> the establishment of an industry working group t</w:t>
      </w:r>
      <w:r w:rsidR="00F2000B">
        <w:t>hat</w:t>
      </w:r>
      <w:r w:rsidR="00EB072D">
        <w:t xml:space="preserve"> collectively consider</w:t>
      </w:r>
      <w:r w:rsidR="00F2000B">
        <w:t>s</w:t>
      </w:r>
      <w:r w:rsidR="00EB072D">
        <w:t xml:space="preserve"> operational gaps in </w:t>
      </w:r>
      <w:r w:rsidR="00631865">
        <w:t xml:space="preserve">the management of CoOL requirements during </w:t>
      </w:r>
      <w:r w:rsidR="00EB072D">
        <w:t>exceptional circumstances.</w:t>
      </w:r>
    </w:p>
    <w:p w14:paraId="0783A837" w14:textId="77777777" w:rsidR="002C5514" w:rsidRPr="002C5514" w:rsidRDefault="00D87E66" w:rsidP="00631865">
      <w:pPr>
        <w:pStyle w:val="Heading3"/>
      </w:pPr>
      <w:bookmarkStart w:id="494" w:name="_Ref66962203"/>
      <w:bookmarkStart w:id="495" w:name="_Toc67499130"/>
      <w:r>
        <w:t xml:space="preserve">Suggestions </w:t>
      </w:r>
      <w:r w:rsidR="003E3CFA">
        <w:t xml:space="preserve">related </w:t>
      </w:r>
      <w:r>
        <w:t xml:space="preserve">to </w:t>
      </w:r>
      <w:r w:rsidR="003E3CFA">
        <w:t>the</w:t>
      </w:r>
      <w:r>
        <w:t xml:space="preserve"> flexibility </w:t>
      </w:r>
      <w:r w:rsidR="003E3CFA">
        <w:t>of</w:t>
      </w:r>
      <w:r w:rsidR="00850D44">
        <w:t xml:space="preserve"> </w:t>
      </w:r>
      <w:r w:rsidR="003E3CFA">
        <w:t>the</w:t>
      </w:r>
      <w:r w:rsidR="00850D44">
        <w:t xml:space="preserve"> </w:t>
      </w:r>
      <w:r>
        <w:t xml:space="preserve">percentages on </w:t>
      </w:r>
      <w:r w:rsidR="00850D44">
        <w:t>CoOL</w:t>
      </w:r>
      <w:r>
        <w:t xml:space="preserve"> labels</w:t>
      </w:r>
      <w:bookmarkEnd w:id="494"/>
      <w:bookmarkEnd w:id="495"/>
      <w:r>
        <w:t xml:space="preserve"> </w:t>
      </w:r>
    </w:p>
    <w:p w14:paraId="60D8FF99" w14:textId="25F54F16" w:rsidR="00773EF2" w:rsidRDefault="00773EF2" w:rsidP="00516C32">
      <w:r>
        <w:t>The ‘average Australian content’ allowance is intended to address supply chain disruption faced by manufacturers, however</w:t>
      </w:r>
      <w:r w:rsidR="006F7A32">
        <w:t>,</w:t>
      </w:r>
      <w:r>
        <w:t xml:space="preserve"> it was often cited as impractical to adopt by food manufacturers.</w:t>
      </w:r>
      <w:r w:rsidRPr="00773EF2">
        <w:rPr>
          <w:rStyle w:val="FootnoteReference"/>
        </w:rPr>
        <w:t xml:space="preserve"> </w:t>
      </w:r>
      <w:r>
        <w:rPr>
          <w:rStyle w:val="FootnoteReference"/>
        </w:rPr>
        <w:footnoteReference w:id="97"/>
      </w:r>
      <w:r>
        <w:t xml:space="preserve"> This is related to the burden or complexity of applying it in practice. </w:t>
      </w:r>
    </w:p>
    <w:p w14:paraId="4A34B5C5" w14:textId="4EE7B564" w:rsidR="006352B2" w:rsidRDefault="00516C32" w:rsidP="00516C32">
      <w:r>
        <w:t>One food manufacturer explained that there is a requirement to have information available by lot ID</w:t>
      </w:r>
      <w:r w:rsidR="006F7A32">
        <w:t>,</w:t>
      </w:r>
      <w:r>
        <w:t xml:space="preserve"> </w:t>
      </w:r>
      <w:r w:rsidR="00795879">
        <w:t>which made its use</w:t>
      </w:r>
      <w:r>
        <w:t xml:space="preserve"> challenging</w:t>
      </w:r>
      <w:r w:rsidR="00795879">
        <w:t>, particularly</w:t>
      </w:r>
      <w:r>
        <w:t xml:space="preserve"> with regard to IT system infrastructure </w:t>
      </w:r>
      <w:r w:rsidR="00795879">
        <w:t xml:space="preserve">capabilities </w:t>
      </w:r>
      <w:r>
        <w:lastRenderedPageBreak/>
        <w:t>and</w:t>
      </w:r>
      <w:r w:rsidR="0076589A">
        <w:t xml:space="preserve"> </w:t>
      </w:r>
      <w:r>
        <w:t>external manufacturing</w:t>
      </w:r>
      <w:r w:rsidR="00154FBE">
        <w:t xml:space="preserve"> operations</w:t>
      </w:r>
      <w:r w:rsidRPr="00141F46">
        <w:t>.</w:t>
      </w:r>
      <w:r w:rsidR="009F1261" w:rsidRPr="00141F46">
        <w:rPr>
          <w:rStyle w:val="FootnoteReference"/>
        </w:rPr>
        <w:footnoteReference w:id="98"/>
      </w:r>
      <w:r w:rsidRPr="00141F46">
        <w:t xml:space="preserve"> </w:t>
      </w:r>
      <w:r w:rsidR="00154FBE">
        <w:t xml:space="preserve">A peak body for </w:t>
      </w:r>
      <w:r w:rsidR="0076589A">
        <w:t>retailers</w:t>
      </w:r>
      <w:r>
        <w:t xml:space="preserve"> state</w:t>
      </w:r>
      <w:r w:rsidR="004D4499">
        <w:t>d</w:t>
      </w:r>
      <w:r>
        <w:t xml:space="preserve"> that </w:t>
      </w:r>
      <w:r w:rsidR="004D4499">
        <w:t xml:space="preserve">while </w:t>
      </w:r>
      <w:r w:rsidRPr="00983F28">
        <w:t>there is an option under the Standard to allow for variations in supply origin</w:t>
      </w:r>
      <w:r>
        <w:t>,</w:t>
      </w:r>
      <w:r w:rsidRPr="00983F28">
        <w:t xml:space="preserve"> the document</w:t>
      </w:r>
      <w:r>
        <w:t>ation</w:t>
      </w:r>
      <w:r w:rsidRPr="00983F28">
        <w:t xml:space="preserve"> required is very onerous and </w:t>
      </w:r>
      <w:r>
        <w:t>i</w:t>
      </w:r>
      <w:r w:rsidRPr="00983F28">
        <w:t xml:space="preserve">ndustry has not been able to support that. </w:t>
      </w:r>
    </w:p>
    <w:p w14:paraId="7E7DE658" w14:textId="436A0045" w:rsidR="00C1373B" w:rsidRDefault="0054670D" w:rsidP="00E53797">
      <w:r>
        <w:t>Several</w:t>
      </w:r>
      <w:r w:rsidR="00556307" w:rsidRPr="004D353F">
        <w:t xml:space="preserve"> industry stakeholders commented that the current requirement to state the exact percentage of ingredients on</w:t>
      </w:r>
      <w:r w:rsidR="00CB6CA0">
        <w:t xml:space="preserve"> the</w:t>
      </w:r>
      <w:r w:rsidR="00556307" w:rsidRPr="004D353F">
        <w:t xml:space="preserve"> label is too tight. </w:t>
      </w:r>
      <w:r w:rsidR="00203446">
        <w:t>R</w:t>
      </w:r>
      <w:r>
        <w:t>epresentatives of a peak body for retailers</w:t>
      </w:r>
      <w:r w:rsidR="00DF26A9">
        <w:t xml:space="preserve"> suggested that where minor percentage changes have occurred, flexibility should be granted in displaying the exact percentage of Australian ingredient</w:t>
      </w:r>
      <w:r w:rsidR="00CB6CA0">
        <w:t>s</w:t>
      </w:r>
      <w:r w:rsidR="00DF26A9">
        <w:t xml:space="preserve">. </w:t>
      </w:r>
      <w:r>
        <w:t>A</w:t>
      </w:r>
      <w:r w:rsidR="00203446">
        <w:t xml:space="preserve"> representative of a</w:t>
      </w:r>
      <w:r>
        <w:t xml:space="preserve"> major peak body</w:t>
      </w:r>
      <w:r w:rsidR="00FF5693">
        <w:t xml:space="preserve"> </w:t>
      </w:r>
      <w:r w:rsidR="00942E1F">
        <w:t xml:space="preserve">proposed </w:t>
      </w:r>
      <w:r w:rsidR="007D3531">
        <w:t>a</w:t>
      </w:r>
      <w:r w:rsidR="007B2C81">
        <w:t xml:space="preserve"> 5%</w:t>
      </w:r>
      <w:r w:rsidR="007D3531" w:rsidRPr="007D3531">
        <w:t xml:space="preserve"> </w:t>
      </w:r>
      <w:r w:rsidR="00203446">
        <w:t>allowance</w:t>
      </w:r>
      <w:r w:rsidR="007F6933">
        <w:rPr>
          <w:rStyle w:val="FootnoteReference"/>
        </w:rPr>
        <w:footnoteReference w:id="99"/>
      </w:r>
      <w:r w:rsidR="00203446">
        <w:t xml:space="preserve"> </w:t>
      </w:r>
      <w:r w:rsidR="007D3531">
        <w:t xml:space="preserve">on accuracy </w:t>
      </w:r>
      <w:r w:rsidR="00B1654E">
        <w:t xml:space="preserve">for </w:t>
      </w:r>
      <w:r w:rsidR="007D3531" w:rsidRPr="007D3531">
        <w:t>printed labels</w:t>
      </w:r>
      <w:r w:rsidR="002E25BA">
        <w:t xml:space="preserve"> and</w:t>
      </w:r>
      <w:r w:rsidR="00EB072D">
        <w:t xml:space="preserve"> </w:t>
      </w:r>
      <w:r w:rsidR="002E25BA">
        <w:t>a</w:t>
      </w:r>
      <w:r w:rsidR="00EB072D">
        <w:t xml:space="preserve"> </w:t>
      </w:r>
      <w:r w:rsidR="00B1654E">
        <w:t xml:space="preserve">spokesperson for a </w:t>
      </w:r>
      <w:r w:rsidR="00EB072D">
        <w:t>large Australian supermarket</w:t>
      </w:r>
      <w:r w:rsidR="002E25BA">
        <w:t xml:space="preserve"> chain</w:t>
      </w:r>
      <w:r w:rsidR="00EB072D">
        <w:t xml:space="preserve"> </w:t>
      </w:r>
      <w:r w:rsidR="002E25BA">
        <w:t>considered that this would</w:t>
      </w:r>
      <w:r w:rsidR="00EB072D">
        <w:t xml:space="preserve"> </w:t>
      </w:r>
      <w:r>
        <w:t xml:space="preserve">allow </w:t>
      </w:r>
      <w:r w:rsidR="00EB072D">
        <w:t xml:space="preserve">for fluctuations in the supply of ingredients and packing processes, especially in light of the </w:t>
      </w:r>
      <w:r w:rsidR="00AA1083">
        <w:t>impacts of</w:t>
      </w:r>
      <w:r w:rsidR="00EB072D">
        <w:t xml:space="preserve"> COVID-19. </w:t>
      </w:r>
    </w:p>
    <w:p w14:paraId="3EFAAA8A" w14:textId="42B84496" w:rsidR="00F54BBB" w:rsidRDefault="00DE2BAA" w:rsidP="00E53797">
      <w:r>
        <w:t xml:space="preserve">A </w:t>
      </w:r>
      <w:r w:rsidR="0054670D">
        <w:t>spoke</w:t>
      </w:r>
      <w:r w:rsidR="00A51CD5">
        <w:t xml:space="preserve">sperson for a </w:t>
      </w:r>
      <w:r w:rsidR="001E4ED7">
        <w:t xml:space="preserve">food manufacturer </w:t>
      </w:r>
      <w:r w:rsidR="00A51CD5">
        <w:t xml:space="preserve">also </w:t>
      </w:r>
      <w:r>
        <w:t>suggested that there should be an avenue through which suppliers could notify the Australian Government of extenuating circumstances that are temporarily affecting their supply chain, allowing for minor ingredient variations, and to enable th</w:t>
      </w:r>
      <w:r w:rsidR="00D941C3">
        <w:t>ose variations</w:t>
      </w:r>
      <w:r>
        <w:t xml:space="preserve"> to be reported to the consumer </w:t>
      </w:r>
      <w:r w:rsidR="00D941C3">
        <w:t>through the relevant (e.g. company)</w:t>
      </w:r>
      <w:r>
        <w:t xml:space="preserve"> website.  </w:t>
      </w:r>
    </w:p>
    <w:p w14:paraId="49E0D9F0" w14:textId="77777777" w:rsidR="005A4D38" w:rsidRPr="003C74DF" w:rsidRDefault="005A4D38" w:rsidP="00E53797">
      <w:pPr>
        <w:pStyle w:val="Heading3"/>
      </w:pPr>
      <w:bookmarkStart w:id="496" w:name="_Toc65088468"/>
      <w:bookmarkStart w:id="497" w:name="_Toc67499131"/>
      <w:bookmarkEnd w:id="496"/>
      <w:r w:rsidRPr="003C74DF">
        <w:t>Key findings</w:t>
      </w:r>
      <w:r w:rsidR="00C11915">
        <w:t>: Flexibility in managing variation in ingredients</w:t>
      </w:r>
      <w:bookmarkEnd w:id="497"/>
    </w:p>
    <w:tbl>
      <w:tblPr>
        <w:tblStyle w:val="Deloittetable"/>
        <w:tblW w:w="0" w:type="auto"/>
        <w:tblLook w:val="04A0" w:firstRow="1" w:lastRow="0" w:firstColumn="1" w:lastColumn="0" w:noHBand="0" w:noVBand="1"/>
        <w:tblDescription w:val="This table provides two key findings related to flexibility in managing variation in ingredients. These are that 1) In general, CoOL requirements do provide adequate flexibility for food and beverage producers to manage variations in the supply of ingredients when those variations are within a normal business-as-usual range. &#10;2) Major shocks present a significant challenge. COVID-19 resulted in supply-chain disruption (as did bushfires for some businesses). While flexibility was provided in response to individual business inquiries, not all businesses were aware of where to seek assistance or the flexibility that was available. "/>
      </w:tblPr>
      <w:tblGrid>
        <w:gridCol w:w="1134"/>
        <w:gridCol w:w="7892"/>
      </w:tblGrid>
      <w:tr w:rsidR="00F224D7" w14:paraId="2B06B19F" w14:textId="77777777" w:rsidTr="006E1BCA">
        <w:trPr>
          <w:cnfStyle w:val="100000000000" w:firstRow="1" w:lastRow="0" w:firstColumn="0" w:lastColumn="0" w:oddVBand="0" w:evenVBand="0" w:oddHBand="0" w:evenHBand="0" w:firstRowFirstColumn="0" w:firstRowLastColumn="0" w:lastRowFirstColumn="0" w:lastRowLastColumn="0"/>
          <w:trHeight w:val="423"/>
          <w:tblHeader/>
        </w:trPr>
        <w:tc>
          <w:tcPr>
            <w:tcW w:w="1134" w:type="dxa"/>
            <w:tcBorders>
              <w:top w:val="single" w:sz="24" w:space="0" w:color="012169" w:themeColor="accent4"/>
            </w:tcBorders>
          </w:tcPr>
          <w:p w14:paraId="5215A739" w14:textId="77777777" w:rsidR="00F224D7" w:rsidRPr="00AB2F4F" w:rsidRDefault="00F224D7" w:rsidP="00C546E2">
            <w:pPr>
              <w:rPr>
                <w:b/>
                <w:bCs/>
              </w:rPr>
            </w:pPr>
            <w:r>
              <w:rPr>
                <w:b/>
                <w:bCs/>
              </w:rPr>
              <w:t>Ref</w:t>
            </w:r>
          </w:p>
        </w:tc>
        <w:tc>
          <w:tcPr>
            <w:tcW w:w="7892" w:type="dxa"/>
            <w:tcBorders>
              <w:top w:val="single" w:sz="24" w:space="0" w:color="012169" w:themeColor="accent4"/>
            </w:tcBorders>
          </w:tcPr>
          <w:p w14:paraId="23BD2A26" w14:textId="3C7A46B9" w:rsidR="00F224D7" w:rsidRPr="00AB2F4F" w:rsidRDefault="0066449F" w:rsidP="00C546E2">
            <w:pPr>
              <w:rPr>
                <w:b/>
                <w:bCs/>
              </w:rPr>
            </w:pPr>
            <w:r w:rsidRPr="0066449F">
              <w:rPr>
                <w:b/>
                <w:bCs/>
              </w:rPr>
              <w:t>Do the current CoOL requirements provide adequate flexibility for food and beverage producers to manage variations in the supply of ingredients?</w:t>
            </w:r>
          </w:p>
        </w:tc>
      </w:tr>
      <w:tr w:rsidR="00F83CC6" w14:paraId="6779FBFC" w14:textId="77777777" w:rsidTr="00594328">
        <w:tc>
          <w:tcPr>
            <w:tcW w:w="1134" w:type="dxa"/>
          </w:tcPr>
          <w:p w14:paraId="3AD8F4FB" w14:textId="6AA1133E" w:rsidR="00F83CC6" w:rsidRDefault="00D0625C" w:rsidP="00F83CC6">
            <w:r>
              <w:t>48</w:t>
            </w:r>
          </w:p>
        </w:tc>
        <w:tc>
          <w:tcPr>
            <w:tcW w:w="7892" w:type="dxa"/>
          </w:tcPr>
          <w:p w14:paraId="303B2151" w14:textId="0CBF86DD" w:rsidR="00F83CC6" w:rsidRDefault="00F83CC6" w:rsidP="00F83CC6">
            <w:pPr>
              <w:pStyle w:val="ListBullet"/>
              <w:numPr>
                <w:ilvl w:val="0"/>
                <w:numId w:val="0"/>
              </w:numPr>
              <w:spacing w:after="170"/>
            </w:pPr>
            <w:r w:rsidRPr="00F977D1">
              <w:rPr>
                <w:rFonts w:asciiTheme="majorHAnsi" w:hAnsiTheme="majorHAnsi"/>
              </w:rPr>
              <w:t xml:space="preserve">In general, CoOL requirements do provide adequate flexibility for food and beverage producers to manage variations in the supply of ingredients when those variations are within a normal </w:t>
            </w:r>
            <w:r w:rsidR="000C50C0">
              <w:rPr>
                <w:rFonts w:asciiTheme="majorHAnsi" w:hAnsiTheme="majorHAnsi"/>
              </w:rPr>
              <w:t>business-as-usual</w:t>
            </w:r>
            <w:r w:rsidRPr="00F977D1">
              <w:rPr>
                <w:rFonts w:asciiTheme="majorHAnsi" w:hAnsiTheme="majorHAnsi"/>
              </w:rPr>
              <w:t xml:space="preserve"> range. </w:t>
            </w:r>
          </w:p>
        </w:tc>
      </w:tr>
      <w:tr w:rsidR="00F83CC6" w14:paraId="68FB7397" w14:textId="77777777" w:rsidTr="00594328">
        <w:tc>
          <w:tcPr>
            <w:tcW w:w="1134" w:type="dxa"/>
          </w:tcPr>
          <w:p w14:paraId="4DC4F166" w14:textId="406C1182" w:rsidR="00F83CC6" w:rsidRDefault="00D0625C" w:rsidP="00F83CC6">
            <w:r>
              <w:t>49</w:t>
            </w:r>
          </w:p>
        </w:tc>
        <w:tc>
          <w:tcPr>
            <w:tcW w:w="7892" w:type="dxa"/>
          </w:tcPr>
          <w:p w14:paraId="176DC3C1" w14:textId="0CE875DB" w:rsidR="00F83CC6" w:rsidRDefault="00F83CC6" w:rsidP="00F83CC6">
            <w:pPr>
              <w:pStyle w:val="ListBullet"/>
              <w:numPr>
                <w:ilvl w:val="0"/>
                <w:numId w:val="0"/>
              </w:numPr>
              <w:spacing w:after="170"/>
            </w:pPr>
            <w:r>
              <w:rPr>
                <w:rFonts w:asciiTheme="majorHAnsi" w:hAnsiTheme="majorHAnsi"/>
              </w:rPr>
              <w:t>M</w:t>
            </w:r>
            <w:r w:rsidRPr="002D759D">
              <w:rPr>
                <w:rFonts w:asciiTheme="majorHAnsi" w:hAnsiTheme="majorHAnsi"/>
              </w:rPr>
              <w:t xml:space="preserve">ajor shocks present a significant challenge. COVID-19 </w:t>
            </w:r>
            <w:r>
              <w:rPr>
                <w:rFonts w:asciiTheme="majorHAnsi" w:hAnsiTheme="majorHAnsi"/>
              </w:rPr>
              <w:t>resulted in</w:t>
            </w:r>
            <w:r w:rsidRPr="002D759D">
              <w:rPr>
                <w:rFonts w:asciiTheme="majorHAnsi" w:hAnsiTheme="majorHAnsi"/>
              </w:rPr>
              <w:t xml:space="preserve"> supply</w:t>
            </w:r>
            <w:r w:rsidR="006F7A32">
              <w:rPr>
                <w:rFonts w:asciiTheme="majorHAnsi" w:hAnsiTheme="majorHAnsi"/>
              </w:rPr>
              <w:t>-</w:t>
            </w:r>
            <w:r w:rsidRPr="002D759D">
              <w:rPr>
                <w:rFonts w:asciiTheme="majorHAnsi" w:hAnsiTheme="majorHAnsi"/>
              </w:rPr>
              <w:t>chain disruption</w:t>
            </w:r>
            <w:r>
              <w:rPr>
                <w:rFonts w:asciiTheme="majorHAnsi" w:hAnsiTheme="majorHAnsi"/>
              </w:rPr>
              <w:t xml:space="preserve"> (as did bushfires for some businesses). While flexibility was provided in response to individual business inquiries, not all businesses were aware of where to seek assistance or the flexibility that was available. </w:t>
            </w:r>
          </w:p>
        </w:tc>
      </w:tr>
    </w:tbl>
    <w:p w14:paraId="118E55B4" w14:textId="77777777" w:rsidR="00306CCE" w:rsidRDefault="008044C3" w:rsidP="00456EDD">
      <w:pPr>
        <w:pStyle w:val="Heading2"/>
      </w:pPr>
      <w:bookmarkStart w:id="498" w:name="_Toc66774417"/>
      <w:bookmarkStart w:id="499" w:name="_Toc67499132"/>
      <w:bookmarkStart w:id="500" w:name="_Toc94702068"/>
      <w:bookmarkEnd w:id="498"/>
      <w:r>
        <w:t>Unintended consequences</w:t>
      </w:r>
      <w:bookmarkEnd w:id="499"/>
      <w:bookmarkEnd w:id="500"/>
    </w:p>
    <w:p w14:paraId="1C7A98CF" w14:textId="4942CD0B" w:rsidR="007366EB" w:rsidRPr="007366EB" w:rsidRDefault="000A34A8" w:rsidP="00B86187">
      <w:r>
        <w:t xml:space="preserve">Although </w:t>
      </w:r>
      <w:r w:rsidR="00B92809">
        <w:t>policy</w:t>
      </w:r>
      <w:r>
        <w:t xml:space="preserve"> reforms </w:t>
      </w:r>
      <w:r w:rsidR="00157D0B">
        <w:t>have</w:t>
      </w:r>
      <w:r>
        <w:t xml:space="preserve"> t</w:t>
      </w:r>
      <w:r w:rsidR="000E755E">
        <w:t xml:space="preserve">argeted outcomes and objectives, at times, </w:t>
      </w:r>
      <w:r w:rsidR="005870B2">
        <w:t>they</w:t>
      </w:r>
      <w:r w:rsidR="000E755E">
        <w:t xml:space="preserve"> can </w:t>
      </w:r>
      <w:r w:rsidR="005870B2">
        <w:t xml:space="preserve">have unintended </w:t>
      </w:r>
      <w:r w:rsidR="00CA7878">
        <w:t>c</w:t>
      </w:r>
      <w:r w:rsidR="000E03E8">
        <w:t>onsequences on businesses. T</w:t>
      </w:r>
      <w:r w:rsidR="00582740">
        <w:t>his</w:t>
      </w:r>
      <w:r w:rsidR="00EF72E7">
        <w:t xml:space="preserve"> section</w:t>
      </w:r>
      <w:r w:rsidR="007366EB">
        <w:t xml:space="preserve"> </w:t>
      </w:r>
      <w:r w:rsidR="00EF72E7">
        <w:t xml:space="preserve">considers </w:t>
      </w:r>
      <w:r w:rsidR="000B41CC">
        <w:t>e</w:t>
      </w:r>
      <w:r w:rsidR="00EF72E7">
        <w:t xml:space="preserve">valuation </w:t>
      </w:r>
      <w:r w:rsidR="00810EDA">
        <w:t xml:space="preserve">of </w:t>
      </w:r>
      <w:r w:rsidR="000B41CC">
        <w:t>q</w:t>
      </w:r>
      <w:r w:rsidR="00EF72E7">
        <w:t xml:space="preserve">uestion 19, concerning </w:t>
      </w:r>
      <w:r w:rsidR="00517448">
        <w:t xml:space="preserve">the </w:t>
      </w:r>
      <w:r w:rsidR="00827513">
        <w:t>presence of</w:t>
      </w:r>
      <w:r w:rsidR="001D79AD">
        <w:t xml:space="preserve"> unintended </w:t>
      </w:r>
      <w:r w:rsidR="00AD418E">
        <w:t>conse</w:t>
      </w:r>
      <w:r w:rsidR="006A177F">
        <w:t>quences</w:t>
      </w:r>
      <w:r w:rsidR="001D79AD">
        <w:t xml:space="preserve"> </w:t>
      </w:r>
      <w:r w:rsidR="00EF72E7">
        <w:t xml:space="preserve">of the CoOL reforms </w:t>
      </w:r>
      <w:r w:rsidR="001D79AD">
        <w:t>on businesses</w:t>
      </w:r>
      <w:r w:rsidR="00726658">
        <w:t xml:space="preserve"> for </w:t>
      </w:r>
      <w:r w:rsidR="002E61A7">
        <w:t xml:space="preserve">both </w:t>
      </w:r>
      <w:r w:rsidR="00061C03">
        <w:t>food</w:t>
      </w:r>
      <w:r w:rsidR="00726658">
        <w:t xml:space="preserve"> and </w:t>
      </w:r>
      <w:r w:rsidR="00061C03">
        <w:t xml:space="preserve">non-food </w:t>
      </w:r>
      <w:r w:rsidR="00726658">
        <w:t>products</w:t>
      </w:r>
      <w:r w:rsidR="001D79AD">
        <w:t>.</w:t>
      </w:r>
      <w:r w:rsidR="00CB3C33">
        <w:t xml:space="preserve"> </w:t>
      </w:r>
      <w:r w:rsidR="00736EBE" w:rsidRPr="00E53797">
        <w:t>It also assesse</w:t>
      </w:r>
      <w:r w:rsidR="00827513">
        <w:t>s</w:t>
      </w:r>
      <w:r w:rsidR="00736EBE" w:rsidRPr="00E53797">
        <w:t xml:space="preserve"> wh</w:t>
      </w:r>
      <w:r w:rsidR="007103F8" w:rsidRPr="00E53797">
        <w:t>at actions</w:t>
      </w:r>
      <w:r w:rsidR="00CB3C33" w:rsidRPr="00E53797">
        <w:t xml:space="preserve"> </w:t>
      </w:r>
      <w:r w:rsidR="00B21369">
        <w:t>DISER</w:t>
      </w:r>
      <w:r w:rsidR="00352007">
        <w:t xml:space="preserve">, the regulator (the ACCC) or other </w:t>
      </w:r>
      <w:r w:rsidR="005A60F4">
        <w:t xml:space="preserve">Australian </w:t>
      </w:r>
      <w:r w:rsidR="00352007">
        <w:t>Government agencies have taken</w:t>
      </w:r>
      <w:r w:rsidR="00C91B03" w:rsidRPr="00E53797">
        <w:t>, if any,</w:t>
      </w:r>
      <w:r w:rsidR="007103F8" w:rsidRPr="00E53797">
        <w:t xml:space="preserve"> to address the impacts of the CoOL reforms.</w:t>
      </w:r>
      <w:r w:rsidR="001D79AD">
        <w:t xml:space="preserve"> </w:t>
      </w:r>
    </w:p>
    <w:p w14:paraId="2644FC71" w14:textId="5C6D3B45" w:rsidR="0082587D" w:rsidRDefault="00A775B6" w:rsidP="0082587D">
      <w:pPr>
        <w:pStyle w:val="Heading3"/>
      </w:pPr>
      <w:bookmarkStart w:id="501" w:name="_Toc67499133"/>
      <w:r>
        <w:t>U</w:t>
      </w:r>
      <w:r w:rsidR="0004666F">
        <w:t>nintended consequences</w:t>
      </w:r>
      <w:r w:rsidR="00A3790A">
        <w:t xml:space="preserve"> </w:t>
      </w:r>
      <w:r>
        <w:t>for</w:t>
      </w:r>
      <w:r w:rsidR="0082587D">
        <w:t xml:space="preserve"> the complementary medicine sector</w:t>
      </w:r>
      <w:bookmarkEnd w:id="501"/>
    </w:p>
    <w:p w14:paraId="3F953A37" w14:textId="3AB4B0F3" w:rsidR="001B18C3" w:rsidRDefault="0080332C" w:rsidP="00B86187">
      <w:r>
        <w:t xml:space="preserve">Although the reforms do not </w:t>
      </w:r>
      <w:r w:rsidR="00AD1FB7">
        <w:t xml:space="preserve">directly concern </w:t>
      </w:r>
      <w:r>
        <w:t>complementary medicines, t</w:t>
      </w:r>
      <w:r w:rsidR="00A41526">
        <w:t xml:space="preserve">he change in </w:t>
      </w:r>
      <w:r w:rsidR="00BC74C0">
        <w:t>safe har</w:t>
      </w:r>
      <w:r w:rsidR="00AD602E">
        <w:t xml:space="preserve">bour provisions </w:t>
      </w:r>
      <w:r w:rsidR="00666E65">
        <w:t>has</w:t>
      </w:r>
      <w:r w:rsidR="00816526">
        <w:t xml:space="preserve"> </w:t>
      </w:r>
      <w:r w:rsidR="00AD1FB7">
        <w:t xml:space="preserve">indirectly </w:t>
      </w:r>
      <w:r w:rsidR="00816526">
        <w:t>caused issues for some</w:t>
      </w:r>
      <w:r w:rsidR="006B66B9">
        <w:t xml:space="preserve"> of</w:t>
      </w:r>
      <w:r w:rsidR="00FF2028">
        <w:t xml:space="preserve"> the</w:t>
      </w:r>
      <w:r w:rsidR="00816526">
        <w:t xml:space="preserve"> sponsors of complementary medicines</w:t>
      </w:r>
      <w:r w:rsidR="00FF2028">
        <w:t xml:space="preserve">. </w:t>
      </w:r>
      <w:r w:rsidR="00F31FE3">
        <w:t>S</w:t>
      </w:r>
      <w:r w:rsidR="00FF2028">
        <w:t>ubmission</w:t>
      </w:r>
      <w:r w:rsidR="00F31FE3">
        <w:t>s</w:t>
      </w:r>
      <w:r w:rsidR="004872BA">
        <w:t xml:space="preserve"> </w:t>
      </w:r>
      <w:r w:rsidR="00CF2EA3">
        <w:t>from</w:t>
      </w:r>
      <w:r w:rsidR="00ED44D8">
        <w:t>,</w:t>
      </w:r>
      <w:r w:rsidR="004872BA">
        <w:t xml:space="preserve"> </w:t>
      </w:r>
      <w:r w:rsidR="000E2B1B">
        <w:t>and consultations with</w:t>
      </w:r>
      <w:r w:rsidR="00ED44D8">
        <w:t>,</w:t>
      </w:r>
      <w:r w:rsidR="000E2B1B">
        <w:t xml:space="preserve"> government and industry groups indicated that </w:t>
      </w:r>
      <w:r w:rsidR="00247D57">
        <w:t xml:space="preserve">the change in safe harbour provisions </w:t>
      </w:r>
      <w:r w:rsidR="006E19CA">
        <w:t>and the definition of substantial transformation</w:t>
      </w:r>
      <w:r w:rsidR="00247D57">
        <w:t xml:space="preserve"> </w:t>
      </w:r>
      <w:r w:rsidR="00A90D14">
        <w:t xml:space="preserve">impacted </w:t>
      </w:r>
      <w:r w:rsidR="00CC7C6F">
        <w:t>manufacturer</w:t>
      </w:r>
      <w:r w:rsidR="00EF7926">
        <w:t>s’ ability to</w:t>
      </w:r>
      <w:r w:rsidR="00CC7C6F">
        <w:t xml:space="preserve"> </w:t>
      </w:r>
      <w:r w:rsidR="00A90D14">
        <w:t xml:space="preserve">use </w:t>
      </w:r>
      <w:r w:rsidR="001D36B5">
        <w:t xml:space="preserve">the </w:t>
      </w:r>
      <w:r w:rsidR="00E41F44">
        <w:t>‘</w:t>
      </w:r>
      <w:r w:rsidR="00A90D14">
        <w:t xml:space="preserve">Made </w:t>
      </w:r>
      <w:r w:rsidR="00842D99">
        <w:t>i</w:t>
      </w:r>
      <w:r w:rsidR="001A456E">
        <w:t>n</w:t>
      </w:r>
      <w:r w:rsidR="00E41F44">
        <w:t>’</w:t>
      </w:r>
      <w:r w:rsidR="009B57C6">
        <w:t xml:space="preserve"> </w:t>
      </w:r>
      <w:r w:rsidR="001D36B5">
        <w:t>claim</w:t>
      </w:r>
      <w:r w:rsidR="00625969">
        <w:t xml:space="preserve"> </w:t>
      </w:r>
      <w:r w:rsidR="006E19CA">
        <w:t>under the new CoOL regulations</w:t>
      </w:r>
      <w:r w:rsidR="00B63C54">
        <w:t>.</w:t>
      </w:r>
      <w:r w:rsidR="001D36B5">
        <w:t xml:space="preserve"> </w:t>
      </w:r>
      <w:r w:rsidR="006E19CA">
        <w:t xml:space="preserve">While </w:t>
      </w:r>
      <w:r w:rsidR="00FC4BD5">
        <w:t xml:space="preserve">Australian complementary medicine </w:t>
      </w:r>
      <w:r w:rsidR="006E19CA">
        <w:t xml:space="preserve">often attracts a premium in overseas markets, </w:t>
      </w:r>
      <w:r w:rsidR="00FE2020">
        <w:t xml:space="preserve">complementary medicine is not in the scope of this evaluation. </w:t>
      </w:r>
    </w:p>
    <w:p w14:paraId="5AE72E8A" w14:textId="06AEC3F9" w:rsidR="0082587D" w:rsidRPr="007366EB" w:rsidRDefault="00671D2B" w:rsidP="0082587D">
      <w:pPr>
        <w:pStyle w:val="Heading3"/>
      </w:pPr>
      <w:bookmarkStart w:id="502" w:name="_Toc67499134"/>
      <w:r>
        <w:t>For some stakeholders or industries</w:t>
      </w:r>
      <w:r w:rsidR="00810EDA">
        <w:t>,</w:t>
      </w:r>
      <w:r>
        <w:t xml:space="preserve"> the impacts have seemed </w:t>
      </w:r>
      <w:r w:rsidR="00D66040">
        <w:t>d</w:t>
      </w:r>
      <w:r>
        <w:t>isproportionate or unintended</w:t>
      </w:r>
      <w:bookmarkEnd w:id="502"/>
    </w:p>
    <w:p w14:paraId="71F146D0" w14:textId="79A0D1F0" w:rsidR="00295147" w:rsidRDefault="00773D4C" w:rsidP="00295147">
      <w:r>
        <w:t xml:space="preserve">As expressed by an Australian manufacturer, </w:t>
      </w:r>
      <w:r w:rsidR="00D136F5">
        <w:t>a</w:t>
      </w:r>
      <w:r w:rsidR="00B620AE">
        <w:t xml:space="preserve">n </w:t>
      </w:r>
      <w:r w:rsidR="00295147">
        <w:t xml:space="preserve">unintended consequence </w:t>
      </w:r>
      <w:r w:rsidR="00107958">
        <w:t xml:space="preserve">of the CoOL reforms for some food products </w:t>
      </w:r>
      <w:r w:rsidR="00295147">
        <w:t xml:space="preserve">has been </w:t>
      </w:r>
      <w:r w:rsidR="00D136F5">
        <w:t>that the</w:t>
      </w:r>
      <w:r>
        <w:t>ir product</w:t>
      </w:r>
      <w:r w:rsidR="00295147">
        <w:t xml:space="preserve"> used to qualify for </w:t>
      </w:r>
      <w:r w:rsidR="00AF6B6B">
        <w:t>a</w:t>
      </w:r>
      <w:r w:rsidR="00295147">
        <w:t xml:space="preserve"> </w:t>
      </w:r>
      <w:r w:rsidR="004D65A5">
        <w:t>‘</w:t>
      </w:r>
      <w:r w:rsidR="00295147">
        <w:t xml:space="preserve">Made </w:t>
      </w:r>
      <w:r w:rsidR="00842D99">
        <w:t>i</w:t>
      </w:r>
      <w:r w:rsidR="00295147">
        <w:t>n</w:t>
      </w:r>
      <w:r w:rsidR="004D65A5">
        <w:t>’</w:t>
      </w:r>
      <w:r w:rsidR="00295147">
        <w:t xml:space="preserve"> </w:t>
      </w:r>
      <w:r w:rsidR="00AF6B6B">
        <w:t>statement</w:t>
      </w:r>
      <w:r w:rsidR="00810EDA">
        <w:t>,</w:t>
      </w:r>
      <w:r w:rsidR="00295147">
        <w:t xml:space="preserve"> but </w:t>
      </w:r>
      <w:r>
        <w:t xml:space="preserve">now </w:t>
      </w:r>
      <w:r>
        <w:lastRenderedPageBreak/>
        <w:t>only qualif</w:t>
      </w:r>
      <w:r w:rsidR="00FD63E5">
        <w:t>ies</w:t>
      </w:r>
      <w:r>
        <w:t xml:space="preserve"> for a </w:t>
      </w:r>
      <w:r w:rsidR="00222B66">
        <w:t>‘</w:t>
      </w:r>
      <w:r>
        <w:t xml:space="preserve">Packed </w:t>
      </w:r>
      <w:r w:rsidR="00842D99">
        <w:t>i</w:t>
      </w:r>
      <w:r>
        <w:t>n</w:t>
      </w:r>
      <w:r w:rsidR="00222B66">
        <w:t>’</w:t>
      </w:r>
      <w:r>
        <w:t xml:space="preserve"> statement</w:t>
      </w:r>
      <w:r w:rsidR="003E3C1A">
        <w:t xml:space="preserve"> under the current CoOL </w:t>
      </w:r>
      <w:r>
        <w:t>reform.</w:t>
      </w:r>
      <w:r w:rsidR="00813E94">
        <w:t xml:space="preserve"> </w:t>
      </w:r>
      <w:r>
        <w:t>They described that</w:t>
      </w:r>
      <w:r w:rsidR="00295147">
        <w:t xml:space="preserve"> the definition of substantial</w:t>
      </w:r>
      <w:r w:rsidR="00AF6B6B">
        <w:t xml:space="preserve"> </w:t>
      </w:r>
      <w:r w:rsidR="00295147">
        <w:t xml:space="preserve">transformation is unclear and does not </w:t>
      </w:r>
      <w:r w:rsidR="00E6599D">
        <w:t xml:space="preserve">consider </w:t>
      </w:r>
      <w:r>
        <w:t xml:space="preserve">the </w:t>
      </w:r>
      <w:r w:rsidR="00295147">
        <w:t xml:space="preserve">further processing </w:t>
      </w:r>
      <w:r w:rsidR="00295147" w:rsidRPr="002A5E24">
        <w:t>of</w:t>
      </w:r>
      <w:r w:rsidR="00295147">
        <w:t xml:space="preserve"> entire food product</w:t>
      </w:r>
      <w:r>
        <w:t>s</w:t>
      </w:r>
      <w:r w:rsidR="00295147">
        <w:t>, but rather focuses on individual ingredients. Th</w:t>
      </w:r>
      <w:r w:rsidR="00817BE6">
        <w:t xml:space="preserve">ey outlined that this further </w:t>
      </w:r>
      <w:r w:rsidR="00295147">
        <w:t xml:space="preserve">brings into question the value </w:t>
      </w:r>
      <w:r w:rsidR="0011437E">
        <w:t>and commercial advantage</w:t>
      </w:r>
      <w:r w:rsidR="00295147">
        <w:t xml:space="preserve"> of retaining manufacturing sites in Australia</w:t>
      </w:r>
      <w:r w:rsidR="00575D8C">
        <w:t>, and state that t</w:t>
      </w:r>
      <w:r w:rsidR="00295147">
        <w:t xml:space="preserve">he current definition of substantial transformation does not recognise the </w:t>
      </w:r>
      <w:r w:rsidR="00853D26">
        <w:t xml:space="preserve">contribution </w:t>
      </w:r>
      <w:r w:rsidR="00106EF5">
        <w:t>of</w:t>
      </w:r>
      <w:r w:rsidR="00295147">
        <w:t xml:space="preserve"> Australian </w:t>
      </w:r>
      <w:r w:rsidR="001749E9">
        <w:t>labour</w:t>
      </w:r>
      <w:r w:rsidR="00295147">
        <w:t xml:space="preserve"> </w:t>
      </w:r>
      <w:r w:rsidR="007E5346">
        <w:t>to a</w:t>
      </w:r>
      <w:r w:rsidR="00295147">
        <w:t xml:space="preserve"> product</w:t>
      </w:r>
      <w:r w:rsidR="007E5346">
        <w:t>.</w:t>
      </w:r>
    </w:p>
    <w:p w14:paraId="7CDC22EC" w14:textId="2BE007DD" w:rsidR="00604B97" w:rsidRDefault="009D209A" w:rsidP="00604B97">
      <w:r>
        <w:t>F</w:t>
      </w:r>
      <w:r w:rsidRPr="007F47F8">
        <w:t>or certain industries (or sectors within industries) and for some large</w:t>
      </w:r>
      <w:r>
        <w:t xml:space="preserve"> </w:t>
      </w:r>
      <w:r w:rsidRPr="007F47F8">
        <w:t xml:space="preserve">businesses, the impact </w:t>
      </w:r>
      <w:r>
        <w:t xml:space="preserve">of the CoOL reforms </w:t>
      </w:r>
      <w:r w:rsidRPr="007F47F8">
        <w:t>was more extensive than may have been anticipated.</w:t>
      </w:r>
      <w:r>
        <w:t xml:space="preserve"> </w:t>
      </w:r>
      <w:r w:rsidR="00817289">
        <w:t xml:space="preserve">Consultations </w:t>
      </w:r>
      <w:r w:rsidR="00AC4AAC">
        <w:t>with i</w:t>
      </w:r>
      <w:r w:rsidR="0032526C">
        <w:t>ndustry a</w:t>
      </w:r>
      <w:r w:rsidR="00AC4AAC">
        <w:t xml:space="preserve">nd government </w:t>
      </w:r>
      <w:r w:rsidR="00E75FEA">
        <w:t xml:space="preserve">indicated that </w:t>
      </w:r>
      <w:r w:rsidR="00F10068" w:rsidRPr="00E53797">
        <w:t>some businesses had significantly more difficulty in complying with</w:t>
      </w:r>
      <w:r w:rsidR="00E75FEA">
        <w:t xml:space="preserve"> </w:t>
      </w:r>
      <w:r w:rsidR="00F10068" w:rsidRPr="00E53797">
        <w:t xml:space="preserve">CoOL than others. In those industries that experienced more difficulty, this burden </w:t>
      </w:r>
      <w:r w:rsidR="00813E94">
        <w:t xml:space="preserve">was </w:t>
      </w:r>
      <w:r w:rsidR="00F10068" w:rsidRPr="00E53797">
        <w:t>over</w:t>
      </w:r>
      <w:r w:rsidR="00B87BA7">
        <w:t xml:space="preserve"> </w:t>
      </w:r>
      <w:r w:rsidR="00F10068" w:rsidRPr="00E53797">
        <w:t xml:space="preserve">and above what was anticipated </w:t>
      </w:r>
      <w:r w:rsidR="00813E94">
        <w:t xml:space="preserve">and </w:t>
      </w:r>
      <w:r w:rsidR="00F10068" w:rsidRPr="00E53797">
        <w:t xml:space="preserve">could be considered as unintended. </w:t>
      </w:r>
    </w:p>
    <w:p w14:paraId="4DB5F164" w14:textId="77777777" w:rsidR="00BF45D0" w:rsidRDefault="00F10068" w:rsidP="00F80E7C">
      <w:r w:rsidRPr="00E53797">
        <w:t>The meat industry is</w:t>
      </w:r>
      <w:r w:rsidR="00B87BA7">
        <w:t xml:space="preserve"> </w:t>
      </w:r>
      <w:r w:rsidRPr="00E53797">
        <w:t>an example of such an industry, particularly in relation to pork and processed meat using</w:t>
      </w:r>
      <w:r w:rsidR="00B87BA7">
        <w:t xml:space="preserve"> </w:t>
      </w:r>
      <w:r w:rsidRPr="00E53797">
        <w:t>pork</w:t>
      </w:r>
      <w:r w:rsidR="000F1A18">
        <w:t>. T</w:t>
      </w:r>
      <w:r w:rsidRPr="00E53797">
        <w:t>his is because pork is the only widely consumed meat that is imported in significant</w:t>
      </w:r>
      <w:r w:rsidR="00B87BA7">
        <w:t xml:space="preserve"> </w:t>
      </w:r>
      <w:r w:rsidRPr="00E53797">
        <w:t xml:space="preserve">volumes and traditionally </w:t>
      </w:r>
      <w:r w:rsidR="007B0D4E" w:rsidRPr="004A7E5D">
        <w:t xml:space="preserve">there has </w:t>
      </w:r>
      <w:r w:rsidRPr="00E53797">
        <w:t>been variation in the proportion of imported pork in a</w:t>
      </w:r>
      <w:r w:rsidR="00B87BA7">
        <w:t xml:space="preserve"> </w:t>
      </w:r>
      <w:r w:rsidRPr="00E53797">
        <w:t>range of meat products based on availability of local product at any given time.</w:t>
      </w:r>
    </w:p>
    <w:p w14:paraId="57FA5B86" w14:textId="29A2E404" w:rsidR="00B87BA7" w:rsidRDefault="00BF45D0" w:rsidP="00F80E7C">
      <w:r w:rsidRPr="007F47F8">
        <w:t>There was responsiveness in the implementation of the scheme to provide</w:t>
      </w:r>
      <w:r>
        <w:t xml:space="preserve"> </w:t>
      </w:r>
      <w:r w:rsidRPr="007F47F8">
        <w:t>these sectors with additional support</w:t>
      </w:r>
      <w:r w:rsidR="00810EDA">
        <w:t>,</w:t>
      </w:r>
      <w:r w:rsidRPr="007F47F8">
        <w:t xml:space="preserve"> such as through further engagement and</w:t>
      </w:r>
      <w:r>
        <w:t xml:space="preserve"> </w:t>
      </w:r>
      <w:r w:rsidRPr="007F47F8">
        <w:t>provision of information. In other instances</w:t>
      </w:r>
      <w:r w:rsidR="007B0D4E">
        <w:t>,</w:t>
      </w:r>
      <w:r w:rsidRPr="007F47F8">
        <w:t xml:space="preserve"> larger businesses predominantly</w:t>
      </w:r>
      <w:r>
        <w:t xml:space="preserve"> </w:t>
      </w:r>
      <w:r w:rsidRPr="007F47F8">
        <w:t>undertook their own processes and obtained their own advice to support</w:t>
      </w:r>
      <w:r>
        <w:t xml:space="preserve"> </w:t>
      </w:r>
      <w:r w:rsidRPr="007F47F8">
        <w:t>implementation.</w:t>
      </w:r>
    </w:p>
    <w:p w14:paraId="3A96077C" w14:textId="77777777" w:rsidR="00A37757" w:rsidRDefault="006F62D5" w:rsidP="00E53797">
      <w:pPr>
        <w:pStyle w:val="Heading3"/>
      </w:pPr>
      <w:bookmarkStart w:id="503" w:name="_Toc67499135"/>
      <w:r>
        <w:t>Greater outreach was sought</w:t>
      </w:r>
      <w:r w:rsidR="00185834">
        <w:t xml:space="preserve"> </w:t>
      </w:r>
      <w:r>
        <w:t>by industry in managing supply chain variations</w:t>
      </w:r>
      <w:bookmarkEnd w:id="503"/>
    </w:p>
    <w:p w14:paraId="28A9F7CA" w14:textId="346A0809" w:rsidR="00F10068" w:rsidRPr="007F47F8" w:rsidRDefault="00F10068" w:rsidP="00F10068">
      <w:pPr>
        <w:autoSpaceDE w:val="0"/>
        <w:autoSpaceDN w:val="0"/>
        <w:adjustRightInd w:val="0"/>
        <w:spacing w:after="0" w:line="240" w:lineRule="auto"/>
      </w:pPr>
      <w:r w:rsidRPr="007F47F8">
        <w:t xml:space="preserve">An industry stakeholder informed </w:t>
      </w:r>
      <w:r w:rsidR="002B1DEE">
        <w:t xml:space="preserve">the evaluation </w:t>
      </w:r>
      <w:r w:rsidRPr="007F47F8">
        <w:t xml:space="preserve">that the ACCC developed a </w:t>
      </w:r>
      <w:r w:rsidR="00A66D0D">
        <w:t>“</w:t>
      </w:r>
      <w:r w:rsidRPr="007F47F8">
        <w:t>flexibility pro forma</w:t>
      </w:r>
      <w:r w:rsidR="00A66D0D">
        <w:t>”</w:t>
      </w:r>
    </w:p>
    <w:p w14:paraId="1B93CEC3" w14:textId="72D68B57" w:rsidR="00F10068" w:rsidRDefault="00F10068" w:rsidP="008F6750">
      <w:pPr>
        <w:autoSpaceDE w:val="0"/>
        <w:autoSpaceDN w:val="0"/>
        <w:adjustRightInd w:val="0"/>
        <w:spacing w:line="240" w:lineRule="auto"/>
      </w:pPr>
      <w:r w:rsidRPr="007F47F8">
        <w:t>to respond to industry’s request for greater flexibility</w:t>
      </w:r>
      <w:r w:rsidR="00A66D0D">
        <w:t xml:space="preserve"> due to COVID-19</w:t>
      </w:r>
      <w:r w:rsidRPr="007F47F8">
        <w:t xml:space="preserve">, and the ongoing compliance costs related to the scheme. </w:t>
      </w:r>
      <w:r w:rsidR="002B1DEE">
        <w:t>It is understood that</w:t>
      </w:r>
      <w:r w:rsidR="00CE56FE" w:rsidRPr="00CE56FE">
        <w:t xml:space="preserve"> this guidance is available on the ACCC website, where the ACCC </w:t>
      </w:r>
      <w:r w:rsidR="00DD2222">
        <w:t>provides insights of its</w:t>
      </w:r>
      <w:r w:rsidR="00CE56FE" w:rsidRPr="00CE56FE">
        <w:t xml:space="preserve"> expectations of business (and approach to enforcement) when there is a change in the supply chain.</w:t>
      </w:r>
      <w:r w:rsidR="00CE56FE">
        <w:rPr>
          <w:rStyle w:val="FootnoteReference"/>
        </w:rPr>
        <w:footnoteReference w:id="100"/>
      </w:r>
      <w:r w:rsidR="00CE56FE" w:rsidRPr="00CE56FE">
        <w:t xml:space="preserve"> </w:t>
      </w:r>
      <w:r w:rsidRPr="007F47F8">
        <w:t>However,</w:t>
      </w:r>
      <w:r w:rsidR="00A66D0D">
        <w:t xml:space="preserve"> </w:t>
      </w:r>
      <w:r w:rsidR="00DD2222">
        <w:t xml:space="preserve">it has been suggested that </w:t>
      </w:r>
      <w:r w:rsidRPr="007F47F8">
        <w:t xml:space="preserve">there was </w:t>
      </w:r>
      <w:r w:rsidR="00E6560A">
        <w:t xml:space="preserve">insufficient </w:t>
      </w:r>
      <w:r w:rsidRPr="007F47F8">
        <w:t>outreach to industry to inform them of</w:t>
      </w:r>
      <w:r w:rsidR="00A66D0D">
        <w:t xml:space="preserve"> </w:t>
      </w:r>
      <w:r w:rsidRPr="007F47F8">
        <w:t>the enhanced flexibility.</w:t>
      </w:r>
    </w:p>
    <w:p w14:paraId="2A78AF5C" w14:textId="77777777" w:rsidR="00FD4E1E" w:rsidRPr="009C7E0E" w:rsidRDefault="00B4695B" w:rsidP="00E53797">
      <w:pPr>
        <w:pStyle w:val="Heading3"/>
      </w:pPr>
      <w:bookmarkStart w:id="504" w:name="_Toc65088476"/>
      <w:bookmarkStart w:id="505" w:name="_Toc67499136"/>
      <w:bookmarkEnd w:id="504"/>
      <w:r w:rsidRPr="00B4695B">
        <w:t>Unintended positive consequences for industry</w:t>
      </w:r>
      <w:bookmarkEnd w:id="505"/>
    </w:p>
    <w:p w14:paraId="72EC17B0" w14:textId="77777777" w:rsidR="006603BC" w:rsidRDefault="003A634B" w:rsidP="0082587D">
      <w:r>
        <w:t xml:space="preserve">A number of </w:t>
      </w:r>
      <w:r w:rsidR="00512AAD">
        <w:t>industry stakeholders reported positive (unintended) consequences from the CoOL reforms.</w:t>
      </w:r>
      <w:r>
        <w:t xml:space="preserve"> </w:t>
      </w:r>
      <w:r w:rsidR="00512AAD">
        <w:t>A</w:t>
      </w:r>
      <w:r w:rsidR="0099447D">
        <w:t>n</w:t>
      </w:r>
      <w:r w:rsidR="00D20255" w:rsidRPr="00E53797">
        <w:t xml:space="preserve"> Australian food manufacturer</w:t>
      </w:r>
      <w:r w:rsidR="0099447D">
        <w:t xml:space="preserve"> </w:t>
      </w:r>
      <w:r>
        <w:t xml:space="preserve">stated </w:t>
      </w:r>
      <w:r w:rsidR="0099447D">
        <w:t xml:space="preserve">in their submission </w:t>
      </w:r>
      <w:r>
        <w:t>that</w:t>
      </w:r>
      <w:r w:rsidR="00D20255" w:rsidRPr="00E53797">
        <w:t xml:space="preserve"> the CoOL reform</w:t>
      </w:r>
      <w:r>
        <w:t>s</w:t>
      </w:r>
      <w:r w:rsidR="00D20255" w:rsidRPr="00E53797">
        <w:t xml:space="preserve"> allowed businesses greater visibility and</w:t>
      </w:r>
      <w:r w:rsidR="005C7F63" w:rsidRPr="00E53797">
        <w:t xml:space="preserve"> </w:t>
      </w:r>
      <w:r w:rsidR="00D20255" w:rsidRPr="00E53797">
        <w:t>insight into their supply chain process.</w:t>
      </w:r>
      <w:r w:rsidR="00B3180F" w:rsidRPr="00B3180F">
        <w:t xml:space="preserve"> </w:t>
      </w:r>
      <w:r w:rsidR="00B3180F">
        <w:t xml:space="preserve">This has provided business owners with the ability to </w:t>
      </w:r>
      <w:r w:rsidR="00FA696C">
        <w:t>have greater insight into</w:t>
      </w:r>
      <w:r w:rsidR="00B3180F">
        <w:t xml:space="preserve"> country of origin information that is provided by suppliers of ingredients imported from outside of Australia. </w:t>
      </w:r>
    </w:p>
    <w:p w14:paraId="6655AEC6" w14:textId="6AE7FACF" w:rsidR="009407DC" w:rsidRDefault="00EC7780" w:rsidP="0082587D">
      <w:r>
        <w:t xml:space="preserve">Although not an objective of the </w:t>
      </w:r>
      <w:r w:rsidR="00E670FE">
        <w:t>scheme</w:t>
      </w:r>
      <w:r>
        <w:t>, s</w:t>
      </w:r>
      <w:r w:rsidR="00292A08">
        <w:t>ome</w:t>
      </w:r>
      <w:r w:rsidR="00E2261C">
        <w:t xml:space="preserve"> </w:t>
      </w:r>
      <w:r w:rsidR="000E3368">
        <w:t>businesses may have experienced inc</w:t>
      </w:r>
      <w:r w:rsidR="007F5136">
        <w:t xml:space="preserve">reased sales for Australian </w:t>
      </w:r>
      <w:r w:rsidR="00FF70C4">
        <w:t xml:space="preserve">products. </w:t>
      </w:r>
      <w:r w:rsidR="003539F7">
        <w:t>The</w:t>
      </w:r>
      <w:r w:rsidR="00950176">
        <w:t xml:space="preserve"> business survey indicate</w:t>
      </w:r>
      <w:r w:rsidR="003539F7">
        <w:t>d</w:t>
      </w:r>
      <w:r w:rsidR="00852363">
        <w:t xml:space="preserve"> that </w:t>
      </w:r>
      <w:r w:rsidR="00D0428B">
        <w:t>22</w:t>
      </w:r>
      <w:r w:rsidR="007B2C81">
        <w:t>%</w:t>
      </w:r>
      <w:r w:rsidR="009B5A35">
        <w:t xml:space="preserve"> </w:t>
      </w:r>
      <w:r w:rsidR="00D0428B">
        <w:t xml:space="preserve">of </w:t>
      </w:r>
      <w:r w:rsidR="00852363">
        <w:t xml:space="preserve">businesses reported </w:t>
      </w:r>
      <w:r w:rsidR="00D0428B">
        <w:t xml:space="preserve">a </w:t>
      </w:r>
      <w:r w:rsidR="004970BD">
        <w:t>benefit</w:t>
      </w:r>
      <w:r w:rsidR="00852363">
        <w:t xml:space="preserve"> from the CoOL framework. </w:t>
      </w:r>
      <w:r w:rsidR="004970BD">
        <w:t xml:space="preserve">Of these </w:t>
      </w:r>
      <w:r w:rsidR="001B703F">
        <w:t>businesses, 52</w:t>
      </w:r>
      <w:r w:rsidR="007B2C81">
        <w:t>%</w:t>
      </w:r>
      <w:r w:rsidR="001B703F">
        <w:t xml:space="preserve"> </w:t>
      </w:r>
      <w:r w:rsidR="00B862FC">
        <w:t>reported an</w:t>
      </w:r>
      <w:r w:rsidR="00D42717">
        <w:t xml:space="preserve"> increase in sales</w:t>
      </w:r>
      <w:r w:rsidR="002E46E1">
        <w:t>,</w:t>
      </w:r>
      <w:r w:rsidR="00D42717">
        <w:t xml:space="preserve"> which was an </w:t>
      </w:r>
      <w:r w:rsidR="00B862FC">
        <w:t>unintended benefit of the scheme.</w:t>
      </w:r>
      <w:r w:rsidR="009407DC">
        <w:t xml:space="preserve"> </w:t>
      </w:r>
    </w:p>
    <w:p w14:paraId="7B1725A0" w14:textId="77777777" w:rsidR="006809B8" w:rsidRPr="006809B8" w:rsidRDefault="00F10068" w:rsidP="006809B8">
      <w:pPr>
        <w:pStyle w:val="Heading3"/>
      </w:pPr>
      <w:bookmarkStart w:id="506" w:name="_Toc65088483"/>
      <w:bookmarkStart w:id="507" w:name="_Toc65088484"/>
      <w:bookmarkStart w:id="508" w:name="_Toc67499137"/>
      <w:bookmarkEnd w:id="506"/>
      <w:bookmarkEnd w:id="507"/>
      <w:r w:rsidRPr="003C74DF">
        <w:t>Key findings</w:t>
      </w:r>
      <w:r w:rsidR="00C11915">
        <w:t xml:space="preserve">: </w:t>
      </w:r>
      <w:r w:rsidR="00641E31">
        <w:t>Actions taken to address the impact of CoOL reforms</w:t>
      </w:r>
      <w:bookmarkEnd w:id="508"/>
    </w:p>
    <w:tbl>
      <w:tblPr>
        <w:tblStyle w:val="Deloittetable"/>
        <w:tblW w:w="0" w:type="auto"/>
        <w:tblLook w:val="04A0" w:firstRow="1" w:lastRow="0" w:firstColumn="1" w:lastColumn="0" w:noHBand="0" w:noVBand="1"/>
        <w:tblDescription w:val="This table outlines four key findings related to actions taken to address the impact of CoOL reforms. These are that 1) The impact of CoOL was broadly as expected. &#10;2) For certain industries (or sectors within industries) and for some large businesses – such as those with a high number of SKUs– the cost and complexity of CoOL implementation was greater than anticipated. &#10;3) In order to ensure compliance with the scheme, and as ingredients are subject to variation, businesses may provide a conservative estimate of the proportion of Australian ingredients. This may result in the amount of Australian sourced ingredients being underestimated. &#10;4) Implementation of the scheme was supported through a business advice line and other time limited supports. "/>
      </w:tblPr>
      <w:tblGrid>
        <w:gridCol w:w="1134"/>
        <w:gridCol w:w="7892"/>
      </w:tblGrid>
      <w:tr w:rsidR="00F224D7" w14:paraId="2D2FA619" w14:textId="77777777" w:rsidTr="006E1BCA">
        <w:trPr>
          <w:cnfStyle w:val="100000000000" w:firstRow="1" w:lastRow="0" w:firstColumn="0" w:lastColumn="0" w:oddVBand="0" w:evenVBand="0" w:oddHBand="0" w:evenHBand="0" w:firstRowFirstColumn="0" w:firstRowLastColumn="0" w:lastRowFirstColumn="0" w:lastRowLastColumn="0"/>
          <w:trHeight w:val="1078"/>
          <w:tblHeader/>
        </w:trPr>
        <w:tc>
          <w:tcPr>
            <w:tcW w:w="1134" w:type="dxa"/>
            <w:tcBorders>
              <w:top w:val="single" w:sz="24" w:space="0" w:color="012169" w:themeColor="accent4"/>
            </w:tcBorders>
          </w:tcPr>
          <w:p w14:paraId="420B71FF" w14:textId="77777777" w:rsidR="00F224D7" w:rsidRPr="00AB2F4F" w:rsidRDefault="00F224D7" w:rsidP="00C546E2">
            <w:pPr>
              <w:rPr>
                <w:b/>
                <w:bCs/>
              </w:rPr>
            </w:pPr>
            <w:r>
              <w:rPr>
                <w:b/>
                <w:bCs/>
              </w:rPr>
              <w:t>Ref</w:t>
            </w:r>
          </w:p>
        </w:tc>
        <w:tc>
          <w:tcPr>
            <w:tcW w:w="7892" w:type="dxa"/>
            <w:tcBorders>
              <w:top w:val="single" w:sz="24" w:space="0" w:color="012169" w:themeColor="accent4"/>
            </w:tcBorders>
          </w:tcPr>
          <w:p w14:paraId="4C211BAD" w14:textId="03999BD1" w:rsidR="00F224D7" w:rsidRPr="00AB2F4F" w:rsidRDefault="0072196E" w:rsidP="00C546E2">
            <w:pPr>
              <w:rPr>
                <w:b/>
                <w:bCs/>
              </w:rPr>
            </w:pPr>
            <w:r w:rsidRPr="0072196E">
              <w:rPr>
                <w:b/>
              </w:rPr>
              <w:t>Did the CoOL reforms have any unintended consequences on businesses for particular products, including non-food products? What action, if any, was taken to address the impacts of the CoOL reforms on those businesses that were negatively affected?</w:t>
            </w:r>
          </w:p>
        </w:tc>
      </w:tr>
      <w:tr w:rsidR="004F6D8B" w14:paraId="57654471" w14:textId="77777777" w:rsidTr="00C546E2">
        <w:tc>
          <w:tcPr>
            <w:tcW w:w="1134" w:type="dxa"/>
          </w:tcPr>
          <w:p w14:paraId="1803D64A" w14:textId="52028A14" w:rsidR="004F6D8B" w:rsidRDefault="00D0625C" w:rsidP="004F6D8B">
            <w:r>
              <w:t>50</w:t>
            </w:r>
          </w:p>
        </w:tc>
        <w:tc>
          <w:tcPr>
            <w:tcW w:w="7892" w:type="dxa"/>
          </w:tcPr>
          <w:p w14:paraId="66409A1D" w14:textId="77777777" w:rsidR="004F6D8B" w:rsidRDefault="004F6D8B" w:rsidP="004F6D8B">
            <w:pPr>
              <w:pStyle w:val="ListBullet"/>
              <w:numPr>
                <w:ilvl w:val="0"/>
                <w:numId w:val="0"/>
              </w:numPr>
            </w:pPr>
            <w:r>
              <w:rPr>
                <w:rFonts w:asciiTheme="majorHAnsi" w:hAnsiTheme="majorHAnsi"/>
              </w:rPr>
              <w:t xml:space="preserve">The impact of CoOL was broadly as expected. </w:t>
            </w:r>
          </w:p>
        </w:tc>
      </w:tr>
      <w:tr w:rsidR="004F6D8B" w14:paraId="0E480843" w14:textId="77777777" w:rsidTr="00C546E2">
        <w:tc>
          <w:tcPr>
            <w:tcW w:w="1134" w:type="dxa"/>
          </w:tcPr>
          <w:p w14:paraId="62FF9132" w14:textId="4677FC3A" w:rsidR="004F6D8B" w:rsidRDefault="00D0625C" w:rsidP="004F6D8B">
            <w:r>
              <w:t>51</w:t>
            </w:r>
          </w:p>
        </w:tc>
        <w:tc>
          <w:tcPr>
            <w:tcW w:w="7892" w:type="dxa"/>
          </w:tcPr>
          <w:p w14:paraId="01720575" w14:textId="4A9CCB47" w:rsidR="004F6D8B" w:rsidRDefault="004F6D8B" w:rsidP="004F6D8B">
            <w:pPr>
              <w:pStyle w:val="ListBullet"/>
              <w:numPr>
                <w:ilvl w:val="0"/>
                <w:numId w:val="0"/>
              </w:numPr>
              <w:spacing w:after="170"/>
            </w:pPr>
            <w:r>
              <w:t xml:space="preserve">For certain industries (or sectors within industries) and for some large businesses – such as those with a high number of SKUs– the cost and complexity of CoOL implementation was greater than anticipated. </w:t>
            </w:r>
          </w:p>
        </w:tc>
      </w:tr>
      <w:tr w:rsidR="004F6D8B" w14:paraId="108C13EB" w14:textId="77777777" w:rsidTr="00C546E2">
        <w:tc>
          <w:tcPr>
            <w:tcW w:w="1134" w:type="dxa"/>
          </w:tcPr>
          <w:p w14:paraId="7C71B300" w14:textId="7C2F2C98" w:rsidR="004F6D8B" w:rsidRDefault="00D0625C" w:rsidP="004F6D8B">
            <w:r>
              <w:lastRenderedPageBreak/>
              <w:t>52</w:t>
            </w:r>
          </w:p>
        </w:tc>
        <w:tc>
          <w:tcPr>
            <w:tcW w:w="7892" w:type="dxa"/>
          </w:tcPr>
          <w:p w14:paraId="30ED0957" w14:textId="77777777" w:rsidR="004F6D8B" w:rsidRDefault="004F6D8B" w:rsidP="004F6D8B">
            <w:pPr>
              <w:pStyle w:val="ListBullet"/>
              <w:numPr>
                <w:ilvl w:val="0"/>
                <w:numId w:val="0"/>
              </w:numPr>
              <w:spacing w:after="170"/>
            </w:pPr>
            <w:r>
              <w:t xml:space="preserve">In order to ensure compliance with the </w:t>
            </w:r>
            <w:r w:rsidR="00E670FE">
              <w:t>scheme</w:t>
            </w:r>
            <w:r>
              <w:t xml:space="preserve">, and as ingredients are subject to variation, businesses may provide a conservative estimate of the proportion of Australian ingredients. This may result in the amount of Australian sourced ingredients being underestimated. </w:t>
            </w:r>
          </w:p>
        </w:tc>
      </w:tr>
      <w:tr w:rsidR="004F6D8B" w14:paraId="4ECB3E45" w14:textId="77777777" w:rsidTr="00C546E2">
        <w:tc>
          <w:tcPr>
            <w:tcW w:w="1134" w:type="dxa"/>
          </w:tcPr>
          <w:p w14:paraId="68E4D285" w14:textId="38CEC033" w:rsidR="004F6D8B" w:rsidRDefault="00D0625C" w:rsidP="004F6D8B">
            <w:r>
              <w:t>53</w:t>
            </w:r>
          </w:p>
        </w:tc>
        <w:tc>
          <w:tcPr>
            <w:tcW w:w="7892" w:type="dxa"/>
          </w:tcPr>
          <w:p w14:paraId="2D6D2257" w14:textId="77777777" w:rsidR="004F6D8B" w:rsidRDefault="004F6D8B" w:rsidP="004F6D8B">
            <w:pPr>
              <w:pStyle w:val="ListBullet"/>
              <w:numPr>
                <w:ilvl w:val="0"/>
                <w:numId w:val="0"/>
              </w:numPr>
              <w:spacing w:after="170"/>
            </w:pPr>
            <w:r>
              <w:rPr>
                <w:rFonts w:asciiTheme="majorHAnsi" w:hAnsiTheme="majorHAnsi"/>
              </w:rPr>
              <w:t xml:space="preserve">Implementation of the </w:t>
            </w:r>
            <w:r w:rsidR="00E670FE">
              <w:rPr>
                <w:rFonts w:asciiTheme="majorHAnsi" w:hAnsiTheme="majorHAnsi"/>
              </w:rPr>
              <w:t>scheme</w:t>
            </w:r>
            <w:r>
              <w:rPr>
                <w:rFonts w:asciiTheme="majorHAnsi" w:hAnsiTheme="majorHAnsi"/>
              </w:rPr>
              <w:t xml:space="preserve"> was supported through a business advice line and other time limited supports. </w:t>
            </w:r>
          </w:p>
        </w:tc>
      </w:tr>
    </w:tbl>
    <w:p w14:paraId="6620AEA9" w14:textId="5557C817" w:rsidR="00306CCE" w:rsidRDefault="00832FC8">
      <w:pPr>
        <w:pStyle w:val="Heading1"/>
      </w:pPr>
      <w:bookmarkStart w:id="509" w:name="_Toc67499138"/>
      <w:bookmarkStart w:id="510" w:name="_Toc94702069"/>
      <w:r w:rsidRPr="00832FC8">
        <w:lastRenderedPageBreak/>
        <w:t>Impact on business</w:t>
      </w:r>
      <w:bookmarkEnd w:id="509"/>
      <w:bookmarkEnd w:id="510"/>
    </w:p>
    <w:p w14:paraId="62A861AC" w14:textId="77777777" w:rsidR="00FC2637" w:rsidRDefault="00FC2637"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rPr>
          <w:b/>
          <w:bCs/>
        </w:rPr>
      </w:pPr>
      <w:r>
        <w:rPr>
          <w:b/>
          <w:bCs/>
        </w:rPr>
        <w:t>Summary of findings</w:t>
      </w:r>
    </w:p>
    <w:p w14:paraId="70B7EFD4" w14:textId="77777777" w:rsidR="00FC2637" w:rsidRDefault="00FC2637"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In general, communication activities and online resources have been effective at supporting businesses to understand, implement and manage the CoOL reforms. However, some industry stakeholders would like more detailed examples on the definition of ‘substantial transformation’</w:t>
      </w:r>
      <w:r w:rsidRPr="00612903">
        <w:t xml:space="preserve"> </w:t>
      </w:r>
      <w:r>
        <w:t>to be provided. More recently, there has been increased demand from businesses and consumers for continued communication activities.</w:t>
      </w:r>
    </w:p>
    <w:p w14:paraId="5B788AE1" w14:textId="77777777" w:rsidR="00FC2637" w:rsidRPr="00537906" w:rsidRDefault="00FC2637"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For most businesses, the two-year transition period was sufficient to implement the reforms in an efficient manner. For others, such as large businesses with high volumes of SKU, it was insufficient and resulted in significant package write-off and disposal costs. Some of these large businesses suggested a four-year transition period in the future to mitigate these costs and help businesses transition better.</w:t>
      </w:r>
    </w:p>
    <w:p w14:paraId="3A74C51C" w14:textId="77777777" w:rsidR="00FC2637" w:rsidRPr="003E0BE4" w:rsidRDefault="00FC2637"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rsidRPr="003E0BE4">
        <w:t>Realised</w:t>
      </w:r>
      <w:r>
        <w:t xml:space="preserve"> costs to businesses varied significantly depending on the type and nature of the business. For most businesses, the ongoing cost of CoOL is very low, and the major cost primarily coincided with the introduction of the scheme. However, some businesses have had cost impacts from recent supply-chain disruptions. Businesses have suggested that the scheme could be improved through increased flexibility to accommodate for unexpected shocks to supply chain.</w:t>
      </w:r>
    </w:p>
    <w:p w14:paraId="2CBAA82D" w14:textId="77777777" w:rsidR="00FC2637" w:rsidRDefault="00FC2637"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pPr>
      <w:r>
        <w:t xml:space="preserve">While most food and beverage producers did not report receiving a benefit from the increased provision in information to consumers, around one fifth of businesses did. </w:t>
      </w:r>
    </w:p>
    <w:p w14:paraId="23A3EC2E" w14:textId="7F580D20" w:rsidR="00FC2637" w:rsidRPr="00FC2637" w:rsidRDefault="00FC2637" w:rsidP="006E1BCA">
      <w:pPr>
        <w:pBdr>
          <w:top w:val="single" w:sz="12" w:space="1" w:color="012169" w:themeColor="accent4"/>
          <w:left w:val="single" w:sz="12" w:space="4" w:color="012169" w:themeColor="accent4"/>
          <w:bottom w:val="single" w:sz="12" w:space="1" w:color="012169" w:themeColor="accent4"/>
          <w:right w:val="single" w:sz="12" w:space="4" w:color="012169" w:themeColor="accent4"/>
        </w:pBdr>
        <w:rPr>
          <w:b/>
          <w:bCs/>
        </w:rPr>
      </w:pPr>
      <w:r>
        <w:t>A range of potential improvements to the scheme relating to definitions, scope and the interaction with digital technology</w:t>
      </w:r>
      <w:r w:rsidRPr="00F64006">
        <w:t xml:space="preserve"> </w:t>
      </w:r>
      <w:r>
        <w:t xml:space="preserve">have been suggested, although there is less unanimity about </w:t>
      </w:r>
      <w:r w:rsidRPr="008D3152">
        <w:t xml:space="preserve">these. </w:t>
      </w:r>
      <w:r w:rsidRPr="00640F78">
        <w:t>The detailed findings related to this pillar can be found at the end of each section.</w:t>
      </w:r>
    </w:p>
    <w:p w14:paraId="675C4951" w14:textId="77777777" w:rsidR="009B0C14" w:rsidRDefault="00686D7A" w:rsidP="009B0C14">
      <w:pPr>
        <w:pStyle w:val="Heading2"/>
      </w:pPr>
      <w:bookmarkStart w:id="511" w:name="_Toc65074716"/>
      <w:bookmarkStart w:id="512" w:name="_Toc65088495"/>
      <w:bookmarkStart w:id="513" w:name="_Ref71203488"/>
      <w:bookmarkStart w:id="514" w:name="_Toc67499139"/>
      <w:bookmarkStart w:id="515" w:name="_Toc94702070"/>
      <w:bookmarkEnd w:id="511"/>
      <w:bookmarkEnd w:id="512"/>
      <w:r>
        <w:t>Effectiveness of</w:t>
      </w:r>
      <w:r w:rsidR="009B0C14" w:rsidRPr="009B0C14">
        <w:t xml:space="preserve"> communication activities and online resources</w:t>
      </w:r>
      <w:bookmarkEnd w:id="513"/>
      <w:bookmarkEnd w:id="515"/>
      <w:r w:rsidR="009B0C14" w:rsidRPr="009B0C14">
        <w:t xml:space="preserve"> </w:t>
      </w:r>
      <w:bookmarkEnd w:id="514"/>
    </w:p>
    <w:p w14:paraId="5A7589FB" w14:textId="035E659E" w:rsidR="00EF3C93" w:rsidRDefault="00FD066B" w:rsidP="0030033B">
      <w:pPr>
        <w:rPr>
          <w:rFonts w:eastAsia="Verdana" w:cs="Verdana"/>
        </w:rPr>
      </w:pPr>
      <w:r>
        <w:rPr>
          <w:rFonts w:eastAsia="Verdana" w:cs="Verdana"/>
        </w:rPr>
        <w:t>In 2015, t</w:t>
      </w:r>
      <w:r w:rsidR="00E6534E">
        <w:rPr>
          <w:rFonts w:eastAsia="Verdana" w:cs="Verdana"/>
        </w:rPr>
        <w:t>he</w:t>
      </w:r>
      <w:r w:rsidR="008E5A49">
        <w:rPr>
          <w:rFonts w:eastAsia="Verdana" w:cs="Verdana"/>
        </w:rPr>
        <w:t xml:space="preserve"> </w:t>
      </w:r>
      <w:r w:rsidR="005A60F4">
        <w:rPr>
          <w:rFonts w:eastAsia="Verdana" w:cs="Verdana"/>
        </w:rPr>
        <w:t xml:space="preserve">Australian </w:t>
      </w:r>
      <w:r w:rsidR="00FA696C">
        <w:rPr>
          <w:rFonts w:eastAsia="Verdana" w:cs="Verdana"/>
        </w:rPr>
        <w:t>G</w:t>
      </w:r>
      <w:r w:rsidR="008E5A49">
        <w:rPr>
          <w:rFonts w:eastAsia="Verdana" w:cs="Verdana"/>
        </w:rPr>
        <w:t>overnment approved a $15.2 million budget</w:t>
      </w:r>
      <w:r w:rsidR="00F44A03">
        <w:rPr>
          <w:rFonts w:eastAsia="Verdana" w:cs="Verdana"/>
        </w:rPr>
        <w:t>,</w:t>
      </w:r>
      <w:r w:rsidR="008E5A49">
        <w:rPr>
          <w:rFonts w:eastAsia="Verdana" w:cs="Verdana"/>
        </w:rPr>
        <w:t xml:space="preserve"> </w:t>
      </w:r>
      <w:r w:rsidR="00E6534E">
        <w:rPr>
          <w:rFonts w:eastAsia="Verdana" w:cs="Verdana"/>
        </w:rPr>
        <w:t xml:space="preserve">excluding </w:t>
      </w:r>
      <w:r w:rsidR="000266E5">
        <w:rPr>
          <w:rFonts w:eastAsia="Verdana" w:cs="Verdana"/>
        </w:rPr>
        <w:t>good</w:t>
      </w:r>
      <w:r w:rsidR="00F44709">
        <w:rPr>
          <w:rFonts w:eastAsia="Verdana" w:cs="Verdana"/>
        </w:rPr>
        <w:t>s</w:t>
      </w:r>
      <w:r w:rsidR="000266E5">
        <w:rPr>
          <w:rFonts w:eastAsia="Verdana" w:cs="Verdana"/>
        </w:rPr>
        <w:t xml:space="preserve"> and service</w:t>
      </w:r>
      <w:r w:rsidR="00F44709">
        <w:rPr>
          <w:rFonts w:eastAsia="Verdana" w:cs="Verdana"/>
        </w:rPr>
        <w:t>s</w:t>
      </w:r>
      <w:r w:rsidR="000266E5">
        <w:rPr>
          <w:rFonts w:eastAsia="Verdana" w:cs="Verdana"/>
        </w:rPr>
        <w:t xml:space="preserve"> tax (</w:t>
      </w:r>
      <w:r w:rsidR="00E6534E">
        <w:rPr>
          <w:rFonts w:eastAsia="Verdana" w:cs="Verdana"/>
        </w:rPr>
        <w:t>GST</w:t>
      </w:r>
      <w:r w:rsidR="000266E5">
        <w:rPr>
          <w:rFonts w:eastAsia="Verdana" w:cs="Verdana"/>
        </w:rPr>
        <w:t xml:space="preserve">) </w:t>
      </w:r>
      <w:r w:rsidR="008E5A49">
        <w:rPr>
          <w:rFonts w:eastAsia="Verdana" w:cs="Verdana"/>
        </w:rPr>
        <w:t>for an advertising campaign</w:t>
      </w:r>
      <w:r w:rsidR="001E0C55">
        <w:rPr>
          <w:rFonts w:eastAsia="Verdana" w:cs="Verdana"/>
        </w:rPr>
        <w:t xml:space="preserve"> for consumers</w:t>
      </w:r>
      <w:r w:rsidR="00F44A03">
        <w:rPr>
          <w:rFonts w:eastAsia="Verdana" w:cs="Verdana"/>
        </w:rPr>
        <w:t>,</w:t>
      </w:r>
      <w:r w:rsidR="001E0C55">
        <w:rPr>
          <w:rFonts w:eastAsia="Verdana" w:cs="Verdana"/>
        </w:rPr>
        <w:t xml:space="preserve"> as well as businesses. </w:t>
      </w:r>
      <w:r w:rsidR="002F668E">
        <w:rPr>
          <w:rFonts w:eastAsia="Verdana" w:cs="Verdana"/>
        </w:rPr>
        <w:t xml:space="preserve">A total of $0.7 million </w:t>
      </w:r>
      <w:r w:rsidR="00E6534E">
        <w:rPr>
          <w:rFonts w:eastAsia="Verdana" w:cs="Verdana"/>
        </w:rPr>
        <w:t>was</w:t>
      </w:r>
      <w:r w:rsidR="002F668E">
        <w:rPr>
          <w:rFonts w:eastAsia="Verdana" w:cs="Verdana"/>
        </w:rPr>
        <w:t xml:space="preserve"> allocated to an online tool for businesses</w:t>
      </w:r>
      <w:r w:rsidR="00F3009C">
        <w:rPr>
          <w:rFonts w:eastAsia="Verdana" w:cs="Verdana"/>
        </w:rPr>
        <w:t xml:space="preserve"> to navigate the details of the reform. </w:t>
      </w:r>
      <w:r w:rsidR="005B4AD1">
        <w:rPr>
          <w:rFonts w:eastAsia="Verdana" w:cs="Verdana"/>
        </w:rPr>
        <w:t>Furthermore, c</w:t>
      </w:r>
      <w:r w:rsidR="00330339">
        <w:rPr>
          <w:rFonts w:eastAsiaTheme="minorEastAsia"/>
        </w:rPr>
        <w:t>ommunication activities leading up to the end of the transition period on 30 June 2018</w:t>
      </w:r>
      <w:r w:rsidR="00F44A03">
        <w:rPr>
          <w:rFonts w:eastAsiaTheme="minorEastAsia"/>
        </w:rPr>
        <w:t>,</w:t>
      </w:r>
      <w:r w:rsidR="00330339">
        <w:rPr>
          <w:rFonts w:eastAsiaTheme="minorEastAsia"/>
        </w:rPr>
        <w:t xml:space="preserve"> targeted businesses to ensure they were </w:t>
      </w:r>
      <w:r w:rsidR="0086576A">
        <w:rPr>
          <w:rFonts w:eastAsiaTheme="minorEastAsia"/>
        </w:rPr>
        <w:t>aware</w:t>
      </w:r>
      <w:r w:rsidR="00330339">
        <w:rPr>
          <w:rFonts w:eastAsiaTheme="minorEastAsia"/>
        </w:rPr>
        <w:t xml:space="preserve"> of the deadline. This was largely through op</w:t>
      </w:r>
      <w:r w:rsidR="00F44A03">
        <w:rPr>
          <w:rFonts w:eastAsiaTheme="minorEastAsia"/>
        </w:rPr>
        <w:noBreakHyphen/>
      </w:r>
      <w:r w:rsidR="00330339">
        <w:rPr>
          <w:rFonts w:eastAsiaTheme="minorEastAsia"/>
        </w:rPr>
        <w:t>ed pieces, media releases in trade media, general social media and messaging through industry associations and State/Territory food authorities</w:t>
      </w:r>
      <w:r w:rsidR="005B4AD1">
        <w:rPr>
          <w:rFonts w:eastAsiaTheme="minorEastAsia"/>
        </w:rPr>
        <w:t>.</w:t>
      </w:r>
      <w:r w:rsidR="001C0EE3">
        <w:rPr>
          <w:rFonts w:eastAsiaTheme="minorEastAsia"/>
        </w:rPr>
        <w:t xml:space="preserve"> </w:t>
      </w:r>
      <w:r w:rsidR="001C0EE3" w:rsidRPr="007E340D">
        <w:rPr>
          <w:rFonts w:eastAsiaTheme="minorEastAsia"/>
        </w:rPr>
        <w:t xml:space="preserve">Forums to inform businesses about the new labelling requirements were </w:t>
      </w:r>
      <w:r w:rsidR="001C0EE3">
        <w:rPr>
          <w:rFonts w:eastAsiaTheme="minorEastAsia"/>
        </w:rPr>
        <w:t xml:space="preserve">also </w:t>
      </w:r>
      <w:r w:rsidR="001C0EE3" w:rsidRPr="007E340D">
        <w:rPr>
          <w:rFonts w:eastAsiaTheme="minorEastAsia"/>
        </w:rPr>
        <w:t xml:space="preserve">conducted in 14 cities in Australia, including </w:t>
      </w:r>
      <w:r w:rsidR="00F44A03">
        <w:rPr>
          <w:rFonts w:eastAsiaTheme="minorEastAsia"/>
        </w:rPr>
        <w:t>seven</w:t>
      </w:r>
      <w:r w:rsidR="001C0EE3" w:rsidRPr="007E340D">
        <w:rPr>
          <w:rFonts w:eastAsiaTheme="minorEastAsia"/>
        </w:rPr>
        <w:t xml:space="preserve"> regional centres</w:t>
      </w:r>
      <w:r w:rsidR="001C0EE3">
        <w:rPr>
          <w:rFonts w:eastAsiaTheme="minorEastAsia"/>
        </w:rPr>
        <w:t xml:space="preserve">, for a </w:t>
      </w:r>
      <w:r w:rsidR="001C401B">
        <w:rPr>
          <w:rFonts w:eastAsiaTheme="minorEastAsia"/>
        </w:rPr>
        <w:t>total cost of</w:t>
      </w:r>
      <w:r w:rsidR="001C0EE3" w:rsidRPr="007E340D">
        <w:rPr>
          <w:rFonts w:eastAsiaTheme="minorEastAsia"/>
        </w:rPr>
        <w:t xml:space="preserve"> $41,673 (GST inclusive)</w:t>
      </w:r>
      <w:r w:rsidR="001C401B">
        <w:rPr>
          <w:rFonts w:eastAsiaTheme="minorEastAsia"/>
        </w:rPr>
        <w:t xml:space="preserve">. This evaluation question measured the </w:t>
      </w:r>
      <w:r w:rsidR="00AF5996">
        <w:rPr>
          <w:rFonts w:eastAsiaTheme="minorEastAsia"/>
        </w:rPr>
        <w:t>success</w:t>
      </w:r>
      <w:r w:rsidR="001C401B">
        <w:rPr>
          <w:rFonts w:eastAsiaTheme="minorEastAsia"/>
        </w:rPr>
        <w:t xml:space="preserve"> of these communications activities</w:t>
      </w:r>
      <w:r w:rsidR="00AF5996">
        <w:rPr>
          <w:rFonts w:eastAsiaTheme="minorEastAsia"/>
        </w:rPr>
        <w:t xml:space="preserve"> with respect to their reach, delivery, timing</w:t>
      </w:r>
      <w:r w:rsidR="008462DB">
        <w:rPr>
          <w:rFonts w:eastAsiaTheme="minorEastAsia"/>
        </w:rPr>
        <w:t>,</w:t>
      </w:r>
      <w:r w:rsidR="00AF5996">
        <w:rPr>
          <w:rFonts w:eastAsiaTheme="minorEastAsia"/>
        </w:rPr>
        <w:t xml:space="preserve"> and effectiveness</w:t>
      </w:r>
      <w:r w:rsidR="000C0AC2">
        <w:rPr>
          <w:rFonts w:eastAsiaTheme="minorEastAsia"/>
        </w:rPr>
        <w:t>.</w:t>
      </w:r>
      <w:r w:rsidR="002F7269">
        <w:rPr>
          <w:rStyle w:val="FootnoteReference"/>
          <w:rFonts w:eastAsiaTheme="minorEastAsia"/>
        </w:rPr>
        <w:footnoteReference w:id="101"/>
      </w:r>
    </w:p>
    <w:p w14:paraId="0054A302" w14:textId="4075AD3A" w:rsidR="00CE21AE" w:rsidRDefault="00B2762B" w:rsidP="00E53797">
      <w:pPr>
        <w:pStyle w:val="Heading3"/>
      </w:pPr>
      <w:bookmarkStart w:id="516" w:name="_Toc67499140"/>
      <w:r>
        <w:t xml:space="preserve">Tools and guidance material were </w:t>
      </w:r>
      <w:r w:rsidR="00D15E21">
        <w:t xml:space="preserve">generally </w:t>
      </w:r>
      <w:r>
        <w:t>effective</w:t>
      </w:r>
      <w:r w:rsidR="00F44A03">
        <w:t>,</w:t>
      </w:r>
      <w:r w:rsidR="00D61023">
        <w:t xml:space="preserve"> but </w:t>
      </w:r>
      <w:r w:rsidR="00D15E21">
        <w:t>desired</w:t>
      </w:r>
      <w:r w:rsidR="00D97B4A">
        <w:t xml:space="preserve"> </w:t>
      </w:r>
      <w:r w:rsidR="00D61023">
        <w:t xml:space="preserve">earlier </w:t>
      </w:r>
      <w:bookmarkEnd w:id="516"/>
    </w:p>
    <w:p w14:paraId="49FE2BD0" w14:textId="3A8BFDC4" w:rsidR="00023AA9" w:rsidRPr="00E53797" w:rsidRDefault="325EA6B4" w:rsidP="0030033B">
      <w:pPr>
        <w:rPr>
          <w:rFonts w:eastAsia="Verdana" w:cs="Verdana"/>
        </w:rPr>
      </w:pPr>
      <w:r w:rsidRPr="00E53797">
        <w:rPr>
          <w:rFonts w:eastAsia="Verdana" w:cs="Verdana"/>
        </w:rPr>
        <w:t xml:space="preserve">The results of the business survey </w:t>
      </w:r>
      <w:r w:rsidR="00DC754C" w:rsidRPr="00E53797">
        <w:rPr>
          <w:rFonts w:eastAsia="Verdana" w:cs="Verdana"/>
        </w:rPr>
        <w:t xml:space="preserve">indicate </w:t>
      </w:r>
      <w:r w:rsidRPr="00E53797">
        <w:rPr>
          <w:rFonts w:eastAsia="Verdana" w:cs="Verdana"/>
        </w:rPr>
        <w:t>that only 16</w:t>
      </w:r>
      <w:r w:rsidR="007B2C81">
        <w:rPr>
          <w:rFonts w:eastAsia="Verdana" w:cs="Verdana"/>
        </w:rPr>
        <w:t>%</w:t>
      </w:r>
      <w:r w:rsidRPr="00E53797">
        <w:rPr>
          <w:rFonts w:eastAsia="Verdana" w:cs="Verdana"/>
        </w:rPr>
        <w:t xml:space="preserve"> of businesses </w:t>
      </w:r>
      <w:r w:rsidR="2A192374" w:rsidRPr="00E53797">
        <w:rPr>
          <w:rFonts w:eastAsia="Verdana" w:cs="Verdana"/>
        </w:rPr>
        <w:t>recall seeing</w:t>
      </w:r>
      <w:r w:rsidRPr="00E53797">
        <w:rPr>
          <w:rFonts w:eastAsia="Verdana" w:cs="Verdana"/>
        </w:rPr>
        <w:t xml:space="preserve"> </w:t>
      </w:r>
      <w:r w:rsidR="005B54A3" w:rsidRPr="00E53797">
        <w:rPr>
          <w:rFonts w:eastAsia="Verdana" w:cs="Verdana"/>
        </w:rPr>
        <w:t xml:space="preserve">any </w:t>
      </w:r>
      <w:r w:rsidR="5675F84D" w:rsidRPr="00E53797">
        <w:rPr>
          <w:rFonts w:eastAsia="Verdana" w:cs="Verdana"/>
        </w:rPr>
        <w:t>communication or campaign</w:t>
      </w:r>
      <w:r w:rsidRPr="00E53797">
        <w:rPr>
          <w:rFonts w:eastAsia="Verdana" w:cs="Verdana"/>
        </w:rPr>
        <w:t xml:space="preserve"> material </w:t>
      </w:r>
      <w:r w:rsidR="005B54A3" w:rsidRPr="00E53797">
        <w:rPr>
          <w:rFonts w:eastAsia="Verdana" w:cs="Verdana"/>
        </w:rPr>
        <w:t xml:space="preserve">related </w:t>
      </w:r>
      <w:r w:rsidRPr="00E53797">
        <w:rPr>
          <w:rFonts w:eastAsia="Verdana" w:cs="Verdana"/>
        </w:rPr>
        <w:t xml:space="preserve">to the introduction of the current CoOL </w:t>
      </w:r>
      <w:r w:rsidR="67D6F9A4" w:rsidRPr="00E53797">
        <w:rPr>
          <w:rFonts w:eastAsia="Verdana" w:cs="Verdana"/>
        </w:rPr>
        <w:t>requirements</w:t>
      </w:r>
      <w:r w:rsidRPr="00E53797">
        <w:rPr>
          <w:rFonts w:eastAsia="Verdana" w:cs="Verdana"/>
        </w:rPr>
        <w:t>.</w:t>
      </w:r>
      <w:r w:rsidR="28F0580D" w:rsidRPr="00E53797">
        <w:rPr>
          <w:rFonts w:eastAsia="Verdana" w:cs="Verdana"/>
        </w:rPr>
        <w:t xml:space="preserve"> </w:t>
      </w:r>
      <w:r w:rsidR="00990952" w:rsidRPr="00E53797">
        <w:rPr>
          <w:rFonts w:eastAsia="Verdana" w:cs="Verdana"/>
        </w:rPr>
        <w:t xml:space="preserve">As shown in </w:t>
      </w:r>
      <w:r w:rsidR="000C0AC2">
        <w:rPr>
          <w:rFonts w:eastAsia="Verdana" w:cs="Verdana"/>
        </w:rPr>
        <w:fldChar w:fldCharType="begin"/>
      </w:r>
      <w:r w:rsidR="000C0AC2">
        <w:rPr>
          <w:rFonts w:eastAsia="Verdana" w:cs="Verdana"/>
        </w:rPr>
        <w:instrText xml:space="preserve"> REF _Ref65072292 \r \h </w:instrText>
      </w:r>
      <w:r w:rsidR="000C0AC2">
        <w:rPr>
          <w:rFonts w:eastAsia="Verdana" w:cs="Verdana"/>
        </w:rPr>
      </w:r>
      <w:r w:rsidR="000C0AC2">
        <w:rPr>
          <w:rFonts w:eastAsia="Verdana" w:cs="Verdana"/>
        </w:rPr>
        <w:fldChar w:fldCharType="separate"/>
      </w:r>
      <w:r w:rsidR="0017363C">
        <w:rPr>
          <w:rFonts w:eastAsia="Verdana" w:cs="Verdana"/>
        </w:rPr>
        <w:t>Chart 6.1</w:t>
      </w:r>
      <w:r w:rsidR="000C0AC2">
        <w:rPr>
          <w:rFonts w:eastAsia="Verdana" w:cs="Verdana"/>
        </w:rPr>
        <w:fldChar w:fldCharType="end"/>
      </w:r>
      <w:r w:rsidR="00990952" w:rsidRPr="00E53797">
        <w:rPr>
          <w:rFonts w:eastAsia="Verdana" w:cs="Verdana"/>
        </w:rPr>
        <w:t>, b</w:t>
      </w:r>
      <w:r w:rsidR="5FE517E4" w:rsidRPr="00E53797">
        <w:rPr>
          <w:rFonts w:eastAsia="Verdana" w:cs="Verdana"/>
        </w:rPr>
        <w:t xml:space="preserve">usinesses that </w:t>
      </w:r>
      <w:r w:rsidR="00990952" w:rsidRPr="00E53797">
        <w:rPr>
          <w:rFonts w:eastAsia="Verdana" w:cs="Verdana"/>
        </w:rPr>
        <w:t xml:space="preserve">do </w:t>
      </w:r>
      <w:r w:rsidR="5FE517E4" w:rsidRPr="00E53797">
        <w:rPr>
          <w:rFonts w:eastAsia="Verdana" w:cs="Verdana"/>
        </w:rPr>
        <w:t xml:space="preserve">recall seeing </w:t>
      </w:r>
      <w:r w:rsidR="0CB15EB6" w:rsidRPr="00E53797">
        <w:rPr>
          <w:rFonts w:eastAsia="Verdana" w:cs="Verdana"/>
        </w:rPr>
        <w:t>communication or campaign</w:t>
      </w:r>
      <w:r w:rsidR="5FE517E4" w:rsidRPr="00E53797">
        <w:rPr>
          <w:rFonts w:eastAsia="Verdana" w:cs="Verdana"/>
        </w:rPr>
        <w:t xml:space="preserve"> material reported </w:t>
      </w:r>
      <w:r w:rsidR="35004126" w:rsidRPr="00E53797">
        <w:rPr>
          <w:rFonts w:eastAsia="Verdana" w:cs="Verdana"/>
        </w:rPr>
        <w:t>a range of views</w:t>
      </w:r>
      <w:r w:rsidR="5FE517E4" w:rsidRPr="00E53797">
        <w:rPr>
          <w:rFonts w:eastAsia="Verdana" w:cs="Verdana"/>
        </w:rPr>
        <w:t xml:space="preserve"> on its effectiveness.</w:t>
      </w:r>
      <w:r w:rsidR="00705EA5" w:rsidRPr="00E53797">
        <w:rPr>
          <w:rFonts w:eastAsia="Verdana" w:cs="Verdana"/>
        </w:rPr>
        <w:t xml:space="preserve"> Approximately one third (</w:t>
      </w:r>
      <w:r w:rsidR="5FE517E4" w:rsidRPr="00E53797">
        <w:rPr>
          <w:rFonts w:eastAsia="Verdana" w:cs="Verdana"/>
        </w:rPr>
        <w:t>32</w:t>
      </w:r>
      <w:r w:rsidR="007B2C81">
        <w:rPr>
          <w:rFonts w:eastAsia="Verdana" w:cs="Verdana"/>
        </w:rPr>
        <w:t>%</w:t>
      </w:r>
      <w:r w:rsidR="00705EA5" w:rsidRPr="00E53797">
        <w:rPr>
          <w:rFonts w:eastAsia="Verdana" w:cs="Verdana"/>
        </w:rPr>
        <w:t>)</w:t>
      </w:r>
      <w:r w:rsidR="5FE517E4" w:rsidRPr="00E53797">
        <w:rPr>
          <w:rFonts w:eastAsia="Verdana" w:cs="Verdana"/>
        </w:rPr>
        <w:t xml:space="preserve"> of respondents </w:t>
      </w:r>
      <w:r w:rsidR="00705EA5" w:rsidRPr="00E53797">
        <w:rPr>
          <w:rFonts w:eastAsia="Verdana" w:cs="Verdana"/>
        </w:rPr>
        <w:t>thought</w:t>
      </w:r>
      <w:r w:rsidR="5FE517E4" w:rsidRPr="00E53797">
        <w:rPr>
          <w:rFonts w:eastAsia="Verdana" w:cs="Verdana"/>
        </w:rPr>
        <w:t xml:space="preserve"> the</w:t>
      </w:r>
      <w:r w:rsidR="002C690C" w:rsidRPr="00E53797">
        <w:rPr>
          <w:rFonts w:eastAsia="Verdana" w:cs="Verdana"/>
        </w:rPr>
        <w:t xml:space="preserve"> level of</w:t>
      </w:r>
      <w:r w:rsidR="5FE517E4" w:rsidRPr="00E53797">
        <w:rPr>
          <w:rFonts w:eastAsia="Verdana" w:cs="Verdana"/>
        </w:rPr>
        <w:t xml:space="preserve"> communication</w:t>
      </w:r>
      <w:r w:rsidR="5FE517E4" w:rsidRPr="00E53797" w:rsidDel="00D252C8">
        <w:rPr>
          <w:rFonts w:eastAsia="Verdana" w:cs="Verdana"/>
        </w:rPr>
        <w:t xml:space="preserve"> </w:t>
      </w:r>
      <w:r w:rsidR="5FE517E4" w:rsidRPr="00E53797">
        <w:rPr>
          <w:rFonts w:eastAsia="Verdana" w:cs="Verdana"/>
        </w:rPr>
        <w:t>was “not at all” or “slightly” effective, 38</w:t>
      </w:r>
      <w:r w:rsidR="007B2C81">
        <w:rPr>
          <w:rFonts w:eastAsia="Verdana" w:cs="Verdana"/>
        </w:rPr>
        <w:t>%</w:t>
      </w:r>
      <w:r w:rsidR="000C0AC2">
        <w:rPr>
          <w:rFonts w:eastAsia="Verdana" w:cs="Verdana"/>
        </w:rPr>
        <w:t xml:space="preserve"> </w:t>
      </w:r>
      <w:r w:rsidR="5FE517E4" w:rsidRPr="00E53797">
        <w:rPr>
          <w:rFonts w:eastAsia="Verdana" w:cs="Verdana"/>
        </w:rPr>
        <w:t xml:space="preserve">indicated that </w:t>
      </w:r>
      <w:r w:rsidR="17C2D722" w:rsidRPr="00E53797">
        <w:rPr>
          <w:rFonts w:eastAsia="Verdana" w:cs="Verdana"/>
        </w:rPr>
        <w:t>it</w:t>
      </w:r>
      <w:r w:rsidR="5FE517E4" w:rsidRPr="00E53797">
        <w:rPr>
          <w:rFonts w:eastAsia="Verdana" w:cs="Verdana"/>
        </w:rPr>
        <w:t xml:space="preserve"> was “moderately” effective, and 29</w:t>
      </w:r>
      <w:r w:rsidR="007B2C81">
        <w:rPr>
          <w:rFonts w:eastAsia="Verdana" w:cs="Verdana"/>
        </w:rPr>
        <w:t>%</w:t>
      </w:r>
      <w:r w:rsidR="5FE517E4" w:rsidRPr="00E53797">
        <w:rPr>
          <w:rFonts w:eastAsia="Verdana" w:cs="Verdana"/>
        </w:rPr>
        <w:t xml:space="preserve"> indicated that </w:t>
      </w:r>
      <w:r w:rsidR="50AB33F7" w:rsidRPr="00E53797">
        <w:rPr>
          <w:rFonts w:eastAsia="Verdana" w:cs="Verdana"/>
        </w:rPr>
        <w:t>it</w:t>
      </w:r>
      <w:r w:rsidR="5FE517E4" w:rsidRPr="00E53797">
        <w:rPr>
          <w:rFonts w:eastAsia="Verdana" w:cs="Verdana"/>
        </w:rPr>
        <w:t xml:space="preserve"> was “very” or “extremely” effective.</w:t>
      </w:r>
    </w:p>
    <w:p w14:paraId="36E3AB39" w14:textId="77777777" w:rsidR="00023AA9" w:rsidRDefault="00015F20" w:rsidP="00271337">
      <w:pPr>
        <w:pStyle w:val="CaptionChart"/>
      </w:pPr>
      <w:bookmarkStart w:id="517" w:name="_Ref65072292"/>
      <w:bookmarkStart w:id="518" w:name="_Toc82590369"/>
      <w:r>
        <w:lastRenderedPageBreak/>
        <w:t>:</w:t>
      </w:r>
      <w:r w:rsidR="00023AA9">
        <w:t xml:space="preserve"> </w:t>
      </w:r>
      <w:bookmarkStart w:id="519" w:name="_Ref61851292"/>
      <w:r w:rsidR="00023AA9">
        <w:t xml:space="preserve">Effectiveness of </w:t>
      </w:r>
      <w:r w:rsidR="0069486A">
        <w:t xml:space="preserve">communication </w:t>
      </w:r>
      <w:r w:rsidR="00CC0021">
        <w:t>provided to business about CoOL requirements</w:t>
      </w:r>
      <w:bookmarkEnd w:id="517"/>
      <w:bookmarkEnd w:id="518"/>
      <w:bookmarkEnd w:id="519"/>
    </w:p>
    <w:p w14:paraId="50868DFF" w14:textId="0D0E1C63" w:rsidR="002462A4" w:rsidRDefault="00AC69A9" w:rsidP="00E50819">
      <w:pPr>
        <w:pStyle w:val="Source"/>
      </w:pPr>
      <w:r w:rsidRPr="00AC69A9">
        <w:rPr>
          <w:noProof/>
          <w:lang w:eastAsia="en-AU"/>
        </w:rPr>
        <w:drawing>
          <wp:inline distT="0" distB="0" distL="0" distR="0" wp14:anchorId="61948E38" wp14:editId="71EAC062">
            <wp:extent cx="5619750" cy="3371850"/>
            <wp:effectExtent l="0" t="0" r="0" b="0"/>
            <wp:docPr id="289242760" name="Picture 289242760" descr="Findings are: not at all effective (4%), slightly effective (28%), moderately effective (38%), very effective (25%), extremely effec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60" name="Picture 289242760" descr="Findings are: not at all effective (4%), slightly effective (28%), moderately effective (38%), very effective (25%), extremely effectiv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20177" cy="3372106"/>
                    </a:xfrm>
                    <a:prstGeom prst="rect">
                      <a:avLst/>
                    </a:prstGeom>
                    <a:noFill/>
                    <a:ln>
                      <a:noFill/>
                    </a:ln>
                  </pic:spPr>
                </pic:pic>
              </a:graphicData>
            </a:graphic>
          </wp:inline>
        </w:drawing>
      </w:r>
    </w:p>
    <w:p w14:paraId="5FF937F7" w14:textId="7A880DCE" w:rsidR="00E50819" w:rsidRPr="00DE508C" w:rsidRDefault="00E50819" w:rsidP="00E50819">
      <w:pPr>
        <w:pStyle w:val="Source"/>
      </w:pPr>
      <w:r w:rsidRPr="00842E04">
        <w:t xml:space="preserve">Source: Deloitte Access Economics’ national </w:t>
      </w:r>
      <w:r>
        <w:t>business</w:t>
      </w:r>
      <w:r w:rsidRPr="00842E04">
        <w:t xml:space="preserve"> survey</w:t>
      </w:r>
      <w:r>
        <w:t xml:space="preserve"> (2020)</w:t>
      </w:r>
      <w:r w:rsidRPr="00842E04">
        <w:t>.</w:t>
      </w:r>
    </w:p>
    <w:p w14:paraId="76E4D711" w14:textId="51B91B3D" w:rsidR="1CC344BA" w:rsidRPr="00E53797" w:rsidRDefault="1CC344BA" w:rsidP="26BA3216">
      <w:pPr>
        <w:rPr>
          <w:rFonts w:eastAsia="Verdana" w:cs="Verdana"/>
        </w:rPr>
      </w:pPr>
      <w:r w:rsidRPr="00E53797">
        <w:rPr>
          <w:rFonts w:eastAsia="Verdana" w:cs="Verdana"/>
        </w:rPr>
        <w:t xml:space="preserve">Of the </w:t>
      </w:r>
      <w:r w:rsidR="4DDEA794" w:rsidRPr="00E53797">
        <w:rPr>
          <w:rFonts w:eastAsia="Verdana" w:cs="Verdana"/>
        </w:rPr>
        <w:t>survey respondents</w:t>
      </w:r>
      <w:r w:rsidRPr="00E53797">
        <w:rPr>
          <w:rFonts w:eastAsia="Verdana" w:cs="Verdana"/>
        </w:rPr>
        <w:t xml:space="preserve"> </w:t>
      </w:r>
      <w:r w:rsidR="00A533FD" w:rsidRPr="00E53797">
        <w:rPr>
          <w:rFonts w:eastAsia="Verdana" w:cs="Verdana"/>
        </w:rPr>
        <w:t>who recall seeing communication</w:t>
      </w:r>
      <w:r w:rsidR="003A5583" w:rsidRPr="00E53797">
        <w:rPr>
          <w:rFonts w:eastAsia="Verdana" w:cs="Verdana"/>
        </w:rPr>
        <w:t xml:space="preserve"> or campaign</w:t>
      </w:r>
      <w:r w:rsidR="00A533FD" w:rsidRPr="00E53797">
        <w:rPr>
          <w:rFonts w:eastAsia="Verdana" w:cs="Verdana"/>
        </w:rPr>
        <w:t xml:space="preserve"> material</w:t>
      </w:r>
      <w:r w:rsidR="00E65CF4" w:rsidRPr="00E53797">
        <w:rPr>
          <w:rFonts w:eastAsia="Verdana" w:cs="Verdana"/>
        </w:rPr>
        <w:t xml:space="preserve"> related to CoOL</w:t>
      </w:r>
      <w:r w:rsidR="00A533FD" w:rsidRPr="00E53797">
        <w:rPr>
          <w:rFonts w:eastAsia="Verdana" w:cs="Verdana"/>
        </w:rPr>
        <w:t xml:space="preserve">, </w:t>
      </w:r>
      <w:r w:rsidRPr="00E53797">
        <w:rPr>
          <w:rFonts w:eastAsia="Verdana" w:cs="Verdana"/>
        </w:rPr>
        <w:t xml:space="preserve">most </w:t>
      </w:r>
      <w:r w:rsidR="00700ED9" w:rsidRPr="00E53797">
        <w:rPr>
          <w:rFonts w:eastAsia="Verdana" w:cs="Verdana"/>
        </w:rPr>
        <w:t>utilised</w:t>
      </w:r>
      <w:r w:rsidRPr="00E53797">
        <w:rPr>
          <w:rFonts w:eastAsia="Verdana" w:cs="Verdana"/>
        </w:rPr>
        <w:t xml:space="preserve"> the </w:t>
      </w:r>
      <w:r w:rsidR="00700ED9" w:rsidRPr="00E53797">
        <w:rPr>
          <w:rFonts w:eastAsia="Verdana" w:cs="Verdana"/>
        </w:rPr>
        <w:t>ACCC website (60</w:t>
      </w:r>
      <w:r w:rsidR="007B2C81">
        <w:rPr>
          <w:rFonts w:eastAsia="Verdana" w:cs="Verdana"/>
        </w:rPr>
        <w:t>%</w:t>
      </w:r>
      <w:r w:rsidR="00700ED9" w:rsidRPr="00E53797">
        <w:rPr>
          <w:rFonts w:eastAsia="Verdana" w:cs="Verdana"/>
        </w:rPr>
        <w:t>)</w:t>
      </w:r>
      <w:r w:rsidR="004562BF" w:rsidRPr="00E53797">
        <w:rPr>
          <w:rFonts w:eastAsia="Verdana" w:cs="Verdana"/>
        </w:rPr>
        <w:t>. Other respondents</w:t>
      </w:r>
      <w:r w:rsidR="00700ED9" w:rsidRPr="00E53797">
        <w:rPr>
          <w:rFonts w:eastAsia="Verdana" w:cs="Verdana"/>
        </w:rPr>
        <w:t xml:space="preserve"> </w:t>
      </w:r>
      <w:r w:rsidR="008357E1" w:rsidRPr="00E53797">
        <w:rPr>
          <w:rFonts w:eastAsia="Verdana" w:cs="Verdana"/>
        </w:rPr>
        <w:t xml:space="preserve">have </w:t>
      </w:r>
      <w:r w:rsidRPr="00E53797">
        <w:rPr>
          <w:rFonts w:eastAsia="Verdana" w:cs="Verdana"/>
        </w:rPr>
        <w:t>referred to the business.gov.au</w:t>
      </w:r>
      <w:r w:rsidR="003A5583" w:rsidRPr="00E53797">
        <w:rPr>
          <w:rFonts w:eastAsia="Verdana" w:cs="Verdana"/>
        </w:rPr>
        <w:t xml:space="preserve"> website</w:t>
      </w:r>
      <w:r w:rsidRPr="00E53797">
        <w:rPr>
          <w:rFonts w:eastAsia="Verdana" w:cs="Verdana"/>
        </w:rPr>
        <w:t xml:space="preserve"> (</w:t>
      </w:r>
      <w:r w:rsidR="00700ED9" w:rsidRPr="00E53797">
        <w:rPr>
          <w:rFonts w:eastAsia="Verdana" w:cs="Verdana"/>
        </w:rPr>
        <w:t>23</w:t>
      </w:r>
      <w:r w:rsidR="007B2C81">
        <w:rPr>
          <w:rFonts w:eastAsia="Verdana" w:cs="Verdana"/>
        </w:rPr>
        <w:t>%</w:t>
      </w:r>
      <w:r w:rsidRPr="00E53797">
        <w:rPr>
          <w:rFonts w:eastAsia="Verdana" w:cs="Verdana"/>
        </w:rPr>
        <w:t>) or the DISER website (</w:t>
      </w:r>
      <w:r w:rsidR="007B2C81">
        <w:rPr>
          <w:rFonts w:eastAsia="Verdana" w:cs="Verdana"/>
        </w:rPr>
        <w:t>7%</w:t>
      </w:r>
      <w:r w:rsidRPr="00E53797">
        <w:rPr>
          <w:rFonts w:eastAsia="Verdana" w:cs="Verdana"/>
        </w:rPr>
        <w:t xml:space="preserve">). </w:t>
      </w:r>
      <w:r w:rsidR="00006D74" w:rsidRPr="00E53797">
        <w:rPr>
          <w:rFonts w:eastAsia="Verdana" w:cs="Verdana"/>
        </w:rPr>
        <w:t xml:space="preserve">As illustrated in </w:t>
      </w:r>
      <w:r w:rsidR="000C0AC2">
        <w:rPr>
          <w:rFonts w:eastAsia="Verdana" w:cs="Verdana"/>
        </w:rPr>
        <w:fldChar w:fldCharType="begin"/>
      </w:r>
      <w:r w:rsidR="000C0AC2">
        <w:rPr>
          <w:rFonts w:eastAsia="Verdana" w:cs="Verdana"/>
        </w:rPr>
        <w:instrText xml:space="preserve"> REF _Ref65072342 \r \h </w:instrText>
      </w:r>
      <w:r w:rsidR="000C0AC2">
        <w:rPr>
          <w:rFonts w:eastAsia="Verdana" w:cs="Verdana"/>
        </w:rPr>
      </w:r>
      <w:r w:rsidR="000C0AC2">
        <w:rPr>
          <w:rFonts w:eastAsia="Verdana" w:cs="Verdana"/>
        </w:rPr>
        <w:fldChar w:fldCharType="separate"/>
      </w:r>
      <w:r w:rsidR="0017363C">
        <w:rPr>
          <w:rFonts w:eastAsia="Verdana" w:cs="Verdana"/>
        </w:rPr>
        <w:t>Chart 6.2</w:t>
      </w:r>
      <w:r w:rsidR="000C0AC2">
        <w:rPr>
          <w:rFonts w:eastAsia="Verdana" w:cs="Verdana"/>
        </w:rPr>
        <w:fldChar w:fldCharType="end"/>
      </w:r>
      <w:r w:rsidR="00006D74" w:rsidRPr="00E53797">
        <w:rPr>
          <w:rFonts w:eastAsia="Verdana" w:cs="Verdana"/>
        </w:rPr>
        <w:t>, m</w:t>
      </w:r>
      <w:r w:rsidR="2C58FC96" w:rsidRPr="00E53797">
        <w:rPr>
          <w:rFonts w:eastAsia="Verdana" w:cs="Verdana"/>
        </w:rPr>
        <w:t>ost businesses reported that the online resources were “moderately,” “very” or “extremely” effective in improving their ability to understand (83</w:t>
      </w:r>
      <w:r w:rsidR="007B2C81">
        <w:rPr>
          <w:rFonts w:eastAsia="Verdana" w:cs="Verdana"/>
        </w:rPr>
        <w:t>%</w:t>
      </w:r>
      <w:r w:rsidR="2C58FC96" w:rsidRPr="00E53797">
        <w:rPr>
          <w:rFonts w:eastAsia="Verdana" w:cs="Verdana"/>
        </w:rPr>
        <w:t>), implement (80</w:t>
      </w:r>
      <w:r w:rsidR="007B2C81">
        <w:rPr>
          <w:rFonts w:eastAsia="Verdana" w:cs="Verdana"/>
        </w:rPr>
        <w:t>%</w:t>
      </w:r>
      <w:r w:rsidR="0528D2B7" w:rsidRPr="00E53797">
        <w:rPr>
          <w:rFonts w:eastAsia="Verdana" w:cs="Verdana"/>
        </w:rPr>
        <w:t>)</w:t>
      </w:r>
      <w:r w:rsidR="2C58FC96" w:rsidRPr="00E53797">
        <w:rPr>
          <w:rFonts w:eastAsia="Verdana" w:cs="Verdana"/>
        </w:rPr>
        <w:t xml:space="preserve"> and manage (81</w:t>
      </w:r>
      <w:r w:rsidR="007B2C81">
        <w:rPr>
          <w:rFonts w:eastAsia="Verdana" w:cs="Verdana"/>
        </w:rPr>
        <w:t>%</w:t>
      </w:r>
      <w:r w:rsidR="2C58FC96" w:rsidRPr="00E53797">
        <w:rPr>
          <w:rFonts w:eastAsia="Verdana" w:cs="Verdana"/>
        </w:rPr>
        <w:t xml:space="preserve">) CoOL requirements.  </w:t>
      </w:r>
    </w:p>
    <w:p w14:paraId="441BAD4C" w14:textId="77777777" w:rsidR="00EE129E" w:rsidRDefault="00015F20" w:rsidP="007A68DC">
      <w:pPr>
        <w:pStyle w:val="CaptionChart"/>
      </w:pPr>
      <w:bookmarkStart w:id="520" w:name="_Ref65072342"/>
      <w:bookmarkStart w:id="521" w:name="_Toc82590370"/>
      <w:r>
        <w:t>:</w:t>
      </w:r>
      <w:r w:rsidR="00EE129E">
        <w:t xml:space="preserve"> </w:t>
      </w:r>
      <w:bookmarkStart w:id="522" w:name="_Ref61856548"/>
      <w:r w:rsidR="00861ED0">
        <w:t>Effectiveness of online resources for businesses, by output</w:t>
      </w:r>
      <w:bookmarkEnd w:id="520"/>
      <w:bookmarkEnd w:id="521"/>
      <w:bookmarkEnd w:id="522"/>
    </w:p>
    <w:p w14:paraId="531AB5E8" w14:textId="3406106F" w:rsidR="006466BD" w:rsidRDefault="00D3017C" w:rsidP="00861ED0">
      <w:pPr>
        <w:pStyle w:val="Source"/>
      </w:pPr>
      <w:r w:rsidRPr="00D3017C">
        <w:rPr>
          <w:noProof/>
          <w:lang w:eastAsia="en-AU"/>
        </w:rPr>
        <w:drawing>
          <wp:inline distT="0" distB="0" distL="0" distR="0" wp14:anchorId="5F98C4E5" wp14:editId="426D4908">
            <wp:extent cx="5731510" cy="2832735"/>
            <wp:effectExtent l="0" t="0" r="2540" b="5715"/>
            <wp:docPr id="289242762" name="Picture 289242762" descr="The categories of output captured in the chart are: understanding CoOL requirements, implementing CoOL requirements and managing CoOL requirements. The majority of the responses were 'moderately effective' and 'very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62" name="Picture 289242762" descr="The categories of output captured in the chart are: understanding CoOL requirements, implementing CoOL requirements and managing CoOL requirements. The majority of the responses were 'moderately effective' and 'very effectiv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832735"/>
                    </a:xfrm>
                    <a:prstGeom prst="rect">
                      <a:avLst/>
                    </a:prstGeom>
                    <a:noFill/>
                    <a:ln>
                      <a:noFill/>
                    </a:ln>
                  </pic:spPr>
                </pic:pic>
              </a:graphicData>
            </a:graphic>
          </wp:inline>
        </w:drawing>
      </w:r>
    </w:p>
    <w:p w14:paraId="083D0224" w14:textId="21F51B08" w:rsidR="00861ED0" w:rsidRPr="00DE508C" w:rsidRDefault="00861ED0" w:rsidP="00861ED0">
      <w:pPr>
        <w:pStyle w:val="Source"/>
      </w:pPr>
      <w:r w:rsidRPr="00842E04">
        <w:t xml:space="preserve">Source: Deloitte Access Economics’ national </w:t>
      </w:r>
      <w:r>
        <w:t>business</w:t>
      </w:r>
      <w:r w:rsidRPr="00842E04">
        <w:t xml:space="preserve"> survey</w:t>
      </w:r>
      <w:r>
        <w:t xml:space="preserve"> (2020)</w:t>
      </w:r>
      <w:r w:rsidRPr="00842E04">
        <w:t>.</w:t>
      </w:r>
    </w:p>
    <w:p w14:paraId="0AE74BE4" w14:textId="59AF981C" w:rsidR="00692F62" w:rsidRDefault="00692F62" w:rsidP="008868BE">
      <w:pPr>
        <w:spacing w:line="257" w:lineRule="auto"/>
      </w:pPr>
      <w:r w:rsidRPr="00A6715B">
        <w:lastRenderedPageBreak/>
        <w:t>Consultation with industry groups generally found the communication activities and online resources effective in supporting businesses to understand, implement and manage CoOL requirements.</w:t>
      </w:r>
    </w:p>
    <w:p w14:paraId="2787DC72" w14:textId="085A8F5C" w:rsidR="00AB760E" w:rsidRDefault="00AB760E" w:rsidP="004C3F28">
      <w:r>
        <w:t xml:space="preserve">Multiple </w:t>
      </w:r>
      <w:r w:rsidR="003F322A">
        <w:t>food manufacturers</w:t>
      </w:r>
      <w:r>
        <w:t xml:space="preserve"> </w:t>
      </w:r>
      <w:r w:rsidR="00692F62">
        <w:t xml:space="preserve">and the Seafood Importers </w:t>
      </w:r>
      <w:r>
        <w:t xml:space="preserve">have stated that the online CoOL tool </w:t>
      </w:r>
      <w:r w:rsidR="00205F3B">
        <w:t xml:space="preserve">(referred to as the business tool by some) </w:t>
      </w:r>
      <w:r>
        <w:t>has been useful for businesses to be able to accurately identify the percentage of Australian ingredients and provide accurate information to consumers.</w:t>
      </w:r>
      <w:r w:rsidR="00462027">
        <w:t xml:space="preserve"> Stakeholders report that</w:t>
      </w:r>
      <w:r w:rsidR="00214C51">
        <w:t xml:space="preserve"> they use the tool as a means to double-check that a product has been labelled in the correct way</w:t>
      </w:r>
      <w:r w:rsidR="00555EB7">
        <w:t xml:space="preserve">, </w:t>
      </w:r>
      <w:r w:rsidR="00233F82">
        <w:t>including the bar chart percentage</w:t>
      </w:r>
      <w:r w:rsidR="00C12293">
        <w:t xml:space="preserve"> and the </w:t>
      </w:r>
      <w:r w:rsidR="003B7624">
        <w:t xml:space="preserve">list of examples of where </w:t>
      </w:r>
      <w:r w:rsidR="0071774F">
        <w:t>something should not be classified as</w:t>
      </w:r>
      <w:r w:rsidR="003B7624">
        <w:t xml:space="preserve"> “substantial transformation”</w:t>
      </w:r>
      <w:r w:rsidR="00233F82">
        <w:t xml:space="preserve">, </w:t>
      </w:r>
      <w:r w:rsidR="00555EB7">
        <w:t>and that the tool</w:t>
      </w:r>
      <w:r w:rsidR="006C27F3">
        <w:t>(s)</w:t>
      </w:r>
      <w:r w:rsidR="00555EB7">
        <w:t xml:space="preserve"> are still being utilised.</w:t>
      </w:r>
      <w:r w:rsidR="00462027">
        <w:t xml:space="preserve"> </w:t>
      </w:r>
      <w:r w:rsidR="00692F62">
        <w:t xml:space="preserve">One </w:t>
      </w:r>
      <w:r w:rsidR="0005726B">
        <w:t xml:space="preserve">manufacturer </w:t>
      </w:r>
      <w:r w:rsidR="00F37167">
        <w:t>report</w:t>
      </w:r>
      <w:r w:rsidR="00186B94">
        <w:t>ed</w:t>
      </w:r>
      <w:r w:rsidR="00F37167">
        <w:t xml:space="preserve"> </w:t>
      </w:r>
      <w:r w:rsidR="0005726B">
        <w:t>ha</w:t>
      </w:r>
      <w:r w:rsidR="00F37167">
        <w:t>ving</w:t>
      </w:r>
      <w:r w:rsidR="0005726B">
        <w:t xml:space="preserve"> </w:t>
      </w:r>
      <w:r w:rsidR="001D7ED2">
        <w:t xml:space="preserve">needed to </w:t>
      </w:r>
      <w:r w:rsidR="003F322A" w:rsidRPr="00C0173B">
        <w:t>develop</w:t>
      </w:r>
      <w:r w:rsidR="00D264A5">
        <w:t xml:space="preserve"> </w:t>
      </w:r>
      <w:r w:rsidR="00B8063C">
        <w:t>additional resources to</w:t>
      </w:r>
      <w:r w:rsidR="00B8063C" w:rsidRPr="00B8063C">
        <w:t xml:space="preserve"> mak</w:t>
      </w:r>
      <w:r w:rsidR="00B8063C">
        <w:t>e</w:t>
      </w:r>
      <w:r w:rsidR="00B8063C" w:rsidRPr="00B8063C">
        <w:t xml:space="preserve"> sure that their recipe calculators are working well</w:t>
      </w:r>
      <w:r w:rsidRPr="00C0173B">
        <w:t xml:space="preserve"> to calculate the percentages </w:t>
      </w:r>
      <w:r w:rsidR="00B8063C">
        <w:t xml:space="preserve">(to apply to their labels) </w:t>
      </w:r>
      <w:r w:rsidRPr="00C0173B">
        <w:t xml:space="preserve">for some of their products. </w:t>
      </w:r>
      <w:r w:rsidR="00941B85">
        <w:t>R</w:t>
      </w:r>
      <w:r w:rsidR="0005726B">
        <w:t>equest for further information or improvement of the CoOL tool was not made in consultations with industry</w:t>
      </w:r>
      <w:r w:rsidR="00DC1D27">
        <w:t xml:space="preserve">, though it was reported by small businesses that </w:t>
      </w:r>
      <w:r w:rsidR="0037380A">
        <w:t xml:space="preserve">additional </w:t>
      </w:r>
      <w:r w:rsidR="001B7CA6">
        <w:t xml:space="preserve">and ongoing </w:t>
      </w:r>
      <w:r w:rsidR="00CD7642">
        <w:t xml:space="preserve">guidance material would </w:t>
      </w:r>
      <w:r w:rsidR="0028500B">
        <w:t xml:space="preserve">be of </w:t>
      </w:r>
      <w:r w:rsidR="00CD7642">
        <w:t xml:space="preserve">benefit </w:t>
      </w:r>
      <w:r w:rsidR="008E73FC">
        <w:t xml:space="preserve">given </w:t>
      </w:r>
      <w:r w:rsidR="001F40C5">
        <w:t xml:space="preserve">the greater </w:t>
      </w:r>
      <w:r w:rsidR="00F06DCD">
        <w:t>effort required by such businesses to check and compl</w:t>
      </w:r>
      <w:r w:rsidR="00FE1D4F">
        <w:t xml:space="preserve">y with </w:t>
      </w:r>
      <w:r w:rsidR="00310CA6">
        <w:t xml:space="preserve">making </w:t>
      </w:r>
      <w:r w:rsidR="00D660A6">
        <w:t>accurate</w:t>
      </w:r>
      <w:r w:rsidR="00310CA6">
        <w:t xml:space="preserve"> country of origin claims. </w:t>
      </w:r>
      <w:r w:rsidR="008E73FC">
        <w:t xml:space="preserve"> </w:t>
      </w:r>
      <w:r w:rsidR="0028500B">
        <w:t xml:space="preserve"> </w:t>
      </w:r>
      <w:r w:rsidR="0037380A">
        <w:t xml:space="preserve"> </w:t>
      </w:r>
    </w:p>
    <w:p w14:paraId="07C181D4" w14:textId="19F0DE4B" w:rsidR="00692F62" w:rsidRDefault="004C3F28" w:rsidP="00692F62">
      <w:r>
        <w:t>Furthermore, t</w:t>
      </w:r>
      <w:r w:rsidR="00692F62" w:rsidRPr="003C74DF">
        <w:t>he label</w:t>
      </w:r>
      <w:r w:rsidR="00692F62">
        <w:t xml:space="preserve"> graphic requirements and guidelines provided at business.gov.au and by the ACCC were considered useful in providing businesses with a clear and straightforward understanding of the labelling requirements. </w:t>
      </w:r>
    </w:p>
    <w:p w14:paraId="2220D230" w14:textId="153A6569" w:rsidR="00B2762B" w:rsidRDefault="00E914E3" w:rsidP="00B2762B">
      <w:r>
        <w:t>The</w:t>
      </w:r>
      <w:r w:rsidR="00B2762B">
        <w:t xml:space="preserve"> Australian Dairy Industry Council </w:t>
      </w:r>
      <w:r>
        <w:t xml:space="preserve">indicated that the release of </w:t>
      </w:r>
      <w:r w:rsidR="00B2762B">
        <w:t xml:space="preserve">CoOL </w:t>
      </w:r>
      <w:r w:rsidR="00A043D3">
        <w:t>guidance</w:t>
      </w:r>
      <w:r w:rsidR="00B2762B">
        <w:t xml:space="preserve"> material earlier in the implementation process </w:t>
      </w:r>
      <w:r w:rsidR="00A043D3">
        <w:t>would have allowed industry</w:t>
      </w:r>
      <w:r w:rsidR="00B2762B">
        <w:t xml:space="preserve"> to plan for CoOL changes </w:t>
      </w:r>
      <w:r w:rsidR="00A043D3">
        <w:t>more readily.</w:t>
      </w:r>
      <w:r w:rsidR="00B2762B">
        <w:t xml:space="preserve"> Despite the delay in </w:t>
      </w:r>
      <w:r w:rsidR="00BE20B3">
        <w:t xml:space="preserve">the provision of </w:t>
      </w:r>
      <w:r w:rsidR="00B2762B">
        <w:t xml:space="preserve">communication and educational material to businesses, the implementation timeline was not </w:t>
      </w:r>
      <w:r w:rsidR="00BE20B3">
        <w:t>extended,</w:t>
      </w:r>
      <w:r w:rsidR="00B2762B">
        <w:t xml:space="preserve"> and this was challenging </w:t>
      </w:r>
      <w:r w:rsidR="00540701">
        <w:t>fo</w:t>
      </w:r>
      <w:r w:rsidR="00A23407">
        <w:t>r</w:t>
      </w:r>
      <w:r w:rsidR="00540701">
        <w:t xml:space="preserve"> </w:t>
      </w:r>
      <w:r w:rsidR="00B2762B">
        <w:t xml:space="preserve">some businesses. </w:t>
      </w:r>
    </w:p>
    <w:p w14:paraId="602C4DEF" w14:textId="026508BB" w:rsidR="00C34437" w:rsidRDefault="004C3F28" w:rsidP="00E53797">
      <w:pPr>
        <w:pStyle w:val="Heading3"/>
      </w:pPr>
      <w:bookmarkStart w:id="523" w:name="_Toc64925934"/>
      <w:bookmarkStart w:id="524" w:name="_Toc65074720"/>
      <w:bookmarkStart w:id="525" w:name="_Toc65088499"/>
      <w:bookmarkEnd w:id="523"/>
      <w:bookmarkEnd w:id="524"/>
      <w:bookmarkEnd w:id="525"/>
      <w:r>
        <w:t>Need for ongoing guidance particularly around substantial transformation</w:t>
      </w:r>
    </w:p>
    <w:p w14:paraId="33F8AA1E" w14:textId="2DA74ED0" w:rsidR="00037C7F" w:rsidRDefault="00C46510" w:rsidP="00CF03F9">
      <w:r>
        <w:t xml:space="preserve">The </w:t>
      </w:r>
      <w:r w:rsidR="004C3F28">
        <w:t xml:space="preserve">main </w:t>
      </w:r>
      <w:r>
        <w:t xml:space="preserve">area where communications could be improved for businesses is </w:t>
      </w:r>
      <w:r w:rsidR="000020FA">
        <w:t xml:space="preserve">in </w:t>
      </w:r>
      <w:r w:rsidR="00725659">
        <w:t xml:space="preserve">the interpretation of substantial </w:t>
      </w:r>
      <w:r w:rsidR="009D2072">
        <w:t>transformation</w:t>
      </w:r>
      <w:r w:rsidR="00BD1ED8">
        <w:t>, for which there has been a high level of confusion reported</w:t>
      </w:r>
      <w:r w:rsidR="004C3F28">
        <w:t xml:space="preserve"> (</w:t>
      </w:r>
      <w:r w:rsidR="00241511">
        <w:t xml:space="preserve">see </w:t>
      </w:r>
      <w:r w:rsidR="004C3F28">
        <w:t xml:space="preserve">Section </w:t>
      </w:r>
      <w:r w:rsidR="004C3F28">
        <w:fldChar w:fldCharType="begin"/>
      </w:r>
      <w:r w:rsidR="004C3F28">
        <w:instrText xml:space="preserve"> REF _Ref71203775 \r \h </w:instrText>
      </w:r>
      <w:r w:rsidR="004C3F28">
        <w:fldChar w:fldCharType="separate"/>
      </w:r>
      <w:r w:rsidR="0017363C">
        <w:t>5.1</w:t>
      </w:r>
      <w:r w:rsidR="004C3F28">
        <w:fldChar w:fldCharType="end"/>
      </w:r>
      <w:r w:rsidR="004C3F28">
        <w:t>)</w:t>
      </w:r>
      <w:r w:rsidR="00BD1ED8">
        <w:t xml:space="preserve">. </w:t>
      </w:r>
      <w:r w:rsidR="00923825">
        <w:t>C</w:t>
      </w:r>
      <w:r w:rsidR="00037C7F">
        <w:t xml:space="preserve">ompliance activities </w:t>
      </w:r>
      <w:r w:rsidR="00923825">
        <w:t xml:space="preserve">undertaken by </w:t>
      </w:r>
      <w:r w:rsidR="004C3F28">
        <w:t xml:space="preserve">the </w:t>
      </w:r>
      <w:r w:rsidR="00923825">
        <w:t xml:space="preserve">ACCC </w:t>
      </w:r>
      <w:r w:rsidR="00037C7F">
        <w:t xml:space="preserve">once the Standard took effect </w:t>
      </w:r>
      <w:r w:rsidR="00923825">
        <w:t xml:space="preserve">indicated </w:t>
      </w:r>
      <w:r w:rsidR="004C3F28">
        <w:t>the</w:t>
      </w:r>
      <w:r w:rsidR="00037C7F">
        <w:t xml:space="preserve"> </w:t>
      </w:r>
      <w:r w:rsidR="00164468">
        <w:t xml:space="preserve">primary reason for </w:t>
      </w:r>
      <w:r w:rsidR="00037C7F">
        <w:t xml:space="preserve">non-compliance </w:t>
      </w:r>
      <w:r w:rsidR="00164468">
        <w:t>related to the</w:t>
      </w:r>
      <w:r w:rsidR="00037C7F">
        <w:t xml:space="preserve"> substantial transformation test. </w:t>
      </w:r>
      <w:r w:rsidR="00164468">
        <w:t xml:space="preserve">The </w:t>
      </w:r>
      <w:r w:rsidR="00037C7F">
        <w:t>ACCC</w:t>
      </w:r>
      <w:r w:rsidR="00923825">
        <w:t xml:space="preserve"> has </w:t>
      </w:r>
      <w:r w:rsidR="00A9762F">
        <w:t>recommended better communications to improve the interpretation of substantial</w:t>
      </w:r>
      <w:r w:rsidR="00B71C88">
        <w:t xml:space="preserve"> transformation. </w:t>
      </w:r>
      <w:r w:rsidR="009F63C9">
        <w:t xml:space="preserve">Communication activities can also be improved for </w:t>
      </w:r>
      <w:r w:rsidR="00956015">
        <w:t>the distinction between priority and non-priority foods</w:t>
      </w:r>
      <w:r w:rsidR="00B92F54">
        <w:t xml:space="preserve">, for which the definition </w:t>
      </w:r>
      <w:r w:rsidR="00EB37EC">
        <w:t xml:space="preserve">is unclear or inconsistent </w:t>
      </w:r>
      <w:r w:rsidR="00B92F54">
        <w:t xml:space="preserve">according to </w:t>
      </w:r>
      <w:r w:rsidR="00226CCC">
        <w:t xml:space="preserve">some </w:t>
      </w:r>
      <w:r w:rsidR="00D15955">
        <w:t>groups</w:t>
      </w:r>
      <w:r w:rsidR="006C3BC7">
        <w:t>.</w:t>
      </w:r>
    </w:p>
    <w:p w14:paraId="65A30C80" w14:textId="516B4DC4" w:rsidR="00603D59" w:rsidRDefault="00E301DA" w:rsidP="00CF03F9">
      <w:r>
        <w:t>Industry groups have also as</w:t>
      </w:r>
      <w:r w:rsidR="00D578EC">
        <w:t xml:space="preserve">ked for ongoing </w:t>
      </w:r>
      <w:r w:rsidR="0034580D">
        <w:t xml:space="preserve">general </w:t>
      </w:r>
      <w:r w:rsidR="00D578EC">
        <w:t xml:space="preserve">education for businesses and consumers </w:t>
      </w:r>
      <w:r w:rsidR="00677506">
        <w:t>to improve</w:t>
      </w:r>
      <w:r w:rsidR="0077061C">
        <w:t xml:space="preserve"> </w:t>
      </w:r>
      <w:r w:rsidR="00677506">
        <w:t xml:space="preserve">the interpretation of </w:t>
      </w:r>
      <w:r w:rsidR="0077061C">
        <w:t xml:space="preserve">CoOL labelling. With businesses in particular, ongoing education would prevent the risk of non-compliance </w:t>
      </w:r>
      <w:r w:rsidR="00454FB2">
        <w:t>and its associated costs.</w:t>
      </w:r>
      <w:r w:rsidR="00414831">
        <w:t xml:space="preserve"> This is especially true for </w:t>
      </w:r>
      <w:r w:rsidR="005A0E1B">
        <w:t xml:space="preserve">CALD </w:t>
      </w:r>
      <w:r w:rsidR="00414831">
        <w:t xml:space="preserve">traders who </w:t>
      </w:r>
      <w:r w:rsidR="005A0E1B">
        <w:t xml:space="preserve">potentially </w:t>
      </w:r>
      <w:r w:rsidR="00414831">
        <w:t>have language barriers that prevent them from understanding the CoOL requirements</w:t>
      </w:r>
      <w:r w:rsidR="004F7DEA">
        <w:t xml:space="preserve">. </w:t>
      </w:r>
    </w:p>
    <w:p w14:paraId="3B236EE8" w14:textId="77777777" w:rsidR="006809B8" w:rsidRPr="006809B8" w:rsidRDefault="00D04D3C" w:rsidP="006809B8">
      <w:pPr>
        <w:pStyle w:val="Heading3"/>
      </w:pPr>
      <w:bookmarkStart w:id="526" w:name="_Toc67499142"/>
      <w:r w:rsidRPr="003C74DF">
        <w:t xml:space="preserve">Key </w:t>
      </w:r>
      <w:r w:rsidR="0018575E">
        <w:t>f</w:t>
      </w:r>
      <w:r w:rsidRPr="003C74DF">
        <w:t>indings</w:t>
      </w:r>
      <w:r w:rsidR="00C11915">
        <w:t xml:space="preserve">: </w:t>
      </w:r>
      <w:r w:rsidR="00FC5136">
        <w:t>Communication and online resources</w:t>
      </w:r>
      <w:bookmarkEnd w:id="526"/>
    </w:p>
    <w:tbl>
      <w:tblPr>
        <w:tblStyle w:val="Deloittetable"/>
        <w:tblW w:w="0" w:type="auto"/>
        <w:tblLook w:val="04A0" w:firstRow="1" w:lastRow="0" w:firstColumn="1" w:lastColumn="0" w:noHBand="0" w:noVBand="1"/>
        <w:tblDescription w:val="This table outlines the two key communication and online resources findings. These are that 1) In general, businesses have indicated that communication activities and online resources were effective in supporting businesses in understanding, implementing and managing CoOL requirements. Continued education and communication to businesses and consumers are important. More recently, communication material has not been prominent. &#10;2) The examples provided by the regulator on the definition of ‘substantial transformation’ could be more detailed as a means of providing further guidance to industry."/>
      </w:tblPr>
      <w:tblGrid>
        <w:gridCol w:w="1134"/>
        <w:gridCol w:w="7892"/>
      </w:tblGrid>
      <w:tr w:rsidR="006809B8" w14:paraId="3CFF55E4"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59627D0B" w14:textId="77777777" w:rsidR="006809B8" w:rsidRPr="00AB2F4F" w:rsidRDefault="006809B8" w:rsidP="00C546E2">
            <w:pPr>
              <w:rPr>
                <w:b/>
                <w:bCs/>
              </w:rPr>
            </w:pPr>
            <w:r>
              <w:rPr>
                <w:b/>
                <w:bCs/>
              </w:rPr>
              <w:t>Ref</w:t>
            </w:r>
          </w:p>
        </w:tc>
        <w:tc>
          <w:tcPr>
            <w:tcW w:w="7892" w:type="dxa"/>
            <w:tcBorders>
              <w:top w:val="single" w:sz="24" w:space="0" w:color="012169" w:themeColor="accent4"/>
            </w:tcBorders>
          </w:tcPr>
          <w:p w14:paraId="3263E2C4" w14:textId="65D9F88A" w:rsidR="006809B8" w:rsidRPr="00AB2F4F" w:rsidRDefault="0072196E" w:rsidP="00C546E2">
            <w:pPr>
              <w:rPr>
                <w:b/>
                <w:bCs/>
              </w:rPr>
            </w:pPr>
            <w:r w:rsidRPr="0072196E">
              <w:rPr>
                <w:b/>
                <w:bCs/>
              </w:rPr>
              <w:t>Have communication activities and online resources been effective in supporting businesses to understand, implement and manage CoOL requirements?</w:t>
            </w:r>
          </w:p>
        </w:tc>
      </w:tr>
      <w:tr w:rsidR="00603D59" w14:paraId="736F5A84" w14:textId="77777777" w:rsidTr="00594328">
        <w:tc>
          <w:tcPr>
            <w:tcW w:w="1134" w:type="dxa"/>
          </w:tcPr>
          <w:p w14:paraId="2A8ED9C1" w14:textId="68ACAA50" w:rsidR="00603D59" w:rsidRDefault="00D0625C" w:rsidP="00603D59">
            <w:r>
              <w:t>54</w:t>
            </w:r>
          </w:p>
        </w:tc>
        <w:tc>
          <w:tcPr>
            <w:tcW w:w="7892" w:type="dxa"/>
          </w:tcPr>
          <w:p w14:paraId="4544975B" w14:textId="430EAC4F" w:rsidR="00603D59" w:rsidRDefault="00603D59" w:rsidP="00603D59">
            <w:pPr>
              <w:pStyle w:val="ListBullet"/>
              <w:numPr>
                <w:ilvl w:val="0"/>
                <w:numId w:val="0"/>
              </w:numPr>
              <w:spacing w:after="170"/>
            </w:pPr>
            <w:r w:rsidRPr="00AD0ACA">
              <w:t xml:space="preserve">In general, businesses have indicated that communication activities and online resources were effective in supporting businesses in understanding, implementing and managing CoOL requirements. Continued education and communication to businesses and consumers </w:t>
            </w:r>
            <w:r w:rsidR="008408E1">
              <w:t>are</w:t>
            </w:r>
            <w:r w:rsidR="008408E1" w:rsidRPr="00AD0ACA">
              <w:t xml:space="preserve"> </w:t>
            </w:r>
            <w:r w:rsidRPr="00AD0ACA">
              <w:t>important</w:t>
            </w:r>
            <w:r>
              <w:t>.</w:t>
            </w:r>
            <w:r w:rsidRPr="00AD0ACA">
              <w:t xml:space="preserve"> </w:t>
            </w:r>
            <w:r>
              <w:t>M</w:t>
            </w:r>
            <w:r w:rsidRPr="00AD0ACA">
              <w:t>ore recently, communication material has not been prominent.</w:t>
            </w:r>
            <w:r>
              <w:t xml:space="preserve"> </w:t>
            </w:r>
          </w:p>
        </w:tc>
      </w:tr>
      <w:tr w:rsidR="00603D59" w14:paraId="42097A0F" w14:textId="77777777" w:rsidTr="00594328">
        <w:tc>
          <w:tcPr>
            <w:tcW w:w="1134" w:type="dxa"/>
          </w:tcPr>
          <w:p w14:paraId="11F07FB4" w14:textId="24F52619" w:rsidR="00603D59" w:rsidRDefault="00D0625C" w:rsidP="00603D59">
            <w:r>
              <w:t>55</w:t>
            </w:r>
          </w:p>
        </w:tc>
        <w:tc>
          <w:tcPr>
            <w:tcW w:w="7892" w:type="dxa"/>
          </w:tcPr>
          <w:p w14:paraId="525FD8B5" w14:textId="20100859" w:rsidR="00603D59" w:rsidRDefault="00603D59" w:rsidP="00603D59">
            <w:pPr>
              <w:pStyle w:val="ListBullet"/>
              <w:numPr>
                <w:ilvl w:val="0"/>
                <w:numId w:val="0"/>
              </w:numPr>
              <w:spacing w:after="170"/>
            </w:pPr>
            <w:r>
              <w:t>The</w:t>
            </w:r>
            <w:r w:rsidRPr="00AD0ACA">
              <w:t xml:space="preserve"> examples provided </w:t>
            </w:r>
            <w:r>
              <w:t xml:space="preserve">by the regulator </w:t>
            </w:r>
            <w:r w:rsidRPr="00AD0ACA">
              <w:t>on the definition of ‘substantial transformation’</w:t>
            </w:r>
            <w:r>
              <w:t xml:space="preserve"> could be more detailed as a means of providing further guidance to industry</w:t>
            </w:r>
            <w:r w:rsidR="003D46AB">
              <w:t xml:space="preserve">, noting this is currently </w:t>
            </w:r>
            <w:r w:rsidR="009865D3">
              <w:t>predominantly based on legislative and/or regulatory instruments</w:t>
            </w:r>
            <w:r>
              <w:t>.</w:t>
            </w:r>
          </w:p>
        </w:tc>
      </w:tr>
    </w:tbl>
    <w:p w14:paraId="009C7748" w14:textId="77777777" w:rsidR="009B0C14" w:rsidRDefault="00253A21" w:rsidP="009B0C14">
      <w:pPr>
        <w:pStyle w:val="Heading2"/>
      </w:pPr>
      <w:bookmarkStart w:id="527" w:name="_Ref66883278"/>
      <w:bookmarkStart w:id="528" w:name="_Toc67499143"/>
      <w:bookmarkStart w:id="529" w:name="_Toc94702071"/>
      <w:r>
        <w:lastRenderedPageBreak/>
        <w:t>Adequacy of</w:t>
      </w:r>
      <w:r w:rsidR="009B0C14" w:rsidRPr="009B0C14">
        <w:t xml:space="preserve"> the transition period</w:t>
      </w:r>
      <w:bookmarkEnd w:id="529"/>
      <w:r w:rsidR="009B0C14" w:rsidRPr="009B0C14">
        <w:t xml:space="preserve"> </w:t>
      </w:r>
      <w:bookmarkEnd w:id="527"/>
      <w:bookmarkEnd w:id="528"/>
    </w:p>
    <w:p w14:paraId="0D98B2DE" w14:textId="6BC346ED" w:rsidR="00794650" w:rsidRDefault="001802AC" w:rsidP="00593ADB">
      <w:pPr>
        <w:rPr>
          <w:rFonts w:eastAsia="Verdana" w:cs="Verdana"/>
        </w:rPr>
      </w:pPr>
      <w:r>
        <w:rPr>
          <w:rFonts w:eastAsia="Verdana" w:cs="Verdana"/>
        </w:rPr>
        <w:t xml:space="preserve">The </w:t>
      </w:r>
      <w:r w:rsidR="00BF7DD7">
        <w:rPr>
          <w:rFonts w:eastAsia="Verdana" w:cs="Verdana"/>
        </w:rPr>
        <w:t>CoOL</w:t>
      </w:r>
      <w:r>
        <w:rPr>
          <w:rFonts w:eastAsia="Verdana" w:cs="Verdana"/>
        </w:rPr>
        <w:t xml:space="preserve"> Information Standard 2016 set out a </w:t>
      </w:r>
      <w:r w:rsidR="009F1E17">
        <w:rPr>
          <w:rFonts w:eastAsia="Verdana" w:cs="Verdana"/>
        </w:rPr>
        <w:t>two</w:t>
      </w:r>
      <w:r w:rsidR="0092656F">
        <w:rPr>
          <w:rFonts w:eastAsia="Verdana" w:cs="Verdana"/>
        </w:rPr>
        <w:t>-</w:t>
      </w:r>
      <w:r>
        <w:rPr>
          <w:rFonts w:eastAsia="Verdana" w:cs="Verdana"/>
        </w:rPr>
        <w:t xml:space="preserve">year transition period, during which </w:t>
      </w:r>
      <w:r w:rsidR="00F94A74">
        <w:rPr>
          <w:rFonts w:eastAsia="Verdana" w:cs="Verdana"/>
        </w:rPr>
        <w:t xml:space="preserve">businesses could either continue labelling their products </w:t>
      </w:r>
      <w:r w:rsidR="003E3DCA">
        <w:rPr>
          <w:rFonts w:eastAsia="Verdana" w:cs="Verdana"/>
        </w:rPr>
        <w:t xml:space="preserve">as </w:t>
      </w:r>
      <w:r w:rsidR="00F94A74">
        <w:rPr>
          <w:rFonts w:eastAsia="Verdana" w:cs="Verdana"/>
        </w:rPr>
        <w:t xml:space="preserve">per the previous scheme or adopt the new labelling requirements of the Standard. </w:t>
      </w:r>
      <w:r w:rsidR="00A34B74">
        <w:rPr>
          <w:rFonts w:eastAsia="Verdana" w:cs="Verdana"/>
        </w:rPr>
        <w:t xml:space="preserve">At the end of the transition period marked by </w:t>
      </w:r>
      <w:r w:rsidR="00F20FBD">
        <w:rPr>
          <w:rFonts w:eastAsia="Verdana" w:cs="Verdana"/>
        </w:rPr>
        <w:t xml:space="preserve">1 </w:t>
      </w:r>
      <w:r w:rsidR="00F94A74">
        <w:rPr>
          <w:rFonts w:eastAsia="Verdana" w:cs="Verdana"/>
        </w:rPr>
        <w:t>July 2018</w:t>
      </w:r>
      <w:r w:rsidR="00A34B74">
        <w:rPr>
          <w:rFonts w:eastAsia="Verdana" w:cs="Verdana"/>
        </w:rPr>
        <w:t xml:space="preserve">, </w:t>
      </w:r>
      <w:r w:rsidR="00761D62">
        <w:rPr>
          <w:rFonts w:eastAsia="Verdana" w:cs="Verdana"/>
        </w:rPr>
        <w:t xml:space="preserve">food was to be sold according to the requirements of the new Standard. </w:t>
      </w:r>
      <w:r w:rsidR="00126069">
        <w:rPr>
          <w:rFonts w:eastAsia="Verdana" w:cs="Verdana"/>
        </w:rPr>
        <w:t xml:space="preserve">However, food that was packaged and labelled according to the old scheme </w:t>
      </w:r>
      <w:r w:rsidR="003F3CAD">
        <w:rPr>
          <w:rFonts w:eastAsia="Verdana" w:cs="Verdana"/>
        </w:rPr>
        <w:t xml:space="preserve">on or before </w:t>
      </w:r>
      <w:r w:rsidR="00673A5C">
        <w:rPr>
          <w:rFonts w:eastAsia="Verdana" w:cs="Verdana"/>
        </w:rPr>
        <w:t>30 June 2018</w:t>
      </w:r>
      <w:r w:rsidR="0092656F">
        <w:rPr>
          <w:rFonts w:eastAsia="Verdana" w:cs="Verdana"/>
        </w:rPr>
        <w:t>,</w:t>
      </w:r>
      <w:r w:rsidR="00673A5C">
        <w:rPr>
          <w:rFonts w:eastAsia="Verdana" w:cs="Verdana"/>
        </w:rPr>
        <w:t xml:space="preserve"> </w:t>
      </w:r>
      <w:r w:rsidR="00126069">
        <w:rPr>
          <w:rFonts w:eastAsia="Verdana" w:cs="Verdana"/>
        </w:rPr>
        <w:t>could still be sold after the transition period with the old labels</w:t>
      </w:r>
      <w:r w:rsidR="005E1F54">
        <w:rPr>
          <w:rFonts w:eastAsia="Verdana" w:cs="Verdana"/>
        </w:rPr>
        <w:t xml:space="preserve">. </w:t>
      </w:r>
    </w:p>
    <w:p w14:paraId="36129A7C" w14:textId="652F0F68" w:rsidR="00593ADB" w:rsidRDefault="00614BEB" w:rsidP="00593ADB">
      <w:pPr>
        <w:rPr>
          <w:rFonts w:eastAsia="Verdana" w:cs="Verdana"/>
        </w:rPr>
      </w:pPr>
      <w:r>
        <w:rPr>
          <w:rFonts w:eastAsia="Verdana" w:cs="Verdana"/>
        </w:rPr>
        <w:t>This</w:t>
      </w:r>
      <w:r w:rsidR="00757BD6">
        <w:rPr>
          <w:rFonts w:eastAsia="Verdana" w:cs="Verdana"/>
        </w:rPr>
        <w:t xml:space="preserve"> section </w:t>
      </w:r>
      <w:r w:rsidR="009D58A7">
        <w:rPr>
          <w:rFonts w:eastAsia="Verdana" w:cs="Verdana"/>
        </w:rPr>
        <w:t>evaluate</w:t>
      </w:r>
      <w:r w:rsidR="00433F2E">
        <w:rPr>
          <w:rFonts w:eastAsia="Verdana" w:cs="Verdana"/>
        </w:rPr>
        <w:t>s</w:t>
      </w:r>
      <w:r w:rsidR="009D58A7">
        <w:rPr>
          <w:rFonts w:eastAsia="Verdana" w:cs="Verdana"/>
        </w:rPr>
        <w:t xml:space="preserve"> whether the transition period enable</w:t>
      </w:r>
      <w:r w:rsidR="00405509">
        <w:rPr>
          <w:rFonts w:eastAsia="Verdana" w:cs="Verdana"/>
        </w:rPr>
        <w:t>d</w:t>
      </w:r>
      <w:r w:rsidR="009D58A7">
        <w:rPr>
          <w:rFonts w:eastAsia="Verdana" w:cs="Verdana"/>
        </w:rPr>
        <w:t xml:space="preserve"> businesses to implement the reforms in an efficient manner and minimise implementation costs</w:t>
      </w:r>
      <w:r w:rsidR="00433F2E">
        <w:rPr>
          <w:rFonts w:eastAsia="Verdana" w:cs="Verdana"/>
        </w:rPr>
        <w:t xml:space="preserve"> (evaluation question 20)</w:t>
      </w:r>
      <w:r w:rsidR="009D58A7">
        <w:rPr>
          <w:rFonts w:eastAsia="Verdana" w:cs="Verdana"/>
        </w:rPr>
        <w:t xml:space="preserve">. </w:t>
      </w:r>
      <w:r w:rsidR="002B1DEE">
        <w:rPr>
          <w:rFonts w:eastAsia="Verdana" w:cs="Verdana"/>
        </w:rPr>
        <w:t xml:space="preserve">The evaluation has considered </w:t>
      </w:r>
      <w:r w:rsidR="005E1F54">
        <w:rPr>
          <w:rFonts w:eastAsia="Verdana" w:cs="Verdana"/>
        </w:rPr>
        <w:t>whether</w:t>
      </w:r>
      <w:r w:rsidR="009D13C8">
        <w:rPr>
          <w:rFonts w:eastAsia="Verdana" w:cs="Verdana"/>
        </w:rPr>
        <w:t xml:space="preserve"> industry understood the business obligations with respect to the transition period, and whether</w:t>
      </w:r>
      <w:r w:rsidR="005E1F54">
        <w:rPr>
          <w:rFonts w:eastAsia="Verdana" w:cs="Verdana"/>
        </w:rPr>
        <w:t xml:space="preserve"> the trans</w:t>
      </w:r>
      <w:r w:rsidR="009D13C8">
        <w:rPr>
          <w:rFonts w:eastAsia="Verdana" w:cs="Verdana"/>
        </w:rPr>
        <w:t>ition period was sufficient</w:t>
      </w:r>
      <w:r w:rsidR="0088485D">
        <w:rPr>
          <w:rFonts w:eastAsia="Verdana" w:cs="Verdana"/>
        </w:rPr>
        <w:t xml:space="preserve"> for various </w:t>
      </w:r>
      <w:r w:rsidR="0088485D" w:rsidRPr="004B2A85">
        <w:rPr>
          <w:rFonts w:eastAsia="Verdana" w:cs="Verdana"/>
        </w:rPr>
        <w:t xml:space="preserve">industries. </w:t>
      </w:r>
      <w:r w:rsidR="002628E2" w:rsidRPr="004B2A85">
        <w:rPr>
          <w:rFonts w:eastAsia="Verdana" w:cs="Verdana"/>
        </w:rPr>
        <w:t xml:space="preserve"> </w:t>
      </w:r>
    </w:p>
    <w:p w14:paraId="02BD4FFE" w14:textId="0A5F03A6" w:rsidR="00950F47" w:rsidRDefault="003B3E73" w:rsidP="004B2A85">
      <w:pPr>
        <w:pStyle w:val="Heading3"/>
        <w:rPr>
          <w:rFonts w:eastAsia="Verdana" w:cs="Verdana"/>
        </w:rPr>
      </w:pPr>
      <w:bookmarkStart w:id="530" w:name="_Toc67499144"/>
      <w:r>
        <w:rPr>
          <w:rFonts w:eastAsia="Verdana" w:cs="Verdana"/>
        </w:rPr>
        <w:t>Less than half of businesses were aware of the transition period</w:t>
      </w:r>
      <w:bookmarkEnd w:id="530"/>
    </w:p>
    <w:p w14:paraId="33B28343" w14:textId="0E7D361D" w:rsidR="00593ADB" w:rsidRPr="00E53797" w:rsidRDefault="00593ADB" w:rsidP="00593ADB">
      <w:pPr>
        <w:rPr>
          <w:rFonts w:eastAsia="Verdana" w:cs="Verdana"/>
        </w:rPr>
      </w:pPr>
      <w:r w:rsidRPr="00E53797">
        <w:rPr>
          <w:rFonts w:eastAsia="Verdana" w:cs="Verdana"/>
        </w:rPr>
        <w:t xml:space="preserve">The results of </w:t>
      </w:r>
      <w:r w:rsidR="005F3131">
        <w:rPr>
          <w:rFonts w:eastAsia="Verdana" w:cs="Verdana"/>
        </w:rPr>
        <w:t xml:space="preserve">the </w:t>
      </w:r>
      <w:r w:rsidRPr="00E53797">
        <w:rPr>
          <w:rFonts w:eastAsia="Verdana" w:cs="Verdana"/>
        </w:rPr>
        <w:t>business survey indicate that less than half of businesses (42</w:t>
      </w:r>
      <w:r w:rsidR="00EA26A1">
        <w:rPr>
          <w:rFonts w:eastAsia="Verdana" w:cs="Verdana"/>
        </w:rPr>
        <w:t>%</w:t>
      </w:r>
      <w:r w:rsidRPr="00E53797">
        <w:rPr>
          <w:rFonts w:eastAsia="Verdana" w:cs="Verdana"/>
        </w:rPr>
        <w:t xml:space="preserve">) were aware of the </w:t>
      </w:r>
      <w:r w:rsidR="007C03BA">
        <w:rPr>
          <w:rFonts w:eastAsia="Verdana" w:cs="Verdana"/>
        </w:rPr>
        <w:t>two</w:t>
      </w:r>
      <w:r w:rsidR="003B624E">
        <w:rPr>
          <w:rFonts w:eastAsia="Verdana" w:cs="Verdana"/>
        </w:rPr>
        <w:t>-</w:t>
      </w:r>
      <w:r w:rsidRPr="00E53797">
        <w:rPr>
          <w:rFonts w:eastAsia="Verdana" w:cs="Verdana"/>
        </w:rPr>
        <w:t xml:space="preserve">year transition period from 2016 to 2018 for implementing the new CoOL requirements. As shown in </w:t>
      </w:r>
      <w:r w:rsidR="000C0AC2">
        <w:rPr>
          <w:rFonts w:eastAsia="Verdana" w:cs="Verdana"/>
        </w:rPr>
        <w:fldChar w:fldCharType="begin"/>
      </w:r>
      <w:r w:rsidR="000C0AC2">
        <w:rPr>
          <w:rFonts w:eastAsia="Verdana" w:cs="Verdana"/>
        </w:rPr>
        <w:instrText xml:space="preserve"> REF _Ref65072379 \r \h </w:instrText>
      </w:r>
      <w:r w:rsidR="000C0AC2">
        <w:rPr>
          <w:rFonts w:eastAsia="Verdana" w:cs="Verdana"/>
        </w:rPr>
      </w:r>
      <w:r w:rsidR="000C0AC2">
        <w:rPr>
          <w:rFonts w:eastAsia="Verdana" w:cs="Verdana"/>
        </w:rPr>
        <w:fldChar w:fldCharType="separate"/>
      </w:r>
      <w:r w:rsidR="0017363C">
        <w:rPr>
          <w:rFonts w:eastAsia="Verdana" w:cs="Verdana"/>
        </w:rPr>
        <w:t>Chart 6.3</w:t>
      </w:r>
      <w:r w:rsidR="000C0AC2">
        <w:rPr>
          <w:rFonts w:eastAsia="Verdana" w:cs="Verdana"/>
        </w:rPr>
        <w:fldChar w:fldCharType="end"/>
      </w:r>
      <w:r w:rsidRPr="00E53797">
        <w:rPr>
          <w:rFonts w:eastAsia="Verdana" w:cs="Verdana"/>
        </w:rPr>
        <w:t>, businesses who were very small were less aware of the transition period than small, medium and large businesses.</w:t>
      </w:r>
    </w:p>
    <w:p w14:paraId="62627FD3" w14:textId="2BDDF8EF" w:rsidR="00B330BA" w:rsidRDefault="005C3A52" w:rsidP="00243362">
      <w:pPr>
        <w:pStyle w:val="CaptionChart"/>
      </w:pPr>
      <w:bookmarkStart w:id="531" w:name="_Ref61621583"/>
      <w:bookmarkStart w:id="532" w:name="_Ref65072379"/>
      <w:bookmarkStart w:id="533" w:name="_Toc82590371"/>
      <w:r>
        <w:t>:</w:t>
      </w:r>
      <w:r w:rsidR="00B330BA">
        <w:t xml:space="preserve"> </w:t>
      </w:r>
      <w:bookmarkEnd w:id="531"/>
      <w:r w:rsidR="005463E9">
        <w:t xml:space="preserve">Business response to whether they were aware of the </w:t>
      </w:r>
      <w:r w:rsidR="007C03BA">
        <w:t>two</w:t>
      </w:r>
      <w:r w:rsidR="003B624E">
        <w:t>-</w:t>
      </w:r>
      <w:r w:rsidR="005463E9">
        <w:t>year transition period</w:t>
      </w:r>
      <w:r w:rsidR="00243362">
        <w:t xml:space="preserve"> to implement CoOL changes, by business size</w:t>
      </w:r>
      <w:bookmarkEnd w:id="532"/>
      <w:bookmarkEnd w:id="533"/>
    </w:p>
    <w:p w14:paraId="6AB5271E" w14:textId="33D61DC5" w:rsidR="007603CF" w:rsidRDefault="007603CF" w:rsidP="003E1A2F">
      <w:pPr>
        <w:pStyle w:val="Source"/>
      </w:pPr>
      <w:r w:rsidRPr="007603CF">
        <w:rPr>
          <w:noProof/>
          <w:lang w:eastAsia="en-AU"/>
        </w:rPr>
        <w:drawing>
          <wp:inline distT="0" distB="0" distL="0" distR="0" wp14:anchorId="56F05FD8" wp14:editId="52EA1D29">
            <wp:extent cx="5731510" cy="2686685"/>
            <wp:effectExtent l="0" t="0" r="2540" b="0"/>
            <wp:docPr id="289242763" name="Picture 289242763" descr="Findings for Yes are: very small business (19%), small business (39%), medium business (50%), large business (40%). Findings for no are: very small business (81%), small business (61%), medium business (50%), large busines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63" name="Picture 289242763" descr="Findings for Yes are: very small business (19%), small business (39%), medium business (50%), large business (40%). Findings for no are: very small business (81%), small business (61%), medium business (50%), large business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686685"/>
                    </a:xfrm>
                    <a:prstGeom prst="rect">
                      <a:avLst/>
                    </a:prstGeom>
                    <a:noFill/>
                    <a:ln>
                      <a:noFill/>
                    </a:ln>
                  </pic:spPr>
                </pic:pic>
              </a:graphicData>
            </a:graphic>
          </wp:inline>
        </w:drawing>
      </w:r>
    </w:p>
    <w:p w14:paraId="4FEA5782" w14:textId="3B9BFFE7" w:rsidR="003E1A2F" w:rsidRPr="00DE508C" w:rsidRDefault="003E1A2F" w:rsidP="003E1A2F">
      <w:pPr>
        <w:pStyle w:val="Source"/>
      </w:pPr>
      <w:r w:rsidRPr="00842E04">
        <w:t xml:space="preserve">Source: Deloitte Access Economics’ national </w:t>
      </w:r>
      <w:r>
        <w:t>business</w:t>
      </w:r>
      <w:r w:rsidRPr="00842E04">
        <w:t xml:space="preserve"> survey</w:t>
      </w:r>
      <w:r>
        <w:t xml:space="preserve"> (2020)</w:t>
      </w:r>
      <w:r w:rsidRPr="00842E04">
        <w:t>.</w:t>
      </w:r>
    </w:p>
    <w:p w14:paraId="6C2BFCA7" w14:textId="167B6100" w:rsidR="00AC315F" w:rsidRDefault="001A0953" w:rsidP="00AC315F">
      <w:pPr>
        <w:rPr>
          <w:rFonts w:eastAsia="Verdana" w:cs="Verdana"/>
        </w:rPr>
      </w:pPr>
      <w:r>
        <w:rPr>
          <w:rFonts w:eastAsia="Verdana" w:cs="Verdana"/>
        </w:rPr>
        <w:t>Of the</w:t>
      </w:r>
      <w:r w:rsidR="00FC0267" w:rsidRPr="00E53797">
        <w:rPr>
          <w:rFonts w:eastAsia="Verdana" w:cs="Verdana"/>
        </w:rPr>
        <w:t xml:space="preserve"> businesses </w:t>
      </w:r>
      <w:r w:rsidR="00680CED" w:rsidRPr="00E53797">
        <w:t>that</w:t>
      </w:r>
      <w:r w:rsidR="00FC0267" w:rsidRPr="00E53797">
        <w:rPr>
          <w:rFonts w:eastAsia="Verdana" w:cs="Verdana"/>
        </w:rPr>
        <w:t xml:space="preserve"> were aware of the transition period, </w:t>
      </w:r>
      <w:r w:rsidR="7F10C52A" w:rsidRPr="00E53797">
        <w:rPr>
          <w:rFonts w:eastAsia="Verdana" w:cs="Verdana"/>
        </w:rPr>
        <w:t>94</w:t>
      </w:r>
      <w:r w:rsidR="007B2C81">
        <w:rPr>
          <w:rFonts w:eastAsia="Verdana" w:cs="Verdana"/>
        </w:rPr>
        <w:t>%</w:t>
      </w:r>
      <w:r w:rsidR="7F10C52A" w:rsidRPr="00E53797">
        <w:rPr>
          <w:rFonts w:eastAsia="Verdana" w:cs="Verdana"/>
        </w:rPr>
        <w:t xml:space="preserve"> reported that the transition period enabled their business to minimise costs associated with CoOL reforms to </w:t>
      </w:r>
      <w:r w:rsidR="00787210" w:rsidRPr="00E53797">
        <w:rPr>
          <w:rFonts w:eastAsia="Verdana" w:cs="Verdana"/>
        </w:rPr>
        <w:t xml:space="preserve">at least a “small </w:t>
      </w:r>
      <w:r w:rsidR="605DFE13" w:rsidRPr="00E53797">
        <w:rPr>
          <w:rFonts w:eastAsia="Verdana" w:cs="Verdana"/>
        </w:rPr>
        <w:t>extent</w:t>
      </w:r>
      <w:r w:rsidR="00787210" w:rsidRPr="00E53797">
        <w:rPr>
          <w:rFonts w:eastAsia="Verdana" w:cs="Verdana"/>
        </w:rPr>
        <w:t>”</w:t>
      </w:r>
      <w:r w:rsidR="00C60B97" w:rsidRPr="00E53797">
        <w:rPr>
          <w:rFonts w:eastAsia="Verdana" w:cs="Verdana"/>
        </w:rPr>
        <w:t xml:space="preserve"> (</w:t>
      </w:r>
      <w:r w:rsidR="000C0AC2">
        <w:rPr>
          <w:rFonts w:eastAsia="Verdana" w:cs="Verdana"/>
        </w:rPr>
        <w:t>see</w:t>
      </w:r>
      <w:r w:rsidR="000C0AC2" w:rsidRPr="00E53797">
        <w:rPr>
          <w:rFonts w:eastAsia="Verdana" w:cs="Verdana"/>
        </w:rPr>
        <w:t xml:space="preserve"> </w:t>
      </w:r>
      <w:r w:rsidR="00680CED" w:rsidRPr="00E53797">
        <w:fldChar w:fldCharType="begin"/>
      </w:r>
      <w:r w:rsidR="00680CED" w:rsidRPr="00E53797">
        <w:instrText xml:space="preserve"> REF _Ref63109003 \r \h </w:instrText>
      </w:r>
      <w:r w:rsidR="00EC2160" w:rsidRPr="00E53797">
        <w:instrText xml:space="preserve"> \* MERGEFORMAT </w:instrText>
      </w:r>
      <w:r w:rsidR="00680CED" w:rsidRPr="00E53797">
        <w:fldChar w:fldCharType="separate"/>
      </w:r>
      <w:r w:rsidR="0017363C">
        <w:t>Chart 6.4</w:t>
      </w:r>
      <w:r w:rsidR="00680CED" w:rsidRPr="00E53797">
        <w:fldChar w:fldCharType="end"/>
      </w:r>
      <w:r w:rsidR="00C60B97" w:rsidRPr="00E53797">
        <w:t>)</w:t>
      </w:r>
      <w:r w:rsidR="605DFE13" w:rsidRPr="00E53797">
        <w:t>.</w:t>
      </w:r>
      <w:r w:rsidR="00AC315F">
        <w:rPr>
          <w:rFonts w:eastAsia="Verdana" w:cs="Verdana"/>
        </w:rPr>
        <w:t xml:space="preserve"> </w:t>
      </w:r>
    </w:p>
    <w:p w14:paraId="6E88781E" w14:textId="77777777" w:rsidR="005C3A52" w:rsidRDefault="005C3A52" w:rsidP="00680CED">
      <w:pPr>
        <w:pStyle w:val="CaptionChart"/>
      </w:pPr>
      <w:bookmarkStart w:id="534" w:name="_Toc64977619"/>
      <w:bookmarkStart w:id="535" w:name="_Toc64981874"/>
      <w:bookmarkStart w:id="536" w:name="_Toc64981937"/>
      <w:bookmarkStart w:id="537" w:name="_Toc65075013"/>
      <w:bookmarkStart w:id="538" w:name="_Toc65075081"/>
      <w:bookmarkStart w:id="539" w:name="_Ref61622109"/>
      <w:bookmarkStart w:id="540" w:name="_Ref63109003"/>
      <w:bookmarkStart w:id="541" w:name="_Toc82590372"/>
      <w:bookmarkEnd w:id="534"/>
      <w:bookmarkEnd w:id="535"/>
      <w:bookmarkEnd w:id="536"/>
      <w:bookmarkEnd w:id="537"/>
      <w:bookmarkEnd w:id="538"/>
      <w:r>
        <w:lastRenderedPageBreak/>
        <w:t xml:space="preserve">: Business response to what extent the transition period </w:t>
      </w:r>
      <w:r w:rsidR="000D39E1">
        <w:t>of CoOL reforms enabled them to minimise implementation costs</w:t>
      </w:r>
      <w:bookmarkEnd w:id="539"/>
      <w:bookmarkEnd w:id="540"/>
      <w:bookmarkEnd w:id="541"/>
      <w:r w:rsidR="000D39E1">
        <w:t xml:space="preserve"> </w:t>
      </w:r>
    </w:p>
    <w:p w14:paraId="674DBD14" w14:textId="504F4828" w:rsidR="00993DD3" w:rsidRDefault="00993DD3" w:rsidP="005C3A52">
      <w:pPr>
        <w:pStyle w:val="Source"/>
      </w:pPr>
      <w:r w:rsidRPr="00993DD3">
        <w:rPr>
          <w:noProof/>
          <w:lang w:eastAsia="en-AU"/>
        </w:rPr>
        <w:drawing>
          <wp:inline distT="0" distB="0" distL="0" distR="0" wp14:anchorId="0A64F1C0" wp14:editId="262F6840">
            <wp:extent cx="5369357" cy="2919404"/>
            <wp:effectExtent l="0" t="0" r="3175" b="0"/>
            <wp:docPr id="289242764" name="Picture 289242764" descr="Findings are: not at all (6%), to a small extent (35%), to a moderate extent (44%), to a large extent (13%), to a very large ext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64" name="Picture 289242764" descr="Findings are: not at all (6%), to a small extent (35%), to a moderate extent (44%), to a large extent (13%), to a very large extent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71272" cy="2920445"/>
                    </a:xfrm>
                    <a:prstGeom prst="rect">
                      <a:avLst/>
                    </a:prstGeom>
                    <a:noFill/>
                    <a:ln>
                      <a:noFill/>
                    </a:ln>
                  </pic:spPr>
                </pic:pic>
              </a:graphicData>
            </a:graphic>
          </wp:inline>
        </w:drawing>
      </w:r>
    </w:p>
    <w:p w14:paraId="1AB395D1" w14:textId="76604BED" w:rsidR="005C3A52" w:rsidRDefault="005C3A52" w:rsidP="005C3A52">
      <w:pPr>
        <w:pStyle w:val="Source"/>
      </w:pPr>
      <w:r w:rsidRPr="00842E04">
        <w:t xml:space="preserve">Source: Deloitte Access Economics’ national </w:t>
      </w:r>
      <w:r>
        <w:t>business</w:t>
      </w:r>
      <w:r w:rsidRPr="00842E04">
        <w:t xml:space="preserve"> survey</w:t>
      </w:r>
      <w:r>
        <w:t xml:space="preserve"> (2020)</w:t>
      </w:r>
      <w:r w:rsidRPr="00842E04">
        <w:t>.</w:t>
      </w:r>
    </w:p>
    <w:p w14:paraId="6C61A4C8" w14:textId="7B1D3311" w:rsidR="00D10587" w:rsidRPr="00D10587" w:rsidRDefault="004C671E" w:rsidP="00D10587">
      <w:r w:rsidRPr="004A7E5D">
        <w:rPr>
          <w:rFonts w:eastAsia="Verdana" w:cs="Verdana"/>
        </w:rPr>
        <w:t xml:space="preserve">Of the businesses that provided further detail, </w:t>
      </w:r>
      <w:r w:rsidRPr="004A7E5D">
        <w:t>22</w:t>
      </w:r>
      <w:r>
        <w:t>%</w:t>
      </w:r>
      <w:r w:rsidRPr="004A7E5D">
        <w:rPr>
          <w:rFonts w:eastAsia="Verdana" w:cs="Verdana"/>
        </w:rPr>
        <w:t xml:space="preserve"> indicated that the transition period gave them enough time to plan for labelling changes, </w:t>
      </w:r>
      <w:r>
        <w:rPr>
          <w:rFonts w:eastAsia="Verdana" w:cs="Verdana"/>
        </w:rPr>
        <w:t xml:space="preserve">9% </w:t>
      </w:r>
      <w:r w:rsidRPr="004A7E5D">
        <w:rPr>
          <w:rFonts w:eastAsia="Verdana" w:cs="Verdana"/>
        </w:rPr>
        <w:t>indicated that it enabled a gradual transition to take place</w:t>
      </w:r>
      <w:r>
        <w:rPr>
          <w:rFonts w:eastAsia="Verdana" w:cs="Verdana"/>
        </w:rPr>
        <w:t>,</w:t>
      </w:r>
      <w:r w:rsidRPr="004A7E5D">
        <w:rPr>
          <w:rFonts w:eastAsia="Verdana" w:cs="Verdana"/>
        </w:rPr>
        <w:t xml:space="preserve"> and </w:t>
      </w:r>
      <w:r>
        <w:rPr>
          <w:rFonts w:eastAsia="Verdana" w:cs="Verdana"/>
        </w:rPr>
        <w:t>3%</w:t>
      </w:r>
      <w:r w:rsidRPr="004A7E5D">
        <w:rPr>
          <w:rFonts w:eastAsia="Verdana" w:cs="Verdana"/>
        </w:rPr>
        <w:t xml:space="preserve"> indicated that it gave them the required flexibility to make the changes</w:t>
      </w:r>
      <w:r>
        <w:rPr>
          <w:rFonts w:eastAsia="Verdana" w:cs="Verdana"/>
        </w:rPr>
        <w:t xml:space="preserve">. </w:t>
      </w:r>
      <w:r w:rsidR="00D10587">
        <w:rPr>
          <w:rFonts w:eastAsia="Verdana" w:cs="Verdana"/>
        </w:rPr>
        <w:t>Of the sample,</w:t>
      </w:r>
      <w:r w:rsidR="00D10587" w:rsidRPr="004A7E5D">
        <w:rPr>
          <w:rFonts w:eastAsia="Verdana" w:cs="Verdana"/>
        </w:rPr>
        <w:t xml:space="preserve"> </w:t>
      </w:r>
      <w:r w:rsidR="00D10587">
        <w:rPr>
          <w:rFonts w:eastAsia="Verdana" w:cs="Verdana"/>
        </w:rPr>
        <w:t>9%</w:t>
      </w:r>
      <w:r w:rsidR="00D10587" w:rsidRPr="004A7E5D">
        <w:rPr>
          <w:rFonts w:eastAsia="Verdana" w:cs="Verdana"/>
        </w:rPr>
        <w:t xml:space="preserve"> of respondents indicated that the transition period was not </w:t>
      </w:r>
      <w:r w:rsidR="00D10587">
        <w:rPr>
          <w:rFonts w:eastAsia="Verdana" w:cs="Verdana"/>
        </w:rPr>
        <w:t>sufficient</w:t>
      </w:r>
      <w:r w:rsidR="00D10587" w:rsidRPr="004A7E5D">
        <w:rPr>
          <w:rFonts w:eastAsia="Verdana" w:cs="Verdana"/>
        </w:rPr>
        <w:t xml:space="preserve"> to implement changes and there were still write-off costs associated with the</w:t>
      </w:r>
      <w:r>
        <w:rPr>
          <w:rFonts w:eastAsia="Verdana" w:cs="Verdana"/>
        </w:rPr>
        <w:t xml:space="preserve"> reforms.</w:t>
      </w:r>
    </w:p>
    <w:p w14:paraId="76872D38" w14:textId="77777777" w:rsidR="00BC454E" w:rsidRDefault="004B35B1" w:rsidP="00BC454E">
      <w:pPr>
        <w:pStyle w:val="Heading3"/>
        <w:rPr>
          <w:rFonts w:eastAsia="Verdana" w:cs="Verdana"/>
        </w:rPr>
      </w:pPr>
      <w:bookmarkStart w:id="542" w:name="_Toc67499145"/>
      <w:r>
        <w:t>Overall, b</w:t>
      </w:r>
      <w:r w:rsidR="00BC454E">
        <w:t xml:space="preserve">usinesses </w:t>
      </w:r>
      <w:r>
        <w:t xml:space="preserve">in the business survey </w:t>
      </w:r>
      <w:r w:rsidR="00BC454E">
        <w:t>found the</w:t>
      </w:r>
      <w:r w:rsidR="00BC454E" w:rsidRPr="004B2A85">
        <w:t xml:space="preserve"> transition period sufficient</w:t>
      </w:r>
      <w:bookmarkEnd w:id="542"/>
    </w:p>
    <w:p w14:paraId="3ADEA352" w14:textId="72D90ECE" w:rsidR="7F10C52A" w:rsidRPr="00E53797" w:rsidRDefault="00AF5724">
      <w:pPr>
        <w:rPr>
          <w:rFonts w:eastAsia="Verdana" w:cs="Verdana"/>
        </w:rPr>
      </w:pPr>
      <w:r>
        <w:rPr>
          <w:rFonts w:eastAsia="Verdana" w:cs="Verdana"/>
        </w:rPr>
        <w:t>The vast majority</w:t>
      </w:r>
      <w:r w:rsidR="605DFE13" w:rsidRPr="00E53797">
        <w:rPr>
          <w:rFonts w:eastAsia="Verdana" w:cs="Verdana"/>
        </w:rPr>
        <w:t xml:space="preserve"> </w:t>
      </w:r>
      <w:r>
        <w:rPr>
          <w:rFonts w:eastAsia="Verdana" w:cs="Verdana"/>
        </w:rPr>
        <w:t>(</w:t>
      </w:r>
      <w:r w:rsidR="6C6A4031" w:rsidRPr="00E53797">
        <w:rPr>
          <w:rFonts w:eastAsia="Verdana" w:cs="Verdana"/>
        </w:rPr>
        <w:t>80</w:t>
      </w:r>
      <w:r w:rsidR="00EA26A1">
        <w:rPr>
          <w:rFonts w:eastAsia="Verdana" w:cs="Verdana"/>
        </w:rPr>
        <w:t>%</w:t>
      </w:r>
      <w:r>
        <w:rPr>
          <w:rFonts w:eastAsia="Verdana" w:cs="Verdana"/>
        </w:rPr>
        <w:t>)</w:t>
      </w:r>
      <w:r w:rsidR="04CD6E1D" w:rsidRPr="00E53797">
        <w:rPr>
          <w:rFonts w:eastAsia="Verdana" w:cs="Verdana"/>
        </w:rPr>
        <w:t xml:space="preserve"> of the </w:t>
      </w:r>
      <w:r>
        <w:rPr>
          <w:rFonts w:eastAsia="Verdana" w:cs="Verdana"/>
        </w:rPr>
        <w:t xml:space="preserve">business survey </w:t>
      </w:r>
      <w:r w:rsidR="04CD6E1D" w:rsidRPr="00E53797">
        <w:rPr>
          <w:rFonts w:eastAsia="Verdana" w:cs="Verdana"/>
        </w:rPr>
        <w:t>respondents</w:t>
      </w:r>
      <w:r>
        <w:rPr>
          <w:rFonts w:eastAsia="Verdana" w:cs="Verdana"/>
        </w:rPr>
        <w:t xml:space="preserve"> </w:t>
      </w:r>
      <w:r w:rsidR="00835BB7" w:rsidRPr="00E53797">
        <w:rPr>
          <w:rFonts w:eastAsia="Verdana" w:cs="Verdana"/>
        </w:rPr>
        <w:t xml:space="preserve">who were aware of the transition period </w:t>
      </w:r>
      <w:r w:rsidR="6C6A4031" w:rsidRPr="00E53797">
        <w:rPr>
          <w:rFonts w:eastAsia="Verdana" w:cs="Verdana"/>
        </w:rPr>
        <w:t xml:space="preserve">considered </w:t>
      </w:r>
      <w:r w:rsidR="00835BB7" w:rsidRPr="00E53797">
        <w:rPr>
          <w:rFonts w:eastAsia="Verdana" w:cs="Verdana"/>
        </w:rPr>
        <w:t xml:space="preserve">it </w:t>
      </w:r>
      <w:r w:rsidR="6C6A4031" w:rsidRPr="00E53797">
        <w:rPr>
          <w:rFonts w:eastAsia="Verdana" w:cs="Verdana"/>
        </w:rPr>
        <w:t>to be an appropriate length</w:t>
      </w:r>
      <w:r w:rsidR="69FBCDEF" w:rsidRPr="00E53797">
        <w:rPr>
          <w:rFonts w:eastAsia="Verdana" w:cs="Verdana"/>
        </w:rPr>
        <w:t xml:space="preserve"> </w:t>
      </w:r>
      <w:r w:rsidR="00835BB7" w:rsidRPr="00E53797">
        <w:rPr>
          <w:rFonts w:eastAsia="Verdana" w:cs="Verdana"/>
        </w:rPr>
        <w:t>of time</w:t>
      </w:r>
      <w:r w:rsidR="6C6A4031" w:rsidRPr="00E53797">
        <w:rPr>
          <w:rFonts w:eastAsia="Verdana" w:cs="Verdana"/>
        </w:rPr>
        <w:t>.</w:t>
      </w:r>
      <w:r w:rsidR="7F10C52A" w:rsidRPr="00E53797">
        <w:rPr>
          <w:rFonts w:eastAsia="Verdana" w:cs="Verdana"/>
        </w:rPr>
        <w:t xml:space="preserve"> </w:t>
      </w:r>
      <w:r w:rsidR="00846673">
        <w:rPr>
          <w:rFonts w:eastAsia="Verdana" w:cs="Verdana"/>
        </w:rPr>
        <w:t>V</w:t>
      </w:r>
      <w:r w:rsidR="00A93ED9" w:rsidRPr="00E53797">
        <w:rPr>
          <w:rFonts w:eastAsia="Verdana" w:cs="Verdana"/>
        </w:rPr>
        <w:t>ery small businesses</w:t>
      </w:r>
      <w:r w:rsidR="00835BB7" w:rsidRPr="00E53797">
        <w:rPr>
          <w:rFonts w:eastAsia="Verdana" w:cs="Verdana"/>
        </w:rPr>
        <w:t xml:space="preserve"> </w:t>
      </w:r>
      <w:r w:rsidR="00406386" w:rsidRPr="00E53797">
        <w:rPr>
          <w:rFonts w:eastAsia="Verdana" w:cs="Verdana"/>
        </w:rPr>
        <w:t>found it</w:t>
      </w:r>
      <w:r w:rsidR="00A93ED9" w:rsidRPr="00E53797">
        <w:rPr>
          <w:rFonts w:eastAsia="Verdana" w:cs="Verdana"/>
        </w:rPr>
        <w:t xml:space="preserve"> the </w:t>
      </w:r>
      <w:r w:rsidR="000F4AB5" w:rsidRPr="00E53797">
        <w:rPr>
          <w:rFonts w:eastAsia="Verdana" w:cs="Verdana"/>
        </w:rPr>
        <w:t>most appropriate</w:t>
      </w:r>
      <w:r w:rsidR="00D42040">
        <w:rPr>
          <w:rFonts w:eastAsia="Verdana" w:cs="Verdana"/>
        </w:rPr>
        <w:t xml:space="preserve">, while large businesses had a slightly lower </w:t>
      </w:r>
      <w:r w:rsidR="00E16D65">
        <w:rPr>
          <w:rFonts w:eastAsia="Verdana" w:cs="Verdana"/>
        </w:rPr>
        <w:t>agreement (73</w:t>
      </w:r>
      <w:r w:rsidR="00EA26A1">
        <w:rPr>
          <w:rFonts w:eastAsia="Verdana" w:cs="Verdana"/>
        </w:rPr>
        <w:t>%</w:t>
      </w:r>
      <w:r w:rsidR="00E16D65">
        <w:rPr>
          <w:rFonts w:eastAsia="Verdana" w:cs="Verdana"/>
        </w:rPr>
        <w:t>) about the sufficiency of the transition period</w:t>
      </w:r>
      <w:r w:rsidR="000F4AB5" w:rsidRPr="00E53797">
        <w:rPr>
          <w:rFonts w:eastAsia="Verdana" w:cs="Verdana"/>
        </w:rPr>
        <w:t>.</w:t>
      </w:r>
      <w:r w:rsidR="00B91EBD" w:rsidRPr="00B91EBD">
        <w:t xml:space="preserve"> </w:t>
      </w:r>
    </w:p>
    <w:p w14:paraId="59563F0C" w14:textId="77777777" w:rsidR="00EA3F42" w:rsidRDefault="00CC0766" w:rsidP="004B35B1">
      <w:pPr>
        <w:pStyle w:val="Heading3"/>
      </w:pPr>
      <w:bookmarkStart w:id="543" w:name="_Toc67499146"/>
      <w:r>
        <w:t>The adequacy of</w:t>
      </w:r>
      <w:r w:rsidR="00370463">
        <w:t xml:space="preserve"> the transition period </w:t>
      </w:r>
      <w:r>
        <w:t xml:space="preserve">varied by </w:t>
      </w:r>
      <w:r w:rsidR="004A3EDB">
        <w:t>industry</w:t>
      </w:r>
      <w:bookmarkEnd w:id="543"/>
      <w:r w:rsidR="004A3EDB">
        <w:t xml:space="preserve"> </w:t>
      </w:r>
    </w:p>
    <w:p w14:paraId="7158D7C3" w14:textId="0A2E7449" w:rsidR="009A16D1" w:rsidRPr="009A16D1" w:rsidRDefault="001D5C0D" w:rsidP="009A16D1">
      <w:r>
        <w:t>In contrast to the business survey respondents, stakeholder consultations</w:t>
      </w:r>
      <w:r w:rsidR="00BA6129">
        <w:t xml:space="preserve"> indicated varying experiences with the </w:t>
      </w:r>
      <w:r w:rsidR="001152BB">
        <w:t>two</w:t>
      </w:r>
      <w:r w:rsidR="006D6907">
        <w:t>-</w:t>
      </w:r>
      <w:r w:rsidR="00BA6129">
        <w:t>year transition period</w:t>
      </w:r>
      <w:r w:rsidR="00D63FAB">
        <w:t xml:space="preserve">. Some </w:t>
      </w:r>
      <w:r w:rsidR="00BB719C">
        <w:t>subsets of industry</w:t>
      </w:r>
      <w:r w:rsidR="006D6907">
        <w:t>,</w:t>
      </w:r>
      <w:r w:rsidR="00D63FAB">
        <w:t xml:space="preserve"> particularly</w:t>
      </w:r>
      <w:r>
        <w:t xml:space="preserve"> large</w:t>
      </w:r>
      <w:r w:rsidR="006D6907">
        <w:t>-</w:t>
      </w:r>
      <w:r>
        <w:t>scale food manufacturers</w:t>
      </w:r>
      <w:r w:rsidR="00F32406">
        <w:t>,</w:t>
      </w:r>
      <w:r>
        <w:t xml:space="preserve"> the alcohol and beverages </w:t>
      </w:r>
      <w:r w:rsidR="00F32406">
        <w:t xml:space="preserve">industry and </w:t>
      </w:r>
      <w:r w:rsidR="00CA768C">
        <w:t>processed pork</w:t>
      </w:r>
      <w:r w:rsidR="00F32406">
        <w:t xml:space="preserve"> and dairy</w:t>
      </w:r>
      <w:r>
        <w:t xml:space="preserve"> </w:t>
      </w:r>
      <w:r w:rsidR="00CA768C">
        <w:t xml:space="preserve">industries </w:t>
      </w:r>
      <w:r w:rsidR="000F6E6D">
        <w:t>wh</w:t>
      </w:r>
      <w:r w:rsidR="0099026D">
        <w:t>o</w:t>
      </w:r>
      <w:r w:rsidR="00CA768C">
        <w:t xml:space="preserve"> </w:t>
      </w:r>
      <w:r w:rsidR="0099026D">
        <w:t xml:space="preserve">produce products with a long shelf life </w:t>
      </w:r>
      <w:r w:rsidR="00CA768C">
        <w:t>or have more complex supply chains</w:t>
      </w:r>
      <w:r w:rsidR="0084041E">
        <w:t>,</w:t>
      </w:r>
      <w:r w:rsidR="00CA768C">
        <w:t xml:space="preserve"> </w:t>
      </w:r>
      <w:r w:rsidR="0099026D">
        <w:t>indicated that</w:t>
      </w:r>
      <w:r w:rsidR="00855AF9">
        <w:t xml:space="preserve"> </w:t>
      </w:r>
      <w:r>
        <w:t xml:space="preserve">the </w:t>
      </w:r>
      <w:r w:rsidR="0084041E">
        <w:t>two</w:t>
      </w:r>
      <w:r w:rsidR="006D6907">
        <w:t>-</w:t>
      </w:r>
      <w:r>
        <w:t xml:space="preserve">year transition period was </w:t>
      </w:r>
      <w:r w:rsidR="0099026D">
        <w:t>in</w:t>
      </w:r>
      <w:r>
        <w:t>sufficient</w:t>
      </w:r>
      <w:r w:rsidR="00CA768C">
        <w:t xml:space="preserve">. Some businesses experienced </w:t>
      </w:r>
      <w:r w:rsidRPr="00A455F2">
        <w:t xml:space="preserve">significant package write-off and disposal </w:t>
      </w:r>
      <w:r>
        <w:t>costs</w:t>
      </w:r>
      <w:r w:rsidR="006D6907">
        <w:t>;</w:t>
      </w:r>
      <w:r w:rsidRPr="00A455F2">
        <w:t xml:space="preserve"> </w:t>
      </w:r>
      <w:r w:rsidR="00CA768C">
        <w:t>f</w:t>
      </w:r>
      <w:r w:rsidR="00BB719C">
        <w:t xml:space="preserve">or instance, </w:t>
      </w:r>
      <w:r w:rsidR="00CA768C">
        <w:t>a</w:t>
      </w:r>
      <w:r w:rsidR="003C4705">
        <w:t xml:space="preserve"> group reported th</w:t>
      </w:r>
      <w:r w:rsidR="008F724A">
        <w:t>at 700 labels needed to be changed</w:t>
      </w:r>
      <w:r w:rsidR="00CE0AAD">
        <w:t>, and the costs incurred to implement the reforms w</w:t>
      </w:r>
      <w:r w:rsidR="00CA768C">
        <w:t>as</w:t>
      </w:r>
      <w:r w:rsidR="00CE0AAD">
        <w:t xml:space="preserve"> </w:t>
      </w:r>
      <w:r w:rsidR="00BA6129">
        <w:t>more than</w:t>
      </w:r>
      <w:r w:rsidR="00CE0AAD">
        <w:t xml:space="preserve"> $5</w:t>
      </w:r>
      <w:r w:rsidR="00E77F97">
        <w:t>.5</w:t>
      </w:r>
      <w:r w:rsidR="00984503">
        <w:t> </w:t>
      </w:r>
      <w:r w:rsidR="00E77F97">
        <w:t>million</w:t>
      </w:r>
      <w:r w:rsidR="0099671C">
        <w:t xml:space="preserve"> </w:t>
      </w:r>
      <w:r w:rsidR="00BA6129">
        <w:t>(</w:t>
      </w:r>
      <w:r w:rsidR="0099671C">
        <w:t>including label wastage, artwork redesign</w:t>
      </w:r>
      <w:r w:rsidR="00E369EA">
        <w:t>, disposal costs</w:t>
      </w:r>
      <w:r w:rsidR="001910C1">
        <w:t xml:space="preserve"> </w:t>
      </w:r>
      <w:r w:rsidR="00662794">
        <w:t>and freight costs</w:t>
      </w:r>
      <w:r w:rsidR="002155D5">
        <w:t xml:space="preserve"> and excluding </w:t>
      </w:r>
      <w:r w:rsidR="00B07478">
        <w:t>human resources costs</w:t>
      </w:r>
      <w:r w:rsidR="00BA6129">
        <w:t>)</w:t>
      </w:r>
      <w:r w:rsidR="00B07478">
        <w:t xml:space="preserve">. </w:t>
      </w:r>
    </w:p>
    <w:p w14:paraId="29A3A51B" w14:textId="1F1C2A87" w:rsidR="006335E7" w:rsidRDefault="00DA57C3" w:rsidP="00495EBF">
      <w:r>
        <w:t>Conversely, m</w:t>
      </w:r>
      <w:r w:rsidR="0029332B">
        <w:t>any</w:t>
      </w:r>
      <w:r>
        <w:t xml:space="preserve"> other</w:t>
      </w:r>
      <w:r w:rsidR="0029332B">
        <w:t xml:space="preserve"> stakeholders agreed that the transition period was sufficient. </w:t>
      </w:r>
      <w:r w:rsidR="0024575B">
        <w:t xml:space="preserve">The </w:t>
      </w:r>
      <w:r w:rsidR="006C104C">
        <w:t xml:space="preserve">Australian Chicken Meat Federation, </w:t>
      </w:r>
      <w:r w:rsidR="00154EB2">
        <w:t>NFF</w:t>
      </w:r>
      <w:r w:rsidR="006C104C">
        <w:t xml:space="preserve">, </w:t>
      </w:r>
      <w:r w:rsidR="0024575B">
        <w:t xml:space="preserve">and </w:t>
      </w:r>
      <w:r w:rsidR="006C104C">
        <w:t xml:space="preserve">Seafood Importers all commented that </w:t>
      </w:r>
      <w:r w:rsidR="00A361E1">
        <w:t>two</w:t>
      </w:r>
      <w:r w:rsidR="00DE377F">
        <w:t xml:space="preserve"> years was an</w:t>
      </w:r>
      <w:r w:rsidR="00FE5655">
        <w:t xml:space="preserve"> adequate period for their members to comply with the CoOL requirements.</w:t>
      </w:r>
      <w:r w:rsidR="000F2348">
        <w:t xml:space="preserve"> </w:t>
      </w:r>
      <w:r w:rsidR="0024575B">
        <w:t>R</w:t>
      </w:r>
      <w:r w:rsidR="008136CE">
        <w:t>epresentative</w:t>
      </w:r>
      <w:r w:rsidR="0024575B">
        <w:t>s</w:t>
      </w:r>
      <w:r w:rsidR="008136CE">
        <w:t xml:space="preserve"> from </w:t>
      </w:r>
      <w:r w:rsidR="000F2348">
        <w:t>Seafood Importers</w:t>
      </w:r>
      <w:r w:rsidR="008136CE">
        <w:t xml:space="preserve"> suggested that</w:t>
      </w:r>
      <w:r w:rsidR="009D6CFA">
        <w:t xml:space="preserve"> given its members </w:t>
      </w:r>
      <w:r w:rsidR="00D860E4">
        <w:t>review the labelling artwork at least once every two years</w:t>
      </w:r>
      <w:r w:rsidR="006E2CE7">
        <w:t>, any changes to the labelling requirements would naturally be captured</w:t>
      </w:r>
      <w:r w:rsidR="003E5400">
        <w:t xml:space="preserve"> in the transition period. </w:t>
      </w:r>
    </w:p>
    <w:p w14:paraId="11E34323" w14:textId="494F47DF" w:rsidR="003A4F30" w:rsidRDefault="000E370E" w:rsidP="004939D1">
      <w:r w:rsidRPr="000E370E">
        <w:t xml:space="preserve">Representatives of the regulator </w:t>
      </w:r>
      <w:r w:rsidR="00EB428C">
        <w:t xml:space="preserve">and state agriculture departments </w:t>
      </w:r>
      <w:r w:rsidRPr="000E370E">
        <w:t>agreed</w:t>
      </w:r>
      <w:r w:rsidR="00F32406">
        <w:t>,</w:t>
      </w:r>
      <w:r w:rsidRPr="000E370E">
        <w:t xml:space="preserve"> however</w:t>
      </w:r>
      <w:r w:rsidR="00F32406">
        <w:t>,</w:t>
      </w:r>
      <w:r w:rsidRPr="000E370E">
        <w:t xml:space="preserve"> that some industries, in particular</w:t>
      </w:r>
      <w:r w:rsidR="006D6907">
        <w:t>,</w:t>
      </w:r>
      <w:r w:rsidRPr="000E370E">
        <w:t xml:space="preserve"> dairy</w:t>
      </w:r>
      <w:r w:rsidR="00EB428C">
        <w:t xml:space="preserve"> and the processed foods sector</w:t>
      </w:r>
      <w:r w:rsidRPr="000E370E">
        <w:t>, had specific issues that challenged the adequacy of the implementation period</w:t>
      </w:r>
      <w:r w:rsidR="00EB428C">
        <w:t>.</w:t>
      </w:r>
      <w:r w:rsidRPr="000E370E">
        <w:t xml:space="preserve"> </w:t>
      </w:r>
      <w:r w:rsidR="00C146C2">
        <w:t>R</w:t>
      </w:r>
      <w:r w:rsidR="004A0D2A">
        <w:t>epresentative</w:t>
      </w:r>
      <w:r w:rsidR="00C146C2">
        <w:t>s</w:t>
      </w:r>
      <w:r w:rsidR="004A0D2A">
        <w:t xml:space="preserve"> from </w:t>
      </w:r>
      <w:r w:rsidR="005A56B3">
        <w:t xml:space="preserve">the </w:t>
      </w:r>
      <w:r w:rsidR="001B4521">
        <w:t>Australian Dairy Industry Council</w:t>
      </w:r>
      <w:r w:rsidR="004A0D2A">
        <w:t xml:space="preserve"> </w:t>
      </w:r>
      <w:r w:rsidR="00D65F5E">
        <w:t xml:space="preserve">commented </w:t>
      </w:r>
      <w:r w:rsidR="00406EBC">
        <w:t xml:space="preserve">that </w:t>
      </w:r>
      <w:r w:rsidR="00D65F5E">
        <w:t xml:space="preserve">the </w:t>
      </w:r>
      <w:r w:rsidR="008E69F7">
        <w:t>tw</w:t>
      </w:r>
      <w:r w:rsidR="00A07C76">
        <w:t>o</w:t>
      </w:r>
      <w:r w:rsidR="006D6907">
        <w:t>-</w:t>
      </w:r>
      <w:r w:rsidR="00645F4A">
        <w:t xml:space="preserve">year </w:t>
      </w:r>
      <w:r w:rsidR="00D65F5E">
        <w:t xml:space="preserve">transition period </w:t>
      </w:r>
      <w:r w:rsidR="001D2195">
        <w:t>was not long enough, and a</w:t>
      </w:r>
      <w:r w:rsidR="00D65F5E">
        <w:t xml:space="preserve"> challenge for </w:t>
      </w:r>
      <w:r w:rsidR="00D65F5E">
        <w:lastRenderedPageBreak/>
        <w:t>their members</w:t>
      </w:r>
      <w:r w:rsidR="00587C09">
        <w:t xml:space="preserve"> </w:t>
      </w:r>
      <w:r w:rsidR="00D5660A">
        <w:t>to comply with the new CoOL requirements</w:t>
      </w:r>
      <w:r w:rsidR="00BB11DD">
        <w:t>. I</w:t>
      </w:r>
      <w:r w:rsidR="00356CB7">
        <w:t xml:space="preserve">t was difficult </w:t>
      </w:r>
      <w:r w:rsidR="00AF5651">
        <w:t xml:space="preserve">for some members to access country of origin information for some ingredients </w:t>
      </w:r>
      <w:r w:rsidR="00922A20">
        <w:t xml:space="preserve">as the whole industry </w:t>
      </w:r>
      <w:r w:rsidR="006D6907">
        <w:t>was</w:t>
      </w:r>
      <w:r w:rsidR="00922A20">
        <w:t xml:space="preserve"> using the same</w:t>
      </w:r>
      <w:r w:rsidR="00DC41E9">
        <w:t xml:space="preserve"> resources,</w:t>
      </w:r>
      <w:r w:rsidR="002A2DAE">
        <w:t xml:space="preserve"> such as food scales to measure the weight of various ingredients,</w:t>
      </w:r>
      <w:r w:rsidR="00DC41E9">
        <w:t xml:space="preserve"> which </w:t>
      </w:r>
      <w:r w:rsidR="0080507E">
        <w:t xml:space="preserve">placed a burden on them given the strict transition period timeframe. </w:t>
      </w:r>
      <w:r w:rsidR="00C90135">
        <w:t>In addition,</w:t>
      </w:r>
      <w:r w:rsidR="00B50654" w:rsidRPr="00B50654">
        <w:t xml:space="preserve"> </w:t>
      </w:r>
      <w:r w:rsidR="00C90135">
        <w:t>the</w:t>
      </w:r>
      <w:r w:rsidR="00B50654" w:rsidRPr="00B50654">
        <w:t xml:space="preserve"> issue </w:t>
      </w:r>
      <w:r w:rsidR="00C90135">
        <w:t xml:space="preserve">of whether the use of starter culture resulted in substantial transformation </w:t>
      </w:r>
      <w:r w:rsidR="00B50654" w:rsidRPr="00B50654">
        <w:t>was not covered in the ACCC guidelines</w:t>
      </w:r>
      <w:r w:rsidR="003462BE">
        <w:t>,</w:t>
      </w:r>
      <w:r w:rsidR="00B50654" w:rsidRPr="00B50654">
        <w:t xml:space="preserve"> and as such this delayed the implementation of the CoOL regulations. DAWE indicate </w:t>
      </w:r>
      <w:r w:rsidR="00946471">
        <w:t xml:space="preserve">that </w:t>
      </w:r>
      <w:r w:rsidR="00B50654" w:rsidRPr="00B50654">
        <w:t xml:space="preserve">this had cost impacts on industry </w:t>
      </w:r>
      <w:r w:rsidR="00946471">
        <w:t>due to</w:t>
      </w:r>
      <w:r w:rsidR="00B50654" w:rsidRPr="00B50654">
        <w:t xml:space="preserve"> relabelling to comply with updated CoOL regulations. </w:t>
      </w:r>
      <w:r w:rsidR="00E547F6">
        <w:t>T</w:t>
      </w:r>
      <w:r w:rsidR="00B50654" w:rsidRPr="00B50654">
        <w:t xml:space="preserve">he timeframe </w:t>
      </w:r>
      <w:r w:rsidR="00E547F6">
        <w:t xml:space="preserve">was </w:t>
      </w:r>
      <w:r w:rsidR="008B7788">
        <w:t>reported to be</w:t>
      </w:r>
      <w:r w:rsidR="00B50654" w:rsidRPr="00B50654">
        <w:t xml:space="preserve"> difficult</w:t>
      </w:r>
      <w:r w:rsidR="00E547F6">
        <w:t xml:space="preserve"> for t</w:t>
      </w:r>
      <w:r w:rsidR="008B7788">
        <w:t>he pork industry</w:t>
      </w:r>
      <w:r w:rsidR="00B50654" w:rsidRPr="00B50654">
        <w:t xml:space="preserve"> due to its reliance on imports.</w:t>
      </w:r>
      <w:r w:rsidR="003A4F30" w:rsidRPr="003A4F30">
        <w:t xml:space="preserve"> </w:t>
      </w:r>
    </w:p>
    <w:p w14:paraId="39C7993B" w14:textId="3EE57854" w:rsidR="00DD0694" w:rsidRDefault="003A4F30" w:rsidP="004939D1">
      <w:r w:rsidRPr="003A4F30">
        <w:t xml:space="preserve">The </w:t>
      </w:r>
      <w:r w:rsidR="00552BA6">
        <w:rPr>
          <w:lang w:val="en-GB"/>
        </w:rPr>
        <w:t>Food and Beverage Importers Association (</w:t>
      </w:r>
      <w:r w:rsidRPr="003A4F30">
        <w:t>FBIA</w:t>
      </w:r>
      <w:r w:rsidR="00552BA6">
        <w:t>)</w:t>
      </w:r>
      <w:r w:rsidRPr="003A4F30">
        <w:t xml:space="preserve"> also reported the implementation timeframe was too short for their members, particularly for large businesses with a large quantity of SKUs. </w:t>
      </w:r>
      <w:r>
        <w:t>In one instance, this cost exceeded $1.0 million as the business had hundreds of SKUs to relabel.</w:t>
      </w:r>
      <w:r w:rsidR="00F0762A" w:rsidRPr="00F0762A">
        <w:t xml:space="preserve"> </w:t>
      </w:r>
      <w:r w:rsidR="007E44D1">
        <w:t>Furthermore, a</w:t>
      </w:r>
      <w:r w:rsidR="007E44D1" w:rsidRPr="007E44D1">
        <w:t xml:space="preserve"> food manufacturer reported that the two-year transition period was sufficient for retail products, but not for foodservice products as longer shelf life products and bulk packaging incurred additional waste and product write-off.</w:t>
      </w:r>
    </w:p>
    <w:p w14:paraId="02E3F30C" w14:textId="1C933EC8" w:rsidR="007324DD" w:rsidRDefault="00E33622">
      <w:r>
        <w:t>Ai</w:t>
      </w:r>
      <w:r w:rsidR="004712AF">
        <w:t xml:space="preserve"> </w:t>
      </w:r>
      <w:r>
        <w:t xml:space="preserve">Group </w:t>
      </w:r>
      <w:r w:rsidR="005E0485">
        <w:t>would have preferred a</w:t>
      </w:r>
      <w:r w:rsidR="00D52FD2">
        <w:t xml:space="preserve"> transition period </w:t>
      </w:r>
      <w:r w:rsidR="003B6DD1">
        <w:t xml:space="preserve">ranging from at least </w:t>
      </w:r>
      <w:r w:rsidR="00592483">
        <w:t xml:space="preserve">two to four </w:t>
      </w:r>
      <w:r w:rsidR="003B6DD1">
        <w:t>years</w:t>
      </w:r>
      <w:r w:rsidR="00132C0D">
        <w:t>.</w:t>
      </w:r>
      <w:r w:rsidR="002C5823">
        <w:rPr>
          <w:rStyle w:val="FootnoteReference"/>
        </w:rPr>
        <w:footnoteReference w:id="102"/>
      </w:r>
      <w:r w:rsidR="001B2485">
        <w:t xml:space="preserve"> </w:t>
      </w:r>
      <w:r w:rsidR="006E1F8C">
        <w:t xml:space="preserve">Similarly, the </w:t>
      </w:r>
      <w:r w:rsidR="00CC1D94">
        <w:t xml:space="preserve">NRA have recommended a transition period of </w:t>
      </w:r>
      <w:r w:rsidR="006C3457">
        <w:t>four</w:t>
      </w:r>
      <w:r w:rsidR="00CC1D94">
        <w:t xml:space="preserve"> years.</w:t>
      </w:r>
      <w:r w:rsidR="00CC1D94" w:rsidRPr="003233FF">
        <w:rPr>
          <w:color w:val="046A38" w:themeColor="accent2"/>
        </w:rPr>
        <w:t xml:space="preserve"> </w:t>
      </w:r>
      <w:r w:rsidR="00CC1D94" w:rsidRPr="00BF1ECB">
        <w:rPr>
          <w:rFonts w:eastAsia="Verdana" w:cs="Verdana"/>
        </w:rPr>
        <w:t xml:space="preserve">Among business survey respondents that were not satisfied with the </w:t>
      </w:r>
      <w:r w:rsidR="006C3457">
        <w:rPr>
          <w:rFonts w:eastAsia="Verdana" w:cs="Verdana"/>
        </w:rPr>
        <w:t>two</w:t>
      </w:r>
      <w:r w:rsidR="006D6907">
        <w:rPr>
          <w:rFonts w:eastAsia="Verdana" w:cs="Verdana"/>
        </w:rPr>
        <w:t>-</w:t>
      </w:r>
      <w:r w:rsidR="00CC1D94" w:rsidRPr="00BF1ECB">
        <w:rPr>
          <w:rFonts w:eastAsia="Verdana" w:cs="Verdana"/>
        </w:rPr>
        <w:t xml:space="preserve">year transition period, alternative suggested lengths ranged from </w:t>
      </w:r>
      <w:r w:rsidR="006D6AB7">
        <w:rPr>
          <w:rFonts w:eastAsia="Verdana" w:cs="Verdana"/>
        </w:rPr>
        <w:t>three</w:t>
      </w:r>
      <w:r w:rsidR="00CC1D94" w:rsidRPr="00BF1ECB">
        <w:rPr>
          <w:rFonts w:eastAsia="Verdana" w:cs="Verdana"/>
        </w:rPr>
        <w:t xml:space="preserve"> months to </w:t>
      </w:r>
      <w:r w:rsidR="00CC1D94">
        <w:rPr>
          <w:rFonts w:eastAsia="Verdana" w:cs="Verdana"/>
        </w:rPr>
        <w:t>five</w:t>
      </w:r>
      <w:r w:rsidR="00CC1D94" w:rsidRPr="00BF1ECB">
        <w:rPr>
          <w:rFonts w:eastAsia="Verdana" w:cs="Verdana"/>
        </w:rPr>
        <w:t xml:space="preserve"> years.</w:t>
      </w:r>
      <w:r w:rsidR="002C5823">
        <w:rPr>
          <w:rFonts w:eastAsia="Verdana" w:cs="Verdana"/>
        </w:rPr>
        <w:t xml:space="preserve"> </w:t>
      </w:r>
    </w:p>
    <w:p w14:paraId="1F891C1E" w14:textId="77777777" w:rsidR="006809B8" w:rsidRDefault="00EC21CC" w:rsidP="006809B8">
      <w:pPr>
        <w:pStyle w:val="Heading3"/>
      </w:pPr>
      <w:bookmarkStart w:id="544" w:name="_Toc66699493"/>
      <w:bookmarkStart w:id="545" w:name="_Toc66774434"/>
      <w:bookmarkStart w:id="546" w:name="_Toc66699494"/>
      <w:bookmarkStart w:id="547" w:name="_Toc66774435"/>
      <w:bookmarkStart w:id="548" w:name="_Toc66699554"/>
      <w:bookmarkStart w:id="549" w:name="_Toc66774495"/>
      <w:bookmarkStart w:id="550" w:name="_Toc66699555"/>
      <w:bookmarkStart w:id="551" w:name="_Toc66774496"/>
      <w:bookmarkStart w:id="552" w:name="_Toc67499148"/>
      <w:bookmarkEnd w:id="544"/>
      <w:bookmarkEnd w:id="545"/>
      <w:bookmarkEnd w:id="546"/>
      <w:bookmarkEnd w:id="547"/>
      <w:bookmarkEnd w:id="548"/>
      <w:bookmarkEnd w:id="549"/>
      <w:bookmarkEnd w:id="550"/>
      <w:bookmarkEnd w:id="551"/>
      <w:r w:rsidRPr="00E53797">
        <w:t xml:space="preserve">Key </w:t>
      </w:r>
      <w:r w:rsidR="000144ED">
        <w:t>f</w:t>
      </w:r>
      <w:r w:rsidRPr="00E53797">
        <w:t>indings</w:t>
      </w:r>
      <w:r w:rsidR="00FC5136">
        <w:t>: Transition period</w:t>
      </w:r>
      <w:bookmarkEnd w:id="552"/>
    </w:p>
    <w:tbl>
      <w:tblPr>
        <w:tblStyle w:val="Deloittetable"/>
        <w:tblW w:w="0" w:type="auto"/>
        <w:tblLook w:val="04A0" w:firstRow="1" w:lastRow="0" w:firstColumn="1" w:lastColumn="0" w:noHBand="0" w:noVBand="1"/>
        <w:tblDescription w:val="This table outlines the two key findings related to the transition period. These are that 1) Most businesses indicated the two-year transition period was sufficient to implement the reforms in an efficient manner. &#10;2) Certain businesses – including large retailers and businesses in the processed foods sector - stated that the two-year transition period was insufficient and resulted in significant package write-off and disposal costs. Businesses of this type suggested that a transition period of four years would be more appropriate for any future changes of a similar magnitude."/>
      </w:tblPr>
      <w:tblGrid>
        <w:gridCol w:w="1134"/>
        <w:gridCol w:w="7892"/>
      </w:tblGrid>
      <w:tr w:rsidR="006809B8" w14:paraId="01514504"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6A087526" w14:textId="77777777" w:rsidR="006809B8" w:rsidRPr="00AB2F4F" w:rsidRDefault="006809B8" w:rsidP="00C546E2">
            <w:pPr>
              <w:rPr>
                <w:b/>
                <w:bCs/>
              </w:rPr>
            </w:pPr>
            <w:r>
              <w:rPr>
                <w:b/>
                <w:bCs/>
              </w:rPr>
              <w:t>Ref</w:t>
            </w:r>
          </w:p>
        </w:tc>
        <w:tc>
          <w:tcPr>
            <w:tcW w:w="7892" w:type="dxa"/>
            <w:tcBorders>
              <w:top w:val="single" w:sz="24" w:space="0" w:color="012169" w:themeColor="accent4"/>
            </w:tcBorders>
          </w:tcPr>
          <w:p w14:paraId="6183333B" w14:textId="07EB77F9" w:rsidR="006809B8" w:rsidRPr="00AB2F4F" w:rsidRDefault="0072196E" w:rsidP="00C546E2">
            <w:pPr>
              <w:rPr>
                <w:b/>
                <w:bCs/>
              </w:rPr>
            </w:pPr>
            <w:r w:rsidRPr="0072196E">
              <w:rPr>
                <w:b/>
                <w:bCs/>
              </w:rPr>
              <w:t>Did the transition period enable businesses to implement the reforms in an efficient manner, and minimise implementation costs?</w:t>
            </w:r>
          </w:p>
        </w:tc>
      </w:tr>
      <w:tr w:rsidR="00603D59" w14:paraId="2B1952F1" w14:textId="77777777" w:rsidTr="00594328">
        <w:tc>
          <w:tcPr>
            <w:tcW w:w="1134" w:type="dxa"/>
          </w:tcPr>
          <w:p w14:paraId="25D1511E" w14:textId="69228B57" w:rsidR="00603D59" w:rsidRDefault="00D0625C" w:rsidP="00603D59">
            <w:r>
              <w:t>56</w:t>
            </w:r>
          </w:p>
        </w:tc>
        <w:tc>
          <w:tcPr>
            <w:tcW w:w="7892" w:type="dxa"/>
          </w:tcPr>
          <w:p w14:paraId="6A21BB3F" w14:textId="6D486B36" w:rsidR="00603D59" w:rsidRDefault="00603D59" w:rsidP="00603D59">
            <w:pPr>
              <w:pStyle w:val="ListBullet"/>
              <w:numPr>
                <w:ilvl w:val="0"/>
                <w:numId w:val="0"/>
              </w:numPr>
              <w:spacing w:after="170"/>
            </w:pPr>
            <w:r w:rsidRPr="00193D71">
              <w:t xml:space="preserve">Most businesses indicated the </w:t>
            </w:r>
            <w:r w:rsidR="009254F6">
              <w:t>two</w:t>
            </w:r>
            <w:r w:rsidR="006D6907">
              <w:t>-</w:t>
            </w:r>
            <w:r w:rsidRPr="00193D71">
              <w:t xml:space="preserve">year transition period was sufficient to implement the reforms in an efficient manner. </w:t>
            </w:r>
          </w:p>
        </w:tc>
      </w:tr>
      <w:tr w:rsidR="00603D59" w14:paraId="0DBEE386" w14:textId="77777777" w:rsidTr="00594328">
        <w:tc>
          <w:tcPr>
            <w:tcW w:w="1134" w:type="dxa"/>
          </w:tcPr>
          <w:p w14:paraId="058FAAB1" w14:textId="0E45DD6C" w:rsidR="00603D59" w:rsidRDefault="00D0625C" w:rsidP="00603D59">
            <w:r>
              <w:t>57</w:t>
            </w:r>
          </w:p>
        </w:tc>
        <w:tc>
          <w:tcPr>
            <w:tcW w:w="7892" w:type="dxa"/>
          </w:tcPr>
          <w:p w14:paraId="7393F22F" w14:textId="294C33CE" w:rsidR="00603D59" w:rsidRDefault="00603D59" w:rsidP="00603D59">
            <w:pPr>
              <w:pStyle w:val="ListBullet"/>
              <w:numPr>
                <w:ilvl w:val="0"/>
                <w:numId w:val="0"/>
              </w:numPr>
              <w:spacing w:after="170"/>
            </w:pPr>
            <w:r>
              <w:t>Certain businesses – including l</w:t>
            </w:r>
            <w:r w:rsidRPr="00193D71">
              <w:t xml:space="preserve">arge </w:t>
            </w:r>
            <w:r>
              <w:t>retailers and</w:t>
            </w:r>
            <w:r w:rsidRPr="00193D71">
              <w:t xml:space="preserve"> businesses in the </w:t>
            </w:r>
            <w:r>
              <w:t>processed</w:t>
            </w:r>
            <w:r w:rsidRPr="00193D71">
              <w:t xml:space="preserve"> foods sector </w:t>
            </w:r>
            <w:r>
              <w:t xml:space="preserve">- </w:t>
            </w:r>
            <w:r w:rsidRPr="00193D71">
              <w:t xml:space="preserve">stated </w:t>
            </w:r>
            <w:r>
              <w:t xml:space="preserve">that </w:t>
            </w:r>
            <w:r w:rsidRPr="00193D71">
              <w:t xml:space="preserve">the </w:t>
            </w:r>
            <w:r w:rsidR="009254F6">
              <w:t>two</w:t>
            </w:r>
            <w:r w:rsidR="006D6907">
              <w:t>-</w:t>
            </w:r>
            <w:r w:rsidRPr="00193D71">
              <w:t xml:space="preserve">year transition period was insufficient and resulted in significant package write-off and disposal costs. </w:t>
            </w:r>
            <w:r>
              <w:t xml:space="preserve">Businesses of this type suggested that a transition period of </w:t>
            </w:r>
            <w:r w:rsidR="009254F6">
              <w:t>four</w:t>
            </w:r>
            <w:r>
              <w:t xml:space="preserve"> years would be more appropriate for any future changes of a similar magnitude.</w:t>
            </w:r>
          </w:p>
        </w:tc>
      </w:tr>
    </w:tbl>
    <w:p w14:paraId="6F2B3543" w14:textId="77777777" w:rsidR="009B0C14" w:rsidRDefault="00686D7A" w:rsidP="00BF1ECB">
      <w:pPr>
        <w:pStyle w:val="Heading2"/>
      </w:pPr>
      <w:bookmarkStart w:id="553" w:name="_Toc67499149"/>
      <w:bookmarkStart w:id="554" w:name="_Toc94702072"/>
      <w:r>
        <w:t>Cost to</w:t>
      </w:r>
      <w:r w:rsidR="009B0C14" w:rsidRPr="009B0C14">
        <w:t xml:space="preserve"> business </w:t>
      </w:r>
      <w:r>
        <w:t>of</w:t>
      </w:r>
      <w:r w:rsidR="009B0C14" w:rsidRPr="009B0C14">
        <w:t xml:space="preserve"> CoOL requirements</w:t>
      </w:r>
      <w:bookmarkEnd w:id="553"/>
      <w:bookmarkEnd w:id="554"/>
    </w:p>
    <w:p w14:paraId="67A74446" w14:textId="20313A5F" w:rsidR="00A53780" w:rsidRPr="00E53797" w:rsidRDefault="004C6802" w:rsidP="006C300D">
      <w:r w:rsidRPr="00E53797">
        <w:t>Th</w:t>
      </w:r>
      <w:r>
        <w:t>e section below draws on the business survey and CBA to evaluate the realised costs to business associated with meeting the new CoOL requirements (</w:t>
      </w:r>
      <w:r w:rsidR="000B41CC">
        <w:t>e</w:t>
      </w:r>
      <w:r>
        <w:t xml:space="preserve">valuation </w:t>
      </w:r>
      <w:r w:rsidR="000B41CC">
        <w:t>q</w:t>
      </w:r>
      <w:r>
        <w:t xml:space="preserve">uestion 22). The response considers the type of costs, the costs with regard to expectations, the cost per SKU, and the realised costs across the whole </w:t>
      </w:r>
      <w:r w:rsidR="00E670FE">
        <w:t>scheme</w:t>
      </w:r>
      <w:r>
        <w:t xml:space="preserve"> </w:t>
      </w:r>
      <w:r w:rsidR="007E44D1">
        <w:t xml:space="preserve">for </w:t>
      </w:r>
      <w:r>
        <w:t>major cost categories.</w:t>
      </w:r>
    </w:p>
    <w:p w14:paraId="16F311DD" w14:textId="5FD3CC93" w:rsidR="00A53780" w:rsidRDefault="00127405" w:rsidP="00E53797">
      <w:pPr>
        <w:pStyle w:val="Heading3"/>
      </w:pPr>
      <w:bookmarkStart w:id="555" w:name="_Toc64925942"/>
      <w:bookmarkStart w:id="556" w:name="_Toc65074728"/>
      <w:bookmarkStart w:id="557" w:name="_Toc65088510"/>
      <w:bookmarkStart w:id="558" w:name="_Toc64925943"/>
      <w:bookmarkStart w:id="559" w:name="_Toc65074729"/>
      <w:bookmarkStart w:id="560" w:name="_Toc65088511"/>
      <w:bookmarkStart w:id="561" w:name="_Ref66347148"/>
      <w:bookmarkStart w:id="562" w:name="_Toc67499150"/>
      <w:bookmarkEnd w:id="555"/>
      <w:bookmarkEnd w:id="556"/>
      <w:bookmarkEnd w:id="557"/>
      <w:bookmarkEnd w:id="558"/>
      <w:bookmarkEnd w:id="559"/>
      <w:bookmarkEnd w:id="560"/>
      <w:r>
        <w:t>Costs were largely as expected for business</w:t>
      </w:r>
      <w:bookmarkEnd w:id="561"/>
      <w:bookmarkEnd w:id="562"/>
    </w:p>
    <w:p w14:paraId="06011C5D" w14:textId="71E07F20" w:rsidR="00050AA8" w:rsidRDefault="00050AA8" w:rsidP="00050AA8">
      <w:r>
        <w:t>Consultation with stakeholders revealed several cost categories to business. These costs include</w:t>
      </w:r>
      <w:r w:rsidR="00F6364B">
        <w:t>,</w:t>
      </w:r>
      <w:r>
        <w:t xml:space="preserve"> but are not limited to</w:t>
      </w:r>
      <w:r w:rsidR="00F6364B">
        <w:t>,</w:t>
      </w:r>
      <w:r>
        <w:t xml:space="preserve"> updating packaging artwork costs, information costs</w:t>
      </w:r>
      <w:r w:rsidR="004939D1">
        <w:t xml:space="preserve"> (associated with ingredient sourcing)</w:t>
      </w:r>
      <w:r>
        <w:t xml:space="preserve">, ongoing administrative costs, costs associated with updating information on websites and legal fees. </w:t>
      </w:r>
    </w:p>
    <w:p w14:paraId="73A9BD6D" w14:textId="7162209B" w:rsidR="00391459" w:rsidRPr="00E53797" w:rsidRDefault="007E44D1" w:rsidP="365DEABA">
      <w:pPr>
        <w:spacing w:line="257" w:lineRule="auto"/>
        <w:rPr>
          <w:rFonts w:eastAsia="Verdana" w:cs="Verdana"/>
        </w:rPr>
      </w:pPr>
      <w:r>
        <w:rPr>
          <w:rFonts w:eastAsia="Verdana" w:cs="Verdana"/>
        </w:rPr>
        <w:t>Most</w:t>
      </w:r>
      <w:r w:rsidR="004404CA" w:rsidRPr="00E53797">
        <w:rPr>
          <w:rFonts w:eastAsia="Verdana" w:cs="Verdana"/>
        </w:rPr>
        <w:t xml:space="preserve"> respondents</w:t>
      </w:r>
      <w:r w:rsidR="005B1355" w:rsidRPr="00E53797">
        <w:rPr>
          <w:rFonts w:eastAsia="Verdana" w:cs="Verdana"/>
        </w:rPr>
        <w:t xml:space="preserve"> (56</w:t>
      </w:r>
      <w:r w:rsidR="007B2C81">
        <w:rPr>
          <w:rFonts w:eastAsia="Verdana" w:cs="Verdana"/>
        </w:rPr>
        <w:t>%</w:t>
      </w:r>
      <w:r w:rsidR="005B1355" w:rsidRPr="00E53797">
        <w:rPr>
          <w:rFonts w:eastAsia="Verdana" w:cs="Verdana"/>
        </w:rPr>
        <w:t>)</w:t>
      </w:r>
      <w:r w:rsidR="004404CA" w:rsidRPr="00E53797">
        <w:rPr>
          <w:rFonts w:eastAsia="Verdana" w:cs="Verdana"/>
        </w:rPr>
        <w:t xml:space="preserve"> to </w:t>
      </w:r>
      <w:r w:rsidR="004939D1">
        <w:rPr>
          <w:rFonts w:eastAsia="Verdana" w:cs="Verdana"/>
        </w:rPr>
        <w:t xml:space="preserve">the </w:t>
      </w:r>
      <w:r w:rsidR="230B556A" w:rsidRPr="00E53797">
        <w:rPr>
          <w:rFonts w:eastAsia="Verdana" w:cs="Verdana"/>
        </w:rPr>
        <w:t>business survey</w:t>
      </w:r>
      <w:r w:rsidR="051EB25C" w:rsidRPr="00E53797">
        <w:rPr>
          <w:rFonts w:eastAsia="Verdana" w:cs="Verdana"/>
        </w:rPr>
        <w:t xml:space="preserve"> reported that the realised cost of implementing the new CoOL </w:t>
      </w:r>
      <w:r w:rsidR="000437DB" w:rsidRPr="00E53797">
        <w:rPr>
          <w:rFonts w:eastAsia="Verdana" w:cs="Verdana"/>
        </w:rPr>
        <w:t xml:space="preserve">reforms </w:t>
      </w:r>
      <w:r w:rsidR="051EB25C" w:rsidRPr="00E53797">
        <w:rPr>
          <w:rFonts w:eastAsia="Verdana" w:cs="Verdana"/>
        </w:rPr>
        <w:t xml:space="preserve">matched their </w:t>
      </w:r>
      <w:r w:rsidR="35B7B7CF" w:rsidRPr="00E53797">
        <w:rPr>
          <w:rFonts w:eastAsia="Verdana" w:cs="Verdana"/>
        </w:rPr>
        <w:t>expectation</w:t>
      </w:r>
      <w:r w:rsidR="0C307031" w:rsidRPr="00E53797">
        <w:rPr>
          <w:rFonts w:eastAsia="Verdana" w:cs="Verdana"/>
        </w:rPr>
        <w:t>s</w:t>
      </w:r>
      <w:r w:rsidR="55771CFA" w:rsidRPr="00E53797">
        <w:rPr>
          <w:rFonts w:eastAsia="Verdana" w:cs="Verdana"/>
        </w:rPr>
        <w:t>.</w:t>
      </w:r>
      <w:r w:rsidR="230B556A" w:rsidRPr="00E53797">
        <w:rPr>
          <w:rFonts w:eastAsia="Verdana" w:cs="Verdana"/>
        </w:rPr>
        <w:t xml:space="preserve"> </w:t>
      </w:r>
      <w:r w:rsidR="00F549DA" w:rsidRPr="00E53797">
        <w:rPr>
          <w:rFonts w:eastAsia="Verdana" w:cs="Verdana"/>
        </w:rPr>
        <w:t xml:space="preserve">A total of </w:t>
      </w:r>
      <w:r w:rsidR="230B556A" w:rsidRPr="00E53797">
        <w:rPr>
          <w:rFonts w:eastAsia="Verdana" w:cs="Verdana"/>
        </w:rPr>
        <w:t>34</w:t>
      </w:r>
      <w:r w:rsidR="007B2C81">
        <w:rPr>
          <w:rFonts w:eastAsia="Verdana" w:cs="Verdana"/>
        </w:rPr>
        <w:t>%</w:t>
      </w:r>
      <w:r w:rsidR="230B556A" w:rsidRPr="00E53797">
        <w:rPr>
          <w:rFonts w:eastAsia="Verdana" w:cs="Verdana"/>
        </w:rPr>
        <w:t xml:space="preserve"> of businesses </w:t>
      </w:r>
      <w:r w:rsidR="55771CFA" w:rsidRPr="00E53797">
        <w:rPr>
          <w:rFonts w:eastAsia="Verdana" w:cs="Verdana"/>
        </w:rPr>
        <w:t>report</w:t>
      </w:r>
      <w:r w:rsidR="7DA3080A" w:rsidRPr="00E53797">
        <w:rPr>
          <w:rFonts w:eastAsia="Verdana" w:cs="Verdana"/>
        </w:rPr>
        <w:t>ed</w:t>
      </w:r>
      <w:r w:rsidR="230B556A" w:rsidRPr="00E53797">
        <w:rPr>
          <w:rFonts w:eastAsia="Verdana" w:cs="Verdana"/>
        </w:rPr>
        <w:t xml:space="preserve"> that implementing the reforms cost “more” or “much more” than expected and </w:t>
      </w:r>
      <w:r w:rsidR="007B2C81">
        <w:rPr>
          <w:rFonts w:eastAsia="Verdana" w:cs="Verdana"/>
        </w:rPr>
        <w:t>9%</w:t>
      </w:r>
      <w:r w:rsidR="230B556A" w:rsidRPr="00E53797">
        <w:rPr>
          <w:rFonts w:eastAsia="Verdana" w:cs="Verdana"/>
        </w:rPr>
        <w:t xml:space="preserve"> </w:t>
      </w:r>
      <w:r w:rsidR="55771CFA" w:rsidRPr="00E53797">
        <w:rPr>
          <w:rFonts w:eastAsia="Verdana" w:cs="Verdana"/>
        </w:rPr>
        <w:t>report</w:t>
      </w:r>
      <w:r w:rsidR="18BF2776" w:rsidRPr="00E53797">
        <w:rPr>
          <w:rFonts w:eastAsia="Verdana" w:cs="Verdana"/>
        </w:rPr>
        <w:t>ed</w:t>
      </w:r>
      <w:r w:rsidR="230B556A" w:rsidRPr="00E53797">
        <w:rPr>
          <w:rFonts w:eastAsia="Verdana" w:cs="Verdana"/>
        </w:rPr>
        <w:t xml:space="preserve"> that the</w:t>
      </w:r>
      <w:r w:rsidR="00F549DA" w:rsidRPr="00E53797">
        <w:rPr>
          <w:rFonts w:eastAsia="Verdana" w:cs="Verdana"/>
        </w:rPr>
        <w:t xml:space="preserve">y </w:t>
      </w:r>
      <w:r w:rsidR="230B556A" w:rsidRPr="00E53797">
        <w:rPr>
          <w:rFonts w:eastAsia="Verdana" w:cs="Verdana"/>
        </w:rPr>
        <w:t xml:space="preserve">cost “less” or “much less” than expected. </w:t>
      </w:r>
      <w:r w:rsidR="00F549DA" w:rsidRPr="00E53797">
        <w:rPr>
          <w:rFonts w:eastAsia="Verdana" w:cs="Verdana"/>
        </w:rPr>
        <w:t xml:space="preserve">As illustrated in </w:t>
      </w:r>
      <w:r w:rsidR="00393ED8" w:rsidRPr="00E53797">
        <w:rPr>
          <w:rFonts w:eastAsia="Verdana" w:cs="Verdana"/>
        </w:rPr>
        <w:fldChar w:fldCharType="begin"/>
      </w:r>
      <w:r w:rsidR="00393ED8" w:rsidRPr="00E53797">
        <w:rPr>
          <w:rFonts w:eastAsia="Verdana" w:cs="Verdana"/>
        </w:rPr>
        <w:instrText xml:space="preserve"> REF _Ref61619934 \r \h </w:instrText>
      </w:r>
      <w:r w:rsidR="00393ED8" w:rsidRPr="00E53797">
        <w:rPr>
          <w:rFonts w:eastAsia="Verdana" w:cs="Verdana"/>
        </w:rPr>
      </w:r>
      <w:r w:rsidR="00393ED8" w:rsidRPr="00E53797">
        <w:rPr>
          <w:rFonts w:eastAsia="Verdana" w:cs="Verdana"/>
        </w:rPr>
        <w:fldChar w:fldCharType="separate"/>
      </w:r>
      <w:r w:rsidR="0017363C">
        <w:rPr>
          <w:rFonts w:eastAsia="Verdana" w:cs="Verdana"/>
        </w:rPr>
        <w:t>Chart 6.5</w:t>
      </w:r>
      <w:r w:rsidR="00393ED8" w:rsidRPr="00E53797">
        <w:rPr>
          <w:rFonts w:eastAsia="Verdana" w:cs="Verdana"/>
        </w:rPr>
        <w:fldChar w:fldCharType="end"/>
      </w:r>
      <w:r w:rsidR="00F549DA" w:rsidRPr="00E53797">
        <w:rPr>
          <w:rFonts w:eastAsia="Verdana" w:cs="Verdana"/>
        </w:rPr>
        <w:t>, r</w:t>
      </w:r>
      <w:r w:rsidR="2E01041B" w:rsidRPr="00E53797">
        <w:rPr>
          <w:rFonts w:eastAsia="Verdana" w:cs="Verdana"/>
        </w:rPr>
        <w:t xml:space="preserve">ealised costs were more </w:t>
      </w:r>
      <w:r w:rsidR="2E01041B" w:rsidRPr="00E53797">
        <w:rPr>
          <w:rFonts w:eastAsia="Verdana" w:cs="Verdana"/>
        </w:rPr>
        <w:lastRenderedPageBreak/>
        <w:t xml:space="preserve">likely to exceed </w:t>
      </w:r>
      <w:r w:rsidR="0044141C" w:rsidRPr="00E53797">
        <w:rPr>
          <w:rFonts w:eastAsia="Verdana" w:cs="Verdana"/>
        </w:rPr>
        <w:t>expectations</w:t>
      </w:r>
      <w:r w:rsidR="2E01041B" w:rsidRPr="00E53797">
        <w:rPr>
          <w:rFonts w:eastAsia="Verdana" w:cs="Verdana"/>
        </w:rPr>
        <w:t xml:space="preserve"> for </w:t>
      </w:r>
      <w:r w:rsidR="0044141C" w:rsidRPr="00E53797">
        <w:rPr>
          <w:rFonts w:eastAsia="Verdana" w:cs="Verdana"/>
        </w:rPr>
        <w:t xml:space="preserve">both </w:t>
      </w:r>
      <w:r w:rsidR="117D18C6" w:rsidRPr="00E53797">
        <w:rPr>
          <w:rFonts w:eastAsia="Verdana" w:cs="Verdana"/>
        </w:rPr>
        <w:t>medium</w:t>
      </w:r>
      <w:r w:rsidR="230B556A" w:rsidRPr="00E53797">
        <w:rPr>
          <w:rFonts w:eastAsia="Verdana" w:cs="Verdana"/>
        </w:rPr>
        <w:t xml:space="preserve"> </w:t>
      </w:r>
      <w:r w:rsidR="117D18C6" w:rsidRPr="00E53797">
        <w:rPr>
          <w:rFonts w:eastAsia="Verdana" w:cs="Verdana"/>
        </w:rPr>
        <w:t>(38</w:t>
      </w:r>
      <w:r w:rsidR="007B2C81">
        <w:rPr>
          <w:rFonts w:eastAsia="Verdana" w:cs="Verdana"/>
        </w:rPr>
        <w:t>%</w:t>
      </w:r>
      <w:r w:rsidR="117D18C6" w:rsidRPr="00E53797">
        <w:rPr>
          <w:rFonts w:eastAsia="Verdana" w:cs="Verdana"/>
        </w:rPr>
        <w:t xml:space="preserve">) and large </w:t>
      </w:r>
      <w:r w:rsidR="230B556A" w:rsidRPr="00E53797">
        <w:rPr>
          <w:rFonts w:eastAsia="Verdana" w:cs="Verdana"/>
        </w:rPr>
        <w:t xml:space="preserve">businesses </w:t>
      </w:r>
      <w:r w:rsidR="10475227" w:rsidRPr="00E53797">
        <w:rPr>
          <w:rFonts w:eastAsia="Verdana" w:cs="Verdana"/>
        </w:rPr>
        <w:t>(3</w:t>
      </w:r>
      <w:r w:rsidR="1B9A1B87" w:rsidRPr="00E53797">
        <w:rPr>
          <w:rFonts w:eastAsia="Verdana" w:cs="Verdana"/>
        </w:rPr>
        <w:t>4</w:t>
      </w:r>
      <w:r w:rsidR="007B2C81">
        <w:rPr>
          <w:rFonts w:eastAsia="Verdana" w:cs="Verdana"/>
        </w:rPr>
        <w:t>%</w:t>
      </w:r>
      <w:r w:rsidR="10475227" w:rsidRPr="00E53797">
        <w:rPr>
          <w:rFonts w:eastAsia="Verdana" w:cs="Verdana"/>
        </w:rPr>
        <w:t>)</w:t>
      </w:r>
      <w:r w:rsidR="230B556A" w:rsidRPr="00E53797">
        <w:rPr>
          <w:rFonts w:eastAsia="Verdana" w:cs="Verdana"/>
        </w:rPr>
        <w:t xml:space="preserve"> </w:t>
      </w:r>
      <w:r w:rsidR="61AFFB49" w:rsidRPr="00E53797">
        <w:rPr>
          <w:rFonts w:eastAsia="Verdana" w:cs="Verdana"/>
        </w:rPr>
        <w:t xml:space="preserve">than </w:t>
      </w:r>
      <w:r w:rsidR="0F81639F" w:rsidRPr="00E53797">
        <w:rPr>
          <w:rFonts w:eastAsia="Verdana" w:cs="Verdana"/>
        </w:rPr>
        <w:t>very small businesses (25</w:t>
      </w:r>
      <w:r w:rsidR="007B2C81">
        <w:rPr>
          <w:rFonts w:eastAsia="Verdana" w:cs="Verdana"/>
        </w:rPr>
        <w:t>%</w:t>
      </w:r>
      <w:r w:rsidR="4D4DB486" w:rsidRPr="00E53797">
        <w:rPr>
          <w:rFonts w:eastAsia="Verdana" w:cs="Verdana"/>
        </w:rPr>
        <w:t>)</w:t>
      </w:r>
      <w:r w:rsidR="47FDA8D6" w:rsidRPr="00E53797">
        <w:rPr>
          <w:rFonts w:eastAsia="Verdana" w:cs="Verdana"/>
        </w:rPr>
        <w:t>.</w:t>
      </w:r>
    </w:p>
    <w:p w14:paraId="51D4EDCA" w14:textId="77777777" w:rsidR="00BC6964" w:rsidRDefault="00393ED8" w:rsidP="000437DB">
      <w:pPr>
        <w:pStyle w:val="CaptionChart"/>
      </w:pPr>
      <w:bookmarkStart w:id="563" w:name="_Toc82590373"/>
      <w:r>
        <w:t>:</w:t>
      </w:r>
      <w:r w:rsidR="00BC6964">
        <w:t xml:space="preserve"> </w:t>
      </w:r>
      <w:bookmarkStart w:id="564" w:name="_Ref61619934"/>
      <w:r w:rsidR="00FF29E4">
        <w:t xml:space="preserve">Businesses response to whether the cost of implementing CoOL reforms </w:t>
      </w:r>
      <w:r w:rsidR="000437DB">
        <w:t>matched expectations, by business size</w:t>
      </w:r>
      <w:bookmarkEnd w:id="563"/>
      <w:bookmarkEnd w:id="564"/>
    </w:p>
    <w:p w14:paraId="59252820" w14:textId="171AFE4F" w:rsidR="00EC2AFD" w:rsidRDefault="00EC2AFD" w:rsidP="00A838E4">
      <w:pPr>
        <w:pStyle w:val="Caption"/>
      </w:pPr>
      <w:r w:rsidRPr="00EC2AFD">
        <w:rPr>
          <w:noProof/>
          <w:lang w:eastAsia="en-AU"/>
        </w:rPr>
        <w:drawing>
          <wp:inline distT="0" distB="0" distL="0" distR="0" wp14:anchorId="44DA5FE5" wp14:editId="5120D366">
            <wp:extent cx="5731510" cy="2621280"/>
            <wp:effectExtent l="0" t="0" r="2540" b="7620"/>
            <wp:docPr id="289242765" name="Picture 289242765" descr="Findings for much more than expected are: very small business (6%), small business (4%), medium business (6%), large business (9%). Findings for more than expected are: very small business (19%), small business (28%), medium business (32%), large business (26%). Findings for matched expectations are: very small business (63%), small business (55%), medium business (52%), large business (60%). Findings for less than expected: very small business (6%), small business (8%), medium business (6%), large business (2%). Findings for much less than expected: very small business (6%), small business (6%), medium business (3%), large busines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65" name="Picture 289242765" descr="Findings for much more than expected are: very small business (6%), small business (4%), medium business (6%), large business (9%). Findings for more than expected are: very small business (19%), small business (28%), medium business (32%), large business (26%). Findings for matched expectations are: very small business (63%), small business (55%), medium business (52%), large business (60%). Findings for less than expected: very small business (6%), small business (8%), medium business (6%), large business (2%). Findings for much less than expected: very small business (6%), small business (6%), medium business (3%), large business (4%).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2621280"/>
                    </a:xfrm>
                    <a:prstGeom prst="rect">
                      <a:avLst/>
                    </a:prstGeom>
                    <a:noFill/>
                    <a:ln>
                      <a:noFill/>
                    </a:ln>
                  </pic:spPr>
                </pic:pic>
              </a:graphicData>
            </a:graphic>
          </wp:inline>
        </w:drawing>
      </w:r>
    </w:p>
    <w:p w14:paraId="29B10FA7" w14:textId="7825B1DB" w:rsidR="000437DB" w:rsidRPr="009D7913" w:rsidRDefault="000437DB" w:rsidP="00A838E4">
      <w:pPr>
        <w:pStyle w:val="Caption"/>
      </w:pPr>
      <w:r w:rsidRPr="009D7913">
        <w:t xml:space="preserve">Source: Deloitte Access Economics’ national </w:t>
      </w:r>
      <w:r w:rsidRPr="00C15099">
        <w:t>business survey (2020)</w:t>
      </w:r>
      <w:r w:rsidRPr="00376F23">
        <w:t>.</w:t>
      </w:r>
    </w:p>
    <w:p w14:paraId="229DD499" w14:textId="7D36CF31" w:rsidR="00D13AA4" w:rsidRDefault="002641C8" w:rsidP="00D13AA4">
      <w:r>
        <w:t xml:space="preserve">A limited number of industry stakeholders were able to quote cost figures associated with meeting the new CoOL requirements. </w:t>
      </w:r>
      <w:r w:rsidR="00D13AA4" w:rsidRPr="00D13AA4">
        <w:t xml:space="preserve">The per SKU cost of the CoOL reforms varied significantly. Different categories of products were therefore individually costed in the CBA to account for some of this variation. </w:t>
      </w:r>
      <w:r>
        <w:t xml:space="preserve">An industry peak body </w:t>
      </w:r>
      <w:r w:rsidR="00D13AA4">
        <w:t>reported the cost to manufactures was between</w:t>
      </w:r>
      <w:r w:rsidR="004C6802">
        <w:t xml:space="preserve"> </w:t>
      </w:r>
      <w:r>
        <w:t xml:space="preserve">$2,500 to $10,000 per SKU for their industry members. </w:t>
      </w:r>
      <w:r w:rsidR="009868AD">
        <w:t xml:space="preserve">Another industry peak body </w:t>
      </w:r>
      <w:r w:rsidR="004C6802">
        <w:t xml:space="preserve">indicated that </w:t>
      </w:r>
      <w:r>
        <w:t>label and package change cost</w:t>
      </w:r>
      <w:r w:rsidR="00D13AA4">
        <w:t>s</w:t>
      </w:r>
      <w:r>
        <w:t xml:space="preserve"> </w:t>
      </w:r>
      <w:r w:rsidR="00F429AE">
        <w:t xml:space="preserve">from the CoOL reforms </w:t>
      </w:r>
      <w:r w:rsidR="00D13AA4">
        <w:t>were</w:t>
      </w:r>
      <w:r w:rsidR="004C6802">
        <w:t xml:space="preserve">, </w:t>
      </w:r>
      <w:r>
        <w:t>on average</w:t>
      </w:r>
      <w:r w:rsidR="004C6802">
        <w:t xml:space="preserve">, </w:t>
      </w:r>
      <w:r>
        <w:t>$6,500 per SKU</w:t>
      </w:r>
      <w:r w:rsidR="00DE048D">
        <w:t xml:space="preserve"> and </w:t>
      </w:r>
      <w:r w:rsidR="00F429AE">
        <w:t xml:space="preserve">the </w:t>
      </w:r>
      <w:r w:rsidR="004C6802">
        <w:t xml:space="preserve">overall cost </w:t>
      </w:r>
      <w:r>
        <w:t xml:space="preserve">of re-labelling and re-packaging </w:t>
      </w:r>
      <w:r w:rsidR="00F429AE">
        <w:t>was, on average,</w:t>
      </w:r>
      <w:r w:rsidR="003D43D4">
        <w:t xml:space="preserve"> $10,000 per SKU </w:t>
      </w:r>
      <w:r w:rsidR="00F429AE">
        <w:t>(but variable)</w:t>
      </w:r>
      <w:r w:rsidR="003D43D4">
        <w:t xml:space="preserve">. </w:t>
      </w:r>
    </w:p>
    <w:p w14:paraId="1977C6E3" w14:textId="1CE56258" w:rsidR="00D13AA4" w:rsidRDefault="00451FE7" w:rsidP="00D13AA4">
      <w:r w:rsidRPr="00D13AA4">
        <w:t xml:space="preserve">Overall, the business survey results indicated that businesses ended up paying less </w:t>
      </w:r>
      <w:r w:rsidR="00D8141C">
        <w:t xml:space="preserve">than </w:t>
      </w:r>
      <w:r w:rsidRPr="00D13AA4">
        <w:t>was expected as per the previous modelling undertaken in 2016. This indicates that actually, the costs were less than expected.</w:t>
      </w:r>
      <w:r w:rsidR="00060D4A" w:rsidRPr="00D13AA4">
        <w:t xml:space="preserve"> </w:t>
      </w:r>
    </w:p>
    <w:p w14:paraId="70DFE4CE" w14:textId="51468561" w:rsidR="0080704C" w:rsidRPr="00D13AA4" w:rsidRDefault="007C3BA0" w:rsidP="00D13AA4">
      <w:pPr>
        <w:pStyle w:val="Heading3"/>
      </w:pPr>
      <w:r w:rsidRPr="00D13AA4">
        <w:t>Estimated scheme costs</w:t>
      </w:r>
    </w:p>
    <w:p w14:paraId="5859B79C" w14:textId="6B33C983" w:rsidR="00411B26" w:rsidRDefault="00411B26" w:rsidP="00411B26">
      <w:r>
        <w:t>The realised costs for the current CoOL scheme amount to $</w:t>
      </w:r>
      <w:r w:rsidR="002D03DA">
        <w:t>1.7</w:t>
      </w:r>
      <w:r>
        <w:t xml:space="preserve"> billion in present value terms between FY2016 and FY2041, relative to the previous scheme.</w:t>
      </w:r>
      <w:r w:rsidR="0035672C">
        <w:rPr>
          <w:rStyle w:val="FootnoteReference"/>
        </w:rPr>
        <w:footnoteReference w:id="103"/>
      </w:r>
      <w:r>
        <w:t xml:space="preserve"> Th</w:t>
      </w:r>
      <w:r w:rsidR="002D7CC3">
        <w:t>at is, the</w:t>
      </w:r>
      <w:r>
        <w:t xml:space="preserve"> current CoOL scheme is estimated to cost $</w:t>
      </w:r>
      <w:r w:rsidR="002D03DA">
        <w:t>1.7</w:t>
      </w:r>
      <w:r>
        <w:t xml:space="preserve"> billion more than the scheme </w:t>
      </w:r>
      <w:r w:rsidR="005E0725">
        <w:t>that was</w:t>
      </w:r>
      <w:r>
        <w:t xml:space="preserve"> in place prior to June 2016.</w:t>
      </w:r>
    </w:p>
    <w:p w14:paraId="04E5B06B" w14:textId="1157546D" w:rsidR="00411B26" w:rsidRDefault="00411B26" w:rsidP="00411B26">
      <w:r>
        <w:t xml:space="preserve">Major drivers of the difference in cost between the </w:t>
      </w:r>
      <w:r w:rsidR="000D49D6">
        <w:t xml:space="preserve">current scheme and the previous scheme </w:t>
      </w:r>
      <w:r>
        <w:t>include the following changes to the regulations</w:t>
      </w:r>
      <w:r w:rsidR="007D5DF5">
        <w:t>,</w:t>
      </w:r>
      <w:r>
        <w:t xml:space="preserve"> which were captured in the Status Quo</w:t>
      </w:r>
      <w:r w:rsidR="006E311C">
        <w:t xml:space="preserve"> (of the CBA options)</w:t>
      </w:r>
      <w:r>
        <w:t>:</w:t>
      </w:r>
    </w:p>
    <w:p w14:paraId="7AADBD0D" w14:textId="77777777" w:rsidR="00411B26" w:rsidRDefault="00AB707E" w:rsidP="00E53797">
      <w:pPr>
        <w:pStyle w:val="ListBullet"/>
      </w:pPr>
      <w:r>
        <w:t>T</w:t>
      </w:r>
      <w:r w:rsidR="00411B26">
        <w:t>he inclusion of visual elements like a bar chart indicating the proportion of Australian ingredients for priority products</w:t>
      </w:r>
    </w:p>
    <w:p w14:paraId="763AA729" w14:textId="6B6C28D2" w:rsidR="00011048" w:rsidRDefault="00AB707E" w:rsidP="005C030E">
      <w:pPr>
        <w:pStyle w:val="ListBullet"/>
      </w:pPr>
      <w:r>
        <w:t>T</w:t>
      </w:r>
      <w:r w:rsidR="00411B26">
        <w:t xml:space="preserve">he mandatory use of the </w:t>
      </w:r>
      <w:r w:rsidR="003C6E14">
        <w:t>AMAG</w:t>
      </w:r>
      <w:r w:rsidR="00411B26">
        <w:t xml:space="preserve"> logo when making a </w:t>
      </w:r>
      <w:r w:rsidR="004D65A5">
        <w:t>‘</w:t>
      </w:r>
      <w:r w:rsidR="00411B26">
        <w:t>Made in</w:t>
      </w:r>
      <w:r w:rsidR="004D65A5">
        <w:t>’</w:t>
      </w:r>
      <w:r w:rsidR="00411B26">
        <w:t xml:space="preserve">, </w:t>
      </w:r>
      <w:r w:rsidR="004D65A5">
        <w:t>‘</w:t>
      </w:r>
      <w:r w:rsidR="00411B26">
        <w:t>Product of</w:t>
      </w:r>
      <w:r w:rsidR="004D65A5">
        <w:t>’</w:t>
      </w:r>
      <w:r w:rsidR="00411B26">
        <w:t xml:space="preserve"> or </w:t>
      </w:r>
      <w:r w:rsidR="004D65A5">
        <w:t>‘</w:t>
      </w:r>
      <w:r w:rsidR="00411B26">
        <w:t>Grown in</w:t>
      </w:r>
      <w:r w:rsidR="004D65A5">
        <w:t>’</w:t>
      </w:r>
      <w:r w:rsidR="00411B26">
        <w:t xml:space="preserve"> Australia claim</w:t>
      </w:r>
    </w:p>
    <w:p w14:paraId="432BD172" w14:textId="2D577EF2" w:rsidR="00C045F0" w:rsidRDefault="00411B26" w:rsidP="003C74DF">
      <w:pPr>
        <w:spacing w:before="120"/>
      </w:pPr>
      <w:r>
        <w:t xml:space="preserve">The majority of the realised costs were industry reported compliance costs rather than </w:t>
      </w:r>
      <w:r w:rsidRPr="003C74DF">
        <w:t>Government</w:t>
      </w:r>
      <w:r w:rsidR="007D5DF5">
        <w:t>-</w:t>
      </w:r>
      <w:r w:rsidRPr="003C74DF">
        <w:t xml:space="preserve">related implementation, monitoring and enforcement costs. According to the CBA, </w:t>
      </w:r>
      <w:r w:rsidR="00B57414" w:rsidRPr="006C59A3">
        <w:t xml:space="preserve">staff costs accounted for </w:t>
      </w:r>
      <w:r w:rsidR="00B57414" w:rsidRPr="004C56C0">
        <w:t>69</w:t>
      </w:r>
      <w:r w:rsidR="00B57414">
        <w:t>%</w:t>
      </w:r>
      <w:r w:rsidR="00B57414" w:rsidRPr="004C56C0">
        <w:t xml:space="preserve"> </w:t>
      </w:r>
      <w:r w:rsidR="00B57414" w:rsidRPr="006C59A3">
        <w:t xml:space="preserve">of all costs, of which more than </w:t>
      </w:r>
      <w:r w:rsidR="00B57414" w:rsidRPr="004C56C0">
        <w:t>90</w:t>
      </w:r>
      <w:r w:rsidR="00B57414">
        <w:t>%</w:t>
      </w:r>
      <w:r w:rsidR="00B57414" w:rsidRPr="006C59A3">
        <w:t xml:space="preserve"> of staff costs were incurred in the transition period between FY2016 and FY2017. </w:t>
      </w:r>
      <w:r w:rsidR="00B57414" w:rsidRPr="004C56C0">
        <w:t>Labelling</w:t>
      </w:r>
      <w:r w:rsidR="00B57414" w:rsidRPr="006C59A3">
        <w:t xml:space="preserve"> costs were the second largest </w:t>
      </w:r>
      <w:r w:rsidR="00B57414" w:rsidRPr="006C59A3">
        <w:lastRenderedPageBreak/>
        <w:t xml:space="preserve">contributor to total costs accounting for </w:t>
      </w:r>
      <w:r w:rsidR="00B57414" w:rsidRPr="004C56C0">
        <w:t>10 per cent</w:t>
      </w:r>
      <w:r w:rsidR="00B57414" w:rsidRPr="006C59A3">
        <w:t xml:space="preserve"> of the </w:t>
      </w:r>
      <w:r w:rsidR="00B57414">
        <w:t>s</w:t>
      </w:r>
      <w:r w:rsidR="00B57414" w:rsidRPr="006C59A3">
        <w:t xml:space="preserve">cheme’s overall costs. Unlike staff costs, labelling costs were relatively evenly incurred over the modelling period. </w:t>
      </w:r>
      <w:r w:rsidR="00C045F0" w:rsidRPr="003C74DF">
        <w:t xml:space="preserve">The breakdown of realised costs by cost type are shown in </w:t>
      </w:r>
      <w:r w:rsidR="001A4D13" w:rsidRPr="003C74DF">
        <w:fldChar w:fldCharType="begin"/>
      </w:r>
      <w:r w:rsidR="001A4D13" w:rsidRPr="003C74DF">
        <w:instrText xml:space="preserve"> REF _Ref64289255 \r \h </w:instrText>
      </w:r>
      <w:r w:rsidR="00AC55DA">
        <w:instrText xml:space="preserve"> \* MERGEFORMAT </w:instrText>
      </w:r>
      <w:r w:rsidR="001A4D13" w:rsidRPr="003C74DF">
        <w:fldChar w:fldCharType="separate"/>
      </w:r>
      <w:r w:rsidR="0017363C">
        <w:t>Chart 6.6</w:t>
      </w:r>
      <w:r w:rsidR="001A4D13" w:rsidRPr="003C74DF">
        <w:fldChar w:fldCharType="end"/>
      </w:r>
      <w:r w:rsidR="00C045F0" w:rsidRPr="003C74DF">
        <w:t>.</w:t>
      </w:r>
      <w:r w:rsidR="00C045F0">
        <w:t xml:space="preserve"> </w:t>
      </w:r>
    </w:p>
    <w:p w14:paraId="030EDE81" w14:textId="59339067" w:rsidR="00C045F0" w:rsidRDefault="00C045F0" w:rsidP="00E53797">
      <w:pPr>
        <w:pStyle w:val="CaptionChart"/>
      </w:pPr>
      <w:bookmarkStart w:id="565" w:name="_Ref64289255"/>
      <w:bookmarkStart w:id="566" w:name="_Toc64534242"/>
      <w:bookmarkStart w:id="567" w:name="_Toc82590374"/>
      <w:r w:rsidRPr="00691553">
        <w:t>:</w:t>
      </w:r>
      <w:r>
        <w:t xml:space="preserve"> Proportion of realised costs by cost type</w:t>
      </w:r>
      <w:bookmarkEnd w:id="565"/>
      <w:bookmarkEnd w:id="566"/>
      <w:bookmarkEnd w:id="567"/>
      <w:r>
        <w:t xml:space="preserve"> </w:t>
      </w:r>
    </w:p>
    <w:p w14:paraId="7287DAAD" w14:textId="584F58CB" w:rsidR="00DE012D" w:rsidRDefault="00DE012D" w:rsidP="00594328">
      <w:pPr>
        <w:rPr>
          <w:color w:val="75787B" w:themeColor="accent6"/>
          <w:sz w:val="14"/>
          <w:szCs w:val="14"/>
        </w:rPr>
      </w:pPr>
      <w:r>
        <w:rPr>
          <w:noProof/>
          <w:lang w:eastAsia="en-AU"/>
        </w:rPr>
        <w:drawing>
          <wp:inline distT="0" distB="0" distL="0" distR="0" wp14:anchorId="770E5B8E" wp14:editId="742584FF">
            <wp:extent cx="5629275" cy="3196590"/>
            <wp:effectExtent l="0" t="0" r="9525" b="3810"/>
            <wp:docPr id="1489793603" name="Picture 1489793603" descr="Findings are: 69% of costs are staff time, 10% cost to industry, 7% determine % of Australian ingredients, 6% external advice and assurance, 5% packaging/labelling wastage, 2% IT and system, 1% cost to Government (all)"/>
            <wp:cNvGraphicFramePr/>
            <a:graphic xmlns:a="http://schemas.openxmlformats.org/drawingml/2006/main">
              <a:graphicData uri="http://schemas.openxmlformats.org/drawingml/2006/picture">
                <pic:pic xmlns:pic="http://schemas.openxmlformats.org/drawingml/2006/picture">
                  <pic:nvPicPr>
                    <pic:cNvPr id="1489793603" name="Picture 1489793603" descr="Findings are: 69% of costs are staff time, 10% cost to industry, 7% determine % of Australian ingredients, 6% external advice and assurance, 5% packaging/labelling wastage, 2% IT and system, 1% cost to Government (all)"/>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29275" cy="3196590"/>
                    </a:xfrm>
                    <a:prstGeom prst="rect">
                      <a:avLst/>
                    </a:prstGeom>
                    <a:noFill/>
                    <a:ln>
                      <a:noFill/>
                    </a:ln>
                  </pic:spPr>
                </pic:pic>
              </a:graphicData>
            </a:graphic>
          </wp:inline>
        </w:drawing>
      </w:r>
    </w:p>
    <w:p w14:paraId="3ADAE1A2" w14:textId="552B206D" w:rsidR="00BC32E8" w:rsidRDefault="00780147" w:rsidP="00594328">
      <w:pPr>
        <w:rPr>
          <w:sz w:val="14"/>
          <w:szCs w:val="14"/>
        </w:rPr>
      </w:pPr>
      <w:r w:rsidRPr="0071405B">
        <w:rPr>
          <w:color w:val="012169" w:themeColor="accent4"/>
          <w:sz w:val="14"/>
          <w:szCs w:val="14"/>
        </w:rPr>
        <w:t xml:space="preserve">Source: Deloitte Access Economics </w:t>
      </w:r>
      <w:r w:rsidR="00DB611E" w:rsidRPr="0071405B">
        <w:rPr>
          <w:color w:val="012169" w:themeColor="accent4"/>
          <w:sz w:val="14"/>
          <w:szCs w:val="14"/>
        </w:rPr>
        <w:t>CBA</w:t>
      </w:r>
      <w:r w:rsidRPr="0071405B">
        <w:rPr>
          <w:color w:val="012169" w:themeColor="accent4"/>
          <w:sz w:val="14"/>
          <w:szCs w:val="14"/>
        </w:rPr>
        <w:t xml:space="preserve"> modelling</w:t>
      </w:r>
    </w:p>
    <w:p w14:paraId="7A0ECDF4" w14:textId="77777777" w:rsidR="006809B8" w:rsidRDefault="0080704C" w:rsidP="006809B8">
      <w:pPr>
        <w:pStyle w:val="Heading3"/>
      </w:pPr>
      <w:bookmarkStart w:id="568" w:name="_Toc67499152"/>
      <w:r w:rsidRPr="00E53797">
        <w:t xml:space="preserve">Key </w:t>
      </w:r>
      <w:r w:rsidR="000144ED">
        <w:t>f</w:t>
      </w:r>
      <w:r w:rsidR="000144ED" w:rsidRPr="00E53797">
        <w:t>indings</w:t>
      </w:r>
      <w:r w:rsidR="00FC5136">
        <w:t xml:space="preserve">: </w:t>
      </w:r>
      <w:r w:rsidR="00E26A66">
        <w:t>Cost to business</w:t>
      </w:r>
      <w:bookmarkEnd w:id="568"/>
    </w:p>
    <w:tbl>
      <w:tblPr>
        <w:tblStyle w:val="Deloittetable"/>
        <w:tblW w:w="0" w:type="auto"/>
        <w:tblLook w:val="04A0" w:firstRow="1" w:lastRow="0" w:firstColumn="1" w:lastColumn="0" w:noHBand="0" w:noVBand="1"/>
        <w:tblDescription w:val="This table provides one key finding related to the cost to business. This is that the realised costs to business varied significantly depending on the type and nature of the business. It does appear that the cost impact primarily coincided with the introduction of the scheme. For most businesses, the ongoing cost of CoOL is reportedly very low. However, there has been an impact from recent disruptions to supply chains."/>
      </w:tblPr>
      <w:tblGrid>
        <w:gridCol w:w="1134"/>
        <w:gridCol w:w="7892"/>
      </w:tblGrid>
      <w:tr w:rsidR="006809B8" w14:paraId="25F30D7A"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24FFFC22" w14:textId="77777777" w:rsidR="006809B8" w:rsidRPr="00AB2F4F" w:rsidRDefault="006809B8" w:rsidP="00C546E2">
            <w:pPr>
              <w:rPr>
                <w:b/>
                <w:bCs/>
              </w:rPr>
            </w:pPr>
            <w:r>
              <w:rPr>
                <w:b/>
                <w:bCs/>
              </w:rPr>
              <w:t>Ref</w:t>
            </w:r>
          </w:p>
        </w:tc>
        <w:tc>
          <w:tcPr>
            <w:tcW w:w="7892" w:type="dxa"/>
            <w:tcBorders>
              <w:top w:val="single" w:sz="24" w:space="0" w:color="012169" w:themeColor="accent4"/>
            </w:tcBorders>
          </w:tcPr>
          <w:p w14:paraId="0B786CD0" w14:textId="0384E51F" w:rsidR="006809B8" w:rsidRPr="00AB2F4F" w:rsidRDefault="0072196E" w:rsidP="00C546E2">
            <w:pPr>
              <w:rPr>
                <w:b/>
                <w:bCs/>
              </w:rPr>
            </w:pPr>
            <w:r w:rsidRPr="0072196E">
              <w:rPr>
                <w:b/>
                <w:bCs/>
              </w:rPr>
              <w:t>What were the realised costs to business associated with meeting the new CoOL requirements?</w:t>
            </w:r>
          </w:p>
        </w:tc>
      </w:tr>
      <w:tr w:rsidR="006809B8" w14:paraId="6D55DE18" w14:textId="77777777" w:rsidTr="00594328">
        <w:tc>
          <w:tcPr>
            <w:tcW w:w="1134" w:type="dxa"/>
          </w:tcPr>
          <w:p w14:paraId="7858D7B6" w14:textId="1A041C22" w:rsidR="006809B8" w:rsidRDefault="00D0625C" w:rsidP="00C546E2">
            <w:r>
              <w:t>58</w:t>
            </w:r>
          </w:p>
        </w:tc>
        <w:tc>
          <w:tcPr>
            <w:tcW w:w="7892" w:type="dxa"/>
          </w:tcPr>
          <w:p w14:paraId="03584B85" w14:textId="7136FAD9" w:rsidR="006809B8" w:rsidRDefault="003C03AE" w:rsidP="007E71E9">
            <w:pPr>
              <w:pStyle w:val="ListBullet"/>
              <w:numPr>
                <w:ilvl w:val="0"/>
                <w:numId w:val="0"/>
              </w:numPr>
              <w:spacing w:after="170"/>
            </w:pPr>
            <w:r w:rsidRPr="006C31FB">
              <w:t xml:space="preserve">The realised costs to business varied significantly depending on the type and nature of the business. It does appear that the cost impact primarily coincided with the introduction of the </w:t>
            </w:r>
            <w:r w:rsidR="00E670FE">
              <w:t>scheme</w:t>
            </w:r>
            <w:r w:rsidRPr="006C31FB">
              <w:t>. For most businesses</w:t>
            </w:r>
            <w:r w:rsidR="004C1511">
              <w:t>,</w:t>
            </w:r>
            <w:r w:rsidRPr="006C31FB">
              <w:t xml:space="preserve"> the ongoing cost of CoOL is reportedly very low. However, there has been an impact from recent disruptions to supply chains.</w:t>
            </w:r>
          </w:p>
        </w:tc>
      </w:tr>
    </w:tbl>
    <w:p w14:paraId="12362214" w14:textId="77777777" w:rsidR="009B0C14" w:rsidRDefault="00686D7A" w:rsidP="009B0C14">
      <w:pPr>
        <w:pStyle w:val="Heading2"/>
      </w:pPr>
      <w:bookmarkStart w:id="569" w:name="_Toc66774502"/>
      <w:bookmarkStart w:id="570" w:name="_Toc67499153"/>
      <w:bookmarkStart w:id="571" w:name="_Toc94702073"/>
      <w:bookmarkEnd w:id="569"/>
      <w:r>
        <w:t xml:space="preserve">Benefits of CoOL to </w:t>
      </w:r>
      <w:r w:rsidR="009B0C14" w:rsidRPr="009B0C14">
        <w:t>food and beverage producers</w:t>
      </w:r>
      <w:bookmarkEnd w:id="571"/>
      <w:r w:rsidR="009B0C14" w:rsidRPr="009B0C14">
        <w:t xml:space="preserve"> </w:t>
      </w:r>
      <w:bookmarkEnd w:id="570"/>
    </w:p>
    <w:p w14:paraId="41C60759" w14:textId="2AB7F402" w:rsidR="008C3408" w:rsidRDefault="00025307" w:rsidP="00FE6E04">
      <w:pPr>
        <w:rPr>
          <w:rFonts w:eastAsia="Verdana" w:cs="Verdana"/>
        </w:rPr>
      </w:pPr>
      <w:r>
        <w:rPr>
          <w:rFonts w:eastAsia="Verdana" w:cs="Verdana"/>
        </w:rPr>
        <w:t>Evaluation question</w:t>
      </w:r>
      <w:r w:rsidR="004C5C63">
        <w:rPr>
          <w:rFonts w:eastAsia="Verdana" w:cs="Verdana"/>
        </w:rPr>
        <w:t xml:space="preserve"> </w:t>
      </w:r>
      <w:r>
        <w:rPr>
          <w:rFonts w:eastAsia="Verdana" w:cs="Verdana"/>
        </w:rPr>
        <w:t xml:space="preserve">23 </w:t>
      </w:r>
      <w:r w:rsidR="004C5C63">
        <w:rPr>
          <w:rFonts w:eastAsia="Verdana" w:cs="Verdana"/>
        </w:rPr>
        <w:t xml:space="preserve">measured the </w:t>
      </w:r>
      <w:r w:rsidR="00CE1D1C">
        <w:rPr>
          <w:rFonts w:eastAsia="Verdana" w:cs="Verdana"/>
        </w:rPr>
        <w:t>business benefits attributable to the CoOL reforms</w:t>
      </w:r>
      <w:r w:rsidR="00255168">
        <w:rPr>
          <w:rFonts w:eastAsia="Verdana" w:cs="Verdana"/>
        </w:rPr>
        <w:t>.</w:t>
      </w:r>
      <w:r w:rsidR="00CE1D1C">
        <w:rPr>
          <w:rFonts w:eastAsia="Verdana" w:cs="Verdana"/>
        </w:rPr>
        <w:t xml:space="preserve"> </w:t>
      </w:r>
      <w:r w:rsidR="00D4015A">
        <w:rPr>
          <w:rFonts w:eastAsia="Verdana" w:cs="Verdana"/>
        </w:rPr>
        <w:t>The primary benefits reported</w:t>
      </w:r>
      <w:r w:rsidR="004C6802">
        <w:rPr>
          <w:rFonts w:eastAsia="Verdana" w:cs="Verdana"/>
        </w:rPr>
        <w:t xml:space="preserve"> by business</w:t>
      </w:r>
      <w:r w:rsidR="00D4015A">
        <w:rPr>
          <w:rFonts w:eastAsia="Verdana" w:cs="Verdana"/>
        </w:rPr>
        <w:t xml:space="preserve"> included </w:t>
      </w:r>
      <w:r w:rsidR="00756B5D">
        <w:rPr>
          <w:rFonts w:eastAsia="Verdana" w:cs="Verdana"/>
        </w:rPr>
        <w:t xml:space="preserve">increased </w:t>
      </w:r>
      <w:r w:rsidR="00CF08B9">
        <w:rPr>
          <w:rFonts w:eastAsia="Verdana" w:cs="Verdana"/>
        </w:rPr>
        <w:t xml:space="preserve">consumer trust, </w:t>
      </w:r>
      <w:r w:rsidR="00756B5D">
        <w:rPr>
          <w:rFonts w:eastAsia="Verdana" w:cs="Verdana"/>
        </w:rPr>
        <w:t>sales</w:t>
      </w:r>
      <w:r w:rsidR="00585C10">
        <w:rPr>
          <w:rFonts w:eastAsia="Verdana" w:cs="Verdana"/>
        </w:rPr>
        <w:t xml:space="preserve"> and brand recognition.</w:t>
      </w:r>
    </w:p>
    <w:p w14:paraId="6514B001" w14:textId="00B1B3D4" w:rsidR="005B2C7F" w:rsidRDefault="008603C1" w:rsidP="00E53797">
      <w:pPr>
        <w:pStyle w:val="Heading3"/>
      </w:pPr>
      <w:bookmarkStart w:id="572" w:name="_Toc67499154"/>
      <w:r>
        <w:t>A minority of</w:t>
      </w:r>
      <w:r w:rsidR="0004624C">
        <w:t xml:space="preserve"> businesses benefited from </w:t>
      </w:r>
      <w:r w:rsidR="00255168">
        <w:t>the reforms</w:t>
      </w:r>
      <w:bookmarkEnd w:id="572"/>
    </w:p>
    <w:p w14:paraId="65B10BEC" w14:textId="4149E619" w:rsidR="00354476" w:rsidRDefault="00354476" w:rsidP="00354476">
      <w:r>
        <w:t xml:space="preserve">Consultation with industry and government groups reveal anecdotal evidence that increased provision of country of origin information to consumers have benefitted </w:t>
      </w:r>
      <w:r w:rsidR="00255168">
        <w:t xml:space="preserve">some </w:t>
      </w:r>
      <w:r>
        <w:t>food and beverage producers. Representatives from A</w:t>
      </w:r>
      <w:r w:rsidR="00164D5B">
        <w:t>ustrade</w:t>
      </w:r>
      <w:r>
        <w:t xml:space="preserve"> state their research reveals </w:t>
      </w:r>
      <w:r w:rsidR="00780147">
        <w:t>“</w:t>
      </w:r>
      <w:r>
        <w:t>Australian Made</w:t>
      </w:r>
      <w:r w:rsidR="00780147">
        <w:t>”</w:t>
      </w:r>
      <w:r>
        <w:t xml:space="preserve"> and </w:t>
      </w:r>
      <w:r w:rsidR="00780147">
        <w:t>“</w:t>
      </w:r>
      <w:r>
        <w:t>Australian Grown</w:t>
      </w:r>
      <w:r w:rsidR="00780147">
        <w:t>”</w:t>
      </w:r>
      <w:r>
        <w:t xml:space="preserve"> products attract a premium in many overseas markets, with the new CoOL reforms playing a role in helping to showcase provenance of Australian products on the market</w:t>
      </w:r>
      <w:r w:rsidR="00CF08D4">
        <w:t>.</w:t>
      </w:r>
      <w:r w:rsidR="0006335D">
        <w:rPr>
          <w:rStyle w:val="FootnoteReference"/>
        </w:rPr>
        <w:footnoteReference w:id="104"/>
      </w:r>
      <w:r>
        <w:t xml:space="preserve"> Representatives of Consumer Healthcare Products Australia also made similar comments with regard to manufacturers of complementary medicine and highlighted the marketing advantage for export markets despite CoOL requirements not being mandatory in their industry. </w:t>
      </w:r>
    </w:p>
    <w:p w14:paraId="62833AB2" w14:textId="666CD488" w:rsidR="004B019C" w:rsidRDefault="00354476" w:rsidP="004B019C">
      <w:r>
        <w:lastRenderedPageBreak/>
        <w:t xml:space="preserve">The </w:t>
      </w:r>
      <w:r w:rsidR="00795FC5">
        <w:t>DAWE</w:t>
      </w:r>
      <w:r>
        <w:t xml:space="preserve"> and Department of Health representatives provided anecdotal evidence suggesting that the CoOL reforms have made it easier for the group of consumers that want to purchase Australian products. However, no evidence was provided as to whether this has resulted in increased sales of Australian products. </w:t>
      </w:r>
      <w:r w:rsidR="004B019C">
        <w:t>The FBIA suggest</w:t>
      </w:r>
      <w:r w:rsidR="004C1511">
        <w:t>s</w:t>
      </w:r>
      <w:r w:rsidR="004B019C">
        <w:t xml:space="preserve"> there has been no cost advantage or increases in sales for producers and wholesalers. </w:t>
      </w:r>
      <w:bookmarkStart w:id="573" w:name="_Toc64977626"/>
      <w:bookmarkStart w:id="574" w:name="_Toc64981881"/>
      <w:bookmarkStart w:id="575" w:name="_Toc64981943"/>
      <w:bookmarkEnd w:id="573"/>
      <w:bookmarkEnd w:id="574"/>
      <w:bookmarkEnd w:id="575"/>
    </w:p>
    <w:p w14:paraId="3D7277A4" w14:textId="76CE39E6" w:rsidR="00FF4653" w:rsidRDefault="7EF4CFF8" w:rsidP="00FE6E04">
      <w:pPr>
        <w:rPr>
          <w:rFonts w:eastAsia="Verdana" w:cs="Verdana"/>
        </w:rPr>
      </w:pPr>
      <w:r w:rsidRPr="00E53797">
        <w:rPr>
          <w:rFonts w:eastAsia="Verdana" w:cs="Verdana"/>
        </w:rPr>
        <w:t xml:space="preserve">The results of the business survey suggest that the increased provision of information to consumers has provided </w:t>
      </w:r>
      <w:r w:rsidR="00DC2BBB" w:rsidRPr="00E53797">
        <w:rPr>
          <w:rFonts w:eastAsia="Verdana" w:cs="Verdana"/>
        </w:rPr>
        <w:t xml:space="preserve">some </w:t>
      </w:r>
      <w:r w:rsidRPr="00E53797">
        <w:rPr>
          <w:rFonts w:eastAsia="Verdana" w:cs="Verdana"/>
        </w:rPr>
        <w:t>benefits to businesses</w:t>
      </w:r>
      <w:r w:rsidR="00D03BD5" w:rsidRPr="00E53797">
        <w:rPr>
          <w:rFonts w:eastAsia="Verdana" w:cs="Verdana"/>
        </w:rPr>
        <w:t>,</w:t>
      </w:r>
      <w:r w:rsidR="00183E86" w:rsidRPr="00E53797">
        <w:rPr>
          <w:rFonts w:eastAsia="Verdana" w:cs="Verdana"/>
        </w:rPr>
        <w:t xml:space="preserve"> with </w:t>
      </w:r>
      <w:r w:rsidRPr="00E53797">
        <w:rPr>
          <w:rFonts w:eastAsia="Verdana" w:cs="Verdana"/>
        </w:rPr>
        <w:t>22</w:t>
      </w:r>
      <w:r w:rsidR="007B2C81">
        <w:rPr>
          <w:rFonts w:eastAsia="Verdana" w:cs="Verdana"/>
        </w:rPr>
        <w:t>%</w:t>
      </w:r>
      <w:r w:rsidRPr="00E53797">
        <w:rPr>
          <w:rFonts w:eastAsia="Verdana" w:cs="Verdana"/>
        </w:rPr>
        <w:t xml:space="preserve"> </w:t>
      </w:r>
      <w:r w:rsidR="00183E86" w:rsidRPr="00E53797">
        <w:rPr>
          <w:rFonts w:eastAsia="Verdana" w:cs="Verdana"/>
        </w:rPr>
        <w:t>of businesses</w:t>
      </w:r>
      <w:r w:rsidR="00D03BD5" w:rsidRPr="00E53797">
        <w:rPr>
          <w:rFonts w:eastAsia="Verdana" w:cs="Verdana"/>
        </w:rPr>
        <w:t xml:space="preserve"> that are</w:t>
      </w:r>
      <w:r w:rsidR="00183E86" w:rsidRPr="00E53797">
        <w:rPr>
          <w:rFonts w:eastAsia="Verdana" w:cs="Verdana"/>
        </w:rPr>
        <w:t xml:space="preserve"> subject to CoOL</w:t>
      </w:r>
      <w:r w:rsidR="00A5526F" w:rsidRPr="00E53797">
        <w:rPr>
          <w:rFonts w:eastAsia="Verdana" w:cs="Verdana"/>
        </w:rPr>
        <w:t xml:space="preserve"> </w:t>
      </w:r>
      <w:r w:rsidR="00183E86" w:rsidRPr="00E53797">
        <w:rPr>
          <w:rFonts w:eastAsia="Verdana" w:cs="Verdana"/>
        </w:rPr>
        <w:t>regulations</w:t>
      </w:r>
      <w:r w:rsidR="00A5526F" w:rsidRPr="00E53797">
        <w:rPr>
          <w:rFonts w:eastAsia="Verdana" w:cs="Verdana"/>
        </w:rPr>
        <w:t xml:space="preserve"> </w:t>
      </w:r>
      <w:r w:rsidR="00183E86" w:rsidRPr="00E53797">
        <w:rPr>
          <w:rFonts w:eastAsia="Verdana" w:cs="Verdana"/>
        </w:rPr>
        <w:t>indicating</w:t>
      </w:r>
      <w:r w:rsidRPr="00E53797">
        <w:rPr>
          <w:rFonts w:eastAsia="Verdana" w:cs="Verdana"/>
        </w:rPr>
        <w:t xml:space="preserve"> that their business has benefited from the current CoOL framework. </w:t>
      </w:r>
      <w:r w:rsidR="00D03BD5" w:rsidRPr="00E53797">
        <w:rPr>
          <w:rFonts w:eastAsia="Verdana" w:cs="Verdana"/>
        </w:rPr>
        <w:t xml:space="preserve">As illustrated in </w:t>
      </w:r>
      <w:r w:rsidR="004F66FD" w:rsidRPr="00E53797">
        <w:rPr>
          <w:rFonts w:eastAsia="Verdana" w:cs="Verdana"/>
        </w:rPr>
        <w:fldChar w:fldCharType="begin"/>
      </w:r>
      <w:r w:rsidR="004F66FD" w:rsidRPr="00E53797">
        <w:rPr>
          <w:rFonts w:eastAsia="Verdana" w:cs="Verdana"/>
        </w:rPr>
        <w:instrText xml:space="preserve"> REF _Ref61623459 \r \h </w:instrText>
      </w:r>
      <w:r w:rsidR="004F66FD" w:rsidRPr="00E53797">
        <w:rPr>
          <w:rFonts w:eastAsia="Verdana" w:cs="Verdana"/>
        </w:rPr>
      </w:r>
      <w:r w:rsidR="004F66FD" w:rsidRPr="00E53797">
        <w:rPr>
          <w:rFonts w:eastAsia="Verdana" w:cs="Verdana"/>
        </w:rPr>
        <w:fldChar w:fldCharType="separate"/>
      </w:r>
      <w:r w:rsidR="0017363C">
        <w:rPr>
          <w:rFonts w:eastAsia="Verdana" w:cs="Verdana"/>
        </w:rPr>
        <w:t>Chart 6.7</w:t>
      </w:r>
      <w:r w:rsidR="004F66FD" w:rsidRPr="00E53797">
        <w:rPr>
          <w:rFonts w:eastAsia="Verdana" w:cs="Verdana"/>
        </w:rPr>
        <w:fldChar w:fldCharType="end"/>
      </w:r>
      <w:r w:rsidR="00D03BD5" w:rsidRPr="00E53797">
        <w:rPr>
          <w:rFonts w:eastAsia="Verdana" w:cs="Verdana"/>
        </w:rPr>
        <w:t>, v</w:t>
      </w:r>
      <w:r w:rsidRPr="00E53797">
        <w:rPr>
          <w:rFonts w:eastAsia="Verdana" w:cs="Verdana"/>
        </w:rPr>
        <w:t xml:space="preserve">ery small </w:t>
      </w:r>
      <w:r w:rsidR="00F3741A" w:rsidRPr="00E53797">
        <w:rPr>
          <w:rFonts w:eastAsia="Verdana" w:cs="Verdana"/>
        </w:rPr>
        <w:t>(13</w:t>
      </w:r>
      <w:r w:rsidR="007B2C81">
        <w:rPr>
          <w:rFonts w:eastAsia="Verdana" w:cs="Verdana"/>
        </w:rPr>
        <w:t>%</w:t>
      </w:r>
      <w:r w:rsidR="00F3741A" w:rsidRPr="00E53797">
        <w:rPr>
          <w:rFonts w:eastAsia="Verdana" w:cs="Verdana"/>
        </w:rPr>
        <w:t xml:space="preserve">) </w:t>
      </w:r>
      <w:r w:rsidR="002262B3" w:rsidRPr="00E53797">
        <w:rPr>
          <w:rFonts w:eastAsia="Verdana" w:cs="Verdana"/>
        </w:rPr>
        <w:t>and larg</w:t>
      </w:r>
      <w:r w:rsidR="00F3741A" w:rsidRPr="00E53797">
        <w:rPr>
          <w:rFonts w:eastAsia="Verdana" w:cs="Verdana"/>
        </w:rPr>
        <w:t>e (17</w:t>
      </w:r>
      <w:r w:rsidR="007B2C81">
        <w:rPr>
          <w:rFonts w:eastAsia="Verdana" w:cs="Verdana"/>
        </w:rPr>
        <w:t>%</w:t>
      </w:r>
      <w:r w:rsidR="00F3741A" w:rsidRPr="00E53797">
        <w:rPr>
          <w:rFonts w:eastAsia="Verdana" w:cs="Verdana"/>
        </w:rPr>
        <w:t>)</w:t>
      </w:r>
      <w:r w:rsidRPr="00E53797">
        <w:rPr>
          <w:rFonts w:eastAsia="Verdana" w:cs="Verdana"/>
        </w:rPr>
        <w:t xml:space="preserve"> businesses were less likely to report </w:t>
      </w:r>
      <w:r w:rsidR="00D03BD5" w:rsidRPr="00E53797">
        <w:rPr>
          <w:rFonts w:eastAsia="Verdana" w:cs="Verdana"/>
        </w:rPr>
        <w:t>a</w:t>
      </w:r>
      <w:r w:rsidRPr="00E53797">
        <w:rPr>
          <w:rFonts w:eastAsia="Verdana" w:cs="Verdana"/>
        </w:rPr>
        <w:t xml:space="preserve"> benefit from the current CoOL framework compared to small (23</w:t>
      </w:r>
      <w:r w:rsidR="007B2C81">
        <w:rPr>
          <w:rFonts w:eastAsia="Verdana" w:cs="Verdana"/>
        </w:rPr>
        <w:t>%</w:t>
      </w:r>
      <w:r w:rsidRPr="00E53797">
        <w:rPr>
          <w:rFonts w:eastAsia="Verdana" w:cs="Verdana"/>
        </w:rPr>
        <w:t>)</w:t>
      </w:r>
      <w:r w:rsidR="00F3741A" w:rsidRPr="00E53797">
        <w:rPr>
          <w:rFonts w:eastAsia="Verdana" w:cs="Verdana"/>
        </w:rPr>
        <w:t xml:space="preserve"> and</w:t>
      </w:r>
      <w:r w:rsidRPr="00E53797">
        <w:rPr>
          <w:rFonts w:eastAsia="Verdana" w:cs="Verdana"/>
        </w:rPr>
        <w:t xml:space="preserve"> medium (28</w:t>
      </w:r>
      <w:r w:rsidR="007B2C81">
        <w:rPr>
          <w:rFonts w:eastAsia="Verdana" w:cs="Verdana"/>
        </w:rPr>
        <w:t>%</w:t>
      </w:r>
      <w:r w:rsidRPr="00E53797">
        <w:rPr>
          <w:rFonts w:eastAsia="Verdana" w:cs="Verdana"/>
        </w:rPr>
        <w:t xml:space="preserve">) businesses. </w:t>
      </w:r>
    </w:p>
    <w:p w14:paraId="6B649BD4" w14:textId="15068C54" w:rsidR="006766C2" w:rsidRPr="00E53797" w:rsidRDefault="006766C2" w:rsidP="00FE6E04">
      <w:pPr>
        <w:rPr>
          <w:rFonts w:eastAsia="Verdana" w:cs="Verdana"/>
        </w:rPr>
      </w:pPr>
      <w:r>
        <w:rPr>
          <w:rFonts w:eastAsia="Verdana" w:cs="Verdana"/>
        </w:rPr>
        <w:t xml:space="preserve">Of those that benefited from the </w:t>
      </w:r>
      <w:r w:rsidR="00E670FE">
        <w:rPr>
          <w:rFonts w:eastAsia="Verdana" w:cs="Verdana"/>
        </w:rPr>
        <w:t>scheme</w:t>
      </w:r>
      <w:r>
        <w:rPr>
          <w:rFonts w:eastAsia="Verdana" w:cs="Verdana"/>
        </w:rPr>
        <w:t>, t</w:t>
      </w:r>
      <w:r w:rsidRPr="00E53797">
        <w:rPr>
          <w:rFonts w:eastAsia="Verdana" w:cs="Verdana"/>
        </w:rPr>
        <w:t>he reported business benefits from the CoOL framework included increased consumer trust (56</w:t>
      </w:r>
      <w:r w:rsidR="007B2C81">
        <w:rPr>
          <w:rFonts w:eastAsia="Verdana" w:cs="Verdana"/>
        </w:rPr>
        <w:t>%</w:t>
      </w:r>
      <w:r>
        <w:rPr>
          <w:rFonts w:eastAsia="Verdana" w:cs="Verdana"/>
        </w:rPr>
        <w:t>)</w:t>
      </w:r>
      <w:r w:rsidRPr="00E53797">
        <w:rPr>
          <w:rFonts w:eastAsia="Verdana" w:cs="Verdana"/>
        </w:rPr>
        <w:t>, increased sales (52</w:t>
      </w:r>
      <w:r w:rsidR="007B2C81">
        <w:rPr>
          <w:rFonts w:eastAsia="Verdana" w:cs="Verdana"/>
        </w:rPr>
        <w:t>%</w:t>
      </w:r>
      <w:r w:rsidRPr="00E53797">
        <w:rPr>
          <w:rFonts w:eastAsia="Verdana" w:cs="Verdana"/>
        </w:rPr>
        <w:t>), increased brand recognition (47</w:t>
      </w:r>
      <w:r w:rsidR="007B2C81">
        <w:rPr>
          <w:rFonts w:eastAsia="Verdana" w:cs="Verdana"/>
        </w:rPr>
        <w:t>%</w:t>
      </w:r>
      <w:r w:rsidRPr="00E53797">
        <w:rPr>
          <w:rFonts w:eastAsia="Verdana" w:cs="Verdana"/>
        </w:rPr>
        <w:t>), simplified origin labelling (42</w:t>
      </w:r>
      <w:r w:rsidR="007B2C81">
        <w:rPr>
          <w:rFonts w:eastAsia="Verdana" w:cs="Verdana"/>
        </w:rPr>
        <w:t>%</w:t>
      </w:r>
      <w:r w:rsidRPr="00E53797">
        <w:rPr>
          <w:rFonts w:eastAsia="Verdana" w:cs="Verdana"/>
        </w:rPr>
        <w:t>), decreased staff costs (15</w:t>
      </w:r>
      <w:r w:rsidR="007B2C81">
        <w:rPr>
          <w:rFonts w:eastAsia="Verdana" w:cs="Verdana"/>
        </w:rPr>
        <w:t>%</w:t>
      </w:r>
      <w:r w:rsidRPr="00E53797">
        <w:rPr>
          <w:rFonts w:eastAsia="Verdana" w:cs="Verdana"/>
        </w:rPr>
        <w:t>) and decreased labelling costs (</w:t>
      </w:r>
      <w:r w:rsidR="007B2C81">
        <w:rPr>
          <w:rFonts w:eastAsia="Verdana" w:cs="Verdana"/>
        </w:rPr>
        <w:t>8%</w:t>
      </w:r>
      <w:r w:rsidRPr="00E53797">
        <w:rPr>
          <w:rFonts w:eastAsia="Verdana" w:cs="Verdana"/>
        </w:rPr>
        <w:t>) (</w:t>
      </w:r>
      <w:r>
        <w:rPr>
          <w:rFonts w:eastAsia="Verdana" w:cs="Verdana"/>
          <w:color w:val="000000" w:themeColor="text1"/>
        </w:rPr>
        <w:t>see</w:t>
      </w:r>
      <w:r w:rsidR="00E56019">
        <w:rPr>
          <w:rFonts w:eastAsia="Verdana" w:cs="Verdana"/>
          <w:color w:val="000000" w:themeColor="text1"/>
        </w:rPr>
        <w:t xml:space="preserve"> </w:t>
      </w:r>
      <w:r w:rsidR="00E56019">
        <w:rPr>
          <w:rFonts w:eastAsia="Verdana" w:cs="Verdana"/>
          <w:color w:val="000000" w:themeColor="text1"/>
        </w:rPr>
        <w:fldChar w:fldCharType="begin"/>
      </w:r>
      <w:r w:rsidR="00E56019">
        <w:rPr>
          <w:rFonts w:eastAsia="Verdana" w:cs="Verdana"/>
          <w:color w:val="000000" w:themeColor="text1"/>
        </w:rPr>
        <w:instrText xml:space="preserve"> REF _Ref75942777 \r \h </w:instrText>
      </w:r>
      <w:r w:rsidR="00E56019">
        <w:rPr>
          <w:rFonts w:eastAsia="Verdana" w:cs="Verdana"/>
          <w:color w:val="000000" w:themeColor="text1"/>
        </w:rPr>
      </w:r>
      <w:r w:rsidR="00E56019">
        <w:rPr>
          <w:rFonts w:eastAsia="Verdana" w:cs="Verdana"/>
          <w:color w:val="000000" w:themeColor="text1"/>
        </w:rPr>
        <w:fldChar w:fldCharType="separate"/>
      </w:r>
      <w:r w:rsidR="0017363C">
        <w:rPr>
          <w:rFonts w:eastAsia="Verdana" w:cs="Verdana"/>
          <w:color w:val="000000" w:themeColor="text1"/>
        </w:rPr>
        <w:t>Chart 6.8</w:t>
      </w:r>
      <w:r w:rsidR="00E56019">
        <w:rPr>
          <w:rFonts w:eastAsia="Verdana" w:cs="Verdana"/>
          <w:color w:val="000000" w:themeColor="text1"/>
        </w:rPr>
        <w:fldChar w:fldCharType="end"/>
      </w:r>
      <w:r w:rsidRPr="00E53797">
        <w:rPr>
          <w:rFonts w:eastAsia="Verdana" w:cs="Verdana"/>
          <w:color w:val="000000" w:themeColor="text1"/>
        </w:rPr>
        <w:t>).</w:t>
      </w:r>
    </w:p>
    <w:p w14:paraId="0DBAF846" w14:textId="77777777" w:rsidR="003C1F91" w:rsidRDefault="00DC6C4B" w:rsidP="00D03BD5">
      <w:pPr>
        <w:pStyle w:val="CaptionChart"/>
      </w:pPr>
      <w:bookmarkStart w:id="576" w:name="_Ref61623459"/>
      <w:bookmarkStart w:id="577" w:name="_Toc82590375"/>
      <w:r>
        <w:t xml:space="preserve">: </w:t>
      </w:r>
      <w:r w:rsidR="003C1F91">
        <w:t>Proportion of b</w:t>
      </w:r>
      <w:r w:rsidR="00BE0263">
        <w:t>usiness</w:t>
      </w:r>
      <w:r>
        <w:t xml:space="preserve">es </w:t>
      </w:r>
      <w:r w:rsidR="003C1F91">
        <w:t xml:space="preserve">that </w:t>
      </w:r>
      <w:r>
        <w:t>benefited from the</w:t>
      </w:r>
      <w:r w:rsidR="003C1F91">
        <w:t xml:space="preserve"> current CoOL framework, by business size</w:t>
      </w:r>
      <w:bookmarkEnd w:id="576"/>
      <w:bookmarkEnd w:id="577"/>
    </w:p>
    <w:p w14:paraId="1073FF59" w14:textId="4A87FBA2" w:rsidR="009E533D" w:rsidRDefault="009E533D" w:rsidP="004F66FD">
      <w:pPr>
        <w:pStyle w:val="Source"/>
      </w:pPr>
      <w:r w:rsidRPr="009E533D">
        <w:rPr>
          <w:noProof/>
          <w:lang w:eastAsia="en-AU"/>
        </w:rPr>
        <w:drawing>
          <wp:inline distT="0" distB="0" distL="0" distR="0" wp14:anchorId="7C57F487" wp14:editId="6D5D1CEC">
            <wp:extent cx="5731510" cy="2720340"/>
            <wp:effectExtent l="0" t="0" r="2540" b="3810"/>
            <wp:docPr id="289242766" name="Picture 289242766" descr="Findings for yes: very small business (13%), small business (23%), medium business (28%), large business (17%). Findings for no: very small business (44%), small business (48%), medium business (41%), large business (33%). Findings for unsure: very small business (44%), small business (29%), medium business (31%), large busines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66" name="Picture 289242766" descr="Findings for yes: very small business (13%), small business (23%), medium business (28%), large business (17%). Findings for no: very small business (44%), small business (48%), medium business (41%), large business (33%). Findings for unsure: very small business (44%), small business (29%), medium business (31%), large business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720340"/>
                    </a:xfrm>
                    <a:prstGeom prst="rect">
                      <a:avLst/>
                    </a:prstGeom>
                    <a:noFill/>
                    <a:ln>
                      <a:noFill/>
                    </a:ln>
                  </pic:spPr>
                </pic:pic>
              </a:graphicData>
            </a:graphic>
          </wp:inline>
        </w:drawing>
      </w:r>
    </w:p>
    <w:p w14:paraId="3CDA3B5E" w14:textId="08F7408C" w:rsidR="004F66FD" w:rsidRPr="00DE508C" w:rsidRDefault="004F66FD" w:rsidP="004F66FD">
      <w:pPr>
        <w:pStyle w:val="Source"/>
      </w:pPr>
      <w:r w:rsidRPr="00842E04">
        <w:t xml:space="preserve">Source: Deloitte Access Economics’ national </w:t>
      </w:r>
      <w:r>
        <w:t>business</w:t>
      </w:r>
      <w:r w:rsidRPr="00842E04">
        <w:t xml:space="preserve"> survey</w:t>
      </w:r>
      <w:r>
        <w:t xml:space="preserve"> (2020)</w:t>
      </w:r>
      <w:r w:rsidRPr="00842E04">
        <w:t>.</w:t>
      </w:r>
    </w:p>
    <w:p w14:paraId="43CD1344" w14:textId="29F47907" w:rsidR="00CE63A4" w:rsidRPr="00CB35DE" w:rsidRDefault="00CE63A4" w:rsidP="00CE63A4">
      <w:pPr>
        <w:pStyle w:val="CaptionChart"/>
      </w:pPr>
      <w:bookmarkStart w:id="578" w:name="_Ref75942777"/>
      <w:bookmarkStart w:id="579" w:name="_Toc82590376"/>
      <w:r>
        <w:lastRenderedPageBreak/>
        <w:t>: Reported business benefits of CoOL framework</w:t>
      </w:r>
      <w:bookmarkEnd w:id="578"/>
      <w:r w:rsidR="00430D96">
        <w:t xml:space="preserve"> from </w:t>
      </w:r>
      <w:r w:rsidR="00CC0EB4">
        <w:t>businesses that reported receiving a benefit (i.e. 22%)</w:t>
      </w:r>
      <w:bookmarkEnd w:id="579"/>
    </w:p>
    <w:p w14:paraId="195EE4E6" w14:textId="5A7AADBD" w:rsidR="00033908" w:rsidRDefault="00033908" w:rsidP="00CE63A4">
      <w:pPr>
        <w:pStyle w:val="Caption"/>
        <w:rPr>
          <w:sz w:val="14"/>
          <w:szCs w:val="14"/>
        </w:rPr>
      </w:pPr>
      <w:r w:rsidRPr="00033908">
        <w:rPr>
          <w:noProof/>
          <w:lang w:eastAsia="en-AU"/>
        </w:rPr>
        <w:drawing>
          <wp:inline distT="0" distB="0" distL="0" distR="0" wp14:anchorId="2A36B110" wp14:editId="46E2E989">
            <wp:extent cx="5640070" cy="2903855"/>
            <wp:effectExtent l="0" t="0" r="0" b="0"/>
            <wp:docPr id="289242768" name="Picture 289242768" descr="Findings from this chart are: increased sales (52%), increased brand recognition (47%), simplified origin labelling (42%), decreased staff costs (15%), decreased labelled cost (8%), increased consumer trus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68" name="Picture 289242768" descr="Findings from this chart are: increased sales (52%), increased brand recognition (47%), simplified origin labelling (42%), decreased staff costs (15%), decreased labelled cost (8%), increased consumer trust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40070" cy="2903855"/>
                    </a:xfrm>
                    <a:prstGeom prst="rect">
                      <a:avLst/>
                    </a:prstGeom>
                    <a:noFill/>
                    <a:ln>
                      <a:noFill/>
                    </a:ln>
                  </pic:spPr>
                </pic:pic>
              </a:graphicData>
            </a:graphic>
          </wp:inline>
        </w:drawing>
      </w:r>
    </w:p>
    <w:p w14:paraId="2D355C9C" w14:textId="37036C4F" w:rsidR="00CE63A4" w:rsidRDefault="00CE63A4" w:rsidP="00CE63A4">
      <w:pPr>
        <w:pStyle w:val="Caption"/>
        <w:rPr>
          <w:sz w:val="14"/>
          <w:szCs w:val="14"/>
        </w:rPr>
      </w:pPr>
      <w:r w:rsidRPr="00E53797">
        <w:rPr>
          <w:sz w:val="14"/>
          <w:szCs w:val="14"/>
        </w:rPr>
        <w:t>Source: Deloitte Access Economics’ national business survey (2020).</w:t>
      </w:r>
    </w:p>
    <w:p w14:paraId="1B2458D9" w14:textId="0C1352D8" w:rsidR="00354476" w:rsidRDefault="00354476" w:rsidP="00354476">
      <w:r w:rsidRPr="00A66EB1">
        <w:t>While information specifically related to beverage products</w:t>
      </w:r>
      <w:r>
        <w:t xml:space="preserve"> </w:t>
      </w:r>
      <w:r w:rsidR="008E73DC">
        <w:t>(</w:t>
      </w:r>
      <w:r>
        <w:t>from the business survey</w:t>
      </w:r>
      <w:r w:rsidR="008E73DC">
        <w:t>)</w:t>
      </w:r>
      <w:r w:rsidRPr="00A66EB1">
        <w:t xml:space="preserve"> was</w:t>
      </w:r>
      <w:r>
        <w:t xml:space="preserve"> more</w:t>
      </w:r>
      <w:r w:rsidRPr="00A66EB1">
        <w:t xml:space="preserve"> limited, </w:t>
      </w:r>
      <w:r w:rsidR="0081183F">
        <w:t xml:space="preserve">a range of </w:t>
      </w:r>
      <w:r w:rsidR="008E73DC">
        <w:t>industry stakeholders</w:t>
      </w:r>
      <w:r w:rsidR="002B1DEE">
        <w:t xml:space="preserve"> were consulted</w:t>
      </w:r>
      <w:r>
        <w:t xml:space="preserve">. </w:t>
      </w:r>
    </w:p>
    <w:p w14:paraId="5C712C2F" w14:textId="1079B425" w:rsidR="00745A77" w:rsidRDefault="008E73DC" w:rsidP="00354476">
      <w:r>
        <w:t xml:space="preserve">In a submission to DISER, </w:t>
      </w:r>
      <w:r w:rsidR="009A27CA">
        <w:t xml:space="preserve">Cider Australia, </w:t>
      </w:r>
      <w:r w:rsidR="000C0CB2">
        <w:t xml:space="preserve">indicated </w:t>
      </w:r>
      <w:r w:rsidR="0081183F">
        <w:t>they have not benefited from the reforms</w:t>
      </w:r>
      <w:r w:rsidR="00666817">
        <w:t xml:space="preserve">. With </w:t>
      </w:r>
      <w:r w:rsidR="0081183F">
        <w:t xml:space="preserve">cider </w:t>
      </w:r>
      <w:r w:rsidR="00666817">
        <w:t xml:space="preserve">being classified as a non-priority food item, </w:t>
      </w:r>
      <w:r w:rsidR="002A257F">
        <w:t xml:space="preserve">cheap juice concentrate imported from overseas has a price competitive advantage </w:t>
      </w:r>
      <w:r w:rsidR="00F67214">
        <w:t xml:space="preserve">when compared to the price of Australian grown juice. </w:t>
      </w:r>
      <w:r w:rsidR="0047336C">
        <w:t xml:space="preserve">Cider Australia launched a </w:t>
      </w:r>
      <w:r w:rsidR="002B2A3F">
        <w:t>100</w:t>
      </w:r>
      <w:r w:rsidR="007B2C81">
        <w:t>%</w:t>
      </w:r>
      <w:r w:rsidR="002B2A3F">
        <w:t xml:space="preserve"> Australian Grown </w:t>
      </w:r>
      <w:r w:rsidR="002B2A3F" w:rsidRPr="006F176E">
        <w:t>trust mark</w:t>
      </w:r>
      <w:r w:rsidR="002B2A3F">
        <w:t xml:space="preserve"> in 2018</w:t>
      </w:r>
      <w:r w:rsidR="00B64032">
        <w:t>,</w:t>
      </w:r>
      <w:r w:rsidR="002B2A3F">
        <w:t xml:space="preserve"> which was stated to have been widely embraced by producers</w:t>
      </w:r>
      <w:r w:rsidR="00CA680B">
        <w:t>, though only applicable to approximately 10</w:t>
      </w:r>
      <w:r w:rsidR="007B2C81">
        <w:t>%</w:t>
      </w:r>
      <w:r w:rsidR="00CA680B">
        <w:t xml:space="preserve"> of the </w:t>
      </w:r>
      <w:r w:rsidR="00E00B3E">
        <w:t xml:space="preserve">cider sold because of the rest being made from imported juice concentrates. </w:t>
      </w:r>
    </w:p>
    <w:p w14:paraId="7CB8FF7B" w14:textId="07ED0B2C" w:rsidR="00D5311C" w:rsidRDefault="00C46995" w:rsidP="00354476">
      <w:r>
        <w:t>In</w:t>
      </w:r>
      <w:r w:rsidR="00D5311C">
        <w:t xml:space="preserve"> a c</w:t>
      </w:r>
      <w:r w:rsidR="00C90397">
        <w:t>onsultation with Alcoholic Beverages Australia</w:t>
      </w:r>
      <w:r w:rsidR="00D5311C">
        <w:t xml:space="preserve">, </w:t>
      </w:r>
      <w:r w:rsidR="00D479B1">
        <w:t>representatives</w:t>
      </w:r>
      <w:r w:rsidR="00D5311C">
        <w:t xml:space="preserve"> stated </w:t>
      </w:r>
      <w:r w:rsidR="00AB7573">
        <w:t xml:space="preserve">that </w:t>
      </w:r>
      <w:r w:rsidR="00994714">
        <w:t>w</w:t>
      </w:r>
      <w:r w:rsidR="00D65552">
        <w:t xml:space="preserve">hile the impacts of the scheme have been minimal </w:t>
      </w:r>
      <w:r w:rsidR="00B94253">
        <w:t>on</w:t>
      </w:r>
      <w:r w:rsidR="00D65552">
        <w:t xml:space="preserve"> </w:t>
      </w:r>
      <w:r w:rsidR="00AB7573">
        <w:t>their industry</w:t>
      </w:r>
      <w:r w:rsidR="00B94253">
        <w:t xml:space="preserve"> </w:t>
      </w:r>
      <w:r w:rsidR="00D65552">
        <w:t xml:space="preserve">as </w:t>
      </w:r>
      <w:r w:rsidR="00AB7573">
        <w:t>alcohol is</w:t>
      </w:r>
      <w:r w:rsidR="00D65552">
        <w:t xml:space="preserve"> a non-priority product, </w:t>
      </w:r>
      <w:r w:rsidR="00994714">
        <w:t xml:space="preserve">there would be substantial implications if they were </w:t>
      </w:r>
      <w:r w:rsidR="005667B1">
        <w:t>part of the scheme</w:t>
      </w:r>
      <w:r w:rsidR="00BA2288">
        <w:t xml:space="preserve"> (as a priority product)</w:t>
      </w:r>
      <w:r w:rsidR="005667B1">
        <w:t xml:space="preserve">. </w:t>
      </w:r>
      <w:r w:rsidR="00FD21CB">
        <w:t>The</w:t>
      </w:r>
      <w:r w:rsidR="00BA2288">
        <w:t xml:space="preserve"> representatives</w:t>
      </w:r>
      <w:r w:rsidR="00FD21CB">
        <w:t xml:space="preserve"> emphasised the importance of continuing to</w:t>
      </w:r>
      <w:r w:rsidR="00303B1D">
        <w:t xml:space="preserve"> manag</w:t>
      </w:r>
      <w:r w:rsidR="00FD21CB">
        <w:t xml:space="preserve">e </w:t>
      </w:r>
      <w:r w:rsidR="009136C3">
        <w:t xml:space="preserve">their own </w:t>
      </w:r>
      <w:r w:rsidR="00303B1D">
        <w:t>country</w:t>
      </w:r>
      <w:r w:rsidR="00CB4C85">
        <w:t>/region</w:t>
      </w:r>
      <w:r w:rsidR="00303B1D">
        <w:t xml:space="preserve"> of origin information</w:t>
      </w:r>
      <w:r w:rsidR="00B64032">
        <w:t>,</w:t>
      </w:r>
      <w:r w:rsidR="00FD21CB">
        <w:t xml:space="preserve"> </w:t>
      </w:r>
      <w:r w:rsidR="009136C3">
        <w:t xml:space="preserve">which is </w:t>
      </w:r>
      <w:r w:rsidR="00AB7573">
        <w:t xml:space="preserve">already </w:t>
      </w:r>
      <w:r w:rsidR="009136C3">
        <w:t>quite prescriptive</w:t>
      </w:r>
      <w:r w:rsidR="00303B1D">
        <w:t xml:space="preserve"> (e.g. </w:t>
      </w:r>
      <w:r w:rsidR="00FA4C70">
        <w:t>country/region of origin industry standards for the naming of products such as champagne or scotch).</w:t>
      </w:r>
      <w:r w:rsidR="00201E0B">
        <w:t xml:space="preserve"> This </w:t>
      </w:r>
      <w:r w:rsidR="00AB7573">
        <w:t>information</w:t>
      </w:r>
      <w:r w:rsidR="0081611B">
        <w:t xml:space="preserve"> already influences</w:t>
      </w:r>
      <w:r w:rsidR="00201E0B">
        <w:t xml:space="preserve"> </w:t>
      </w:r>
      <w:r w:rsidR="00AB7573">
        <w:t>consumers</w:t>
      </w:r>
      <w:r w:rsidR="00B64032">
        <w:t>’</w:t>
      </w:r>
      <w:r w:rsidR="00AB7573">
        <w:t xml:space="preserve"> </w:t>
      </w:r>
      <w:r w:rsidR="00201E0B">
        <w:t>purchasing decisions</w:t>
      </w:r>
      <w:r w:rsidR="0099429F">
        <w:t xml:space="preserve"> as </w:t>
      </w:r>
      <w:r w:rsidR="00AB7573">
        <w:t>there are</w:t>
      </w:r>
      <w:r w:rsidR="00B94253">
        <w:t xml:space="preserve"> </w:t>
      </w:r>
      <w:r w:rsidR="00AB7573">
        <w:t xml:space="preserve">already </w:t>
      </w:r>
      <w:r w:rsidR="00B94253">
        <w:t>expectations around the quality of the product</w:t>
      </w:r>
      <w:r w:rsidR="009136C3">
        <w:t xml:space="preserve"> and</w:t>
      </w:r>
      <w:r w:rsidR="00B94253">
        <w:t xml:space="preserve"> how it was made</w:t>
      </w:r>
      <w:r w:rsidR="00AB7573">
        <w:t xml:space="preserve">. </w:t>
      </w:r>
    </w:p>
    <w:p w14:paraId="44E62612" w14:textId="77777777" w:rsidR="006809B8" w:rsidRDefault="00B805BA" w:rsidP="00F80E7C">
      <w:pPr>
        <w:pStyle w:val="Heading3"/>
      </w:pPr>
      <w:bookmarkStart w:id="580" w:name="_Ref66352829"/>
      <w:bookmarkStart w:id="581" w:name="_Toc67499155"/>
      <w:r w:rsidRPr="003C74DF">
        <w:t xml:space="preserve">Key </w:t>
      </w:r>
      <w:r w:rsidR="003656D4">
        <w:t>f</w:t>
      </w:r>
      <w:r w:rsidRPr="003C74DF">
        <w:t>indings</w:t>
      </w:r>
      <w:r w:rsidR="00E26A66">
        <w:t>:</w:t>
      </w:r>
      <w:r w:rsidR="00EB4BAD">
        <w:t xml:space="preserve"> Benefits to business</w:t>
      </w:r>
      <w:bookmarkEnd w:id="580"/>
      <w:bookmarkEnd w:id="581"/>
      <w:r w:rsidR="00E26A66">
        <w:t xml:space="preserve"> </w:t>
      </w:r>
    </w:p>
    <w:tbl>
      <w:tblPr>
        <w:tblStyle w:val="Deloittetable"/>
        <w:tblW w:w="0" w:type="auto"/>
        <w:tblLook w:val="04A0" w:firstRow="1" w:lastRow="0" w:firstColumn="1" w:lastColumn="0" w:noHBand="0" w:noVBand="1"/>
        <w:tblDescription w:val="This table outlines two key findings related to the benefits to business. These are that 1) Most food and beverage producers do not report benefiting from the increased provision of country of origin information to consumers. However, some businesses do report benefitting. &#10;2) A more complete picture of industry benefit from CoOL will emerge once the scheme has operated over a more extended timeframe and consumer awareness and understanding is increased.&#10;"/>
      </w:tblPr>
      <w:tblGrid>
        <w:gridCol w:w="1134"/>
        <w:gridCol w:w="7892"/>
      </w:tblGrid>
      <w:tr w:rsidR="006809B8" w14:paraId="434AF50A"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4C4F47DF" w14:textId="77777777" w:rsidR="006809B8" w:rsidRPr="00AB2F4F" w:rsidRDefault="006809B8" w:rsidP="00C546E2">
            <w:pPr>
              <w:rPr>
                <w:b/>
                <w:bCs/>
              </w:rPr>
            </w:pPr>
            <w:r>
              <w:rPr>
                <w:b/>
                <w:bCs/>
              </w:rPr>
              <w:t>Ref</w:t>
            </w:r>
          </w:p>
        </w:tc>
        <w:tc>
          <w:tcPr>
            <w:tcW w:w="7892" w:type="dxa"/>
            <w:tcBorders>
              <w:top w:val="single" w:sz="24" w:space="0" w:color="012169" w:themeColor="accent4"/>
            </w:tcBorders>
          </w:tcPr>
          <w:p w14:paraId="18850CDB" w14:textId="7E7B3136" w:rsidR="006809B8" w:rsidRPr="00AB2F4F" w:rsidRDefault="0072196E" w:rsidP="00C546E2">
            <w:pPr>
              <w:rPr>
                <w:b/>
                <w:bCs/>
              </w:rPr>
            </w:pPr>
            <w:r w:rsidRPr="0072196E">
              <w:rPr>
                <w:b/>
                <w:bCs/>
              </w:rPr>
              <w:t>Have food and beverage producers benefited from the increased provision of information to consumers?</w:t>
            </w:r>
          </w:p>
        </w:tc>
      </w:tr>
      <w:tr w:rsidR="003C03AE" w14:paraId="7D754EE9" w14:textId="77777777" w:rsidTr="00594328">
        <w:tc>
          <w:tcPr>
            <w:tcW w:w="1134" w:type="dxa"/>
          </w:tcPr>
          <w:p w14:paraId="2DA7656A" w14:textId="6E18B848" w:rsidR="003C03AE" w:rsidRDefault="00D0625C" w:rsidP="003C03AE">
            <w:r>
              <w:t>59</w:t>
            </w:r>
          </w:p>
        </w:tc>
        <w:tc>
          <w:tcPr>
            <w:tcW w:w="7892" w:type="dxa"/>
          </w:tcPr>
          <w:p w14:paraId="09EA52C0" w14:textId="77777777" w:rsidR="003C03AE" w:rsidRDefault="003C03AE" w:rsidP="003C03AE">
            <w:pPr>
              <w:pStyle w:val="ListBullet"/>
              <w:numPr>
                <w:ilvl w:val="0"/>
                <w:numId w:val="0"/>
              </w:numPr>
              <w:spacing w:after="170"/>
            </w:pPr>
            <w:r>
              <w:t>M</w:t>
            </w:r>
            <w:r w:rsidRPr="00D94A1E">
              <w:t xml:space="preserve">ost food and beverage producers do not report benefiting from the increased provision of country of origin information to consumers. However, some businesses do report benefitting. </w:t>
            </w:r>
          </w:p>
        </w:tc>
      </w:tr>
      <w:tr w:rsidR="003C03AE" w14:paraId="09517B1C" w14:textId="77777777" w:rsidTr="00594328">
        <w:tc>
          <w:tcPr>
            <w:tcW w:w="1134" w:type="dxa"/>
          </w:tcPr>
          <w:p w14:paraId="18614592" w14:textId="45628DE7" w:rsidR="003C03AE" w:rsidRDefault="00D0625C" w:rsidP="003C03AE">
            <w:r>
              <w:t>60</w:t>
            </w:r>
          </w:p>
        </w:tc>
        <w:tc>
          <w:tcPr>
            <w:tcW w:w="7892" w:type="dxa"/>
          </w:tcPr>
          <w:p w14:paraId="66B6AE81" w14:textId="77777777" w:rsidR="003C03AE" w:rsidRDefault="003C03AE" w:rsidP="003C03AE">
            <w:pPr>
              <w:pStyle w:val="ListBullet"/>
              <w:numPr>
                <w:ilvl w:val="0"/>
                <w:numId w:val="0"/>
              </w:numPr>
              <w:spacing w:after="170"/>
            </w:pPr>
            <w:r w:rsidRPr="00D94A1E">
              <w:t xml:space="preserve">A more complete picture of industry benefit from CoOL will emerge once the </w:t>
            </w:r>
            <w:r w:rsidR="009446B6">
              <w:t>s</w:t>
            </w:r>
            <w:r w:rsidRPr="00D94A1E">
              <w:t>cheme has operated over a more extended timeframe and consumer awareness and understanding is increased.</w:t>
            </w:r>
          </w:p>
        </w:tc>
      </w:tr>
    </w:tbl>
    <w:p w14:paraId="15EC9866" w14:textId="77777777" w:rsidR="009B0C14" w:rsidRPr="009B0C14" w:rsidRDefault="00686D7A" w:rsidP="009B0C14">
      <w:pPr>
        <w:pStyle w:val="Heading2"/>
      </w:pPr>
      <w:bookmarkStart w:id="582" w:name="_Toc66774507"/>
      <w:bookmarkStart w:id="583" w:name="_Toc67499156"/>
      <w:bookmarkStart w:id="584" w:name="_Toc94702074"/>
      <w:bookmarkEnd w:id="582"/>
      <w:r>
        <w:lastRenderedPageBreak/>
        <w:t>Lessons</w:t>
      </w:r>
      <w:r w:rsidR="009B0C14" w:rsidRPr="009B0C14">
        <w:t xml:space="preserve"> to improve future initiatives</w:t>
      </w:r>
      <w:bookmarkEnd w:id="583"/>
      <w:bookmarkEnd w:id="584"/>
    </w:p>
    <w:p w14:paraId="309F2F83" w14:textId="70EAB88C" w:rsidR="00904FDC" w:rsidRDefault="00CB29AB" w:rsidP="00925E75">
      <w:pPr>
        <w:spacing w:line="257" w:lineRule="auto"/>
        <w:rPr>
          <w:rFonts w:eastAsia="Verdana" w:cs="Verdana"/>
        </w:rPr>
      </w:pPr>
      <w:r>
        <w:rPr>
          <w:rFonts w:eastAsia="Verdana" w:cs="Verdana"/>
        </w:rPr>
        <w:t>B</w:t>
      </w:r>
      <w:r w:rsidR="00B622D2">
        <w:rPr>
          <w:rFonts w:eastAsia="Verdana" w:cs="Verdana"/>
        </w:rPr>
        <w:t xml:space="preserve">usinesses </w:t>
      </w:r>
      <w:r w:rsidR="00DC4296">
        <w:rPr>
          <w:rFonts w:eastAsia="Verdana" w:cs="Verdana"/>
        </w:rPr>
        <w:t>provided direct input</w:t>
      </w:r>
      <w:r w:rsidR="00E544A7">
        <w:rPr>
          <w:rFonts w:eastAsia="Verdana" w:cs="Verdana"/>
        </w:rPr>
        <w:t xml:space="preserve">s </w:t>
      </w:r>
      <w:r w:rsidR="005C29BD">
        <w:rPr>
          <w:rFonts w:eastAsia="Verdana" w:cs="Verdana"/>
        </w:rPr>
        <w:t xml:space="preserve">into how to improve efficiency and effectiveness of future initiatives through the business survey, </w:t>
      </w:r>
      <w:r w:rsidR="00C67A5C">
        <w:rPr>
          <w:rFonts w:eastAsia="Verdana" w:cs="Verdana"/>
        </w:rPr>
        <w:t>submissions</w:t>
      </w:r>
      <w:r w:rsidR="005C29BD">
        <w:rPr>
          <w:rFonts w:eastAsia="Verdana" w:cs="Verdana"/>
        </w:rPr>
        <w:t xml:space="preserve"> and industry consultations. </w:t>
      </w:r>
      <w:r w:rsidR="000065DD">
        <w:rPr>
          <w:rFonts w:eastAsia="Verdana" w:cs="Verdana"/>
        </w:rPr>
        <w:t xml:space="preserve">Specifically, businesses were asked about the challenges faced </w:t>
      </w:r>
      <w:r w:rsidR="00EF1F6F">
        <w:rPr>
          <w:rFonts w:eastAsia="Verdana" w:cs="Verdana"/>
        </w:rPr>
        <w:t>when</w:t>
      </w:r>
      <w:r w:rsidR="000065DD">
        <w:rPr>
          <w:rFonts w:eastAsia="Verdana" w:cs="Verdana"/>
        </w:rPr>
        <w:t xml:space="preserve"> complying with the new CoOL reforms and </w:t>
      </w:r>
      <w:r w:rsidR="00EF1F6F">
        <w:rPr>
          <w:rFonts w:eastAsia="Verdana" w:cs="Verdana"/>
        </w:rPr>
        <w:t xml:space="preserve">what changes should be considered for future reforms </w:t>
      </w:r>
      <w:r w:rsidR="00233F81">
        <w:rPr>
          <w:rFonts w:eastAsia="Verdana" w:cs="Verdana"/>
        </w:rPr>
        <w:t>to prevent or mitigate these challenges. The purpose of this evaluation question is to gather the costs and challenges that might be faced by businesses if implementing a proposed</w:t>
      </w:r>
      <w:r w:rsidR="00B86F6C">
        <w:rPr>
          <w:rFonts w:eastAsia="Verdana" w:cs="Verdana"/>
        </w:rPr>
        <w:t xml:space="preserve"> option.</w:t>
      </w:r>
      <w:r w:rsidR="000065DD">
        <w:rPr>
          <w:rFonts w:eastAsia="Verdana" w:cs="Verdana"/>
        </w:rPr>
        <w:t xml:space="preserve"> </w:t>
      </w:r>
    </w:p>
    <w:p w14:paraId="65EE7FBE" w14:textId="77777777" w:rsidR="000947F1" w:rsidRDefault="00CE13B4" w:rsidP="00E53797">
      <w:pPr>
        <w:pStyle w:val="Heading3"/>
      </w:pPr>
      <w:bookmarkStart w:id="585" w:name="_Toc67499157"/>
      <w:r>
        <w:t>Larger businesses faced larger impacts</w:t>
      </w:r>
      <w:r w:rsidR="00670D4E">
        <w:t xml:space="preserve"> than smaller businesses</w:t>
      </w:r>
      <w:bookmarkEnd w:id="585"/>
    </w:p>
    <w:p w14:paraId="09A77CFC" w14:textId="01AF5C51" w:rsidR="2C6849D8" w:rsidRDefault="004B7783" w:rsidP="00925E75">
      <w:pPr>
        <w:spacing w:line="257" w:lineRule="auto"/>
        <w:rPr>
          <w:rFonts w:eastAsia="Verdana" w:cs="Verdana"/>
          <w:color w:val="046A38" w:themeColor="accent2"/>
        </w:rPr>
      </w:pPr>
      <w:r w:rsidRPr="00E53797">
        <w:rPr>
          <w:rFonts w:eastAsia="Verdana" w:cs="Verdana"/>
        </w:rPr>
        <w:t xml:space="preserve">The business survey indicated that </w:t>
      </w:r>
      <w:r w:rsidR="009C4B44" w:rsidRPr="00E53797">
        <w:rPr>
          <w:rFonts w:eastAsia="Verdana" w:cs="Verdana"/>
        </w:rPr>
        <w:t>the</w:t>
      </w:r>
      <w:r w:rsidR="00B574CF">
        <w:rPr>
          <w:rFonts w:eastAsia="Verdana" w:cs="Verdana"/>
        </w:rPr>
        <w:t xml:space="preserve"> reforms </w:t>
      </w:r>
      <w:r w:rsidR="009C4B44" w:rsidRPr="00E53797">
        <w:rPr>
          <w:rFonts w:eastAsia="Verdana" w:cs="Verdana"/>
        </w:rPr>
        <w:t>either had a “minor” impact (</w:t>
      </w:r>
      <w:r w:rsidR="003F211F" w:rsidRPr="00E53797">
        <w:rPr>
          <w:rFonts w:eastAsia="Verdana" w:cs="Verdana"/>
        </w:rPr>
        <w:t>28</w:t>
      </w:r>
      <w:r w:rsidR="007B2C81">
        <w:rPr>
          <w:rFonts w:eastAsia="Verdana" w:cs="Verdana"/>
        </w:rPr>
        <w:t>%</w:t>
      </w:r>
      <w:r w:rsidR="003F211F" w:rsidRPr="00E53797">
        <w:rPr>
          <w:rFonts w:eastAsia="Verdana" w:cs="Verdana"/>
        </w:rPr>
        <w:t>), a “moderate</w:t>
      </w:r>
      <w:r w:rsidR="00D44195" w:rsidRPr="00E53797">
        <w:rPr>
          <w:rFonts w:eastAsia="Verdana" w:cs="Verdana"/>
        </w:rPr>
        <w:t>”</w:t>
      </w:r>
      <w:r w:rsidR="003F211F" w:rsidRPr="00E53797">
        <w:rPr>
          <w:rFonts w:eastAsia="Verdana" w:cs="Verdana"/>
        </w:rPr>
        <w:t xml:space="preserve"> impact (59</w:t>
      </w:r>
      <w:r w:rsidR="007B2C81">
        <w:rPr>
          <w:rFonts w:eastAsia="Verdana" w:cs="Verdana"/>
        </w:rPr>
        <w:t>%</w:t>
      </w:r>
      <w:r w:rsidR="003F211F" w:rsidRPr="00E53797">
        <w:rPr>
          <w:rFonts w:eastAsia="Verdana" w:cs="Verdana"/>
        </w:rPr>
        <w:t>) or a “major</w:t>
      </w:r>
      <w:r w:rsidR="00D44195" w:rsidRPr="00E53797">
        <w:rPr>
          <w:rFonts w:eastAsia="Verdana" w:cs="Verdana"/>
        </w:rPr>
        <w:t>”</w:t>
      </w:r>
      <w:r w:rsidR="003F211F" w:rsidRPr="00E53797">
        <w:rPr>
          <w:rFonts w:eastAsia="Verdana" w:cs="Verdana"/>
        </w:rPr>
        <w:t xml:space="preserve"> impact (1</w:t>
      </w:r>
      <w:r w:rsidR="00281750" w:rsidRPr="00E53797">
        <w:rPr>
          <w:rFonts w:eastAsia="Verdana" w:cs="Verdana"/>
        </w:rPr>
        <w:t>3</w:t>
      </w:r>
      <w:r w:rsidR="007B2C81">
        <w:rPr>
          <w:rFonts w:eastAsia="Verdana" w:cs="Verdana"/>
        </w:rPr>
        <w:t>%</w:t>
      </w:r>
      <w:r w:rsidR="003F211F" w:rsidRPr="00E53797">
        <w:rPr>
          <w:rFonts w:eastAsia="Verdana" w:cs="Verdana"/>
        </w:rPr>
        <w:t>)</w:t>
      </w:r>
      <w:r w:rsidR="00816AE6" w:rsidRPr="00E53797">
        <w:rPr>
          <w:rFonts w:eastAsia="Verdana" w:cs="Verdana"/>
        </w:rPr>
        <w:t xml:space="preserve"> on businesses</w:t>
      </w:r>
      <w:r w:rsidR="003F211F" w:rsidRPr="00E53797">
        <w:rPr>
          <w:rFonts w:eastAsia="Verdana" w:cs="Verdana"/>
        </w:rPr>
        <w:t>.</w:t>
      </w:r>
      <w:r w:rsidR="009C4B44" w:rsidRPr="00E53797">
        <w:rPr>
          <w:rFonts w:eastAsia="Verdana" w:cs="Verdana"/>
        </w:rPr>
        <w:t xml:space="preserve"> </w:t>
      </w:r>
      <w:r w:rsidR="004E2924" w:rsidRPr="00E53797">
        <w:rPr>
          <w:rFonts w:eastAsia="Verdana" w:cs="Verdana"/>
        </w:rPr>
        <w:t xml:space="preserve">As illustrated in </w:t>
      </w:r>
      <w:r w:rsidR="00816AE6" w:rsidRPr="00E53797">
        <w:rPr>
          <w:rFonts w:eastAsia="Verdana" w:cs="Verdana"/>
        </w:rPr>
        <w:fldChar w:fldCharType="begin"/>
      </w:r>
      <w:r w:rsidR="00816AE6" w:rsidRPr="00E53797">
        <w:rPr>
          <w:rFonts w:eastAsia="Verdana" w:cs="Verdana"/>
        </w:rPr>
        <w:instrText xml:space="preserve"> REF _Ref61619199 \r \h </w:instrText>
      </w:r>
      <w:r w:rsidR="00816AE6" w:rsidRPr="00E53797">
        <w:rPr>
          <w:rFonts w:eastAsia="Verdana" w:cs="Verdana"/>
        </w:rPr>
      </w:r>
      <w:r w:rsidR="00816AE6" w:rsidRPr="00E53797">
        <w:rPr>
          <w:rFonts w:eastAsia="Verdana" w:cs="Verdana"/>
        </w:rPr>
        <w:fldChar w:fldCharType="separate"/>
      </w:r>
      <w:r w:rsidR="0017363C">
        <w:rPr>
          <w:rFonts w:eastAsia="Verdana" w:cs="Verdana"/>
        </w:rPr>
        <w:t>Chart 6.9</w:t>
      </w:r>
      <w:r w:rsidR="00816AE6" w:rsidRPr="00E53797">
        <w:rPr>
          <w:rFonts w:eastAsia="Verdana" w:cs="Verdana"/>
        </w:rPr>
        <w:fldChar w:fldCharType="end"/>
      </w:r>
      <w:r w:rsidR="004E2924" w:rsidRPr="00E53797">
        <w:rPr>
          <w:rFonts w:eastAsia="Verdana" w:cs="Verdana"/>
        </w:rPr>
        <w:t xml:space="preserve">, </w:t>
      </w:r>
      <w:r w:rsidR="2C6849D8" w:rsidRPr="00E53797">
        <w:rPr>
          <w:rFonts w:eastAsia="Verdana" w:cs="Verdana"/>
        </w:rPr>
        <w:t>the impact of changes was higher for large</w:t>
      </w:r>
      <w:r w:rsidR="003F757F" w:rsidRPr="00E53797">
        <w:rPr>
          <w:rFonts w:eastAsia="Verdana" w:cs="Verdana"/>
        </w:rPr>
        <w:t>r</w:t>
      </w:r>
      <w:r w:rsidR="2C6849D8" w:rsidRPr="00E53797">
        <w:rPr>
          <w:rFonts w:eastAsia="Verdana" w:cs="Verdana"/>
        </w:rPr>
        <w:t xml:space="preserve"> businesses (</w:t>
      </w:r>
      <w:r w:rsidR="003F757F" w:rsidRPr="00E53797">
        <w:rPr>
          <w:rFonts w:eastAsia="Verdana" w:cs="Verdana"/>
        </w:rPr>
        <w:t xml:space="preserve">with </w:t>
      </w:r>
      <w:r w:rsidR="2C6849D8" w:rsidRPr="00E53797">
        <w:rPr>
          <w:rFonts w:eastAsia="Verdana" w:cs="Verdana"/>
        </w:rPr>
        <w:t>2</w:t>
      </w:r>
      <w:r w:rsidR="00281750" w:rsidRPr="00E53797">
        <w:rPr>
          <w:rFonts w:eastAsia="Verdana" w:cs="Verdana"/>
        </w:rPr>
        <w:t>2</w:t>
      </w:r>
      <w:r w:rsidR="007B2C81">
        <w:rPr>
          <w:rFonts w:eastAsia="Verdana" w:cs="Verdana"/>
        </w:rPr>
        <w:t>%</w:t>
      </w:r>
      <w:r w:rsidR="2C6849D8" w:rsidRPr="00E53797">
        <w:rPr>
          <w:rFonts w:eastAsia="Verdana" w:cs="Verdana"/>
        </w:rPr>
        <w:t xml:space="preserve"> </w:t>
      </w:r>
      <w:r w:rsidR="24E8CBE5" w:rsidRPr="00E53797">
        <w:rPr>
          <w:rFonts w:eastAsia="Verdana" w:cs="Verdana"/>
        </w:rPr>
        <w:t>report</w:t>
      </w:r>
      <w:r w:rsidR="003F757F" w:rsidRPr="00E53797">
        <w:rPr>
          <w:rFonts w:eastAsia="Verdana" w:cs="Verdana"/>
        </w:rPr>
        <w:t>ing</w:t>
      </w:r>
      <w:r w:rsidR="2C6849D8" w:rsidRPr="00E53797">
        <w:rPr>
          <w:rFonts w:eastAsia="Verdana" w:cs="Verdana"/>
        </w:rPr>
        <w:t xml:space="preserve"> a “major” impact) than small</w:t>
      </w:r>
      <w:r w:rsidR="00050571" w:rsidRPr="00E53797">
        <w:rPr>
          <w:rFonts w:eastAsia="Verdana" w:cs="Verdana"/>
        </w:rPr>
        <w:t>er</w:t>
      </w:r>
      <w:r w:rsidR="2C6849D8" w:rsidRPr="00E53797">
        <w:rPr>
          <w:rFonts w:eastAsia="Verdana" w:cs="Verdana"/>
        </w:rPr>
        <w:t xml:space="preserve"> businesses (</w:t>
      </w:r>
      <w:r w:rsidR="00050571" w:rsidRPr="00E53797">
        <w:rPr>
          <w:rFonts w:eastAsia="Verdana" w:cs="Verdana"/>
        </w:rPr>
        <w:t xml:space="preserve">with </w:t>
      </w:r>
      <w:r w:rsidR="007B2C81">
        <w:rPr>
          <w:rFonts w:eastAsia="Verdana" w:cs="Verdana"/>
        </w:rPr>
        <w:t>4%</w:t>
      </w:r>
      <w:r w:rsidR="000650CD">
        <w:rPr>
          <w:rFonts w:eastAsia="Verdana" w:cs="Verdana"/>
        </w:rPr>
        <w:t xml:space="preserve"> </w:t>
      </w:r>
      <w:r w:rsidR="00050571" w:rsidRPr="00E53797">
        <w:rPr>
          <w:rFonts w:eastAsia="Verdana" w:cs="Verdana"/>
        </w:rPr>
        <w:t>of small or very small businesses</w:t>
      </w:r>
      <w:r w:rsidR="2C6849D8" w:rsidRPr="00E53797">
        <w:rPr>
          <w:rFonts w:eastAsia="Verdana" w:cs="Verdana"/>
        </w:rPr>
        <w:t xml:space="preserve"> report</w:t>
      </w:r>
      <w:r w:rsidR="00050571" w:rsidRPr="00E53797">
        <w:rPr>
          <w:rFonts w:eastAsia="Verdana" w:cs="Verdana"/>
        </w:rPr>
        <w:t>ing</w:t>
      </w:r>
      <w:r w:rsidR="2C6849D8" w:rsidRPr="00E53797">
        <w:rPr>
          <w:rFonts w:eastAsia="Verdana" w:cs="Verdana"/>
        </w:rPr>
        <w:t xml:space="preserve"> </w:t>
      </w:r>
      <w:r w:rsidR="42D1A55B" w:rsidRPr="00E53797">
        <w:rPr>
          <w:rFonts w:eastAsia="Verdana" w:cs="Verdana"/>
        </w:rPr>
        <w:t xml:space="preserve">a </w:t>
      </w:r>
      <w:r w:rsidR="2C6849D8" w:rsidRPr="00E53797">
        <w:rPr>
          <w:rFonts w:eastAsia="Verdana" w:cs="Verdana"/>
        </w:rPr>
        <w:t>“major” impact)</w:t>
      </w:r>
      <w:r w:rsidR="0A0BE2FC" w:rsidRPr="00E53797">
        <w:rPr>
          <w:rFonts w:eastAsia="Verdana" w:cs="Verdana"/>
        </w:rPr>
        <w:t>.</w:t>
      </w:r>
      <w:r w:rsidR="00266346">
        <w:rPr>
          <w:rFonts w:eastAsia="Verdana" w:cs="Verdana"/>
        </w:rPr>
        <w:t xml:space="preserve"> </w:t>
      </w:r>
    </w:p>
    <w:p w14:paraId="797284AB" w14:textId="77777777" w:rsidR="00476BE3" w:rsidRDefault="00393ED8" w:rsidP="00050571">
      <w:pPr>
        <w:pStyle w:val="CaptionChart"/>
      </w:pPr>
      <w:bookmarkStart w:id="586" w:name="_Toc82590377"/>
      <w:r>
        <w:t>:</w:t>
      </w:r>
      <w:r w:rsidR="00476BE3">
        <w:t xml:space="preserve"> </w:t>
      </w:r>
      <w:bookmarkStart w:id="587" w:name="_Ref61619199"/>
      <w:r w:rsidR="00C15474">
        <w:t>Reported impact to businesses of CoOL reforms, by business size</w:t>
      </w:r>
      <w:bookmarkEnd w:id="586"/>
      <w:bookmarkEnd w:id="587"/>
    </w:p>
    <w:p w14:paraId="504D8761" w14:textId="49092EB3" w:rsidR="00EB6316" w:rsidRDefault="001A53D2" w:rsidP="00050571">
      <w:pPr>
        <w:pStyle w:val="Source"/>
      </w:pPr>
      <w:r w:rsidRPr="001A53D2">
        <w:rPr>
          <w:noProof/>
          <w:lang w:eastAsia="en-AU"/>
        </w:rPr>
        <w:drawing>
          <wp:inline distT="0" distB="0" distL="0" distR="0" wp14:anchorId="028A648E" wp14:editId="21F0CA04">
            <wp:extent cx="5632704" cy="2844434"/>
            <wp:effectExtent l="0" t="0" r="6350" b="0"/>
            <wp:docPr id="289242770" name="Picture 289242770" descr="Findings for minor: very small business (69%), small business (34%), medium business (26%), large business (20%). Findings for moderate: very small business (31%), small business (62%), medium business (61%), large business (58%). Findings for major: very small business (0%), small business (4%), medium business (13%), large business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70" name="Picture 289242770" descr="Findings for minor: very small business (69%), small business (34%), medium business (26%), large business (20%). Findings for moderate: very small business (31%), small business (62%), medium business (61%), large business (58%). Findings for major: very small business (0%), small business (4%), medium business (13%), large business (22%).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36540" cy="2846371"/>
                    </a:xfrm>
                    <a:prstGeom prst="rect">
                      <a:avLst/>
                    </a:prstGeom>
                    <a:noFill/>
                    <a:ln>
                      <a:noFill/>
                    </a:ln>
                  </pic:spPr>
                </pic:pic>
              </a:graphicData>
            </a:graphic>
          </wp:inline>
        </w:drawing>
      </w:r>
    </w:p>
    <w:p w14:paraId="14FFF42F" w14:textId="139EDB3E" w:rsidR="00050571" w:rsidRPr="00DE508C" w:rsidRDefault="00050571" w:rsidP="00050571">
      <w:pPr>
        <w:pStyle w:val="Source"/>
      </w:pPr>
      <w:r w:rsidRPr="00842E04">
        <w:t xml:space="preserve">Source: Deloitte Access Economics’ national </w:t>
      </w:r>
      <w:r>
        <w:t>business</w:t>
      </w:r>
      <w:r w:rsidRPr="00842E04">
        <w:t xml:space="preserve"> survey</w:t>
      </w:r>
      <w:r>
        <w:t xml:space="preserve"> (2020)</w:t>
      </w:r>
      <w:r w:rsidRPr="00842E04">
        <w:t>.</w:t>
      </w:r>
    </w:p>
    <w:p w14:paraId="3A475F2E" w14:textId="77B6C6B2" w:rsidR="00931705" w:rsidRDefault="00AF25E0" w:rsidP="00844C56">
      <w:r>
        <w:t>In the survey, s</w:t>
      </w:r>
      <w:r w:rsidR="00805B96">
        <w:t>ome businesses</w:t>
      </w:r>
      <w:r w:rsidR="00C40B46">
        <w:t xml:space="preserve"> also</w:t>
      </w:r>
      <w:r w:rsidR="00805B96">
        <w:t xml:space="preserve"> recommended improvements </w:t>
      </w:r>
      <w:r w:rsidR="00C3449C">
        <w:t xml:space="preserve">to the CoOL framework. </w:t>
      </w:r>
      <w:r w:rsidR="00A13DB5">
        <w:t xml:space="preserve">Of </w:t>
      </w:r>
      <w:r w:rsidR="000D6BCF">
        <w:t xml:space="preserve">all </w:t>
      </w:r>
      <w:r w:rsidR="00A13DB5">
        <w:t>s</w:t>
      </w:r>
      <w:r w:rsidR="000D6BCF">
        <w:t>uggestions made, t</w:t>
      </w:r>
      <w:r w:rsidR="00C3449C">
        <w:t>hese included</w:t>
      </w:r>
      <w:r w:rsidR="003D6146">
        <w:t>:</w:t>
      </w:r>
      <w:r w:rsidR="00C3449C">
        <w:t xml:space="preserve"> ensuring </w:t>
      </w:r>
      <w:r w:rsidR="00A13DB5">
        <w:t xml:space="preserve">the origin of all ingredients </w:t>
      </w:r>
      <w:r w:rsidR="00B64032">
        <w:t>is</w:t>
      </w:r>
      <w:r w:rsidR="00A13DB5">
        <w:t xml:space="preserve"> listed (</w:t>
      </w:r>
      <w:r w:rsidR="006C27E7">
        <w:t>12</w:t>
      </w:r>
      <w:r w:rsidR="007B2C81">
        <w:t>%</w:t>
      </w:r>
      <w:r w:rsidR="006C27E7">
        <w:t>)</w:t>
      </w:r>
      <w:r w:rsidR="003D6146">
        <w:t>;</w:t>
      </w:r>
      <w:r w:rsidR="006C27E7">
        <w:t xml:space="preserve"> running an education campaign for consumers (10</w:t>
      </w:r>
      <w:r w:rsidR="007B2C81">
        <w:t>%</w:t>
      </w:r>
      <w:r w:rsidR="006C27E7">
        <w:t>)</w:t>
      </w:r>
      <w:r w:rsidR="003D6146">
        <w:t>;</w:t>
      </w:r>
      <w:r w:rsidR="006527D7">
        <w:t xml:space="preserve"> making CoOL regulations clearer and simpler (10</w:t>
      </w:r>
      <w:r w:rsidR="007B2C81">
        <w:t>%</w:t>
      </w:r>
      <w:r w:rsidR="003D6146">
        <w:t>);</w:t>
      </w:r>
      <w:r w:rsidR="006527D7">
        <w:t xml:space="preserve"> extending the requirements to other products (</w:t>
      </w:r>
      <w:r w:rsidR="007B2C81">
        <w:t>8%</w:t>
      </w:r>
      <w:r w:rsidR="000B303C">
        <w:t>)</w:t>
      </w:r>
      <w:r w:rsidR="003D6146">
        <w:t>;</w:t>
      </w:r>
      <w:r w:rsidR="000B303C">
        <w:t xml:space="preserve"> </w:t>
      </w:r>
      <w:r w:rsidR="00030D26">
        <w:t xml:space="preserve">altering the </w:t>
      </w:r>
      <w:r w:rsidR="009A7A01">
        <w:t>‘</w:t>
      </w:r>
      <w:r w:rsidR="00030D26">
        <w:t xml:space="preserve">Made </w:t>
      </w:r>
      <w:r w:rsidR="000650CD">
        <w:t>in</w:t>
      </w:r>
      <w:r w:rsidR="009A7A01">
        <w:t>’</w:t>
      </w:r>
      <w:r w:rsidR="000650CD">
        <w:t xml:space="preserve"> </w:t>
      </w:r>
      <w:r w:rsidR="00030D26">
        <w:t>statement (</w:t>
      </w:r>
      <w:r w:rsidR="007B2C81">
        <w:t>8%</w:t>
      </w:r>
      <w:r w:rsidR="00030D26">
        <w:t>)</w:t>
      </w:r>
      <w:r w:rsidR="003D6146">
        <w:t>;</w:t>
      </w:r>
      <w:r w:rsidR="00030D26">
        <w:t xml:space="preserve"> </w:t>
      </w:r>
      <w:r w:rsidR="000B0B44">
        <w:t>increasing the size of the label (</w:t>
      </w:r>
      <w:r w:rsidR="007B2C81">
        <w:t>6%</w:t>
      </w:r>
      <w:r w:rsidR="000B0B44">
        <w:t>)</w:t>
      </w:r>
      <w:r w:rsidR="003D6146">
        <w:t>;</w:t>
      </w:r>
      <w:r w:rsidR="000B0B44">
        <w:t xml:space="preserve"> and lowering </w:t>
      </w:r>
      <w:r w:rsidR="004F1259">
        <w:t>compliance</w:t>
      </w:r>
      <w:r w:rsidR="000B0B44">
        <w:t xml:space="preserve"> costs (</w:t>
      </w:r>
      <w:r w:rsidR="007B2C81">
        <w:t>6%</w:t>
      </w:r>
      <w:r w:rsidR="000B0B44">
        <w:t xml:space="preserve">). </w:t>
      </w:r>
    </w:p>
    <w:p w14:paraId="5F1B32B6" w14:textId="07C54B43" w:rsidR="00F8676E" w:rsidRDefault="00DC4B80" w:rsidP="00844C56">
      <w:r>
        <w:t xml:space="preserve">Businesses have provided a range of ways that </w:t>
      </w:r>
      <w:r w:rsidR="00E75E96">
        <w:t xml:space="preserve">similar initiatives could be improved in the future. These include extending the timeline of the </w:t>
      </w:r>
      <w:r w:rsidR="006942AB">
        <w:t>reforms</w:t>
      </w:r>
      <w:r w:rsidR="00E75E96">
        <w:t xml:space="preserve"> to </w:t>
      </w:r>
      <w:r w:rsidR="00CB7D5C">
        <w:t xml:space="preserve">mitigate old label wastage and </w:t>
      </w:r>
      <w:r w:rsidR="000D00E2">
        <w:t>improve</w:t>
      </w:r>
      <w:r w:rsidR="00CB7D5C">
        <w:t xml:space="preserve"> transition</w:t>
      </w:r>
      <w:r w:rsidR="000D00E2">
        <w:t>,</w:t>
      </w:r>
      <w:r w:rsidR="00891CC4">
        <w:t xml:space="preserve"> and </w:t>
      </w:r>
      <w:r w:rsidR="005574C3">
        <w:t xml:space="preserve">through </w:t>
      </w:r>
      <w:r w:rsidR="004260A9">
        <w:t>increased flexibility to accommodate for unexpected shocks to the supply chains</w:t>
      </w:r>
      <w:r w:rsidR="00891CC4">
        <w:t xml:space="preserve">. </w:t>
      </w:r>
    </w:p>
    <w:p w14:paraId="6507CD0F" w14:textId="7C2757B2" w:rsidR="00127998" w:rsidRDefault="00127998">
      <w:pPr>
        <w:pStyle w:val="Heading3"/>
      </w:pPr>
      <w:r>
        <w:t>Any future changes should consider the burden of</w:t>
      </w:r>
      <w:r w:rsidR="00E42F25">
        <w:t>,</w:t>
      </w:r>
      <w:r>
        <w:t xml:space="preserve"> and staging with</w:t>
      </w:r>
      <w:r w:rsidR="00E42F25">
        <w:t>,</w:t>
      </w:r>
      <w:r>
        <w:t xml:space="preserve"> other labelling changes</w:t>
      </w:r>
    </w:p>
    <w:p w14:paraId="75004CE9" w14:textId="39F193F9" w:rsidR="00127998" w:rsidRDefault="001E2508" w:rsidP="00844C56">
      <w:r>
        <w:t>There is an increased burden</w:t>
      </w:r>
      <w:r w:rsidR="00627AED">
        <w:t xml:space="preserve"> of potential CoOL changes on businesses, particularly given other product regulations currently being introduced. New</w:t>
      </w:r>
      <w:r w:rsidR="00297079">
        <w:t xml:space="preserve"> allergen</w:t>
      </w:r>
      <w:r w:rsidR="00627AED">
        <w:t xml:space="preserve"> requirements have recently been introduced </w:t>
      </w:r>
      <w:r w:rsidR="00297079">
        <w:t>with a</w:t>
      </w:r>
      <w:r w:rsidR="00640FF2">
        <w:t xml:space="preserve"> transition period of </w:t>
      </w:r>
      <w:r w:rsidR="00B75CC3">
        <w:t>three</w:t>
      </w:r>
      <w:r w:rsidR="00517176">
        <w:t xml:space="preserve"> </w:t>
      </w:r>
      <w:r w:rsidR="00640FF2">
        <w:t>years and a furth</w:t>
      </w:r>
      <w:r w:rsidR="00517176">
        <w:t xml:space="preserve">er </w:t>
      </w:r>
      <w:r w:rsidR="00B75CC3">
        <w:t>two</w:t>
      </w:r>
      <w:r w:rsidR="00B64032">
        <w:t>-</w:t>
      </w:r>
      <w:r w:rsidR="00517176">
        <w:t>year stock-and-trade period</w:t>
      </w:r>
      <w:r w:rsidR="00EF5CD8">
        <w:t xml:space="preserve">. </w:t>
      </w:r>
      <w:r w:rsidR="00297079">
        <w:t>T</w:t>
      </w:r>
      <w:r w:rsidR="00C43226">
        <w:t xml:space="preserve">he potential </w:t>
      </w:r>
      <w:r w:rsidR="00393B82">
        <w:t xml:space="preserve">costs of redesigning labels </w:t>
      </w:r>
      <w:r w:rsidR="00297079">
        <w:t xml:space="preserve">related to allergen labelling </w:t>
      </w:r>
      <w:r w:rsidR="00C43226">
        <w:t>will be somewhat offset by normal label redesign and replacement costs</w:t>
      </w:r>
      <w:r w:rsidR="00393B82">
        <w:t xml:space="preserve"> that occur over time</w:t>
      </w:r>
      <w:r w:rsidR="00C43226">
        <w:t xml:space="preserve">. </w:t>
      </w:r>
    </w:p>
    <w:p w14:paraId="08D31CE0" w14:textId="27A49178" w:rsidR="004B35F3" w:rsidRDefault="00393B82" w:rsidP="00844C56">
      <w:r>
        <w:t xml:space="preserve">Any changes to CoOL information would need to consider the staging and burden of other food labelling changes planned to </w:t>
      </w:r>
      <w:r w:rsidR="00297079">
        <w:t>occur and</w:t>
      </w:r>
      <w:r w:rsidR="00C13D88">
        <w:t xml:space="preserve"> provide sufficient time for industry adaptation and </w:t>
      </w:r>
      <w:r w:rsidR="00C13D88">
        <w:lastRenderedPageBreak/>
        <w:t>planning.</w:t>
      </w:r>
      <w:r w:rsidR="00ED2583" w:rsidRPr="00ED2583">
        <w:t xml:space="preserve"> </w:t>
      </w:r>
      <w:r w:rsidR="00ED2583">
        <w:t xml:space="preserve">Making changes to </w:t>
      </w:r>
      <w:r w:rsidR="00D35F5E">
        <w:t>origin labelling would be a process, where sufficient time must be allowed for agreement of the States and Territories in relation to changes to</w:t>
      </w:r>
      <w:r w:rsidR="00ED2583" w:rsidRPr="00ED2583">
        <w:t xml:space="preserve"> </w:t>
      </w:r>
      <w:r w:rsidR="00577F2D">
        <w:t>ACL</w:t>
      </w:r>
      <w:r w:rsidR="00ED2583" w:rsidRPr="00ED2583">
        <w:t xml:space="preserve"> regulations.</w:t>
      </w:r>
      <w:r w:rsidR="00B4720B">
        <w:t xml:space="preserve"> </w:t>
      </w:r>
    </w:p>
    <w:p w14:paraId="206AF5BA" w14:textId="7535641F" w:rsidR="00B4720B" w:rsidRDefault="00B4720B" w:rsidP="00B4720B">
      <w:r>
        <w:t xml:space="preserve">Representatives from DISER and the Department of Health stated that future initiatives need to have a finalised framework in place, prior to opening the implementation phase, to ensure early adopters of the scheme can be confident in the material and guidelines that have been set from the outset. </w:t>
      </w:r>
      <w:r w:rsidRPr="002C059C">
        <w:rPr>
          <w:rFonts w:eastAsia="Times New Roman" w:cs="Arial"/>
          <w:color w:val="000000" w:themeColor="text1"/>
          <w:kern w:val="24"/>
          <w:lang w:eastAsia="en-AU"/>
        </w:rPr>
        <w:t xml:space="preserve">Industry has </w:t>
      </w:r>
      <w:r>
        <w:rPr>
          <w:rFonts w:eastAsia="Times New Roman" w:cs="Arial"/>
          <w:color w:val="000000" w:themeColor="text1"/>
          <w:kern w:val="24"/>
          <w:lang w:eastAsia="en-AU"/>
        </w:rPr>
        <w:t xml:space="preserve">also </w:t>
      </w:r>
      <w:r w:rsidRPr="002C059C">
        <w:rPr>
          <w:rFonts w:eastAsia="Times New Roman" w:cs="Arial"/>
          <w:color w:val="000000" w:themeColor="text1"/>
          <w:kern w:val="24"/>
          <w:lang w:eastAsia="en-AU"/>
        </w:rPr>
        <w:t>expressed an interest</w:t>
      </w:r>
      <w:r w:rsidRPr="00903487">
        <w:t xml:space="preserve"> in consumer insight data </w:t>
      </w:r>
      <w:r>
        <w:t xml:space="preserve">being </w:t>
      </w:r>
      <w:r w:rsidRPr="00903487">
        <w:t>collected to understand whether there have been changes in consumer preferences for country of origin information</w:t>
      </w:r>
      <w:r w:rsidR="00611384">
        <w:t>.</w:t>
      </w:r>
    </w:p>
    <w:p w14:paraId="49797F6F" w14:textId="4BC45923" w:rsidR="00BA6E88" w:rsidRDefault="00611384" w:rsidP="00804B97">
      <w:pPr>
        <w:pStyle w:val="Heading3"/>
      </w:pPr>
      <w:bookmarkStart w:id="588" w:name="_Ref64894127"/>
      <w:bookmarkStart w:id="589" w:name="_Toc67499159"/>
      <w:r>
        <w:t>An education campaign</w:t>
      </w:r>
      <w:r w:rsidR="007F613D" w:rsidRPr="007F613D">
        <w:t xml:space="preserve"> </w:t>
      </w:r>
      <w:bookmarkEnd w:id="588"/>
      <w:bookmarkEnd w:id="589"/>
      <w:r w:rsidR="006C6339">
        <w:t>is preferred to the Status Quo</w:t>
      </w:r>
    </w:p>
    <w:p w14:paraId="678CB0AD" w14:textId="3380E675" w:rsidR="00B4720B" w:rsidRDefault="00B4720B" w:rsidP="00B4720B">
      <w:r>
        <w:t>Stakeholders from industry</w:t>
      </w:r>
      <w:r>
        <w:rPr>
          <w:rStyle w:val="FootnoteReference"/>
        </w:rPr>
        <w:footnoteReference w:id="105"/>
      </w:r>
      <w:r>
        <w:t xml:space="preserve"> and government</w:t>
      </w:r>
      <w:r>
        <w:rPr>
          <w:rStyle w:val="FootnoteReference"/>
        </w:rPr>
        <w:footnoteReference w:id="106"/>
      </w:r>
      <w:r>
        <w:t xml:space="preserve"> indicated additional and ongoing consumer education is warranted to ensure consumers are provided continuous and updated information on any changes to CoOL. </w:t>
      </w:r>
    </w:p>
    <w:p w14:paraId="64B8EAC4" w14:textId="04B6492D" w:rsidR="00D37BFA" w:rsidRDefault="002C0687" w:rsidP="00B47393">
      <w:r>
        <w:t>Overall, the</w:t>
      </w:r>
      <w:r w:rsidR="0082232A">
        <w:t xml:space="preserve"> CBA results for this evaluation suggest that the</w:t>
      </w:r>
      <w:r>
        <w:t xml:space="preserve"> education option </w:t>
      </w:r>
      <w:r w:rsidR="003D0B1F">
        <w:t>– an option which considers the roll out of a national, on-going consumer education and awareness campaign –</w:t>
      </w:r>
      <w:r>
        <w:t xml:space="preserve"> is </w:t>
      </w:r>
      <w:r w:rsidR="00546A9E">
        <w:t>the most preferred option as it has the highest positive NPV and a positive BCR</w:t>
      </w:r>
      <w:r w:rsidR="00313E3C">
        <w:t>.</w:t>
      </w:r>
      <w:r w:rsidR="00AA5825">
        <w:rPr>
          <w:rStyle w:val="FootnoteReference"/>
        </w:rPr>
        <w:footnoteReference w:id="107"/>
      </w:r>
      <w:r w:rsidR="00313E3C">
        <w:t xml:space="preserve"> It is</w:t>
      </w:r>
      <w:r w:rsidR="00786217">
        <w:t>,</w:t>
      </w:r>
      <w:r w:rsidR="00313E3C">
        <w:t xml:space="preserve"> therefore</w:t>
      </w:r>
      <w:r w:rsidR="00786217">
        <w:t>,</w:t>
      </w:r>
      <w:r w:rsidR="00313E3C">
        <w:t xml:space="preserve"> the option that will generate the highest level of economic benefit to the Australian community and therefore the most preferred option. Note that w</w:t>
      </w:r>
      <w:r w:rsidR="00FA1892">
        <w:t xml:space="preserve">hile </w:t>
      </w:r>
      <w:r w:rsidR="00E90492">
        <w:t xml:space="preserve">a positive CBA result was also measured for the removal of the non-priority list, </w:t>
      </w:r>
      <w:r w:rsidR="00AB409B">
        <w:t xml:space="preserve">this </w:t>
      </w:r>
      <w:r w:rsidR="00DF6DD9">
        <w:t xml:space="preserve">option requires </w:t>
      </w:r>
      <w:r w:rsidR="005E3390">
        <w:t xml:space="preserve">careful </w:t>
      </w:r>
      <w:r w:rsidR="00AB409B">
        <w:t xml:space="preserve">ongoing </w:t>
      </w:r>
      <w:r w:rsidR="00DF6DD9">
        <w:t xml:space="preserve">monitoring </w:t>
      </w:r>
      <w:r w:rsidR="00AB409B">
        <w:t xml:space="preserve">over time </w:t>
      </w:r>
      <w:r w:rsidR="00D37BFA">
        <w:t xml:space="preserve">as the mixed-methods approach pursued in this study found </w:t>
      </w:r>
      <w:r w:rsidR="005E44A7">
        <w:t xml:space="preserve">mixed evidence of consumer utility for this option. </w:t>
      </w:r>
    </w:p>
    <w:p w14:paraId="073996E9" w14:textId="0DB3AD86" w:rsidR="004D095F" w:rsidRDefault="004D095F" w:rsidP="00B47393">
      <w:r>
        <w:t xml:space="preserve">It is envisaged that the consumer education </w:t>
      </w:r>
      <w:r w:rsidR="000B5C43">
        <w:t>campaign would primarily target consumers, however</w:t>
      </w:r>
      <w:r w:rsidR="001B23FF">
        <w:t>,</w:t>
      </w:r>
      <w:r w:rsidR="000B5C43">
        <w:t xml:space="preserve"> it could also be extended to select </w:t>
      </w:r>
      <w:r w:rsidR="002F3725">
        <w:t>businesses that are at risk of non-compliance</w:t>
      </w:r>
      <w:r w:rsidR="001B23FF">
        <w:t>,</w:t>
      </w:r>
      <w:r w:rsidR="00313E3C">
        <w:t xml:space="preserve"> including (but not limited to) </w:t>
      </w:r>
      <w:r w:rsidR="00001C30" w:rsidRPr="00001C30">
        <w:t xml:space="preserve">traders of CALD groups, independent supermarkets </w:t>
      </w:r>
      <w:r w:rsidR="00004950">
        <w:t>and</w:t>
      </w:r>
      <w:r w:rsidR="00001C30" w:rsidRPr="00001C30">
        <w:t xml:space="preserve"> butchers.</w:t>
      </w:r>
      <w:r w:rsidR="0055418A">
        <w:t xml:space="preserve"> </w:t>
      </w:r>
    </w:p>
    <w:p w14:paraId="7D1D3811" w14:textId="09AD0865" w:rsidR="00E43B8D" w:rsidRDefault="0055418A" w:rsidP="00B47393">
      <w:r>
        <w:t xml:space="preserve">The consumer education campaign would need to target </w:t>
      </w:r>
      <w:r w:rsidR="006B513B">
        <w:t>consumer understanding at the point of purchase.</w:t>
      </w:r>
      <w:r w:rsidR="009A6272">
        <w:t xml:space="preserve"> </w:t>
      </w:r>
      <w:r w:rsidR="002B1DEE">
        <w:t>T</w:t>
      </w:r>
      <w:r w:rsidR="00413FAE">
        <w:t xml:space="preserve">here was insufficient awareness </w:t>
      </w:r>
      <w:r w:rsidR="009A6272">
        <w:t xml:space="preserve">and/or understanding </w:t>
      </w:r>
      <w:r w:rsidR="00413FAE">
        <w:t xml:space="preserve">of the bar chart and </w:t>
      </w:r>
      <w:r w:rsidR="009A6272">
        <w:t xml:space="preserve">AMAG logo </w:t>
      </w:r>
      <w:r w:rsidR="001C0812">
        <w:t>(</w:t>
      </w:r>
      <w:r w:rsidR="009A6272">
        <w:t>and associated claims</w:t>
      </w:r>
      <w:r w:rsidR="001C0812">
        <w:t>)</w:t>
      </w:r>
      <w:r w:rsidR="009A6272">
        <w:t>.</w:t>
      </w:r>
      <w:r w:rsidR="00413FAE">
        <w:t xml:space="preserve"> </w:t>
      </w:r>
      <w:r w:rsidR="00974F46">
        <w:t xml:space="preserve">The information campaign would need to provide consumers with basic knowledge on how to navigate </w:t>
      </w:r>
      <w:r w:rsidR="005D317A">
        <w:t>CoOL.</w:t>
      </w:r>
    </w:p>
    <w:p w14:paraId="28445EB2" w14:textId="69336A9B" w:rsidR="00AB5E81" w:rsidRDefault="00974F46" w:rsidP="009B1353">
      <w:r>
        <w:t xml:space="preserve">It </w:t>
      </w:r>
      <w:r w:rsidR="00AB5E81">
        <w:t>would</w:t>
      </w:r>
      <w:r>
        <w:t xml:space="preserve"> </w:t>
      </w:r>
      <w:r w:rsidR="00AB5E81">
        <w:t xml:space="preserve">need to </w:t>
      </w:r>
      <w:r>
        <w:t xml:space="preserve">provide consumers with an understanding of </w:t>
      </w:r>
      <w:r w:rsidR="00AB5E81">
        <w:t>all the</w:t>
      </w:r>
      <w:r>
        <w:t xml:space="preserve"> different origin claims. </w:t>
      </w:r>
      <w:r w:rsidR="00E43B8D">
        <w:t>C</w:t>
      </w:r>
      <w:r w:rsidR="00961A65">
        <w:t xml:space="preserve">onsumers were </w:t>
      </w:r>
      <w:r w:rsidR="00106BDC">
        <w:t xml:space="preserve">most likely to </w:t>
      </w:r>
      <w:r w:rsidR="00056AFB">
        <w:t xml:space="preserve">correctly interpret the </w:t>
      </w:r>
      <w:r w:rsidR="004A77D9">
        <w:t>‘</w:t>
      </w:r>
      <w:r w:rsidR="00056AFB">
        <w:t xml:space="preserve">Grown </w:t>
      </w:r>
      <w:r w:rsidR="004A77D9">
        <w:t>i</w:t>
      </w:r>
      <w:r w:rsidR="00056AFB">
        <w:t>n</w:t>
      </w:r>
      <w:r w:rsidR="004A77D9">
        <w:t>’</w:t>
      </w:r>
      <w:r w:rsidR="00056AFB">
        <w:t xml:space="preserve"> statement (50% correct interpretation), followed by </w:t>
      </w:r>
      <w:r w:rsidR="002F5D3D">
        <w:t>‘</w:t>
      </w:r>
      <w:r w:rsidR="00056AFB">
        <w:t xml:space="preserve">Packed </w:t>
      </w:r>
      <w:r w:rsidR="002F5D3D">
        <w:t>i</w:t>
      </w:r>
      <w:r w:rsidR="00056AFB">
        <w:t>n</w:t>
      </w:r>
      <w:r w:rsidR="002F5D3D">
        <w:t>’</w:t>
      </w:r>
      <w:r w:rsidR="00056AFB">
        <w:t xml:space="preserve"> and </w:t>
      </w:r>
      <w:r w:rsidR="002F5D3D">
        <w:t>‘</w:t>
      </w:r>
      <w:r w:rsidR="00056AFB">
        <w:t>Australian…</w:t>
      </w:r>
      <w:r w:rsidR="002F5D3D">
        <w:t>’</w:t>
      </w:r>
      <w:r w:rsidR="00056AFB">
        <w:t xml:space="preserve"> origin claims (40% correct interpretation, respectively). </w:t>
      </w:r>
      <w:r w:rsidR="00AD764F">
        <w:t>Nonetheless, partial or complete misinterpretation of claims were common across all origin statements.</w:t>
      </w:r>
      <w:r w:rsidR="00E43B8D">
        <w:t xml:space="preserve"> </w:t>
      </w:r>
    </w:p>
    <w:p w14:paraId="7A44D78B" w14:textId="68A58789" w:rsidR="009B1353" w:rsidRPr="006B0075" w:rsidRDefault="00AB5E81" w:rsidP="009B1353">
      <w:pPr>
        <w:rPr>
          <w:highlight w:val="yellow"/>
        </w:rPr>
      </w:pPr>
      <w:r>
        <w:t xml:space="preserve">It </w:t>
      </w:r>
      <w:r w:rsidR="007C6670">
        <w:t>should specifically address</w:t>
      </w:r>
      <w:r>
        <w:t xml:space="preserve"> areas </w:t>
      </w:r>
      <w:r w:rsidR="007C6670">
        <w:t xml:space="preserve">that are </w:t>
      </w:r>
      <w:r>
        <w:t>most likely to cause con</w:t>
      </w:r>
      <w:r w:rsidRPr="00B87EDF">
        <w:t xml:space="preserve">fusion. </w:t>
      </w:r>
      <w:r w:rsidR="002B1DEE">
        <w:t>C</w:t>
      </w:r>
      <w:r w:rsidR="00974F46" w:rsidRPr="00B87EDF">
        <w:t xml:space="preserve">onsumers were most likely to </w:t>
      </w:r>
      <w:r w:rsidR="00AE25F5" w:rsidRPr="00B87EDF">
        <w:t xml:space="preserve">be confused by the meaning of </w:t>
      </w:r>
      <w:r w:rsidR="00D30B64" w:rsidRPr="00B87EDF">
        <w:t>‘</w:t>
      </w:r>
      <w:r w:rsidR="00AE25F5" w:rsidRPr="00B87EDF">
        <w:t xml:space="preserve">Made </w:t>
      </w:r>
      <w:r w:rsidR="00D30B64" w:rsidRPr="00B87EDF">
        <w:t>i</w:t>
      </w:r>
      <w:r w:rsidR="00AE25F5" w:rsidRPr="00B87EDF">
        <w:t>n</w:t>
      </w:r>
      <w:r w:rsidR="00D30B64" w:rsidRPr="00B87EDF">
        <w:t>’</w:t>
      </w:r>
      <w:r w:rsidR="002C6470" w:rsidRPr="00B87EDF">
        <w:t xml:space="preserve"> or</w:t>
      </w:r>
      <w:r w:rsidR="00AE25F5" w:rsidRPr="00B87EDF">
        <w:t xml:space="preserve"> </w:t>
      </w:r>
      <w:r w:rsidR="00D30B64" w:rsidRPr="00B87EDF">
        <w:t>‘</w:t>
      </w:r>
      <w:r w:rsidR="00AE25F5" w:rsidRPr="00B87EDF">
        <w:t xml:space="preserve">Packed </w:t>
      </w:r>
      <w:r w:rsidR="00D30B64" w:rsidRPr="00B87EDF">
        <w:t>i</w:t>
      </w:r>
      <w:r w:rsidR="00AE25F5" w:rsidRPr="00B87EDF">
        <w:t>n</w:t>
      </w:r>
      <w:r w:rsidR="00D30B64" w:rsidRPr="00B87EDF">
        <w:t>’</w:t>
      </w:r>
      <w:r w:rsidR="00027C6A" w:rsidRPr="00B87EDF">
        <w:t xml:space="preserve"> </w:t>
      </w:r>
      <w:r w:rsidR="00AE25F5" w:rsidRPr="00B87EDF">
        <w:t>claims.</w:t>
      </w:r>
      <w:r w:rsidR="009B1353" w:rsidRPr="00B87EDF">
        <w:t xml:space="preserve"> </w:t>
      </w:r>
      <w:r w:rsidR="00E93040" w:rsidRPr="00B87EDF">
        <w:t xml:space="preserve">Information </w:t>
      </w:r>
      <w:r w:rsidR="005C29D1" w:rsidRPr="00B87EDF">
        <w:t>is</w:t>
      </w:r>
      <w:r w:rsidR="00E93040" w:rsidRPr="00B87EDF">
        <w:t xml:space="preserve"> needed to assist consumers </w:t>
      </w:r>
      <w:r w:rsidR="005C29D1" w:rsidRPr="00B87EDF">
        <w:t xml:space="preserve">to interpret the </w:t>
      </w:r>
      <w:r w:rsidR="007C6670">
        <w:t xml:space="preserve">origin </w:t>
      </w:r>
      <w:r w:rsidR="00BA68A0">
        <w:t xml:space="preserve">claims </w:t>
      </w:r>
      <w:r w:rsidR="00B87EDF">
        <w:t>in combination with the logo and bar chart, to understand</w:t>
      </w:r>
      <w:r w:rsidR="00E93040" w:rsidRPr="00B87EDF">
        <w:t xml:space="preserve"> </w:t>
      </w:r>
      <w:r w:rsidR="00B87EDF">
        <w:t xml:space="preserve">how various aspects relate to the </w:t>
      </w:r>
      <w:r w:rsidR="00E93040" w:rsidRPr="00B87EDF">
        <w:t>sourcing of ingredients</w:t>
      </w:r>
      <w:r w:rsidR="007C6670">
        <w:t xml:space="preserve"> and</w:t>
      </w:r>
      <w:r w:rsidR="00E93040" w:rsidRPr="00B87EDF">
        <w:t xml:space="preserve"> the manufacturing</w:t>
      </w:r>
      <w:r w:rsidR="007C6670">
        <w:t xml:space="preserve"> </w:t>
      </w:r>
      <w:r w:rsidR="00BA68A0">
        <w:t>(</w:t>
      </w:r>
      <w:r w:rsidR="007C6670">
        <w:t>or packaging</w:t>
      </w:r>
      <w:r w:rsidR="00BA68A0">
        <w:t>)</w:t>
      </w:r>
      <w:r w:rsidR="00E93040" w:rsidRPr="00B87EDF">
        <w:t xml:space="preserve"> process</w:t>
      </w:r>
      <w:r w:rsidR="007C6670">
        <w:t>es</w:t>
      </w:r>
      <w:r w:rsidR="00E93040" w:rsidRPr="00B87EDF">
        <w:t xml:space="preserve">. </w:t>
      </w:r>
    </w:p>
    <w:p w14:paraId="5697A2B0" w14:textId="128B0861" w:rsidR="0095089C" w:rsidRDefault="00277FAD" w:rsidP="00B47393">
      <w:r w:rsidRPr="00277FAD">
        <w:t>Consumers’ preferences for future communication on CoOL</w:t>
      </w:r>
      <w:r>
        <w:t xml:space="preserve"> </w:t>
      </w:r>
      <w:r w:rsidR="00FF645F">
        <w:t>were</w:t>
      </w:r>
      <w:r>
        <w:t xml:space="preserve"> for online and television followed by </w:t>
      </w:r>
      <w:r w:rsidR="00551493">
        <w:t xml:space="preserve">other methods. </w:t>
      </w:r>
      <w:r w:rsidR="00C8208B">
        <w:t>W</w:t>
      </w:r>
      <w:r w:rsidR="00E93040">
        <w:t>hile a</w:t>
      </w:r>
      <w:r w:rsidR="009301FC">
        <w:t>ge</w:t>
      </w:r>
      <w:r w:rsidR="00152237">
        <w:t xml:space="preserve"> plays a role in the stated importance and use of CoOL information, </w:t>
      </w:r>
      <w:r w:rsidR="00A17192">
        <w:t xml:space="preserve">a communication strategy would need to be broad in its </w:t>
      </w:r>
      <w:r w:rsidR="008E71FE">
        <w:t xml:space="preserve">relevance </w:t>
      </w:r>
      <w:r w:rsidR="00C8208B">
        <w:t>to</w:t>
      </w:r>
      <w:r w:rsidR="00A17192">
        <w:t xml:space="preserve"> </w:t>
      </w:r>
      <w:r w:rsidR="00C8208B">
        <w:t>different age brackets</w:t>
      </w:r>
      <w:r w:rsidR="008E71FE">
        <w:t>.</w:t>
      </w:r>
      <w:r w:rsidR="00C8208B">
        <w:t xml:space="preserve"> </w:t>
      </w:r>
    </w:p>
    <w:p w14:paraId="4661F3C8" w14:textId="77777777" w:rsidR="006809B8" w:rsidRDefault="008603C1" w:rsidP="006809B8">
      <w:pPr>
        <w:pStyle w:val="Heading3"/>
      </w:pPr>
      <w:bookmarkStart w:id="590" w:name="_Toc65088526"/>
      <w:bookmarkStart w:id="591" w:name="_Toc65088527"/>
      <w:bookmarkStart w:id="592" w:name="_Toc65088528"/>
      <w:bookmarkStart w:id="593" w:name="_Toc67499160"/>
      <w:bookmarkEnd w:id="590"/>
      <w:bookmarkEnd w:id="591"/>
      <w:bookmarkEnd w:id="592"/>
      <w:r w:rsidRPr="003C74DF">
        <w:lastRenderedPageBreak/>
        <w:t xml:space="preserve">Key </w:t>
      </w:r>
      <w:r w:rsidR="000144ED" w:rsidRPr="003C74DF">
        <w:rPr>
          <w:iCs/>
        </w:rPr>
        <w:t>findings</w:t>
      </w:r>
      <w:r w:rsidR="00EB4BAD">
        <w:rPr>
          <w:iCs/>
        </w:rPr>
        <w:t xml:space="preserve">: </w:t>
      </w:r>
      <w:r w:rsidR="004612E0">
        <w:rPr>
          <w:iCs/>
        </w:rPr>
        <w:t>Lessons learned and i</w:t>
      </w:r>
      <w:r w:rsidR="002E7612">
        <w:rPr>
          <w:iCs/>
        </w:rPr>
        <w:t>mprovement opportunities</w:t>
      </w:r>
      <w:bookmarkEnd w:id="593"/>
    </w:p>
    <w:tbl>
      <w:tblPr>
        <w:tblStyle w:val="Deloittetable"/>
        <w:tblW w:w="0" w:type="auto"/>
        <w:tblLook w:val="04A0" w:firstRow="1" w:lastRow="0" w:firstColumn="1" w:lastColumn="0" w:noHBand="0" w:noVBand="1"/>
        <w:tblDescription w:val="This table outlines the key finding regarding lessons learned and improvement opportunities. This is that a range of potential improvements have been identified. However, any improvements need to be considered in the context of the scheme’s duration and with regard to overall benefit and cost. Changes to the scheme can be costly – particularly when first introduced - as they typically affect many products, businesses and consumers.  "/>
      </w:tblPr>
      <w:tblGrid>
        <w:gridCol w:w="1134"/>
        <w:gridCol w:w="7892"/>
      </w:tblGrid>
      <w:tr w:rsidR="006809B8" w14:paraId="125C2616"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1134" w:type="dxa"/>
            <w:tcBorders>
              <w:top w:val="single" w:sz="24" w:space="0" w:color="012169" w:themeColor="accent4"/>
            </w:tcBorders>
          </w:tcPr>
          <w:p w14:paraId="36D20D82" w14:textId="77777777" w:rsidR="006809B8" w:rsidRPr="00AB2F4F" w:rsidRDefault="006809B8" w:rsidP="00C546E2">
            <w:pPr>
              <w:rPr>
                <w:b/>
                <w:bCs/>
              </w:rPr>
            </w:pPr>
            <w:r>
              <w:rPr>
                <w:b/>
                <w:bCs/>
              </w:rPr>
              <w:t>Ref</w:t>
            </w:r>
          </w:p>
        </w:tc>
        <w:tc>
          <w:tcPr>
            <w:tcW w:w="7892" w:type="dxa"/>
            <w:tcBorders>
              <w:top w:val="single" w:sz="24" w:space="0" w:color="012169" w:themeColor="accent4"/>
            </w:tcBorders>
          </w:tcPr>
          <w:p w14:paraId="335D0380" w14:textId="0EE12E88" w:rsidR="006809B8" w:rsidRPr="004612E0" w:rsidRDefault="0072196E" w:rsidP="00C546E2">
            <w:pPr>
              <w:rPr>
                <w:b/>
                <w:bCs/>
              </w:rPr>
            </w:pPr>
            <w:r w:rsidRPr="0072196E">
              <w:rPr>
                <w:b/>
                <w:bCs/>
                <w:iCs/>
              </w:rPr>
              <w:t>What lessons can be drawn from business</w:t>
            </w:r>
            <w:r w:rsidR="00EE08F0">
              <w:rPr>
                <w:b/>
                <w:bCs/>
                <w:iCs/>
              </w:rPr>
              <w:t xml:space="preserve"> (or consumers)</w:t>
            </w:r>
            <w:r w:rsidRPr="0072196E">
              <w:rPr>
                <w:b/>
                <w:bCs/>
                <w:iCs/>
              </w:rPr>
              <w:t xml:space="preserve"> to improve the efficiency or effectiveness of future initiatives? </w:t>
            </w:r>
          </w:p>
        </w:tc>
      </w:tr>
      <w:tr w:rsidR="007E71E9" w14:paraId="3BFF02A0" w14:textId="77777777" w:rsidTr="00594328">
        <w:tc>
          <w:tcPr>
            <w:tcW w:w="1134" w:type="dxa"/>
          </w:tcPr>
          <w:p w14:paraId="742DD2A3" w14:textId="7ACD2682" w:rsidR="007E71E9" w:rsidRDefault="00D0625C" w:rsidP="00C546E2">
            <w:r>
              <w:t>61</w:t>
            </w:r>
          </w:p>
        </w:tc>
        <w:tc>
          <w:tcPr>
            <w:tcW w:w="7892" w:type="dxa"/>
          </w:tcPr>
          <w:p w14:paraId="1CF69D58" w14:textId="77777777" w:rsidR="007E71E9" w:rsidRDefault="0088415B" w:rsidP="00CD1B5A">
            <w:pPr>
              <w:pStyle w:val="ListBullet"/>
              <w:numPr>
                <w:ilvl w:val="0"/>
                <w:numId w:val="0"/>
              </w:numPr>
              <w:spacing w:after="170"/>
            </w:pPr>
            <w:r w:rsidRPr="0088415B">
              <w:t xml:space="preserve">A range of potential improvements have been identified. However, any improvements need to be considered in the context of the </w:t>
            </w:r>
            <w:r w:rsidR="00E670FE">
              <w:t>scheme</w:t>
            </w:r>
            <w:r w:rsidRPr="0088415B">
              <w:t xml:space="preserve">’s duration and with regard to overall benefit and cost. Changes to the </w:t>
            </w:r>
            <w:r w:rsidR="00E670FE">
              <w:t>scheme</w:t>
            </w:r>
            <w:r w:rsidRPr="0088415B">
              <w:t xml:space="preserve"> can be costly – particularly when first introduced - as they typically affect many products, businesses and consumers.  </w:t>
            </w:r>
          </w:p>
        </w:tc>
      </w:tr>
    </w:tbl>
    <w:p w14:paraId="41147CCE" w14:textId="77777777" w:rsidR="00D70B89" w:rsidRDefault="00516BCF">
      <w:pPr>
        <w:pStyle w:val="Heading1"/>
      </w:pPr>
      <w:bookmarkStart w:id="594" w:name="_Toc64925954"/>
      <w:bookmarkStart w:id="595" w:name="_Toc65074741"/>
      <w:bookmarkStart w:id="596" w:name="_Toc65088537"/>
      <w:bookmarkStart w:id="597" w:name="_Toc64287228"/>
      <w:bookmarkStart w:id="598" w:name="_Toc64925955"/>
      <w:bookmarkStart w:id="599" w:name="_Toc65074742"/>
      <w:bookmarkStart w:id="600" w:name="_Toc65088538"/>
      <w:bookmarkStart w:id="601" w:name="_Toc64287229"/>
      <w:bookmarkStart w:id="602" w:name="_Toc64925956"/>
      <w:bookmarkStart w:id="603" w:name="_Toc65074743"/>
      <w:bookmarkStart w:id="604" w:name="_Toc65088539"/>
      <w:bookmarkStart w:id="605" w:name="_Toc64287230"/>
      <w:bookmarkStart w:id="606" w:name="_Toc64925957"/>
      <w:bookmarkStart w:id="607" w:name="_Toc65074744"/>
      <w:bookmarkStart w:id="608" w:name="_Toc65088540"/>
      <w:bookmarkStart w:id="609" w:name="_Toc64287231"/>
      <w:bookmarkStart w:id="610" w:name="_Toc64925958"/>
      <w:bookmarkStart w:id="611" w:name="_Toc65074745"/>
      <w:bookmarkStart w:id="612" w:name="_Toc65088541"/>
      <w:bookmarkStart w:id="613" w:name="_Toc64287232"/>
      <w:bookmarkStart w:id="614" w:name="_Toc64925959"/>
      <w:bookmarkStart w:id="615" w:name="_Toc65074746"/>
      <w:bookmarkStart w:id="616" w:name="_Toc65088542"/>
      <w:bookmarkStart w:id="617" w:name="_Toc64287233"/>
      <w:bookmarkStart w:id="618" w:name="_Toc64925960"/>
      <w:bookmarkStart w:id="619" w:name="_Toc65074747"/>
      <w:bookmarkStart w:id="620" w:name="_Toc65088543"/>
      <w:bookmarkStart w:id="621" w:name="_Toc64287239"/>
      <w:bookmarkStart w:id="622" w:name="_Toc64925966"/>
      <w:bookmarkStart w:id="623" w:name="_Toc65074753"/>
      <w:bookmarkStart w:id="624" w:name="_Toc65088549"/>
      <w:bookmarkStart w:id="625" w:name="_Toc64287242"/>
      <w:bookmarkStart w:id="626" w:name="_Toc64925969"/>
      <w:bookmarkStart w:id="627" w:name="_Toc65074756"/>
      <w:bookmarkStart w:id="628" w:name="_Toc65088552"/>
      <w:bookmarkStart w:id="629" w:name="_Toc64287246"/>
      <w:bookmarkStart w:id="630" w:name="_Toc64925973"/>
      <w:bookmarkStart w:id="631" w:name="_Toc65074760"/>
      <w:bookmarkStart w:id="632" w:name="_Toc65088556"/>
      <w:bookmarkStart w:id="633" w:name="_Toc64287248"/>
      <w:bookmarkStart w:id="634" w:name="_Toc64925975"/>
      <w:bookmarkStart w:id="635" w:name="_Toc65074762"/>
      <w:bookmarkStart w:id="636" w:name="_Toc65088558"/>
      <w:bookmarkStart w:id="637" w:name="_Toc63088924"/>
      <w:bookmarkStart w:id="638" w:name="_Toc63090035"/>
      <w:bookmarkStart w:id="639" w:name="_Toc63090545"/>
      <w:bookmarkStart w:id="640" w:name="_Toc64287251"/>
      <w:bookmarkStart w:id="641" w:name="_Toc64925978"/>
      <w:bookmarkStart w:id="642" w:name="_Toc65074765"/>
      <w:bookmarkStart w:id="643" w:name="_Toc65088561"/>
      <w:bookmarkStart w:id="644" w:name="_Toc64287261"/>
      <w:bookmarkStart w:id="645" w:name="_Toc64925988"/>
      <w:bookmarkStart w:id="646" w:name="_Toc65074775"/>
      <w:bookmarkStart w:id="647" w:name="_Toc65088571"/>
      <w:bookmarkStart w:id="648" w:name="_Toc64287271"/>
      <w:bookmarkStart w:id="649" w:name="_Toc64925998"/>
      <w:bookmarkStart w:id="650" w:name="_Toc65074785"/>
      <w:bookmarkStart w:id="651" w:name="_Toc65088581"/>
      <w:bookmarkStart w:id="652" w:name="_Toc64287276"/>
      <w:bookmarkStart w:id="653" w:name="_Toc64926003"/>
      <w:bookmarkStart w:id="654" w:name="_Toc65074790"/>
      <w:bookmarkStart w:id="655" w:name="_Toc65088586"/>
      <w:bookmarkStart w:id="656" w:name="_Toc64287281"/>
      <w:bookmarkStart w:id="657" w:name="_Toc64926008"/>
      <w:bookmarkStart w:id="658" w:name="_Toc65074795"/>
      <w:bookmarkStart w:id="659" w:name="_Toc65088591"/>
      <w:bookmarkStart w:id="660" w:name="_Toc64287289"/>
      <w:bookmarkStart w:id="661" w:name="_Toc64926016"/>
      <w:bookmarkStart w:id="662" w:name="_Toc65074803"/>
      <w:bookmarkStart w:id="663" w:name="_Toc65088599"/>
      <w:bookmarkStart w:id="664" w:name="_Toc64287294"/>
      <w:bookmarkStart w:id="665" w:name="_Toc64926021"/>
      <w:bookmarkStart w:id="666" w:name="_Toc65074808"/>
      <w:bookmarkStart w:id="667" w:name="_Toc65088604"/>
      <w:bookmarkStart w:id="668" w:name="_Toc64287297"/>
      <w:bookmarkStart w:id="669" w:name="_Toc64926024"/>
      <w:bookmarkStart w:id="670" w:name="_Toc65074811"/>
      <w:bookmarkStart w:id="671" w:name="_Toc65088607"/>
      <w:bookmarkStart w:id="672" w:name="_Toc64287301"/>
      <w:bookmarkStart w:id="673" w:name="_Toc64926028"/>
      <w:bookmarkStart w:id="674" w:name="_Toc65074815"/>
      <w:bookmarkStart w:id="675" w:name="_Toc65088611"/>
      <w:bookmarkStart w:id="676" w:name="_Toc64287302"/>
      <w:bookmarkStart w:id="677" w:name="_Toc64926029"/>
      <w:bookmarkStart w:id="678" w:name="_Toc65074816"/>
      <w:bookmarkStart w:id="679" w:name="_Toc65088612"/>
      <w:bookmarkStart w:id="680" w:name="_Toc64287303"/>
      <w:bookmarkStart w:id="681" w:name="_Toc64926030"/>
      <w:bookmarkStart w:id="682" w:name="_Toc65074817"/>
      <w:bookmarkStart w:id="683" w:name="_Toc65088613"/>
      <w:bookmarkStart w:id="684" w:name="_Toc64287310"/>
      <w:bookmarkStart w:id="685" w:name="_Toc64926037"/>
      <w:bookmarkStart w:id="686" w:name="_Toc65074824"/>
      <w:bookmarkStart w:id="687" w:name="_Toc65088620"/>
      <w:bookmarkStart w:id="688" w:name="_Toc64287314"/>
      <w:bookmarkStart w:id="689" w:name="_Toc64926041"/>
      <w:bookmarkStart w:id="690" w:name="_Toc65074828"/>
      <w:bookmarkStart w:id="691" w:name="_Toc65088624"/>
      <w:bookmarkStart w:id="692" w:name="_Toc64287340"/>
      <w:bookmarkStart w:id="693" w:name="_Toc64926067"/>
      <w:bookmarkStart w:id="694" w:name="_Toc65074854"/>
      <w:bookmarkStart w:id="695" w:name="_Toc65088650"/>
      <w:bookmarkStart w:id="696" w:name="_Toc64287342"/>
      <w:bookmarkStart w:id="697" w:name="_Toc64926069"/>
      <w:bookmarkStart w:id="698" w:name="_Toc65074856"/>
      <w:bookmarkStart w:id="699" w:name="_Toc65088652"/>
      <w:bookmarkStart w:id="700" w:name="_Toc64287345"/>
      <w:bookmarkStart w:id="701" w:name="_Toc64926072"/>
      <w:bookmarkStart w:id="702" w:name="_Toc65074859"/>
      <w:bookmarkStart w:id="703" w:name="_Toc65088655"/>
      <w:bookmarkStart w:id="704" w:name="_Toc67499161"/>
      <w:bookmarkStart w:id="705" w:name="_Toc94702075"/>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lastRenderedPageBreak/>
        <w:t>N</w:t>
      </w:r>
      <w:r w:rsidR="00D70B89">
        <w:t>ext steps</w:t>
      </w:r>
      <w:bookmarkEnd w:id="704"/>
      <w:bookmarkEnd w:id="705"/>
    </w:p>
    <w:p w14:paraId="16FE4906" w14:textId="2B4B4F0D" w:rsidR="00FC4D6B" w:rsidRDefault="002B1DEE" w:rsidP="009B0C14">
      <w:r>
        <w:t>Six</w:t>
      </w:r>
      <w:r w:rsidR="007168B0">
        <w:t xml:space="preserve"> recommendations</w:t>
      </w:r>
      <w:r>
        <w:t xml:space="preserve"> are made</w:t>
      </w:r>
      <w:r w:rsidR="004207E0" w:rsidDel="00BC514E">
        <w:t xml:space="preserve"> </w:t>
      </w:r>
      <w:r w:rsidR="004207E0">
        <w:t xml:space="preserve">in </w:t>
      </w:r>
      <w:r>
        <w:t>alignment with</w:t>
      </w:r>
      <w:r w:rsidR="004207E0">
        <w:t xml:space="preserve"> the key findings of the evaluation on the </w:t>
      </w:r>
      <w:r w:rsidR="00C07CC7">
        <w:t>CoOL</w:t>
      </w:r>
      <w:r w:rsidR="004207E0">
        <w:t xml:space="preserve"> reforms introduced in 2016.</w:t>
      </w:r>
      <w:r w:rsidR="000B1617" w:rsidRPr="000B1617">
        <w:t xml:space="preserve"> In framing the recommendations, it has been recognised that the </w:t>
      </w:r>
      <w:r w:rsidR="00E670FE">
        <w:t>scheme</w:t>
      </w:r>
      <w:r w:rsidR="000B1617" w:rsidRPr="000B1617">
        <w:t xml:space="preserve"> </w:t>
      </w:r>
      <w:r w:rsidR="00515D69">
        <w:t xml:space="preserve">(at the commencement of this evaluation) </w:t>
      </w:r>
      <w:r w:rsidR="000B1617" w:rsidRPr="000B1617">
        <w:t xml:space="preserve">has operated for just over </w:t>
      </w:r>
      <w:r w:rsidR="00BD1B7A">
        <w:t>two</w:t>
      </w:r>
      <w:r w:rsidR="000B1617" w:rsidRPr="000B1617">
        <w:t xml:space="preserve"> years. The cost of any change in the </w:t>
      </w:r>
      <w:r w:rsidR="00E670FE">
        <w:t>scheme</w:t>
      </w:r>
      <w:r w:rsidR="000B1617" w:rsidRPr="000B1617">
        <w:t xml:space="preserve"> would be potentially significant. </w:t>
      </w:r>
      <w:r w:rsidR="00802679">
        <w:t xml:space="preserve">It has also been recognised that the evaluation found the 2016 CoOL reforms to be well implemented and operating efficiently overall. </w:t>
      </w:r>
      <w:r w:rsidR="000B1617" w:rsidRPr="000B1617">
        <w:t>There would need to be a clear net public benefit to justify any change, based on high</w:t>
      </w:r>
      <w:r w:rsidR="00FF645F">
        <w:t>-</w:t>
      </w:r>
      <w:r w:rsidR="000B1617" w:rsidRPr="000B1617">
        <w:t>quality data, particularly as the Australian economy is in a recovery phase.</w:t>
      </w:r>
      <w:r w:rsidR="00515D69">
        <w:t xml:space="preserve"> Further monitoring </w:t>
      </w:r>
      <w:r w:rsidR="00951806">
        <w:t xml:space="preserve">and data collection </w:t>
      </w:r>
      <w:r w:rsidR="00591F52">
        <w:t>are</w:t>
      </w:r>
      <w:r w:rsidR="00951806">
        <w:t xml:space="preserve"> recommended prior to introducing significant changes to the scope or format of the scheme. </w:t>
      </w:r>
      <w:r w:rsidR="00FC4D6B">
        <w:t xml:space="preserve">In addition, any changes would need to take in to account the </w:t>
      </w:r>
      <w:r w:rsidR="00824362">
        <w:t>burden</w:t>
      </w:r>
      <w:r w:rsidR="00515D69">
        <w:t xml:space="preserve"> on industry</w:t>
      </w:r>
      <w:r w:rsidR="00824362">
        <w:t xml:space="preserve"> and </w:t>
      </w:r>
      <w:r w:rsidR="00515D69">
        <w:t>sequencing</w:t>
      </w:r>
      <w:r w:rsidR="00824362">
        <w:t xml:space="preserve"> of other changes to labelling requirements on Australian industry</w:t>
      </w:r>
      <w:r w:rsidR="00515D69">
        <w:t>.</w:t>
      </w:r>
      <w:r w:rsidR="00824362">
        <w:t xml:space="preserve"> </w:t>
      </w:r>
    </w:p>
    <w:p w14:paraId="3513A5D9" w14:textId="77777777" w:rsidR="007551E1" w:rsidRDefault="007551E1" w:rsidP="003C74DF">
      <w:pPr>
        <w:pStyle w:val="Caption"/>
      </w:pPr>
      <w:r>
        <w:t xml:space="preserve">Table 6.1: </w:t>
      </w:r>
      <w:r w:rsidR="004A2383">
        <w:t>Recommendations</w:t>
      </w:r>
    </w:p>
    <w:tbl>
      <w:tblPr>
        <w:tblStyle w:val="Deloittetable"/>
        <w:tblW w:w="0" w:type="auto"/>
        <w:tblLook w:val="04A0" w:firstRow="1" w:lastRow="0" w:firstColumn="1" w:lastColumn="0" w:noHBand="0" w:noVBand="1"/>
        <w:tblDescription w:val="This table outlines the six recommendations. These are as follows. 1) Retain the scheme in its current form for at least a further two years due to its current efficiency. This additional retention period will also enable further evaluation of performance and impact. This includes retaining the non-priority list, voluntary application to online sales, and current exemption for foodservice.&#10;2) Retain the scheme for food and beverages only and consider any non-food items outside of this scheme.&#10;3) Increase awareness and understanding of CoOL among consumers and businesses at risk of low compliance&#10;4) DISER ensures data collection and monitoring occurs where it relates  to a) scheme awareness to determine if consumers are more correctly and completely interpreting CoOL labels over time; and b) to assess the impact of the scheme with respect to consumer expectations and scope at regular intervals over time. 5) Support the regulator to conduct pro-active primary research on industry compliance to inform targeting of compliance activities and ensure trust in the system is retained.&#10;6) Complete a review of wording and definitions in the regulations to ensure clarity (mitigate any potential confusion) for industry."/>
      </w:tblPr>
      <w:tblGrid>
        <w:gridCol w:w="2268"/>
        <w:gridCol w:w="6758"/>
      </w:tblGrid>
      <w:tr w:rsidR="00E01555" w14:paraId="270CED19"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24" w:space="0" w:color="012169" w:themeColor="accent4"/>
            </w:tcBorders>
          </w:tcPr>
          <w:p w14:paraId="4DCE3AFE" w14:textId="77777777" w:rsidR="00E01555" w:rsidRPr="00897AC0" w:rsidRDefault="00E01555" w:rsidP="00C546E2">
            <w:pPr>
              <w:rPr>
                <w:b/>
              </w:rPr>
            </w:pPr>
            <w:r w:rsidRPr="00897AC0">
              <w:rPr>
                <w:b/>
              </w:rPr>
              <w:t>Reference</w:t>
            </w:r>
          </w:p>
        </w:tc>
        <w:tc>
          <w:tcPr>
            <w:tcW w:w="6758" w:type="dxa"/>
            <w:tcBorders>
              <w:top w:val="single" w:sz="24" w:space="0" w:color="012169" w:themeColor="accent4"/>
            </w:tcBorders>
          </w:tcPr>
          <w:p w14:paraId="7BB9EED9" w14:textId="77777777" w:rsidR="00E01555" w:rsidRPr="00897AC0" w:rsidRDefault="00E01555" w:rsidP="00C546E2">
            <w:pPr>
              <w:rPr>
                <w:b/>
              </w:rPr>
            </w:pPr>
            <w:r w:rsidRPr="00897AC0">
              <w:rPr>
                <w:b/>
              </w:rPr>
              <w:t>Recommendation</w:t>
            </w:r>
          </w:p>
        </w:tc>
      </w:tr>
      <w:tr w:rsidR="00E01555" w14:paraId="6954EC31" w14:textId="77777777" w:rsidTr="00594328">
        <w:tc>
          <w:tcPr>
            <w:tcW w:w="2268" w:type="dxa"/>
          </w:tcPr>
          <w:p w14:paraId="35F0B212" w14:textId="77777777" w:rsidR="00E01555" w:rsidRDefault="00E01555" w:rsidP="00C546E2">
            <w:r w:rsidRPr="00897AC0">
              <w:t>Recommendation 1</w:t>
            </w:r>
          </w:p>
        </w:tc>
        <w:tc>
          <w:tcPr>
            <w:tcW w:w="6758" w:type="dxa"/>
          </w:tcPr>
          <w:p w14:paraId="623012FA" w14:textId="26E02FC9" w:rsidR="00E01555" w:rsidRPr="008C7232" w:rsidRDefault="000A2702" w:rsidP="000A2702">
            <w:r w:rsidRPr="000A2702">
              <w:t xml:space="preserve">Retain the scheme in its current form for at least a further </w:t>
            </w:r>
            <w:r w:rsidR="00591F52">
              <w:t>two</w:t>
            </w:r>
            <w:r w:rsidRPr="000A2702">
              <w:t xml:space="preserve"> years </w:t>
            </w:r>
            <w:r w:rsidR="00435665">
              <w:t xml:space="preserve">due to its current efficiency. </w:t>
            </w:r>
            <w:r w:rsidR="002265D6">
              <w:t xml:space="preserve">This additional </w:t>
            </w:r>
            <w:r w:rsidR="00B61BC2">
              <w:t xml:space="preserve">retention </w:t>
            </w:r>
            <w:r w:rsidR="002265D6">
              <w:t xml:space="preserve">period will also enable further </w:t>
            </w:r>
            <w:r w:rsidR="00465A1A">
              <w:t xml:space="preserve">monitoring </w:t>
            </w:r>
            <w:r w:rsidR="002265D6">
              <w:t xml:space="preserve">of </w:t>
            </w:r>
            <w:r w:rsidR="00E762B5">
              <w:t>perfo</w:t>
            </w:r>
            <w:r w:rsidRPr="000A2702">
              <w:t>rmance and impact. This includes retaining the non-priority list, voluntary application to online sales and current exemption for foodservice.</w:t>
            </w:r>
          </w:p>
        </w:tc>
      </w:tr>
      <w:tr w:rsidR="00E01555" w14:paraId="58B5D86C" w14:textId="77777777" w:rsidTr="00594328">
        <w:tc>
          <w:tcPr>
            <w:tcW w:w="2268" w:type="dxa"/>
          </w:tcPr>
          <w:p w14:paraId="79F5F8CD" w14:textId="77777777" w:rsidR="00E01555" w:rsidRDefault="00E01555" w:rsidP="00C546E2">
            <w:r w:rsidRPr="00897AC0">
              <w:t>Recommendation 2</w:t>
            </w:r>
          </w:p>
        </w:tc>
        <w:tc>
          <w:tcPr>
            <w:tcW w:w="6758" w:type="dxa"/>
          </w:tcPr>
          <w:p w14:paraId="6C56CAFA" w14:textId="78411BEB" w:rsidR="00E01555" w:rsidRDefault="0040469B" w:rsidP="00C546E2">
            <w:r w:rsidRPr="0040469B">
              <w:t xml:space="preserve">Retain the scheme for food and beverages </w:t>
            </w:r>
            <w:r w:rsidR="005320BC" w:rsidRPr="0040469B">
              <w:t>only and</w:t>
            </w:r>
            <w:r w:rsidRPr="0040469B">
              <w:t xml:space="preserve"> consider any non-food items outside of this scheme.</w:t>
            </w:r>
          </w:p>
        </w:tc>
      </w:tr>
      <w:tr w:rsidR="00E01555" w14:paraId="1F1D10FD" w14:textId="77777777" w:rsidTr="00594328">
        <w:tc>
          <w:tcPr>
            <w:tcW w:w="2268" w:type="dxa"/>
          </w:tcPr>
          <w:p w14:paraId="533C8DF6" w14:textId="77777777" w:rsidR="00E01555" w:rsidRPr="009446B6" w:rsidRDefault="00E01555" w:rsidP="00C546E2">
            <w:r w:rsidRPr="009446B6">
              <w:t>Recommendation 3</w:t>
            </w:r>
          </w:p>
        </w:tc>
        <w:tc>
          <w:tcPr>
            <w:tcW w:w="6758" w:type="dxa"/>
          </w:tcPr>
          <w:p w14:paraId="551EF154" w14:textId="619CD3B3" w:rsidR="00E01555" w:rsidRPr="009446B6" w:rsidRDefault="00E246A0" w:rsidP="00C546E2">
            <w:r w:rsidRPr="00920BB2" w:rsidDel="003E7D2E">
              <w:t xml:space="preserve">Increase awareness and understanding of </w:t>
            </w:r>
            <w:r w:rsidRPr="00920BB2">
              <w:t>CoOL</w:t>
            </w:r>
            <w:r w:rsidRPr="00920BB2" w:rsidDel="003E7D2E">
              <w:t xml:space="preserve"> </w:t>
            </w:r>
            <w:r>
              <w:t xml:space="preserve">among consumers and businesses at risk of low compliance </w:t>
            </w:r>
            <w:r w:rsidRPr="00920BB2" w:rsidDel="003E7D2E">
              <w:t>through a time</w:t>
            </w:r>
            <w:r w:rsidRPr="00920BB2">
              <w:t>-</w:t>
            </w:r>
            <w:r w:rsidRPr="00920BB2" w:rsidDel="003E7D2E">
              <w:t>limited information campaign that utilises social media along with other methods of communication, as appropriate</w:t>
            </w:r>
            <w:r w:rsidRPr="00920BB2">
              <w:t>.</w:t>
            </w:r>
          </w:p>
        </w:tc>
      </w:tr>
      <w:tr w:rsidR="00E01555" w14:paraId="0DC85B81" w14:textId="77777777" w:rsidTr="00594328">
        <w:tc>
          <w:tcPr>
            <w:tcW w:w="2268" w:type="dxa"/>
          </w:tcPr>
          <w:p w14:paraId="39217BD9" w14:textId="77777777" w:rsidR="00E01555" w:rsidRPr="009446B6" w:rsidRDefault="00E01555" w:rsidP="00C546E2">
            <w:r w:rsidRPr="009446B6">
              <w:t>Recommendation 4</w:t>
            </w:r>
          </w:p>
        </w:tc>
        <w:tc>
          <w:tcPr>
            <w:tcW w:w="6758" w:type="dxa"/>
          </w:tcPr>
          <w:p w14:paraId="549907AD" w14:textId="2B0B17B6" w:rsidR="00E01555" w:rsidRPr="009446B6" w:rsidRDefault="00903618" w:rsidP="00C546E2">
            <w:r w:rsidRPr="000D64B5">
              <w:t>DISER ensures data collection and monitoring occurs where it relates to</w:t>
            </w:r>
            <w:r>
              <w:t>:</w:t>
            </w:r>
            <w:r w:rsidRPr="000D64B5">
              <w:t xml:space="preserve"> a) scheme awareness to determine if consumers are more correctly and completely interpreting CoOL labels over time; and b) assess</w:t>
            </w:r>
            <w:r>
              <w:t>ing</w:t>
            </w:r>
            <w:r w:rsidRPr="000D64B5">
              <w:t xml:space="preserve"> the impact of the scheme with respect to consumer expectations and scope at </w:t>
            </w:r>
            <w:r>
              <w:t xml:space="preserve">appropriate </w:t>
            </w:r>
            <w:r w:rsidRPr="000D64B5">
              <w:t>intervals.</w:t>
            </w:r>
          </w:p>
        </w:tc>
      </w:tr>
      <w:tr w:rsidR="00E01555" w14:paraId="5F055E99" w14:textId="77777777" w:rsidTr="00594328">
        <w:tc>
          <w:tcPr>
            <w:tcW w:w="2268" w:type="dxa"/>
          </w:tcPr>
          <w:p w14:paraId="5A6B2DAB" w14:textId="77777777" w:rsidR="00E01555" w:rsidRPr="009446B6" w:rsidRDefault="00E01555" w:rsidP="00C546E2">
            <w:r w:rsidRPr="009446B6">
              <w:t>Recommendation 5</w:t>
            </w:r>
          </w:p>
        </w:tc>
        <w:tc>
          <w:tcPr>
            <w:tcW w:w="6758" w:type="dxa"/>
          </w:tcPr>
          <w:p w14:paraId="5CC3CFBD" w14:textId="6399751C" w:rsidR="00E01555" w:rsidRPr="009446B6" w:rsidRDefault="00A232C7" w:rsidP="00C546E2">
            <w:r>
              <w:t xml:space="preserve">Support the regulator to conduct pro-active primary research on industry compliance to inform targeting of compliance activities and ensure trust in the </w:t>
            </w:r>
            <w:r w:rsidR="00100956">
              <w:t xml:space="preserve">scheme </w:t>
            </w:r>
            <w:r>
              <w:t>is retained.</w:t>
            </w:r>
          </w:p>
        </w:tc>
      </w:tr>
      <w:tr w:rsidR="00E01555" w14:paraId="72D056BD" w14:textId="77777777" w:rsidTr="00594328">
        <w:tc>
          <w:tcPr>
            <w:tcW w:w="2268" w:type="dxa"/>
          </w:tcPr>
          <w:p w14:paraId="6C0B04B9" w14:textId="77777777" w:rsidR="00E01555" w:rsidRPr="009446B6" w:rsidRDefault="00E01555" w:rsidP="00C546E2">
            <w:r w:rsidRPr="009446B6">
              <w:t>Recommendation 6</w:t>
            </w:r>
          </w:p>
        </w:tc>
        <w:tc>
          <w:tcPr>
            <w:tcW w:w="6758" w:type="dxa"/>
          </w:tcPr>
          <w:p w14:paraId="7DC111AF" w14:textId="36ADA534" w:rsidR="00E01555" w:rsidRPr="00C004C0" w:rsidRDefault="00C004C0" w:rsidP="00C546E2">
            <w:r w:rsidRPr="0098039F">
              <w:t>Complete a review of wording and definitions in the Information Standard to ensure they are as clear as possible for industry and other stakeholders.</w:t>
            </w:r>
          </w:p>
        </w:tc>
      </w:tr>
    </w:tbl>
    <w:p w14:paraId="1A492237" w14:textId="77777777" w:rsidR="002D4347" w:rsidRPr="003C74DF" w:rsidRDefault="002D4347" w:rsidP="003C74DF">
      <w:pPr>
        <w:tabs>
          <w:tab w:val="left" w:pos="2532"/>
        </w:tabs>
        <w:sectPr w:rsidR="002D4347" w:rsidRPr="003C74DF" w:rsidSect="005F043A">
          <w:headerReference w:type="even" r:id="rId65"/>
          <w:footerReference w:type="default" r:id="rId66"/>
          <w:headerReference w:type="first" r:id="rId67"/>
          <w:pgSz w:w="11906" w:h="16838"/>
          <w:pgMar w:top="1440" w:right="1440" w:bottom="1440" w:left="1440" w:header="680" w:footer="425" w:gutter="0"/>
          <w:cols w:space="284"/>
          <w:docGrid w:linePitch="360"/>
        </w:sectPr>
      </w:pPr>
      <w:r>
        <w:rPr>
          <w:rFonts w:eastAsia="Times New Roman" w:cs="Times New Roman"/>
          <w:szCs w:val="20"/>
        </w:rPr>
        <w:tab/>
      </w:r>
    </w:p>
    <w:p w14:paraId="02B25F9E" w14:textId="77777777" w:rsidR="00FF1A05" w:rsidRDefault="00437592" w:rsidP="00C83BF5">
      <w:pPr>
        <w:pStyle w:val="Appendixhead1"/>
        <w:outlineLvl w:val="0"/>
      </w:pPr>
      <w:bookmarkStart w:id="706" w:name="_Ref72180216"/>
      <w:bookmarkStart w:id="707" w:name="_Toc67499162"/>
      <w:bookmarkStart w:id="708" w:name="_Toc94702076"/>
      <w:r>
        <w:lastRenderedPageBreak/>
        <w:t>Cross-country</w:t>
      </w:r>
      <w:r w:rsidR="00D84998">
        <w:t xml:space="preserve"> comparison</w:t>
      </w:r>
      <w:bookmarkEnd w:id="706"/>
      <w:bookmarkEnd w:id="708"/>
    </w:p>
    <w:p w14:paraId="100AD664" w14:textId="77777777" w:rsidR="00F84D25" w:rsidRPr="006F26B5" w:rsidRDefault="00C37D71" w:rsidP="00F95EA1">
      <w:pPr>
        <w:pStyle w:val="AppendixTableCaption"/>
        <w:outlineLvl w:val="9"/>
      </w:pPr>
      <w:bookmarkStart w:id="709" w:name="_Toc82590400"/>
      <w:r>
        <w:t xml:space="preserve">: Cross-country comparison of key features of </w:t>
      </w:r>
      <w:r w:rsidR="00157C0C">
        <w:t>other schemes</w:t>
      </w:r>
      <w:bookmarkEnd w:id="709"/>
    </w:p>
    <w:tbl>
      <w:tblPr>
        <w:tblStyle w:val="Deloittetable"/>
        <w:tblW w:w="13752" w:type="dxa"/>
        <w:tblLook w:val="04A0" w:firstRow="1" w:lastRow="0" w:firstColumn="1" w:lastColumn="0" w:noHBand="0" w:noVBand="1"/>
        <w:tblDescription w:val="This table provides findings of a literature scan on the cross-country comparison of key features of other schemes. Countries included are New Zealand, United Kingdom, Canada and the United States (California)"/>
      </w:tblPr>
      <w:tblGrid>
        <w:gridCol w:w="2750"/>
        <w:gridCol w:w="2750"/>
        <w:gridCol w:w="2751"/>
        <w:gridCol w:w="2750"/>
        <w:gridCol w:w="2751"/>
      </w:tblGrid>
      <w:tr w:rsidR="00F5579E" w:rsidRPr="00594328" w14:paraId="61B47399" w14:textId="77777777" w:rsidTr="006E1BCA">
        <w:trPr>
          <w:cnfStyle w:val="100000000000" w:firstRow="1" w:lastRow="0" w:firstColumn="0" w:lastColumn="0" w:oddVBand="0" w:evenVBand="0" w:oddHBand="0" w:evenHBand="0" w:firstRowFirstColumn="0" w:firstRowLastColumn="0" w:lastRowFirstColumn="0" w:lastRowLastColumn="0"/>
          <w:trHeight w:val="269"/>
          <w:tblHeader/>
        </w:trPr>
        <w:tc>
          <w:tcPr>
            <w:tcW w:w="2750" w:type="dxa"/>
            <w:tcBorders>
              <w:top w:val="single" w:sz="24" w:space="0" w:color="012169" w:themeColor="accent4"/>
            </w:tcBorders>
          </w:tcPr>
          <w:p w14:paraId="0ACF7155" w14:textId="77777777" w:rsidR="00F84D25" w:rsidRPr="00594328" w:rsidRDefault="00F84D25" w:rsidP="009B0762">
            <w:pPr>
              <w:pStyle w:val="TableHeadingLeft"/>
              <w:rPr>
                <w:rFonts w:asciiTheme="majorHAnsi" w:hAnsiTheme="majorHAnsi"/>
                <w:color w:val="auto"/>
                <w:szCs w:val="17"/>
              </w:rPr>
            </w:pPr>
            <w:r w:rsidRPr="00594328">
              <w:rPr>
                <w:rFonts w:asciiTheme="majorHAnsi" w:hAnsiTheme="majorHAnsi"/>
                <w:noProof/>
                <w:color w:val="auto"/>
                <w:szCs w:val="17"/>
                <w:lang w:eastAsia="en-AU"/>
              </w:rPr>
              <w:drawing>
                <wp:anchor distT="0" distB="0" distL="114300" distR="114300" simplePos="0" relativeHeight="251658241" behindDoc="0" locked="0" layoutInCell="1" allowOverlap="1" wp14:anchorId="28FFC3D5" wp14:editId="18A8EF5A">
                  <wp:simplePos x="0" y="0"/>
                  <wp:positionH relativeFrom="page">
                    <wp:posOffset>431800</wp:posOffset>
                  </wp:positionH>
                  <wp:positionV relativeFrom="page">
                    <wp:posOffset>431800</wp:posOffset>
                  </wp:positionV>
                  <wp:extent cx="3185786" cy="914400"/>
                  <wp:effectExtent l="0" t="0" r="0" b="0"/>
                  <wp:wrapNone/>
                  <wp:docPr id="4" name="Frontpage_Logo_Negativ" hidden="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page_Logo_Negativ" hidden="1">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31FEB1E6">
              <w:rPr>
                <w:rFonts w:asciiTheme="majorHAnsi" w:hAnsiTheme="majorHAnsi"/>
                <w:color w:val="auto"/>
              </w:rPr>
              <w:t>Criteria</w:t>
            </w:r>
          </w:p>
        </w:tc>
        <w:tc>
          <w:tcPr>
            <w:tcW w:w="2750" w:type="dxa"/>
            <w:tcBorders>
              <w:top w:val="single" w:sz="24" w:space="0" w:color="012169" w:themeColor="accent4"/>
            </w:tcBorders>
          </w:tcPr>
          <w:p w14:paraId="533B7A6E" w14:textId="77777777" w:rsidR="00F84D25" w:rsidRPr="00594328" w:rsidRDefault="00F84D25" w:rsidP="009B0762">
            <w:pPr>
              <w:pStyle w:val="TableHeadingLeft"/>
              <w:rPr>
                <w:rFonts w:asciiTheme="majorHAnsi" w:hAnsiTheme="majorHAnsi"/>
                <w:color w:val="auto"/>
                <w:szCs w:val="17"/>
              </w:rPr>
            </w:pPr>
            <w:r w:rsidRPr="00594328">
              <w:rPr>
                <w:rFonts w:asciiTheme="majorHAnsi" w:hAnsiTheme="majorHAnsi"/>
                <w:color w:val="auto"/>
                <w:szCs w:val="17"/>
              </w:rPr>
              <w:t>New Zealand (proposed)</w:t>
            </w:r>
          </w:p>
        </w:tc>
        <w:tc>
          <w:tcPr>
            <w:tcW w:w="2751" w:type="dxa"/>
            <w:tcBorders>
              <w:top w:val="single" w:sz="24" w:space="0" w:color="012169" w:themeColor="accent4"/>
            </w:tcBorders>
          </w:tcPr>
          <w:p w14:paraId="2BD4C2C7" w14:textId="77777777" w:rsidR="00F84D25" w:rsidRPr="00594328" w:rsidRDefault="00F84D25" w:rsidP="009B0762">
            <w:pPr>
              <w:pStyle w:val="TableHeadingLeft"/>
              <w:ind w:left="0"/>
              <w:rPr>
                <w:rFonts w:asciiTheme="majorHAnsi" w:hAnsiTheme="majorHAnsi"/>
                <w:color w:val="auto"/>
                <w:szCs w:val="17"/>
              </w:rPr>
            </w:pPr>
            <w:r w:rsidRPr="00594328">
              <w:rPr>
                <w:rFonts w:asciiTheme="majorHAnsi" w:hAnsiTheme="majorHAnsi"/>
                <w:color w:val="auto"/>
                <w:szCs w:val="17"/>
              </w:rPr>
              <w:t>United Kingdom</w:t>
            </w:r>
          </w:p>
        </w:tc>
        <w:tc>
          <w:tcPr>
            <w:tcW w:w="2750" w:type="dxa"/>
            <w:tcBorders>
              <w:top w:val="single" w:sz="24" w:space="0" w:color="012169" w:themeColor="accent4"/>
            </w:tcBorders>
          </w:tcPr>
          <w:p w14:paraId="1C410697" w14:textId="77777777" w:rsidR="00F84D25" w:rsidRPr="00594328" w:rsidRDefault="00F84D25" w:rsidP="009B0762">
            <w:pPr>
              <w:pStyle w:val="TableHeadingLeft"/>
              <w:ind w:left="0"/>
              <w:rPr>
                <w:rFonts w:asciiTheme="majorHAnsi" w:hAnsiTheme="majorHAnsi"/>
                <w:color w:val="auto"/>
                <w:szCs w:val="17"/>
              </w:rPr>
            </w:pPr>
            <w:r w:rsidRPr="00594328">
              <w:rPr>
                <w:rFonts w:asciiTheme="majorHAnsi" w:hAnsiTheme="majorHAnsi"/>
                <w:color w:val="auto"/>
                <w:szCs w:val="17"/>
              </w:rPr>
              <w:t>Canada</w:t>
            </w:r>
          </w:p>
        </w:tc>
        <w:tc>
          <w:tcPr>
            <w:tcW w:w="2751" w:type="dxa"/>
            <w:tcBorders>
              <w:top w:val="single" w:sz="24" w:space="0" w:color="012169" w:themeColor="accent4"/>
            </w:tcBorders>
          </w:tcPr>
          <w:p w14:paraId="05A68E79" w14:textId="77777777" w:rsidR="00F84D25" w:rsidRPr="00594328" w:rsidRDefault="002A3A8F" w:rsidP="009B0762">
            <w:pPr>
              <w:pStyle w:val="TableHeadingLeft"/>
              <w:ind w:left="0"/>
              <w:rPr>
                <w:rFonts w:asciiTheme="majorHAnsi" w:hAnsiTheme="majorHAnsi"/>
                <w:color w:val="auto"/>
                <w:szCs w:val="17"/>
              </w:rPr>
            </w:pPr>
            <w:r w:rsidRPr="00594328">
              <w:rPr>
                <w:rFonts w:asciiTheme="majorHAnsi" w:hAnsiTheme="majorHAnsi"/>
                <w:color w:val="auto"/>
                <w:szCs w:val="17"/>
              </w:rPr>
              <w:t>United States (</w:t>
            </w:r>
            <w:r w:rsidR="00F84D25" w:rsidRPr="00594328">
              <w:rPr>
                <w:rFonts w:asciiTheme="majorHAnsi" w:hAnsiTheme="majorHAnsi"/>
                <w:color w:val="auto"/>
                <w:szCs w:val="17"/>
              </w:rPr>
              <w:t>California</w:t>
            </w:r>
            <w:r w:rsidRPr="00594328">
              <w:rPr>
                <w:rFonts w:asciiTheme="majorHAnsi" w:hAnsiTheme="majorHAnsi"/>
                <w:color w:val="auto"/>
                <w:szCs w:val="17"/>
              </w:rPr>
              <w:t>)</w:t>
            </w:r>
          </w:p>
        </w:tc>
      </w:tr>
      <w:tr w:rsidR="00F84D25" w:rsidRPr="00594328" w14:paraId="7F10DF20" w14:textId="77777777" w:rsidTr="00E41C90">
        <w:trPr>
          <w:trHeight w:val="542"/>
        </w:trPr>
        <w:tc>
          <w:tcPr>
            <w:tcW w:w="2750" w:type="dxa"/>
          </w:tcPr>
          <w:p w14:paraId="62C3A4E6" w14:textId="77777777" w:rsidR="00F84D25" w:rsidRPr="00594328" w:rsidRDefault="00F84D25" w:rsidP="009B0762">
            <w:pPr>
              <w:rPr>
                <w:rFonts w:asciiTheme="majorHAnsi" w:hAnsiTheme="majorHAnsi"/>
                <w:szCs w:val="17"/>
              </w:rPr>
            </w:pPr>
            <w:r w:rsidRPr="00594328">
              <w:rPr>
                <w:rFonts w:asciiTheme="majorHAnsi" w:hAnsiTheme="majorHAnsi"/>
                <w:szCs w:val="17"/>
              </w:rPr>
              <w:t>Name</w:t>
            </w:r>
          </w:p>
        </w:tc>
        <w:tc>
          <w:tcPr>
            <w:tcW w:w="2750" w:type="dxa"/>
          </w:tcPr>
          <w:p w14:paraId="0699F01D" w14:textId="77777777" w:rsidR="00F84D25" w:rsidRPr="00594328" w:rsidRDefault="00F84D25" w:rsidP="009B0762">
            <w:pPr>
              <w:rPr>
                <w:rFonts w:asciiTheme="majorHAnsi" w:hAnsiTheme="majorHAnsi"/>
                <w:szCs w:val="17"/>
              </w:rPr>
            </w:pPr>
            <w:r w:rsidRPr="00594328">
              <w:rPr>
                <w:rFonts w:asciiTheme="majorHAnsi" w:hAnsiTheme="majorHAnsi"/>
                <w:szCs w:val="17"/>
              </w:rPr>
              <w:t>Consumers Right to Know Act 2018; failure to comply will breach the Fair Trading Act</w:t>
            </w:r>
            <w:r w:rsidR="00F5579E" w:rsidRPr="00594328">
              <w:rPr>
                <w:rFonts w:asciiTheme="majorHAnsi" w:hAnsiTheme="majorHAnsi"/>
                <w:szCs w:val="17"/>
              </w:rPr>
              <w:t>.</w:t>
            </w:r>
            <w:r w:rsidRPr="00594328">
              <w:rPr>
                <w:rStyle w:val="FootnoteReference"/>
                <w:rFonts w:asciiTheme="majorHAnsi" w:hAnsiTheme="majorHAnsi"/>
                <w:szCs w:val="17"/>
              </w:rPr>
              <w:footnoteReference w:id="108"/>
            </w:r>
          </w:p>
        </w:tc>
        <w:tc>
          <w:tcPr>
            <w:tcW w:w="2751" w:type="dxa"/>
          </w:tcPr>
          <w:p w14:paraId="5BB5608A" w14:textId="3EA786AC" w:rsidR="00F84D25" w:rsidRPr="00594328" w:rsidRDefault="00F84D25" w:rsidP="009B0762">
            <w:pPr>
              <w:rPr>
                <w:rFonts w:asciiTheme="majorHAnsi" w:hAnsiTheme="majorHAnsi"/>
                <w:szCs w:val="17"/>
              </w:rPr>
            </w:pPr>
            <w:r w:rsidRPr="00594328">
              <w:rPr>
                <w:rFonts w:asciiTheme="majorHAnsi" w:hAnsiTheme="majorHAnsi"/>
                <w:szCs w:val="17"/>
              </w:rPr>
              <w:t xml:space="preserve">Country of origin / </w:t>
            </w:r>
            <w:r w:rsidR="0059276D" w:rsidRPr="00594328">
              <w:rPr>
                <w:rFonts w:asciiTheme="majorHAnsi" w:hAnsiTheme="majorHAnsi"/>
                <w:szCs w:val="17"/>
              </w:rPr>
              <w:t>p</w:t>
            </w:r>
            <w:r w:rsidRPr="00594328">
              <w:rPr>
                <w:rFonts w:asciiTheme="majorHAnsi" w:hAnsiTheme="majorHAnsi"/>
                <w:szCs w:val="17"/>
              </w:rPr>
              <w:t>lace of provenance</w:t>
            </w:r>
          </w:p>
        </w:tc>
        <w:tc>
          <w:tcPr>
            <w:tcW w:w="2750" w:type="dxa"/>
          </w:tcPr>
          <w:p w14:paraId="58456B91" w14:textId="3BE63E11" w:rsidR="00F84D25" w:rsidRPr="00594328" w:rsidRDefault="00F84D25" w:rsidP="009B0762">
            <w:pPr>
              <w:rPr>
                <w:rFonts w:asciiTheme="majorHAnsi" w:hAnsiTheme="majorHAnsi"/>
                <w:szCs w:val="17"/>
              </w:rPr>
            </w:pPr>
            <w:r w:rsidRPr="00594328">
              <w:rPr>
                <w:rFonts w:asciiTheme="majorHAnsi" w:hAnsiTheme="majorHAnsi"/>
                <w:szCs w:val="17"/>
              </w:rPr>
              <w:t>Consumer Packaging and Labelling Act and Regulations</w:t>
            </w:r>
          </w:p>
        </w:tc>
        <w:tc>
          <w:tcPr>
            <w:tcW w:w="2751" w:type="dxa"/>
          </w:tcPr>
          <w:p w14:paraId="7A3C86EB" w14:textId="77777777" w:rsidR="00F84D25" w:rsidRPr="00594328" w:rsidRDefault="00F84D25" w:rsidP="009B0762">
            <w:pPr>
              <w:rPr>
                <w:rFonts w:asciiTheme="majorHAnsi" w:hAnsiTheme="majorHAnsi"/>
                <w:szCs w:val="17"/>
              </w:rPr>
            </w:pPr>
          </w:p>
        </w:tc>
      </w:tr>
      <w:tr w:rsidR="00F84D25" w:rsidRPr="00594328" w14:paraId="4C28B52E" w14:textId="77777777" w:rsidTr="00E41C90">
        <w:trPr>
          <w:trHeight w:val="942"/>
        </w:trPr>
        <w:tc>
          <w:tcPr>
            <w:tcW w:w="2750" w:type="dxa"/>
          </w:tcPr>
          <w:p w14:paraId="454CD545" w14:textId="77777777" w:rsidR="00F84D25" w:rsidRPr="00594328" w:rsidRDefault="00F84D25" w:rsidP="009B0762">
            <w:pPr>
              <w:rPr>
                <w:rFonts w:asciiTheme="majorHAnsi" w:hAnsiTheme="majorHAnsi"/>
                <w:szCs w:val="17"/>
              </w:rPr>
            </w:pPr>
            <w:r w:rsidRPr="00594328">
              <w:rPr>
                <w:rFonts w:asciiTheme="majorHAnsi" w:hAnsiTheme="majorHAnsi"/>
                <w:szCs w:val="17"/>
              </w:rPr>
              <w:t>Voluntary</w:t>
            </w:r>
            <w:r w:rsidR="0059276D" w:rsidRPr="00594328">
              <w:rPr>
                <w:rFonts w:asciiTheme="majorHAnsi" w:hAnsiTheme="majorHAnsi"/>
                <w:szCs w:val="17"/>
              </w:rPr>
              <w:t xml:space="preserve"> </w:t>
            </w:r>
            <w:r w:rsidRPr="00594328">
              <w:rPr>
                <w:rFonts w:asciiTheme="majorHAnsi" w:hAnsiTheme="majorHAnsi"/>
                <w:szCs w:val="17"/>
              </w:rPr>
              <w:t>/</w:t>
            </w:r>
            <w:r w:rsidR="0059276D" w:rsidRPr="00594328">
              <w:rPr>
                <w:rFonts w:asciiTheme="majorHAnsi" w:hAnsiTheme="majorHAnsi"/>
                <w:szCs w:val="17"/>
              </w:rPr>
              <w:t xml:space="preserve"> </w:t>
            </w:r>
            <w:r w:rsidRPr="00594328">
              <w:rPr>
                <w:rFonts w:asciiTheme="majorHAnsi" w:hAnsiTheme="majorHAnsi"/>
                <w:szCs w:val="17"/>
              </w:rPr>
              <w:t>mandatory</w:t>
            </w:r>
          </w:p>
        </w:tc>
        <w:tc>
          <w:tcPr>
            <w:tcW w:w="2750" w:type="dxa"/>
          </w:tcPr>
          <w:p w14:paraId="2F9EA1A4" w14:textId="77777777" w:rsidR="00F84D25" w:rsidRPr="00594328" w:rsidRDefault="00F84D25" w:rsidP="009B0762">
            <w:pPr>
              <w:rPr>
                <w:rFonts w:asciiTheme="majorHAnsi" w:hAnsiTheme="majorHAnsi"/>
                <w:szCs w:val="17"/>
              </w:rPr>
            </w:pPr>
            <w:r w:rsidRPr="00594328">
              <w:rPr>
                <w:rFonts w:asciiTheme="majorHAnsi" w:hAnsiTheme="majorHAnsi"/>
                <w:szCs w:val="17"/>
              </w:rPr>
              <w:t>Currently, compliance is voluntary (except for grape wine).</w:t>
            </w:r>
          </w:p>
          <w:p w14:paraId="73ABE7CB" w14:textId="77777777" w:rsidR="00F84D25" w:rsidRPr="00594328" w:rsidRDefault="00F84D25" w:rsidP="009B0762">
            <w:pPr>
              <w:rPr>
                <w:rFonts w:asciiTheme="majorHAnsi" w:hAnsiTheme="majorHAnsi"/>
                <w:szCs w:val="17"/>
              </w:rPr>
            </w:pPr>
            <w:r w:rsidRPr="00594328">
              <w:rPr>
                <w:rFonts w:asciiTheme="majorHAnsi" w:hAnsiTheme="majorHAnsi"/>
                <w:szCs w:val="17"/>
              </w:rPr>
              <w:t xml:space="preserve">In process of implementing/considering a new Information Standard for labelling of single-ingredient foods. </w:t>
            </w:r>
          </w:p>
        </w:tc>
        <w:tc>
          <w:tcPr>
            <w:tcW w:w="2751" w:type="dxa"/>
          </w:tcPr>
          <w:p w14:paraId="24E84112" w14:textId="77777777" w:rsidR="00F84D25" w:rsidRPr="00594328" w:rsidRDefault="00F84D25" w:rsidP="009B0762">
            <w:pPr>
              <w:rPr>
                <w:rFonts w:asciiTheme="majorHAnsi" w:hAnsiTheme="majorHAnsi"/>
                <w:szCs w:val="17"/>
              </w:rPr>
            </w:pPr>
            <w:r w:rsidRPr="00594328">
              <w:rPr>
                <w:rFonts w:asciiTheme="majorHAnsi" w:hAnsiTheme="majorHAnsi"/>
                <w:szCs w:val="17"/>
              </w:rPr>
              <w:t>Mandatory</w:t>
            </w:r>
            <w:r w:rsidR="00831414" w:rsidRPr="00594328">
              <w:rPr>
                <w:rFonts w:asciiTheme="majorHAnsi" w:hAnsiTheme="majorHAnsi"/>
                <w:szCs w:val="17"/>
              </w:rPr>
              <w:t>.</w:t>
            </w:r>
          </w:p>
        </w:tc>
        <w:tc>
          <w:tcPr>
            <w:tcW w:w="2750" w:type="dxa"/>
          </w:tcPr>
          <w:p w14:paraId="7D151FC9" w14:textId="0AE7D3E4" w:rsidR="00F84D25" w:rsidRPr="00594328" w:rsidRDefault="00F84D25" w:rsidP="009B0762">
            <w:pPr>
              <w:rPr>
                <w:rFonts w:asciiTheme="majorHAnsi" w:hAnsiTheme="majorHAnsi"/>
                <w:szCs w:val="17"/>
              </w:rPr>
            </w:pPr>
            <w:r w:rsidRPr="00594328">
              <w:rPr>
                <w:rFonts w:asciiTheme="majorHAnsi" w:hAnsiTheme="majorHAnsi"/>
                <w:szCs w:val="17"/>
              </w:rPr>
              <w:t>Mandatory</w:t>
            </w:r>
          </w:p>
        </w:tc>
        <w:tc>
          <w:tcPr>
            <w:tcW w:w="2751" w:type="dxa"/>
          </w:tcPr>
          <w:p w14:paraId="2E715077" w14:textId="77777777" w:rsidR="00F84D25" w:rsidRPr="00594328" w:rsidRDefault="00F84D25" w:rsidP="009B0762">
            <w:pPr>
              <w:rPr>
                <w:rFonts w:asciiTheme="majorHAnsi" w:hAnsiTheme="majorHAnsi"/>
                <w:szCs w:val="17"/>
              </w:rPr>
            </w:pPr>
            <w:r w:rsidRPr="00594328">
              <w:rPr>
                <w:rFonts w:asciiTheme="majorHAnsi" w:hAnsiTheme="majorHAnsi"/>
                <w:szCs w:val="17"/>
              </w:rPr>
              <w:t>Mandatory</w:t>
            </w:r>
            <w:r w:rsidR="00831414" w:rsidRPr="00594328">
              <w:rPr>
                <w:rFonts w:asciiTheme="majorHAnsi" w:hAnsiTheme="majorHAnsi"/>
                <w:szCs w:val="17"/>
              </w:rPr>
              <w:t>.</w:t>
            </w:r>
          </w:p>
        </w:tc>
      </w:tr>
      <w:tr w:rsidR="00F84D25" w:rsidRPr="00594328" w14:paraId="63293E08" w14:textId="77777777" w:rsidTr="00E41C90">
        <w:trPr>
          <w:trHeight w:val="942"/>
        </w:trPr>
        <w:tc>
          <w:tcPr>
            <w:tcW w:w="2750" w:type="dxa"/>
          </w:tcPr>
          <w:p w14:paraId="50BB7848" w14:textId="77777777" w:rsidR="00F84D25" w:rsidRPr="00594328" w:rsidRDefault="00F84D25" w:rsidP="009B0762">
            <w:pPr>
              <w:rPr>
                <w:rFonts w:asciiTheme="majorHAnsi" w:hAnsiTheme="majorHAnsi"/>
                <w:szCs w:val="17"/>
              </w:rPr>
            </w:pPr>
            <w:r w:rsidRPr="00594328">
              <w:rPr>
                <w:rFonts w:asciiTheme="majorHAnsi" w:hAnsiTheme="majorHAnsi"/>
                <w:szCs w:val="17"/>
              </w:rPr>
              <w:t>Coverage (products)</w:t>
            </w:r>
          </w:p>
        </w:tc>
        <w:tc>
          <w:tcPr>
            <w:tcW w:w="2750" w:type="dxa"/>
          </w:tcPr>
          <w:p w14:paraId="43024270" w14:textId="77777777" w:rsidR="00F84D25" w:rsidRPr="00594328" w:rsidRDefault="00F84D25" w:rsidP="009B0762">
            <w:pPr>
              <w:rPr>
                <w:rFonts w:asciiTheme="majorHAnsi" w:hAnsiTheme="majorHAnsi"/>
                <w:szCs w:val="17"/>
              </w:rPr>
            </w:pPr>
            <w:r w:rsidRPr="00594328">
              <w:rPr>
                <w:rFonts w:asciiTheme="majorHAnsi" w:hAnsiTheme="majorHAnsi"/>
                <w:szCs w:val="17"/>
              </w:rPr>
              <w:t xml:space="preserve">The proposed regulated foods: food that is either i) only one type of fruit, vegetable, meat, fish or seafood (that is fresh or frozen and is no more than minimally processed) or ii) cured pork. </w:t>
            </w:r>
          </w:p>
        </w:tc>
        <w:tc>
          <w:tcPr>
            <w:tcW w:w="2751" w:type="dxa"/>
          </w:tcPr>
          <w:p w14:paraId="48BBAC30" w14:textId="77777777" w:rsidR="00F84D25" w:rsidRPr="00594328" w:rsidRDefault="00F84D25" w:rsidP="009B0762">
            <w:pPr>
              <w:rPr>
                <w:rFonts w:asciiTheme="majorHAnsi" w:hAnsiTheme="majorHAnsi"/>
                <w:szCs w:val="17"/>
              </w:rPr>
            </w:pPr>
            <w:r w:rsidRPr="00594328">
              <w:rPr>
                <w:rFonts w:asciiTheme="majorHAnsi" w:hAnsiTheme="majorHAnsi"/>
                <w:szCs w:val="17"/>
              </w:rPr>
              <w:t>Beef, veal, lamb, mutton, pork, goat, poultry, fish and shellfish, honey, olive oil, wine, fruit and vegetables. Others if customers might be misled without this information.</w:t>
            </w:r>
          </w:p>
          <w:p w14:paraId="62C97DAF" w14:textId="77777777" w:rsidR="00F84D25" w:rsidRPr="00594328" w:rsidRDefault="00F84D25" w:rsidP="009B0762">
            <w:pPr>
              <w:rPr>
                <w:rFonts w:asciiTheme="majorHAnsi" w:hAnsiTheme="majorHAnsi"/>
                <w:szCs w:val="17"/>
              </w:rPr>
            </w:pPr>
          </w:p>
        </w:tc>
        <w:tc>
          <w:tcPr>
            <w:tcW w:w="2750" w:type="dxa"/>
          </w:tcPr>
          <w:p w14:paraId="66E79104" w14:textId="77777777" w:rsidR="00F84D25" w:rsidRPr="00594328" w:rsidRDefault="00F84D25" w:rsidP="009B0762">
            <w:pPr>
              <w:rPr>
                <w:rFonts w:asciiTheme="majorHAnsi" w:hAnsiTheme="majorHAnsi"/>
                <w:szCs w:val="17"/>
              </w:rPr>
            </w:pPr>
            <w:r w:rsidRPr="00594328">
              <w:rPr>
                <w:rFonts w:asciiTheme="majorHAnsi" w:hAnsiTheme="majorHAnsi"/>
                <w:szCs w:val="17"/>
              </w:rPr>
              <w:t xml:space="preserve">Specific imported pre-packaged products: Wine and brandy, dairy products, honey, fish and seafood products, fresh fruits and vegetables, eggs-shelled, eggs-processed, meat products, maple products, processed fruit and vegetable </w:t>
            </w:r>
            <w:r w:rsidRPr="00594328">
              <w:rPr>
                <w:rFonts w:asciiTheme="majorHAnsi" w:hAnsiTheme="majorHAnsi"/>
                <w:szCs w:val="17"/>
              </w:rPr>
              <w:lastRenderedPageBreak/>
              <w:t>products. Others can voluntarily make statements.</w:t>
            </w:r>
          </w:p>
        </w:tc>
        <w:tc>
          <w:tcPr>
            <w:tcW w:w="2751" w:type="dxa"/>
          </w:tcPr>
          <w:p w14:paraId="5CB33C9D" w14:textId="0831CF8D" w:rsidR="00F84D25" w:rsidRPr="00594328" w:rsidRDefault="00F84D25" w:rsidP="009B0762">
            <w:pPr>
              <w:rPr>
                <w:rFonts w:asciiTheme="majorHAnsi" w:hAnsiTheme="majorHAnsi"/>
                <w:szCs w:val="17"/>
              </w:rPr>
            </w:pPr>
            <w:r w:rsidRPr="00594328">
              <w:rPr>
                <w:rFonts w:asciiTheme="majorHAnsi" w:hAnsiTheme="majorHAnsi"/>
                <w:szCs w:val="17"/>
              </w:rPr>
              <w:lastRenderedPageBreak/>
              <w:t>Muscle cuts and ground lamb, chicken, goat, wild and farm-raised fish and shellfish, perishable agricultural commodities, peanuts, pecans, ginseng, and macadamia nuts</w:t>
            </w:r>
          </w:p>
        </w:tc>
      </w:tr>
      <w:tr w:rsidR="00F84D25" w:rsidRPr="00594328" w14:paraId="393E4D7E" w14:textId="77777777" w:rsidTr="00E41C90">
        <w:trPr>
          <w:trHeight w:val="551"/>
        </w:trPr>
        <w:tc>
          <w:tcPr>
            <w:tcW w:w="2750" w:type="dxa"/>
          </w:tcPr>
          <w:p w14:paraId="403DA16E" w14:textId="77777777" w:rsidR="00F84D25" w:rsidRPr="00594328" w:rsidRDefault="00F84D25" w:rsidP="009B0762">
            <w:pPr>
              <w:rPr>
                <w:rFonts w:asciiTheme="majorHAnsi" w:hAnsiTheme="majorHAnsi"/>
                <w:szCs w:val="17"/>
              </w:rPr>
            </w:pPr>
            <w:r w:rsidRPr="00594328">
              <w:rPr>
                <w:rFonts w:asciiTheme="majorHAnsi" w:hAnsiTheme="majorHAnsi"/>
                <w:szCs w:val="17"/>
              </w:rPr>
              <w:t>Segmentation of products (i.e. exclusions or different levels of priority)</w:t>
            </w:r>
          </w:p>
        </w:tc>
        <w:tc>
          <w:tcPr>
            <w:tcW w:w="2750" w:type="dxa"/>
          </w:tcPr>
          <w:p w14:paraId="1766E1B7" w14:textId="77777777" w:rsidR="00F84D25" w:rsidRPr="00594328" w:rsidRDefault="00F84D25" w:rsidP="009B0762">
            <w:pPr>
              <w:rPr>
                <w:rFonts w:asciiTheme="majorHAnsi" w:hAnsiTheme="majorHAnsi"/>
                <w:szCs w:val="17"/>
              </w:rPr>
            </w:pPr>
            <w:r w:rsidRPr="00594328">
              <w:rPr>
                <w:rFonts w:asciiTheme="majorHAnsi" w:hAnsiTheme="majorHAnsi"/>
                <w:szCs w:val="17"/>
              </w:rPr>
              <w:t>Yes, proposed scheme has option for segments to be excluded, if the Minister considers that requiring the food to comply with the standard would be unduly onerous. Scheme also excludes processed foods.</w:t>
            </w:r>
          </w:p>
        </w:tc>
        <w:tc>
          <w:tcPr>
            <w:tcW w:w="2751" w:type="dxa"/>
          </w:tcPr>
          <w:p w14:paraId="60EDDA68" w14:textId="77777777" w:rsidR="00F84D25" w:rsidRPr="00594328" w:rsidRDefault="00F84D25" w:rsidP="009B0762">
            <w:pPr>
              <w:tabs>
                <w:tab w:val="left" w:pos="1995"/>
              </w:tabs>
              <w:rPr>
                <w:rFonts w:asciiTheme="majorHAnsi" w:hAnsiTheme="majorHAnsi"/>
                <w:szCs w:val="17"/>
              </w:rPr>
            </w:pPr>
            <w:r w:rsidRPr="00594328">
              <w:rPr>
                <w:rFonts w:asciiTheme="majorHAnsi" w:hAnsiTheme="majorHAnsi"/>
                <w:szCs w:val="17"/>
              </w:rPr>
              <w:t>Yes</w:t>
            </w:r>
            <w:r w:rsidR="00831414" w:rsidRPr="00594328">
              <w:rPr>
                <w:rFonts w:asciiTheme="majorHAnsi" w:hAnsiTheme="majorHAnsi"/>
                <w:szCs w:val="17"/>
              </w:rPr>
              <w:t>.</w:t>
            </w:r>
          </w:p>
        </w:tc>
        <w:tc>
          <w:tcPr>
            <w:tcW w:w="2750" w:type="dxa"/>
          </w:tcPr>
          <w:p w14:paraId="1FE0B913" w14:textId="77777777" w:rsidR="00F84D25" w:rsidRPr="00594328" w:rsidRDefault="00F84D25" w:rsidP="009B0762">
            <w:pPr>
              <w:rPr>
                <w:rFonts w:asciiTheme="majorHAnsi" w:hAnsiTheme="majorHAnsi"/>
                <w:szCs w:val="17"/>
              </w:rPr>
            </w:pPr>
            <w:r w:rsidRPr="00594328">
              <w:rPr>
                <w:rFonts w:asciiTheme="majorHAnsi" w:hAnsiTheme="majorHAnsi"/>
                <w:szCs w:val="17"/>
              </w:rPr>
              <w:t>Yes</w:t>
            </w:r>
            <w:r w:rsidR="00831414" w:rsidRPr="00594328">
              <w:rPr>
                <w:rFonts w:asciiTheme="majorHAnsi" w:hAnsiTheme="majorHAnsi"/>
                <w:szCs w:val="17"/>
              </w:rPr>
              <w:t>.</w:t>
            </w:r>
            <w:r w:rsidRPr="00594328">
              <w:rPr>
                <w:rFonts w:asciiTheme="majorHAnsi" w:hAnsiTheme="majorHAnsi"/>
                <w:szCs w:val="17"/>
              </w:rPr>
              <w:t xml:space="preserve"> </w:t>
            </w:r>
          </w:p>
        </w:tc>
        <w:tc>
          <w:tcPr>
            <w:tcW w:w="2751" w:type="dxa"/>
          </w:tcPr>
          <w:p w14:paraId="0B28D9F5" w14:textId="77777777" w:rsidR="00F84D25" w:rsidRPr="00594328" w:rsidRDefault="00F84D25" w:rsidP="009B0762">
            <w:pPr>
              <w:rPr>
                <w:rFonts w:asciiTheme="majorHAnsi" w:hAnsiTheme="majorHAnsi"/>
                <w:szCs w:val="17"/>
              </w:rPr>
            </w:pPr>
            <w:r w:rsidRPr="00594328">
              <w:rPr>
                <w:rFonts w:asciiTheme="majorHAnsi" w:hAnsiTheme="majorHAnsi"/>
                <w:szCs w:val="17"/>
              </w:rPr>
              <w:t>Yes, processed foods are excluded from CoOL.</w:t>
            </w:r>
          </w:p>
        </w:tc>
      </w:tr>
      <w:tr w:rsidR="00F84D25" w:rsidRPr="00594328" w14:paraId="3D8A8837" w14:textId="77777777" w:rsidTr="00E41C90">
        <w:trPr>
          <w:trHeight w:val="1181"/>
        </w:trPr>
        <w:tc>
          <w:tcPr>
            <w:tcW w:w="2750" w:type="dxa"/>
          </w:tcPr>
          <w:p w14:paraId="262FAB2C" w14:textId="7C70A5CA" w:rsidR="00F84D25" w:rsidRPr="00594328" w:rsidRDefault="00F84D25" w:rsidP="009B0762">
            <w:pPr>
              <w:rPr>
                <w:rFonts w:asciiTheme="majorHAnsi" w:hAnsiTheme="majorHAnsi"/>
                <w:szCs w:val="17"/>
              </w:rPr>
            </w:pPr>
            <w:r w:rsidRPr="00594328">
              <w:rPr>
                <w:rFonts w:asciiTheme="majorHAnsi" w:hAnsiTheme="majorHAnsi"/>
                <w:szCs w:val="17"/>
              </w:rPr>
              <w:t>Coverage (foodservice settings)</w:t>
            </w:r>
          </w:p>
        </w:tc>
        <w:tc>
          <w:tcPr>
            <w:tcW w:w="2750" w:type="dxa"/>
          </w:tcPr>
          <w:p w14:paraId="0DC68D01" w14:textId="77777777" w:rsidR="00F84D25" w:rsidRPr="00594328" w:rsidRDefault="00F84D25" w:rsidP="009B0762">
            <w:pPr>
              <w:rPr>
                <w:rFonts w:asciiTheme="majorHAnsi" w:hAnsiTheme="majorHAnsi"/>
                <w:szCs w:val="17"/>
              </w:rPr>
            </w:pPr>
            <w:r w:rsidRPr="00594328">
              <w:rPr>
                <w:rFonts w:asciiTheme="majorHAnsi" w:hAnsiTheme="majorHAnsi"/>
                <w:szCs w:val="17"/>
              </w:rPr>
              <w:t>No</w:t>
            </w:r>
            <w:r w:rsidR="00831414" w:rsidRPr="00594328">
              <w:rPr>
                <w:rFonts w:asciiTheme="majorHAnsi" w:hAnsiTheme="majorHAnsi"/>
                <w:szCs w:val="17"/>
              </w:rPr>
              <w:t>.</w:t>
            </w:r>
          </w:p>
        </w:tc>
        <w:tc>
          <w:tcPr>
            <w:tcW w:w="2751" w:type="dxa"/>
          </w:tcPr>
          <w:p w14:paraId="151C26EC" w14:textId="77777777" w:rsidR="00F84D25" w:rsidRPr="00594328" w:rsidRDefault="00F84D25" w:rsidP="009B0762">
            <w:pPr>
              <w:tabs>
                <w:tab w:val="left" w:pos="1995"/>
              </w:tabs>
              <w:rPr>
                <w:rFonts w:asciiTheme="majorHAnsi" w:hAnsiTheme="majorHAnsi"/>
                <w:szCs w:val="17"/>
              </w:rPr>
            </w:pPr>
            <w:r w:rsidRPr="00594328">
              <w:rPr>
                <w:rFonts w:asciiTheme="majorHAnsi" w:hAnsiTheme="majorHAnsi"/>
                <w:szCs w:val="17"/>
              </w:rPr>
              <w:tab/>
              <w:t>No</w:t>
            </w:r>
            <w:r w:rsidR="00831414" w:rsidRPr="00594328">
              <w:rPr>
                <w:rFonts w:asciiTheme="majorHAnsi" w:hAnsiTheme="majorHAnsi"/>
                <w:szCs w:val="17"/>
              </w:rPr>
              <w:t>.</w:t>
            </w:r>
          </w:p>
        </w:tc>
        <w:tc>
          <w:tcPr>
            <w:tcW w:w="2750" w:type="dxa"/>
          </w:tcPr>
          <w:p w14:paraId="740DF11D" w14:textId="7AB890C4" w:rsidR="00F84D25" w:rsidRPr="00594328" w:rsidRDefault="00F84D25" w:rsidP="009B0762">
            <w:pPr>
              <w:rPr>
                <w:rFonts w:asciiTheme="majorHAnsi" w:hAnsiTheme="majorHAnsi"/>
                <w:szCs w:val="17"/>
              </w:rPr>
            </w:pPr>
            <w:r w:rsidRPr="00594328">
              <w:rPr>
                <w:rFonts w:asciiTheme="majorHAnsi" w:hAnsiTheme="majorHAnsi"/>
                <w:szCs w:val="17"/>
              </w:rPr>
              <w:t>Only partially (to caterer, not end consumer). Scheme covers sale to final consumer (retail setting) or mass caterer (restaurant, canteen, club, pub, school, hospital</w:t>
            </w:r>
            <w:r w:rsidR="002233DE">
              <w:rPr>
                <w:rFonts w:asciiTheme="majorHAnsi" w:hAnsiTheme="majorHAnsi"/>
                <w:szCs w:val="17"/>
              </w:rPr>
              <w:t xml:space="preserve"> and</w:t>
            </w:r>
            <w:r w:rsidRPr="00594328">
              <w:rPr>
                <w:rFonts w:asciiTheme="majorHAnsi" w:hAnsiTheme="majorHAnsi"/>
                <w:szCs w:val="17"/>
              </w:rPr>
              <w:t xml:space="preserve"> public food sellers). </w:t>
            </w:r>
          </w:p>
        </w:tc>
        <w:tc>
          <w:tcPr>
            <w:tcW w:w="2751" w:type="dxa"/>
          </w:tcPr>
          <w:p w14:paraId="55E7ED61" w14:textId="15969F39" w:rsidR="00F84D25" w:rsidRPr="00594328" w:rsidRDefault="00F84D25" w:rsidP="009B0762">
            <w:pPr>
              <w:rPr>
                <w:rFonts w:asciiTheme="majorHAnsi" w:hAnsiTheme="majorHAnsi"/>
                <w:szCs w:val="17"/>
              </w:rPr>
            </w:pPr>
            <w:r w:rsidRPr="00594328">
              <w:rPr>
                <w:rFonts w:asciiTheme="majorHAnsi" w:hAnsiTheme="majorHAnsi"/>
                <w:szCs w:val="17"/>
              </w:rPr>
              <w:t>No. Exclusions apply for butchers, fish markets, restaurants, restaurants in hotels, school cafeterias and small retailers.</w:t>
            </w:r>
          </w:p>
        </w:tc>
      </w:tr>
      <w:tr w:rsidR="00F84D25" w:rsidRPr="00594328" w14:paraId="6081F496" w14:textId="77777777" w:rsidTr="00E41C90">
        <w:trPr>
          <w:trHeight w:val="659"/>
        </w:trPr>
        <w:tc>
          <w:tcPr>
            <w:tcW w:w="2750" w:type="dxa"/>
          </w:tcPr>
          <w:p w14:paraId="069887FE" w14:textId="77777777" w:rsidR="00F84D25" w:rsidRPr="00594328" w:rsidRDefault="00F84D25" w:rsidP="009B0762">
            <w:pPr>
              <w:rPr>
                <w:rFonts w:asciiTheme="majorHAnsi" w:hAnsiTheme="majorHAnsi"/>
                <w:szCs w:val="17"/>
              </w:rPr>
            </w:pPr>
            <w:r w:rsidRPr="00594328">
              <w:rPr>
                <w:rFonts w:asciiTheme="majorHAnsi" w:hAnsiTheme="majorHAnsi"/>
                <w:szCs w:val="17"/>
              </w:rPr>
              <w:t>Coverage (non-food products)</w:t>
            </w:r>
          </w:p>
        </w:tc>
        <w:tc>
          <w:tcPr>
            <w:tcW w:w="2750" w:type="dxa"/>
          </w:tcPr>
          <w:p w14:paraId="24A5BEDE" w14:textId="77777777" w:rsidR="00F84D25" w:rsidRPr="00594328" w:rsidRDefault="00F84D25" w:rsidP="009B0762">
            <w:pPr>
              <w:tabs>
                <w:tab w:val="left" w:pos="2565"/>
              </w:tabs>
              <w:rPr>
                <w:rFonts w:asciiTheme="majorHAnsi" w:hAnsiTheme="majorHAnsi"/>
                <w:szCs w:val="17"/>
              </w:rPr>
            </w:pPr>
            <w:r w:rsidRPr="00594328">
              <w:rPr>
                <w:rFonts w:asciiTheme="majorHAnsi" w:hAnsiTheme="majorHAnsi"/>
                <w:szCs w:val="17"/>
              </w:rPr>
              <w:t>Clothing and footwear</w:t>
            </w:r>
            <w:r w:rsidR="00831414" w:rsidRPr="00594328">
              <w:rPr>
                <w:rFonts w:asciiTheme="majorHAnsi" w:hAnsiTheme="majorHAnsi"/>
                <w:szCs w:val="17"/>
              </w:rPr>
              <w:t>.</w:t>
            </w:r>
          </w:p>
        </w:tc>
        <w:tc>
          <w:tcPr>
            <w:tcW w:w="2751" w:type="dxa"/>
          </w:tcPr>
          <w:p w14:paraId="059808D8" w14:textId="77777777" w:rsidR="00F84D25" w:rsidRPr="00594328" w:rsidRDefault="00F84D25" w:rsidP="009B0762">
            <w:pPr>
              <w:tabs>
                <w:tab w:val="left" w:pos="1995"/>
              </w:tabs>
              <w:rPr>
                <w:rFonts w:asciiTheme="majorHAnsi" w:hAnsiTheme="majorHAnsi"/>
                <w:szCs w:val="17"/>
              </w:rPr>
            </w:pPr>
            <w:r w:rsidRPr="00594328">
              <w:rPr>
                <w:rFonts w:asciiTheme="majorHAnsi" w:hAnsiTheme="majorHAnsi"/>
                <w:szCs w:val="17"/>
              </w:rPr>
              <w:t>No</w:t>
            </w:r>
            <w:r w:rsidR="00831414" w:rsidRPr="00594328">
              <w:rPr>
                <w:rFonts w:asciiTheme="majorHAnsi" w:hAnsiTheme="majorHAnsi"/>
                <w:szCs w:val="17"/>
              </w:rPr>
              <w:t>.</w:t>
            </w:r>
            <w:r w:rsidRPr="00594328">
              <w:rPr>
                <w:rFonts w:asciiTheme="majorHAnsi" w:hAnsiTheme="majorHAnsi"/>
                <w:szCs w:val="17"/>
              </w:rPr>
              <w:t xml:space="preserve"> </w:t>
            </w:r>
          </w:p>
        </w:tc>
        <w:tc>
          <w:tcPr>
            <w:tcW w:w="2750" w:type="dxa"/>
          </w:tcPr>
          <w:p w14:paraId="3497F0CE" w14:textId="77777777" w:rsidR="00F84D25" w:rsidRPr="00594328" w:rsidRDefault="00F84D25" w:rsidP="009B0762">
            <w:pPr>
              <w:tabs>
                <w:tab w:val="left" w:pos="1909"/>
              </w:tabs>
              <w:rPr>
                <w:rFonts w:asciiTheme="majorHAnsi" w:hAnsiTheme="majorHAnsi"/>
                <w:szCs w:val="17"/>
              </w:rPr>
            </w:pPr>
            <w:r w:rsidRPr="00594328">
              <w:rPr>
                <w:rFonts w:asciiTheme="majorHAnsi" w:hAnsiTheme="majorHAnsi"/>
                <w:szCs w:val="17"/>
              </w:rPr>
              <w:t>No</w:t>
            </w:r>
            <w:r w:rsidR="00831414" w:rsidRPr="00594328">
              <w:rPr>
                <w:rFonts w:asciiTheme="majorHAnsi" w:hAnsiTheme="majorHAnsi"/>
                <w:szCs w:val="17"/>
              </w:rPr>
              <w:t>.</w:t>
            </w:r>
            <w:r w:rsidRPr="00594328">
              <w:rPr>
                <w:rStyle w:val="FootnoteReference"/>
                <w:rFonts w:asciiTheme="majorHAnsi" w:hAnsiTheme="majorHAnsi"/>
                <w:szCs w:val="17"/>
              </w:rPr>
              <w:footnoteReference w:id="109"/>
            </w:r>
          </w:p>
        </w:tc>
        <w:tc>
          <w:tcPr>
            <w:tcW w:w="2751" w:type="dxa"/>
          </w:tcPr>
          <w:p w14:paraId="7CAEFF38" w14:textId="77777777" w:rsidR="00F84D25" w:rsidRPr="00594328" w:rsidRDefault="00F84D25" w:rsidP="009B0762">
            <w:pPr>
              <w:rPr>
                <w:rFonts w:asciiTheme="majorHAnsi" w:hAnsiTheme="majorHAnsi"/>
                <w:szCs w:val="17"/>
              </w:rPr>
            </w:pPr>
            <w:r w:rsidRPr="00594328">
              <w:rPr>
                <w:rFonts w:asciiTheme="majorHAnsi" w:hAnsiTheme="majorHAnsi"/>
                <w:szCs w:val="17"/>
              </w:rPr>
              <w:t>Yes – clothing and footwear</w:t>
            </w:r>
            <w:r w:rsidR="00831414" w:rsidRPr="00594328">
              <w:rPr>
                <w:rFonts w:asciiTheme="majorHAnsi" w:hAnsiTheme="majorHAnsi"/>
                <w:szCs w:val="17"/>
              </w:rPr>
              <w:t>.</w:t>
            </w:r>
          </w:p>
        </w:tc>
      </w:tr>
      <w:tr w:rsidR="00F84D25" w:rsidRPr="00594328" w14:paraId="1C8D2DF4" w14:textId="77777777" w:rsidTr="00E41C90">
        <w:trPr>
          <w:trHeight w:val="714"/>
        </w:trPr>
        <w:tc>
          <w:tcPr>
            <w:tcW w:w="2750" w:type="dxa"/>
          </w:tcPr>
          <w:p w14:paraId="74911866" w14:textId="77777777" w:rsidR="00F84D25" w:rsidRPr="00594328" w:rsidRDefault="00F84D25" w:rsidP="009B0762">
            <w:pPr>
              <w:rPr>
                <w:rFonts w:asciiTheme="majorHAnsi" w:hAnsiTheme="majorHAnsi"/>
                <w:szCs w:val="17"/>
              </w:rPr>
            </w:pPr>
            <w:r w:rsidRPr="00594328">
              <w:rPr>
                <w:rFonts w:asciiTheme="majorHAnsi" w:hAnsiTheme="majorHAnsi"/>
                <w:szCs w:val="17"/>
              </w:rPr>
              <w:t>Coverage of online sales</w:t>
            </w:r>
          </w:p>
        </w:tc>
        <w:tc>
          <w:tcPr>
            <w:tcW w:w="2750" w:type="dxa"/>
          </w:tcPr>
          <w:p w14:paraId="7D61EF32" w14:textId="77777777" w:rsidR="00F84D25" w:rsidRPr="00594328" w:rsidRDefault="00F84D25" w:rsidP="009B0762">
            <w:pPr>
              <w:rPr>
                <w:rFonts w:asciiTheme="majorHAnsi" w:hAnsiTheme="majorHAnsi"/>
                <w:szCs w:val="17"/>
              </w:rPr>
            </w:pPr>
            <w:r w:rsidRPr="00594328">
              <w:rPr>
                <w:rFonts w:asciiTheme="majorHAnsi" w:hAnsiTheme="majorHAnsi"/>
                <w:szCs w:val="17"/>
              </w:rPr>
              <w:t>Not currently. Unclear whether proposed scheme will be covered.</w:t>
            </w:r>
          </w:p>
        </w:tc>
        <w:tc>
          <w:tcPr>
            <w:tcW w:w="2751" w:type="dxa"/>
          </w:tcPr>
          <w:p w14:paraId="312251F8" w14:textId="77777777" w:rsidR="00F84D25" w:rsidRPr="00594328" w:rsidRDefault="00F84D25" w:rsidP="009B0762">
            <w:pPr>
              <w:rPr>
                <w:rFonts w:asciiTheme="majorHAnsi" w:hAnsiTheme="majorHAnsi"/>
                <w:szCs w:val="17"/>
              </w:rPr>
            </w:pPr>
            <w:r w:rsidRPr="00594328">
              <w:rPr>
                <w:rFonts w:asciiTheme="majorHAnsi" w:hAnsiTheme="majorHAnsi"/>
                <w:szCs w:val="17"/>
              </w:rPr>
              <w:t>Yes</w:t>
            </w:r>
            <w:r w:rsidR="00831414" w:rsidRPr="00594328">
              <w:rPr>
                <w:rFonts w:asciiTheme="majorHAnsi" w:hAnsiTheme="majorHAnsi"/>
                <w:szCs w:val="17"/>
              </w:rPr>
              <w:t>.</w:t>
            </w:r>
            <w:r w:rsidRPr="00594328">
              <w:rPr>
                <w:rFonts w:asciiTheme="majorHAnsi" w:hAnsiTheme="majorHAnsi"/>
                <w:szCs w:val="17"/>
              </w:rPr>
              <w:t xml:space="preserve"> </w:t>
            </w:r>
          </w:p>
        </w:tc>
        <w:tc>
          <w:tcPr>
            <w:tcW w:w="2750" w:type="dxa"/>
          </w:tcPr>
          <w:p w14:paraId="0CAF53DD" w14:textId="77777777" w:rsidR="00F84D25" w:rsidRPr="00594328" w:rsidRDefault="00F84D25" w:rsidP="009B0762">
            <w:pPr>
              <w:rPr>
                <w:rFonts w:asciiTheme="majorHAnsi" w:hAnsiTheme="majorHAnsi"/>
                <w:szCs w:val="17"/>
              </w:rPr>
            </w:pPr>
            <w:r w:rsidRPr="00594328">
              <w:rPr>
                <w:rFonts w:asciiTheme="majorHAnsi" w:hAnsiTheme="majorHAnsi"/>
                <w:szCs w:val="17"/>
              </w:rPr>
              <w:t>Yes</w:t>
            </w:r>
            <w:r w:rsidR="00831414" w:rsidRPr="00594328">
              <w:rPr>
                <w:rFonts w:asciiTheme="majorHAnsi" w:hAnsiTheme="majorHAnsi"/>
                <w:szCs w:val="17"/>
              </w:rPr>
              <w:t>.</w:t>
            </w:r>
          </w:p>
        </w:tc>
        <w:tc>
          <w:tcPr>
            <w:tcW w:w="2751" w:type="dxa"/>
          </w:tcPr>
          <w:p w14:paraId="3D3104AD" w14:textId="77777777" w:rsidR="00F84D25" w:rsidRPr="00594328" w:rsidRDefault="00F84D25" w:rsidP="009B0762">
            <w:pPr>
              <w:rPr>
                <w:rFonts w:asciiTheme="majorHAnsi" w:hAnsiTheme="majorHAnsi"/>
                <w:szCs w:val="17"/>
              </w:rPr>
            </w:pPr>
            <w:r w:rsidRPr="00594328">
              <w:rPr>
                <w:rFonts w:asciiTheme="majorHAnsi" w:hAnsiTheme="majorHAnsi"/>
                <w:szCs w:val="17"/>
              </w:rPr>
              <w:t>Yes</w:t>
            </w:r>
            <w:r w:rsidR="00831414" w:rsidRPr="00594328">
              <w:rPr>
                <w:rFonts w:asciiTheme="majorHAnsi" w:hAnsiTheme="majorHAnsi"/>
                <w:szCs w:val="17"/>
              </w:rPr>
              <w:t>.</w:t>
            </w:r>
          </w:p>
        </w:tc>
      </w:tr>
      <w:tr w:rsidR="00F84D25" w:rsidRPr="00594328" w14:paraId="7CDA5048" w14:textId="77777777" w:rsidTr="00E41C90">
        <w:trPr>
          <w:trHeight w:val="1181"/>
        </w:trPr>
        <w:tc>
          <w:tcPr>
            <w:tcW w:w="2750" w:type="dxa"/>
          </w:tcPr>
          <w:p w14:paraId="6F289998" w14:textId="77777777" w:rsidR="00F84D25" w:rsidRPr="00594328" w:rsidRDefault="00F84D25" w:rsidP="009B0762">
            <w:pPr>
              <w:rPr>
                <w:rFonts w:asciiTheme="majorHAnsi" w:hAnsiTheme="majorHAnsi"/>
                <w:szCs w:val="17"/>
              </w:rPr>
            </w:pPr>
            <w:r w:rsidRPr="00594328">
              <w:rPr>
                <w:rFonts w:asciiTheme="majorHAnsi" w:hAnsiTheme="majorHAnsi"/>
                <w:szCs w:val="17"/>
              </w:rPr>
              <w:lastRenderedPageBreak/>
              <w:t>Statement required</w:t>
            </w:r>
          </w:p>
        </w:tc>
        <w:tc>
          <w:tcPr>
            <w:tcW w:w="2750" w:type="dxa"/>
          </w:tcPr>
          <w:p w14:paraId="03993FA7" w14:textId="77777777" w:rsidR="00F84D25" w:rsidRPr="00594328" w:rsidRDefault="00F84D25" w:rsidP="009B0762">
            <w:pPr>
              <w:rPr>
                <w:rFonts w:asciiTheme="majorHAnsi" w:hAnsiTheme="majorHAnsi"/>
                <w:szCs w:val="17"/>
              </w:rPr>
            </w:pPr>
            <w:r w:rsidRPr="00594328">
              <w:rPr>
                <w:rFonts w:asciiTheme="majorHAnsi" w:hAnsiTheme="majorHAnsi"/>
                <w:szCs w:val="17"/>
              </w:rPr>
              <w:t>Requires a regulated food’s country or place of origin to be disclosed by reference to where the food was grown or something similar (for example, where it was harvested, caught, or raised, but not where it was merely packaged, manufactured, or processed).</w:t>
            </w:r>
          </w:p>
        </w:tc>
        <w:tc>
          <w:tcPr>
            <w:tcW w:w="2751" w:type="dxa"/>
          </w:tcPr>
          <w:p w14:paraId="292B9EA5" w14:textId="3B1DC18D" w:rsidR="00F84D25" w:rsidRPr="00594328" w:rsidRDefault="00F84D25" w:rsidP="009B0762">
            <w:pPr>
              <w:rPr>
                <w:rFonts w:asciiTheme="majorHAnsi" w:hAnsiTheme="majorHAnsi"/>
                <w:szCs w:val="17"/>
              </w:rPr>
            </w:pPr>
            <w:r w:rsidRPr="00594328">
              <w:rPr>
                <w:rFonts w:asciiTheme="majorHAnsi" w:hAnsiTheme="majorHAnsi"/>
                <w:szCs w:val="17"/>
              </w:rPr>
              <w:t>Origin: Non-E</w:t>
            </w:r>
            <w:r w:rsidR="00E01113">
              <w:rPr>
                <w:rFonts w:asciiTheme="majorHAnsi" w:hAnsiTheme="majorHAnsi"/>
                <w:szCs w:val="17"/>
              </w:rPr>
              <w:t xml:space="preserve">uropean Union </w:t>
            </w:r>
            <w:r w:rsidRPr="00594328">
              <w:rPr>
                <w:rFonts w:asciiTheme="majorHAnsi" w:hAnsiTheme="majorHAnsi"/>
                <w:szCs w:val="17"/>
              </w:rPr>
              <w:t>or Origin: Non-U</w:t>
            </w:r>
            <w:r w:rsidR="00E01113">
              <w:rPr>
                <w:rFonts w:asciiTheme="majorHAnsi" w:hAnsiTheme="majorHAnsi"/>
                <w:szCs w:val="17"/>
              </w:rPr>
              <w:t xml:space="preserve">nited </w:t>
            </w:r>
            <w:r w:rsidRPr="00594328">
              <w:rPr>
                <w:rFonts w:asciiTheme="majorHAnsi" w:hAnsiTheme="majorHAnsi"/>
                <w:szCs w:val="17"/>
              </w:rPr>
              <w:t>K</w:t>
            </w:r>
            <w:r w:rsidR="00E01113">
              <w:rPr>
                <w:rFonts w:asciiTheme="majorHAnsi" w:hAnsiTheme="majorHAnsi"/>
                <w:szCs w:val="17"/>
              </w:rPr>
              <w:t>ingdom</w:t>
            </w:r>
            <w:r w:rsidR="00831414" w:rsidRPr="00594328">
              <w:rPr>
                <w:rFonts w:asciiTheme="majorHAnsi" w:hAnsiTheme="majorHAnsi"/>
                <w:szCs w:val="17"/>
              </w:rPr>
              <w:t>.</w:t>
            </w:r>
          </w:p>
        </w:tc>
        <w:tc>
          <w:tcPr>
            <w:tcW w:w="2750" w:type="dxa"/>
          </w:tcPr>
          <w:p w14:paraId="0971E388" w14:textId="77777777" w:rsidR="00F84D25" w:rsidRPr="00594328" w:rsidRDefault="00F84D25" w:rsidP="009B0762">
            <w:pPr>
              <w:rPr>
                <w:rFonts w:asciiTheme="majorHAnsi" w:hAnsiTheme="majorHAnsi"/>
                <w:szCs w:val="17"/>
              </w:rPr>
            </w:pPr>
            <w:r w:rsidRPr="00594328">
              <w:rPr>
                <w:rFonts w:asciiTheme="majorHAnsi" w:hAnsiTheme="majorHAnsi"/>
                <w:szCs w:val="17"/>
              </w:rPr>
              <w:t>A product can only have one country of origin, which, at a minimum, is the country of last substantial transformation. A blended claim may be considered.</w:t>
            </w:r>
          </w:p>
        </w:tc>
        <w:tc>
          <w:tcPr>
            <w:tcW w:w="2751" w:type="dxa"/>
          </w:tcPr>
          <w:p w14:paraId="713285BC" w14:textId="77777777" w:rsidR="00F84D25" w:rsidRPr="00594328" w:rsidRDefault="00F84D25" w:rsidP="009B0762">
            <w:pPr>
              <w:rPr>
                <w:rFonts w:asciiTheme="majorHAnsi" w:hAnsiTheme="majorHAnsi"/>
                <w:szCs w:val="17"/>
              </w:rPr>
            </w:pPr>
            <w:r w:rsidRPr="00594328">
              <w:rPr>
                <w:rFonts w:asciiTheme="majorHAnsi" w:hAnsiTheme="majorHAnsi"/>
                <w:szCs w:val="17"/>
              </w:rPr>
              <w:t xml:space="preserve">Must make information available to the buyer about the country(ies) of origin and method(s) or production (for fish and shellfish) of the covered commodity. Produce mixed in displays may simply be </w:t>
            </w:r>
            <w:r w:rsidR="00AB7C88" w:rsidRPr="00594328">
              <w:rPr>
                <w:rFonts w:asciiTheme="majorHAnsi" w:hAnsiTheme="majorHAnsi"/>
                <w:szCs w:val="17"/>
              </w:rPr>
              <w:t>labelled</w:t>
            </w:r>
            <w:r w:rsidRPr="00594328">
              <w:rPr>
                <w:rFonts w:asciiTheme="majorHAnsi" w:hAnsiTheme="majorHAnsi"/>
                <w:szCs w:val="17"/>
              </w:rPr>
              <w:t xml:space="preserve"> as being “from two or more countries of origin.”</w:t>
            </w:r>
            <w:r w:rsidRPr="00594328">
              <w:rPr>
                <w:rStyle w:val="FootnoteReference"/>
                <w:rFonts w:asciiTheme="majorHAnsi" w:hAnsiTheme="majorHAnsi"/>
                <w:szCs w:val="17"/>
              </w:rPr>
              <w:footnoteReference w:id="110"/>
            </w:r>
          </w:p>
        </w:tc>
      </w:tr>
      <w:tr w:rsidR="00F84D25" w:rsidRPr="00594328" w14:paraId="03ED80E1" w14:textId="77777777" w:rsidTr="00E41C90">
        <w:trPr>
          <w:trHeight w:val="1181"/>
        </w:trPr>
        <w:tc>
          <w:tcPr>
            <w:tcW w:w="2750" w:type="dxa"/>
          </w:tcPr>
          <w:p w14:paraId="5E46D663" w14:textId="77777777" w:rsidR="00F84D25" w:rsidRPr="00594328" w:rsidRDefault="00F84D25" w:rsidP="009B0762">
            <w:pPr>
              <w:rPr>
                <w:rFonts w:asciiTheme="majorHAnsi" w:hAnsiTheme="majorHAnsi"/>
                <w:szCs w:val="17"/>
              </w:rPr>
            </w:pPr>
            <w:r w:rsidRPr="00594328">
              <w:rPr>
                <w:rFonts w:asciiTheme="majorHAnsi" w:hAnsiTheme="majorHAnsi"/>
                <w:szCs w:val="17"/>
              </w:rPr>
              <w:t>References to substantial transformation</w:t>
            </w:r>
          </w:p>
        </w:tc>
        <w:tc>
          <w:tcPr>
            <w:tcW w:w="2750" w:type="dxa"/>
          </w:tcPr>
          <w:p w14:paraId="5E9B7419" w14:textId="77777777" w:rsidR="00F84D25" w:rsidRPr="00594328" w:rsidRDefault="00F84D25" w:rsidP="009B0762">
            <w:pPr>
              <w:rPr>
                <w:rFonts w:asciiTheme="majorHAnsi" w:hAnsiTheme="majorHAnsi"/>
                <w:szCs w:val="17"/>
              </w:rPr>
            </w:pPr>
            <w:r w:rsidRPr="00594328">
              <w:rPr>
                <w:rFonts w:asciiTheme="majorHAnsi" w:hAnsiTheme="majorHAnsi"/>
                <w:szCs w:val="17"/>
              </w:rPr>
              <w:t xml:space="preserve">In proposed scheme: no reference to substantial transformation in the Act. Scheme does not mandatorily apply to processed foods. </w:t>
            </w:r>
          </w:p>
        </w:tc>
        <w:tc>
          <w:tcPr>
            <w:tcW w:w="2751" w:type="dxa"/>
          </w:tcPr>
          <w:p w14:paraId="0CC1BEA6" w14:textId="4E671676" w:rsidR="00F84D25" w:rsidRPr="00594328" w:rsidRDefault="00F84D25" w:rsidP="009B0762">
            <w:pPr>
              <w:rPr>
                <w:rFonts w:asciiTheme="majorHAnsi" w:hAnsiTheme="majorHAnsi"/>
                <w:szCs w:val="17"/>
              </w:rPr>
            </w:pPr>
            <w:r w:rsidRPr="00594328">
              <w:rPr>
                <w:rFonts w:asciiTheme="majorHAnsi" w:hAnsiTheme="majorHAnsi"/>
                <w:szCs w:val="17"/>
              </w:rPr>
              <w:t xml:space="preserve">Yes, substantial transformation defined through </w:t>
            </w:r>
            <w:r w:rsidR="007B2C81" w:rsidRPr="00594328">
              <w:rPr>
                <w:rFonts w:asciiTheme="majorHAnsi" w:hAnsiTheme="majorHAnsi"/>
                <w:szCs w:val="17"/>
              </w:rPr>
              <w:t>3</w:t>
            </w:r>
            <w:r w:rsidRPr="00594328">
              <w:rPr>
                <w:rFonts w:asciiTheme="majorHAnsi" w:hAnsiTheme="majorHAnsi"/>
                <w:szCs w:val="17"/>
              </w:rPr>
              <w:t xml:space="preserve"> criteria:</w:t>
            </w:r>
            <w:r w:rsidR="001870E3">
              <w:rPr>
                <w:rFonts w:asciiTheme="majorHAnsi" w:hAnsiTheme="majorHAnsi"/>
                <w:szCs w:val="17"/>
              </w:rPr>
              <w:t xml:space="preserve"> </w:t>
            </w:r>
            <w:r w:rsidRPr="00594328">
              <w:rPr>
                <w:rFonts w:asciiTheme="majorHAnsi" w:hAnsiTheme="majorHAnsi"/>
                <w:szCs w:val="17"/>
              </w:rPr>
              <w:t>Change of tariff classification; sufficient value added (calculated as a percentage) and specific processing.</w:t>
            </w:r>
          </w:p>
        </w:tc>
        <w:tc>
          <w:tcPr>
            <w:tcW w:w="2750" w:type="dxa"/>
          </w:tcPr>
          <w:p w14:paraId="7FBB986E" w14:textId="5CF9D0A4" w:rsidR="00F84D25" w:rsidRPr="00594328" w:rsidRDefault="00F84D25" w:rsidP="009B0762">
            <w:pPr>
              <w:rPr>
                <w:rFonts w:asciiTheme="majorHAnsi" w:hAnsiTheme="majorHAnsi"/>
                <w:szCs w:val="17"/>
              </w:rPr>
            </w:pPr>
            <w:r w:rsidRPr="00594328">
              <w:rPr>
                <w:rFonts w:asciiTheme="majorHAnsi" w:hAnsiTheme="majorHAnsi"/>
                <w:szCs w:val="17"/>
              </w:rPr>
              <w:t>Criteria for ’Made in Canada’ claim requires that the last substantial transformation occur</w:t>
            </w:r>
            <w:r w:rsidR="0027464E">
              <w:rPr>
                <w:rFonts w:asciiTheme="majorHAnsi" w:hAnsiTheme="majorHAnsi"/>
                <w:szCs w:val="17"/>
              </w:rPr>
              <w:t>s</w:t>
            </w:r>
            <w:r w:rsidRPr="00594328">
              <w:rPr>
                <w:rFonts w:asciiTheme="majorHAnsi" w:hAnsiTheme="majorHAnsi"/>
                <w:szCs w:val="17"/>
              </w:rPr>
              <w:t xml:space="preserve"> in Canada.</w:t>
            </w:r>
          </w:p>
        </w:tc>
        <w:tc>
          <w:tcPr>
            <w:tcW w:w="2751" w:type="dxa"/>
          </w:tcPr>
          <w:p w14:paraId="5AD3A1A8" w14:textId="77777777" w:rsidR="00F84D25" w:rsidRPr="00594328" w:rsidRDefault="00F84D25" w:rsidP="009B0762">
            <w:pPr>
              <w:rPr>
                <w:rFonts w:asciiTheme="majorHAnsi" w:hAnsiTheme="majorHAnsi"/>
                <w:szCs w:val="17"/>
              </w:rPr>
            </w:pPr>
            <w:r w:rsidRPr="00594328">
              <w:rPr>
                <w:rFonts w:asciiTheme="majorHAnsi" w:hAnsiTheme="majorHAnsi"/>
                <w:szCs w:val="17"/>
              </w:rPr>
              <w:t>In the United States, substantial transformation is used to determine the country of origin of goods that do not wholly originate in one country under the non-preferential standards.</w:t>
            </w:r>
          </w:p>
        </w:tc>
      </w:tr>
    </w:tbl>
    <w:p w14:paraId="15796493" w14:textId="77777777" w:rsidR="00E308DA" w:rsidRDefault="00E308DA" w:rsidP="00AE49FA">
      <w:pPr>
        <w:sectPr w:rsidR="00E308DA" w:rsidSect="00AE49FA">
          <w:headerReference w:type="even" r:id="rId69"/>
          <w:footerReference w:type="default" r:id="rId70"/>
          <w:headerReference w:type="first" r:id="rId71"/>
          <w:pgSz w:w="16838" w:h="11906" w:orient="landscape" w:code="9"/>
          <w:pgMar w:top="1440" w:right="1440" w:bottom="1440" w:left="1440" w:header="680" w:footer="425" w:gutter="0"/>
          <w:cols w:space="284"/>
          <w:docGrid w:linePitch="360"/>
        </w:sectPr>
      </w:pPr>
    </w:p>
    <w:p w14:paraId="6D141A6A" w14:textId="77777777" w:rsidR="004D3C53" w:rsidRPr="00C423DB" w:rsidRDefault="004D3C53" w:rsidP="00F95EA1">
      <w:pPr>
        <w:pStyle w:val="Appendixhead1"/>
        <w:outlineLvl w:val="0"/>
      </w:pPr>
      <w:bookmarkStart w:id="710" w:name="_Ref72180312"/>
      <w:bookmarkStart w:id="711" w:name="_Toc94702077"/>
      <w:r>
        <w:lastRenderedPageBreak/>
        <w:t>Indicator framework</w:t>
      </w:r>
      <w:bookmarkEnd w:id="707"/>
      <w:bookmarkEnd w:id="710"/>
      <w:bookmarkEnd w:id="711"/>
      <w:r>
        <w:t xml:space="preserve"> </w:t>
      </w:r>
    </w:p>
    <w:p w14:paraId="37464B7F" w14:textId="76C6038F" w:rsidR="004D3C53" w:rsidRDefault="004D3C53" w:rsidP="004D3C53">
      <w:pPr>
        <w:spacing w:line="240" w:lineRule="exact"/>
        <w:jc w:val="both"/>
      </w:pPr>
      <w:r>
        <w:t>Evaluation questions are translated into indicators</w:t>
      </w:r>
      <w:r w:rsidR="0027464E">
        <w:t>,</w:t>
      </w:r>
      <w:r>
        <w:t xml:space="preserve"> which offer practical measures of performance. Each indicator is matched against data sources to ensure adequate data capture against each evaluation question through the course of the evaluation. The indicator and data framework for this evaluation is outlined below. </w:t>
      </w:r>
    </w:p>
    <w:p w14:paraId="1ECB0BB3" w14:textId="20A4DDAB" w:rsidR="004D3C53" w:rsidRDefault="004D3C53" w:rsidP="00F95EA1">
      <w:pPr>
        <w:pStyle w:val="AppendixTableCaption"/>
        <w:outlineLvl w:val="9"/>
      </w:pPr>
      <w:bookmarkStart w:id="712" w:name="_Toc82590401"/>
      <w:r>
        <w:t>: Performance indicator and data framework</w:t>
      </w:r>
      <w:bookmarkEnd w:id="712"/>
    </w:p>
    <w:tbl>
      <w:tblPr>
        <w:tblStyle w:val="Deloittetable"/>
        <w:tblW w:w="0" w:type="auto"/>
        <w:tblLook w:val="04A0" w:firstRow="1" w:lastRow="0" w:firstColumn="1" w:lastColumn="0" w:noHBand="0" w:noVBand="1"/>
      </w:tblPr>
      <w:tblGrid>
        <w:gridCol w:w="3008"/>
        <w:gridCol w:w="2095"/>
        <w:gridCol w:w="674"/>
        <w:gridCol w:w="460"/>
        <w:gridCol w:w="2789"/>
      </w:tblGrid>
      <w:tr w:rsidR="00AB528D" w14:paraId="1281A1E7" w14:textId="77777777" w:rsidTr="006E1BCA">
        <w:trPr>
          <w:cnfStyle w:val="100000000000" w:firstRow="1" w:lastRow="0" w:firstColumn="0" w:lastColumn="0" w:oddVBand="0" w:evenVBand="0" w:oddHBand="0" w:evenHBand="0" w:firstRowFirstColumn="0" w:firstRowLastColumn="0" w:lastRowFirstColumn="0" w:lastRowLastColumn="0"/>
          <w:tblHeader/>
        </w:trPr>
        <w:tc>
          <w:tcPr>
            <w:tcW w:w="3008" w:type="dxa"/>
            <w:tcBorders>
              <w:top w:val="single" w:sz="24" w:space="0" w:color="012169" w:themeColor="accent4"/>
            </w:tcBorders>
          </w:tcPr>
          <w:p w14:paraId="7EAF606E" w14:textId="33198C94" w:rsidR="00AB528D" w:rsidRDefault="00AB528D" w:rsidP="00AB528D">
            <w:pPr>
              <w:rPr>
                <w:lang w:eastAsia="en-AU"/>
              </w:rPr>
            </w:pPr>
            <w:r w:rsidRPr="00E53797">
              <w:rPr>
                <w:rFonts w:asciiTheme="majorHAnsi" w:hAnsiTheme="majorHAnsi"/>
                <w:b/>
              </w:rPr>
              <w:t>Evaluation question</w:t>
            </w:r>
          </w:p>
        </w:tc>
        <w:tc>
          <w:tcPr>
            <w:tcW w:w="3229" w:type="dxa"/>
            <w:gridSpan w:val="3"/>
            <w:tcBorders>
              <w:top w:val="single" w:sz="24" w:space="0" w:color="012169" w:themeColor="accent4"/>
            </w:tcBorders>
          </w:tcPr>
          <w:p w14:paraId="2913477C" w14:textId="7632CDB9" w:rsidR="00AB528D" w:rsidRDefault="00AB528D" w:rsidP="00AB528D">
            <w:pPr>
              <w:rPr>
                <w:lang w:eastAsia="en-AU"/>
              </w:rPr>
            </w:pPr>
            <w:r w:rsidRPr="00E53797">
              <w:rPr>
                <w:rFonts w:asciiTheme="majorHAnsi" w:hAnsiTheme="majorHAnsi"/>
                <w:b/>
              </w:rPr>
              <w:t>Indicator(s)</w:t>
            </w:r>
          </w:p>
        </w:tc>
        <w:tc>
          <w:tcPr>
            <w:tcW w:w="2789" w:type="dxa"/>
            <w:tcBorders>
              <w:top w:val="single" w:sz="24" w:space="0" w:color="012169" w:themeColor="accent4"/>
            </w:tcBorders>
          </w:tcPr>
          <w:p w14:paraId="63AA2CB2" w14:textId="160B28BF" w:rsidR="00AB528D" w:rsidRDefault="00AB528D" w:rsidP="00AB528D">
            <w:pPr>
              <w:rPr>
                <w:lang w:eastAsia="en-AU"/>
              </w:rPr>
            </w:pPr>
            <w:r w:rsidRPr="00E53797">
              <w:rPr>
                <w:rFonts w:asciiTheme="majorHAnsi" w:hAnsiTheme="majorHAnsi"/>
                <w:b/>
              </w:rPr>
              <w:t>Potential data sources</w:t>
            </w:r>
          </w:p>
        </w:tc>
      </w:tr>
      <w:tr w:rsidR="00AB528D" w14:paraId="5972409F" w14:textId="77777777" w:rsidTr="00F74862">
        <w:tc>
          <w:tcPr>
            <w:tcW w:w="3008" w:type="dxa"/>
          </w:tcPr>
          <w:p w14:paraId="122CCA5A" w14:textId="549726F4" w:rsidR="00AB528D" w:rsidRDefault="00AB528D" w:rsidP="00AB528D">
            <w:pPr>
              <w:rPr>
                <w:lang w:eastAsia="en-AU"/>
              </w:rPr>
            </w:pPr>
            <w:r w:rsidRPr="00E53797">
              <w:rPr>
                <w:rFonts w:asciiTheme="majorHAnsi" w:hAnsiTheme="majorHAnsi"/>
                <w:b/>
              </w:rPr>
              <w:t>Design and implementation</w:t>
            </w:r>
          </w:p>
        </w:tc>
        <w:tc>
          <w:tcPr>
            <w:tcW w:w="3229" w:type="dxa"/>
            <w:gridSpan w:val="3"/>
          </w:tcPr>
          <w:p w14:paraId="5B5B9158" w14:textId="77777777" w:rsidR="00AB528D" w:rsidRDefault="00AB528D" w:rsidP="00AB528D">
            <w:pPr>
              <w:rPr>
                <w:lang w:eastAsia="en-AU"/>
              </w:rPr>
            </w:pPr>
          </w:p>
        </w:tc>
        <w:tc>
          <w:tcPr>
            <w:tcW w:w="2789" w:type="dxa"/>
          </w:tcPr>
          <w:p w14:paraId="62E3D514" w14:textId="77777777" w:rsidR="00AB528D" w:rsidRDefault="00AB528D" w:rsidP="00AB528D">
            <w:pPr>
              <w:rPr>
                <w:lang w:eastAsia="en-AU"/>
              </w:rPr>
            </w:pPr>
          </w:p>
        </w:tc>
      </w:tr>
      <w:tr w:rsidR="00AB528D" w14:paraId="24ECB238" w14:textId="77777777" w:rsidTr="00F74862">
        <w:tc>
          <w:tcPr>
            <w:tcW w:w="3008" w:type="dxa"/>
          </w:tcPr>
          <w:p w14:paraId="4A0510D3" w14:textId="5B94C3D2" w:rsidR="00AB528D" w:rsidRPr="00AB528D" w:rsidRDefault="00AB528D" w:rsidP="00AB528D">
            <w:pPr>
              <w:pStyle w:val="ListNumber"/>
              <w:numPr>
                <w:ilvl w:val="0"/>
                <w:numId w:val="50"/>
              </w:numPr>
              <w:rPr>
                <w:b/>
              </w:rPr>
            </w:pPr>
            <w:r w:rsidRPr="00AB528D">
              <w:t>What were the problems that the CoOL reforms were designed to address?</w:t>
            </w:r>
          </w:p>
        </w:tc>
        <w:tc>
          <w:tcPr>
            <w:tcW w:w="3229" w:type="dxa"/>
            <w:gridSpan w:val="3"/>
          </w:tcPr>
          <w:p w14:paraId="75293D0E"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Reports on different consumer groups and the extent to which each group used CoOL</w:t>
            </w:r>
          </w:p>
          <w:p w14:paraId="4A184642"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 xml:space="preserve">Time taken for consumers to obtain CoOL information </w:t>
            </w:r>
          </w:p>
          <w:p w14:paraId="204C3BB4"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 xml:space="preserve">Proportion of consumers that understood CoOL </w:t>
            </w:r>
          </w:p>
          <w:p w14:paraId="279B272F"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Reports of consumer satisfaction with CoOL</w:t>
            </w:r>
          </w:p>
          <w:p w14:paraId="063AF1CC"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Number of businesses reporting compliance challenges with CoOL</w:t>
            </w:r>
          </w:p>
          <w:p w14:paraId="1E5AC9AC"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Proportion of businesses that felt confident with the CoOL claims they were making</w:t>
            </w:r>
          </w:p>
          <w:p w14:paraId="11F7C02E" w14:textId="77777777" w:rsidR="00AB528D" w:rsidRPr="00AB528D" w:rsidRDefault="00AB528D" w:rsidP="00AB528D">
            <w:pPr>
              <w:pStyle w:val="ListBullet"/>
              <w:spacing w:after="120" w:line="240" w:lineRule="auto"/>
              <w:rPr>
                <w:lang w:eastAsia="en-AU"/>
              </w:rPr>
            </w:pPr>
            <w:r w:rsidRPr="00594328">
              <w:rPr>
                <w:rFonts w:asciiTheme="majorHAnsi" w:hAnsiTheme="majorHAnsi"/>
              </w:rPr>
              <w:t>Identify specific subsectors experiencing challenges with CoOL</w:t>
            </w:r>
          </w:p>
          <w:p w14:paraId="3F633922" w14:textId="6F365214" w:rsidR="00AB528D" w:rsidRDefault="00AB528D" w:rsidP="00AB528D">
            <w:pPr>
              <w:pStyle w:val="ListBullet"/>
              <w:spacing w:after="120" w:line="240" w:lineRule="auto"/>
              <w:rPr>
                <w:lang w:eastAsia="en-AU"/>
              </w:rPr>
            </w:pPr>
            <w:r w:rsidRPr="00594328">
              <w:rPr>
                <w:rFonts w:asciiTheme="majorHAnsi" w:hAnsiTheme="majorHAnsi"/>
              </w:rPr>
              <w:t>Evidence on the types of compliance challenges faced by businesses</w:t>
            </w:r>
          </w:p>
        </w:tc>
        <w:tc>
          <w:tcPr>
            <w:tcW w:w="2789" w:type="dxa"/>
          </w:tcPr>
          <w:p w14:paraId="73A14066"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Consumer focus groups</w:t>
            </w:r>
          </w:p>
          <w:p w14:paraId="0C307841"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Business consults</w:t>
            </w:r>
          </w:p>
          <w:p w14:paraId="3A820F15"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Government consults</w:t>
            </w:r>
          </w:p>
          <w:p w14:paraId="2A897EAF"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Literature review</w:t>
            </w:r>
          </w:p>
          <w:p w14:paraId="77DDDACB" w14:textId="77777777" w:rsidR="00AB528D" w:rsidRDefault="00AB528D" w:rsidP="00AB528D">
            <w:pPr>
              <w:pStyle w:val="ListBullet"/>
              <w:spacing w:after="120" w:line="240" w:lineRule="auto"/>
              <w:rPr>
                <w:rFonts w:asciiTheme="majorHAnsi" w:hAnsiTheme="majorHAnsi"/>
              </w:rPr>
            </w:pPr>
            <w:r w:rsidRPr="00594328">
              <w:rPr>
                <w:rFonts w:asciiTheme="majorHAnsi" w:hAnsiTheme="majorHAnsi"/>
              </w:rPr>
              <w:t>Program document review</w:t>
            </w:r>
          </w:p>
          <w:p w14:paraId="5C9395F5" w14:textId="217DF2F1" w:rsidR="00AB528D" w:rsidRPr="00AB528D" w:rsidRDefault="00AB528D" w:rsidP="00AB528D">
            <w:pPr>
              <w:pStyle w:val="ListBullet"/>
              <w:spacing w:after="120" w:line="240" w:lineRule="auto"/>
              <w:rPr>
                <w:rFonts w:asciiTheme="majorHAnsi" w:hAnsiTheme="majorHAnsi"/>
              </w:rPr>
            </w:pPr>
            <w:r w:rsidRPr="00AB528D">
              <w:rPr>
                <w:rFonts w:asciiTheme="majorHAnsi" w:hAnsiTheme="majorHAnsi"/>
              </w:rPr>
              <w:t>Other: DIIS. (2016). Country of origin labelling: Decision RIS Ch2</w:t>
            </w:r>
          </w:p>
        </w:tc>
      </w:tr>
      <w:tr w:rsidR="00AB528D" w14:paraId="678ACCBE" w14:textId="77777777" w:rsidTr="00F74862">
        <w:tc>
          <w:tcPr>
            <w:tcW w:w="3008" w:type="dxa"/>
          </w:tcPr>
          <w:p w14:paraId="09439CE4" w14:textId="0EF145BF" w:rsidR="00AB528D" w:rsidRPr="00E53797" w:rsidRDefault="00AB528D" w:rsidP="00AB528D">
            <w:pPr>
              <w:pStyle w:val="ListNumber"/>
              <w:rPr>
                <w:b/>
              </w:rPr>
            </w:pPr>
            <w:r w:rsidRPr="00594328">
              <w:t>Did clear, evidence-based links exist between the CoOL reforms and the expected outcomes?</w:t>
            </w:r>
          </w:p>
        </w:tc>
        <w:tc>
          <w:tcPr>
            <w:tcW w:w="3229" w:type="dxa"/>
            <w:gridSpan w:val="3"/>
          </w:tcPr>
          <w:p w14:paraId="590D6090"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Evidence of consultation on reform options</w:t>
            </w:r>
          </w:p>
          <w:p w14:paraId="63198CEE" w14:textId="77777777" w:rsidR="00AB528D"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Evidence of expected outcomes</w:t>
            </w:r>
          </w:p>
          <w:p w14:paraId="01E68882" w14:textId="0A511183" w:rsidR="00AB528D" w:rsidRPr="00AB528D" w:rsidRDefault="00AB528D" w:rsidP="00AB528D">
            <w:pPr>
              <w:pStyle w:val="ListBullet"/>
              <w:spacing w:after="120" w:line="240" w:lineRule="auto"/>
              <w:rPr>
                <w:rFonts w:asciiTheme="majorHAnsi" w:hAnsiTheme="majorHAnsi"/>
                <w:color w:val="000000"/>
              </w:rPr>
            </w:pPr>
            <w:r w:rsidRPr="00AB528D">
              <w:rPr>
                <w:rFonts w:asciiTheme="majorHAnsi" w:hAnsiTheme="majorHAnsi"/>
                <w:color w:val="000000"/>
              </w:rPr>
              <w:t>Analysis on reform options</w:t>
            </w:r>
          </w:p>
        </w:tc>
        <w:tc>
          <w:tcPr>
            <w:tcW w:w="2789" w:type="dxa"/>
          </w:tcPr>
          <w:p w14:paraId="237E0E1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545E0811" w14:textId="77777777" w:rsidR="00AB528D" w:rsidRPr="00AB528D" w:rsidRDefault="00AB528D" w:rsidP="00AB528D">
            <w:pPr>
              <w:pStyle w:val="ListBullet"/>
              <w:spacing w:after="120" w:line="240" w:lineRule="auto"/>
              <w:rPr>
                <w:lang w:eastAsia="en-AU"/>
              </w:rPr>
            </w:pPr>
            <w:r w:rsidRPr="00594328">
              <w:rPr>
                <w:rFonts w:asciiTheme="majorHAnsi" w:hAnsiTheme="majorHAnsi"/>
                <w:color w:val="000000"/>
              </w:rPr>
              <w:t>Literature review</w:t>
            </w:r>
          </w:p>
          <w:p w14:paraId="040FA71E" w14:textId="7613101C" w:rsidR="00AB528D" w:rsidRDefault="00AB528D" w:rsidP="00AB528D">
            <w:pPr>
              <w:pStyle w:val="ListBullet"/>
              <w:spacing w:after="120" w:line="240" w:lineRule="auto"/>
              <w:rPr>
                <w:lang w:eastAsia="en-AU"/>
              </w:rPr>
            </w:pPr>
            <w:r w:rsidRPr="00594328">
              <w:rPr>
                <w:rFonts w:asciiTheme="majorHAnsi" w:hAnsiTheme="majorHAnsi"/>
              </w:rPr>
              <w:t>Program documents</w:t>
            </w:r>
          </w:p>
        </w:tc>
      </w:tr>
      <w:tr w:rsidR="00AB528D" w14:paraId="7A667FA8" w14:textId="77777777" w:rsidTr="00F74862">
        <w:tc>
          <w:tcPr>
            <w:tcW w:w="3008" w:type="dxa"/>
          </w:tcPr>
          <w:p w14:paraId="1F0A22AC" w14:textId="3E805EDC" w:rsidR="00AB528D" w:rsidRPr="00E53797" w:rsidRDefault="00AB528D" w:rsidP="00AB528D">
            <w:pPr>
              <w:pStyle w:val="ListNumber"/>
              <w:rPr>
                <w:b/>
              </w:rPr>
            </w:pPr>
            <w:r w:rsidRPr="00594328">
              <w:t>Were there alternative labelling models</w:t>
            </w:r>
            <w:r>
              <w:t>,</w:t>
            </w:r>
            <w:r w:rsidRPr="00594328">
              <w:t xml:space="preserve"> which could have more effectively addressed the issues?</w:t>
            </w:r>
          </w:p>
        </w:tc>
        <w:tc>
          <w:tcPr>
            <w:tcW w:w="3229" w:type="dxa"/>
            <w:gridSpan w:val="3"/>
          </w:tcPr>
          <w:p w14:paraId="62E0EEEF" w14:textId="5DC3E7E0" w:rsidR="00AB528D" w:rsidRDefault="00AB528D" w:rsidP="00AB528D">
            <w:pPr>
              <w:pStyle w:val="ListBullet"/>
              <w:rPr>
                <w:lang w:eastAsia="en-AU"/>
              </w:rPr>
            </w:pPr>
            <w:r w:rsidRPr="00594328">
              <w:t>Evidence/reports outlining alternative labelling models and their effectiveness</w:t>
            </w:r>
          </w:p>
        </w:tc>
        <w:tc>
          <w:tcPr>
            <w:tcW w:w="2789" w:type="dxa"/>
          </w:tcPr>
          <w:p w14:paraId="3FA360EE"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Government consults</w:t>
            </w:r>
          </w:p>
          <w:p w14:paraId="3F6BDA6F" w14:textId="77777777" w:rsidR="00AB528D" w:rsidRDefault="00AB528D" w:rsidP="00AB528D">
            <w:pPr>
              <w:pStyle w:val="ListBullet"/>
              <w:spacing w:after="120" w:line="240" w:lineRule="auto"/>
              <w:rPr>
                <w:rFonts w:asciiTheme="majorHAnsi" w:hAnsiTheme="majorHAnsi"/>
              </w:rPr>
            </w:pPr>
            <w:r w:rsidRPr="00594328">
              <w:rPr>
                <w:rFonts w:asciiTheme="majorHAnsi" w:hAnsiTheme="majorHAnsi"/>
              </w:rPr>
              <w:t>Literature review</w:t>
            </w:r>
          </w:p>
          <w:p w14:paraId="6A3B277B" w14:textId="46AB947A" w:rsidR="00AB528D" w:rsidRPr="00AB528D" w:rsidRDefault="00AB528D" w:rsidP="00AB528D">
            <w:pPr>
              <w:pStyle w:val="ListBullet"/>
              <w:spacing w:after="120" w:line="240" w:lineRule="auto"/>
              <w:rPr>
                <w:rFonts w:asciiTheme="majorHAnsi" w:hAnsiTheme="majorHAnsi"/>
              </w:rPr>
            </w:pPr>
            <w:r w:rsidRPr="00AB528D">
              <w:rPr>
                <w:rFonts w:asciiTheme="majorHAnsi" w:hAnsiTheme="majorHAnsi"/>
              </w:rPr>
              <w:t>Program documents</w:t>
            </w:r>
          </w:p>
        </w:tc>
      </w:tr>
      <w:tr w:rsidR="00AB528D" w14:paraId="3AE96EF1" w14:textId="77777777" w:rsidTr="00F74862">
        <w:tc>
          <w:tcPr>
            <w:tcW w:w="3008" w:type="dxa"/>
          </w:tcPr>
          <w:p w14:paraId="3BFBD2E0" w14:textId="2AAEAFAC" w:rsidR="00AB528D" w:rsidRPr="00E53797" w:rsidRDefault="00AB528D" w:rsidP="00AB528D">
            <w:pPr>
              <w:pStyle w:val="ListNumber"/>
              <w:rPr>
                <w:b/>
              </w:rPr>
            </w:pPr>
            <w:r w:rsidRPr="00594328">
              <w:t>Have the reforms been flexible enough to accommodate new consumer, industry and technology developments?</w:t>
            </w:r>
          </w:p>
        </w:tc>
        <w:tc>
          <w:tcPr>
            <w:tcW w:w="3229" w:type="dxa"/>
            <w:gridSpan w:val="3"/>
          </w:tcPr>
          <w:p w14:paraId="0A96205F" w14:textId="77777777" w:rsidR="00AB528D" w:rsidRPr="00594328" w:rsidRDefault="00AB528D" w:rsidP="00AB528D">
            <w:pPr>
              <w:pStyle w:val="ListBullet"/>
            </w:pPr>
            <w:r w:rsidRPr="00594328">
              <w:t>Reports on technological advancements in retail, and their potential impact on CoOL</w:t>
            </w:r>
          </w:p>
          <w:p w14:paraId="3C64898B" w14:textId="77777777" w:rsidR="00AB528D" w:rsidRPr="00594328" w:rsidRDefault="00AB528D" w:rsidP="00AB528D">
            <w:pPr>
              <w:pStyle w:val="ListBullet"/>
            </w:pPr>
            <w:r w:rsidRPr="00594328">
              <w:t>Proportion of consumers that obtain CoOL information from sources other than product labels</w:t>
            </w:r>
          </w:p>
          <w:p w14:paraId="46D5A6E7" w14:textId="77FD79B3" w:rsidR="00AB528D" w:rsidRDefault="00AB528D" w:rsidP="00AB528D">
            <w:pPr>
              <w:pStyle w:val="ListBullet"/>
              <w:rPr>
                <w:lang w:eastAsia="en-AU"/>
              </w:rPr>
            </w:pPr>
            <w:r w:rsidRPr="00594328">
              <w:t xml:space="preserve">Proportion of businesses that provide CoOL information in </w:t>
            </w:r>
            <w:r w:rsidRPr="00594328">
              <w:lastRenderedPageBreak/>
              <w:t>formats other than product labelling (i.e. website)</w:t>
            </w:r>
          </w:p>
        </w:tc>
        <w:tc>
          <w:tcPr>
            <w:tcW w:w="2789" w:type="dxa"/>
          </w:tcPr>
          <w:p w14:paraId="5232D0EC" w14:textId="77777777" w:rsidR="00AB528D" w:rsidRPr="00594328" w:rsidRDefault="00AB528D" w:rsidP="00AB528D">
            <w:pPr>
              <w:pStyle w:val="ListBullet"/>
            </w:pPr>
            <w:r w:rsidRPr="00594328">
              <w:lastRenderedPageBreak/>
              <w:t>Consumer survey</w:t>
            </w:r>
          </w:p>
          <w:p w14:paraId="0285C22F" w14:textId="77777777" w:rsidR="00AB528D" w:rsidRPr="00594328" w:rsidRDefault="00AB528D" w:rsidP="00AB528D">
            <w:pPr>
              <w:pStyle w:val="ListBullet"/>
            </w:pPr>
            <w:r w:rsidRPr="00594328">
              <w:t>Business survey</w:t>
            </w:r>
          </w:p>
          <w:p w14:paraId="0D70C95B" w14:textId="60772D62" w:rsidR="00AB528D" w:rsidRDefault="00AB528D" w:rsidP="00AB528D">
            <w:pPr>
              <w:pStyle w:val="ListBullet"/>
              <w:rPr>
                <w:lang w:eastAsia="en-AU"/>
              </w:rPr>
            </w:pPr>
            <w:r w:rsidRPr="00594328">
              <w:t>Literature review</w:t>
            </w:r>
          </w:p>
        </w:tc>
      </w:tr>
      <w:tr w:rsidR="00AB528D" w14:paraId="0C2DEAB6" w14:textId="77777777" w:rsidTr="00F74862">
        <w:tc>
          <w:tcPr>
            <w:tcW w:w="3008" w:type="dxa"/>
          </w:tcPr>
          <w:p w14:paraId="4C5DD744" w14:textId="5891FCA5" w:rsidR="00AB528D" w:rsidRPr="00594328" w:rsidRDefault="00AB528D" w:rsidP="00AB528D">
            <w:pPr>
              <w:pStyle w:val="ListNumber"/>
            </w:pPr>
            <w:r w:rsidRPr="00594328">
              <w:t>How cost-effective was the provision of information to consumers and businesses?</w:t>
            </w:r>
          </w:p>
        </w:tc>
        <w:tc>
          <w:tcPr>
            <w:tcW w:w="3229" w:type="dxa"/>
            <w:gridSpan w:val="3"/>
          </w:tcPr>
          <w:p w14:paraId="471818BB" w14:textId="73961D12" w:rsidR="00AB528D" w:rsidRPr="00594328" w:rsidRDefault="00AB528D" w:rsidP="00AB528D">
            <w:pPr>
              <w:pStyle w:val="ListBullet"/>
              <w:spacing w:after="120" w:line="240" w:lineRule="auto"/>
              <w:rPr>
                <w:rFonts w:asciiTheme="majorHAnsi" w:hAnsiTheme="majorHAnsi"/>
                <w:color w:val="000000"/>
              </w:rPr>
            </w:pPr>
            <w:r>
              <w:rPr>
                <w:rFonts w:asciiTheme="majorHAnsi" w:hAnsiTheme="majorHAnsi"/>
              </w:rPr>
              <w:t>CBA</w:t>
            </w:r>
          </w:p>
        </w:tc>
        <w:tc>
          <w:tcPr>
            <w:tcW w:w="2789" w:type="dxa"/>
          </w:tcPr>
          <w:p w14:paraId="60E635F8" w14:textId="7777777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rPr>
              <w:t>All sources of research</w:t>
            </w:r>
            <w:r>
              <w:rPr>
                <w:rFonts w:asciiTheme="majorHAnsi" w:hAnsiTheme="majorHAnsi"/>
              </w:rPr>
              <w:t>,</w:t>
            </w:r>
            <w:r w:rsidRPr="00594328">
              <w:rPr>
                <w:rFonts w:asciiTheme="majorHAnsi" w:hAnsiTheme="majorHAnsi"/>
              </w:rPr>
              <w:t xml:space="preserve"> excluding Program documents</w:t>
            </w:r>
          </w:p>
          <w:p w14:paraId="02798D49" w14:textId="7AB163CD"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t>2016 RIS Chapter 6 and CBA</w:t>
            </w:r>
          </w:p>
        </w:tc>
      </w:tr>
      <w:tr w:rsidR="00AB528D" w14:paraId="7A0CCF27" w14:textId="77777777" w:rsidTr="00F74862">
        <w:tc>
          <w:tcPr>
            <w:tcW w:w="3008" w:type="dxa"/>
          </w:tcPr>
          <w:p w14:paraId="200E80AD" w14:textId="2CCAF615" w:rsidR="00AB528D" w:rsidRPr="00594328" w:rsidRDefault="00AB528D" w:rsidP="00AB528D">
            <w:pPr>
              <w:pStyle w:val="ListNumber"/>
            </w:pPr>
            <w:r w:rsidRPr="00594328">
              <w:rPr>
                <w:rFonts w:asciiTheme="majorHAnsi" w:hAnsiTheme="majorHAnsi"/>
                <w:color w:val="000000"/>
              </w:rPr>
              <w:t>Were the CoOL reforms delivered within their original scope, budget and timeframe?</w:t>
            </w:r>
          </w:p>
        </w:tc>
        <w:tc>
          <w:tcPr>
            <w:tcW w:w="3229" w:type="dxa"/>
            <w:gridSpan w:val="3"/>
          </w:tcPr>
          <w:p w14:paraId="014F40B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Proposed scope of the 2016 CoOL requirements</w:t>
            </w:r>
          </w:p>
          <w:p w14:paraId="5871C7ED"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 on changes or amendments to CoOL scope</w:t>
            </w:r>
          </w:p>
          <w:p w14:paraId="200FB21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Estimated cost of implementing CoOL requirements</w:t>
            </w:r>
          </w:p>
          <w:p w14:paraId="152F8C8C"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Actual cost of implementing CoOL requirements</w:t>
            </w:r>
          </w:p>
          <w:p w14:paraId="5C2FA42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Estimated time required to transition to 2016 CoOL requirements</w:t>
            </w:r>
          </w:p>
          <w:p w14:paraId="676B2920" w14:textId="2ABA8A4C"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Actual time required to transition to 2016 CoOL requirements</w:t>
            </w:r>
          </w:p>
        </w:tc>
        <w:tc>
          <w:tcPr>
            <w:tcW w:w="2789" w:type="dxa"/>
          </w:tcPr>
          <w:p w14:paraId="51585CAD"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consults</w:t>
            </w:r>
          </w:p>
          <w:p w14:paraId="45E8353C"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784F173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survey</w:t>
            </w:r>
          </w:p>
          <w:p w14:paraId="0D3A5959"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1282600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2EA9FACE"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2016 RIS Chapters 5, 6, 8 and CBA</w:t>
            </w:r>
          </w:p>
          <w:p w14:paraId="1515A2A2" w14:textId="77777777" w:rsidR="00AB528D" w:rsidRPr="00594328" w:rsidRDefault="00AB528D" w:rsidP="00AB528D">
            <w:pPr>
              <w:pStyle w:val="ListBullet"/>
              <w:numPr>
                <w:ilvl w:val="0"/>
                <w:numId w:val="0"/>
              </w:numPr>
              <w:spacing w:after="120" w:line="240" w:lineRule="auto"/>
              <w:rPr>
                <w:rFonts w:asciiTheme="majorHAnsi" w:hAnsiTheme="majorHAnsi"/>
              </w:rPr>
            </w:pPr>
          </w:p>
        </w:tc>
      </w:tr>
      <w:tr w:rsidR="00AB528D" w14:paraId="7DB02B95" w14:textId="77777777" w:rsidTr="00F74862">
        <w:tc>
          <w:tcPr>
            <w:tcW w:w="5103" w:type="dxa"/>
            <w:gridSpan w:val="2"/>
          </w:tcPr>
          <w:p w14:paraId="27A7D0B5" w14:textId="2138A717" w:rsidR="00AB528D" w:rsidRPr="00594328" w:rsidRDefault="00AB528D" w:rsidP="00AB528D">
            <w:pPr>
              <w:pStyle w:val="ListNumber"/>
              <w:numPr>
                <w:ilvl w:val="0"/>
                <w:numId w:val="0"/>
              </w:numPr>
            </w:pPr>
            <w:r w:rsidRPr="00E53797">
              <w:rPr>
                <w:rFonts w:asciiTheme="majorHAnsi" w:hAnsiTheme="majorHAnsi"/>
                <w:b/>
              </w:rPr>
              <w:t>Outcomes: Consumer access to origin information</w:t>
            </w:r>
          </w:p>
        </w:tc>
        <w:tc>
          <w:tcPr>
            <w:tcW w:w="1134" w:type="dxa"/>
            <w:gridSpan w:val="2"/>
          </w:tcPr>
          <w:p w14:paraId="6BFE7E6D" w14:textId="77777777" w:rsidR="00AB528D" w:rsidRDefault="00AB528D" w:rsidP="00AB528D">
            <w:pPr>
              <w:pStyle w:val="ListBullet"/>
              <w:numPr>
                <w:ilvl w:val="0"/>
                <w:numId w:val="0"/>
              </w:numPr>
              <w:spacing w:after="120" w:line="240" w:lineRule="auto"/>
              <w:ind w:left="340" w:hanging="340"/>
              <w:rPr>
                <w:rFonts w:asciiTheme="majorHAnsi" w:hAnsiTheme="majorHAnsi"/>
              </w:rPr>
            </w:pPr>
          </w:p>
        </w:tc>
        <w:tc>
          <w:tcPr>
            <w:tcW w:w="2789" w:type="dxa"/>
          </w:tcPr>
          <w:p w14:paraId="1D45112A" w14:textId="77777777" w:rsidR="00AB528D" w:rsidRPr="00594328" w:rsidRDefault="00AB528D" w:rsidP="00AB528D">
            <w:pPr>
              <w:pStyle w:val="ListBullet"/>
              <w:numPr>
                <w:ilvl w:val="0"/>
                <w:numId w:val="0"/>
              </w:numPr>
              <w:spacing w:after="120" w:line="240" w:lineRule="auto"/>
              <w:rPr>
                <w:rFonts w:asciiTheme="majorHAnsi" w:hAnsiTheme="majorHAnsi"/>
              </w:rPr>
            </w:pPr>
          </w:p>
        </w:tc>
      </w:tr>
      <w:tr w:rsidR="00AB528D" w14:paraId="6AC36E0E" w14:textId="77777777" w:rsidTr="00F74862">
        <w:tc>
          <w:tcPr>
            <w:tcW w:w="3008" w:type="dxa"/>
          </w:tcPr>
          <w:p w14:paraId="06FEF873" w14:textId="64848A2E" w:rsidR="00AB528D" w:rsidRPr="00594328" w:rsidRDefault="00AB528D" w:rsidP="00AB528D">
            <w:pPr>
              <w:pStyle w:val="ListNumber"/>
            </w:pPr>
            <w:r w:rsidRPr="00594328">
              <w:rPr>
                <w:rFonts w:asciiTheme="majorHAnsi" w:hAnsiTheme="majorHAnsi"/>
              </w:rPr>
              <w:t>Did the CoOL reforms achieve the objective of improving consumer understanding about the origins of their food?</w:t>
            </w:r>
          </w:p>
        </w:tc>
        <w:tc>
          <w:tcPr>
            <w:tcW w:w="3229" w:type="dxa"/>
            <w:gridSpan w:val="3"/>
          </w:tcPr>
          <w:p w14:paraId="4BB5FC0C"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 on different consumer groups and the extent to which each group used CoOL</w:t>
            </w:r>
          </w:p>
          <w:p w14:paraId="1F93436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Proportion of consumers that understood CoOL </w:t>
            </w:r>
          </w:p>
          <w:p w14:paraId="6F8EC274"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consumers that understand more about the origins of their food, following the 2016 CoOL reforms</w:t>
            </w:r>
          </w:p>
          <w:p w14:paraId="52C6C0C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Reports/evidence of consumer satisfaction with CoOL</w:t>
            </w:r>
          </w:p>
          <w:p w14:paraId="7E8DFC3C" w14:textId="2DDE1D4F"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Proportion of consumers that are satisfied with the amount of information they receive on the origins of food, including where it is grown, processed, packaged and the origin of ingredient</w:t>
            </w:r>
          </w:p>
        </w:tc>
        <w:tc>
          <w:tcPr>
            <w:tcW w:w="2789" w:type="dxa"/>
          </w:tcPr>
          <w:p w14:paraId="3D172E1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3D4F689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2A6C52F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survey</w:t>
            </w:r>
          </w:p>
          <w:p w14:paraId="18B73C4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489016E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28128D4C" w14:textId="5ACB9513"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t>Discussion paper responses Q1</w:t>
            </w:r>
          </w:p>
        </w:tc>
      </w:tr>
      <w:tr w:rsidR="00AB528D" w14:paraId="3B2ABA74" w14:textId="77777777" w:rsidTr="00F74862">
        <w:tc>
          <w:tcPr>
            <w:tcW w:w="3008" w:type="dxa"/>
          </w:tcPr>
          <w:p w14:paraId="58120E42" w14:textId="4F22EF17" w:rsidR="00AB528D" w:rsidRPr="00594328" w:rsidRDefault="00AB528D" w:rsidP="00AB528D">
            <w:pPr>
              <w:pStyle w:val="ListNumber"/>
            </w:pPr>
            <w:r w:rsidRPr="00594328">
              <w:rPr>
                <w:rFonts w:asciiTheme="majorHAnsi" w:hAnsiTheme="majorHAnsi"/>
              </w:rPr>
              <w:t>Does the differentiation between priority and non-priority foods continue to meet consumer expectations?</w:t>
            </w:r>
          </w:p>
        </w:tc>
        <w:tc>
          <w:tcPr>
            <w:tcW w:w="3229" w:type="dxa"/>
            <w:gridSpan w:val="3"/>
          </w:tcPr>
          <w:p w14:paraId="0A3B227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consumers that are satisfied with the origin information they receive regarding non-priority foods</w:t>
            </w:r>
          </w:p>
          <w:p w14:paraId="47B9CBF3" w14:textId="19A70D26"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Reports/evidence of potential improvements to CoOL for non-priority food businesses</w:t>
            </w:r>
          </w:p>
        </w:tc>
        <w:tc>
          <w:tcPr>
            <w:tcW w:w="2789" w:type="dxa"/>
          </w:tcPr>
          <w:p w14:paraId="38B0285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5907B07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survey</w:t>
            </w:r>
          </w:p>
          <w:p w14:paraId="170AE8C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 and program document review</w:t>
            </w:r>
          </w:p>
          <w:p w14:paraId="3DD1F82D" w14:textId="18900E2E"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t>Discussion paper responses Q2</w:t>
            </w:r>
          </w:p>
        </w:tc>
      </w:tr>
      <w:tr w:rsidR="00AB528D" w14:paraId="6174AA8B" w14:textId="77777777" w:rsidTr="00F74862">
        <w:tc>
          <w:tcPr>
            <w:tcW w:w="3008" w:type="dxa"/>
          </w:tcPr>
          <w:p w14:paraId="452A772E" w14:textId="697CBAEC" w:rsidR="00AB528D" w:rsidRPr="00594328" w:rsidRDefault="00AB528D" w:rsidP="00AB528D">
            <w:pPr>
              <w:pStyle w:val="ListNumber"/>
            </w:pPr>
            <w:r w:rsidRPr="00594328">
              <w:rPr>
                <w:rFonts w:asciiTheme="majorHAnsi" w:hAnsiTheme="majorHAnsi"/>
              </w:rPr>
              <w:t>Is the current scope of mandatory CoOL appropriate? Should the exemption for foodservice be maintained?</w:t>
            </w:r>
          </w:p>
        </w:tc>
        <w:tc>
          <w:tcPr>
            <w:tcW w:w="3229" w:type="dxa"/>
            <w:gridSpan w:val="3"/>
          </w:tcPr>
          <w:p w14:paraId="711BE31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Reports/evidence on the food subsectors exempt from the scope of the CoOL</w:t>
            </w:r>
          </w:p>
          <w:p w14:paraId="092AF369" w14:textId="55E511F9"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Proportion of consumers that are unsatisfied with the CoOL information they receive from food subsectors exempt from the CoOL requirements</w:t>
            </w:r>
          </w:p>
        </w:tc>
        <w:tc>
          <w:tcPr>
            <w:tcW w:w="2789" w:type="dxa"/>
          </w:tcPr>
          <w:p w14:paraId="4FEF651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2E05B87D"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2C834F6E"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Consumer survey </w:t>
            </w:r>
          </w:p>
          <w:p w14:paraId="448AF56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21F4F3A4"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4FC8B280" w14:textId="4D33AD26"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t>Discussion paper responses Q4</w:t>
            </w:r>
          </w:p>
        </w:tc>
      </w:tr>
      <w:tr w:rsidR="00AB528D" w14:paraId="77AD6789" w14:textId="77777777" w:rsidTr="00F74862">
        <w:tc>
          <w:tcPr>
            <w:tcW w:w="3008" w:type="dxa"/>
          </w:tcPr>
          <w:p w14:paraId="11636A5A" w14:textId="535E264C" w:rsidR="00AB528D" w:rsidRPr="00594328" w:rsidRDefault="00AB528D" w:rsidP="00AB528D">
            <w:pPr>
              <w:pStyle w:val="ListNumber"/>
            </w:pPr>
            <w:r w:rsidRPr="00594328">
              <w:rPr>
                <w:rFonts w:asciiTheme="majorHAnsi" w:hAnsiTheme="majorHAnsi"/>
              </w:rPr>
              <w:t xml:space="preserve">Do the criteria for making a ‘Made in’ claim reflect </w:t>
            </w:r>
            <w:r w:rsidRPr="00594328">
              <w:rPr>
                <w:rFonts w:asciiTheme="majorHAnsi" w:hAnsiTheme="majorHAnsi"/>
              </w:rPr>
              <w:lastRenderedPageBreak/>
              <w:t>consumer perceptions and expectations?</w:t>
            </w:r>
          </w:p>
        </w:tc>
        <w:tc>
          <w:tcPr>
            <w:tcW w:w="3229" w:type="dxa"/>
            <w:gridSpan w:val="3"/>
          </w:tcPr>
          <w:p w14:paraId="5DF0076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lastRenderedPageBreak/>
              <w:t>Proportion of consumers that are satisfied with the 'Made in' claims</w:t>
            </w:r>
          </w:p>
          <w:p w14:paraId="2DF3C547" w14:textId="5C58D36E"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lastRenderedPageBreak/>
              <w:t>Proportion of consumers that correctly understand the 'Made in' claims</w:t>
            </w:r>
          </w:p>
        </w:tc>
        <w:tc>
          <w:tcPr>
            <w:tcW w:w="2789" w:type="dxa"/>
          </w:tcPr>
          <w:p w14:paraId="56B41B1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lastRenderedPageBreak/>
              <w:t>Consumer focus groups</w:t>
            </w:r>
          </w:p>
          <w:p w14:paraId="567F61E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6FDB7EA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Consumer survey </w:t>
            </w:r>
          </w:p>
          <w:p w14:paraId="5296E58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7BE412AD" w14:textId="01F00E24"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lastRenderedPageBreak/>
              <w:t>Discussion paper responses Q5</w:t>
            </w:r>
          </w:p>
        </w:tc>
      </w:tr>
      <w:tr w:rsidR="00AB528D" w14:paraId="6521644B" w14:textId="77777777" w:rsidTr="00F74862">
        <w:tc>
          <w:tcPr>
            <w:tcW w:w="3008" w:type="dxa"/>
          </w:tcPr>
          <w:p w14:paraId="5230FFD2" w14:textId="715B20FD" w:rsidR="00AB528D" w:rsidRPr="00594328" w:rsidRDefault="00AB528D" w:rsidP="00AB528D">
            <w:pPr>
              <w:pStyle w:val="ListNumber"/>
            </w:pPr>
            <w:r w:rsidRPr="00594328">
              <w:rPr>
                <w:rFonts w:asciiTheme="majorHAnsi" w:hAnsiTheme="majorHAnsi"/>
              </w:rPr>
              <w:lastRenderedPageBreak/>
              <w:t>Does use of the Australian Made logo and bar chart reflect consumer perceptions and expectations?</w:t>
            </w:r>
          </w:p>
        </w:tc>
        <w:tc>
          <w:tcPr>
            <w:tcW w:w="3229" w:type="dxa"/>
            <w:gridSpan w:val="3"/>
          </w:tcPr>
          <w:p w14:paraId="500D86AB"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consumers that are satisfied with the Australian Made logo and bar charts</w:t>
            </w:r>
          </w:p>
          <w:p w14:paraId="3CD2EE9C" w14:textId="31F42929"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Proportion of consumers that who correctly interpret the Australian Made logo and bar charts</w:t>
            </w:r>
          </w:p>
        </w:tc>
        <w:tc>
          <w:tcPr>
            <w:tcW w:w="2789" w:type="dxa"/>
          </w:tcPr>
          <w:p w14:paraId="7EDBD7F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52F9294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Consumer survey </w:t>
            </w:r>
          </w:p>
          <w:p w14:paraId="3BB136B9"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0318AFEA" w14:textId="188D3E50"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t>Discussion paper responses Q6</w:t>
            </w:r>
          </w:p>
        </w:tc>
      </w:tr>
      <w:tr w:rsidR="00AB528D" w14:paraId="6E0CC698" w14:textId="77777777" w:rsidTr="00F74862">
        <w:tc>
          <w:tcPr>
            <w:tcW w:w="3008" w:type="dxa"/>
          </w:tcPr>
          <w:p w14:paraId="14207778" w14:textId="7D9C3423" w:rsidR="00AB528D" w:rsidRPr="00594328" w:rsidRDefault="00AB528D" w:rsidP="00AB528D">
            <w:pPr>
              <w:pStyle w:val="ListNumber"/>
            </w:pPr>
            <w:r w:rsidRPr="00594328">
              <w:rPr>
                <w:rFonts w:asciiTheme="majorHAnsi" w:hAnsiTheme="majorHAnsi"/>
              </w:rPr>
              <w:t>Do the CoOL requirements for online sales provide consumers with adequate origin information about products prior to making their purchase?</w:t>
            </w:r>
          </w:p>
        </w:tc>
        <w:tc>
          <w:tcPr>
            <w:tcW w:w="3229" w:type="dxa"/>
            <w:gridSpan w:val="3"/>
          </w:tcPr>
          <w:p w14:paraId="6C8921F1"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consumers that are satisfied with the amount of origin information they receive prior to making online purchases</w:t>
            </w:r>
          </w:p>
          <w:p w14:paraId="3C93E221" w14:textId="63E804DF"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Proportion of consumers that feel that more origin information is required to inform their online purchases</w:t>
            </w:r>
          </w:p>
        </w:tc>
        <w:tc>
          <w:tcPr>
            <w:tcW w:w="2789" w:type="dxa"/>
          </w:tcPr>
          <w:p w14:paraId="570FD59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1583233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Consumer survey </w:t>
            </w:r>
          </w:p>
          <w:p w14:paraId="62EA780D"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1056D3EC" w14:textId="580C75B8"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t>Discussion paper responses Q7</w:t>
            </w:r>
          </w:p>
        </w:tc>
      </w:tr>
      <w:tr w:rsidR="00AB528D" w14:paraId="72030240" w14:textId="77777777" w:rsidTr="00F74862">
        <w:tc>
          <w:tcPr>
            <w:tcW w:w="3008" w:type="dxa"/>
          </w:tcPr>
          <w:p w14:paraId="1DC5A749" w14:textId="411FECEB" w:rsidR="00AB528D" w:rsidRPr="00594328" w:rsidRDefault="00AB528D" w:rsidP="00AB528D">
            <w:pPr>
              <w:pStyle w:val="ListNumber"/>
            </w:pPr>
            <w:r w:rsidRPr="00594328">
              <w:rPr>
                <w:rFonts w:asciiTheme="majorHAnsi" w:hAnsiTheme="majorHAnsi"/>
              </w:rPr>
              <w:t>Have communication activities and online resources been effective in raising consumer awareness of the CoOL reforms and helping consumers to understand CoOL information?</w:t>
            </w:r>
          </w:p>
        </w:tc>
        <w:tc>
          <w:tcPr>
            <w:tcW w:w="3229" w:type="dxa"/>
            <w:gridSpan w:val="3"/>
          </w:tcPr>
          <w:p w14:paraId="00D0C6C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consumers that have engaged (or been exposed to) CoOL communications and online resources</w:t>
            </w:r>
          </w:p>
          <w:p w14:paraId="64662D69"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Extent to which consumers feel CoOL communications and online resources have enhanced their understanding of CoOL information</w:t>
            </w:r>
          </w:p>
          <w:p w14:paraId="42AF5F54" w14:textId="3EE8F7AD"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Extent to which consumers feel CoOL communications and online resources have raised consumer awareness of the CoOL reforms?</w:t>
            </w:r>
          </w:p>
        </w:tc>
        <w:tc>
          <w:tcPr>
            <w:tcW w:w="2789" w:type="dxa"/>
          </w:tcPr>
          <w:p w14:paraId="0A7287A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66CC044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Consumer survey </w:t>
            </w:r>
          </w:p>
          <w:p w14:paraId="3BCC6751"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2BA4544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5CE9021D" w14:textId="5A414CE7" w:rsidR="00AB528D" w:rsidRPr="00594328" w:rsidRDefault="00AB528D" w:rsidP="00AB528D">
            <w:pPr>
              <w:pStyle w:val="ListBullet"/>
              <w:spacing w:after="120" w:line="240" w:lineRule="auto"/>
              <w:rPr>
                <w:rFonts w:asciiTheme="majorHAnsi" w:hAnsiTheme="majorHAnsi"/>
              </w:rPr>
            </w:pPr>
            <w:r w:rsidRPr="00594328">
              <w:rPr>
                <w:rFonts w:asciiTheme="majorHAnsi" w:hAnsiTheme="majorHAnsi"/>
                <w:color w:val="000000"/>
              </w:rPr>
              <w:t>Discussion paper responses Q8</w:t>
            </w:r>
          </w:p>
        </w:tc>
      </w:tr>
      <w:tr w:rsidR="00AB528D" w14:paraId="3CFA9FCA" w14:textId="77777777" w:rsidTr="00F74862">
        <w:tc>
          <w:tcPr>
            <w:tcW w:w="3008" w:type="dxa"/>
          </w:tcPr>
          <w:p w14:paraId="09D7447A" w14:textId="16302D76" w:rsidR="00AB528D" w:rsidRPr="00594328" w:rsidRDefault="00AB528D" w:rsidP="00AB528D">
            <w:pPr>
              <w:pStyle w:val="ListNumber"/>
            </w:pPr>
            <w:r w:rsidRPr="00594328">
              <w:rPr>
                <w:rFonts w:asciiTheme="majorHAnsi" w:hAnsiTheme="majorHAnsi"/>
              </w:rPr>
              <w:t>Are there any other product types for which consumers seek greater access to origin information?</w:t>
            </w:r>
          </w:p>
        </w:tc>
        <w:tc>
          <w:tcPr>
            <w:tcW w:w="3229" w:type="dxa"/>
            <w:gridSpan w:val="3"/>
          </w:tcPr>
          <w:p w14:paraId="514CBECA"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Reports/evidence on the food subsectors exempt from the scope of the CoOL</w:t>
            </w:r>
          </w:p>
          <w:p w14:paraId="08402AB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consumers that are unsatisfied with the CoOL information they receive from food subsectors exempt from the CoOL requirements</w:t>
            </w:r>
          </w:p>
          <w:p w14:paraId="226AA502" w14:textId="20B2A3F1"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Subsectors where consumers seek greater access to CoOL information</w:t>
            </w:r>
          </w:p>
        </w:tc>
        <w:tc>
          <w:tcPr>
            <w:tcW w:w="2789" w:type="dxa"/>
          </w:tcPr>
          <w:p w14:paraId="00480DA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67405C8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2B2A0B2C"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Consumer survey </w:t>
            </w:r>
          </w:p>
          <w:p w14:paraId="06FB695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7604AD41"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2C778C7A"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Q9</w:t>
            </w:r>
          </w:p>
          <w:p w14:paraId="70490967" w14:textId="77777777" w:rsidR="00AB528D" w:rsidRPr="00594328" w:rsidRDefault="00AB528D" w:rsidP="00AB528D">
            <w:pPr>
              <w:pStyle w:val="ListBullet"/>
              <w:spacing w:after="120" w:line="240" w:lineRule="auto"/>
              <w:rPr>
                <w:rFonts w:asciiTheme="majorHAnsi" w:hAnsiTheme="majorHAnsi"/>
              </w:rPr>
            </w:pPr>
          </w:p>
        </w:tc>
      </w:tr>
      <w:tr w:rsidR="00AB528D" w14:paraId="53CD4A35" w14:textId="77777777" w:rsidTr="00F74862">
        <w:tc>
          <w:tcPr>
            <w:tcW w:w="3008" w:type="dxa"/>
          </w:tcPr>
          <w:p w14:paraId="54D6BA7E" w14:textId="0154F386" w:rsidR="00AB528D" w:rsidRPr="00594328" w:rsidRDefault="00AB528D" w:rsidP="00AB528D">
            <w:pPr>
              <w:pStyle w:val="ListNumber"/>
            </w:pPr>
            <w:r w:rsidRPr="00594328">
              <w:rPr>
                <w:rFonts w:asciiTheme="majorHAnsi" w:hAnsiTheme="majorHAnsi"/>
              </w:rPr>
              <w:t>Has consumer demand for origin information changed since the introduction of the reforms?</w:t>
            </w:r>
          </w:p>
        </w:tc>
        <w:tc>
          <w:tcPr>
            <w:tcW w:w="3229" w:type="dxa"/>
            <w:gridSpan w:val="3"/>
          </w:tcPr>
          <w:p w14:paraId="330F0EE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Reports/evidence on the extent to which the current CoOL requirements are meeting consumer demand</w:t>
            </w:r>
          </w:p>
          <w:p w14:paraId="63BCA39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Reports/evidence on the types of CoOL information now demand</w:t>
            </w:r>
          </w:p>
          <w:p w14:paraId="4CBD504F" w14:textId="56DCC91C"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Subsectors where consumers seek greater access to (or more) CoOL information</w:t>
            </w:r>
          </w:p>
        </w:tc>
        <w:tc>
          <w:tcPr>
            <w:tcW w:w="2789" w:type="dxa"/>
          </w:tcPr>
          <w:p w14:paraId="6F1C12E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Consumer focus groups</w:t>
            </w:r>
          </w:p>
          <w:p w14:paraId="230D4E8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508A769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Consumer survey </w:t>
            </w:r>
          </w:p>
          <w:p w14:paraId="6AF39D99"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1EF1D944"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3F28C1B9"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Q3</w:t>
            </w:r>
          </w:p>
          <w:p w14:paraId="15BECD0E" w14:textId="050716A5" w:rsidR="00AB528D" w:rsidRPr="00F74862" w:rsidRDefault="00AB528D" w:rsidP="00F74862">
            <w:pPr>
              <w:pStyle w:val="ListBullet"/>
              <w:spacing w:after="120" w:line="240" w:lineRule="auto"/>
              <w:rPr>
                <w:rFonts w:asciiTheme="majorHAnsi" w:hAnsiTheme="majorHAnsi"/>
                <w:color w:val="000000"/>
              </w:rPr>
            </w:pPr>
            <w:r w:rsidRPr="00594328">
              <w:rPr>
                <w:rFonts w:asciiTheme="majorHAnsi" w:hAnsiTheme="majorHAnsi"/>
                <w:color w:val="000000"/>
              </w:rPr>
              <w:t>2016 RIS Chapter 2 and Chapter 4</w:t>
            </w:r>
          </w:p>
        </w:tc>
      </w:tr>
      <w:tr w:rsidR="00AB528D" w14:paraId="180A3374" w14:textId="77777777" w:rsidTr="00F74862">
        <w:tc>
          <w:tcPr>
            <w:tcW w:w="5777" w:type="dxa"/>
            <w:gridSpan w:val="3"/>
          </w:tcPr>
          <w:p w14:paraId="36DB3224" w14:textId="720C7D38" w:rsidR="00AB528D" w:rsidRPr="00594328" w:rsidRDefault="00AB528D" w:rsidP="00AB528D">
            <w:pPr>
              <w:pStyle w:val="ListNumber"/>
              <w:numPr>
                <w:ilvl w:val="0"/>
                <w:numId w:val="0"/>
              </w:numPr>
            </w:pPr>
            <w:r w:rsidRPr="00E53797">
              <w:rPr>
                <w:rFonts w:asciiTheme="majorHAnsi" w:hAnsiTheme="majorHAnsi"/>
                <w:b/>
              </w:rPr>
              <w:t>Outcomes: Clarifying business’ ability to make origin claims</w:t>
            </w:r>
          </w:p>
        </w:tc>
        <w:tc>
          <w:tcPr>
            <w:tcW w:w="460" w:type="dxa"/>
          </w:tcPr>
          <w:p w14:paraId="121F4F85" w14:textId="77777777" w:rsidR="00AB528D" w:rsidRDefault="00AB528D" w:rsidP="00AB528D">
            <w:pPr>
              <w:pStyle w:val="ListBullet"/>
              <w:numPr>
                <w:ilvl w:val="0"/>
                <w:numId w:val="0"/>
              </w:numPr>
              <w:spacing w:after="120" w:line="240" w:lineRule="auto"/>
              <w:ind w:left="340" w:hanging="340"/>
              <w:rPr>
                <w:rFonts w:asciiTheme="majorHAnsi" w:hAnsiTheme="majorHAnsi"/>
              </w:rPr>
            </w:pPr>
          </w:p>
        </w:tc>
        <w:tc>
          <w:tcPr>
            <w:tcW w:w="2789" w:type="dxa"/>
          </w:tcPr>
          <w:p w14:paraId="563A5CE2" w14:textId="77777777" w:rsidR="00AB528D" w:rsidRPr="00594328" w:rsidRDefault="00AB528D" w:rsidP="00AB528D">
            <w:pPr>
              <w:pStyle w:val="ListBullet"/>
              <w:numPr>
                <w:ilvl w:val="0"/>
                <w:numId w:val="0"/>
              </w:numPr>
              <w:spacing w:after="120" w:line="240" w:lineRule="auto"/>
              <w:ind w:left="340" w:hanging="340"/>
              <w:rPr>
                <w:rFonts w:asciiTheme="majorHAnsi" w:hAnsiTheme="majorHAnsi"/>
              </w:rPr>
            </w:pPr>
          </w:p>
        </w:tc>
      </w:tr>
      <w:tr w:rsidR="00AB528D" w14:paraId="37095242" w14:textId="77777777" w:rsidTr="00F74862">
        <w:tc>
          <w:tcPr>
            <w:tcW w:w="3008" w:type="dxa"/>
          </w:tcPr>
          <w:p w14:paraId="3FBFC2D6" w14:textId="5DA97A69" w:rsidR="00AB528D" w:rsidRPr="00594328" w:rsidRDefault="00AB528D" w:rsidP="00AB528D">
            <w:pPr>
              <w:pStyle w:val="ListNumber"/>
            </w:pPr>
            <w:r w:rsidRPr="00594328">
              <w:rPr>
                <w:rFonts w:asciiTheme="majorHAnsi" w:hAnsiTheme="majorHAnsi"/>
              </w:rPr>
              <w:t>Has the introduction of safe-harbour defences clarified business’ ability to securely make origin claims?</w:t>
            </w:r>
          </w:p>
        </w:tc>
        <w:tc>
          <w:tcPr>
            <w:tcW w:w="3229" w:type="dxa"/>
            <w:gridSpan w:val="3"/>
          </w:tcPr>
          <w:p w14:paraId="49C9F41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believe new safe-harbour defences have made it easier to make country of origin claims</w:t>
            </w:r>
          </w:p>
          <w:p w14:paraId="3AA250C0" w14:textId="63A72B44"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lastRenderedPageBreak/>
              <w:t>Extent to which businesses believe that the new safe</w:t>
            </w:r>
            <w:r>
              <w:rPr>
                <w:rFonts w:asciiTheme="majorHAnsi" w:hAnsiTheme="majorHAnsi"/>
                <w:color w:val="000000"/>
              </w:rPr>
              <w:t xml:space="preserve"> </w:t>
            </w:r>
            <w:r w:rsidRPr="00594328">
              <w:rPr>
                <w:rFonts w:asciiTheme="majorHAnsi" w:hAnsiTheme="majorHAnsi"/>
                <w:color w:val="000000"/>
              </w:rPr>
              <w:t>harbour defences have clarified country of origin claims</w:t>
            </w:r>
          </w:p>
        </w:tc>
        <w:tc>
          <w:tcPr>
            <w:tcW w:w="2789" w:type="dxa"/>
          </w:tcPr>
          <w:p w14:paraId="1F33C00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lastRenderedPageBreak/>
              <w:t>Business consults</w:t>
            </w:r>
          </w:p>
          <w:p w14:paraId="1F5A645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69C9613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survey</w:t>
            </w:r>
          </w:p>
          <w:p w14:paraId="6DA32024"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Q14</w:t>
            </w:r>
          </w:p>
          <w:p w14:paraId="0000BAC2" w14:textId="77777777" w:rsidR="00AB528D" w:rsidRPr="00594328" w:rsidRDefault="00AB528D" w:rsidP="00F74862">
            <w:pPr>
              <w:pStyle w:val="ListBullet"/>
              <w:numPr>
                <w:ilvl w:val="0"/>
                <w:numId w:val="0"/>
              </w:numPr>
              <w:spacing w:after="120" w:line="240" w:lineRule="auto"/>
              <w:rPr>
                <w:rFonts w:asciiTheme="majorHAnsi" w:hAnsiTheme="majorHAnsi"/>
              </w:rPr>
            </w:pPr>
          </w:p>
        </w:tc>
      </w:tr>
      <w:tr w:rsidR="00AB528D" w14:paraId="1555284B" w14:textId="77777777" w:rsidTr="00F74862">
        <w:tc>
          <w:tcPr>
            <w:tcW w:w="3008" w:type="dxa"/>
          </w:tcPr>
          <w:p w14:paraId="74B7549B" w14:textId="261508E1" w:rsidR="00AB528D" w:rsidRPr="00594328" w:rsidRDefault="00AB528D" w:rsidP="00AB528D">
            <w:pPr>
              <w:pStyle w:val="ListNumber"/>
            </w:pPr>
            <w:r w:rsidRPr="00594328">
              <w:rPr>
                <w:rFonts w:asciiTheme="majorHAnsi" w:hAnsiTheme="majorHAnsi"/>
              </w:rPr>
              <w:lastRenderedPageBreak/>
              <w:t>How well have businesses complied with CoOL requirements?</w:t>
            </w:r>
          </w:p>
        </w:tc>
        <w:tc>
          <w:tcPr>
            <w:tcW w:w="3229" w:type="dxa"/>
            <w:gridSpan w:val="3"/>
          </w:tcPr>
          <w:p w14:paraId="100266B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Identify various enforcement actions permissible under the ACL</w:t>
            </w:r>
          </w:p>
          <w:p w14:paraId="472A950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Results of ACCC, or NMI, market surveillance checks used to detect non-compliance</w:t>
            </w:r>
          </w:p>
          <w:p w14:paraId="47A409A1"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have been subject to enforcement actions, by type of enforcement action</w:t>
            </w:r>
          </w:p>
          <w:p w14:paraId="3835C435" w14:textId="7B124864"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Proportion of businesses that have made false or misleading CoOL claims</w:t>
            </w:r>
          </w:p>
        </w:tc>
        <w:tc>
          <w:tcPr>
            <w:tcW w:w="2789" w:type="dxa"/>
          </w:tcPr>
          <w:p w14:paraId="07701B8B"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consults</w:t>
            </w:r>
          </w:p>
          <w:p w14:paraId="72DD56AB"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3052E0A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768103F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Q15</w:t>
            </w:r>
          </w:p>
          <w:p w14:paraId="01B4EF83" w14:textId="77777777" w:rsidR="00AB528D" w:rsidRPr="00594328" w:rsidRDefault="00AB528D" w:rsidP="00F74862">
            <w:pPr>
              <w:pStyle w:val="ListBullet"/>
              <w:numPr>
                <w:ilvl w:val="0"/>
                <w:numId w:val="0"/>
              </w:numPr>
              <w:spacing w:after="120" w:line="240" w:lineRule="auto"/>
              <w:rPr>
                <w:rFonts w:asciiTheme="majorHAnsi" w:hAnsiTheme="majorHAnsi"/>
              </w:rPr>
            </w:pPr>
          </w:p>
        </w:tc>
      </w:tr>
      <w:tr w:rsidR="00AB528D" w14:paraId="6088207E" w14:textId="77777777" w:rsidTr="00F74862">
        <w:tc>
          <w:tcPr>
            <w:tcW w:w="3008" w:type="dxa"/>
          </w:tcPr>
          <w:p w14:paraId="42EF3E10" w14:textId="4E81F565" w:rsidR="00AB528D" w:rsidRPr="00594328" w:rsidRDefault="00AB528D" w:rsidP="00AB528D">
            <w:pPr>
              <w:pStyle w:val="ListNumber"/>
            </w:pPr>
            <w:r w:rsidRPr="00594328">
              <w:rPr>
                <w:rFonts w:asciiTheme="majorHAnsi" w:hAnsiTheme="majorHAnsi"/>
                <w:color w:val="000000"/>
              </w:rPr>
              <w:t>Do the current CoOL requirements provide adequate flexibility for food and beverage producers to manage variations in the supply of ingredients?</w:t>
            </w:r>
          </w:p>
        </w:tc>
        <w:tc>
          <w:tcPr>
            <w:tcW w:w="3229" w:type="dxa"/>
            <w:gridSpan w:val="3"/>
          </w:tcPr>
          <w:p w14:paraId="6AAFF570"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believe that there is adequate flexibility to manage ingredient variations</w:t>
            </w:r>
          </w:p>
          <w:p w14:paraId="7B67AA0B"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Extent to which businesses believe that more flexibility is required to manage ingredient variations</w:t>
            </w:r>
          </w:p>
          <w:p w14:paraId="52F3587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believe that there is adequate flexibility to manage supply chain disruptions creating variation</w:t>
            </w:r>
          </w:p>
          <w:p w14:paraId="6F2CC978" w14:textId="5C95996E"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Extent to which businesses believe that more flexibility is required to manage supply chain disruptions creating variation</w:t>
            </w:r>
          </w:p>
        </w:tc>
        <w:tc>
          <w:tcPr>
            <w:tcW w:w="2789" w:type="dxa"/>
          </w:tcPr>
          <w:p w14:paraId="722C06B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consults</w:t>
            </w:r>
          </w:p>
          <w:p w14:paraId="1E0BBBE9"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43348A20"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survey</w:t>
            </w:r>
          </w:p>
          <w:p w14:paraId="51A3B51B"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Q16</w:t>
            </w:r>
          </w:p>
          <w:p w14:paraId="243A02BF" w14:textId="77777777" w:rsidR="00AB528D" w:rsidRPr="00594328" w:rsidRDefault="00AB528D" w:rsidP="00F74862">
            <w:pPr>
              <w:pStyle w:val="ListBullet"/>
              <w:numPr>
                <w:ilvl w:val="0"/>
                <w:numId w:val="0"/>
              </w:numPr>
              <w:spacing w:after="120" w:line="240" w:lineRule="auto"/>
              <w:rPr>
                <w:rFonts w:asciiTheme="majorHAnsi" w:hAnsiTheme="majorHAnsi"/>
              </w:rPr>
            </w:pPr>
          </w:p>
        </w:tc>
      </w:tr>
      <w:tr w:rsidR="00AB528D" w14:paraId="669C6863" w14:textId="77777777" w:rsidTr="00F74862">
        <w:tc>
          <w:tcPr>
            <w:tcW w:w="3008" w:type="dxa"/>
          </w:tcPr>
          <w:p w14:paraId="375024CD" w14:textId="1067B197" w:rsidR="00AB528D" w:rsidRPr="00594328" w:rsidRDefault="00AB528D" w:rsidP="00AB528D">
            <w:pPr>
              <w:pStyle w:val="ListNumber"/>
            </w:pPr>
            <w:r w:rsidRPr="00594328">
              <w:rPr>
                <w:rFonts w:asciiTheme="majorHAnsi" w:hAnsiTheme="majorHAnsi"/>
                <w:color w:val="000000"/>
              </w:rPr>
              <w:t>Did the CoOL reforms have any unintended consequences on businesses for particular products, including non-food products? What action, if any, was taken to address the impacts of the CoOL reforms on those businesses that were negatively affected?</w:t>
            </w:r>
          </w:p>
        </w:tc>
        <w:tc>
          <w:tcPr>
            <w:tcW w:w="3229" w:type="dxa"/>
            <w:gridSpan w:val="3"/>
          </w:tcPr>
          <w:p w14:paraId="7514AD1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believe that CoOL has resulted in unintended consequences</w:t>
            </w:r>
          </w:p>
          <w:p w14:paraId="3541573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Reports/evidence on the un-intended consequences</w:t>
            </w:r>
          </w:p>
          <w:p w14:paraId="26BCEA8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Expected consequences of CoOL on non-food businesses</w:t>
            </w:r>
          </w:p>
          <w:p w14:paraId="387DD9F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Reports/evidence on actual consequences of CoOL on non-food businesses</w:t>
            </w:r>
          </w:p>
          <w:p w14:paraId="18A0A318" w14:textId="4F1FB6EA"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Reports/evidence on actions taken to address the impact on businesses that suffered unintended consequences</w:t>
            </w:r>
          </w:p>
        </w:tc>
        <w:tc>
          <w:tcPr>
            <w:tcW w:w="2789" w:type="dxa"/>
          </w:tcPr>
          <w:p w14:paraId="0EB9153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consults</w:t>
            </w:r>
          </w:p>
          <w:p w14:paraId="6D6F892A"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6AEDF43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survey</w:t>
            </w:r>
          </w:p>
          <w:p w14:paraId="45BEA17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3D44668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041F551E"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Q17</w:t>
            </w:r>
          </w:p>
          <w:p w14:paraId="4111193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2016 RIS Chapter 6 and 2016 CBA</w:t>
            </w:r>
          </w:p>
          <w:p w14:paraId="659D824B" w14:textId="77777777" w:rsidR="00AB528D" w:rsidRPr="00594328" w:rsidRDefault="00AB528D" w:rsidP="00F74862">
            <w:pPr>
              <w:pStyle w:val="ListBullet"/>
              <w:numPr>
                <w:ilvl w:val="0"/>
                <w:numId w:val="0"/>
              </w:numPr>
              <w:spacing w:after="120" w:line="240" w:lineRule="auto"/>
              <w:rPr>
                <w:rFonts w:asciiTheme="majorHAnsi" w:hAnsiTheme="majorHAnsi"/>
              </w:rPr>
            </w:pPr>
          </w:p>
        </w:tc>
      </w:tr>
      <w:tr w:rsidR="00AB528D" w14:paraId="42D3B14C" w14:textId="77777777" w:rsidTr="00F74862">
        <w:tc>
          <w:tcPr>
            <w:tcW w:w="3008" w:type="dxa"/>
          </w:tcPr>
          <w:p w14:paraId="15B7FF6B" w14:textId="79B43D55" w:rsidR="00AB528D" w:rsidRPr="00594328" w:rsidRDefault="00AB528D" w:rsidP="00AB528D">
            <w:pPr>
              <w:pStyle w:val="ListNumber"/>
              <w:numPr>
                <w:ilvl w:val="0"/>
                <w:numId w:val="0"/>
              </w:numPr>
            </w:pPr>
            <w:r w:rsidRPr="00E53797">
              <w:rPr>
                <w:rFonts w:asciiTheme="majorHAnsi" w:hAnsiTheme="majorHAnsi"/>
                <w:b/>
              </w:rPr>
              <w:t>Impact on business</w:t>
            </w:r>
          </w:p>
        </w:tc>
        <w:tc>
          <w:tcPr>
            <w:tcW w:w="3229" w:type="dxa"/>
            <w:gridSpan w:val="3"/>
          </w:tcPr>
          <w:p w14:paraId="4ECE7646" w14:textId="77777777" w:rsidR="00AB528D" w:rsidRDefault="00AB528D" w:rsidP="00F74862">
            <w:pPr>
              <w:pStyle w:val="ListBullet"/>
              <w:numPr>
                <w:ilvl w:val="0"/>
                <w:numId w:val="0"/>
              </w:numPr>
              <w:spacing w:after="120" w:line="240" w:lineRule="auto"/>
              <w:ind w:left="340" w:hanging="340"/>
              <w:rPr>
                <w:rFonts w:asciiTheme="majorHAnsi" w:hAnsiTheme="majorHAnsi"/>
              </w:rPr>
            </w:pPr>
          </w:p>
        </w:tc>
        <w:tc>
          <w:tcPr>
            <w:tcW w:w="2789" w:type="dxa"/>
          </w:tcPr>
          <w:p w14:paraId="619C436E" w14:textId="77777777" w:rsidR="00AB528D" w:rsidRPr="00594328" w:rsidRDefault="00AB528D" w:rsidP="00F74862">
            <w:pPr>
              <w:pStyle w:val="ListBullet"/>
              <w:numPr>
                <w:ilvl w:val="0"/>
                <w:numId w:val="0"/>
              </w:numPr>
              <w:spacing w:after="120" w:line="240" w:lineRule="auto"/>
              <w:rPr>
                <w:rFonts w:asciiTheme="majorHAnsi" w:hAnsiTheme="majorHAnsi"/>
              </w:rPr>
            </w:pPr>
          </w:p>
        </w:tc>
      </w:tr>
      <w:tr w:rsidR="00AB528D" w14:paraId="7ACD249B" w14:textId="77777777" w:rsidTr="00F74862">
        <w:tc>
          <w:tcPr>
            <w:tcW w:w="3008" w:type="dxa"/>
          </w:tcPr>
          <w:p w14:paraId="1F7D5734" w14:textId="49E2DC98" w:rsidR="00AB528D" w:rsidRPr="00594328" w:rsidRDefault="00AB528D" w:rsidP="00AB528D">
            <w:pPr>
              <w:pStyle w:val="ListNumber"/>
            </w:pPr>
            <w:r w:rsidRPr="00594328">
              <w:rPr>
                <w:rFonts w:asciiTheme="majorHAnsi" w:hAnsiTheme="majorHAnsi"/>
              </w:rPr>
              <w:t>Have communication activities and online resources been effective in supporting businesses to understand, implement and manage CoOL requirements?</w:t>
            </w:r>
          </w:p>
        </w:tc>
        <w:tc>
          <w:tcPr>
            <w:tcW w:w="3229" w:type="dxa"/>
            <w:gridSpan w:val="3"/>
          </w:tcPr>
          <w:p w14:paraId="1F3598AD"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Identify major communications and online resources developed to support businesses</w:t>
            </w:r>
          </w:p>
          <w:p w14:paraId="662ED61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believe that communications and online resources were effective in understanding and implementing CoOL requirements</w:t>
            </w:r>
          </w:p>
          <w:p w14:paraId="2687292E" w14:textId="2DD77DB5"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 xml:space="preserve">Extent to which businesses believe that communications and </w:t>
            </w:r>
            <w:r w:rsidRPr="00594328">
              <w:rPr>
                <w:rFonts w:asciiTheme="majorHAnsi" w:hAnsiTheme="majorHAnsi"/>
                <w:color w:val="000000"/>
              </w:rPr>
              <w:lastRenderedPageBreak/>
              <w:t>online resources were effective in helping them understand and implement CoOL requirements</w:t>
            </w:r>
          </w:p>
        </w:tc>
        <w:tc>
          <w:tcPr>
            <w:tcW w:w="2789" w:type="dxa"/>
          </w:tcPr>
          <w:p w14:paraId="3EFE4453"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lastRenderedPageBreak/>
              <w:t>Business consults</w:t>
            </w:r>
          </w:p>
          <w:p w14:paraId="3B8FE724"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1AA31264"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survey</w:t>
            </w:r>
          </w:p>
          <w:p w14:paraId="7D0556A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50DA13B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Program documents</w:t>
            </w:r>
          </w:p>
          <w:p w14:paraId="5933459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Q10</w:t>
            </w:r>
          </w:p>
          <w:p w14:paraId="1F01CA90"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ACCC (2019) Country of Origin food labelling guide for businesses</w:t>
            </w:r>
          </w:p>
          <w:p w14:paraId="2A438189" w14:textId="77777777" w:rsidR="00AB528D" w:rsidRPr="00594328" w:rsidRDefault="00AB528D" w:rsidP="00AB528D">
            <w:pPr>
              <w:pStyle w:val="ListBullet"/>
              <w:spacing w:after="120" w:line="240" w:lineRule="auto"/>
              <w:rPr>
                <w:rFonts w:asciiTheme="majorHAnsi" w:hAnsiTheme="majorHAnsi"/>
              </w:rPr>
            </w:pPr>
          </w:p>
        </w:tc>
      </w:tr>
      <w:tr w:rsidR="00AB528D" w14:paraId="173F52CC" w14:textId="77777777" w:rsidTr="00F74862">
        <w:tc>
          <w:tcPr>
            <w:tcW w:w="3008" w:type="dxa"/>
          </w:tcPr>
          <w:p w14:paraId="29D7ACE8" w14:textId="22C4B0D5" w:rsidR="00AB528D" w:rsidRPr="00594328" w:rsidRDefault="00AB528D" w:rsidP="00AB528D">
            <w:pPr>
              <w:pStyle w:val="ListNumber"/>
            </w:pPr>
            <w:r w:rsidRPr="00594328">
              <w:rPr>
                <w:rFonts w:asciiTheme="majorHAnsi" w:hAnsiTheme="majorHAnsi"/>
              </w:rPr>
              <w:t>Did the transition period enable businesses to implement the reforms in an efficient manner, and minimise implementation costs?</w:t>
            </w:r>
          </w:p>
        </w:tc>
        <w:tc>
          <w:tcPr>
            <w:tcW w:w="3229" w:type="dxa"/>
            <w:gridSpan w:val="3"/>
          </w:tcPr>
          <w:p w14:paraId="6EC0AFE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believe that the transition period enabled efficient implementation of reforms</w:t>
            </w:r>
          </w:p>
          <w:p w14:paraId="7128E03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Extent to which businesses would have preferred a longer or shorter transition period in which to implement the reforms</w:t>
            </w:r>
          </w:p>
          <w:p w14:paraId="482DCFAE"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believe that the transition period minimised implementation costs</w:t>
            </w:r>
          </w:p>
          <w:p w14:paraId="2085273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Extent to which businesses would have preferred a longer or shorter transition period in order to further minimise implementation costs</w:t>
            </w:r>
          </w:p>
          <w:p w14:paraId="52111B18" w14:textId="2F3F57FB"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Reviews/evidence indicating the trade-offs associated with longer transition periods</w:t>
            </w:r>
          </w:p>
        </w:tc>
        <w:tc>
          <w:tcPr>
            <w:tcW w:w="2789" w:type="dxa"/>
          </w:tcPr>
          <w:p w14:paraId="2C1F0596"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consults</w:t>
            </w:r>
          </w:p>
          <w:p w14:paraId="3D26175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Government consults</w:t>
            </w:r>
          </w:p>
          <w:p w14:paraId="795977BB"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survey</w:t>
            </w:r>
          </w:p>
          <w:p w14:paraId="7853440E"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2D66C87F"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Q11</w:t>
            </w:r>
          </w:p>
          <w:p w14:paraId="5B2669E8"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Country of Origin Food Labelling Information on Standard 2016</w:t>
            </w:r>
          </w:p>
          <w:p w14:paraId="75494740" w14:textId="77777777" w:rsidR="00AB528D" w:rsidRPr="00594328" w:rsidRDefault="00AB528D" w:rsidP="00F74862">
            <w:pPr>
              <w:pStyle w:val="ListBullet"/>
              <w:numPr>
                <w:ilvl w:val="0"/>
                <w:numId w:val="0"/>
              </w:numPr>
              <w:spacing w:after="120" w:line="240" w:lineRule="auto"/>
              <w:rPr>
                <w:rFonts w:asciiTheme="majorHAnsi" w:hAnsiTheme="majorHAnsi"/>
              </w:rPr>
            </w:pPr>
          </w:p>
        </w:tc>
      </w:tr>
      <w:tr w:rsidR="00AB528D" w14:paraId="5B240F0A" w14:textId="77777777" w:rsidTr="00F74862">
        <w:tc>
          <w:tcPr>
            <w:tcW w:w="3008" w:type="dxa"/>
          </w:tcPr>
          <w:p w14:paraId="217EE76E" w14:textId="6BB9C4D7" w:rsidR="00AB528D" w:rsidRPr="00594328" w:rsidRDefault="00AB528D" w:rsidP="00AB528D">
            <w:pPr>
              <w:pStyle w:val="ListNumber"/>
            </w:pPr>
            <w:r w:rsidRPr="00594328">
              <w:rPr>
                <w:rFonts w:asciiTheme="majorHAnsi" w:hAnsiTheme="majorHAnsi"/>
              </w:rPr>
              <w:t>What were the realised costs to business</w:t>
            </w:r>
            <w:r>
              <w:rPr>
                <w:rFonts w:asciiTheme="majorHAnsi" w:hAnsiTheme="majorHAnsi"/>
              </w:rPr>
              <w:t>es</w:t>
            </w:r>
            <w:r w:rsidRPr="00594328">
              <w:rPr>
                <w:rFonts w:asciiTheme="majorHAnsi" w:hAnsiTheme="majorHAnsi"/>
              </w:rPr>
              <w:t xml:space="preserve"> associated with meeting the new CoOL requirements?</w:t>
            </w:r>
          </w:p>
        </w:tc>
        <w:tc>
          <w:tcPr>
            <w:tcW w:w="3229" w:type="dxa"/>
            <w:gridSpan w:val="3"/>
          </w:tcPr>
          <w:p w14:paraId="50C16AF5"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Reviews/evidence outlining expected compliance costs incurred by businesses </w:t>
            </w:r>
          </w:p>
          <w:p w14:paraId="273126C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 xml:space="preserve">Reviews/evidence outlining actual compliance costs incurred by businesses </w:t>
            </w:r>
          </w:p>
          <w:p w14:paraId="23A957BE"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incurred higher compliance costs than expected</w:t>
            </w:r>
          </w:p>
          <w:p w14:paraId="1C812D79" w14:textId="3297D763" w:rsidR="00AB528D" w:rsidRDefault="00AB528D" w:rsidP="00AB528D">
            <w:pPr>
              <w:pStyle w:val="ListBullet"/>
              <w:spacing w:after="120" w:line="240" w:lineRule="auto"/>
              <w:rPr>
                <w:rFonts w:asciiTheme="majorHAnsi" w:hAnsiTheme="majorHAnsi"/>
              </w:rPr>
            </w:pPr>
            <w:r w:rsidRPr="00594328">
              <w:rPr>
                <w:rFonts w:asciiTheme="majorHAnsi" w:hAnsiTheme="majorHAnsi"/>
                <w:color w:val="000000"/>
              </w:rPr>
              <w:t>Identify key variances</w:t>
            </w:r>
          </w:p>
        </w:tc>
        <w:tc>
          <w:tcPr>
            <w:tcW w:w="2789" w:type="dxa"/>
          </w:tcPr>
          <w:p w14:paraId="062EAFC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consults</w:t>
            </w:r>
          </w:p>
          <w:p w14:paraId="48196132"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Business survey</w:t>
            </w:r>
          </w:p>
          <w:p w14:paraId="10B28C17"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Literature review</w:t>
            </w:r>
          </w:p>
          <w:p w14:paraId="2CB5086D"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Q12</w:t>
            </w:r>
          </w:p>
          <w:p w14:paraId="38110EAC"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2016 RIS Chapter 6 and 2016 CBA</w:t>
            </w:r>
          </w:p>
          <w:p w14:paraId="22BA2B83" w14:textId="77777777" w:rsidR="00AB528D" w:rsidRPr="00594328" w:rsidRDefault="00AB528D" w:rsidP="00F74862">
            <w:pPr>
              <w:pStyle w:val="ListBullet"/>
              <w:numPr>
                <w:ilvl w:val="0"/>
                <w:numId w:val="0"/>
              </w:numPr>
              <w:spacing w:after="120" w:line="240" w:lineRule="auto"/>
              <w:ind w:left="340"/>
              <w:rPr>
                <w:rFonts w:asciiTheme="majorHAnsi" w:hAnsiTheme="majorHAnsi"/>
              </w:rPr>
            </w:pPr>
          </w:p>
        </w:tc>
      </w:tr>
      <w:tr w:rsidR="00AB528D" w14:paraId="0C04909E" w14:textId="77777777" w:rsidTr="00F74862">
        <w:tc>
          <w:tcPr>
            <w:tcW w:w="3008" w:type="dxa"/>
          </w:tcPr>
          <w:p w14:paraId="65341E6D" w14:textId="262CB2F9" w:rsidR="00AB528D" w:rsidRPr="00594328" w:rsidRDefault="00AB528D" w:rsidP="00AB528D">
            <w:pPr>
              <w:pStyle w:val="ListNumber"/>
              <w:rPr>
                <w:rFonts w:asciiTheme="majorHAnsi" w:hAnsiTheme="majorHAnsi"/>
              </w:rPr>
            </w:pPr>
            <w:r w:rsidRPr="00594328">
              <w:rPr>
                <w:rFonts w:asciiTheme="majorHAnsi" w:hAnsiTheme="majorHAnsi"/>
              </w:rPr>
              <w:t>Have food and beverage producers benefited from the increased provision of information to consumers?</w:t>
            </w:r>
          </w:p>
        </w:tc>
        <w:tc>
          <w:tcPr>
            <w:tcW w:w="3229" w:type="dxa"/>
            <w:gridSpan w:val="3"/>
          </w:tcPr>
          <w:p w14:paraId="1BDACF6E" w14:textId="77777777" w:rsidR="00AB528D" w:rsidRPr="00594328" w:rsidRDefault="00AB528D" w:rsidP="00AB528D">
            <w:pPr>
              <w:pStyle w:val="ListBullet"/>
              <w:spacing w:after="120" w:line="240" w:lineRule="auto"/>
              <w:rPr>
                <w:rFonts w:asciiTheme="majorHAnsi" w:hAnsiTheme="majorHAnsi"/>
                <w:color w:val="000000"/>
              </w:rPr>
            </w:pPr>
            <w:r>
              <w:rPr>
                <w:rFonts w:asciiTheme="majorHAnsi" w:hAnsiTheme="majorHAnsi"/>
                <w:color w:val="000000"/>
              </w:rPr>
              <w:t>CBA</w:t>
            </w:r>
          </w:p>
          <w:p w14:paraId="345461B0"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Proportion of businesses that claim to have increased sales in response to providing more origin information to consumers</w:t>
            </w:r>
          </w:p>
          <w:p w14:paraId="1B801FDB" w14:textId="243475A8"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Reviews/evidence outlining sectors or products that appear to have benefited the most</w:t>
            </w:r>
          </w:p>
        </w:tc>
        <w:tc>
          <w:tcPr>
            <w:tcW w:w="2789" w:type="dxa"/>
          </w:tcPr>
          <w:p w14:paraId="0B9263E9"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All excluding program documents</w:t>
            </w:r>
          </w:p>
          <w:p w14:paraId="1D52C963" w14:textId="0A0F85C3"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Discussion paper responses Q13</w:t>
            </w:r>
          </w:p>
        </w:tc>
      </w:tr>
      <w:tr w:rsidR="00AB528D" w14:paraId="73BE006A" w14:textId="77777777" w:rsidTr="00F74862">
        <w:tc>
          <w:tcPr>
            <w:tcW w:w="3008" w:type="dxa"/>
          </w:tcPr>
          <w:p w14:paraId="0777941B" w14:textId="5B22DE83" w:rsidR="00AB528D" w:rsidRPr="00594328" w:rsidRDefault="00AB528D" w:rsidP="00AB528D">
            <w:pPr>
              <w:pStyle w:val="ListNumber"/>
              <w:numPr>
                <w:ilvl w:val="0"/>
                <w:numId w:val="0"/>
              </w:numPr>
              <w:ind w:left="340" w:hanging="340"/>
              <w:rPr>
                <w:rFonts w:asciiTheme="majorHAnsi" w:hAnsiTheme="majorHAnsi"/>
              </w:rPr>
            </w:pPr>
            <w:r w:rsidRPr="00E53797">
              <w:rPr>
                <w:rFonts w:asciiTheme="majorHAnsi" w:hAnsiTheme="majorHAnsi"/>
                <w:b/>
              </w:rPr>
              <w:t>Lessons learned</w:t>
            </w:r>
          </w:p>
        </w:tc>
        <w:tc>
          <w:tcPr>
            <w:tcW w:w="3229" w:type="dxa"/>
            <w:gridSpan w:val="3"/>
          </w:tcPr>
          <w:p w14:paraId="1179756D" w14:textId="77777777" w:rsidR="00AB528D" w:rsidRDefault="00AB528D" w:rsidP="00F74862">
            <w:pPr>
              <w:pStyle w:val="ListBullet"/>
              <w:numPr>
                <w:ilvl w:val="0"/>
                <w:numId w:val="0"/>
              </w:numPr>
              <w:spacing w:after="120" w:line="240" w:lineRule="auto"/>
              <w:ind w:left="340"/>
              <w:rPr>
                <w:rFonts w:asciiTheme="majorHAnsi" w:hAnsiTheme="majorHAnsi"/>
                <w:color w:val="000000"/>
              </w:rPr>
            </w:pPr>
          </w:p>
        </w:tc>
        <w:tc>
          <w:tcPr>
            <w:tcW w:w="2789" w:type="dxa"/>
          </w:tcPr>
          <w:p w14:paraId="7B9A911D" w14:textId="77777777" w:rsidR="00AB528D" w:rsidRPr="00594328" w:rsidRDefault="00AB528D" w:rsidP="00F74862">
            <w:pPr>
              <w:pStyle w:val="ListBullet"/>
              <w:numPr>
                <w:ilvl w:val="0"/>
                <w:numId w:val="0"/>
              </w:numPr>
              <w:spacing w:after="120" w:line="240" w:lineRule="auto"/>
              <w:ind w:left="340"/>
              <w:rPr>
                <w:rFonts w:asciiTheme="majorHAnsi" w:hAnsiTheme="majorHAnsi"/>
                <w:color w:val="000000"/>
              </w:rPr>
            </w:pPr>
          </w:p>
        </w:tc>
      </w:tr>
      <w:tr w:rsidR="00AB528D" w14:paraId="2869DCCC" w14:textId="77777777" w:rsidTr="00F74862">
        <w:tc>
          <w:tcPr>
            <w:tcW w:w="3008" w:type="dxa"/>
          </w:tcPr>
          <w:p w14:paraId="62E3D2D2" w14:textId="1ED713C9" w:rsidR="00AB528D" w:rsidRPr="00E53797" w:rsidRDefault="00AB528D" w:rsidP="00AB528D">
            <w:pPr>
              <w:pStyle w:val="ListNumber"/>
              <w:rPr>
                <w:b/>
              </w:rPr>
            </w:pPr>
            <w:r w:rsidRPr="00594328">
              <w:t>What lessons can be drawn from the program to improve the efficiency or effectiveness of future initiatives?</w:t>
            </w:r>
          </w:p>
        </w:tc>
        <w:tc>
          <w:tcPr>
            <w:tcW w:w="3229" w:type="dxa"/>
            <w:gridSpan w:val="3"/>
          </w:tcPr>
          <w:p w14:paraId="3C1ECF3A" w14:textId="77777777"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color w:val="000000"/>
              </w:rPr>
              <w:t>Reviews/evidence outlining potential improvements to the program</w:t>
            </w:r>
          </w:p>
          <w:p w14:paraId="591BB41B" w14:textId="0500A94F" w:rsidR="00AB528D" w:rsidRDefault="00AB528D" w:rsidP="00AB528D">
            <w:pPr>
              <w:pStyle w:val="ListBullet"/>
              <w:spacing w:after="120" w:line="240" w:lineRule="auto"/>
              <w:rPr>
                <w:rFonts w:asciiTheme="majorHAnsi" w:hAnsiTheme="majorHAnsi"/>
                <w:color w:val="000000"/>
              </w:rPr>
            </w:pPr>
            <w:r>
              <w:rPr>
                <w:rFonts w:asciiTheme="majorHAnsi" w:hAnsiTheme="majorHAnsi"/>
                <w:color w:val="000000"/>
              </w:rPr>
              <w:t>CBA</w:t>
            </w:r>
          </w:p>
        </w:tc>
        <w:tc>
          <w:tcPr>
            <w:tcW w:w="2789" w:type="dxa"/>
          </w:tcPr>
          <w:p w14:paraId="16D94647" w14:textId="056BE8E3" w:rsidR="00AB528D" w:rsidRPr="00594328" w:rsidRDefault="00AB528D" w:rsidP="00AB528D">
            <w:pPr>
              <w:pStyle w:val="ListBullet"/>
              <w:spacing w:after="120" w:line="240" w:lineRule="auto"/>
              <w:rPr>
                <w:rFonts w:asciiTheme="majorHAnsi" w:hAnsiTheme="majorHAnsi"/>
                <w:color w:val="000000"/>
              </w:rPr>
            </w:pPr>
            <w:r w:rsidRPr="00594328">
              <w:rPr>
                <w:rFonts w:asciiTheme="majorHAnsi" w:hAnsiTheme="majorHAnsi"/>
              </w:rPr>
              <w:t>All sources</w:t>
            </w:r>
          </w:p>
        </w:tc>
      </w:tr>
    </w:tbl>
    <w:p w14:paraId="104D3EA2" w14:textId="6BEAAEA4" w:rsidR="00BF2E58" w:rsidRPr="00E53797" w:rsidRDefault="00BF2E58" w:rsidP="00E53797">
      <w:pPr>
        <w:pStyle w:val="Caption"/>
        <w:rPr>
          <w:sz w:val="14"/>
          <w:szCs w:val="14"/>
        </w:rPr>
      </w:pPr>
      <w:r w:rsidRPr="00E53797">
        <w:rPr>
          <w:sz w:val="14"/>
          <w:szCs w:val="14"/>
        </w:rPr>
        <w:t xml:space="preserve">Note: Where additional program documents are provided to Deloitte, these would be analysed in detail to determine their capacity to inform evaluation, which may extend the number of questions that may be informed by ‘Program documents’. </w:t>
      </w:r>
    </w:p>
    <w:p w14:paraId="250206A9" w14:textId="2DD198F4" w:rsidR="004D3C53" w:rsidRDefault="00C92F1E" w:rsidP="00F95EA1">
      <w:pPr>
        <w:pStyle w:val="Appendixhead1"/>
        <w:outlineLvl w:val="0"/>
        <w:rPr>
          <w:lang w:eastAsia="en-AU"/>
        </w:rPr>
      </w:pPr>
      <w:bookmarkStart w:id="713" w:name="_Toc67499163"/>
      <w:bookmarkStart w:id="714" w:name="_Ref72180279"/>
      <w:bookmarkStart w:id="715" w:name="_Ref72180325"/>
      <w:bookmarkStart w:id="716" w:name="_Ref72180360"/>
      <w:bookmarkStart w:id="717" w:name="_Toc94702078"/>
      <w:r>
        <w:rPr>
          <w:lang w:eastAsia="en-AU"/>
        </w:rPr>
        <w:lastRenderedPageBreak/>
        <w:t xml:space="preserve">Program logic and </w:t>
      </w:r>
      <w:bookmarkEnd w:id="713"/>
      <w:r>
        <w:rPr>
          <w:lang w:eastAsia="en-AU"/>
        </w:rPr>
        <w:t>approach</w:t>
      </w:r>
      <w:bookmarkEnd w:id="714"/>
      <w:bookmarkEnd w:id="715"/>
      <w:bookmarkEnd w:id="716"/>
      <w:bookmarkEnd w:id="717"/>
    </w:p>
    <w:p w14:paraId="59C6492D" w14:textId="77777777" w:rsidR="005E1E7B" w:rsidRDefault="005E1E7B" w:rsidP="005E1E7B">
      <w:pPr>
        <w:rPr>
          <w:lang w:eastAsia="en-AU"/>
        </w:rPr>
      </w:pPr>
    </w:p>
    <w:p w14:paraId="041E0C89" w14:textId="24AE36BD" w:rsidR="00016786" w:rsidRDefault="00016786" w:rsidP="00016786">
      <w:pPr>
        <w:pStyle w:val="NoSpacing"/>
      </w:pPr>
      <w:bookmarkStart w:id="718" w:name="_Toc66397469"/>
      <w:bookmarkEnd w:id="718"/>
      <w:r>
        <w:t xml:space="preserve">The following section contains further information on the various streams of evidence collected (to inform the evaluation framework) with regard to their potential limitations and sample. </w:t>
      </w:r>
    </w:p>
    <w:p w14:paraId="2F8E094F" w14:textId="77777777" w:rsidR="00C92F1E" w:rsidRDefault="00C92F1E" w:rsidP="00F95EA1">
      <w:pPr>
        <w:pStyle w:val="Appendixhead2"/>
        <w:ind w:left="794" w:hanging="794"/>
        <w:outlineLvl w:val="1"/>
      </w:pPr>
      <w:bookmarkStart w:id="719" w:name="_Toc72396602"/>
      <w:bookmarkStart w:id="720" w:name="_Toc94702079"/>
      <w:r>
        <w:t>Program logic</w:t>
      </w:r>
      <w:bookmarkEnd w:id="719"/>
      <w:bookmarkEnd w:id="720"/>
    </w:p>
    <w:p w14:paraId="7707DC82" w14:textId="3B834508" w:rsidR="00C92F1E" w:rsidRPr="008340D7" w:rsidRDefault="00C92F1E" w:rsidP="00C92F1E">
      <w:pPr>
        <w:spacing w:after="120"/>
        <w:rPr>
          <w:rFonts w:asciiTheme="majorHAnsi" w:hAnsiTheme="majorHAnsi"/>
        </w:rPr>
      </w:pPr>
      <w:r w:rsidRPr="00E53797">
        <w:rPr>
          <w:rFonts w:asciiTheme="majorHAnsi" w:hAnsiTheme="majorHAnsi"/>
        </w:rPr>
        <w:t>The program logic</w:t>
      </w:r>
      <w:r>
        <w:rPr>
          <w:rFonts w:asciiTheme="majorHAnsi" w:hAnsiTheme="majorHAnsi"/>
        </w:rPr>
        <w:t xml:space="preserve"> </w:t>
      </w:r>
      <w:r w:rsidRPr="00E53797">
        <w:rPr>
          <w:rFonts w:asciiTheme="majorHAnsi" w:hAnsiTheme="majorHAnsi"/>
        </w:rPr>
        <w:t>sets out the theory of cause and effect</w:t>
      </w:r>
      <w:r>
        <w:rPr>
          <w:rFonts w:asciiTheme="majorHAnsi" w:hAnsiTheme="majorHAnsi"/>
        </w:rPr>
        <w:t xml:space="preserve"> for the CoOL scheme, linking program inputs, outputs and outcomes</w:t>
      </w:r>
      <w:r w:rsidRPr="00E53797">
        <w:rPr>
          <w:rFonts w:asciiTheme="majorHAnsi" w:hAnsiTheme="majorHAnsi"/>
        </w:rPr>
        <w:t xml:space="preserve">. The </w:t>
      </w:r>
      <w:r>
        <w:rPr>
          <w:rFonts w:asciiTheme="majorHAnsi" w:hAnsiTheme="majorHAnsi"/>
        </w:rPr>
        <w:t xml:space="preserve">intended </w:t>
      </w:r>
      <w:r w:rsidRPr="00E53797">
        <w:rPr>
          <w:rFonts w:asciiTheme="majorHAnsi" w:hAnsiTheme="majorHAnsi"/>
        </w:rPr>
        <w:t xml:space="preserve">outcomes </w:t>
      </w:r>
      <w:r>
        <w:rPr>
          <w:rFonts w:asciiTheme="majorHAnsi" w:hAnsiTheme="majorHAnsi"/>
        </w:rPr>
        <w:t>inform the indicators of performance on the cost and benefit side for stakeholders (consumers, business and government) and guide the evaluation of the reform’s effectiveness</w:t>
      </w:r>
      <w:r w:rsidRPr="00E53797">
        <w:rPr>
          <w:rFonts w:asciiTheme="majorHAnsi" w:hAnsiTheme="majorHAnsi"/>
        </w:rPr>
        <w:t xml:space="preserve">. </w:t>
      </w:r>
    </w:p>
    <w:p w14:paraId="03A36C01" w14:textId="3B50DCE0" w:rsidR="00C92F1E" w:rsidRPr="0003630B" w:rsidRDefault="00EE479C" w:rsidP="00F95EA1">
      <w:pPr>
        <w:pStyle w:val="AppendixChartCaption"/>
        <w:outlineLvl w:val="9"/>
        <w:rPr>
          <w:color w:val="75787B" w:themeColor="accent6"/>
        </w:rPr>
      </w:pPr>
      <w:bookmarkStart w:id="721" w:name="_Toc82590378"/>
      <w:r w:rsidRPr="0071405B">
        <w:t xml:space="preserve">: </w:t>
      </w:r>
      <w:r w:rsidR="00C92F1E" w:rsidRPr="0071405B">
        <w:t>Input, activity, output and outcomes across time horizon</w:t>
      </w:r>
      <w:bookmarkEnd w:id="721"/>
      <w:r w:rsidR="00C92F1E" w:rsidRPr="0071405B">
        <w:t xml:space="preserve"> </w:t>
      </w:r>
    </w:p>
    <w:p w14:paraId="34DFAAA7" w14:textId="17C0AC6B" w:rsidR="00993483" w:rsidRDefault="00993483" w:rsidP="00C92F1E">
      <w:pPr>
        <w:pStyle w:val="Caption"/>
        <w:spacing w:before="0" w:after="0" w:line="240" w:lineRule="auto"/>
        <w:rPr>
          <w:sz w:val="14"/>
          <w:szCs w:val="14"/>
        </w:rPr>
      </w:pPr>
      <w:r w:rsidRPr="00993483">
        <w:rPr>
          <w:noProof/>
          <w:lang w:eastAsia="en-AU"/>
        </w:rPr>
        <w:drawing>
          <wp:inline distT="0" distB="0" distL="0" distR="0" wp14:anchorId="2146821C" wp14:editId="33581CA0">
            <wp:extent cx="5731510" cy="4450080"/>
            <wp:effectExtent l="0" t="0" r="2540" b="7620"/>
            <wp:docPr id="25" name="Picture 25" descr="This figure outlines the program logic, including the program inputs, activities, outputs and short medium and long term outcomes for consumers and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figure outlines the program logic, including the program inputs, activities, outputs and short medium and long term outcomes for consumers and business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4450080"/>
                    </a:xfrm>
                    <a:prstGeom prst="rect">
                      <a:avLst/>
                    </a:prstGeom>
                    <a:noFill/>
                    <a:ln>
                      <a:noFill/>
                    </a:ln>
                  </pic:spPr>
                </pic:pic>
              </a:graphicData>
            </a:graphic>
          </wp:inline>
        </w:drawing>
      </w:r>
    </w:p>
    <w:p w14:paraId="6C563392" w14:textId="04546627" w:rsidR="00C92F1E" w:rsidRPr="00E53797" w:rsidRDefault="00C92F1E" w:rsidP="00C92F1E">
      <w:pPr>
        <w:pStyle w:val="Caption"/>
        <w:spacing w:before="0" w:after="0" w:line="240" w:lineRule="auto"/>
        <w:rPr>
          <w:sz w:val="14"/>
          <w:szCs w:val="14"/>
        </w:rPr>
      </w:pPr>
      <w:r w:rsidRPr="00E53797">
        <w:rPr>
          <w:sz w:val="14"/>
          <w:szCs w:val="14"/>
        </w:rPr>
        <w:t xml:space="preserve">Source: </w:t>
      </w:r>
      <w:r>
        <w:rPr>
          <w:sz w:val="14"/>
          <w:szCs w:val="14"/>
        </w:rPr>
        <w:t>DISER</w:t>
      </w:r>
      <w:r w:rsidRPr="00E53797">
        <w:rPr>
          <w:sz w:val="14"/>
          <w:szCs w:val="14"/>
        </w:rPr>
        <w:t xml:space="preserve"> program logic.</w:t>
      </w:r>
    </w:p>
    <w:p w14:paraId="5E3843CD" w14:textId="77777777" w:rsidR="00C92F1E" w:rsidRDefault="00C92F1E" w:rsidP="00971CC8">
      <w:pPr>
        <w:pStyle w:val="NoSpacing"/>
      </w:pPr>
    </w:p>
    <w:p w14:paraId="3167CB56" w14:textId="77777777" w:rsidR="00F8326B" w:rsidRDefault="00852051" w:rsidP="00F95EA1">
      <w:pPr>
        <w:pStyle w:val="Appendixhead2"/>
        <w:ind w:left="794" w:hanging="794"/>
        <w:outlineLvl w:val="1"/>
      </w:pPr>
      <w:bookmarkStart w:id="722" w:name="_Toc67499164"/>
      <w:bookmarkStart w:id="723" w:name="_Toc68096435"/>
      <w:bookmarkStart w:id="724" w:name="_Toc72396603"/>
      <w:bookmarkStart w:id="725" w:name="_Toc94702080"/>
      <w:r>
        <w:t>S</w:t>
      </w:r>
      <w:r w:rsidR="00F8326B">
        <w:t>ubmissions</w:t>
      </w:r>
      <w:bookmarkEnd w:id="722"/>
      <w:bookmarkEnd w:id="723"/>
      <w:bookmarkEnd w:id="724"/>
      <w:bookmarkEnd w:id="725"/>
    </w:p>
    <w:p w14:paraId="75F062E7" w14:textId="5D7C9AE2" w:rsidR="00F8326B" w:rsidRPr="00B07E65" w:rsidRDefault="00F1082A" w:rsidP="00F8326B">
      <w:pPr>
        <w:rPr>
          <w:rFonts w:asciiTheme="majorHAnsi" w:hAnsiTheme="majorHAnsi"/>
        </w:rPr>
      </w:pPr>
      <w:r>
        <w:rPr>
          <w:rFonts w:asciiTheme="majorHAnsi" w:hAnsiTheme="majorHAnsi"/>
        </w:rPr>
        <w:t>F</w:t>
      </w:r>
      <w:r w:rsidR="008F6389">
        <w:rPr>
          <w:rFonts w:asciiTheme="majorHAnsi" w:hAnsiTheme="majorHAnsi"/>
        </w:rPr>
        <w:t>ollowing the launch of this</w:t>
      </w:r>
      <w:r w:rsidR="006222CE">
        <w:rPr>
          <w:rFonts w:asciiTheme="majorHAnsi" w:hAnsiTheme="majorHAnsi"/>
        </w:rPr>
        <w:t xml:space="preserve"> evaluation</w:t>
      </w:r>
      <w:r>
        <w:rPr>
          <w:rFonts w:asciiTheme="majorHAnsi" w:hAnsiTheme="majorHAnsi"/>
        </w:rPr>
        <w:t xml:space="preserve"> on 31 July 2020</w:t>
      </w:r>
      <w:r w:rsidR="00B972D2">
        <w:rPr>
          <w:rFonts w:asciiTheme="majorHAnsi" w:hAnsiTheme="majorHAnsi"/>
        </w:rPr>
        <w:t xml:space="preserve">, </w:t>
      </w:r>
      <w:r w:rsidR="008F6389">
        <w:rPr>
          <w:rFonts w:asciiTheme="majorHAnsi" w:hAnsiTheme="majorHAnsi"/>
        </w:rPr>
        <w:t>DISER</w:t>
      </w:r>
      <w:r w:rsidR="00A17933">
        <w:rPr>
          <w:rFonts w:asciiTheme="majorHAnsi" w:hAnsiTheme="majorHAnsi"/>
        </w:rPr>
        <w:t xml:space="preserve"> released a discussion paper</w:t>
      </w:r>
      <w:r>
        <w:rPr>
          <w:rFonts w:asciiTheme="majorHAnsi" w:hAnsiTheme="majorHAnsi"/>
        </w:rPr>
        <w:t xml:space="preserve"> and</w:t>
      </w:r>
      <w:r w:rsidR="008F6389">
        <w:rPr>
          <w:rFonts w:asciiTheme="majorHAnsi" w:hAnsiTheme="majorHAnsi"/>
        </w:rPr>
        <w:t xml:space="preserve"> invited</w:t>
      </w:r>
      <w:r>
        <w:rPr>
          <w:rFonts w:asciiTheme="majorHAnsi" w:hAnsiTheme="majorHAnsi"/>
        </w:rPr>
        <w:t xml:space="preserve"> responses from</w:t>
      </w:r>
      <w:r w:rsidR="008F6389">
        <w:rPr>
          <w:rFonts w:asciiTheme="majorHAnsi" w:hAnsiTheme="majorHAnsi"/>
        </w:rPr>
        <w:t xml:space="preserve"> </w:t>
      </w:r>
      <w:r w:rsidR="00B972D2">
        <w:rPr>
          <w:rFonts w:asciiTheme="majorHAnsi" w:hAnsiTheme="majorHAnsi"/>
        </w:rPr>
        <w:t>i</w:t>
      </w:r>
      <w:r w:rsidR="00F8326B" w:rsidRPr="00E53797">
        <w:rPr>
          <w:rFonts w:asciiTheme="majorHAnsi" w:hAnsiTheme="majorHAnsi"/>
        </w:rPr>
        <w:t>ndustry</w:t>
      </w:r>
      <w:r w:rsidR="008E507B">
        <w:rPr>
          <w:rFonts w:asciiTheme="majorHAnsi" w:hAnsiTheme="majorHAnsi"/>
        </w:rPr>
        <w:t>,</w:t>
      </w:r>
      <w:r w:rsidR="00F8326B" w:rsidRPr="00E53797">
        <w:rPr>
          <w:rFonts w:asciiTheme="majorHAnsi" w:hAnsiTheme="majorHAnsi"/>
        </w:rPr>
        <w:t xml:space="preserve"> consumer bodies</w:t>
      </w:r>
      <w:r w:rsidR="008E507B">
        <w:rPr>
          <w:rFonts w:asciiTheme="majorHAnsi" w:hAnsiTheme="majorHAnsi"/>
        </w:rPr>
        <w:t xml:space="preserve"> and consumers</w:t>
      </w:r>
      <w:r w:rsidR="00F8326B" w:rsidRPr="00E53797">
        <w:rPr>
          <w:rFonts w:asciiTheme="majorHAnsi" w:hAnsiTheme="majorHAnsi"/>
        </w:rPr>
        <w:t xml:space="preserve">. </w:t>
      </w:r>
      <w:r w:rsidR="00F8326B" w:rsidRPr="006C300D">
        <w:rPr>
          <w:rFonts w:asciiTheme="majorHAnsi" w:hAnsiTheme="majorHAnsi"/>
        </w:rPr>
        <w:t xml:space="preserve">The majority of the submissions </w:t>
      </w:r>
      <w:r w:rsidR="003D442D">
        <w:rPr>
          <w:rFonts w:asciiTheme="majorHAnsi" w:hAnsiTheme="majorHAnsi"/>
        </w:rPr>
        <w:t>made</w:t>
      </w:r>
      <w:r w:rsidR="00F8326B" w:rsidRPr="006C300D">
        <w:rPr>
          <w:rFonts w:asciiTheme="majorHAnsi" w:hAnsiTheme="majorHAnsi"/>
        </w:rPr>
        <w:t xml:space="preserve"> were by industry members</w:t>
      </w:r>
      <w:r w:rsidR="005F536E">
        <w:rPr>
          <w:rFonts w:asciiTheme="majorHAnsi" w:hAnsiTheme="majorHAnsi"/>
        </w:rPr>
        <w:t>,</w:t>
      </w:r>
      <w:r w:rsidR="00F8326B" w:rsidRPr="006C300D">
        <w:rPr>
          <w:rFonts w:asciiTheme="majorHAnsi" w:hAnsiTheme="majorHAnsi"/>
        </w:rPr>
        <w:t xml:space="preserve"> including retailers and manufacturers. This was followed by </w:t>
      </w:r>
      <w:r w:rsidR="00F8326B" w:rsidRPr="006C300D">
        <w:rPr>
          <w:rFonts w:asciiTheme="majorHAnsi" w:hAnsiTheme="majorHAnsi"/>
        </w:rPr>
        <w:lastRenderedPageBreak/>
        <w:t>consumer groups</w:t>
      </w:r>
      <w:r w:rsidR="005F536E">
        <w:rPr>
          <w:rFonts w:asciiTheme="majorHAnsi" w:hAnsiTheme="majorHAnsi"/>
        </w:rPr>
        <w:t>,</w:t>
      </w:r>
      <w:r w:rsidR="00F8326B" w:rsidRPr="006C300D">
        <w:rPr>
          <w:rFonts w:asciiTheme="majorHAnsi" w:hAnsiTheme="majorHAnsi"/>
        </w:rPr>
        <w:t xml:space="preserve"> such as CHOICE and CFA. The lowest number of submissions w</w:t>
      </w:r>
      <w:r w:rsidR="00661D0E">
        <w:rPr>
          <w:rFonts w:asciiTheme="majorHAnsi" w:hAnsiTheme="majorHAnsi"/>
        </w:rPr>
        <w:t>ere</w:t>
      </w:r>
      <w:r w:rsidR="00F8326B" w:rsidRPr="006C300D">
        <w:rPr>
          <w:rFonts w:asciiTheme="majorHAnsi" w:hAnsiTheme="majorHAnsi"/>
        </w:rPr>
        <w:t xml:space="preserve"> received by independent consumers.</w:t>
      </w:r>
      <w:r w:rsidR="00F8326B" w:rsidRPr="00B07E65">
        <w:rPr>
          <w:rFonts w:asciiTheme="majorHAnsi" w:hAnsiTheme="majorHAnsi"/>
        </w:rPr>
        <w:t xml:space="preserve"> </w:t>
      </w:r>
    </w:p>
    <w:p w14:paraId="220F2EC2" w14:textId="77777777" w:rsidR="00852051" w:rsidRPr="006C300D" w:rsidRDefault="00852051" w:rsidP="00F95EA1">
      <w:pPr>
        <w:pStyle w:val="Appendixhead3"/>
        <w:outlineLvl w:val="2"/>
      </w:pPr>
      <w:bookmarkStart w:id="726" w:name="_Toc67499165"/>
      <w:r w:rsidRPr="006C300D">
        <w:t>Potential limitations</w:t>
      </w:r>
      <w:r>
        <w:t xml:space="preserve">: </w:t>
      </w:r>
      <w:r w:rsidRPr="006C300D">
        <w:t>submissions</w:t>
      </w:r>
      <w:bookmarkEnd w:id="726"/>
    </w:p>
    <w:p w14:paraId="3B817F40" w14:textId="77777777" w:rsidR="00F8326B" w:rsidRPr="00E53797" w:rsidRDefault="00F8326B" w:rsidP="00F8326B">
      <w:pPr>
        <w:rPr>
          <w:rFonts w:asciiTheme="majorHAnsi" w:hAnsiTheme="majorHAnsi"/>
        </w:rPr>
      </w:pPr>
      <w:r w:rsidRPr="006C300D">
        <w:rPr>
          <w:rFonts w:asciiTheme="majorHAnsi" w:hAnsiTheme="majorHAnsi"/>
        </w:rPr>
        <w:t xml:space="preserve">A potential limitation of this stream of information is selection bias, leading to a risk of placing undue emphasis on the issues raised, where independent consumers are more likely to make a submission if they have a negative view of the </w:t>
      </w:r>
      <w:r w:rsidR="00E670FE">
        <w:rPr>
          <w:rFonts w:asciiTheme="majorHAnsi" w:hAnsiTheme="majorHAnsi"/>
        </w:rPr>
        <w:t>scheme</w:t>
      </w:r>
      <w:r w:rsidRPr="006C300D">
        <w:rPr>
          <w:rFonts w:asciiTheme="majorHAnsi" w:hAnsiTheme="majorHAnsi"/>
        </w:rPr>
        <w:t>. This limitation was resolved by weighting the consumer responses against other streams of information provided.</w:t>
      </w:r>
      <w:r w:rsidRPr="00E53797">
        <w:rPr>
          <w:rFonts w:asciiTheme="majorHAnsi" w:hAnsiTheme="majorHAnsi"/>
        </w:rPr>
        <w:t xml:space="preserve">  </w:t>
      </w:r>
    </w:p>
    <w:p w14:paraId="71FB8B9F" w14:textId="77777777" w:rsidR="00B07E65" w:rsidRPr="006C300D" w:rsidRDefault="00852051" w:rsidP="00F95EA1">
      <w:pPr>
        <w:pStyle w:val="Appendixhead2"/>
        <w:ind w:left="794" w:hanging="794"/>
        <w:outlineLvl w:val="1"/>
      </w:pPr>
      <w:bookmarkStart w:id="727" w:name="_Toc67499166"/>
      <w:bookmarkStart w:id="728" w:name="_Toc68096436"/>
      <w:bookmarkStart w:id="729" w:name="_Toc72396604"/>
      <w:bookmarkStart w:id="730" w:name="_Toc94702081"/>
      <w:r w:rsidRPr="006C300D">
        <w:t>Consumer survey</w:t>
      </w:r>
      <w:bookmarkEnd w:id="727"/>
      <w:bookmarkEnd w:id="728"/>
      <w:bookmarkEnd w:id="729"/>
      <w:bookmarkEnd w:id="730"/>
      <w:r w:rsidR="00C84BD9" w:rsidRPr="006C300D">
        <w:t xml:space="preserve"> </w:t>
      </w:r>
    </w:p>
    <w:p w14:paraId="3CED8224" w14:textId="104EA78C" w:rsidR="00E65155" w:rsidRDefault="001D2C8F" w:rsidP="001D2C8F">
      <w:pPr>
        <w:spacing w:after="120"/>
        <w:rPr>
          <w:rFonts w:asciiTheme="majorHAnsi" w:hAnsiTheme="majorHAnsi"/>
        </w:rPr>
      </w:pPr>
      <w:r w:rsidRPr="00E53797">
        <w:rPr>
          <w:rFonts w:asciiTheme="majorHAnsi" w:hAnsiTheme="majorHAnsi"/>
        </w:rPr>
        <w:t>The survey included 46 questions primarily related to the evaluation questions and consumer</w:t>
      </w:r>
      <w:r w:rsidR="002D2C02">
        <w:rPr>
          <w:rFonts w:asciiTheme="majorHAnsi" w:hAnsiTheme="majorHAnsi"/>
        </w:rPr>
        <w:t>s’</w:t>
      </w:r>
      <w:r w:rsidRPr="00E53797">
        <w:rPr>
          <w:rFonts w:asciiTheme="majorHAnsi" w:hAnsiTheme="majorHAnsi"/>
        </w:rPr>
        <w:t xml:space="preserve"> </w:t>
      </w:r>
      <w:r w:rsidR="00A6765C">
        <w:rPr>
          <w:rFonts w:asciiTheme="majorHAnsi" w:hAnsiTheme="majorHAnsi"/>
        </w:rPr>
        <w:t>WTP</w:t>
      </w:r>
      <w:r w:rsidRPr="00E53797">
        <w:rPr>
          <w:rFonts w:asciiTheme="majorHAnsi" w:hAnsiTheme="majorHAnsi"/>
        </w:rPr>
        <w:t xml:space="preserve"> (to inform the </w:t>
      </w:r>
      <w:r>
        <w:rPr>
          <w:rFonts w:asciiTheme="majorHAnsi" w:hAnsiTheme="majorHAnsi"/>
        </w:rPr>
        <w:t>CBA</w:t>
      </w:r>
      <w:r w:rsidRPr="00E53797">
        <w:rPr>
          <w:rFonts w:asciiTheme="majorHAnsi" w:hAnsiTheme="majorHAnsi"/>
        </w:rPr>
        <w:t xml:space="preserve">). </w:t>
      </w:r>
      <w:r w:rsidR="00E65155" w:rsidRPr="00587424">
        <w:rPr>
          <w:rFonts w:asciiTheme="majorHAnsi" w:hAnsiTheme="majorHAnsi"/>
        </w:rPr>
        <w:t>Free text responses enabled consumers to elaborate.</w:t>
      </w:r>
      <w:r w:rsidR="00682293">
        <w:rPr>
          <w:rFonts w:asciiTheme="majorHAnsi" w:hAnsiTheme="majorHAnsi"/>
        </w:rPr>
        <w:t xml:space="preserve"> </w:t>
      </w:r>
      <w:r w:rsidR="007D6420" w:rsidRPr="007D6420">
        <w:rPr>
          <w:rFonts w:asciiTheme="majorHAnsi" w:hAnsiTheme="majorHAnsi"/>
        </w:rPr>
        <w:t xml:space="preserve">The survey was launched in December 2020 and open for one week. </w:t>
      </w:r>
    </w:p>
    <w:p w14:paraId="47B7B080" w14:textId="77777777" w:rsidR="00F67BBC" w:rsidRDefault="00F67BBC" w:rsidP="00F67BBC">
      <w:pPr>
        <w:spacing w:after="120"/>
        <w:rPr>
          <w:rFonts w:asciiTheme="majorHAnsi" w:hAnsiTheme="majorHAnsi"/>
        </w:rPr>
      </w:pPr>
      <w:r>
        <w:rPr>
          <w:rFonts w:asciiTheme="majorHAnsi" w:hAnsiTheme="majorHAnsi"/>
        </w:rPr>
        <w:t xml:space="preserve">The </w:t>
      </w:r>
      <w:r w:rsidRPr="00E53797">
        <w:rPr>
          <w:rFonts w:asciiTheme="majorHAnsi" w:hAnsiTheme="majorHAnsi"/>
        </w:rPr>
        <w:t xml:space="preserve">consumer (and business) survey data </w:t>
      </w:r>
      <w:r>
        <w:rPr>
          <w:rFonts w:asciiTheme="majorHAnsi" w:hAnsiTheme="majorHAnsi"/>
        </w:rPr>
        <w:t xml:space="preserve">was cleansed </w:t>
      </w:r>
      <w:r w:rsidRPr="00E53797">
        <w:rPr>
          <w:rFonts w:asciiTheme="majorHAnsi" w:hAnsiTheme="majorHAnsi"/>
        </w:rPr>
        <w:t>to remove any invalid responses (e.g. fast completion times, nonsensical answers). Where it was obvious, any duplicate responses</w:t>
      </w:r>
      <w:r>
        <w:rPr>
          <w:rFonts w:asciiTheme="majorHAnsi" w:hAnsiTheme="majorHAnsi"/>
        </w:rPr>
        <w:t xml:space="preserve"> were removed</w:t>
      </w:r>
      <w:r w:rsidRPr="00E53797">
        <w:rPr>
          <w:rFonts w:asciiTheme="majorHAnsi" w:hAnsiTheme="majorHAnsi"/>
        </w:rPr>
        <w:t>.</w:t>
      </w:r>
    </w:p>
    <w:p w14:paraId="7EDE610A" w14:textId="0C1BF7C8" w:rsidR="00E07C0B" w:rsidRPr="00E07C0B" w:rsidRDefault="00E07C0B" w:rsidP="00F67BBC">
      <w:pPr>
        <w:spacing w:after="120"/>
        <w:rPr>
          <w:rFonts w:asciiTheme="majorHAnsi" w:hAnsiTheme="majorHAnsi"/>
        </w:rPr>
      </w:pPr>
      <w:r w:rsidRPr="00AD1032">
        <w:rPr>
          <w:rFonts w:asciiTheme="majorHAnsi" w:hAnsiTheme="majorHAnsi"/>
        </w:rPr>
        <w:t xml:space="preserve">Information was provided </w:t>
      </w:r>
      <w:r>
        <w:rPr>
          <w:rFonts w:asciiTheme="majorHAnsi" w:hAnsiTheme="majorHAnsi"/>
        </w:rPr>
        <w:t xml:space="preserve">to consumers at the time of the survey </w:t>
      </w:r>
      <w:r w:rsidRPr="00AD1032">
        <w:rPr>
          <w:rFonts w:asciiTheme="majorHAnsi" w:hAnsiTheme="majorHAnsi"/>
        </w:rPr>
        <w:t xml:space="preserve">prior to </w:t>
      </w:r>
      <w:r>
        <w:rPr>
          <w:rFonts w:asciiTheme="majorHAnsi" w:hAnsiTheme="majorHAnsi"/>
        </w:rPr>
        <w:t>the</w:t>
      </w:r>
      <w:r w:rsidRPr="00AD1032">
        <w:rPr>
          <w:rFonts w:asciiTheme="majorHAnsi" w:hAnsiTheme="majorHAnsi"/>
        </w:rPr>
        <w:t xml:space="preserve"> questions </w:t>
      </w:r>
      <w:r>
        <w:rPr>
          <w:rFonts w:asciiTheme="majorHAnsi" w:hAnsiTheme="majorHAnsi"/>
        </w:rPr>
        <w:t xml:space="preserve">for </w:t>
      </w:r>
      <w:r w:rsidRPr="00AD1032">
        <w:rPr>
          <w:rFonts w:asciiTheme="majorHAnsi" w:hAnsiTheme="majorHAnsi"/>
        </w:rPr>
        <w:t>satisfaction with the labelling elements or scheme design</w:t>
      </w:r>
      <w:r>
        <w:rPr>
          <w:rFonts w:asciiTheme="majorHAnsi" w:hAnsiTheme="majorHAnsi"/>
        </w:rPr>
        <w:t>. As such, the consumer survey was not solely relied on for the extent of label use</w:t>
      </w:r>
      <w:r w:rsidR="004023C2">
        <w:rPr>
          <w:rFonts w:asciiTheme="majorHAnsi" w:hAnsiTheme="majorHAnsi"/>
        </w:rPr>
        <w:t xml:space="preserve"> and was not used to reflect</w:t>
      </w:r>
      <w:r>
        <w:rPr>
          <w:rFonts w:asciiTheme="majorHAnsi" w:hAnsiTheme="majorHAnsi"/>
        </w:rPr>
        <w:t xml:space="preserve"> correct label interpretation in practice</w:t>
      </w:r>
      <w:r w:rsidRPr="00AD1032">
        <w:rPr>
          <w:rFonts w:asciiTheme="majorHAnsi" w:hAnsiTheme="majorHAnsi"/>
        </w:rPr>
        <w:t>.</w:t>
      </w:r>
    </w:p>
    <w:p w14:paraId="53C5105D" w14:textId="77777777" w:rsidR="00852051" w:rsidRPr="006C300D" w:rsidRDefault="00852051" w:rsidP="00F95EA1">
      <w:pPr>
        <w:pStyle w:val="Appendixhead3"/>
        <w:outlineLvl w:val="2"/>
      </w:pPr>
      <w:bookmarkStart w:id="731" w:name="_Toc67499167"/>
      <w:r w:rsidRPr="006C300D">
        <w:t>Consumer survey sample</w:t>
      </w:r>
      <w:bookmarkEnd w:id="731"/>
    </w:p>
    <w:p w14:paraId="4A119102" w14:textId="6B7DDE13" w:rsidR="0091642B" w:rsidRDefault="00D56047" w:rsidP="0091642B">
      <w:pPr>
        <w:spacing w:after="120"/>
        <w:rPr>
          <w:rFonts w:asciiTheme="majorHAnsi" w:hAnsiTheme="majorHAnsi"/>
        </w:rPr>
      </w:pPr>
      <w:r>
        <w:rPr>
          <w:rFonts w:asciiTheme="majorHAnsi" w:hAnsiTheme="majorHAnsi"/>
        </w:rPr>
        <w:t xml:space="preserve">The consumer survey sample was representative of </w:t>
      </w:r>
      <w:r w:rsidR="0091642B">
        <w:rPr>
          <w:rFonts w:asciiTheme="majorHAnsi" w:hAnsiTheme="majorHAnsi"/>
        </w:rPr>
        <w:t xml:space="preserve">the Australian population with regard to gender, location and age. </w:t>
      </w:r>
      <w:r w:rsidR="00EA0969">
        <w:rPr>
          <w:rFonts w:asciiTheme="majorHAnsi" w:hAnsiTheme="majorHAnsi"/>
        </w:rPr>
        <w:fldChar w:fldCharType="begin"/>
      </w:r>
      <w:r w:rsidR="00EA0969">
        <w:rPr>
          <w:rFonts w:asciiTheme="majorHAnsi" w:hAnsiTheme="majorHAnsi"/>
        </w:rPr>
        <w:instrText xml:space="preserve"> REF _Ref66395131 \r \h </w:instrText>
      </w:r>
      <w:r w:rsidR="00EA0969">
        <w:rPr>
          <w:rFonts w:asciiTheme="majorHAnsi" w:hAnsiTheme="majorHAnsi"/>
        </w:rPr>
      </w:r>
      <w:r w:rsidR="00EA0969">
        <w:rPr>
          <w:rFonts w:asciiTheme="majorHAnsi" w:hAnsiTheme="majorHAnsi"/>
        </w:rPr>
        <w:fldChar w:fldCharType="separate"/>
      </w:r>
      <w:r w:rsidR="0017363C">
        <w:rPr>
          <w:rFonts w:asciiTheme="majorHAnsi" w:hAnsiTheme="majorHAnsi"/>
        </w:rPr>
        <w:t>Chart C.2</w:t>
      </w:r>
      <w:r w:rsidR="00EA0969">
        <w:rPr>
          <w:rFonts w:asciiTheme="majorHAnsi" w:hAnsiTheme="majorHAnsi"/>
        </w:rPr>
        <w:fldChar w:fldCharType="end"/>
      </w:r>
      <w:r w:rsidR="00EA0969">
        <w:rPr>
          <w:rFonts w:asciiTheme="majorHAnsi" w:hAnsiTheme="majorHAnsi"/>
        </w:rPr>
        <w:t xml:space="preserve"> </w:t>
      </w:r>
      <w:r w:rsidR="006B2AD2" w:rsidRPr="00E53797">
        <w:rPr>
          <w:rFonts w:asciiTheme="majorHAnsi" w:hAnsiTheme="majorHAnsi"/>
        </w:rPr>
        <w:t>and</w:t>
      </w:r>
      <w:r w:rsidR="00EA0969">
        <w:rPr>
          <w:rFonts w:asciiTheme="majorHAnsi" w:hAnsiTheme="majorHAnsi"/>
        </w:rPr>
        <w:t xml:space="preserve"> </w:t>
      </w:r>
      <w:r w:rsidR="00BC0FBF">
        <w:rPr>
          <w:rFonts w:asciiTheme="majorHAnsi" w:hAnsiTheme="majorHAnsi"/>
        </w:rPr>
        <w:fldChar w:fldCharType="begin"/>
      </w:r>
      <w:r w:rsidR="00BC0FBF">
        <w:rPr>
          <w:rFonts w:asciiTheme="majorHAnsi" w:hAnsiTheme="majorHAnsi"/>
        </w:rPr>
        <w:instrText xml:space="preserve"> REF _Ref66395158 \r \h </w:instrText>
      </w:r>
      <w:r w:rsidR="00BC0FBF">
        <w:rPr>
          <w:rFonts w:asciiTheme="majorHAnsi" w:hAnsiTheme="majorHAnsi"/>
        </w:rPr>
      </w:r>
      <w:r w:rsidR="00BC0FBF">
        <w:rPr>
          <w:rFonts w:asciiTheme="majorHAnsi" w:hAnsiTheme="majorHAnsi"/>
        </w:rPr>
        <w:fldChar w:fldCharType="separate"/>
      </w:r>
      <w:r w:rsidR="0017363C">
        <w:rPr>
          <w:rFonts w:asciiTheme="majorHAnsi" w:hAnsiTheme="majorHAnsi"/>
        </w:rPr>
        <w:t>Chart C.3</w:t>
      </w:r>
      <w:r w:rsidR="00BC0FBF">
        <w:rPr>
          <w:rFonts w:asciiTheme="majorHAnsi" w:hAnsiTheme="majorHAnsi"/>
        </w:rPr>
        <w:fldChar w:fldCharType="end"/>
      </w:r>
      <w:r w:rsidR="00BC0FBF">
        <w:rPr>
          <w:rFonts w:asciiTheme="majorHAnsi" w:hAnsiTheme="majorHAnsi"/>
        </w:rPr>
        <w:t xml:space="preserve"> </w:t>
      </w:r>
      <w:r w:rsidR="006B2AD2" w:rsidRPr="00E53797">
        <w:rPr>
          <w:rFonts w:asciiTheme="majorHAnsi" w:hAnsiTheme="majorHAnsi"/>
        </w:rPr>
        <w:t xml:space="preserve">illustrate that </w:t>
      </w:r>
      <w:r w:rsidR="00A754E0">
        <w:rPr>
          <w:rFonts w:asciiTheme="majorHAnsi" w:hAnsiTheme="majorHAnsi"/>
        </w:rPr>
        <w:t xml:space="preserve">consumer </w:t>
      </w:r>
      <w:r w:rsidR="006B2AD2" w:rsidRPr="00E53797">
        <w:rPr>
          <w:rFonts w:asciiTheme="majorHAnsi" w:hAnsiTheme="majorHAnsi"/>
        </w:rPr>
        <w:t xml:space="preserve">survey participants </w:t>
      </w:r>
      <w:r w:rsidR="006B2AD2" w:rsidRPr="00E53797" w:rsidDel="00A56114">
        <w:rPr>
          <w:rFonts w:asciiTheme="majorHAnsi" w:hAnsiTheme="majorHAnsi"/>
        </w:rPr>
        <w:t xml:space="preserve">are </w:t>
      </w:r>
      <w:r w:rsidR="006B2AD2" w:rsidRPr="00E53797">
        <w:rPr>
          <w:rFonts w:asciiTheme="majorHAnsi" w:hAnsiTheme="majorHAnsi"/>
        </w:rPr>
        <w:t>approximately half male and half female</w:t>
      </w:r>
      <w:r w:rsidR="008206BC">
        <w:rPr>
          <w:rFonts w:asciiTheme="majorHAnsi" w:hAnsiTheme="majorHAnsi"/>
        </w:rPr>
        <w:t>,</w:t>
      </w:r>
      <w:r w:rsidR="006B2AD2" w:rsidRPr="00E53797">
        <w:rPr>
          <w:rFonts w:asciiTheme="majorHAnsi" w:hAnsiTheme="majorHAnsi"/>
        </w:rPr>
        <w:t xml:space="preserve"> and are located within multiple states across Australia</w:t>
      </w:r>
      <w:r w:rsidR="002D2C02">
        <w:rPr>
          <w:rFonts w:asciiTheme="majorHAnsi" w:hAnsiTheme="majorHAnsi"/>
        </w:rPr>
        <w:t>.</w:t>
      </w:r>
    </w:p>
    <w:p w14:paraId="64C6A8CF" w14:textId="140014D3" w:rsidR="000E1ECA" w:rsidRPr="00E65155" w:rsidRDefault="0091642B">
      <w:r w:rsidRPr="00E1365D">
        <w:t xml:space="preserve">The results excluded </w:t>
      </w:r>
      <w:r w:rsidR="00091551">
        <w:t>two</w:t>
      </w:r>
      <w:r w:rsidRPr="00E1365D">
        <w:t xml:space="preserve"> additional participants who were consulted individually. While their responses were not included in the survey analysis, a description of their responses is within the footnotes of the relevant sections.</w:t>
      </w:r>
    </w:p>
    <w:p w14:paraId="2C223469" w14:textId="77777777" w:rsidR="006B2AD2" w:rsidRPr="0003630B" w:rsidRDefault="006B2AD2" w:rsidP="00F95EA1">
      <w:pPr>
        <w:pStyle w:val="AppendixChartCaption"/>
        <w:outlineLvl w:val="9"/>
        <w:rPr>
          <w:color w:val="75787B" w:themeColor="accent6"/>
        </w:rPr>
      </w:pPr>
      <w:bookmarkStart w:id="732" w:name="_Ref66395131"/>
      <w:bookmarkStart w:id="733" w:name="_Toc82590379"/>
      <w:r w:rsidRPr="0071405B">
        <w:t>: Consumer survey: participants gender</w:t>
      </w:r>
      <w:bookmarkEnd w:id="732"/>
      <w:bookmarkEnd w:id="733"/>
      <w:r w:rsidRPr="0071405B">
        <w:t xml:space="preserve"> </w:t>
      </w:r>
    </w:p>
    <w:p w14:paraId="37FB201E" w14:textId="1F703C45" w:rsidR="0013597C" w:rsidRDefault="00A54B5E" w:rsidP="006B2AD2">
      <w:pPr>
        <w:pStyle w:val="Source"/>
      </w:pPr>
      <w:r w:rsidRPr="00A54B5E">
        <w:rPr>
          <w:noProof/>
          <w:lang w:eastAsia="en-AU"/>
        </w:rPr>
        <w:drawing>
          <wp:inline distT="0" distB="0" distL="0" distR="0" wp14:anchorId="6EC5B0B7" wp14:editId="7A95A485">
            <wp:extent cx="5476875" cy="2943225"/>
            <wp:effectExtent l="0" t="0" r="9525" b="9525"/>
            <wp:docPr id="289242772" name="Picture 289242772" descr="Participant gender is made up of 51.4% female, 48.4% male and 0.2%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72" name="Picture 289242772" descr="Participant gender is made up of 51.4% female, 48.4% male and 0.2% oth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6875" cy="2943225"/>
                    </a:xfrm>
                    <a:prstGeom prst="rect">
                      <a:avLst/>
                    </a:prstGeom>
                    <a:noFill/>
                    <a:ln>
                      <a:noFill/>
                    </a:ln>
                  </pic:spPr>
                </pic:pic>
              </a:graphicData>
            </a:graphic>
          </wp:inline>
        </w:drawing>
      </w:r>
    </w:p>
    <w:p w14:paraId="61489FE3" w14:textId="236D6CFE" w:rsidR="006B2AD2" w:rsidRPr="009E5C6E" w:rsidRDefault="006B2AD2" w:rsidP="006B2AD2">
      <w:pPr>
        <w:pStyle w:val="Source"/>
      </w:pPr>
      <w:r w:rsidRPr="009E5C6E">
        <w:t>Source: Deloitte Access Economics’ national consumer survey (2020).</w:t>
      </w:r>
    </w:p>
    <w:p w14:paraId="3A2AB71C" w14:textId="77777777" w:rsidR="006B2AD2" w:rsidRPr="0003630B" w:rsidRDefault="006B2AD2" w:rsidP="00F95EA1">
      <w:pPr>
        <w:pStyle w:val="AppendixChartCaption"/>
        <w:outlineLvl w:val="9"/>
        <w:rPr>
          <w:color w:val="75787B" w:themeColor="accent6"/>
        </w:rPr>
      </w:pPr>
      <w:bookmarkStart w:id="734" w:name="_Ref66395158"/>
      <w:bookmarkStart w:id="735" w:name="_Toc82590380"/>
      <w:r w:rsidRPr="0071405B">
        <w:lastRenderedPageBreak/>
        <w:t>: Consumer survey: participants state</w:t>
      </w:r>
      <w:bookmarkEnd w:id="734"/>
      <w:bookmarkEnd w:id="735"/>
    </w:p>
    <w:p w14:paraId="60B6B976" w14:textId="351D3C5B" w:rsidR="00EF5B3C" w:rsidRDefault="00EF5B3C" w:rsidP="006B2AD2">
      <w:pPr>
        <w:pStyle w:val="Source"/>
      </w:pPr>
      <w:r w:rsidRPr="00EF5B3C">
        <w:rPr>
          <w:noProof/>
          <w:lang w:eastAsia="en-AU"/>
        </w:rPr>
        <w:drawing>
          <wp:inline distT="0" distB="0" distL="0" distR="0" wp14:anchorId="6D29A93C" wp14:editId="208C8522">
            <wp:extent cx="5731510" cy="2806065"/>
            <wp:effectExtent l="0" t="0" r="2540" b="0"/>
            <wp:docPr id="289242773" name="Picture 289242773" descr="This pie chart shows the proportion of consumers from each state, with the highest proportion being from NSW (33%), followed by Victoria (25%), WA (10%), QLD (19%), SA (9%), Tasmania (3%) and then A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73" name="Picture 289242773" descr="This pie chart shows the proportion of consumers from each state, with the highest proportion being from NSW (33%), followed by Victoria (25%), WA (10%), QLD (19%), SA (9%), Tasmania (3%) and then ACT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2806065"/>
                    </a:xfrm>
                    <a:prstGeom prst="rect">
                      <a:avLst/>
                    </a:prstGeom>
                    <a:noFill/>
                    <a:ln>
                      <a:noFill/>
                    </a:ln>
                  </pic:spPr>
                </pic:pic>
              </a:graphicData>
            </a:graphic>
          </wp:inline>
        </w:drawing>
      </w:r>
    </w:p>
    <w:p w14:paraId="33A0274D" w14:textId="433844DD" w:rsidR="006B2AD2" w:rsidRPr="009E5C6E" w:rsidRDefault="006B2AD2" w:rsidP="006B2AD2">
      <w:pPr>
        <w:pStyle w:val="Source"/>
      </w:pPr>
      <w:r w:rsidRPr="009E5C6E">
        <w:t>Source: Deloitte Access Economics’ national consumer survey (2020).</w:t>
      </w:r>
    </w:p>
    <w:p w14:paraId="22107D21" w14:textId="628D1F10" w:rsidR="006B2AD2" w:rsidRDefault="00AB1482" w:rsidP="006B2AD2">
      <w:r>
        <w:fldChar w:fldCharType="begin"/>
      </w:r>
      <w:r>
        <w:instrText xml:space="preserve"> REF _Ref66395214 \r \h </w:instrText>
      </w:r>
      <w:r>
        <w:fldChar w:fldCharType="separate"/>
      </w:r>
      <w:r w:rsidR="0017363C">
        <w:t>Chart C.4</w:t>
      </w:r>
      <w:r>
        <w:fldChar w:fldCharType="end"/>
      </w:r>
      <w:r>
        <w:t xml:space="preserve"> </w:t>
      </w:r>
      <w:r w:rsidR="00A754E0">
        <w:t xml:space="preserve">illustrates </w:t>
      </w:r>
      <w:r w:rsidR="006B2AD2">
        <w:t>that survey participants are from a wide range of age brackets. Additionally, approximately 73</w:t>
      </w:r>
      <w:r w:rsidR="007B2C81">
        <w:t>%</w:t>
      </w:r>
      <w:r w:rsidR="006B2AD2">
        <w:t xml:space="preserve"> of participants are from metro regions while 27</w:t>
      </w:r>
      <w:r w:rsidR="007B2C81">
        <w:t>%</w:t>
      </w:r>
      <w:r w:rsidR="006B2AD2">
        <w:t xml:space="preserve"> are from regional areas (see </w:t>
      </w:r>
      <w:r w:rsidR="003D6EC4">
        <w:fldChar w:fldCharType="begin"/>
      </w:r>
      <w:r w:rsidR="003D6EC4">
        <w:instrText xml:space="preserve"> REF _Ref66395274 \r \h </w:instrText>
      </w:r>
      <w:r w:rsidR="003D6EC4">
        <w:fldChar w:fldCharType="separate"/>
      </w:r>
      <w:r w:rsidR="0017363C">
        <w:t>Chart C.5</w:t>
      </w:r>
      <w:r w:rsidR="003D6EC4">
        <w:fldChar w:fldCharType="end"/>
      </w:r>
      <w:r w:rsidR="006B2AD2">
        <w:t>). This is broadly representative of the Australian population whereby approximately 85</w:t>
      </w:r>
      <w:r w:rsidR="007B2C81">
        <w:t>%</w:t>
      </w:r>
      <w:r w:rsidR="006B2AD2">
        <w:t xml:space="preserve"> of all Australians live in major citie</w:t>
      </w:r>
      <w:r w:rsidR="00657B7E">
        <w:t>s.</w:t>
      </w:r>
      <w:r w:rsidR="006B2AD2">
        <w:rPr>
          <w:rStyle w:val="FootnoteReference"/>
        </w:rPr>
        <w:footnoteReference w:id="111"/>
      </w:r>
    </w:p>
    <w:p w14:paraId="428A9FFD" w14:textId="77777777" w:rsidR="006B2AD2" w:rsidRPr="002D0A23" w:rsidRDefault="006B2AD2" w:rsidP="00F95EA1">
      <w:pPr>
        <w:pStyle w:val="AppendixChartCaption"/>
        <w:outlineLvl w:val="9"/>
        <w:rPr>
          <w:color w:val="75787B" w:themeColor="accent6"/>
        </w:rPr>
      </w:pPr>
      <w:bookmarkStart w:id="736" w:name="_Ref66395214"/>
      <w:bookmarkStart w:id="737" w:name="_Toc82590381"/>
      <w:r w:rsidRPr="0071405B">
        <w:t>: Consumer survey: participants age</w:t>
      </w:r>
      <w:bookmarkEnd w:id="736"/>
      <w:bookmarkEnd w:id="737"/>
      <w:r w:rsidRPr="0071405B">
        <w:t xml:space="preserve"> </w:t>
      </w:r>
    </w:p>
    <w:p w14:paraId="5B2895E2" w14:textId="71293F8A" w:rsidR="006B2AD2" w:rsidRDefault="00613CFD" w:rsidP="006B2AD2">
      <w:r w:rsidRPr="00613CFD">
        <w:rPr>
          <w:noProof/>
          <w:lang w:eastAsia="en-AU"/>
        </w:rPr>
        <w:drawing>
          <wp:inline distT="0" distB="0" distL="0" distR="0" wp14:anchorId="3B55E33C" wp14:editId="3A19218F">
            <wp:extent cx="5731510" cy="2625090"/>
            <wp:effectExtent l="0" t="0" r="2540" b="3810"/>
            <wp:docPr id="289242774" name="Picture 289242774" descr="This column chart shows the age breakdown of the consumer survey respondents, with the highest proportion being the over 70 year age group. Age group 18-24 (8%), age group 25-29 (8%), age group 30-34 (10%), age group 35-39 (9%), age group 40-44 (10%), age group 45-49 (10%), age group 50-54 (10%), age group 55-59 (7%), age group 60-64 (8%), age group 65-59 (5%), age group 70+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74" name="Picture 289242774" descr="This column chart shows the age breakdown of the consumer survey respondents, with the highest proportion being the over 70 year age group. Age group 18-24 (8%), age group 25-29 (8%), age group 30-34 (10%), age group 35-39 (9%), age group 40-44 (10%), age group 45-49 (10%), age group 50-54 (10%), age group 55-59 (7%), age group 60-64 (8%), age group 65-59 (5%), age group 70+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2625090"/>
                    </a:xfrm>
                    <a:prstGeom prst="rect">
                      <a:avLst/>
                    </a:prstGeom>
                    <a:noFill/>
                    <a:ln>
                      <a:noFill/>
                    </a:ln>
                  </pic:spPr>
                </pic:pic>
              </a:graphicData>
            </a:graphic>
          </wp:inline>
        </w:drawing>
      </w:r>
    </w:p>
    <w:p w14:paraId="3F0AEB4C" w14:textId="77777777" w:rsidR="006B2AD2" w:rsidRDefault="006B2AD2" w:rsidP="00657B7E">
      <w:pPr>
        <w:pStyle w:val="Source"/>
      </w:pPr>
      <w:r w:rsidRPr="009E5C6E">
        <w:t xml:space="preserve">Source: Deloitte Access </w:t>
      </w:r>
      <w:r w:rsidRPr="00657B7E">
        <w:t>Economics’</w:t>
      </w:r>
      <w:r w:rsidRPr="009E5C6E">
        <w:t xml:space="preserve"> national consumer survey (2020).</w:t>
      </w:r>
    </w:p>
    <w:p w14:paraId="20F1A78A" w14:textId="66604488" w:rsidR="006B2AD2" w:rsidRDefault="006B2AD2" w:rsidP="00F95EA1">
      <w:pPr>
        <w:pStyle w:val="AppendixChartCaption"/>
        <w:outlineLvl w:val="9"/>
        <w:rPr>
          <w:color w:val="75787B" w:themeColor="accent6"/>
        </w:rPr>
      </w:pPr>
      <w:bookmarkStart w:id="738" w:name="_Ref66395274"/>
      <w:bookmarkStart w:id="739" w:name="_Toc82590382"/>
      <w:r w:rsidRPr="0071405B">
        <w:lastRenderedPageBreak/>
        <w:t>: Consumer survey: participants region</w:t>
      </w:r>
      <w:bookmarkEnd w:id="738"/>
      <w:bookmarkEnd w:id="739"/>
      <w:r w:rsidRPr="0071405B">
        <w:t xml:space="preserve"> </w:t>
      </w:r>
    </w:p>
    <w:p w14:paraId="16320D98" w14:textId="231209D1" w:rsidR="002D5CB5" w:rsidRPr="002D5CB5" w:rsidRDefault="002D5CB5" w:rsidP="002D5CB5">
      <w:pPr>
        <w:rPr>
          <w:lang w:eastAsia="en-AU"/>
        </w:rPr>
      </w:pPr>
      <w:r w:rsidRPr="002D5CB5">
        <w:rPr>
          <w:noProof/>
          <w:lang w:eastAsia="en-AU"/>
        </w:rPr>
        <w:drawing>
          <wp:inline distT="0" distB="0" distL="0" distR="0" wp14:anchorId="233D0AFB" wp14:editId="14471BDA">
            <wp:extent cx="5610225" cy="3286125"/>
            <wp:effectExtent l="0" t="0" r="9525" b="9525"/>
            <wp:docPr id="289242775" name="Picture 289242775" descr="This pie chart shows the proportion of consumer respondents in metropolitan compared to regional areas. Metro 74%, regional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75" name="Picture 289242775" descr="This pie chart shows the proportion of consumer respondents in metropolitan compared to regional areas. Metro 74%, regional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0225" cy="3286125"/>
                    </a:xfrm>
                    <a:prstGeom prst="rect">
                      <a:avLst/>
                    </a:prstGeom>
                    <a:noFill/>
                    <a:ln>
                      <a:noFill/>
                    </a:ln>
                  </pic:spPr>
                </pic:pic>
              </a:graphicData>
            </a:graphic>
          </wp:inline>
        </w:drawing>
      </w:r>
    </w:p>
    <w:p w14:paraId="4D8B81FC" w14:textId="77777777" w:rsidR="006B2AD2" w:rsidRPr="00657B7E" w:rsidRDefault="006B2AD2" w:rsidP="00657B7E">
      <w:pPr>
        <w:pStyle w:val="Source"/>
      </w:pPr>
      <w:r w:rsidRPr="00657B7E">
        <w:t>Source: Deloitte Access Economics’ national consumer surve</w:t>
      </w:r>
      <w:r w:rsidR="009E2A02" w:rsidRPr="00657B7E">
        <w:t xml:space="preserve">y, </w:t>
      </w:r>
      <w:r w:rsidRPr="00657B7E" w:rsidDel="003D6EC4">
        <w:t>2020</w:t>
      </w:r>
    </w:p>
    <w:p w14:paraId="7C067FED" w14:textId="77777777" w:rsidR="00852051" w:rsidRPr="00A4076E" w:rsidRDefault="00852051" w:rsidP="00F95EA1">
      <w:pPr>
        <w:pStyle w:val="Appendixhead3"/>
        <w:outlineLvl w:val="2"/>
      </w:pPr>
      <w:bookmarkStart w:id="740" w:name="_Toc67499168"/>
      <w:r w:rsidRPr="00A4076E">
        <w:t>Potential limitations: consumer survey</w:t>
      </w:r>
      <w:bookmarkEnd w:id="740"/>
    </w:p>
    <w:p w14:paraId="2066B012" w14:textId="5D768B8B" w:rsidR="006B2AD2" w:rsidRDefault="006B2AD2" w:rsidP="006B2AD2">
      <w:r>
        <w:t xml:space="preserve">Results from the consumer survey must be analysed with </w:t>
      </w:r>
      <w:r w:rsidR="00DC473B">
        <w:t xml:space="preserve">regard to </w:t>
      </w:r>
      <w:r>
        <w:t>the propensity for</w:t>
      </w:r>
      <w:r w:rsidR="00DC473B">
        <w:t xml:space="preserve"> bias</w:t>
      </w:r>
      <w:r>
        <w:t xml:space="preserve">. Response bias is an example of bias </w:t>
      </w:r>
      <w:r w:rsidR="00FC5D68">
        <w:t xml:space="preserve">that </w:t>
      </w:r>
      <w:r>
        <w:t xml:space="preserve">occurs in surveys. This is defined as the tendency for survey participants to respond inaccurately to questions. </w:t>
      </w:r>
      <w:r w:rsidR="00D109F4">
        <w:t>An example is a</w:t>
      </w:r>
      <w:r>
        <w:t>cquiescence bias, commonly referred to as agreement bias</w:t>
      </w:r>
      <w:r w:rsidR="00A67D47">
        <w:t>,</w:t>
      </w:r>
      <w:r w:rsidR="00BA1269">
        <w:t xml:space="preserve"> which</w:t>
      </w:r>
      <w:r>
        <w:t xml:space="preserve"> is where respondents tend to select a positive response option or indicate a positive connotation disproportionately more frequently.</w:t>
      </w:r>
    </w:p>
    <w:p w14:paraId="1E7D5784" w14:textId="6E10AB98" w:rsidR="006B2AD2" w:rsidRDefault="006B2AD2" w:rsidP="006B2AD2">
      <w:r>
        <w:t>Consumer bias is where there is often a difference found between consumers’ stated preference in comparison to their revealed preferences.</w:t>
      </w:r>
      <w:r w:rsidRPr="001D725C">
        <w:t xml:space="preserve"> </w:t>
      </w:r>
      <w:r>
        <w:t xml:space="preserve">For example, a survey of preference experiments found that a consumer’s </w:t>
      </w:r>
      <w:r w:rsidR="00A6765C">
        <w:t>WTP</w:t>
      </w:r>
      <w:r>
        <w:t xml:space="preserve"> tends to exceed their actual </w:t>
      </w:r>
      <w:r w:rsidR="00A43858">
        <w:t>WTP</w:t>
      </w:r>
      <w:r>
        <w:t xml:space="preserve"> by a factor of </w:t>
      </w:r>
      <w:r w:rsidR="00081AFF">
        <w:t>2</w:t>
      </w:r>
      <w:r>
        <w:t xml:space="preserve"> to </w:t>
      </w:r>
      <w:r w:rsidR="00081AFF">
        <w:t>3</w:t>
      </w:r>
      <w:r>
        <w:t>.</w:t>
      </w:r>
      <w:r>
        <w:rPr>
          <w:rStyle w:val="FootnoteReference"/>
        </w:rPr>
        <w:footnoteReference w:id="112"/>
      </w:r>
      <w:r w:rsidR="00852051">
        <w:t xml:space="preserve"> </w:t>
      </w:r>
      <w:r w:rsidR="004A6227">
        <w:t>T</w:t>
      </w:r>
      <w:r>
        <w:t>hese biases have been addressed</w:t>
      </w:r>
      <w:r w:rsidR="003D442D">
        <w:t xml:space="preserve"> to the extent possible </w:t>
      </w:r>
      <w:r>
        <w:t>by ensuring the consumer survey is considered in</w:t>
      </w:r>
      <w:r w:rsidRPr="0012777E">
        <w:t xml:space="preserve"> </w:t>
      </w:r>
      <w:r>
        <w:t xml:space="preserve">conjunction with other evidence sources. Where there </w:t>
      </w:r>
      <w:r w:rsidR="00701847">
        <w:t xml:space="preserve">was </w:t>
      </w:r>
      <w:r>
        <w:t xml:space="preserve">evidence of any bias, other sources of evidence were </w:t>
      </w:r>
      <w:r w:rsidR="00701847">
        <w:t xml:space="preserve">more </w:t>
      </w:r>
      <w:r>
        <w:t>heavily relied on</w:t>
      </w:r>
      <w:r w:rsidR="004A6227">
        <w:t xml:space="preserve"> and/or there was an adjustment factor applied to account for this tendency for overestimation (e.g. in the CBA)</w:t>
      </w:r>
      <w:r>
        <w:t>.</w:t>
      </w:r>
    </w:p>
    <w:p w14:paraId="31154DBC" w14:textId="77777777" w:rsidR="00B07E65" w:rsidRPr="0034046B" w:rsidRDefault="00852051" w:rsidP="00F95EA1">
      <w:pPr>
        <w:pStyle w:val="Appendixhead2"/>
        <w:ind w:left="794" w:hanging="794"/>
        <w:outlineLvl w:val="1"/>
      </w:pPr>
      <w:bookmarkStart w:id="741" w:name="_Toc67499169"/>
      <w:bookmarkStart w:id="742" w:name="_Toc68096437"/>
      <w:bookmarkStart w:id="743" w:name="_Toc72396605"/>
      <w:bookmarkStart w:id="744" w:name="_Toc94702082"/>
      <w:r w:rsidRPr="0034046B">
        <w:t>Business survey</w:t>
      </w:r>
      <w:bookmarkEnd w:id="741"/>
      <w:bookmarkEnd w:id="742"/>
      <w:bookmarkEnd w:id="743"/>
      <w:bookmarkEnd w:id="744"/>
    </w:p>
    <w:p w14:paraId="7D08FD23" w14:textId="77777777" w:rsidR="007D6420" w:rsidRDefault="00F4507D" w:rsidP="00F4507D">
      <w:r w:rsidRPr="00E53797">
        <w:t xml:space="preserve">A range of businesses were contacted to participate in the survey. The businesses contacted were from a list of stakeholders </w:t>
      </w:r>
      <w:r w:rsidR="00EC0996">
        <w:t>obtained from both</w:t>
      </w:r>
      <w:r w:rsidRPr="00E53797">
        <w:t xml:space="preserve"> DISER and Dynata’s business database</w:t>
      </w:r>
      <w:r w:rsidR="00EC0996">
        <w:t>s</w:t>
      </w:r>
      <w:r>
        <w:t>, as well as via peak industry bodies that distributed the survey to members</w:t>
      </w:r>
      <w:r w:rsidRPr="00E53797">
        <w:t xml:space="preserve">. Of all businesses contacted, 632 participated in the survey. </w:t>
      </w:r>
    </w:p>
    <w:p w14:paraId="1953F759" w14:textId="7AFC1CE6" w:rsidR="00852051" w:rsidRDefault="007D6420" w:rsidP="00F4507D">
      <w:r w:rsidRPr="007D6420">
        <w:t xml:space="preserve">The survey was launched in December 2020 and was open for </w:t>
      </w:r>
      <w:r w:rsidR="003E106D">
        <w:t>two</w:t>
      </w:r>
      <w:r w:rsidRPr="007D6420">
        <w:t xml:space="preserve"> weeks to the general panel. </w:t>
      </w:r>
      <w:r>
        <w:t>However, to</w:t>
      </w:r>
      <w:r w:rsidRPr="007D6420">
        <w:t xml:space="preserve"> enable greater participation of the general business community it was extended to early January 2021 for those engaged through the DISER stakeholder list and peak industry associations (who distributed the survey</w:t>
      </w:r>
      <w:r w:rsidR="004E64DB">
        <w:t xml:space="preserve"> link</w:t>
      </w:r>
      <w:r w:rsidRPr="007D6420">
        <w:t xml:space="preserve"> to members).</w:t>
      </w:r>
    </w:p>
    <w:p w14:paraId="1027845A" w14:textId="77777777" w:rsidR="007D6420" w:rsidRDefault="007D6420" w:rsidP="007D6420">
      <w:pPr>
        <w:spacing w:after="120"/>
      </w:pPr>
      <w:r>
        <w:t xml:space="preserve">One of the initial questions was whether the business had any products that were subject to the CoOL regulations. This answer was used to inform which other questions were asked such that </w:t>
      </w:r>
      <w:r>
        <w:lastRenderedPageBreak/>
        <w:t xml:space="preserve">businesses that were not subject to CoOL regulations </w:t>
      </w:r>
      <w:r w:rsidDel="00AB0C9E">
        <w:t xml:space="preserve">were not </w:t>
      </w:r>
      <w:r>
        <w:t>captured in questions around the cost and flexibility of the scheme. Free text responses enabled businesses to elaborate further.</w:t>
      </w:r>
    </w:p>
    <w:p w14:paraId="4544C0D6" w14:textId="77777777" w:rsidR="00A27C81" w:rsidRPr="002D759D" w:rsidRDefault="00A27C81" w:rsidP="00F95EA1">
      <w:pPr>
        <w:pStyle w:val="Appendixhead3"/>
        <w:outlineLvl w:val="2"/>
      </w:pPr>
      <w:bookmarkStart w:id="745" w:name="_Toc67499170"/>
      <w:r>
        <w:t xml:space="preserve">Business </w:t>
      </w:r>
      <w:r w:rsidRPr="002D759D">
        <w:t>survey sample</w:t>
      </w:r>
      <w:bookmarkEnd w:id="745"/>
    </w:p>
    <w:p w14:paraId="0AFCFA33" w14:textId="03FD15CF" w:rsidR="00F4507D" w:rsidRPr="006B6725" w:rsidRDefault="00F4507D" w:rsidP="00F4507D">
      <w:pPr>
        <w:sectPr w:rsidR="00F4507D" w:rsidRPr="006B6725" w:rsidSect="00F4507D">
          <w:pgSz w:w="11906" w:h="16838" w:code="9"/>
          <w:pgMar w:top="1440" w:right="1440" w:bottom="1440" w:left="1440" w:header="680" w:footer="425" w:gutter="0"/>
          <w:cols w:space="284"/>
          <w:docGrid w:linePitch="360"/>
        </w:sectPr>
      </w:pPr>
      <w:r w:rsidRPr="00E53797">
        <w:t>As shown in</w:t>
      </w:r>
      <w:r w:rsidRPr="00E53797" w:rsidDel="006D5C6D">
        <w:t xml:space="preserve"> </w:t>
      </w:r>
      <w:r w:rsidR="006D5C6D">
        <w:fldChar w:fldCharType="begin"/>
      </w:r>
      <w:r w:rsidR="006D5C6D">
        <w:instrText xml:space="preserve"> REF _Ref66395721 \r \h </w:instrText>
      </w:r>
      <w:r w:rsidR="006D5C6D">
        <w:fldChar w:fldCharType="separate"/>
      </w:r>
      <w:r w:rsidR="0017363C">
        <w:t>Chart C.6</w:t>
      </w:r>
      <w:r w:rsidR="006D5C6D">
        <w:fldChar w:fldCharType="end"/>
      </w:r>
      <w:r>
        <w:t xml:space="preserve">, </w:t>
      </w:r>
      <w:r w:rsidR="003F5978">
        <w:fldChar w:fldCharType="begin"/>
      </w:r>
      <w:r w:rsidR="003F5978">
        <w:instrText xml:space="preserve"> REF _Ref66395810 \r \h </w:instrText>
      </w:r>
      <w:r w:rsidR="003F5978">
        <w:fldChar w:fldCharType="separate"/>
      </w:r>
      <w:r w:rsidR="0017363C">
        <w:t>Chart C.7</w:t>
      </w:r>
      <w:r w:rsidR="003F5978">
        <w:fldChar w:fldCharType="end"/>
      </w:r>
      <w:r>
        <w:t xml:space="preserve"> and</w:t>
      </w:r>
      <w:r w:rsidR="00F340D8">
        <w:t xml:space="preserve"> </w:t>
      </w:r>
      <w:r w:rsidR="00F340D8">
        <w:fldChar w:fldCharType="begin"/>
      </w:r>
      <w:r w:rsidR="00F340D8">
        <w:instrText xml:space="preserve"> REF _Ref66395857 \r \h </w:instrText>
      </w:r>
      <w:r w:rsidR="00F340D8">
        <w:fldChar w:fldCharType="separate"/>
      </w:r>
      <w:r w:rsidR="0017363C">
        <w:t>Chart C.8</w:t>
      </w:r>
      <w:r w:rsidR="00F340D8">
        <w:fldChar w:fldCharType="end"/>
      </w:r>
      <w:r w:rsidRPr="00E53797">
        <w:t>, the</w:t>
      </w:r>
      <w:r w:rsidR="00EC0996">
        <w:t xml:space="preserve"> business survey respondents include </w:t>
      </w:r>
      <w:r w:rsidRPr="00E53797">
        <w:t>different types and sizes of businesses</w:t>
      </w:r>
      <w:r w:rsidR="00EC0996">
        <w:t>, across the food supply and distribution chain,</w:t>
      </w:r>
      <w:r w:rsidRPr="00E53797">
        <w:t xml:space="preserve"> that come from different parts of Australia.</w:t>
      </w:r>
      <w:r>
        <w:t xml:space="preserve"> </w:t>
      </w:r>
    </w:p>
    <w:p w14:paraId="261730E6" w14:textId="77777777" w:rsidR="00F4507D" w:rsidRPr="00AA7D2B" w:rsidRDefault="00F4507D" w:rsidP="00F95EA1">
      <w:pPr>
        <w:pStyle w:val="AppendixChartCaption"/>
        <w:outlineLvl w:val="9"/>
        <w:rPr>
          <w:color w:val="75787B" w:themeColor="accent6"/>
        </w:rPr>
      </w:pPr>
      <w:bookmarkStart w:id="746" w:name="_Ref66395721"/>
      <w:bookmarkStart w:id="747" w:name="_Toc82590383"/>
      <w:r w:rsidRPr="0071405B">
        <w:t>: Business survey: location</w:t>
      </w:r>
      <w:bookmarkEnd w:id="746"/>
      <w:bookmarkEnd w:id="747"/>
    </w:p>
    <w:p w14:paraId="62BBAE23" w14:textId="77777777" w:rsidR="00F4507D" w:rsidRDefault="00F4507D" w:rsidP="00F4507D">
      <w:pPr>
        <w:sectPr w:rsidR="00F4507D" w:rsidSect="003628E1">
          <w:type w:val="continuous"/>
          <w:pgSz w:w="11906" w:h="16838" w:code="9"/>
          <w:pgMar w:top="1440" w:right="1440" w:bottom="1440" w:left="1440" w:header="680" w:footer="425" w:gutter="0"/>
          <w:cols w:num="2" w:space="284"/>
          <w:docGrid w:linePitch="360"/>
        </w:sectPr>
      </w:pPr>
    </w:p>
    <w:p w14:paraId="41122725" w14:textId="5E25071A" w:rsidR="005C750F" w:rsidRDefault="005C750F" w:rsidP="00F4507D">
      <w:pPr>
        <w:pStyle w:val="Source"/>
      </w:pPr>
      <w:r w:rsidRPr="005C750F">
        <w:rPr>
          <w:noProof/>
          <w:lang w:eastAsia="en-AU"/>
        </w:rPr>
        <w:drawing>
          <wp:inline distT="0" distB="0" distL="0" distR="0" wp14:anchorId="6E01CAD2" wp14:editId="04DE8233">
            <wp:extent cx="5731510" cy="2759710"/>
            <wp:effectExtent l="0" t="0" r="2540" b="2540"/>
            <wp:docPr id="289242776" name="Picture 289242776" descr="This pie chart shows the proportion of business survey respondents by jurisdiction. The highest proportion are from NSW, followed by Victoria, then Queensland, SA, WA and a small proportion from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76" name="Picture 289242776" descr="This pie chart shows the proportion of business survey respondents by jurisdiction. The highest proportion are from NSW, followed by Victoria, then Queensland, SA, WA and a small proportion from other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2759710"/>
                    </a:xfrm>
                    <a:prstGeom prst="rect">
                      <a:avLst/>
                    </a:prstGeom>
                    <a:noFill/>
                    <a:ln>
                      <a:noFill/>
                    </a:ln>
                  </pic:spPr>
                </pic:pic>
              </a:graphicData>
            </a:graphic>
          </wp:inline>
        </w:drawing>
      </w:r>
    </w:p>
    <w:p w14:paraId="07B1A847" w14:textId="24433342" w:rsidR="00F4507D" w:rsidRPr="00DE508C" w:rsidRDefault="00F4507D" w:rsidP="00F4507D">
      <w:pPr>
        <w:pStyle w:val="Source"/>
      </w:pPr>
      <w:r w:rsidRPr="00842E04">
        <w:t xml:space="preserve">Source: Deloitte Access Economics’ national </w:t>
      </w:r>
      <w:r>
        <w:t>business</w:t>
      </w:r>
      <w:r w:rsidRPr="00842E04">
        <w:t xml:space="preserve"> survey</w:t>
      </w:r>
      <w:r>
        <w:t xml:space="preserve"> (2020)</w:t>
      </w:r>
      <w:r w:rsidRPr="00842E04">
        <w:t>.</w:t>
      </w:r>
    </w:p>
    <w:p w14:paraId="45916676" w14:textId="77777777" w:rsidR="00F4507D" w:rsidRPr="00AA7D2B" w:rsidRDefault="00F4507D" w:rsidP="00F95EA1">
      <w:pPr>
        <w:pStyle w:val="AppendixChartCaption"/>
        <w:outlineLvl w:val="9"/>
        <w:rPr>
          <w:color w:val="75787B" w:themeColor="accent6"/>
        </w:rPr>
      </w:pPr>
      <w:bookmarkStart w:id="748" w:name="_Ref66395810"/>
      <w:bookmarkStart w:id="749" w:name="_Toc82590384"/>
      <w:r w:rsidRPr="0071405B">
        <w:t>: Business survey: business type</w:t>
      </w:r>
      <w:bookmarkEnd w:id="748"/>
      <w:bookmarkEnd w:id="749"/>
    </w:p>
    <w:p w14:paraId="0145D9E2" w14:textId="7A284080" w:rsidR="00795E23" w:rsidRDefault="00634C19" w:rsidP="00F4507D">
      <w:pPr>
        <w:pStyle w:val="Source"/>
      </w:pPr>
      <w:r w:rsidRPr="00634C19">
        <w:rPr>
          <w:noProof/>
          <w:lang w:eastAsia="en-AU"/>
        </w:rPr>
        <w:drawing>
          <wp:inline distT="0" distB="0" distL="0" distR="0" wp14:anchorId="3848A9CE" wp14:editId="405442AF">
            <wp:extent cx="5731510" cy="2832735"/>
            <wp:effectExtent l="0" t="0" r="2540" b="5715"/>
            <wp:docPr id="289242778" name="Picture 289242778" descr="This pie chart shows the proportion of business survey respondents from the different business types. The highest proportion a fresh food retail, followed by manufacturers, wholesalers, primary producers, followed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78" name="Picture 289242778" descr="This pie chart shows the proportion of business survey respondents from the different business types. The highest proportion a fresh food retail, followed by manufacturers, wholesalers, primary producers, followed by other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2832735"/>
                    </a:xfrm>
                    <a:prstGeom prst="rect">
                      <a:avLst/>
                    </a:prstGeom>
                    <a:noFill/>
                    <a:ln>
                      <a:noFill/>
                    </a:ln>
                  </pic:spPr>
                </pic:pic>
              </a:graphicData>
            </a:graphic>
          </wp:inline>
        </w:drawing>
      </w:r>
    </w:p>
    <w:p w14:paraId="1031008E" w14:textId="2D35BAA3" w:rsidR="00F4507D" w:rsidRPr="00DE508C" w:rsidRDefault="00F4507D" w:rsidP="00F4507D">
      <w:pPr>
        <w:pStyle w:val="Source"/>
      </w:pPr>
      <w:r w:rsidRPr="00842E04">
        <w:t xml:space="preserve">Source: Deloitte Access Economics’ national </w:t>
      </w:r>
      <w:r>
        <w:t>business</w:t>
      </w:r>
      <w:r w:rsidRPr="00842E04">
        <w:t xml:space="preserve"> survey</w:t>
      </w:r>
      <w:r>
        <w:t xml:space="preserve"> (2020)</w:t>
      </w:r>
      <w:r w:rsidRPr="00842E04">
        <w:t>.</w:t>
      </w:r>
    </w:p>
    <w:p w14:paraId="42EF137D" w14:textId="77777777" w:rsidR="00F4507D" w:rsidRPr="000A6076" w:rsidRDefault="00F4507D" w:rsidP="00F4507D">
      <w:pPr>
        <w:pStyle w:val="CaptionChart"/>
        <w:numPr>
          <w:ilvl w:val="0"/>
          <w:numId w:val="0"/>
        </w:numPr>
        <w:sectPr w:rsidR="00F4507D" w:rsidRPr="000A6076" w:rsidSect="00E53797">
          <w:type w:val="continuous"/>
          <w:pgSz w:w="11906" w:h="16838" w:code="9"/>
          <w:pgMar w:top="1440" w:right="1440" w:bottom="1440" w:left="1440" w:header="680" w:footer="425" w:gutter="0"/>
          <w:cols w:space="284"/>
          <w:docGrid w:linePitch="360"/>
        </w:sectPr>
      </w:pPr>
    </w:p>
    <w:p w14:paraId="68CB7C52" w14:textId="77777777" w:rsidR="00F4507D" w:rsidRPr="00634C19" w:rsidRDefault="00F4507D" w:rsidP="00F95EA1">
      <w:pPr>
        <w:pStyle w:val="AppendixChartCaption"/>
        <w:outlineLvl w:val="9"/>
        <w:rPr>
          <w:color w:val="75787B" w:themeColor="accent6"/>
        </w:rPr>
      </w:pPr>
      <w:bookmarkStart w:id="750" w:name="_Ref66395857"/>
      <w:bookmarkStart w:id="751" w:name="_Toc82590385"/>
      <w:r w:rsidRPr="0071405B">
        <w:lastRenderedPageBreak/>
        <w:t>: Business survey: Participants business size</w:t>
      </w:r>
      <w:bookmarkEnd w:id="750"/>
      <w:bookmarkEnd w:id="751"/>
    </w:p>
    <w:p w14:paraId="5BB8FF8A" w14:textId="45E9D3EA" w:rsidR="00C96746" w:rsidRDefault="00916887" w:rsidP="00BB7DE6">
      <w:pPr>
        <w:pStyle w:val="Source"/>
        <w:rPr>
          <w:noProof/>
        </w:rPr>
      </w:pPr>
      <w:r w:rsidRPr="00916887">
        <w:rPr>
          <w:noProof/>
          <w:lang w:eastAsia="en-AU"/>
        </w:rPr>
        <w:drawing>
          <wp:inline distT="0" distB="0" distL="0" distR="0" wp14:anchorId="2152AEAF" wp14:editId="7AA7BF90">
            <wp:extent cx="5943600" cy="2858770"/>
            <wp:effectExtent l="0" t="0" r="0" b="0"/>
            <wp:docPr id="289242780" name="Picture 289242780" descr="This pie chart shows the proportion of business survey respondents by business size. Most are small businesses, followed by large businesses, medium businesses and then very small businesses. Very small business (10%), small business (35%), medium business (25%), large business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80" name="Picture 289242780" descr="This pie chart shows the proportion of business survey respondents by business size. Most are small businesses, followed by large businesses, medium businesses and then very small businesses. Very small business (10%), small business (35%), medium business (25%), large business (30%).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858770"/>
                    </a:xfrm>
                    <a:prstGeom prst="rect">
                      <a:avLst/>
                    </a:prstGeom>
                    <a:noFill/>
                    <a:ln>
                      <a:noFill/>
                    </a:ln>
                  </pic:spPr>
                </pic:pic>
              </a:graphicData>
            </a:graphic>
          </wp:inline>
        </w:drawing>
      </w:r>
    </w:p>
    <w:p w14:paraId="33D4FA5D" w14:textId="3632F3A0" w:rsidR="00BB7DE6" w:rsidRDefault="00BB7DE6" w:rsidP="00BB7DE6">
      <w:pPr>
        <w:pStyle w:val="Source"/>
        <w:rPr>
          <w:noProof/>
        </w:rPr>
      </w:pPr>
      <w:r>
        <w:rPr>
          <w:noProof/>
        </w:rPr>
        <w:t>Source: Deloitte Access Economics’ national business survey (2020)</w:t>
      </w:r>
      <w:r w:rsidR="001219D7">
        <w:rPr>
          <w:noProof/>
        </w:rPr>
        <w:t>.</w:t>
      </w:r>
    </w:p>
    <w:p w14:paraId="4744F90E" w14:textId="0DF723FC" w:rsidR="00F4507D" w:rsidRDefault="00F4507D" w:rsidP="00F4507D">
      <w:r>
        <w:t xml:space="preserve">As illustrated in </w:t>
      </w:r>
      <w:r w:rsidR="00480295">
        <w:fldChar w:fldCharType="begin"/>
      </w:r>
      <w:r w:rsidR="00480295">
        <w:instrText xml:space="preserve"> REF _Ref66395908 \r \h </w:instrText>
      </w:r>
      <w:r w:rsidR="00480295">
        <w:fldChar w:fldCharType="separate"/>
      </w:r>
      <w:r w:rsidR="0017363C">
        <w:t>Chart C.9</w:t>
      </w:r>
      <w:r w:rsidR="00480295">
        <w:fldChar w:fldCharType="end"/>
      </w:r>
      <w:r w:rsidR="00480295">
        <w:t xml:space="preserve"> </w:t>
      </w:r>
      <w:r>
        <w:t>and</w:t>
      </w:r>
      <w:r w:rsidR="002B2908">
        <w:t xml:space="preserve"> </w:t>
      </w:r>
      <w:r w:rsidR="002B2908">
        <w:fldChar w:fldCharType="begin"/>
      </w:r>
      <w:r w:rsidR="002B2908">
        <w:instrText xml:space="preserve"> REF _Ref66970218 \r \h </w:instrText>
      </w:r>
      <w:r w:rsidR="002B2908">
        <w:fldChar w:fldCharType="separate"/>
      </w:r>
      <w:r w:rsidR="0017363C">
        <w:t>Chart C.10</w:t>
      </w:r>
      <w:r w:rsidR="002B2908">
        <w:fldChar w:fldCharType="end"/>
      </w:r>
      <w:r>
        <w:t xml:space="preserve">, businesses sell a range of products – some that are subject to CoOL and others that are not. Those not subject to CoOL were directed to an abbreviated list of questions, to ensure cost estimates were not impacted by businesses not selling </w:t>
      </w:r>
      <w:r w:rsidR="004E3091">
        <w:t xml:space="preserve">products which were subject to </w:t>
      </w:r>
      <w:r>
        <w:t xml:space="preserve">CoOL. </w:t>
      </w:r>
    </w:p>
    <w:p w14:paraId="3C135651" w14:textId="77777777" w:rsidR="00F4507D" w:rsidRPr="007F31B2" w:rsidRDefault="00F4507D" w:rsidP="00F95EA1">
      <w:pPr>
        <w:pStyle w:val="AppendixChartCaption"/>
        <w:outlineLvl w:val="9"/>
        <w:rPr>
          <w:color w:val="75787B" w:themeColor="accent6"/>
        </w:rPr>
      </w:pPr>
      <w:bookmarkStart w:id="752" w:name="_Ref66395908"/>
      <w:bookmarkStart w:id="753" w:name="_Toc82590386"/>
      <w:r w:rsidRPr="0071405B">
        <w:t>: Business survey: what type of products businesses sell</w:t>
      </w:r>
      <w:bookmarkEnd w:id="752"/>
      <w:bookmarkEnd w:id="753"/>
    </w:p>
    <w:p w14:paraId="40FEB698" w14:textId="678D4E1B" w:rsidR="00AF2AF6" w:rsidRDefault="00AF2AF6" w:rsidP="006C300D">
      <w:pPr>
        <w:pStyle w:val="Source"/>
      </w:pPr>
      <w:r w:rsidRPr="00AF2AF6">
        <w:rPr>
          <w:noProof/>
          <w:lang w:eastAsia="en-AU"/>
        </w:rPr>
        <w:drawing>
          <wp:inline distT="0" distB="0" distL="0" distR="0" wp14:anchorId="55A3C9F0" wp14:editId="1A3CE4A4">
            <wp:extent cx="5943600" cy="3022600"/>
            <wp:effectExtent l="0" t="0" r="0" b="6350"/>
            <wp:docPr id="289242781" name="Picture 289242781" descr="This column chart shows what type of products businesses sell from the business survey, the highest proportion being both packaged and unpackaged products, followed by packaged products then unpackag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81" name="Picture 289242781" descr="This column chart shows what type of products businesses sell from the business survey, the highest proportion being both packaged and unpackaged products, followed by packaged products then unpackaged product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022600"/>
                    </a:xfrm>
                    <a:prstGeom prst="rect">
                      <a:avLst/>
                    </a:prstGeom>
                    <a:noFill/>
                    <a:ln>
                      <a:noFill/>
                    </a:ln>
                  </pic:spPr>
                </pic:pic>
              </a:graphicData>
            </a:graphic>
          </wp:inline>
        </w:drawing>
      </w:r>
    </w:p>
    <w:p w14:paraId="44FAEAA6" w14:textId="66074C15" w:rsidR="00F4507D" w:rsidRDefault="00F4507D" w:rsidP="006C300D">
      <w:pPr>
        <w:pStyle w:val="Source"/>
      </w:pPr>
      <w:r w:rsidRPr="00842E04">
        <w:t xml:space="preserve">Source: Deloitte Access Economics’ national </w:t>
      </w:r>
      <w:r>
        <w:t>business</w:t>
      </w:r>
      <w:r w:rsidRPr="00842E04">
        <w:t xml:space="preserve"> survey</w:t>
      </w:r>
      <w:r>
        <w:t xml:space="preserve"> (2020)</w:t>
      </w:r>
      <w:r w:rsidRPr="00842E04">
        <w:t>.</w:t>
      </w:r>
    </w:p>
    <w:p w14:paraId="6908CB94" w14:textId="77777777" w:rsidR="00F4507D" w:rsidRPr="000F674A" w:rsidRDefault="00F4507D" w:rsidP="00F95EA1">
      <w:pPr>
        <w:pStyle w:val="AppendixChartCaption"/>
        <w:outlineLvl w:val="9"/>
        <w:rPr>
          <w:color w:val="75787B" w:themeColor="accent6"/>
        </w:rPr>
      </w:pPr>
      <w:bookmarkStart w:id="754" w:name="_Ref66970218"/>
      <w:bookmarkStart w:id="755" w:name="_Toc82590387"/>
      <w:r w:rsidRPr="0071405B" w:rsidDel="00755C8B">
        <w:lastRenderedPageBreak/>
        <w:t xml:space="preserve">: </w:t>
      </w:r>
      <w:r w:rsidRPr="0071405B">
        <w:t>Business survey: participants’ percentage of products subject to CoOL</w:t>
      </w:r>
      <w:bookmarkEnd w:id="754"/>
      <w:bookmarkEnd w:id="755"/>
    </w:p>
    <w:p w14:paraId="5861E6BC" w14:textId="100A174F" w:rsidR="000F674A" w:rsidRDefault="000F674A" w:rsidP="00F4507D">
      <w:pPr>
        <w:pStyle w:val="Source"/>
      </w:pPr>
      <w:r w:rsidRPr="000F674A">
        <w:rPr>
          <w:noProof/>
          <w:lang w:eastAsia="en-AU"/>
        </w:rPr>
        <w:drawing>
          <wp:inline distT="0" distB="0" distL="0" distR="0" wp14:anchorId="7C5E0200" wp14:editId="73E8603A">
            <wp:extent cx="5943600" cy="3030220"/>
            <wp:effectExtent l="0" t="0" r="0" b="0"/>
            <wp:docPr id="289242782" name="Picture 289242782" descr="This column chart shows the proportion of business survey respondents products that are subject to CoOL. The highest proportion was 40 per cent which had zero percent of products subject to C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82" name="Picture 289242782" descr="This column chart shows the proportion of business survey respondents products that are subject to CoOL. The highest proportion was 40 per cent which had zero percent of products subject to CoOL.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030220"/>
                    </a:xfrm>
                    <a:prstGeom prst="rect">
                      <a:avLst/>
                    </a:prstGeom>
                    <a:noFill/>
                    <a:ln>
                      <a:noFill/>
                    </a:ln>
                  </pic:spPr>
                </pic:pic>
              </a:graphicData>
            </a:graphic>
          </wp:inline>
        </w:drawing>
      </w:r>
    </w:p>
    <w:p w14:paraId="15DBCC67" w14:textId="6697609A" w:rsidR="00F4507D" w:rsidRDefault="00F4507D" w:rsidP="00F4507D">
      <w:pPr>
        <w:pStyle w:val="Source"/>
      </w:pPr>
      <w:r w:rsidRPr="00842E04">
        <w:t xml:space="preserve">Source: Deloitte Access Economics’ national </w:t>
      </w:r>
      <w:r>
        <w:t>business</w:t>
      </w:r>
      <w:r w:rsidRPr="00842E04">
        <w:t xml:space="preserve"> survey</w:t>
      </w:r>
      <w:r>
        <w:t xml:space="preserve"> (2020)</w:t>
      </w:r>
      <w:r w:rsidRPr="00842E04">
        <w:t>.</w:t>
      </w:r>
    </w:p>
    <w:p w14:paraId="2C3D5A18" w14:textId="77777777" w:rsidR="00914193" w:rsidRPr="00BD5DA2" w:rsidRDefault="00914193" w:rsidP="00F95EA1">
      <w:pPr>
        <w:pStyle w:val="Appendixhead2"/>
        <w:ind w:left="794" w:hanging="794"/>
        <w:outlineLvl w:val="1"/>
      </w:pPr>
      <w:bookmarkStart w:id="756" w:name="_Toc67499171"/>
      <w:bookmarkStart w:id="757" w:name="_Toc68096438"/>
      <w:bookmarkStart w:id="758" w:name="_Toc72396606"/>
      <w:bookmarkStart w:id="759" w:name="_Toc94702083"/>
      <w:r w:rsidRPr="00BD5DA2">
        <w:t>Consumer focus groups</w:t>
      </w:r>
      <w:r w:rsidR="00B812B3">
        <w:t>: potential limitations</w:t>
      </w:r>
      <w:bookmarkEnd w:id="756"/>
      <w:bookmarkEnd w:id="757"/>
      <w:bookmarkEnd w:id="758"/>
      <w:bookmarkEnd w:id="759"/>
    </w:p>
    <w:p w14:paraId="48B619EB" w14:textId="77777777" w:rsidR="009C7CF1" w:rsidRDefault="00CB4584" w:rsidP="009C7CF1">
      <w:pPr>
        <w:rPr>
          <w:lang w:eastAsia="en-AU"/>
        </w:rPr>
      </w:pPr>
      <w:r>
        <w:t xml:space="preserve">A limitation of </w:t>
      </w:r>
      <w:r w:rsidR="00C06AC1">
        <w:t>the consumer focus groups</w:t>
      </w:r>
      <w:r>
        <w:t xml:space="preserve"> </w:t>
      </w:r>
      <w:r w:rsidR="00B00BF3">
        <w:t xml:space="preserve">(and consumer focus groups in general) </w:t>
      </w:r>
      <w:r w:rsidR="00221ED3">
        <w:t>is</w:t>
      </w:r>
      <w:r>
        <w:t xml:space="preserve"> that </w:t>
      </w:r>
      <w:r w:rsidR="00DC18DE">
        <w:t xml:space="preserve">there </w:t>
      </w:r>
      <w:r w:rsidR="00C06AC1">
        <w:t>tend</w:t>
      </w:r>
      <w:r w:rsidR="00221ED3">
        <w:t>s</w:t>
      </w:r>
      <w:r w:rsidR="00C06AC1">
        <w:t xml:space="preserve"> to be</w:t>
      </w:r>
      <w:r w:rsidR="00221ED3">
        <w:t xml:space="preserve"> several</w:t>
      </w:r>
      <w:r w:rsidR="00DC18DE">
        <w:t xml:space="preserve"> </w:t>
      </w:r>
      <w:r>
        <w:t xml:space="preserve">outspoken </w:t>
      </w:r>
      <w:r w:rsidR="00EA6CB4">
        <w:t>participants</w:t>
      </w:r>
      <w:r>
        <w:t xml:space="preserve">, </w:t>
      </w:r>
      <w:r w:rsidR="00221ED3">
        <w:t>which can lead</w:t>
      </w:r>
      <w:r>
        <w:t xml:space="preserve"> other </w:t>
      </w:r>
      <w:r w:rsidR="00221ED3">
        <w:t>participants</w:t>
      </w:r>
      <w:r>
        <w:t xml:space="preserve"> </w:t>
      </w:r>
      <w:r w:rsidR="00221ED3">
        <w:t xml:space="preserve">to agree with </w:t>
      </w:r>
      <w:r>
        <w:t>the</w:t>
      </w:r>
      <w:r w:rsidR="00221ED3">
        <w:t>ir</w:t>
      </w:r>
      <w:r>
        <w:t xml:space="preserve"> </w:t>
      </w:r>
      <w:r w:rsidR="00221ED3">
        <w:t>r</w:t>
      </w:r>
      <w:r>
        <w:t xml:space="preserve">esponses. This is a limitation if the response agreed with is not the true opinion of the </w:t>
      </w:r>
      <w:r w:rsidR="00777702">
        <w:t xml:space="preserve">other </w:t>
      </w:r>
      <w:r>
        <w:t>consumer</w:t>
      </w:r>
      <w:r w:rsidR="00777702">
        <w:t>s</w:t>
      </w:r>
      <w:r>
        <w:t>. The impact of this was mitigated by session moderators directing questions at certain consumers</w:t>
      </w:r>
      <w:r w:rsidR="00BB6A3A">
        <w:t>,</w:t>
      </w:r>
      <w:r>
        <w:t xml:space="preserve"> </w:t>
      </w:r>
      <w:r w:rsidR="00282392">
        <w:t xml:space="preserve">where </w:t>
      </w:r>
      <w:r>
        <w:t xml:space="preserve">necessary, to encourage first responses from everyone. Where there was an imbalance of topics or opinions that were not relevant to the evaluation, the moderator redirected the discussion as suitable. The participants did not have detailed information about the discussion prior to the session to reduce self-selection bias. </w:t>
      </w:r>
    </w:p>
    <w:p w14:paraId="0D0D25FD" w14:textId="77777777" w:rsidR="00A27C81" w:rsidRDefault="00914193" w:rsidP="00F95EA1">
      <w:pPr>
        <w:pStyle w:val="Appendixhead2"/>
        <w:ind w:left="794" w:hanging="794"/>
        <w:outlineLvl w:val="1"/>
        <w:rPr>
          <w:bCs/>
        </w:rPr>
      </w:pPr>
      <w:bookmarkStart w:id="760" w:name="_Toc67499172"/>
      <w:bookmarkStart w:id="761" w:name="_Toc68096439"/>
      <w:bookmarkStart w:id="762" w:name="_Toc72396607"/>
      <w:bookmarkStart w:id="763" w:name="_Toc94702084"/>
      <w:r w:rsidRPr="00BD5DA2">
        <w:t>Shopper interviews</w:t>
      </w:r>
      <w:bookmarkEnd w:id="760"/>
      <w:bookmarkEnd w:id="761"/>
      <w:bookmarkEnd w:id="762"/>
      <w:bookmarkEnd w:id="763"/>
    </w:p>
    <w:p w14:paraId="5FC24BA7" w14:textId="77777777" w:rsidR="004023C2" w:rsidRDefault="00A27C81">
      <w:r>
        <w:t xml:space="preserve">A total of 295 shopper interviews were </w:t>
      </w:r>
      <w:r w:rsidR="005F3241">
        <w:t>recorded</w:t>
      </w:r>
      <w:r>
        <w:t xml:space="preserve">. </w:t>
      </w:r>
      <w:r w:rsidR="005F3241">
        <w:t>A</w:t>
      </w:r>
      <w:r>
        <w:t>ggregated data of</w:t>
      </w:r>
      <w:r w:rsidR="004F3606">
        <w:t xml:space="preserve"> surveyed</w:t>
      </w:r>
      <w:r>
        <w:t xml:space="preserve"> shoppers </w:t>
      </w:r>
      <w:r w:rsidR="005F3241">
        <w:t xml:space="preserve">(shown below) </w:t>
      </w:r>
      <w:r>
        <w:t>indicates that the research achieved good coverage of different locations, genders</w:t>
      </w:r>
      <w:r w:rsidR="00494F34">
        <w:t xml:space="preserve"> and age</w:t>
      </w:r>
      <w:r>
        <w:t xml:space="preserve">. </w:t>
      </w:r>
    </w:p>
    <w:p w14:paraId="4C7717AD" w14:textId="04087734" w:rsidR="009605F7" w:rsidRDefault="002B1DEE">
      <w:r>
        <w:t xml:space="preserve">The evaluation </w:t>
      </w:r>
      <w:r w:rsidR="008E4653">
        <w:t xml:space="preserve">ought the permission of both </w:t>
      </w:r>
      <w:r w:rsidR="004023C2">
        <w:t xml:space="preserve">the </w:t>
      </w:r>
      <w:r w:rsidR="008E4653">
        <w:t>retail precincts and supermarket managers to conduct interviews in all locations (Melbourne, Brisbane, Perth and Hobart).</w:t>
      </w:r>
      <w:r w:rsidR="004023C2" w:rsidRPr="004023C2">
        <w:t xml:space="preserve"> Due to COVID-19 restrictions and community transmission, </w:t>
      </w:r>
      <w:r>
        <w:t>the evaluation was</w:t>
      </w:r>
      <w:r w:rsidR="004023C2" w:rsidRPr="004023C2">
        <w:t xml:space="preserve"> not able to conduct interviews in Sydney as planned.</w:t>
      </w:r>
    </w:p>
    <w:p w14:paraId="6298217A" w14:textId="47A86B82" w:rsidR="00593019" w:rsidRDefault="009605F7" w:rsidP="00166348">
      <w:r>
        <w:t>While the number of shoppers interviewed was not statistically significant, the benefit of this type of data collection is that it is granular in nature</w:t>
      </w:r>
      <w:r w:rsidR="005F3241">
        <w:t xml:space="preserve"> and</w:t>
      </w:r>
      <w:r>
        <w:t xml:space="preserve"> </w:t>
      </w:r>
      <w:r w:rsidR="005C1A2C">
        <w:t>addresses the potential bias in the consumer survey where consumers were deliberately aware of its purpose. In</w:t>
      </w:r>
      <w:r>
        <w:t xml:space="preserve"> order to reduce bias in interviews, the shoppers were unaware of the </w:t>
      </w:r>
      <w:r w:rsidRPr="00E53797">
        <w:t>specific</w:t>
      </w:r>
      <w:r>
        <w:t xml:space="preserve"> purpose of the interview (i.e. they were not told that it was related to </w:t>
      </w:r>
      <w:r>
        <w:rPr>
          <w:rFonts w:eastAsia="Calibri" w:cs="Times New Roman"/>
        </w:rPr>
        <w:t>CoOL</w:t>
      </w:r>
      <w:r>
        <w:t xml:space="preserve">, but rather were told it was related to food labelling). </w:t>
      </w:r>
    </w:p>
    <w:p w14:paraId="11F76322" w14:textId="469E4CA5" w:rsidR="00914193" w:rsidRPr="006B127E" w:rsidRDefault="00914193" w:rsidP="00914193">
      <w:pPr>
        <w:pStyle w:val="AppendixChartCaption"/>
        <w:outlineLvl w:val="9"/>
        <w:rPr>
          <w:color w:val="75787B" w:themeColor="accent6"/>
        </w:rPr>
      </w:pPr>
      <w:bookmarkStart w:id="764" w:name="_Toc82590388"/>
      <w:r w:rsidRPr="0071405B">
        <w:lastRenderedPageBreak/>
        <w:t>: Shopper interviews: participants’ state</w:t>
      </w:r>
      <w:bookmarkEnd w:id="764"/>
    </w:p>
    <w:p w14:paraId="5A3C6233" w14:textId="113CEC67" w:rsidR="006B127E" w:rsidRDefault="006B127E" w:rsidP="006C300D">
      <w:pPr>
        <w:pStyle w:val="Source"/>
      </w:pPr>
      <w:r w:rsidRPr="006B127E">
        <w:rPr>
          <w:noProof/>
          <w:lang w:eastAsia="en-AU"/>
        </w:rPr>
        <w:drawing>
          <wp:inline distT="0" distB="0" distL="0" distR="0" wp14:anchorId="7C00F73E" wp14:editId="0EA2DCEB">
            <wp:extent cx="5516494" cy="3028950"/>
            <wp:effectExtent l="0" t="0" r="8255" b="0"/>
            <wp:docPr id="289242783" name="Picture 289242783" descr="This pie chart shows the proportion of shopper interviews by jurisdiction, the highest proportion being in Queensland and WA, followed by Victoria then Tasmania. QLD (37%), WA (32%), VIC (21%), TA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83" name="Picture 289242783" descr="This pie chart shows the proportion of shopper interviews by jurisdiction, the highest proportion being in Queensland and WA, followed by Victoria then Tasmania. QLD (37%), WA (32%), VIC (21%), TAS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36136" cy="3039735"/>
                    </a:xfrm>
                    <a:prstGeom prst="rect">
                      <a:avLst/>
                    </a:prstGeom>
                    <a:noFill/>
                    <a:ln>
                      <a:noFill/>
                    </a:ln>
                  </pic:spPr>
                </pic:pic>
              </a:graphicData>
            </a:graphic>
          </wp:inline>
        </w:drawing>
      </w:r>
    </w:p>
    <w:p w14:paraId="5AA2D303" w14:textId="1B710793" w:rsidR="00AE5FE7" w:rsidRDefault="00AE5FE7" w:rsidP="006C300D">
      <w:pPr>
        <w:pStyle w:val="Source"/>
      </w:pPr>
      <w:r>
        <w:t>Source: Deloitte Access Economics, national shopper interview (2021).</w:t>
      </w:r>
    </w:p>
    <w:p w14:paraId="5E912DB5" w14:textId="77777777" w:rsidR="004023C2" w:rsidRPr="00477892" w:rsidRDefault="004023C2" w:rsidP="00F95EA1">
      <w:pPr>
        <w:pStyle w:val="AppendixChartCaption"/>
        <w:outlineLvl w:val="9"/>
        <w:rPr>
          <w:color w:val="75787B" w:themeColor="accent6"/>
        </w:rPr>
      </w:pPr>
      <w:bookmarkStart w:id="765" w:name="_Toc82590389"/>
      <w:r w:rsidRPr="0071405B">
        <w:t>: Shopper interviews: participants gender</w:t>
      </w:r>
      <w:bookmarkEnd w:id="765"/>
      <w:r w:rsidRPr="0071405B">
        <w:t xml:space="preserve"> </w:t>
      </w:r>
    </w:p>
    <w:p w14:paraId="5DB6BF84" w14:textId="3D5CCDA4" w:rsidR="0054422A" w:rsidRDefault="0054422A" w:rsidP="00F95EA1">
      <w:pPr>
        <w:pStyle w:val="Caption"/>
        <w:rPr>
          <w:sz w:val="16"/>
          <w:szCs w:val="16"/>
        </w:rPr>
      </w:pPr>
      <w:r w:rsidRPr="0054422A">
        <w:rPr>
          <w:noProof/>
          <w:lang w:eastAsia="en-AU"/>
        </w:rPr>
        <w:drawing>
          <wp:inline distT="0" distB="0" distL="0" distR="0" wp14:anchorId="29E68387" wp14:editId="3F280274">
            <wp:extent cx="5465567" cy="3362325"/>
            <wp:effectExtent l="0" t="0" r="1905" b="0"/>
            <wp:docPr id="289242784" name="Picture 289242784" descr="This pie chart shows the proportion of shopper interviews by gender, with more than 50 per cent being female. Female (57%), male (42%), other identity (1%), prefer not to specify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84" name="Picture 289242784" descr="This pie chart shows the proportion of shopper interviews by gender, with more than 50 per cent being female. Female (57%), male (42%), other identity (1%), prefer not to specify (1%)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92432" cy="3378852"/>
                    </a:xfrm>
                    <a:prstGeom prst="rect">
                      <a:avLst/>
                    </a:prstGeom>
                    <a:noFill/>
                    <a:ln>
                      <a:noFill/>
                    </a:ln>
                  </pic:spPr>
                </pic:pic>
              </a:graphicData>
            </a:graphic>
          </wp:inline>
        </w:drawing>
      </w:r>
    </w:p>
    <w:p w14:paraId="69D71740" w14:textId="5EFE52AE" w:rsidR="004023C2" w:rsidRDefault="004023C2" w:rsidP="00F95EA1">
      <w:pPr>
        <w:pStyle w:val="Caption"/>
      </w:pPr>
      <w:r w:rsidRPr="00F95EA1">
        <w:rPr>
          <w:sz w:val="16"/>
          <w:szCs w:val="16"/>
        </w:rPr>
        <w:t>Source: Deloitte Access Economics national shopper interview (2021).</w:t>
      </w:r>
    </w:p>
    <w:p w14:paraId="615BEC70" w14:textId="77777777" w:rsidR="00F95EA1" w:rsidRPr="00F95EA1" w:rsidRDefault="00F95EA1" w:rsidP="00F95EA1"/>
    <w:p w14:paraId="7BA3D860" w14:textId="7A031172" w:rsidR="004023C2" w:rsidRDefault="004023C2" w:rsidP="00F95EA1">
      <w:pPr>
        <w:pStyle w:val="AppendixChartCaption"/>
        <w:outlineLvl w:val="9"/>
        <w:rPr>
          <w:color w:val="75787B" w:themeColor="accent6"/>
        </w:rPr>
      </w:pPr>
      <w:bookmarkStart w:id="766" w:name="_Toc66397552"/>
      <w:bookmarkStart w:id="767" w:name="_Toc66397620"/>
      <w:bookmarkStart w:id="768" w:name="_Toc82590390"/>
      <w:bookmarkEnd w:id="766"/>
      <w:bookmarkEnd w:id="767"/>
      <w:r w:rsidRPr="0071405B">
        <w:lastRenderedPageBreak/>
        <w:t>: Shopper interviews: participants age bracket</w:t>
      </w:r>
      <w:bookmarkEnd w:id="768"/>
    </w:p>
    <w:p w14:paraId="62C13C78" w14:textId="47DFC353" w:rsidR="0085192D" w:rsidRPr="0085192D" w:rsidRDefault="0085192D" w:rsidP="0085192D">
      <w:pPr>
        <w:rPr>
          <w:lang w:eastAsia="en-AU"/>
        </w:rPr>
      </w:pPr>
      <w:r w:rsidRPr="0085192D">
        <w:rPr>
          <w:noProof/>
          <w:lang w:eastAsia="en-AU"/>
        </w:rPr>
        <w:drawing>
          <wp:inline distT="0" distB="0" distL="0" distR="0" wp14:anchorId="2D179529" wp14:editId="380D05A7">
            <wp:extent cx="5857875" cy="2853239"/>
            <wp:effectExtent l="0" t="0" r="0" b="4445"/>
            <wp:docPr id="289242785" name="Picture 289242785" descr="This column chart shows the proportion of shopper interviews by age bracket. Age group 18-34 (27%), age group 35-54 (26%), age group 55-69 (28%), age group 70+ (19%), prefer not to specify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785" name="Picture 289242785" descr="This column chart shows the proportion of shopper interviews by age bracket. Age group 18-34 (27%), age group 35-54 (26%), age group 55-69 (28%), age group 70+ (19%), prefer not to specify (1%)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5404" cy="2856906"/>
                    </a:xfrm>
                    <a:prstGeom prst="rect">
                      <a:avLst/>
                    </a:prstGeom>
                    <a:noFill/>
                    <a:ln>
                      <a:noFill/>
                    </a:ln>
                  </pic:spPr>
                </pic:pic>
              </a:graphicData>
            </a:graphic>
          </wp:inline>
        </w:drawing>
      </w:r>
    </w:p>
    <w:p w14:paraId="57B0E1D2" w14:textId="669E9961" w:rsidR="004023C2" w:rsidRDefault="004023C2" w:rsidP="004023C2">
      <w:pPr>
        <w:pStyle w:val="Source"/>
      </w:pPr>
      <w:r>
        <w:t>Source: Deloitte Access Economics national shopper interview (2021).</w:t>
      </w:r>
    </w:p>
    <w:p w14:paraId="4FF73547" w14:textId="77777777" w:rsidR="004023C2" w:rsidRDefault="004023C2" w:rsidP="00F95EA1">
      <w:pPr>
        <w:pStyle w:val="Appendixhead2"/>
        <w:ind w:left="794" w:hanging="794"/>
        <w:outlineLvl w:val="1"/>
      </w:pPr>
      <w:bookmarkStart w:id="769" w:name="_Toc72396608"/>
      <w:bookmarkStart w:id="770" w:name="_Toc94702085"/>
      <w:r>
        <w:t>CBA analysis</w:t>
      </w:r>
      <w:bookmarkEnd w:id="769"/>
      <w:bookmarkEnd w:id="770"/>
    </w:p>
    <w:p w14:paraId="59C3C5D3" w14:textId="77777777" w:rsidR="004023C2" w:rsidRDefault="004023C2" w:rsidP="004023C2">
      <w:r>
        <w:t xml:space="preserve">The CBA was designed to assist in answering the following evaluation questions: </w:t>
      </w:r>
    </w:p>
    <w:p w14:paraId="4689121C" w14:textId="77777777" w:rsidR="004023C2" w:rsidRDefault="004023C2" w:rsidP="000C6F06">
      <w:pPr>
        <w:pStyle w:val="ListNumber"/>
        <w:numPr>
          <w:ilvl w:val="0"/>
          <w:numId w:val="46"/>
        </w:numPr>
      </w:pPr>
      <w:r>
        <w:t xml:space="preserve">How cost-effective was the provision of information to consumers and businesses? </w:t>
      </w:r>
    </w:p>
    <w:p w14:paraId="13888993" w14:textId="77777777" w:rsidR="004023C2" w:rsidRDefault="004023C2" w:rsidP="000C6F06">
      <w:pPr>
        <w:pStyle w:val="ListNumber"/>
        <w:numPr>
          <w:ilvl w:val="0"/>
          <w:numId w:val="46"/>
        </w:numPr>
      </w:pPr>
      <w:r>
        <w:t xml:space="preserve">What were the realised costs to business associated with meeting the new CoOL requirements? </w:t>
      </w:r>
    </w:p>
    <w:p w14:paraId="7812983A" w14:textId="77777777" w:rsidR="004023C2" w:rsidRDefault="004023C2" w:rsidP="000C6F06">
      <w:pPr>
        <w:pStyle w:val="ListNumber"/>
        <w:numPr>
          <w:ilvl w:val="0"/>
          <w:numId w:val="46"/>
        </w:numPr>
      </w:pPr>
      <w:r>
        <w:t>What lessons can be drawn from the program to improve the efficiency or effectiveness of future initiatives?</w:t>
      </w:r>
    </w:p>
    <w:p w14:paraId="7C66E260" w14:textId="1F96C173" w:rsidR="004023C2" w:rsidRDefault="004023C2" w:rsidP="004023C2">
      <w:pPr>
        <w:spacing w:before="120"/>
      </w:pPr>
      <w:r>
        <w:t xml:space="preserve">To answer the first question, a retrospective (i.e. backward-looking) analysis was undertaken with the current scheme compared to the scheme in place prior to July 2016. The retrospective analysis considers the actual costs incurred to implement the current scheme and the actual impact </w:t>
      </w:r>
      <w:r w:rsidR="00901719">
        <w:t xml:space="preserve">of </w:t>
      </w:r>
      <w:r>
        <w:t>the scheme to date. Together, this information generates insights on the cost-effectiveness of the current CoOL regulations. To answer the second question, a prospective (i.e. forward-looking) analysis was undertaken for 6 future</w:t>
      </w:r>
      <w:r w:rsidR="00274F62">
        <w:t>-</w:t>
      </w:r>
      <w:r>
        <w:t xml:space="preserve">state options to assess the expected impact of potential reforms to the current scheme. </w:t>
      </w:r>
    </w:p>
    <w:p w14:paraId="12078014" w14:textId="17B8ED1E" w:rsidR="004023C2" w:rsidRDefault="004023C2" w:rsidP="004023C2">
      <w:r>
        <w:t xml:space="preserve">The intent of CBA modelling is to assess the net impact of the options. The modelling technique converts costs and benefits incurred by stakeholders (including consumers, businesses and government) into monetary values over time. </w:t>
      </w:r>
    </w:p>
    <w:p w14:paraId="4EBD103C" w14:textId="00D2062B" w:rsidR="00FA4A85" w:rsidRPr="00FA4A85" w:rsidRDefault="004023C2" w:rsidP="00FA4A85">
      <w:r>
        <w:t xml:space="preserve">Importantly, for every option modelled (see </w:t>
      </w:r>
      <w:r>
        <w:fldChar w:fldCharType="begin"/>
      </w:r>
      <w:r>
        <w:instrText xml:space="preserve"> REF _Ref64555237 \r \h </w:instrText>
      </w:r>
      <w:r>
        <w:fldChar w:fldCharType="separate"/>
      </w:r>
      <w:r w:rsidR="0017363C">
        <w:t>Table 1.2</w:t>
      </w:r>
      <w:r>
        <w:fldChar w:fldCharType="end"/>
      </w:r>
      <w:r>
        <w:t xml:space="preserve">), the model calculates the relative costs and benefits of the option under consideration against the costs and benefits of a counterfactual – i.e. what would have been the net benefit of </w:t>
      </w:r>
      <w:r>
        <w:rPr>
          <w:i/>
          <w:iCs/>
        </w:rPr>
        <w:t>not</w:t>
      </w:r>
      <w:r>
        <w:t xml:space="preserve"> purs</w:t>
      </w:r>
      <w:r w:rsidR="00213072">
        <w:t>u</w:t>
      </w:r>
      <w:r>
        <w:t>ing the option of interest. This is true of both the retrospective and prospective analyses.</w:t>
      </w:r>
      <w:r>
        <w:rPr>
          <w:rFonts w:eastAsia="Calibri" w:cs="Times New Roman"/>
        </w:rPr>
        <w:t xml:space="preserve"> </w:t>
      </w:r>
      <w:bookmarkStart w:id="771" w:name="_Toc66397549"/>
      <w:bookmarkStart w:id="772" w:name="_Toc66397617"/>
      <w:bookmarkEnd w:id="771"/>
      <w:bookmarkEnd w:id="772"/>
    </w:p>
    <w:p w14:paraId="36A37C30" w14:textId="77777777" w:rsidR="00E73F21" w:rsidRDefault="002443E6" w:rsidP="00F95EA1">
      <w:pPr>
        <w:pStyle w:val="Appendixhead1"/>
        <w:outlineLvl w:val="0"/>
      </w:pPr>
      <w:bookmarkStart w:id="773" w:name="_Toc66397482"/>
      <w:bookmarkStart w:id="774" w:name="_Toc67499173"/>
      <w:bookmarkStart w:id="775" w:name="_Ref72181638"/>
      <w:bookmarkStart w:id="776" w:name="_Toc463002439"/>
      <w:bookmarkStart w:id="777" w:name="_Toc472586353"/>
      <w:bookmarkStart w:id="778" w:name="_Toc482168131"/>
      <w:bookmarkStart w:id="779" w:name="_Toc482174916"/>
      <w:bookmarkStart w:id="780" w:name="_Toc94702086"/>
      <w:bookmarkEnd w:id="773"/>
      <w:r>
        <w:lastRenderedPageBreak/>
        <w:t>Definitions</w:t>
      </w:r>
      <w:bookmarkEnd w:id="774"/>
      <w:bookmarkEnd w:id="775"/>
      <w:bookmarkEnd w:id="780"/>
    </w:p>
    <w:p w14:paraId="38E01016" w14:textId="77777777" w:rsidR="00425555" w:rsidRDefault="00425555" w:rsidP="005B55B2"/>
    <w:p w14:paraId="06D5DCE2" w14:textId="5E79544A" w:rsidR="00425555" w:rsidRDefault="00491C9E" w:rsidP="003C74DF">
      <w:r>
        <w:t>The exert below</w:t>
      </w:r>
      <w:r w:rsidR="00425555" w:rsidRPr="00425555">
        <w:t xml:space="preserve"> </w:t>
      </w:r>
      <w:r>
        <w:t xml:space="preserve">provides the </w:t>
      </w:r>
      <w:r w:rsidR="00425555" w:rsidRPr="00425555">
        <w:t>definition of fruit and veg</w:t>
      </w:r>
      <w:r w:rsidR="00FC0C12">
        <w:t>etable</w:t>
      </w:r>
      <w:r w:rsidR="00425555" w:rsidRPr="00425555">
        <w:t xml:space="preserve"> juices in </w:t>
      </w:r>
      <w:r>
        <w:t>Section 3 (page 35)</w:t>
      </w:r>
      <w:r w:rsidR="00425555" w:rsidRPr="00425555">
        <w:t xml:space="preserve"> of the Information Standard</w:t>
      </w:r>
      <w:r>
        <w:t>.</w:t>
      </w:r>
      <w:r w:rsidR="00425555" w:rsidRPr="00425555">
        <w:t xml:space="preserve"> </w:t>
      </w:r>
      <w:r>
        <w:t>This</w:t>
      </w:r>
      <w:r w:rsidR="00274F62">
        <w:t>,</w:t>
      </w:r>
      <w:r w:rsidR="00EA7F05">
        <w:t xml:space="preserve"> in part</w:t>
      </w:r>
      <w:r w:rsidR="00274F62">
        <w:t>,</w:t>
      </w:r>
      <w:r w:rsidR="00425555" w:rsidRPr="00425555">
        <w:t xml:space="preserve"> appears to be based on that in the Food Standards Code, under Standard 2.6.2 (which refers to fruit </w:t>
      </w:r>
      <w:r w:rsidR="00944232">
        <w:t>drinks</w:t>
      </w:r>
      <w:r w:rsidR="00425555" w:rsidRPr="00425555">
        <w:t xml:space="preserve"> only)</w:t>
      </w:r>
      <w:r w:rsidR="00EA7F05">
        <w:t>, with milk-like drinks (in part b) added</w:t>
      </w:r>
      <w:r w:rsidR="00D315B1">
        <w:t xml:space="preserve">. </w:t>
      </w:r>
    </w:p>
    <w:p w14:paraId="5587891E" w14:textId="3B0859C5" w:rsidR="00105D5C" w:rsidRDefault="00A07F6E" w:rsidP="00F95EA1">
      <w:pPr>
        <w:pStyle w:val="AppendixFigureCaption"/>
        <w:outlineLvl w:val="9"/>
      </w:pPr>
      <w:bookmarkStart w:id="781" w:name="_Toc82590404"/>
      <w:r>
        <w:t>:</w:t>
      </w:r>
      <w:r w:rsidR="00EA7F05">
        <w:t xml:space="preserve"> Ex</w:t>
      </w:r>
      <w:r w:rsidR="00241A8A">
        <w:t>c</w:t>
      </w:r>
      <w:r w:rsidR="00EA7F05">
        <w:t>er</w:t>
      </w:r>
      <w:r w:rsidR="00241A8A">
        <w:t>p</w:t>
      </w:r>
      <w:r w:rsidR="00EA7F05">
        <w:t>t from Information Standard</w:t>
      </w:r>
      <w:r w:rsidR="00027465">
        <w:t xml:space="preserve"> in Section 3: Definition of fruit and vegetable juices and drinks</w:t>
      </w:r>
      <w:bookmarkEnd w:id="781"/>
    </w:p>
    <w:p w14:paraId="0709800C" w14:textId="39572A83" w:rsidR="008610E8" w:rsidRDefault="00DA4064" w:rsidP="00FC482F">
      <w:r w:rsidRPr="009F4F41">
        <w:rPr>
          <w:noProof/>
          <w:lang w:eastAsia="en-AU"/>
        </w:rPr>
        <w:drawing>
          <wp:inline distT="0" distB="0" distL="0" distR="0" wp14:anchorId="57DD35C8" wp14:editId="5C65258D">
            <wp:extent cx="5106035" cy="3551555"/>
            <wp:effectExtent l="0" t="0" r="0" b="0"/>
            <wp:docPr id="1" name="Picture 1" descr="This figure is an excerpt from the Information Standard in Section 3 Definition of fruit and vegetable juices and dri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is an excerpt from the Information Standard in Section 3 Definition of fruit and vegetable juices and drinks.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06035" cy="3551555"/>
                    </a:xfrm>
                    <a:prstGeom prst="rect">
                      <a:avLst/>
                    </a:prstGeom>
                    <a:noFill/>
                    <a:ln>
                      <a:noFill/>
                    </a:ln>
                  </pic:spPr>
                </pic:pic>
              </a:graphicData>
            </a:graphic>
          </wp:inline>
        </w:drawing>
      </w:r>
    </w:p>
    <w:p w14:paraId="1281F26D" w14:textId="129E549A" w:rsidR="008610E8" w:rsidRPr="003766A0" w:rsidRDefault="003766A0" w:rsidP="00A63A8B">
      <w:pPr>
        <w:pStyle w:val="Caption"/>
        <w:spacing w:before="0"/>
        <w:rPr>
          <w:sz w:val="14"/>
          <w:szCs w:val="14"/>
        </w:rPr>
      </w:pPr>
      <w:r w:rsidRPr="003766A0">
        <w:rPr>
          <w:sz w:val="14"/>
          <w:szCs w:val="14"/>
        </w:rPr>
        <w:t>Source</w:t>
      </w:r>
      <w:r>
        <w:rPr>
          <w:sz w:val="14"/>
          <w:szCs w:val="14"/>
        </w:rPr>
        <w:t>: Information Standard</w:t>
      </w:r>
      <w:r w:rsidR="004B28FF">
        <w:rPr>
          <w:sz w:val="14"/>
          <w:szCs w:val="14"/>
        </w:rPr>
        <w:t>.</w:t>
      </w:r>
    </w:p>
    <w:p w14:paraId="1E3DFD91" w14:textId="117217A6" w:rsidR="008610E8" w:rsidRDefault="003F596C" w:rsidP="008610E8">
      <w:r>
        <w:t xml:space="preserve">Two issues have been raised with </w:t>
      </w:r>
      <w:r w:rsidR="002B1DEE">
        <w:t>the evaluation</w:t>
      </w:r>
      <w:r>
        <w:t xml:space="preserve"> by representatives of a beverage industry group that represent minor changes if adopted. </w:t>
      </w:r>
      <w:r w:rsidR="00AA6AC7">
        <w:t xml:space="preserve">Firstly, in section </w:t>
      </w:r>
      <w:r w:rsidR="00397CDE">
        <w:t>a) (ii), it is necessary to change the wording to reflect the fact that not-from-concentrate juices (NFC) do not contain any of the ingredients at clause</w:t>
      </w:r>
      <w:r w:rsidR="00274F62">
        <w:t> </w:t>
      </w:r>
      <w:r w:rsidR="00397CDE">
        <w:t xml:space="preserve">3 (a) (ii) (A), (B) or (C) and therefore, the CoOL standard (as currently written) with the ‘and’ at the end of clause 3 (a) (i) (F) is incorrect. </w:t>
      </w:r>
      <w:r w:rsidR="00DC0673">
        <w:t>For instance, r</w:t>
      </w:r>
      <w:r w:rsidR="008610E8">
        <w:t xml:space="preserve">epresentatives suggest that </w:t>
      </w:r>
      <w:r w:rsidR="009C2712">
        <w:t>Section 3</w:t>
      </w:r>
      <w:r w:rsidR="008610E8">
        <w:t xml:space="preserve"> </w:t>
      </w:r>
      <w:r w:rsidR="00397CDE">
        <w:t xml:space="preserve">a) ii) </w:t>
      </w:r>
      <w:r w:rsidR="008610E8">
        <w:t xml:space="preserve">of the CoOL </w:t>
      </w:r>
      <w:r w:rsidR="00300A9B">
        <w:t xml:space="preserve">Information </w:t>
      </w:r>
      <w:r w:rsidR="008610E8">
        <w:t>Standard</w:t>
      </w:r>
      <w:r w:rsidR="00300A9B">
        <w:t xml:space="preserve"> (Definitions – particular foods) </w:t>
      </w:r>
      <w:r w:rsidR="008610E8">
        <w:t>be re-worded as follows:</w:t>
      </w:r>
    </w:p>
    <w:p w14:paraId="4B355F78" w14:textId="77777777" w:rsidR="008610E8" w:rsidRDefault="008610E8" w:rsidP="003C74DF">
      <w:pPr>
        <w:ind w:left="720"/>
      </w:pPr>
      <w:r>
        <w:t xml:space="preserve">(a) (ii) </w:t>
      </w:r>
      <w:r w:rsidRPr="003C74DF">
        <w:rPr>
          <w:b/>
          <w:bCs/>
        </w:rPr>
        <w:t>may</w:t>
      </w:r>
      <w:r>
        <w:t xml:space="preserve"> </w:t>
      </w:r>
      <w:r w:rsidRPr="003C74DF">
        <w:rPr>
          <w:b/>
          <w:bCs/>
        </w:rPr>
        <w:t>include</w:t>
      </w:r>
      <w:r>
        <w:t xml:space="preserve"> one or more of the following</w:t>
      </w:r>
    </w:p>
    <w:p w14:paraId="599C567C" w14:textId="510CB2CB" w:rsidR="008610E8" w:rsidRDefault="003F596C" w:rsidP="003C74DF">
      <w:r>
        <w:t xml:space="preserve">Secondly, </w:t>
      </w:r>
      <w:r w:rsidR="000878B7">
        <w:t xml:space="preserve">representatives of the beverage industry suggest that </w:t>
      </w:r>
      <w:r>
        <w:t>w</w:t>
      </w:r>
      <w:r w:rsidR="008610E8">
        <w:t>ith regard to Clause 3 (b), in accordance with the F</w:t>
      </w:r>
      <w:r w:rsidR="00686556">
        <w:t xml:space="preserve">ood </w:t>
      </w:r>
      <w:r w:rsidR="008610E8">
        <w:t>S</w:t>
      </w:r>
      <w:r w:rsidR="00686556">
        <w:t xml:space="preserve">tandards </w:t>
      </w:r>
      <w:r w:rsidR="008610E8">
        <w:t>C</w:t>
      </w:r>
      <w:r w:rsidR="00686556">
        <w:t>ode</w:t>
      </w:r>
      <w:r w:rsidR="008610E8">
        <w:t xml:space="preserve">, fruit and vegetables juices and drinks do not include these products at 3 (b) and to avoid confusion, </w:t>
      </w:r>
      <w:r w:rsidR="000878B7">
        <w:t>the definition should be positioned elsewhere.</w:t>
      </w:r>
    </w:p>
    <w:p w14:paraId="451BD843" w14:textId="6D1BD62A" w:rsidR="00E42205" w:rsidRDefault="00E42205" w:rsidP="003C74DF"/>
    <w:p w14:paraId="689821EB" w14:textId="38BBFE18" w:rsidR="00E42205" w:rsidRDefault="00E42205" w:rsidP="00F95EA1">
      <w:pPr>
        <w:pStyle w:val="Appendixhead1"/>
        <w:outlineLvl w:val="0"/>
      </w:pPr>
      <w:bookmarkStart w:id="782" w:name="_Ref72180052"/>
      <w:bookmarkStart w:id="783" w:name="_Ref72180060"/>
      <w:bookmarkStart w:id="784" w:name="_Toc94702087"/>
      <w:r>
        <w:lastRenderedPageBreak/>
        <w:t>Key findings</w:t>
      </w:r>
      <w:bookmarkEnd w:id="782"/>
      <w:bookmarkEnd w:id="783"/>
      <w:bookmarkEnd w:id="784"/>
      <w:r>
        <w:t xml:space="preserve"> </w:t>
      </w:r>
    </w:p>
    <w:p w14:paraId="2F5A1EC5" w14:textId="16001E8A" w:rsidR="00E42205" w:rsidRDefault="00E42205" w:rsidP="00F95EA1">
      <w:pPr>
        <w:pStyle w:val="AppendixTableCaption"/>
        <w:outlineLvl w:val="9"/>
      </w:pPr>
      <w:bookmarkStart w:id="785" w:name="_Toc82590402"/>
      <w:r>
        <w:t>: Key findings</w:t>
      </w:r>
      <w:r w:rsidR="002E63BE">
        <w:t xml:space="preserve"> of this evaluation</w:t>
      </w:r>
      <w:bookmarkEnd w:id="785"/>
      <w:r w:rsidR="002E63BE">
        <w:t xml:space="preserve"> </w:t>
      </w:r>
    </w:p>
    <w:tbl>
      <w:tblPr>
        <w:tblStyle w:val="Deloittetable"/>
        <w:tblW w:w="0" w:type="auto"/>
        <w:tblLook w:val="04A0" w:firstRow="1" w:lastRow="0" w:firstColumn="1" w:lastColumn="0" w:noHBand="0" w:noVBand="1"/>
      </w:tblPr>
      <w:tblGrid>
        <w:gridCol w:w="1720"/>
        <w:gridCol w:w="2793"/>
        <w:gridCol w:w="4513"/>
      </w:tblGrid>
      <w:tr w:rsidR="00E42205" w14:paraId="5B1AFD1C" w14:textId="77777777" w:rsidTr="000D5F67">
        <w:trPr>
          <w:cnfStyle w:val="100000000000" w:firstRow="1" w:lastRow="0" w:firstColumn="0" w:lastColumn="0" w:oddVBand="0" w:evenVBand="0" w:oddHBand="0" w:evenHBand="0" w:firstRowFirstColumn="0" w:firstRowLastColumn="0" w:lastRowFirstColumn="0" w:lastRowLastColumn="0"/>
          <w:tblHeader/>
        </w:trPr>
        <w:tc>
          <w:tcPr>
            <w:tcW w:w="9026" w:type="dxa"/>
            <w:gridSpan w:val="3"/>
            <w:tcBorders>
              <w:top w:val="single" w:sz="24" w:space="0" w:color="012169" w:themeColor="accent4"/>
            </w:tcBorders>
          </w:tcPr>
          <w:p w14:paraId="2F5B42B6" w14:textId="1AAB2BED" w:rsidR="00E42205" w:rsidRPr="00F224D7" w:rsidRDefault="002E63BE" w:rsidP="0046051D">
            <w:pPr>
              <w:rPr>
                <w:b/>
                <w:bCs/>
              </w:rPr>
            </w:pPr>
            <w:r>
              <w:rPr>
                <w:b/>
                <w:bCs/>
              </w:rPr>
              <w:t xml:space="preserve">Key findings of this evaluation </w:t>
            </w:r>
          </w:p>
        </w:tc>
      </w:tr>
      <w:tr w:rsidR="002E63BE" w14:paraId="29539BFF" w14:textId="77777777" w:rsidTr="004B28FF">
        <w:tc>
          <w:tcPr>
            <w:tcW w:w="9026" w:type="dxa"/>
            <w:gridSpan w:val="3"/>
          </w:tcPr>
          <w:p w14:paraId="78F6A638" w14:textId="3D839F15" w:rsidR="002E63BE" w:rsidRDefault="002E63BE" w:rsidP="0046051D">
            <w:pPr>
              <w:rPr>
                <w:b/>
                <w:bCs/>
              </w:rPr>
            </w:pPr>
            <w:r>
              <w:rPr>
                <w:b/>
                <w:bCs/>
              </w:rPr>
              <w:t>Pillar 1: Design and implementation of the reforms</w:t>
            </w:r>
          </w:p>
        </w:tc>
      </w:tr>
      <w:tr w:rsidR="00E42205" w14:paraId="35268752" w14:textId="77777777" w:rsidTr="004B28FF">
        <w:tc>
          <w:tcPr>
            <w:tcW w:w="1720" w:type="dxa"/>
          </w:tcPr>
          <w:p w14:paraId="356CEF78" w14:textId="77777777" w:rsidR="00E42205" w:rsidRDefault="00E42205" w:rsidP="0046051D"/>
        </w:tc>
        <w:tc>
          <w:tcPr>
            <w:tcW w:w="7306" w:type="dxa"/>
            <w:gridSpan w:val="2"/>
          </w:tcPr>
          <w:p w14:paraId="2F2B8F55" w14:textId="77777777" w:rsidR="00E42205" w:rsidRPr="00F977D1" w:rsidRDefault="00E42205" w:rsidP="0046051D">
            <w:pPr>
              <w:rPr>
                <w:b/>
              </w:rPr>
            </w:pPr>
            <w:r w:rsidRPr="007A0F59">
              <w:rPr>
                <w:b/>
                <w:bCs/>
              </w:rPr>
              <w:t>Rationale</w:t>
            </w:r>
            <w:r>
              <w:rPr>
                <w:b/>
                <w:bCs/>
              </w:rPr>
              <w:t xml:space="preserve"> and evidence for the 2016 CoOL reforms</w:t>
            </w:r>
          </w:p>
        </w:tc>
      </w:tr>
      <w:tr w:rsidR="00E42205" w14:paraId="34A3A5B5" w14:textId="77777777" w:rsidTr="004B28FF">
        <w:tc>
          <w:tcPr>
            <w:tcW w:w="1720" w:type="dxa"/>
          </w:tcPr>
          <w:p w14:paraId="22222DA8" w14:textId="77777777" w:rsidR="00E42205" w:rsidRDefault="00E42205" w:rsidP="0046051D">
            <w:r>
              <w:t>1</w:t>
            </w:r>
          </w:p>
        </w:tc>
        <w:tc>
          <w:tcPr>
            <w:tcW w:w="7306" w:type="dxa"/>
            <w:gridSpan w:val="2"/>
          </w:tcPr>
          <w:p w14:paraId="143E49D8" w14:textId="191AE3FF" w:rsidR="00E42205" w:rsidRPr="001E4823" w:rsidRDefault="00E42205" w:rsidP="0046051D">
            <w:r>
              <w:t xml:space="preserve">There were several problems with the CoOL regulations that were in place prior to the 2016 reforms, many of which were outlined in the 2014 </w:t>
            </w:r>
            <w:r w:rsidR="004D4ACD">
              <w:t>i</w:t>
            </w:r>
            <w:r>
              <w:t>nquiry and the Colmar Brunton research. These indicated that country of origin information was vague and difficult to understand and</w:t>
            </w:r>
            <w:r w:rsidR="00274F62">
              <w:t>,</w:t>
            </w:r>
            <w:r>
              <w:t xml:space="preserve"> therefore</w:t>
            </w:r>
            <w:r w:rsidR="00274F62">
              <w:t>,</w:t>
            </w:r>
            <w:r>
              <w:t xml:space="preserve"> prone to misleading claims.</w:t>
            </w:r>
          </w:p>
        </w:tc>
      </w:tr>
      <w:tr w:rsidR="00E42205" w14:paraId="767BF645" w14:textId="77777777" w:rsidTr="004B28FF">
        <w:tc>
          <w:tcPr>
            <w:tcW w:w="1720" w:type="dxa"/>
          </w:tcPr>
          <w:p w14:paraId="0518DA1D" w14:textId="77777777" w:rsidR="00E42205" w:rsidRDefault="00E42205" w:rsidP="0046051D">
            <w:r>
              <w:t>2</w:t>
            </w:r>
          </w:p>
        </w:tc>
        <w:tc>
          <w:tcPr>
            <w:tcW w:w="7306" w:type="dxa"/>
            <w:gridSpan w:val="2"/>
          </w:tcPr>
          <w:p w14:paraId="25743758" w14:textId="6101E81C" w:rsidR="00E42205" w:rsidRDefault="00E42205" w:rsidP="0046051D">
            <w:r>
              <w:t xml:space="preserve">The 2016 reforms introduced changes to safe harbour defences and brought in visual indicators (i.e. allowing the use of the Australian Made, Australian Grown </w:t>
            </w:r>
            <w:r w:rsidR="00A26D61">
              <w:t>(</w:t>
            </w:r>
            <w:r>
              <w:t>AMAG</w:t>
            </w:r>
            <w:r w:rsidR="00A26D61">
              <w:t>)</w:t>
            </w:r>
            <w:r>
              <w:t xml:space="preserve"> logo and a bar chart and text identifying the proportion of Australian content), designed to better communicate country of origin information at the point of purchase.</w:t>
            </w:r>
          </w:p>
        </w:tc>
      </w:tr>
      <w:tr w:rsidR="00E42205" w14:paraId="3523444F" w14:textId="77777777" w:rsidTr="004B28FF">
        <w:trPr>
          <w:trHeight w:val="477"/>
        </w:trPr>
        <w:tc>
          <w:tcPr>
            <w:tcW w:w="1720" w:type="dxa"/>
          </w:tcPr>
          <w:p w14:paraId="0CA3A3F7" w14:textId="77777777" w:rsidR="00E42205" w:rsidRDefault="00E42205" w:rsidP="0046051D">
            <w:r>
              <w:t>3</w:t>
            </w:r>
          </w:p>
        </w:tc>
        <w:tc>
          <w:tcPr>
            <w:tcW w:w="7306" w:type="dxa"/>
            <w:gridSpan w:val="2"/>
          </w:tcPr>
          <w:p w14:paraId="7CD5E79C" w14:textId="77777777" w:rsidR="00E42205" w:rsidRPr="00007556" w:rsidRDefault="00E42205" w:rsidP="0046051D">
            <w:r>
              <w:t xml:space="preserve">There are evidence-based links between the CoOL reforms and expected outcomes of the scheme. </w:t>
            </w:r>
          </w:p>
        </w:tc>
      </w:tr>
      <w:tr w:rsidR="00E42205" w14:paraId="0C35E648" w14:textId="77777777" w:rsidTr="004B28FF">
        <w:tc>
          <w:tcPr>
            <w:tcW w:w="1720" w:type="dxa"/>
          </w:tcPr>
          <w:p w14:paraId="25004F43" w14:textId="77777777" w:rsidR="00E42205" w:rsidRDefault="00E42205" w:rsidP="0046051D">
            <w:r>
              <w:t>4</w:t>
            </w:r>
          </w:p>
        </w:tc>
        <w:tc>
          <w:tcPr>
            <w:tcW w:w="7306" w:type="dxa"/>
            <w:gridSpan w:val="2"/>
          </w:tcPr>
          <w:p w14:paraId="17ED7889" w14:textId="77777777" w:rsidR="00E42205" w:rsidRPr="00007556" w:rsidRDefault="00E42205" w:rsidP="0046051D">
            <w:r>
              <w:t xml:space="preserve">There was evidence that the introduction of visual elements with an accompanying awareness campaign would likely assist the achievement of increased consumer understanding of the new labels. </w:t>
            </w:r>
          </w:p>
        </w:tc>
      </w:tr>
      <w:tr w:rsidR="00E42205" w14:paraId="76E82755" w14:textId="77777777" w:rsidTr="004B28FF">
        <w:tc>
          <w:tcPr>
            <w:tcW w:w="1720" w:type="dxa"/>
          </w:tcPr>
          <w:p w14:paraId="0AD008B7" w14:textId="77777777" w:rsidR="00E42205" w:rsidRDefault="00E42205" w:rsidP="0046051D">
            <w:r>
              <w:t>5</w:t>
            </w:r>
          </w:p>
        </w:tc>
        <w:tc>
          <w:tcPr>
            <w:tcW w:w="7306" w:type="dxa"/>
            <w:gridSpan w:val="2"/>
          </w:tcPr>
          <w:p w14:paraId="69EAFC91" w14:textId="7EB0260E" w:rsidR="00E42205" w:rsidRDefault="00E42205" w:rsidP="0046051D">
            <w:r>
              <w:t xml:space="preserve">The provision of updated information and resources on known issues with the scheme and development </w:t>
            </w:r>
            <w:r w:rsidR="00213072">
              <w:t xml:space="preserve">of </w:t>
            </w:r>
            <w:r>
              <w:t>resources for businesses to assist in scheme compliance, was guided by evidence.</w:t>
            </w:r>
          </w:p>
        </w:tc>
      </w:tr>
      <w:tr w:rsidR="00E42205" w14:paraId="2B0C6081" w14:textId="77777777" w:rsidTr="004B28FF">
        <w:tc>
          <w:tcPr>
            <w:tcW w:w="1720" w:type="dxa"/>
          </w:tcPr>
          <w:p w14:paraId="4339CDDB" w14:textId="77777777" w:rsidR="00E42205" w:rsidRDefault="00E42205" w:rsidP="0046051D">
            <w:r>
              <w:t>6</w:t>
            </w:r>
          </w:p>
        </w:tc>
        <w:tc>
          <w:tcPr>
            <w:tcW w:w="7306" w:type="dxa"/>
            <w:gridSpan w:val="2"/>
          </w:tcPr>
          <w:p w14:paraId="1B9B2CA4" w14:textId="265FDFA3" w:rsidR="00E42205" w:rsidRPr="000876E0" w:rsidRDefault="00E42205" w:rsidP="0046051D">
            <w:r w:rsidRPr="002D759D">
              <w:t>There were two main alternative labelling models considered in the 2016 Decision RIS: the previous CoOL framework (</w:t>
            </w:r>
            <w:r w:rsidR="00CA1875">
              <w:t>O</w:t>
            </w:r>
            <w:r w:rsidRPr="002D759D">
              <w:t>ption 1) and the current CoOL framework (option 2). A third option was considered, which was similar to option 2, except with a text</w:t>
            </w:r>
            <w:r w:rsidR="00E86E52">
              <w:t>-</w:t>
            </w:r>
            <w:r w:rsidRPr="002D759D">
              <w:t>only approach to labelling rather than visual indicators.</w:t>
            </w:r>
          </w:p>
        </w:tc>
      </w:tr>
      <w:tr w:rsidR="00E42205" w14:paraId="3E7E9A90" w14:textId="77777777" w:rsidTr="004B28FF">
        <w:tc>
          <w:tcPr>
            <w:tcW w:w="1720" w:type="dxa"/>
          </w:tcPr>
          <w:p w14:paraId="14DEEEF0" w14:textId="77777777" w:rsidR="00E42205" w:rsidRDefault="00E42205" w:rsidP="0046051D">
            <w:r>
              <w:t>7</w:t>
            </w:r>
          </w:p>
        </w:tc>
        <w:tc>
          <w:tcPr>
            <w:tcW w:w="7306" w:type="dxa"/>
            <w:gridSpan w:val="2"/>
          </w:tcPr>
          <w:p w14:paraId="478117E6" w14:textId="77777777" w:rsidR="00E42205" w:rsidRPr="000876E0" w:rsidRDefault="00E42205" w:rsidP="0046051D">
            <w:r w:rsidRPr="002D759D">
              <w:t>It appears unlikely that alternative labelling models considered in the 2016 Decision RIS would have addressed the issues outlined in evaluation question 1 more effectively.</w:t>
            </w:r>
          </w:p>
        </w:tc>
      </w:tr>
      <w:tr w:rsidR="00E42205" w14:paraId="47A1F150" w14:textId="77777777" w:rsidTr="004B28FF">
        <w:tc>
          <w:tcPr>
            <w:tcW w:w="1720" w:type="dxa"/>
          </w:tcPr>
          <w:p w14:paraId="19FC4F25" w14:textId="77777777" w:rsidR="00E42205" w:rsidRDefault="00E42205" w:rsidP="0046051D"/>
        </w:tc>
        <w:tc>
          <w:tcPr>
            <w:tcW w:w="7306" w:type="dxa"/>
            <w:gridSpan w:val="2"/>
          </w:tcPr>
          <w:p w14:paraId="7F750731" w14:textId="77777777" w:rsidR="00E42205" w:rsidRPr="00C20945" w:rsidRDefault="00E42205" w:rsidP="0046051D">
            <w:pPr>
              <w:rPr>
                <w:b/>
                <w:bCs/>
              </w:rPr>
            </w:pPr>
            <w:r>
              <w:rPr>
                <w:b/>
                <w:bCs/>
              </w:rPr>
              <w:t>Implementation of the CoOL reforms</w:t>
            </w:r>
          </w:p>
        </w:tc>
      </w:tr>
      <w:tr w:rsidR="00E42205" w14:paraId="2DFF1D21" w14:textId="77777777" w:rsidTr="004B28FF">
        <w:tc>
          <w:tcPr>
            <w:tcW w:w="1720" w:type="dxa"/>
          </w:tcPr>
          <w:p w14:paraId="2AB3767C" w14:textId="77777777" w:rsidR="00E42205" w:rsidRDefault="00E42205" w:rsidP="0046051D">
            <w:r>
              <w:t>8</w:t>
            </w:r>
          </w:p>
        </w:tc>
        <w:tc>
          <w:tcPr>
            <w:tcW w:w="7306" w:type="dxa"/>
            <w:gridSpan w:val="2"/>
          </w:tcPr>
          <w:p w14:paraId="41D54684" w14:textId="524F64A7" w:rsidR="00E42205" w:rsidRPr="003400DF" w:rsidRDefault="00D0009A" w:rsidP="0046051D">
            <w:pPr>
              <w:pStyle w:val="ListBullet"/>
              <w:numPr>
                <w:ilvl w:val="0"/>
                <w:numId w:val="0"/>
              </w:numPr>
              <w:spacing w:after="170"/>
              <w:ind w:left="-6"/>
            </w:pPr>
            <w:r>
              <w:t xml:space="preserve">Australian </w:t>
            </w:r>
            <w:r w:rsidR="00E42205">
              <w:t>Government stakeholders stated the CoOL reforms were widely considered to be a well implemented reform and in many respects is considered an implementation exemplar.</w:t>
            </w:r>
          </w:p>
        </w:tc>
      </w:tr>
      <w:tr w:rsidR="00E42205" w14:paraId="53DFE6A8" w14:textId="77777777" w:rsidTr="004B28FF">
        <w:tc>
          <w:tcPr>
            <w:tcW w:w="1720" w:type="dxa"/>
          </w:tcPr>
          <w:p w14:paraId="2F0D5966" w14:textId="77777777" w:rsidR="00E42205" w:rsidRDefault="00E42205" w:rsidP="0046051D">
            <w:r>
              <w:lastRenderedPageBreak/>
              <w:t>9</w:t>
            </w:r>
          </w:p>
        </w:tc>
        <w:tc>
          <w:tcPr>
            <w:tcW w:w="7306" w:type="dxa"/>
            <w:gridSpan w:val="2"/>
          </w:tcPr>
          <w:p w14:paraId="2E2B72CD" w14:textId="77777777" w:rsidR="00E42205" w:rsidRPr="003400DF" w:rsidRDefault="00E42205" w:rsidP="0046051D">
            <w:r>
              <w:t>Industry groups and businesses generally acknowledged that the reforms were delivered within their original scope, budget and timeframe.</w:t>
            </w:r>
          </w:p>
        </w:tc>
      </w:tr>
      <w:tr w:rsidR="00E42205" w14:paraId="73751E8F" w14:textId="77777777" w:rsidTr="004B28FF">
        <w:tc>
          <w:tcPr>
            <w:tcW w:w="1720" w:type="dxa"/>
          </w:tcPr>
          <w:p w14:paraId="4FA0A01C" w14:textId="77777777" w:rsidR="00E42205" w:rsidRDefault="00E42205" w:rsidP="0046051D">
            <w:r>
              <w:t>10</w:t>
            </w:r>
          </w:p>
        </w:tc>
        <w:tc>
          <w:tcPr>
            <w:tcW w:w="7306" w:type="dxa"/>
            <w:gridSpan w:val="2"/>
          </w:tcPr>
          <w:p w14:paraId="602B2D48" w14:textId="77777777" w:rsidR="00E42205" w:rsidRPr="003400DF" w:rsidRDefault="00E42205" w:rsidP="0046051D">
            <w:r>
              <w:t>Some businesses suggested a longer transition period than two years would have been appropriate.</w:t>
            </w:r>
          </w:p>
        </w:tc>
      </w:tr>
      <w:tr w:rsidR="00E42205" w14:paraId="3CDC7F3D" w14:textId="77777777" w:rsidTr="004B28FF">
        <w:tc>
          <w:tcPr>
            <w:tcW w:w="1720" w:type="dxa"/>
          </w:tcPr>
          <w:p w14:paraId="6F225A5E" w14:textId="77777777" w:rsidR="00E42205" w:rsidRDefault="00E42205" w:rsidP="0046051D"/>
        </w:tc>
        <w:tc>
          <w:tcPr>
            <w:tcW w:w="7306" w:type="dxa"/>
            <w:gridSpan w:val="2"/>
          </w:tcPr>
          <w:p w14:paraId="13F1C342" w14:textId="77777777" w:rsidR="00E42205" w:rsidRPr="002D759D" w:rsidRDefault="00E42205" w:rsidP="0046051D">
            <w:r w:rsidRPr="00F977D1">
              <w:rPr>
                <w:b/>
              </w:rPr>
              <w:t xml:space="preserve">Flexibility </w:t>
            </w:r>
            <w:r>
              <w:rPr>
                <w:b/>
              </w:rPr>
              <w:t>of the</w:t>
            </w:r>
            <w:r w:rsidRPr="00F977D1">
              <w:rPr>
                <w:b/>
              </w:rPr>
              <w:t xml:space="preserve"> reforms</w:t>
            </w:r>
          </w:p>
        </w:tc>
      </w:tr>
      <w:tr w:rsidR="00E42205" w14:paraId="1928315D" w14:textId="77777777" w:rsidTr="004B28FF">
        <w:tc>
          <w:tcPr>
            <w:tcW w:w="1720" w:type="dxa"/>
          </w:tcPr>
          <w:p w14:paraId="720A0CD7" w14:textId="77777777" w:rsidR="00E42205" w:rsidRDefault="00E42205" w:rsidP="0046051D">
            <w:r>
              <w:t>11</w:t>
            </w:r>
          </w:p>
        </w:tc>
        <w:tc>
          <w:tcPr>
            <w:tcW w:w="7306" w:type="dxa"/>
            <w:gridSpan w:val="2"/>
          </w:tcPr>
          <w:p w14:paraId="069B9177" w14:textId="77777777" w:rsidR="00E42205" w:rsidRPr="000876E0" w:rsidRDefault="00E42205" w:rsidP="0046051D">
            <w:r w:rsidRPr="002D759D">
              <w:t xml:space="preserve">The current CoOL </w:t>
            </w:r>
            <w:r>
              <w:t>scheme is an improvement on the previous scheme, as it</w:t>
            </w:r>
            <w:r w:rsidRPr="002D759D">
              <w:t xml:space="preserve"> provides consumers with more information on the country of origin of their foods. However, there is still a subset of consumers who want more information on non-Australian ingredients.</w:t>
            </w:r>
          </w:p>
        </w:tc>
      </w:tr>
      <w:tr w:rsidR="00E42205" w14:paraId="3ED08460" w14:textId="77777777" w:rsidTr="004B28FF">
        <w:tc>
          <w:tcPr>
            <w:tcW w:w="1720" w:type="dxa"/>
          </w:tcPr>
          <w:p w14:paraId="35FA79ED" w14:textId="77777777" w:rsidR="00E42205" w:rsidRDefault="00E42205" w:rsidP="0046051D">
            <w:r>
              <w:t>12</w:t>
            </w:r>
          </w:p>
        </w:tc>
        <w:tc>
          <w:tcPr>
            <w:tcW w:w="7306" w:type="dxa"/>
            <w:gridSpan w:val="2"/>
          </w:tcPr>
          <w:p w14:paraId="65245B54" w14:textId="77777777" w:rsidR="00E42205" w:rsidRPr="000876E0" w:rsidRDefault="00E42205" w:rsidP="0046051D">
            <w:r w:rsidRPr="002D759D">
              <w:t>Businesses are generally finding CoOL sufficiently flexible under business-as-usual conditions. However, there is a significant minority of businesses who either find CoOL difficult to comply with and/or do not consider it sufficiently flexible.</w:t>
            </w:r>
          </w:p>
        </w:tc>
      </w:tr>
      <w:tr w:rsidR="00E42205" w14:paraId="0CB8CDF7" w14:textId="77777777" w:rsidTr="004B28FF">
        <w:tc>
          <w:tcPr>
            <w:tcW w:w="1720" w:type="dxa"/>
          </w:tcPr>
          <w:p w14:paraId="60732F10" w14:textId="77777777" w:rsidR="00E42205" w:rsidRDefault="00E42205" w:rsidP="0046051D">
            <w:r>
              <w:t>13</w:t>
            </w:r>
          </w:p>
        </w:tc>
        <w:tc>
          <w:tcPr>
            <w:tcW w:w="7306" w:type="dxa"/>
            <w:gridSpan w:val="2"/>
          </w:tcPr>
          <w:p w14:paraId="3DE170FF" w14:textId="77777777" w:rsidR="00E42205" w:rsidRPr="000876E0" w:rsidRDefault="00E42205" w:rsidP="0046051D">
            <w:r w:rsidRPr="002D759D">
              <w:t xml:space="preserve">If it becomes faster and more seamless for consumers to access information about food digitally (which may be a technology that supersedes QR codes), then there could be implications for the current </w:t>
            </w:r>
            <w:r>
              <w:t>scheme</w:t>
            </w:r>
            <w:r w:rsidRPr="002D759D">
              <w:t xml:space="preserve">. However, neither of these factors are sufficiently present at this time to necessitate significant change in terms of the information being provided on label versus digitally. However, both consumer preference and technology require careful monitoring as the </w:t>
            </w:r>
            <w:r>
              <w:t>scheme</w:t>
            </w:r>
            <w:r w:rsidRPr="002D759D">
              <w:t xml:space="preserve"> develops</w:t>
            </w:r>
            <w:r>
              <w:t>.</w:t>
            </w:r>
          </w:p>
        </w:tc>
      </w:tr>
      <w:tr w:rsidR="00E42205" w14:paraId="1A5EB27C" w14:textId="77777777" w:rsidTr="004B28FF">
        <w:tc>
          <w:tcPr>
            <w:tcW w:w="1720" w:type="dxa"/>
          </w:tcPr>
          <w:p w14:paraId="28C242B7" w14:textId="77777777" w:rsidR="00E42205" w:rsidRDefault="00E42205" w:rsidP="0046051D"/>
        </w:tc>
        <w:tc>
          <w:tcPr>
            <w:tcW w:w="7306" w:type="dxa"/>
            <w:gridSpan w:val="2"/>
          </w:tcPr>
          <w:p w14:paraId="3F8632FC" w14:textId="77777777" w:rsidR="00E42205" w:rsidRPr="00F977D1" w:rsidRDefault="00E42205" w:rsidP="0046051D">
            <w:pPr>
              <w:rPr>
                <w:b/>
              </w:rPr>
            </w:pPr>
            <w:r>
              <w:rPr>
                <w:b/>
                <w:bCs/>
              </w:rPr>
              <w:t>Cost-effectiveness</w:t>
            </w:r>
            <w:r>
              <w:rPr>
                <w:b/>
              </w:rPr>
              <w:t xml:space="preserve"> of the reforms</w:t>
            </w:r>
          </w:p>
        </w:tc>
      </w:tr>
      <w:tr w:rsidR="00E42205" w14:paraId="483A0FF6" w14:textId="77777777" w:rsidTr="004B28FF">
        <w:tc>
          <w:tcPr>
            <w:tcW w:w="1720" w:type="dxa"/>
          </w:tcPr>
          <w:p w14:paraId="3DF1F6B8" w14:textId="77777777" w:rsidR="00E42205" w:rsidRDefault="00E42205" w:rsidP="0046051D">
            <w:r>
              <w:t>14</w:t>
            </w:r>
          </w:p>
        </w:tc>
        <w:tc>
          <w:tcPr>
            <w:tcW w:w="7306" w:type="dxa"/>
            <w:gridSpan w:val="2"/>
          </w:tcPr>
          <w:p w14:paraId="0692C91D" w14:textId="77777777" w:rsidR="00E42205" w:rsidRPr="000876E0" w:rsidRDefault="00E42205" w:rsidP="0046051D">
            <w:pPr>
              <w:pStyle w:val="ListBullet"/>
              <w:numPr>
                <w:ilvl w:val="0"/>
                <w:numId w:val="0"/>
              </w:numPr>
              <w:ind w:hanging="7"/>
            </w:pPr>
            <w:r>
              <w:rPr>
                <w:szCs w:val="18"/>
              </w:rPr>
              <w:t>The scheme was sensitive to cost in its design.</w:t>
            </w:r>
            <w:r w:rsidRPr="00E53797">
              <w:rPr>
                <w:szCs w:val="18"/>
              </w:rPr>
              <w:t xml:space="preserve"> </w:t>
            </w:r>
          </w:p>
        </w:tc>
      </w:tr>
      <w:tr w:rsidR="00E42205" w14:paraId="17E685E6" w14:textId="77777777" w:rsidTr="004B28FF">
        <w:tc>
          <w:tcPr>
            <w:tcW w:w="1720" w:type="dxa"/>
          </w:tcPr>
          <w:p w14:paraId="76833392" w14:textId="77777777" w:rsidR="00E42205" w:rsidRDefault="00E42205" w:rsidP="0046051D">
            <w:r>
              <w:t>15</w:t>
            </w:r>
          </w:p>
        </w:tc>
        <w:tc>
          <w:tcPr>
            <w:tcW w:w="7306" w:type="dxa"/>
            <w:gridSpan w:val="2"/>
          </w:tcPr>
          <w:p w14:paraId="225E54C3" w14:textId="77777777" w:rsidR="00E42205" w:rsidRPr="000876E0" w:rsidRDefault="00E42205" w:rsidP="0046051D">
            <w:pPr>
              <w:pStyle w:val="ListBullet"/>
              <w:numPr>
                <w:ilvl w:val="0"/>
                <w:numId w:val="0"/>
              </w:numPr>
              <w:ind w:hanging="7"/>
            </w:pPr>
            <w:r w:rsidRPr="00E53797">
              <w:rPr>
                <w:szCs w:val="18"/>
              </w:rPr>
              <w:t xml:space="preserve">While the cost of introducing the </w:t>
            </w:r>
            <w:r>
              <w:rPr>
                <w:szCs w:val="18"/>
              </w:rPr>
              <w:t>s</w:t>
            </w:r>
            <w:r w:rsidRPr="00E53797">
              <w:rPr>
                <w:szCs w:val="18"/>
              </w:rPr>
              <w:t xml:space="preserve">cheme was </w:t>
            </w:r>
            <w:r w:rsidRPr="00E53797">
              <w:t xml:space="preserve">relatively significant for some businesses, the cost impact appears to have been largely a one off, with ongoing costs of the </w:t>
            </w:r>
            <w:r>
              <w:t>s</w:t>
            </w:r>
            <w:r w:rsidRPr="00E53797">
              <w:t>cheme reportedly relatively minor</w:t>
            </w:r>
            <w:r>
              <w:t>.</w:t>
            </w:r>
            <w:r>
              <w:br/>
            </w:r>
          </w:p>
        </w:tc>
      </w:tr>
      <w:tr w:rsidR="00E42205" w14:paraId="2B54A9FC" w14:textId="77777777" w:rsidTr="004B28FF">
        <w:tc>
          <w:tcPr>
            <w:tcW w:w="9026" w:type="dxa"/>
            <w:gridSpan w:val="3"/>
          </w:tcPr>
          <w:p w14:paraId="01AB7FDB" w14:textId="77777777" w:rsidR="00E42205" w:rsidRPr="00F224D7" w:rsidRDefault="00E42205" w:rsidP="0046051D">
            <w:pPr>
              <w:rPr>
                <w:b/>
                <w:bCs/>
              </w:rPr>
            </w:pPr>
            <w:r>
              <w:rPr>
                <w:b/>
                <w:bCs/>
              </w:rPr>
              <w:t>Pillar 2: Consumer access to origin information</w:t>
            </w:r>
          </w:p>
        </w:tc>
      </w:tr>
      <w:tr w:rsidR="00E42205" w14:paraId="16B92959" w14:textId="77777777" w:rsidTr="004B28FF">
        <w:tc>
          <w:tcPr>
            <w:tcW w:w="1720" w:type="dxa"/>
          </w:tcPr>
          <w:p w14:paraId="6A09EF94" w14:textId="77777777" w:rsidR="00E42205" w:rsidRDefault="00E42205" w:rsidP="0046051D"/>
        </w:tc>
        <w:tc>
          <w:tcPr>
            <w:tcW w:w="7306" w:type="dxa"/>
            <w:gridSpan w:val="2"/>
          </w:tcPr>
          <w:p w14:paraId="1A38F91A" w14:textId="77777777" w:rsidR="00E42205" w:rsidRPr="00F977D1" w:rsidRDefault="00E42205" w:rsidP="0046051D">
            <w:pPr>
              <w:rPr>
                <w:b/>
              </w:rPr>
            </w:pPr>
            <w:r w:rsidRPr="00F977D1">
              <w:rPr>
                <w:b/>
              </w:rPr>
              <w:t>Consumer understanding</w:t>
            </w:r>
            <w:r>
              <w:rPr>
                <w:b/>
                <w:bCs/>
              </w:rPr>
              <w:t xml:space="preserve"> of the origin of their foods</w:t>
            </w:r>
          </w:p>
        </w:tc>
      </w:tr>
      <w:tr w:rsidR="00E42205" w14:paraId="1B498B6D" w14:textId="77777777" w:rsidTr="004B28FF">
        <w:tc>
          <w:tcPr>
            <w:tcW w:w="1720" w:type="dxa"/>
          </w:tcPr>
          <w:p w14:paraId="5873F912" w14:textId="77777777" w:rsidR="00E42205" w:rsidRDefault="00E42205" w:rsidP="0046051D">
            <w:r>
              <w:t>16</w:t>
            </w:r>
          </w:p>
        </w:tc>
        <w:tc>
          <w:tcPr>
            <w:tcW w:w="7306" w:type="dxa"/>
            <w:gridSpan w:val="2"/>
          </w:tcPr>
          <w:p w14:paraId="74271B27" w14:textId="59CED6C5" w:rsidR="00E42205" w:rsidRPr="00F977D1" w:rsidRDefault="00E42205" w:rsidP="0046051D">
            <w:pPr>
              <w:rPr>
                <w:rFonts w:asciiTheme="majorHAnsi" w:hAnsiTheme="majorHAnsi"/>
                <w:lang w:eastAsia="en-AU"/>
              </w:rPr>
            </w:pPr>
            <w:r w:rsidRPr="00F977D1">
              <w:t xml:space="preserve">The CoOL reforms are almost certain to have improved consumer understanding about the origins of their food to some degree. This is because the </w:t>
            </w:r>
            <w:r>
              <w:t>scheme</w:t>
            </w:r>
            <w:r w:rsidRPr="00F977D1">
              <w:t xml:space="preserve"> now provides more information</w:t>
            </w:r>
            <w:r w:rsidR="00660696">
              <w:t>,</w:t>
            </w:r>
            <w:r w:rsidRPr="00F977D1">
              <w:t xml:space="preserve"> which is of higher quality (less prone to misleading claims) in a more consistent manner across a wide range of products.</w:t>
            </w:r>
            <w:r w:rsidRPr="00E53797">
              <w:rPr>
                <w:rFonts w:asciiTheme="majorHAnsi" w:hAnsiTheme="majorHAnsi"/>
                <w:lang w:eastAsia="en-AU"/>
              </w:rPr>
              <w:t xml:space="preserve"> </w:t>
            </w:r>
          </w:p>
        </w:tc>
      </w:tr>
      <w:tr w:rsidR="00E42205" w14:paraId="5F08B0C1" w14:textId="77777777" w:rsidTr="004B28FF">
        <w:tc>
          <w:tcPr>
            <w:tcW w:w="1720" w:type="dxa"/>
          </w:tcPr>
          <w:p w14:paraId="6F768992" w14:textId="77777777" w:rsidR="00E42205" w:rsidRDefault="00E42205" w:rsidP="0046051D">
            <w:r>
              <w:t>17</w:t>
            </w:r>
          </w:p>
        </w:tc>
        <w:tc>
          <w:tcPr>
            <w:tcW w:w="7306" w:type="dxa"/>
            <w:gridSpan w:val="2"/>
          </w:tcPr>
          <w:p w14:paraId="31888FFD" w14:textId="77777777" w:rsidR="00E42205" w:rsidRPr="0093790A" w:rsidRDefault="00E42205" w:rsidP="0046051D">
            <w:r>
              <w:t>S</w:t>
            </w:r>
            <w:r w:rsidRPr="00F977D1">
              <w:t xml:space="preserve">ignificant areas of uncertainty remain, driven in part by factors that are a legacy of the previous </w:t>
            </w:r>
            <w:r>
              <w:t>scheme</w:t>
            </w:r>
            <w:r w:rsidRPr="00F977D1">
              <w:t xml:space="preserve"> and partly by the variability in consumer preferences and interpretation of the information provided. </w:t>
            </w:r>
          </w:p>
        </w:tc>
      </w:tr>
      <w:tr w:rsidR="00E42205" w14:paraId="1885BD35" w14:textId="77777777" w:rsidTr="004B28FF">
        <w:tc>
          <w:tcPr>
            <w:tcW w:w="1720" w:type="dxa"/>
          </w:tcPr>
          <w:p w14:paraId="6B71BFC4" w14:textId="77777777" w:rsidR="00E42205" w:rsidRDefault="00E42205" w:rsidP="0046051D">
            <w:r>
              <w:t>18</w:t>
            </w:r>
          </w:p>
        </w:tc>
        <w:tc>
          <w:tcPr>
            <w:tcW w:w="7306" w:type="dxa"/>
            <w:gridSpan w:val="2"/>
          </w:tcPr>
          <w:p w14:paraId="05D6B260" w14:textId="77777777" w:rsidR="00E42205" w:rsidRPr="00654CDA" w:rsidRDefault="00E42205" w:rsidP="0046051D">
            <w:r w:rsidRPr="00654CDA">
              <w:t xml:space="preserve">While </w:t>
            </w:r>
            <w:r>
              <w:t xml:space="preserve">many </w:t>
            </w:r>
            <w:r w:rsidRPr="00654CDA">
              <w:t xml:space="preserve">consumers report </w:t>
            </w:r>
            <w:r>
              <w:t>to</w:t>
            </w:r>
            <w:r w:rsidRPr="00654CDA">
              <w:t xml:space="preserve"> understan</w:t>
            </w:r>
            <w:r>
              <w:t>d</w:t>
            </w:r>
            <w:r w:rsidRPr="00654CDA">
              <w:t xml:space="preserve"> the</w:t>
            </w:r>
            <w:r>
              <w:t xml:space="preserve"> labels, there is in fact widespread misinterpretation of the information presented. </w:t>
            </w:r>
          </w:p>
        </w:tc>
      </w:tr>
      <w:tr w:rsidR="00E42205" w14:paraId="06B924D8" w14:textId="77777777" w:rsidTr="004B28FF">
        <w:tc>
          <w:tcPr>
            <w:tcW w:w="1720" w:type="dxa"/>
          </w:tcPr>
          <w:p w14:paraId="5DB853CC" w14:textId="77777777" w:rsidR="00E42205" w:rsidRDefault="00E42205" w:rsidP="0046051D"/>
        </w:tc>
        <w:tc>
          <w:tcPr>
            <w:tcW w:w="7306" w:type="dxa"/>
            <w:gridSpan w:val="2"/>
          </w:tcPr>
          <w:p w14:paraId="0373A622" w14:textId="77777777" w:rsidR="00E42205" w:rsidRPr="00F977D1" w:rsidRDefault="00E42205" w:rsidP="0046051D">
            <w:pPr>
              <w:rPr>
                <w:b/>
              </w:rPr>
            </w:pPr>
            <w:r>
              <w:rPr>
                <w:b/>
                <w:bCs/>
              </w:rPr>
              <w:t>Differentiation between priority and non-priority foods</w:t>
            </w:r>
          </w:p>
        </w:tc>
      </w:tr>
      <w:tr w:rsidR="00E42205" w14:paraId="32866A8C" w14:textId="77777777" w:rsidTr="004B28FF">
        <w:tc>
          <w:tcPr>
            <w:tcW w:w="1720" w:type="dxa"/>
          </w:tcPr>
          <w:p w14:paraId="07C738AE" w14:textId="77777777" w:rsidR="00E42205" w:rsidRDefault="00E42205" w:rsidP="0046051D">
            <w:r>
              <w:t>19</w:t>
            </w:r>
          </w:p>
        </w:tc>
        <w:tc>
          <w:tcPr>
            <w:tcW w:w="7306" w:type="dxa"/>
            <w:gridSpan w:val="2"/>
          </w:tcPr>
          <w:p w14:paraId="00D62642" w14:textId="47134376" w:rsidR="00E42205" w:rsidRPr="0093790A" w:rsidRDefault="00E42205" w:rsidP="0046051D">
            <w:r w:rsidRPr="00ED1A5B">
              <w:t>While there is some support from both business and consumers to remove the non</w:t>
            </w:r>
            <w:r w:rsidR="00660696">
              <w:noBreakHyphen/>
            </w:r>
            <w:r w:rsidRPr="00ED1A5B">
              <w:t>priority foods category, there are different drivers. Industry has regard to the logic of non-priority foods and whether this is sound and aligned with how business (across manufacturing and retail) understands product categories. Consumers appear to be mainly referring to the desire for consistency across all food products.</w:t>
            </w:r>
          </w:p>
        </w:tc>
      </w:tr>
      <w:tr w:rsidR="00E42205" w14:paraId="42AA60D7" w14:textId="77777777" w:rsidTr="004B28FF">
        <w:tc>
          <w:tcPr>
            <w:tcW w:w="1720" w:type="dxa"/>
          </w:tcPr>
          <w:p w14:paraId="69B25C04" w14:textId="77777777" w:rsidR="00E42205" w:rsidRDefault="00E42205" w:rsidP="0046051D">
            <w:r>
              <w:t>20</w:t>
            </w:r>
          </w:p>
        </w:tc>
        <w:tc>
          <w:tcPr>
            <w:tcW w:w="7306" w:type="dxa"/>
            <w:gridSpan w:val="2"/>
          </w:tcPr>
          <w:p w14:paraId="7A810504" w14:textId="77777777" w:rsidR="00E42205" w:rsidRPr="0093790A" w:rsidRDefault="00E42205" w:rsidP="0046051D">
            <w:r>
              <w:t xml:space="preserve">There is insufficient evidence at the present time to support the removal of the non-priority list given the cost of change and relatively low interest from consumers. </w:t>
            </w:r>
          </w:p>
        </w:tc>
      </w:tr>
      <w:tr w:rsidR="00E42205" w14:paraId="5F3F8651" w14:textId="77777777" w:rsidTr="004B28FF">
        <w:tc>
          <w:tcPr>
            <w:tcW w:w="1720" w:type="dxa"/>
          </w:tcPr>
          <w:p w14:paraId="1D51F1A6" w14:textId="77777777" w:rsidR="00E42205" w:rsidRDefault="00E42205" w:rsidP="0046051D">
            <w:r>
              <w:t>21</w:t>
            </w:r>
          </w:p>
        </w:tc>
        <w:tc>
          <w:tcPr>
            <w:tcW w:w="7306" w:type="dxa"/>
            <w:gridSpan w:val="2"/>
          </w:tcPr>
          <w:p w14:paraId="6BB0231A" w14:textId="77777777" w:rsidR="00E42205" w:rsidRPr="0093790A" w:rsidRDefault="00E42205" w:rsidP="0046051D">
            <w:r w:rsidRPr="00F977D1">
              <w:t xml:space="preserve">There could be a case for better aligning CoOL with established product categories if this were to ease the compliance burden while being aligned with consumer needs. </w:t>
            </w:r>
          </w:p>
        </w:tc>
      </w:tr>
      <w:tr w:rsidR="00E42205" w14:paraId="6110084F" w14:textId="77777777" w:rsidTr="004B28FF">
        <w:tc>
          <w:tcPr>
            <w:tcW w:w="1720" w:type="dxa"/>
          </w:tcPr>
          <w:p w14:paraId="2310C498" w14:textId="77777777" w:rsidR="00E42205" w:rsidRDefault="00E42205" w:rsidP="0046051D">
            <w:r>
              <w:t>22</w:t>
            </w:r>
          </w:p>
        </w:tc>
        <w:tc>
          <w:tcPr>
            <w:tcW w:w="7306" w:type="dxa"/>
            <w:gridSpan w:val="2"/>
          </w:tcPr>
          <w:p w14:paraId="5552B5A9" w14:textId="0A29FEAA" w:rsidR="00E42205" w:rsidRDefault="00E42205" w:rsidP="0046051D">
            <w:r w:rsidRPr="002D759D">
              <w:t>Any change</w:t>
            </w:r>
            <w:r>
              <w:t xml:space="preserve"> to CoOL</w:t>
            </w:r>
            <w:r w:rsidRPr="002D759D">
              <w:t xml:space="preserve"> is likely to have significant cost implications. At this time</w:t>
            </w:r>
            <w:r w:rsidR="00064A77">
              <w:t>,</w:t>
            </w:r>
            <w:r w:rsidRPr="002D759D">
              <w:t xml:space="preserve"> the net benefit of removing the non-priority list is likely to be marginal</w:t>
            </w:r>
            <w:r>
              <w:t xml:space="preserve"> at best</w:t>
            </w:r>
            <w:r w:rsidRPr="002D759D">
              <w:t>.</w:t>
            </w:r>
          </w:p>
        </w:tc>
      </w:tr>
      <w:tr w:rsidR="00E42205" w14:paraId="54CCC955" w14:textId="77777777" w:rsidTr="004B28FF">
        <w:tc>
          <w:tcPr>
            <w:tcW w:w="1720" w:type="dxa"/>
          </w:tcPr>
          <w:p w14:paraId="3F1B9877" w14:textId="77777777" w:rsidR="00E42205" w:rsidRDefault="00E42205" w:rsidP="0046051D"/>
        </w:tc>
        <w:tc>
          <w:tcPr>
            <w:tcW w:w="7306" w:type="dxa"/>
            <w:gridSpan w:val="2"/>
          </w:tcPr>
          <w:p w14:paraId="20B4D7F0" w14:textId="77777777" w:rsidR="00E42205" w:rsidRPr="00F977D1" w:rsidRDefault="00E42205" w:rsidP="0046051D">
            <w:pPr>
              <w:rPr>
                <w:b/>
              </w:rPr>
            </w:pPr>
            <w:r>
              <w:rPr>
                <w:b/>
                <w:bCs/>
              </w:rPr>
              <w:t>Appropriateness of the exemption for foodservice</w:t>
            </w:r>
          </w:p>
        </w:tc>
      </w:tr>
      <w:tr w:rsidR="00E42205" w14:paraId="7D5341DA" w14:textId="77777777" w:rsidTr="004B28FF">
        <w:tc>
          <w:tcPr>
            <w:tcW w:w="1720" w:type="dxa"/>
          </w:tcPr>
          <w:p w14:paraId="4F54B618" w14:textId="77777777" w:rsidR="00E42205" w:rsidRDefault="00E42205" w:rsidP="0046051D">
            <w:r>
              <w:t>23</w:t>
            </w:r>
          </w:p>
        </w:tc>
        <w:tc>
          <w:tcPr>
            <w:tcW w:w="7306" w:type="dxa"/>
            <w:gridSpan w:val="2"/>
          </w:tcPr>
          <w:p w14:paraId="7FDA85FD" w14:textId="77777777" w:rsidR="00E42205" w:rsidRPr="0093790A" w:rsidRDefault="00E42205" w:rsidP="0046051D">
            <w:r w:rsidRPr="00F977D1">
              <w:t>While there may be some consumer and business benefit in providing increased country of origin information in foodservice settings</w:t>
            </w:r>
            <w:r>
              <w:t xml:space="preserve"> (e.g. restaurants and cafes)</w:t>
            </w:r>
            <w:r w:rsidRPr="00F977D1">
              <w:t>, any such proposal must be sensitive to the distinct sectors comprising foodservices.</w:t>
            </w:r>
          </w:p>
        </w:tc>
      </w:tr>
      <w:tr w:rsidR="00E42205" w14:paraId="7B008740" w14:textId="77777777" w:rsidTr="004B28FF">
        <w:tc>
          <w:tcPr>
            <w:tcW w:w="1720" w:type="dxa"/>
          </w:tcPr>
          <w:p w14:paraId="7E124DA4" w14:textId="77777777" w:rsidR="00E42205" w:rsidRDefault="00E42205" w:rsidP="0046051D">
            <w:r>
              <w:t>24</w:t>
            </w:r>
          </w:p>
        </w:tc>
        <w:tc>
          <w:tcPr>
            <w:tcW w:w="7306" w:type="dxa"/>
            <w:gridSpan w:val="2"/>
          </w:tcPr>
          <w:p w14:paraId="1F3979C0" w14:textId="490FD823" w:rsidR="00E42205" w:rsidRPr="0093790A" w:rsidRDefault="00E42205" w:rsidP="0046051D">
            <w:r w:rsidRPr="00F977D1">
              <w:t xml:space="preserve">It is likely that the practical and cost considerations associated with expanding CoOL in the wider foodservices sector make it more amenable to use in the </w:t>
            </w:r>
            <w:r w:rsidR="007A76A1">
              <w:t>fast</w:t>
            </w:r>
            <w:r w:rsidR="0051046E">
              <w:t>-</w:t>
            </w:r>
            <w:r w:rsidR="007A76A1">
              <w:t>food</w:t>
            </w:r>
            <w:r w:rsidRPr="00F977D1">
              <w:t xml:space="preserve"> sector, particularly in those businesses with a fairly standard menu across restaurants. </w:t>
            </w:r>
            <w:r>
              <w:t>However, it would be challenging to mandate CoOL only in certain types of foodservice businesses.</w:t>
            </w:r>
          </w:p>
        </w:tc>
      </w:tr>
      <w:tr w:rsidR="00E42205" w14:paraId="72AB5674" w14:textId="77777777" w:rsidTr="004B28FF">
        <w:tc>
          <w:tcPr>
            <w:tcW w:w="1720" w:type="dxa"/>
          </w:tcPr>
          <w:p w14:paraId="5E518D8C" w14:textId="77777777" w:rsidR="00E42205" w:rsidRDefault="00E42205" w:rsidP="0046051D">
            <w:r>
              <w:t>25</w:t>
            </w:r>
          </w:p>
        </w:tc>
        <w:tc>
          <w:tcPr>
            <w:tcW w:w="7306" w:type="dxa"/>
            <w:gridSpan w:val="2"/>
          </w:tcPr>
          <w:p w14:paraId="79B011E4" w14:textId="77777777" w:rsidR="00E42205" w:rsidRPr="0093790A" w:rsidRDefault="00E42205" w:rsidP="0046051D">
            <w:r w:rsidRPr="00F977D1">
              <w:t xml:space="preserve">The mandating of CoOL </w:t>
            </w:r>
            <w:r>
              <w:t>would not</w:t>
            </w:r>
            <w:r w:rsidRPr="00F977D1">
              <w:t xml:space="preserve"> be practical in individual cafes and restaurants if applied at the individual dish or ingredient level. </w:t>
            </w:r>
          </w:p>
        </w:tc>
      </w:tr>
      <w:tr w:rsidR="00E42205" w14:paraId="76315326" w14:textId="77777777" w:rsidTr="004B28FF">
        <w:tc>
          <w:tcPr>
            <w:tcW w:w="1720" w:type="dxa"/>
          </w:tcPr>
          <w:p w14:paraId="32209F72" w14:textId="77777777" w:rsidR="00E42205" w:rsidRDefault="00E42205" w:rsidP="0046051D">
            <w:r>
              <w:t>26</w:t>
            </w:r>
          </w:p>
        </w:tc>
        <w:tc>
          <w:tcPr>
            <w:tcW w:w="7306" w:type="dxa"/>
            <w:gridSpan w:val="2"/>
          </w:tcPr>
          <w:p w14:paraId="2891A345" w14:textId="77777777" w:rsidR="00E42205" w:rsidRDefault="00E42205" w:rsidP="0046051D">
            <w:r w:rsidRPr="0094635F">
              <w:t>Allowing an alternative claim</w:t>
            </w:r>
            <w:r w:rsidRPr="00F977D1">
              <w:t xml:space="preserve"> indicating the commitment of an individual foodservice business to sourcing Australian ingredients </w:t>
            </w:r>
            <w:r w:rsidRPr="0094635F">
              <w:t>might</w:t>
            </w:r>
            <w:r w:rsidRPr="00F977D1">
              <w:t xml:space="preserve"> be </w:t>
            </w:r>
            <w:r w:rsidRPr="0094635F">
              <w:t>possible, but could run the risk of not</w:t>
            </w:r>
            <w:r w:rsidRPr="00F977D1">
              <w:t xml:space="preserve"> conveying accurate and useful information to consumers.</w:t>
            </w:r>
          </w:p>
        </w:tc>
      </w:tr>
      <w:tr w:rsidR="00E42205" w14:paraId="30F99AD6" w14:textId="77777777" w:rsidTr="004B28FF">
        <w:tc>
          <w:tcPr>
            <w:tcW w:w="1720" w:type="dxa"/>
          </w:tcPr>
          <w:p w14:paraId="5D4FC4C6" w14:textId="77777777" w:rsidR="00E42205" w:rsidRDefault="00E42205" w:rsidP="0046051D"/>
        </w:tc>
        <w:tc>
          <w:tcPr>
            <w:tcW w:w="7306" w:type="dxa"/>
            <w:gridSpan w:val="2"/>
          </w:tcPr>
          <w:p w14:paraId="583CD664" w14:textId="77777777" w:rsidR="00E42205" w:rsidRPr="00E91468" w:rsidRDefault="00E42205" w:rsidP="0046051D">
            <w:pPr>
              <w:rPr>
                <w:b/>
                <w:bCs/>
              </w:rPr>
            </w:pPr>
            <w:r w:rsidRPr="00E91468">
              <w:rPr>
                <w:b/>
                <w:bCs/>
              </w:rPr>
              <w:t>Made in claim, AMAG logo, bar chart</w:t>
            </w:r>
          </w:p>
        </w:tc>
      </w:tr>
      <w:tr w:rsidR="00125B85" w14:paraId="0FC79AA4" w14:textId="77777777" w:rsidTr="004B28FF">
        <w:tc>
          <w:tcPr>
            <w:tcW w:w="1720" w:type="dxa"/>
          </w:tcPr>
          <w:p w14:paraId="72B5DBC8" w14:textId="77777777" w:rsidR="00125B85" w:rsidRPr="007D5478" w:rsidRDefault="00125B85" w:rsidP="00125B85">
            <w:r>
              <w:t>27</w:t>
            </w:r>
          </w:p>
        </w:tc>
        <w:tc>
          <w:tcPr>
            <w:tcW w:w="7306" w:type="dxa"/>
            <w:gridSpan w:val="2"/>
          </w:tcPr>
          <w:p w14:paraId="45BD71E8" w14:textId="7FE3A17C" w:rsidR="00125B85" w:rsidRPr="007D5478" w:rsidRDefault="00125B85" w:rsidP="00125B85">
            <w:r w:rsidRPr="007D5478">
              <w:t>There may be an opportunity to further refine definition(s) and explanations of this and other claims through the regulations and accompanying explanatory material.</w:t>
            </w:r>
            <w:r>
              <w:t xml:space="preserve"> This should address aspects of the labelling consumers have identified as </w:t>
            </w:r>
            <w:r w:rsidRPr="00B87418">
              <w:t xml:space="preserve">confusing to interpret or misleading, </w:t>
            </w:r>
            <w:r>
              <w:t xml:space="preserve">such </w:t>
            </w:r>
            <w:r w:rsidRPr="00B87418">
              <w:t xml:space="preserve">as the symbol </w:t>
            </w:r>
            <w:r>
              <w:t>being</w:t>
            </w:r>
            <w:r w:rsidRPr="00B87418">
              <w:t xml:space="preserve"> associated with Australian ingredients</w:t>
            </w:r>
            <w:r>
              <w:t>,</w:t>
            </w:r>
            <w:r w:rsidRPr="00B87418">
              <w:t xml:space="preserve"> as well as manufacturing</w:t>
            </w:r>
            <w:r>
              <w:t xml:space="preserve">, and explaining </w:t>
            </w:r>
            <w:r w:rsidRPr="00BF4ADB">
              <w:t xml:space="preserve">the criteria for a product to be </w:t>
            </w:r>
            <w:r>
              <w:t>‘</w:t>
            </w:r>
            <w:r w:rsidRPr="00BF4ADB">
              <w:t>Made in Australia</w:t>
            </w:r>
            <w:r>
              <w:t>’</w:t>
            </w:r>
            <w:r w:rsidRPr="00BF4ADB">
              <w:t xml:space="preserve"> to better reflect consumer perceptions.</w:t>
            </w:r>
          </w:p>
        </w:tc>
      </w:tr>
      <w:tr w:rsidR="00125B85" w14:paraId="4BBBDEAC" w14:textId="77777777" w:rsidTr="004B28FF">
        <w:tc>
          <w:tcPr>
            <w:tcW w:w="1720" w:type="dxa"/>
          </w:tcPr>
          <w:p w14:paraId="77843262" w14:textId="77777777" w:rsidR="00125B85" w:rsidRDefault="00125B85" w:rsidP="00125B85">
            <w:r>
              <w:lastRenderedPageBreak/>
              <w:t>28</w:t>
            </w:r>
          </w:p>
        </w:tc>
        <w:tc>
          <w:tcPr>
            <w:tcW w:w="7306" w:type="dxa"/>
            <w:gridSpan w:val="2"/>
          </w:tcPr>
          <w:p w14:paraId="258DCB45" w14:textId="3B555DA8" w:rsidR="00125B85" w:rsidRPr="00254506" w:rsidRDefault="00125B85" w:rsidP="00125B85">
            <w:r w:rsidRPr="00254506">
              <w:t xml:space="preserve">The use of the AMAG logo combined with the bar chart does provide consumers with more information that is more accurate than the previous scheme. </w:t>
            </w:r>
          </w:p>
        </w:tc>
      </w:tr>
      <w:tr w:rsidR="00125B85" w14:paraId="49EE1C7F" w14:textId="77777777" w:rsidTr="004B28FF">
        <w:tc>
          <w:tcPr>
            <w:tcW w:w="1720" w:type="dxa"/>
          </w:tcPr>
          <w:p w14:paraId="015A46B4" w14:textId="77777777" w:rsidR="00125B85" w:rsidRDefault="00125B85" w:rsidP="00125B85">
            <w:r>
              <w:t>29</w:t>
            </w:r>
          </w:p>
        </w:tc>
        <w:tc>
          <w:tcPr>
            <w:tcW w:w="7306" w:type="dxa"/>
            <w:gridSpan w:val="2"/>
          </w:tcPr>
          <w:p w14:paraId="7F570F2D" w14:textId="53815C30" w:rsidR="00125B85" w:rsidRPr="00462915" w:rsidRDefault="00125B85" w:rsidP="00125B85">
            <w:pPr>
              <w:rPr>
                <w:highlight w:val="yellow"/>
              </w:rPr>
            </w:pPr>
            <w:r w:rsidRPr="006B22EA">
              <w:t xml:space="preserve">Despite this, there is an ongoing issue regarding consumer understanding of the ‘Made </w:t>
            </w:r>
            <w:r>
              <w:t>i</w:t>
            </w:r>
            <w:r w:rsidRPr="006B22EA">
              <w:t>n’ claim</w:t>
            </w:r>
            <w:r>
              <w:t>, including how to interpret the label and the extent to which consumers’ understanding is consistent with the ‘Made in’ claims, particularly where the share of Australian ingredients is low.</w:t>
            </w:r>
            <w:r w:rsidRPr="006B22EA">
              <w:t xml:space="preserve"> This issue predates the current scheme. It is likely that the current </w:t>
            </w:r>
            <w:r>
              <w:t>scheme</w:t>
            </w:r>
            <w:r w:rsidRPr="006B22EA">
              <w:t xml:space="preserve"> is surfacing this issue because consumers can see that a product making this claim is not necessarily wholly or predominantly sourced from Australian ingredients.</w:t>
            </w:r>
          </w:p>
        </w:tc>
      </w:tr>
      <w:tr w:rsidR="00E42205" w14:paraId="0959058B" w14:textId="77777777" w:rsidTr="004B28FF">
        <w:tc>
          <w:tcPr>
            <w:tcW w:w="1720" w:type="dxa"/>
          </w:tcPr>
          <w:p w14:paraId="4EC80FC6" w14:textId="77777777" w:rsidR="00E42205" w:rsidRDefault="00E42205" w:rsidP="0046051D">
            <w:r>
              <w:t>30</w:t>
            </w:r>
          </w:p>
        </w:tc>
        <w:tc>
          <w:tcPr>
            <w:tcW w:w="7306" w:type="dxa"/>
            <w:gridSpan w:val="2"/>
          </w:tcPr>
          <w:p w14:paraId="6C11FE63" w14:textId="77777777" w:rsidR="00E42205" w:rsidRPr="00B460C9" w:rsidRDefault="00E42205" w:rsidP="0046051D">
            <w:r w:rsidRPr="00B460C9">
              <w:t>It may be appropriate to limit misunderstanding in this area by providing additional communication, including possibly a refreshed awareness campaign.</w:t>
            </w:r>
          </w:p>
        </w:tc>
      </w:tr>
      <w:tr w:rsidR="00E42205" w14:paraId="689D2D18" w14:textId="77777777" w:rsidTr="004B28FF">
        <w:tc>
          <w:tcPr>
            <w:tcW w:w="1720" w:type="dxa"/>
          </w:tcPr>
          <w:p w14:paraId="3736566D" w14:textId="77777777" w:rsidR="00E42205" w:rsidRDefault="00E42205" w:rsidP="0046051D"/>
        </w:tc>
        <w:tc>
          <w:tcPr>
            <w:tcW w:w="7306" w:type="dxa"/>
            <w:gridSpan w:val="2"/>
          </w:tcPr>
          <w:p w14:paraId="3A9E5E87" w14:textId="77777777" w:rsidR="00E42205" w:rsidRPr="00F977D1" w:rsidRDefault="00E42205" w:rsidP="0046051D">
            <w:pPr>
              <w:rPr>
                <w:b/>
              </w:rPr>
            </w:pPr>
            <w:r>
              <w:rPr>
                <w:b/>
                <w:bCs/>
              </w:rPr>
              <w:t>CoOL requirements for o</w:t>
            </w:r>
            <w:r w:rsidRPr="00F977D1">
              <w:rPr>
                <w:b/>
                <w:bCs/>
              </w:rPr>
              <w:t>nline sales</w:t>
            </w:r>
          </w:p>
        </w:tc>
      </w:tr>
      <w:tr w:rsidR="00E42205" w14:paraId="78AC4CC7" w14:textId="77777777" w:rsidTr="004B28FF">
        <w:tc>
          <w:tcPr>
            <w:tcW w:w="1720" w:type="dxa"/>
          </w:tcPr>
          <w:p w14:paraId="70D7D991" w14:textId="77777777" w:rsidR="00E42205" w:rsidRDefault="00E42205" w:rsidP="0046051D">
            <w:r>
              <w:t>31</w:t>
            </w:r>
          </w:p>
        </w:tc>
        <w:tc>
          <w:tcPr>
            <w:tcW w:w="7306" w:type="dxa"/>
            <w:gridSpan w:val="2"/>
          </w:tcPr>
          <w:p w14:paraId="23C28670" w14:textId="77777777" w:rsidR="00E42205" w:rsidRPr="0093790A" w:rsidRDefault="00E42205" w:rsidP="0046051D">
            <w:r w:rsidRPr="00F977D1">
              <w:t xml:space="preserve">There is now significant information about food being provided online, about country of origin and other aspects of food. The </w:t>
            </w:r>
            <w:r>
              <w:t>two major</w:t>
            </w:r>
            <w:r w:rsidRPr="00F977D1">
              <w:t xml:space="preserve"> retailers now provide country of origin information online for </w:t>
            </w:r>
            <w:r>
              <w:t>many</w:t>
            </w:r>
            <w:r w:rsidRPr="00F977D1">
              <w:t xml:space="preserve"> product</w:t>
            </w:r>
            <w:r>
              <w:t>s</w:t>
            </w:r>
            <w:r w:rsidRPr="00F977D1">
              <w:t>. This represents a significant proportion of all food sold online</w:t>
            </w:r>
            <w:r>
              <w:t xml:space="preserve"> in Australia</w:t>
            </w:r>
            <w:r w:rsidRPr="00F977D1">
              <w:t xml:space="preserve">. Consequently, the </w:t>
            </w:r>
            <w:r>
              <w:t>scheme</w:t>
            </w:r>
            <w:r w:rsidRPr="00F977D1">
              <w:t xml:space="preserve"> has increased the information provided online, despite it not being mandated by regulation</w:t>
            </w:r>
            <w:r>
              <w:t>.</w:t>
            </w:r>
          </w:p>
        </w:tc>
      </w:tr>
      <w:tr w:rsidR="00E42205" w14:paraId="5ED19C19" w14:textId="77777777" w:rsidTr="004B28FF">
        <w:tc>
          <w:tcPr>
            <w:tcW w:w="1720" w:type="dxa"/>
          </w:tcPr>
          <w:p w14:paraId="050A632F" w14:textId="77777777" w:rsidR="00E42205" w:rsidRDefault="00E42205" w:rsidP="0046051D">
            <w:r>
              <w:t>32</w:t>
            </w:r>
          </w:p>
        </w:tc>
        <w:tc>
          <w:tcPr>
            <w:tcW w:w="7306" w:type="dxa"/>
            <w:gridSpan w:val="2"/>
          </w:tcPr>
          <w:p w14:paraId="7A8BC355" w14:textId="77777777" w:rsidR="00E42205" w:rsidRPr="0093790A" w:rsidRDefault="00E42205" w:rsidP="0046051D">
            <w:r w:rsidRPr="00006B8B">
              <w:t>If regulations were to require the provision of this information for all food sold online, this would impose a disproportionately high cost on smaller sellers because large retailers have economies of s</w:t>
            </w:r>
            <w:r>
              <w:t>c</w:t>
            </w:r>
            <w:r w:rsidRPr="00006B8B">
              <w:t>ale and generally have already made the change.</w:t>
            </w:r>
          </w:p>
        </w:tc>
      </w:tr>
      <w:tr w:rsidR="00E42205" w14:paraId="32B6E17D" w14:textId="77777777" w:rsidTr="004B28FF">
        <w:tc>
          <w:tcPr>
            <w:tcW w:w="1720" w:type="dxa"/>
          </w:tcPr>
          <w:p w14:paraId="2A5E4D9D" w14:textId="77777777" w:rsidR="00E42205" w:rsidRDefault="00E42205" w:rsidP="0046051D">
            <w:r>
              <w:t>33</w:t>
            </w:r>
          </w:p>
        </w:tc>
        <w:tc>
          <w:tcPr>
            <w:tcW w:w="7306" w:type="dxa"/>
            <w:gridSpan w:val="2"/>
          </w:tcPr>
          <w:p w14:paraId="7ED45467" w14:textId="77777777" w:rsidR="00E42205" w:rsidRPr="0093790A" w:rsidRDefault="00E42205" w:rsidP="0046051D">
            <w:r w:rsidRPr="00F977D1">
              <w:t>Any expansion of the regulation to more online sales would need to provide a clear net benefit to consumers, taking account of the cost this would impose on business.</w:t>
            </w:r>
          </w:p>
        </w:tc>
      </w:tr>
      <w:tr w:rsidR="00E42205" w14:paraId="5243CE87" w14:textId="77777777" w:rsidTr="004B28FF">
        <w:tc>
          <w:tcPr>
            <w:tcW w:w="1720" w:type="dxa"/>
          </w:tcPr>
          <w:p w14:paraId="2CF54BCF" w14:textId="77777777" w:rsidR="00E42205" w:rsidRDefault="00E42205" w:rsidP="0046051D"/>
        </w:tc>
        <w:tc>
          <w:tcPr>
            <w:tcW w:w="7306" w:type="dxa"/>
            <w:gridSpan w:val="2"/>
          </w:tcPr>
          <w:p w14:paraId="5969FE0B" w14:textId="77777777" w:rsidR="00E42205" w:rsidRPr="00F977D1" w:rsidRDefault="00E42205" w:rsidP="0046051D">
            <w:pPr>
              <w:rPr>
                <w:b/>
              </w:rPr>
            </w:pPr>
            <w:r>
              <w:rPr>
                <w:b/>
                <w:bCs/>
              </w:rPr>
              <w:t>Communication activities and online resources</w:t>
            </w:r>
          </w:p>
        </w:tc>
      </w:tr>
      <w:tr w:rsidR="00E42205" w14:paraId="7A05A04C" w14:textId="77777777" w:rsidTr="004B28FF">
        <w:tc>
          <w:tcPr>
            <w:tcW w:w="1720" w:type="dxa"/>
          </w:tcPr>
          <w:p w14:paraId="0E56E56A" w14:textId="77777777" w:rsidR="00E42205" w:rsidRDefault="00E42205" w:rsidP="0046051D">
            <w:r>
              <w:t>34</w:t>
            </w:r>
          </w:p>
        </w:tc>
        <w:tc>
          <w:tcPr>
            <w:tcW w:w="7306" w:type="dxa"/>
            <w:gridSpan w:val="2"/>
          </w:tcPr>
          <w:p w14:paraId="36ABDB37" w14:textId="733CBCBC" w:rsidR="00E42205" w:rsidRPr="000B0903" w:rsidRDefault="00E42205" w:rsidP="0046051D">
            <w:r w:rsidRPr="000B0903">
              <w:t>There appears to be a case for a refreshed CoOL awareness campaign. It is likely that any short-term campaign needs to be accompanied by an ongoing communication strategy that is engaging and has meaningful reach</w:t>
            </w:r>
            <w:r>
              <w:t>.</w:t>
            </w:r>
            <w:r w:rsidR="00664C91">
              <w:t xml:space="preserve"> This campaign would aim to improve consumer understanding of the different elements of CoOL. The design, funding and delivery of this campaign would need to be considered further.</w:t>
            </w:r>
          </w:p>
        </w:tc>
      </w:tr>
      <w:tr w:rsidR="00E42205" w14:paraId="10DE863E" w14:textId="77777777" w:rsidTr="004B28FF">
        <w:tc>
          <w:tcPr>
            <w:tcW w:w="1720" w:type="dxa"/>
          </w:tcPr>
          <w:p w14:paraId="63987CAF" w14:textId="77777777" w:rsidR="00E42205" w:rsidRDefault="00E42205" w:rsidP="0046051D"/>
        </w:tc>
        <w:tc>
          <w:tcPr>
            <w:tcW w:w="7306" w:type="dxa"/>
            <w:gridSpan w:val="2"/>
          </w:tcPr>
          <w:p w14:paraId="6BF4293A" w14:textId="77777777" w:rsidR="00E42205" w:rsidRDefault="00E42205" w:rsidP="0046051D">
            <w:pPr>
              <w:pStyle w:val="ListBullet"/>
              <w:numPr>
                <w:ilvl w:val="0"/>
                <w:numId w:val="0"/>
              </w:numPr>
              <w:ind w:left="340" w:hanging="340"/>
            </w:pPr>
            <w:r w:rsidRPr="00F977D1">
              <w:rPr>
                <w:rFonts w:asciiTheme="majorHAnsi" w:hAnsiTheme="majorHAnsi"/>
                <w:b/>
                <w:bCs/>
                <w:szCs w:val="18"/>
                <w:lang w:eastAsia="en-AU"/>
              </w:rPr>
              <w:t>Other product types</w:t>
            </w:r>
            <w:r>
              <w:rPr>
                <w:rFonts w:asciiTheme="majorHAnsi" w:hAnsiTheme="majorHAnsi"/>
                <w:b/>
                <w:bCs/>
                <w:szCs w:val="18"/>
                <w:lang w:eastAsia="en-AU"/>
              </w:rPr>
              <w:t xml:space="preserve"> and CoOL</w:t>
            </w:r>
          </w:p>
        </w:tc>
      </w:tr>
      <w:tr w:rsidR="00E42205" w14:paraId="601A3977" w14:textId="77777777" w:rsidTr="004B28FF">
        <w:tc>
          <w:tcPr>
            <w:tcW w:w="1720" w:type="dxa"/>
          </w:tcPr>
          <w:p w14:paraId="43D0A8DA" w14:textId="24BA7D33" w:rsidR="00E42205" w:rsidRDefault="00D0625C" w:rsidP="0046051D">
            <w:r>
              <w:t>35</w:t>
            </w:r>
          </w:p>
        </w:tc>
        <w:tc>
          <w:tcPr>
            <w:tcW w:w="7306" w:type="dxa"/>
            <w:gridSpan w:val="2"/>
          </w:tcPr>
          <w:p w14:paraId="36EA931B" w14:textId="2161C640" w:rsidR="00E42205" w:rsidRDefault="00E42205" w:rsidP="0046051D">
            <w:pPr>
              <w:pStyle w:val="ListBullet"/>
              <w:numPr>
                <w:ilvl w:val="0"/>
                <w:numId w:val="0"/>
              </w:numPr>
              <w:spacing w:after="170"/>
            </w:pPr>
            <w:r w:rsidRPr="00E53797">
              <w:rPr>
                <w:rFonts w:asciiTheme="majorHAnsi" w:hAnsiTheme="majorHAnsi"/>
                <w:szCs w:val="18"/>
                <w:lang w:eastAsia="en-AU"/>
              </w:rPr>
              <w:t xml:space="preserve">The majority of consumers did not seek country of origin information for other product types. </w:t>
            </w:r>
            <w:r w:rsidR="002C5B88" w:rsidRPr="00D33104">
              <w:t>However, there was some interest in additional information for cloth</w:t>
            </w:r>
            <w:r w:rsidR="002C5B88">
              <w:t>ing</w:t>
            </w:r>
            <w:r w:rsidR="002C5B88" w:rsidRPr="00D33104">
              <w:t xml:space="preserve"> and footwear</w:t>
            </w:r>
            <w:r w:rsidR="002C5B88">
              <w:t xml:space="preserve"> (12%)</w:t>
            </w:r>
            <w:r w:rsidR="002C5B88" w:rsidRPr="00D33104">
              <w:t>, electronics</w:t>
            </w:r>
            <w:r w:rsidR="002C5B88">
              <w:t xml:space="preserve"> (8%)</w:t>
            </w:r>
            <w:r w:rsidR="002C5B88" w:rsidRPr="00D33104">
              <w:t xml:space="preserve">, </w:t>
            </w:r>
            <w:r w:rsidR="002C5B88">
              <w:t xml:space="preserve">kitchenware and </w:t>
            </w:r>
            <w:r w:rsidR="002C5B88" w:rsidRPr="00D33104">
              <w:t>household goods</w:t>
            </w:r>
            <w:r w:rsidR="002C5B88">
              <w:t xml:space="preserve"> (8%)</w:t>
            </w:r>
            <w:r w:rsidR="002C5B88" w:rsidRPr="00D33104">
              <w:t xml:space="preserve">, </w:t>
            </w:r>
            <w:r w:rsidR="002C5B88" w:rsidRPr="00424949">
              <w:rPr>
                <w:rFonts w:eastAsia="Times New Roman" w:cs="Arial"/>
                <w:kern w:val="24"/>
                <w:lang w:eastAsia="en-AU"/>
              </w:rPr>
              <w:t>medication and hygiene products (</w:t>
            </w:r>
            <w:r w:rsidR="002C5B88">
              <w:rPr>
                <w:rFonts w:eastAsia="Times New Roman" w:cs="Arial"/>
                <w:kern w:val="24"/>
                <w:lang w:eastAsia="en-AU"/>
              </w:rPr>
              <w:t>6%</w:t>
            </w:r>
            <w:r w:rsidR="002C5B88" w:rsidRPr="00424949">
              <w:rPr>
                <w:rFonts w:eastAsia="Times New Roman" w:cs="Arial"/>
                <w:kern w:val="24"/>
                <w:lang w:eastAsia="en-AU"/>
              </w:rPr>
              <w:t>)</w:t>
            </w:r>
            <w:r w:rsidR="002C5B88">
              <w:rPr>
                <w:rFonts w:eastAsia="Times New Roman" w:cs="Arial"/>
                <w:kern w:val="24"/>
                <w:lang w:eastAsia="en-AU"/>
              </w:rPr>
              <w:t>,</w:t>
            </w:r>
            <w:r w:rsidR="002C5B88" w:rsidRPr="00424949">
              <w:rPr>
                <w:rFonts w:eastAsia="Times New Roman" w:cs="Arial"/>
                <w:kern w:val="24"/>
                <w:lang w:eastAsia="en-AU"/>
              </w:rPr>
              <w:t xml:space="preserve"> </w:t>
            </w:r>
            <w:r w:rsidR="002C5B88">
              <w:rPr>
                <w:rFonts w:eastAsia="Times New Roman" w:cs="Arial"/>
                <w:kern w:val="24"/>
                <w:lang w:eastAsia="en-AU"/>
              </w:rPr>
              <w:t xml:space="preserve">and </w:t>
            </w:r>
            <w:r w:rsidR="002C5B88" w:rsidRPr="00424949">
              <w:rPr>
                <w:rFonts w:eastAsia="Times New Roman" w:cs="Arial"/>
                <w:kern w:val="24"/>
                <w:lang w:eastAsia="en-AU"/>
              </w:rPr>
              <w:t>beauty and cosmetic products</w:t>
            </w:r>
            <w:r w:rsidR="002C5B88">
              <w:rPr>
                <w:rFonts w:eastAsia="Times New Roman" w:cs="Arial"/>
                <w:kern w:val="24"/>
                <w:lang w:eastAsia="en-AU"/>
              </w:rPr>
              <w:t xml:space="preserve"> </w:t>
            </w:r>
            <w:r w:rsidR="002C5B88" w:rsidRPr="00424949">
              <w:rPr>
                <w:rFonts w:eastAsia="Times New Roman" w:cs="Arial"/>
                <w:kern w:val="24"/>
                <w:lang w:eastAsia="en-AU"/>
              </w:rPr>
              <w:t>(</w:t>
            </w:r>
            <w:r w:rsidR="002C5B88">
              <w:rPr>
                <w:rFonts w:eastAsia="Times New Roman" w:cs="Arial"/>
                <w:kern w:val="24"/>
                <w:lang w:eastAsia="en-AU"/>
              </w:rPr>
              <w:t>6%</w:t>
            </w:r>
            <w:r w:rsidR="002C5B88" w:rsidRPr="00424949">
              <w:rPr>
                <w:rFonts w:eastAsia="Times New Roman" w:cs="Arial"/>
                <w:kern w:val="24"/>
                <w:lang w:eastAsia="en-AU"/>
              </w:rPr>
              <w:t>)</w:t>
            </w:r>
            <w:r w:rsidR="002C5B88">
              <w:rPr>
                <w:rFonts w:asciiTheme="majorHAnsi" w:hAnsiTheme="majorHAnsi"/>
                <w:szCs w:val="18"/>
                <w:lang w:eastAsia="en-AU"/>
              </w:rPr>
              <w:t>.</w:t>
            </w:r>
          </w:p>
        </w:tc>
      </w:tr>
      <w:tr w:rsidR="00E42205" w14:paraId="6B1436EF" w14:textId="77777777" w:rsidTr="004B28FF">
        <w:tc>
          <w:tcPr>
            <w:tcW w:w="1720" w:type="dxa"/>
          </w:tcPr>
          <w:p w14:paraId="691B6F15" w14:textId="3EFF4BFC" w:rsidR="00E42205" w:rsidRDefault="00D0625C" w:rsidP="0046051D">
            <w:r>
              <w:lastRenderedPageBreak/>
              <w:t>36</w:t>
            </w:r>
          </w:p>
        </w:tc>
        <w:tc>
          <w:tcPr>
            <w:tcW w:w="7306" w:type="dxa"/>
            <w:gridSpan w:val="2"/>
          </w:tcPr>
          <w:p w14:paraId="5C816533" w14:textId="77777777" w:rsidR="00E42205" w:rsidRDefault="00E42205" w:rsidP="0046051D">
            <w:pPr>
              <w:pStyle w:val="ListBullet"/>
              <w:numPr>
                <w:ilvl w:val="0"/>
                <w:numId w:val="0"/>
              </w:numPr>
              <w:spacing w:after="170"/>
            </w:pPr>
            <w:r>
              <w:t xml:space="preserve">The consumer survey and consumer focus groups did not indicate that consumers sought country of origin information on cut flowers. However, the cut flower industry has argued that there is imperfect information in the sector. </w:t>
            </w:r>
          </w:p>
        </w:tc>
      </w:tr>
      <w:tr w:rsidR="00E42205" w14:paraId="722C1CC9" w14:textId="77777777" w:rsidTr="004B28FF">
        <w:tc>
          <w:tcPr>
            <w:tcW w:w="1720" w:type="dxa"/>
          </w:tcPr>
          <w:p w14:paraId="018C4DC3" w14:textId="6312C801" w:rsidR="00E42205" w:rsidRDefault="00D0625C" w:rsidP="0046051D">
            <w:r>
              <w:t>37</w:t>
            </w:r>
          </w:p>
        </w:tc>
        <w:tc>
          <w:tcPr>
            <w:tcW w:w="7306" w:type="dxa"/>
            <w:gridSpan w:val="2"/>
          </w:tcPr>
          <w:p w14:paraId="7E8FEAB5" w14:textId="73EA9ED4" w:rsidR="00E42205" w:rsidRPr="007819A0" w:rsidRDefault="00E42205" w:rsidP="0046051D">
            <w:pPr>
              <w:pStyle w:val="ListBullet"/>
              <w:numPr>
                <w:ilvl w:val="0"/>
                <w:numId w:val="0"/>
              </w:numPr>
              <w:spacing w:after="170"/>
              <w:rPr>
                <w:rFonts w:eastAsia="Times New Roman"/>
              </w:rPr>
            </w:pPr>
            <w:r w:rsidRPr="007819A0">
              <w:rPr>
                <w:rFonts w:asciiTheme="majorHAnsi" w:hAnsiTheme="majorHAnsi"/>
                <w:szCs w:val="18"/>
                <w:lang w:eastAsia="en-AU"/>
              </w:rPr>
              <w:t xml:space="preserve">There may be a need for the sector to address issues associated with pest and chemical residue on imported cut flowers. However, the existing CoOL </w:t>
            </w:r>
            <w:r>
              <w:rPr>
                <w:rFonts w:asciiTheme="majorHAnsi" w:hAnsiTheme="majorHAnsi"/>
                <w:szCs w:val="18"/>
                <w:lang w:eastAsia="en-AU"/>
              </w:rPr>
              <w:t>scheme</w:t>
            </w:r>
            <w:r w:rsidRPr="007819A0">
              <w:rPr>
                <w:rFonts w:asciiTheme="majorHAnsi" w:hAnsiTheme="majorHAnsi"/>
                <w:szCs w:val="18"/>
                <w:lang w:eastAsia="en-AU"/>
              </w:rPr>
              <w:t xml:space="preserve"> is unlikely to be the best instrument to address these issues, and inclusion of cut flowers in the existing CoOL scheme could impose significant costs on the industry. </w:t>
            </w:r>
            <w:r w:rsidR="0079280E">
              <w:t>Instead, t</w:t>
            </w:r>
            <w:r w:rsidR="0079280E" w:rsidRPr="00D33F0A">
              <w:t xml:space="preserve">he issues of pest and chemical residue should be managed </w:t>
            </w:r>
            <w:r w:rsidR="0079280E">
              <w:t xml:space="preserve">directly </w:t>
            </w:r>
            <w:r w:rsidR="0079280E" w:rsidRPr="00D33F0A">
              <w:t xml:space="preserve">through </w:t>
            </w:r>
            <w:r w:rsidR="0079280E">
              <w:t>DAWE</w:t>
            </w:r>
            <w:r w:rsidR="0079280E" w:rsidRPr="00D33F0A">
              <w:t>.</w:t>
            </w:r>
          </w:p>
        </w:tc>
      </w:tr>
      <w:tr w:rsidR="00E42205" w14:paraId="774D426D" w14:textId="77777777" w:rsidTr="004B28FF">
        <w:tc>
          <w:tcPr>
            <w:tcW w:w="1720" w:type="dxa"/>
          </w:tcPr>
          <w:p w14:paraId="21593A24" w14:textId="628FB6D0" w:rsidR="00E42205" w:rsidRDefault="00D0625C" w:rsidP="0046051D">
            <w:r>
              <w:t>38</w:t>
            </w:r>
          </w:p>
        </w:tc>
        <w:tc>
          <w:tcPr>
            <w:tcW w:w="7306" w:type="dxa"/>
            <w:gridSpan w:val="2"/>
          </w:tcPr>
          <w:p w14:paraId="771838F0" w14:textId="0AE096F5" w:rsidR="00E42205" w:rsidRPr="00F65988" w:rsidRDefault="00992E8C" w:rsidP="0046051D">
            <w:pPr>
              <w:pStyle w:val="ListBullet"/>
              <w:numPr>
                <w:ilvl w:val="0"/>
                <w:numId w:val="0"/>
              </w:numPr>
              <w:spacing w:after="170"/>
              <w:rPr>
                <w:rFonts w:eastAsia="Times New Roman"/>
              </w:rPr>
            </w:pPr>
            <w:r w:rsidRPr="007819A0">
              <w:rPr>
                <w:rFonts w:asciiTheme="majorHAnsi" w:hAnsiTheme="majorHAnsi"/>
                <w:szCs w:val="18"/>
                <w:lang w:eastAsia="en-AU"/>
              </w:rPr>
              <w:t xml:space="preserve">In relation to origin information, </w:t>
            </w:r>
            <w:r>
              <w:rPr>
                <w:rFonts w:asciiTheme="majorHAnsi" w:hAnsiTheme="majorHAnsi"/>
                <w:szCs w:val="18"/>
                <w:lang w:eastAsia="en-AU"/>
              </w:rPr>
              <w:t xml:space="preserve">the Australian Government should note the potential use of </w:t>
            </w:r>
            <w:r>
              <w:rPr>
                <w:rFonts w:asciiTheme="majorHAnsi" w:hAnsiTheme="majorHAnsi"/>
                <w:lang w:eastAsia="en-AU"/>
              </w:rPr>
              <w:t>a voluntary industry-based scheme</w:t>
            </w:r>
            <w:r w:rsidR="00825145">
              <w:rPr>
                <w:rFonts w:asciiTheme="majorHAnsi" w:hAnsiTheme="majorHAnsi"/>
                <w:lang w:eastAsia="en-AU"/>
              </w:rPr>
              <w:t>,</w:t>
            </w:r>
            <w:r>
              <w:rPr>
                <w:rFonts w:asciiTheme="majorHAnsi" w:hAnsiTheme="majorHAnsi"/>
                <w:lang w:eastAsia="en-AU"/>
              </w:rPr>
              <w:t xml:space="preserve"> such as </w:t>
            </w:r>
            <w:r w:rsidRPr="007819A0">
              <w:rPr>
                <w:rFonts w:asciiTheme="majorHAnsi" w:hAnsiTheme="majorHAnsi"/>
                <w:szCs w:val="18"/>
                <w:lang w:eastAsia="en-AU"/>
              </w:rPr>
              <w:t>voluntary certification or</w:t>
            </w:r>
            <w:r>
              <w:rPr>
                <w:rFonts w:asciiTheme="majorHAnsi" w:hAnsiTheme="majorHAnsi"/>
                <w:szCs w:val="18"/>
                <w:lang w:eastAsia="en-AU"/>
              </w:rPr>
              <w:t xml:space="preserve"> a </w:t>
            </w:r>
            <w:r w:rsidRPr="007819A0">
              <w:rPr>
                <w:rFonts w:asciiTheme="majorHAnsi" w:hAnsiTheme="majorHAnsi"/>
                <w:szCs w:val="18"/>
                <w:lang w:eastAsia="en-AU"/>
              </w:rPr>
              <w:t>trademark arrangement similar to the NSW Flower Growers Group trade</w:t>
            </w:r>
            <w:r>
              <w:rPr>
                <w:rFonts w:asciiTheme="majorHAnsi" w:hAnsiTheme="majorHAnsi"/>
                <w:szCs w:val="18"/>
                <w:lang w:eastAsia="en-AU"/>
              </w:rPr>
              <w:t>mark</w:t>
            </w:r>
            <w:r w:rsidRPr="007819A0">
              <w:rPr>
                <w:rFonts w:asciiTheme="majorHAnsi" w:hAnsiTheme="majorHAnsi"/>
                <w:szCs w:val="18"/>
                <w:lang w:eastAsia="en-AU"/>
              </w:rPr>
              <w:t xml:space="preserve"> </w:t>
            </w:r>
            <w:r>
              <w:rPr>
                <w:rFonts w:asciiTheme="majorHAnsi" w:hAnsiTheme="majorHAnsi"/>
                <w:szCs w:val="18"/>
                <w:lang w:eastAsia="en-AU"/>
              </w:rPr>
              <w:t xml:space="preserve">as a possible lower cost alternative to </w:t>
            </w:r>
            <w:r>
              <w:rPr>
                <w:rFonts w:asciiTheme="majorHAnsi" w:hAnsiTheme="majorHAnsi"/>
                <w:lang w:eastAsia="en-AU"/>
              </w:rPr>
              <w:t>mandatory regulation.</w:t>
            </w:r>
            <w:r w:rsidRPr="00F65988">
              <w:t> </w:t>
            </w:r>
          </w:p>
        </w:tc>
      </w:tr>
      <w:tr w:rsidR="00E42205" w14:paraId="521F6920" w14:textId="77777777" w:rsidTr="004B28FF">
        <w:tc>
          <w:tcPr>
            <w:tcW w:w="1720" w:type="dxa"/>
          </w:tcPr>
          <w:p w14:paraId="69FA3785" w14:textId="77777777" w:rsidR="00E42205" w:rsidRDefault="00E42205" w:rsidP="0046051D"/>
        </w:tc>
        <w:tc>
          <w:tcPr>
            <w:tcW w:w="7306" w:type="dxa"/>
            <w:gridSpan w:val="2"/>
          </w:tcPr>
          <w:p w14:paraId="3F30E71F" w14:textId="77777777" w:rsidR="00E42205" w:rsidRDefault="00E42205" w:rsidP="0046051D">
            <w:r w:rsidRPr="00F977D1">
              <w:rPr>
                <w:b/>
              </w:rPr>
              <w:t>Consumer demand</w:t>
            </w:r>
            <w:r>
              <w:rPr>
                <w:b/>
              </w:rPr>
              <w:t xml:space="preserve"> for origin information</w:t>
            </w:r>
          </w:p>
        </w:tc>
      </w:tr>
      <w:tr w:rsidR="00E42205" w14:paraId="7C3C8B78" w14:textId="77777777" w:rsidTr="004B28FF">
        <w:tc>
          <w:tcPr>
            <w:tcW w:w="1720" w:type="dxa"/>
          </w:tcPr>
          <w:p w14:paraId="1A10DACD" w14:textId="3E652B58" w:rsidR="00E42205" w:rsidRDefault="00D0625C" w:rsidP="0046051D">
            <w:r>
              <w:t>39</w:t>
            </w:r>
          </w:p>
        </w:tc>
        <w:tc>
          <w:tcPr>
            <w:tcW w:w="7306" w:type="dxa"/>
            <w:gridSpan w:val="2"/>
          </w:tcPr>
          <w:p w14:paraId="13A6ACB6" w14:textId="77777777" w:rsidR="00E42205" w:rsidRPr="00F977D1" w:rsidRDefault="00E42205" w:rsidP="0046051D">
            <w:pPr>
              <w:pStyle w:val="ListBullet"/>
              <w:numPr>
                <w:ilvl w:val="0"/>
                <w:numId w:val="0"/>
              </w:numPr>
              <w:spacing w:after="170"/>
              <w:ind w:left="6"/>
              <w:rPr>
                <w:rFonts w:asciiTheme="majorHAnsi" w:hAnsiTheme="majorHAnsi"/>
              </w:rPr>
            </w:pPr>
            <w:r w:rsidRPr="00E53797">
              <w:rPr>
                <w:rFonts w:asciiTheme="majorHAnsi" w:hAnsiTheme="majorHAnsi"/>
                <w:szCs w:val="18"/>
              </w:rPr>
              <w:t xml:space="preserve">There is mixed evidence about whether consumer demands for origin information is changing. It appears most likely that for the wider population any change is incremental and difficult to detect in the period of time since the scheme was introduced. </w:t>
            </w:r>
          </w:p>
        </w:tc>
      </w:tr>
      <w:tr w:rsidR="00E42205" w14:paraId="4E938284" w14:textId="77777777" w:rsidTr="004B28FF">
        <w:tc>
          <w:tcPr>
            <w:tcW w:w="1720" w:type="dxa"/>
          </w:tcPr>
          <w:p w14:paraId="39BF7421" w14:textId="4A3CAA62" w:rsidR="00E42205" w:rsidRPr="00F977D1" w:rsidRDefault="00D0625C" w:rsidP="0046051D">
            <w:pPr>
              <w:rPr>
                <w:rFonts w:asciiTheme="majorHAnsi" w:hAnsiTheme="majorHAnsi"/>
              </w:rPr>
            </w:pPr>
            <w:r>
              <w:rPr>
                <w:rFonts w:asciiTheme="majorHAnsi" w:hAnsiTheme="majorHAnsi"/>
              </w:rPr>
              <w:t>40</w:t>
            </w:r>
          </w:p>
        </w:tc>
        <w:tc>
          <w:tcPr>
            <w:tcW w:w="7306" w:type="dxa"/>
            <w:gridSpan w:val="2"/>
          </w:tcPr>
          <w:p w14:paraId="00D6E172" w14:textId="03ED9EF5" w:rsidR="00E42205" w:rsidRPr="00F977D1" w:rsidRDefault="00E42205" w:rsidP="0046051D">
            <w:pPr>
              <w:pStyle w:val="ListBullet"/>
              <w:numPr>
                <w:ilvl w:val="0"/>
                <w:numId w:val="0"/>
              </w:numPr>
              <w:spacing w:after="170"/>
              <w:ind w:left="6" w:hanging="6"/>
              <w:rPr>
                <w:rFonts w:asciiTheme="majorHAnsi" w:hAnsiTheme="majorHAnsi"/>
              </w:rPr>
            </w:pPr>
            <w:r>
              <w:rPr>
                <w:rFonts w:asciiTheme="majorHAnsi" w:hAnsiTheme="majorHAnsi"/>
                <w:szCs w:val="18"/>
              </w:rPr>
              <w:t>A</w:t>
            </w:r>
            <w:r w:rsidRPr="00E53797">
              <w:rPr>
                <w:rFonts w:asciiTheme="majorHAnsi" w:hAnsiTheme="majorHAnsi"/>
                <w:szCs w:val="18"/>
              </w:rPr>
              <w:t xml:space="preserve"> subset of consumers</w:t>
            </w:r>
            <w:r>
              <w:rPr>
                <w:rFonts w:asciiTheme="majorHAnsi" w:hAnsiTheme="majorHAnsi"/>
                <w:szCs w:val="18"/>
              </w:rPr>
              <w:t xml:space="preserve"> are more highly engaged about country of origin and</w:t>
            </w:r>
            <w:r w:rsidRPr="00E53797">
              <w:rPr>
                <w:rFonts w:asciiTheme="majorHAnsi" w:hAnsiTheme="majorHAnsi"/>
                <w:szCs w:val="18"/>
              </w:rPr>
              <w:t xml:space="preserve"> are seeking more extensive and detailed information</w:t>
            </w:r>
            <w:r>
              <w:rPr>
                <w:rFonts w:asciiTheme="majorHAnsi" w:hAnsiTheme="majorHAnsi"/>
                <w:szCs w:val="18"/>
              </w:rPr>
              <w:t xml:space="preserve"> about the origin of all ingredients</w:t>
            </w:r>
            <w:r w:rsidRPr="00E53797">
              <w:rPr>
                <w:rFonts w:asciiTheme="majorHAnsi" w:hAnsiTheme="majorHAnsi"/>
                <w:szCs w:val="18"/>
              </w:rPr>
              <w:t>.</w:t>
            </w:r>
          </w:p>
        </w:tc>
      </w:tr>
      <w:tr w:rsidR="00E42205" w14:paraId="683D6F46" w14:textId="77777777" w:rsidTr="004B28FF">
        <w:tc>
          <w:tcPr>
            <w:tcW w:w="9026" w:type="dxa"/>
            <w:gridSpan w:val="3"/>
          </w:tcPr>
          <w:p w14:paraId="0C02F353" w14:textId="77777777" w:rsidR="00E42205" w:rsidRPr="00F224D7" w:rsidRDefault="00E42205" w:rsidP="0046051D">
            <w:pPr>
              <w:pStyle w:val="ListBullet"/>
              <w:numPr>
                <w:ilvl w:val="0"/>
                <w:numId w:val="0"/>
              </w:numPr>
              <w:ind w:left="5" w:hanging="5"/>
              <w:rPr>
                <w:rFonts w:asciiTheme="majorHAnsi" w:hAnsiTheme="majorHAnsi"/>
                <w:b/>
                <w:szCs w:val="18"/>
                <w:lang w:eastAsia="en-AU"/>
              </w:rPr>
            </w:pPr>
            <w:r>
              <w:rPr>
                <w:rFonts w:asciiTheme="majorHAnsi" w:hAnsiTheme="majorHAnsi"/>
                <w:b/>
                <w:bCs/>
                <w:szCs w:val="18"/>
                <w:lang w:eastAsia="en-AU"/>
              </w:rPr>
              <w:t>Pillar 3: Clarifying business’ ability to make origin claims</w:t>
            </w:r>
            <w:r>
              <w:rPr>
                <w:rFonts w:asciiTheme="majorHAnsi" w:hAnsiTheme="majorHAnsi"/>
                <w:b/>
                <w:bCs/>
                <w:szCs w:val="18"/>
                <w:lang w:eastAsia="en-AU"/>
              </w:rPr>
              <w:br/>
            </w:r>
          </w:p>
        </w:tc>
      </w:tr>
      <w:tr w:rsidR="00E42205" w14:paraId="15DC8552" w14:textId="77777777" w:rsidTr="004B28FF">
        <w:tc>
          <w:tcPr>
            <w:tcW w:w="1720" w:type="dxa"/>
          </w:tcPr>
          <w:p w14:paraId="17E2AC25" w14:textId="77777777" w:rsidR="00E42205" w:rsidRDefault="00E42205" w:rsidP="0046051D"/>
        </w:tc>
        <w:tc>
          <w:tcPr>
            <w:tcW w:w="7306" w:type="dxa"/>
            <w:gridSpan w:val="2"/>
          </w:tcPr>
          <w:p w14:paraId="6DF2C781" w14:textId="77777777" w:rsidR="00E42205" w:rsidRPr="00F224D7" w:rsidRDefault="00E42205" w:rsidP="0046051D">
            <w:pPr>
              <w:pStyle w:val="ListBullet"/>
              <w:numPr>
                <w:ilvl w:val="0"/>
                <w:numId w:val="0"/>
              </w:numPr>
              <w:ind w:left="340" w:hanging="340"/>
              <w:rPr>
                <w:rFonts w:asciiTheme="majorHAnsi" w:hAnsiTheme="majorHAnsi"/>
                <w:b/>
                <w:szCs w:val="18"/>
                <w:lang w:eastAsia="en-AU"/>
              </w:rPr>
            </w:pPr>
            <w:r>
              <w:rPr>
                <w:rFonts w:asciiTheme="majorHAnsi" w:hAnsiTheme="majorHAnsi"/>
                <w:b/>
                <w:bCs/>
                <w:szCs w:val="18"/>
                <w:lang w:eastAsia="en-AU"/>
              </w:rPr>
              <w:t>Safe harbour defences</w:t>
            </w:r>
          </w:p>
        </w:tc>
      </w:tr>
      <w:tr w:rsidR="00E42205" w14:paraId="1DAD9F54" w14:textId="77777777" w:rsidTr="004B28FF">
        <w:tc>
          <w:tcPr>
            <w:tcW w:w="1720" w:type="dxa"/>
          </w:tcPr>
          <w:p w14:paraId="47F34C2B" w14:textId="14613C28" w:rsidR="00E42205" w:rsidRDefault="00D0625C" w:rsidP="0046051D">
            <w:r>
              <w:t>41</w:t>
            </w:r>
          </w:p>
        </w:tc>
        <w:tc>
          <w:tcPr>
            <w:tcW w:w="7306" w:type="dxa"/>
            <w:gridSpan w:val="2"/>
          </w:tcPr>
          <w:p w14:paraId="5BBDDBFF" w14:textId="77777777" w:rsidR="00E42205" w:rsidRPr="00F977D1" w:rsidRDefault="00E42205" w:rsidP="0046051D">
            <w:pPr>
              <w:pStyle w:val="ListBullet2"/>
              <w:numPr>
                <w:ilvl w:val="0"/>
                <w:numId w:val="0"/>
              </w:numPr>
              <w:spacing w:after="170"/>
              <w:rPr>
                <w:rFonts w:eastAsia="Times New Roman"/>
              </w:rPr>
            </w:pPr>
            <w:r w:rsidRPr="00E53797">
              <w:rPr>
                <w:rFonts w:asciiTheme="majorHAnsi" w:hAnsiTheme="majorHAnsi"/>
              </w:rPr>
              <w:t xml:space="preserve">The inclusion of the safe harbour defences within the </w:t>
            </w:r>
            <w:r>
              <w:rPr>
                <w:rFonts w:asciiTheme="majorHAnsi" w:hAnsiTheme="majorHAnsi"/>
              </w:rPr>
              <w:t>scheme</w:t>
            </w:r>
            <w:r w:rsidRPr="00E53797">
              <w:rPr>
                <w:rFonts w:asciiTheme="majorHAnsi" w:hAnsiTheme="majorHAnsi"/>
              </w:rPr>
              <w:t xml:space="preserve"> is desirable and appropriate. The safe harbour defences are generally supported by industry stakeholders</w:t>
            </w:r>
            <w:r>
              <w:rPr>
                <w:rFonts w:asciiTheme="majorHAnsi" w:hAnsiTheme="majorHAnsi"/>
              </w:rPr>
              <w:t>.</w:t>
            </w:r>
          </w:p>
        </w:tc>
      </w:tr>
      <w:tr w:rsidR="00E42205" w14:paraId="321E0894" w14:textId="77777777" w:rsidTr="004B28FF">
        <w:tc>
          <w:tcPr>
            <w:tcW w:w="1720" w:type="dxa"/>
          </w:tcPr>
          <w:p w14:paraId="28C61D41" w14:textId="714D9A1A" w:rsidR="00E42205" w:rsidRDefault="00D0625C" w:rsidP="0046051D">
            <w:r>
              <w:t>42</w:t>
            </w:r>
          </w:p>
        </w:tc>
        <w:tc>
          <w:tcPr>
            <w:tcW w:w="7306" w:type="dxa"/>
            <w:gridSpan w:val="2"/>
          </w:tcPr>
          <w:p w14:paraId="535D01E1" w14:textId="77777777" w:rsidR="00E42205" w:rsidRPr="00F977D1" w:rsidRDefault="00E42205" w:rsidP="0046051D">
            <w:pPr>
              <w:rPr>
                <w:rFonts w:asciiTheme="majorHAnsi" w:hAnsiTheme="majorHAnsi"/>
                <w:b/>
                <w:szCs w:val="17"/>
              </w:rPr>
            </w:pPr>
            <w:r w:rsidRPr="00E53797">
              <w:rPr>
                <w:rFonts w:asciiTheme="majorHAnsi" w:hAnsiTheme="majorHAnsi"/>
              </w:rPr>
              <w:t>Some industry stakeholders consider there is a need to revise some definitions associated with the safe harbour defences (in particular, substantial transformation) to ensure clarity and support ease of compliance</w:t>
            </w:r>
            <w:r>
              <w:rPr>
                <w:rFonts w:asciiTheme="majorHAnsi" w:hAnsiTheme="majorHAnsi"/>
              </w:rPr>
              <w:t>.</w:t>
            </w:r>
          </w:p>
        </w:tc>
      </w:tr>
      <w:tr w:rsidR="00E42205" w14:paraId="3F933ADA" w14:textId="77777777" w:rsidTr="004B28FF">
        <w:tc>
          <w:tcPr>
            <w:tcW w:w="1720" w:type="dxa"/>
          </w:tcPr>
          <w:p w14:paraId="453BE890" w14:textId="491DD3E7" w:rsidR="00E42205" w:rsidRDefault="00D0625C" w:rsidP="0046051D">
            <w:r>
              <w:t>43</w:t>
            </w:r>
          </w:p>
        </w:tc>
        <w:tc>
          <w:tcPr>
            <w:tcW w:w="7306" w:type="dxa"/>
            <w:gridSpan w:val="2"/>
          </w:tcPr>
          <w:p w14:paraId="2655AB24" w14:textId="2C1D953C" w:rsidR="00E42205" w:rsidRPr="00F60651" w:rsidRDefault="00E42205" w:rsidP="0046051D">
            <w:pPr>
              <w:rPr>
                <w:rFonts w:asciiTheme="majorHAnsi" w:hAnsiTheme="majorHAnsi"/>
              </w:rPr>
            </w:pPr>
            <w:r w:rsidRPr="00E53797">
              <w:rPr>
                <w:rFonts w:asciiTheme="majorHAnsi" w:hAnsiTheme="majorHAnsi"/>
              </w:rPr>
              <w:t xml:space="preserve">Clearer guidance and more detailed examples from the ACCC could assist in increasing businesses understanding of these </w:t>
            </w:r>
            <w:r w:rsidR="00D855B7">
              <w:rPr>
                <w:rFonts w:asciiTheme="majorHAnsi" w:hAnsiTheme="majorHAnsi"/>
              </w:rPr>
              <w:t xml:space="preserve">safe harbour </w:t>
            </w:r>
            <w:r w:rsidRPr="00E53797">
              <w:rPr>
                <w:rFonts w:asciiTheme="majorHAnsi" w:hAnsiTheme="majorHAnsi"/>
              </w:rPr>
              <w:t>defences and support ease of compliance</w:t>
            </w:r>
            <w:r>
              <w:rPr>
                <w:rFonts w:asciiTheme="majorHAnsi" w:hAnsiTheme="majorHAnsi"/>
              </w:rPr>
              <w:t xml:space="preserve">. </w:t>
            </w:r>
            <w:r w:rsidR="000C114B" w:rsidRPr="00DE6749">
              <w:rPr>
                <w:rFonts w:asciiTheme="majorHAnsi" w:hAnsiTheme="majorHAnsi"/>
              </w:rPr>
              <w:t>However, the ACCC considers their guidance material already goes as far as it can based on the Information Standard and current case law</w:t>
            </w:r>
            <w:r>
              <w:rPr>
                <w:rFonts w:asciiTheme="majorHAnsi" w:hAnsiTheme="majorHAnsi"/>
              </w:rPr>
              <w:t xml:space="preserve">. </w:t>
            </w:r>
            <w:r w:rsidRPr="00F60651">
              <w:rPr>
                <w:rFonts w:asciiTheme="majorHAnsi" w:hAnsiTheme="majorHAnsi"/>
              </w:rPr>
              <w:t xml:space="preserve">A stakeholder forum to ensure a shared understanding </w:t>
            </w:r>
            <w:r>
              <w:rPr>
                <w:rFonts w:asciiTheme="majorHAnsi" w:hAnsiTheme="majorHAnsi"/>
              </w:rPr>
              <w:t>of the</w:t>
            </w:r>
            <w:r w:rsidRPr="00F60651">
              <w:rPr>
                <w:rFonts w:asciiTheme="majorHAnsi" w:hAnsiTheme="majorHAnsi"/>
              </w:rPr>
              <w:t xml:space="preserve"> definition and interpretation of substantial transformation</w:t>
            </w:r>
            <w:r>
              <w:rPr>
                <w:rFonts w:asciiTheme="majorHAnsi" w:hAnsiTheme="majorHAnsi"/>
              </w:rPr>
              <w:t xml:space="preserve"> could be beneficial particularly if changes to the definition were to be pursued</w:t>
            </w:r>
            <w:r w:rsidRPr="00F60651">
              <w:rPr>
                <w:rFonts w:asciiTheme="majorHAnsi" w:hAnsiTheme="majorHAnsi"/>
              </w:rPr>
              <w:t>.</w:t>
            </w:r>
          </w:p>
        </w:tc>
      </w:tr>
      <w:tr w:rsidR="00E42205" w14:paraId="1A9C0A4C" w14:textId="77777777" w:rsidTr="004B28FF">
        <w:tc>
          <w:tcPr>
            <w:tcW w:w="1720" w:type="dxa"/>
          </w:tcPr>
          <w:p w14:paraId="0E458E92" w14:textId="18571385" w:rsidR="00E42205" w:rsidRDefault="00D0625C" w:rsidP="0046051D">
            <w:r>
              <w:lastRenderedPageBreak/>
              <w:t>44</w:t>
            </w:r>
          </w:p>
        </w:tc>
        <w:tc>
          <w:tcPr>
            <w:tcW w:w="7306" w:type="dxa"/>
            <w:gridSpan w:val="2"/>
          </w:tcPr>
          <w:p w14:paraId="1D7B348F" w14:textId="77777777" w:rsidR="00E42205" w:rsidRPr="00F977D1" w:rsidRDefault="00E42205" w:rsidP="0046051D">
            <w:pPr>
              <w:rPr>
                <w:rFonts w:asciiTheme="majorHAnsi" w:hAnsiTheme="majorHAnsi"/>
              </w:rPr>
            </w:pPr>
            <w:r>
              <w:rPr>
                <w:rFonts w:asciiTheme="majorHAnsi" w:hAnsiTheme="majorHAnsi"/>
              </w:rPr>
              <w:t xml:space="preserve">The definition of fruit and vegetable juice in the Information Standard is unclear and requires revision. </w:t>
            </w:r>
          </w:p>
        </w:tc>
      </w:tr>
      <w:tr w:rsidR="00E42205" w14:paraId="2AADDC0F" w14:textId="77777777" w:rsidTr="004B28FF">
        <w:tc>
          <w:tcPr>
            <w:tcW w:w="1720" w:type="dxa"/>
          </w:tcPr>
          <w:p w14:paraId="6F43CFDC" w14:textId="5F949D8C" w:rsidR="00E42205" w:rsidRDefault="00D0625C" w:rsidP="0046051D">
            <w:r>
              <w:t>45</w:t>
            </w:r>
          </w:p>
        </w:tc>
        <w:tc>
          <w:tcPr>
            <w:tcW w:w="7306" w:type="dxa"/>
            <w:gridSpan w:val="2"/>
          </w:tcPr>
          <w:p w14:paraId="178A2B5A" w14:textId="77777777" w:rsidR="00E42205" w:rsidRDefault="00E42205" w:rsidP="0046051D">
            <w:pPr>
              <w:rPr>
                <w:rFonts w:asciiTheme="majorHAnsi" w:hAnsiTheme="majorHAnsi"/>
              </w:rPr>
            </w:pPr>
            <w:r>
              <w:rPr>
                <w:rFonts w:asciiTheme="majorHAnsi" w:hAnsiTheme="majorHAnsi"/>
              </w:rPr>
              <w:t>The definition of origin claims related to fishing in the Information Standard is unclear and requires revision.</w:t>
            </w:r>
          </w:p>
        </w:tc>
      </w:tr>
      <w:tr w:rsidR="00E42205" w14:paraId="7DF68A68" w14:textId="77777777" w:rsidTr="004B28FF">
        <w:tc>
          <w:tcPr>
            <w:tcW w:w="1720" w:type="dxa"/>
          </w:tcPr>
          <w:p w14:paraId="6AE00669" w14:textId="77777777" w:rsidR="00E42205" w:rsidRDefault="00E42205" w:rsidP="0046051D"/>
        </w:tc>
        <w:tc>
          <w:tcPr>
            <w:tcW w:w="7306" w:type="dxa"/>
            <w:gridSpan w:val="2"/>
          </w:tcPr>
          <w:p w14:paraId="2F62D79E" w14:textId="77777777" w:rsidR="00E42205" w:rsidRPr="00F977D1" w:rsidRDefault="00E42205" w:rsidP="0046051D">
            <w:pPr>
              <w:spacing w:after="120" w:line="276" w:lineRule="auto"/>
              <w:rPr>
                <w:rFonts w:eastAsia="Times New Roman" w:cs="Arial"/>
                <w:b/>
                <w:color w:val="000000" w:themeColor="text1"/>
                <w:kern w:val="24"/>
                <w:lang w:eastAsia="en-AU"/>
              </w:rPr>
            </w:pPr>
            <w:r w:rsidRPr="00F977D1">
              <w:rPr>
                <w:rFonts w:eastAsia="Times New Roman" w:cs="Arial"/>
                <w:b/>
                <w:color w:val="000000" w:themeColor="text1"/>
                <w:kern w:val="24"/>
                <w:lang w:eastAsia="en-AU"/>
              </w:rPr>
              <w:t>Compliance with CoOL requirements</w:t>
            </w:r>
          </w:p>
        </w:tc>
      </w:tr>
      <w:tr w:rsidR="001202BC" w14:paraId="76396E62" w14:textId="77777777" w:rsidTr="004B28FF">
        <w:tc>
          <w:tcPr>
            <w:tcW w:w="1720" w:type="dxa"/>
          </w:tcPr>
          <w:p w14:paraId="7628B8F4" w14:textId="636CE198" w:rsidR="001202BC" w:rsidRDefault="00D0625C" w:rsidP="001202BC">
            <w:r>
              <w:t>46</w:t>
            </w:r>
          </w:p>
        </w:tc>
        <w:tc>
          <w:tcPr>
            <w:tcW w:w="7306" w:type="dxa"/>
            <w:gridSpan w:val="2"/>
          </w:tcPr>
          <w:p w14:paraId="134C6E8A" w14:textId="49F41206" w:rsidR="001202BC" w:rsidRPr="000B01A7" w:rsidRDefault="001202BC" w:rsidP="001202BC">
            <w:r w:rsidRPr="00E53797">
              <w:rPr>
                <w:rFonts w:asciiTheme="majorHAnsi" w:hAnsiTheme="majorHAnsi"/>
              </w:rPr>
              <w:t>Despite initial difficulties in implementing and complying with CoOL requirements in the transition period, there is reportedly a generally high level of business compliance with CoOL requirements</w:t>
            </w:r>
            <w:r w:rsidRPr="00AE7244">
              <w:rPr>
                <w:rFonts w:asciiTheme="majorHAnsi" w:hAnsiTheme="majorHAnsi"/>
              </w:rPr>
              <w:t xml:space="preserve"> for major supermarkets</w:t>
            </w:r>
            <w:r w:rsidRPr="00E53797">
              <w:rPr>
                <w:rFonts w:asciiTheme="majorHAnsi" w:hAnsiTheme="majorHAnsi"/>
              </w:rPr>
              <w:t xml:space="preserve">. </w:t>
            </w:r>
          </w:p>
        </w:tc>
      </w:tr>
      <w:tr w:rsidR="001202BC" w14:paraId="61F6CF07" w14:textId="77777777" w:rsidTr="004B28FF">
        <w:tc>
          <w:tcPr>
            <w:tcW w:w="1720" w:type="dxa"/>
          </w:tcPr>
          <w:p w14:paraId="144CA608" w14:textId="33643EDB" w:rsidR="001202BC" w:rsidRDefault="00D0625C" w:rsidP="001202BC">
            <w:r>
              <w:t>47</w:t>
            </w:r>
          </w:p>
        </w:tc>
        <w:tc>
          <w:tcPr>
            <w:tcW w:w="7306" w:type="dxa"/>
            <w:gridSpan w:val="2"/>
          </w:tcPr>
          <w:p w14:paraId="5B8A4145" w14:textId="23622547" w:rsidR="001202BC" w:rsidRDefault="001202BC" w:rsidP="001202BC">
            <w:r w:rsidRPr="00E53797">
              <w:rPr>
                <w:rFonts w:asciiTheme="majorHAnsi" w:hAnsiTheme="majorHAnsi"/>
              </w:rPr>
              <w:t xml:space="preserve">However, there were some areas identified (in work undertaken by the </w:t>
            </w:r>
            <w:r>
              <w:rPr>
                <w:rFonts w:asciiTheme="majorHAnsi" w:hAnsiTheme="majorHAnsi"/>
              </w:rPr>
              <w:t>NMI</w:t>
            </w:r>
            <w:r w:rsidRPr="00E53797">
              <w:rPr>
                <w:rFonts w:asciiTheme="majorHAnsi" w:hAnsiTheme="majorHAnsi"/>
              </w:rPr>
              <w:t xml:space="preserve"> for the ACCC </w:t>
            </w:r>
            <w:r w:rsidRPr="00AE7244">
              <w:rPr>
                <w:rFonts w:asciiTheme="majorHAnsi" w:hAnsiTheme="majorHAnsi"/>
              </w:rPr>
              <w:t>across 2018-19 and 2019-20</w:t>
            </w:r>
            <w:r w:rsidRPr="00E53797">
              <w:rPr>
                <w:rFonts w:asciiTheme="majorHAnsi" w:hAnsiTheme="majorHAnsi"/>
              </w:rPr>
              <w:t xml:space="preserve">) as having higher non-compliance rates. These include </w:t>
            </w:r>
            <w:r w:rsidRPr="00AE7244">
              <w:t>independent supermarkets and meat and seafood retailers</w:t>
            </w:r>
            <w:r w:rsidRPr="00487EDB">
              <w:t xml:space="preserve">. </w:t>
            </w:r>
            <w:r w:rsidRPr="00487EDB">
              <w:rPr>
                <w:rFonts w:asciiTheme="majorHAnsi" w:hAnsiTheme="majorHAnsi"/>
              </w:rPr>
              <w:t xml:space="preserve"> </w:t>
            </w:r>
          </w:p>
        </w:tc>
      </w:tr>
      <w:tr w:rsidR="00E42205" w14:paraId="588D342C" w14:textId="77777777" w:rsidTr="004B28FF">
        <w:tc>
          <w:tcPr>
            <w:tcW w:w="1720" w:type="dxa"/>
          </w:tcPr>
          <w:p w14:paraId="54712D03" w14:textId="77777777" w:rsidR="00E42205" w:rsidRDefault="00E42205" w:rsidP="0046051D"/>
        </w:tc>
        <w:tc>
          <w:tcPr>
            <w:tcW w:w="7306" w:type="dxa"/>
            <w:gridSpan w:val="2"/>
          </w:tcPr>
          <w:p w14:paraId="14D8B465" w14:textId="77777777" w:rsidR="00E42205" w:rsidRPr="00F977D1" w:rsidRDefault="00E42205" w:rsidP="0046051D">
            <w:pPr>
              <w:spacing w:after="120" w:line="276" w:lineRule="auto"/>
              <w:rPr>
                <w:rFonts w:eastAsia="Times New Roman" w:cs="Arial"/>
                <w:b/>
                <w:color w:val="000000" w:themeColor="text1"/>
                <w:kern w:val="24"/>
                <w:lang w:eastAsia="en-AU"/>
              </w:rPr>
            </w:pPr>
            <w:r w:rsidRPr="00F977D1">
              <w:rPr>
                <w:rFonts w:eastAsia="Times New Roman" w:cs="Arial"/>
                <w:b/>
                <w:color w:val="000000" w:themeColor="text1"/>
                <w:kern w:val="24"/>
                <w:lang w:eastAsia="en-AU"/>
              </w:rPr>
              <w:t>Flexibility in managing variation in ingredients</w:t>
            </w:r>
          </w:p>
        </w:tc>
      </w:tr>
      <w:tr w:rsidR="00E42205" w14:paraId="53F8E638" w14:textId="77777777" w:rsidTr="004B28FF">
        <w:tc>
          <w:tcPr>
            <w:tcW w:w="1720" w:type="dxa"/>
          </w:tcPr>
          <w:p w14:paraId="3C175FA4" w14:textId="073CC9C5" w:rsidR="00E42205" w:rsidRPr="00F977D1" w:rsidRDefault="00D0625C" w:rsidP="0046051D">
            <w:pPr>
              <w:rPr>
                <w:rFonts w:asciiTheme="majorHAnsi" w:hAnsiTheme="majorHAnsi"/>
              </w:rPr>
            </w:pPr>
            <w:r>
              <w:rPr>
                <w:rFonts w:asciiTheme="majorHAnsi" w:hAnsiTheme="majorHAnsi"/>
              </w:rPr>
              <w:t>48</w:t>
            </w:r>
          </w:p>
        </w:tc>
        <w:tc>
          <w:tcPr>
            <w:tcW w:w="7306" w:type="dxa"/>
            <w:gridSpan w:val="2"/>
          </w:tcPr>
          <w:p w14:paraId="67BCE061" w14:textId="77777777" w:rsidR="00E42205" w:rsidRPr="00F977D1" w:rsidRDefault="00E42205" w:rsidP="0046051D">
            <w:pPr>
              <w:rPr>
                <w:rFonts w:asciiTheme="majorHAnsi" w:hAnsiTheme="majorHAnsi"/>
              </w:rPr>
            </w:pPr>
            <w:r w:rsidRPr="00F977D1">
              <w:rPr>
                <w:rFonts w:asciiTheme="majorHAnsi" w:hAnsiTheme="majorHAnsi"/>
              </w:rPr>
              <w:t xml:space="preserve">In general, CoOL requirements do provide adequate flexibility for food and beverage producers to manage variations in the supply of ingredients when those variations are within a normal </w:t>
            </w:r>
            <w:r>
              <w:rPr>
                <w:rFonts w:asciiTheme="majorHAnsi" w:hAnsiTheme="majorHAnsi"/>
              </w:rPr>
              <w:t>business-as-usual</w:t>
            </w:r>
            <w:r w:rsidRPr="00F977D1">
              <w:rPr>
                <w:rFonts w:asciiTheme="majorHAnsi" w:hAnsiTheme="majorHAnsi"/>
              </w:rPr>
              <w:t xml:space="preserve"> range. </w:t>
            </w:r>
          </w:p>
        </w:tc>
      </w:tr>
      <w:tr w:rsidR="00E42205" w14:paraId="16BB9A17" w14:textId="77777777" w:rsidTr="004B28FF">
        <w:tc>
          <w:tcPr>
            <w:tcW w:w="1720" w:type="dxa"/>
          </w:tcPr>
          <w:p w14:paraId="0EA4CB49" w14:textId="42154E27" w:rsidR="00E42205" w:rsidRDefault="00D0625C" w:rsidP="0046051D">
            <w:r>
              <w:t>49</w:t>
            </w:r>
          </w:p>
        </w:tc>
        <w:tc>
          <w:tcPr>
            <w:tcW w:w="7306" w:type="dxa"/>
            <w:gridSpan w:val="2"/>
          </w:tcPr>
          <w:p w14:paraId="63177A4C" w14:textId="77777777" w:rsidR="00E42205" w:rsidRPr="009C6365" w:rsidRDefault="00E42205" w:rsidP="0046051D">
            <w:pPr>
              <w:rPr>
                <w:rFonts w:asciiTheme="majorHAnsi" w:hAnsiTheme="majorHAnsi"/>
              </w:rPr>
            </w:pPr>
            <w:r>
              <w:rPr>
                <w:rFonts w:asciiTheme="majorHAnsi" w:hAnsiTheme="majorHAnsi"/>
              </w:rPr>
              <w:t>M</w:t>
            </w:r>
            <w:r w:rsidRPr="002D759D">
              <w:rPr>
                <w:rFonts w:asciiTheme="majorHAnsi" w:hAnsiTheme="majorHAnsi"/>
              </w:rPr>
              <w:t xml:space="preserve">ajor shocks present a significant challenge. COVID-19 </w:t>
            </w:r>
            <w:r>
              <w:rPr>
                <w:rFonts w:asciiTheme="majorHAnsi" w:hAnsiTheme="majorHAnsi"/>
              </w:rPr>
              <w:t>resulted in</w:t>
            </w:r>
            <w:r w:rsidRPr="002D759D">
              <w:rPr>
                <w:rFonts w:asciiTheme="majorHAnsi" w:hAnsiTheme="majorHAnsi"/>
              </w:rPr>
              <w:t xml:space="preserve"> supply chain disruption</w:t>
            </w:r>
            <w:r>
              <w:rPr>
                <w:rFonts w:asciiTheme="majorHAnsi" w:hAnsiTheme="majorHAnsi"/>
              </w:rPr>
              <w:t xml:space="preserve"> (as did bushfires for some businesses). While flexibility was provided in response to individual business inquiries, not all businesses were aware of where to seek assistance or the flexibility that was available. </w:t>
            </w:r>
          </w:p>
        </w:tc>
      </w:tr>
      <w:tr w:rsidR="00E42205" w14:paraId="44065DA4" w14:textId="77777777" w:rsidTr="004B28FF">
        <w:tc>
          <w:tcPr>
            <w:tcW w:w="1720" w:type="dxa"/>
          </w:tcPr>
          <w:p w14:paraId="36132E16" w14:textId="77777777" w:rsidR="00E42205" w:rsidRDefault="00E42205" w:rsidP="0046051D"/>
        </w:tc>
        <w:tc>
          <w:tcPr>
            <w:tcW w:w="7306" w:type="dxa"/>
            <w:gridSpan w:val="2"/>
          </w:tcPr>
          <w:p w14:paraId="18DBD1A5" w14:textId="77777777" w:rsidR="00E42205" w:rsidRPr="00F977D1" w:rsidRDefault="00E42205" w:rsidP="0046051D">
            <w:pPr>
              <w:rPr>
                <w:b/>
              </w:rPr>
            </w:pPr>
            <w:r>
              <w:rPr>
                <w:b/>
              </w:rPr>
              <w:t>Actions taken to address the impact of CoOL reforms</w:t>
            </w:r>
          </w:p>
        </w:tc>
      </w:tr>
      <w:tr w:rsidR="00E42205" w14:paraId="38F31069" w14:textId="77777777" w:rsidTr="004B28FF">
        <w:tc>
          <w:tcPr>
            <w:tcW w:w="1720" w:type="dxa"/>
          </w:tcPr>
          <w:p w14:paraId="434326FB" w14:textId="466401DD" w:rsidR="00E42205" w:rsidRDefault="00D0625C" w:rsidP="0046051D">
            <w:r>
              <w:t>50</w:t>
            </w:r>
          </w:p>
        </w:tc>
        <w:tc>
          <w:tcPr>
            <w:tcW w:w="7306" w:type="dxa"/>
            <w:gridSpan w:val="2"/>
          </w:tcPr>
          <w:p w14:paraId="023B5330" w14:textId="77777777" w:rsidR="00E42205" w:rsidRPr="00F977D1" w:rsidRDefault="00E42205" w:rsidP="0046051D">
            <w:pPr>
              <w:rPr>
                <w:rFonts w:asciiTheme="majorHAnsi" w:hAnsiTheme="majorHAnsi"/>
              </w:rPr>
            </w:pPr>
            <w:r>
              <w:rPr>
                <w:rFonts w:asciiTheme="majorHAnsi" w:hAnsiTheme="majorHAnsi"/>
              </w:rPr>
              <w:t xml:space="preserve">The impact of CoOL was broadly as expected. </w:t>
            </w:r>
          </w:p>
        </w:tc>
      </w:tr>
      <w:tr w:rsidR="00E42205" w14:paraId="676E8BA2" w14:textId="77777777" w:rsidTr="004B28FF">
        <w:tc>
          <w:tcPr>
            <w:tcW w:w="1720" w:type="dxa"/>
          </w:tcPr>
          <w:p w14:paraId="5FC959EC" w14:textId="05A85102" w:rsidR="00E42205" w:rsidRDefault="00D0625C" w:rsidP="0046051D">
            <w:r>
              <w:t>51</w:t>
            </w:r>
          </w:p>
        </w:tc>
        <w:tc>
          <w:tcPr>
            <w:tcW w:w="7306" w:type="dxa"/>
            <w:gridSpan w:val="2"/>
          </w:tcPr>
          <w:p w14:paraId="4A8B920B" w14:textId="77777777" w:rsidR="00E42205" w:rsidRPr="00F60651" w:rsidDel="0063685C" w:rsidRDefault="00E42205" w:rsidP="0046051D">
            <w:r>
              <w:t xml:space="preserve">For certain industries (or sectors within industries) and for some large businesses – such as those with a high number of SKUs – the cost and complexity of CoOL implementation was greater than anticipated. </w:t>
            </w:r>
          </w:p>
        </w:tc>
      </w:tr>
      <w:tr w:rsidR="00E42205" w14:paraId="298EA1A6" w14:textId="77777777" w:rsidTr="004B28FF">
        <w:tc>
          <w:tcPr>
            <w:tcW w:w="1720" w:type="dxa"/>
          </w:tcPr>
          <w:p w14:paraId="16EFA550" w14:textId="25386569" w:rsidR="00E42205" w:rsidRDefault="00D0625C" w:rsidP="0046051D">
            <w:r>
              <w:t>52</w:t>
            </w:r>
          </w:p>
        </w:tc>
        <w:tc>
          <w:tcPr>
            <w:tcW w:w="7306" w:type="dxa"/>
            <w:gridSpan w:val="2"/>
          </w:tcPr>
          <w:p w14:paraId="02A5B147" w14:textId="77777777" w:rsidR="00E42205" w:rsidRDefault="00E42205" w:rsidP="0046051D">
            <w:r>
              <w:t xml:space="preserve">In order to ensure compliance with the scheme, and as ingredients are subject to variation, businesses may provide a conservative estimate of the proportion of Australian ingredients. This may result in the amount of Australian sourced ingredients being underestimated. </w:t>
            </w:r>
          </w:p>
        </w:tc>
      </w:tr>
      <w:tr w:rsidR="00E42205" w14:paraId="472EDA26" w14:textId="77777777" w:rsidTr="004B28FF">
        <w:tc>
          <w:tcPr>
            <w:tcW w:w="1720" w:type="dxa"/>
          </w:tcPr>
          <w:p w14:paraId="5FDC2144" w14:textId="7F974302" w:rsidR="00E42205" w:rsidRDefault="00D0625C" w:rsidP="0046051D">
            <w:r>
              <w:t>53</w:t>
            </w:r>
          </w:p>
        </w:tc>
        <w:tc>
          <w:tcPr>
            <w:tcW w:w="7306" w:type="dxa"/>
            <w:gridSpan w:val="2"/>
          </w:tcPr>
          <w:p w14:paraId="1AF514E2" w14:textId="77777777" w:rsidR="00E42205" w:rsidRPr="00F977D1" w:rsidRDefault="00E42205" w:rsidP="0046051D">
            <w:pPr>
              <w:rPr>
                <w:rFonts w:asciiTheme="majorHAnsi" w:hAnsiTheme="majorHAnsi"/>
              </w:rPr>
            </w:pPr>
            <w:r>
              <w:rPr>
                <w:rFonts w:asciiTheme="majorHAnsi" w:hAnsiTheme="majorHAnsi"/>
              </w:rPr>
              <w:t xml:space="preserve">Implementation of the scheme was supported through a business advice line and other time limited supports. </w:t>
            </w:r>
          </w:p>
        </w:tc>
      </w:tr>
      <w:tr w:rsidR="00B94E07" w14:paraId="517BBD68" w14:textId="77777777" w:rsidTr="0002315C">
        <w:tc>
          <w:tcPr>
            <w:tcW w:w="4513" w:type="dxa"/>
            <w:gridSpan w:val="2"/>
          </w:tcPr>
          <w:p w14:paraId="16BAAD8C" w14:textId="77777777" w:rsidR="00B94E07" w:rsidRPr="00872338" w:rsidRDefault="00B94E07" w:rsidP="0046051D">
            <w:pPr>
              <w:rPr>
                <w:b/>
                <w:bCs/>
                <w:lang w:eastAsia="en-AU"/>
              </w:rPr>
            </w:pPr>
            <w:r>
              <w:rPr>
                <w:b/>
                <w:bCs/>
                <w:lang w:eastAsia="en-AU"/>
              </w:rPr>
              <w:t>Pillar 4: Impact on business</w:t>
            </w:r>
          </w:p>
        </w:tc>
        <w:tc>
          <w:tcPr>
            <w:tcW w:w="4513" w:type="dxa"/>
          </w:tcPr>
          <w:p w14:paraId="6B73B88C" w14:textId="548894A0" w:rsidR="00B94E07" w:rsidRPr="00872338" w:rsidRDefault="00B94E07" w:rsidP="0046051D">
            <w:pPr>
              <w:rPr>
                <w:b/>
                <w:bCs/>
                <w:lang w:eastAsia="en-AU"/>
              </w:rPr>
            </w:pPr>
          </w:p>
        </w:tc>
      </w:tr>
      <w:tr w:rsidR="00E42205" w14:paraId="04132419" w14:textId="77777777" w:rsidTr="004B28FF">
        <w:tc>
          <w:tcPr>
            <w:tcW w:w="1720" w:type="dxa"/>
          </w:tcPr>
          <w:p w14:paraId="131E2403" w14:textId="77777777" w:rsidR="00E42205" w:rsidRDefault="00E42205" w:rsidP="0046051D"/>
        </w:tc>
        <w:tc>
          <w:tcPr>
            <w:tcW w:w="7306" w:type="dxa"/>
            <w:gridSpan w:val="2"/>
          </w:tcPr>
          <w:p w14:paraId="065849C8" w14:textId="77777777" w:rsidR="00E42205" w:rsidRPr="00F977D1" w:rsidRDefault="00E42205" w:rsidP="0046051D">
            <w:pPr>
              <w:rPr>
                <w:rFonts w:asciiTheme="majorHAnsi" w:hAnsiTheme="majorHAnsi"/>
                <w:b/>
              </w:rPr>
            </w:pPr>
            <w:r w:rsidRPr="00F977D1">
              <w:rPr>
                <w:b/>
                <w:lang w:eastAsia="en-AU"/>
              </w:rPr>
              <w:t>Communication and online resources</w:t>
            </w:r>
          </w:p>
        </w:tc>
      </w:tr>
      <w:tr w:rsidR="00E42205" w14:paraId="42173E0F" w14:textId="77777777" w:rsidTr="004B28FF">
        <w:tc>
          <w:tcPr>
            <w:tcW w:w="1720" w:type="dxa"/>
          </w:tcPr>
          <w:p w14:paraId="6D5C8D86" w14:textId="68F2AA12" w:rsidR="00E42205" w:rsidRDefault="00D0625C" w:rsidP="0046051D">
            <w:r>
              <w:lastRenderedPageBreak/>
              <w:t>54</w:t>
            </w:r>
          </w:p>
        </w:tc>
        <w:tc>
          <w:tcPr>
            <w:tcW w:w="7306" w:type="dxa"/>
            <w:gridSpan w:val="2"/>
          </w:tcPr>
          <w:p w14:paraId="12AE4199" w14:textId="2F283202" w:rsidR="00E42205" w:rsidRPr="00193D71" w:rsidRDefault="00E42205" w:rsidP="0046051D">
            <w:r w:rsidRPr="00AD0ACA">
              <w:t>In general, businesses have indicated that communication activities and online resources were effective in supporting businesses in understanding, implementing and managing CoOL requirements. Continued education and communication to businesses and consumers is important</w:t>
            </w:r>
            <w:r>
              <w:t>.</w:t>
            </w:r>
            <w:r w:rsidRPr="00AD0ACA">
              <w:t xml:space="preserve"> </w:t>
            </w:r>
            <w:r>
              <w:t>M</w:t>
            </w:r>
            <w:r w:rsidRPr="00AD0ACA">
              <w:t>ore recently, communication material has not been prominent.</w:t>
            </w:r>
            <w:r>
              <w:t xml:space="preserve"> </w:t>
            </w:r>
          </w:p>
        </w:tc>
      </w:tr>
      <w:tr w:rsidR="00E42205" w14:paraId="237A29E5" w14:textId="77777777" w:rsidTr="004B28FF">
        <w:tc>
          <w:tcPr>
            <w:tcW w:w="1720" w:type="dxa"/>
          </w:tcPr>
          <w:p w14:paraId="10B49720" w14:textId="4073689A" w:rsidR="00E42205" w:rsidRDefault="00D0625C" w:rsidP="0046051D">
            <w:r>
              <w:t>55</w:t>
            </w:r>
          </w:p>
        </w:tc>
        <w:tc>
          <w:tcPr>
            <w:tcW w:w="7306" w:type="dxa"/>
            <w:gridSpan w:val="2"/>
          </w:tcPr>
          <w:p w14:paraId="7B1659A6" w14:textId="20854FE5" w:rsidR="00E42205" w:rsidRPr="003C74DF" w:rsidRDefault="00A80413" w:rsidP="0046051D">
            <w:pPr>
              <w:rPr>
                <w:rFonts w:asciiTheme="majorHAnsi" w:hAnsiTheme="majorHAnsi"/>
              </w:rPr>
            </w:pPr>
            <w:r>
              <w:t>The</w:t>
            </w:r>
            <w:r w:rsidRPr="00AD0ACA">
              <w:t xml:space="preserve"> examples provided </w:t>
            </w:r>
            <w:r>
              <w:t xml:space="preserve">by the regulator </w:t>
            </w:r>
            <w:r w:rsidRPr="00AD0ACA">
              <w:t>on the definition of ‘substantial transformation’</w:t>
            </w:r>
            <w:r>
              <w:t xml:space="preserve"> could be more detailed as a means of providing further guidance to industry, noting this is currently predominantly based on legislative and/or regulatory instruments.</w:t>
            </w:r>
          </w:p>
        </w:tc>
      </w:tr>
      <w:tr w:rsidR="00E42205" w14:paraId="344F47B6" w14:textId="77777777" w:rsidTr="004B28FF">
        <w:tc>
          <w:tcPr>
            <w:tcW w:w="1720" w:type="dxa"/>
          </w:tcPr>
          <w:p w14:paraId="20A601F2" w14:textId="77777777" w:rsidR="00E42205" w:rsidRDefault="00E42205" w:rsidP="0046051D"/>
        </w:tc>
        <w:tc>
          <w:tcPr>
            <w:tcW w:w="7306" w:type="dxa"/>
            <w:gridSpan w:val="2"/>
          </w:tcPr>
          <w:p w14:paraId="1BA56CE5" w14:textId="77777777" w:rsidR="00E42205" w:rsidRPr="00F977D1" w:rsidRDefault="00E42205" w:rsidP="0046051D">
            <w:pPr>
              <w:rPr>
                <w:b/>
              </w:rPr>
            </w:pPr>
            <w:r w:rsidRPr="00F977D1">
              <w:rPr>
                <w:b/>
              </w:rPr>
              <w:t>Transition period</w:t>
            </w:r>
          </w:p>
        </w:tc>
      </w:tr>
      <w:tr w:rsidR="00E42205" w14:paraId="4D358A00" w14:textId="77777777" w:rsidTr="004B28FF">
        <w:tc>
          <w:tcPr>
            <w:tcW w:w="1720" w:type="dxa"/>
          </w:tcPr>
          <w:p w14:paraId="607EE5A2" w14:textId="2680C3A6" w:rsidR="00E42205" w:rsidRDefault="00D0625C" w:rsidP="0046051D">
            <w:r>
              <w:t>56</w:t>
            </w:r>
          </w:p>
        </w:tc>
        <w:tc>
          <w:tcPr>
            <w:tcW w:w="7306" w:type="dxa"/>
            <w:gridSpan w:val="2"/>
          </w:tcPr>
          <w:p w14:paraId="7F3C73DB" w14:textId="77777777" w:rsidR="00E42205" w:rsidRPr="00193D71" w:rsidRDefault="00E42205" w:rsidP="0046051D">
            <w:r w:rsidRPr="00193D71">
              <w:t xml:space="preserve">Most businesses indicated the two-year transition period was sufficient to implement the reforms in an efficient manner. </w:t>
            </w:r>
          </w:p>
        </w:tc>
      </w:tr>
      <w:tr w:rsidR="00E42205" w14:paraId="171DAB3F" w14:textId="77777777" w:rsidTr="004B28FF">
        <w:tc>
          <w:tcPr>
            <w:tcW w:w="1720" w:type="dxa"/>
          </w:tcPr>
          <w:p w14:paraId="19FBFC24" w14:textId="34DE79C4" w:rsidR="00E42205" w:rsidRDefault="00D0625C" w:rsidP="0046051D">
            <w:r>
              <w:t>57</w:t>
            </w:r>
          </w:p>
        </w:tc>
        <w:tc>
          <w:tcPr>
            <w:tcW w:w="7306" w:type="dxa"/>
            <w:gridSpan w:val="2"/>
          </w:tcPr>
          <w:p w14:paraId="7304B842" w14:textId="77777777" w:rsidR="00E42205" w:rsidRPr="00193D71" w:rsidRDefault="00E42205" w:rsidP="0046051D">
            <w:r>
              <w:t>Certain businesses – including l</w:t>
            </w:r>
            <w:r w:rsidRPr="00193D71">
              <w:t xml:space="preserve">arge </w:t>
            </w:r>
            <w:r>
              <w:t>retailers and</w:t>
            </w:r>
            <w:r w:rsidRPr="00193D71">
              <w:t xml:space="preserve"> businesses in the </w:t>
            </w:r>
            <w:r>
              <w:t>processed</w:t>
            </w:r>
            <w:r w:rsidRPr="00193D71">
              <w:t xml:space="preserve"> foods sector </w:t>
            </w:r>
            <w:r>
              <w:t xml:space="preserve">- </w:t>
            </w:r>
            <w:r w:rsidRPr="00193D71">
              <w:t xml:space="preserve">stated </w:t>
            </w:r>
            <w:r>
              <w:t xml:space="preserve">that </w:t>
            </w:r>
            <w:r w:rsidRPr="00193D71">
              <w:t xml:space="preserve">the two-year transition period was insufficient and resulted in significant package write-off and disposal costs. </w:t>
            </w:r>
            <w:r>
              <w:t>Businesses of this type suggested that a transition period of 4 years would be more appropriate for any future changes of a similar magnitude.</w:t>
            </w:r>
          </w:p>
        </w:tc>
      </w:tr>
      <w:tr w:rsidR="00E42205" w14:paraId="4B977490" w14:textId="77777777" w:rsidTr="004B28FF">
        <w:tc>
          <w:tcPr>
            <w:tcW w:w="1720" w:type="dxa"/>
          </w:tcPr>
          <w:p w14:paraId="683F5FAF" w14:textId="77777777" w:rsidR="00E42205" w:rsidRDefault="00E42205" w:rsidP="0046051D"/>
        </w:tc>
        <w:tc>
          <w:tcPr>
            <w:tcW w:w="7306" w:type="dxa"/>
            <w:gridSpan w:val="2"/>
          </w:tcPr>
          <w:p w14:paraId="6246A792" w14:textId="77777777" w:rsidR="00E42205" w:rsidRPr="00F977D1" w:rsidRDefault="00E42205" w:rsidP="0046051D">
            <w:pPr>
              <w:rPr>
                <w:b/>
              </w:rPr>
            </w:pPr>
            <w:r w:rsidRPr="00F977D1">
              <w:rPr>
                <w:b/>
              </w:rPr>
              <w:t>Cost to business</w:t>
            </w:r>
          </w:p>
        </w:tc>
      </w:tr>
      <w:tr w:rsidR="00E42205" w14:paraId="229A68BD" w14:textId="77777777" w:rsidTr="004B28FF">
        <w:tc>
          <w:tcPr>
            <w:tcW w:w="1720" w:type="dxa"/>
          </w:tcPr>
          <w:p w14:paraId="0C5FA111" w14:textId="55F23276" w:rsidR="00E42205" w:rsidRDefault="00D0625C" w:rsidP="0046051D">
            <w:r>
              <w:t>58</w:t>
            </w:r>
          </w:p>
        </w:tc>
        <w:tc>
          <w:tcPr>
            <w:tcW w:w="7306" w:type="dxa"/>
            <w:gridSpan w:val="2"/>
          </w:tcPr>
          <w:p w14:paraId="4BB2BA1B" w14:textId="77777777" w:rsidR="00E42205" w:rsidRDefault="00E42205" w:rsidP="0046051D">
            <w:r w:rsidRPr="006C31FB">
              <w:t xml:space="preserve">The realised costs to business varied significantly depending on the type and nature of the business. It does appear that the cost impact primarily coincided with the introduction of the </w:t>
            </w:r>
            <w:r>
              <w:t>scheme</w:t>
            </w:r>
            <w:r w:rsidRPr="006C31FB">
              <w:t>. For most businesses the ongoing cost of CoOL is reportedly very low. However, there has been an impact from recent disruptions to supply chains.</w:t>
            </w:r>
          </w:p>
        </w:tc>
      </w:tr>
      <w:tr w:rsidR="00E42205" w14:paraId="062AE97F" w14:textId="77777777" w:rsidTr="004B28FF">
        <w:tc>
          <w:tcPr>
            <w:tcW w:w="1720" w:type="dxa"/>
          </w:tcPr>
          <w:p w14:paraId="18B0E6B7" w14:textId="77777777" w:rsidR="00E42205" w:rsidRDefault="00E42205" w:rsidP="0046051D"/>
        </w:tc>
        <w:tc>
          <w:tcPr>
            <w:tcW w:w="7306" w:type="dxa"/>
            <w:gridSpan w:val="2"/>
          </w:tcPr>
          <w:p w14:paraId="558FBBF8" w14:textId="77777777" w:rsidR="00E42205" w:rsidRPr="00F977D1" w:rsidRDefault="00E42205" w:rsidP="0046051D">
            <w:pPr>
              <w:rPr>
                <w:b/>
              </w:rPr>
            </w:pPr>
            <w:r w:rsidRPr="00F977D1">
              <w:rPr>
                <w:b/>
              </w:rPr>
              <w:t>Benefits to business</w:t>
            </w:r>
          </w:p>
        </w:tc>
      </w:tr>
      <w:tr w:rsidR="00E42205" w14:paraId="523C38B8" w14:textId="77777777" w:rsidTr="004B28FF">
        <w:tc>
          <w:tcPr>
            <w:tcW w:w="1720" w:type="dxa"/>
          </w:tcPr>
          <w:p w14:paraId="374C5CCB" w14:textId="4786C60A" w:rsidR="00E42205" w:rsidRDefault="00D0625C" w:rsidP="0046051D">
            <w:r>
              <w:t>59</w:t>
            </w:r>
          </w:p>
        </w:tc>
        <w:tc>
          <w:tcPr>
            <w:tcW w:w="7306" w:type="dxa"/>
            <w:gridSpan w:val="2"/>
          </w:tcPr>
          <w:p w14:paraId="07909F4E" w14:textId="77777777" w:rsidR="00E42205" w:rsidRPr="00193D71" w:rsidRDefault="00E42205" w:rsidP="0046051D">
            <w:r>
              <w:t>M</w:t>
            </w:r>
            <w:r w:rsidRPr="00D94A1E">
              <w:t xml:space="preserve">ost food and beverage producers do not report benefiting from the increased provision of country of origin information to consumers. However, some businesses do report benefitting. </w:t>
            </w:r>
          </w:p>
        </w:tc>
      </w:tr>
      <w:tr w:rsidR="00E42205" w14:paraId="415B5E20" w14:textId="77777777" w:rsidTr="004B28FF">
        <w:tc>
          <w:tcPr>
            <w:tcW w:w="1720" w:type="dxa"/>
          </w:tcPr>
          <w:p w14:paraId="6B58CC53" w14:textId="18683A10" w:rsidR="00E42205" w:rsidRDefault="00D0625C" w:rsidP="0046051D">
            <w:r>
              <w:t>60</w:t>
            </w:r>
          </w:p>
        </w:tc>
        <w:tc>
          <w:tcPr>
            <w:tcW w:w="7306" w:type="dxa"/>
            <w:gridSpan w:val="2"/>
          </w:tcPr>
          <w:p w14:paraId="48A3720E" w14:textId="77777777" w:rsidR="00E42205" w:rsidRPr="00D94A1E" w:rsidRDefault="00E42205" w:rsidP="0046051D">
            <w:r w:rsidRPr="00D94A1E">
              <w:t xml:space="preserve">A more complete picture of industry benefit from CoOL will emerge once the </w:t>
            </w:r>
            <w:r>
              <w:t>s</w:t>
            </w:r>
            <w:r w:rsidRPr="00D94A1E">
              <w:t>cheme has operated over a more extended timeframe and consumer awareness and understanding is increased.</w:t>
            </w:r>
          </w:p>
        </w:tc>
      </w:tr>
      <w:tr w:rsidR="00E42205" w14:paraId="65AB3779" w14:textId="77777777" w:rsidTr="004B28FF">
        <w:tc>
          <w:tcPr>
            <w:tcW w:w="1720" w:type="dxa"/>
          </w:tcPr>
          <w:p w14:paraId="6936BFB3" w14:textId="77777777" w:rsidR="00E42205" w:rsidRDefault="00E42205" w:rsidP="0046051D"/>
        </w:tc>
        <w:tc>
          <w:tcPr>
            <w:tcW w:w="7306" w:type="dxa"/>
            <w:gridSpan w:val="2"/>
          </w:tcPr>
          <w:p w14:paraId="74651A34" w14:textId="77777777" w:rsidR="00E42205" w:rsidRPr="0042202D" w:rsidRDefault="00E42205" w:rsidP="0046051D">
            <w:r w:rsidRPr="00F977D1">
              <w:rPr>
                <w:b/>
                <w:bCs/>
              </w:rPr>
              <w:t>Lessons learned</w:t>
            </w:r>
            <w:r>
              <w:rPr>
                <w:b/>
                <w:bCs/>
              </w:rPr>
              <w:t xml:space="preserve"> and improvement opportunities</w:t>
            </w:r>
          </w:p>
        </w:tc>
      </w:tr>
      <w:tr w:rsidR="00E42205" w14:paraId="1DACAE04" w14:textId="77777777" w:rsidTr="004B28FF">
        <w:tc>
          <w:tcPr>
            <w:tcW w:w="1720" w:type="dxa"/>
          </w:tcPr>
          <w:p w14:paraId="747BFD16" w14:textId="718835C7" w:rsidR="00E42205" w:rsidRDefault="00D0625C" w:rsidP="0046051D">
            <w:r>
              <w:t>61</w:t>
            </w:r>
          </w:p>
        </w:tc>
        <w:tc>
          <w:tcPr>
            <w:tcW w:w="7306" w:type="dxa"/>
            <w:gridSpan w:val="2"/>
          </w:tcPr>
          <w:p w14:paraId="53A936EB" w14:textId="1183F574" w:rsidR="00E42205" w:rsidRPr="00193D71" w:rsidRDefault="00E42205" w:rsidP="0046051D">
            <w:r>
              <w:t xml:space="preserve">A range of potential improvements </w:t>
            </w:r>
            <w:r w:rsidR="00665E27">
              <w:t xml:space="preserve">has </w:t>
            </w:r>
            <w:r>
              <w:t xml:space="preserve">been identified. However, any improvements need to be considered in the context of the scheme’s duration and with regard to overall benefit and cost. Changes to the scheme can be costly – particularly when first introduced - as they typically affect many products, businesses and consumers.  </w:t>
            </w:r>
          </w:p>
        </w:tc>
      </w:tr>
    </w:tbl>
    <w:p w14:paraId="5DAEAF5B" w14:textId="77777777" w:rsidR="005B00B8" w:rsidRDefault="00BF4216" w:rsidP="00BF4216">
      <w:pPr>
        <w:pStyle w:val="Heading1un-numbered"/>
        <w:rPr>
          <w:lang w:eastAsia="en-AU"/>
        </w:rPr>
      </w:pPr>
      <w:bookmarkStart w:id="786" w:name="_Toc67499174"/>
      <w:bookmarkStart w:id="787" w:name="_Toc94702088"/>
      <w:r w:rsidRPr="00BF4216">
        <w:rPr>
          <w:lang w:eastAsia="en-AU"/>
        </w:rPr>
        <w:lastRenderedPageBreak/>
        <w:t>Limitation of our work</w:t>
      </w:r>
      <w:bookmarkEnd w:id="776"/>
      <w:bookmarkEnd w:id="777"/>
      <w:bookmarkEnd w:id="778"/>
      <w:bookmarkEnd w:id="779"/>
      <w:bookmarkEnd w:id="786"/>
      <w:bookmarkEnd w:id="787"/>
    </w:p>
    <w:p w14:paraId="118A2DDF" w14:textId="77777777" w:rsidR="00BF4216" w:rsidRDefault="00BF4216" w:rsidP="00BF4216">
      <w:pPr>
        <w:pStyle w:val="Heading2un-numbered"/>
      </w:pPr>
      <w:bookmarkStart w:id="788" w:name="_Toc463002440"/>
      <w:bookmarkStart w:id="789" w:name="_Toc472586354"/>
      <w:bookmarkStart w:id="790" w:name="_Toc482168132"/>
      <w:bookmarkStart w:id="791" w:name="_Toc482174917"/>
      <w:bookmarkStart w:id="792" w:name="_Toc67499175"/>
      <w:bookmarkStart w:id="793" w:name="_Toc94702089"/>
      <w:r w:rsidRPr="006345F9">
        <w:t>General use restriction</w:t>
      </w:r>
      <w:bookmarkEnd w:id="788"/>
      <w:bookmarkEnd w:id="789"/>
      <w:bookmarkEnd w:id="790"/>
      <w:bookmarkEnd w:id="791"/>
      <w:bookmarkEnd w:id="792"/>
      <w:bookmarkEnd w:id="793"/>
    </w:p>
    <w:p w14:paraId="7D0E887E" w14:textId="77777777" w:rsidR="00DF06E9" w:rsidRDefault="00581B33" w:rsidP="007C1760">
      <w:r>
        <w:t xml:space="preserve">This report is prepared solely for the internal use of </w:t>
      </w:r>
      <w:r w:rsidR="00F26A7F">
        <w:t xml:space="preserve">Department </w:t>
      </w:r>
      <w:r w:rsidR="000E2AF9">
        <w:t>of Industry, Science, Energy and Resources</w:t>
      </w:r>
      <w:r>
        <w:t xml:space="preserve">. This report is not intended to and should not be used or </w:t>
      </w:r>
      <w:r w:rsidRPr="00BC3B9C">
        <w:t xml:space="preserve">relied upon by anyone else and we accept no duty of care to any other person or entity. The report has been prepared for the purpose </w:t>
      </w:r>
      <w:r w:rsidR="000F3609" w:rsidRPr="00BC3B9C">
        <w:t>of evaluating</w:t>
      </w:r>
      <w:r w:rsidR="00D71259" w:rsidRPr="00BC3B9C">
        <w:t xml:space="preserve"> the Country of Origin Labelling</w:t>
      </w:r>
      <w:r w:rsidR="000A40AD" w:rsidRPr="00BC3B9C">
        <w:t xml:space="preserve"> (CoOL)</w:t>
      </w:r>
      <w:r w:rsidR="00D71259" w:rsidRPr="00BC3B9C">
        <w:t xml:space="preserve"> reforms </w:t>
      </w:r>
      <w:r w:rsidR="000F3609" w:rsidRPr="00BC3B9C">
        <w:t xml:space="preserve">to understand the impacts and effectiveness of the 2016 CoOL reforms </w:t>
      </w:r>
      <w:r w:rsidR="000A40AD" w:rsidRPr="00BC3B9C">
        <w:t>against the intended aims</w:t>
      </w:r>
      <w:r w:rsidR="00D71259" w:rsidRPr="00BC3B9C">
        <w:t>.</w:t>
      </w:r>
      <w:r w:rsidRPr="00BC3B9C">
        <w:t xml:space="preserve"> You should not refer to or use our name or the advice for any other purpose.</w:t>
      </w:r>
    </w:p>
    <w:p w14:paraId="31974ABA" w14:textId="77777777" w:rsidR="00983929" w:rsidRPr="009232DC" w:rsidRDefault="00983929" w:rsidP="00983929">
      <w:pPr>
        <w:pageBreakBefore/>
      </w:pPr>
    </w:p>
    <w:p w14:paraId="141A8C47" w14:textId="77777777" w:rsidR="00D01239" w:rsidRPr="000F05E4"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DB2D17" w14:paraId="08F481E2" w14:textId="77777777" w:rsidTr="522DC842">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598436F0" w14:textId="77777777" w:rsidR="00493AF9" w:rsidRPr="00DB2D17" w:rsidRDefault="00D31629" w:rsidP="004D6E06">
            <w:pPr>
              <w:pStyle w:val="Legaltext"/>
            </w:pPr>
            <w:r w:rsidRPr="00AC7F29">
              <w:rPr>
                <w:noProof/>
                <w:color w:val="2B579A"/>
                <w:lang w:eastAsia="en-AU"/>
              </w:rPr>
              <w:drawing>
                <wp:inline distT="0" distB="0" distL="0" distR="0" wp14:anchorId="4AB46A3D" wp14:editId="1084476F">
                  <wp:extent cx="2086118" cy="914400"/>
                  <wp:effectExtent l="0" t="0" r="0" b="0"/>
                  <wp:docPr id="266776721" name="Frontpage_Logo_Positiv" descr="This picture is a logo of Deloitte, at the end of the document.">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descr="This picture is a logo of Deloitte, at the end of the document.">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pic:cNvPr>
                          <pic:cNvPicPr/>
                        </pic:nvPicPr>
                        <pic:blipFill>
                          <a:blip r:embed="rId86"/>
                          <a:srcRect/>
                          <a:stretch/>
                        </pic:blipFill>
                        <pic:spPr>
                          <a:xfrm>
                            <a:off x="0" y="0"/>
                            <a:ext cx="2086118" cy="914400"/>
                          </a:xfrm>
                          <a:prstGeom prst="rect">
                            <a:avLst/>
                          </a:prstGeom>
                        </pic:spPr>
                      </pic:pic>
                    </a:graphicData>
                  </a:graphic>
                </wp:inline>
              </w:drawing>
            </w:r>
          </w:p>
          <w:p w14:paraId="403C8967" w14:textId="77777777" w:rsidR="00206BB8" w:rsidRPr="00DB2D17" w:rsidRDefault="00206BB8" w:rsidP="00206BB8">
            <w:pPr>
              <w:pStyle w:val="Legaltext"/>
            </w:pPr>
          </w:p>
          <w:p w14:paraId="4A8A7E1D" w14:textId="2DDB452C" w:rsidR="00473123" w:rsidRDefault="00473123" w:rsidP="00206BB8">
            <w:pPr>
              <w:pStyle w:val="Legaltext"/>
            </w:pPr>
            <w:r>
              <w:t>Deloitte Access Economics Pty Ltd</w:t>
            </w:r>
          </w:p>
          <w:p w14:paraId="293C2518" w14:textId="7C595631" w:rsidR="00473123" w:rsidRDefault="009869B7" w:rsidP="00206BB8">
            <w:pPr>
              <w:pStyle w:val="Legaltext"/>
            </w:pPr>
            <w:r>
              <w:t>4</w:t>
            </w:r>
            <w:r w:rsidR="00A67A67">
              <w:t>7</w:t>
            </w:r>
            <w:r>
              <w:t>7 Collins Street</w:t>
            </w:r>
          </w:p>
          <w:p w14:paraId="7481AA42" w14:textId="77777777" w:rsidR="00473123" w:rsidRDefault="009869B7" w:rsidP="00206BB8">
            <w:pPr>
              <w:pStyle w:val="Legaltext"/>
            </w:pPr>
            <w:r>
              <w:t>Melbourne</w:t>
            </w:r>
            <w:r w:rsidR="00473123">
              <w:t xml:space="preserve"> </w:t>
            </w:r>
            <w:r>
              <w:t>VIC</w:t>
            </w:r>
          </w:p>
          <w:p w14:paraId="3F68221B" w14:textId="77777777" w:rsidR="00473123" w:rsidRDefault="009869B7" w:rsidP="00206BB8">
            <w:pPr>
              <w:pStyle w:val="Legaltext"/>
            </w:pPr>
            <w:r>
              <w:t>3000</w:t>
            </w:r>
          </w:p>
          <w:p w14:paraId="7D4A7DE1" w14:textId="02BA47FB" w:rsidR="00206BB8" w:rsidRPr="0078098D" w:rsidRDefault="009869B7" w:rsidP="00206BB8">
            <w:pPr>
              <w:pStyle w:val="Legaltext"/>
            </w:pPr>
            <w:r>
              <w:t xml:space="preserve">Australia </w:t>
            </w:r>
          </w:p>
          <w:p w14:paraId="2DCC2630" w14:textId="77777777" w:rsidR="00206BB8" w:rsidRPr="0078098D" w:rsidRDefault="00206BB8" w:rsidP="00206BB8">
            <w:pPr>
              <w:pStyle w:val="Legaltext"/>
            </w:pPr>
          </w:p>
          <w:p w14:paraId="0BE1C640" w14:textId="0A665B43" w:rsidR="00206BB8" w:rsidRPr="0078098D" w:rsidRDefault="00206BB8" w:rsidP="00206BB8">
            <w:pPr>
              <w:pStyle w:val="Legaltext"/>
            </w:pPr>
            <w:bookmarkStart w:id="794" w:name="LAN_Phone_1"/>
            <w:r w:rsidRPr="0078098D">
              <w:t>Phone</w:t>
            </w:r>
            <w:bookmarkEnd w:id="794"/>
            <w:r w:rsidRPr="0078098D">
              <w:t xml:space="preserve">: </w:t>
            </w:r>
            <w:bookmarkStart w:id="795" w:name="OFF_Phone_1"/>
            <w:bookmarkEnd w:id="795"/>
            <w:r w:rsidR="0020219D">
              <w:t>(03) 9671 7000</w:t>
            </w:r>
          </w:p>
          <w:p w14:paraId="27235E90" w14:textId="77777777" w:rsidR="00206BB8" w:rsidRPr="0078098D" w:rsidRDefault="00206BB8" w:rsidP="00206BB8">
            <w:pPr>
              <w:pStyle w:val="Legaltext"/>
            </w:pPr>
          </w:p>
          <w:p w14:paraId="12EF72E3" w14:textId="1C6E9E03" w:rsidR="0013686B" w:rsidRDefault="0013686B" w:rsidP="0013686B">
            <w:pPr>
              <w:pStyle w:val="Legaltext"/>
            </w:pPr>
            <w:r>
              <w:t xml:space="preserve">Deloitte Access Economics is Australia’s pre-eminent economics advisory practice and a member of Deloitte's global economics group. For more information, please visit our website: </w:t>
            </w:r>
            <w:hyperlink r:id="rId87" w:history="1">
              <w:r w:rsidRPr="0071405B">
                <w:rPr>
                  <w:rStyle w:val="Hyperlink"/>
                  <w:color w:val="012169" w:themeColor="accent4"/>
                </w:rPr>
                <w:t>www.deloitte.com/au/deloitte-access-economics</w:t>
              </w:r>
            </w:hyperlink>
            <w:r>
              <w:t xml:space="preserve"> </w:t>
            </w:r>
          </w:p>
          <w:p w14:paraId="07172744" w14:textId="77777777" w:rsidR="0013686B" w:rsidRDefault="0013686B" w:rsidP="0013686B">
            <w:pPr>
              <w:pStyle w:val="Legaltext"/>
            </w:pPr>
          </w:p>
          <w:p w14:paraId="1E4A030B" w14:textId="77777777" w:rsidR="0013686B" w:rsidRDefault="0013686B" w:rsidP="0013686B">
            <w:pPr>
              <w:pStyle w:val="Legaltext"/>
            </w:pPr>
            <w: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18637E56" w14:textId="77777777" w:rsidR="0013686B" w:rsidRDefault="0013686B" w:rsidP="0013686B">
            <w:pPr>
              <w:pStyle w:val="Legaltext"/>
            </w:pPr>
          </w:p>
          <w:p w14:paraId="3BF26BB4" w14:textId="77777777" w:rsidR="0013686B" w:rsidRDefault="0013686B" w:rsidP="0013686B">
            <w:pPr>
              <w:pStyle w:val="Legaltext"/>
            </w:pPr>
            <w: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5E1AB6A6" w14:textId="77777777" w:rsidR="0013686B" w:rsidRDefault="0013686B" w:rsidP="0013686B">
            <w:pPr>
              <w:pStyle w:val="Legaltext"/>
            </w:pPr>
          </w:p>
          <w:p w14:paraId="41DDEB7A" w14:textId="77777777" w:rsidR="0013686B" w:rsidRPr="0013686B" w:rsidRDefault="0013686B" w:rsidP="0013686B">
            <w:pPr>
              <w:pStyle w:val="Legaltext"/>
              <w:rPr>
                <w:b/>
              </w:rPr>
            </w:pPr>
            <w:r w:rsidRPr="0013686B">
              <w:rPr>
                <w:b/>
              </w:rPr>
              <w:t xml:space="preserve">Deloitte Asia Pacific </w:t>
            </w:r>
          </w:p>
          <w:p w14:paraId="799F73BE" w14:textId="77777777" w:rsidR="0013686B" w:rsidRDefault="0013686B" w:rsidP="0013686B">
            <w:pPr>
              <w:pStyle w:val="Legaltext"/>
            </w:pPr>
            <w: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75284AB6" w14:textId="77777777" w:rsidR="0013686B" w:rsidRDefault="0013686B" w:rsidP="0013686B">
            <w:pPr>
              <w:pStyle w:val="Legaltext"/>
            </w:pPr>
          </w:p>
          <w:p w14:paraId="25C730B7" w14:textId="77777777" w:rsidR="0013686B" w:rsidRPr="0013686B" w:rsidRDefault="0013686B" w:rsidP="0013686B">
            <w:pPr>
              <w:pStyle w:val="Legaltext"/>
              <w:rPr>
                <w:b/>
              </w:rPr>
            </w:pPr>
            <w:r w:rsidRPr="0013686B">
              <w:rPr>
                <w:b/>
              </w:rPr>
              <w:t>Deloitte Australia</w:t>
            </w:r>
          </w:p>
          <w:p w14:paraId="65A4950D" w14:textId="77777777" w:rsidR="0013686B" w:rsidRDefault="0013686B" w:rsidP="0013686B">
            <w:pPr>
              <w:pStyle w:val="Legaltext"/>
            </w:pPr>
            <w: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75F6F2E1" w14:textId="77777777" w:rsidR="0013686B" w:rsidRDefault="0013686B" w:rsidP="0013686B">
            <w:pPr>
              <w:pStyle w:val="Legaltext"/>
            </w:pPr>
          </w:p>
          <w:p w14:paraId="1DD095CE" w14:textId="77777777" w:rsidR="0013686B" w:rsidRDefault="0013686B" w:rsidP="0013686B">
            <w:pPr>
              <w:pStyle w:val="Legaltext"/>
            </w:pPr>
            <w:r>
              <w:t>Liability limited by a scheme approved under Professional Standards Legislation.</w:t>
            </w:r>
          </w:p>
          <w:p w14:paraId="660FC13F" w14:textId="77777777" w:rsidR="0013686B" w:rsidRDefault="0013686B" w:rsidP="0013686B">
            <w:pPr>
              <w:pStyle w:val="Legaltext"/>
            </w:pPr>
            <w:r>
              <w:t>Member of Deloitte Asia Pacific Limited and the Deloitte Network.</w:t>
            </w:r>
          </w:p>
          <w:p w14:paraId="05757DAF" w14:textId="77777777" w:rsidR="0013686B" w:rsidRDefault="0013686B" w:rsidP="0013686B">
            <w:pPr>
              <w:pStyle w:val="Legaltext"/>
            </w:pPr>
          </w:p>
          <w:p w14:paraId="0763565A" w14:textId="22916914" w:rsidR="00417D85" w:rsidRPr="00417D85" w:rsidRDefault="0013686B" w:rsidP="0013686B">
            <w:pPr>
              <w:pStyle w:val="Legaltext"/>
              <w:spacing w:line="0" w:lineRule="atLeast"/>
              <w:rPr>
                <w:sz w:val="2"/>
                <w:szCs w:val="2"/>
              </w:rPr>
            </w:pPr>
            <w:r>
              <w:t>©20</w:t>
            </w:r>
            <w:r w:rsidR="00F24B65">
              <w:t>2</w:t>
            </w:r>
            <w:r w:rsidR="006C7FAE">
              <w:t>1</w:t>
            </w:r>
            <w:r>
              <w:t xml:space="preserve"> Deloitte Access Economics. Deloitte Touche Tohmatsu</w:t>
            </w:r>
          </w:p>
        </w:tc>
      </w:tr>
    </w:tbl>
    <w:p w14:paraId="27275DA5" w14:textId="46EBEE91" w:rsidR="00BF6F8B" w:rsidRPr="000F05E4" w:rsidRDefault="00BF6F8B" w:rsidP="009B139F"/>
    <w:p w14:paraId="2C4052AB" w14:textId="77777777" w:rsidR="007629C6" w:rsidRPr="000F05E4" w:rsidRDefault="007629C6" w:rsidP="009B139F"/>
    <w:sectPr w:rsidR="007629C6" w:rsidRPr="000F05E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D39DC" w14:textId="77777777" w:rsidR="001D64C8" w:rsidRDefault="001D64C8" w:rsidP="00C702C7">
      <w:pPr>
        <w:spacing w:line="240" w:lineRule="auto"/>
      </w:pPr>
    </w:p>
  </w:endnote>
  <w:endnote w:type="continuationSeparator" w:id="0">
    <w:p w14:paraId="32120BA3" w14:textId="77777777" w:rsidR="001D64C8" w:rsidRDefault="001D64C8" w:rsidP="00C702C7">
      <w:pPr>
        <w:spacing w:line="240" w:lineRule="auto"/>
      </w:pPr>
      <w:r>
        <w:continuationSeparator/>
      </w:r>
    </w:p>
  </w:endnote>
  <w:endnote w:type="continuationNotice" w:id="1">
    <w:p w14:paraId="54B897ED" w14:textId="77777777" w:rsidR="001D64C8" w:rsidRDefault="001D64C8">
      <w:pPr>
        <w:spacing w:after="0" w:line="240" w:lineRule="auto"/>
      </w:pPr>
    </w:p>
  </w:endnote>
  <w:endnote w:id="2">
    <w:p w14:paraId="14C83CB1" w14:textId="77777777" w:rsidR="00EE6366" w:rsidRDefault="00EE6366" w:rsidP="009E553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altName w:val="Calibri"/>
    <w:charset w:val="00"/>
    <w:family w:val="auto"/>
    <w:pitch w:val="variable"/>
    <w:sig w:usb0="A00000AF" w:usb1="40000048" w:usb2="00000000" w:usb3="00000000" w:csb0="0000011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DC857" w14:textId="77777777" w:rsidR="00EE6366" w:rsidRPr="00B66F45" w:rsidRDefault="00EE6366" w:rsidP="00B66F45">
    <w:pPr>
      <w:pStyle w:val="Footer"/>
    </w:pPr>
    <w:r>
      <w:rPr>
        <w:noProof/>
        <w:color w:val="2B579A"/>
        <w:shd w:val="clear" w:color="auto" w:fill="E6E6E6"/>
        <w:lang w:eastAsia="en-AU"/>
      </w:rPr>
      <mc:AlternateContent>
        <mc:Choice Requires="wps">
          <w:drawing>
            <wp:inline distT="0" distB="0" distL="0" distR="0" wp14:anchorId="66DB37C3" wp14:editId="7D8D94AF">
              <wp:extent cx="2880000" cy="403200"/>
              <wp:effectExtent l="0" t="0" r="0" b="0"/>
              <wp:docPr id="11" name="Commercial-in-confidence_Hide"/>
              <wp:cNvGraphicFramePr/>
              <a:graphic xmlns:a="http://schemas.openxmlformats.org/drawingml/2006/main">
                <a:graphicData uri="http://schemas.microsoft.com/office/word/2010/wordprocessingShape">
                  <wps:wsp>
                    <wps:cNvSpPr txBox="1"/>
                    <wps:spPr>
                      <a:xfrm>
                        <a:off x="0" y="0"/>
                        <a:ext cx="2880000" cy="40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6D88D" w14:textId="77777777" w:rsidR="00EE6366" w:rsidRDefault="00EE6366" w:rsidP="00B66F45">
                          <w:pPr>
                            <w:pStyle w:val="Footer"/>
                            <w:jc w:val="right"/>
                          </w:pPr>
                          <w:r w:rsidRPr="00FD7D79">
                            <w:t>Commercial-in-confidence</w:t>
                          </w:r>
                        </w:p>
                      </w:txbxContent>
                    </wps:txbx>
                    <wps:bodyPr rot="0" spcFirstLastPara="0" vertOverflow="overflow" horzOverflow="overflow" vert="horz" wrap="square" lIns="0" tIns="0" rIns="792000" bIns="0" numCol="1" spcCol="0" rtlCol="0" fromWordArt="0" anchor="t" anchorCtr="0" forceAA="0" compatLnSpc="1">
                      <a:prstTxWarp prst="textNoShape">
                        <a:avLst/>
                      </a:prstTxWarp>
                      <a:noAutofit/>
                    </wps:bodyPr>
                  </wps:wsp>
                </a:graphicData>
              </a:graphic>
            </wp:inline>
          </w:drawing>
        </mc:Choice>
        <mc:Fallback>
          <w:pict>
            <v:shapetype w14:anchorId="66DB37C3" id="_x0000_t202" coordsize="21600,21600" o:spt="202" path="m,l,21600r21600,l21600,xe">
              <v:stroke joinstyle="miter"/>
              <v:path gradientshapeok="t" o:connecttype="rect"/>
            </v:shapetype>
            <v:shape id="_x0000_s1028" type="#_x0000_t202" style="width:226.75pt;height: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" filled="f" stroked="f" strokeweight=".5pt">
              <v:textbox inset="0,0,22mm,0">
                <w:txbxContent>
                  <w:p w14:paraId="3156D88D" w14:textId="77777777" w:rsidR="00EE6366" w:rsidRDefault="00EE6366" w:rsidP="00B66F45">
                    <w:pPr>
                      <w:pStyle w:val="Footer"/>
                      <w:jc w:val="right"/>
                    </w:pPr>
                    <w:r w:rsidRPr="00FD7D79">
                      <w:t>Commercial-in-confidence</w:t>
                    </w: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518AE" w14:textId="77777777" w:rsidR="00EE6366" w:rsidRPr="00FD7D79" w:rsidRDefault="00EE6366" w:rsidP="00FD7D79">
    <w:pPr>
      <w:pStyle w:val="Footer"/>
    </w:pPr>
    <w:r>
      <w:rPr>
        <w:noProof/>
        <w:color w:val="2B579A"/>
        <w:shd w:val="clear" w:color="auto" w:fill="E6E6E6"/>
        <w:lang w:eastAsia="en-AU"/>
      </w:rPr>
      <mc:AlternateContent>
        <mc:Choice Requires="wps">
          <w:drawing>
            <wp:anchor distT="0" distB="0" distL="114300" distR="114300" simplePos="0" relativeHeight="251658244" behindDoc="0" locked="0" layoutInCell="1" allowOverlap="0" wp14:anchorId="239D229F" wp14:editId="255C88EF">
              <wp:simplePos x="0" y="0"/>
              <wp:positionH relativeFrom="column">
                <wp:align>left</wp:align>
              </wp:positionH>
              <wp:positionV relativeFrom="page">
                <wp:align>bottom</wp:align>
              </wp:positionV>
              <wp:extent cx="5943600" cy="1674000"/>
              <wp:effectExtent l="0" t="0" r="0" b="2540"/>
              <wp:wrapTopAndBottom/>
              <wp:docPr id="7" name="Disclaimer">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67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ayout w:type="fixed"/>
                            <w:tblLook w:val="04A0" w:firstRow="1" w:lastRow="0" w:firstColumn="1" w:lastColumn="0" w:noHBand="0" w:noVBand="1"/>
                          </w:tblPr>
                          <w:tblGrid>
                            <w:gridCol w:w="9356"/>
                          </w:tblGrid>
                          <w:tr w:rsidR="00EE6366" w:rsidRPr="0080001F" w14:paraId="7CFAA69C" w14:textId="77777777" w:rsidTr="008D0892">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0B54C2F6" w14:textId="77777777" w:rsidR="00EE6366" w:rsidRPr="00CE76CA" w:rsidRDefault="00EE6366" w:rsidP="0013686B">
                                <w:pPr>
                                  <w:pStyle w:val="Disclaimer"/>
                                  <w:spacing w:after="120" w:line="240" w:lineRule="auto"/>
                                  <w:rPr>
                                    <w:szCs w:val="11"/>
                                  </w:rPr>
                                </w:pPr>
                                <w:r w:rsidRPr="00CE76CA">
                                  <w:rPr>
                                    <w:szCs w:val="11"/>
                                  </w:rPr>
                                  <w:t>Deloitte Access Economics is Australia’s pre-eminent economics advisory practice and a member of Deloitte's global economics group. For more information, please visit our website: www.deloitte.com/au/deloitte-access-economics</w:t>
                                </w:r>
                              </w:p>
                              <w:p w14:paraId="4DC7FBEF" w14:textId="77777777" w:rsidR="00EE6366" w:rsidRPr="00CE76CA" w:rsidRDefault="00EE6366" w:rsidP="0013686B">
                                <w:pPr>
                                  <w:pStyle w:val="Disclaimer"/>
                                  <w:spacing w:after="120" w:line="240" w:lineRule="auto"/>
                                  <w:rPr>
                                    <w:szCs w:val="11"/>
                                  </w:rPr>
                                </w:pPr>
                                <w:r w:rsidRPr="00CE76CA">
                                  <w:rPr>
                                    <w:szCs w:val="11"/>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C18CBE1" w14:textId="77777777" w:rsidR="00EE6366" w:rsidRPr="00CE76CA" w:rsidRDefault="00EE6366" w:rsidP="0013686B">
                                <w:pPr>
                                  <w:pStyle w:val="Disclaimer"/>
                                  <w:spacing w:after="120" w:line="240" w:lineRule="auto"/>
                                  <w:rPr>
                                    <w:szCs w:val="11"/>
                                  </w:rPr>
                                </w:pPr>
                                <w:r w:rsidRPr="00CE76CA">
                                  <w:rPr>
                                    <w:szCs w:val="11"/>
                                  </w:rPr>
                                  <w:t>Liability limited by a scheme approved under Professional Standards Legislation.</w:t>
                                </w:r>
                              </w:p>
                              <w:p w14:paraId="2E52383A" w14:textId="77777777" w:rsidR="00EE6366" w:rsidRPr="00CE76CA" w:rsidRDefault="00EE6366" w:rsidP="0013686B">
                                <w:pPr>
                                  <w:pStyle w:val="Disclaimer"/>
                                  <w:spacing w:after="120" w:line="240" w:lineRule="auto"/>
                                  <w:rPr>
                                    <w:szCs w:val="11"/>
                                  </w:rPr>
                                </w:pPr>
                                <w:r w:rsidRPr="00CE76CA">
                                  <w:rPr>
                                    <w:szCs w:val="11"/>
                                  </w:rPr>
                                  <w:t>Member of Deloitte Asia Pacific Limited and the Deloitte Network.</w:t>
                                </w:r>
                              </w:p>
                              <w:p w14:paraId="2343D978" w14:textId="77777777" w:rsidR="00EE6366" w:rsidRPr="00CE76CA" w:rsidRDefault="00EE6366" w:rsidP="0013686B">
                                <w:pPr>
                                  <w:pStyle w:val="Disclaimer"/>
                                  <w:spacing w:after="120" w:line="240" w:lineRule="auto"/>
                                  <w:rPr>
                                    <w:szCs w:val="11"/>
                                  </w:rPr>
                                </w:pPr>
                                <w:r w:rsidRPr="00CE76CA">
                                  <w:rPr>
                                    <w:szCs w:val="11"/>
                                  </w:rPr>
                                  <w:t>©2021 Deloitte Access Economics. Deloitte Touche Tohmatsu</w:t>
                                </w:r>
                              </w:p>
                            </w:tc>
                          </w:tr>
                          <w:tr w:rsidR="00EE6366" w:rsidRPr="00A95E3F" w14:paraId="624238AD" w14:textId="77777777" w:rsidTr="008D0892">
                            <w:trPr>
                              <w:trHeight w:hRule="exact" w:val="227"/>
                            </w:trPr>
                            <w:tc>
                              <w:tcPr>
                                <w:tcW w:w="9356" w:type="dxa"/>
                              </w:tcPr>
                              <w:p w14:paraId="36D69C98" w14:textId="77777777" w:rsidR="00EE6366" w:rsidRPr="00A95E3F" w:rsidRDefault="00EE6366" w:rsidP="008D0892">
                                <w:pPr>
                                  <w:pStyle w:val="Disclaimer"/>
                                  <w:spacing w:line="120" w:lineRule="atLeast"/>
                                  <w:rPr>
                                    <w:szCs w:val="11"/>
                                  </w:rPr>
                                </w:pPr>
                              </w:p>
                            </w:tc>
                          </w:tr>
                        </w:tbl>
                        <w:p w14:paraId="21852D4D" w14:textId="77777777" w:rsidR="00EE6366" w:rsidRDefault="00EE6366" w:rsidP="0080001F">
                          <w:pPr>
                            <w:spacing w:after="0" w:line="120" w:lineRule="atLeast"/>
                            <w:rPr>
                              <w:sz w:val="11"/>
                              <w:szCs w:val="11"/>
                            </w:rPr>
                          </w:pPr>
                        </w:p>
                        <w:p w14:paraId="0D279E65" w14:textId="77777777" w:rsidR="00EE6366" w:rsidRPr="00A95E3F" w:rsidRDefault="00EE6366" w:rsidP="0080001F">
                          <w:pPr>
                            <w:spacing w:after="0" w:line="120" w:lineRule="atLeast"/>
                            <w:rPr>
                              <w:sz w:val="11"/>
                              <w:szCs w:val="1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D229F" id="_x0000_t202" coordsize="21600,21600" o:spt="202" path="m,l,21600r21600,l21600,xe">
              <v:stroke joinstyle="miter"/>
              <v:path gradientshapeok="t" o:connecttype="rect"/>
            </v:shapetype>
            <v:shape id="Disclaimer" o:spid="_x0000_s1029" type="#_x0000_t202" style="position:absolute;margin-left:0;margin-top:0;width:468pt;height:131.8pt;z-index:251658244;visibility:visible;mso-wrap-style:square;mso-width-percent:0;mso-height-percent:0;mso-wrap-distance-left:9pt;mso-wrap-distance-top:0;mso-wrap-distance-right:9pt;mso-wrap-distance-bottom:0;mso-position-horizontal:left;mso-position-horizontal-relative:text;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" o:allowoverlap="f" filled="f" stroked="f" strokeweight=".5pt">
              <v:textbox inset="0,0,0,0">
                <w:txbxContent>
                  <w:tbl>
                    <w:tblPr>
                      <w:tblStyle w:val="TableGrid"/>
                      <w:tblOverlap w:val="never"/>
                      <w:tblW w:w="0" w:type="auto"/>
                      <w:tblLayout w:type="fixed"/>
                      <w:tblLook w:val="04A0" w:firstRow="1" w:lastRow="0" w:firstColumn="1" w:lastColumn="0" w:noHBand="0" w:noVBand="1"/>
                    </w:tblPr>
                    <w:tblGrid>
                      <w:gridCol w:w="9356"/>
                    </w:tblGrid>
                    <w:tr w:rsidR="00EE6366" w:rsidRPr="0080001F" w14:paraId="7CFAA69C" w14:textId="77777777" w:rsidTr="008D0892">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0B54C2F6" w14:textId="77777777" w:rsidR="00EE6366" w:rsidRPr="00CE76CA" w:rsidRDefault="00EE6366" w:rsidP="0013686B">
                          <w:pPr>
                            <w:pStyle w:val="Disclaimer"/>
                            <w:spacing w:after="120" w:line="240" w:lineRule="auto"/>
                            <w:rPr>
                              <w:szCs w:val="11"/>
                            </w:rPr>
                          </w:pPr>
                          <w:r w:rsidRPr="00CE76CA">
                            <w:rPr>
                              <w:szCs w:val="11"/>
                            </w:rPr>
                            <w:t>Deloitte Access Economics is Australia’s pre-eminent economics advisory practice and a member of Deloitte's global economics group. For more information, please visit our website: www.deloitte.com/au/deloitte-access-economics</w:t>
                          </w:r>
                        </w:p>
                        <w:p w14:paraId="4DC7FBEF" w14:textId="77777777" w:rsidR="00EE6366" w:rsidRPr="00CE76CA" w:rsidRDefault="00EE6366" w:rsidP="0013686B">
                          <w:pPr>
                            <w:pStyle w:val="Disclaimer"/>
                            <w:spacing w:after="120" w:line="240" w:lineRule="auto"/>
                            <w:rPr>
                              <w:szCs w:val="11"/>
                            </w:rPr>
                          </w:pPr>
                          <w:r w:rsidRPr="00CE76CA">
                            <w:rPr>
                              <w:szCs w:val="11"/>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C18CBE1" w14:textId="77777777" w:rsidR="00EE6366" w:rsidRPr="00CE76CA" w:rsidRDefault="00EE6366" w:rsidP="0013686B">
                          <w:pPr>
                            <w:pStyle w:val="Disclaimer"/>
                            <w:spacing w:after="120" w:line="240" w:lineRule="auto"/>
                            <w:rPr>
                              <w:szCs w:val="11"/>
                            </w:rPr>
                          </w:pPr>
                          <w:r w:rsidRPr="00CE76CA">
                            <w:rPr>
                              <w:szCs w:val="11"/>
                            </w:rPr>
                            <w:t>Liability limited by a scheme approved under Professional Standards Legislation.</w:t>
                          </w:r>
                        </w:p>
                        <w:p w14:paraId="2E52383A" w14:textId="77777777" w:rsidR="00EE6366" w:rsidRPr="00CE76CA" w:rsidRDefault="00EE6366" w:rsidP="0013686B">
                          <w:pPr>
                            <w:pStyle w:val="Disclaimer"/>
                            <w:spacing w:after="120" w:line="240" w:lineRule="auto"/>
                            <w:rPr>
                              <w:szCs w:val="11"/>
                            </w:rPr>
                          </w:pPr>
                          <w:r w:rsidRPr="00CE76CA">
                            <w:rPr>
                              <w:szCs w:val="11"/>
                            </w:rPr>
                            <w:t>Member of Deloitte Asia Pacific Limited and the Deloitte Network.</w:t>
                          </w:r>
                        </w:p>
                        <w:p w14:paraId="2343D978" w14:textId="77777777" w:rsidR="00EE6366" w:rsidRPr="00CE76CA" w:rsidRDefault="00EE6366" w:rsidP="0013686B">
                          <w:pPr>
                            <w:pStyle w:val="Disclaimer"/>
                            <w:spacing w:after="120" w:line="240" w:lineRule="auto"/>
                            <w:rPr>
                              <w:szCs w:val="11"/>
                            </w:rPr>
                          </w:pPr>
                          <w:r w:rsidRPr="00CE76CA">
                            <w:rPr>
                              <w:szCs w:val="11"/>
                            </w:rPr>
                            <w:t>©2021 Deloitte Access Economics. Deloitte Touche Tohmatsu</w:t>
                          </w:r>
                        </w:p>
                      </w:tc>
                    </w:tr>
                    <w:tr w:rsidR="00EE6366" w:rsidRPr="00A95E3F" w14:paraId="624238AD" w14:textId="77777777" w:rsidTr="008D0892">
                      <w:trPr>
                        <w:trHeight w:hRule="exact" w:val="227"/>
                      </w:trPr>
                      <w:tc>
                        <w:tcPr>
                          <w:tcW w:w="9356" w:type="dxa"/>
                        </w:tcPr>
                        <w:p w14:paraId="36D69C98" w14:textId="77777777" w:rsidR="00EE6366" w:rsidRPr="00A95E3F" w:rsidRDefault="00EE6366" w:rsidP="008D0892">
                          <w:pPr>
                            <w:pStyle w:val="Disclaimer"/>
                            <w:spacing w:line="120" w:lineRule="atLeast"/>
                            <w:rPr>
                              <w:szCs w:val="11"/>
                            </w:rPr>
                          </w:pPr>
                        </w:p>
                      </w:tc>
                    </w:tr>
                  </w:tbl>
                  <w:p w14:paraId="21852D4D" w14:textId="77777777" w:rsidR="00EE6366" w:rsidRDefault="00EE6366" w:rsidP="0080001F">
                    <w:pPr>
                      <w:spacing w:after="0" w:line="120" w:lineRule="atLeast"/>
                      <w:rPr>
                        <w:sz w:val="11"/>
                        <w:szCs w:val="11"/>
                      </w:rPr>
                    </w:pPr>
                  </w:p>
                  <w:p w14:paraId="0D279E65" w14:textId="77777777" w:rsidR="00EE6366" w:rsidRPr="00A95E3F" w:rsidRDefault="00EE6366" w:rsidP="0080001F">
                    <w:pPr>
                      <w:spacing w:after="0" w:line="120" w:lineRule="atLeast"/>
                      <w:rPr>
                        <w:sz w:val="11"/>
                        <w:szCs w:val="11"/>
                      </w:rPr>
                    </w:pPr>
                  </w:p>
                </w:txbxContent>
              </v:textbox>
              <w10:wrap type="topAndBottom"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690D1" w14:textId="6839F2F1" w:rsidR="00EE6366" w:rsidRPr="00FD7D79" w:rsidRDefault="00EE6366" w:rsidP="00FD7D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6A31B" w14:textId="77777777" w:rsidR="00EE6366" w:rsidRPr="00672300" w:rsidRDefault="00EE6366"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93445A">
      <w:rPr>
        <w:rStyle w:val="PageNumber"/>
        <w:noProof/>
      </w:rPr>
      <w:t>i</w:t>
    </w:r>
    <w:r w:rsidRPr="006C4F67">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7E011" w14:textId="2732B39B" w:rsidR="00EE6366" w:rsidRPr="007E7D93" w:rsidRDefault="00EE6366"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93445A">
      <w:rPr>
        <w:rStyle w:val="PageNumber"/>
        <w:noProof/>
      </w:rPr>
      <w:t>15</w:t>
    </w:r>
    <w:r w:rsidRPr="006C4F67">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F3C2" w14:textId="70753C76" w:rsidR="00EE6366" w:rsidRPr="007E7D93" w:rsidRDefault="00EE6366"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93445A">
      <w:rPr>
        <w:rStyle w:val="PageNumber"/>
        <w:noProof/>
      </w:rPr>
      <w:t>123</w:t>
    </w:r>
    <w:r w:rsidRPr="006C4F6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8207A" w14:textId="77777777" w:rsidR="001D64C8" w:rsidRDefault="001D64C8" w:rsidP="00C702C7">
      <w:pPr>
        <w:spacing w:line="240" w:lineRule="auto"/>
      </w:pPr>
      <w:r>
        <w:separator/>
      </w:r>
    </w:p>
  </w:footnote>
  <w:footnote w:type="continuationSeparator" w:id="0">
    <w:p w14:paraId="5D5DC584" w14:textId="77777777" w:rsidR="001D64C8" w:rsidRDefault="001D64C8" w:rsidP="00C702C7">
      <w:pPr>
        <w:spacing w:line="240" w:lineRule="auto"/>
      </w:pPr>
      <w:r>
        <w:continuationSeparator/>
      </w:r>
    </w:p>
  </w:footnote>
  <w:footnote w:type="continuationNotice" w:id="1">
    <w:p w14:paraId="543B4D8D" w14:textId="77777777" w:rsidR="001D64C8" w:rsidRDefault="001D64C8">
      <w:pPr>
        <w:spacing w:after="0" w:line="240" w:lineRule="auto"/>
      </w:pPr>
    </w:p>
  </w:footnote>
  <w:footnote w:id="2">
    <w:p w14:paraId="0CC6675A" w14:textId="062DD245" w:rsidR="00A554D5" w:rsidRDefault="00A554D5">
      <w:pPr>
        <w:pStyle w:val="FootnoteText"/>
      </w:pPr>
      <w:r>
        <w:rPr>
          <w:rStyle w:val="FootnoteReference"/>
        </w:rPr>
        <w:footnoteRef/>
      </w:r>
      <w:r>
        <w:t xml:space="preserve"> </w:t>
      </w:r>
      <w:r w:rsidR="00CF4E0C">
        <w:t xml:space="preserve">Unless otherwise stated, “government” refers to </w:t>
      </w:r>
      <w:r w:rsidR="00055328">
        <w:t>all Australian government agencies.</w:t>
      </w:r>
    </w:p>
  </w:footnote>
  <w:footnote w:id="3">
    <w:p w14:paraId="5D14B5EC" w14:textId="2F1895F9" w:rsidR="00EE6366" w:rsidRPr="005B306E" w:rsidRDefault="00EE6366" w:rsidP="00F711D0">
      <w:pPr>
        <w:pStyle w:val="FootnoteText"/>
        <w:rPr>
          <w:i/>
          <w:iCs/>
        </w:rPr>
      </w:pPr>
      <w:r>
        <w:rPr>
          <w:rStyle w:val="FootnoteReference"/>
        </w:rPr>
        <w:footnoteRef/>
      </w:r>
      <w:r>
        <w:t xml:space="preserve"> Department of Industry, Innovation and Science, (2016). </w:t>
      </w:r>
      <w:r w:rsidRPr="005B306E">
        <w:rPr>
          <w:i/>
          <w:iCs/>
        </w:rPr>
        <w:t>Decision Regulation Impact Statement</w:t>
      </w:r>
    </w:p>
    <w:p w14:paraId="7E940382" w14:textId="301B6396" w:rsidR="00EE6366" w:rsidRDefault="00EE6366" w:rsidP="00F711D0">
      <w:pPr>
        <w:pStyle w:val="FootnoteText"/>
      </w:pPr>
      <w:r w:rsidRPr="005B306E">
        <w:rPr>
          <w:i/>
          <w:iCs/>
        </w:rPr>
        <w:t>Consumer Affairs Australia New Zealand</w:t>
      </w:r>
      <w:r>
        <w:t xml:space="preserve">. Accessed October 2020. </w:t>
      </w:r>
      <w:hyperlink r:id="rId1" w:history="1">
        <w:r w:rsidRPr="00F86945">
          <w:t>https://ris.pmc.gov.au/sites/default/files/posts/2016/04/Country-of-Origin-Labelling-Decision-RIS-1.pdf</w:t>
        </w:r>
      </w:hyperlink>
      <w:r>
        <w:t xml:space="preserve"> </w:t>
      </w:r>
    </w:p>
  </w:footnote>
  <w:footnote w:id="4">
    <w:p w14:paraId="0B6FF5DF" w14:textId="0E6C14D2" w:rsidR="00EE6366" w:rsidRDefault="00EE6366" w:rsidP="00965347">
      <w:pPr>
        <w:pStyle w:val="FootnoteText"/>
      </w:pPr>
      <w:r>
        <w:rPr>
          <w:rStyle w:val="FootnoteReference"/>
        </w:rPr>
        <w:footnoteRef/>
      </w:r>
      <w:r>
        <w:t xml:space="preserve"> For instance, a positive BCR indicates that t</w:t>
      </w:r>
      <w:r w:rsidRPr="001B5177">
        <w:t xml:space="preserve">he </w:t>
      </w:r>
      <w:r>
        <w:t>option is expected to</w:t>
      </w:r>
      <w:r w:rsidRPr="001B5177">
        <w:t xml:space="preserve"> deliver a positive </w:t>
      </w:r>
      <w:r>
        <w:t>Net Present Value (that potential benefits are expected to be greater than the costs to the Australian community) when costs and benefits are discounted over the period (FY2016 to FY2040). A negative BCR indicates the opposite is true – costs are expected to outweigh the benefits.</w:t>
      </w:r>
    </w:p>
  </w:footnote>
  <w:footnote w:id="5">
    <w:p w14:paraId="6B101479" w14:textId="375826D6" w:rsidR="00EE6366" w:rsidRDefault="00EE6366">
      <w:pPr>
        <w:pStyle w:val="FootnoteText"/>
      </w:pPr>
      <w:r>
        <w:rPr>
          <w:rStyle w:val="FootnoteReference"/>
        </w:rPr>
        <w:footnoteRef/>
      </w:r>
      <w:r>
        <w:t xml:space="preserve"> </w:t>
      </w:r>
      <w:r w:rsidR="009C3837" w:rsidRPr="0017455A">
        <w:t xml:space="preserve">Deloitte Access Economics 2021, </w:t>
      </w:r>
      <w:r w:rsidR="009C3837" w:rsidRPr="0098039F">
        <w:rPr>
          <w:i/>
          <w:iCs/>
        </w:rPr>
        <w:t>Evaluation of Country of Origin Labelling reforms: Cost Benefit Analysis</w:t>
      </w:r>
      <w:r w:rsidR="009C3837" w:rsidRPr="0017455A">
        <w:t>, for the Department of Industry, Science, Energy and Resources</w:t>
      </w:r>
      <w:r w:rsidR="00377DDB">
        <w:t xml:space="preserve">, </w:t>
      </w:r>
      <w:r w:rsidRPr="006308AC">
        <w:t>Table 4.2</w:t>
      </w:r>
      <w:r w:rsidR="005D40F7">
        <w:t>.</w:t>
      </w:r>
      <w:r>
        <w:t>.</w:t>
      </w:r>
    </w:p>
  </w:footnote>
  <w:footnote w:id="6">
    <w:p w14:paraId="26C46C8D" w14:textId="77509436" w:rsidR="00EE6366" w:rsidRDefault="00EE6366">
      <w:pPr>
        <w:pStyle w:val="FootnoteText"/>
      </w:pPr>
      <w:r>
        <w:rPr>
          <w:rStyle w:val="FootnoteReference"/>
        </w:rPr>
        <w:footnoteRef/>
      </w:r>
      <w:r>
        <w:t xml:space="preserve"> </w:t>
      </w:r>
      <w:r w:rsidR="00DC7712" w:rsidRPr="0017455A">
        <w:t xml:space="preserve">Deloitte Access Economics 2021, </w:t>
      </w:r>
      <w:r w:rsidR="00DC7712" w:rsidRPr="0098039F">
        <w:rPr>
          <w:i/>
          <w:iCs/>
        </w:rPr>
        <w:t>Evaluation of Country of Origin Labelling reforms: Cost Benefit Analysis</w:t>
      </w:r>
      <w:r w:rsidR="00DC7712" w:rsidRPr="0017455A">
        <w:t>, for the Department of Industry, Science, Energy and Resources</w:t>
      </w:r>
      <w:r w:rsidR="00DC7712">
        <w:t>,</w:t>
      </w:r>
      <w:r>
        <w:t xml:space="preserve"> Chapter 4.</w:t>
      </w:r>
    </w:p>
  </w:footnote>
  <w:footnote w:id="7">
    <w:p w14:paraId="34EE346B" w14:textId="1373135E" w:rsidR="00EE6366" w:rsidRDefault="00EE6366">
      <w:pPr>
        <w:pStyle w:val="FootnoteText"/>
      </w:pPr>
      <w:r>
        <w:rPr>
          <w:rStyle w:val="FootnoteReference"/>
        </w:rPr>
        <w:footnoteRef/>
      </w:r>
      <w:r>
        <w:t xml:space="preserve"> </w:t>
      </w:r>
      <w:r w:rsidR="0003423A" w:rsidRPr="0017455A">
        <w:t xml:space="preserve">Deloitte Access Economics 2021, </w:t>
      </w:r>
      <w:r w:rsidR="0003423A" w:rsidRPr="0098039F">
        <w:rPr>
          <w:i/>
          <w:iCs/>
        </w:rPr>
        <w:t>Evaluation of Country of Origin Labelling reforms: Cost Benefit Analysis</w:t>
      </w:r>
      <w:r w:rsidR="0003423A" w:rsidRPr="0017455A">
        <w:t>, for the Department of Industry, Science, Energy and Resources</w:t>
      </w:r>
      <w:r w:rsidR="0003423A">
        <w:t xml:space="preserve">, </w:t>
      </w:r>
      <w:r>
        <w:t xml:space="preserve">Chapter </w:t>
      </w:r>
      <w:r w:rsidR="002410EC">
        <w:t>5</w:t>
      </w:r>
      <w:r>
        <w:t>.</w:t>
      </w:r>
    </w:p>
  </w:footnote>
  <w:footnote w:id="8">
    <w:p w14:paraId="1160867A" w14:textId="56DCE75D" w:rsidR="00EE6366" w:rsidRDefault="00EE6366">
      <w:pPr>
        <w:pStyle w:val="FootnoteText"/>
      </w:pPr>
      <w:r>
        <w:rPr>
          <w:rStyle w:val="FootnoteReference"/>
        </w:rPr>
        <w:footnoteRef/>
      </w:r>
      <w:r>
        <w:t xml:space="preserve"> </w:t>
      </w:r>
      <w:r w:rsidR="00ED5B59" w:rsidRPr="0017455A">
        <w:t xml:space="preserve">Deloitte Access Economics 2021, </w:t>
      </w:r>
      <w:r w:rsidR="00ED5B59" w:rsidRPr="0098039F">
        <w:rPr>
          <w:i/>
        </w:rPr>
        <w:t>Evaluation of Country of Origin Labelling reforms: Cost Benefit Analysis</w:t>
      </w:r>
      <w:r w:rsidR="00ED5B59" w:rsidRPr="0017455A">
        <w:t>, for the Department of Industry, Science, Energy and Resources</w:t>
      </w:r>
      <w:r w:rsidDel="00ED5B59">
        <w:t xml:space="preserve"> Section 4.2</w:t>
      </w:r>
      <w:r w:rsidR="007F10E5">
        <w:t>.</w:t>
      </w:r>
      <w:r w:rsidDel="00ED5B59">
        <w:t xml:space="preserve"> </w:t>
      </w:r>
    </w:p>
  </w:footnote>
  <w:footnote w:id="9">
    <w:p w14:paraId="4E7FB695" w14:textId="29D20C01" w:rsidR="00A22443" w:rsidRDefault="00A22443">
      <w:pPr>
        <w:pStyle w:val="FootnoteText"/>
      </w:pPr>
      <w:r>
        <w:rPr>
          <w:rStyle w:val="FootnoteReference"/>
        </w:rPr>
        <w:footnoteRef/>
      </w:r>
      <w:r>
        <w:t xml:space="preserve"> </w:t>
      </w:r>
      <w:r w:rsidR="00B42931">
        <w:t xml:space="preserve">The ACCC is </w:t>
      </w:r>
      <w:r w:rsidR="003D1C1E" w:rsidRPr="003D1C1E">
        <w:t>an independent Commonwealth statutory authority whose role is to enforce the </w:t>
      </w:r>
      <w:r w:rsidR="003D1C1E" w:rsidRPr="003D1C1E">
        <w:rPr>
          <w:i/>
          <w:iCs/>
        </w:rPr>
        <w:t>Competition and Consumer Act 2010</w:t>
      </w:r>
      <w:r w:rsidR="003D1C1E" w:rsidRPr="003D1C1E">
        <w:t> and a range of additional legislation, promoting competition, fair trading and regulating national infrastructure for the benefit of all Australians.</w:t>
      </w:r>
      <w:r w:rsidR="003D1C1E">
        <w:t xml:space="preserve"> </w:t>
      </w:r>
      <w:r w:rsidR="00A1685F">
        <w:t xml:space="preserve">In addition, </w:t>
      </w:r>
      <w:r w:rsidR="00864182">
        <w:t>there are local state and territory consumer protection agencies</w:t>
      </w:r>
      <w:r w:rsidR="00A858CB">
        <w:t xml:space="preserve">. In the context of this report, </w:t>
      </w:r>
      <w:r w:rsidR="00BF4AAF">
        <w:t xml:space="preserve">references to the regulator refer to the national regulator </w:t>
      </w:r>
      <w:r w:rsidR="00F316B1">
        <w:t>i.e. the AC</w:t>
      </w:r>
      <w:r w:rsidR="004432DA">
        <w:t xml:space="preserve">CC. It is noted that state and territory </w:t>
      </w:r>
      <w:r w:rsidR="00D3202F">
        <w:t xml:space="preserve">protection agencies also contribute to protection consumer affairs. </w:t>
      </w:r>
    </w:p>
  </w:footnote>
  <w:footnote w:id="10">
    <w:p w14:paraId="54B7F299" w14:textId="2ED44C31" w:rsidR="0047620F" w:rsidRDefault="0047620F">
      <w:pPr>
        <w:pStyle w:val="FootnoteText"/>
      </w:pPr>
      <w:r>
        <w:rPr>
          <w:rStyle w:val="FootnoteReference"/>
        </w:rPr>
        <w:footnoteRef/>
      </w:r>
      <w:r>
        <w:t xml:space="preserve"> </w:t>
      </w:r>
      <w:r w:rsidR="001E1AF7">
        <w:t xml:space="preserve">It is noted that any change to the Information Standard can be </w:t>
      </w:r>
      <w:r w:rsidR="006B79A7">
        <w:t xml:space="preserve">an arduous process. </w:t>
      </w:r>
    </w:p>
  </w:footnote>
  <w:footnote w:id="11">
    <w:p w14:paraId="22E199DD" w14:textId="77777777" w:rsidR="00EE6366" w:rsidRDefault="00EE6366" w:rsidP="00E53797">
      <w:pPr>
        <w:spacing w:after="0" w:line="240" w:lineRule="auto"/>
      </w:pPr>
      <w:r w:rsidRPr="00E53797">
        <w:rPr>
          <w:rStyle w:val="FootnoteReference"/>
          <w:sz w:val="16"/>
          <w:szCs w:val="16"/>
        </w:rPr>
        <w:footnoteRef/>
      </w:r>
      <w:r w:rsidRPr="00E53797">
        <w:rPr>
          <w:sz w:val="16"/>
          <w:szCs w:val="16"/>
        </w:rPr>
        <w:t xml:space="preserve"> Under the Administrative Arrangement Orders of 5 December 2019 that took effect from 1 February 2020, the Department has policy responsibility for CoOL.</w:t>
      </w:r>
    </w:p>
  </w:footnote>
  <w:footnote w:id="12">
    <w:p w14:paraId="43D88B07" w14:textId="73A4B539" w:rsidR="00EE6366" w:rsidRDefault="00EE6366" w:rsidP="00050DA6">
      <w:pPr>
        <w:pStyle w:val="FootnoteText"/>
      </w:pPr>
      <w:r>
        <w:rPr>
          <w:rStyle w:val="FootnoteReference"/>
        </w:rPr>
        <w:footnoteRef/>
      </w:r>
      <w:r>
        <w:t xml:space="preserve"> </w:t>
      </w:r>
      <w:r w:rsidRPr="00494C39">
        <w:t>Henneberry</w:t>
      </w:r>
      <w:r>
        <w:t xml:space="preserve"> SR and Walter, JA (2003) ‘</w:t>
      </w:r>
      <w:r w:rsidRPr="00426F7E">
        <w:t>E</w:t>
      </w:r>
      <w:r>
        <w:t>m</w:t>
      </w:r>
      <w:r w:rsidRPr="00426F7E">
        <w:t xml:space="preserve">erging Roles </w:t>
      </w:r>
      <w:r>
        <w:t>f</w:t>
      </w:r>
      <w:r w:rsidRPr="00426F7E">
        <w:t>or Food Labels: Inform, Protect, Persuade</w:t>
      </w:r>
      <w:r>
        <w:t xml:space="preserve">’, </w:t>
      </w:r>
      <w:r w:rsidRPr="00D074D6">
        <w:rPr>
          <w:i/>
          <w:iCs/>
        </w:rPr>
        <w:t>Journal of Food Distribution Research</w:t>
      </w:r>
      <w:r w:rsidRPr="0082335C">
        <w:t>, 34, 3</w:t>
      </w:r>
      <w:r>
        <w:t xml:space="preserve">. </w:t>
      </w:r>
    </w:p>
  </w:footnote>
  <w:footnote w:id="13">
    <w:p w14:paraId="655A59EA" w14:textId="629A25AC" w:rsidR="00EE6366" w:rsidRDefault="00EE6366" w:rsidP="003874C1">
      <w:pPr>
        <w:pStyle w:val="FootnoteText"/>
      </w:pPr>
      <w:r>
        <w:rPr>
          <w:rStyle w:val="FootnoteReference"/>
        </w:rPr>
        <w:footnoteRef/>
      </w:r>
      <w:r>
        <w:t xml:space="preserve"> </w:t>
      </w:r>
      <w:r w:rsidRPr="003874C1">
        <w:t xml:space="preserve">Golan E, Kuchler F and Mitchell L (2000) </w:t>
      </w:r>
      <w:r w:rsidRPr="004600A8">
        <w:rPr>
          <w:i/>
          <w:iCs/>
        </w:rPr>
        <w:t>Economics of food labelling</w:t>
      </w:r>
      <w:r>
        <w:t>, Economic Research Service, U.S. Department of Agriculture, Agricultural Economic Report No. 793.</w:t>
      </w:r>
    </w:p>
  </w:footnote>
  <w:footnote w:id="14">
    <w:p w14:paraId="5638660F" w14:textId="10C92EC4" w:rsidR="00EE6366" w:rsidRDefault="00EE6366" w:rsidP="00050DA6">
      <w:pPr>
        <w:pStyle w:val="EndnoteText"/>
        <w:spacing w:after="0"/>
      </w:pPr>
      <w:r>
        <w:rPr>
          <w:rStyle w:val="FootnoteReference"/>
        </w:rPr>
        <w:footnoteRef/>
      </w:r>
      <w:r>
        <w:t xml:space="preserve"> </w:t>
      </w:r>
      <w:r w:rsidRPr="00DD3589">
        <w:rPr>
          <w:sz w:val="16"/>
        </w:rPr>
        <w:t xml:space="preserve">Hadden, SG (1986) </w:t>
      </w:r>
      <w:r>
        <w:rPr>
          <w:sz w:val="16"/>
        </w:rPr>
        <w:t>‘</w:t>
      </w:r>
      <w:r w:rsidRPr="00DD3589">
        <w:rPr>
          <w:sz w:val="16"/>
        </w:rPr>
        <w:t>Read the label: Reducing risk by providing information</w:t>
      </w:r>
      <w:r>
        <w:rPr>
          <w:sz w:val="16"/>
        </w:rPr>
        <w:t xml:space="preserve">’, </w:t>
      </w:r>
      <w:r w:rsidRPr="00DD3589">
        <w:rPr>
          <w:sz w:val="16"/>
        </w:rPr>
        <w:t xml:space="preserve">Westview Press as cited in Henneberry, SR </w:t>
      </w:r>
      <w:r>
        <w:rPr>
          <w:sz w:val="16"/>
        </w:rPr>
        <w:t>and</w:t>
      </w:r>
      <w:r w:rsidRPr="00DD3589">
        <w:rPr>
          <w:sz w:val="16"/>
        </w:rPr>
        <w:t xml:space="preserve"> Walter JA (2003) </w:t>
      </w:r>
      <w:r>
        <w:rPr>
          <w:sz w:val="16"/>
        </w:rPr>
        <w:t>‘</w:t>
      </w:r>
      <w:r w:rsidRPr="00DD3589">
        <w:rPr>
          <w:sz w:val="16"/>
        </w:rPr>
        <w:t xml:space="preserve">Emerging Roles </w:t>
      </w:r>
      <w:r>
        <w:rPr>
          <w:sz w:val="16"/>
        </w:rPr>
        <w:t>f</w:t>
      </w:r>
      <w:r w:rsidRPr="00DD3589">
        <w:rPr>
          <w:sz w:val="16"/>
        </w:rPr>
        <w:t>or Food Labels: Inform, Protect, Persuade</w:t>
      </w:r>
      <w:r>
        <w:rPr>
          <w:sz w:val="16"/>
        </w:rPr>
        <w:t>’</w:t>
      </w:r>
      <w:r w:rsidRPr="00DD3589">
        <w:rPr>
          <w:sz w:val="16"/>
        </w:rPr>
        <w:t xml:space="preserve">. </w:t>
      </w:r>
      <w:r w:rsidRPr="00C938B9">
        <w:rPr>
          <w:i/>
          <w:iCs/>
          <w:sz w:val="16"/>
        </w:rPr>
        <w:t>Journal of Food Distribution Research</w:t>
      </w:r>
      <w:r w:rsidRPr="00DD3589">
        <w:rPr>
          <w:sz w:val="16"/>
        </w:rPr>
        <w:t>, 34, 3.</w:t>
      </w:r>
    </w:p>
  </w:footnote>
  <w:footnote w:id="15">
    <w:p w14:paraId="4CB0378C" w14:textId="1113CDC7" w:rsidR="00EE6366" w:rsidRPr="00DD3589" w:rsidRDefault="00EE6366" w:rsidP="00050DA6">
      <w:pPr>
        <w:pStyle w:val="EndnoteText"/>
        <w:spacing w:after="0"/>
        <w:rPr>
          <w:sz w:val="16"/>
        </w:rPr>
      </w:pPr>
      <w:r>
        <w:rPr>
          <w:rStyle w:val="FootnoteReference"/>
        </w:rPr>
        <w:footnoteRef/>
      </w:r>
      <w:r>
        <w:t xml:space="preserve"> </w:t>
      </w:r>
      <w:r w:rsidRPr="00DD3589">
        <w:rPr>
          <w:sz w:val="16"/>
        </w:rPr>
        <w:t>Golan E</w:t>
      </w:r>
      <w:r>
        <w:rPr>
          <w:sz w:val="16"/>
        </w:rPr>
        <w:t>,</w:t>
      </w:r>
      <w:r w:rsidRPr="00DD3589">
        <w:rPr>
          <w:sz w:val="16"/>
        </w:rPr>
        <w:t xml:space="preserve"> Kuchler</w:t>
      </w:r>
      <w:r>
        <w:rPr>
          <w:sz w:val="16"/>
        </w:rPr>
        <w:t xml:space="preserve"> F</w:t>
      </w:r>
      <w:r w:rsidRPr="00DD3589">
        <w:rPr>
          <w:sz w:val="16"/>
        </w:rPr>
        <w:t xml:space="preserve"> and </w:t>
      </w:r>
      <w:r>
        <w:rPr>
          <w:sz w:val="16"/>
        </w:rPr>
        <w:t>M</w:t>
      </w:r>
      <w:r w:rsidRPr="00DD3589">
        <w:rPr>
          <w:sz w:val="16"/>
        </w:rPr>
        <w:t>itchell</w:t>
      </w:r>
      <w:r>
        <w:rPr>
          <w:sz w:val="16"/>
        </w:rPr>
        <w:t>, L</w:t>
      </w:r>
      <w:r w:rsidRPr="00DD3589">
        <w:rPr>
          <w:sz w:val="16"/>
        </w:rPr>
        <w:t xml:space="preserve"> (2000)</w:t>
      </w:r>
      <w:r>
        <w:rPr>
          <w:sz w:val="16"/>
        </w:rPr>
        <w:t>.</w:t>
      </w:r>
    </w:p>
  </w:footnote>
  <w:footnote w:id="16">
    <w:p w14:paraId="1F4FD77E" w14:textId="3C6B2E6C" w:rsidR="00EE6366" w:rsidRDefault="00EE6366" w:rsidP="00B15E37">
      <w:pPr>
        <w:pStyle w:val="EndnoteText"/>
        <w:spacing w:after="0"/>
      </w:pPr>
      <w:r>
        <w:rPr>
          <w:rStyle w:val="FootnoteReference"/>
        </w:rPr>
        <w:footnoteRef/>
      </w:r>
      <w:r>
        <w:t xml:space="preserve"> </w:t>
      </w:r>
      <w:r>
        <w:rPr>
          <w:sz w:val="16"/>
        </w:rPr>
        <w:t>Ibid</w:t>
      </w:r>
      <w:r w:rsidRPr="00DD3589">
        <w:rPr>
          <w:sz w:val="16"/>
        </w:rPr>
        <w:t xml:space="preserve">. </w:t>
      </w:r>
    </w:p>
  </w:footnote>
  <w:footnote w:id="17">
    <w:p w14:paraId="550ACA40" w14:textId="23E9275A" w:rsidR="00EE6366" w:rsidRDefault="00EE6366" w:rsidP="00B15E37">
      <w:pPr>
        <w:pStyle w:val="FootnoteText"/>
      </w:pPr>
      <w:r>
        <w:rPr>
          <w:rStyle w:val="FootnoteReference"/>
        </w:rPr>
        <w:footnoteRef/>
      </w:r>
      <w:r>
        <w:t xml:space="preserve"> Ibid.</w:t>
      </w:r>
    </w:p>
  </w:footnote>
  <w:footnote w:id="18">
    <w:p w14:paraId="16456337" w14:textId="440BB40E" w:rsidR="00EE6366" w:rsidRDefault="00EE6366" w:rsidP="00610D05">
      <w:pPr>
        <w:pStyle w:val="EndnoteText"/>
        <w:spacing w:after="0"/>
      </w:pPr>
      <w:r>
        <w:rPr>
          <w:rStyle w:val="FootnoteReference"/>
        </w:rPr>
        <w:footnoteRef/>
      </w:r>
      <w:r>
        <w:t xml:space="preserve"> </w:t>
      </w:r>
      <w:r w:rsidRPr="00DD3589">
        <w:rPr>
          <w:sz w:val="16"/>
        </w:rPr>
        <w:t>Hughes C</w:t>
      </w:r>
      <w:r>
        <w:rPr>
          <w:sz w:val="16"/>
        </w:rPr>
        <w:t>,</w:t>
      </w:r>
      <w:r w:rsidRPr="00DD3589">
        <w:rPr>
          <w:sz w:val="16"/>
        </w:rPr>
        <w:t xml:space="preserve"> Wellard L, Lin J, Suen K </w:t>
      </w:r>
      <w:r>
        <w:rPr>
          <w:sz w:val="16"/>
        </w:rPr>
        <w:t>and</w:t>
      </w:r>
      <w:r w:rsidRPr="00DD3589">
        <w:rPr>
          <w:sz w:val="16"/>
        </w:rPr>
        <w:t xml:space="preserve"> Chapman K (2013) </w:t>
      </w:r>
      <w:r>
        <w:rPr>
          <w:sz w:val="16"/>
        </w:rPr>
        <w:t>‘</w:t>
      </w:r>
      <w:r w:rsidRPr="00DD3589">
        <w:rPr>
          <w:sz w:val="16"/>
        </w:rPr>
        <w:t>Regulating health claims on food labels using nutrient profiling: what will the proposed standard mean in the Australian supermarket?</w:t>
      </w:r>
      <w:r>
        <w:rPr>
          <w:sz w:val="16"/>
        </w:rPr>
        <w:t>’</w:t>
      </w:r>
      <w:r w:rsidRPr="00DD3589">
        <w:rPr>
          <w:sz w:val="16"/>
        </w:rPr>
        <w:t xml:space="preserve"> </w:t>
      </w:r>
      <w:r w:rsidRPr="00E32EDB">
        <w:rPr>
          <w:i/>
          <w:iCs/>
          <w:sz w:val="16"/>
        </w:rPr>
        <w:t>Journal of Public Health Nutrition</w:t>
      </w:r>
      <w:r>
        <w:rPr>
          <w:sz w:val="16"/>
        </w:rPr>
        <w:t>,</w:t>
      </w:r>
      <w:r w:rsidRPr="00DD3589">
        <w:rPr>
          <w:sz w:val="16"/>
        </w:rPr>
        <w:t xml:space="preserve"> 16, 12.</w:t>
      </w:r>
    </w:p>
  </w:footnote>
  <w:footnote w:id="19">
    <w:p w14:paraId="7EFBDFFC" w14:textId="2BF9D41C" w:rsidR="00EE6366" w:rsidRDefault="00EE6366" w:rsidP="00610D05">
      <w:pPr>
        <w:pStyle w:val="FootnoteText"/>
      </w:pPr>
      <w:r>
        <w:rPr>
          <w:rStyle w:val="FootnoteReference"/>
        </w:rPr>
        <w:footnoteRef/>
      </w:r>
      <w:r>
        <w:t xml:space="preserve"> Golan E, Kuchler F and Mitchell L (2000). </w:t>
      </w:r>
      <w:r w:rsidRPr="00ED30C2">
        <w:rPr>
          <w:i/>
          <w:iCs/>
        </w:rPr>
        <w:t>Economics of Food Labe</w:t>
      </w:r>
      <w:r>
        <w:rPr>
          <w:i/>
          <w:iCs/>
        </w:rPr>
        <w:t>l</w:t>
      </w:r>
      <w:r w:rsidRPr="00ED30C2">
        <w:rPr>
          <w:i/>
          <w:iCs/>
        </w:rPr>
        <w:t>ling</w:t>
      </w:r>
      <w:r>
        <w:t xml:space="preserve">. Agricultural Economic Report 793. U.S. Department of Agriculture, Economic Research Service. </w:t>
      </w:r>
    </w:p>
  </w:footnote>
  <w:footnote w:id="20">
    <w:p w14:paraId="1FCCD0CB" w14:textId="7C04A3DF" w:rsidR="00EE6366" w:rsidRDefault="00EE6366" w:rsidP="002248CA">
      <w:pPr>
        <w:pStyle w:val="FootnoteText"/>
      </w:pPr>
      <w:r w:rsidRPr="00947C25">
        <w:rPr>
          <w:rStyle w:val="FootnoteReference"/>
        </w:rPr>
        <w:footnoteRef/>
      </w:r>
      <w:r w:rsidRPr="00947C25">
        <w:t xml:space="preserve"> Food Standards Australia and New Zealand (2019). </w:t>
      </w:r>
      <w:r>
        <w:t>‘</w:t>
      </w:r>
      <w:r w:rsidRPr="00947C25">
        <w:t>Labelling</w:t>
      </w:r>
      <w:r>
        <w:t>’</w:t>
      </w:r>
      <w:r w:rsidRPr="00947C25">
        <w:t>.</w:t>
      </w:r>
      <w:r>
        <w:t xml:space="preserve"> FSANZ website, cited January 2021. </w:t>
      </w:r>
    </w:p>
    <w:p w14:paraId="0690770A" w14:textId="74E55C4D" w:rsidR="00EE6366" w:rsidRDefault="0093445A" w:rsidP="002248CA">
      <w:pPr>
        <w:pStyle w:val="FootnoteText"/>
      </w:pPr>
      <w:hyperlink r:id="rId2" w:history="1">
        <w:r w:rsidR="00EE6366" w:rsidRPr="00F86945">
          <w:t>https://www.foodstandards.gov.au/industry/labelling/pages/default.aspx</w:t>
        </w:r>
      </w:hyperlink>
      <w:r w:rsidR="00EE6366">
        <w:t xml:space="preserve"> </w:t>
      </w:r>
    </w:p>
  </w:footnote>
  <w:footnote w:id="21">
    <w:p w14:paraId="0F72B42C" w14:textId="2A4AF1F8" w:rsidR="00EE6366" w:rsidRDefault="00EE6366" w:rsidP="002248CA">
      <w:pPr>
        <w:pStyle w:val="EndnoteText"/>
        <w:spacing w:after="0"/>
      </w:pPr>
      <w:r>
        <w:rPr>
          <w:rStyle w:val="FootnoteReference"/>
        </w:rPr>
        <w:footnoteRef/>
      </w:r>
      <w:r>
        <w:t xml:space="preserve"> </w:t>
      </w:r>
      <w:r w:rsidRPr="00DD3589">
        <w:rPr>
          <w:sz w:val="16"/>
        </w:rPr>
        <w:t xml:space="preserve">Henneberry, SR </w:t>
      </w:r>
      <w:r>
        <w:rPr>
          <w:sz w:val="16"/>
        </w:rPr>
        <w:t>and</w:t>
      </w:r>
      <w:r w:rsidRPr="00DD3589">
        <w:rPr>
          <w:sz w:val="16"/>
        </w:rPr>
        <w:t xml:space="preserve"> Walter JA (2003) </w:t>
      </w:r>
      <w:r>
        <w:rPr>
          <w:sz w:val="16"/>
        </w:rPr>
        <w:t>‘</w:t>
      </w:r>
      <w:r w:rsidRPr="00DD3589">
        <w:rPr>
          <w:sz w:val="16"/>
        </w:rPr>
        <w:t xml:space="preserve">Emerging Roles </w:t>
      </w:r>
      <w:r>
        <w:rPr>
          <w:sz w:val="16"/>
        </w:rPr>
        <w:t>f</w:t>
      </w:r>
      <w:r w:rsidRPr="00DD3589">
        <w:rPr>
          <w:sz w:val="16"/>
        </w:rPr>
        <w:t>or Food Labels: Inform, Protect, Persuade</w:t>
      </w:r>
      <w:r>
        <w:rPr>
          <w:sz w:val="16"/>
        </w:rPr>
        <w:t>’,</w:t>
      </w:r>
      <w:r w:rsidRPr="00DD3589">
        <w:rPr>
          <w:sz w:val="16"/>
        </w:rPr>
        <w:t xml:space="preserve"> </w:t>
      </w:r>
      <w:r w:rsidRPr="00C661A3">
        <w:rPr>
          <w:i/>
          <w:iCs/>
          <w:sz w:val="16"/>
        </w:rPr>
        <w:t>Journal of Food Distribution Research</w:t>
      </w:r>
      <w:r w:rsidRPr="00DD3589">
        <w:rPr>
          <w:sz w:val="16"/>
        </w:rPr>
        <w:t>, 34, 3.</w:t>
      </w:r>
      <w:r>
        <w:t xml:space="preserve"> </w:t>
      </w:r>
    </w:p>
  </w:footnote>
  <w:footnote w:id="22">
    <w:p w14:paraId="3E76A6D8" w14:textId="64862923" w:rsidR="00EE6366" w:rsidRDefault="00EE6366" w:rsidP="002248CA">
      <w:pPr>
        <w:pStyle w:val="FootnoteText"/>
      </w:pPr>
      <w:r>
        <w:rPr>
          <w:rStyle w:val="FootnoteReference"/>
        </w:rPr>
        <w:footnoteRef/>
      </w:r>
      <w:r>
        <w:t xml:space="preserve"> Ibid.</w:t>
      </w:r>
    </w:p>
  </w:footnote>
  <w:footnote w:id="23">
    <w:p w14:paraId="68EB8269" w14:textId="33BC61E3" w:rsidR="00EE6366" w:rsidRDefault="00EE6366">
      <w:pPr>
        <w:pStyle w:val="FootnoteText"/>
      </w:pPr>
      <w:r>
        <w:rPr>
          <w:rStyle w:val="FootnoteReference"/>
        </w:rPr>
        <w:footnoteRef/>
      </w:r>
      <w:r>
        <w:t xml:space="preserve"> </w:t>
      </w:r>
      <w:r w:rsidRPr="007477FD">
        <w:t xml:space="preserve">Tonkin E, Coveney J, Meyer SB </w:t>
      </w:r>
      <w:r>
        <w:t>and</w:t>
      </w:r>
      <w:r w:rsidRPr="007477FD">
        <w:t xml:space="preserve"> Wilson AM, </w:t>
      </w:r>
      <w:r>
        <w:t>and</w:t>
      </w:r>
      <w:r w:rsidRPr="007477FD">
        <w:t xml:space="preserve"> Webb T (2016) </w:t>
      </w:r>
      <w:r>
        <w:t>‘</w:t>
      </w:r>
      <w:r w:rsidRPr="007477FD">
        <w:t>Managing uncertainty about food risks: Consumer use of food labelling</w:t>
      </w:r>
      <w:r>
        <w:t>’,</w:t>
      </w:r>
      <w:r w:rsidRPr="007477FD">
        <w:t xml:space="preserve"> </w:t>
      </w:r>
      <w:r w:rsidRPr="00E81A11">
        <w:rPr>
          <w:i/>
          <w:iCs/>
        </w:rPr>
        <w:t>Appetite</w:t>
      </w:r>
      <w:r w:rsidRPr="007477FD">
        <w:t>, 107.</w:t>
      </w:r>
    </w:p>
  </w:footnote>
  <w:footnote w:id="24">
    <w:p w14:paraId="2DF6DD19" w14:textId="3AA9FFA5" w:rsidR="00EE6366" w:rsidRPr="00DD0B2C" w:rsidRDefault="00EE6366" w:rsidP="004D3FD4">
      <w:pPr>
        <w:pStyle w:val="FootnoteText"/>
      </w:pPr>
      <w:r>
        <w:rPr>
          <w:rStyle w:val="FootnoteReference"/>
        </w:rPr>
        <w:footnoteRef/>
      </w:r>
      <w:r>
        <w:t xml:space="preserve"> </w:t>
      </w:r>
      <w:r w:rsidRPr="00703C96">
        <w:t xml:space="preserve">Australia and New Zealand Food Regulation Ministerial Council (2011). </w:t>
      </w:r>
      <w:r w:rsidRPr="00C661A3">
        <w:rPr>
          <w:i/>
          <w:iCs/>
        </w:rPr>
        <w:t>Response to the recommendations of Labelling Logic: Review of Food Labelling Law and Policy</w:t>
      </w:r>
      <w:r w:rsidRPr="00703C96">
        <w:t xml:space="preserve"> </w:t>
      </w:r>
      <w:r w:rsidRPr="00DD0B2C">
        <w:rPr>
          <w:i/>
          <w:iCs/>
        </w:rPr>
        <w:t>(2011)</w:t>
      </w:r>
      <w:r>
        <w:rPr>
          <w:i/>
          <w:iCs/>
        </w:rPr>
        <w:t xml:space="preserve">, </w:t>
      </w:r>
      <w:r>
        <w:t xml:space="preserve">accessed online in October 2020. </w:t>
      </w:r>
    </w:p>
  </w:footnote>
  <w:footnote w:id="25">
    <w:p w14:paraId="01307E7D" w14:textId="128F37F6" w:rsidR="00B5019A" w:rsidRDefault="00B5019A">
      <w:pPr>
        <w:pStyle w:val="FootnoteText"/>
      </w:pPr>
      <w:r>
        <w:rPr>
          <w:rStyle w:val="FootnoteReference"/>
        </w:rPr>
        <w:footnoteRef/>
      </w:r>
      <w:r>
        <w:t xml:space="preserve"> The ACCC is </w:t>
      </w:r>
      <w:r w:rsidRPr="003D1C1E">
        <w:t>an independent Commonwealth statutory authority whose role is to enforce the </w:t>
      </w:r>
      <w:r w:rsidRPr="003D1C1E">
        <w:rPr>
          <w:i/>
          <w:iCs/>
        </w:rPr>
        <w:t>Competition and Consumer Act 2010</w:t>
      </w:r>
      <w:r w:rsidRPr="003D1C1E">
        <w:t> and a range of additional legislation, promoting competition, fair trading and regulating national infrastructure for the benefit of all Australians.</w:t>
      </w:r>
      <w:r>
        <w:t xml:space="preserve"> In addition, there are local state and territory consumer protection agencies. In the context of this report, references to the regulator refer to the national regulator i.e. the ACCC. It is noted that state and territory protection agencies also contribute to protecti</w:t>
      </w:r>
      <w:r w:rsidR="00265E6F">
        <w:t>ng</w:t>
      </w:r>
      <w:r>
        <w:t xml:space="preserve"> consumer affairs.</w:t>
      </w:r>
    </w:p>
  </w:footnote>
  <w:footnote w:id="26">
    <w:p w14:paraId="728CD195" w14:textId="257D2AB4" w:rsidR="00EE6366" w:rsidRDefault="00EE6366">
      <w:pPr>
        <w:pStyle w:val="FootnoteText"/>
      </w:pPr>
      <w:r>
        <w:rPr>
          <w:rStyle w:val="FootnoteReference"/>
        </w:rPr>
        <w:footnoteRef/>
      </w:r>
      <w:r>
        <w:t xml:space="preserve"> </w:t>
      </w:r>
      <w:r w:rsidRPr="00C25FEB">
        <w:t>Department of Industry, Innovation and Science (2016)</w:t>
      </w:r>
      <w:r>
        <w:t>,</w:t>
      </w:r>
      <w:r w:rsidRPr="00C25FEB">
        <w:t xml:space="preserve"> Decision Regulation Impact Statement</w:t>
      </w:r>
      <w:r>
        <w:t xml:space="preserve">. </w:t>
      </w:r>
    </w:p>
  </w:footnote>
  <w:footnote w:id="27">
    <w:p w14:paraId="1F51489A" w14:textId="5D29F848" w:rsidR="00EE6366" w:rsidRDefault="00EE6366">
      <w:pPr>
        <w:pStyle w:val="FootnoteText"/>
      </w:pPr>
      <w:r>
        <w:rPr>
          <w:rStyle w:val="FootnoteReference"/>
        </w:rPr>
        <w:footnoteRef/>
      </w:r>
      <w:r>
        <w:t xml:space="preserve"> </w:t>
      </w:r>
      <w:r w:rsidRPr="00394AF0">
        <w:t>Competition and Consumer Amendment (Country of Origin) Bill 201</w:t>
      </w:r>
      <w:r>
        <w:t>7.</w:t>
      </w:r>
    </w:p>
  </w:footnote>
  <w:footnote w:id="28">
    <w:p w14:paraId="0C5AFF02" w14:textId="60ABEEDA" w:rsidR="00EE6366" w:rsidRPr="003E2BDD" w:rsidRDefault="00EE6366" w:rsidP="00EE08E3">
      <w:pPr>
        <w:pStyle w:val="FootnoteText"/>
      </w:pPr>
      <w:r>
        <w:rPr>
          <w:rStyle w:val="FootnoteReference"/>
        </w:rPr>
        <w:footnoteRef/>
      </w:r>
      <w:r>
        <w:t xml:space="preserve"> Department of Industry, Innovation and Science (2016). </w:t>
      </w:r>
      <w:r>
        <w:rPr>
          <w:i/>
          <w:iCs/>
        </w:rPr>
        <w:t>Country of origin labelling: Decision Regulation Impact Statement Consumer Affairs Australia New Zealand</w:t>
      </w:r>
      <w:r>
        <w:t xml:space="preserve"> (March 2016).</w:t>
      </w:r>
    </w:p>
  </w:footnote>
  <w:footnote w:id="29">
    <w:p w14:paraId="21497B4D" w14:textId="504D6EDC" w:rsidR="00EE6366" w:rsidRDefault="00EE6366">
      <w:pPr>
        <w:pStyle w:val="FootnoteText"/>
      </w:pPr>
      <w:r>
        <w:rPr>
          <w:rStyle w:val="FootnoteReference"/>
        </w:rPr>
        <w:footnoteRef/>
      </w:r>
      <w:r>
        <w:t xml:space="preserve"> Colmar Brunton (2015) </w:t>
      </w:r>
      <w:r w:rsidRPr="00E53797">
        <w:rPr>
          <w:i/>
          <w:iCs/>
        </w:rPr>
        <w:t>Country of Origin Food Labelling Research</w:t>
      </w:r>
      <w:r>
        <w:t xml:space="preserve">, Report to the Australian Government </w:t>
      </w:r>
      <w:r w:rsidRPr="00507223">
        <w:t>Department of Industry</w:t>
      </w:r>
      <w:r>
        <w:t xml:space="preserve"> and Science, accessed October 2020.</w:t>
      </w:r>
    </w:p>
    <w:p w14:paraId="02C74DEF" w14:textId="592EAE71" w:rsidR="00EE6366" w:rsidRDefault="0093445A">
      <w:pPr>
        <w:pStyle w:val="FootnoteText"/>
      </w:pPr>
      <w:hyperlink r:id="rId3" w:history="1">
        <w:r w:rsidR="00EE6366" w:rsidRPr="00F86945">
          <w:t>https://www.industry.gov.au/sites/default/files/May%202018/document/pdf/country_of_origin_labelling_research_report_2015.pdf?acsf_files_redirect</w:t>
        </w:r>
      </w:hyperlink>
    </w:p>
  </w:footnote>
  <w:footnote w:id="30">
    <w:p w14:paraId="330572E3" w14:textId="274E5006" w:rsidR="00EE6366" w:rsidRDefault="00EE6366">
      <w:pPr>
        <w:pStyle w:val="FootnoteText"/>
      </w:pPr>
      <w:r>
        <w:rPr>
          <w:rStyle w:val="FootnoteReference"/>
        </w:rPr>
        <w:footnoteRef/>
      </w:r>
      <w:r>
        <w:t xml:space="preserve"> Department of Industry, Innovation and Science (2016) </w:t>
      </w:r>
      <w:r>
        <w:rPr>
          <w:i/>
          <w:iCs/>
        </w:rPr>
        <w:t>Country of origin labelling: Decision Regulation Impact Statement Consumer Affairs Australia New Zealand,</w:t>
      </w:r>
      <w:r>
        <w:t xml:space="preserve"> March 2016.</w:t>
      </w:r>
    </w:p>
  </w:footnote>
  <w:footnote w:id="31">
    <w:p w14:paraId="7315369F" w14:textId="5ED6F296" w:rsidR="00EE6366" w:rsidRDefault="00EE6366" w:rsidP="00FB0386">
      <w:pPr>
        <w:pStyle w:val="FootnoteText"/>
      </w:pPr>
      <w:r>
        <w:rPr>
          <w:rStyle w:val="FootnoteReference"/>
        </w:rPr>
        <w:footnoteRef/>
      </w:r>
      <w:r>
        <w:t xml:space="preserve"> Ibid.</w:t>
      </w:r>
    </w:p>
  </w:footnote>
  <w:footnote w:id="32">
    <w:p w14:paraId="0FDD5F89" w14:textId="3C40B439" w:rsidR="00EE6366" w:rsidRDefault="00EE6366" w:rsidP="006D5AFF">
      <w:pPr>
        <w:pStyle w:val="FootnoteText"/>
      </w:pPr>
      <w:r>
        <w:rPr>
          <w:rStyle w:val="FootnoteReference"/>
        </w:rPr>
        <w:footnoteRef/>
      </w:r>
      <w:r>
        <w:t xml:space="preserve"> The cost of production test specifies that 50% or more of the production costs must have been incurred in the claimed country of origin. Costs incurred are calculated by adding expenditure on materials, labour and overheads. Material expenditures include purchase price, overseas freight and insurance, port and clearance charges, inward transport to store and retail packing for sale. </w:t>
      </w:r>
    </w:p>
  </w:footnote>
  <w:footnote w:id="33">
    <w:p w14:paraId="3AA6C24B" w14:textId="7EFF2622" w:rsidR="00EE6366" w:rsidRDefault="00EE6366">
      <w:pPr>
        <w:pStyle w:val="FootnoteText"/>
      </w:pPr>
      <w:r>
        <w:rPr>
          <w:rStyle w:val="FootnoteReference"/>
        </w:rPr>
        <w:footnoteRef/>
      </w:r>
      <w:r>
        <w:t xml:space="preserve"> Colmar Brunton</w:t>
      </w:r>
      <w:r w:rsidRPr="00715239">
        <w:t xml:space="preserve"> </w:t>
      </w:r>
      <w:r>
        <w:t>(</w:t>
      </w:r>
      <w:r w:rsidRPr="006C300D">
        <w:t>2015</w:t>
      </w:r>
      <w:r>
        <w:t>)</w:t>
      </w:r>
      <w:r w:rsidRPr="006C300D">
        <w:t>.</w:t>
      </w:r>
    </w:p>
  </w:footnote>
  <w:footnote w:id="34">
    <w:p w14:paraId="6C0FC56F" w14:textId="17B7B142" w:rsidR="00EE6366" w:rsidRDefault="00EE6366">
      <w:pPr>
        <w:pStyle w:val="FootnoteText"/>
      </w:pPr>
      <w:r>
        <w:rPr>
          <w:rStyle w:val="FootnoteReference"/>
        </w:rPr>
        <w:footnoteRef/>
      </w:r>
      <w:r>
        <w:t xml:space="preserve"> However, this may be subject to some level of overstatement due to well-documented biases in stated preference studies when compared to revealed preferences. </w:t>
      </w:r>
    </w:p>
  </w:footnote>
  <w:footnote w:id="35">
    <w:p w14:paraId="0ED83800" w14:textId="7D3E5257" w:rsidR="00EE6366" w:rsidRDefault="00EE6366">
      <w:pPr>
        <w:pStyle w:val="FootnoteText"/>
      </w:pPr>
      <w:r>
        <w:rPr>
          <w:rStyle w:val="FootnoteReference"/>
        </w:rPr>
        <w:footnoteRef/>
      </w:r>
      <w:r>
        <w:t xml:space="preserve"> </w:t>
      </w:r>
      <w:r w:rsidR="004520A4" w:rsidRPr="0017455A">
        <w:t xml:space="preserve">Deloitte Access Economics 2021, </w:t>
      </w:r>
      <w:r w:rsidR="004520A4" w:rsidRPr="0098039F">
        <w:rPr>
          <w:i/>
          <w:iCs/>
        </w:rPr>
        <w:t>Evaluation of Country of Origin Labelling reforms: Cost Benefit Analysis</w:t>
      </w:r>
      <w:r w:rsidR="004520A4" w:rsidRPr="0017455A">
        <w:t>, for the Department of Industry, Science, Energy and Resources</w:t>
      </w:r>
      <w:r w:rsidR="004520A4">
        <w:t xml:space="preserve">, </w:t>
      </w:r>
      <w:r>
        <w:t>Chapter 3.</w:t>
      </w:r>
    </w:p>
  </w:footnote>
  <w:footnote w:id="36">
    <w:p w14:paraId="6510D586" w14:textId="7BF09749" w:rsidR="00A445E0" w:rsidRDefault="00A445E0">
      <w:pPr>
        <w:pStyle w:val="FootnoteText"/>
      </w:pPr>
      <w:r>
        <w:rPr>
          <w:rStyle w:val="FootnoteReference"/>
        </w:rPr>
        <w:footnoteRef/>
      </w:r>
      <w:r>
        <w:rPr>
          <w:szCs w:val="16"/>
        </w:rPr>
        <w:t xml:space="preserve"> </w:t>
      </w:r>
      <w:r w:rsidRPr="0098039F">
        <w:rPr>
          <w:szCs w:val="16"/>
        </w:rPr>
        <w:t xml:space="preserve">Deloitte Access Economics 2021, </w:t>
      </w:r>
      <w:r w:rsidRPr="0098039F">
        <w:rPr>
          <w:i/>
          <w:szCs w:val="16"/>
        </w:rPr>
        <w:t xml:space="preserve">Evaluation of Country of Origin Labelling reforms: Cost Benefit Analysis, </w:t>
      </w:r>
      <w:r w:rsidRPr="0098039F">
        <w:rPr>
          <w:szCs w:val="16"/>
        </w:rPr>
        <w:t>for the Department of Industry, Science, Energy and Resources</w:t>
      </w:r>
      <w:r w:rsidR="00894103">
        <w:rPr>
          <w:szCs w:val="16"/>
        </w:rPr>
        <w:t>, Section 3.3</w:t>
      </w:r>
      <w:r w:rsidRPr="0098039F">
        <w:rPr>
          <w:szCs w:val="16"/>
        </w:rPr>
        <w:t>.</w:t>
      </w:r>
    </w:p>
  </w:footnote>
  <w:footnote w:id="37">
    <w:p w14:paraId="341615C8" w14:textId="615C926C" w:rsidR="00EE6366" w:rsidRDefault="00EE6366" w:rsidP="00164132">
      <w:pPr>
        <w:pStyle w:val="FootnoteText"/>
      </w:pPr>
      <w:r>
        <w:rPr>
          <w:rStyle w:val="FootnoteReference"/>
        </w:rPr>
        <w:footnoteRef/>
      </w:r>
      <w:r>
        <w:t xml:space="preserve"> IBIS World (2020) </w:t>
      </w:r>
      <w:r w:rsidRPr="00164132">
        <w:rPr>
          <w:i/>
          <w:iCs/>
        </w:rPr>
        <w:t>Supermarkets and Grocery Stores in Australia</w:t>
      </w:r>
      <w:r>
        <w:t xml:space="preserve">, November 2020. </w:t>
      </w:r>
    </w:p>
  </w:footnote>
  <w:footnote w:id="38">
    <w:p w14:paraId="30DA3605" w14:textId="54AC5DC2" w:rsidR="00EE6366" w:rsidRDefault="00EE6366">
      <w:pPr>
        <w:pStyle w:val="FootnoteText"/>
      </w:pPr>
      <w:r>
        <w:rPr>
          <w:rStyle w:val="FootnoteReference"/>
        </w:rPr>
        <w:footnoteRef/>
      </w:r>
      <w:r>
        <w:t xml:space="preserve"> </w:t>
      </w:r>
      <w:r w:rsidRPr="006D0D19">
        <w:t>The costs included in the model are IT and record</w:t>
      </w:r>
      <w:r>
        <w:t>-</w:t>
      </w:r>
      <w:r w:rsidRPr="006D0D19">
        <w:t>keeping systems; staff time; external advice and assurance; packaging/labelling wastage; time to determine the proportion of Australian ingredients; labelling costs; Government education campaign costs; Government training costs; and Government monitoring and enforcement costs.</w:t>
      </w:r>
    </w:p>
  </w:footnote>
  <w:footnote w:id="39">
    <w:p w14:paraId="4D796A2F" w14:textId="54C66EA7" w:rsidR="00EE6366" w:rsidRDefault="00EE6366">
      <w:pPr>
        <w:pStyle w:val="FootnoteText"/>
      </w:pPr>
      <w:r>
        <w:rPr>
          <w:rStyle w:val="FootnoteReference"/>
        </w:rPr>
        <w:footnoteRef/>
      </w:r>
      <w:r w:rsidR="0017455A">
        <w:t xml:space="preserve"> </w:t>
      </w:r>
      <w:r w:rsidR="0017455A" w:rsidRPr="0017455A">
        <w:t xml:space="preserve">Deloitte Access Economics 2021, </w:t>
      </w:r>
      <w:r w:rsidR="0017455A" w:rsidRPr="0098039F">
        <w:rPr>
          <w:i/>
        </w:rPr>
        <w:t>Evaluation of Country of Origin Labelling reforms: Cost Benefit Analysis</w:t>
      </w:r>
      <w:r w:rsidR="0017455A" w:rsidRPr="0017455A">
        <w:t>, for the Department of Industry, Science, Energy and Resources</w:t>
      </w:r>
      <w:r w:rsidR="00C14C06">
        <w:t>, Section 3.2.3</w:t>
      </w:r>
      <w:r w:rsidR="0017455A" w:rsidRPr="0017455A">
        <w:t>.</w:t>
      </w:r>
    </w:p>
  </w:footnote>
  <w:footnote w:id="40">
    <w:p w14:paraId="3E572885" w14:textId="634C53A9" w:rsidR="00EE6366" w:rsidRDefault="00EE6366">
      <w:pPr>
        <w:pStyle w:val="FootnoteText"/>
      </w:pPr>
      <w:r>
        <w:rPr>
          <w:rStyle w:val="FootnoteReference"/>
        </w:rPr>
        <w:footnoteRef/>
      </w:r>
      <w:r>
        <w:t xml:space="preserve"> </w:t>
      </w:r>
      <w:r w:rsidRPr="006D0D19">
        <w:t>The benefits included in the model are avoided licencing fees, time saving for no longer applying the 50</w:t>
      </w:r>
      <w:r>
        <w:t>%</w:t>
      </w:r>
      <w:r w:rsidRPr="006D0D19">
        <w:t xml:space="preserve"> production test; consumer time savings from visual elements and willingness to pay for CoOL information.</w:t>
      </w:r>
    </w:p>
  </w:footnote>
  <w:footnote w:id="41">
    <w:p w14:paraId="569D48EC" w14:textId="4E76EA47" w:rsidR="00EE6366" w:rsidRDefault="00EE6366" w:rsidP="00172A6B">
      <w:pPr>
        <w:pStyle w:val="FootnoteText"/>
      </w:pPr>
      <w:r>
        <w:rPr>
          <w:rStyle w:val="FootnoteReference"/>
        </w:rPr>
        <w:footnoteRef/>
      </w:r>
      <w:r>
        <w:t xml:space="preserve"> </w:t>
      </w:r>
      <w:r w:rsidRPr="00B36A2E">
        <w:t>Pelly FE, Swanepoel L, Rinella J, Cooper S</w:t>
      </w:r>
      <w:r>
        <w:t xml:space="preserve"> (2020).</w:t>
      </w:r>
      <w:r w:rsidRPr="00B36A2E">
        <w:t xml:space="preserve"> </w:t>
      </w:r>
      <w:r>
        <w:t>‘</w:t>
      </w:r>
      <w:r w:rsidRPr="00B36A2E">
        <w:t xml:space="preserve">Consumers' Perceptions of the Australian Health Star Rating Labelling </w:t>
      </w:r>
      <w:r>
        <w:t>scheme’</w:t>
      </w:r>
      <w:r w:rsidRPr="00B36A2E">
        <w:t xml:space="preserve">. </w:t>
      </w:r>
      <w:r w:rsidRPr="00797178">
        <w:rPr>
          <w:i/>
          <w:iCs/>
        </w:rPr>
        <w:t>Journal of Nutrients</w:t>
      </w:r>
      <w:r>
        <w:t xml:space="preserve"> </w:t>
      </w:r>
      <w:r w:rsidRPr="00B36A2E">
        <w:t>12(3)</w:t>
      </w:r>
      <w:r>
        <w:t xml:space="preserve">, accessed January 2021. </w:t>
      </w:r>
      <w:hyperlink r:id="rId4" w:history="1">
        <w:r w:rsidRPr="00F86945">
          <w:t>https://www.ncbi.nlm.nih.gov/pmc/articles/PMC7146475/#</w:t>
        </w:r>
      </w:hyperlink>
      <w:r>
        <w:t xml:space="preserve"> </w:t>
      </w:r>
    </w:p>
  </w:footnote>
  <w:footnote w:id="42">
    <w:p w14:paraId="1BC69450" w14:textId="77777777" w:rsidR="00EE6366" w:rsidRDefault="00EE6366" w:rsidP="003B5903">
      <w:pPr>
        <w:pStyle w:val="FootnoteText"/>
      </w:pPr>
      <w:r>
        <w:rPr>
          <w:rStyle w:val="FootnoteReference"/>
        </w:rPr>
        <w:footnoteRef/>
      </w:r>
      <w:r>
        <w:t xml:space="preserve"> Deloitte consumer focus groups (2020).</w:t>
      </w:r>
    </w:p>
  </w:footnote>
  <w:footnote w:id="43">
    <w:p w14:paraId="2C3479C9" w14:textId="77777777" w:rsidR="00EE6366" w:rsidRDefault="00EE6366">
      <w:pPr>
        <w:pStyle w:val="FootnoteText"/>
      </w:pPr>
      <w:r>
        <w:rPr>
          <w:rStyle w:val="FootnoteReference"/>
        </w:rPr>
        <w:footnoteRef/>
      </w:r>
      <w:r>
        <w:t xml:space="preserve"> This was also noted in the submissions to DISER that were made by consumer groups.</w:t>
      </w:r>
    </w:p>
  </w:footnote>
  <w:footnote w:id="44">
    <w:p w14:paraId="4A518A6D" w14:textId="5FBF5480" w:rsidR="00EE6366" w:rsidRDefault="00EE6366">
      <w:pPr>
        <w:pStyle w:val="FootnoteText"/>
      </w:pPr>
      <w:r>
        <w:rPr>
          <w:rStyle w:val="FootnoteReference"/>
        </w:rPr>
        <w:footnoteRef/>
      </w:r>
      <w:r>
        <w:t xml:space="preserve"> </w:t>
      </w:r>
      <w:r w:rsidR="003F7160" w:rsidRPr="0017455A">
        <w:t xml:space="preserve">Deloitte Access Economics 2021, </w:t>
      </w:r>
      <w:r w:rsidR="003F7160" w:rsidRPr="0098039F">
        <w:rPr>
          <w:i/>
          <w:iCs/>
        </w:rPr>
        <w:t>Evaluation of Country of Origin Labelling reforms: Cost Benefit Analysis</w:t>
      </w:r>
      <w:r w:rsidR="003F7160" w:rsidRPr="0017455A">
        <w:t>, for the Department of Industry, Science, Energy and Resources</w:t>
      </w:r>
      <w:r w:rsidR="003F7160">
        <w:t>,</w:t>
      </w:r>
      <w:r>
        <w:t xml:space="preserve"> Section 4.6.</w:t>
      </w:r>
    </w:p>
  </w:footnote>
  <w:footnote w:id="45">
    <w:p w14:paraId="1144E393" w14:textId="017FDC58" w:rsidR="00EE6366" w:rsidRDefault="00EE6366" w:rsidP="00172A6B">
      <w:pPr>
        <w:pStyle w:val="FootnoteText"/>
      </w:pPr>
      <w:r>
        <w:rPr>
          <w:rStyle w:val="FootnoteReference"/>
        </w:rPr>
        <w:footnoteRef/>
      </w:r>
      <w:r>
        <w:t xml:space="preserve"> Australian Government Department of Industry, Science, Energy and Resources (2010). </w:t>
      </w:r>
      <w:r w:rsidRPr="00E53797">
        <w:rPr>
          <w:i/>
          <w:iCs/>
        </w:rPr>
        <w:t>Ministerial statement: Consumer access to seafood origin information in foodservice</w:t>
      </w:r>
      <w:r>
        <w:t xml:space="preserve">. </w:t>
      </w:r>
      <w:hyperlink r:id="rId5" w:anchor="footnote-5" w:history="1">
        <w:r w:rsidRPr="00F86945">
          <w:t>https://www.industry.gov.au/publications/ministerial-statement-consumer-access-to-seafood-origin-information-in-foodservice#footnote-5</w:t>
        </w:r>
      </w:hyperlink>
      <w:r>
        <w:t xml:space="preserve"> </w:t>
      </w:r>
    </w:p>
  </w:footnote>
  <w:footnote w:id="46">
    <w:p w14:paraId="14748599" w14:textId="1C1FD205" w:rsidR="00EE6366" w:rsidRDefault="00EE6366" w:rsidP="0045294B">
      <w:pPr>
        <w:pStyle w:val="FootnoteText"/>
      </w:pPr>
      <w:r>
        <w:rPr>
          <w:rStyle w:val="FootnoteReference"/>
        </w:rPr>
        <w:footnoteRef/>
      </w:r>
      <w:r>
        <w:t xml:space="preserve"> Industry submissions to DISER (2020).</w:t>
      </w:r>
    </w:p>
  </w:footnote>
  <w:footnote w:id="47">
    <w:p w14:paraId="6848BD0F" w14:textId="71B90E2C" w:rsidR="00EE6366" w:rsidRDefault="00EE6366" w:rsidP="00172A6B">
      <w:pPr>
        <w:pStyle w:val="FootnoteText"/>
      </w:pPr>
      <w:r>
        <w:rPr>
          <w:rStyle w:val="FootnoteReference"/>
        </w:rPr>
        <w:footnoteRef/>
      </w:r>
      <w:r>
        <w:t xml:space="preserve"> Industry submissions to DISER (2020).</w:t>
      </w:r>
    </w:p>
  </w:footnote>
  <w:footnote w:id="48">
    <w:p w14:paraId="0CA2702A" w14:textId="4A19ACDC" w:rsidR="00EE6366" w:rsidRDefault="00EE6366" w:rsidP="007448FA">
      <w:pPr>
        <w:pStyle w:val="FootnoteText"/>
      </w:pPr>
      <w:r>
        <w:rPr>
          <w:rStyle w:val="FootnoteReference"/>
        </w:rPr>
        <w:footnoteRef/>
      </w:r>
      <w:r>
        <w:t xml:space="preserve"> NT Seafood Council (2014) </w:t>
      </w:r>
      <w:r w:rsidRPr="005C5BE0">
        <w:rPr>
          <w:i/>
          <w:iCs/>
        </w:rPr>
        <w:t>Submission – Country o</w:t>
      </w:r>
      <w:r>
        <w:rPr>
          <w:i/>
          <w:iCs/>
        </w:rPr>
        <w:t>f</w:t>
      </w:r>
      <w:r w:rsidRPr="005C5BE0">
        <w:rPr>
          <w:i/>
          <w:iCs/>
        </w:rPr>
        <w:t xml:space="preserve"> origin food labelling</w:t>
      </w:r>
      <w:r>
        <w:t>, May 2014.</w:t>
      </w:r>
    </w:p>
  </w:footnote>
  <w:footnote w:id="49">
    <w:p w14:paraId="4EB5ACDC" w14:textId="5BA70997" w:rsidR="00EE6366" w:rsidRPr="00A12586" w:rsidRDefault="00EE6366" w:rsidP="007448FA">
      <w:pPr>
        <w:pStyle w:val="FootnoteText"/>
        <w:rPr>
          <w:i/>
          <w:iCs/>
        </w:rPr>
      </w:pPr>
      <w:r>
        <w:rPr>
          <w:rStyle w:val="FootnoteReference"/>
        </w:rPr>
        <w:footnoteRef/>
      </w:r>
      <w:r>
        <w:t xml:space="preserve"> IbisWorld (2020) </w:t>
      </w:r>
      <w:r w:rsidRPr="005C2FCC">
        <w:rPr>
          <w:i/>
          <w:iCs/>
        </w:rPr>
        <w:t>Seafood Retailing in Australia</w:t>
      </w:r>
      <w:r w:rsidRPr="00C81C7B">
        <w:rPr>
          <w:i/>
          <w:iCs/>
        </w:rPr>
        <w:t>: Fish out of water: The outbreak of COVID-19 has reduced industry demand and revenue</w:t>
      </w:r>
      <w:r>
        <w:rPr>
          <w:i/>
          <w:iCs/>
        </w:rPr>
        <w:t xml:space="preserve">, </w:t>
      </w:r>
      <w:r>
        <w:t>November 2020.</w:t>
      </w:r>
    </w:p>
  </w:footnote>
  <w:footnote w:id="50">
    <w:p w14:paraId="2AB55734" w14:textId="5D713BD6" w:rsidR="00EE6366" w:rsidRPr="00894B9B" w:rsidRDefault="00EE6366" w:rsidP="001C2B34">
      <w:pPr>
        <w:pStyle w:val="FootnoteText"/>
        <w:rPr>
          <w:i/>
          <w:iCs/>
        </w:rPr>
      </w:pPr>
      <w:r>
        <w:rPr>
          <w:rStyle w:val="FootnoteReference"/>
        </w:rPr>
        <w:footnoteRef/>
      </w:r>
      <w:r>
        <w:t xml:space="preserve"> FRDC (2019) </w:t>
      </w:r>
      <w:r>
        <w:rPr>
          <w:i/>
          <w:iCs/>
        </w:rPr>
        <w:t xml:space="preserve">Unpacking the Consumer Seafood Experience, </w:t>
      </w:r>
      <w:r w:rsidRPr="001C2B34">
        <w:rPr>
          <w:i/>
          <w:iCs/>
        </w:rPr>
        <w:t>2019 update</w:t>
      </w:r>
      <w:r>
        <w:rPr>
          <w:i/>
          <w:iCs/>
        </w:rPr>
        <w:t xml:space="preserve"> </w:t>
      </w:r>
      <w:r w:rsidRPr="001C2B34">
        <w:rPr>
          <w:i/>
          <w:iCs/>
        </w:rPr>
        <w:t>conducted by Intuitive</w:t>
      </w:r>
      <w:r>
        <w:rPr>
          <w:i/>
          <w:iCs/>
        </w:rPr>
        <w:t xml:space="preserve"> </w:t>
      </w:r>
      <w:r w:rsidRPr="001C2B34">
        <w:rPr>
          <w:i/>
          <w:iCs/>
        </w:rPr>
        <w:t>Solutions</w:t>
      </w:r>
      <w:r>
        <w:rPr>
          <w:i/>
          <w:iCs/>
        </w:rPr>
        <w:t>.</w:t>
      </w:r>
    </w:p>
  </w:footnote>
  <w:footnote w:id="51">
    <w:p w14:paraId="09DF3338" w14:textId="77777777" w:rsidR="00EE6366" w:rsidRDefault="00EE6366" w:rsidP="007448FA">
      <w:pPr>
        <w:pStyle w:val="FootnoteText"/>
      </w:pPr>
      <w:r>
        <w:rPr>
          <w:rStyle w:val="FootnoteReference"/>
        </w:rPr>
        <w:footnoteRef/>
      </w:r>
      <w:r>
        <w:t xml:space="preserve"> The Food and Agriculture Organisation (FAO) of the United Nations also compiles statistics on apparent consumption of seafood, applying a consistent method across all countries. FAO estimates vary (are higher than) ABARES estimates of per capita consumption of seafood as the FAO’s methodology estimates fish consumption on a whole weight (and not processed edible) basis. </w:t>
      </w:r>
    </w:p>
  </w:footnote>
  <w:footnote w:id="52">
    <w:p w14:paraId="3DD89D57" w14:textId="7D55FA3C" w:rsidR="00882B94" w:rsidRPr="00237138" w:rsidRDefault="00882B94">
      <w:pPr>
        <w:pStyle w:val="FootnoteText"/>
      </w:pPr>
      <w:r>
        <w:rPr>
          <w:rStyle w:val="FootnoteReference"/>
        </w:rPr>
        <w:footnoteRef/>
      </w:r>
      <w:r>
        <w:t xml:space="preserve"> </w:t>
      </w:r>
      <w:r w:rsidR="00F233CB">
        <w:t xml:space="preserve">Department of Agriculture, Water and the Environment </w:t>
      </w:r>
      <w:r w:rsidR="00A351BD">
        <w:t xml:space="preserve">(ABARES), </w:t>
      </w:r>
      <w:r w:rsidR="00A351BD" w:rsidRPr="00F46111">
        <w:rPr>
          <w:i/>
          <w:iCs/>
        </w:rPr>
        <w:t>Australia’s consumption of seafood</w:t>
      </w:r>
      <w:r w:rsidR="00B07812">
        <w:rPr>
          <w:i/>
          <w:iCs/>
        </w:rPr>
        <w:t xml:space="preserve">, </w:t>
      </w:r>
      <w:r w:rsidR="00A4562E">
        <w:t xml:space="preserve">October 2020. </w:t>
      </w:r>
    </w:p>
  </w:footnote>
  <w:footnote w:id="53">
    <w:p w14:paraId="52BCB034" w14:textId="1F2C9E9F" w:rsidR="00EE6366" w:rsidRDefault="00EE6366" w:rsidP="007448FA">
      <w:pPr>
        <w:pStyle w:val="FootnoteText"/>
      </w:pPr>
      <w:r>
        <w:rPr>
          <w:rStyle w:val="FootnoteReference"/>
        </w:rPr>
        <w:footnoteRef/>
      </w:r>
      <w:r>
        <w:t xml:space="preserve"> </w:t>
      </w:r>
      <w:r w:rsidRPr="00DF2D20">
        <w:t>IbisWorld (2020)</w:t>
      </w:r>
      <w:r>
        <w:t xml:space="preserve"> </w:t>
      </w:r>
      <w:r w:rsidRPr="005C2FCC">
        <w:rPr>
          <w:i/>
          <w:iCs/>
        </w:rPr>
        <w:t>Seafood Retailing in Australia</w:t>
      </w:r>
      <w:r>
        <w:rPr>
          <w:i/>
          <w:iCs/>
        </w:rPr>
        <w:t xml:space="preserve">: </w:t>
      </w:r>
      <w:r w:rsidRPr="00691049">
        <w:rPr>
          <w:i/>
          <w:iCs/>
        </w:rPr>
        <w:t>Fish out of water: The outbreak of COVID-19 has reduced industry demand and</w:t>
      </w:r>
      <w:r>
        <w:rPr>
          <w:i/>
          <w:iCs/>
        </w:rPr>
        <w:t xml:space="preserve"> </w:t>
      </w:r>
      <w:r w:rsidRPr="00691049">
        <w:rPr>
          <w:i/>
          <w:iCs/>
        </w:rPr>
        <w:t>revenue</w:t>
      </w:r>
      <w:r>
        <w:rPr>
          <w:i/>
          <w:iCs/>
        </w:rPr>
        <w:t xml:space="preserve">, </w:t>
      </w:r>
      <w:r w:rsidRPr="008C2CB8">
        <w:t>by YH Yeoh, November 2020.</w:t>
      </w:r>
    </w:p>
  </w:footnote>
  <w:footnote w:id="54">
    <w:p w14:paraId="0EDC5D1B" w14:textId="24214C4B" w:rsidR="00EE6366" w:rsidRDefault="00EE6366">
      <w:pPr>
        <w:pStyle w:val="FootnoteText"/>
      </w:pPr>
      <w:r>
        <w:rPr>
          <w:rStyle w:val="FootnoteReference"/>
        </w:rPr>
        <w:footnoteRef/>
      </w:r>
      <w:r>
        <w:t xml:space="preserve"> This includes pubs/bars/nightclubs, fast food and takeaway and restaurants, which are all not currently covered by CoOL requirements.</w:t>
      </w:r>
    </w:p>
  </w:footnote>
  <w:footnote w:id="55">
    <w:p w14:paraId="2BC091F5" w14:textId="52531FD6" w:rsidR="00EE6366" w:rsidRPr="005C2FCC" w:rsidRDefault="00EE6366" w:rsidP="007448FA">
      <w:pPr>
        <w:pStyle w:val="FootnoteText"/>
      </w:pPr>
      <w:r>
        <w:rPr>
          <w:rStyle w:val="FootnoteReference"/>
        </w:rPr>
        <w:footnoteRef/>
      </w:r>
      <w:r>
        <w:t xml:space="preserve"> Ibid.</w:t>
      </w:r>
    </w:p>
  </w:footnote>
  <w:footnote w:id="56">
    <w:p w14:paraId="15AC4065" w14:textId="3157E038" w:rsidR="00EE6366" w:rsidRDefault="00EE6366" w:rsidP="007448FA">
      <w:pPr>
        <w:pStyle w:val="FootnoteText"/>
      </w:pPr>
      <w:r>
        <w:rPr>
          <w:rStyle w:val="FootnoteReference"/>
        </w:rPr>
        <w:footnoteRef/>
      </w:r>
      <w:r>
        <w:t xml:space="preserve"> IbisWorld (2021) </w:t>
      </w:r>
      <w:r w:rsidRPr="00763AE0">
        <w:rPr>
          <w:i/>
          <w:iCs/>
        </w:rPr>
        <w:t>Fish and seafood wholesaling in Australia: Slipped through the net: Wholesale bypass and COVID-19 restrictions have eaten away at revenue</w:t>
      </w:r>
      <w:r>
        <w:t xml:space="preserve">, March 2021. </w:t>
      </w:r>
    </w:p>
  </w:footnote>
  <w:footnote w:id="57">
    <w:p w14:paraId="0C2F14BF" w14:textId="39BF77D0" w:rsidR="00EE6366" w:rsidRDefault="00EE6366" w:rsidP="007448FA">
      <w:pPr>
        <w:pStyle w:val="FootnoteText"/>
      </w:pPr>
      <w:r>
        <w:rPr>
          <w:rStyle w:val="FootnoteReference"/>
        </w:rPr>
        <w:footnoteRef/>
      </w:r>
      <w:r>
        <w:t xml:space="preserve"> Comprises of </w:t>
      </w:r>
      <w:r w:rsidRPr="0060383E">
        <w:t xml:space="preserve">companies </w:t>
      </w:r>
      <w:r>
        <w:t xml:space="preserve">that </w:t>
      </w:r>
      <w:r w:rsidRPr="0060383E">
        <w:t>process and manufacture fish or other seafood</w:t>
      </w:r>
      <w:r>
        <w:t>, and includes</w:t>
      </w:r>
      <w:r w:rsidRPr="0060383E">
        <w:t xml:space="preserve"> businesses that operate vessels that process, but do not catch seafood. The industry also includes firms that freeze whole finfish, or shell, freeze or bottle oysters in brine. The industry does not include fishing vessels that both catch and process fish or other seafood. E.g. Tassal Group Limited, Huon Aquaculture, Simplot Australia.</w:t>
      </w:r>
    </w:p>
  </w:footnote>
  <w:footnote w:id="58">
    <w:p w14:paraId="053BA3C1" w14:textId="181F09CF" w:rsidR="00EE6366" w:rsidRDefault="00EE6366" w:rsidP="007448FA">
      <w:pPr>
        <w:pStyle w:val="FootnoteText"/>
      </w:pPr>
      <w:r>
        <w:rPr>
          <w:rStyle w:val="FootnoteReference"/>
        </w:rPr>
        <w:footnoteRef/>
      </w:r>
      <w:r>
        <w:t xml:space="preserve"> IbisWorld (2021) </w:t>
      </w:r>
      <w:r w:rsidRPr="00763AE0">
        <w:rPr>
          <w:i/>
          <w:iCs/>
        </w:rPr>
        <w:t>Seafood processing in Australia: Troubled waters: Volatile trade conditions have put pressure on industry operations</w:t>
      </w:r>
      <w:r>
        <w:t xml:space="preserve">, April 2021. </w:t>
      </w:r>
    </w:p>
  </w:footnote>
  <w:footnote w:id="59">
    <w:p w14:paraId="4B132969" w14:textId="5EE04FB9" w:rsidR="00EE6366" w:rsidRDefault="00EE6366" w:rsidP="00B4309A">
      <w:pPr>
        <w:pStyle w:val="FootnoteText"/>
      </w:pPr>
      <w:r>
        <w:rPr>
          <w:rStyle w:val="FootnoteReference"/>
        </w:rPr>
        <w:footnoteRef/>
      </w:r>
      <w:r>
        <w:t xml:space="preserve"> This figure was calculating by totalling the count of foodservice businesses (cafe and restaurants, takeaway foodservices, catering services, pubs, taverns and bars, and clubs (hospitality) in FY 2020, multiplied by the proportion of venues which indicated they have fish or seafood specials on their menu (55%). </w:t>
      </w:r>
    </w:p>
  </w:footnote>
  <w:footnote w:id="60">
    <w:p w14:paraId="39286ED9" w14:textId="77777777" w:rsidR="00EE6366" w:rsidRDefault="00EE6366" w:rsidP="00B4309A">
      <w:pPr>
        <w:pStyle w:val="FootnoteText"/>
      </w:pPr>
      <w:r>
        <w:rPr>
          <w:rStyle w:val="FootnoteReference"/>
        </w:rPr>
        <w:footnoteRef/>
      </w:r>
      <w:r>
        <w:t xml:space="preserve"> Australian Bureau of Statistics, </w:t>
      </w:r>
      <w:r>
        <w:rPr>
          <w:i/>
          <w:iCs/>
        </w:rPr>
        <w:t xml:space="preserve">Counts of Australian Businesses, including Entries and Exists, June 2016 to June 2020 </w:t>
      </w:r>
      <w:r>
        <w:t>(Catalogue No 8165.0, 16 February 2021).</w:t>
      </w:r>
    </w:p>
  </w:footnote>
  <w:footnote w:id="61">
    <w:p w14:paraId="0AA03CC0" w14:textId="4598CCC0" w:rsidR="00EE6366" w:rsidRDefault="00EE6366" w:rsidP="007448FA">
      <w:pPr>
        <w:pStyle w:val="FootnoteText"/>
        <w:rPr>
          <w:i/>
          <w:iCs/>
        </w:rPr>
      </w:pPr>
      <w:r>
        <w:rPr>
          <w:rStyle w:val="FootnoteReference"/>
        </w:rPr>
        <w:footnoteRef/>
      </w:r>
      <w:r>
        <w:t xml:space="preserve"> ABARES (2018) ‘</w:t>
      </w:r>
      <w:r w:rsidRPr="00DD307A">
        <w:t>Australia’s consumption of seafood</w:t>
      </w:r>
      <w:r>
        <w:t>’, accessed online in March 2021.</w:t>
      </w:r>
    </w:p>
    <w:p w14:paraId="563B6A3A" w14:textId="4C0E0919" w:rsidR="00EE6366" w:rsidRPr="00DD307A" w:rsidRDefault="0093445A" w:rsidP="007448FA">
      <w:pPr>
        <w:pStyle w:val="FootnoteText"/>
      </w:pPr>
      <w:hyperlink r:id="rId6" w:history="1">
        <w:r w:rsidR="00EE6366" w:rsidRPr="00F86945">
          <w:t>https://www.agriculture.gov.au/abares/research-topics/fisheries/fisheries-and-aquaculture-statistics/seafood-consumption-2018</w:t>
        </w:r>
      </w:hyperlink>
      <w:r w:rsidR="00EE6366">
        <w:t xml:space="preserve"> </w:t>
      </w:r>
      <w:r w:rsidR="00EE6366" w:rsidRPr="00DD307A">
        <w:t xml:space="preserve">  </w:t>
      </w:r>
    </w:p>
  </w:footnote>
  <w:footnote w:id="62">
    <w:p w14:paraId="40474560" w14:textId="77777777" w:rsidR="00EE6366" w:rsidRDefault="00EE6366">
      <w:pPr>
        <w:pStyle w:val="FootnoteText"/>
      </w:pPr>
      <w:r>
        <w:rPr>
          <w:rStyle w:val="FootnoteReference"/>
        </w:rPr>
        <w:footnoteRef/>
      </w:r>
      <w:r>
        <w:t xml:space="preserve"> </w:t>
      </w:r>
      <w:r w:rsidRPr="00BC4A68">
        <w:t>All establishments in the NT that sell seafood for public consumption must hold a license under the Fisheries Act 2008. In 2008, the NT Government put in place legal requirements for licensed fish retailers (advertising seafood for sale to the public for consumption) to label that the seafood is imported if it has not been harvested in Australia.</w:t>
      </w:r>
    </w:p>
  </w:footnote>
  <w:footnote w:id="63">
    <w:p w14:paraId="3C23F306" w14:textId="07F0B91C" w:rsidR="00EE6366" w:rsidRDefault="00EE6366" w:rsidP="00BC4A68">
      <w:pPr>
        <w:pStyle w:val="FootnoteText"/>
      </w:pPr>
      <w:r>
        <w:rPr>
          <w:rStyle w:val="FootnoteReference"/>
        </w:rPr>
        <w:footnoteRef/>
      </w:r>
      <w:r>
        <w:t xml:space="preserve"> NT Seafood Council (2014) </w:t>
      </w:r>
      <w:r w:rsidRPr="005C5BE0">
        <w:rPr>
          <w:i/>
          <w:iCs/>
        </w:rPr>
        <w:t>Submission – Country or origin food labelling</w:t>
      </w:r>
      <w:r>
        <w:t xml:space="preserve">, May 2014. </w:t>
      </w:r>
    </w:p>
  </w:footnote>
  <w:footnote w:id="64">
    <w:p w14:paraId="79C6D029" w14:textId="2B654781" w:rsidR="00EE6366" w:rsidRDefault="00EE6366" w:rsidP="00F56B18">
      <w:pPr>
        <w:pStyle w:val="FootnoteText"/>
      </w:pPr>
      <w:r>
        <w:rPr>
          <w:rStyle w:val="FootnoteReference"/>
        </w:rPr>
        <w:footnoteRef/>
      </w:r>
      <w:r>
        <w:t xml:space="preserve"> Ibid.</w:t>
      </w:r>
    </w:p>
  </w:footnote>
  <w:footnote w:id="65">
    <w:p w14:paraId="61BCF049" w14:textId="466DD2A9" w:rsidR="00EE6366" w:rsidRDefault="00EE6366" w:rsidP="007448FA">
      <w:pPr>
        <w:pStyle w:val="FootnoteText"/>
      </w:pPr>
      <w:r>
        <w:rPr>
          <w:rStyle w:val="FootnoteReference"/>
        </w:rPr>
        <w:footnoteRef/>
      </w:r>
      <w:r>
        <w:t xml:space="preserve"> Australian Government Federal Register of Legislation (2015)</w:t>
      </w:r>
      <w:r w:rsidRPr="002C059C">
        <w:rPr>
          <w:i/>
          <w:iCs/>
        </w:rPr>
        <w:t xml:space="preserve"> Food Standards Amendment (Fish Labelling) Bill 2015</w:t>
      </w:r>
      <w:r>
        <w:t xml:space="preserve">, accessed online in February 2021. </w:t>
      </w:r>
    </w:p>
    <w:p w14:paraId="55DE1797" w14:textId="40F1AD5A" w:rsidR="00EE6366" w:rsidRDefault="0093445A" w:rsidP="007448FA">
      <w:pPr>
        <w:pStyle w:val="FootnoteText"/>
      </w:pPr>
      <w:hyperlink r:id="rId7" w:history="1">
        <w:r w:rsidR="00EE6366" w:rsidRPr="00F86945">
          <w:t>https://www.legislation.gov.au/Details/C2015B00050</w:t>
        </w:r>
      </w:hyperlink>
      <w:r w:rsidR="00EE6366">
        <w:t xml:space="preserve"> </w:t>
      </w:r>
    </w:p>
  </w:footnote>
  <w:footnote w:id="66">
    <w:p w14:paraId="2085BFBF" w14:textId="4EC4EBFF" w:rsidR="00EE6366" w:rsidRDefault="00EE6366" w:rsidP="007448FA">
      <w:pPr>
        <w:pStyle w:val="FootnoteText"/>
      </w:pPr>
      <w:r>
        <w:rPr>
          <w:rStyle w:val="FootnoteReference"/>
        </w:rPr>
        <w:footnoteRef/>
      </w:r>
      <w:r>
        <w:t xml:space="preserve"> ABC news (2015) ‘Restaurant seafood country of origin labelling laws “would not work in Australia”, Scullion says’, accessed online in February 2021.</w:t>
      </w:r>
    </w:p>
    <w:p w14:paraId="443BDF83" w14:textId="23F72BFA" w:rsidR="00EE6366" w:rsidRDefault="0093445A" w:rsidP="007448FA">
      <w:pPr>
        <w:pStyle w:val="FootnoteText"/>
      </w:pPr>
      <w:hyperlink r:id="rId8" w:history="1">
        <w:r w:rsidR="00EE6366" w:rsidRPr="00F86945">
          <w:t>https://www.abc.net.au/news/2015-05-14/nt-like-seafood-labelling-laws-appears-doomed-in-senate/6470940</w:t>
        </w:r>
      </w:hyperlink>
      <w:r w:rsidR="00EE6366">
        <w:t xml:space="preserve"> </w:t>
      </w:r>
    </w:p>
  </w:footnote>
  <w:footnote w:id="67">
    <w:p w14:paraId="5BFAA9AD" w14:textId="77777777" w:rsidR="00EE6366" w:rsidRDefault="00EE6366" w:rsidP="007448FA">
      <w:pPr>
        <w:pStyle w:val="FootnoteText"/>
      </w:pPr>
      <w:r>
        <w:rPr>
          <w:rStyle w:val="FootnoteReference"/>
        </w:rPr>
        <w:footnoteRef/>
      </w:r>
      <w:r>
        <w:t xml:space="preserve"> DISER (2020) ‘Ministerial statement: Consumer access to seafood origin information in foodservice’, accessed February 2021. </w:t>
      </w:r>
    </w:p>
    <w:p w14:paraId="47FA6E65" w14:textId="23E4797F" w:rsidR="00EE6366" w:rsidRDefault="0093445A" w:rsidP="007448FA">
      <w:pPr>
        <w:pStyle w:val="FootnoteText"/>
      </w:pPr>
      <w:hyperlink r:id="rId9" w:anchor="footnote-5" w:history="1">
        <w:r w:rsidR="00EE6366" w:rsidRPr="00F86945">
          <w:t>https://www.industry.gov.au/publications/ministerial-statement-consumer-access-to-seafood-origin-information-in-foodservice#footnote-5</w:t>
        </w:r>
      </w:hyperlink>
      <w:r w:rsidR="00EE6366">
        <w:t xml:space="preserve"> </w:t>
      </w:r>
    </w:p>
  </w:footnote>
  <w:footnote w:id="68">
    <w:p w14:paraId="6D69EF4E" w14:textId="395180F3" w:rsidR="00EE6366" w:rsidRPr="00763AE0" w:rsidRDefault="00EE6366" w:rsidP="007448FA">
      <w:pPr>
        <w:pStyle w:val="FootnoteText"/>
      </w:pPr>
      <w:r>
        <w:rPr>
          <w:rStyle w:val="FootnoteReference"/>
        </w:rPr>
        <w:footnoteRef/>
      </w:r>
      <w:r>
        <w:t xml:space="preserve"> ABARES (2018) ‘</w:t>
      </w:r>
      <w:r w:rsidRPr="00763AE0">
        <w:t>Australia’s consumption of seafood</w:t>
      </w:r>
      <w:r>
        <w:t>’, accessed March 2021.</w:t>
      </w:r>
      <w:r w:rsidRPr="001B4BA1">
        <w:t xml:space="preserve"> </w:t>
      </w:r>
      <w:hyperlink r:id="rId10" w:anchor=":~:text=Australia's%20apparent%20consumption%20of%20seafood,%E2%80%9318%20(Figure%2023)" w:history="1">
        <w:r w:rsidRPr="00F86945">
          <w:t>https://www.agriculture.gov.au/abares/research-topics/fisheries/fisheries-and-aquaculture-statistics/seafood-consumption-2018#:~:text=Australia's%20apparent%20consumption%20of%20seafood,%E2%80%9318%20(Figure%2023)</w:t>
        </w:r>
      </w:hyperlink>
    </w:p>
  </w:footnote>
  <w:footnote w:id="69">
    <w:p w14:paraId="140E82A4" w14:textId="74271663" w:rsidR="00EE6366" w:rsidRPr="00894B9B" w:rsidRDefault="00EE6366" w:rsidP="00A475F9">
      <w:pPr>
        <w:pStyle w:val="FootnoteText"/>
        <w:rPr>
          <w:i/>
          <w:iCs/>
        </w:rPr>
      </w:pPr>
      <w:r>
        <w:rPr>
          <w:rStyle w:val="FootnoteReference"/>
        </w:rPr>
        <w:footnoteRef/>
      </w:r>
      <w:r>
        <w:t xml:space="preserve"> FRDC (2011) </w:t>
      </w:r>
      <w:r>
        <w:rPr>
          <w:i/>
          <w:iCs/>
        </w:rPr>
        <w:t>Tracking the impacts on seafood consumption at dining venues arising from the North Territory’s seafood labelling laws,</w:t>
      </w:r>
      <w:r w:rsidRPr="00A475F9">
        <w:t xml:space="preserve"> </w:t>
      </w:r>
      <w:r w:rsidRPr="00472D0F">
        <w:t>By Calogeras C, Morgan S, Sarneckis K, Cooper L and Lee TY, June 2011.</w:t>
      </w:r>
    </w:p>
  </w:footnote>
  <w:footnote w:id="70">
    <w:p w14:paraId="46CF647C" w14:textId="564859BC" w:rsidR="00EE6366" w:rsidRDefault="00EE6366">
      <w:pPr>
        <w:pStyle w:val="FootnoteText"/>
      </w:pPr>
      <w:r>
        <w:rPr>
          <w:rStyle w:val="FootnoteReference"/>
        </w:rPr>
        <w:footnoteRef/>
      </w:r>
      <w:r>
        <w:t xml:space="preserve"> </w:t>
      </w:r>
      <w:r w:rsidRPr="00BB5ACD">
        <w:t>On the other hand, 45% were classified as ‘low seafood consumers’ (eating seafood from dining or take-away venues once a fortnight or less).</w:t>
      </w:r>
    </w:p>
  </w:footnote>
  <w:footnote w:id="71">
    <w:p w14:paraId="237E0239" w14:textId="619DF6AB" w:rsidR="00EE6366" w:rsidRDefault="00EE6366">
      <w:pPr>
        <w:pStyle w:val="FootnoteText"/>
      </w:pPr>
      <w:r>
        <w:rPr>
          <w:rStyle w:val="FootnoteReference"/>
        </w:rPr>
        <w:footnoteRef/>
      </w:r>
      <w:r>
        <w:t xml:space="preserve"> Ibid.</w:t>
      </w:r>
    </w:p>
  </w:footnote>
  <w:footnote w:id="72">
    <w:p w14:paraId="2822BF06" w14:textId="3A4B994E" w:rsidR="00EE6366" w:rsidRDefault="00EE6366" w:rsidP="008E4144">
      <w:pPr>
        <w:pStyle w:val="FootnoteText"/>
      </w:pPr>
      <w:r>
        <w:rPr>
          <w:rStyle w:val="FootnoteReference"/>
        </w:rPr>
        <w:footnoteRef/>
      </w:r>
      <w:r>
        <w:t xml:space="preserve"> Ibid.</w:t>
      </w:r>
    </w:p>
  </w:footnote>
  <w:footnote w:id="73">
    <w:p w14:paraId="6F422AC6" w14:textId="0E9E1446" w:rsidR="00EE6366" w:rsidRDefault="00EE6366" w:rsidP="00805B8A">
      <w:pPr>
        <w:pStyle w:val="FootnoteText"/>
      </w:pPr>
      <w:r>
        <w:rPr>
          <w:rStyle w:val="FootnoteReference"/>
        </w:rPr>
        <w:footnoteRef/>
      </w:r>
      <w:r>
        <w:t xml:space="preserve"> Ibid.</w:t>
      </w:r>
    </w:p>
  </w:footnote>
  <w:footnote w:id="74">
    <w:p w14:paraId="456E6C18" w14:textId="6706F285" w:rsidR="00EE6366" w:rsidRPr="00761632" w:rsidRDefault="00EE6366">
      <w:pPr>
        <w:pStyle w:val="FootnoteText"/>
      </w:pPr>
      <w:r>
        <w:rPr>
          <w:rStyle w:val="FootnoteReference"/>
        </w:rPr>
        <w:footnoteRef/>
      </w:r>
      <w:r>
        <w:t xml:space="preserve"> Australian Bureau of Statistics, </w:t>
      </w:r>
      <w:r>
        <w:rPr>
          <w:i/>
          <w:iCs/>
        </w:rPr>
        <w:t xml:space="preserve">Counts of Australian Businesses, including Entries and Exists, June 2016 to June 2020 </w:t>
      </w:r>
      <w:r>
        <w:t>(Catalogue No 8165.0, 16 February 2021).</w:t>
      </w:r>
    </w:p>
  </w:footnote>
  <w:footnote w:id="75">
    <w:p w14:paraId="317DF568" w14:textId="3DA0B6EB" w:rsidR="00EE6366" w:rsidRDefault="00EE6366">
      <w:pPr>
        <w:pStyle w:val="FootnoteText"/>
      </w:pPr>
      <w:r>
        <w:rPr>
          <w:rStyle w:val="FootnoteReference"/>
        </w:rPr>
        <w:footnoteRef/>
      </w:r>
      <w:r>
        <w:t xml:space="preserve"> Australian Bureau of Statistics (2021), ‘Retail Trade, Australia’, April 2020, accessed 10 May 2021.</w:t>
      </w:r>
    </w:p>
    <w:p w14:paraId="3F89AB23" w14:textId="559E35AC" w:rsidR="00EE6366" w:rsidRDefault="0093445A">
      <w:pPr>
        <w:pStyle w:val="FootnoteText"/>
      </w:pPr>
      <w:hyperlink r:id="rId11" w:history="1">
        <w:r w:rsidR="00EE6366" w:rsidRPr="00C90B5B">
          <w:t>https://www.abs.gov.au/statistics/industry/retail-and-wholesale-trade/retail-trade-australia/apr-2020</w:t>
        </w:r>
      </w:hyperlink>
      <w:r w:rsidR="00EE6366">
        <w:t xml:space="preserve">,. </w:t>
      </w:r>
    </w:p>
  </w:footnote>
  <w:footnote w:id="76">
    <w:p w14:paraId="5E1AB654" w14:textId="7CF9F1C8" w:rsidR="00EE6366" w:rsidRDefault="00EE6366" w:rsidP="00BE2913">
      <w:pPr>
        <w:pStyle w:val="FootnoteText"/>
      </w:pPr>
      <w:r>
        <w:rPr>
          <w:rStyle w:val="FootnoteReference"/>
        </w:rPr>
        <w:footnoteRef/>
      </w:r>
      <w:r>
        <w:t xml:space="preserve"> Ibid.</w:t>
      </w:r>
    </w:p>
    <w:p w14:paraId="793885AF" w14:textId="41D196F9" w:rsidR="00EE6366" w:rsidRDefault="00EE6366">
      <w:pPr>
        <w:pStyle w:val="FootnoteText"/>
      </w:pPr>
    </w:p>
  </w:footnote>
  <w:footnote w:id="77">
    <w:p w14:paraId="0B76D4B9" w14:textId="1B66E939" w:rsidR="00EE6366" w:rsidRDefault="00EE6366" w:rsidP="00172A6B">
      <w:pPr>
        <w:pStyle w:val="FootnoteText"/>
      </w:pPr>
      <w:r>
        <w:rPr>
          <w:rStyle w:val="FootnoteReference"/>
        </w:rPr>
        <w:footnoteRef/>
      </w:r>
      <w:r>
        <w:t xml:space="preserve"> Colmar Brunton (2015).</w:t>
      </w:r>
    </w:p>
  </w:footnote>
  <w:footnote w:id="78">
    <w:p w14:paraId="2BB457BD" w14:textId="77777777" w:rsidR="00EE6366" w:rsidRPr="00C10175" w:rsidRDefault="00EE6366" w:rsidP="00315C20">
      <w:pPr>
        <w:pStyle w:val="FootnoteText"/>
      </w:pPr>
      <w:r>
        <w:rPr>
          <w:rStyle w:val="FootnoteReference"/>
        </w:rPr>
        <w:footnoteRef/>
      </w:r>
      <w:r>
        <w:t xml:space="preserve"> Mintel, </w:t>
      </w:r>
      <w:r>
        <w:rPr>
          <w:i/>
          <w:iCs/>
        </w:rPr>
        <w:t>Australian Made/Grown logo resonates well with Australians</w:t>
      </w:r>
      <w:r>
        <w:t xml:space="preserve"> (2017).</w:t>
      </w:r>
    </w:p>
  </w:footnote>
  <w:footnote w:id="79">
    <w:p w14:paraId="6B7880C3" w14:textId="77777777" w:rsidR="00EE6366" w:rsidRDefault="00EE6366" w:rsidP="0043754D">
      <w:pPr>
        <w:pStyle w:val="FootnoteText"/>
      </w:pPr>
      <w:r>
        <w:rPr>
          <w:rStyle w:val="FootnoteReference"/>
        </w:rPr>
        <w:footnoteRef/>
      </w:r>
      <w:r>
        <w:t xml:space="preserve"> </w:t>
      </w:r>
      <w:r w:rsidRPr="00CA7740">
        <w:t xml:space="preserve">APL conducted a survey </w:t>
      </w:r>
      <w:r>
        <w:t xml:space="preserve">(n=613) </w:t>
      </w:r>
      <w:r w:rsidRPr="00CA7740">
        <w:t>in South Australia of what Australians ‘think the Kangaroo means’, which found that 94</w:t>
      </w:r>
      <w:r>
        <w:t xml:space="preserve"> per cent</w:t>
      </w:r>
      <w:r w:rsidRPr="00CA7740">
        <w:t xml:space="preserve"> of the respondents associated the logo with reflecting the product is Australian, but the accuracy of interpretation of the combined kangaroo and bar chart logo was varied.</w:t>
      </w:r>
    </w:p>
  </w:footnote>
  <w:footnote w:id="80">
    <w:p w14:paraId="3F19A63C" w14:textId="34232235" w:rsidR="00EE6366" w:rsidRDefault="00EE6366" w:rsidP="00172A6B">
      <w:pPr>
        <w:pStyle w:val="FootnoteText"/>
      </w:pPr>
      <w:r>
        <w:rPr>
          <w:rStyle w:val="FootnoteReference"/>
        </w:rPr>
        <w:footnoteRef/>
      </w:r>
      <w:r>
        <w:t xml:space="preserve"> Consumer Focus Group analysis (2020).</w:t>
      </w:r>
    </w:p>
  </w:footnote>
  <w:footnote w:id="81">
    <w:p w14:paraId="0BEC236C" w14:textId="2EADBE9D" w:rsidR="00EE6366" w:rsidRDefault="00EE6366">
      <w:pPr>
        <w:pStyle w:val="FootnoteText"/>
      </w:pPr>
      <w:r>
        <w:rPr>
          <w:rStyle w:val="FootnoteReference"/>
        </w:rPr>
        <w:footnoteRef/>
      </w:r>
      <w:r>
        <w:t xml:space="preserve"> For instance, the Consumers’ Federation Australia has recommended the logo only be used for products with at least 50% Australian ingredients.</w:t>
      </w:r>
      <w:r w:rsidRPr="0084146D">
        <w:t xml:space="preserve"> Others put forward a lower threshold and recommended the logo be banned from use for products that have no Australian ingredients.</w:t>
      </w:r>
    </w:p>
  </w:footnote>
  <w:footnote w:id="82">
    <w:p w14:paraId="298209F5" w14:textId="07D33227" w:rsidR="00EE6366" w:rsidRDefault="00EE6366">
      <w:pPr>
        <w:pStyle w:val="FootnoteText"/>
      </w:pPr>
      <w:r>
        <w:rPr>
          <w:rStyle w:val="FootnoteReference"/>
        </w:rPr>
        <w:footnoteRef/>
      </w:r>
      <w:r>
        <w:t xml:space="preserve"> </w:t>
      </w:r>
      <w:r w:rsidRPr="00153DD5">
        <w:t>For instance, the Ai Group indicated country of origin information should be available for online purchases of food, including those being imported from outside of Australia.</w:t>
      </w:r>
    </w:p>
  </w:footnote>
  <w:footnote w:id="83">
    <w:p w14:paraId="5EEF6E83" w14:textId="32B3C11D" w:rsidR="00EE6366" w:rsidRDefault="00EE6366">
      <w:pPr>
        <w:pStyle w:val="FootnoteText"/>
      </w:pPr>
      <w:r>
        <w:rPr>
          <w:rStyle w:val="FootnoteReference"/>
        </w:rPr>
        <w:footnoteRef/>
      </w:r>
      <w:r>
        <w:t xml:space="preserve"> </w:t>
      </w:r>
      <w:r w:rsidRPr="0061685E">
        <w:t xml:space="preserve">IBIS World </w:t>
      </w:r>
      <w:r>
        <w:t xml:space="preserve">report (2020), </w:t>
      </w:r>
      <w:r w:rsidRPr="006C300D">
        <w:rPr>
          <w:i/>
        </w:rPr>
        <w:t>Supermarkets and Grocery Stores in Australia</w:t>
      </w:r>
      <w:r>
        <w:t xml:space="preserve">, </w:t>
      </w:r>
      <w:r w:rsidRPr="0061685E">
        <w:t>indicates that market shares as of November 2020 for those retailers offering Country of Origin Labelling information for online sales were approximately 66% in total including Woolworths (37.1%) and Coles (29%). Other retailers with considerable market share were Aldi (9.7%) and Metcash (6.6%)</w:t>
      </w:r>
      <w:r>
        <w:t>,</w:t>
      </w:r>
      <w:r w:rsidRPr="0061685E">
        <w:t xml:space="preserve"> which do not offer country of origin labelling for online sales but are expected to have a lower share of customers purchasing online.</w:t>
      </w:r>
      <w:r>
        <w:t xml:space="preserve"> </w:t>
      </w:r>
    </w:p>
  </w:footnote>
  <w:footnote w:id="84">
    <w:p w14:paraId="46396083" w14:textId="43B8E6BE" w:rsidR="00CB1B6C" w:rsidRDefault="00CB1B6C">
      <w:pPr>
        <w:pStyle w:val="FootnoteText"/>
      </w:pPr>
      <w:r>
        <w:rPr>
          <w:rStyle w:val="FootnoteReference"/>
        </w:rPr>
        <w:footnoteRef/>
      </w:r>
      <w:r>
        <w:t xml:space="preserve"> </w:t>
      </w:r>
      <w:r w:rsidRPr="0017455A">
        <w:t xml:space="preserve">Deloitte Access Economics 2021, </w:t>
      </w:r>
      <w:r w:rsidRPr="0098039F">
        <w:rPr>
          <w:i/>
        </w:rPr>
        <w:t>Evaluation of Country of Origin Labelling reforms: Cost Benefit Analysis</w:t>
      </w:r>
      <w:r w:rsidRPr="0017455A">
        <w:t>, for the Department of Industry, Science, Energy and Resources</w:t>
      </w:r>
      <w:r w:rsidR="00863A0B">
        <w:t>, Section 4.5</w:t>
      </w:r>
      <w:r>
        <w:t>.</w:t>
      </w:r>
    </w:p>
  </w:footnote>
  <w:footnote w:id="85">
    <w:p w14:paraId="4784BE51" w14:textId="1C4D1A27" w:rsidR="00EE6366" w:rsidRDefault="00EE6366" w:rsidP="00F13D5F">
      <w:pPr>
        <w:pStyle w:val="FootnoteText"/>
      </w:pPr>
      <w:r w:rsidRPr="00A23838">
        <w:rPr>
          <w:rStyle w:val="FootnoteReference"/>
          <w:sz w:val="18"/>
          <w:szCs w:val="18"/>
        </w:rPr>
        <w:footnoteRef/>
      </w:r>
      <w:r w:rsidRPr="00A23838">
        <w:rPr>
          <w:sz w:val="18"/>
          <w:szCs w:val="18"/>
        </w:rPr>
        <w:t xml:space="preserve"> </w:t>
      </w:r>
      <w:r w:rsidRPr="00A33136">
        <w:t>IBISWorld</w:t>
      </w:r>
      <w:r>
        <w:t xml:space="preserve"> (2020)</w:t>
      </w:r>
      <w:r w:rsidRPr="00A33136">
        <w:t xml:space="preserve"> </w:t>
      </w:r>
      <w:r w:rsidRPr="00A33136">
        <w:rPr>
          <w:i/>
          <w:iCs/>
        </w:rPr>
        <w:t>Floriculture Production in Australia</w:t>
      </w:r>
      <w:r w:rsidRPr="00A33136">
        <w:t>, July 2020 p12</w:t>
      </w:r>
      <w:r>
        <w:t>.</w:t>
      </w:r>
    </w:p>
  </w:footnote>
  <w:footnote w:id="86">
    <w:p w14:paraId="4A86085C" w14:textId="4CC2986A" w:rsidR="00EE6366" w:rsidRPr="007C6C5B" w:rsidRDefault="00EE6366" w:rsidP="00F13D5F">
      <w:pPr>
        <w:pStyle w:val="FootnoteText"/>
        <w:rPr>
          <w:sz w:val="18"/>
          <w:szCs w:val="18"/>
        </w:rPr>
      </w:pPr>
      <w:r w:rsidRPr="007C6C5B">
        <w:rPr>
          <w:rStyle w:val="FootnoteReference"/>
          <w:sz w:val="18"/>
          <w:szCs w:val="18"/>
        </w:rPr>
        <w:footnoteRef/>
      </w:r>
      <w:r w:rsidRPr="007C6C5B">
        <w:rPr>
          <w:sz w:val="18"/>
          <w:szCs w:val="18"/>
        </w:rPr>
        <w:t xml:space="preserve"> </w:t>
      </w:r>
      <w:r w:rsidRPr="00EE3BB0">
        <w:t>Department of Agriculture, Water and the Environment</w:t>
      </w:r>
      <w:r>
        <w:t xml:space="preserve"> (2020)</w:t>
      </w:r>
      <w:r w:rsidRPr="00EE3BB0">
        <w:t xml:space="preserve"> </w:t>
      </w:r>
      <w:r>
        <w:t>‘I</w:t>
      </w:r>
      <w:r w:rsidRPr="00EE3BB0">
        <w:t>mport</w:t>
      </w:r>
      <w:r>
        <w:t>ed</w:t>
      </w:r>
      <w:r w:rsidRPr="00EE3BB0">
        <w:t xml:space="preserve"> cut flowers and foliage</w:t>
      </w:r>
      <w:r>
        <w:t>’, Stakeholder update</w:t>
      </w:r>
      <w:r w:rsidRPr="00EE3BB0">
        <w:t>, April 2020.</w:t>
      </w:r>
    </w:p>
  </w:footnote>
  <w:footnote w:id="87">
    <w:p w14:paraId="12FB9095" w14:textId="1F86767D" w:rsidR="00EE6366" w:rsidRPr="002F2071" w:rsidRDefault="00EE6366" w:rsidP="00F13D5F">
      <w:pPr>
        <w:pStyle w:val="FootnoteText"/>
        <w:rPr>
          <w:sz w:val="18"/>
          <w:szCs w:val="18"/>
        </w:rPr>
      </w:pPr>
      <w:r w:rsidRPr="002F2071">
        <w:rPr>
          <w:rStyle w:val="FootnoteReference"/>
          <w:sz w:val="18"/>
          <w:szCs w:val="18"/>
        </w:rPr>
        <w:footnoteRef/>
      </w:r>
      <w:r w:rsidRPr="002F2071">
        <w:rPr>
          <w:sz w:val="18"/>
          <w:szCs w:val="18"/>
        </w:rPr>
        <w:t xml:space="preserve"> </w:t>
      </w:r>
      <w:r w:rsidRPr="00F86945">
        <w:t xml:space="preserve">IP Australia (undated) ‘Australian grown flowers’, cited March 2021. </w:t>
      </w:r>
      <w:hyperlink r:id="rId12" w:history="1">
        <w:r w:rsidRPr="00F86945">
          <w:t>https://www.ipaustralia.gov.au/tools-resources/certification-rules/1715512</w:t>
        </w:r>
      </w:hyperlink>
      <w:r w:rsidRPr="00485CB4">
        <w:rPr>
          <w:sz w:val="18"/>
          <w:szCs w:val="18"/>
        </w:rPr>
        <w:t xml:space="preserve"> </w:t>
      </w:r>
    </w:p>
  </w:footnote>
  <w:footnote w:id="88">
    <w:p w14:paraId="57E671D4" w14:textId="4B9121F6" w:rsidR="00EE6366" w:rsidRDefault="00EE6366" w:rsidP="00F13D5F">
      <w:pPr>
        <w:pStyle w:val="FootnoteText"/>
      </w:pPr>
      <w:r w:rsidRPr="002F2071">
        <w:rPr>
          <w:rStyle w:val="FootnoteReference"/>
          <w:sz w:val="18"/>
          <w:szCs w:val="18"/>
        </w:rPr>
        <w:footnoteRef/>
      </w:r>
      <w:r w:rsidRPr="002F2071">
        <w:rPr>
          <w:sz w:val="18"/>
          <w:szCs w:val="18"/>
        </w:rPr>
        <w:t xml:space="preserve"> </w:t>
      </w:r>
      <w:hyperlink r:id="rId13" w:history="1">
        <w:r w:rsidRPr="00F86945">
          <w:t>https://www.americangrownflowers.org/</w:t>
        </w:r>
      </w:hyperlink>
      <w:r>
        <w:t xml:space="preserve"> </w:t>
      </w:r>
    </w:p>
  </w:footnote>
  <w:footnote w:id="89">
    <w:p w14:paraId="272648CE" w14:textId="1B4838FD" w:rsidR="00EE6366" w:rsidRDefault="00EE6366" w:rsidP="00075AE7">
      <w:pPr>
        <w:pStyle w:val="FootnoteText"/>
      </w:pPr>
      <w:r>
        <w:rPr>
          <w:rStyle w:val="FootnoteReference"/>
        </w:rPr>
        <w:footnoteRef/>
      </w:r>
      <w:r>
        <w:t xml:space="preserve"> Wallace J, Ironfield D, Orr, J (2000) </w:t>
      </w:r>
      <w:r w:rsidRPr="005330C5">
        <w:rPr>
          <w:i/>
          <w:iCs/>
        </w:rPr>
        <w:t>Self-Regulation in Consumer Markets</w:t>
      </w:r>
      <w:r>
        <w:t>, Report prepared for the Taskforce on Industry Self-regulation, Commonwealth Treasury, pp. 42-43.</w:t>
      </w:r>
    </w:p>
  </w:footnote>
  <w:footnote w:id="90">
    <w:p w14:paraId="1F297059" w14:textId="23AA3B53" w:rsidR="00AE4E1A" w:rsidRDefault="00AE4E1A">
      <w:pPr>
        <w:pStyle w:val="FootnoteText"/>
      </w:pPr>
      <w:r>
        <w:rPr>
          <w:rStyle w:val="FootnoteReference"/>
        </w:rPr>
        <w:footnoteRef/>
      </w:r>
      <w:r>
        <w:t xml:space="preserve"> </w:t>
      </w:r>
      <w:r w:rsidRPr="0017455A">
        <w:t xml:space="preserve">Deloitte Access Economics 2021, </w:t>
      </w:r>
      <w:r w:rsidRPr="0098039F">
        <w:rPr>
          <w:i/>
        </w:rPr>
        <w:t>Evaluation of Country of Origin Labelling reforms: Cost Benefit Analysis</w:t>
      </w:r>
      <w:r w:rsidRPr="0017455A">
        <w:t>, for the Department of Industry, Science, Energy and Resources</w:t>
      </w:r>
      <w:r w:rsidR="000F50ED">
        <w:t>, Section 4.7.</w:t>
      </w:r>
    </w:p>
  </w:footnote>
  <w:footnote w:id="91">
    <w:p w14:paraId="10468A4F" w14:textId="4E3B81C2" w:rsidR="00EE6366" w:rsidRDefault="00EE6366" w:rsidP="001B2C5A">
      <w:pPr>
        <w:pStyle w:val="FootnoteText"/>
      </w:pPr>
      <w:r>
        <w:rPr>
          <w:rStyle w:val="FootnoteReference"/>
        </w:rPr>
        <w:footnoteRef/>
      </w:r>
      <w:r>
        <w:t xml:space="preserve"> ACCC (undated) ‘</w:t>
      </w:r>
      <w:r w:rsidRPr="007F7443">
        <w:t>Country of origin labelling FAQs</w:t>
      </w:r>
      <w:r>
        <w:t xml:space="preserve">’, cited February 2021. </w:t>
      </w:r>
      <w:hyperlink r:id="rId14" w:history="1">
        <w:r w:rsidRPr="00F86945">
          <w:t>https://www.accc.gov.au/business/advertising-promoting-your-business/country-of-origin-claims/country-of-origin-labelling-faqs</w:t>
        </w:r>
      </w:hyperlink>
      <w:r>
        <w:t xml:space="preserve"> </w:t>
      </w:r>
    </w:p>
  </w:footnote>
  <w:footnote w:id="92">
    <w:p w14:paraId="7D34B098" w14:textId="77777777" w:rsidR="00EE6366" w:rsidRDefault="00EE6366" w:rsidP="001B2C5A">
      <w:pPr>
        <w:pStyle w:val="FootnoteText"/>
      </w:pPr>
      <w:r>
        <w:rPr>
          <w:rStyle w:val="FootnoteReference"/>
        </w:rPr>
        <w:footnoteRef/>
      </w:r>
      <w:r>
        <w:t xml:space="preserve"> Ibid.</w:t>
      </w:r>
    </w:p>
  </w:footnote>
  <w:footnote w:id="93">
    <w:p w14:paraId="403E9151" w14:textId="44AEE50C" w:rsidR="005A18AD" w:rsidRDefault="005A18AD">
      <w:pPr>
        <w:pStyle w:val="FootnoteText"/>
      </w:pPr>
      <w:r>
        <w:rPr>
          <w:rStyle w:val="FootnoteReference"/>
        </w:rPr>
        <w:footnoteRef/>
      </w:r>
      <w:r>
        <w:t xml:space="preserve"> The user guidance refers to the </w:t>
      </w:r>
      <w:r w:rsidR="00020FC6">
        <w:t xml:space="preserve">Country of origin claims and Australian Consumer Law Guide March 2019, which can be found here: </w:t>
      </w:r>
      <w:r w:rsidR="00020FC6" w:rsidRPr="00020FC6">
        <w:t>https://www.accc.gov.au/system/files/Country%20of%20origin%20claims%20and%20the%20ACL_March%202019.pdf</w:t>
      </w:r>
    </w:p>
  </w:footnote>
  <w:footnote w:id="94">
    <w:p w14:paraId="4194BB59" w14:textId="0394C1BC" w:rsidR="0001397C" w:rsidRDefault="0001397C">
      <w:pPr>
        <w:pStyle w:val="FootnoteText"/>
      </w:pPr>
      <w:r>
        <w:rPr>
          <w:rStyle w:val="FootnoteReference"/>
        </w:rPr>
        <w:footnoteRef/>
      </w:r>
      <w:r>
        <w:t xml:space="preserve"> </w:t>
      </w:r>
      <w:r w:rsidRPr="0017455A">
        <w:t xml:space="preserve">Deloitte Access Economics 2021, </w:t>
      </w:r>
      <w:r w:rsidRPr="0098039F">
        <w:rPr>
          <w:i/>
        </w:rPr>
        <w:t>Evaluation of Country of Origin Labelling reforms: Cost Benefit Analysis</w:t>
      </w:r>
      <w:r w:rsidRPr="0017455A">
        <w:t>, for the Department of Industry, Science, Energy and Resources</w:t>
      </w:r>
      <w:r w:rsidR="00D04828">
        <w:t>, Section 4.4</w:t>
      </w:r>
      <w:r w:rsidR="009D3F63">
        <w:t>.</w:t>
      </w:r>
    </w:p>
  </w:footnote>
  <w:footnote w:id="95">
    <w:p w14:paraId="3079C641" w14:textId="56AA8A05" w:rsidR="00EE6366" w:rsidRDefault="00EE6366">
      <w:pPr>
        <w:pStyle w:val="FootnoteText"/>
      </w:pPr>
      <w:r>
        <w:rPr>
          <w:rStyle w:val="FootnoteReference"/>
        </w:rPr>
        <w:footnoteRef/>
      </w:r>
      <w:r>
        <w:t xml:space="preserve"> </w:t>
      </w:r>
      <w:r w:rsidRPr="00CE41F5">
        <w:t>Based on the proportion of business survey respondents that indicated that CoOL requirements have not at all been sufficiently flexible for food and beverage producers to manage variations in the supply of ingredients.</w:t>
      </w:r>
    </w:p>
  </w:footnote>
  <w:footnote w:id="96">
    <w:p w14:paraId="6967A463" w14:textId="77777777" w:rsidR="00EE6366" w:rsidRDefault="00EE6366">
      <w:pPr>
        <w:pStyle w:val="FootnoteText"/>
      </w:pPr>
      <w:r>
        <w:rPr>
          <w:rStyle w:val="FootnoteReference"/>
        </w:rPr>
        <w:footnoteRef/>
      </w:r>
      <w:r>
        <w:t xml:space="preserve"> Australia’s peak industry body for retail and fast food representing over 28,000 shop fronts across the country.</w:t>
      </w:r>
    </w:p>
  </w:footnote>
  <w:footnote w:id="97">
    <w:p w14:paraId="787F15D2" w14:textId="2E03BFBA" w:rsidR="00EE6366" w:rsidRDefault="00EE6366" w:rsidP="00773EF2">
      <w:pPr>
        <w:pStyle w:val="FootnoteText"/>
      </w:pPr>
      <w:r>
        <w:rPr>
          <w:rStyle w:val="FootnoteReference"/>
        </w:rPr>
        <w:footnoteRef/>
      </w:r>
      <w:r>
        <w:t xml:space="preserve"> Commonwealth of Australia (2020) ‘Calculating Australian content’, accessed February 2021.</w:t>
      </w:r>
    </w:p>
    <w:p w14:paraId="481A5CD4" w14:textId="079B3C36" w:rsidR="00EE6366" w:rsidRDefault="0093445A" w:rsidP="00773EF2">
      <w:pPr>
        <w:pStyle w:val="FootnoteText"/>
      </w:pPr>
      <w:hyperlink r:id="rId15" w:anchor="average-proportion-of-Australian-ingredients" w:history="1">
        <w:r w:rsidR="00EE6366" w:rsidRPr="00F86945">
          <w:t>https://www.business.gov.au/products-and-services/product-labelling/calculating-australian-content#average-proportion-of-Australian-ingredients</w:t>
        </w:r>
      </w:hyperlink>
      <w:r w:rsidR="00EE6366">
        <w:t xml:space="preserve"> </w:t>
      </w:r>
    </w:p>
  </w:footnote>
  <w:footnote w:id="98">
    <w:p w14:paraId="36681C50" w14:textId="77777777" w:rsidR="00EE6366" w:rsidRDefault="00EE6366" w:rsidP="00C05828">
      <w:pPr>
        <w:pStyle w:val="FootnoteText"/>
      </w:pPr>
      <w:r>
        <w:rPr>
          <w:rStyle w:val="FootnoteReference"/>
        </w:rPr>
        <w:footnoteRef/>
      </w:r>
      <w:r>
        <w:t xml:space="preserve"> In the Information Standard, ‘a reference to the average proportion by weight of the</w:t>
      </w:r>
    </w:p>
    <w:p w14:paraId="53130719" w14:textId="77777777" w:rsidR="00EE6366" w:rsidRDefault="00EE6366" w:rsidP="00C05828">
      <w:pPr>
        <w:pStyle w:val="FootnoteText"/>
      </w:pPr>
      <w:r>
        <w:t>Australian ingredients of a packaged food is a reference to the average determined over a</w:t>
      </w:r>
    </w:p>
    <w:p w14:paraId="1C04225A" w14:textId="56095627" w:rsidR="00EE6366" w:rsidRDefault="00EE6366" w:rsidP="00C05828">
      <w:pPr>
        <w:pStyle w:val="FootnoteText"/>
      </w:pPr>
      <w:r>
        <w:t>continuous 1-, 2- or 3-year period that ends no later than 2 years before the date the</w:t>
      </w:r>
    </w:p>
    <w:p w14:paraId="65A6891F" w14:textId="77777777" w:rsidR="00EE6366" w:rsidRDefault="00EE6366" w:rsidP="00C05828">
      <w:pPr>
        <w:pStyle w:val="FootnoteText"/>
      </w:pPr>
      <w:r>
        <w:t>labelling is affixed to the package’.</w:t>
      </w:r>
    </w:p>
  </w:footnote>
  <w:footnote w:id="99">
    <w:p w14:paraId="60E1C7C3" w14:textId="2EA9CF54" w:rsidR="00EE6366" w:rsidRDefault="00EE6366">
      <w:pPr>
        <w:pStyle w:val="FootnoteText"/>
      </w:pPr>
      <w:r>
        <w:rPr>
          <w:rStyle w:val="FootnoteReference"/>
        </w:rPr>
        <w:footnoteRef/>
      </w:r>
      <w:r>
        <w:t xml:space="preserve"> A wide allowance (such as 20%) as suggested by some industry members is expected to reduce the integrity and trust in the scheme.</w:t>
      </w:r>
    </w:p>
  </w:footnote>
  <w:footnote w:id="100">
    <w:p w14:paraId="1DA3757F" w14:textId="695D64CF" w:rsidR="00EE6366" w:rsidRDefault="00EE6366">
      <w:pPr>
        <w:pStyle w:val="FootnoteText"/>
      </w:pPr>
      <w:r>
        <w:rPr>
          <w:rStyle w:val="FootnoteReference"/>
        </w:rPr>
        <w:footnoteRef/>
      </w:r>
      <w:r>
        <w:t xml:space="preserve"> ACCC (2021) ‘</w:t>
      </w:r>
      <w:r w:rsidRPr="000B1027">
        <w:t>COVID-19 (coronavirus) information for business</w:t>
      </w:r>
      <w:r>
        <w:t>’, accessed February 2021.</w:t>
      </w:r>
    </w:p>
    <w:p w14:paraId="40E74D78" w14:textId="0507F0A6" w:rsidR="00EE6366" w:rsidRDefault="0093445A">
      <w:pPr>
        <w:pStyle w:val="FootnoteText"/>
      </w:pPr>
      <w:hyperlink r:id="rId16" w:anchor="country-of-origin-labelling" w:history="1">
        <w:r w:rsidR="00EE6366" w:rsidRPr="00F86945">
          <w:t>https://www.accc.gov.au/business/covid-19-coronavirus-information-for-small-business#country-of-origin-labelling</w:t>
        </w:r>
      </w:hyperlink>
      <w:r w:rsidR="00EE6366" w:rsidRPr="00F86945">
        <w:t>?</w:t>
      </w:r>
    </w:p>
  </w:footnote>
  <w:footnote w:id="101">
    <w:p w14:paraId="3277EB9F" w14:textId="77777777" w:rsidR="00EE6366" w:rsidRDefault="00EE6366">
      <w:pPr>
        <w:pStyle w:val="FootnoteText"/>
      </w:pPr>
      <w:r>
        <w:rPr>
          <w:rStyle w:val="FootnoteReference"/>
        </w:rPr>
        <w:footnoteRef/>
      </w:r>
      <w:r>
        <w:t xml:space="preserve"> CoOL Information/Advertising campaign summary of funding and activities, undated.</w:t>
      </w:r>
    </w:p>
  </w:footnote>
  <w:footnote w:id="102">
    <w:p w14:paraId="028F9166" w14:textId="42DBF1D1" w:rsidR="00EE6366" w:rsidRDefault="00EE6366">
      <w:pPr>
        <w:pStyle w:val="FootnoteText"/>
      </w:pPr>
      <w:r>
        <w:rPr>
          <w:rStyle w:val="FootnoteReference"/>
        </w:rPr>
        <w:footnoteRef/>
      </w:r>
      <w:r>
        <w:t xml:space="preserve"> The rationale provided was to allow businesses to move stock in trade with out-of-date CoOL labels. Since food items packaged and labelled before the transition period cut-off date could still be legally sold with the old label afterwards, it seems there is a lack of understanding among industry members as to the timeline around </w:t>
      </w:r>
      <w:r w:rsidDel="00382A99">
        <w:t xml:space="preserve">the </w:t>
      </w:r>
      <w:r>
        <w:t>labelling changes. There is a possibility that the challenge stems from retailers not accepting out of date labels, but this was not reflected in the consultations.</w:t>
      </w:r>
    </w:p>
  </w:footnote>
  <w:footnote w:id="103">
    <w:p w14:paraId="3CC6A37F" w14:textId="552D6340" w:rsidR="0035672C" w:rsidRDefault="0035672C">
      <w:pPr>
        <w:pStyle w:val="FootnoteText"/>
      </w:pPr>
      <w:r>
        <w:rPr>
          <w:rStyle w:val="FootnoteReference"/>
        </w:rPr>
        <w:footnoteRef/>
      </w:r>
      <w:r>
        <w:t xml:space="preserve"> </w:t>
      </w:r>
      <w:r w:rsidRPr="0017455A">
        <w:t xml:space="preserve">Deloitte Access Economics 2021, </w:t>
      </w:r>
      <w:r w:rsidRPr="0098039F">
        <w:rPr>
          <w:i/>
          <w:iCs/>
        </w:rPr>
        <w:t>Evaluation of Country of Origin Labelling reforms: Cost Benefit Analysis</w:t>
      </w:r>
      <w:r w:rsidRPr="0017455A">
        <w:t>, for the Department of Industry, Science, Energy and Resources</w:t>
      </w:r>
      <w:r>
        <w:t>, Section 3.2.</w:t>
      </w:r>
    </w:p>
  </w:footnote>
  <w:footnote w:id="104">
    <w:p w14:paraId="3D970974" w14:textId="2B617BD3" w:rsidR="00EE6366" w:rsidRPr="007A3AB3" w:rsidRDefault="00EE6366">
      <w:pPr>
        <w:pStyle w:val="FootnoteText"/>
      </w:pPr>
      <w:r>
        <w:rPr>
          <w:rStyle w:val="FootnoteReference"/>
        </w:rPr>
        <w:footnoteRef/>
      </w:r>
      <w:r>
        <w:t xml:space="preserve"> Austrade (2015), </w:t>
      </w:r>
      <w:r>
        <w:rPr>
          <w:i/>
        </w:rPr>
        <w:t>Premium</w:t>
      </w:r>
      <w:r>
        <w:rPr>
          <w:i/>
          <w:iCs/>
        </w:rPr>
        <w:t xml:space="preserve"> Food Capabilities Report</w:t>
      </w:r>
      <w:r>
        <w:t xml:space="preserve">, April 2015. </w:t>
      </w:r>
    </w:p>
  </w:footnote>
  <w:footnote w:id="105">
    <w:p w14:paraId="6187892B" w14:textId="56F16917" w:rsidR="00EE6366" w:rsidRDefault="00EE6366">
      <w:pPr>
        <w:pStyle w:val="FootnoteText"/>
      </w:pPr>
      <w:r>
        <w:rPr>
          <w:rStyle w:val="FootnoteReference"/>
        </w:rPr>
        <w:footnoteRef/>
      </w:r>
      <w:r>
        <w:t xml:space="preserve"> </w:t>
      </w:r>
      <w:r w:rsidRPr="00B4720B">
        <w:t>National Farmers’ Federation, Ai Group, AFGC, Australian Dairy Industry Council and Australian Chicken Meat Federation</w:t>
      </w:r>
    </w:p>
  </w:footnote>
  <w:footnote w:id="106">
    <w:p w14:paraId="41956BFF" w14:textId="602A7CBC" w:rsidR="00EE6366" w:rsidRDefault="00EE6366">
      <w:pPr>
        <w:pStyle w:val="FootnoteText"/>
      </w:pPr>
      <w:r>
        <w:rPr>
          <w:rStyle w:val="FootnoteReference"/>
        </w:rPr>
        <w:footnoteRef/>
      </w:r>
      <w:r>
        <w:t xml:space="preserve"> </w:t>
      </w:r>
      <w:r w:rsidRPr="00B4720B">
        <w:t>The Department of Health and Human Services, DISER and the Department of Agriculture, Water and Environment.</w:t>
      </w:r>
    </w:p>
  </w:footnote>
  <w:footnote w:id="107">
    <w:p w14:paraId="4AA86476" w14:textId="74F1DD02" w:rsidR="00AA5825" w:rsidRDefault="00AA5825">
      <w:pPr>
        <w:pStyle w:val="FootnoteText"/>
      </w:pPr>
      <w:r>
        <w:rPr>
          <w:rStyle w:val="FootnoteReference"/>
        </w:rPr>
        <w:footnoteRef/>
      </w:r>
      <w:r>
        <w:t xml:space="preserve"> </w:t>
      </w:r>
      <w:r w:rsidRPr="0017455A">
        <w:t xml:space="preserve">Deloitte Access Economics 2021, </w:t>
      </w:r>
      <w:r w:rsidRPr="0098039F">
        <w:rPr>
          <w:i/>
        </w:rPr>
        <w:t>Evaluation of Country of Origin Labelling reforms: Cost Benefit Analysis</w:t>
      </w:r>
      <w:r w:rsidRPr="0017455A">
        <w:t>, for the Department of Industry, Science, Energy and Resources</w:t>
      </w:r>
      <w:r w:rsidR="005D5BD7">
        <w:t>, Section 4.3</w:t>
      </w:r>
      <w:r>
        <w:t>.</w:t>
      </w:r>
    </w:p>
  </w:footnote>
  <w:footnote w:id="108">
    <w:p w14:paraId="6652870C" w14:textId="2DC20B21" w:rsidR="00EE6366" w:rsidRDefault="00EE6366" w:rsidP="00F84D25">
      <w:pPr>
        <w:pStyle w:val="FootnoteText"/>
      </w:pPr>
      <w:r>
        <w:rPr>
          <w:rStyle w:val="FootnoteReference"/>
        </w:rPr>
        <w:footnoteRef/>
      </w:r>
      <w:r>
        <w:t xml:space="preserve"> </w:t>
      </w:r>
      <w:r w:rsidRPr="000026D6">
        <w:t>Government has been consulting on regulations after laws designed to give consumers clarity around the origin of food products were passed in late 2018. However</w:t>
      </w:r>
      <w:r>
        <w:t>,</w:t>
      </w:r>
      <w:r w:rsidRPr="000026D6">
        <w:t xml:space="preserve"> due to COVID, 12-month delay in recommending regulations. Now due to be finalised by June 2021 and come into effect </w:t>
      </w:r>
      <w:r>
        <w:t xml:space="preserve">in </w:t>
      </w:r>
      <w:r w:rsidRPr="000026D6">
        <w:t>December 2021.</w:t>
      </w:r>
    </w:p>
  </w:footnote>
  <w:footnote w:id="109">
    <w:p w14:paraId="0713C462" w14:textId="77777777" w:rsidR="00EE6366" w:rsidRDefault="00EE6366" w:rsidP="00F84D25">
      <w:pPr>
        <w:pStyle w:val="FootnoteText"/>
      </w:pPr>
      <w:r>
        <w:rPr>
          <w:rStyle w:val="FootnoteReference"/>
        </w:rPr>
        <w:footnoteRef/>
      </w:r>
      <w:r>
        <w:t xml:space="preserve"> </w:t>
      </w:r>
      <w:r w:rsidRPr="00EF5370">
        <w:t>"Product of Canada / Made in Canada" claims must adhere to guidelines even where made by restaurants (but the claims themselves are voluntary); little information about requirements for goods that are imported (and sold in foodservice settings).</w:t>
      </w:r>
    </w:p>
  </w:footnote>
  <w:footnote w:id="110">
    <w:p w14:paraId="16ADE6CE" w14:textId="621CEDDB" w:rsidR="00EE6366" w:rsidRDefault="00EE6366" w:rsidP="00F84D25">
      <w:pPr>
        <w:pStyle w:val="FootnoteText"/>
      </w:pPr>
      <w:r>
        <w:rPr>
          <w:rStyle w:val="FootnoteReference"/>
        </w:rPr>
        <w:footnoteRef/>
      </w:r>
      <w:r>
        <w:t xml:space="preserve"> HG.org (2021) ‘An analysis of the new country of origin labelling law in California’, accessed March 2021. </w:t>
      </w:r>
    </w:p>
    <w:p w14:paraId="1C61A218" w14:textId="61045080" w:rsidR="00EE6366" w:rsidRDefault="0093445A" w:rsidP="00F84D25">
      <w:pPr>
        <w:pStyle w:val="FootnoteText"/>
      </w:pPr>
      <w:hyperlink r:id="rId17" w:history="1">
        <w:r w:rsidR="00EE6366" w:rsidRPr="00F86945">
          <w:t>https://www.hg.org/legal-articles/an-analysis-of-the-new-country-of-origin-labeling-law-in-california-5614</w:t>
        </w:r>
      </w:hyperlink>
      <w:r w:rsidR="00EE6366">
        <w:t xml:space="preserve"> </w:t>
      </w:r>
    </w:p>
  </w:footnote>
  <w:footnote w:id="111">
    <w:p w14:paraId="689438ED" w14:textId="77777777" w:rsidR="00EE6366" w:rsidRPr="009A0254" w:rsidRDefault="00EE6366" w:rsidP="006B2AD2">
      <w:pPr>
        <w:pStyle w:val="FootnoteText"/>
      </w:pPr>
      <w:r>
        <w:rPr>
          <w:rStyle w:val="FootnoteReference"/>
        </w:rPr>
        <w:footnoteRef/>
      </w:r>
      <w:r>
        <w:t xml:space="preserve"> Australian Bureau of Statistics, </w:t>
      </w:r>
      <w:r>
        <w:rPr>
          <w:i/>
          <w:iCs/>
        </w:rPr>
        <w:t>Regional Population Growth Australia</w:t>
      </w:r>
      <w:r>
        <w:t xml:space="preserve"> (2018-19) Cat. No 3218.0</w:t>
      </w:r>
    </w:p>
  </w:footnote>
  <w:footnote w:id="112">
    <w:p w14:paraId="1958BD82" w14:textId="5DCDC224" w:rsidR="00EE6366" w:rsidRDefault="00EE6366" w:rsidP="006B2AD2">
      <w:pPr>
        <w:pStyle w:val="FootnoteText"/>
      </w:pPr>
      <w:r>
        <w:rPr>
          <w:rStyle w:val="FootnoteReference"/>
        </w:rPr>
        <w:footnoteRef/>
      </w:r>
      <w:r>
        <w:t xml:space="preserve"> Loomis, J (2011). ‘What’s to know about hypothetical bias in stated preference valuation studies?’ </w:t>
      </w:r>
      <w:r w:rsidRPr="00AE2C7F">
        <w:rPr>
          <w:i/>
          <w:iCs/>
        </w:rPr>
        <w:t>Journal of Economic Surveys</w:t>
      </w:r>
      <w:r>
        <w:t>, 25(2), 363-370.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0B55E" w14:textId="7450BF30" w:rsidR="00EE6366" w:rsidRDefault="00EE6366" w:rsidP="00474643">
    <w:pPr>
      <w:pStyle w:val="Header"/>
    </w:pPr>
    <w:r>
      <w:rPr>
        <w:noProof/>
        <w:color w:val="2B579A"/>
        <w:shd w:val="clear" w:color="auto" w:fill="E6E6E6"/>
        <w:lang w:eastAsia="en-AU"/>
      </w:rPr>
      <mc:AlternateContent>
        <mc:Choice Requires="wps">
          <w:drawing>
            <wp:inline distT="0" distB="0" distL="0" distR="0" wp14:anchorId="069381A7" wp14:editId="6FD6EA46">
              <wp:extent cx="7556500" cy="313055"/>
              <wp:effectExtent l="0" t="0" r="0" b="10795"/>
              <wp:docPr id="17" name="Commercial-in-confidence_Hide"/>
              <wp:cNvGraphicFramePr/>
              <a:graphic xmlns:a="http://schemas.openxmlformats.org/drawingml/2006/main">
                <a:graphicData uri="http://schemas.microsoft.com/office/word/2010/wordprocessingShape">
                  <wps:wsp>
                    <wps:cNvSpPr txBox="1"/>
                    <wps:spPr>
                      <a:xfrm>
                        <a:off x="0" y="0"/>
                        <a:ext cx="7556500" cy="3130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374242" w14:textId="77777777" w:rsidR="00EE6366" w:rsidRDefault="00EE6366" w:rsidP="00876341">
                          <w:pPr>
                            <w:pStyle w:val="Footer"/>
                            <w:jc w:val="center"/>
                          </w:pPr>
                          <w:r w:rsidRPr="00FD7D79">
                            <w:t>Commercial-in-confidence</w:t>
                          </w:r>
                        </w:p>
                      </w:txbxContent>
                    </wps:txbx>
                    <wps:bodyPr rot="0" spcFirstLastPara="0" vertOverflow="overflow" horzOverflow="overflow" vert="horz" wrap="square" lIns="900000" tIns="0" rIns="900000" bIns="0" numCol="1" spcCol="0" rtlCol="0" fromWordArt="0" anchor="b" anchorCtr="0" forceAA="0" compatLnSpc="1">
                      <a:prstTxWarp prst="textNoShape">
                        <a:avLst/>
                      </a:prstTxWarp>
                      <a:noAutofit/>
                    </wps:bodyPr>
                  </wps:wsp>
                </a:graphicData>
              </a:graphic>
            </wp:inline>
          </w:drawing>
        </mc:Choice>
        <mc:Fallback>
          <w:pict>
            <v:shapetype w14:anchorId="069381A7" id="_x0000_t202" coordsize="21600,21600" o:spt="202" path="m,l,21600r21600,l21600,xe">
              <v:stroke joinstyle="miter"/>
              <v:path gradientshapeok="t" o:connecttype="rect"/>
            </v:shapetype>
            <v:shape id="Commercial-in-confidence_Hide" o:spid="_x0000_s1027" type="#_x0000_t202" style="width:595pt;height:24.6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" filled="f" stroked="f" strokeweight=".5pt">
              <v:textbox inset="25mm,0,25mm,0">
                <w:txbxContent>
                  <w:p w14:paraId="33374242" w14:textId="77777777" w:rsidR="00EE6366" w:rsidRDefault="00EE6366" w:rsidP="00876341">
                    <w:pPr>
                      <w:pStyle w:val="Footer"/>
                      <w:jc w:val="center"/>
                    </w:pPr>
                    <w:r w:rsidRPr="00FD7D79">
                      <w:t>Commercial-in-confidence</w:t>
                    </w:r>
                  </w:p>
                </w:txbxContent>
              </v:textbox>
              <w10:anchorlock/>
            </v:shape>
          </w:pict>
        </mc:Fallback>
      </mc:AlternateContent>
    </w:r>
    <w:r>
      <w:rPr>
        <w:noProof/>
        <w:color w:val="2B579A"/>
        <w:shd w:val="clear" w:color="auto" w:fill="E6E6E6"/>
        <w:lang w:eastAsia="en-AU"/>
      </w:rPr>
      <w:drawing>
        <wp:anchor distT="0" distB="0" distL="0" distR="0" simplePos="0" relativeHeight="251658240" behindDoc="1" locked="0" layoutInCell="1" allowOverlap="1" wp14:anchorId="623C236B" wp14:editId="25931CE6">
          <wp:simplePos x="0" y="0"/>
          <wp:positionH relativeFrom="page">
            <wp:posOffset>900430</wp:posOffset>
          </wp:positionH>
          <wp:positionV relativeFrom="page">
            <wp:posOffset>360045</wp:posOffset>
          </wp:positionV>
          <wp:extent cx="1314000" cy="576000"/>
          <wp:effectExtent l="0" t="0" r="0" b="0"/>
          <wp:wrapNone/>
          <wp:docPr id="22" name="Logo_Hide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Logo_Hide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pic:nvPicPr>
                <pic:blipFill>
                  <a:blip r:embed="rId1"/>
                  <a:srcRect/>
                  <a:stretch/>
                </pic:blipFill>
                <pic:spPr>
                  <a:xfrm>
                    <a:off x="0" y="0"/>
                    <a:ext cx="1314000" cy="576000"/>
                  </a:xfrm>
                  <a:prstGeom prst="rect">
                    <a:avLst/>
                  </a:prstGeom>
                </pic:spPr>
              </pic:pic>
            </a:graphicData>
          </a:graphic>
          <wp14:sizeRelH relativeFrom="margin">
            <wp14:pctWidth>0</wp14:pctWidth>
          </wp14:sizeRelH>
          <wp14:sizeRelV relativeFrom="margin">
            <wp14:pctHeight>0</wp14:pctHeight>
          </wp14:sizeRelV>
        </wp:anchor>
      </w:drawing>
    </w:r>
  </w:p>
  <w:p w14:paraId="69F5B2F1" w14:textId="77777777" w:rsidR="00EE6366" w:rsidRPr="00474643" w:rsidRDefault="00EE6366" w:rsidP="0047464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92156" w14:textId="4EC9E359" w:rsidR="00EE6366" w:rsidRDefault="00EE636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58577" w14:textId="70F3FE3E" w:rsidR="00EE6366" w:rsidRDefault="00EE636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4297A" w14:textId="066BCF15" w:rsidR="00EE6366" w:rsidRDefault="00EE636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D2E56" w14:textId="10847A7D" w:rsidR="00EE6366" w:rsidRDefault="00EE636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D260F" w14:textId="10A47761" w:rsidR="00EE6366" w:rsidRDefault="00EE63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C22B3" w14:textId="13DE3CA5" w:rsidR="00EE6366" w:rsidRDefault="00EE6366">
    <w:pPr>
      <w:pStyle w:val="Header"/>
    </w:pPr>
    <w:r>
      <w:rPr>
        <w:noProof/>
        <w:color w:val="2B579A"/>
        <w:shd w:val="clear" w:color="auto" w:fill="E6E6E6"/>
        <w:lang w:eastAsia="en-AU"/>
      </w:rPr>
      <w:drawing>
        <wp:anchor distT="0" distB="0" distL="0" distR="0" simplePos="0" relativeHeight="251658241" behindDoc="1" locked="0" layoutInCell="1" allowOverlap="1" wp14:anchorId="6043DF4A" wp14:editId="17C863EC">
          <wp:simplePos x="0" y="0"/>
          <wp:positionH relativeFrom="page">
            <wp:posOffset>483235</wp:posOffset>
          </wp:positionH>
          <wp:positionV relativeFrom="page">
            <wp:posOffset>407670</wp:posOffset>
          </wp:positionV>
          <wp:extent cx="2142000" cy="939600"/>
          <wp:effectExtent l="0" t="0" r="0" b="0"/>
          <wp:wrapNone/>
          <wp:docPr id="24" name="Logo_Hide">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Logo_Hide">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pic:cNvPr>
                  <pic:cNvPicPr/>
                </pic:nvPicPr>
                <pic:blipFill>
                  <a:blip r:embed="rId1"/>
                  <a:srcRect/>
                  <a:stretch/>
                </pic:blipFill>
                <pic:spPr>
                  <a:xfrm>
                    <a:off x="0" y="0"/>
                    <a:ext cx="2142000" cy="939600"/>
                  </a:xfrm>
                  <a:prstGeom prst="rect">
                    <a:avLst/>
                  </a:prstGeom>
                </pic:spPr>
              </pic:pic>
            </a:graphicData>
          </a:graphic>
          <wp14:sizeRelH relativeFrom="margin">
            <wp14:pctWidth>0</wp14:pctWidth>
          </wp14:sizeRelH>
          <wp14:sizeRelV relativeFrom="margin">
            <wp14:pctHeight>0</wp14:pctHeight>
          </wp14:sizeRelV>
        </wp:anchor>
      </w:drawing>
    </w:r>
  </w:p>
  <w:p w14:paraId="358801E2" w14:textId="21AD327F" w:rsidR="00EE6366" w:rsidRDefault="00EE63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1F77D" w14:textId="62160A27" w:rsidR="00EE6366" w:rsidRDefault="00EE63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6EAFA" w14:textId="02907069" w:rsidR="00EE6366" w:rsidRDefault="00EE6366" w:rsidP="00612D76">
    <w:pPr>
      <w:pStyle w:val="Header"/>
      <w:spacing w:line="14" w:lineRule="exact"/>
    </w:pPr>
  </w:p>
  <w:p w14:paraId="249F4C69" w14:textId="77777777" w:rsidR="00EE6366" w:rsidRPr="000116B0" w:rsidRDefault="0093445A" w:rsidP="00474643">
    <w:pPr>
      <w:pStyle w:val="Header"/>
    </w:pPr>
    <w:sdt>
      <w:sdtPr>
        <w:alias w:val="Title"/>
        <w:id w:val="-315108774"/>
        <w:dataBinding w:prefixMappings="xmlns:ns0='http://purl.org/dc/elements/1.1/' xmlns:ns1='http://schemas.openxmlformats.org/package/2006/metadata/core-properties' " w:xpath="/ns1:coreProperties[1]/ns0:title[1]" w:storeItemID="{6C3C8BC8-F283-45AE-878A-BAB7291924A1}"/>
        <w:text/>
      </w:sdtPr>
      <w:sdtEndPr/>
      <w:sdtContent>
        <w:r w:rsidR="00EE6366">
          <w:t>Evaluation of Country of Origin Labelling reforms</w:t>
        </w:r>
      </w:sdtContent>
    </w:sdt>
  </w:p>
  <w:p w14:paraId="0E431344" w14:textId="2392B960" w:rsidR="00EE6366" w:rsidRDefault="00EE6366" w:rsidP="00474643">
    <w:pPr>
      <w:pStyle w:val="Header"/>
    </w:pPr>
  </w:p>
  <w:p w14:paraId="0E339426" w14:textId="5217AEA9" w:rsidR="00EE6366" w:rsidRDefault="00EE6366" w:rsidP="00176898">
    <w:pPr>
      <w:pStyle w:val="Header"/>
    </w:pPr>
  </w:p>
  <w:p w14:paraId="6BC723A9" w14:textId="77777777" w:rsidR="00EE6366" w:rsidRDefault="00EE6366" w:rsidP="004746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16C95" w14:textId="58C3941D" w:rsidR="00EE6366" w:rsidRDefault="00EE63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2F0D9" w14:textId="60E8C102" w:rsidR="00EE6366" w:rsidRDefault="00EE63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44299" w14:textId="7A351161" w:rsidR="00EE6366" w:rsidRDefault="00EE63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08648" w14:textId="3223A6B9" w:rsidR="00EE6366" w:rsidRDefault="00EE636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B0F77" w14:textId="1CBFD56F" w:rsidR="00EE6366" w:rsidRPr="000116B0" w:rsidRDefault="0093445A" w:rsidP="00E33B5F">
    <w:pPr>
      <w:pStyle w:val="Header"/>
    </w:pPr>
    <w:sdt>
      <w:sdtPr>
        <w:alias w:val="Title"/>
        <w:id w:val="-130020643"/>
        <w:dataBinding w:prefixMappings="xmlns:ns0='http://purl.org/dc/elements/1.1/' xmlns:ns1='http://schemas.openxmlformats.org/package/2006/metadata/core-properties' " w:xpath="/ns1:coreProperties[1]/ns0:title[1]" w:storeItemID="{6C3C8BC8-F283-45AE-878A-BAB7291924A1}"/>
        <w:text/>
      </w:sdtPr>
      <w:sdtEndPr/>
      <w:sdtContent>
        <w:r w:rsidR="00EE6366">
          <w:t>Evaluation of Country of Origin Labelling reforms</w:t>
        </w:r>
      </w:sdtContent>
    </w:sdt>
  </w:p>
  <w:p w14:paraId="32CDDF22" w14:textId="184550CF" w:rsidR="00EE6366" w:rsidRDefault="00EE6366" w:rsidP="00176898">
    <w:pPr>
      <w:pStyle w:val="Header"/>
    </w:pPr>
  </w:p>
  <w:p w14:paraId="1EF5F1E5" w14:textId="3038807E" w:rsidR="00EE6366" w:rsidRDefault="00EE6366" w:rsidP="00E33B5F">
    <w:pPr>
      <w:pStyle w:val="Header"/>
    </w:pPr>
  </w:p>
  <w:p w14:paraId="0FC32E78" w14:textId="1ABAB1D7" w:rsidR="00EE6366" w:rsidRPr="00E33B5F" w:rsidRDefault="00EE6366" w:rsidP="00E33B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649B62"/>
    <w:lvl w:ilvl="0">
      <w:start w:val="1"/>
      <w:numFmt w:val="decimal"/>
      <w:pStyle w:val="ListNumber5"/>
      <w:lvlText w:val="%1."/>
      <w:lvlJc w:val="left"/>
      <w:pPr>
        <w:tabs>
          <w:tab w:val="num" w:pos="5178"/>
        </w:tabs>
        <w:ind w:left="5178" w:hanging="360"/>
      </w:pPr>
    </w:lvl>
  </w:abstractNum>
  <w:abstractNum w:abstractNumId="1" w15:restartNumberingAfterBreak="0">
    <w:nsid w:val="FFFFFF7D"/>
    <w:multiLevelType w:val="hybridMultilevel"/>
    <w:tmpl w:val="42CAA2C8"/>
    <w:lvl w:ilvl="0" w:tplc="0942AA16">
      <w:start w:val="1"/>
      <w:numFmt w:val="decimal"/>
      <w:pStyle w:val="ListNumber4"/>
      <w:lvlText w:val="%1."/>
      <w:lvlJc w:val="left"/>
      <w:pPr>
        <w:tabs>
          <w:tab w:val="num" w:pos="1209"/>
        </w:tabs>
        <w:ind w:left="1209" w:hanging="360"/>
      </w:pPr>
    </w:lvl>
    <w:lvl w:ilvl="1" w:tplc="90CA3D22">
      <w:numFmt w:val="decimal"/>
      <w:lvlText w:val=""/>
      <w:lvlJc w:val="left"/>
    </w:lvl>
    <w:lvl w:ilvl="2" w:tplc="C11CFA6A">
      <w:numFmt w:val="decimal"/>
      <w:lvlText w:val=""/>
      <w:lvlJc w:val="left"/>
    </w:lvl>
    <w:lvl w:ilvl="3" w:tplc="3AB0D708">
      <w:numFmt w:val="decimal"/>
      <w:lvlText w:val=""/>
      <w:lvlJc w:val="left"/>
    </w:lvl>
    <w:lvl w:ilvl="4" w:tplc="FF0C3D98">
      <w:numFmt w:val="decimal"/>
      <w:lvlText w:val=""/>
      <w:lvlJc w:val="left"/>
    </w:lvl>
    <w:lvl w:ilvl="5" w:tplc="7BEC8664">
      <w:numFmt w:val="decimal"/>
      <w:lvlText w:val=""/>
      <w:lvlJc w:val="left"/>
    </w:lvl>
    <w:lvl w:ilvl="6" w:tplc="48F2FE76">
      <w:numFmt w:val="decimal"/>
      <w:lvlText w:val=""/>
      <w:lvlJc w:val="left"/>
    </w:lvl>
    <w:lvl w:ilvl="7" w:tplc="BE181FAA">
      <w:numFmt w:val="decimal"/>
      <w:lvlText w:val=""/>
      <w:lvlJc w:val="left"/>
    </w:lvl>
    <w:lvl w:ilvl="8" w:tplc="181EA5BC">
      <w:numFmt w:val="decimal"/>
      <w:lvlText w:val=""/>
      <w:lvlJc w:val="left"/>
    </w:lvl>
  </w:abstractNum>
  <w:abstractNum w:abstractNumId="2" w15:restartNumberingAfterBreak="0">
    <w:nsid w:val="FFFFFF7F"/>
    <w:multiLevelType w:val="multilevel"/>
    <w:tmpl w:val="24FC47F2"/>
    <w:lvl w:ilvl="0">
      <w:start w:val="1"/>
      <w:numFmt w:val="decimal"/>
      <w:pStyle w:val="ListNumber2"/>
      <w:lvlText w:val="%1."/>
      <w:lvlJc w:val="left"/>
      <w:pPr>
        <w:tabs>
          <w:tab w:val="num" w:pos="643"/>
        </w:tabs>
        <w:ind w:left="643" w:hanging="360"/>
      </w:p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 w15:restartNumberingAfterBreak="0">
    <w:nsid w:val="FFFFFF80"/>
    <w:multiLevelType w:val="hybridMultilevel"/>
    <w:tmpl w:val="13643CFC"/>
    <w:lvl w:ilvl="0" w:tplc="E9CA7850">
      <w:start w:val="1"/>
      <w:numFmt w:val="bullet"/>
      <w:pStyle w:val="ListBullet5"/>
      <w:lvlText w:val=""/>
      <w:lvlJc w:val="left"/>
      <w:pPr>
        <w:tabs>
          <w:tab w:val="num" w:pos="1492"/>
        </w:tabs>
        <w:ind w:left="1492" w:hanging="360"/>
      </w:pPr>
      <w:rPr>
        <w:rFonts w:ascii="Symbol" w:hAnsi="Symbol" w:hint="default"/>
      </w:rPr>
    </w:lvl>
    <w:lvl w:ilvl="1" w:tplc="20C2FF74">
      <w:numFmt w:val="decimal"/>
      <w:lvlText w:val=""/>
      <w:lvlJc w:val="left"/>
    </w:lvl>
    <w:lvl w:ilvl="2" w:tplc="C8AAABA4">
      <w:numFmt w:val="decimal"/>
      <w:lvlText w:val=""/>
      <w:lvlJc w:val="left"/>
    </w:lvl>
    <w:lvl w:ilvl="3" w:tplc="496E793C">
      <w:numFmt w:val="decimal"/>
      <w:lvlText w:val=""/>
      <w:lvlJc w:val="left"/>
    </w:lvl>
    <w:lvl w:ilvl="4" w:tplc="7764DA1C">
      <w:numFmt w:val="decimal"/>
      <w:lvlText w:val=""/>
      <w:lvlJc w:val="left"/>
    </w:lvl>
    <w:lvl w:ilvl="5" w:tplc="0AE6637A">
      <w:numFmt w:val="decimal"/>
      <w:lvlText w:val=""/>
      <w:lvlJc w:val="left"/>
    </w:lvl>
    <w:lvl w:ilvl="6" w:tplc="DC86A582">
      <w:numFmt w:val="decimal"/>
      <w:lvlText w:val=""/>
      <w:lvlJc w:val="left"/>
    </w:lvl>
    <w:lvl w:ilvl="7" w:tplc="DEAE6060">
      <w:numFmt w:val="decimal"/>
      <w:lvlText w:val=""/>
      <w:lvlJc w:val="left"/>
    </w:lvl>
    <w:lvl w:ilvl="8" w:tplc="C61EFB16">
      <w:numFmt w:val="decimal"/>
      <w:lvlText w:val=""/>
      <w:lvlJc w:val="left"/>
    </w:lvl>
  </w:abstractNum>
  <w:abstractNum w:abstractNumId="4" w15:restartNumberingAfterBreak="0">
    <w:nsid w:val="FFFFFF81"/>
    <w:multiLevelType w:val="hybridMultilevel"/>
    <w:tmpl w:val="5A6A3224"/>
    <w:lvl w:ilvl="0" w:tplc="09B01F5A">
      <w:start w:val="1"/>
      <w:numFmt w:val="bullet"/>
      <w:pStyle w:val="ListBullet4"/>
      <w:lvlText w:val=""/>
      <w:lvlJc w:val="left"/>
      <w:pPr>
        <w:tabs>
          <w:tab w:val="num" w:pos="1209"/>
        </w:tabs>
        <w:ind w:left="1209" w:hanging="360"/>
      </w:pPr>
      <w:rPr>
        <w:rFonts w:ascii="Symbol" w:hAnsi="Symbol" w:hint="default"/>
      </w:rPr>
    </w:lvl>
    <w:lvl w:ilvl="1" w:tplc="1A1C0F6E">
      <w:numFmt w:val="decimal"/>
      <w:lvlText w:val=""/>
      <w:lvlJc w:val="left"/>
    </w:lvl>
    <w:lvl w:ilvl="2" w:tplc="544E9A9C">
      <w:numFmt w:val="decimal"/>
      <w:lvlText w:val=""/>
      <w:lvlJc w:val="left"/>
    </w:lvl>
    <w:lvl w:ilvl="3" w:tplc="C6F2C626">
      <w:numFmt w:val="decimal"/>
      <w:lvlText w:val=""/>
      <w:lvlJc w:val="left"/>
    </w:lvl>
    <w:lvl w:ilvl="4" w:tplc="2E18A08C">
      <w:numFmt w:val="decimal"/>
      <w:lvlText w:val=""/>
      <w:lvlJc w:val="left"/>
    </w:lvl>
    <w:lvl w:ilvl="5" w:tplc="908EFD9E">
      <w:numFmt w:val="decimal"/>
      <w:lvlText w:val=""/>
      <w:lvlJc w:val="left"/>
    </w:lvl>
    <w:lvl w:ilvl="6" w:tplc="44001F4A">
      <w:numFmt w:val="decimal"/>
      <w:lvlText w:val=""/>
      <w:lvlJc w:val="left"/>
    </w:lvl>
    <w:lvl w:ilvl="7" w:tplc="DA2AF5F0">
      <w:numFmt w:val="decimal"/>
      <w:lvlText w:val=""/>
      <w:lvlJc w:val="left"/>
    </w:lvl>
    <w:lvl w:ilvl="8" w:tplc="C128CE74">
      <w:numFmt w:val="decimal"/>
      <w:lvlText w:val=""/>
      <w:lvlJc w:val="left"/>
    </w:lvl>
  </w:abstractNum>
  <w:abstractNum w:abstractNumId="5" w15:restartNumberingAfterBreak="0">
    <w:nsid w:val="02DB2827"/>
    <w:multiLevelType w:val="hybridMultilevel"/>
    <w:tmpl w:val="E0023528"/>
    <w:lvl w:ilvl="0" w:tplc="C8AADD7C">
      <w:start w:val="1"/>
      <w:numFmt w:val="upperLetter"/>
      <w:pStyle w:val="AlphabeticList"/>
      <w:lvlText w:val="%1"/>
      <w:lvlJc w:val="left"/>
      <w:pPr>
        <w:ind w:left="340" w:hanging="340"/>
      </w:pPr>
      <w:rPr>
        <w:rFonts w:hint="default"/>
      </w:rPr>
    </w:lvl>
    <w:lvl w:ilvl="1" w:tplc="923EE8C8">
      <w:start w:val="1"/>
      <w:numFmt w:val="lowerLetter"/>
      <w:pStyle w:val="AlphabeticList2"/>
      <w:lvlText w:val="%2"/>
      <w:lvlJc w:val="left"/>
      <w:pPr>
        <w:ind w:left="680" w:hanging="340"/>
      </w:pPr>
      <w:rPr>
        <w:rFonts w:hint="default"/>
      </w:rPr>
    </w:lvl>
    <w:lvl w:ilvl="2" w:tplc="BE262C26">
      <w:start w:val="1"/>
      <w:numFmt w:val="lowerRoman"/>
      <w:lvlText w:val="%3."/>
      <w:lvlJc w:val="left"/>
      <w:pPr>
        <w:ind w:left="1020" w:hanging="340"/>
      </w:pPr>
      <w:rPr>
        <w:rFonts w:hint="default"/>
      </w:rPr>
    </w:lvl>
    <w:lvl w:ilvl="3" w:tplc="F2B6C808">
      <w:start w:val="1"/>
      <w:numFmt w:val="decimal"/>
      <w:lvlText w:val="(%4)"/>
      <w:lvlJc w:val="left"/>
      <w:pPr>
        <w:ind w:left="1360" w:hanging="340"/>
      </w:pPr>
      <w:rPr>
        <w:rFonts w:hint="default"/>
      </w:rPr>
    </w:lvl>
    <w:lvl w:ilvl="4" w:tplc="72EC3378">
      <w:start w:val="1"/>
      <w:numFmt w:val="lowerLetter"/>
      <w:lvlText w:val="(%5)"/>
      <w:lvlJc w:val="left"/>
      <w:pPr>
        <w:ind w:left="1700" w:hanging="340"/>
      </w:pPr>
      <w:rPr>
        <w:rFonts w:hint="default"/>
      </w:rPr>
    </w:lvl>
    <w:lvl w:ilvl="5" w:tplc="F2C4DD2C">
      <w:start w:val="1"/>
      <w:numFmt w:val="lowerRoman"/>
      <w:lvlText w:val="(%6)"/>
      <w:lvlJc w:val="left"/>
      <w:pPr>
        <w:ind w:left="2040" w:hanging="340"/>
      </w:pPr>
      <w:rPr>
        <w:rFonts w:hint="default"/>
      </w:rPr>
    </w:lvl>
    <w:lvl w:ilvl="6" w:tplc="71740E7C">
      <w:start w:val="1"/>
      <w:numFmt w:val="decimal"/>
      <w:lvlText w:val="%7."/>
      <w:lvlJc w:val="left"/>
      <w:pPr>
        <w:ind w:left="2380" w:hanging="340"/>
      </w:pPr>
      <w:rPr>
        <w:rFonts w:hint="default"/>
      </w:rPr>
    </w:lvl>
    <w:lvl w:ilvl="7" w:tplc="ED40562C">
      <w:start w:val="1"/>
      <w:numFmt w:val="lowerLetter"/>
      <w:lvlText w:val="%8."/>
      <w:lvlJc w:val="left"/>
      <w:pPr>
        <w:ind w:left="2720" w:hanging="340"/>
      </w:pPr>
      <w:rPr>
        <w:rFonts w:hint="default"/>
      </w:rPr>
    </w:lvl>
    <w:lvl w:ilvl="8" w:tplc="64BC124C">
      <w:start w:val="1"/>
      <w:numFmt w:val="lowerRoman"/>
      <w:lvlText w:val="%9."/>
      <w:lvlJc w:val="left"/>
      <w:pPr>
        <w:ind w:left="3060" w:hanging="340"/>
      </w:pPr>
      <w:rPr>
        <w:rFonts w:hint="default"/>
      </w:rPr>
    </w:lvl>
  </w:abstractNum>
  <w:abstractNum w:abstractNumId="6" w15:restartNumberingAfterBreak="0">
    <w:nsid w:val="0BE805CD"/>
    <w:multiLevelType w:val="multilevel"/>
    <w:tmpl w:val="9F980A1A"/>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color w:val="012169" w:themeColor="accent4"/>
      </w:rPr>
    </w:lvl>
    <w:lvl w:ilvl="8">
      <w:start w:val="1"/>
      <w:numFmt w:val="decimal"/>
      <w:lvlRestart w:val="1"/>
      <w:pStyle w:val="AppendixFigureCaption"/>
      <w:suff w:val="nothing"/>
      <w:lvlText w:val="Figure %1.%9"/>
      <w:lvlJc w:val="left"/>
      <w:pPr>
        <w:ind w:left="0" w:firstLine="0"/>
      </w:pPr>
      <w:rPr>
        <w:rFonts w:hint="default"/>
      </w:rPr>
    </w:lvl>
  </w:abstractNum>
  <w:abstractNum w:abstractNumId="7" w15:restartNumberingAfterBreak="0">
    <w:nsid w:val="1579747A"/>
    <w:multiLevelType w:val="hybridMultilevel"/>
    <w:tmpl w:val="9D08EBA2"/>
    <w:lvl w:ilvl="0" w:tplc="03CE575A">
      <w:start w:val="1"/>
      <w:numFmt w:val="none"/>
      <w:pStyle w:val="ExecutiveHeading"/>
      <w:suff w:val="nothing"/>
      <w:lvlText w:val=""/>
      <w:lvlJc w:val="left"/>
      <w:pPr>
        <w:ind w:left="0" w:firstLine="0"/>
      </w:pPr>
      <w:rPr>
        <w:rFonts w:hint="default"/>
      </w:rPr>
    </w:lvl>
    <w:lvl w:ilvl="1" w:tplc="24FE67C6">
      <w:start w:val="1"/>
      <w:numFmt w:val="lowerRoman"/>
      <w:lvlRestart w:val="0"/>
      <w:pStyle w:val="ExecTableCaption"/>
      <w:suff w:val="nothing"/>
      <w:lvlText w:val="Table %2"/>
      <w:lvlJc w:val="left"/>
      <w:pPr>
        <w:ind w:left="0" w:firstLine="0"/>
      </w:pPr>
      <w:rPr>
        <w:rFonts w:hint="default"/>
      </w:rPr>
    </w:lvl>
    <w:lvl w:ilvl="2" w:tplc="E1ECB02A">
      <w:start w:val="1"/>
      <w:numFmt w:val="lowerRoman"/>
      <w:lvlRestart w:val="0"/>
      <w:pStyle w:val="ExecChartCaption"/>
      <w:suff w:val="nothing"/>
      <w:lvlText w:val="Chart %3"/>
      <w:lvlJc w:val="left"/>
      <w:pPr>
        <w:ind w:left="0" w:firstLine="0"/>
      </w:pPr>
      <w:rPr>
        <w:rFonts w:hint="default"/>
      </w:rPr>
    </w:lvl>
    <w:lvl w:ilvl="3" w:tplc="B3FC620A">
      <w:start w:val="1"/>
      <w:numFmt w:val="lowerRoman"/>
      <w:lvlRestart w:val="0"/>
      <w:pStyle w:val="ExecFigureCaption"/>
      <w:suff w:val="nothing"/>
      <w:lvlText w:val="Figure %4"/>
      <w:lvlJc w:val="left"/>
      <w:pPr>
        <w:ind w:left="0" w:firstLine="0"/>
      </w:pPr>
      <w:rPr>
        <w:rFonts w:hint="default"/>
      </w:rPr>
    </w:lvl>
    <w:lvl w:ilvl="4" w:tplc="6D302C16">
      <w:start w:val="1"/>
      <w:numFmt w:val="none"/>
      <w:lvlText w:val=""/>
      <w:lvlJc w:val="left"/>
      <w:pPr>
        <w:ind w:left="0" w:firstLine="0"/>
      </w:pPr>
      <w:rPr>
        <w:rFonts w:hint="default"/>
      </w:rPr>
    </w:lvl>
    <w:lvl w:ilvl="5" w:tplc="AE7C707C">
      <w:start w:val="1"/>
      <w:numFmt w:val="none"/>
      <w:lvlText w:val=""/>
      <w:lvlJc w:val="left"/>
      <w:pPr>
        <w:ind w:left="0" w:firstLine="0"/>
      </w:pPr>
      <w:rPr>
        <w:rFonts w:hint="default"/>
      </w:rPr>
    </w:lvl>
    <w:lvl w:ilvl="6" w:tplc="CB2E28B2">
      <w:start w:val="1"/>
      <w:numFmt w:val="none"/>
      <w:lvlText w:val="%7"/>
      <w:lvlJc w:val="left"/>
      <w:pPr>
        <w:ind w:left="0" w:firstLine="0"/>
      </w:pPr>
      <w:rPr>
        <w:rFonts w:hint="default"/>
      </w:rPr>
    </w:lvl>
    <w:lvl w:ilvl="7" w:tplc="7D5A644A">
      <w:start w:val="1"/>
      <w:numFmt w:val="none"/>
      <w:lvlText w:val="%8"/>
      <w:lvlJc w:val="left"/>
      <w:pPr>
        <w:ind w:left="0" w:firstLine="0"/>
      </w:pPr>
      <w:rPr>
        <w:rFonts w:hint="default"/>
      </w:rPr>
    </w:lvl>
    <w:lvl w:ilvl="8" w:tplc="F48ADC70">
      <w:start w:val="1"/>
      <w:numFmt w:val="none"/>
      <w:lvlText w:val="%9"/>
      <w:lvlJc w:val="left"/>
      <w:pPr>
        <w:ind w:left="0" w:firstLine="0"/>
      </w:pPr>
      <w:rPr>
        <w:rFonts w:hint="default"/>
      </w:rPr>
    </w:lvl>
  </w:abstractNum>
  <w:abstractNum w:abstractNumId="8" w15:restartNumberingAfterBreak="0">
    <w:nsid w:val="1610151B"/>
    <w:multiLevelType w:val="hybridMultilevel"/>
    <w:tmpl w:val="D242AAEE"/>
    <w:lvl w:ilvl="0" w:tplc="481E3A30">
      <w:start w:val="1"/>
      <w:numFmt w:val="bullet"/>
      <w:lvlText w:val="–"/>
      <w:lvlJc w:val="left"/>
      <w:pPr>
        <w:ind w:left="776" w:hanging="360"/>
      </w:pPr>
      <w:rPr>
        <w:rFonts w:ascii="Verdana" w:hAnsi="Verdana"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9" w15:restartNumberingAfterBreak="0">
    <w:nsid w:val="18E0104F"/>
    <w:multiLevelType w:val="hybridMultilevel"/>
    <w:tmpl w:val="57629E32"/>
    <w:lvl w:ilvl="0" w:tplc="7B70DC8E">
      <w:start w:val="1"/>
      <w:numFmt w:val="bullet"/>
      <w:pStyle w:val="ListBullet3"/>
      <w:lvlText w:val=""/>
      <w:lvlJc w:val="left"/>
      <w:pPr>
        <w:ind w:left="1021" w:hanging="341"/>
      </w:pPr>
      <w:rPr>
        <w:rFonts w:ascii="Symbol" w:hAnsi="Symbol" w:hint="default"/>
      </w:rPr>
    </w:lvl>
    <w:lvl w:ilvl="1" w:tplc="D41A789C">
      <w:start w:val="1"/>
      <w:numFmt w:val="bullet"/>
      <w:lvlText w:val="–"/>
      <w:lvlJc w:val="left"/>
      <w:pPr>
        <w:ind w:left="1361" w:hanging="341"/>
      </w:pPr>
      <w:rPr>
        <w:rFonts w:ascii="Verdana" w:hAnsi="Verdana" w:hint="default"/>
      </w:rPr>
    </w:lvl>
    <w:lvl w:ilvl="2" w:tplc="8AFE9D70">
      <w:start w:val="1"/>
      <w:numFmt w:val="bullet"/>
      <w:lvlText w:val=""/>
      <w:lvlJc w:val="left"/>
      <w:pPr>
        <w:ind w:left="1701" w:hanging="341"/>
      </w:pPr>
      <w:rPr>
        <w:rFonts w:ascii="Symbol" w:hAnsi="Symbol" w:hint="default"/>
      </w:rPr>
    </w:lvl>
    <w:lvl w:ilvl="3" w:tplc="4C7C828E">
      <w:start w:val="1"/>
      <w:numFmt w:val="bullet"/>
      <w:lvlText w:val="–"/>
      <w:lvlJc w:val="left"/>
      <w:pPr>
        <w:ind w:left="2041" w:hanging="341"/>
      </w:pPr>
      <w:rPr>
        <w:rFonts w:ascii="Verdana" w:hAnsi="Verdana" w:hint="default"/>
      </w:rPr>
    </w:lvl>
    <w:lvl w:ilvl="4" w:tplc="1352A130">
      <w:start w:val="1"/>
      <w:numFmt w:val="bullet"/>
      <w:lvlText w:val=""/>
      <w:lvlJc w:val="left"/>
      <w:pPr>
        <w:ind w:left="2381" w:hanging="341"/>
      </w:pPr>
      <w:rPr>
        <w:rFonts w:ascii="Symbol" w:hAnsi="Symbol" w:hint="default"/>
      </w:rPr>
    </w:lvl>
    <w:lvl w:ilvl="5" w:tplc="1C567D64">
      <w:start w:val="1"/>
      <w:numFmt w:val="bullet"/>
      <w:lvlText w:val="–"/>
      <w:lvlJc w:val="left"/>
      <w:pPr>
        <w:ind w:left="2721" w:hanging="341"/>
      </w:pPr>
      <w:rPr>
        <w:rFonts w:ascii="Verdana" w:hAnsi="Verdana" w:hint="default"/>
      </w:rPr>
    </w:lvl>
    <w:lvl w:ilvl="6" w:tplc="CEB48586">
      <w:start w:val="1"/>
      <w:numFmt w:val="bullet"/>
      <w:lvlText w:val=""/>
      <w:lvlJc w:val="left"/>
      <w:pPr>
        <w:ind w:left="3061" w:hanging="341"/>
      </w:pPr>
      <w:rPr>
        <w:rFonts w:ascii="Symbol" w:hAnsi="Symbol" w:hint="default"/>
      </w:rPr>
    </w:lvl>
    <w:lvl w:ilvl="7" w:tplc="F4086E28">
      <w:start w:val="1"/>
      <w:numFmt w:val="bullet"/>
      <w:lvlText w:val="–"/>
      <w:lvlJc w:val="left"/>
      <w:pPr>
        <w:ind w:left="3401" w:hanging="341"/>
      </w:pPr>
      <w:rPr>
        <w:rFonts w:ascii="Verdana" w:hAnsi="Verdana" w:hint="default"/>
      </w:rPr>
    </w:lvl>
    <w:lvl w:ilvl="8" w:tplc="4DDEC5BC">
      <w:start w:val="1"/>
      <w:numFmt w:val="bullet"/>
      <w:lvlText w:val=""/>
      <w:lvlJc w:val="left"/>
      <w:pPr>
        <w:ind w:left="3741" w:hanging="341"/>
      </w:pPr>
      <w:rPr>
        <w:rFonts w:ascii="Symbol" w:hAnsi="Symbol" w:hint="default"/>
      </w:rPr>
    </w:lvl>
  </w:abstractNum>
  <w:abstractNum w:abstractNumId="10" w15:restartNumberingAfterBreak="0">
    <w:nsid w:val="26A121D5"/>
    <w:multiLevelType w:val="hybridMultilevel"/>
    <w:tmpl w:val="1850F6D8"/>
    <w:lvl w:ilvl="0" w:tplc="CBC8400A">
      <w:start w:val="1"/>
      <w:numFmt w:val="lowerLetter"/>
      <w:lvlText w:val="(%1)"/>
      <w:lvlJc w:val="left"/>
      <w:pPr>
        <w:ind w:left="744" w:hanging="3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9F302D"/>
    <w:multiLevelType w:val="hybridMultilevel"/>
    <w:tmpl w:val="58063B50"/>
    <w:lvl w:ilvl="0" w:tplc="AFFE4FC6">
      <w:start w:val="1"/>
      <w:numFmt w:val="bullet"/>
      <w:pStyle w:val="BulletedText1"/>
      <w:lvlText w:val=""/>
      <w:lvlJc w:val="left"/>
      <w:pPr>
        <w:ind w:left="227" w:hanging="227"/>
      </w:pPr>
      <w:rPr>
        <w:rFonts w:ascii="Wingdings" w:hAnsi="Wingdings" w:hint="default"/>
        <w:color w:val="44546A" w:themeColor="text2"/>
        <w:sz w:val="18"/>
      </w:rPr>
    </w:lvl>
    <w:lvl w:ilvl="1" w:tplc="B39E47C4">
      <w:start w:val="1"/>
      <w:numFmt w:val="bullet"/>
      <w:pStyle w:val="BulletedText2"/>
      <w:lvlText w:val="–"/>
      <w:lvlJc w:val="left"/>
      <w:pPr>
        <w:ind w:left="454" w:hanging="227"/>
      </w:pPr>
      <w:rPr>
        <w:rFonts w:ascii="Verdana" w:hAnsi="Verdana" w:hint="default"/>
      </w:rPr>
    </w:lvl>
    <w:lvl w:ilvl="2" w:tplc="8FB8116A">
      <w:start w:val="1"/>
      <w:numFmt w:val="bullet"/>
      <w:lvlText w:val=""/>
      <w:lvlJc w:val="left"/>
      <w:pPr>
        <w:ind w:left="681" w:hanging="227"/>
      </w:pPr>
      <w:rPr>
        <w:rFonts w:ascii="Wingdings" w:hAnsi="Wingdings" w:hint="default"/>
        <w:color w:val="44546A" w:themeColor="text2"/>
      </w:rPr>
    </w:lvl>
    <w:lvl w:ilvl="3" w:tplc="7F1CE5D6">
      <w:start w:val="1"/>
      <w:numFmt w:val="bullet"/>
      <w:lvlText w:val="–"/>
      <w:lvlJc w:val="left"/>
      <w:pPr>
        <w:ind w:left="908" w:hanging="227"/>
      </w:pPr>
      <w:rPr>
        <w:rFonts w:ascii="Gotham Bold" w:hAnsi="Gotham Bold" w:hint="default"/>
        <w:color w:val="64645A"/>
      </w:rPr>
    </w:lvl>
    <w:lvl w:ilvl="4" w:tplc="CF266288">
      <w:start w:val="1"/>
      <w:numFmt w:val="bullet"/>
      <w:lvlText w:val=""/>
      <w:lvlJc w:val="left"/>
      <w:pPr>
        <w:ind w:left="1135" w:hanging="227"/>
      </w:pPr>
      <w:rPr>
        <w:rFonts w:ascii="Wingdings" w:hAnsi="Wingdings" w:hint="default"/>
        <w:color w:val="44546A" w:themeColor="text2"/>
      </w:rPr>
    </w:lvl>
    <w:lvl w:ilvl="5" w:tplc="5C3AB148">
      <w:start w:val="1"/>
      <w:numFmt w:val="bullet"/>
      <w:lvlText w:val="–"/>
      <w:lvlJc w:val="left"/>
      <w:pPr>
        <w:ind w:left="1362" w:hanging="227"/>
      </w:pPr>
      <w:rPr>
        <w:rFonts w:ascii="Gotham Bold" w:hAnsi="Gotham Bold" w:hint="default"/>
        <w:color w:val="64645A"/>
      </w:rPr>
    </w:lvl>
    <w:lvl w:ilvl="6" w:tplc="90A466F6">
      <w:start w:val="1"/>
      <w:numFmt w:val="bullet"/>
      <w:lvlText w:val=""/>
      <w:lvlJc w:val="left"/>
      <w:pPr>
        <w:ind w:left="1589" w:hanging="227"/>
      </w:pPr>
      <w:rPr>
        <w:rFonts w:ascii="Wingdings" w:hAnsi="Wingdings" w:hint="default"/>
        <w:color w:val="44546A" w:themeColor="text2"/>
      </w:rPr>
    </w:lvl>
    <w:lvl w:ilvl="7" w:tplc="713A55D4">
      <w:start w:val="1"/>
      <w:numFmt w:val="bullet"/>
      <w:lvlText w:val="–"/>
      <w:lvlJc w:val="left"/>
      <w:pPr>
        <w:ind w:left="1816" w:hanging="227"/>
      </w:pPr>
      <w:rPr>
        <w:rFonts w:ascii="Gotham Bold" w:hAnsi="Gotham Bold" w:hint="default"/>
        <w:color w:val="64645A"/>
      </w:rPr>
    </w:lvl>
    <w:lvl w:ilvl="8" w:tplc="F754126A">
      <w:start w:val="1"/>
      <w:numFmt w:val="bullet"/>
      <w:lvlText w:val=""/>
      <w:lvlJc w:val="left"/>
      <w:pPr>
        <w:ind w:left="2043" w:hanging="227"/>
      </w:pPr>
      <w:rPr>
        <w:rFonts w:ascii="Wingdings" w:hAnsi="Wingdings" w:hint="default"/>
        <w:color w:val="44546A" w:themeColor="text2"/>
      </w:rPr>
    </w:lvl>
  </w:abstractNum>
  <w:abstractNum w:abstractNumId="12" w15:restartNumberingAfterBreak="0">
    <w:nsid w:val="3BC11099"/>
    <w:multiLevelType w:val="hybridMultilevel"/>
    <w:tmpl w:val="F462E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D01D2"/>
    <w:multiLevelType w:val="multilevel"/>
    <w:tmpl w:val="2244E768"/>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1077"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color w:val="75787B" w:themeColor="accent6"/>
        <w:sz w:val="17"/>
        <w:szCs w:val="17"/>
      </w:rPr>
    </w:lvl>
    <w:lvl w:ilvl="8">
      <w:start w:val="1"/>
      <w:numFmt w:val="decimal"/>
      <w:lvlRestart w:val="1"/>
      <w:pStyle w:val="CaptionFigure"/>
      <w:suff w:val="nothing"/>
      <w:lvlText w:val="Figure %1.%9"/>
      <w:lvlJc w:val="left"/>
      <w:pPr>
        <w:ind w:left="0" w:firstLine="0"/>
      </w:pPr>
      <w:rPr>
        <w:rFonts w:hint="default"/>
      </w:rPr>
    </w:lvl>
  </w:abstractNum>
  <w:abstractNum w:abstractNumId="14" w15:restartNumberingAfterBreak="0">
    <w:nsid w:val="405F4842"/>
    <w:multiLevelType w:val="hybridMultilevel"/>
    <w:tmpl w:val="DFE25DFA"/>
    <w:lvl w:ilvl="0" w:tplc="9B7C81CE">
      <w:start w:val="1"/>
      <w:numFmt w:val="decimal"/>
      <w:pStyle w:val="ListNumber"/>
      <w:lvlText w:val="%1."/>
      <w:lvlJc w:val="left"/>
      <w:pPr>
        <w:ind w:left="340" w:hanging="340"/>
      </w:pPr>
      <w:rPr>
        <w:rFonts w:hint="default"/>
        <w:b w:val="0"/>
        <w:bCs/>
      </w:rPr>
    </w:lvl>
    <w:lvl w:ilvl="1" w:tplc="07B2B5B2">
      <w:start w:val="1"/>
      <w:numFmt w:val="lowerLetter"/>
      <w:lvlText w:val="%2)"/>
      <w:lvlJc w:val="left"/>
      <w:pPr>
        <w:ind w:left="680" w:hanging="340"/>
      </w:pPr>
      <w:rPr>
        <w:rFonts w:hint="default"/>
      </w:rPr>
    </w:lvl>
    <w:lvl w:ilvl="2" w:tplc="10E22ABA">
      <w:start w:val="1"/>
      <w:numFmt w:val="lowerRoman"/>
      <w:pStyle w:val="ListNumber3"/>
      <w:lvlText w:val="%3)"/>
      <w:lvlJc w:val="left"/>
      <w:pPr>
        <w:ind w:left="1020" w:hanging="340"/>
      </w:pPr>
      <w:rPr>
        <w:rFonts w:hint="default"/>
      </w:rPr>
    </w:lvl>
    <w:lvl w:ilvl="3" w:tplc="8B70AEC6">
      <w:start w:val="1"/>
      <w:numFmt w:val="decimal"/>
      <w:lvlText w:val="(%4)"/>
      <w:lvlJc w:val="left"/>
      <w:pPr>
        <w:ind w:left="1360" w:hanging="340"/>
      </w:pPr>
      <w:rPr>
        <w:rFonts w:hint="default"/>
      </w:rPr>
    </w:lvl>
    <w:lvl w:ilvl="4" w:tplc="8692F5E4">
      <w:start w:val="1"/>
      <w:numFmt w:val="lowerLetter"/>
      <w:lvlText w:val="(%5)"/>
      <w:lvlJc w:val="left"/>
      <w:pPr>
        <w:ind w:left="1700" w:hanging="340"/>
      </w:pPr>
      <w:rPr>
        <w:rFonts w:hint="default"/>
      </w:rPr>
    </w:lvl>
    <w:lvl w:ilvl="5" w:tplc="D7903294">
      <w:start w:val="1"/>
      <w:numFmt w:val="lowerRoman"/>
      <w:lvlText w:val="(%6)"/>
      <w:lvlJc w:val="left"/>
      <w:pPr>
        <w:ind w:left="2040" w:hanging="340"/>
      </w:pPr>
      <w:rPr>
        <w:rFonts w:hint="default"/>
      </w:rPr>
    </w:lvl>
    <w:lvl w:ilvl="6" w:tplc="AFA851FA">
      <w:start w:val="1"/>
      <w:numFmt w:val="decimal"/>
      <w:lvlText w:val="%7."/>
      <w:lvlJc w:val="left"/>
      <w:pPr>
        <w:ind w:left="2380" w:hanging="340"/>
      </w:pPr>
      <w:rPr>
        <w:rFonts w:hint="default"/>
      </w:rPr>
    </w:lvl>
    <w:lvl w:ilvl="7" w:tplc="6F9C3734">
      <w:start w:val="1"/>
      <w:numFmt w:val="lowerLetter"/>
      <w:lvlText w:val="%8."/>
      <w:lvlJc w:val="left"/>
      <w:pPr>
        <w:ind w:left="2720" w:hanging="340"/>
      </w:pPr>
      <w:rPr>
        <w:rFonts w:hint="default"/>
      </w:rPr>
    </w:lvl>
    <w:lvl w:ilvl="8" w:tplc="1B04C11A">
      <w:start w:val="1"/>
      <w:numFmt w:val="lowerRoman"/>
      <w:lvlText w:val="%9."/>
      <w:lvlJc w:val="left"/>
      <w:pPr>
        <w:ind w:left="3060" w:hanging="340"/>
      </w:pPr>
      <w:rPr>
        <w:rFonts w:hint="default"/>
      </w:rPr>
    </w:lvl>
  </w:abstractNum>
  <w:abstractNum w:abstractNumId="15" w15:restartNumberingAfterBreak="0">
    <w:nsid w:val="41DD7188"/>
    <w:multiLevelType w:val="hybridMultilevel"/>
    <w:tmpl w:val="9CA29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1578A7"/>
    <w:multiLevelType w:val="hybridMultilevel"/>
    <w:tmpl w:val="E3E2F85E"/>
    <w:lvl w:ilvl="0" w:tplc="17D0EF0C">
      <w:start w:val="1"/>
      <w:numFmt w:val="bullet"/>
      <w:pStyle w:val="ListBullet"/>
      <w:lvlText w:val=""/>
      <w:lvlJc w:val="left"/>
      <w:pPr>
        <w:ind w:left="340" w:hanging="340"/>
      </w:pPr>
      <w:rPr>
        <w:rFonts w:ascii="Symbol" w:hAnsi="Symbol" w:hint="default"/>
        <w:color w:val="auto"/>
      </w:rPr>
    </w:lvl>
    <w:lvl w:ilvl="1" w:tplc="481E3A30">
      <w:start w:val="1"/>
      <w:numFmt w:val="bullet"/>
      <w:lvlText w:val="–"/>
      <w:lvlJc w:val="left"/>
      <w:pPr>
        <w:ind w:left="680" w:hanging="340"/>
      </w:pPr>
      <w:rPr>
        <w:rFonts w:ascii="Verdana" w:hAnsi="Verdana" w:hint="default"/>
      </w:rPr>
    </w:lvl>
    <w:lvl w:ilvl="2" w:tplc="CAD25288">
      <w:start w:val="1"/>
      <w:numFmt w:val="bullet"/>
      <w:lvlText w:val=""/>
      <w:lvlJc w:val="left"/>
      <w:pPr>
        <w:ind w:left="1020" w:hanging="340"/>
      </w:pPr>
      <w:rPr>
        <w:rFonts w:ascii="Symbol" w:hAnsi="Symbol" w:hint="default"/>
        <w:color w:val="auto"/>
      </w:rPr>
    </w:lvl>
    <w:lvl w:ilvl="3" w:tplc="C0FC3B32">
      <w:start w:val="1"/>
      <w:numFmt w:val="bullet"/>
      <w:lvlText w:val="–"/>
      <w:lvlJc w:val="left"/>
      <w:pPr>
        <w:ind w:left="1360" w:hanging="340"/>
      </w:pPr>
      <w:rPr>
        <w:rFonts w:ascii="Verdana" w:hAnsi="Verdana" w:hint="default"/>
      </w:rPr>
    </w:lvl>
    <w:lvl w:ilvl="4" w:tplc="44A016B6">
      <w:start w:val="1"/>
      <w:numFmt w:val="bullet"/>
      <w:lvlText w:val=""/>
      <w:lvlJc w:val="left"/>
      <w:pPr>
        <w:ind w:left="1700" w:hanging="340"/>
      </w:pPr>
      <w:rPr>
        <w:rFonts w:ascii="Symbol" w:hAnsi="Symbol" w:hint="default"/>
      </w:rPr>
    </w:lvl>
    <w:lvl w:ilvl="5" w:tplc="953C84B8">
      <w:start w:val="1"/>
      <w:numFmt w:val="bullet"/>
      <w:lvlText w:val="–"/>
      <w:lvlJc w:val="left"/>
      <w:pPr>
        <w:ind w:left="2040" w:hanging="340"/>
      </w:pPr>
      <w:rPr>
        <w:rFonts w:ascii="Verdana" w:hAnsi="Verdana" w:hint="default"/>
      </w:rPr>
    </w:lvl>
    <w:lvl w:ilvl="6" w:tplc="F05C9A12">
      <w:start w:val="1"/>
      <w:numFmt w:val="bullet"/>
      <w:lvlText w:val=""/>
      <w:lvlJc w:val="left"/>
      <w:pPr>
        <w:ind w:left="2380" w:hanging="340"/>
      </w:pPr>
      <w:rPr>
        <w:rFonts w:ascii="Symbol" w:hAnsi="Symbol" w:hint="default"/>
      </w:rPr>
    </w:lvl>
    <w:lvl w:ilvl="7" w:tplc="193A28C0">
      <w:start w:val="1"/>
      <w:numFmt w:val="bullet"/>
      <w:lvlText w:val="–"/>
      <w:lvlJc w:val="left"/>
      <w:pPr>
        <w:ind w:left="2720" w:hanging="340"/>
      </w:pPr>
      <w:rPr>
        <w:rFonts w:ascii="Verdana" w:hAnsi="Verdana" w:hint="default"/>
      </w:rPr>
    </w:lvl>
    <w:lvl w:ilvl="8" w:tplc="B6989388">
      <w:start w:val="1"/>
      <w:numFmt w:val="bullet"/>
      <w:lvlText w:val=""/>
      <w:lvlJc w:val="left"/>
      <w:pPr>
        <w:ind w:left="3060" w:hanging="340"/>
      </w:pPr>
      <w:rPr>
        <w:rFonts w:ascii="Symbol" w:hAnsi="Symbol" w:hint="default"/>
      </w:rPr>
    </w:lvl>
  </w:abstractNum>
  <w:abstractNum w:abstractNumId="17"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4C0621"/>
    <w:multiLevelType w:val="hybridMultilevel"/>
    <w:tmpl w:val="F24CCF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19" w15:restartNumberingAfterBreak="0">
    <w:nsid w:val="477E6EBC"/>
    <w:multiLevelType w:val="hybridMultilevel"/>
    <w:tmpl w:val="7B98EE74"/>
    <w:lvl w:ilvl="0" w:tplc="449457A6">
      <w:start w:val="1"/>
      <w:numFmt w:val="decimal"/>
      <w:pStyle w:val="Numberslevel1"/>
      <w:lvlText w:val="%1."/>
      <w:lvlJc w:val="left"/>
      <w:pPr>
        <w:ind w:left="360" w:hanging="360"/>
      </w:pPr>
      <w:rPr>
        <w:rFonts w:hint="default"/>
      </w:rPr>
    </w:lvl>
    <w:lvl w:ilvl="1" w:tplc="EB469B7C">
      <w:start w:val="1"/>
      <w:numFmt w:val="lowerLetter"/>
      <w:pStyle w:val="Numberslevel2"/>
      <w:lvlText w:val="%2)"/>
      <w:lvlJc w:val="left"/>
      <w:pPr>
        <w:ind w:left="720" w:hanging="360"/>
      </w:pPr>
      <w:rPr>
        <w:rFonts w:hint="default"/>
      </w:rPr>
    </w:lvl>
    <w:lvl w:ilvl="2" w:tplc="76F2AAB0">
      <w:start w:val="1"/>
      <w:numFmt w:val="lowerRoman"/>
      <w:pStyle w:val="Numberslevel3"/>
      <w:lvlText w:val="%3)"/>
      <w:lvlJc w:val="left"/>
      <w:pPr>
        <w:ind w:left="1080" w:hanging="360"/>
      </w:pPr>
      <w:rPr>
        <w:rFonts w:hint="default"/>
      </w:rPr>
    </w:lvl>
    <w:lvl w:ilvl="3" w:tplc="AEC68F42">
      <w:start w:val="1"/>
      <w:numFmt w:val="decimal"/>
      <w:lvlText w:val="(%4)"/>
      <w:lvlJc w:val="left"/>
      <w:pPr>
        <w:ind w:left="1440" w:hanging="360"/>
      </w:pPr>
      <w:rPr>
        <w:rFonts w:hint="default"/>
      </w:rPr>
    </w:lvl>
    <w:lvl w:ilvl="4" w:tplc="7AD6DB60">
      <w:start w:val="1"/>
      <w:numFmt w:val="lowerLetter"/>
      <w:lvlText w:val="(%5)"/>
      <w:lvlJc w:val="left"/>
      <w:pPr>
        <w:ind w:left="1800" w:hanging="360"/>
      </w:pPr>
      <w:rPr>
        <w:rFonts w:hint="default"/>
      </w:rPr>
    </w:lvl>
    <w:lvl w:ilvl="5" w:tplc="6B84424C">
      <w:start w:val="1"/>
      <w:numFmt w:val="lowerRoman"/>
      <w:lvlText w:val="(%6)"/>
      <w:lvlJc w:val="left"/>
      <w:pPr>
        <w:ind w:left="2160" w:hanging="360"/>
      </w:pPr>
      <w:rPr>
        <w:rFonts w:hint="default"/>
      </w:rPr>
    </w:lvl>
    <w:lvl w:ilvl="6" w:tplc="E890617C">
      <w:start w:val="1"/>
      <w:numFmt w:val="decimal"/>
      <w:lvlText w:val="%7."/>
      <w:lvlJc w:val="left"/>
      <w:pPr>
        <w:ind w:left="2520" w:hanging="360"/>
      </w:pPr>
      <w:rPr>
        <w:rFonts w:hint="default"/>
      </w:rPr>
    </w:lvl>
    <w:lvl w:ilvl="7" w:tplc="4F084010">
      <w:start w:val="1"/>
      <w:numFmt w:val="lowerLetter"/>
      <w:lvlText w:val="%8."/>
      <w:lvlJc w:val="left"/>
      <w:pPr>
        <w:ind w:left="2880" w:hanging="360"/>
      </w:pPr>
      <w:rPr>
        <w:rFonts w:hint="default"/>
      </w:rPr>
    </w:lvl>
    <w:lvl w:ilvl="8" w:tplc="09A8CDC0">
      <w:start w:val="1"/>
      <w:numFmt w:val="lowerRoman"/>
      <w:lvlText w:val="%9."/>
      <w:lvlJc w:val="left"/>
      <w:pPr>
        <w:ind w:left="3240" w:hanging="360"/>
      </w:pPr>
      <w:rPr>
        <w:rFonts w:hint="default"/>
      </w:rPr>
    </w:lvl>
  </w:abstractNum>
  <w:abstractNum w:abstractNumId="20" w15:restartNumberingAfterBreak="0">
    <w:nsid w:val="4C830F83"/>
    <w:multiLevelType w:val="hybridMultilevel"/>
    <w:tmpl w:val="AD869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CE2E8E"/>
    <w:multiLevelType w:val="hybridMultilevel"/>
    <w:tmpl w:val="3D485516"/>
    <w:name w:val="BulletList"/>
    <w:lvl w:ilvl="0" w:tplc="784EDC9A">
      <w:numFmt w:val="none"/>
      <w:lvlText w:val=""/>
      <w:lvlJc w:val="left"/>
      <w:pPr>
        <w:tabs>
          <w:tab w:val="num" w:pos="360"/>
        </w:tabs>
      </w:pPr>
    </w:lvl>
    <w:lvl w:ilvl="1" w:tplc="AB986CA4">
      <w:start w:val="1"/>
      <w:numFmt w:val="bullet"/>
      <w:lvlRestart w:val="0"/>
      <w:lvlText w:val=""/>
      <w:lvlJc w:val="left"/>
      <w:pPr>
        <w:tabs>
          <w:tab w:val="num" w:pos="1134"/>
        </w:tabs>
        <w:ind w:left="1134" w:hanging="567"/>
      </w:pPr>
      <w:rPr>
        <w:rFonts w:ascii="Wingdings 3" w:hAnsi="Wingdings 3" w:hint="default"/>
        <w:b/>
        <w:i w:val="0"/>
        <w:color w:val="931638"/>
        <w:sz w:val="24"/>
      </w:rPr>
    </w:lvl>
    <w:lvl w:ilvl="2" w:tplc="342CE0CE">
      <w:start w:val="1"/>
      <w:numFmt w:val="lowerRoman"/>
      <w:lvlText w:val="%3)"/>
      <w:lvlJc w:val="left"/>
      <w:pPr>
        <w:tabs>
          <w:tab w:val="num" w:pos="1080"/>
        </w:tabs>
        <w:ind w:left="1080" w:hanging="360"/>
      </w:pPr>
    </w:lvl>
    <w:lvl w:ilvl="3" w:tplc="FE26B9D8">
      <w:start w:val="1"/>
      <w:numFmt w:val="decimal"/>
      <w:lvlText w:val="(%4)"/>
      <w:lvlJc w:val="left"/>
      <w:pPr>
        <w:tabs>
          <w:tab w:val="num" w:pos="1440"/>
        </w:tabs>
        <w:ind w:left="1440" w:hanging="360"/>
      </w:pPr>
    </w:lvl>
    <w:lvl w:ilvl="4" w:tplc="24682FCA">
      <w:start w:val="1"/>
      <w:numFmt w:val="lowerLetter"/>
      <w:lvlText w:val="(%5)"/>
      <w:lvlJc w:val="left"/>
      <w:pPr>
        <w:tabs>
          <w:tab w:val="num" w:pos="1800"/>
        </w:tabs>
        <w:ind w:left="1800" w:hanging="360"/>
      </w:pPr>
    </w:lvl>
    <w:lvl w:ilvl="5" w:tplc="C1B4C7A8">
      <w:start w:val="1"/>
      <w:numFmt w:val="lowerRoman"/>
      <w:lvlText w:val="(%6)"/>
      <w:lvlJc w:val="left"/>
      <w:pPr>
        <w:tabs>
          <w:tab w:val="num" w:pos="2160"/>
        </w:tabs>
        <w:ind w:left="2160" w:hanging="360"/>
      </w:pPr>
    </w:lvl>
    <w:lvl w:ilvl="6" w:tplc="F84E4B64">
      <w:start w:val="1"/>
      <w:numFmt w:val="decimal"/>
      <w:lvlText w:val="%7."/>
      <w:lvlJc w:val="left"/>
      <w:pPr>
        <w:tabs>
          <w:tab w:val="num" w:pos="2520"/>
        </w:tabs>
        <w:ind w:left="2520" w:hanging="360"/>
      </w:pPr>
    </w:lvl>
    <w:lvl w:ilvl="7" w:tplc="AD6EF174">
      <w:start w:val="1"/>
      <w:numFmt w:val="lowerLetter"/>
      <w:lvlText w:val="%8."/>
      <w:lvlJc w:val="left"/>
      <w:pPr>
        <w:tabs>
          <w:tab w:val="num" w:pos="2880"/>
        </w:tabs>
        <w:ind w:left="2880" w:hanging="360"/>
      </w:pPr>
    </w:lvl>
    <w:lvl w:ilvl="8" w:tplc="A50097D0">
      <w:start w:val="1"/>
      <w:numFmt w:val="lowerRoman"/>
      <w:lvlText w:val="%9."/>
      <w:lvlJc w:val="left"/>
      <w:pPr>
        <w:tabs>
          <w:tab w:val="num" w:pos="3240"/>
        </w:tabs>
        <w:ind w:left="3240" w:hanging="360"/>
      </w:pPr>
    </w:lvl>
  </w:abstractNum>
  <w:abstractNum w:abstractNumId="22" w15:restartNumberingAfterBreak="0">
    <w:nsid w:val="5AA37217"/>
    <w:multiLevelType w:val="hybridMultilevel"/>
    <w:tmpl w:val="43461EC4"/>
    <w:lvl w:ilvl="0" w:tplc="481E3A30">
      <w:start w:val="1"/>
      <w:numFmt w:val="bullet"/>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C82A40"/>
    <w:multiLevelType w:val="hybridMultilevel"/>
    <w:tmpl w:val="4C221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5" w15:restartNumberingAfterBreak="0">
    <w:nsid w:val="62F46508"/>
    <w:multiLevelType w:val="hybridMultilevel"/>
    <w:tmpl w:val="ABF0BB72"/>
    <w:lvl w:ilvl="0" w:tplc="985C84D2">
      <w:start w:val="1"/>
      <w:numFmt w:val="bullet"/>
      <w:pStyle w:val="ListBullet2"/>
      <w:lvlText w:val="–"/>
      <w:lvlJc w:val="left"/>
      <w:pPr>
        <w:ind w:left="680" w:hanging="340"/>
      </w:pPr>
      <w:rPr>
        <w:rFonts w:ascii="Verdana" w:hAnsi="Verdana" w:hint="default"/>
      </w:rPr>
    </w:lvl>
    <w:lvl w:ilvl="1" w:tplc="05387656">
      <w:start w:val="1"/>
      <w:numFmt w:val="bullet"/>
      <w:lvlText w:val=""/>
      <w:lvlJc w:val="left"/>
      <w:pPr>
        <w:ind w:left="1020" w:hanging="340"/>
      </w:pPr>
      <w:rPr>
        <w:rFonts w:ascii="Symbol" w:hAnsi="Symbol" w:hint="default"/>
      </w:rPr>
    </w:lvl>
    <w:lvl w:ilvl="2" w:tplc="3C8C24BE">
      <w:start w:val="1"/>
      <w:numFmt w:val="bullet"/>
      <w:lvlText w:val="–"/>
      <w:lvlJc w:val="left"/>
      <w:pPr>
        <w:ind w:left="1360" w:hanging="340"/>
      </w:pPr>
      <w:rPr>
        <w:rFonts w:ascii="Verdana" w:hAnsi="Verdana" w:hint="default"/>
      </w:rPr>
    </w:lvl>
    <w:lvl w:ilvl="3" w:tplc="14EC1B50">
      <w:start w:val="1"/>
      <w:numFmt w:val="bullet"/>
      <w:lvlText w:val=""/>
      <w:lvlJc w:val="left"/>
      <w:pPr>
        <w:ind w:left="1700" w:hanging="340"/>
      </w:pPr>
      <w:rPr>
        <w:rFonts w:ascii="Symbol" w:hAnsi="Symbol" w:hint="default"/>
        <w:color w:val="auto"/>
      </w:rPr>
    </w:lvl>
    <w:lvl w:ilvl="4" w:tplc="490A9878">
      <w:start w:val="1"/>
      <w:numFmt w:val="bullet"/>
      <w:lvlText w:val="–"/>
      <w:lvlJc w:val="left"/>
      <w:pPr>
        <w:ind w:left="2040" w:hanging="340"/>
      </w:pPr>
      <w:rPr>
        <w:rFonts w:ascii="Verdana" w:hAnsi="Verdana" w:hint="default"/>
      </w:rPr>
    </w:lvl>
    <w:lvl w:ilvl="5" w:tplc="B84EF640">
      <w:start w:val="1"/>
      <w:numFmt w:val="bullet"/>
      <w:lvlText w:val=""/>
      <w:lvlJc w:val="left"/>
      <w:pPr>
        <w:ind w:left="2380" w:hanging="340"/>
      </w:pPr>
      <w:rPr>
        <w:rFonts w:ascii="Symbol" w:hAnsi="Symbol" w:hint="default"/>
      </w:rPr>
    </w:lvl>
    <w:lvl w:ilvl="6" w:tplc="BC86E08A">
      <w:start w:val="1"/>
      <w:numFmt w:val="bullet"/>
      <w:lvlText w:val="–"/>
      <w:lvlJc w:val="left"/>
      <w:pPr>
        <w:ind w:left="2720" w:hanging="340"/>
      </w:pPr>
      <w:rPr>
        <w:rFonts w:ascii="Verdana" w:hAnsi="Verdana" w:hint="default"/>
      </w:rPr>
    </w:lvl>
    <w:lvl w:ilvl="7" w:tplc="CB2A9CDA">
      <w:start w:val="1"/>
      <w:numFmt w:val="bullet"/>
      <w:lvlText w:val=""/>
      <w:lvlJc w:val="left"/>
      <w:pPr>
        <w:ind w:left="3060" w:hanging="340"/>
      </w:pPr>
      <w:rPr>
        <w:rFonts w:ascii="Symbol" w:hAnsi="Symbol" w:hint="default"/>
      </w:rPr>
    </w:lvl>
    <w:lvl w:ilvl="8" w:tplc="EC9265BE">
      <w:start w:val="1"/>
      <w:numFmt w:val="bullet"/>
      <w:lvlText w:val="–"/>
      <w:lvlJc w:val="left"/>
      <w:pPr>
        <w:ind w:left="3400" w:hanging="340"/>
      </w:pPr>
      <w:rPr>
        <w:rFonts w:ascii="Verdana" w:hAnsi="Verdana" w:hint="default"/>
      </w:rPr>
    </w:lvl>
  </w:abstractNum>
  <w:abstractNum w:abstractNumId="26" w15:restartNumberingAfterBreak="0">
    <w:nsid w:val="6D761BFC"/>
    <w:multiLevelType w:val="hybridMultilevel"/>
    <w:tmpl w:val="922413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13"/>
  </w:num>
  <w:num w:numId="3">
    <w:abstractNumId w:val="4"/>
  </w:num>
  <w:num w:numId="4">
    <w:abstractNumId w:val="3"/>
  </w:num>
  <w:num w:numId="5">
    <w:abstractNumId w:val="1"/>
  </w:num>
  <w:num w:numId="6">
    <w:abstractNumId w:val="0"/>
  </w:num>
  <w:num w:numId="7">
    <w:abstractNumId w:val="19"/>
  </w:num>
  <w:num w:numId="8">
    <w:abstractNumId w:val="17"/>
  </w:num>
  <w:num w:numId="9">
    <w:abstractNumId w:val="24"/>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14"/>
  </w:num>
  <w:num w:numId="15">
    <w:abstractNumId w:val="25"/>
  </w:num>
  <w:num w:numId="16">
    <w:abstractNumId w:val="9"/>
  </w:num>
  <w:num w:numId="17">
    <w:abstractNumId w:val="23"/>
  </w:num>
  <w:num w:numId="18">
    <w:abstractNumId w:val="18"/>
  </w:num>
  <w:num w:numId="19">
    <w:abstractNumId w:val="14"/>
    <w:lvlOverride w:ilvl="0">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8"/>
  </w:num>
  <w:num w:numId="23">
    <w:abstractNumId w:val="16"/>
  </w:num>
  <w:num w:numId="24">
    <w:abstractNumId w:val="16"/>
  </w:num>
  <w:num w:numId="25">
    <w:abstractNumId w:val="10"/>
  </w:num>
  <w:num w:numId="26">
    <w:abstractNumId w:val="13"/>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3"/>
  </w:num>
  <w:num w:numId="30">
    <w:abstractNumId w:val="13"/>
  </w:num>
  <w:num w:numId="31">
    <w:abstractNumId w:val="13"/>
  </w:num>
  <w:num w:numId="32">
    <w:abstractNumId w:val="15"/>
  </w:num>
  <w:num w:numId="33">
    <w:abstractNumId w:val="12"/>
  </w:num>
  <w:num w:numId="34">
    <w:abstractNumId w:val="13"/>
  </w:num>
  <w:num w:numId="35">
    <w:abstractNumId w:val="13"/>
  </w:num>
  <w:num w:numId="36">
    <w:abstractNumId w:val="13"/>
  </w:num>
  <w:num w:numId="37">
    <w:abstractNumId w:val="2"/>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3"/>
  </w:num>
  <w:num w:numId="42">
    <w:abstractNumId w:val="13"/>
  </w:num>
  <w:num w:numId="43">
    <w:abstractNumId w:val="13"/>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14"/>
    <w:lvlOverride w:ilvl="0">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20"/>
  </w:num>
  <w:num w:numId="50">
    <w:abstractNumId w:val="14"/>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131078" w:nlCheck="1" w:checkStyle="1"/>
  <w:defaultTabStop w:val="720"/>
  <w:hyphenationZone w:val="425"/>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01B"/>
    <w:rsid w:val="00000021"/>
    <w:rsid w:val="000001A6"/>
    <w:rsid w:val="000001AA"/>
    <w:rsid w:val="000005FE"/>
    <w:rsid w:val="00000AF5"/>
    <w:rsid w:val="00000B52"/>
    <w:rsid w:val="00000CAD"/>
    <w:rsid w:val="00000DE4"/>
    <w:rsid w:val="00000EA8"/>
    <w:rsid w:val="00000EB3"/>
    <w:rsid w:val="00001066"/>
    <w:rsid w:val="0000126B"/>
    <w:rsid w:val="000013A5"/>
    <w:rsid w:val="0000140D"/>
    <w:rsid w:val="0000143F"/>
    <w:rsid w:val="00001554"/>
    <w:rsid w:val="00001573"/>
    <w:rsid w:val="000015C6"/>
    <w:rsid w:val="0000163C"/>
    <w:rsid w:val="0000164D"/>
    <w:rsid w:val="000016EA"/>
    <w:rsid w:val="000018D9"/>
    <w:rsid w:val="00001998"/>
    <w:rsid w:val="00001AB3"/>
    <w:rsid w:val="00001C30"/>
    <w:rsid w:val="00001CCB"/>
    <w:rsid w:val="00001E39"/>
    <w:rsid w:val="00002082"/>
    <w:rsid w:val="000020FA"/>
    <w:rsid w:val="0000218B"/>
    <w:rsid w:val="0000221A"/>
    <w:rsid w:val="00002380"/>
    <w:rsid w:val="000023B5"/>
    <w:rsid w:val="000024C6"/>
    <w:rsid w:val="0000265D"/>
    <w:rsid w:val="000026FF"/>
    <w:rsid w:val="00002717"/>
    <w:rsid w:val="0000279B"/>
    <w:rsid w:val="00002995"/>
    <w:rsid w:val="000029FB"/>
    <w:rsid w:val="00002AE6"/>
    <w:rsid w:val="00002BA1"/>
    <w:rsid w:val="00003104"/>
    <w:rsid w:val="00003137"/>
    <w:rsid w:val="00003141"/>
    <w:rsid w:val="000032CE"/>
    <w:rsid w:val="00003325"/>
    <w:rsid w:val="0000334E"/>
    <w:rsid w:val="00003604"/>
    <w:rsid w:val="00003652"/>
    <w:rsid w:val="0000368A"/>
    <w:rsid w:val="00003875"/>
    <w:rsid w:val="0000394C"/>
    <w:rsid w:val="00003A24"/>
    <w:rsid w:val="00003A91"/>
    <w:rsid w:val="00003B63"/>
    <w:rsid w:val="00003BB8"/>
    <w:rsid w:val="00003C7D"/>
    <w:rsid w:val="00003DD7"/>
    <w:rsid w:val="00003E27"/>
    <w:rsid w:val="00003E4E"/>
    <w:rsid w:val="00003F26"/>
    <w:rsid w:val="00003FEC"/>
    <w:rsid w:val="00004008"/>
    <w:rsid w:val="000041A6"/>
    <w:rsid w:val="000042B9"/>
    <w:rsid w:val="00004446"/>
    <w:rsid w:val="000046AE"/>
    <w:rsid w:val="00004813"/>
    <w:rsid w:val="000048CD"/>
    <w:rsid w:val="00004950"/>
    <w:rsid w:val="00004B73"/>
    <w:rsid w:val="00004BA2"/>
    <w:rsid w:val="00004C5D"/>
    <w:rsid w:val="00004D0F"/>
    <w:rsid w:val="00004D37"/>
    <w:rsid w:val="00004D66"/>
    <w:rsid w:val="00004EC1"/>
    <w:rsid w:val="00004FFA"/>
    <w:rsid w:val="000050F8"/>
    <w:rsid w:val="0000511D"/>
    <w:rsid w:val="00005359"/>
    <w:rsid w:val="000053FA"/>
    <w:rsid w:val="00005783"/>
    <w:rsid w:val="00005818"/>
    <w:rsid w:val="00005B17"/>
    <w:rsid w:val="00005B4E"/>
    <w:rsid w:val="00005BD0"/>
    <w:rsid w:val="00005C40"/>
    <w:rsid w:val="00005D75"/>
    <w:rsid w:val="0000602D"/>
    <w:rsid w:val="000060B3"/>
    <w:rsid w:val="000060CB"/>
    <w:rsid w:val="00006103"/>
    <w:rsid w:val="000062BC"/>
    <w:rsid w:val="00006369"/>
    <w:rsid w:val="000063C9"/>
    <w:rsid w:val="000063E2"/>
    <w:rsid w:val="000065DD"/>
    <w:rsid w:val="000066E6"/>
    <w:rsid w:val="00006797"/>
    <w:rsid w:val="000069E5"/>
    <w:rsid w:val="00006AA6"/>
    <w:rsid w:val="00006B26"/>
    <w:rsid w:val="00006B8A"/>
    <w:rsid w:val="00006B8B"/>
    <w:rsid w:val="00006D74"/>
    <w:rsid w:val="00006DD8"/>
    <w:rsid w:val="00006FAA"/>
    <w:rsid w:val="000072A8"/>
    <w:rsid w:val="00007388"/>
    <w:rsid w:val="00007526"/>
    <w:rsid w:val="00007556"/>
    <w:rsid w:val="000075EB"/>
    <w:rsid w:val="00007691"/>
    <w:rsid w:val="000078FF"/>
    <w:rsid w:val="00007AE2"/>
    <w:rsid w:val="00007BB4"/>
    <w:rsid w:val="00007BB5"/>
    <w:rsid w:val="00007C36"/>
    <w:rsid w:val="00007C56"/>
    <w:rsid w:val="00007D57"/>
    <w:rsid w:val="00007E15"/>
    <w:rsid w:val="0001010C"/>
    <w:rsid w:val="00010178"/>
    <w:rsid w:val="000102C7"/>
    <w:rsid w:val="000103EA"/>
    <w:rsid w:val="0001046E"/>
    <w:rsid w:val="00010496"/>
    <w:rsid w:val="000104FF"/>
    <w:rsid w:val="00010698"/>
    <w:rsid w:val="00010701"/>
    <w:rsid w:val="00010734"/>
    <w:rsid w:val="00010954"/>
    <w:rsid w:val="00010AF2"/>
    <w:rsid w:val="00010C06"/>
    <w:rsid w:val="00010C37"/>
    <w:rsid w:val="00010C98"/>
    <w:rsid w:val="00010FA6"/>
    <w:rsid w:val="00011048"/>
    <w:rsid w:val="000110C7"/>
    <w:rsid w:val="0001118E"/>
    <w:rsid w:val="000111DD"/>
    <w:rsid w:val="00011246"/>
    <w:rsid w:val="000112B8"/>
    <w:rsid w:val="000113E1"/>
    <w:rsid w:val="000114EA"/>
    <w:rsid w:val="00011573"/>
    <w:rsid w:val="000116B0"/>
    <w:rsid w:val="00011702"/>
    <w:rsid w:val="000118CD"/>
    <w:rsid w:val="00011AED"/>
    <w:rsid w:val="00011B05"/>
    <w:rsid w:val="00011BC5"/>
    <w:rsid w:val="00011F9C"/>
    <w:rsid w:val="00012052"/>
    <w:rsid w:val="00012069"/>
    <w:rsid w:val="00012179"/>
    <w:rsid w:val="000122D0"/>
    <w:rsid w:val="00012467"/>
    <w:rsid w:val="00012484"/>
    <w:rsid w:val="00012633"/>
    <w:rsid w:val="0001267F"/>
    <w:rsid w:val="00012735"/>
    <w:rsid w:val="00012742"/>
    <w:rsid w:val="000127F7"/>
    <w:rsid w:val="000128E9"/>
    <w:rsid w:val="00012EBD"/>
    <w:rsid w:val="00013034"/>
    <w:rsid w:val="00013089"/>
    <w:rsid w:val="00013158"/>
    <w:rsid w:val="000131A3"/>
    <w:rsid w:val="000131F1"/>
    <w:rsid w:val="000132C3"/>
    <w:rsid w:val="00013306"/>
    <w:rsid w:val="000135B4"/>
    <w:rsid w:val="00013669"/>
    <w:rsid w:val="00013881"/>
    <w:rsid w:val="00013917"/>
    <w:rsid w:val="0001397C"/>
    <w:rsid w:val="00013A49"/>
    <w:rsid w:val="00013ABE"/>
    <w:rsid w:val="00013AD3"/>
    <w:rsid w:val="00013D03"/>
    <w:rsid w:val="00013D9B"/>
    <w:rsid w:val="00013E44"/>
    <w:rsid w:val="00014090"/>
    <w:rsid w:val="000140B7"/>
    <w:rsid w:val="00014120"/>
    <w:rsid w:val="00014166"/>
    <w:rsid w:val="0001428C"/>
    <w:rsid w:val="00014400"/>
    <w:rsid w:val="00014437"/>
    <w:rsid w:val="00014483"/>
    <w:rsid w:val="000144ED"/>
    <w:rsid w:val="00014584"/>
    <w:rsid w:val="000146C0"/>
    <w:rsid w:val="000147E8"/>
    <w:rsid w:val="000147EF"/>
    <w:rsid w:val="00014937"/>
    <w:rsid w:val="00014973"/>
    <w:rsid w:val="00014B89"/>
    <w:rsid w:val="00014C82"/>
    <w:rsid w:val="00014D61"/>
    <w:rsid w:val="00014DBD"/>
    <w:rsid w:val="00014F08"/>
    <w:rsid w:val="0001507A"/>
    <w:rsid w:val="00015173"/>
    <w:rsid w:val="00015355"/>
    <w:rsid w:val="00015453"/>
    <w:rsid w:val="00015533"/>
    <w:rsid w:val="0001557B"/>
    <w:rsid w:val="000155FA"/>
    <w:rsid w:val="00015614"/>
    <w:rsid w:val="000157C1"/>
    <w:rsid w:val="00015813"/>
    <w:rsid w:val="00015846"/>
    <w:rsid w:val="00015B49"/>
    <w:rsid w:val="00015C43"/>
    <w:rsid w:val="00015D1A"/>
    <w:rsid w:val="00015F0C"/>
    <w:rsid w:val="00015F20"/>
    <w:rsid w:val="00015F53"/>
    <w:rsid w:val="0001606C"/>
    <w:rsid w:val="00016082"/>
    <w:rsid w:val="00016101"/>
    <w:rsid w:val="0001617D"/>
    <w:rsid w:val="00016218"/>
    <w:rsid w:val="00016287"/>
    <w:rsid w:val="00016341"/>
    <w:rsid w:val="000163B4"/>
    <w:rsid w:val="000165D2"/>
    <w:rsid w:val="0001661F"/>
    <w:rsid w:val="0001671A"/>
    <w:rsid w:val="00016762"/>
    <w:rsid w:val="00016786"/>
    <w:rsid w:val="000167E9"/>
    <w:rsid w:val="00016902"/>
    <w:rsid w:val="00016919"/>
    <w:rsid w:val="00016C3D"/>
    <w:rsid w:val="00016D12"/>
    <w:rsid w:val="00016F24"/>
    <w:rsid w:val="00017078"/>
    <w:rsid w:val="000170A3"/>
    <w:rsid w:val="00017229"/>
    <w:rsid w:val="000173B3"/>
    <w:rsid w:val="0001751A"/>
    <w:rsid w:val="0001772A"/>
    <w:rsid w:val="00017892"/>
    <w:rsid w:val="0001789A"/>
    <w:rsid w:val="00017915"/>
    <w:rsid w:val="00017D93"/>
    <w:rsid w:val="00017F26"/>
    <w:rsid w:val="000200D4"/>
    <w:rsid w:val="000200DD"/>
    <w:rsid w:val="00020111"/>
    <w:rsid w:val="000201D4"/>
    <w:rsid w:val="00020227"/>
    <w:rsid w:val="00020297"/>
    <w:rsid w:val="000202D4"/>
    <w:rsid w:val="00020311"/>
    <w:rsid w:val="00020332"/>
    <w:rsid w:val="000203C9"/>
    <w:rsid w:val="00020425"/>
    <w:rsid w:val="000204AF"/>
    <w:rsid w:val="00020612"/>
    <w:rsid w:val="000206D2"/>
    <w:rsid w:val="00020907"/>
    <w:rsid w:val="00020910"/>
    <w:rsid w:val="00020973"/>
    <w:rsid w:val="00020BB1"/>
    <w:rsid w:val="00020CA8"/>
    <w:rsid w:val="00020D44"/>
    <w:rsid w:val="00020E59"/>
    <w:rsid w:val="00020FC6"/>
    <w:rsid w:val="00021115"/>
    <w:rsid w:val="0002128D"/>
    <w:rsid w:val="00021415"/>
    <w:rsid w:val="0002151E"/>
    <w:rsid w:val="000215FF"/>
    <w:rsid w:val="00021896"/>
    <w:rsid w:val="00021A39"/>
    <w:rsid w:val="00021A48"/>
    <w:rsid w:val="00021A58"/>
    <w:rsid w:val="00021D50"/>
    <w:rsid w:val="00022167"/>
    <w:rsid w:val="000221A8"/>
    <w:rsid w:val="00022546"/>
    <w:rsid w:val="0002254F"/>
    <w:rsid w:val="000225D1"/>
    <w:rsid w:val="0002273C"/>
    <w:rsid w:val="00022922"/>
    <w:rsid w:val="00022928"/>
    <w:rsid w:val="00022963"/>
    <w:rsid w:val="00022E08"/>
    <w:rsid w:val="00022F7D"/>
    <w:rsid w:val="00022F95"/>
    <w:rsid w:val="0002306F"/>
    <w:rsid w:val="00023870"/>
    <w:rsid w:val="0002388A"/>
    <w:rsid w:val="00023A57"/>
    <w:rsid w:val="00023A67"/>
    <w:rsid w:val="00023AA9"/>
    <w:rsid w:val="00023C46"/>
    <w:rsid w:val="00023D5B"/>
    <w:rsid w:val="00023E96"/>
    <w:rsid w:val="000243D2"/>
    <w:rsid w:val="00024493"/>
    <w:rsid w:val="000244B6"/>
    <w:rsid w:val="000244B9"/>
    <w:rsid w:val="000245FD"/>
    <w:rsid w:val="00024702"/>
    <w:rsid w:val="000248E3"/>
    <w:rsid w:val="0002494F"/>
    <w:rsid w:val="00024C3C"/>
    <w:rsid w:val="00024DE6"/>
    <w:rsid w:val="00024E61"/>
    <w:rsid w:val="00024F0C"/>
    <w:rsid w:val="00024F1A"/>
    <w:rsid w:val="00025307"/>
    <w:rsid w:val="00025403"/>
    <w:rsid w:val="000255B3"/>
    <w:rsid w:val="0002580C"/>
    <w:rsid w:val="00025842"/>
    <w:rsid w:val="00025A67"/>
    <w:rsid w:val="00025AF7"/>
    <w:rsid w:val="00025C74"/>
    <w:rsid w:val="00025CEF"/>
    <w:rsid w:val="00025E7D"/>
    <w:rsid w:val="00025EC4"/>
    <w:rsid w:val="00025F72"/>
    <w:rsid w:val="000261B4"/>
    <w:rsid w:val="00026311"/>
    <w:rsid w:val="000264FC"/>
    <w:rsid w:val="000265A6"/>
    <w:rsid w:val="000266E5"/>
    <w:rsid w:val="00026BB3"/>
    <w:rsid w:val="00026CA8"/>
    <w:rsid w:val="00026CE1"/>
    <w:rsid w:val="00026CEF"/>
    <w:rsid w:val="00026D43"/>
    <w:rsid w:val="00026F09"/>
    <w:rsid w:val="000270E1"/>
    <w:rsid w:val="00027357"/>
    <w:rsid w:val="000273DC"/>
    <w:rsid w:val="00027434"/>
    <w:rsid w:val="0002744A"/>
    <w:rsid w:val="00027465"/>
    <w:rsid w:val="000275D7"/>
    <w:rsid w:val="00027678"/>
    <w:rsid w:val="0002769E"/>
    <w:rsid w:val="00027771"/>
    <w:rsid w:val="00027922"/>
    <w:rsid w:val="000279C5"/>
    <w:rsid w:val="00027C6A"/>
    <w:rsid w:val="00027D0C"/>
    <w:rsid w:val="00027D75"/>
    <w:rsid w:val="00027F74"/>
    <w:rsid w:val="0003008C"/>
    <w:rsid w:val="000301C5"/>
    <w:rsid w:val="000302A3"/>
    <w:rsid w:val="00030363"/>
    <w:rsid w:val="00030436"/>
    <w:rsid w:val="00030498"/>
    <w:rsid w:val="0003060C"/>
    <w:rsid w:val="00030659"/>
    <w:rsid w:val="0003066E"/>
    <w:rsid w:val="00030C05"/>
    <w:rsid w:val="00030C70"/>
    <w:rsid w:val="00030CD7"/>
    <w:rsid w:val="00030D18"/>
    <w:rsid w:val="00030D26"/>
    <w:rsid w:val="00030D85"/>
    <w:rsid w:val="00030EAF"/>
    <w:rsid w:val="00030F80"/>
    <w:rsid w:val="00031008"/>
    <w:rsid w:val="000310EB"/>
    <w:rsid w:val="000311EF"/>
    <w:rsid w:val="000313F5"/>
    <w:rsid w:val="000315A2"/>
    <w:rsid w:val="000315C5"/>
    <w:rsid w:val="000315D4"/>
    <w:rsid w:val="000316A8"/>
    <w:rsid w:val="000316CF"/>
    <w:rsid w:val="0003177B"/>
    <w:rsid w:val="000318AA"/>
    <w:rsid w:val="00031942"/>
    <w:rsid w:val="000319FD"/>
    <w:rsid w:val="00031A9C"/>
    <w:rsid w:val="00031CDA"/>
    <w:rsid w:val="00031D64"/>
    <w:rsid w:val="00031EA6"/>
    <w:rsid w:val="00031F08"/>
    <w:rsid w:val="00032126"/>
    <w:rsid w:val="0003213A"/>
    <w:rsid w:val="0003221F"/>
    <w:rsid w:val="00032223"/>
    <w:rsid w:val="000322BE"/>
    <w:rsid w:val="0003262A"/>
    <w:rsid w:val="00032659"/>
    <w:rsid w:val="00032726"/>
    <w:rsid w:val="00032738"/>
    <w:rsid w:val="00032767"/>
    <w:rsid w:val="000327FA"/>
    <w:rsid w:val="000328B3"/>
    <w:rsid w:val="00032969"/>
    <w:rsid w:val="000329E3"/>
    <w:rsid w:val="00032BBB"/>
    <w:rsid w:val="00032C6C"/>
    <w:rsid w:val="00032CB0"/>
    <w:rsid w:val="00032E56"/>
    <w:rsid w:val="00032EFF"/>
    <w:rsid w:val="000330D4"/>
    <w:rsid w:val="000330ED"/>
    <w:rsid w:val="000331AA"/>
    <w:rsid w:val="000332D6"/>
    <w:rsid w:val="00033348"/>
    <w:rsid w:val="00033580"/>
    <w:rsid w:val="000336AD"/>
    <w:rsid w:val="00033744"/>
    <w:rsid w:val="0003384E"/>
    <w:rsid w:val="00033908"/>
    <w:rsid w:val="00033A93"/>
    <w:rsid w:val="00033C8D"/>
    <w:rsid w:val="00033DAB"/>
    <w:rsid w:val="00033DE5"/>
    <w:rsid w:val="00033E6F"/>
    <w:rsid w:val="00033EBA"/>
    <w:rsid w:val="00033EF0"/>
    <w:rsid w:val="00033F6A"/>
    <w:rsid w:val="0003408B"/>
    <w:rsid w:val="000341B1"/>
    <w:rsid w:val="000341CD"/>
    <w:rsid w:val="0003423A"/>
    <w:rsid w:val="000342E5"/>
    <w:rsid w:val="000343E5"/>
    <w:rsid w:val="00034719"/>
    <w:rsid w:val="00034761"/>
    <w:rsid w:val="00034A4C"/>
    <w:rsid w:val="00034AA1"/>
    <w:rsid w:val="00034C2B"/>
    <w:rsid w:val="00034DD6"/>
    <w:rsid w:val="00034E79"/>
    <w:rsid w:val="00034E91"/>
    <w:rsid w:val="00034F69"/>
    <w:rsid w:val="0003500D"/>
    <w:rsid w:val="00035159"/>
    <w:rsid w:val="0003515B"/>
    <w:rsid w:val="00035226"/>
    <w:rsid w:val="00035236"/>
    <w:rsid w:val="0003523F"/>
    <w:rsid w:val="00035386"/>
    <w:rsid w:val="000353F7"/>
    <w:rsid w:val="00035488"/>
    <w:rsid w:val="00035700"/>
    <w:rsid w:val="00035828"/>
    <w:rsid w:val="00035961"/>
    <w:rsid w:val="00035A25"/>
    <w:rsid w:val="00035A8B"/>
    <w:rsid w:val="00035BAB"/>
    <w:rsid w:val="00035BEA"/>
    <w:rsid w:val="00035C35"/>
    <w:rsid w:val="00035DAB"/>
    <w:rsid w:val="00035DBA"/>
    <w:rsid w:val="00035E1A"/>
    <w:rsid w:val="00035E72"/>
    <w:rsid w:val="0003602A"/>
    <w:rsid w:val="0003609B"/>
    <w:rsid w:val="000362B7"/>
    <w:rsid w:val="0003630B"/>
    <w:rsid w:val="00036348"/>
    <w:rsid w:val="00036382"/>
    <w:rsid w:val="00036495"/>
    <w:rsid w:val="00036656"/>
    <w:rsid w:val="00036829"/>
    <w:rsid w:val="00036876"/>
    <w:rsid w:val="00036EB8"/>
    <w:rsid w:val="00036EE4"/>
    <w:rsid w:val="00036F65"/>
    <w:rsid w:val="0003722C"/>
    <w:rsid w:val="0003735A"/>
    <w:rsid w:val="00037382"/>
    <w:rsid w:val="000373CA"/>
    <w:rsid w:val="000373D1"/>
    <w:rsid w:val="0003754C"/>
    <w:rsid w:val="00037843"/>
    <w:rsid w:val="000378BC"/>
    <w:rsid w:val="000378CE"/>
    <w:rsid w:val="000379FF"/>
    <w:rsid w:val="00037C17"/>
    <w:rsid w:val="00037C7F"/>
    <w:rsid w:val="00037E66"/>
    <w:rsid w:val="00037F86"/>
    <w:rsid w:val="000400EE"/>
    <w:rsid w:val="00040132"/>
    <w:rsid w:val="00040146"/>
    <w:rsid w:val="00040215"/>
    <w:rsid w:val="000404B0"/>
    <w:rsid w:val="00040529"/>
    <w:rsid w:val="00040534"/>
    <w:rsid w:val="00040784"/>
    <w:rsid w:val="000407D7"/>
    <w:rsid w:val="00040890"/>
    <w:rsid w:val="000408C1"/>
    <w:rsid w:val="000408C8"/>
    <w:rsid w:val="0004098E"/>
    <w:rsid w:val="000409DF"/>
    <w:rsid w:val="00040B35"/>
    <w:rsid w:val="00040CB9"/>
    <w:rsid w:val="00040CF5"/>
    <w:rsid w:val="00040ED0"/>
    <w:rsid w:val="00040F7B"/>
    <w:rsid w:val="00040FB4"/>
    <w:rsid w:val="000410AD"/>
    <w:rsid w:val="000412DD"/>
    <w:rsid w:val="00041320"/>
    <w:rsid w:val="0004132C"/>
    <w:rsid w:val="0004133C"/>
    <w:rsid w:val="000413C6"/>
    <w:rsid w:val="00041477"/>
    <w:rsid w:val="00041615"/>
    <w:rsid w:val="0004166A"/>
    <w:rsid w:val="00041811"/>
    <w:rsid w:val="00041BEF"/>
    <w:rsid w:val="00041C51"/>
    <w:rsid w:val="00041CF7"/>
    <w:rsid w:val="00041DB4"/>
    <w:rsid w:val="00041EE6"/>
    <w:rsid w:val="00041F69"/>
    <w:rsid w:val="00041F9E"/>
    <w:rsid w:val="00042110"/>
    <w:rsid w:val="000422F2"/>
    <w:rsid w:val="00042349"/>
    <w:rsid w:val="000423CD"/>
    <w:rsid w:val="000427C4"/>
    <w:rsid w:val="00042862"/>
    <w:rsid w:val="000428B0"/>
    <w:rsid w:val="000428C2"/>
    <w:rsid w:val="000429AC"/>
    <w:rsid w:val="00042B33"/>
    <w:rsid w:val="00042B6A"/>
    <w:rsid w:val="00042B99"/>
    <w:rsid w:val="00042CE0"/>
    <w:rsid w:val="00042DAD"/>
    <w:rsid w:val="00042EF7"/>
    <w:rsid w:val="00042FCB"/>
    <w:rsid w:val="00043006"/>
    <w:rsid w:val="00043008"/>
    <w:rsid w:val="00043324"/>
    <w:rsid w:val="000435B1"/>
    <w:rsid w:val="000435F4"/>
    <w:rsid w:val="000437DB"/>
    <w:rsid w:val="00043929"/>
    <w:rsid w:val="000439BA"/>
    <w:rsid w:val="00043B76"/>
    <w:rsid w:val="00043C74"/>
    <w:rsid w:val="00043D43"/>
    <w:rsid w:val="00043DB6"/>
    <w:rsid w:val="00043F60"/>
    <w:rsid w:val="00044332"/>
    <w:rsid w:val="00044436"/>
    <w:rsid w:val="00044497"/>
    <w:rsid w:val="000444BB"/>
    <w:rsid w:val="00044520"/>
    <w:rsid w:val="0004460E"/>
    <w:rsid w:val="00044677"/>
    <w:rsid w:val="00044693"/>
    <w:rsid w:val="00044697"/>
    <w:rsid w:val="00044964"/>
    <w:rsid w:val="00044AFD"/>
    <w:rsid w:val="00044C24"/>
    <w:rsid w:val="00044D8F"/>
    <w:rsid w:val="00044DB4"/>
    <w:rsid w:val="0004524C"/>
    <w:rsid w:val="00045311"/>
    <w:rsid w:val="000454A1"/>
    <w:rsid w:val="00045519"/>
    <w:rsid w:val="00045578"/>
    <w:rsid w:val="00045603"/>
    <w:rsid w:val="000457D9"/>
    <w:rsid w:val="000459AF"/>
    <w:rsid w:val="00045A78"/>
    <w:rsid w:val="00045A7E"/>
    <w:rsid w:val="00045C33"/>
    <w:rsid w:val="00045C3F"/>
    <w:rsid w:val="00045ECD"/>
    <w:rsid w:val="000460AD"/>
    <w:rsid w:val="0004624C"/>
    <w:rsid w:val="00046269"/>
    <w:rsid w:val="0004666F"/>
    <w:rsid w:val="000466C9"/>
    <w:rsid w:val="000466FC"/>
    <w:rsid w:val="0004688F"/>
    <w:rsid w:val="00046B07"/>
    <w:rsid w:val="00046C67"/>
    <w:rsid w:val="00046D94"/>
    <w:rsid w:val="00047019"/>
    <w:rsid w:val="00047181"/>
    <w:rsid w:val="000471A9"/>
    <w:rsid w:val="00047278"/>
    <w:rsid w:val="00047321"/>
    <w:rsid w:val="0004733E"/>
    <w:rsid w:val="000474AA"/>
    <w:rsid w:val="0004760B"/>
    <w:rsid w:val="000477AA"/>
    <w:rsid w:val="000479C8"/>
    <w:rsid w:val="00047A41"/>
    <w:rsid w:val="00047B9D"/>
    <w:rsid w:val="00047CE3"/>
    <w:rsid w:val="00047D2A"/>
    <w:rsid w:val="00047D37"/>
    <w:rsid w:val="00047D95"/>
    <w:rsid w:val="00047D9F"/>
    <w:rsid w:val="00047ED2"/>
    <w:rsid w:val="00047F93"/>
    <w:rsid w:val="00047FC1"/>
    <w:rsid w:val="00047FD1"/>
    <w:rsid w:val="0005006C"/>
    <w:rsid w:val="00050113"/>
    <w:rsid w:val="000502BC"/>
    <w:rsid w:val="0005052C"/>
    <w:rsid w:val="00050571"/>
    <w:rsid w:val="000506E6"/>
    <w:rsid w:val="00050804"/>
    <w:rsid w:val="00050863"/>
    <w:rsid w:val="00050895"/>
    <w:rsid w:val="00050AA8"/>
    <w:rsid w:val="00050AC0"/>
    <w:rsid w:val="00050DA6"/>
    <w:rsid w:val="00050DFD"/>
    <w:rsid w:val="00050E7B"/>
    <w:rsid w:val="00050EAA"/>
    <w:rsid w:val="000511D3"/>
    <w:rsid w:val="000516C4"/>
    <w:rsid w:val="000517C0"/>
    <w:rsid w:val="00051B61"/>
    <w:rsid w:val="00051B93"/>
    <w:rsid w:val="00051F45"/>
    <w:rsid w:val="000520FA"/>
    <w:rsid w:val="00052392"/>
    <w:rsid w:val="000525A6"/>
    <w:rsid w:val="0005266D"/>
    <w:rsid w:val="000526CE"/>
    <w:rsid w:val="00052A13"/>
    <w:rsid w:val="00052CAC"/>
    <w:rsid w:val="00052FC8"/>
    <w:rsid w:val="0005308F"/>
    <w:rsid w:val="000530DA"/>
    <w:rsid w:val="0005311B"/>
    <w:rsid w:val="00053191"/>
    <w:rsid w:val="0005343A"/>
    <w:rsid w:val="00053474"/>
    <w:rsid w:val="000537C5"/>
    <w:rsid w:val="000537ED"/>
    <w:rsid w:val="00053DAE"/>
    <w:rsid w:val="00053EAE"/>
    <w:rsid w:val="00053FB6"/>
    <w:rsid w:val="00054372"/>
    <w:rsid w:val="0005459C"/>
    <w:rsid w:val="0005465B"/>
    <w:rsid w:val="00054715"/>
    <w:rsid w:val="0005494B"/>
    <w:rsid w:val="00054963"/>
    <w:rsid w:val="000549F2"/>
    <w:rsid w:val="00054B3D"/>
    <w:rsid w:val="00054B58"/>
    <w:rsid w:val="00054B66"/>
    <w:rsid w:val="00054C07"/>
    <w:rsid w:val="00054D5E"/>
    <w:rsid w:val="00054EE7"/>
    <w:rsid w:val="00054F6B"/>
    <w:rsid w:val="00054FEB"/>
    <w:rsid w:val="00055093"/>
    <w:rsid w:val="00055131"/>
    <w:rsid w:val="00055328"/>
    <w:rsid w:val="000553CB"/>
    <w:rsid w:val="00055740"/>
    <w:rsid w:val="0005597D"/>
    <w:rsid w:val="00055ABB"/>
    <w:rsid w:val="00055CFC"/>
    <w:rsid w:val="00055D3F"/>
    <w:rsid w:val="00055E1D"/>
    <w:rsid w:val="00055E36"/>
    <w:rsid w:val="00055F94"/>
    <w:rsid w:val="00055FB0"/>
    <w:rsid w:val="0005608E"/>
    <w:rsid w:val="000561A0"/>
    <w:rsid w:val="00056510"/>
    <w:rsid w:val="00056532"/>
    <w:rsid w:val="00056571"/>
    <w:rsid w:val="000565AF"/>
    <w:rsid w:val="0005661D"/>
    <w:rsid w:val="000568C1"/>
    <w:rsid w:val="00056A03"/>
    <w:rsid w:val="00056AFB"/>
    <w:rsid w:val="00056EBC"/>
    <w:rsid w:val="00057110"/>
    <w:rsid w:val="0005726B"/>
    <w:rsid w:val="00057302"/>
    <w:rsid w:val="0005730A"/>
    <w:rsid w:val="0005730B"/>
    <w:rsid w:val="000573A0"/>
    <w:rsid w:val="00057497"/>
    <w:rsid w:val="00057694"/>
    <w:rsid w:val="000576ED"/>
    <w:rsid w:val="0005771E"/>
    <w:rsid w:val="00057C98"/>
    <w:rsid w:val="00057CD8"/>
    <w:rsid w:val="00057FEA"/>
    <w:rsid w:val="00060039"/>
    <w:rsid w:val="000600B0"/>
    <w:rsid w:val="00060198"/>
    <w:rsid w:val="000601A5"/>
    <w:rsid w:val="000601EC"/>
    <w:rsid w:val="0006021D"/>
    <w:rsid w:val="000604DF"/>
    <w:rsid w:val="00060675"/>
    <w:rsid w:val="000607BF"/>
    <w:rsid w:val="000607D2"/>
    <w:rsid w:val="0006091F"/>
    <w:rsid w:val="000609C0"/>
    <w:rsid w:val="000609F0"/>
    <w:rsid w:val="00060A88"/>
    <w:rsid w:val="00060CEB"/>
    <w:rsid w:val="00060D4A"/>
    <w:rsid w:val="00060EB8"/>
    <w:rsid w:val="00060ECE"/>
    <w:rsid w:val="00060ECF"/>
    <w:rsid w:val="00060F95"/>
    <w:rsid w:val="00061217"/>
    <w:rsid w:val="0006132F"/>
    <w:rsid w:val="0006178E"/>
    <w:rsid w:val="000618E4"/>
    <w:rsid w:val="000619CE"/>
    <w:rsid w:val="00061A07"/>
    <w:rsid w:val="00061AAB"/>
    <w:rsid w:val="00061C03"/>
    <w:rsid w:val="00061DCD"/>
    <w:rsid w:val="00061E08"/>
    <w:rsid w:val="00061F92"/>
    <w:rsid w:val="00062109"/>
    <w:rsid w:val="0006217E"/>
    <w:rsid w:val="000623FC"/>
    <w:rsid w:val="00062618"/>
    <w:rsid w:val="00062662"/>
    <w:rsid w:val="0006268D"/>
    <w:rsid w:val="000627C3"/>
    <w:rsid w:val="00062809"/>
    <w:rsid w:val="00062971"/>
    <w:rsid w:val="00062B83"/>
    <w:rsid w:val="00062BB2"/>
    <w:rsid w:val="00062E15"/>
    <w:rsid w:val="00062E43"/>
    <w:rsid w:val="00062F82"/>
    <w:rsid w:val="00062F91"/>
    <w:rsid w:val="0006317E"/>
    <w:rsid w:val="0006335D"/>
    <w:rsid w:val="000637A6"/>
    <w:rsid w:val="00063971"/>
    <w:rsid w:val="000639C6"/>
    <w:rsid w:val="00063A80"/>
    <w:rsid w:val="00063AB7"/>
    <w:rsid w:val="00063B5C"/>
    <w:rsid w:val="00063CAF"/>
    <w:rsid w:val="0006420F"/>
    <w:rsid w:val="00064312"/>
    <w:rsid w:val="0006446B"/>
    <w:rsid w:val="00064547"/>
    <w:rsid w:val="00064996"/>
    <w:rsid w:val="00064A77"/>
    <w:rsid w:val="00064AD9"/>
    <w:rsid w:val="00064E09"/>
    <w:rsid w:val="00064FC9"/>
    <w:rsid w:val="000650A3"/>
    <w:rsid w:val="000650CD"/>
    <w:rsid w:val="000651B8"/>
    <w:rsid w:val="0006524E"/>
    <w:rsid w:val="0006534C"/>
    <w:rsid w:val="00065491"/>
    <w:rsid w:val="000655D5"/>
    <w:rsid w:val="000655FB"/>
    <w:rsid w:val="00065728"/>
    <w:rsid w:val="0006577F"/>
    <w:rsid w:val="000657A2"/>
    <w:rsid w:val="000657AF"/>
    <w:rsid w:val="000657F9"/>
    <w:rsid w:val="0006587A"/>
    <w:rsid w:val="00065C60"/>
    <w:rsid w:val="00065D26"/>
    <w:rsid w:val="00065E61"/>
    <w:rsid w:val="00065EFF"/>
    <w:rsid w:val="00065F56"/>
    <w:rsid w:val="00066006"/>
    <w:rsid w:val="00066208"/>
    <w:rsid w:val="00066243"/>
    <w:rsid w:val="000662FF"/>
    <w:rsid w:val="000663E4"/>
    <w:rsid w:val="0006683D"/>
    <w:rsid w:val="000668CA"/>
    <w:rsid w:val="000668DF"/>
    <w:rsid w:val="000668EE"/>
    <w:rsid w:val="00066A9E"/>
    <w:rsid w:val="00066BBA"/>
    <w:rsid w:val="00066BFA"/>
    <w:rsid w:val="00066D7F"/>
    <w:rsid w:val="00066DE0"/>
    <w:rsid w:val="000671C3"/>
    <w:rsid w:val="0006720D"/>
    <w:rsid w:val="000672C5"/>
    <w:rsid w:val="0006739F"/>
    <w:rsid w:val="000675C9"/>
    <w:rsid w:val="00067614"/>
    <w:rsid w:val="00067703"/>
    <w:rsid w:val="00067738"/>
    <w:rsid w:val="00067790"/>
    <w:rsid w:val="000677E9"/>
    <w:rsid w:val="00067810"/>
    <w:rsid w:val="00067874"/>
    <w:rsid w:val="00067A91"/>
    <w:rsid w:val="00067BA0"/>
    <w:rsid w:val="00067C36"/>
    <w:rsid w:val="00067D8B"/>
    <w:rsid w:val="00067E39"/>
    <w:rsid w:val="000700EC"/>
    <w:rsid w:val="000701F7"/>
    <w:rsid w:val="000704E9"/>
    <w:rsid w:val="00070542"/>
    <w:rsid w:val="000705AE"/>
    <w:rsid w:val="00070606"/>
    <w:rsid w:val="00070706"/>
    <w:rsid w:val="0007082D"/>
    <w:rsid w:val="000708BA"/>
    <w:rsid w:val="00070945"/>
    <w:rsid w:val="00070B03"/>
    <w:rsid w:val="00070C71"/>
    <w:rsid w:val="00070C7E"/>
    <w:rsid w:val="00070DC5"/>
    <w:rsid w:val="00070DF7"/>
    <w:rsid w:val="00070EB9"/>
    <w:rsid w:val="00070EF4"/>
    <w:rsid w:val="0007117D"/>
    <w:rsid w:val="00071233"/>
    <w:rsid w:val="00071243"/>
    <w:rsid w:val="00071323"/>
    <w:rsid w:val="00071509"/>
    <w:rsid w:val="000716F4"/>
    <w:rsid w:val="0007170D"/>
    <w:rsid w:val="00071802"/>
    <w:rsid w:val="0007182A"/>
    <w:rsid w:val="000719F7"/>
    <w:rsid w:val="00071B30"/>
    <w:rsid w:val="00071BA5"/>
    <w:rsid w:val="00071C93"/>
    <w:rsid w:val="00071D80"/>
    <w:rsid w:val="00071F88"/>
    <w:rsid w:val="00072058"/>
    <w:rsid w:val="0007215B"/>
    <w:rsid w:val="00072236"/>
    <w:rsid w:val="00072300"/>
    <w:rsid w:val="000723A0"/>
    <w:rsid w:val="00072690"/>
    <w:rsid w:val="00072859"/>
    <w:rsid w:val="00072973"/>
    <w:rsid w:val="000729EC"/>
    <w:rsid w:val="00072C9A"/>
    <w:rsid w:val="00072D6A"/>
    <w:rsid w:val="00072E4D"/>
    <w:rsid w:val="00072E90"/>
    <w:rsid w:val="00072F5E"/>
    <w:rsid w:val="000731CE"/>
    <w:rsid w:val="00073211"/>
    <w:rsid w:val="0007321B"/>
    <w:rsid w:val="00073468"/>
    <w:rsid w:val="00073500"/>
    <w:rsid w:val="00073798"/>
    <w:rsid w:val="000739BE"/>
    <w:rsid w:val="00073AAC"/>
    <w:rsid w:val="00073BE1"/>
    <w:rsid w:val="00073C2F"/>
    <w:rsid w:val="00073C4D"/>
    <w:rsid w:val="00073C9D"/>
    <w:rsid w:val="00073D43"/>
    <w:rsid w:val="00073D6E"/>
    <w:rsid w:val="00073FAB"/>
    <w:rsid w:val="000740DB"/>
    <w:rsid w:val="000744C2"/>
    <w:rsid w:val="000745E7"/>
    <w:rsid w:val="00074648"/>
    <w:rsid w:val="00074800"/>
    <w:rsid w:val="0007486F"/>
    <w:rsid w:val="00074876"/>
    <w:rsid w:val="00074D98"/>
    <w:rsid w:val="00074DB8"/>
    <w:rsid w:val="00074DF3"/>
    <w:rsid w:val="00074EC2"/>
    <w:rsid w:val="00075531"/>
    <w:rsid w:val="0007597D"/>
    <w:rsid w:val="000759F7"/>
    <w:rsid w:val="00075A4A"/>
    <w:rsid w:val="00075AE7"/>
    <w:rsid w:val="00075B25"/>
    <w:rsid w:val="00075BC1"/>
    <w:rsid w:val="00075C8E"/>
    <w:rsid w:val="00075D7D"/>
    <w:rsid w:val="00075DB7"/>
    <w:rsid w:val="00075EBD"/>
    <w:rsid w:val="00075F06"/>
    <w:rsid w:val="00076127"/>
    <w:rsid w:val="00076165"/>
    <w:rsid w:val="00076221"/>
    <w:rsid w:val="00076294"/>
    <w:rsid w:val="0007632B"/>
    <w:rsid w:val="00076332"/>
    <w:rsid w:val="0007661D"/>
    <w:rsid w:val="00076928"/>
    <w:rsid w:val="000769D5"/>
    <w:rsid w:val="00076AA2"/>
    <w:rsid w:val="00076ADF"/>
    <w:rsid w:val="00076F98"/>
    <w:rsid w:val="000771E4"/>
    <w:rsid w:val="000772E1"/>
    <w:rsid w:val="000773B5"/>
    <w:rsid w:val="000773DF"/>
    <w:rsid w:val="000776F0"/>
    <w:rsid w:val="00077809"/>
    <w:rsid w:val="0007782C"/>
    <w:rsid w:val="00077B3D"/>
    <w:rsid w:val="00077D84"/>
    <w:rsid w:val="00077EA4"/>
    <w:rsid w:val="00077F2A"/>
    <w:rsid w:val="0007D4B7"/>
    <w:rsid w:val="0008029D"/>
    <w:rsid w:val="0008056F"/>
    <w:rsid w:val="000805F3"/>
    <w:rsid w:val="000807C5"/>
    <w:rsid w:val="00080AD4"/>
    <w:rsid w:val="00080D24"/>
    <w:rsid w:val="00080D4B"/>
    <w:rsid w:val="00080EA2"/>
    <w:rsid w:val="00080F18"/>
    <w:rsid w:val="00080F47"/>
    <w:rsid w:val="00081192"/>
    <w:rsid w:val="000812C5"/>
    <w:rsid w:val="00081396"/>
    <w:rsid w:val="000814B8"/>
    <w:rsid w:val="000815C9"/>
    <w:rsid w:val="00081623"/>
    <w:rsid w:val="00081660"/>
    <w:rsid w:val="000816A7"/>
    <w:rsid w:val="00081792"/>
    <w:rsid w:val="000819DE"/>
    <w:rsid w:val="00081AFF"/>
    <w:rsid w:val="00081B1E"/>
    <w:rsid w:val="00081D59"/>
    <w:rsid w:val="00081DE3"/>
    <w:rsid w:val="00081E4A"/>
    <w:rsid w:val="00082091"/>
    <w:rsid w:val="00082131"/>
    <w:rsid w:val="0008227A"/>
    <w:rsid w:val="0008231E"/>
    <w:rsid w:val="00082337"/>
    <w:rsid w:val="0008251F"/>
    <w:rsid w:val="00082662"/>
    <w:rsid w:val="00082789"/>
    <w:rsid w:val="000828DB"/>
    <w:rsid w:val="000828E8"/>
    <w:rsid w:val="000828FF"/>
    <w:rsid w:val="00082A0F"/>
    <w:rsid w:val="00082B8E"/>
    <w:rsid w:val="00082C42"/>
    <w:rsid w:val="00082C63"/>
    <w:rsid w:val="00082E28"/>
    <w:rsid w:val="00082FC9"/>
    <w:rsid w:val="00083112"/>
    <w:rsid w:val="00083131"/>
    <w:rsid w:val="0008318B"/>
    <w:rsid w:val="00083365"/>
    <w:rsid w:val="000833D8"/>
    <w:rsid w:val="00083597"/>
    <w:rsid w:val="00083681"/>
    <w:rsid w:val="000839C7"/>
    <w:rsid w:val="00083A4A"/>
    <w:rsid w:val="00083CB0"/>
    <w:rsid w:val="00083CEF"/>
    <w:rsid w:val="00083DD5"/>
    <w:rsid w:val="00083FCA"/>
    <w:rsid w:val="000840FE"/>
    <w:rsid w:val="000841EB"/>
    <w:rsid w:val="00084334"/>
    <w:rsid w:val="00084421"/>
    <w:rsid w:val="00084490"/>
    <w:rsid w:val="000844E1"/>
    <w:rsid w:val="0008451F"/>
    <w:rsid w:val="00084696"/>
    <w:rsid w:val="0008474C"/>
    <w:rsid w:val="0008474D"/>
    <w:rsid w:val="0008475B"/>
    <w:rsid w:val="000847B9"/>
    <w:rsid w:val="000847C6"/>
    <w:rsid w:val="000848A7"/>
    <w:rsid w:val="00084979"/>
    <w:rsid w:val="00084A5E"/>
    <w:rsid w:val="00084C10"/>
    <w:rsid w:val="00084D73"/>
    <w:rsid w:val="00084E08"/>
    <w:rsid w:val="00084ECF"/>
    <w:rsid w:val="00085030"/>
    <w:rsid w:val="0008527D"/>
    <w:rsid w:val="0008536F"/>
    <w:rsid w:val="00085583"/>
    <w:rsid w:val="00085643"/>
    <w:rsid w:val="00085721"/>
    <w:rsid w:val="00085797"/>
    <w:rsid w:val="000857A9"/>
    <w:rsid w:val="00085905"/>
    <w:rsid w:val="0008591C"/>
    <w:rsid w:val="000859C1"/>
    <w:rsid w:val="00085AFE"/>
    <w:rsid w:val="00085BC6"/>
    <w:rsid w:val="00086072"/>
    <w:rsid w:val="00086100"/>
    <w:rsid w:val="00086202"/>
    <w:rsid w:val="000862C1"/>
    <w:rsid w:val="000862D4"/>
    <w:rsid w:val="00086338"/>
    <w:rsid w:val="00086357"/>
    <w:rsid w:val="000863B1"/>
    <w:rsid w:val="000865A7"/>
    <w:rsid w:val="000866F3"/>
    <w:rsid w:val="00086716"/>
    <w:rsid w:val="00086752"/>
    <w:rsid w:val="00086762"/>
    <w:rsid w:val="000869A8"/>
    <w:rsid w:val="000869B1"/>
    <w:rsid w:val="00086A21"/>
    <w:rsid w:val="00086D67"/>
    <w:rsid w:val="00086D6E"/>
    <w:rsid w:val="00086F41"/>
    <w:rsid w:val="00086FBE"/>
    <w:rsid w:val="0008715B"/>
    <w:rsid w:val="0008741B"/>
    <w:rsid w:val="000874E0"/>
    <w:rsid w:val="000874EB"/>
    <w:rsid w:val="000876E0"/>
    <w:rsid w:val="000878B7"/>
    <w:rsid w:val="00087937"/>
    <w:rsid w:val="00087DB0"/>
    <w:rsid w:val="00090101"/>
    <w:rsid w:val="0009028F"/>
    <w:rsid w:val="000902AA"/>
    <w:rsid w:val="00090370"/>
    <w:rsid w:val="00090374"/>
    <w:rsid w:val="000903EF"/>
    <w:rsid w:val="0009053B"/>
    <w:rsid w:val="0009058B"/>
    <w:rsid w:val="00090660"/>
    <w:rsid w:val="00090842"/>
    <w:rsid w:val="0009084A"/>
    <w:rsid w:val="000908C6"/>
    <w:rsid w:val="00090CD9"/>
    <w:rsid w:val="00091050"/>
    <w:rsid w:val="00091066"/>
    <w:rsid w:val="00091100"/>
    <w:rsid w:val="00091551"/>
    <w:rsid w:val="000917A7"/>
    <w:rsid w:val="00091912"/>
    <w:rsid w:val="00091A27"/>
    <w:rsid w:val="00091C42"/>
    <w:rsid w:val="00091C52"/>
    <w:rsid w:val="00091E1E"/>
    <w:rsid w:val="00091E47"/>
    <w:rsid w:val="00091E83"/>
    <w:rsid w:val="00091EE8"/>
    <w:rsid w:val="000922E5"/>
    <w:rsid w:val="00092341"/>
    <w:rsid w:val="00092356"/>
    <w:rsid w:val="000925F2"/>
    <w:rsid w:val="00092673"/>
    <w:rsid w:val="0009268F"/>
    <w:rsid w:val="00092708"/>
    <w:rsid w:val="00092731"/>
    <w:rsid w:val="000928CC"/>
    <w:rsid w:val="000928DE"/>
    <w:rsid w:val="00092986"/>
    <w:rsid w:val="00092AB8"/>
    <w:rsid w:val="00092EB0"/>
    <w:rsid w:val="0009306D"/>
    <w:rsid w:val="000931E1"/>
    <w:rsid w:val="000933EC"/>
    <w:rsid w:val="00093621"/>
    <w:rsid w:val="000936CD"/>
    <w:rsid w:val="0009385E"/>
    <w:rsid w:val="000938C4"/>
    <w:rsid w:val="00093B15"/>
    <w:rsid w:val="00093C79"/>
    <w:rsid w:val="00093CDB"/>
    <w:rsid w:val="00093DAC"/>
    <w:rsid w:val="000940AB"/>
    <w:rsid w:val="000940FE"/>
    <w:rsid w:val="000941AE"/>
    <w:rsid w:val="000943B2"/>
    <w:rsid w:val="000943E0"/>
    <w:rsid w:val="000944DB"/>
    <w:rsid w:val="00094518"/>
    <w:rsid w:val="00094550"/>
    <w:rsid w:val="000945D2"/>
    <w:rsid w:val="000946A3"/>
    <w:rsid w:val="000946DA"/>
    <w:rsid w:val="0009478D"/>
    <w:rsid w:val="0009479B"/>
    <w:rsid w:val="000947F1"/>
    <w:rsid w:val="00094A86"/>
    <w:rsid w:val="00094C8D"/>
    <w:rsid w:val="00094D40"/>
    <w:rsid w:val="00094F7F"/>
    <w:rsid w:val="00095026"/>
    <w:rsid w:val="00095170"/>
    <w:rsid w:val="000951D5"/>
    <w:rsid w:val="0009521B"/>
    <w:rsid w:val="00095317"/>
    <w:rsid w:val="00095343"/>
    <w:rsid w:val="0009539C"/>
    <w:rsid w:val="000957B9"/>
    <w:rsid w:val="000957E8"/>
    <w:rsid w:val="0009580D"/>
    <w:rsid w:val="00095976"/>
    <w:rsid w:val="00095B27"/>
    <w:rsid w:val="00095CF3"/>
    <w:rsid w:val="00095F00"/>
    <w:rsid w:val="0009608A"/>
    <w:rsid w:val="0009618C"/>
    <w:rsid w:val="000961D8"/>
    <w:rsid w:val="00096503"/>
    <w:rsid w:val="000965A8"/>
    <w:rsid w:val="000965BA"/>
    <w:rsid w:val="00096725"/>
    <w:rsid w:val="000967E8"/>
    <w:rsid w:val="0009697D"/>
    <w:rsid w:val="0009698C"/>
    <w:rsid w:val="000969CF"/>
    <w:rsid w:val="00096CC9"/>
    <w:rsid w:val="00096D3A"/>
    <w:rsid w:val="00096E4A"/>
    <w:rsid w:val="00097034"/>
    <w:rsid w:val="00097063"/>
    <w:rsid w:val="00097181"/>
    <w:rsid w:val="00097225"/>
    <w:rsid w:val="00097316"/>
    <w:rsid w:val="00097355"/>
    <w:rsid w:val="000973AC"/>
    <w:rsid w:val="000974CF"/>
    <w:rsid w:val="00097510"/>
    <w:rsid w:val="000978AA"/>
    <w:rsid w:val="000978DC"/>
    <w:rsid w:val="0009790B"/>
    <w:rsid w:val="0009795C"/>
    <w:rsid w:val="00097A33"/>
    <w:rsid w:val="00097A6D"/>
    <w:rsid w:val="00097BD4"/>
    <w:rsid w:val="00097C26"/>
    <w:rsid w:val="00097DCF"/>
    <w:rsid w:val="00097DF3"/>
    <w:rsid w:val="00097E04"/>
    <w:rsid w:val="000A012B"/>
    <w:rsid w:val="000A0205"/>
    <w:rsid w:val="000A0226"/>
    <w:rsid w:val="000A024C"/>
    <w:rsid w:val="000A0277"/>
    <w:rsid w:val="000A029F"/>
    <w:rsid w:val="000A02C3"/>
    <w:rsid w:val="000A0317"/>
    <w:rsid w:val="000A03CC"/>
    <w:rsid w:val="000A05A4"/>
    <w:rsid w:val="000A06D1"/>
    <w:rsid w:val="000A0709"/>
    <w:rsid w:val="000A0727"/>
    <w:rsid w:val="000A0822"/>
    <w:rsid w:val="000A092F"/>
    <w:rsid w:val="000A0996"/>
    <w:rsid w:val="000A0E0D"/>
    <w:rsid w:val="000A0EB2"/>
    <w:rsid w:val="000A0F49"/>
    <w:rsid w:val="000A0F4C"/>
    <w:rsid w:val="000A0F69"/>
    <w:rsid w:val="000A0FC5"/>
    <w:rsid w:val="000A0FDC"/>
    <w:rsid w:val="000A110D"/>
    <w:rsid w:val="000A1653"/>
    <w:rsid w:val="000A16A4"/>
    <w:rsid w:val="000A180B"/>
    <w:rsid w:val="000A18A9"/>
    <w:rsid w:val="000A19D6"/>
    <w:rsid w:val="000A1B3F"/>
    <w:rsid w:val="000A1BBC"/>
    <w:rsid w:val="000A1BEE"/>
    <w:rsid w:val="000A1D18"/>
    <w:rsid w:val="000A1E61"/>
    <w:rsid w:val="000A1E97"/>
    <w:rsid w:val="000A1F3A"/>
    <w:rsid w:val="000A2007"/>
    <w:rsid w:val="000A2225"/>
    <w:rsid w:val="000A2243"/>
    <w:rsid w:val="000A2329"/>
    <w:rsid w:val="000A2598"/>
    <w:rsid w:val="000A2702"/>
    <w:rsid w:val="000A27EE"/>
    <w:rsid w:val="000A2830"/>
    <w:rsid w:val="000A2922"/>
    <w:rsid w:val="000A2A4A"/>
    <w:rsid w:val="000A2C7D"/>
    <w:rsid w:val="000A2E5A"/>
    <w:rsid w:val="000A3076"/>
    <w:rsid w:val="000A32A8"/>
    <w:rsid w:val="000A3347"/>
    <w:rsid w:val="000A3426"/>
    <w:rsid w:val="000A34A8"/>
    <w:rsid w:val="000A34D0"/>
    <w:rsid w:val="000A3523"/>
    <w:rsid w:val="000A358B"/>
    <w:rsid w:val="000A3655"/>
    <w:rsid w:val="000A37BF"/>
    <w:rsid w:val="000A37D8"/>
    <w:rsid w:val="000A3884"/>
    <w:rsid w:val="000A3938"/>
    <w:rsid w:val="000A3954"/>
    <w:rsid w:val="000A3CAE"/>
    <w:rsid w:val="000A3CE5"/>
    <w:rsid w:val="000A3D22"/>
    <w:rsid w:val="000A3F20"/>
    <w:rsid w:val="000A3F48"/>
    <w:rsid w:val="000A3F7B"/>
    <w:rsid w:val="000A40AD"/>
    <w:rsid w:val="000A4524"/>
    <w:rsid w:val="000A4682"/>
    <w:rsid w:val="000A46A9"/>
    <w:rsid w:val="000A46B2"/>
    <w:rsid w:val="000A46D3"/>
    <w:rsid w:val="000A4717"/>
    <w:rsid w:val="000A4843"/>
    <w:rsid w:val="000A4A2B"/>
    <w:rsid w:val="000A4A7F"/>
    <w:rsid w:val="000A4B00"/>
    <w:rsid w:val="000A4C81"/>
    <w:rsid w:val="000A4D19"/>
    <w:rsid w:val="000A4D8C"/>
    <w:rsid w:val="000A4E35"/>
    <w:rsid w:val="000A4E6E"/>
    <w:rsid w:val="000A4EAF"/>
    <w:rsid w:val="000A4F85"/>
    <w:rsid w:val="000A5252"/>
    <w:rsid w:val="000A5301"/>
    <w:rsid w:val="000A5598"/>
    <w:rsid w:val="000A589E"/>
    <w:rsid w:val="000A5ADE"/>
    <w:rsid w:val="000A5B12"/>
    <w:rsid w:val="000A5C2A"/>
    <w:rsid w:val="000A5DB5"/>
    <w:rsid w:val="000A5EBA"/>
    <w:rsid w:val="000A602E"/>
    <w:rsid w:val="000A603E"/>
    <w:rsid w:val="000A6076"/>
    <w:rsid w:val="000A6089"/>
    <w:rsid w:val="000A6381"/>
    <w:rsid w:val="000A63AE"/>
    <w:rsid w:val="000A63CC"/>
    <w:rsid w:val="000A65AC"/>
    <w:rsid w:val="000A6655"/>
    <w:rsid w:val="000A67A1"/>
    <w:rsid w:val="000A6800"/>
    <w:rsid w:val="000A687D"/>
    <w:rsid w:val="000A689A"/>
    <w:rsid w:val="000A6D6D"/>
    <w:rsid w:val="000A6F32"/>
    <w:rsid w:val="000A71F5"/>
    <w:rsid w:val="000A7234"/>
    <w:rsid w:val="000A7246"/>
    <w:rsid w:val="000A753F"/>
    <w:rsid w:val="000A75EB"/>
    <w:rsid w:val="000A7672"/>
    <w:rsid w:val="000A76DE"/>
    <w:rsid w:val="000A780F"/>
    <w:rsid w:val="000A7847"/>
    <w:rsid w:val="000A787E"/>
    <w:rsid w:val="000A7996"/>
    <w:rsid w:val="000A7D76"/>
    <w:rsid w:val="000A7D94"/>
    <w:rsid w:val="000A7F05"/>
    <w:rsid w:val="000B0030"/>
    <w:rsid w:val="000B00C2"/>
    <w:rsid w:val="000B00F4"/>
    <w:rsid w:val="000B01A7"/>
    <w:rsid w:val="000B0342"/>
    <w:rsid w:val="000B05DE"/>
    <w:rsid w:val="000B066F"/>
    <w:rsid w:val="000B0903"/>
    <w:rsid w:val="000B0A7D"/>
    <w:rsid w:val="000B0A92"/>
    <w:rsid w:val="000B0AC8"/>
    <w:rsid w:val="000B0B34"/>
    <w:rsid w:val="000B0B44"/>
    <w:rsid w:val="000B0BDE"/>
    <w:rsid w:val="000B0C4E"/>
    <w:rsid w:val="000B0DDB"/>
    <w:rsid w:val="000B0E1A"/>
    <w:rsid w:val="000B0E65"/>
    <w:rsid w:val="000B10F5"/>
    <w:rsid w:val="000B1343"/>
    <w:rsid w:val="000B136C"/>
    <w:rsid w:val="000B146B"/>
    <w:rsid w:val="000B14DF"/>
    <w:rsid w:val="000B14E8"/>
    <w:rsid w:val="000B1566"/>
    <w:rsid w:val="000B1617"/>
    <w:rsid w:val="000B1657"/>
    <w:rsid w:val="000B1A8A"/>
    <w:rsid w:val="000B1B56"/>
    <w:rsid w:val="000B1C12"/>
    <w:rsid w:val="000B1D0C"/>
    <w:rsid w:val="000B1D58"/>
    <w:rsid w:val="000B1F03"/>
    <w:rsid w:val="000B1F0C"/>
    <w:rsid w:val="000B1F47"/>
    <w:rsid w:val="000B209D"/>
    <w:rsid w:val="000B2648"/>
    <w:rsid w:val="000B2671"/>
    <w:rsid w:val="000B2853"/>
    <w:rsid w:val="000B28F4"/>
    <w:rsid w:val="000B2A79"/>
    <w:rsid w:val="000B2A7E"/>
    <w:rsid w:val="000B2AD0"/>
    <w:rsid w:val="000B2AF1"/>
    <w:rsid w:val="000B2DE8"/>
    <w:rsid w:val="000B2E3C"/>
    <w:rsid w:val="000B303C"/>
    <w:rsid w:val="000B3135"/>
    <w:rsid w:val="000B347F"/>
    <w:rsid w:val="000B3561"/>
    <w:rsid w:val="000B3639"/>
    <w:rsid w:val="000B3703"/>
    <w:rsid w:val="000B370B"/>
    <w:rsid w:val="000B39F4"/>
    <w:rsid w:val="000B3A3A"/>
    <w:rsid w:val="000B3AA2"/>
    <w:rsid w:val="000B3B98"/>
    <w:rsid w:val="000B3C61"/>
    <w:rsid w:val="000B3E1F"/>
    <w:rsid w:val="000B3EAE"/>
    <w:rsid w:val="000B3F43"/>
    <w:rsid w:val="000B3FB7"/>
    <w:rsid w:val="000B408E"/>
    <w:rsid w:val="000B40A9"/>
    <w:rsid w:val="000B40C0"/>
    <w:rsid w:val="000B4144"/>
    <w:rsid w:val="000B4153"/>
    <w:rsid w:val="000B41CC"/>
    <w:rsid w:val="000B4248"/>
    <w:rsid w:val="000B42BE"/>
    <w:rsid w:val="000B4472"/>
    <w:rsid w:val="000B46CD"/>
    <w:rsid w:val="000B4802"/>
    <w:rsid w:val="000B4996"/>
    <w:rsid w:val="000B4A80"/>
    <w:rsid w:val="000B4ACE"/>
    <w:rsid w:val="000B4C24"/>
    <w:rsid w:val="000B4D53"/>
    <w:rsid w:val="000B4E00"/>
    <w:rsid w:val="000B4E97"/>
    <w:rsid w:val="000B5085"/>
    <w:rsid w:val="000B5106"/>
    <w:rsid w:val="000B52E2"/>
    <w:rsid w:val="000B56B3"/>
    <w:rsid w:val="000B5757"/>
    <w:rsid w:val="000B57C8"/>
    <w:rsid w:val="000B5A34"/>
    <w:rsid w:val="000B5B51"/>
    <w:rsid w:val="000B5C43"/>
    <w:rsid w:val="000B5D0E"/>
    <w:rsid w:val="000B5E27"/>
    <w:rsid w:val="000B5F34"/>
    <w:rsid w:val="000B6287"/>
    <w:rsid w:val="000B63D3"/>
    <w:rsid w:val="000B643F"/>
    <w:rsid w:val="000B647B"/>
    <w:rsid w:val="000B66C2"/>
    <w:rsid w:val="000B6776"/>
    <w:rsid w:val="000B678C"/>
    <w:rsid w:val="000B6930"/>
    <w:rsid w:val="000B6A07"/>
    <w:rsid w:val="000B6C05"/>
    <w:rsid w:val="000B6CE5"/>
    <w:rsid w:val="000B6E82"/>
    <w:rsid w:val="000B6FFA"/>
    <w:rsid w:val="000B7049"/>
    <w:rsid w:val="000B7116"/>
    <w:rsid w:val="000B7191"/>
    <w:rsid w:val="000B71AD"/>
    <w:rsid w:val="000B72C9"/>
    <w:rsid w:val="000B72D2"/>
    <w:rsid w:val="000B72E1"/>
    <w:rsid w:val="000B72FA"/>
    <w:rsid w:val="000B7446"/>
    <w:rsid w:val="000B7631"/>
    <w:rsid w:val="000B7850"/>
    <w:rsid w:val="000B79FD"/>
    <w:rsid w:val="000B7A03"/>
    <w:rsid w:val="000B7B0B"/>
    <w:rsid w:val="000B7C0A"/>
    <w:rsid w:val="000B7C50"/>
    <w:rsid w:val="000B7CCA"/>
    <w:rsid w:val="000B7F0B"/>
    <w:rsid w:val="000C062A"/>
    <w:rsid w:val="000C0668"/>
    <w:rsid w:val="000C0714"/>
    <w:rsid w:val="000C076A"/>
    <w:rsid w:val="000C0794"/>
    <w:rsid w:val="000C0870"/>
    <w:rsid w:val="000C090D"/>
    <w:rsid w:val="000C0AC2"/>
    <w:rsid w:val="000C0CB2"/>
    <w:rsid w:val="000C0D51"/>
    <w:rsid w:val="000C0F4C"/>
    <w:rsid w:val="000C114B"/>
    <w:rsid w:val="000C120F"/>
    <w:rsid w:val="000C1430"/>
    <w:rsid w:val="000C1466"/>
    <w:rsid w:val="000C14B2"/>
    <w:rsid w:val="000C17F9"/>
    <w:rsid w:val="000C1914"/>
    <w:rsid w:val="000C193E"/>
    <w:rsid w:val="000C1BF6"/>
    <w:rsid w:val="000C1C4D"/>
    <w:rsid w:val="000C1C5E"/>
    <w:rsid w:val="000C1CBC"/>
    <w:rsid w:val="000C1D9B"/>
    <w:rsid w:val="000C1E74"/>
    <w:rsid w:val="000C1F2C"/>
    <w:rsid w:val="000C20A2"/>
    <w:rsid w:val="000C20BD"/>
    <w:rsid w:val="000C2180"/>
    <w:rsid w:val="000C21A4"/>
    <w:rsid w:val="000C21C4"/>
    <w:rsid w:val="000C223D"/>
    <w:rsid w:val="000C235A"/>
    <w:rsid w:val="000C259F"/>
    <w:rsid w:val="000C2669"/>
    <w:rsid w:val="000C2A10"/>
    <w:rsid w:val="000C2A1F"/>
    <w:rsid w:val="000C2A6C"/>
    <w:rsid w:val="000C2B24"/>
    <w:rsid w:val="000C2B44"/>
    <w:rsid w:val="000C2F3D"/>
    <w:rsid w:val="000C31B9"/>
    <w:rsid w:val="000C31BA"/>
    <w:rsid w:val="000C31F5"/>
    <w:rsid w:val="000C3202"/>
    <w:rsid w:val="000C36B1"/>
    <w:rsid w:val="000C375A"/>
    <w:rsid w:val="000C37BF"/>
    <w:rsid w:val="000C37D9"/>
    <w:rsid w:val="000C38BE"/>
    <w:rsid w:val="000C3AC3"/>
    <w:rsid w:val="000C3C06"/>
    <w:rsid w:val="000C3C22"/>
    <w:rsid w:val="000C3C74"/>
    <w:rsid w:val="000C3FA5"/>
    <w:rsid w:val="000C40C2"/>
    <w:rsid w:val="000C4101"/>
    <w:rsid w:val="000C45A4"/>
    <w:rsid w:val="000C4612"/>
    <w:rsid w:val="000C4656"/>
    <w:rsid w:val="000C4AE8"/>
    <w:rsid w:val="000C4AEE"/>
    <w:rsid w:val="000C4C93"/>
    <w:rsid w:val="000C4CAF"/>
    <w:rsid w:val="000C4D3F"/>
    <w:rsid w:val="000C4EAD"/>
    <w:rsid w:val="000C505A"/>
    <w:rsid w:val="000C50C0"/>
    <w:rsid w:val="000C519E"/>
    <w:rsid w:val="000C523C"/>
    <w:rsid w:val="000C5288"/>
    <w:rsid w:val="000C5356"/>
    <w:rsid w:val="000C53DD"/>
    <w:rsid w:val="000C5463"/>
    <w:rsid w:val="000C5548"/>
    <w:rsid w:val="000C5629"/>
    <w:rsid w:val="000C5828"/>
    <w:rsid w:val="000C5A34"/>
    <w:rsid w:val="000C5D19"/>
    <w:rsid w:val="000C5D27"/>
    <w:rsid w:val="000C5D34"/>
    <w:rsid w:val="000C5D62"/>
    <w:rsid w:val="000C5E35"/>
    <w:rsid w:val="000C5EA5"/>
    <w:rsid w:val="000C5EC1"/>
    <w:rsid w:val="000C5F49"/>
    <w:rsid w:val="000C6218"/>
    <w:rsid w:val="000C63A0"/>
    <w:rsid w:val="000C65C4"/>
    <w:rsid w:val="000C6644"/>
    <w:rsid w:val="000C66E8"/>
    <w:rsid w:val="000C67EA"/>
    <w:rsid w:val="000C69C8"/>
    <w:rsid w:val="000C6B70"/>
    <w:rsid w:val="000C6B8F"/>
    <w:rsid w:val="000C6BF9"/>
    <w:rsid w:val="000C6C2C"/>
    <w:rsid w:val="000C6C6C"/>
    <w:rsid w:val="000C6D0D"/>
    <w:rsid w:val="000C6DCB"/>
    <w:rsid w:val="000C6E73"/>
    <w:rsid w:val="000C6F06"/>
    <w:rsid w:val="000C6FFC"/>
    <w:rsid w:val="000C7192"/>
    <w:rsid w:val="000C71A1"/>
    <w:rsid w:val="000C7333"/>
    <w:rsid w:val="000C7348"/>
    <w:rsid w:val="000C755E"/>
    <w:rsid w:val="000C7B71"/>
    <w:rsid w:val="000C7C39"/>
    <w:rsid w:val="000C7C53"/>
    <w:rsid w:val="000C7E11"/>
    <w:rsid w:val="000C7EBF"/>
    <w:rsid w:val="000D002E"/>
    <w:rsid w:val="000D00E2"/>
    <w:rsid w:val="000D02BE"/>
    <w:rsid w:val="000D02FD"/>
    <w:rsid w:val="000D07C0"/>
    <w:rsid w:val="000D07CA"/>
    <w:rsid w:val="000D0A20"/>
    <w:rsid w:val="000D0A8C"/>
    <w:rsid w:val="000D0ADB"/>
    <w:rsid w:val="000D0AF2"/>
    <w:rsid w:val="000D0AF7"/>
    <w:rsid w:val="000D0C4A"/>
    <w:rsid w:val="000D0CD9"/>
    <w:rsid w:val="000D0D8F"/>
    <w:rsid w:val="000D0E20"/>
    <w:rsid w:val="000D0E5C"/>
    <w:rsid w:val="000D0FDF"/>
    <w:rsid w:val="000D11B3"/>
    <w:rsid w:val="000D1284"/>
    <w:rsid w:val="000D1298"/>
    <w:rsid w:val="000D137F"/>
    <w:rsid w:val="000D14D8"/>
    <w:rsid w:val="000D14DD"/>
    <w:rsid w:val="000D15BF"/>
    <w:rsid w:val="000D17D5"/>
    <w:rsid w:val="000D18EF"/>
    <w:rsid w:val="000D19F5"/>
    <w:rsid w:val="000D19F8"/>
    <w:rsid w:val="000D1B77"/>
    <w:rsid w:val="000D1BAD"/>
    <w:rsid w:val="000D1E5D"/>
    <w:rsid w:val="000D1E89"/>
    <w:rsid w:val="000D1F37"/>
    <w:rsid w:val="000D1FC7"/>
    <w:rsid w:val="000D20B6"/>
    <w:rsid w:val="000D2276"/>
    <w:rsid w:val="000D2524"/>
    <w:rsid w:val="000D26AD"/>
    <w:rsid w:val="000D26BE"/>
    <w:rsid w:val="000D26CB"/>
    <w:rsid w:val="000D27E1"/>
    <w:rsid w:val="000D29CA"/>
    <w:rsid w:val="000D2D62"/>
    <w:rsid w:val="000D2DAF"/>
    <w:rsid w:val="000D2DE0"/>
    <w:rsid w:val="000D2E0A"/>
    <w:rsid w:val="000D2E7D"/>
    <w:rsid w:val="000D325B"/>
    <w:rsid w:val="000D32BB"/>
    <w:rsid w:val="000D33E7"/>
    <w:rsid w:val="000D3427"/>
    <w:rsid w:val="000D34FF"/>
    <w:rsid w:val="000D3537"/>
    <w:rsid w:val="000D3603"/>
    <w:rsid w:val="000D3629"/>
    <w:rsid w:val="000D363F"/>
    <w:rsid w:val="000D36CE"/>
    <w:rsid w:val="000D36FB"/>
    <w:rsid w:val="000D37DF"/>
    <w:rsid w:val="000D38C1"/>
    <w:rsid w:val="000D39E1"/>
    <w:rsid w:val="000D39F8"/>
    <w:rsid w:val="000D3C58"/>
    <w:rsid w:val="000D3CD7"/>
    <w:rsid w:val="000D3D4F"/>
    <w:rsid w:val="000D3E47"/>
    <w:rsid w:val="000D3FEF"/>
    <w:rsid w:val="000D403B"/>
    <w:rsid w:val="000D42B7"/>
    <w:rsid w:val="000D4308"/>
    <w:rsid w:val="000D4436"/>
    <w:rsid w:val="000D44F5"/>
    <w:rsid w:val="000D45DA"/>
    <w:rsid w:val="000D48AE"/>
    <w:rsid w:val="000D49D6"/>
    <w:rsid w:val="000D4CF8"/>
    <w:rsid w:val="000D4D93"/>
    <w:rsid w:val="000D4DA3"/>
    <w:rsid w:val="000D4EE7"/>
    <w:rsid w:val="000D506D"/>
    <w:rsid w:val="000D50EC"/>
    <w:rsid w:val="000D5175"/>
    <w:rsid w:val="000D531F"/>
    <w:rsid w:val="000D5361"/>
    <w:rsid w:val="000D561E"/>
    <w:rsid w:val="000D5648"/>
    <w:rsid w:val="000D5741"/>
    <w:rsid w:val="000D57FA"/>
    <w:rsid w:val="000D5929"/>
    <w:rsid w:val="000D5BAC"/>
    <w:rsid w:val="000D5BD3"/>
    <w:rsid w:val="000D5D5A"/>
    <w:rsid w:val="000D5E8A"/>
    <w:rsid w:val="000D5EBD"/>
    <w:rsid w:val="000D5F2D"/>
    <w:rsid w:val="000D5F67"/>
    <w:rsid w:val="000D61BC"/>
    <w:rsid w:val="000D6252"/>
    <w:rsid w:val="000D63BE"/>
    <w:rsid w:val="000D64B5"/>
    <w:rsid w:val="000D66E1"/>
    <w:rsid w:val="000D671F"/>
    <w:rsid w:val="000D684F"/>
    <w:rsid w:val="000D6A16"/>
    <w:rsid w:val="000D6AAA"/>
    <w:rsid w:val="000D6ACB"/>
    <w:rsid w:val="000D6BCF"/>
    <w:rsid w:val="000D6D81"/>
    <w:rsid w:val="000D6E02"/>
    <w:rsid w:val="000D6E51"/>
    <w:rsid w:val="000D6F55"/>
    <w:rsid w:val="000D6FAA"/>
    <w:rsid w:val="000D71BA"/>
    <w:rsid w:val="000D7215"/>
    <w:rsid w:val="000D725B"/>
    <w:rsid w:val="000D78B6"/>
    <w:rsid w:val="000D78BB"/>
    <w:rsid w:val="000D7949"/>
    <w:rsid w:val="000D79F0"/>
    <w:rsid w:val="000D7A86"/>
    <w:rsid w:val="000D7B14"/>
    <w:rsid w:val="000D7B39"/>
    <w:rsid w:val="000D7C06"/>
    <w:rsid w:val="000D7CF2"/>
    <w:rsid w:val="000D7F20"/>
    <w:rsid w:val="000D7FC5"/>
    <w:rsid w:val="000E020B"/>
    <w:rsid w:val="000E023B"/>
    <w:rsid w:val="000E0325"/>
    <w:rsid w:val="000E0341"/>
    <w:rsid w:val="000E03E8"/>
    <w:rsid w:val="000E043B"/>
    <w:rsid w:val="000E04B3"/>
    <w:rsid w:val="000E05D9"/>
    <w:rsid w:val="000E06A7"/>
    <w:rsid w:val="000E06EF"/>
    <w:rsid w:val="000E06FD"/>
    <w:rsid w:val="000E086E"/>
    <w:rsid w:val="000E0933"/>
    <w:rsid w:val="000E0ADA"/>
    <w:rsid w:val="000E0AF1"/>
    <w:rsid w:val="000E0C9A"/>
    <w:rsid w:val="000E0D21"/>
    <w:rsid w:val="000E0E04"/>
    <w:rsid w:val="000E1044"/>
    <w:rsid w:val="000E12FC"/>
    <w:rsid w:val="000E1478"/>
    <w:rsid w:val="000E15C4"/>
    <w:rsid w:val="000E17F9"/>
    <w:rsid w:val="000E1959"/>
    <w:rsid w:val="000E1A84"/>
    <w:rsid w:val="000E1B1D"/>
    <w:rsid w:val="000E1BC2"/>
    <w:rsid w:val="000E1E1C"/>
    <w:rsid w:val="000E1E2F"/>
    <w:rsid w:val="000E1E8E"/>
    <w:rsid w:val="000E1ECA"/>
    <w:rsid w:val="000E1F69"/>
    <w:rsid w:val="000E1F97"/>
    <w:rsid w:val="000E2507"/>
    <w:rsid w:val="000E259A"/>
    <w:rsid w:val="000E267E"/>
    <w:rsid w:val="000E28A5"/>
    <w:rsid w:val="000E28A6"/>
    <w:rsid w:val="000E29A8"/>
    <w:rsid w:val="000E2A6B"/>
    <w:rsid w:val="000E2A8F"/>
    <w:rsid w:val="000E2AF9"/>
    <w:rsid w:val="000E2B1B"/>
    <w:rsid w:val="000E2C4B"/>
    <w:rsid w:val="000E2C94"/>
    <w:rsid w:val="000E2ED9"/>
    <w:rsid w:val="000E2EFE"/>
    <w:rsid w:val="000E30BA"/>
    <w:rsid w:val="000E3144"/>
    <w:rsid w:val="000E31E2"/>
    <w:rsid w:val="000E3368"/>
    <w:rsid w:val="000E3386"/>
    <w:rsid w:val="000E3406"/>
    <w:rsid w:val="000E3496"/>
    <w:rsid w:val="000E3641"/>
    <w:rsid w:val="000E36A6"/>
    <w:rsid w:val="000E370E"/>
    <w:rsid w:val="000E3736"/>
    <w:rsid w:val="000E3881"/>
    <w:rsid w:val="000E3B5B"/>
    <w:rsid w:val="000E3C1F"/>
    <w:rsid w:val="000E3FC8"/>
    <w:rsid w:val="000E3FD3"/>
    <w:rsid w:val="000E40D4"/>
    <w:rsid w:val="000E411F"/>
    <w:rsid w:val="000E41B6"/>
    <w:rsid w:val="000E4218"/>
    <w:rsid w:val="000E42C1"/>
    <w:rsid w:val="000E43C3"/>
    <w:rsid w:val="000E45E9"/>
    <w:rsid w:val="000E45F6"/>
    <w:rsid w:val="000E478C"/>
    <w:rsid w:val="000E47A0"/>
    <w:rsid w:val="000E48A4"/>
    <w:rsid w:val="000E4957"/>
    <w:rsid w:val="000E4A01"/>
    <w:rsid w:val="000E4A6C"/>
    <w:rsid w:val="000E4AA4"/>
    <w:rsid w:val="000E4C09"/>
    <w:rsid w:val="000E4E08"/>
    <w:rsid w:val="000E4E48"/>
    <w:rsid w:val="000E4FFB"/>
    <w:rsid w:val="000E5384"/>
    <w:rsid w:val="000E5421"/>
    <w:rsid w:val="000E5582"/>
    <w:rsid w:val="000E57CD"/>
    <w:rsid w:val="000E5A65"/>
    <w:rsid w:val="000E6266"/>
    <w:rsid w:val="000E6515"/>
    <w:rsid w:val="000E65F9"/>
    <w:rsid w:val="000E6651"/>
    <w:rsid w:val="000E6742"/>
    <w:rsid w:val="000E68A8"/>
    <w:rsid w:val="000E68AE"/>
    <w:rsid w:val="000E6A20"/>
    <w:rsid w:val="000E6A9B"/>
    <w:rsid w:val="000E6C43"/>
    <w:rsid w:val="000E6C5F"/>
    <w:rsid w:val="000E6DAD"/>
    <w:rsid w:val="000E6DF5"/>
    <w:rsid w:val="000E6E7C"/>
    <w:rsid w:val="000E734B"/>
    <w:rsid w:val="000E736A"/>
    <w:rsid w:val="000E755E"/>
    <w:rsid w:val="000E7565"/>
    <w:rsid w:val="000E7816"/>
    <w:rsid w:val="000E78BC"/>
    <w:rsid w:val="000E7AB0"/>
    <w:rsid w:val="000E7B07"/>
    <w:rsid w:val="000E7D11"/>
    <w:rsid w:val="000E7DE1"/>
    <w:rsid w:val="000E7E42"/>
    <w:rsid w:val="000E7F7A"/>
    <w:rsid w:val="000F0120"/>
    <w:rsid w:val="000F02CD"/>
    <w:rsid w:val="000F031B"/>
    <w:rsid w:val="000F035A"/>
    <w:rsid w:val="000F05E4"/>
    <w:rsid w:val="000F06BD"/>
    <w:rsid w:val="000F07F6"/>
    <w:rsid w:val="000F08EC"/>
    <w:rsid w:val="000F09E0"/>
    <w:rsid w:val="000F0AC2"/>
    <w:rsid w:val="000F0B48"/>
    <w:rsid w:val="000F0BF7"/>
    <w:rsid w:val="000F0C99"/>
    <w:rsid w:val="000F0E39"/>
    <w:rsid w:val="000F1298"/>
    <w:rsid w:val="000F13DE"/>
    <w:rsid w:val="000F1531"/>
    <w:rsid w:val="000F1583"/>
    <w:rsid w:val="000F164E"/>
    <w:rsid w:val="000F16CD"/>
    <w:rsid w:val="000F16ED"/>
    <w:rsid w:val="000F1837"/>
    <w:rsid w:val="000F18C6"/>
    <w:rsid w:val="000F1A18"/>
    <w:rsid w:val="000F1AC8"/>
    <w:rsid w:val="000F1C4E"/>
    <w:rsid w:val="000F1CC8"/>
    <w:rsid w:val="000F1D19"/>
    <w:rsid w:val="000F1F38"/>
    <w:rsid w:val="000F1F75"/>
    <w:rsid w:val="000F1FF7"/>
    <w:rsid w:val="000F2083"/>
    <w:rsid w:val="000F2197"/>
    <w:rsid w:val="000F2348"/>
    <w:rsid w:val="000F2405"/>
    <w:rsid w:val="000F24AB"/>
    <w:rsid w:val="000F2529"/>
    <w:rsid w:val="000F261C"/>
    <w:rsid w:val="000F2979"/>
    <w:rsid w:val="000F2A07"/>
    <w:rsid w:val="000F2B7C"/>
    <w:rsid w:val="000F2D14"/>
    <w:rsid w:val="000F2D3B"/>
    <w:rsid w:val="000F2E5E"/>
    <w:rsid w:val="000F2F32"/>
    <w:rsid w:val="000F2F8D"/>
    <w:rsid w:val="000F2FA6"/>
    <w:rsid w:val="000F317A"/>
    <w:rsid w:val="000F35C4"/>
    <w:rsid w:val="000F3609"/>
    <w:rsid w:val="000F36B3"/>
    <w:rsid w:val="000F36E0"/>
    <w:rsid w:val="000F371E"/>
    <w:rsid w:val="000F37B9"/>
    <w:rsid w:val="000F385F"/>
    <w:rsid w:val="000F3872"/>
    <w:rsid w:val="000F390D"/>
    <w:rsid w:val="000F3922"/>
    <w:rsid w:val="000F3A32"/>
    <w:rsid w:val="000F3B25"/>
    <w:rsid w:val="000F3B3C"/>
    <w:rsid w:val="000F3BDB"/>
    <w:rsid w:val="000F3C03"/>
    <w:rsid w:val="000F3F47"/>
    <w:rsid w:val="000F3F97"/>
    <w:rsid w:val="000F40F9"/>
    <w:rsid w:val="000F4497"/>
    <w:rsid w:val="000F4500"/>
    <w:rsid w:val="000F4562"/>
    <w:rsid w:val="000F4729"/>
    <w:rsid w:val="000F4832"/>
    <w:rsid w:val="000F4AB5"/>
    <w:rsid w:val="000F4ACA"/>
    <w:rsid w:val="000F4B7D"/>
    <w:rsid w:val="000F4C09"/>
    <w:rsid w:val="000F4CB9"/>
    <w:rsid w:val="000F4EE1"/>
    <w:rsid w:val="000F4F6A"/>
    <w:rsid w:val="000F4FC4"/>
    <w:rsid w:val="000F50ED"/>
    <w:rsid w:val="000F5125"/>
    <w:rsid w:val="000F51BA"/>
    <w:rsid w:val="000F537C"/>
    <w:rsid w:val="000F53A7"/>
    <w:rsid w:val="000F54CA"/>
    <w:rsid w:val="000F5696"/>
    <w:rsid w:val="000F5723"/>
    <w:rsid w:val="000F58CD"/>
    <w:rsid w:val="000F5A7E"/>
    <w:rsid w:val="000F5B91"/>
    <w:rsid w:val="000F5BB5"/>
    <w:rsid w:val="000F5C22"/>
    <w:rsid w:val="000F5C67"/>
    <w:rsid w:val="000F5D5B"/>
    <w:rsid w:val="000F6013"/>
    <w:rsid w:val="000F6037"/>
    <w:rsid w:val="000F6085"/>
    <w:rsid w:val="000F6136"/>
    <w:rsid w:val="000F628C"/>
    <w:rsid w:val="000F630D"/>
    <w:rsid w:val="000F63C1"/>
    <w:rsid w:val="000F64AF"/>
    <w:rsid w:val="000F6554"/>
    <w:rsid w:val="000F6594"/>
    <w:rsid w:val="000F66B3"/>
    <w:rsid w:val="000F66D3"/>
    <w:rsid w:val="000F674A"/>
    <w:rsid w:val="000F67D3"/>
    <w:rsid w:val="000F6A68"/>
    <w:rsid w:val="000F6AD7"/>
    <w:rsid w:val="000F6BB9"/>
    <w:rsid w:val="000F6C2F"/>
    <w:rsid w:val="000F6E6D"/>
    <w:rsid w:val="000F6EE9"/>
    <w:rsid w:val="000F701F"/>
    <w:rsid w:val="000F713E"/>
    <w:rsid w:val="000F72F2"/>
    <w:rsid w:val="000F749B"/>
    <w:rsid w:val="000F74C8"/>
    <w:rsid w:val="000F75C2"/>
    <w:rsid w:val="000F7637"/>
    <w:rsid w:val="000F77FA"/>
    <w:rsid w:val="000F7857"/>
    <w:rsid w:val="000F7959"/>
    <w:rsid w:val="000F79AF"/>
    <w:rsid w:val="000F7A97"/>
    <w:rsid w:val="000F7B69"/>
    <w:rsid w:val="000F7DE3"/>
    <w:rsid w:val="00100281"/>
    <w:rsid w:val="001002ED"/>
    <w:rsid w:val="00100477"/>
    <w:rsid w:val="0010062B"/>
    <w:rsid w:val="001007DD"/>
    <w:rsid w:val="00100956"/>
    <w:rsid w:val="0010098D"/>
    <w:rsid w:val="00100E3A"/>
    <w:rsid w:val="00100FD0"/>
    <w:rsid w:val="00100FF6"/>
    <w:rsid w:val="0010113D"/>
    <w:rsid w:val="0010136C"/>
    <w:rsid w:val="001013FA"/>
    <w:rsid w:val="001014FF"/>
    <w:rsid w:val="00101507"/>
    <w:rsid w:val="00101547"/>
    <w:rsid w:val="00101628"/>
    <w:rsid w:val="001016DE"/>
    <w:rsid w:val="00101742"/>
    <w:rsid w:val="00101780"/>
    <w:rsid w:val="001017C1"/>
    <w:rsid w:val="00101810"/>
    <w:rsid w:val="001018AB"/>
    <w:rsid w:val="001018BD"/>
    <w:rsid w:val="00101930"/>
    <w:rsid w:val="00101986"/>
    <w:rsid w:val="00101AC1"/>
    <w:rsid w:val="00101AC3"/>
    <w:rsid w:val="00101E3D"/>
    <w:rsid w:val="00101F81"/>
    <w:rsid w:val="001020B8"/>
    <w:rsid w:val="001021EE"/>
    <w:rsid w:val="0010226E"/>
    <w:rsid w:val="00102270"/>
    <w:rsid w:val="00102410"/>
    <w:rsid w:val="001026C7"/>
    <w:rsid w:val="0010275C"/>
    <w:rsid w:val="00102782"/>
    <w:rsid w:val="0010285C"/>
    <w:rsid w:val="001028D5"/>
    <w:rsid w:val="0010299B"/>
    <w:rsid w:val="00102B47"/>
    <w:rsid w:val="00102CD6"/>
    <w:rsid w:val="00102D67"/>
    <w:rsid w:val="00102F48"/>
    <w:rsid w:val="00102F81"/>
    <w:rsid w:val="00102F84"/>
    <w:rsid w:val="00102F8A"/>
    <w:rsid w:val="00102FEA"/>
    <w:rsid w:val="00103089"/>
    <w:rsid w:val="001031EC"/>
    <w:rsid w:val="0010341C"/>
    <w:rsid w:val="0010344F"/>
    <w:rsid w:val="00103654"/>
    <w:rsid w:val="0010368B"/>
    <w:rsid w:val="001036C3"/>
    <w:rsid w:val="0010384A"/>
    <w:rsid w:val="00103C10"/>
    <w:rsid w:val="00103C77"/>
    <w:rsid w:val="00103D53"/>
    <w:rsid w:val="00103D69"/>
    <w:rsid w:val="00103DAC"/>
    <w:rsid w:val="00103E59"/>
    <w:rsid w:val="00103F06"/>
    <w:rsid w:val="00103F86"/>
    <w:rsid w:val="00103FEC"/>
    <w:rsid w:val="0010402D"/>
    <w:rsid w:val="00104073"/>
    <w:rsid w:val="0010409E"/>
    <w:rsid w:val="001041D5"/>
    <w:rsid w:val="00104220"/>
    <w:rsid w:val="00104299"/>
    <w:rsid w:val="001043A6"/>
    <w:rsid w:val="00104415"/>
    <w:rsid w:val="00104531"/>
    <w:rsid w:val="0010462B"/>
    <w:rsid w:val="00104662"/>
    <w:rsid w:val="0010478B"/>
    <w:rsid w:val="001047F3"/>
    <w:rsid w:val="0010484D"/>
    <w:rsid w:val="001049EF"/>
    <w:rsid w:val="00104BC5"/>
    <w:rsid w:val="00104BEC"/>
    <w:rsid w:val="00104DAE"/>
    <w:rsid w:val="00104DF7"/>
    <w:rsid w:val="00104FE4"/>
    <w:rsid w:val="00104FE7"/>
    <w:rsid w:val="00105163"/>
    <w:rsid w:val="001051FD"/>
    <w:rsid w:val="001052D8"/>
    <w:rsid w:val="001054DE"/>
    <w:rsid w:val="001054F5"/>
    <w:rsid w:val="00105572"/>
    <w:rsid w:val="001056F5"/>
    <w:rsid w:val="00105D5C"/>
    <w:rsid w:val="00105DD5"/>
    <w:rsid w:val="00105EBC"/>
    <w:rsid w:val="00105EDA"/>
    <w:rsid w:val="00105EEC"/>
    <w:rsid w:val="001061B2"/>
    <w:rsid w:val="001062EC"/>
    <w:rsid w:val="001064FE"/>
    <w:rsid w:val="00106703"/>
    <w:rsid w:val="001068BC"/>
    <w:rsid w:val="00106A28"/>
    <w:rsid w:val="00106BD2"/>
    <w:rsid w:val="00106BDC"/>
    <w:rsid w:val="00106CB1"/>
    <w:rsid w:val="00106DCB"/>
    <w:rsid w:val="00106E03"/>
    <w:rsid w:val="00106EF5"/>
    <w:rsid w:val="00106FEB"/>
    <w:rsid w:val="0010717F"/>
    <w:rsid w:val="00107192"/>
    <w:rsid w:val="001071D9"/>
    <w:rsid w:val="001073F4"/>
    <w:rsid w:val="00107426"/>
    <w:rsid w:val="00107526"/>
    <w:rsid w:val="00107597"/>
    <w:rsid w:val="001075A2"/>
    <w:rsid w:val="00107621"/>
    <w:rsid w:val="001076D7"/>
    <w:rsid w:val="001077C0"/>
    <w:rsid w:val="0010781B"/>
    <w:rsid w:val="00107958"/>
    <w:rsid w:val="00107DAF"/>
    <w:rsid w:val="00107E15"/>
    <w:rsid w:val="00107EAA"/>
    <w:rsid w:val="00110054"/>
    <w:rsid w:val="00110243"/>
    <w:rsid w:val="00110263"/>
    <w:rsid w:val="00110273"/>
    <w:rsid w:val="0011046A"/>
    <w:rsid w:val="001107BC"/>
    <w:rsid w:val="001107CC"/>
    <w:rsid w:val="001109A3"/>
    <w:rsid w:val="00110BA0"/>
    <w:rsid w:val="00110C92"/>
    <w:rsid w:val="00110EBE"/>
    <w:rsid w:val="00111047"/>
    <w:rsid w:val="00111179"/>
    <w:rsid w:val="001112C3"/>
    <w:rsid w:val="001114E0"/>
    <w:rsid w:val="00111641"/>
    <w:rsid w:val="001116A9"/>
    <w:rsid w:val="001116CE"/>
    <w:rsid w:val="001117A1"/>
    <w:rsid w:val="001117D5"/>
    <w:rsid w:val="001118EE"/>
    <w:rsid w:val="0011193C"/>
    <w:rsid w:val="0011198A"/>
    <w:rsid w:val="00111ABC"/>
    <w:rsid w:val="00111AE4"/>
    <w:rsid w:val="00111C6C"/>
    <w:rsid w:val="00111CB8"/>
    <w:rsid w:val="00111D0D"/>
    <w:rsid w:val="00111D9E"/>
    <w:rsid w:val="00111EA4"/>
    <w:rsid w:val="00112043"/>
    <w:rsid w:val="001120FE"/>
    <w:rsid w:val="0011210B"/>
    <w:rsid w:val="0011217D"/>
    <w:rsid w:val="001122B3"/>
    <w:rsid w:val="001122CD"/>
    <w:rsid w:val="001122DB"/>
    <w:rsid w:val="001122E5"/>
    <w:rsid w:val="00112361"/>
    <w:rsid w:val="0011244D"/>
    <w:rsid w:val="00112751"/>
    <w:rsid w:val="00112836"/>
    <w:rsid w:val="0011286A"/>
    <w:rsid w:val="001128B1"/>
    <w:rsid w:val="00112978"/>
    <w:rsid w:val="00112A86"/>
    <w:rsid w:val="00112BB6"/>
    <w:rsid w:val="00112D80"/>
    <w:rsid w:val="00112E9F"/>
    <w:rsid w:val="00112EEA"/>
    <w:rsid w:val="00112F92"/>
    <w:rsid w:val="00112FAA"/>
    <w:rsid w:val="00113025"/>
    <w:rsid w:val="00113088"/>
    <w:rsid w:val="001131CB"/>
    <w:rsid w:val="001132A8"/>
    <w:rsid w:val="00113303"/>
    <w:rsid w:val="00113361"/>
    <w:rsid w:val="001133BF"/>
    <w:rsid w:val="00113593"/>
    <w:rsid w:val="001135CA"/>
    <w:rsid w:val="00113642"/>
    <w:rsid w:val="00113686"/>
    <w:rsid w:val="0011371D"/>
    <w:rsid w:val="001137CE"/>
    <w:rsid w:val="00113842"/>
    <w:rsid w:val="00113B50"/>
    <w:rsid w:val="00113F8E"/>
    <w:rsid w:val="0011404E"/>
    <w:rsid w:val="00114155"/>
    <w:rsid w:val="001141ED"/>
    <w:rsid w:val="00114352"/>
    <w:rsid w:val="0011437E"/>
    <w:rsid w:val="0011439F"/>
    <w:rsid w:val="00114548"/>
    <w:rsid w:val="00114557"/>
    <w:rsid w:val="0011460F"/>
    <w:rsid w:val="0011461A"/>
    <w:rsid w:val="00114763"/>
    <w:rsid w:val="0011483D"/>
    <w:rsid w:val="00114AAF"/>
    <w:rsid w:val="00114D26"/>
    <w:rsid w:val="00114DAA"/>
    <w:rsid w:val="00114F81"/>
    <w:rsid w:val="00115208"/>
    <w:rsid w:val="00115246"/>
    <w:rsid w:val="0011526C"/>
    <w:rsid w:val="001152BB"/>
    <w:rsid w:val="0011546E"/>
    <w:rsid w:val="0011553A"/>
    <w:rsid w:val="00115722"/>
    <w:rsid w:val="001157C0"/>
    <w:rsid w:val="00115935"/>
    <w:rsid w:val="0011595B"/>
    <w:rsid w:val="00115A74"/>
    <w:rsid w:val="00115AA3"/>
    <w:rsid w:val="00115C95"/>
    <w:rsid w:val="00115CEE"/>
    <w:rsid w:val="00115D5A"/>
    <w:rsid w:val="00115DC2"/>
    <w:rsid w:val="00115DDC"/>
    <w:rsid w:val="00115E2E"/>
    <w:rsid w:val="00115F6B"/>
    <w:rsid w:val="0011614B"/>
    <w:rsid w:val="0011634B"/>
    <w:rsid w:val="00116413"/>
    <w:rsid w:val="0011655A"/>
    <w:rsid w:val="001165F6"/>
    <w:rsid w:val="00116730"/>
    <w:rsid w:val="0011676A"/>
    <w:rsid w:val="001169FF"/>
    <w:rsid w:val="00116ADB"/>
    <w:rsid w:val="00116BE4"/>
    <w:rsid w:val="00116E15"/>
    <w:rsid w:val="00116EBD"/>
    <w:rsid w:val="00116F74"/>
    <w:rsid w:val="0011710C"/>
    <w:rsid w:val="0011728B"/>
    <w:rsid w:val="0011730F"/>
    <w:rsid w:val="001173F2"/>
    <w:rsid w:val="00117530"/>
    <w:rsid w:val="001175D6"/>
    <w:rsid w:val="001175EF"/>
    <w:rsid w:val="0011776F"/>
    <w:rsid w:val="001178D4"/>
    <w:rsid w:val="0011793A"/>
    <w:rsid w:val="00117CB9"/>
    <w:rsid w:val="00117CD2"/>
    <w:rsid w:val="00117E14"/>
    <w:rsid w:val="00117FF0"/>
    <w:rsid w:val="00117FF3"/>
    <w:rsid w:val="00120010"/>
    <w:rsid w:val="00120273"/>
    <w:rsid w:val="001202BC"/>
    <w:rsid w:val="001203CC"/>
    <w:rsid w:val="00120427"/>
    <w:rsid w:val="00120593"/>
    <w:rsid w:val="001206CD"/>
    <w:rsid w:val="0012092C"/>
    <w:rsid w:val="00120B31"/>
    <w:rsid w:val="00120B62"/>
    <w:rsid w:val="00120BFE"/>
    <w:rsid w:val="00120C2B"/>
    <w:rsid w:val="00120E6E"/>
    <w:rsid w:val="00120EC2"/>
    <w:rsid w:val="00121002"/>
    <w:rsid w:val="00121054"/>
    <w:rsid w:val="001210F3"/>
    <w:rsid w:val="00121208"/>
    <w:rsid w:val="0012131C"/>
    <w:rsid w:val="00121613"/>
    <w:rsid w:val="001219B3"/>
    <w:rsid w:val="001219D7"/>
    <w:rsid w:val="00121B44"/>
    <w:rsid w:val="00121BBB"/>
    <w:rsid w:val="00121BC0"/>
    <w:rsid w:val="00121CB5"/>
    <w:rsid w:val="00121E50"/>
    <w:rsid w:val="00121EC5"/>
    <w:rsid w:val="00121FC7"/>
    <w:rsid w:val="0012204F"/>
    <w:rsid w:val="001222F5"/>
    <w:rsid w:val="0012245E"/>
    <w:rsid w:val="001226F2"/>
    <w:rsid w:val="0012284F"/>
    <w:rsid w:val="001228E0"/>
    <w:rsid w:val="00122C9C"/>
    <w:rsid w:val="00122D66"/>
    <w:rsid w:val="00122D94"/>
    <w:rsid w:val="00122E03"/>
    <w:rsid w:val="00122F16"/>
    <w:rsid w:val="00122FCE"/>
    <w:rsid w:val="0012344E"/>
    <w:rsid w:val="00123522"/>
    <w:rsid w:val="00123543"/>
    <w:rsid w:val="0012374D"/>
    <w:rsid w:val="00123828"/>
    <w:rsid w:val="00123AD3"/>
    <w:rsid w:val="00123D31"/>
    <w:rsid w:val="00123D47"/>
    <w:rsid w:val="001240CA"/>
    <w:rsid w:val="0012410D"/>
    <w:rsid w:val="00124419"/>
    <w:rsid w:val="0012458D"/>
    <w:rsid w:val="00124608"/>
    <w:rsid w:val="00124617"/>
    <w:rsid w:val="0012475F"/>
    <w:rsid w:val="001247F6"/>
    <w:rsid w:val="00124847"/>
    <w:rsid w:val="001248D4"/>
    <w:rsid w:val="0012497F"/>
    <w:rsid w:val="00124A21"/>
    <w:rsid w:val="00124A87"/>
    <w:rsid w:val="00124B0B"/>
    <w:rsid w:val="00124B34"/>
    <w:rsid w:val="0012546C"/>
    <w:rsid w:val="001255ED"/>
    <w:rsid w:val="001255FA"/>
    <w:rsid w:val="001256B1"/>
    <w:rsid w:val="0012581D"/>
    <w:rsid w:val="00125871"/>
    <w:rsid w:val="001258C4"/>
    <w:rsid w:val="001259DC"/>
    <w:rsid w:val="001259FF"/>
    <w:rsid w:val="00125A20"/>
    <w:rsid w:val="00125A6A"/>
    <w:rsid w:val="00125A95"/>
    <w:rsid w:val="00125AFC"/>
    <w:rsid w:val="00125B85"/>
    <w:rsid w:val="00125C9D"/>
    <w:rsid w:val="00125CB2"/>
    <w:rsid w:val="00125E7C"/>
    <w:rsid w:val="00125E7E"/>
    <w:rsid w:val="00125EF9"/>
    <w:rsid w:val="00126069"/>
    <w:rsid w:val="00126200"/>
    <w:rsid w:val="00126215"/>
    <w:rsid w:val="00126275"/>
    <w:rsid w:val="001262F2"/>
    <w:rsid w:val="00126410"/>
    <w:rsid w:val="001264D5"/>
    <w:rsid w:val="00126513"/>
    <w:rsid w:val="001265CF"/>
    <w:rsid w:val="001265DF"/>
    <w:rsid w:val="00126625"/>
    <w:rsid w:val="00126671"/>
    <w:rsid w:val="0012674A"/>
    <w:rsid w:val="0012680C"/>
    <w:rsid w:val="001268A5"/>
    <w:rsid w:val="00126B70"/>
    <w:rsid w:val="00126E8D"/>
    <w:rsid w:val="00126FF7"/>
    <w:rsid w:val="0012708F"/>
    <w:rsid w:val="001270A1"/>
    <w:rsid w:val="00127316"/>
    <w:rsid w:val="00127405"/>
    <w:rsid w:val="0012741E"/>
    <w:rsid w:val="001274E8"/>
    <w:rsid w:val="00127548"/>
    <w:rsid w:val="00127567"/>
    <w:rsid w:val="001276F2"/>
    <w:rsid w:val="00127772"/>
    <w:rsid w:val="0012777E"/>
    <w:rsid w:val="001278AD"/>
    <w:rsid w:val="00127998"/>
    <w:rsid w:val="00127B48"/>
    <w:rsid w:val="00127C32"/>
    <w:rsid w:val="00127C82"/>
    <w:rsid w:val="00127D00"/>
    <w:rsid w:val="00127E30"/>
    <w:rsid w:val="00127E65"/>
    <w:rsid w:val="00127F02"/>
    <w:rsid w:val="0013004E"/>
    <w:rsid w:val="00130090"/>
    <w:rsid w:val="0013017E"/>
    <w:rsid w:val="00130191"/>
    <w:rsid w:val="0013019B"/>
    <w:rsid w:val="001301D0"/>
    <w:rsid w:val="001301F2"/>
    <w:rsid w:val="001303DF"/>
    <w:rsid w:val="001304B2"/>
    <w:rsid w:val="001305AE"/>
    <w:rsid w:val="00130631"/>
    <w:rsid w:val="00130741"/>
    <w:rsid w:val="00130748"/>
    <w:rsid w:val="0013086A"/>
    <w:rsid w:val="00130A3F"/>
    <w:rsid w:val="00130A81"/>
    <w:rsid w:val="00130B70"/>
    <w:rsid w:val="00130BAF"/>
    <w:rsid w:val="00130BB2"/>
    <w:rsid w:val="00130ECE"/>
    <w:rsid w:val="00130F9E"/>
    <w:rsid w:val="00131028"/>
    <w:rsid w:val="0013103F"/>
    <w:rsid w:val="0013104B"/>
    <w:rsid w:val="00131349"/>
    <w:rsid w:val="0013158F"/>
    <w:rsid w:val="00131703"/>
    <w:rsid w:val="00131B60"/>
    <w:rsid w:val="00131C4F"/>
    <w:rsid w:val="00131CA3"/>
    <w:rsid w:val="00131E32"/>
    <w:rsid w:val="00132024"/>
    <w:rsid w:val="001323E1"/>
    <w:rsid w:val="00132507"/>
    <w:rsid w:val="0013267D"/>
    <w:rsid w:val="00132749"/>
    <w:rsid w:val="0013280C"/>
    <w:rsid w:val="0013285E"/>
    <w:rsid w:val="00132987"/>
    <w:rsid w:val="00132A1D"/>
    <w:rsid w:val="00132B23"/>
    <w:rsid w:val="00132C0D"/>
    <w:rsid w:val="00132FCC"/>
    <w:rsid w:val="0013319A"/>
    <w:rsid w:val="00133376"/>
    <w:rsid w:val="001333D7"/>
    <w:rsid w:val="0013341C"/>
    <w:rsid w:val="00133B5E"/>
    <w:rsid w:val="00133E46"/>
    <w:rsid w:val="00133E73"/>
    <w:rsid w:val="00133F4B"/>
    <w:rsid w:val="00133FA8"/>
    <w:rsid w:val="0013418D"/>
    <w:rsid w:val="00134258"/>
    <w:rsid w:val="001342E3"/>
    <w:rsid w:val="001343FE"/>
    <w:rsid w:val="0013440C"/>
    <w:rsid w:val="001345AA"/>
    <w:rsid w:val="00134819"/>
    <w:rsid w:val="00134828"/>
    <w:rsid w:val="00134878"/>
    <w:rsid w:val="0013487A"/>
    <w:rsid w:val="00134901"/>
    <w:rsid w:val="00134A57"/>
    <w:rsid w:val="00134D16"/>
    <w:rsid w:val="00134D1E"/>
    <w:rsid w:val="00134E6A"/>
    <w:rsid w:val="00134F0F"/>
    <w:rsid w:val="00134FBA"/>
    <w:rsid w:val="00134FC2"/>
    <w:rsid w:val="00135407"/>
    <w:rsid w:val="001355EB"/>
    <w:rsid w:val="001355EC"/>
    <w:rsid w:val="00135628"/>
    <w:rsid w:val="001357B0"/>
    <w:rsid w:val="0013581E"/>
    <w:rsid w:val="001358AE"/>
    <w:rsid w:val="0013597C"/>
    <w:rsid w:val="00135987"/>
    <w:rsid w:val="00135C04"/>
    <w:rsid w:val="00135C94"/>
    <w:rsid w:val="00135CCA"/>
    <w:rsid w:val="00135D62"/>
    <w:rsid w:val="00135DDD"/>
    <w:rsid w:val="00135E16"/>
    <w:rsid w:val="00135E9B"/>
    <w:rsid w:val="00135F5B"/>
    <w:rsid w:val="00135F8B"/>
    <w:rsid w:val="00135FBB"/>
    <w:rsid w:val="001360B9"/>
    <w:rsid w:val="00136137"/>
    <w:rsid w:val="0013626F"/>
    <w:rsid w:val="00136294"/>
    <w:rsid w:val="00136318"/>
    <w:rsid w:val="001364DE"/>
    <w:rsid w:val="001365F3"/>
    <w:rsid w:val="00136664"/>
    <w:rsid w:val="00136812"/>
    <w:rsid w:val="0013686B"/>
    <w:rsid w:val="00136882"/>
    <w:rsid w:val="00136914"/>
    <w:rsid w:val="00136B55"/>
    <w:rsid w:val="00136C59"/>
    <w:rsid w:val="00136D17"/>
    <w:rsid w:val="00136FC6"/>
    <w:rsid w:val="00137391"/>
    <w:rsid w:val="001373B3"/>
    <w:rsid w:val="00137495"/>
    <w:rsid w:val="001374CC"/>
    <w:rsid w:val="0013758B"/>
    <w:rsid w:val="00137875"/>
    <w:rsid w:val="001379E1"/>
    <w:rsid w:val="00137B30"/>
    <w:rsid w:val="00137E18"/>
    <w:rsid w:val="00137F51"/>
    <w:rsid w:val="00137FDF"/>
    <w:rsid w:val="00137FF1"/>
    <w:rsid w:val="00140138"/>
    <w:rsid w:val="00140171"/>
    <w:rsid w:val="001402F1"/>
    <w:rsid w:val="001403AB"/>
    <w:rsid w:val="0014043D"/>
    <w:rsid w:val="001405AC"/>
    <w:rsid w:val="00140641"/>
    <w:rsid w:val="001406B0"/>
    <w:rsid w:val="00140807"/>
    <w:rsid w:val="00140949"/>
    <w:rsid w:val="00140EF2"/>
    <w:rsid w:val="0014104E"/>
    <w:rsid w:val="00141127"/>
    <w:rsid w:val="00141169"/>
    <w:rsid w:val="00141220"/>
    <w:rsid w:val="00141336"/>
    <w:rsid w:val="001414FF"/>
    <w:rsid w:val="00141600"/>
    <w:rsid w:val="001416F3"/>
    <w:rsid w:val="00141769"/>
    <w:rsid w:val="001417EE"/>
    <w:rsid w:val="00141E29"/>
    <w:rsid w:val="00141F46"/>
    <w:rsid w:val="001424D3"/>
    <w:rsid w:val="001427B8"/>
    <w:rsid w:val="00142850"/>
    <w:rsid w:val="00142949"/>
    <w:rsid w:val="00142BF5"/>
    <w:rsid w:val="00142C3F"/>
    <w:rsid w:val="00142CA2"/>
    <w:rsid w:val="00142FD1"/>
    <w:rsid w:val="001430F2"/>
    <w:rsid w:val="001431E5"/>
    <w:rsid w:val="0014328D"/>
    <w:rsid w:val="001432AC"/>
    <w:rsid w:val="00143551"/>
    <w:rsid w:val="001435C6"/>
    <w:rsid w:val="00143623"/>
    <w:rsid w:val="0014362F"/>
    <w:rsid w:val="00143708"/>
    <w:rsid w:val="00143833"/>
    <w:rsid w:val="00143908"/>
    <w:rsid w:val="00143A5C"/>
    <w:rsid w:val="00143E92"/>
    <w:rsid w:val="001442F2"/>
    <w:rsid w:val="00144323"/>
    <w:rsid w:val="001444B2"/>
    <w:rsid w:val="00144758"/>
    <w:rsid w:val="00144839"/>
    <w:rsid w:val="00144C54"/>
    <w:rsid w:val="00144C59"/>
    <w:rsid w:val="00144CA5"/>
    <w:rsid w:val="00144DF9"/>
    <w:rsid w:val="00144F31"/>
    <w:rsid w:val="001451B2"/>
    <w:rsid w:val="001452B7"/>
    <w:rsid w:val="001452BE"/>
    <w:rsid w:val="0014546B"/>
    <w:rsid w:val="00145687"/>
    <w:rsid w:val="001457BC"/>
    <w:rsid w:val="001457F1"/>
    <w:rsid w:val="00145B13"/>
    <w:rsid w:val="00145C98"/>
    <w:rsid w:val="00145DF8"/>
    <w:rsid w:val="00145E47"/>
    <w:rsid w:val="00145EA0"/>
    <w:rsid w:val="00145EAF"/>
    <w:rsid w:val="00145FD6"/>
    <w:rsid w:val="0014615B"/>
    <w:rsid w:val="00146298"/>
    <w:rsid w:val="001462FE"/>
    <w:rsid w:val="001463F4"/>
    <w:rsid w:val="00146417"/>
    <w:rsid w:val="0014678A"/>
    <w:rsid w:val="001467D1"/>
    <w:rsid w:val="00146915"/>
    <w:rsid w:val="00146967"/>
    <w:rsid w:val="00146A06"/>
    <w:rsid w:val="00146A29"/>
    <w:rsid w:val="00146C59"/>
    <w:rsid w:val="00146C8A"/>
    <w:rsid w:val="00146D84"/>
    <w:rsid w:val="00147257"/>
    <w:rsid w:val="001473B8"/>
    <w:rsid w:val="0014747D"/>
    <w:rsid w:val="001475BF"/>
    <w:rsid w:val="00147617"/>
    <w:rsid w:val="00147691"/>
    <w:rsid w:val="00147770"/>
    <w:rsid w:val="0014779E"/>
    <w:rsid w:val="001477B9"/>
    <w:rsid w:val="001478A4"/>
    <w:rsid w:val="00147AAF"/>
    <w:rsid w:val="00147B4F"/>
    <w:rsid w:val="00147BDC"/>
    <w:rsid w:val="00147BE1"/>
    <w:rsid w:val="00147BE5"/>
    <w:rsid w:val="00147C1E"/>
    <w:rsid w:val="00147C69"/>
    <w:rsid w:val="00147D42"/>
    <w:rsid w:val="00147F1E"/>
    <w:rsid w:val="001500AC"/>
    <w:rsid w:val="001501AD"/>
    <w:rsid w:val="0015023F"/>
    <w:rsid w:val="0015037F"/>
    <w:rsid w:val="001503D9"/>
    <w:rsid w:val="00150450"/>
    <w:rsid w:val="001504A6"/>
    <w:rsid w:val="0015058E"/>
    <w:rsid w:val="001505F6"/>
    <w:rsid w:val="001506FC"/>
    <w:rsid w:val="001507EE"/>
    <w:rsid w:val="00150BCA"/>
    <w:rsid w:val="00150C57"/>
    <w:rsid w:val="00150D03"/>
    <w:rsid w:val="00150D36"/>
    <w:rsid w:val="00150D4F"/>
    <w:rsid w:val="00150D67"/>
    <w:rsid w:val="00150D81"/>
    <w:rsid w:val="00150E3C"/>
    <w:rsid w:val="00150F9D"/>
    <w:rsid w:val="001512E8"/>
    <w:rsid w:val="00151325"/>
    <w:rsid w:val="00151432"/>
    <w:rsid w:val="00151875"/>
    <w:rsid w:val="00151895"/>
    <w:rsid w:val="001519A2"/>
    <w:rsid w:val="001519CF"/>
    <w:rsid w:val="00151C3C"/>
    <w:rsid w:val="00151D84"/>
    <w:rsid w:val="00151DF3"/>
    <w:rsid w:val="00151E2F"/>
    <w:rsid w:val="00151E5E"/>
    <w:rsid w:val="00151F99"/>
    <w:rsid w:val="00151FC5"/>
    <w:rsid w:val="00152237"/>
    <w:rsid w:val="00152340"/>
    <w:rsid w:val="00152506"/>
    <w:rsid w:val="001526BC"/>
    <w:rsid w:val="00152738"/>
    <w:rsid w:val="0015280F"/>
    <w:rsid w:val="00152A61"/>
    <w:rsid w:val="00152B33"/>
    <w:rsid w:val="00152B4F"/>
    <w:rsid w:val="00152CA1"/>
    <w:rsid w:val="00152DA3"/>
    <w:rsid w:val="00153210"/>
    <w:rsid w:val="0015329D"/>
    <w:rsid w:val="001532B1"/>
    <w:rsid w:val="0015332A"/>
    <w:rsid w:val="0015333C"/>
    <w:rsid w:val="00153507"/>
    <w:rsid w:val="00153729"/>
    <w:rsid w:val="001537F0"/>
    <w:rsid w:val="0015385D"/>
    <w:rsid w:val="001538DD"/>
    <w:rsid w:val="00153960"/>
    <w:rsid w:val="00153985"/>
    <w:rsid w:val="00153A62"/>
    <w:rsid w:val="00153C60"/>
    <w:rsid w:val="00153DD5"/>
    <w:rsid w:val="00153DE5"/>
    <w:rsid w:val="00153E80"/>
    <w:rsid w:val="00154073"/>
    <w:rsid w:val="00154174"/>
    <w:rsid w:val="00154263"/>
    <w:rsid w:val="0015429F"/>
    <w:rsid w:val="00154438"/>
    <w:rsid w:val="0015475D"/>
    <w:rsid w:val="00154779"/>
    <w:rsid w:val="0015482B"/>
    <w:rsid w:val="00154845"/>
    <w:rsid w:val="00154888"/>
    <w:rsid w:val="001548B6"/>
    <w:rsid w:val="00154955"/>
    <w:rsid w:val="001549D9"/>
    <w:rsid w:val="00154D79"/>
    <w:rsid w:val="00154E2F"/>
    <w:rsid w:val="00154EB2"/>
    <w:rsid w:val="00154FBE"/>
    <w:rsid w:val="00154FFD"/>
    <w:rsid w:val="0015511C"/>
    <w:rsid w:val="00155128"/>
    <w:rsid w:val="0015518A"/>
    <w:rsid w:val="00155300"/>
    <w:rsid w:val="00155409"/>
    <w:rsid w:val="00155416"/>
    <w:rsid w:val="0015543E"/>
    <w:rsid w:val="001559E7"/>
    <w:rsid w:val="00155D53"/>
    <w:rsid w:val="00155FCF"/>
    <w:rsid w:val="00155FD5"/>
    <w:rsid w:val="0015602A"/>
    <w:rsid w:val="0015606F"/>
    <w:rsid w:val="0015609F"/>
    <w:rsid w:val="00156223"/>
    <w:rsid w:val="001562DD"/>
    <w:rsid w:val="0015641A"/>
    <w:rsid w:val="001564EA"/>
    <w:rsid w:val="001565E7"/>
    <w:rsid w:val="0015665E"/>
    <w:rsid w:val="0015671C"/>
    <w:rsid w:val="00156844"/>
    <w:rsid w:val="00156986"/>
    <w:rsid w:val="00156A19"/>
    <w:rsid w:val="00156ABA"/>
    <w:rsid w:val="00156B66"/>
    <w:rsid w:val="00156B67"/>
    <w:rsid w:val="00156BCF"/>
    <w:rsid w:val="00156C42"/>
    <w:rsid w:val="0015722E"/>
    <w:rsid w:val="00157394"/>
    <w:rsid w:val="00157634"/>
    <w:rsid w:val="001577DE"/>
    <w:rsid w:val="0015787A"/>
    <w:rsid w:val="001579AB"/>
    <w:rsid w:val="00157A47"/>
    <w:rsid w:val="00157AE2"/>
    <w:rsid w:val="00157B12"/>
    <w:rsid w:val="00157BD7"/>
    <w:rsid w:val="00157C0C"/>
    <w:rsid w:val="00157C6D"/>
    <w:rsid w:val="00157D0B"/>
    <w:rsid w:val="00157D8F"/>
    <w:rsid w:val="00157D9A"/>
    <w:rsid w:val="00157DDB"/>
    <w:rsid w:val="00157E47"/>
    <w:rsid w:val="0016009F"/>
    <w:rsid w:val="0016019D"/>
    <w:rsid w:val="0016039A"/>
    <w:rsid w:val="001603E7"/>
    <w:rsid w:val="001605DE"/>
    <w:rsid w:val="001607CB"/>
    <w:rsid w:val="0016083D"/>
    <w:rsid w:val="001609B4"/>
    <w:rsid w:val="00160C86"/>
    <w:rsid w:val="00160CA7"/>
    <w:rsid w:val="00161259"/>
    <w:rsid w:val="0016126C"/>
    <w:rsid w:val="00161388"/>
    <w:rsid w:val="0016154A"/>
    <w:rsid w:val="001615E3"/>
    <w:rsid w:val="0016165F"/>
    <w:rsid w:val="0016177F"/>
    <w:rsid w:val="00161814"/>
    <w:rsid w:val="001618DA"/>
    <w:rsid w:val="00161C16"/>
    <w:rsid w:val="00161DFD"/>
    <w:rsid w:val="00161E66"/>
    <w:rsid w:val="0016208F"/>
    <w:rsid w:val="00162118"/>
    <w:rsid w:val="001621CA"/>
    <w:rsid w:val="00162237"/>
    <w:rsid w:val="0016234E"/>
    <w:rsid w:val="00162473"/>
    <w:rsid w:val="001624E6"/>
    <w:rsid w:val="0016250E"/>
    <w:rsid w:val="00162B3D"/>
    <w:rsid w:val="00162B9C"/>
    <w:rsid w:val="00162FAD"/>
    <w:rsid w:val="00162FC6"/>
    <w:rsid w:val="0016307B"/>
    <w:rsid w:val="001630C0"/>
    <w:rsid w:val="0016322D"/>
    <w:rsid w:val="0016341E"/>
    <w:rsid w:val="00163673"/>
    <w:rsid w:val="001636F1"/>
    <w:rsid w:val="00163881"/>
    <w:rsid w:val="00163A70"/>
    <w:rsid w:val="00163B06"/>
    <w:rsid w:val="00163B2F"/>
    <w:rsid w:val="00163EAA"/>
    <w:rsid w:val="00163EF5"/>
    <w:rsid w:val="00163F41"/>
    <w:rsid w:val="0016407A"/>
    <w:rsid w:val="001640FC"/>
    <w:rsid w:val="00164132"/>
    <w:rsid w:val="001641E4"/>
    <w:rsid w:val="001641EF"/>
    <w:rsid w:val="0016436B"/>
    <w:rsid w:val="001643CC"/>
    <w:rsid w:val="0016444B"/>
    <w:rsid w:val="00164468"/>
    <w:rsid w:val="00164490"/>
    <w:rsid w:val="001645A6"/>
    <w:rsid w:val="001646FB"/>
    <w:rsid w:val="00164707"/>
    <w:rsid w:val="0016475F"/>
    <w:rsid w:val="001647D7"/>
    <w:rsid w:val="001648E3"/>
    <w:rsid w:val="0016498C"/>
    <w:rsid w:val="001649B8"/>
    <w:rsid w:val="00164D5B"/>
    <w:rsid w:val="00164ECB"/>
    <w:rsid w:val="00164F39"/>
    <w:rsid w:val="00164F88"/>
    <w:rsid w:val="00164FD4"/>
    <w:rsid w:val="00165038"/>
    <w:rsid w:val="001651F4"/>
    <w:rsid w:val="001653DB"/>
    <w:rsid w:val="0016545D"/>
    <w:rsid w:val="0016546A"/>
    <w:rsid w:val="00165582"/>
    <w:rsid w:val="001658B2"/>
    <w:rsid w:val="00165953"/>
    <w:rsid w:val="001659E4"/>
    <w:rsid w:val="001659FF"/>
    <w:rsid w:val="00165B36"/>
    <w:rsid w:val="00165DE6"/>
    <w:rsid w:val="00165EC6"/>
    <w:rsid w:val="00165F29"/>
    <w:rsid w:val="00165FE2"/>
    <w:rsid w:val="001660B9"/>
    <w:rsid w:val="00166348"/>
    <w:rsid w:val="001663FE"/>
    <w:rsid w:val="00166426"/>
    <w:rsid w:val="00166606"/>
    <w:rsid w:val="00166722"/>
    <w:rsid w:val="0016686C"/>
    <w:rsid w:val="00166C25"/>
    <w:rsid w:val="00166CC5"/>
    <w:rsid w:val="0016710C"/>
    <w:rsid w:val="00167158"/>
    <w:rsid w:val="0016716F"/>
    <w:rsid w:val="00167197"/>
    <w:rsid w:val="00167811"/>
    <w:rsid w:val="001679A3"/>
    <w:rsid w:val="00167A12"/>
    <w:rsid w:val="00167BBD"/>
    <w:rsid w:val="00167C66"/>
    <w:rsid w:val="00167C82"/>
    <w:rsid w:val="0017015D"/>
    <w:rsid w:val="00170283"/>
    <w:rsid w:val="001702CD"/>
    <w:rsid w:val="00170378"/>
    <w:rsid w:val="00170442"/>
    <w:rsid w:val="0017057F"/>
    <w:rsid w:val="001705F0"/>
    <w:rsid w:val="00170763"/>
    <w:rsid w:val="001708B9"/>
    <w:rsid w:val="00170A97"/>
    <w:rsid w:val="00170C9F"/>
    <w:rsid w:val="00170F06"/>
    <w:rsid w:val="00170F56"/>
    <w:rsid w:val="00171279"/>
    <w:rsid w:val="00171296"/>
    <w:rsid w:val="0017136D"/>
    <w:rsid w:val="00171381"/>
    <w:rsid w:val="001713AF"/>
    <w:rsid w:val="00171558"/>
    <w:rsid w:val="00171615"/>
    <w:rsid w:val="00171834"/>
    <w:rsid w:val="00171AF9"/>
    <w:rsid w:val="00171C01"/>
    <w:rsid w:val="00171E55"/>
    <w:rsid w:val="00171EA8"/>
    <w:rsid w:val="00171F7B"/>
    <w:rsid w:val="00171FA2"/>
    <w:rsid w:val="001721F9"/>
    <w:rsid w:val="00172255"/>
    <w:rsid w:val="00172558"/>
    <w:rsid w:val="00172705"/>
    <w:rsid w:val="0017280D"/>
    <w:rsid w:val="00172A6B"/>
    <w:rsid w:val="00172A8E"/>
    <w:rsid w:val="00172ACC"/>
    <w:rsid w:val="00172AD6"/>
    <w:rsid w:val="00172D9E"/>
    <w:rsid w:val="00172DD9"/>
    <w:rsid w:val="00172E76"/>
    <w:rsid w:val="00172FBA"/>
    <w:rsid w:val="0017320A"/>
    <w:rsid w:val="001732E0"/>
    <w:rsid w:val="00173422"/>
    <w:rsid w:val="001734F2"/>
    <w:rsid w:val="0017363C"/>
    <w:rsid w:val="00173895"/>
    <w:rsid w:val="001738B5"/>
    <w:rsid w:val="00173975"/>
    <w:rsid w:val="00173A5D"/>
    <w:rsid w:val="00173B88"/>
    <w:rsid w:val="00173E09"/>
    <w:rsid w:val="00173FE8"/>
    <w:rsid w:val="001741A7"/>
    <w:rsid w:val="001741F7"/>
    <w:rsid w:val="00174221"/>
    <w:rsid w:val="00174360"/>
    <w:rsid w:val="0017436C"/>
    <w:rsid w:val="001743ED"/>
    <w:rsid w:val="00174480"/>
    <w:rsid w:val="00174495"/>
    <w:rsid w:val="00174529"/>
    <w:rsid w:val="0017455A"/>
    <w:rsid w:val="00174661"/>
    <w:rsid w:val="00174694"/>
    <w:rsid w:val="00174758"/>
    <w:rsid w:val="001749E9"/>
    <w:rsid w:val="00174A91"/>
    <w:rsid w:val="00174B0A"/>
    <w:rsid w:val="00174DDC"/>
    <w:rsid w:val="00174ED6"/>
    <w:rsid w:val="00174F1A"/>
    <w:rsid w:val="00174FE3"/>
    <w:rsid w:val="001750D9"/>
    <w:rsid w:val="001751F9"/>
    <w:rsid w:val="00175277"/>
    <w:rsid w:val="00175372"/>
    <w:rsid w:val="001753CF"/>
    <w:rsid w:val="001756A0"/>
    <w:rsid w:val="001757CE"/>
    <w:rsid w:val="0017593E"/>
    <w:rsid w:val="00175A28"/>
    <w:rsid w:val="00175E48"/>
    <w:rsid w:val="00175EDE"/>
    <w:rsid w:val="00176131"/>
    <w:rsid w:val="0017618A"/>
    <w:rsid w:val="001761C9"/>
    <w:rsid w:val="001763AC"/>
    <w:rsid w:val="001763EE"/>
    <w:rsid w:val="0017664C"/>
    <w:rsid w:val="00176898"/>
    <w:rsid w:val="001769AD"/>
    <w:rsid w:val="00176A1D"/>
    <w:rsid w:val="00176CC9"/>
    <w:rsid w:val="00176D96"/>
    <w:rsid w:val="00177339"/>
    <w:rsid w:val="001773E7"/>
    <w:rsid w:val="001776FF"/>
    <w:rsid w:val="00177907"/>
    <w:rsid w:val="00177951"/>
    <w:rsid w:val="00177A92"/>
    <w:rsid w:val="00177C46"/>
    <w:rsid w:val="00177DA7"/>
    <w:rsid w:val="00177E33"/>
    <w:rsid w:val="00177E40"/>
    <w:rsid w:val="00177ED5"/>
    <w:rsid w:val="00177FA2"/>
    <w:rsid w:val="00180023"/>
    <w:rsid w:val="0018004B"/>
    <w:rsid w:val="001800E8"/>
    <w:rsid w:val="00180124"/>
    <w:rsid w:val="001802AC"/>
    <w:rsid w:val="00180378"/>
    <w:rsid w:val="00180614"/>
    <w:rsid w:val="00180634"/>
    <w:rsid w:val="00180645"/>
    <w:rsid w:val="001806DC"/>
    <w:rsid w:val="0018086E"/>
    <w:rsid w:val="00180927"/>
    <w:rsid w:val="0018093E"/>
    <w:rsid w:val="00180A1C"/>
    <w:rsid w:val="00180A39"/>
    <w:rsid w:val="00180BDA"/>
    <w:rsid w:val="00180E03"/>
    <w:rsid w:val="00180F10"/>
    <w:rsid w:val="0018108F"/>
    <w:rsid w:val="0018109B"/>
    <w:rsid w:val="0018110D"/>
    <w:rsid w:val="00181157"/>
    <w:rsid w:val="00181176"/>
    <w:rsid w:val="0018151C"/>
    <w:rsid w:val="00181725"/>
    <w:rsid w:val="0018178D"/>
    <w:rsid w:val="001817FA"/>
    <w:rsid w:val="00181948"/>
    <w:rsid w:val="00181978"/>
    <w:rsid w:val="001819A5"/>
    <w:rsid w:val="00181A37"/>
    <w:rsid w:val="00181AC3"/>
    <w:rsid w:val="00181BF3"/>
    <w:rsid w:val="00181C1E"/>
    <w:rsid w:val="00181C85"/>
    <w:rsid w:val="00181CD9"/>
    <w:rsid w:val="00181D1A"/>
    <w:rsid w:val="00181FA4"/>
    <w:rsid w:val="0018208F"/>
    <w:rsid w:val="001822B1"/>
    <w:rsid w:val="0018240B"/>
    <w:rsid w:val="0018262B"/>
    <w:rsid w:val="00182823"/>
    <w:rsid w:val="001829E1"/>
    <w:rsid w:val="00182A6F"/>
    <w:rsid w:val="00182B2F"/>
    <w:rsid w:val="00182D2E"/>
    <w:rsid w:val="00182D30"/>
    <w:rsid w:val="0018303A"/>
    <w:rsid w:val="001830F6"/>
    <w:rsid w:val="00183105"/>
    <w:rsid w:val="00183129"/>
    <w:rsid w:val="00183176"/>
    <w:rsid w:val="001832E7"/>
    <w:rsid w:val="001836AA"/>
    <w:rsid w:val="00183821"/>
    <w:rsid w:val="00183896"/>
    <w:rsid w:val="00183ABF"/>
    <w:rsid w:val="00183B62"/>
    <w:rsid w:val="00183E86"/>
    <w:rsid w:val="00183FA6"/>
    <w:rsid w:val="00183FF1"/>
    <w:rsid w:val="00184055"/>
    <w:rsid w:val="00184169"/>
    <w:rsid w:val="0018428D"/>
    <w:rsid w:val="001842EF"/>
    <w:rsid w:val="00184384"/>
    <w:rsid w:val="0018458B"/>
    <w:rsid w:val="00184600"/>
    <w:rsid w:val="001846DF"/>
    <w:rsid w:val="00184A1C"/>
    <w:rsid w:val="00184AB5"/>
    <w:rsid w:val="00184BD9"/>
    <w:rsid w:val="00184CA3"/>
    <w:rsid w:val="00184DE7"/>
    <w:rsid w:val="00184EB5"/>
    <w:rsid w:val="00184ED7"/>
    <w:rsid w:val="00184F8F"/>
    <w:rsid w:val="00185047"/>
    <w:rsid w:val="00185088"/>
    <w:rsid w:val="001851BB"/>
    <w:rsid w:val="001851E1"/>
    <w:rsid w:val="00185304"/>
    <w:rsid w:val="00185544"/>
    <w:rsid w:val="00185576"/>
    <w:rsid w:val="00185596"/>
    <w:rsid w:val="001856EB"/>
    <w:rsid w:val="0018571E"/>
    <w:rsid w:val="0018575E"/>
    <w:rsid w:val="00185834"/>
    <w:rsid w:val="001858B3"/>
    <w:rsid w:val="0018596D"/>
    <w:rsid w:val="00185B4C"/>
    <w:rsid w:val="00185BE9"/>
    <w:rsid w:val="00185DCE"/>
    <w:rsid w:val="00185EE5"/>
    <w:rsid w:val="00185F0B"/>
    <w:rsid w:val="00185FED"/>
    <w:rsid w:val="00186343"/>
    <w:rsid w:val="00186346"/>
    <w:rsid w:val="001864C1"/>
    <w:rsid w:val="00186504"/>
    <w:rsid w:val="00186685"/>
    <w:rsid w:val="001866EC"/>
    <w:rsid w:val="00186943"/>
    <w:rsid w:val="00186ADB"/>
    <w:rsid w:val="00186B94"/>
    <w:rsid w:val="00186C50"/>
    <w:rsid w:val="00186F4B"/>
    <w:rsid w:val="00186FC8"/>
    <w:rsid w:val="001870E3"/>
    <w:rsid w:val="001871B7"/>
    <w:rsid w:val="00187249"/>
    <w:rsid w:val="00187255"/>
    <w:rsid w:val="00187259"/>
    <w:rsid w:val="001873AB"/>
    <w:rsid w:val="0018745C"/>
    <w:rsid w:val="0018774D"/>
    <w:rsid w:val="00187824"/>
    <w:rsid w:val="001878B6"/>
    <w:rsid w:val="00187C5F"/>
    <w:rsid w:val="00187C97"/>
    <w:rsid w:val="00187CB0"/>
    <w:rsid w:val="00187E23"/>
    <w:rsid w:val="00187E55"/>
    <w:rsid w:val="00187E99"/>
    <w:rsid w:val="00187FF3"/>
    <w:rsid w:val="001901B9"/>
    <w:rsid w:val="0019039D"/>
    <w:rsid w:val="001904D7"/>
    <w:rsid w:val="0019070C"/>
    <w:rsid w:val="00190729"/>
    <w:rsid w:val="00190A88"/>
    <w:rsid w:val="00190B1A"/>
    <w:rsid w:val="00190BA2"/>
    <w:rsid w:val="00190D9B"/>
    <w:rsid w:val="00190E0A"/>
    <w:rsid w:val="00190E33"/>
    <w:rsid w:val="00190E62"/>
    <w:rsid w:val="00190ED3"/>
    <w:rsid w:val="00190F08"/>
    <w:rsid w:val="00190F33"/>
    <w:rsid w:val="001910C1"/>
    <w:rsid w:val="001910DC"/>
    <w:rsid w:val="0019135A"/>
    <w:rsid w:val="001913A5"/>
    <w:rsid w:val="001913EC"/>
    <w:rsid w:val="00191491"/>
    <w:rsid w:val="001914DF"/>
    <w:rsid w:val="00191583"/>
    <w:rsid w:val="0019167C"/>
    <w:rsid w:val="001916FA"/>
    <w:rsid w:val="001918F7"/>
    <w:rsid w:val="001919BC"/>
    <w:rsid w:val="001919FA"/>
    <w:rsid w:val="00191BE3"/>
    <w:rsid w:val="00191C61"/>
    <w:rsid w:val="00191CF0"/>
    <w:rsid w:val="00191DE8"/>
    <w:rsid w:val="0019209E"/>
    <w:rsid w:val="00192172"/>
    <w:rsid w:val="00192379"/>
    <w:rsid w:val="0019251D"/>
    <w:rsid w:val="001927DE"/>
    <w:rsid w:val="0019283B"/>
    <w:rsid w:val="0019308B"/>
    <w:rsid w:val="00193151"/>
    <w:rsid w:val="00193200"/>
    <w:rsid w:val="00193376"/>
    <w:rsid w:val="0019365D"/>
    <w:rsid w:val="00193708"/>
    <w:rsid w:val="00193739"/>
    <w:rsid w:val="00193756"/>
    <w:rsid w:val="00193807"/>
    <w:rsid w:val="001939CB"/>
    <w:rsid w:val="00193A97"/>
    <w:rsid w:val="00193ACF"/>
    <w:rsid w:val="00193C39"/>
    <w:rsid w:val="00193C6C"/>
    <w:rsid w:val="00193D71"/>
    <w:rsid w:val="00193E8C"/>
    <w:rsid w:val="00193F2E"/>
    <w:rsid w:val="00194295"/>
    <w:rsid w:val="00194394"/>
    <w:rsid w:val="001943BF"/>
    <w:rsid w:val="001943E9"/>
    <w:rsid w:val="00194410"/>
    <w:rsid w:val="001944DD"/>
    <w:rsid w:val="001945C0"/>
    <w:rsid w:val="00194754"/>
    <w:rsid w:val="001948D3"/>
    <w:rsid w:val="00194BE1"/>
    <w:rsid w:val="00194C2E"/>
    <w:rsid w:val="00194D3E"/>
    <w:rsid w:val="00195078"/>
    <w:rsid w:val="0019543B"/>
    <w:rsid w:val="0019548C"/>
    <w:rsid w:val="001954CF"/>
    <w:rsid w:val="0019551E"/>
    <w:rsid w:val="00195685"/>
    <w:rsid w:val="00195705"/>
    <w:rsid w:val="001957CD"/>
    <w:rsid w:val="001958DE"/>
    <w:rsid w:val="00195A6C"/>
    <w:rsid w:val="00195AFE"/>
    <w:rsid w:val="00195BB5"/>
    <w:rsid w:val="00196014"/>
    <w:rsid w:val="00196049"/>
    <w:rsid w:val="0019608E"/>
    <w:rsid w:val="001960F7"/>
    <w:rsid w:val="001961D6"/>
    <w:rsid w:val="00196211"/>
    <w:rsid w:val="00196394"/>
    <w:rsid w:val="00196442"/>
    <w:rsid w:val="0019647F"/>
    <w:rsid w:val="001966FE"/>
    <w:rsid w:val="0019685C"/>
    <w:rsid w:val="00196871"/>
    <w:rsid w:val="001968F5"/>
    <w:rsid w:val="001969EB"/>
    <w:rsid w:val="00196A4C"/>
    <w:rsid w:val="00196A95"/>
    <w:rsid w:val="00196B4A"/>
    <w:rsid w:val="00196B4D"/>
    <w:rsid w:val="00196D38"/>
    <w:rsid w:val="00196FEE"/>
    <w:rsid w:val="00197105"/>
    <w:rsid w:val="001972D1"/>
    <w:rsid w:val="001973F7"/>
    <w:rsid w:val="001975EF"/>
    <w:rsid w:val="00197644"/>
    <w:rsid w:val="0019765A"/>
    <w:rsid w:val="00197859"/>
    <w:rsid w:val="00197BE3"/>
    <w:rsid w:val="00197EB5"/>
    <w:rsid w:val="00197EFE"/>
    <w:rsid w:val="00197F3F"/>
    <w:rsid w:val="00197F41"/>
    <w:rsid w:val="001A0002"/>
    <w:rsid w:val="001A00A2"/>
    <w:rsid w:val="001A014B"/>
    <w:rsid w:val="001A027B"/>
    <w:rsid w:val="001A04A8"/>
    <w:rsid w:val="001A04E6"/>
    <w:rsid w:val="001A052D"/>
    <w:rsid w:val="001A0555"/>
    <w:rsid w:val="001A06DC"/>
    <w:rsid w:val="001A0792"/>
    <w:rsid w:val="001A08E4"/>
    <w:rsid w:val="001A0953"/>
    <w:rsid w:val="001A101C"/>
    <w:rsid w:val="001A10E8"/>
    <w:rsid w:val="001A11C1"/>
    <w:rsid w:val="001A128F"/>
    <w:rsid w:val="001A12D4"/>
    <w:rsid w:val="001A12FD"/>
    <w:rsid w:val="001A15B7"/>
    <w:rsid w:val="001A160C"/>
    <w:rsid w:val="001A1794"/>
    <w:rsid w:val="001A194A"/>
    <w:rsid w:val="001A19AE"/>
    <w:rsid w:val="001A1A12"/>
    <w:rsid w:val="001A1C0A"/>
    <w:rsid w:val="001A1D3A"/>
    <w:rsid w:val="001A1E95"/>
    <w:rsid w:val="001A20C0"/>
    <w:rsid w:val="001A2117"/>
    <w:rsid w:val="001A21B6"/>
    <w:rsid w:val="001A21C9"/>
    <w:rsid w:val="001A24E1"/>
    <w:rsid w:val="001A25F2"/>
    <w:rsid w:val="001A26DE"/>
    <w:rsid w:val="001A27D1"/>
    <w:rsid w:val="001A2DEC"/>
    <w:rsid w:val="001A2DFD"/>
    <w:rsid w:val="001A30BE"/>
    <w:rsid w:val="001A3366"/>
    <w:rsid w:val="001A38E1"/>
    <w:rsid w:val="001A3992"/>
    <w:rsid w:val="001A39E2"/>
    <w:rsid w:val="001A3A16"/>
    <w:rsid w:val="001A3AEE"/>
    <w:rsid w:val="001A3B1F"/>
    <w:rsid w:val="001A3CF5"/>
    <w:rsid w:val="001A3D59"/>
    <w:rsid w:val="001A3E84"/>
    <w:rsid w:val="001A3F00"/>
    <w:rsid w:val="001A3F8C"/>
    <w:rsid w:val="001A405D"/>
    <w:rsid w:val="001A4104"/>
    <w:rsid w:val="001A456E"/>
    <w:rsid w:val="001A45CF"/>
    <w:rsid w:val="001A46A1"/>
    <w:rsid w:val="001A4757"/>
    <w:rsid w:val="001A48DB"/>
    <w:rsid w:val="001A49B3"/>
    <w:rsid w:val="001A4A3D"/>
    <w:rsid w:val="001A4B3D"/>
    <w:rsid w:val="001A4D13"/>
    <w:rsid w:val="001A4D17"/>
    <w:rsid w:val="001A4D53"/>
    <w:rsid w:val="001A4D6B"/>
    <w:rsid w:val="001A5066"/>
    <w:rsid w:val="001A51B1"/>
    <w:rsid w:val="001A528A"/>
    <w:rsid w:val="001A52AE"/>
    <w:rsid w:val="001A5349"/>
    <w:rsid w:val="001A53D2"/>
    <w:rsid w:val="001A53EF"/>
    <w:rsid w:val="001A5440"/>
    <w:rsid w:val="001A54D2"/>
    <w:rsid w:val="001A56B2"/>
    <w:rsid w:val="001A573A"/>
    <w:rsid w:val="001A57D5"/>
    <w:rsid w:val="001A5B1E"/>
    <w:rsid w:val="001A5B2F"/>
    <w:rsid w:val="001A5C16"/>
    <w:rsid w:val="001A5C62"/>
    <w:rsid w:val="001A5D88"/>
    <w:rsid w:val="001A5FBF"/>
    <w:rsid w:val="001A6034"/>
    <w:rsid w:val="001A60EC"/>
    <w:rsid w:val="001A6512"/>
    <w:rsid w:val="001A6534"/>
    <w:rsid w:val="001A6562"/>
    <w:rsid w:val="001A6702"/>
    <w:rsid w:val="001A6773"/>
    <w:rsid w:val="001A6B3D"/>
    <w:rsid w:val="001A6C08"/>
    <w:rsid w:val="001A6CC8"/>
    <w:rsid w:val="001A6D61"/>
    <w:rsid w:val="001A6D88"/>
    <w:rsid w:val="001A6EAF"/>
    <w:rsid w:val="001A70B8"/>
    <w:rsid w:val="001A7113"/>
    <w:rsid w:val="001A711F"/>
    <w:rsid w:val="001A717C"/>
    <w:rsid w:val="001A71D9"/>
    <w:rsid w:val="001A7207"/>
    <w:rsid w:val="001A7228"/>
    <w:rsid w:val="001A74B6"/>
    <w:rsid w:val="001A74BB"/>
    <w:rsid w:val="001A74CC"/>
    <w:rsid w:val="001A74CF"/>
    <w:rsid w:val="001A74E1"/>
    <w:rsid w:val="001A7849"/>
    <w:rsid w:val="001A78AB"/>
    <w:rsid w:val="001A78D0"/>
    <w:rsid w:val="001A7A1C"/>
    <w:rsid w:val="001A7ACA"/>
    <w:rsid w:val="001A7AEC"/>
    <w:rsid w:val="001A7E49"/>
    <w:rsid w:val="001A7E55"/>
    <w:rsid w:val="001A7E7E"/>
    <w:rsid w:val="001A7ED7"/>
    <w:rsid w:val="001A7FB1"/>
    <w:rsid w:val="001B0109"/>
    <w:rsid w:val="001B0138"/>
    <w:rsid w:val="001B025D"/>
    <w:rsid w:val="001B06B3"/>
    <w:rsid w:val="001B0724"/>
    <w:rsid w:val="001B0872"/>
    <w:rsid w:val="001B0AD2"/>
    <w:rsid w:val="001B0B16"/>
    <w:rsid w:val="001B0BA6"/>
    <w:rsid w:val="001B0DB2"/>
    <w:rsid w:val="001B0F36"/>
    <w:rsid w:val="001B0F4A"/>
    <w:rsid w:val="001B0F94"/>
    <w:rsid w:val="001B12F4"/>
    <w:rsid w:val="001B15E3"/>
    <w:rsid w:val="001B15FC"/>
    <w:rsid w:val="001B1627"/>
    <w:rsid w:val="001B16AF"/>
    <w:rsid w:val="001B179C"/>
    <w:rsid w:val="001B18C3"/>
    <w:rsid w:val="001B19B8"/>
    <w:rsid w:val="001B1A66"/>
    <w:rsid w:val="001B1AB7"/>
    <w:rsid w:val="001B1B97"/>
    <w:rsid w:val="001B1CA4"/>
    <w:rsid w:val="001B1D01"/>
    <w:rsid w:val="001B1D82"/>
    <w:rsid w:val="001B1FDD"/>
    <w:rsid w:val="001B202B"/>
    <w:rsid w:val="001B2075"/>
    <w:rsid w:val="001B21A7"/>
    <w:rsid w:val="001B22AC"/>
    <w:rsid w:val="001B23DA"/>
    <w:rsid w:val="001B23FF"/>
    <w:rsid w:val="001B2485"/>
    <w:rsid w:val="001B2605"/>
    <w:rsid w:val="001B293B"/>
    <w:rsid w:val="001B2947"/>
    <w:rsid w:val="001B2B0A"/>
    <w:rsid w:val="001B2C5A"/>
    <w:rsid w:val="001B2D3C"/>
    <w:rsid w:val="001B2E00"/>
    <w:rsid w:val="001B2E5B"/>
    <w:rsid w:val="001B2E5E"/>
    <w:rsid w:val="001B2EE6"/>
    <w:rsid w:val="001B31A8"/>
    <w:rsid w:val="001B36A4"/>
    <w:rsid w:val="001B3860"/>
    <w:rsid w:val="001B3A9C"/>
    <w:rsid w:val="001B3CB7"/>
    <w:rsid w:val="001B3FD5"/>
    <w:rsid w:val="001B401E"/>
    <w:rsid w:val="001B407D"/>
    <w:rsid w:val="001B4181"/>
    <w:rsid w:val="001B41C6"/>
    <w:rsid w:val="001B4282"/>
    <w:rsid w:val="001B42BA"/>
    <w:rsid w:val="001B43CF"/>
    <w:rsid w:val="001B4521"/>
    <w:rsid w:val="001B4781"/>
    <w:rsid w:val="001B4A6E"/>
    <w:rsid w:val="001B4BC5"/>
    <w:rsid w:val="001B4D6A"/>
    <w:rsid w:val="001B4ECC"/>
    <w:rsid w:val="001B4EE9"/>
    <w:rsid w:val="001B5177"/>
    <w:rsid w:val="001B51B9"/>
    <w:rsid w:val="001B51C4"/>
    <w:rsid w:val="001B52AE"/>
    <w:rsid w:val="001B52B0"/>
    <w:rsid w:val="001B53EB"/>
    <w:rsid w:val="001B566A"/>
    <w:rsid w:val="001B56BC"/>
    <w:rsid w:val="001B5789"/>
    <w:rsid w:val="001B584F"/>
    <w:rsid w:val="001B5903"/>
    <w:rsid w:val="001B5C19"/>
    <w:rsid w:val="001B5FF0"/>
    <w:rsid w:val="001B5FFB"/>
    <w:rsid w:val="001B61FB"/>
    <w:rsid w:val="001B63AB"/>
    <w:rsid w:val="001B64F6"/>
    <w:rsid w:val="001B6557"/>
    <w:rsid w:val="001B6596"/>
    <w:rsid w:val="001B69FE"/>
    <w:rsid w:val="001B6AE3"/>
    <w:rsid w:val="001B6D69"/>
    <w:rsid w:val="001B6EB0"/>
    <w:rsid w:val="001B6F95"/>
    <w:rsid w:val="001B703F"/>
    <w:rsid w:val="001B71F6"/>
    <w:rsid w:val="001B7211"/>
    <w:rsid w:val="001B72A3"/>
    <w:rsid w:val="001B72B8"/>
    <w:rsid w:val="001B73A0"/>
    <w:rsid w:val="001B74DC"/>
    <w:rsid w:val="001B758B"/>
    <w:rsid w:val="001B7893"/>
    <w:rsid w:val="001B78E2"/>
    <w:rsid w:val="001B796C"/>
    <w:rsid w:val="001B7B08"/>
    <w:rsid w:val="001B7B0D"/>
    <w:rsid w:val="001B7B86"/>
    <w:rsid w:val="001B7B9D"/>
    <w:rsid w:val="001B7BF0"/>
    <w:rsid w:val="001B7CA6"/>
    <w:rsid w:val="001B7EC3"/>
    <w:rsid w:val="001B7EDC"/>
    <w:rsid w:val="001C0030"/>
    <w:rsid w:val="001C006E"/>
    <w:rsid w:val="001C010F"/>
    <w:rsid w:val="001C01D7"/>
    <w:rsid w:val="001C03BF"/>
    <w:rsid w:val="001C0467"/>
    <w:rsid w:val="001C0540"/>
    <w:rsid w:val="001C07DD"/>
    <w:rsid w:val="001C07FE"/>
    <w:rsid w:val="001C0812"/>
    <w:rsid w:val="001C082B"/>
    <w:rsid w:val="001C089B"/>
    <w:rsid w:val="001C0AD4"/>
    <w:rsid w:val="001C0B33"/>
    <w:rsid w:val="001C0BD8"/>
    <w:rsid w:val="001C0D87"/>
    <w:rsid w:val="001C0EBE"/>
    <w:rsid w:val="001C0EE3"/>
    <w:rsid w:val="001C0F07"/>
    <w:rsid w:val="001C0F3F"/>
    <w:rsid w:val="001C10C6"/>
    <w:rsid w:val="001C11D6"/>
    <w:rsid w:val="001C137F"/>
    <w:rsid w:val="001C13B8"/>
    <w:rsid w:val="001C143B"/>
    <w:rsid w:val="001C1582"/>
    <w:rsid w:val="001C162C"/>
    <w:rsid w:val="001C1844"/>
    <w:rsid w:val="001C196A"/>
    <w:rsid w:val="001C19CD"/>
    <w:rsid w:val="001C1BD5"/>
    <w:rsid w:val="001C1C29"/>
    <w:rsid w:val="001C1F17"/>
    <w:rsid w:val="001C1F21"/>
    <w:rsid w:val="001C1F4B"/>
    <w:rsid w:val="001C1F80"/>
    <w:rsid w:val="001C222C"/>
    <w:rsid w:val="001C233C"/>
    <w:rsid w:val="001C2454"/>
    <w:rsid w:val="001C24A2"/>
    <w:rsid w:val="001C24C2"/>
    <w:rsid w:val="001C2524"/>
    <w:rsid w:val="001C25B5"/>
    <w:rsid w:val="001C262C"/>
    <w:rsid w:val="001C263D"/>
    <w:rsid w:val="001C26C6"/>
    <w:rsid w:val="001C274C"/>
    <w:rsid w:val="001C27D6"/>
    <w:rsid w:val="001C283D"/>
    <w:rsid w:val="001C2842"/>
    <w:rsid w:val="001C29B5"/>
    <w:rsid w:val="001C2A8B"/>
    <w:rsid w:val="001C2B27"/>
    <w:rsid w:val="001C2B34"/>
    <w:rsid w:val="001C2B69"/>
    <w:rsid w:val="001C2BE0"/>
    <w:rsid w:val="001C300E"/>
    <w:rsid w:val="001C3054"/>
    <w:rsid w:val="001C3320"/>
    <w:rsid w:val="001C33F8"/>
    <w:rsid w:val="001C3477"/>
    <w:rsid w:val="001C36F6"/>
    <w:rsid w:val="001C39BC"/>
    <w:rsid w:val="001C3CED"/>
    <w:rsid w:val="001C4005"/>
    <w:rsid w:val="001C401B"/>
    <w:rsid w:val="001C42B7"/>
    <w:rsid w:val="001C43D7"/>
    <w:rsid w:val="001C44A2"/>
    <w:rsid w:val="001C4544"/>
    <w:rsid w:val="001C45D5"/>
    <w:rsid w:val="001C468E"/>
    <w:rsid w:val="001C4767"/>
    <w:rsid w:val="001C4A4D"/>
    <w:rsid w:val="001C4C2A"/>
    <w:rsid w:val="001C4CA1"/>
    <w:rsid w:val="001C4D6E"/>
    <w:rsid w:val="001C4F47"/>
    <w:rsid w:val="001C500C"/>
    <w:rsid w:val="001C54CC"/>
    <w:rsid w:val="001C55BD"/>
    <w:rsid w:val="001C5650"/>
    <w:rsid w:val="001C5659"/>
    <w:rsid w:val="001C57D0"/>
    <w:rsid w:val="001C5961"/>
    <w:rsid w:val="001C5B7D"/>
    <w:rsid w:val="001C5D20"/>
    <w:rsid w:val="001C5F1C"/>
    <w:rsid w:val="001C5FD8"/>
    <w:rsid w:val="001C609D"/>
    <w:rsid w:val="001C630B"/>
    <w:rsid w:val="001C64F6"/>
    <w:rsid w:val="001C660C"/>
    <w:rsid w:val="001C66D6"/>
    <w:rsid w:val="001C679D"/>
    <w:rsid w:val="001C6850"/>
    <w:rsid w:val="001C688C"/>
    <w:rsid w:val="001C6A2D"/>
    <w:rsid w:val="001C6B7C"/>
    <w:rsid w:val="001C6C02"/>
    <w:rsid w:val="001C6D4F"/>
    <w:rsid w:val="001C6E86"/>
    <w:rsid w:val="001C6EB0"/>
    <w:rsid w:val="001C7286"/>
    <w:rsid w:val="001C747C"/>
    <w:rsid w:val="001C754D"/>
    <w:rsid w:val="001C771E"/>
    <w:rsid w:val="001C78BB"/>
    <w:rsid w:val="001C7A34"/>
    <w:rsid w:val="001C7D6F"/>
    <w:rsid w:val="001C7DAE"/>
    <w:rsid w:val="001C7E52"/>
    <w:rsid w:val="001C7EBE"/>
    <w:rsid w:val="001C7F7D"/>
    <w:rsid w:val="001D001F"/>
    <w:rsid w:val="001D01EA"/>
    <w:rsid w:val="001D0361"/>
    <w:rsid w:val="001D0362"/>
    <w:rsid w:val="001D0382"/>
    <w:rsid w:val="001D0389"/>
    <w:rsid w:val="001D03A7"/>
    <w:rsid w:val="001D0502"/>
    <w:rsid w:val="001D05BD"/>
    <w:rsid w:val="001D062A"/>
    <w:rsid w:val="001D0641"/>
    <w:rsid w:val="001D0A7E"/>
    <w:rsid w:val="001D0A9F"/>
    <w:rsid w:val="001D0CEC"/>
    <w:rsid w:val="001D0E6E"/>
    <w:rsid w:val="001D0F68"/>
    <w:rsid w:val="001D0F8E"/>
    <w:rsid w:val="001D120C"/>
    <w:rsid w:val="001D124B"/>
    <w:rsid w:val="001D142A"/>
    <w:rsid w:val="001D14FF"/>
    <w:rsid w:val="001D1780"/>
    <w:rsid w:val="001D19C2"/>
    <w:rsid w:val="001D1B38"/>
    <w:rsid w:val="001D1B91"/>
    <w:rsid w:val="001D1B96"/>
    <w:rsid w:val="001D1C79"/>
    <w:rsid w:val="001D1E25"/>
    <w:rsid w:val="001D1F1E"/>
    <w:rsid w:val="001D1FBD"/>
    <w:rsid w:val="001D206E"/>
    <w:rsid w:val="001D2195"/>
    <w:rsid w:val="001D21E4"/>
    <w:rsid w:val="001D2366"/>
    <w:rsid w:val="001D237D"/>
    <w:rsid w:val="001D2427"/>
    <w:rsid w:val="001D24C2"/>
    <w:rsid w:val="001D24D9"/>
    <w:rsid w:val="001D2601"/>
    <w:rsid w:val="001D264A"/>
    <w:rsid w:val="001D27C4"/>
    <w:rsid w:val="001D2933"/>
    <w:rsid w:val="001D2969"/>
    <w:rsid w:val="001D2AD6"/>
    <w:rsid w:val="001D2B31"/>
    <w:rsid w:val="001D2C8F"/>
    <w:rsid w:val="001D2D02"/>
    <w:rsid w:val="001D2DE2"/>
    <w:rsid w:val="001D2E1E"/>
    <w:rsid w:val="001D2E6A"/>
    <w:rsid w:val="001D30DA"/>
    <w:rsid w:val="001D3165"/>
    <w:rsid w:val="001D3183"/>
    <w:rsid w:val="001D32E8"/>
    <w:rsid w:val="001D3361"/>
    <w:rsid w:val="001D34E9"/>
    <w:rsid w:val="001D3573"/>
    <w:rsid w:val="001D36B5"/>
    <w:rsid w:val="001D3827"/>
    <w:rsid w:val="001D3A30"/>
    <w:rsid w:val="001D3B10"/>
    <w:rsid w:val="001D3B36"/>
    <w:rsid w:val="001D3C6C"/>
    <w:rsid w:val="001D3CD3"/>
    <w:rsid w:val="001D3D03"/>
    <w:rsid w:val="001D3D09"/>
    <w:rsid w:val="001D3D1F"/>
    <w:rsid w:val="001D3D3B"/>
    <w:rsid w:val="001D3DAE"/>
    <w:rsid w:val="001D3FD6"/>
    <w:rsid w:val="001D4019"/>
    <w:rsid w:val="001D41A7"/>
    <w:rsid w:val="001D4361"/>
    <w:rsid w:val="001D4459"/>
    <w:rsid w:val="001D45F0"/>
    <w:rsid w:val="001D472E"/>
    <w:rsid w:val="001D480E"/>
    <w:rsid w:val="001D49F1"/>
    <w:rsid w:val="001D4A4D"/>
    <w:rsid w:val="001D4B08"/>
    <w:rsid w:val="001D4C13"/>
    <w:rsid w:val="001D4CF0"/>
    <w:rsid w:val="001D4D26"/>
    <w:rsid w:val="001D5130"/>
    <w:rsid w:val="001D5365"/>
    <w:rsid w:val="001D5394"/>
    <w:rsid w:val="001D53D9"/>
    <w:rsid w:val="001D54BA"/>
    <w:rsid w:val="001D54D6"/>
    <w:rsid w:val="001D5513"/>
    <w:rsid w:val="001D5578"/>
    <w:rsid w:val="001D55C8"/>
    <w:rsid w:val="001D577B"/>
    <w:rsid w:val="001D57AF"/>
    <w:rsid w:val="001D5817"/>
    <w:rsid w:val="001D5818"/>
    <w:rsid w:val="001D5844"/>
    <w:rsid w:val="001D59AE"/>
    <w:rsid w:val="001D5A01"/>
    <w:rsid w:val="001D5BAE"/>
    <w:rsid w:val="001D5C0D"/>
    <w:rsid w:val="001D5DE0"/>
    <w:rsid w:val="001D6078"/>
    <w:rsid w:val="001D6178"/>
    <w:rsid w:val="001D61ED"/>
    <w:rsid w:val="001D6254"/>
    <w:rsid w:val="001D6288"/>
    <w:rsid w:val="001D62C2"/>
    <w:rsid w:val="001D6477"/>
    <w:rsid w:val="001D64C8"/>
    <w:rsid w:val="001D65B5"/>
    <w:rsid w:val="001D6632"/>
    <w:rsid w:val="001D67A8"/>
    <w:rsid w:val="001D67AD"/>
    <w:rsid w:val="001D67F3"/>
    <w:rsid w:val="001D686E"/>
    <w:rsid w:val="001D69A2"/>
    <w:rsid w:val="001D6A24"/>
    <w:rsid w:val="001D6A30"/>
    <w:rsid w:val="001D6A6D"/>
    <w:rsid w:val="001D6CAF"/>
    <w:rsid w:val="001D6E46"/>
    <w:rsid w:val="001D6F72"/>
    <w:rsid w:val="001D70B3"/>
    <w:rsid w:val="001D70C5"/>
    <w:rsid w:val="001D7187"/>
    <w:rsid w:val="001D725C"/>
    <w:rsid w:val="001D738F"/>
    <w:rsid w:val="001D7422"/>
    <w:rsid w:val="001D76B4"/>
    <w:rsid w:val="001D7826"/>
    <w:rsid w:val="001D78A2"/>
    <w:rsid w:val="001D792D"/>
    <w:rsid w:val="001D79AD"/>
    <w:rsid w:val="001D79F1"/>
    <w:rsid w:val="001D7A3E"/>
    <w:rsid w:val="001D7A5E"/>
    <w:rsid w:val="001D7BD7"/>
    <w:rsid w:val="001D7C65"/>
    <w:rsid w:val="001D7ED2"/>
    <w:rsid w:val="001E0004"/>
    <w:rsid w:val="001E004E"/>
    <w:rsid w:val="001E016B"/>
    <w:rsid w:val="001E04B4"/>
    <w:rsid w:val="001E0589"/>
    <w:rsid w:val="001E059C"/>
    <w:rsid w:val="001E075E"/>
    <w:rsid w:val="001E0878"/>
    <w:rsid w:val="001E0A25"/>
    <w:rsid w:val="001E0A4A"/>
    <w:rsid w:val="001E0AE6"/>
    <w:rsid w:val="001E0B5C"/>
    <w:rsid w:val="001E0BD2"/>
    <w:rsid w:val="001E0C55"/>
    <w:rsid w:val="001E0D0B"/>
    <w:rsid w:val="001E0EA2"/>
    <w:rsid w:val="001E0F4C"/>
    <w:rsid w:val="001E0F55"/>
    <w:rsid w:val="001E1078"/>
    <w:rsid w:val="001E10D2"/>
    <w:rsid w:val="001E12EE"/>
    <w:rsid w:val="001E13E0"/>
    <w:rsid w:val="001E14EE"/>
    <w:rsid w:val="001E15AB"/>
    <w:rsid w:val="001E15FE"/>
    <w:rsid w:val="001E1A19"/>
    <w:rsid w:val="001E1A9E"/>
    <w:rsid w:val="001E1AF7"/>
    <w:rsid w:val="001E1B87"/>
    <w:rsid w:val="001E1C82"/>
    <w:rsid w:val="001E1FC0"/>
    <w:rsid w:val="001E2067"/>
    <w:rsid w:val="001E2508"/>
    <w:rsid w:val="001E2C10"/>
    <w:rsid w:val="001E2C76"/>
    <w:rsid w:val="001E2DE1"/>
    <w:rsid w:val="001E2E05"/>
    <w:rsid w:val="001E2F3D"/>
    <w:rsid w:val="001E311B"/>
    <w:rsid w:val="001E31EB"/>
    <w:rsid w:val="001E3272"/>
    <w:rsid w:val="001E3479"/>
    <w:rsid w:val="001E349B"/>
    <w:rsid w:val="001E34F4"/>
    <w:rsid w:val="001E35DA"/>
    <w:rsid w:val="001E37B9"/>
    <w:rsid w:val="001E3832"/>
    <w:rsid w:val="001E3995"/>
    <w:rsid w:val="001E39AA"/>
    <w:rsid w:val="001E3AB8"/>
    <w:rsid w:val="001E3B42"/>
    <w:rsid w:val="001E3B69"/>
    <w:rsid w:val="001E3BF3"/>
    <w:rsid w:val="001E3F25"/>
    <w:rsid w:val="001E41FC"/>
    <w:rsid w:val="001E4252"/>
    <w:rsid w:val="001E4253"/>
    <w:rsid w:val="001E442C"/>
    <w:rsid w:val="001E4515"/>
    <w:rsid w:val="001E4564"/>
    <w:rsid w:val="001E466B"/>
    <w:rsid w:val="001E4823"/>
    <w:rsid w:val="001E484C"/>
    <w:rsid w:val="001E499E"/>
    <w:rsid w:val="001E4A1A"/>
    <w:rsid w:val="001E4A2D"/>
    <w:rsid w:val="001E4ED7"/>
    <w:rsid w:val="001E5010"/>
    <w:rsid w:val="001E5091"/>
    <w:rsid w:val="001E50A0"/>
    <w:rsid w:val="001E53FB"/>
    <w:rsid w:val="001E5625"/>
    <w:rsid w:val="001E578E"/>
    <w:rsid w:val="001E57F1"/>
    <w:rsid w:val="001E5A1F"/>
    <w:rsid w:val="001E5BA0"/>
    <w:rsid w:val="001E5C3E"/>
    <w:rsid w:val="001E5F2E"/>
    <w:rsid w:val="001E610F"/>
    <w:rsid w:val="001E620F"/>
    <w:rsid w:val="001E62D5"/>
    <w:rsid w:val="001E6305"/>
    <w:rsid w:val="001E63E3"/>
    <w:rsid w:val="001E6515"/>
    <w:rsid w:val="001E6525"/>
    <w:rsid w:val="001E6555"/>
    <w:rsid w:val="001E65D0"/>
    <w:rsid w:val="001E6B30"/>
    <w:rsid w:val="001E6C84"/>
    <w:rsid w:val="001E6DB5"/>
    <w:rsid w:val="001E6F51"/>
    <w:rsid w:val="001E7039"/>
    <w:rsid w:val="001E7101"/>
    <w:rsid w:val="001E71CA"/>
    <w:rsid w:val="001E726E"/>
    <w:rsid w:val="001E727A"/>
    <w:rsid w:val="001E73E0"/>
    <w:rsid w:val="001E73EC"/>
    <w:rsid w:val="001E75DE"/>
    <w:rsid w:val="001E7672"/>
    <w:rsid w:val="001E7779"/>
    <w:rsid w:val="001E7931"/>
    <w:rsid w:val="001E7AC8"/>
    <w:rsid w:val="001E7CA0"/>
    <w:rsid w:val="001E7D3E"/>
    <w:rsid w:val="001E7EA6"/>
    <w:rsid w:val="001F00B5"/>
    <w:rsid w:val="001F01D5"/>
    <w:rsid w:val="001F02A0"/>
    <w:rsid w:val="001F02A1"/>
    <w:rsid w:val="001F02F6"/>
    <w:rsid w:val="001F032D"/>
    <w:rsid w:val="001F061B"/>
    <w:rsid w:val="001F06BA"/>
    <w:rsid w:val="001F074B"/>
    <w:rsid w:val="001F0793"/>
    <w:rsid w:val="001F08FA"/>
    <w:rsid w:val="001F0D4A"/>
    <w:rsid w:val="001F0E14"/>
    <w:rsid w:val="001F0EB5"/>
    <w:rsid w:val="001F0EED"/>
    <w:rsid w:val="001F0F2B"/>
    <w:rsid w:val="001F10AF"/>
    <w:rsid w:val="001F10BE"/>
    <w:rsid w:val="001F13F2"/>
    <w:rsid w:val="001F14C8"/>
    <w:rsid w:val="001F1526"/>
    <w:rsid w:val="001F15EE"/>
    <w:rsid w:val="001F17D7"/>
    <w:rsid w:val="001F18ED"/>
    <w:rsid w:val="001F1936"/>
    <w:rsid w:val="001F19E6"/>
    <w:rsid w:val="001F1AA0"/>
    <w:rsid w:val="001F1AA5"/>
    <w:rsid w:val="001F1AE6"/>
    <w:rsid w:val="001F1D85"/>
    <w:rsid w:val="001F1F22"/>
    <w:rsid w:val="001F209A"/>
    <w:rsid w:val="001F211B"/>
    <w:rsid w:val="001F21FB"/>
    <w:rsid w:val="001F225D"/>
    <w:rsid w:val="001F235E"/>
    <w:rsid w:val="001F2D0A"/>
    <w:rsid w:val="001F2D3F"/>
    <w:rsid w:val="001F2EBF"/>
    <w:rsid w:val="001F3032"/>
    <w:rsid w:val="001F305D"/>
    <w:rsid w:val="001F3235"/>
    <w:rsid w:val="001F333E"/>
    <w:rsid w:val="001F3499"/>
    <w:rsid w:val="001F34AE"/>
    <w:rsid w:val="001F3548"/>
    <w:rsid w:val="001F35DA"/>
    <w:rsid w:val="001F35EB"/>
    <w:rsid w:val="001F3747"/>
    <w:rsid w:val="001F3799"/>
    <w:rsid w:val="001F37AD"/>
    <w:rsid w:val="001F38BE"/>
    <w:rsid w:val="001F3950"/>
    <w:rsid w:val="001F3A6C"/>
    <w:rsid w:val="001F3A73"/>
    <w:rsid w:val="001F3BE8"/>
    <w:rsid w:val="001F3C6A"/>
    <w:rsid w:val="001F4084"/>
    <w:rsid w:val="001F40C5"/>
    <w:rsid w:val="001F455C"/>
    <w:rsid w:val="001F464B"/>
    <w:rsid w:val="001F4682"/>
    <w:rsid w:val="001F46B0"/>
    <w:rsid w:val="001F46DA"/>
    <w:rsid w:val="001F4A0E"/>
    <w:rsid w:val="001F4A46"/>
    <w:rsid w:val="001F4AEC"/>
    <w:rsid w:val="001F4B59"/>
    <w:rsid w:val="001F4F89"/>
    <w:rsid w:val="001F5267"/>
    <w:rsid w:val="001F52A7"/>
    <w:rsid w:val="001F5315"/>
    <w:rsid w:val="001F5480"/>
    <w:rsid w:val="001F55D6"/>
    <w:rsid w:val="001F57A1"/>
    <w:rsid w:val="001F57FB"/>
    <w:rsid w:val="001F589D"/>
    <w:rsid w:val="001F5A8E"/>
    <w:rsid w:val="001F5B75"/>
    <w:rsid w:val="001F5BE7"/>
    <w:rsid w:val="001F5C6D"/>
    <w:rsid w:val="001F5D79"/>
    <w:rsid w:val="001F5E99"/>
    <w:rsid w:val="001F6007"/>
    <w:rsid w:val="001F6139"/>
    <w:rsid w:val="001F61B8"/>
    <w:rsid w:val="001F624D"/>
    <w:rsid w:val="001F66DD"/>
    <w:rsid w:val="001F6753"/>
    <w:rsid w:val="001F6839"/>
    <w:rsid w:val="001F6992"/>
    <w:rsid w:val="001F69A5"/>
    <w:rsid w:val="001F69AA"/>
    <w:rsid w:val="001F6B05"/>
    <w:rsid w:val="001F6E48"/>
    <w:rsid w:val="001F6FCF"/>
    <w:rsid w:val="001F725D"/>
    <w:rsid w:val="001F7265"/>
    <w:rsid w:val="001F7362"/>
    <w:rsid w:val="001F765F"/>
    <w:rsid w:val="001F7693"/>
    <w:rsid w:val="001F7811"/>
    <w:rsid w:val="001F7821"/>
    <w:rsid w:val="001F79A8"/>
    <w:rsid w:val="001F79FB"/>
    <w:rsid w:val="001F7A45"/>
    <w:rsid w:val="001F7A7D"/>
    <w:rsid w:val="001F7AB5"/>
    <w:rsid w:val="001F7BC9"/>
    <w:rsid w:val="001F7C1F"/>
    <w:rsid w:val="001F7CAD"/>
    <w:rsid w:val="001F7D7F"/>
    <w:rsid w:val="001F7E9C"/>
    <w:rsid w:val="001F7F04"/>
    <w:rsid w:val="002000F6"/>
    <w:rsid w:val="00200492"/>
    <w:rsid w:val="0020049F"/>
    <w:rsid w:val="00200604"/>
    <w:rsid w:val="002007F7"/>
    <w:rsid w:val="00200A34"/>
    <w:rsid w:val="00200B0B"/>
    <w:rsid w:val="00200CA1"/>
    <w:rsid w:val="00200CA4"/>
    <w:rsid w:val="00200D7C"/>
    <w:rsid w:val="00200D99"/>
    <w:rsid w:val="00200E1C"/>
    <w:rsid w:val="00200F6A"/>
    <w:rsid w:val="002011CE"/>
    <w:rsid w:val="002013A5"/>
    <w:rsid w:val="0020143D"/>
    <w:rsid w:val="00201655"/>
    <w:rsid w:val="00201709"/>
    <w:rsid w:val="0020197B"/>
    <w:rsid w:val="00201B4E"/>
    <w:rsid w:val="00201DBA"/>
    <w:rsid w:val="00201E0B"/>
    <w:rsid w:val="00201F8E"/>
    <w:rsid w:val="0020202E"/>
    <w:rsid w:val="002020B5"/>
    <w:rsid w:val="0020219D"/>
    <w:rsid w:val="0020226F"/>
    <w:rsid w:val="00202270"/>
    <w:rsid w:val="00202292"/>
    <w:rsid w:val="002022D6"/>
    <w:rsid w:val="00202380"/>
    <w:rsid w:val="002023F8"/>
    <w:rsid w:val="002026D9"/>
    <w:rsid w:val="0020285D"/>
    <w:rsid w:val="0020289F"/>
    <w:rsid w:val="00202988"/>
    <w:rsid w:val="002029B7"/>
    <w:rsid w:val="002029F2"/>
    <w:rsid w:val="00202A93"/>
    <w:rsid w:val="00202B42"/>
    <w:rsid w:val="00202B80"/>
    <w:rsid w:val="00202BCD"/>
    <w:rsid w:val="00202C09"/>
    <w:rsid w:val="00202C7D"/>
    <w:rsid w:val="00202ECD"/>
    <w:rsid w:val="00202F88"/>
    <w:rsid w:val="002031FD"/>
    <w:rsid w:val="00203212"/>
    <w:rsid w:val="0020333E"/>
    <w:rsid w:val="00203439"/>
    <w:rsid w:val="00203446"/>
    <w:rsid w:val="002035DB"/>
    <w:rsid w:val="00203699"/>
    <w:rsid w:val="002036A8"/>
    <w:rsid w:val="0020382B"/>
    <w:rsid w:val="00203C41"/>
    <w:rsid w:val="00203C52"/>
    <w:rsid w:val="00203E7F"/>
    <w:rsid w:val="00203F8B"/>
    <w:rsid w:val="00203FD6"/>
    <w:rsid w:val="00204158"/>
    <w:rsid w:val="00204176"/>
    <w:rsid w:val="002041CB"/>
    <w:rsid w:val="00204221"/>
    <w:rsid w:val="00204339"/>
    <w:rsid w:val="002046D7"/>
    <w:rsid w:val="002048A9"/>
    <w:rsid w:val="00204968"/>
    <w:rsid w:val="00204AD1"/>
    <w:rsid w:val="00204BFE"/>
    <w:rsid w:val="00204CBA"/>
    <w:rsid w:val="00204D23"/>
    <w:rsid w:val="00204D98"/>
    <w:rsid w:val="00204DDD"/>
    <w:rsid w:val="00204E9A"/>
    <w:rsid w:val="00205042"/>
    <w:rsid w:val="002050B2"/>
    <w:rsid w:val="0020517C"/>
    <w:rsid w:val="002053EC"/>
    <w:rsid w:val="00205402"/>
    <w:rsid w:val="002054F4"/>
    <w:rsid w:val="00205535"/>
    <w:rsid w:val="002055A0"/>
    <w:rsid w:val="00205658"/>
    <w:rsid w:val="002058C7"/>
    <w:rsid w:val="002058D2"/>
    <w:rsid w:val="002058EE"/>
    <w:rsid w:val="00205930"/>
    <w:rsid w:val="0020594F"/>
    <w:rsid w:val="0020596D"/>
    <w:rsid w:val="00205A54"/>
    <w:rsid w:val="00205CEF"/>
    <w:rsid w:val="00205DBE"/>
    <w:rsid w:val="00205EF7"/>
    <w:rsid w:val="00205F3B"/>
    <w:rsid w:val="00205F8B"/>
    <w:rsid w:val="00205FC5"/>
    <w:rsid w:val="0020639E"/>
    <w:rsid w:val="002066C3"/>
    <w:rsid w:val="0020671C"/>
    <w:rsid w:val="00206760"/>
    <w:rsid w:val="0020678E"/>
    <w:rsid w:val="002069DC"/>
    <w:rsid w:val="00206AC9"/>
    <w:rsid w:val="00206BB8"/>
    <w:rsid w:val="00206CFF"/>
    <w:rsid w:val="00206D51"/>
    <w:rsid w:val="00207089"/>
    <w:rsid w:val="00207264"/>
    <w:rsid w:val="002073F1"/>
    <w:rsid w:val="002073FC"/>
    <w:rsid w:val="0020741B"/>
    <w:rsid w:val="00207607"/>
    <w:rsid w:val="00207900"/>
    <w:rsid w:val="0020791D"/>
    <w:rsid w:val="0020794B"/>
    <w:rsid w:val="00207A62"/>
    <w:rsid w:val="00207A6B"/>
    <w:rsid w:val="00207C39"/>
    <w:rsid w:val="00207CF5"/>
    <w:rsid w:val="00207DD6"/>
    <w:rsid w:val="002102CE"/>
    <w:rsid w:val="00210397"/>
    <w:rsid w:val="0021046B"/>
    <w:rsid w:val="0021054E"/>
    <w:rsid w:val="0021073A"/>
    <w:rsid w:val="002107A7"/>
    <w:rsid w:val="00210850"/>
    <w:rsid w:val="002108DA"/>
    <w:rsid w:val="00210A46"/>
    <w:rsid w:val="00210AE8"/>
    <w:rsid w:val="00210CE1"/>
    <w:rsid w:val="00210DC8"/>
    <w:rsid w:val="00211084"/>
    <w:rsid w:val="002110E5"/>
    <w:rsid w:val="00211358"/>
    <w:rsid w:val="00211367"/>
    <w:rsid w:val="0021147C"/>
    <w:rsid w:val="002114A3"/>
    <w:rsid w:val="00211513"/>
    <w:rsid w:val="00211676"/>
    <w:rsid w:val="002119FE"/>
    <w:rsid w:val="00211A77"/>
    <w:rsid w:val="00211B9C"/>
    <w:rsid w:val="00211C21"/>
    <w:rsid w:val="00211D5B"/>
    <w:rsid w:val="00211E50"/>
    <w:rsid w:val="002121DC"/>
    <w:rsid w:val="00212217"/>
    <w:rsid w:val="00212329"/>
    <w:rsid w:val="0021232B"/>
    <w:rsid w:val="00212462"/>
    <w:rsid w:val="002124D1"/>
    <w:rsid w:val="00212677"/>
    <w:rsid w:val="002126EE"/>
    <w:rsid w:val="002126F6"/>
    <w:rsid w:val="00212743"/>
    <w:rsid w:val="00212852"/>
    <w:rsid w:val="002128D2"/>
    <w:rsid w:val="00212977"/>
    <w:rsid w:val="00212A46"/>
    <w:rsid w:val="00212E40"/>
    <w:rsid w:val="00212EAA"/>
    <w:rsid w:val="00212EBA"/>
    <w:rsid w:val="00212EDE"/>
    <w:rsid w:val="00212F81"/>
    <w:rsid w:val="00213072"/>
    <w:rsid w:val="00213371"/>
    <w:rsid w:val="00213472"/>
    <w:rsid w:val="00213619"/>
    <w:rsid w:val="002136DE"/>
    <w:rsid w:val="002139B3"/>
    <w:rsid w:val="00213A22"/>
    <w:rsid w:val="00213A32"/>
    <w:rsid w:val="00213AF1"/>
    <w:rsid w:val="00213B75"/>
    <w:rsid w:val="00213B91"/>
    <w:rsid w:val="00213BB4"/>
    <w:rsid w:val="00213C49"/>
    <w:rsid w:val="00213C52"/>
    <w:rsid w:val="00213CC2"/>
    <w:rsid w:val="00213CFD"/>
    <w:rsid w:val="00213F40"/>
    <w:rsid w:val="00213FC7"/>
    <w:rsid w:val="00213FC9"/>
    <w:rsid w:val="0021401B"/>
    <w:rsid w:val="0021412B"/>
    <w:rsid w:val="002142A9"/>
    <w:rsid w:val="002142D5"/>
    <w:rsid w:val="0021488F"/>
    <w:rsid w:val="002148B9"/>
    <w:rsid w:val="00214994"/>
    <w:rsid w:val="002149E1"/>
    <w:rsid w:val="00214A8F"/>
    <w:rsid w:val="00214B86"/>
    <w:rsid w:val="00214C51"/>
    <w:rsid w:val="00214DF2"/>
    <w:rsid w:val="00214F49"/>
    <w:rsid w:val="00214F6F"/>
    <w:rsid w:val="00214FDC"/>
    <w:rsid w:val="002151B2"/>
    <w:rsid w:val="002151F6"/>
    <w:rsid w:val="002153C1"/>
    <w:rsid w:val="00215435"/>
    <w:rsid w:val="002154B0"/>
    <w:rsid w:val="002155D5"/>
    <w:rsid w:val="0021565B"/>
    <w:rsid w:val="0021580F"/>
    <w:rsid w:val="002158C0"/>
    <w:rsid w:val="00215944"/>
    <w:rsid w:val="00215A6D"/>
    <w:rsid w:val="00215C20"/>
    <w:rsid w:val="00215DF3"/>
    <w:rsid w:val="00215DFF"/>
    <w:rsid w:val="00215F9B"/>
    <w:rsid w:val="00216069"/>
    <w:rsid w:val="00216137"/>
    <w:rsid w:val="00216177"/>
    <w:rsid w:val="0021628C"/>
    <w:rsid w:val="002162D3"/>
    <w:rsid w:val="002163B2"/>
    <w:rsid w:val="002164C7"/>
    <w:rsid w:val="00216B1D"/>
    <w:rsid w:val="00216CF6"/>
    <w:rsid w:val="00216DB4"/>
    <w:rsid w:val="00216E37"/>
    <w:rsid w:val="00216E65"/>
    <w:rsid w:val="00216F8A"/>
    <w:rsid w:val="0021706F"/>
    <w:rsid w:val="0021713F"/>
    <w:rsid w:val="00217293"/>
    <w:rsid w:val="002173A7"/>
    <w:rsid w:val="0021765D"/>
    <w:rsid w:val="002176C8"/>
    <w:rsid w:val="00217836"/>
    <w:rsid w:val="00217928"/>
    <w:rsid w:val="00217978"/>
    <w:rsid w:val="00217B1E"/>
    <w:rsid w:val="00217D12"/>
    <w:rsid w:val="00217D13"/>
    <w:rsid w:val="00217E49"/>
    <w:rsid w:val="00217EA6"/>
    <w:rsid w:val="00217ED7"/>
    <w:rsid w:val="00217EE7"/>
    <w:rsid w:val="0022008C"/>
    <w:rsid w:val="00220094"/>
    <w:rsid w:val="00220387"/>
    <w:rsid w:val="002203A3"/>
    <w:rsid w:val="002203E1"/>
    <w:rsid w:val="00220607"/>
    <w:rsid w:val="0022060D"/>
    <w:rsid w:val="00220678"/>
    <w:rsid w:val="00220693"/>
    <w:rsid w:val="00220752"/>
    <w:rsid w:val="00220894"/>
    <w:rsid w:val="00220BCF"/>
    <w:rsid w:val="00220CCF"/>
    <w:rsid w:val="00220E2C"/>
    <w:rsid w:val="00220EF2"/>
    <w:rsid w:val="00220FBA"/>
    <w:rsid w:val="00221046"/>
    <w:rsid w:val="00221164"/>
    <w:rsid w:val="0022130D"/>
    <w:rsid w:val="00221383"/>
    <w:rsid w:val="002213A0"/>
    <w:rsid w:val="002213D0"/>
    <w:rsid w:val="002215EE"/>
    <w:rsid w:val="002215F9"/>
    <w:rsid w:val="002217A1"/>
    <w:rsid w:val="002218EC"/>
    <w:rsid w:val="00221C28"/>
    <w:rsid w:val="00221C38"/>
    <w:rsid w:val="00221CC7"/>
    <w:rsid w:val="00221D54"/>
    <w:rsid w:val="00221ED3"/>
    <w:rsid w:val="00221F2F"/>
    <w:rsid w:val="00221F3D"/>
    <w:rsid w:val="00222081"/>
    <w:rsid w:val="002220D1"/>
    <w:rsid w:val="00222133"/>
    <w:rsid w:val="00222237"/>
    <w:rsid w:val="00222383"/>
    <w:rsid w:val="0022238B"/>
    <w:rsid w:val="00222691"/>
    <w:rsid w:val="002226BE"/>
    <w:rsid w:val="0022271F"/>
    <w:rsid w:val="00222755"/>
    <w:rsid w:val="002227A7"/>
    <w:rsid w:val="00222882"/>
    <w:rsid w:val="002229B8"/>
    <w:rsid w:val="00222AEB"/>
    <w:rsid w:val="00222B66"/>
    <w:rsid w:val="00222C9B"/>
    <w:rsid w:val="00222E6F"/>
    <w:rsid w:val="00222F99"/>
    <w:rsid w:val="0022314E"/>
    <w:rsid w:val="002231E4"/>
    <w:rsid w:val="002233DE"/>
    <w:rsid w:val="0022344C"/>
    <w:rsid w:val="00223494"/>
    <w:rsid w:val="00223609"/>
    <w:rsid w:val="00223A07"/>
    <w:rsid w:val="00223BF7"/>
    <w:rsid w:val="00223D23"/>
    <w:rsid w:val="00223E35"/>
    <w:rsid w:val="00223EB3"/>
    <w:rsid w:val="00223F01"/>
    <w:rsid w:val="00223F70"/>
    <w:rsid w:val="00223F93"/>
    <w:rsid w:val="00224055"/>
    <w:rsid w:val="002240F6"/>
    <w:rsid w:val="0022418B"/>
    <w:rsid w:val="0022418F"/>
    <w:rsid w:val="0022445F"/>
    <w:rsid w:val="0022447D"/>
    <w:rsid w:val="00224743"/>
    <w:rsid w:val="002248CA"/>
    <w:rsid w:val="0022498D"/>
    <w:rsid w:val="002249E7"/>
    <w:rsid w:val="002249F7"/>
    <w:rsid w:val="00224C57"/>
    <w:rsid w:val="00224D85"/>
    <w:rsid w:val="00224EAA"/>
    <w:rsid w:val="00224F03"/>
    <w:rsid w:val="002250DF"/>
    <w:rsid w:val="002251D9"/>
    <w:rsid w:val="002253AA"/>
    <w:rsid w:val="0022562D"/>
    <w:rsid w:val="002256B9"/>
    <w:rsid w:val="0022576A"/>
    <w:rsid w:val="0022583B"/>
    <w:rsid w:val="002259CA"/>
    <w:rsid w:val="00225D0B"/>
    <w:rsid w:val="00225FD3"/>
    <w:rsid w:val="002260FB"/>
    <w:rsid w:val="0022615C"/>
    <w:rsid w:val="002261D8"/>
    <w:rsid w:val="002261F9"/>
    <w:rsid w:val="002262B3"/>
    <w:rsid w:val="002263A1"/>
    <w:rsid w:val="002265D6"/>
    <w:rsid w:val="002265F9"/>
    <w:rsid w:val="00226686"/>
    <w:rsid w:val="002268CC"/>
    <w:rsid w:val="00226937"/>
    <w:rsid w:val="00226A8C"/>
    <w:rsid w:val="00226CCC"/>
    <w:rsid w:val="00226DDC"/>
    <w:rsid w:val="00226F6B"/>
    <w:rsid w:val="002271EB"/>
    <w:rsid w:val="00227258"/>
    <w:rsid w:val="00227457"/>
    <w:rsid w:val="002274FE"/>
    <w:rsid w:val="00227583"/>
    <w:rsid w:val="00227845"/>
    <w:rsid w:val="002278F0"/>
    <w:rsid w:val="00227A1C"/>
    <w:rsid w:val="00227A24"/>
    <w:rsid w:val="00227AE3"/>
    <w:rsid w:val="00227B6F"/>
    <w:rsid w:val="00227DD2"/>
    <w:rsid w:val="00227F1F"/>
    <w:rsid w:val="00227F96"/>
    <w:rsid w:val="00227FDE"/>
    <w:rsid w:val="00227FF5"/>
    <w:rsid w:val="0023036F"/>
    <w:rsid w:val="0023047F"/>
    <w:rsid w:val="00230571"/>
    <w:rsid w:val="002305ED"/>
    <w:rsid w:val="002306F4"/>
    <w:rsid w:val="00230A10"/>
    <w:rsid w:val="00230A7B"/>
    <w:rsid w:val="00230AC1"/>
    <w:rsid w:val="00230B55"/>
    <w:rsid w:val="00230D2E"/>
    <w:rsid w:val="00230EF9"/>
    <w:rsid w:val="00231045"/>
    <w:rsid w:val="00231152"/>
    <w:rsid w:val="00231182"/>
    <w:rsid w:val="00231381"/>
    <w:rsid w:val="00231501"/>
    <w:rsid w:val="00231555"/>
    <w:rsid w:val="0023169E"/>
    <w:rsid w:val="00231739"/>
    <w:rsid w:val="00231A36"/>
    <w:rsid w:val="00231A5D"/>
    <w:rsid w:val="00231A67"/>
    <w:rsid w:val="00231ACE"/>
    <w:rsid w:val="00231B44"/>
    <w:rsid w:val="00231EA9"/>
    <w:rsid w:val="00231ED5"/>
    <w:rsid w:val="0023200E"/>
    <w:rsid w:val="0023216D"/>
    <w:rsid w:val="0023226E"/>
    <w:rsid w:val="0023226F"/>
    <w:rsid w:val="002323A6"/>
    <w:rsid w:val="0023240F"/>
    <w:rsid w:val="00232443"/>
    <w:rsid w:val="0023277D"/>
    <w:rsid w:val="002327DB"/>
    <w:rsid w:val="00232866"/>
    <w:rsid w:val="00232AE3"/>
    <w:rsid w:val="00232B32"/>
    <w:rsid w:val="00232C9C"/>
    <w:rsid w:val="00232DF1"/>
    <w:rsid w:val="00232ECF"/>
    <w:rsid w:val="00232F00"/>
    <w:rsid w:val="002331EA"/>
    <w:rsid w:val="002331FD"/>
    <w:rsid w:val="0023378A"/>
    <w:rsid w:val="0023379D"/>
    <w:rsid w:val="002337E3"/>
    <w:rsid w:val="00233952"/>
    <w:rsid w:val="002339A9"/>
    <w:rsid w:val="00233A88"/>
    <w:rsid w:val="00233A8E"/>
    <w:rsid w:val="00233AD4"/>
    <w:rsid w:val="00233C43"/>
    <w:rsid w:val="00233E49"/>
    <w:rsid w:val="00233E6C"/>
    <w:rsid w:val="00233E6F"/>
    <w:rsid w:val="00233E8D"/>
    <w:rsid w:val="00233F81"/>
    <w:rsid w:val="00233F82"/>
    <w:rsid w:val="00233FB1"/>
    <w:rsid w:val="00234019"/>
    <w:rsid w:val="002340B6"/>
    <w:rsid w:val="0023417B"/>
    <w:rsid w:val="002341D2"/>
    <w:rsid w:val="00234300"/>
    <w:rsid w:val="00234311"/>
    <w:rsid w:val="00234347"/>
    <w:rsid w:val="002344A8"/>
    <w:rsid w:val="002344E3"/>
    <w:rsid w:val="00234543"/>
    <w:rsid w:val="002346AA"/>
    <w:rsid w:val="00234950"/>
    <w:rsid w:val="00234A1F"/>
    <w:rsid w:val="00234A44"/>
    <w:rsid w:val="00234BA2"/>
    <w:rsid w:val="00234CDD"/>
    <w:rsid w:val="00234E1E"/>
    <w:rsid w:val="00234F7A"/>
    <w:rsid w:val="00235034"/>
    <w:rsid w:val="0023508D"/>
    <w:rsid w:val="002350CE"/>
    <w:rsid w:val="00235112"/>
    <w:rsid w:val="00235206"/>
    <w:rsid w:val="00235582"/>
    <w:rsid w:val="002356C0"/>
    <w:rsid w:val="002356EB"/>
    <w:rsid w:val="0023578D"/>
    <w:rsid w:val="002357FB"/>
    <w:rsid w:val="00235A23"/>
    <w:rsid w:val="00235AB7"/>
    <w:rsid w:val="00235AC8"/>
    <w:rsid w:val="00235E12"/>
    <w:rsid w:val="00235E5A"/>
    <w:rsid w:val="002360D3"/>
    <w:rsid w:val="0023642E"/>
    <w:rsid w:val="00236453"/>
    <w:rsid w:val="002366B6"/>
    <w:rsid w:val="002367DD"/>
    <w:rsid w:val="00236877"/>
    <w:rsid w:val="00236990"/>
    <w:rsid w:val="002369B1"/>
    <w:rsid w:val="002369F8"/>
    <w:rsid w:val="00236A5D"/>
    <w:rsid w:val="00236ABF"/>
    <w:rsid w:val="00236AC2"/>
    <w:rsid w:val="00236C37"/>
    <w:rsid w:val="00236D6A"/>
    <w:rsid w:val="00236DFD"/>
    <w:rsid w:val="00236ED4"/>
    <w:rsid w:val="00236F45"/>
    <w:rsid w:val="00236F84"/>
    <w:rsid w:val="002370AB"/>
    <w:rsid w:val="00237138"/>
    <w:rsid w:val="00237198"/>
    <w:rsid w:val="0023748C"/>
    <w:rsid w:val="00237560"/>
    <w:rsid w:val="002375ED"/>
    <w:rsid w:val="00237872"/>
    <w:rsid w:val="0023797F"/>
    <w:rsid w:val="00237B36"/>
    <w:rsid w:val="00237B7C"/>
    <w:rsid w:val="00237B86"/>
    <w:rsid w:val="00237B8C"/>
    <w:rsid w:val="00237C46"/>
    <w:rsid w:val="00237E96"/>
    <w:rsid w:val="00237FBA"/>
    <w:rsid w:val="00237FEB"/>
    <w:rsid w:val="00240022"/>
    <w:rsid w:val="0024004C"/>
    <w:rsid w:val="00240134"/>
    <w:rsid w:val="00240770"/>
    <w:rsid w:val="00240815"/>
    <w:rsid w:val="00240821"/>
    <w:rsid w:val="002408CD"/>
    <w:rsid w:val="00240B39"/>
    <w:rsid w:val="00240FA6"/>
    <w:rsid w:val="00241096"/>
    <w:rsid w:val="002410EC"/>
    <w:rsid w:val="00241124"/>
    <w:rsid w:val="00241511"/>
    <w:rsid w:val="00241A8A"/>
    <w:rsid w:val="00241AD0"/>
    <w:rsid w:val="00241B36"/>
    <w:rsid w:val="00241E27"/>
    <w:rsid w:val="002420AA"/>
    <w:rsid w:val="002421D1"/>
    <w:rsid w:val="00242244"/>
    <w:rsid w:val="0024232F"/>
    <w:rsid w:val="002423AB"/>
    <w:rsid w:val="00242488"/>
    <w:rsid w:val="002424BA"/>
    <w:rsid w:val="002425AB"/>
    <w:rsid w:val="00242825"/>
    <w:rsid w:val="0024289C"/>
    <w:rsid w:val="002428B4"/>
    <w:rsid w:val="002428D7"/>
    <w:rsid w:val="00242909"/>
    <w:rsid w:val="00242A27"/>
    <w:rsid w:val="00242A44"/>
    <w:rsid w:val="00242A7E"/>
    <w:rsid w:val="00242AA7"/>
    <w:rsid w:val="00242B06"/>
    <w:rsid w:val="00242B4F"/>
    <w:rsid w:val="00242D64"/>
    <w:rsid w:val="00242D96"/>
    <w:rsid w:val="00242F21"/>
    <w:rsid w:val="002430BD"/>
    <w:rsid w:val="002430C6"/>
    <w:rsid w:val="002431E0"/>
    <w:rsid w:val="002431E2"/>
    <w:rsid w:val="00243314"/>
    <w:rsid w:val="0024331A"/>
    <w:rsid w:val="00243362"/>
    <w:rsid w:val="002435BA"/>
    <w:rsid w:val="0024363D"/>
    <w:rsid w:val="00243688"/>
    <w:rsid w:val="002436A7"/>
    <w:rsid w:val="002436C3"/>
    <w:rsid w:val="00243920"/>
    <w:rsid w:val="00243B25"/>
    <w:rsid w:val="00243D29"/>
    <w:rsid w:val="00243D41"/>
    <w:rsid w:val="00243DB4"/>
    <w:rsid w:val="00243EE2"/>
    <w:rsid w:val="00243F12"/>
    <w:rsid w:val="00244010"/>
    <w:rsid w:val="002441F3"/>
    <w:rsid w:val="002442CA"/>
    <w:rsid w:val="002443E6"/>
    <w:rsid w:val="00244413"/>
    <w:rsid w:val="002444CA"/>
    <w:rsid w:val="002447BB"/>
    <w:rsid w:val="002447C1"/>
    <w:rsid w:val="00244C16"/>
    <w:rsid w:val="00244E3A"/>
    <w:rsid w:val="00244FD7"/>
    <w:rsid w:val="0024519A"/>
    <w:rsid w:val="002452BB"/>
    <w:rsid w:val="00245504"/>
    <w:rsid w:val="0024566C"/>
    <w:rsid w:val="002456D2"/>
    <w:rsid w:val="0024575B"/>
    <w:rsid w:val="00245843"/>
    <w:rsid w:val="00245B5C"/>
    <w:rsid w:val="00245BD2"/>
    <w:rsid w:val="00245DC1"/>
    <w:rsid w:val="00245E3C"/>
    <w:rsid w:val="00245E7E"/>
    <w:rsid w:val="00245FE6"/>
    <w:rsid w:val="00245FFC"/>
    <w:rsid w:val="0024601C"/>
    <w:rsid w:val="00246105"/>
    <w:rsid w:val="002462A4"/>
    <w:rsid w:val="002462F2"/>
    <w:rsid w:val="00246328"/>
    <w:rsid w:val="002463CB"/>
    <w:rsid w:val="00246453"/>
    <w:rsid w:val="00246607"/>
    <w:rsid w:val="0024666A"/>
    <w:rsid w:val="00246717"/>
    <w:rsid w:val="00246865"/>
    <w:rsid w:val="00246A61"/>
    <w:rsid w:val="002470A0"/>
    <w:rsid w:val="002470F6"/>
    <w:rsid w:val="0024710B"/>
    <w:rsid w:val="002475EA"/>
    <w:rsid w:val="002476E3"/>
    <w:rsid w:val="002479B4"/>
    <w:rsid w:val="00247AF7"/>
    <w:rsid w:val="00247B35"/>
    <w:rsid w:val="00247C07"/>
    <w:rsid w:val="00247C9A"/>
    <w:rsid w:val="00247D57"/>
    <w:rsid w:val="00247D83"/>
    <w:rsid w:val="00250192"/>
    <w:rsid w:val="00250246"/>
    <w:rsid w:val="0025028A"/>
    <w:rsid w:val="002502E4"/>
    <w:rsid w:val="00250345"/>
    <w:rsid w:val="002505BD"/>
    <w:rsid w:val="00250696"/>
    <w:rsid w:val="002506A6"/>
    <w:rsid w:val="002509F1"/>
    <w:rsid w:val="00250AC8"/>
    <w:rsid w:val="00250BD1"/>
    <w:rsid w:val="00250BE9"/>
    <w:rsid w:val="00250BFF"/>
    <w:rsid w:val="00250C3E"/>
    <w:rsid w:val="00250C68"/>
    <w:rsid w:val="00250CA9"/>
    <w:rsid w:val="00250D4B"/>
    <w:rsid w:val="00250D75"/>
    <w:rsid w:val="00250DED"/>
    <w:rsid w:val="00250E38"/>
    <w:rsid w:val="00250E8F"/>
    <w:rsid w:val="00250EB1"/>
    <w:rsid w:val="00251029"/>
    <w:rsid w:val="00251137"/>
    <w:rsid w:val="00251188"/>
    <w:rsid w:val="00251212"/>
    <w:rsid w:val="002513B8"/>
    <w:rsid w:val="0025140D"/>
    <w:rsid w:val="0025170E"/>
    <w:rsid w:val="002518E8"/>
    <w:rsid w:val="00251AB5"/>
    <w:rsid w:val="00251D7A"/>
    <w:rsid w:val="00251DA0"/>
    <w:rsid w:val="0025202D"/>
    <w:rsid w:val="00252074"/>
    <w:rsid w:val="002520DF"/>
    <w:rsid w:val="0025227C"/>
    <w:rsid w:val="002522A3"/>
    <w:rsid w:val="002522D4"/>
    <w:rsid w:val="002523B3"/>
    <w:rsid w:val="002523B5"/>
    <w:rsid w:val="00252666"/>
    <w:rsid w:val="002526CC"/>
    <w:rsid w:val="002526E5"/>
    <w:rsid w:val="002527A1"/>
    <w:rsid w:val="002528BF"/>
    <w:rsid w:val="002528C8"/>
    <w:rsid w:val="0025295F"/>
    <w:rsid w:val="00252A23"/>
    <w:rsid w:val="00252C26"/>
    <w:rsid w:val="00252C31"/>
    <w:rsid w:val="00252EC9"/>
    <w:rsid w:val="00252F75"/>
    <w:rsid w:val="002530B7"/>
    <w:rsid w:val="00253291"/>
    <w:rsid w:val="00253310"/>
    <w:rsid w:val="002533EF"/>
    <w:rsid w:val="00253A21"/>
    <w:rsid w:val="00253B9A"/>
    <w:rsid w:val="00253D10"/>
    <w:rsid w:val="00253D2A"/>
    <w:rsid w:val="00253F3D"/>
    <w:rsid w:val="00253F8E"/>
    <w:rsid w:val="00254056"/>
    <w:rsid w:val="00254216"/>
    <w:rsid w:val="00254267"/>
    <w:rsid w:val="002543F1"/>
    <w:rsid w:val="00254506"/>
    <w:rsid w:val="002545B6"/>
    <w:rsid w:val="002545C8"/>
    <w:rsid w:val="002545EE"/>
    <w:rsid w:val="002546B7"/>
    <w:rsid w:val="0025485E"/>
    <w:rsid w:val="00254AED"/>
    <w:rsid w:val="00254D16"/>
    <w:rsid w:val="0025503F"/>
    <w:rsid w:val="002550D6"/>
    <w:rsid w:val="002550E6"/>
    <w:rsid w:val="00255168"/>
    <w:rsid w:val="00255272"/>
    <w:rsid w:val="002552D9"/>
    <w:rsid w:val="002552EC"/>
    <w:rsid w:val="00255413"/>
    <w:rsid w:val="0025552F"/>
    <w:rsid w:val="00255603"/>
    <w:rsid w:val="00255A1D"/>
    <w:rsid w:val="00255BD2"/>
    <w:rsid w:val="00255C05"/>
    <w:rsid w:val="00255C14"/>
    <w:rsid w:val="00255CBE"/>
    <w:rsid w:val="00255D53"/>
    <w:rsid w:val="00255D6D"/>
    <w:rsid w:val="00255E9C"/>
    <w:rsid w:val="002561E9"/>
    <w:rsid w:val="002562E7"/>
    <w:rsid w:val="00256384"/>
    <w:rsid w:val="002563BC"/>
    <w:rsid w:val="002563EE"/>
    <w:rsid w:val="00256528"/>
    <w:rsid w:val="00256738"/>
    <w:rsid w:val="002567AB"/>
    <w:rsid w:val="002568A0"/>
    <w:rsid w:val="0025690A"/>
    <w:rsid w:val="00256ACF"/>
    <w:rsid w:val="00256B68"/>
    <w:rsid w:val="00256C6F"/>
    <w:rsid w:val="00256DA4"/>
    <w:rsid w:val="00256E22"/>
    <w:rsid w:val="00256E36"/>
    <w:rsid w:val="00257132"/>
    <w:rsid w:val="002571B2"/>
    <w:rsid w:val="002571D9"/>
    <w:rsid w:val="002574B1"/>
    <w:rsid w:val="0025762F"/>
    <w:rsid w:val="002576AA"/>
    <w:rsid w:val="00257959"/>
    <w:rsid w:val="00257B3B"/>
    <w:rsid w:val="00257BCB"/>
    <w:rsid w:val="00257CE8"/>
    <w:rsid w:val="00257D68"/>
    <w:rsid w:val="00257DC0"/>
    <w:rsid w:val="00257E59"/>
    <w:rsid w:val="00257EED"/>
    <w:rsid w:val="002600AD"/>
    <w:rsid w:val="00260244"/>
    <w:rsid w:val="002602B3"/>
    <w:rsid w:val="00260631"/>
    <w:rsid w:val="00260673"/>
    <w:rsid w:val="00260734"/>
    <w:rsid w:val="00260803"/>
    <w:rsid w:val="002608B2"/>
    <w:rsid w:val="00260A1D"/>
    <w:rsid w:val="00260A89"/>
    <w:rsid w:val="00260AB8"/>
    <w:rsid w:val="00260B2F"/>
    <w:rsid w:val="00260BCA"/>
    <w:rsid w:val="00260BCB"/>
    <w:rsid w:val="00260C26"/>
    <w:rsid w:val="00260C82"/>
    <w:rsid w:val="00260CDE"/>
    <w:rsid w:val="00260CEA"/>
    <w:rsid w:val="00260D06"/>
    <w:rsid w:val="00260E29"/>
    <w:rsid w:val="00261160"/>
    <w:rsid w:val="0026126D"/>
    <w:rsid w:val="0026128D"/>
    <w:rsid w:val="0026140B"/>
    <w:rsid w:val="0026150E"/>
    <w:rsid w:val="00261635"/>
    <w:rsid w:val="002617BD"/>
    <w:rsid w:val="00261B7A"/>
    <w:rsid w:val="00261B92"/>
    <w:rsid w:val="00261BDB"/>
    <w:rsid w:val="00261C2F"/>
    <w:rsid w:val="00261D75"/>
    <w:rsid w:val="00261DF1"/>
    <w:rsid w:val="00261F9A"/>
    <w:rsid w:val="0026219C"/>
    <w:rsid w:val="002621DF"/>
    <w:rsid w:val="002622FA"/>
    <w:rsid w:val="0026230D"/>
    <w:rsid w:val="0026233C"/>
    <w:rsid w:val="002628D6"/>
    <w:rsid w:val="002628E2"/>
    <w:rsid w:val="00262A37"/>
    <w:rsid w:val="00262E2B"/>
    <w:rsid w:val="00263169"/>
    <w:rsid w:val="0026324C"/>
    <w:rsid w:val="00263360"/>
    <w:rsid w:val="0026347C"/>
    <w:rsid w:val="0026364E"/>
    <w:rsid w:val="0026370C"/>
    <w:rsid w:val="00263886"/>
    <w:rsid w:val="002638BB"/>
    <w:rsid w:val="002639A6"/>
    <w:rsid w:val="00263B96"/>
    <w:rsid w:val="00263C20"/>
    <w:rsid w:val="00263D74"/>
    <w:rsid w:val="00263E8C"/>
    <w:rsid w:val="00264085"/>
    <w:rsid w:val="0026418B"/>
    <w:rsid w:val="002641C8"/>
    <w:rsid w:val="002641CB"/>
    <w:rsid w:val="00264488"/>
    <w:rsid w:val="002644A4"/>
    <w:rsid w:val="00264642"/>
    <w:rsid w:val="00264657"/>
    <w:rsid w:val="00264847"/>
    <w:rsid w:val="0026487D"/>
    <w:rsid w:val="0026488C"/>
    <w:rsid w:val="002648D0"/>
    <w:rsid w:val="00264AB2"/>
    <w:rsid w:val="00264C39"/>
    <w:rsid w:val="00264D34"/>
    <w:rsid w:val="00264DB8"/>
    <w:rsid w:val="0026507C"/>
    <w:rsid w:val="002651B2"/>
    <w:rsid w:val="002651FF"/>
    <w:rsid w:val="00265505"/>
    <w:rsid w:val="00265656"/>
    <w:rsid w:val="00265998"/>
    <w:rsid w:val="00265A12"/>
    <w:rsid w:val="00265C3E"/>
    <w:rsid w:val="00265D3E"/>
    <w:rsid w:val="00265D6E"/>
    <w:rsid w:val="00265DDF"/>
    <w:rsid w:val="00265E6D"/>
    <w:rsid w:val="00265E6F"/>
    <w:rsid w:val="00266065"/>
    <w:rsid w:val="0026633C"/>
    <w:rsid w:val="00266346"/>
    <w:rsid w:val="0026658E"/>
    <w:rsid w:val="002668D6"/>
    <w:rsid w:val="00266968"/>
    <w:rsid w:val="002669DE"/>
    <w:rsid w:val="00266BF1"/>
    <w:rsid w:val="00266C5D"/>
    <w:rsid w:val="00266CCF"/>
    <w:rsid w:val="00266DEE"/>
    <w:rsid w:val="00266EC3"/>
    <w:rsid w:val="00267367"/>
    <w:rsid w:val="00267431"/>
    <w:rsid w:val="002675E9"/>
    <w:rsid w:val="0026786A"/>
    <w:rsid w:val="00267AA5"/>
    <w:rsid w:val="00267ABF"/>
    <w:rsid w:val="00267B2A"/>
    <w:rsid w:val="00267CA2"/>
    <w:rsid w:val="00267CB2"/>
    <w:rsid w:val="00267CF4"/>
    <w:rsid w:val="00267F89"/>
    <w:rsid w:val="00267FA6"/>
    <w:rsid w:val="00270088"/>
    <w:rsid w:val="00270297"/>
    <w:rsid w:val="00270321"/>
    <w:rsid w:val="00270818"/>
    <w:rsid w:val="00270928"/>
    <w:rsid w:val="00270A74"/>
    <w:rsid w:val="00270ACA"/>
    <w:rsid w:val="00270B30"/>
    <w:rsid w:val="00270CD3"/>
    <w:rsid w:val="00270D06"/>
    <w:rsid w:val="00270E24"/>
    <w:rsid w:val="00270E81"/>
    <w:rsid w:val="00270EFF"/>
    <w:rsid w:val="0027100D"/>
    <w:rsid w:val="00271041"/>
    <w:rsid w:val="00271054"/>
    <w:rsid w:val="0027111B"/>
    <w:rsid w:val="0027127E"/>
    <w:rsid w:val="00271337"/>
    <w:rsid w:val="00271451"/>
    <w:rsid w:val="002715B6"/>
    <w:rsid w:val="00271750"/>
    <w:rsid w:val="0027179B"/>
    <w:rsid w:val="002718FF"/>
    <w:rsid w:val="0027194C"/>
    <w:rsid w:val="00271971"/>
    <w:rsid w:val="00271A9C"/>
    <w:rsid w:val="00271CAF"/>
    <w:rsid w:val="00271D10"/>
    <w:rsid w:val="00271DB1"/>
    <w:rsid w:val="00271DC6"/>
    <w:rsid w:val="00271E2E"/>
    <w:rsid w:val="00271F04"/>
    <w:rsid w:val="00271FA1"/>
    <w:rsid w:val="00272073"/>
    <w:rsid w:val="002720DA"/>
    <w:rsid w:val="002721C5"/>
    <w:rsid w:val="00272232"/>
    <w:rsid w:val="002722C7"/>
    <w:rsid w:val="0027255A"/>
    <w:rsid w:val="00272706"/>
    <w:rsid w:val="00272715"/>
    <w:rsid w:val="0027275D"/>
    <w:rsid w:val="002728EE"/>
    <w:rsid w:val="00272ABC"/>
    <w:rsid w:val="00272B4B"/>
    <w:rsid w:val="00272BFD"/>
    <w:rsid w:val="00272CC1"/>
    <w:rsid w:val="00272D63"/>
    <w:rsid w:val="00272D85"/>
    <w:rsid w:val="00272E1A"/>
    <w:rsid w:val="00272E91"/>
    <w:rsid w:val="00273071"/>
    <w:rsid w:val="002730A2"/>
    <w:rsid w:val="002731B5"/>
    <w:rsid w:val="002731C5"/>
    <w:rsid w:val="0027326C"/>
    <w:rsid w:val="00273315"/>
    <w:rsid w:val="0027334C"/>
    <w:rsid w:val="002733C6"/>
    <w:rsid w:val="002734B7"/>
    <w:rsid w:val="002734D7"/>
    <w:rsid w:val="0027351C"/>
    <w:rsid w:val="00273619"/>
    <w:rsid w:val="00273672"/>
    <w:rsid w:val="002736A2"/>
    <w:rsid w:val="002736C8"/>
    <w:rsid w:val="002738AC"/>
    <w:rsid w:val="00273E71"/>
    <w:rsid w:val="00274257"/>
    <w:rsid w:val="002742FD"/>
    <w:rsid w:val="00274364"/>
    <w:rsid w:val="00274377"/>
    <w:rsid w:val="00274588"/>
    <w:rsid w:val="0027464E"/>
    <w:rsid w:val="002746FF"/>
    <w:rsid w:val="0027482E"/>
    <w:rsid w:val="002748A5"/>
    <w:rsid w:val="0027496E"/>
    <w:rsid w:val="00274C15"/>
    <w:rsid w:val="00274C70"/>
    <w:rsid w:val="00274CF9"/>
    <w:rsid w:val="00274DB7"/>
    <w:rsid w:val="00274DD9"/>
    <w:rsid w:val="00274F21"/>
    <w:rsid w:val="00274F62"/>
    <w:rsid w:val="002750F6"/>
    <w:rsid w:val="00275496"/>
    <w:rsid w:val="00275572"/>
    <w:rsid w:val="002756DB"/>
    <w:rsid w:val="0027591B"/>
    <w:rsid w:val="0027594D"/>
    <w:rsid w:val="002759AE"/>
    <w:rsid w:val="00275A12"/>
    <w:rsid w:val="00275A31"/>
    <w:rsid w:val="00275A99"/>
    <w:rsid w:val="00275AA8"/>
    <w:rsid w:val="00275CA9"/>
    <w:rsid w:val="00275D3E"/>
    <w:rsid w:val="00275DA7"/>
    <w:rsid w:val="00275DBE"/>
    <w:rsid w:val="00275F79"/>
    <w:rsid w:val="00275FDF"/>
    <w:rsid w:val="00276207"/>
    <w:rsid w:val="0027622A"/>
    <w:rsid w:val="00276301"/>
    <w:rsid w:val="002763B8"/>
    <w:rsid w:val="00276415"/>
    <w:rsid w:val="00276524"/>
    <w:rsid w:val="0027663E"/>
    <w:rsid w:val="0027667A"/>
    <w:rsid w:val="0027671F"/>
    <w:rsid w:val="00276781"/>
    <w:rsid w:val="002768AB"/>
    <w:rsid w:val="002768E8"/>
    <w:rsid w:val="00276A9B"/>
    <w:rsid w:val="00276BC1"/>
    <w:rsid w:val="00276E48"/>
    <w:rsid w:val="00276FDE"/>
    <w:rsid w:val="0027720D"/>
    <w:rsid w:val="00277212"/>
    <w:rsid w:val="00277352"/>
    <w:rsid w:val="002773E8"/>
    <w:rsid w:val="00277411"/>
    <w:rsid w:val="00277429"/>
    <w:rsid w:val="00277494"/>
    <w:rsid w:val="002774A2"/>
    <w:rsid w:val="0027761A"/>
    <w:rsid w:val="00277646"/>
    <w:rsid w:val="002776B2"/>
    <w:rsid w:val="002776EE"/>
    <w:rsid w:val="0027770F"/>
    <w:rsid w:val="00277729"/>
    <w:rsid w:val="0027780F"/>
    <w:rsid w:val="00277815"/>
    <w:rsid w:val="00277998"/>
    <w:rsid w:val="002779E1"/>
    <w:rsid w:val="00277B37"/>
    <w:rsid w:val="00277B9B"/>
    <w:rsid w:val="00277C17"/>
    <w:rsid w:val="00277C77"/>
    <w:rsid w:val="00277D7D"/>
    <w:rsid w:val="00277EDD"/>
    <w:rsid w:val="00277FAD"/>
    <w:rsid w:val="00280061"/>
    <w:rsid w:val="002800F5"/>
    <w:rsid w:val="002801DA"/>
    <w:rsid w:val="002802DD"/>
    <w:rsid w:val="002803EA"/>
    <w:rsid w:val="00280475"/>
    <w:rsid w:val="00280639"/>
    <w:rsid w:val="002808D2"/>
    <w:rsid w:val="002808DA"/>
    <w:rsid w:val="00280986"/>
    <w:rsid w:val="00280B91"/>
    <w:rsid w:val="00280CE2"/>
    <w:rsid w:val="00280CE7"/>
    <w:rsid w:val="00280D66"/>
    <w:rsid w:val="00280DFE"/>
    <w:rsid w:val="00280F4C"/>
    <w:rsid w:val="00280F9F"/>
    <w:rsid w:val="00281018"/>
    <w:rsid w:val="002810E6"/>
    <w:rsid w:val="00281248"/>
    <w:rsid w:val="002813EA"/>
    <w:rsid w:val="002814DE"/>
    <w:rsid w:val="0028153A"/>
    <w:rsid w:val="00281742"/>
    <w:rsid w:val="00281750"/>
    <w:rsid w:val="002817F9"/>
    <w:rsid w:val="00281970"/>
    <w:rsid w:val="00281B96"/>
    <w:rsid w:val="00281C5B"/>
    <w:rsid w:val="00281E59"/>
    <w:rsid w:val="00281F4C"/>
    <w:rsid w:val="00282188"/>
    <w:rsid w:val="00282219"/>
    <w:rsid w:val="00282321"/>
    <w:rsid w:val="00282386"/>
    <w:rsid w:val="00282392"/>
    <w:rsid w:val="002828AC"/>
    <w:rsid w:val="00282AC6"/>
    <w:rsid w:val="00282EC0"/>
    <w:rsid w:val="00282F3E"/>
    <w:rsid w:val="002830B7"/>
    <w:rsid w:val="002831E4"/>
    <w:rsid w:val="002831F3"/>
    <w:rsid w:val="0028366A"/>
    <w:rsid w:val="002836C0"/>
    <w:rsid w:val="002836C7"/>
    <w:rsid w:val="002836F0"/>
    <w:rsid w:val="00283719"/>
    <w:rsid w:val="00283796"/>
    <w:rsid w:val="002837F9"/>
    <w:rsid w:val="002839FD"/>
    <w:rsid w:val="00283A42"/>
    <w:rsid w:val="00283BE1"/>
    <w:rsid w:val="00283BFD"/>
    <w:rsid w:val="00283C0E"/>
    <w:rsid w:val="00283C2D"/>
    <w:rsid w:val="00283C6C"/>
    <w:rsid w:val="00283CAA"/>
    <w:rsid w:val="00283CC4"/>
    <w:rsid w:val="00283D0D"/>
    <w:rsid w:val="00283D8B"/>
    <w:rsid w:val="00283F86"/>
    <w:rsid w:val="0028431D"/>
    <w:rsid w:val="002844C3"/>
    <w:rsid w:val="002845D3"/>
    <w:rsid w:val="0028469B"/>
    <w:rsid w:val="00284751"/>
    <w:rsid w:val="0028484F"/>
    <w:rsid w:val="00284853"/>
    <w:rsid w:val="002848C3"/>
    <w:rsid w:val="00284955"/>
    <w:rsid w:val="0028498B"/>
    <w:rsid w:val="00284A65"/>
    <w:rsid w:val="00284BD1"/>
    <w:rsid w:val="00284F82"/>
    <w:rsid w:val="00284FF0"/>
    <w:rsid w:val="0028500B"/>
    <w:rsid w:val="0028510D"/>
    <w:rsid w:val="002851B0"/>
    <w:rsid w:val="0028547D"/>
    <w:rsid w:val="002855A0"/>
    <w:rsid w:val="00285873"/>
    <w:rsid w:val="0028587C"/>
    <w:rsid w:val="002859F7"/>
    <w:rsid w:val="00285A26"/>
    <w:rsid w:val="00285A3C"/>
    <w:rsid w:val="00285A64"/>
    <w:rsid w:val="00285B0F"/>
    <w:rsid w:val="00285BCE"/>
    <w:rsid w:val="00285C75"/>
    <w:rsid w:val="00285CD9"/>
    <w:rsid w:val="00285D10"/>
    <w:rsid w:val="00285D58"/>
    <w:rsid w:val="00285DD4"/>
    <w:rsid w:val="00285FDE"/>
    <w:rsid w:val="002864D7"/>
    <w:rsid w:val="00286605"/>
    <w:rsid w:val="00286969"/>
    <w:rsid w:val="00286A2E"/>
    <w:rsid w:val="00286A43"/>
    <w:rsid w:val="00286A7C"/>
    <w:rsid w:val="00286E50"/>
    <w:rsid w:val="00286F81"/>
    <w:rsid w:val="00287009"/>
    <w:rsid w:val="002874E7"/>
    <w:rsid w:val="00287862"/>
    <w:rsid w:val="002879E5"/>
    <w:rsid w:val="00287D1C"/>
    <w:rsid w:val="00287D54"/>
    <w:rsid w:val="00287E25"/>
    <w:rsid w:val="00287F9E"/>
    <w:rsid w:val="00290392"/>
    <w:rsid w:val="0029041C"/>
    <w:rsid w:val="00290505"/>
    <w:rsid w:val="00290703"/>
    <w:rsid w:val="0029079D"/>
    <w:rsid w:val="00290928"/>
    <w:rsid w:val="00290977"/>
    <w:rsid w:val="00290995"/>
    <w:rsid w:val="00290A2A"/>
    <w:rsid w:val="00290A38"/>
    <w:rsid w:val="00290AD3"/>
    <w:rsid w:val="00290AD6"/>
    <w:rsid w:val="00290B31"/>
    <w:rsid w:val="00290D69"/>
    <w:rsid w:val="00290DA4"/>
    <w:rsid w:val="00290DD6"/>
    <w:rsid w:val="002910CD"/>
    <w:rsid w:val="0029128F"/>
    <w:rsid w:val="0029179A"/>
    <w:rsid w:val="0029179C"/>
    <w:rsid w:val="002917D9"/>
    <w:rsid w:val="00291840"/>
    <w:rsid w:val="00291879"/>
    <w:rsid w:val="002919AE"/>
    <w:rsid w:val="00291A6B"/>
    <w:rsid w:val="00291AD0"/>
    <w:rsid w:val="00291C2F"/>
    <w:rsid w:val="00291DEF"/>
    <w:rsid w:val="00291E4D"/>
    <w:rsid w:val="00291F52"/>
    <w:rsid w:val="00291F8F"/>
    <w:rsid w:val="00291FB4"/>
    <w:rsid w:val="0029219F"/>
    <w:rsid w:val="002922CB"/>
    <w:rsid w:val="002923AC"/>
    <w:rsid w:val="002924C3"/>
    <w:rsid w:val="002925F0"/>
    <w:rsid w:val="00292870"/>
    <w:rsid w:val="002928A3"/>
    <w:rsid w:val="00292919"/>
    <w:rsid w:val="002929CF"/>
    <w:rsid w:val="00292A08"/>
    <w:rsid w:val="00292B10"/>
    <w:rsid w:val="00293082"/>
    <w:rsid w:val="002930B2"/>
    <w:rsid w:val="002932BC"/>
    <w:rsid w:val="002932C8"/>
    <w:rsid w:val="002932FD"/>
    <w:rsid w:val="0029332B"/>
    <w:rsid w:val="002934A0"/>
    <w:rsid w:val="002934ED"/>
    <w:rsid w:val="00293506"/>
    <w:rsid w:val="00293507"/>
    <w:rsid w:val="002935CA"/>
    <w:rsid w:val="002935F8"/>
    <w:rsid w:val="00293684"/>
    <w:rsid w:val="00293A20"/>
    <w:rsid w:val="00293BD1"/>
    <w:rsid w:val="00293BDE"/>
    <w:rsid w:val="00293C19"/>
    <w:rsid w:val="00293C58"/>
    <w:rsid w:val="00293E0E"/>
    <w:rsid w:val="00293EEE"/>
    <w:rsid w:val="0029409E"/>
    <w:rsid w:val="002942E6"/>
    <w:rsid w:val="0029456F"/>
    <w:rsid w:val="0029465F"/>
    <w:rsid w:val="00294721"/>
    <w:rsid w:val="00294948"/>
    <w:rsid w:val="00294BBA"/>
    <w:rsid w:val="00294C1B"/>
    <w:rsid w:val="00294CC6"/>
    <w:rsid w:val="00294D1F"/>
    <w:rsid w:val="00294D34"/>
    <w:rsid w:val="00294E5B"/>
    <w:rsid w:val="00294F58"/>
    <w:rsid w:val="002950C1"/>
    <w:rsid w:val="00295147"/>
    <w:rsid w:val="00295255"/>
    <w:rsid w:val="00295B18"/>
    <w:rsid w:val="00295C61"/>
    <w:rsid w:val="00295C98"/>
    <w:rsid w:val="00295DB3"/>
    <w:rsid w:val="00295E1D"/>
    <w:rsid w:val="00295E6C"/>
    <w:rsid w:val="00295EB3"/>
    <w:rsid w:val="00295FC0"/>
    <w:rsid w:val="002960FB"/>
    <w:rsid w:val="002961C8"/>
    <w:rsid w:val="00296348"/>
    <w:rsid w:val="00296389"/>
    <w:rsid w:val="00296569"/>
    <w:rsid w:val="002965F8"/>
    <w:rsid w:val="00296906"/>
    <w:rsid w:val="00296DE5"/>
    <w:rsid w:val="00296E58"/>
    <w:rsid w:val="00296F29"/>
    <w:rsid w:val="0029706A"/>
    <w:rsid w:val="00297079"/>
    <w:rsid w:val="00297214"/>
    <w:rsid w:val="002973C6"/>
    <w:rsid w:val="0029747C"/>
    <w:rsid w:val="002976C6"/>
    <w:rsid w:val="002976F2"/>
    <w:rsid w:val="0029777E"/>
    <w:rsid w:val="002977C6"/>
    <w:rsid w:val="002977FA"/>
    <w:rsid w:val="00297A67"/>
    <w:rsid w:val="00297BA4"/>
    <w:rsid w:val="00297BD8"/>
    <w:rsid w:val="00297C38"/>
    <w:rsid w:val="00297DAA"/>
    <w:rsid w:val="00297F2A"/>
    <w:rsid w:val="00297F77"/>
    <w:rsid w:val="002A02A6"/>
    <w:rsid w:val="002A03D3"/>
    <w:rsid w:val="002A0498"/>
    <w:rsid w:val="002A04B6"/>
    <w:rsid w:val="002A069B"/>
    <w:rsid w:val="002A071C"/>
    <w:rsid w:val="002A07DC"/>
    <w:rsid w:val="002A0842"/>
    <w:rsid w:val="002A0BB4"/>
    <w:rsid w:val="002A0D76"/>
    <w:rsid w:val="002A0F4F"/>
    <w:rsid w:val="002A10BB"/>
    <w:rsid w:val="002A10E4"/>
    <w:rsid w:val="002A1111"/>
    <w:rsid w:val="002A11A2"/>
    <w:rsid w:val="002A11F9"/>
    <w:rsid w:val="002A1355"/>
    <w:rsid w:val="002A151D"/>
    <w:rsid w:val="002A1546"/>
    <w:rsid w:val="002A1732"/>
    <w:rsid w:val="002A17C8"/>
    <w:rsid w:val="002A18BB"/>
    <w:rsid w:val="002A18CC"/>
    <w:rsid w:val="002A19F4"/>
    <w:rsid w:val="002A1A34"/>
    <w:rsid w:val="002A1A79"/>
    <w:rsid w:val="002A1BA8"/>
    <w:rsid w:val="002A1C2D"/>
    <w:rsid w:val="002A1C6E"/>
    <w:rsid w:val="002A1C75"/>
    <w:rsid w:val="002A1CE2"/>
    <w:rsid w:val="002A1FBE"/>
    <w:rsid w:val="002A2152"/>
    <w:rsid w:val="002A2309"/>
    <w:rsid w:val="002A2364"/>
    <w:rsid w:val="002A257F"/>
    <w:rsid w:val="002A25A5"/>
    <w:rsid w:val="002A26BB"/>
    <w:rsid w:val="002A281C"/>
    <w:rsid w:val="002A296B"/>
    <w:rsid w:val="002A29CA"/>
    <w:rsid w:val="002A2ABD"/>
    <w:rsid w:val="002A2CD7"/>
    <w:rsid w:val="002A2DAE"/>
    <w:rsid w:val="002A307F"/>
    <w:rsid w:val="002A313F"/>
    <w:rsid w:val="002A3262"/>
    <w:rsid w:val="002A32B3"/>
    <w:rsid w:val="002A35A5"/>
    <w:rsid w:val="002A36EF"/>
    <w:rsid w:val="002A3729"/>
    <w:rsid w:val="002A37C5"/>
    <w:rsid w:val="002A3A88"/>
    <w:rsid w:val="002A3A8F"/>
    <w:rsid w:val="002A3C38"/>
    <w:rsid w:val="002A3CCD"/>
    <w:rsid w:val="002A3D80"/>
    <w:rsid w:val="002A3DF8"/>
    <w:rsid w:val="002A3E04"/>
    <w:rsid w:val="002A3E6D"/>
    <w:rsid w:val="002A409C"/>
    <w:rsid w:val="002A413D"/>
    <w:rsid w:val="002A430D"/>
    <w:rsid w:val="002A4392"/>
    <w:rsid w:val="002A4398"/>
    <w:rsid w:val="002A43C7"/>
    <w:rsid w:val="002A441A"/>
    <w:rsid w:val="002A451B"/>
    <w:rsid w:val="002A469F"/>
    <w:rsid w:val="002A4744"/>
    <w:rsid w:val="002A4782"/>
    <w:rsid w:val="002A47EE"/>
    <w:rsid w:val="002A48AE"/>
    <w:rsid w:val="002A48B9"/>
    <w:rsid w:val="002A4913"/>
    <w:rsid w:val="002A49E8"/>
    <w:rsid w:val="002A4B4F"/>
    <w:rsid w:val="002A4EE4"/>
    <w:rsid w:val="002A4F28"/>
    <w:rsid w:val="002A4F40"/>
    <w:rsid w:val="002A50CA"/>
    <w:rsid w:val="002A5116"/>
    <w:rsid w:val="002A51A5"/>
    <w:rsid w:val="002A523C"/>
    <w:rsid w:val="002A5261"/>
    <w:rsid w:val="002A56A1"/>
    <w:rsid w:val="002A592C"/>
    <w:rsid w:val="002A59B6"/>
    <w:rsid w:val="002A5A76"/>
    <w:rsid w:val="002A5B28"/>
    <w:rsid w:val="002A5B45"/>
    <w:rsid w:val="002A5BCB"/>
    <w:rsid w:val="002A5D79"/>
    <w:rsid w:val="002A5D99"/>
    <w:rsid w:val="002A5DCB"/>
    <w:rsid w:val="002A5E24"/>
    <w:rsid w:val="002A6173"/>
    <w:rsid w:val="002A617A"/>
    <w:rsid w:val="002A6275"/>
    <w:rsid w:val="002A629F"/>
    <w:rsid w:val="002A62AC"/>
    <w:rsid w:val="002A6311"/>
    <w:rsid w:val="002A650C"/>
    <w:rsid w:val="002A658D"/>
    <w:rsid w:val="002A6722"/>
    <w:rsid w:val="002A6725"/>
    <w:rsid w:val="002A677A"/>
    <w:rsid w:val="002A6905"/>
    <w:rsid w:val="002A690A"/>
    <w:rsid w:val="002A693F"/>
    <w:rsid w:val="002A6A14"/>
    <w:rsid w:val="002A6A1C"/>
    <w:rsid w:val="002A6B0D"/>
    <w:rsid w:val="002A6E78"/>
    <w:rsid w:val="002A6F41"/>
    <w:rsid w:val="002A7349"/>
    <w:rsid w:val="002A73D8"/>
    <w:rsid w:val="002A765A"/>
    <w:rsid w:val="002A76CD"/>
    <w:rsid w:val="002A771D"/>
    <w:rsid w:val="002A7911"/>
    <w:rsid w:val="002A7A6D"/>
    <w:rsid w:val="002A7BAE"/>
    <w:rsid w:val="002A7C0C"/>
    <w:rsid w:val="002A7CB0"/>
    <w:rsid w:val="002A7E69"/>
    <w:rsid w:val="002A7FF4"/>
    <w:rsid w:val="002B00B0"/>
    <w:rsid w:val="002B01B0"/>
    <w:rsid w:val="002B0411"/>
    <w:rsid w:val="002B051C"/>
    <w:rsid w:val="002B05B2"/>
    <w:rsid w:val="002B05FB"/>
    <w:rsid w:val="002B0611"/>
    <w:rsid w:val="002B0678"/>
    <w:rsid w:val="002B079D"/>
    <w:rsid w:val="002B0863"/>
    <w:rsid w:val="002B09FD"/>
    <w:rsid w:val="002B0AE9"/>
    <w:rsid w:val="002B0B0B"/>
    <w:rsid w:val="002B0D84"/>
    <w:rsid w:val="002B0DA0"/>
    <w:rsid w:val="002B0E99"/>
    <w:rsid w:val="002B0EAF"/>
    <w:rsid w:val="002B0F5F"/>
    <w:rsid w:val="002B1056"/>
    <w:rsid w:val="002B1196"/>
    <w:rsid w:val="002B11B4"/>
    <w:rsid w:val="002B11BB"/>
    <w:rsid w:val="002B11D2"/>
    <w:rsid w:val="002B1513"/>
    <w:rsid w:val="002B15AF"/>
    <w:rsid w:val="002B1647"/>
    <w:rsid w:val="002B166F"/>
    <w:rsid w:val="002B17C3"/>
    <w:rsid w:val="002B19B7"/>
    <w:rsid w:val="002B1C18"/>
    <w:rsid w:val="002B1DEE"/>
    <w:rsid w:val="002B224D"/>
    <w:rsid w:val="002B2376"/>
    <w:rsid w:val="002B23CF"/>
    <w:rsid w:val="002B2437"/>
    <w:rsid w:val="002B24E0"/>
    <w:rsid w:val="002B25BE"/>
    <w:rsid w:val="002B2648"/>
    <w:rsid w:val="002B270E"/>
    <w:rsid w:val="002B2827"/>
    <w:rsid w:val="002B2908"/>
    <w:rsid w:val="002B294A"/>
    <w:rsid w:val="002B2A3F"/>
    <w:rsid w:val="002B2A7C"/>
    <w:rsid w:val="002B2C22"/>
    <w:rsid w:val="002B2CAF"/>
    <w:rsid w:val="002B2E88"/>
    <w:rsid w:val="002B300E"/>
    <w:rsid w:val="002B3042"/>
    <w:rsid w:val="002B30E5"/>
    <w:rsid w:val="002B3174"/>
    <w:rsid w:val="002B347F"/>
    <w:rsid w:val="002B34D9"/>
    <w:rsid w:val="002B36BD"/>
    <w:rsid w:val="002B36E8"/>
    <w:rsid w:val="002B37E9"/>
    <w:rsid w:val="002B3847"/>
    <w:rsid w:val="002B38C4"/>
    <w:rsid w:val="002B3A5E"/>
    <w:rsid w:val="002B3AFF"/>
    <w:rsid w:val="002B3BB6"/>
    <w:rsid w:val="002B3C10"/>
    <w:rsid w:val="002B3C65"/>
    <w:rsid w:val="002B3E97"/>
    <w:rsid w:val="002B3F0A"/>
    <w:rsid w:val="002B4002"/>
    <w:rsid w:val="002B4051"/>
    <w:rsid w:val="002B4054"/>
    <w:rsid w:val="002B4098"/>
    <w:rsid w:val="002B4109"/>
    <w:rsid w:val="002B4164"/>
    <w:rsid w:val="002B43E8"/>
    <w:rsid w:val="002B4531"/>
    <w:rsid w:val="002B4588"/>
    <w:rsid w:val="002B47FC"/>
    <w:rsid w:val="002B4828"/>
    <w:rsid w:val="002B49A4"/>
    <w:rsid w:val="002B4A64"/>
    <w:rsid w:val="002B4ACF"/>
    <w:rsid w:val="002B4C34"/>
    <w:rsid w:val="002B4D02"/>
    <w:rsid w:val="002B4E8F"/>
    <w:rsid w:val="002B4F80"/>
    <w:rsid w:val="002B5181"/>
    <w:rsid w:val="002B538C"/>
    <w:rsid w:val="002B559E"/>
    <w:rsid w:val="002B57D9"/>
    <w:rsid w:val="002B57E6"/>
    <w:rsid w:val="002B582C"/>
    <w:rsid w:val="002B583F"/>
    <w:rsid w:val="002B597E"/>
    <w:rsid w:val="002B59DF"/>
    <w:rsid w:val="002B5A81"/>
    <w:rsid w:val="002B5D06"/>
    <w:rsid w:val="002B5D7F"/>
    <w:rsid w:val="002B5D9E"/>
    <w:rsid w:val="002B5DBC"/>
    <w:rsid w:val="002B5EFB"/>
    <w:rsid w:val="002B5EFD"/>
    <w:rsid w:val="002B600A"/>
    <w:rsid w:val="002B657F"/>
    <w:rsid w:val="002B6666"/>
    <w:rsid w:val="002B67DB"/>
    <w:rsid w:val="002B69D8"/>
    <w:rsid w:val="002B69E3"/>
    <w:rsid w:val="002B6D2E"/>
    <w:rsid w:val="002B6E8D"/>
    <w:rsid w:val="002B71A9"/>
    <w:rsid w:val="002B71CB"/>
    <w:rsid w:val="002B7229"/>
    <w:rsid w:val="002B728C"/>
    <w:rsid w:val="002B731D"/>
    <w:rsid w:val="002B7452"/>
    <w:rsid w:val="002B75E7"/>
    <w:rsid w:val="002B79EB"/>
    <w:rsid w:val="002B79F5"/>
    <w:rsid w:val="002B7BB3"/>
    <w:rsid w:val="002B7E28"/>
    <w:rsid w:val="002B7EAA"/>
    <w:rsid w:val="002B7F3D"/>
    <w:rsid w:val="002C0010"/>
    <w:rsid w:val="002C009F"/>
    <w:rsid w:val="002C00CB"/>
    <w:rsid w:val="002C024E"/>
    <w:rsid w:val="002C034C"/>
    <w:rsid w:val="002C0399"/>
    <w:rsid w:val="002C058F"/>
    <w:rsid w:val="002C05B2"/>
    <w:rsid w:val="002C0687"/>
    <w:rsid w:val="002C0841"/>
    <w:rsid w:val="002C09AD"/>
    <w:rsid w:val="002C0B00"/>
    <w:rsid w:val="002C0C98"/>
    <w:rsid w:val="002C0F9F"/>
    <w:rsid w:val="002C1126"/>
    <w:rsid w:val="002C1140"/>
    <w:rsid w:val="002C1205"/>
    <w:rsid w:val="002C1366"/>
    <w:rsid w:val="002C151F"/>
    <w:rsid w:val="002C15F0"/>
    <w:rsid w:val="002C1902"/>
    <w:rsid w:val="002C1BEA"/>
    <w:rsid w:val="002C1C29"/>
    <w:rsid w:val="002C1C4E"/>
    <w:rsid w:val="002C1CBB"/>
    <w:rsid w:val="002C1D6C"/>
    <w:rsid w:val="002C1DA3"/>
    <w:rsid w:val="002C2128"/>
    <w:rsid w:val="002C212E"/>
    <w:rsid w:val="002C2169"/>
    <w:rsid w:val="002C21FA"/>
    <w:rsid w:val="002C2343"/>
    <w:rsid w:val="002C2467"/>
    <w:rsid w:val="002C24CA"/>
    <w:rsid w:val="002C2549"/>
    <w:rsid w:val="002C29C6"/>
    <w:rsid w:val="002C2A6D"/>
    <w:rsid w:val="002C2FAC"/>
    <w:rsid w:val="002C2FBD"/>
    <w:rsid w:val="002C32F1"/>
    <w:rsid w:val="002C377B"/>
    <w:rsid w:val="002C37B4"/>
    <w:rsid w:val="002C3967"/>
    <w:rsid w:val="002C397C"/>
    <w:rsid w:val="002C3E92"/>
    <w:rsid w:val="002C402D"/>
    <w:rsid w:val="002C4115"/>
    <w:rsid w:val="002C45AB"/>
    <w:rsid w:val="002C4855"/>
    <w:rsid w:val="002C486B"/>
    <w:rsid w:val="002C487B"/>
    <w:rsid w:val="002C48CB"/>
    <w:rsid w:val="002C4AE8"/>
    <w:rsid w:val="002C4B29"/>
    <w:rsid w:val="002C4CD3"/>
    <w:rsid w:val="002C5514"/>
    <w:rsid w:val="002C55ED"/>
    <w:rsid w:val="002C56E6"/>
    <w:rsid w:val="002C575D"/>
    <w:rsid w:val="002C5823"/>
    <w:rsid w:val="002C584D"/>
    <w:rsid w:val="002C5954"/>
    <w:rsid w:val="002C5B88"/>
    <w:rsid w:val="002C5BBC"/>
    <w:rsid w:val="002C5CF9"/>
    <w:rsid w:val="002C5DC3"/>
    <w:rsid w:val="002C5E2F"/>
    <w:rsid w:val="002C5E3D"/>
    <w:rsid w:val="002C5F49"/>
    <w:rsid w:val="002C5FEA"/>
    <w:rsid w:val="002C604E"/>
    <w:rsid w:val="002C60C6"/>
    <w:rsid w:val="002C615F"/>
    <w:rsid w:val="002C61C3"/>
    <w:rsid w:val="002C6431"/>
    <w:rsid w:val="002C6435"/>
    <w:rsid w:val="002C6470"/>
    <w:rsid w:val="002C64EC"/>
    <w:rsid w:val="002C657F"/>
    <w:rsid w:val="002C6829"/>
    <w:rsid w:val="002C68F7"/>
    <w:rsid w:val="002C68F8"/>
    <w:rsid w:val="002C690A"/>
    <w:rsid w:val="002C690C"/>
    <w:rsid w:val="002C6A30"/>
    <w:rsid w:val="002C6A9E"/>
    <w:rsid w:val="002C6E66"/>
    <w:rsid w:val="002C6EDA"/>
    <w:rsid w:val="002C6F50"/>
    <w:rsid w:val="002C7068"/>
    <w:rsid w:val="002C70B3"/>
    <w:rsid w:val="002C7109"/>
    <w:rsid w:val="002C736A"/>
    <w:rsid w:val="002C754E"/>
    <w:rsid w:val="002C75A5"/>
    <w:rsid w:val="002C7612"/>
    <w:rsid w:val="002C7673"/>
    <w:rsid w:val="002C78F8"/>
    <w:rsid w:val="002C79AF"/>
    <w:rsid w:val="002C7A70"/>
    <w:rsid w:val="002C7B20"/>
    <w:rsid w:val="002C7BBF"/>
    <w:rsid w:val="002C7BD5"/>
    <w:rsid w:val="002C7DE0"/>
    <w:rsid w:val="002C7E6E"/>
    <w:rsid w:val="002C7EA9"/>
    <w:rsid w:val="002C7F5D"/>
    <w:rsid w:val="002C7F78"/>
    <w:rsid w:val="002D0080"/>
    <w:rsid w:val="002D00C5"/>
    <w:rsid w:val="002D02DD"/>
    <w:rsid w:val="002D03D2"/>
    <w:rsid w:val="002D03DA"/>
    <w:rsid w:val="002D0413"/>
    <w:rsid w:val="002D0415"/>
    <w:rsid w:val="002D0495"/>
    <w:rsid w:val="002D05DA"/>
    <w:rsid w:val="002D05DD"/>
    <w:rsid w:val="002D0776"/>
    <w:rsid w:val="002D0A1C"/>
    <w:rsid w:val="002D0A23"/>
    <w:rsid w:val="002D0BAD"/>
    <w:rsid w:val="002D0D6C"/>
    <w:rsid w:val="002D0FD9"/>
    <w:rsid w:val="002D10E4"/>
    <w:rsid w:val="002D1115"/>
    <w:rsid w:val="002D1169"/>
    <w:rsid w:val="002D13BF"/>
    <w:rsid w:val="002D1473"/>
    <w:rsid w:val="002D1498"/>
    <w:rsid w:val="002D16E8"/>
    <w:rsid w:val="002D186F"/>
    <w:rsid w:val="002D19AF"/>
    <w:rsid w:val="002D1BBA"/>
    <w:rsid w:val="002D1C3E"/>
    <w:rsid w:val="002D1D3B"/>
    <w:rsid w:val="002D1D8D"/>
    <w:rsid w:val="002D1EF6"/>
    <w:rsid w:val="002D1F28"/>
    <w:rsid w:val="002D1F4D"/>
    <w:rsid w:val="002D20B0"/>
    <w:rsid w:val="002D21D2"/>
    <w:rsid w:val="002D2219"/>
    <w:rsid w:val="002D2566"/>
    <w:rsid w:val="002D26FD"/>
    <w:rsid w:val="002D286F"/>
    <w:rsid w:val="002D287F"/>
    <w:rsid w:val="002D2B72"/>
    <w:rsid w:val="002D2C02"/>
    <w:rsid w:val="002D2C42"/>
    <w:rsid w:val="002D2EAE"/>
    <w:rsid w:val="002D2EB5"/>
    <w:rsid w:val="002D2F7F"/>
    <w:rsid w:val="002D300C"/>
    <w:rsid w:val="002D3025"/>
    <w:rsid w:val="002D3159"/>
    <w:rsid w:val="002D31AD"/>
    <w:rsid w:val="002D31DA"/>
    <w:rsid w:val="002D32D3"/>
    <w:rsid w:val="002D3367"/>
    <w:rsid w:val="002D34A5"/>
    <w:rsid w:val="002D34EC"/>
    <w:rsid w:val="002D359E"/>
    <w:rsid w:val="002D3944"/>
    <w:rsid w:val="002D3AAE"/>
    <w:rsid w:val="002D3B4B"/>
    <w:rsid w:val="002D3BAE"/>
    <w:rsid w:val="002D3D64"/>
    <w:rsid w:val="002D3F9D"/>
    <w:rsid w:val="002D41F7"/>
    <w:rsid w:val="002D423A"/>
    <w:rsid w:val="002D4347"/>
    <w:rsid w:val="002D4376"/>
    <w:rsid w:val="002D4553"/>
    <w:rsid w:val="002D45FF"/>
    <w:rsid w:val="002D4679"/>
    <w:rsid w:val="002D4816"/>
    <w:rsid w:val="002D4BC9"/>
    <w:rsid w:val="002D4C20"/>
    <w:rsid w:val="002D4C8E"/>
    <w:rsid w:val="002D4D19"/>
    <w:rsid w:val="002D4F5C"/>
    <w:rsid w:val="002D512A"/>
    <w:rsid w:val="002D548B"/>
    <w:rsid w:val="002D5632"/>
    <w:rsid w:val="002D58A3"/>
    <w:rsid w:val="002D59C2"/>
    <w:rsid w:val="002D5AC7"/>
    <w:rsid w:val="002D5B9D"/>
    <w:rsid w:val="002D5C7B"/>
    <w:rsid w:val="002D5C86"/>
    <w:rsid w:val="002D5CB2"/>
    <w:rsid w:val="002D5CB5"/>
    <w:rsid w:val="002D5FA9"/>
    <w:rsid w:val="002D5FB9"/>
    <w:rsid w:val="002D6175"/>
    <w:rsid w:val="002D6392"/>
    <w:rsid w:val="002D63E0"/>
    <w:rsid w:val="002D6654"/>
    <w:rsid w:val="002D6719"/>
    <w:rsid w:val="002D6738"/>
    <w:rsid w:val="002D6812"/>
    <w:rsid w:val="002D6861"/>
    <w:rsid w:val="002D6AD9"/>
    <w:rsid w:val="002D6CCE"/>
    <w:rsid w:val="002D6D1F"/>
    <w:rsid w:val="002D6F62"/>
    <w:rsid w:val="002D7006"/>
    <w:rsid w:val="002D7190"/>
    <w:rsid w:val="002D743D"/>
    <w:rsid w:val="002D749A"/>
    <w:rsid w:val="002D7666"/>
    <w:rsid w:val="002D76F1"/>
    <w:rsid w:val="002D7871"/>
    <w:rsid w:val="002D7947"/>
    <w:rsid w:val="002D79DA"/>
    <w:rsid w:val="002D7C7E"/>
    <w:rsid w:val="002D7CC3"/>
    <w:rsid w:val="002D7E7C"/>
    <w:rsid w:val="002E0140"/>
    <w:rsid w:val="002E0191"/>
    <w:rsid w:val="002E022C"/>
    <w:rsid w:val="002E0312"/>
    <w:rsid w:val="002E044A"/>
    <w:rsid w:val="002E08B2"/>
    <w:rsid w:val="002E0A41"/>
    <w:rsid w:val="002E0B96"/>
    <w:rsid w:val="002E0DB9"/>
    <w:rsid w:val="002E0DCD"/>
    <w:rsid w:val="002E10EC"/>
    <w:rsid w:val="002E1140"/>
    <w:rsid w:val="002E1161"/>
    <w:rsid w:val="002E1370"/>
    <w:rsid w:val="002E158E"/>
    <w:rsid w:val="002E164F"/>
    <w:rsid w:val="002E1974"/>
    <w:rsid w:val="002E19E5"/>
    <w:rsid w:val="002E1A0B"/>
    <w:rsid w:val="002E1A67"/>
    <w:rsid w:val="002E1B60"/>
    <w:rsid w:val="002E1C00"/>
    <w:rsid w:val="002E1CEC"/>
    <w:rsid w:val="002E1DF0"/>
    <w:rsid w:val="002E1E2B"/>
    <w:rsid w:val="002E1F9E"/>
    <w:rsid w:val="002E217B"/>
    <w:rsid w:val="002E2185"/>
    <w:rsid w:val="002E2263"/>
    <w:rsid w:val="002E22B0"/>
    <w:rsid w:val="002E22CC"/>
    <w:rsid w:val="002E238A"/>
    <w:rsid w:val="002E23D4"/>
    <w:rsid w:val="002E23E8"/>
    <w:rsid w:val="002E2404"/>
    <w:rsid w:val="002E2413"/>
    <w:rsid w:val="002E243D"/>
    <w:rsid w:val="002E25BA"/>
    <w:rsid w:val="002E2675"/>
    <w:rsid w:val="002E26A8"/>
    <w:rsid w:val="002E26BA"/>
    <w:rsid w:val="002E26F9"/>
    <w:rsid w:val="002E2744"/>
    <w:rsid w:val="002E2851"/>
    <w:rsid w:val="002E2993"/>
    <w:rsid w:val="002E29E3"/>
    <w:rsid w:val="002E2A82"/>
    <w:rsid w:val="002E2A87"/>
    <w:rsid w:val="002E2B25"/>
    <w:rsid w:val="002E2DC8"/>
    <w:rsid w:val="002E2E3C"/>
    <w:rsid w:val="002E3051"/>
    <w:rsid w:val="002E3123"/>
    <w:rsid w:val="002E3283"/>
    <w:rsid w:val="002E3364"/>
    <w:rsid w:val="002E3438"/>
    <w:rsid w:val="002E35B6"/>
    <w:rsid w:val="002E3724"/>
    <w:rsid w:val="002E3739"/>
    <w:rsid w:val="002E3758"/>
    <w:rsid w:val="002E37E0"/>
    <w:rsid w:val="002E3ADC"/>
    <w:rsid w:val="002E40F9"/>
    <w:rsid w:val="002E4146"/>
    <w:rsid w:val="002E4187"/>
    <w:rsid w:val="002E41FC"/>
    <w:rsid w:val="002E42CD"/>
    <w:rsid w:val="002E44C8"/>
    <w:rsid w:val="002E4650"/>
    <w:rsid w:val="002E46AD"/>
    <w:rsid w:val="002E46E1"/>
    <w:rsid w:val="002E47C8"/>
    <w:rsid w:val="002E49C6"/>
    <w:rsid w:val="002E4B9B"/>
    <w:rsid w:val="002E4BA0"/>
    <w:rsid w:val="002E4DFA"/>
    <w:rsid w:val="002E4ECB"/>
    <w:rsid w:val="002E4F53"/>
    <w:rsid w:val="002E50C1"/>
    <w:rsid w:val="002E5177"/>
    <w:rsid w:val="002E523D"/>
    <w:rsid w:val="002E525B"/>
    <w:rsid w:val="002E52DD"/>
    <w:rsid w:val="002E538A"/>
    <w:rsid w:val="002E53F6"/>
    <w:rsid w:val="002E5422"/>
    <w:rsid w:val="002E5580"/>
    <w:rsid w:val="002E55C4"/>
    <w:rsid w:val="002E57E6"/>
    <w:rsid w:val="002E58BB"/>
    <w:rsid w:val="002E58F9"/>
    <w:rsid w:val="002E5AE6"/>
    <w:rsid w:val="002E5BDD"/>
    <w:rsid w:val="002E5CAB"/>
    <w:rsid w:val="002E5D16"/>
    <w:rsid w:val="002E5DCB"/>
    <w:rsid w:val="002E5F95"/>
    <w:rsid w:val="002E6147"/>
    <w:rsid w:val="002E614D"/>
    <w:rsid w:val="002E61A7"/>
    <w:rsid w:val="002E63BE"/>
    <w:rsid w:val="002E6460"/>
    <w:rsid w:val="002E64BC"/>
    <w:rsid w:val="002E65E6"/>
    <w:rsid w:val="002E66A7"/>
    <w:rsid w:val="002E66CE"/>
    <w:rsid w:val="002E67BC"/>
    <w:rsid w:val="002E6A58"/>
    <w:rsid w:val="002E6A86"/>
    <w:rsid w:val="002E6B0F"/>
    <w:rsid w:val="002E6B67"/>
    <w:rsid w:val="002E6BB4"/>
    <w:rsid w:val="002E6BE4"/>
    <w:rsid w:val="002E6C2C"/>
    <w:rsid w:val="002E6D2E"/>
    <w:rsid w:val="002E6ED8"/>
    <w:rsid w:val="002E7099"/>
    <w:rsid w:val="002E70FB"/>
    <w:rsid w:val="002E71D8"/>
    <w:rsid w:val="002E727F"/>
    <w:rsid w:val="002E7282"/>
    <w:rsid w:val="002E73F0"/>
    <w:rsid w:val="002E7478"/>
    <w:rsid w:val="002E74A8"/>
    <w:rsid w:val="002E7523"/>
    <w:rsid w:val="002E7560"/>
    <w:rsid w:val="002E760A"/>
    <w:rsid w:val="002E7612"/>
    <w:rsid w:val="002E76FF"/>
    <w:rsid w:val="002E780D"/>
    <w:rsid w:val="002E78F4"/>
    <w:rsid w:val="002E79BE"/>
    <w:rsid w:val="002E79C1"/>
    <w:rsid w:val="002E79FA"/>
    <w:rsid w:val="002E7AA1"/>
    <w:rsid w:val="002E7EF2"/>
    <w:rsid w:val="002E7F50"/>
    <w:rsid w:val="002E7FCA"/>
    <w:rsid w:val="002F007D"/>
    <w:rsid w:val="002F0147"/>
    <w:rsid w:val="002F02D1"/>
    <w:rsid w:val="002F0557"/>
    <w:rsid w:val="002F0671"/>
    <w:rsid w:val="002F07E7"/>
    <w:rsid w:val="002F0983"/>
    <w:rsid w:val="002F0997"/>
    <w:rsid w:val="002F0BF9"/>
    <w:rsid w:val="002F0C87"/>
    <w:rsid w:val="002F0C9B"/>
    <w:rsid w:val="002F12E2"/>
    <w:rsid w:val="002F15CC"/>
    <w:rsid w:val="002F15D8"/>
    <w:rsid w:val="002F171F"/>
    <w:rsid w:val="002F17E6"/>
    <w:rsid w:val="002F1934"/>
    <w:rsid w:val="002F1AF3"/>
    <w:rsid w:val="002F1FFF"/>
    <w:rsid w:val="002F2144"/>
    <w:rsid w:val="002F215F"/>
    <w:rsid w:val="002F21D6"/>
    <w:rsid w:val="002F24AE"/>
    <w:rsid w:val="002F25BD"/>
    <w:rsid w:val="002F2647"/>
    <w:rsid w:val="002F26A7"/>
    <w:rsid w:val="002F26B9"/>
    <w:rsid w:val="002F26E0"/>
    <w:rsid w:val="002F2771"/>
    <w:rsid w:val="002F2865"/>
    <w:rsid w:val="002F2AE6"/>
    <w:rsid w:val="002F2EBE"/>
    <w:rsid w:val="002F317D"/>
    <w:rsid w:val="002F3344"/>
    <w:rsid w:val="002F3516"/>
    <w:rsid w:val="002F3725"/>
    <w:rsid w:val="002F3886"/>
    <w:rsid w:val="002F3A0F"/>
    <w:rsid w:val="002F3C63"/>
    <w:rsid w:val="002F3C81"/>
    <w:rsid w:val="002F3E13"/>
    <w:rsid w:val="002F3F50"/>
    <w:rsid w:val="002F3FDF"/>
    <w:rsid w:val="002F453C"/>
    <w:rsid w:val="002F47FE"/>
    <w:rsid w:val="002F4870"/>
    <w:rsid w:val="002F489F"/>
    <w:rsid w:val="002F49E9"/>
    <w:rsid w:val="002F4B10"/>
    <w:rsid w:val="002F4C29"/>
    <w:rsid w:val="002F4CD3"/>
    <w:rsid w:val="002F4E5B"/>
    <w:rsid w:val="002F4F29"/>
    <w:rsid w:val="002F5187"/>
    <w:rsid w:val="002F51F6"/>
    <w:rsid w:val="002F5211"/>
    <w:rsid w:val="002F5462"/>
    <w:rsid w:val="002F5728"/>
    <w:rsid w:val="002F5911"/>
    <w:rsid w:val="002F5AED"/>
    <w:rsid w:val="002F5B00"/>
    <w:rsid w:val="002F5B03"/>
    <w:rsid w:val="002F5D3D"/>
    <w:rsid w:val="002F5DEE"/>
    <w:rsid w:val="002F5E31"/>
    <w:rsid w:val="002F5EC2"/>
    <w:rsid w:val="002F5F03"/>
    <w:rsid w:val="002F6284"/>
    <w:rsid w:val="002F62CE"/>
    <w:rsid w:val="002F6448"/>
    <w:rsid w:val="002F65EF"/>
    <w:rsid w:val="002F668E"/>
    <w:rsid w:val="002F670D"/>
    <w:rsid w:val="002F674E"/>
    <w:rsid w:val="002F6795"/>
    <w:rsid w:val="002F6B3D"/>
    <w:rsid w:val="002F6DC5"/>
    <w:rsid w:val="002F6F3F"/>
    <w:rsid w:val="002F7006"/>
    <w:rsid w:val="002F712F"/>
    <w:rsid w:val="002F7149"/>
    <w:rsid w:val="002F71D6"/>
    <w:rsid w:val="002F7260"/>
    <w:rsid w:val="002F7269"/>
    <w:rsid w:val="002F728E"/>
    <w:rsid w:val="002F7406"/>
    <w:rsid w:val="002F747F"/>
    <w:rsid w:val="002F7890"/>
    <w:rsid w:val="002F7910"/>
    <w:rsid w:val="002F791A"/>
    <w:rsid w:val="002F7AA3"/>
    <w:rsid w:val="002F7B8F"/>
    <w:rsid w:val="002F7E03"/>
    <w:rsid w:val="002F7E48"/>
    <w:rsid w:val="002F7F71"/>
    <w:rsid w:val="00300003"/>
    <w:rsid w:val="00300275"/>
    <w:rsid w:val="003002B6"/>
    <w:rsid w:val="0030033B"/>
    <w:rsid w:val="003003EC"/>
    <w:rsid w:val="003004AB"/>
    <w:rsid w:val="0030062B"/>
    <w:rsid w:val="00300638"/>
    <w:rsid w:val="00300753"/>
    <w:rsid w:val="003008CD"/>
    <w:rsid w:val="00300947"/>
    <w:rsid w:val="00300972"/>
    <w:rsid w:val="00300A9B"/>
    <w:rsid w:val="00300AC6"/>
    <w:rsid w:val="00300B64"/>
    <w:rsid w:val="00300D6E"/>
    <w:rsid w:val="00300F5D"/>
    <w:rsid w:val="00300FA7"/>
    <w:rsid w:val="00301444"/>
    <w:rsid w:val="003015EE"/>
    <w:rsid w:val="0030166E"/>
    <w:rsid w:val="00301762"/>
    <w:rsid w:val="003019B5"/>
    <w:rsid w:val="003019B6"/>
    <w:rsid w:val="003019F8"/>
    <w:rsid w:val="00301AE5"/>
    <w:rsid w:val="00301C4B"/>
    <w:rsid w:val="00301E3E"/>
    <w:rsid w:val="00301E60"/>
    <w:rsid w:val="00301F15"/>
    <w:rsid w:val="00301F1D"/>
    <w:rsid w:val="00301F81"/>
    <w:rsid w:val="00301FB1"/>
    <w:rsid w:val="00302003"/>
    <w:rsid w:val="00302087"/>
    <w:rsid w:val="00302240"/>
    <w:rsid w:val="003029D1"/>
    <w:rsid w:val="003029FA"/>
    <w:rsid w:val="00302A8E"/>
    <w:rsid w:val="00302AE0"/>
    <w:rsid w:val="00302AFD"/>
    <w:rsid w:val="00302C06"/>
    <w:rsid w:val="00302C90"/>
    <w:rsid w:val="00302C91"/>
    <w:rsid w:val="00302D19"/>
    <w:rsid w:val="00302E95"/>
    <w:rsid w:val="00302EBE"/>
    <w:rsid w:val="00302F08"/>
    <w:rsid w:val="00303229"/>
    <w:rsid w:val="00303642"/>
    <w:rsid w:val="003036B8"/>
    <w:rsid w:val="0030373B"/>
    <w:rsid w:val="00303777"/>
    <w:rsid w:val="00303870"/>
    <w:rsid w:val="00303B1D"/>
    <w:rsid w:val="00303C73"/>
    <w:rsid w:val="00303D7C"/>
    <w:rsid w:val="003040A8"/>
    <w:rsid w:val="003041FA"/>
    <w:rsid w:val="00304209"/>
    <w:rsid w:val="00304220"/>
    <w:rsid w:val="00304357"/>
    <w:rsid w:val="00304359"/>
    <w:rsid w:val="00304460"/>
    <w:rsid w:val="00304769"/>
    <w:rsid w:val="00304800"/>
    <w:rsid w:val="0030491A"/>
    <w:rsid w:val="00304972"/>
    <w:rsid w:val="00304B4A"/>
    <w:rsid w:val="00304B7E"/>
    <w:rsid w:val="00304D0B"/>
    <w:rsid w:val="00304D7B"/>
    <w:rsid w:val="00304E2A"/>
    <w:rsid w:val="00304EA0"/>
    <w:rsid w:val="00304ED0"/>
    <w:rsid w:val="00304F3E"/>
    <w:rsid w:val="00304F6C"/>
    <w:rsid w:val="003050E0"/>
    <w:rsid w:val="00305295"/>
    <w:rsid w:val="003054CB"/>
    <w:rsid w:val="00305565"/>
    <w:rsid w:val="003055E9"/>
    <w:rsid w:val="00305875"/>
    <w:rsid w:val="003058F1"/>
    <w:rsid w:val="00305A15"/>
    <w:rsid w:val="00305B4C"/>
    <w:rsid w:val="00305CD3"/>
    <w:rsid w:val="00305D7A"/>
    <w:rsid w:val="00305DE3"/>
    <w:rsid w:val="00305F1E"/>
    <w:rsid w:val="00306024"/>
    <w:rsid w:val="00306050"/>
    <w:rsid w:val="003060D1"/>
    <w:rsid w:val="0030610B"/>
    <w:rsid w:val="0030650C"/>
    <w:rsid w:val="003065B0"/>
    <w:rsid w:val="003065B2"/>
    <w:rsid w:val="0030676D"/>
    <w:rsid w:val="0030687A"/>
    <w:rsid w:val="003068B3"/>
    <w:rsid w:val="0030690F"/>
    <w:rsid w:val="00306A23"/>
    <w:rsid w:val="00306A6A"/>
    <w:rsid w:val="00306AC2"/>
    <w:rsid w:val="00306B2F"/>
    <w:rsid w:val="00306BAD"/>
    <w:rsid w:val="00306C81"/>
    <w:rsid w:val="00306CCE"/>
    <w:rsid w:val="00306DF6"/>
    <w:rsid w:val="00306F20"/>
    <w:rsid w:val="00306F5F"/>
    <w:rsid w:val="0030718E"/>
    <w:rsid w:val="00307243"/>
    <w:rsid w:val="003072A3"/>
    <w:rsid w:val="00307610"/>
    <w:rsid w:val="003076D4"/>
    <w:rsid w:val="003077A6"/>
    <w:rsid w:val="003077C0"/>
    <w:rsid w:val="003077DD"/>
    <w:rsid w:val="0030780A"/>
    <w:rsid w:val="00307977"/>
    <w:rsid w:val="00307AC4"/>
    <w:rsid w:val="00307B25"/>
    <w:rsid w:val="00307B47"/>
    <w:rsid w:val="00307F9A"/>
    <w:rsid w:val="0031011B"/>
    <w:rsid w:val="00310488"/>
    <w:rsid w:val="003105EB"/>
    <w:rsid w:val="00310676"/>
    <w:rsid w:val="003106AE"/>
    <w:rsid w:val="003107D7"/>
    <w:rsid w:val="003107FB"/>
    <w:rsid w:val="0031097A"/>
    <w:rsid w:val="003109A0"/>
    <w:rsid w:val="003109B0"/>
    <w:rsid w:val="00310A10"/>
    <w:rsid w:val="00310A47"/>
    <w:rsid w:val="00310A98"/>
    <w:rsid w:val="00310CA6"/>
    <w:rsid w:val="00310CE9"/>
    <w:rsid w:val="00310EF4"/>
    <w:rsid w:val="00310FFF"/>
    <w:rsid w:val="0031146C"/>
    <w:rsid w:val="003115FB"/>
    <w:rsid w:val="00311733"/>
    <w:rsid w:val="0031181F"/>
    <w:rsid w:val="00311903"/>
    <w:rsid w:val="003119F2"/>
    <w:rsid w:val="00311AC4"/>
    <w:rsid w:val="00311BD7"/>
    <w:rsid w:val="00311D53"/>
    <w:rsid w:val="00311F8B"/>
    <w:rsid w:val="00312114"/>
    <w:rsid w:val="0031217C"/>
    <w:rsid w:val="003121C1"/>
    <w:rsid w:val="003123C6"/>
    <w:rsid w:val="00312559"/>
    <w:rsid w:val="00312560"/>
    <w:rsid w:val="0031267C"/>
    <w:rsid w:val="003126C9"/>
    <w:rsid w:val="003127F5"/>
    <w:rsid w:val="00312A9A"/>
    <w:rsid w:val="00312CFA"/>
    <w:rsid w:val="00312D2A"/>
    <w:rsid w:val="00312E9F"/>
    <w:rsid w:val="00312FC7"/>
    <w:rsid w:val="00313417"/>
    <w:rsid w:val="0031373A"/>
    <w:rsid w:val="0031384B"/>
    <w:rsid w:val="00313A90"/>
    <w:rsid w:val="00313B20"/>
    <w:rsid w:val="00313BD6"/>
    <w:rsid w:val="00313C02"/>
    <w:rsid w:val="00313E3C"/>
    <w:rsid w:val="00313F9A"/>
    <w:rsid w:val="003141AF"/>
    <w:rsid w:val="003146F5"/>
    <w:rsid w:val="00314739"/>
    <w:rsid w:val="00314779"/>
    <w:rsid w:val="0031491E"/>
    <w:rsid w:val="00314A20"/>
    <w:rsid w:val="00314B9F"/>
    <w:rsid w:val="00314CE3"/>
    <w:rsid w:val="00314D0F"/>
    <w:rsid w:val="00314E47"/>
    <w:rsid w:val="00314ECC"/>
    <w:rsid w:val="00314F7A"/>
    <w:rsid w:val="00314FEA"/>
    <w:rsid w:val="00315116"/>
    <w:rsid w:val="003151C8"/>
    <w:rsid w:val="003152CA"/>
    <w:rsid w:val="003153C7"/>
    <w:rsid w:val="00315439"/>
    <w:rsid w:val="0031545C"/>
    <w:rsid w:val="003158D4"/>
    <w:rsid w:val="00315C20"/>
    <w:rsid w:val="00315C25"/>
    <w:rsid w:val="00315C7B"/>
    <w:rsid w:val="00315CA2"/>
    <w:rsid w:val="00315D79"/>
    <w:rsid w:val="00315DEB"/>
    <w:rsid w:val="00316104"/>
    <w:rsid w:val="0031622E"/>
    <w:rsid w:val="00316293"/>
    <w:rsid w:val="003163F1"/>
    <w:rsid w:val="00316472"/>
    <w:rsid w:val="003165C0"/>
    <w:rsid w:val="00316620"/>
    <w:rsid w:val="00316868"/>
    <w:rsid w:val="003168D5"/>
    <w:rsid w:val="003168E0"/>
    <w:rsid w:val="0031693D"/>
    <w:rsid w:val="00316C7E"/>
    <w:rsid w:val="00316CA3"/>
    <w:rsid w:val="00316CC0"/>
    <w:rsid w:val="00316CE1"/>
    <w:rsid w:val="00316D09"/>
    <w:rsid w:val="00316D12"/>
    <w:rsid w:val="0031718F"/>
    <w:rsid w:val="003173BB"/>
    <w:rsid w:val="0031747B"/>
    <w:rsid w:val="003174A7"/>
    <w:rsid w:val="00317591"/>
    <w:rsid w:val="0031761E"/>
    <w:rsid w:val="00317A51"/>
    <w:rsid w:val="00317A97"/>
    <w:rsid w:val="00317BC5"/>
    <w:rsid w:val="00317C0E"/>
    <w:rsid w:val="00317C85"/>
    <w:rsid w:val="00317CD4"/>
    <w:rsid w:val="00317D0D"/>
    <w:rsid w:val="00317E93"/>
    <w:rsid w:val="0032029F"/>
    <w:rsid w:val="003203CD"/>
    <w:rsid w:val="003203D0"/>
    <w:rsid w:val="00320552"/>
    <w:rsid w:val="003205E7"/>
    <w:rsid w:val="0032077D"/>
    <w:rsid w:val="003208AE"/>
    <w:rsid w:val="00320A6D"/>
    <w:rsid w:val="00320B08"/>
    <w:rsid w:val="00320B8A"/>
    <w:rsid w:val="00320BBB"/>
    <w:rsid w:val="00320D2C"/>
    <w:rsid w:val="00320EC6"/>
    <w:rsid w:val="00320F09"/>
    <w:rsid w:val="00320FB5"/>
    <w:rsid w:val="003210FB"/>
    <w:rsid w:val="00321192"/>
    <w:rsid w:val="00321323"/>
    <w:rsid w:val="003214B4"/>
    <w:rsid w:val="00321519"/>
    <w:rsid w:val="00321A4C"/>
    <w:rsid w:val="00321E40"/>
    <w:rsid w:val="003220FA"/>
    <w:rsid w:val="00322255"/>
    <w:rsid w:val="00322403"/>
    <w:rsid w:val="003224B7"/>
    <w:rsid w:val="0032252E"/>
    <w:rsid w:val="00322571"/>
    <w:rsid w:val="00322572"/>
    <w:rsid w:val="0032267D"/>
    <w:rsid w:val="00322783"/>
    <w:rsid w:val="003228BA"/>
    <w:rsid w:val="003228C0"/>
    <w:rsid w:val="003228EF"/>
    <w:rsid w:val="00322BDF"/>
    <w:rsid w:val="00322C5D"/>
    <w:rsid w:val="00322CA0"/>
    <w:rsid w:val="00322D1E"/>
    <w:rsid w:val="00322DBE"/>
    <w:rsid w:val="00322E53"/>
    <w:rsid w:val="00322E5F"/>
    <w:rsid w:val="00322E85"/>
    <w:rsid w:val="00322F46"/>
    <w:rsid w:val="003230F0"/>
    <w:rsid w:val="003231B3"/>
    <w:rsid w:val="003231CA"/>
    <w:rsid w:val="0032324C"/>
    <w:rsid w:val="003232B8"/>
    <w:rsid w:val="003232EC"/>
    <w:rsid w:val="003233FF"/>
    <w:rsid w:val="00323444"/>
    <w:rsid w:val="003236B0"/>
    <w:rsid w:val="0032373B"/>
    <w:rsid w:val="003237A4"/>
    <w:rsid w:val="0032392F"/>
    <w:rsid w:val="00323BBF"/>
    <w:rsid w:val="00323D67"/>
    <w:rsid w:val="00323DB9"/>
    <w:rsid w:val="00323EA1"/>
    <w:rsid w:val="00323F28"/>
    <w:rsid w:val="00324174"/>
    <w:rsid w:val="003241AA"/>
    <w:rsid w:val="003241D0"/>
    <w:rsid w:val="0032478A"/>
    <w:rsid w:val="0032483B"/>
    <w:rsid w:val="00324987"/>
    <w:rsid w:val="003249B5"/>
    <w:rsid w:val="003249E8"/>
    <w:rsid w:val="00324B10"/>
    <w:rsid w:val="00324B16"/>
    <w:rsid w:val="00324C0A"/>
    <w:rsid w:val="00324CF2"/>
    <w:rsid w:val="00324CFE"/>
    <w:rsid w:val="00324DC6"/>
    <w:rsid w:val="00324E76"/>
    <w:rsid w:val="00324EC2"/>
    <w:rsid w:val="00325033"/>
    <w:rsid w:val="00325075"/>
    <w:rsid w:val="0032507E"/>
    <w:rsid w:val="0032512B"/>
    <w:rsid w:val="0032526C"/>
    <w:rsid w:val="003252C0"/>
    <w:rsid w:val="00325339"/>
    <w:rsid w:val="003253DF"/>
    <w:rsid w:val="0032541D"/>
    <w:rsid w:val="00325459"/>
    <w:rsid w:val="00325462"/>
    <w:rsid w:val="00325519"/>
    <w:rsid w:val="0032554F"/>
    <w:rsid w:val="00325575"/>
    <w:rsid w:val="0032569F"/>
    <w:rsid w:val="003259F9"/>
    <w:rsid w:val="00325A02"/>
    <w:rsid w:val="00325A66"/>
    <w:rsid w:val="00325A92"/>
    <w:rsid w:val="00325B43"/>
    <w:rsid w:val="00325BD6"/>
    <w:rsid w:val="003261CD"/>
    <w:rsid w:val="003261E6"/>
    <w:rsid w:val="00326226"/>
    <w:rsid w:val="003263FE"/>
    <w:rsid w:val="00326420"/>
    <w:rsid w:val="00326512"/>
    <w:rsid w:val="00326590"/>
    <w:rsid w:val="00326721"/>
    <w:rsid w:val="00326770"/>
    <w:rsid w:val="003267FD"/>
    <w:rsid w:val="00326923"/>
    <w:rsid w:val="00326A60"/>
    <w:rsid w:val="00326B27"/>
    <w:rsid w:val="00326CF5"/>
    <w:rsid w:val="00326E75"/>
    <w:rsid w:val="00326EDA"/>
    <w:rsid w:val="00327030"/>
    <w:rsid w:val="0032713F"/>
    <w:rsid w:val="003272A2"/>
    <w:rsid w:val="003275BB"/>
    <w:rsid w:val="003277D4"/>
    <w:rsid w:val="00327934"/>
    <w:rsid w:val="00327A59"/>
    <w:rsid w:val="00327B30"/>
    <w:rsid w:val="00327EDF"/>
    <w:rsid w:val="00327F64"/>
    <w:rsid w:val="00327F76"/>
    <w:rsid w:val="003301BB"/>
    <w:rsid w:val="00330339"/>
    <w:rsid w:val="00330539"/>
    <w:rsid w:val="00330747"/>
    <w:rsid w:val="00330B60"/>
    <w:rsid w:val="00330BF9"/>
    <w:rsid w:val="00330C05"/>
    <w:rsid w:val="00330CAD"/>
    <w:rsid w:val="00330D35"/>
    <w:rsid w:val="00330D72"/>
    <w:rsid w:val="00330E6F"/>
    <w:rsid w:val="00330F0B"/>
    <w:rsid w:val="00330FB5"/>
    <w:rsid w:val="00330FE1"/>
    <w:rsid w:val="00331164"/>
    <w:rsid w:val="003314BC"/>
    <w:rsid w:val="0033151A"/>
    <w:rsid w:val="0033176B"/>
    <w:rsid w:val="0033182C"/>
    <w:rsid w:val="00331997"/>
    <w:rsid w:val="00331A66"/>
    <w:rsid w:val="00331A9A"/>
    <w:rsid w:val="00331B97"/>
    <w:rsid w:val="00331D1F"/>
    <w:rsid w:val="00331E13"/>
    <w:rsid w:val="00331E8D"/>
    <w:rsid w:val="00331ED7"/>
    <w:rsid w:val="00331ED8"/>
    <w:rsid w:val="00331F52"/>
    <w:rsid w:val="00331FBD"/>
    <w:rsid w:val="00332239"/>
    <w:rsid w:val="003322CB"/>
    <w:rsid w:val="00332716"/>
    <w:rsid w:val="003327E7"/>
    <w:rsid w:val="0033283A"/>
    <w:rsid w:val="00332A41"/>
    <w:rsid w:val="00332E0C"/>
    <w:rsid w:val="00332F81"/>
    <w:rsid w:val="00333102"/>
    <w:rsid w:val="0033325E"/>
    <w:rsid w:val="003332BC"/>
    <w:rsid w:val="00333466"/>
    <w:rsid w:val="0033358F"/>
    <w:rsid w:val="003336D1"/>
    <w:rsid w:val="00333700"/>
    <w:rsid w:val="00333726"/>
    <w:rsid w:val="00333879"/>
    <w:rsid w:val="0033395F"/>
    <w:rsid w:val="00333A2E"/>
    <w:rsid w:val="00333AFC"/>
    <w:rsid w:val="00333B94"/>
    <w:rsid w:val="00333BC5"/>
    <w:rsid w:val="00333D0E"/>
    <w:rsid w:val="00333D4F"/>
    <w:rsid w:val="00333DDA"/>
    <w:rsid w:val="00333E87"/>
    <w:rsid w:val="00333FA8"/>
    <w:rsid w:val="00333FB9"/>
    <w:rsid w:val="00334067"/>
    <w:rsid w:val="00334304"/>
    <w:rsid w:val="00334341"/>
    <w:rsid w:val="0033436A"/>
    <w:rsid w:val="00334415"/>
    <w:rsid w:val="00334593"/>
    <w:rsid w:val="003345A3"/>
    <w:rsid w:val="003345D1"/>
    <w:rsid w:val="00334615"/>
    <w:rsid w:val="0033481D"/>
    <w:rsid w:val="00334948"/>
    <w:rsid w:val="00334B0E"/>
    <w:rsid w:val="00334C69"/>
    <w:rsid w:val="003351B8"/>
    <w:rsid w:val="003352CD"/>
    <w:rsid w:val="003354C2"/>
    <w:rsid w:val="00335773"/>
    <w:rsid w:val="003357C3"/>
    <w:rsid w:val="003359BD"/>
    <w:rsid w:val="00335A40"/>
    <w:rsid w:val="00335A63"/>
    <w:rsid w:val="00335A7F"/>
    <w:rsid w:val="00335B0F"/>
    <w:rsid w:val="00335B7C"/>
    <w:rsid w:val="00335BCA"/>
    <w:rsid w:val="00335E6B"/>
    <w:rsid w:val="00335F47"/>
    <w:rsid w:val="003360AC"/>
    <w:rsid w:val="003360AE"/>
    <w:rsid w:val="0033620E"/>
    <w:rsid w:val="00336330"/>
    <w:rsid w:val="0033647C"/>
    <w:rsid w:val="003364F3"/>
    <w:rsid w:val="00336501"/>
    <w:rsid w:val="0033650F"/>
    <w:rsid w:val="00336623"/>
    <w:rsid w:val="0033668F"/>
    <w:rsid w:val="00336772"/>
    <w:rsid w:val="003369B5"/>
    <w:rsid w:val="003369DF"/>
    <w:rsid w:val="00336AF7"/>
    <w:rsid w:val="00336C30"/>
    <w:rsid w:val="00336D5A"/>
    <w:rsid w:val="00336F00"/>
    <w:rsid w:val="00337066"/>
    <w:rsid w:val="00337150"/>
    <w:rsid w:val="00337216"/>
    <w:rsid w:val="0033724D"/>
    <w:rsid w:val="00337273"/>
    <w:rsid w:val="003374C1"/>
    <w:rsid w:val="00337560"/>
    <w:rsid w:val="00337680"/>
    <w:rsid w:val="00337977"/>
    <w:rsid w:val="00337A57"/>
    <w:rsid w:val="00337AA3"/>
    <w:rsid w:val="00337AEA"/>
    <w:rsid w:val="00337C3A"/>
    <w:rsid w:val="00337D02"/>
    <w:rsid w:val="00337E4C"/>
    <w:rsid w:val="003400DF"/>
    <w:rsid w:val="0034046B"/>
    <w:rsid w:val="00340871"/>
    <w:rsid w:val="003408D1"/>
    <w:rsid w:val="0034091B"/>
    <w:rsid w:val="00340AD6"/>
    <w:rsid w:val="00340B72"/>
    <w:rsid w:val="00340BFE"/>
    <w:rsid w:val="00340CBC"/>
    <w:rsid w:val="00340D2C"/>
    <w:rsid w:val="00340D30"/>
    <w:rsid w:val="00340DD5"/>
    <w:rsid w:val="00340E7C"/>
    <w:rsid w:val="00340F2B"/>
    <w:rsid w:val="003410DE"/>
    <w:rsid w:val="0034121E"/>
    <w:rsid w:val="003412D7"/>
    <w:rsid w:val="00341328"/>
    <w:rsid w:val="00341334"/>
    <w:rsid w:val="0034154E"/>
    <w:rsid w:val="00341577"/>
    <w:rsid w:val="003416E6"/>
    <w:rsid w:val="0034180E"/>
    <w:rsid w:val="00341D36"/>
    <w:rsid w:val="00341E95"/>
    <w:rsid w:val="0034201F"/>
    <w:rsid w:val="00342111"/>
    <w:rsid w:val="0034211A"/>
    <w:rsid w:val="00342188"/>
    <w:rsid w:val="0034221B"/>
    <w:rsid w:val="00342340"/>
    <w:rsid w:val="0034243B"/>
    <w:rsid w:val="0034244B"/>
    <w:rsid w:val="00342B84"/>
    <w:rsid w:val="00342BF7"/>
    <w:rsid w:val="00342F0E"/>
    <w:rsid w:val="0034302F"/>
    <w:rsid w:val="0034307D"/>
    <w:rsid w:val="00343140"/>
    <w:rsid w:val="0034326A"/>
    <w:rsid w:val="00343496"/>
    <w:rsid w:val="0034358A"/>
    <w:rsid w:val="003435BF"/>
    <w:rsid w:val="003436B2"/>
    <w:rsid w:val="00343722"/>
    <w:rsid w:val="00343815"/>
    <w:rsid w:val="0034381D"/>
    <w:rsid w:val="0034383C"/>
    <w:rsid w:val="0034397C"/>
    <w:rsid w:val="00343A4A"/>
    <w:rsid w:val="00343B15"/>
    <w:rsid w:val="00343C5D"/>
    <w:rsid w:val="00343CF7"/>
    <w:rsid w:val="00343E26"/>
    <w:rsid w:val="00343F35"/>
    <w:rsid w:val="003441AD"/>
    <w:rsid w:val="003441C3"/>
    <w:rsid w:val="003441E1"/>
    <w:rsid w:val="003442D6"/>
    <w:rsid w:val="0034469E"/>
    <w:rsid w:val="00344810"/>
    <w:rsid w:val="0034487C"/>
    <w:rsid w:val="00344A03"/>
    <w:rsid w:val="00344C58"/>
    <w:rsid w:val="00344D8B"/>
    <w:rsid w:val="00344EA7"/>
    <w:rsid w:val="00344F1C"/>
    <w:rsid w:val="00344F2F"/>
    <w:rsid w:val="003451C0"/>
    <w:rsid w:val="003451F7"/>
    <w:rsid w:val="00345303"/>
    <w:rsid w:val="00345324"/>
    <w:rsid w:val="00345357"/>
    <w:rsid w:val="00345389"/>
    <w:rsid w:val="003455B0"/>
    <w:rsid w:val="003455B6"/>
    <w:rsid w:val="00345623"/>
    <w:rsid w:val="003457CC"/>
    <w:rsid w:val="0034580D"/>
    <w:rsid w:val="0034585F"/>
    <w:rsid w:val="0034590E"/>
    <w:rsid w:val="00345959"/>
    <w:rsid w:val="003459F8"/>
    <w:rsid w:val="00345A54"/>
    <w:rsid w:val="00345B5B"/>
    <w:rsid w:val="00345B7D"/>
    <w:rsid w:val="0034606D"/>
    <w:rsid w:val="00346083"/>
    <w:rsid w:val="003461C0"/>
    <w:rsid w:val="003462BB"/>
    <w:rsid w:val="003462BE"/>
    <w:rsid w:val="00346336"/>
    <w:rsid w:val="003466A2"/>
    <w:rsid w:val="003466C1"/>
    <w:rsid w:val="0034692A"/>
    <w:rsid w:val="00346C70"/>
    <w:rsid w:val="00346F8B"/>
    <w:rsid w:val="0034701F"/>
    <w:rsid w:val="0034736D"/>
    <w:rsid w:val="00347545"/>
    <w:rsid w:val="00347648"/>
    <w:rsid w:val="0034785A"/>
    <w:rsid w:val="003478F2"/>
    <w:rsid w:val="003479D5"/>
    <w:rsid w:val="00347C39"/>
    <w:rsid w:val="0035008A"/>
    <w:rsid w:val="003501A4"/>
    <w:rsid w:val="00350369"/>
    <w:rsid w:val="003503CC"/>
    <w:rsid w:val="00350548"/>
    <w:rsid w:val="003505CF"/>
    <w:rsid w:val="00350889"/>
    <w:rsid w:val="003508CB"/>
    <w:rsid w:val="00350A70"/>
    <w:rsid w:val="00350D85"/>
    <w:rsid w:val="00350D9D"/>
    <w:rsid w:val="00350E0C"/>
    <w:rsid w:val="00351046"/>
    <w:rsid w:val="0035130A"/>
    <w:rsid w:val="003513C7"/>
    <w:rsid w:val="0035144F"/>
    <w:rsid w:val="0035146A"/>
    <w:rsid w:val="00351769"/>
    <w:rsid w:val="00351842"/>
    <w:rsid w:val="0035193D"/>
    <w:rsid w:val="0035199F"/>
    <w:rsid w:val="003519B2"/>
    <w:rsid w:val="003519B7"/>
    <w:rsid w:val="00351D30"/>
    <w:rsid w:val="00351DA5"/>
    <w:rsid w:val="00352007"/>
    <w:rsid w:val="003523AF"/>
    <w:rsid w:val="003523D0"/>
    <w:rsid w:val="0035247E"/>
    <w:rsid w:val="003525CE"/>
    <w:rsid w:val="0035263C"/>
    <w:rsid w:val="00352A57"/>
    <w:rsid w:val="00352AB1"/>
    <w:rsid w:val="00352C04"/>
    <w:rsid w:val="00352CBA"/>
    <w:rsid w:val="00352D98"/>
    <w:rsid w:val="003531CB"/>
    <w:rsid w:val="00353478"/>
    <w:rsid w:val="003534F7"/>
    <w:rsid w:val="003536E6"/>
    <w:rsid w:val="0035390E"/>
    <w:rsid w:val="003539F7"/>
    <w:rsid w:val="00353B66"/>
    <w:rsid w:val="00353CAF"/>
    <w:rsid w:val="00353EC1"/>
    <w:rsid w:val="0035425F"/>
    <w:rsid w:val="003543AC"/>
    <w:rsid w:val="003543FA"/>
    <w:rsid w:val="00354476"/>
    <w:rsid w:val="00354731"/>
    <w:rsid w:val="003547A8"/>
    <w:rsid w:val="003547F5"/>
    <w:rsid w:val="0035483C"/>
    <w:rsid w:val="00354917"/>
    <w:rsid w:val="00354D34"/>
    <w:rsid w:val="00354D63"/>
    <w:rsid w:val="00354E02"/>
    <w:rsid w:val="00354F67"/>
    <w:rsid w:val="003550EF"/>
    <w:rsid w:val="00355141"/>
    <w:rsid w:val="00355221"/>
    <w:rsid w:val="0035527F"/>
    <w:rsid w:val="0035589A"/>
    <w:rsid w:val="00355B7F"/>
    <w:rsid w:val="00355BD3"/>
    <w:rsid w:val="00355BED"/>
    <w:rsid w:val="00355D21"/>
    <w:rsid w:val="00355F76"/>
    <w:rsid w:val="003560CD"/>
    <w:rsid w:val="00356210"/>
    <w:rsid w:val="0035624D"/>
    <w:rsid w:val="003565C8"/>
    <w:rsid w:val="003565F3"/>
    <w:rsid w:val="003566E7"/>
    <w:rsid w:val="0035672C"/>
    <w:rsid w:val="00356777"/>
    <w:rsid w:val="00356787"/>
    <w:rsid w:val="00356922"/>
    <w:rsid w:val="003569A7"/>
    <w:rsid w:val="003569CB"/>
    <w:rsid w:val="00356A02"/>
    <w:rsid w:val="00356AA5"/>
    <w:rsid w:val="00356BB3"/>
    <w:rsid w:val="00356CB7"/>
    <w:rsid w:val="00356D7E"/>
    <w:rsid w:val="00356FE0"/>
    <w:rsid w:val="00357184"/>
    <w:rsid w:val="003571FF"/>
    <w:rsid w:val="003572E4"/>
    <w:rsid w:val="00357383"/>
    <w:rsid w:val="003576B4"/>
    <w:rsid w:val="003576D1"/>
    <w:rsid w:val="0035773F"/>
    <w:rsid w:val="003577EA"/>
    <w:rsid w:val="00357853"/>
    <w:rsid w:val="0035795E"/>
    <w:rsid w:val="00357968"/>
    <w:rsid w:val="00357A27"/>
    <w:rsid w:val="00357A47"/>
    <w:rsid w:val="00357A65"/>
    <w:rsid w:val="00357B78"/>
    <w:rsid w:val="00357C09"/>
    <w:rsid w:val="00357C8B"/>
    <w:rsid w:val="00357E4F"/>
    <w:rsid w:val="00360037"/>
    <w:rsid w:val="00360062"/>
    <w:rsid w:val="003600C8"/>
    <w:rsid w:val="00360205"/>
    <w:rsid w:val="00360453"/>
    <w:rsid w:val="00360455"/>
    <w:rsid w:val="003605A7"/>
    <w:rsid w:val="003605D4"/>
    <w:rsid w:val="003608FF"/>
    <w:rsid w:val="00360A48"/>
    <w:rsid w:val="00360C8B"/>
    <w:rsid w:val="00360DCE"/>
    <w:rsid w:val="00361078"/>
    <w:rsid w:val="003610EF"/>
    <w:rsid w:val="0036118C"/>
    <w:rsid w:val="0036159E"/>
    <w:rsid w:val="003618A5"/>
    <w:rsid w:val="003618F9"/>
    <w:rsid w:val="003619AD"/>
    <w:rsid w:val="003619D3"/>
    <w:rsid w:val="00361A3F"/>
    <w:rsid w:val="00361A86"/>
    <w:rsid w:val="00361ACF"/>
    <w:rsid w:val="00361AF8"/>
    <w:rsid w:val="00361B66"/>
    <w:rsid w:val="00361C41"/>
    <w:rsid w:val="00361C62"/>
    <w:rsid w:val="00361D5D"/>
    <w:rsid w:val="00361FFF"/>
    <w:rsid w:val="003620E5"/>
    <w:rsid w:val="0036215E"/>
    <w:rsid w:val="003623C4"/>
    <w:rsid w:val="003624EA"/>
    <w:rsid w:val="003624EB"/>
    <w:rsid w:val="003626E3"/>
    <w:rsid w:val="003628E1"/>
    <w:rsid w:val="00362E45"/>
    <w:rsid w:val="00362EEF"/>
    <w:rsid w:val="00362FF0"/>
    <w:rsid w:val="0036300A"/>
    <w:rsid w:val="00363091"/>
    <w:rsid w:val="003630F4"/>
    <w:rsid w:val="0036334B"/>
    <w:rsid w:val="0036339E"/>
    <w:rsid w:val="003633B0"/>
    <w:rsid w:val="00363440"/>
    <w:rsid w:val="003635A5"/>
    <w:rsid w:val="003636F6"/>
    <w:rsid w:val="00363827"/>
    <w:rsid w:val="003638F9"/>
    <w:rsid w:val="00363913"/>
    <w:rsid w:val="00363ABD"/>
    <w:rsid w:val="00363BDB"/>
    <w:rsid w:val="00363C6A"/>
    <w:rsid w:val="00363F63"/>
    <w:rsid w:val="00364136"/>
    <w:rsid w:val="0036414D"/>
    <w:rsid w:val="00364278"/>
    <w:rsid w:val="0036437D"/>
    <w:rsid w:val="0036438A"/>
    <w:rsid w:val="003644E0"/>
    <w:rsid w:val="00364541"/>
    <w:rsid w:val="00364766"/>
    <w:rsid w:val="0036497C"/>
    <w:rsid w:val="00364B88"/>
    <w:rsid w:val="00364D45"/>
    <w:rsid w:val="00365022"/>
    <w:rsid w:val="00365039"/>
    <w:rsid w:val="00365061"/>
    <w:rsid w:val="00365073"/>
    <w:rsid w:val="0036529D"/>
    <w:rsid w:val="003652EE"/>
    <w:rsid w:val="00365338"/>
    <w:rsid w:val="00365360"/>
    <w:rsid w:val="00365653"/>
    <w:rsid w:val="003656D4"/>
    <w:rsid w:val="00365725"/>
    <w:rsid w:val="0036578E"/>
    <w:rsid w:val="00365926"/>
    <w:rsid w:val="00365D41"/>
    <w:rsid w:val="00365F2A"/>
    <w:rsid w:val="00366344"/>
    <w:rsid w:val="003663DA"/>
    <w:rsid w:val="003666EA"/>
    <w:rsid w:val="003667E2"/>
    <w:rsid w:val="003667EF"/>
    <w:rsid w:val="00366916"/>
    <w:rsid w:val="00366928"/>
    <w:rsid w:val="00366B13"/>
    <w:rsid w:val="00366B69"/>
    <w:rsid w:val="00366C7D"/>
    <w:rsid w:val="00367053"/>
    <w:rsid w:val="003671AE"/>
    <w:rsid w:val="00367505"/>
    <w:rsid w:val="0036759B"/>
    <w:rsid w:val="003675BA"/>
    <w:rsid w:val="003678E9"/>
    <w:rsid w:val="0036792F"/>
    <w:rsid w:val="003679C3"/>
    <w:rsid w:val="00367B4D"/>
    <w:rsid w:val="00367B80"/>
    <w:rsid w:val="00367B85"/>
    <w:rsid w:val="00367D14"/>
    <w:rsid w:val="00367DC6"/>
    <w:rsid w:val="00367E9B"/>
    <w:rsid w:val="00367F10"/>
    <w:rsid w:val="0036C04E"/>
    <w:rsid w:val="0037007C"/>
    <w:rsid w:val="00370213"/>
    <w:rsid w:val="003702B6"/>
    <w:rsid w:val="0037041F"/>
    <w:rsid w:val="00370463"/>
    <w:rsid w:val="003704D2"/>
    <w:rsid w:val="003704E0"/>
    <w:rsid w:val="00370649"/>
    <w:rsid w:val="0037070A"/>
    <w:rsid w:val="0037080A"/>
    <w:rsid w:val="00370CA8"/>
    <w:rsid w:val="00370D70"/>
    <w:rsid w:val="00370DD5"/>
    <w:rsid w:val="00370DFD"/>
    <w:rsid w:val="00370EA9"/>
    <w:rsid w:val="00371268"/>
    <w:rsid w:val="0037141D"/>
    <w:rsid w:val="003715D9"/>
    <w:rsid w:val="003715F0"/>
    <w:rsid w:val="00371956"/>
    <w:rsid w:val="00371B27"/>
    <w:rsid w:val="00371C66"/>
    <w:rsid w:val="00371F15"/>
    <w:rsid w:val="003720E4"/>
    <w:rsid w:val="00372238"/>
    <w:rsid w:val="00372329"/>
    <w:rsid w:val="00372478"/>
    <w:rsid w:val="003725A7"/>
    <w:rsid w:val="00372603"/>
    <w:rsid w:val="0037263B"/>
    <w:rsid w:val="0037275B"/>
    <w:rsid w:val="0037277C"/>
    <w:rsid w:val="0037292B"/>
    <w:rsid w:val="003729A3"/>
    <w:rsid w:val="003729CD"/>
    <w:rsid w:val="00372AEF"/>
    <w:rsid w:val="00372B40"/>
    <w:rsid w:val="00372D54"/>
    <w:rsid w:val="00373180"/>
    <w:rsid w:val="00373805"/>
    <w:rsid w:val="0037380A"/>
    <w:rsid w:val="003738F3"/>
    <w:rsid w:val="00373970"/>
    <w:rsid w:val="00373B93"/>
    <w:rsid w:val="00373BD6"/>
    <w:rsid w:val="00373C0A"/>
    <w:rsid w:val="00373C80"/>
    <w:rsid w:val="00373D12"/>
    <w:rsid w:val="0037417D"/>
    <w:rsid w:val="003742CA"/>
    <w:rsid w:val="003742F2"/>
    <w:rsid w:val="00374409"/>
    <w:rsid w:val="0037443B"/>
    <w:rsid w:val="0037458C"/>
    <w:rsid w:val="003746A2"/>
    <w:rsid w:val="00374744"/>
    <w:rsid w:val="00374777"/>
    <w:rsid w:val="0037484E"/>
    <w:rsid w:val="00374A18"/>
    <w:rsid w:val="00374AF6"/>
    <w:rsid w:val="00374C94"/>
    <w:rsid w:val="00374CBC"/>
    <w:rsid w:val="00374D9E"/>
    <w:rsid w:val="00374F34"/>
    <w:rsid w:val="00374F9F"/>
    <w:rsid w:val="003752D3"/>
    <w:rsid w:val="00375583"/>
    <w:rsid w:val="003755C0"/>
    <w:rsid w:val="0037577B"/>
    <w:rsid w:val="00375931"/>
    <w:rsid w:val="003759EF"/>
    <w:rsid w:val="003759F3"/>
    <w:rsid w:val="00375EB8"/>
    <w:rsid w:val="00376020"/>
    <w:rsid w:val="00376031"/>
    <w:rsid w:val="00376160"/>
    <w:rsid w:val="00376317"/>
    <w:rsid w:val="00376562"/>
    <w:rsid w:val="003765C3"/>
    <w:rsid w:val="003766A0"/>
    <w:rsid w:val="00376862"/>
    <w:rsid w:val="00376B05"/>
    <w:rsid w:val="00376BF1"/>
    <w:rsid w:val="00376E64"/>
    <w:rsid w:val="00376F23"/>
    <w:rsid w:val="00376FF3"/>
    <w:rsid w:val="003770B7"/>
    <w:rsid w:val="003772C7"/>
    <w:rsid w:val="003772D7"/>
    <w:rsid w:val="0037752F"/>
    <w:rsid w:val="003777CC"/>
    <w:rsid w:val="003777FB"/>
    <w:rsid w:val="00377960"/>
    <w:rsid w:val="00377AE4"/>
    <w:rsid w:val="00377C6D"/>
    <w:rsid w:val="00377D0F"/>
    <w:rsid w:val="00377DDB"/>
    <w:rsid w:val="0038025A"/>
    <w:rsid w:val="00380337"/>
    <w:rsid w:val="0038033B"/>
    <w:rsid w:val="0038038B"/>
    <w:rsid w:val="00380449"/>
    <w:rsid w:val="0038098F"/>
    <w:rsid w:val="00380AD5"/>
    <w:rsid w:val="00380B44"/>
    <w:rsid w:val="00380B63"/>
    <w:rsid w:val="00380C9D"/>
    <w:rsid w:val="00380D72"/>
    <w:rsid w:val="00380D7C"/>
    <w:rsid w:val="00380DA1"/>
    <w:rsid w:val="00381088"/>
    <w:rsid w:val="00381112"/>
    <w:rsid w:val="00381190"/>
    <w:rsid w:val="00381199"/>
    <w:rsid w:val="003811AA"/>
    <w:rsid w:val="003811DA"/>
    <w:rsid w:val="00381301"/>
    <w:rsid w:val="0038160B"/>
    <w:rsid w:val="003817C8"/>
    <w:rsid w:val="00381915"/>
    <w:rsid w:val="003819ED"/>
    <w:rsid w:val="00381A24"/>
    <w:rsid w:val="00381B19"/>
    <w:rsid w:val="00381B99"/>
    <w:rsid w:val="00381C78"/>
    <w:rsid w:val="00381F00"/>
    <w:rsid w:val="00381F6C"/>
    <w:rsid w:val="00382001"/>
    <w:rsid w:val="003821F4"/>
    <w:rsid w:val="0038222B"/>
    <w:rsid w:val="003824DD"/>
    <w:rsid w:val="003827F4"/>
    <w:rsid w:val="00382916"/>
    <w:rsid w:val="00382A99"/>
    <w:rsid w:val="00382B94"/>
    <w:rsid w:val="00382E29"/>
    <w:rsid w:val="00382E96"/>
    <w:rsid w:val="00382F64"/>
    <w:rsid w:val="00383190"/>
    <w:rsid w:val="003832A9"/>
    <w:rsid w:val="003833C5"/>
    <w:rsid w:val="0038352B"/>
    <w:rsid w:val="00383805"/>
    <w:rsid w:val="00383915"/>
    <w:rsid w:val="00383C20"/>
    <w:rsid w:val="00383CDB"/>
    <w:rsid w:val="00383E9B"/>
    <w:rsid w:val="00383EF7"/>
    <w:rsid w:val="00383FFB"/>
    <w:rsid w:val="00384053"/>
    <w:rsid w:val="003842E0"/>
    <w:rsid w:val="0038430E"/>
    <w:rsid w:val="003843FF"/>
    <w:rsid w:val="0038449D"/>
    <w:rsid w:val="003844F7"/>
    <w:rsid w:val="003845B9"/>
    <w:rsid w:val="00384717"/>
    <w:rsid w:val="0038473D"/>
    <w:rsid w:val="003847F2"/>
    <w:rsid w:val="00384AC8"/>
    <w:rsid w:val="00384AE2"/>
    <w:rsid w:val="00384AE8"/>
    <w:rsid w:val="00384C6D"/>
    <w:rsid w:val="00384CE6"/>
    <w:rsid w:val="0038536E"/>
    <w:rsid w:val="0038539B"/>
    <w:rsid w:val="003853C2"/>
    <w:rsid w:val="00385510"/>
    <w:rsid w:val="0038551A"/>
    <w:rsid w:val="0038556C"/>
    <w:rsid w:val="0038566C"/>
    <w:rsid w:val="0038596D"/>
    <w:rsid w:val="003859A7"/>
    <w:rsid w:val="003859E1"/>
    <w:rsid w:val="003859F9"/>
    <w:rsid w:val="00385A8E"/>
    <w:rsid w:val="00385AD1"/>
    <w:rsid w:val="00385F45"/>
    <w:rsid w:val="003860A6"/>
    <w:rsid w:val="00386235"/>
    <w:rsid w:val="003862A5"/>
    <w:rsid w:val="003863C7"/>
    <w:rsid w:val="00386466"/>
    <w:rsid w:val="003864A6"/>
    <w:rsid w:val="0038658E"/>
    <w:rsid w:val="003865E1"/>
    <w:rsid w:val="00386640"/>
    <w:rsid w:val="003867AB"/>
    <w:rsid w:val="003869DD"/>
    <w:rsid w:val="003869F7"/>
    <w:rsid w:val="00386B55"/>
    <w:rsid w:val="003870D7"/>
    <w:rsid w:val="003872C2"/>
    <w:rsid w:val="003873B4"/>
    <w:rsid w:val="003874C1"/>
    <w:rsid w:val="00387510"/>
    <w:rsid w:val="003875DC"/>
    <w:rsid w:val="0038763A"/>
    <w:rsid w:val="0038768E"/>
    <w:rsid w:val="00387B0E"/>
    <w:rsid w:val="00387C87"/>
    <w:rsid w:val="00387D21"/>
    <w:rsid w:val="00387FB0"/>
    <w:rsid w:val="0039010B"/>
    <w:rsid w:val="00390163"/>
    <w:rsid w:val="003901E4"/>
    <w:rsid w:val="00390363"/>
    <w:rsid w:val="0039037C"/>
    <w:rsid w:val="00390820"/>
    <w:rsid w:val="00390A94"/>
    <w:rsid w:val="00390B70"/>
    <w:rsid w:val="00390BBA"/>
    <w:rsid w:val="00390DB3"/>
    <w:rsid w:val="00390E33"/>
    <w:rsid w:val="00390E55"/>
    <w:rsid w:val="00390F3B"/>
    <w:rsid w:val="003910F8"/>
    <w:rsid w:val="0039113E"/>
    <w:rsid w:val="00391225"/>
    <w:rsid w:val="00391459"/>
    <w:rsid w:val="0039145D"/>
    <w:rsid w:val="003914BD"/>
    <w:rsid w:val="003914C3"/>
    <w:rsid w:val="0039181B"/>
    <w:rsid w:val="003919AC"/>
    <w:rsid w:val="00391C70"/>
    <w:rsid w:val="00391DAB"/>
    <w:rsid w:val="00391FAC"/>
    <w:rsid w:val="00392228"/>
    <w:rsid w:val="00392297"/>
    <w:rsid w:val="003923FD"/>
    <w:rsid w:val="00392527"/>
    <w:rsid w:val="003928D8"/>
    <w:rsid w:val="00392A72"/>
    <w:rsid w:val="00392B3C"/>
    <w:rsid w:val="00392C06"/>
    <w:rsid w:val="00392F29"/>
    <w:rsid w:val="00393041"/>
    <w:rsid w:val="003930CF"/>
    <w:rsid w:val="003931A7"/>
    <w:rsid w:val="003931B9"/>
    <w:rsid w:val="00393228"/>
    <w:rsid w:val="003932B3"/>
    <w:rsid w:val="003932BA"/>
    <w:rsid w:val="003933C2"/>
    <w:rsid w:val="0039348D"/>
    <w:rsid w:val="00393533"/>
    <w:rsid w:val="003937C9"/>
    <w:rsid w:val="00393B82"/>
    <w:rsid w:val="00393C4A"/>
    <w:rsid w:val="00393D13"/>
    <w:rsid w:val="00393ED8"/>
    <w:rsid w:val="00393F26"/>
    <w:rsid w:val="00393F9A"/>
    <w:rsid w:val="00394093"/>
    <w:rsid w:val="003943BE"/>
    <w:rsid w:val="003943E5"/>
    <w:rsid w:val="003944B7"/>
    <w:rsid w:val="00394894"/>
    <w:rsid w:val="00394B5B"/>
    <w:rsid w:val="00394B80"/>
    <w:rsid w:val="00394BAB"/>
    <w:rsid w:val="00394CB1"/>
    <w:rsid w:val="00394D44"/>
    <w:rsid w:val="00394DAF"/>
    <w:rsid w:val="00394F48"/>
    <w:rsid w:val="00394F6C"/>
    <w:rsid w:val="0039500E"/>
    <w:rsid w:val="00395174"/>
    <w:rsid w:val="003952E3"/>
    <w:rsid w:val="00395482"/>
    <w:rsid w:val="003955CE"/>
    <w:rsid w:val="00395A0F"/>
    <w:rsid w:val="00395A2A"/>
    <w:rsid w:val="00395B91"/>
    <w:rsid w:val="00395EBA"/>
    <w:rsid w:val="00395F49"/>
    <w:rsid w:val="00395FB1"/>
    <w:rsid w:val="00396150"/>
    <w:rsid w:val="00396294"/>
    <w:rsid w:val="003963B5"/>
    <w:rsid w:val="003963E3"/>
    <w:rsid w:val="003963FA"/>
    <w:rsid w:val="003967F4"/>
    <w:rsid w:val="00396910"/>
    <w:rsid w:val="00396B30"/>
    <w:rsid w:val="00396C05"/>
    <w:rsid w:val="003970F8"/>
    <w:rsid w:val="003971F5"/>
    <w:rsid w:val="003975A4"/>
    <w:rsid w:val="00397644"/>
    <w:rsid w:val="00397780"/>
    <w:rsid w:val="003978AC"/>
    <w:rsid w:val="00397A4C"/>
    <w:rsid w:val="00397CDE"/>
    <w:rsid w:val="00397D18"/>
    <w:rsid w:val="00397E34"/>
    <w:rsid w:val="00397E79"/>
    <w:rsid w:val="00397F27"/>
    <w:rsid w:val="00397F4C"/>
    <w:rsid w:val="00399E26"/>
    <w:rsid w:val="003A019D"/>
    <w:rsid w:val="003A0314"/>
    <w:rsid w:val="003A05B6"/>
    <w:rsid w:val="003A06D6"/>
    <w:rsid w:val="003A07A2"/>
    <w:rsid w:val="003A0989"/>
    <w:rsid w:val="003A099C"/>
    <w:rsid w:val="003A0A3B"/>
    <w:rsid w:val="003A0AF4"/>
    <w:rsid w:val="003A0C86"/>
    <w:rsid w:val="003A0DF1"/>
    <w:rsid w:val="003A1213"/>
    <w:rsid w:val="003A13B5"/>
    <w:rsid w:val="003A1497"/>
    <w:rsid w:val="003A16F8"/>
    <w:rsid w:val="003A1A96"/>
    <w:rsid w:val="003A1D3D"/>
    <w:rsid w:val="003A1E2C"/>
    <w:rsid w:val="003A1E97"/>
    <w:rsid w:val="003A1EAD"/>
    <w:rsid w:val="003A1EB3"/>
    <w:rsid w:val="003A2020"/>
    <w:rsid w:val="003A22C4"/>
    <w:rsid w:val="003A2350"/>
    <w:rsid w:val="003A24C6"/>
    <w:rsid w:val="003A24F8"/>
    <w:rsid w:val="003A255F"/>
    <w:rsid w:val="003A2587"/>
    <w:rsid w:val="003A25A1"/>
    <w:rsid w:val="003A2627"/>
    <w:rsid w:val="003A27CE"/>
    <w:rsid w:val="003A2936"/>
    <w:rsid w:val="003A2994"/>
    <w:rsid w:val="003A29D0"/>
    <w:rsid w:val="003A2C31"/>
    <w:rsid w:val="003A2CA5"/>
    <w:rsid w:val="003A2CE7"/>
    <w:rsid w:val="003A2D21"/>
    <w:rsid w:val="003A2D75"/>
    <w:rsid w:val="003A2DC1"/>
    <w:rsid w:val="003A2EA8"/>
    <w:rsid w:val="003A2FC0"/>
    <w:rsid w:val="003A30CD"/>
    <w:rsid w:val="003A3169"/>
    <w:rsid w:val="003A37E2"/>
    <w:rsid w:val="003A38A0"/>
    <w:rsid w:val="003A38D1"/>
    <w:rsid w:val="003A39C9"/>
    <w:rsid w:val="003A3A84"/>
    <w:rsid w:val="003A3B59"/>
    <w:rsid w:val="003A3BF6"/>
    <w:rsid w:val="003A3DD0"/>
    <w:rsid w:val="003A419E"/>
    <w:rsid w:val="003A41B2"/>
    <w:rsid w:val="003A420F"/>
    <w:rsid w:val="003A4219"/>
    <w:rsid w:val="003A42A2"/>
    <w:rsid w:val="003A432E"/>
    <w:rsid w:val="003A44BC"/>
    <w:rsid w:val="003A46FC"/>
    <w:rsid w:val="003A494E"/>
    <w:rsid w:val="003A4968"/>
    <w:rsid w:val="003A49D5"/>
    <w:rsid w:val="003A4A0E"/>
    <w:rsid w:val="003A4B22"/>
    <w:rsid w:val="003A4B67"/>
    <w:rsid w:val="003A4C2B"/>
    <w:rsid w:val="003A4DA8"/>
    <w:rsid w:val="003A4E0D"/>
    <w:rsid w:val="003A4E97"/>
    <w:rsid w:val="003A4F30"/>
    <w:rsid w:val="003A508F"/>
    <w:rsid w:val="003A5183"/>
    <w:rsid w:val="003A5218"/>
    <w:rsid w:val="003A5418"/>
    <w:rsid w:val="003A549D"/>
    <w:rsid w:val="003A54F9"/>
    <w:rsid w:val="003A5583"/>
    <w:rsid w:val="003A57CD"/>
    <w:rsid w:val="003A5B89"/>
    <w:rsid w:val="003A5C73"/>
    <w:rsid w:val="003A5CD2"/>
    <w:rsid w:val="003A5EDD"/>
    <w:rsid w:val="003A5FC9"/>
    <w:rsid w:val="003A5FCC"/>
    <w:rsid w:val="003A62EC"/>
    <w:rsid w:val="003A634B"/>
    <w:rsid w:val="003A6393"/>
    <w:rsid w:val="003A64D4"/>
    <w:rsid w:val="003A6548"/>
    <w:rsid w:val="003A677A"/>
    <w:rsid w:val="003A6907"/>
    <w:rsid w:val="003A6936"/>
    <w:rsid w:val="003A69F3"/>
    <w:rsid w:val="003A6A2E"/>
    <w:rsid w:val="003A6AFC"/>
    <w:rsid w:val="003A6BDA"/>
    <w:rsid w:val="003A6CD6"/>
    <w:rsid w:val="003A6D5A"/>
    <w:rsid w:val="003A6DAB"/>
    <w:rsid w:val="003A6E1A"/>
    <w:rsid w:val="003A6E4A"/>
    <w:rsid w:val="003A6E5E"/>
    <w:rsid w:val="003A6F34"/>
    <w:rsid w:val="003A6F8A"/>
    <w:rsid w:val="003A70D1"/>
    <w:rsid w:val="003A75CB"/>
    <w:rsid w:val="003A7690"/>
    <w:rsid w:val="003A7720"/>
    <w:rsid w:val="003A7884"/>
    <w:rsid w:val="003A7928"/>
    <w:rsid w:val="003A7F14"/>
    <w:rsid w:val="003B00EC"/>
    <w:rsid w:val="003B027A"/>
    <w:rsid w:val="003B02FD"/>
    <w:rsid w:val="003B03FD"/>
    <w:rsid w:val="003B0417"/>
    <w:rsid w:val="003B0569"/>
    <w:rsid w:val="003B05C0"/>
    <w:rsid w:val="003B06A5"/>
    <w:rsid w:val="003B070B"/>
    <w:rsid w:val="003B0BA3"/>
    <w:rsid w:val="003B0C14"/>
    <w:rsid w:val="003B0CC1"/>
    <w:rsid w:val="003B0D5D"/>
    <w:rsid w:val="003B0E29"/>
    <w:rsid w:val="003B0F87"/>
    <w:rsid w:val="003B0FFC"/>
    <w:rsid w:val="003B1008"/>
    <w:rsid w:val="003B10B2"/>
    <w:rsid w:val="003B129F"/>
    <w:rsid w:val="003B13B1"/>
    <w:rsid w:val="003B16E3"/>
    <w:rsid w:val="003B178E"/>
    <w:rsid w:val="003B1870"/>
    <w:rsid w:val="003B19ED"/>
    <w:rsid w:val="003B1A7A"/>
    <w:rsid w:val="003B1B51"/>
    <w:rsid w:val="003B1BD1"/>
    <w:rsid w:val="003B1C5C"/>
    <w:rsid w:val="003B1D97"/>
    <w:rsid w:val="003B1F38"/>
    <w:rsid w:val="003B1F46"/>
    <w:rsid w:val="003B20F0"/>
    <w:rsid w:val="003B2299"/>
    <w:rsid w:val="003B23B4"/>
    <w:rsid w:val="003B26AC"/>
    <w:rsid w:val="003B2732"/>
    <w:rsid w:val="003B288A"/>
    <w:rsid w:val="003B299F"/>
    <w:rsid w:val="003B29A6"/>
    <w:rsid w:val="003B2AD8"/>
    <w:rsid w:val="003B2C02"/>
    <w:rsid w:val="003B2C70"/>
    <w:rsid w:val="003B2E0A"/>
    <w:rsid w:val="003B2FD8"/>
    <w:rsid w:val="003B3012"/>
    <w:rsid w:val="003B3216"/>
    <w:rsid w:val="003B327C"/>
    <w:rsid w:val="003B3379"/>
    <w:rsid w:val="003B347E"/>
    <w:rsid w:val="003B370A"/>
    <w:rsid w:val="003B3829"/>
    <w:rsid w:val="003B3842"/>
    <w:rsid w:val="003B3A22"/>
    <w:rsid w:val="003B3AA5"/>
    <w:rsid w:val="003B3BB1"/>
    <w:rsid w:val="003B3C47"/>
    <w:rsid w:val="003B3E73"/>
    <w:rsid w:val="003B3EA2"/>
    <w:rsid w:val="003B3EB8"/>
    <w:rsid w:val="003B3F96"/>
    <w:rsid w:val="003B439A"/>
    <w:rsid w:val="003B43C5"/>
    <w:rsid w:val="003B44E4"/>
    <w:rsid w:val="003B45BD"/>
    <w:rsid w:val="003B4AE7"/>
    <w:rsid w:val="003B4B71"/>
    <w:rsid w:val="003B4C89"/>
    <w:rsid w:val="003B4D32"/>
    <w:rsid w:val="003B4EBB"/>
    <w:rsid w:val="003B5019"/>
    <w:rsid w:val="003B5064"/>
    <w:rsid w:val="003B50F6"/>
    <w:rsid w:val="003B51EE"/>
    <w:rsid w:val="003B53E3"/>
    <w:rsid w:val="003B548C"/>
    <w:rsid w:val="003B564A"/>
    <w:rsid w:val="003B56FB"/>
    <w:rsid w:val="003B57FA"/>
    <w:rsid w:val="003B580E"/>
    <w:rsid w:val="003B5903"/>
    <w:rsid w:val="003B5B2E"/>
    <w:rsid w:val="003B5D33"/>
    <w:rsid w:val="003B5D59"/>
    <w:rsid w:val="003B5E83"/>
    <w:rsid w:val="003B5F3D"/>
    <w:rsid w:val="003B613B"/>
    <w:rsid w:val="003B6155"/>
    <w:rsid w:val="003B624E"/>
    <w:rsid w:val="003B630F"/>
    <w:rsid w:val="003B6386"/>
    <w:rsid w:val="003B6572"/>
    <w:rsid w:val="003B67BB"/>
    <w:rsid w:val="003B695E"/>
    <w:rsid w:val="003B6971"/>
    <w:rsid w:val="003B6A2A"/>
    <w:rsid w:val="003B6ADF"/>
    <w:rsid w:val="003B6B05"/>
    <w:rsid w:val="003B6B81"/>
    <w:rsid w:val="003B6D8C"/>
    <w:rsid w:val="003B6DD1"/>
    <w:rsid w:val="003B6F0F"/>
    <w:rsid w:val="003B7122"/>
    <w:rsid w:val="003B7198"/>
    <w:rsid w:val="003B71CF"/>
    <w:rsid w:val="003B7200"/>
    <w:rsid w:val="003B721F"/>
    <w:rsid w:val="003B74CD"/>
    <w:rsid w:val="003B7547"/>
    <w:rsid w:val="003B7624"/>
    <w:rsid w:val="003B7799"/>
    <w:rsid w:val="003B7910"/>
    <w:rsid w:val="003B7C4C"/>
    <w:rsid w:val="003B7D75"/>
    <w:rsid w:val="003B7E00"/>
    <w:rsid w:val="003B7E51"/>
    <w:rsid w:val="003C00CC"/>
    <w:rsid w:val="003C03AE"/>
    <w:rsid w:val="003C0483"/>
    <w:rsid w:val="003C07D8"/>
    <w:rsid w:val="003C08A4"/>
    <w:rsid w:val="003C090E"/>
    <w:rsid w:val="003C0B01"/>
    <w:rsid w:val="003C0BB4"/>
    <w:rsid w:val="003C0C4A"/>
    <w:rsid w:val="003C0E3D"/>
    <w:rsid w:val="003C0EFF"/>
    <w:rsid w:val="003C110F"/>
    <w:rsid w:val="003C1136"/>
    <w:rsid w:val="003C1246"/>
    <w:rsid w:val="003C12AF"/>
    <w:rsid w:val="003C13D9"/>
    <w:rsid w:val="003C14DE"/>
    <w:rsid w:val="003C15C1"/>
    <w:rsid w:val="003C1605"/>
    <w:rsid w:val="003C1883"/>
    <w:rsid w:val="003C1AA1"/>
    <w:rsid w:val="003C1DB7"/>
    <w:rsid w:val="003C1F3C"/>
    <w:rsid w:val="003C1F53"/>
    <w:rsid w:val="003C1F91"/>
    <w:rsid w:val="003C1FC0"/>
    <w:rsid w:val="003C208D"/>
    <w:rsid w:val="003C210A"/>
    <w:rsid w:val="003C217B"/>
    <w:rsid w:val="003C23DA"/>
    <w:rsid w:val="003C2445"/>
    <w:rsid w:val="003C245F"/>
    <w:rsid w:val="003C2722"/>
    <w:rsid w:val="003C28B5"/>
    <w:rsid w:val="003C2A78"/>
    <w:rsid w:val="003C2B00"/>
    <w:rsid w:val="003C2B1E"/>
    <w:rsid w:val="003C2DA3"/>
    <w:rsid w:val="003C2DCE"/>
    <w:rsid w:val="003C2F9C"/>
    <w:rsid w:val="003C3017"/>
    <w:rsid w:val="003C3227"/>
    <w:rsid w:val="003C3312"/>
    <w:rsid w:val="003C34B6"/>
    <w:rsid w:val="003C350A"/>
    <w:rsid w:val="003C3650"/>
    <w:rsid w:val="003C3696"/>
    <w:rsid w:val="003C3848"/>
    <w:rsid w:val="003C38A5"/>
    <w:rsid w:val="003C3C8E"/>
    <w:rsid w:val="003C40EB"/>
    <w:rsid w:val="003C4215"/>
    <w:rsid w:val="003C421D"/>
    <w:rsid w:val="003C4587"/>
    <w:rsid w:val="003C4705"/>
    <w:rsid w:val="003C474E"/>
    <w:rsid w:val="003C4AC5"/>
    <w:rsid w:val="003C4BE4"/>
    <w:rsid w:val="003C4DE4"/>
    <w:rsid w:val="003C4E19"/>
    <w:rsid w:val="003C4EED"/>
    <w:rsid w:val="003C50D4"/>
    <w:rsid w:val="003C52B7"/>
    <w:rsid w:val="003C5342"/>
    <w:rsid w:val="003C54AC"/>
    <w:rsid w:val="003C55B8"/>
    <w:rsid w:val="003C5699"/>
    <w:rsid w:val="003C569D"/>
    <w:rsid w:val="003C573C"/>
    <w:rsid w:val="003C5811"/>
    <w:rsid w:val="003C58AC"/>
    <w:rsid w:val="003C5B18"/>
    <w:rsid w:val="003C5BF8"/>
    <w:rsid w:val="003C5C6A"/>
    <w:rsid w:val="003C5C81"/>
    <w:rsid w:val="003C5D4C"/>
    <w:rsid w:val="003C606D"/>
    <w:rsid w:val="003C6366"/>
    <w:rsid w:val="003C652B"/>
    <w:rsid w:val="003C6818"/>
    <w:rsid w:val="003C68E5"/>
    <w:rsid w:val="003C6997"/>
    <w:rsid w:val="003C6BB1"/>
    <w:rsid w:val="003C6BF0"/>
    <w:rsid w:val="003C6CE6"/>
    <w:rsid w:val="003C6D0E"/>
    <w:rsid w:val="003C6E14"/>
    <w:rsid w:val="003C6E18"/>
    <w:rsid w:val="003C6FC3"/>
    <w:rsid w:val="003C6FE2"/>
    <w:rsid w:val="003C7004"/>
    <w:rsid w:val="003C72D2"/>
    <w:rsid w:val="003C732F"/>
    <w:rsid w:val="003C7341"/>
    <w:rsid w:val="003C74DF"/>
    <w:rsid w:val="003C7E9D"/>
    <w:rsid w:val="003C7FFD"/>
    <w:rsid w:val="003D0065"/>
    <w:rsid w:val="003D009F"/>
    <w:rsid w:val="003D00E1"/>
    <w:rsid w:val="003D0400"/>
    <w:rsid w:val="003D0420"/>
    <w:rsid w:val="003D065D"/>
    <w:rsid w:val="003D07F8"/>
    <w:rsid w:val="003D0973"/>
    <w:rsid w:val="003D0B1F"/>
    <w:rsid w:val="003D0BD0"/>
    <w:rsid w:val="003D0C94"/>
    <w:rsid w:val="003D0EB0"/>
    <w:rsid w:val="003D0F15"/>
    <w:rsid w:val="003D0F5B"/>
    <w:rsid w:val="003D1320"/>
    <w:rsid w:val="003D1332"/>
    <w:rsid w:val="003D1397"/>
    <w:rsid w:val="003D14A0"/>
    <w:rsid w:val="003D1570"/>
    <w:rsid w:val="003D1876"/>
    <w:rsid w:val="003D1A80"/>
    <w:rsid w:val="003D1B2E"/>
    <w:rsid w:val="003D1BF2"/>
    <w:rsid w:val="003D1C17"/>
    <w:rsid w:val="003D1C1E"/>
    <w:rsid w:val="003D1D82"/>
    <w:rsid w:val="003D1E51"/>
    <w:rsid w:val="003D205E"/>
    <w:rsid w:val="003D21D5"/>
    <w:rsid w:val="003D21DB"/>
    <w:rsid w:val="003D21DC"/>
    <w:rsid w:val="003D22CB"/>
    <w:rsid w:val="003D22E2"/>
    <w:rsid w:val="003D24E0"/>
    <w:rsid w:val="003D2638"/>
    <w:rsid w:val="003D2708"/>
    <w:rsid w:val="003D2795"/>
    <w:rsid w:val="003D2815"/>
    <w:rsid w:val="003D2823"/>
    <w:rsid w:val="003D2838"/>
    <w:rsid w:val="003D2912"/>
    <w:rsid w:val="003D2B25"/>
    <w:rsid w:val="003D2BC7"/>
    <w:rsid w:val="003D2BE2"/>
    <w:rsid w:val="003D3265"/>
    <w:rsid w:val="003D3305"/>
    <w:rsid w:val="003D3498"/>
    <w:rsid w:val="003D353E"/>
    <w:rsid w:val="003D368F"/>
    <w:rsid w:val="003D3BDD"/>
    <w:rsid w:val="003D3C73"/>
    <w:rsid w:val="003D3CF2"/>
    <w:rsid w:val="003D3D6C"/>
    <w:rsid w:val="003D3F5B"/>
    <w:rsid w:val="003D3F7B"/>
    <w:rsid w:val="003D42AC"/>
    <w:rsid w:val="003D43D4"/>
    <w:rsid w:val="003D442D"/>
    <w:rsid w:val="003D4436"/>
    <w:rsid w:val="003D44C5"/>
    <w:rsid w:val="003D46AB"/>
    <w:rsid w:val="003D4952"/>
    <w:rsid w:val="003D4A5E"/>
    <w:rsid w:val="003D4A7A"/>
    <w:rsid w:val="003D4ADF"/>
    <w:rsid w:val="003D4C42"/>
    <w:rsid w:val="003D4F8C"/>
    <w:rsid w:val="003D4FB6"/>
    <w:rsid w:val="003D50C4"/>
    <w:rsid w:val="003D523C"/>
    <w:rsid w:val="003D537C"/>
    <w:rsid w:val="003D5486"/>
    <w:rsid w:val="003D57E5"/>
    <w:rsid w:val="003D58A9"/>
    <w:rsid w:val="003D58E7"/>
    <w:rsid w:val="003D5925"/>
    <w:rsid w:val="003D5A12"/>
    <w:rsid w:val="003D5C1D"/>
    <w:rsid w:val="003D5CB1"/>
    <w:rsid w:val="003D5CCB"/>
    <w:rsid w:val="003D5FB0"/>
    <w:rsid w:val="003D5FE9"/>
    <w:rsid w:val="003D6055"/>
    <w:rsid w:val="003D6146"/>
    <w:rsid w:val="003D64A9"/>
    <w:rsid w:val="003D68F2"/>
    <w:rsid w:val="003D6962"/>
    <w:rsid w:val="003D6E0F"/>
    <w:rsid w:val="003D6EC4"/>
    <w:rsid w:val="003D70E6"/>
    <w:rsid w:val="003D70FE"/>
    <w:rsid w:val="003D7118"/>
    <w:rsid w:val="003D71B7"/>
    <w:rsid w:val="003D733C"/>
    <w:rsid w:val="003D7426"/>
    <w:rsid w:val="003D7488"/>
    <w:rsid w:val="003D74A4"/>
    <w:rsid w:val="003D74CC"/>
    <w:rsid w:val="003D75C0"/>
    <w:rsid w:val="003D7758"/>
    <w:rsid w:val="003D78B1"/>
    <w:rsid w:val="003D79CF"/>
    <w:rsid w:val="003D7A3C"/>
    <w:rsid w:val="003D7B59"/>
    <w:rsid w:val="003D7BB0"/>
    <w:rsid w:val="003D7EBE"/>
    <w:rsid w:val="003E00BD"/>
    <w:rsid w:val="003E0162"/>
    <w:rsid w:val="003E01C4"/>
    <w:rsid w:val="003E02E8"/>
    <w:rsid w:val="003E0432"/>
    <w:rsid w:val="003E048D"/>
    <w:rsid w:val="003E0682"/>
    <w:rsid w:val="003E06AE"/>
    <w:rsid w:val="003E085B"/>
    <w:rsid w:val="003E0928"/>
    <w:rsid w:val="003E09D4"/>
    <w:rsid w:val="003E0A67"/>
    <w:rsid w:val="003E0DEA"/>
    <w:rsid w:val="003E0E82"/>
    <w:rsid w:val="003E0F40"/>
    <w:rsid w:val="003E0F7F"/>
    <w:rsid w:val="003E0F97"/>
    <w:rsid w:val="003E106D"/>
    <w:rsid w:val="003E12B6"/>
    <w:rsid w:val="003E12C1"/>
    <w:rsid w:val="003E138D"/>
    <w:rsid w:val="003E1572"/>
    <w:rsid w:val="003E16DC"/>
    <w:rsid w:val="003E1820"/>
    <w:rsid w:val="003E18BC"/>
    <w:rsid w:val="003E1953"/>
    <w:rsid w:val="003E1A2F"/>
    <w:rsid w:val="003E1A6B"/>
    <w:rsid w:val="003E1B32"/>
    <w:rsid w:val="003E1D02"/>
    <w:rsid w:val="003E1F63"/>
    <w:rsid w:val="003E212D"/>
    <w:rsid w:val="003E214F"/>
    <w:rsid w:val="003E2362"/>
    <w:rsid w:val="003E23CB"/>
    <w:rsid w:val="003E241E"/>
    <w:rsid w:val="003E2660"/>
    <w:rsid w:val="003E26E7"/>
    <w:rsid w:val="003E275B"/>
    <w:rsid w:val="003E28AA"/>
    <w:rsid w:val="003E28E6"/>
    <w:rsid w:val="003E2A37"/>
    <w:rsid w:val="003E2B17"/>
    <w:rsid w:val="003E2C1D"/>
    <w:rsid w:val="003E2CAB"/>
    <w:rsid w:val="003E2D45"/>
    <w:rsid w:val="003E2D55"/>
    <w:rsid w:val="003E2D77"/>
    <w:rsid w:val="003E2E1A"/>
    <w:rsid w:val="003E3001"/>
    <w:rsid w:val="003E310B"/>
    <w:rsid w:val="003E3425"/>
    <w:rsid w:val="003E359A"/>
    <w:rsid w:val="003E3698"/>
    <w:rsid w:val="003E36C8"/>
    <w:rsid w:val="003E396E"/>
    <w:rsid w:val="003E3B3F"/>
    <w:rsid w:val="003E3B76"/>
    <w:rsid w:val="003E3C1A"/>
    <w:rsid w:val="003E3C65"/>
    <w:rsid w:val="003E3CFA"/>
    <w:rsid w:val="003E3D81"/>
    <w:rsid w:val="003E3DCA"/>
    <w:rsid w:val="003E3E17"/>
    <w:rsid w:val="003E4649"/>
    <w:rsid w:val="003E46DC"/>
    <w:rsid w:val="003E485C"/>
    <w:rsid w:val="003E491A"/>
    <w:rsid w:val="003E4948"/>
    <w:rsid w:val="003E49BA"/>
    <w:rsid w:val="003E4AE5"/>
    <w:rsid w:val="003E4BDC"/>
    <w:rsid w:val="003E4C4D"/>
    <w:rsid w:val="003E4D72"/>
    <w:rsid w:val="003E4E2D"/>
    <w:rsid w:val="003E4FBE"/>
    <w:rsid w:val="003E527D"/>
    <w:rsid w:val="003E532D"/>
    <w:rsid w:val="003E5400"/>
    <w:rsid w:val="003E55DD"/>
    <w:rsid w:val="003E5676"/>
    <w:rsid w:val="003E577D"/>
    <w:rsid w:val="003E58E6"/>
    <w:rsid w:val="003E590B"/>
    <w:rsid w:val="003E59E5"/>
    <w:rsid w:val="003E5A06"/>
    <w:rsid w:val="003E5A49"/>
    <w:rsid w:val="003E5A76"/>
    <w:rsid w:val="003E5AB4"/>
    <w:rsid w:val="003E5AD4"/>
    <w:rsid w:val="003E5BCE"/>
    <w:rsid w:val="003E5DC2"/>
    <w:rsid w:val="003E64AB"/>
    <w:rsid w:val="003E657E"/>
    <w:rsid w:val="003E65F9"/>
    <w:rsid w:val="003E6632"/>
    <w:rsid w:val="003E66F1"/>
    <w:rsid w:val="003E676C"/>
    <w:rsid w:val="003E68A1"/>
    <w:rsid w:val="003E6987"/>
    <w:rsid w:val="003E6A9D"/>
    <w:rsid w:val="003E6C61"/>
    <w:rsid w:val="003E6DA2"/>
    <w:rsid w:val="003E6ECC"/>
    <w:rsid w:val="003E6F98"/>
    <w:rsid w:val="003E7367"/>
    <w:rsid w:val="003E75BE"/>
    <w:rsid w:val="003E75D5"/>
    <w:rsid w:val="003E75EF"/>
    <w:rsid w:val="003E7612"/>
    <w:rsid w:val="003E7743"/>
    <w:rsid w:val="003E7756"/>
    <w:rsid w:val="003E78C2"/>
    <w:rsid w:val="003E78C3"/>
    <w:rsid w:val="003E78D9"/>
    <w:rsid w:val="003E79CC"/>
    <w:rsid w:val="003E7ACF"/>
    <w:rsid w:val="003E7BBB"/>
    <w:rsid w:val="003E7C53"/>
    <w:rsid w:val="003E7D2E"/>
    <w:rsid w:val="003E7D67"/>
    <w:rsid w:val="003E7D70"/>
    <w:rsid w:val="003E7FD7"/>
    <w:rsid w:val="003F005D"/>
    <w:rsid w:val="003F019D"/>
    <w:rsid w:val="003F0414"/>
    <w:rsid w:val="003F042A"/>
    <w:rsid w:val="003F04FC"/>
    <w:rsid w:val="003F087D"/>
    <w:rsid w:val="003F08E8"/>
    <w:rsid w:val="003F0A37"/>
    <w:rsid w:val="003F0A84"/>
    <w:rsid w:val="003F0ADC"/>
    <w:rsid w:val="003F0B29"/>
    <w:rsid w:val="003F0B55"/>
    <w:rsid w:val="003F0BB3"/>
    <w:rsid w:val="003F0CFC"/>
    <w:rsid w:val="003F0D35"/>
    <w:rsid w:val="003F0E4F"/>
    <w:rsid w:val="003F0E97"/>
    <w:rsid w:val="003F0F13"/>
    <w:rsid w:val="003F0F4C"/>
    <w:rsid w:val="003F0FF8"/>
    <w:rsid w:val="003F1187"/>
    <w:rsid w:val="003F11E7"/>
    <w:rsid w:val="003F135E"/>
    <w:rsid w:val="003F1548"/>
    <w:rsid w:val="003F16ED"/>
    <w:rsid w:val="003F173B"/>
    <w:rsid w:val="003F175A"/>
    <w:rsid w:val="003F1774"/>
    <w:rsid w:val="003F1881"/>
    <w:rsid w:val="003F1977"/>
    <w:rsid w:val="003F1A71"/>
    <w:rsid w:val="003F1B46"/>
    <w:rsid w:val="003F1D15"/>
    <w:rsid w:val="003F1DD6"/>
    <w:rsid w:val="003F206C"/>
    <w:rsid w:val="003F211F"/>
    <w:rsid w:val="003F2221"/>
    <w:rsid w:val="003F2224"/>
    <w:rsid w:val="003F2383"/>
    <w:rsid w:val="003F269C"/>
    <w:rsid w:val="003F2757"/>
    <w:rsid w:val="003F27B6"/>
    <w:rsid w:val="003F280F"/>
    <w:rsid w:val="003F288E"/>
    <w:rsid w:val="003F28C9"/>
    <w:rsid w:val="003F29C7"/>
    <w:rsid w:val="003F2B4D"/>
    <w:rsid w:val="003F2B80"/>
    <w:rsid w:val="003F2CB2"/>
    <w:rsid w:val="003F2DB8"/>
    <w:rsid w:val="003F306B"/>
    <w:rsid w:val="003F3120"/>
    <w:rsid w:val="003F322A"/>
    <w:rsid w:val="003F3254"/>
    <w:rsid w:val="003F325C"/>
    <w:rsid w:val="003F3289"/>
    <w:rsid w:val="003F32C3"/>
    <w:rsid w:val="003F33E9"/>
    <w:rsid w:val="003F34C7"/>
    <w:rsid w:val="003F34DD"/>
    <w:rsid w:val="003F3685"/>
    <w:rsid w:val="003F36D7"/>
    <w:rsid w:val="003F391F"/>
    <w:rsid w:val="003F3C4E"/>
    <w:rsid w:val="003F3CAD"/>
    <w:rsid w:val="003F3D46"/>
    <w:rsid w:val="003F3E23"/>
    <w:rsid w:val="003F3E29"/>
    <w:rsid w:val="003F3F18"/>
    <w:rsid w:val="003F434C"/>
    <w:rsid w:val="003F43C8"/>
    <w:rsid w:val="003F451E"/>
    <w:rsid w:val="003F458E"/>
    <w:rsid w:val="003F45A3"/>
    <w:rsid w:val="003F46B8"/>
    <w:rsid w:val="003F483C"/>
    <w:rsid w:val="003F48FF"/>
    <w:rsid w:val="003F49FB"/>
    <w:rsid w:val="003F4A9A"/>
    <w:rsid w:val="003F4C20"/>
    <w:rsid w:val="003F4C27"/>
    <w:rsid w:val="003F4E8F"/>
    <w:rsid w:val="003F5515"/>
    <w:rsid w:val="003F5619"/>
    <w:rsid w:val="003F5645"/>
    <w:rsid w:val="003F5764"/>
    <w:rsid w:val="003F57E3"/>
    <w:rsid w:val="003F5815"/>
    <w:rsid w:val="003F596C"/>
    <w:rsid w:val="003F5978"/>
    <w:rsid w:val="003F59E6"/>
    <w:rsid w:val="003F5A5C"/>
    <w:rsid w:val="003F5AEE"/>
    <w:rsid w:val="003F5BEA"/>
    <w:rsid w:val="003F5F45"/>
    <w:rsid w:val="003F5F95"/>
    <w:rsid w:val="003F60FC"/>
    <w:rsid w:val="003F6127"/>
    <w:rsid w:val="003F62E5"/>
    <w:rsid w:val="003F634A"/>
    <w:rsid w:val="003F639F"/>
    <w:rsid w:val="003F665D"/>
    <w:rsid w:val="003F6730"/>
    <w:rsid w:val="003F67F9"/>
    <w:rsid w:val="003F6BD5"/>
    <w:rsid w:val="003F6D54"/>
    <w:rsid w:val="003F6E10"/>
    <w:rsid w:val="003F6FC7"/>
    <w:rsid w:val="003F6FF0"/>
    <w:rsid w:val="003F6FFE"/>
    <w:rsid w:val="003F7160"/>
    <w:rsid w:val="003F71C0"/>
    <w:rsid w:val="003F72A5"/>
    <w:rsid w:val="003F7332"/>
    <w:rsid w:val="003F741B"/>
    <w:rsid w:val="003F748E"/>
    <w:rsid w:val="003F7500"/>
    <w:rsid w:val="003F757F"/>
    <w:rsid w:val="003F76E4"/>
    <w:rsid w:val="003F7862"/>
    <w:rsid w:val="003F7C73"/>
    <w:rsid w:val="003F7D49"/>
    <w:rsid w:val="003F7D64"/>
    <w:rsid w:val="003F7E34"/>
    <w:rsid w:val="00400051"/>
    <w:rsid w:val="004000D1"/>
    <w:rsid w:val="00400604"/>
    <w:rsid w:val="00400702"/>
    <w:rsid w:val="004007C3"/>
    <w:rsid w:val="0040097B"/>
    <w:rsid w:val="00400B53"/>
    <w:rsid w:val="004010A2"/>
    <w:rsid w:val="0040112D"/>
    <w:rsid w:val="00401235"/>
    <w:rsid w:val="0040128B"/>
    <w:rsid w:val="0040144A"/>
    <w:rsid w:val="00401530"/>
    <w:rsid w:val="00401531"/>
    <w:rsid w:val="0040170E"/>
    <w:rsid w:val="004017AF"/>
    <w:rsid w:val="0040182B"/>
    <w:rsid w:val="0040196D"/>
    <w:rsid w:val="00401A89"/>
    <w:rsid w:val="00401AA9"/>
    <w:rsid w:val="00401C57"/>
    <w:rsid w:val="00401C6E"/>
    <w:rsid w:val="00401C7B"/>
    <w:rsid w:val="00401DA4"/>
    <w:rsid w:val="00401F26"/>
    <w:rsid w:val="00401F40"/>
    <w:rsid w:val="00401FEA"/>
    <w:rsid w:val="00402098"/>
    <w:rsid w:val="004020D9"/>
    <w:rsid w:val="004021D4"/>
    <w:rsid w:val="004023C2"/>
    <w:rsid w:val="00402454"/>
    <w:rsid w:val="0040255E"/>
    <w:rsid w:val="004026C0"/>
    <w:rsid w:val="00402819"/>
    <w:rsid w:val="00402A34"/>
    <w:rsid w:val="00402B42"/>
    <w:rsid w:val="00402BE1"/>
    <w:rsid w:val="004030AE"/>
    <w:rsid w:val="004032DB"/>
    <w:rsid w:val="004033F8"/>
    <w:rsid w:val="0040342E"/>
    <w:rsid w:val="00403721"/>
    <w:rsid w:val="0040379D"/>
    <w:rsid w:val="004037CA"/>
    <w:rsid w:val="00403BC9"/>
    <w:rsid w:val="00403C52"/>
    <w:rsid w:val="00403CD6"/>
    <w:rsid w:val="00403E91"/>
    <w:rsid w:val="00403EF1"/>
    <w:rsid w:val="00403F3B"/>
    <w:rsid w:val="0040405B"/>
    <w:rsid w:val="0040418A"/>
    <w:rsid w:val="00404297"/>
    <w:rsid w:val="004042C8"/>
    <w:rsid w:val="004043AA"/>
    <w:rsid w:val="004043B1"/>
    <w:rsid w:val="004043FA"/>
    <w:rsid w:val="00404638"/>
    <w:rsid w:val="00404661"/>
    <w:rsid w:val="00404676"/>
    <w:rsid w:val="0040469B"/>
    <w:rsid w:val="00404727"/>
    <w:rsid w:val="00404AC9"/>
    <w:rsid w:val="00404BC0"/>
    <w:rsid w:val="00404C31"/>
    <w:rsid w:val="00404D5D"/>
    <w:rsid w:val="00404DB6"/>
    <w:rsid w:val="00404E33"/>
    <w:rsid w:val="00404EA8"/>
    <w:rsid w:val="00404F75"/>
    <w:rsid w:val="00405158"/>
    <w:rsid w:val="004051B8"/>
    <w:rsid w:val="00405222"/>
    <w:rsid w:val="00405271"/>
    <w:rsid w:val="004052A4"/>
    <w:rsid w:val="004052BC"/>
    <w:rsid w:val="0040539E"/>
    <w:rsid w:val="004053DD"/>
    <w:rsid w:val="00405509"/>
    <w:rsid w:val="00405711"/>
    <w:rsid w:val="004057A3"/>
    <w:rsid w:val="004059BF"/>
    <w:rsid w:val="00405AFA"/>
    <w:rsid w:val="00405BA3"/>
    <w:rsid w:val="00405D9A"/>
    <w:rsid w:val="00405FC3"/>
    <w:rsid w:val="004060AD"/>
    <w:rsid w:val="0040618A"/>
    <w:rsid w:val="00406386"/>
    <w:rsid w:val="00406423"/>
    <w:rsid w:val="004065FF"/>
    <w:rsid w:val="004066C3"/>
    <w:rsid w:val="004067DE"/>
    <w:rsid w:val="00406862"/>
    <w:rsid w:val="00406AB6"/>
    <w:rsid w:val="00406EAE"/>
    <w:rsid w:val="00406EBC"/>
    <w:rsid w:val="00406F6A"/>
    <w:rsid w:val="004070BC"/>
    <w:rsid w:val="004071E1"/>
    <w:rsid w:val="00407710"/>
    <w:rsid w:val="0040773F"/>
    <w:rsid w:val="0040774C"/>
    <w:rsid w:val="0040792D"/>
    <w:rsid w:val="0040794C"/>
    <w:rsid w:val="00407A01"/>
    <w:rsid w:val="00407A43"/>
    <w:rsid w:val="00407B00"/>
    <w:rsid w:val="00407BD5"/>
    <w:rsid w:val="00407CBB"/>
    <w:rsid w:val="004101B3"/>
    <w:rsid w:val="0041022B"/>
    <w:rsid w:val="004103BA"/>
    <w:rsid w:val="00410549"/>
    <w:rsid w:val="00410692"/>
    <w:rsid w:val="004107EA"/>
    <w:rsid w:val="004108AE"/>
    <w:rsid w:val="00410BA5"/>
    <w:rsid w:val="00410C38"/>
    <w:rsid w:val="00410D06"/>
    <w:rsid w:val="00410F06"/>
    <w:rsid w:val="00410F8D"/>
    <w:rsid w:val="004111C8"/>
    <w:rsid w:val="0041125C"/>
    <w:rsid w:val="00411289"/>
    <w:rsid w:val="0041139C"/>
    <w:rsid w:val="004113A4"/>
    <w:rsid w:val="00411479"/>
    <w:rsid w:val="0041156F"/>
    <w:rsid w:val="004115E1"/>
    <w:rsid w:val="00411660"/>
    <w:rsid w:val="004117F9"/>
    <w:rsid w:val="004119D8"/>
    <w:rsid w:val="00411A89"/>
    <w:rsid w:val="00411B26"/>
    <w:rsid w:val="00411EBE"/>
    <w:rsid w:val="004121E4"/>
    <w:rsid w:val="00412346"/>
    <w:rsid w:val="004124C4"/>
    <w:rsid w:val="004126EB"/>
    <w:rsid w:val="004126FD"/>
    <w:rsid w:val="00412711"/>
    <w:rsid w:val="0041284E"/>
    <w:rsid w:val="00412A12"/>
    <w:rsid w:val="00412A13"/>
    <w:rsid w:val="00412A56"/>
    <w:rsid w:val="00412B8D"/>
    <w:rsid w:val="00412C2C"/>
    <w:rsid w:val="00412D74"/>
    <w:rsid w:val="00412D84"/>
    <w:rsid w:val="00412E66"/>
    <w:rsid w:val="00412EA0"/>
    <w:rsid w:val="00412F1E"/>
    <w:rsid w:val="00413083"/>
    <w:rsid w:val="00413194"/>
    <w:rsid w:val="0041321B"/>
    <w:rsid w:val="00413238"/>
    <w:rsid w:val="004136B9"/>
    <w:rsid w:val="0041378A"/>
    <w:rsid w:val="00413881"/>
    <w:rsid w:val="00413B80"/>
    <w:rsid w:val="00413C14"/>
    <w:rsid w:val="00413C40"/>
    <w:rsid w:val="00413D50"/>
    <w:rsid w:val="00413D8A"/>
    <w:rsid w:val="00413E22"/>
    <w:rsid w:val="00413FAE"/>
    <w:rsid w:val="00414132"/>
    <w:rsid w:val="004142BF"/>
    <w:rsid w:val="004144FB"/>
    <w:rsid w:val="00414671"/>
    <w:rsid w:val="0041467E"/>
    <w:rsid w:val="004146C6"/>
    <w:rsid w:val="004146D7"/>
    <w:rsid w:val="00414831"/>
    <w:rsid w:val="00414870"/>
    <w:rsid w:val="004149B4"/>
    <w:rsid w:val="004149E0"/>
    <w:rsid w:val="00414AE9"/>
    <w:rsid w:val="00414B68"/>
    <w:rsid w:val="00414B78"/>
    <w:rsid w:val="00414D28"/>
    <w:rsid w:val="00414D95"/>
    <w:rsid w:val="00414DC0"/>
    <w:rsid w:val="004151D4"/>
    <w:rsid w:val="0041527A"/>
    <w:rsid w:val="004153A1"/>
    <w:rsid w:val="00415455"/>
    <w:rsid w:val="00415515"/>
    <w:rsid w:val="00415521"/>
    <w:rsid w:val="00415617"/>
    <w:rsid w:val="004156AF"/>
    <w:rsid w:val="00415824"/>
    <w:rsid w:val="004158C1"/>
    <w:rsid w:val="00415A34"/>
    <w:rsid w:val="00415C77"/>
    <w:rsid w:val="00415CB3"/>
    <w:rsid w:val="00415EDF"/>
    <w:rsid w:val="00416275"/>
    <w:rsid w:val="0041669A"/>
    <w:rsid w:val="004166BF"/>
    <w:rsid w:val="0041687D"/>
    <w:rsid w:val="00416884"/>
    <w:rsid w:val="00416885"/>
    <w:rsid w:val="00416A30"/>
    <w:rsid w:val="00416BA1"/>
    <w:rsid w:val="00416D44"/>
    <w:rsid w:val="0041700C"/>
    <w:rsid w:val="0041715D"/>
    <w:rsid w:val="004173A1"/>
    <w:rsid w:val="00417654"/>
    <w:rsid w:val="00417877"/>
    <w:rsid w:val="004178FC"/>
    <w:rsid w:val="00417A27"/>
    <w:rsid w:val="00417CDB"/>
    <w:rsid w:val="00417D02"/>
    <w:rsid w:val="00417D85"/>
    <w:rsid w:val="00417E0B"/>
    <w:rsid w:val="00417E15"/>
    <w:rsid w:val="004200DD"/>
    <w:rsid w:val="004201E2"/>
    <w:rsid w:val="0042045C"/>
    <w:rsid w:val="004204F6"/>
    <w:rsid w:val="00420714"/>
    <w:rsid w:val="004207E0"/>
    <w:rsid w:val="004208B8"/>
    <w:rsid w:val="00420A0B"/>
    <w:rsid w:val="00420BDE"/>
    <w:rsid w:val="00420DB6"/>
    <w:rsid w:val="00420E19"/>
    <w:rsid w:val="00420F18"/>
    <w:rsid w:val="00420FE6"/>
    <w:rsid w:val="00421088"/>
    <w:rsid w:val="004212B3"/>
    <w:rsid w:val="00421303"/>
    <w:rsid w:val="004213EA"/>
    <w:rsid w:val="004217FD"/>
    <w:rsid w:val="004218A0"/>
    <w:rsid w:val="004218AE"/>
    <w:rsid w:val="00421DAF"/>
    <w:rsid w:val="0042202D"/>
    <w:rsid w:val="00422084"/>
    <w:rsid w:val="004222BF"/>
    <w:rsid w:val="00422321"/>
    <w:rsid w:val="00422341"/>
    <w:rsid w:val="00422376"/>
    <w:rsid w:val="0042249E"/>
    <w:rsid w:val="004224EA"/>
    <w:rsid w:val="0042253C"/>
    <w:rsid w:val="00422633"/>
    <w:rsid w:val="00422877"/>
    <w:rsid w:val="004229F2"/>
    <w:rsid w:val="00422A10"/>
    <w:rsid w:val="00422A3D"/>
    <w:rsid w:val="00422C2D"/>
    <w:rsid w:val="00422C46"/>
    <w:rsid w:val="00422D16"/>
    <w:rsid w:val="00422D6E"/>
    <w:rsid w:val="00422E1B"/>
    <w:rsid w:val="00422EED"/>
    <w:rsid w:val="00422F13"/>
    <w:rsid w:val="00422F1F"/>
    <w:rsid w:val="00422FDF"/>
    <w:rsid w:val="00423038"/>
    <w:rsid w:val="004232BE"/>
    <w:rsid w:val="00423568"/>
    <w:rsid w:val="00423594"/>
    <w:rsid w:val="0042373F"/>
    <w:rsid w:val="004239D3"/>
    <w:rsid w:val="004239F0"/>
    <w:rsid w:val="004241C3"/>
    <w:rsid w:val="004242C3"/>
    <w:rsid w:val="00424368"/>
    <w:rsid w:val="0042449A"/>
    <w:rsid w:val="004244C8"/>
    <w:rsid w:val="0042453D"/>
    <w:rsid w:val="00424887"/>
    <w:rsid w:val="004248E1"/>
    <w:rsid w:val="00424917"/>
    <w:rsid w:val="00424949"/>
    <w:rsid w:val="00424B42"/>
    <w:rsid w:val="00424BDC"/>
    <w:rsid w:val="00424E22"/>
    <w:rsid w:val="00424EF3"/>
    <w:rsid w:val="0042525E"/>
    <w:rsid w:val="004254AC"/>
    <w:rsid w:val="00425555"/>
    <w:rsid w:val="00425690"/>
    <w:rsid w:val="00425716"/>
    <w:rsid w:val="00425767"/>
    <w:rsid w:val="004257F4"/>
    <w:rsid w:val="0042580F"/>
    <w:rsid w:val="00425821"/>
    <w:rsid w:val="004259DE"/>
    <w:rsid w:val="00425A5C"/>
    <w:rsid w:val="00425AA6"/>
    <w:rsid w:val="00425B56"/>
    <w:rsid w:val="00425B79"/>
    <w:rsid w:val="00425C49"/>
    <w:rsid w:val="00425D70"/>
    <w:rsid w:val="00425F87"/>
    <w:rsid w:val="00425F97"/>
    <w:rsid w:val="00425FD3"/>
    <w:rsid w:val="0042600E"/>
    <w:rsid w:val="0042603E"/>
    <w:rsid w:val="004260A9"/>
    <w:rsid w:val="00426385"/>
    <w:rsid w:val="004264D1"/>
    <w:rsid w:val="00426574"/>
    <w:rsid w:val="00426612"/>
    <w:rsid w:val="0042681E"/>
    <w:rsid w:val="0042686D"/>
    <w:rsid w:val="004268E1"/>
    <w:rsid w:val="0042690F"/>
    <w:rsid w:val="0042692C"/>
    <w:rsid w:val="00426BAC"/>
    <w:rsid w:val="00426C22"/>
    <w:rsid w:val="00426D1E"/>
    <w:rsid w:val="00426FD3"/>
    <w:rsid w:val="00426FEB"/>
    <w:rsid w:val="0042711A"/>
    <w:rsid w:val="00427228"/>
    <w:rsid w:val="0042725B"/>
    <w:rsid w:val="0042726B"/>
    <w:rsid w:val="004273E9"/>
    <w:rsid w:val="00427560"/>
    <w:rsid w:val="00427633"/>
    <w:rsid w:val="0042776F"/>
    <w:rsid w:val="00427794"/>
    <w:rsid w:val="00427809"/>
    <w:rsid w:val="0042799F"/>
    <w:rsid w:val="004279BB"/>
    <w:rsid w:val="00427AE6"/>
    <w:rsid w:val="00427D0A"/>
    <w:rsid w:val="00427EF9"/>
    <w:rsid w:val="00430329"/>
    <w:rsid w:val="00430495"/>
    <w:rsid w:val="00430C2D"/>
    <w:rsid w:val="00430CB0"/>
    <w:rsid w:val="00430D41"/>
    <w:rsid w:val="00430D96"/>
    <w:rsid w:val="00430FC2"/>
    <w:rsid w:val="004310AF"/>
    <w:rsid w:val="0043115B"/>
    <w:rsid w:val="004311A1"/>
    <w:rsid w:val="00431208"/>
    <w:rsid w:val="004312C9"/>
    <w:rsid w:val="004312F8"/>
    <w:rsid w:val="00431372"/>
    <w:rsid w:val="004314E1"/>
    <w:rsid w:val="0043155F"/>
    <w:rsid w:val="004315FA"/>
    <w:rsid w:val="0043166E"/>
    <w:rsid w:val="00431718"/>
    <w:rsid w:val="004318B7"/>
    <w:rsid w:val="004318C1"/>
    <w:rsid w:val="004318C2"/>
    <w:rsid w:val="004319DB"/>
    <w:rsid w:val="00431B3D"/>
    <w:rsid w:val="00431D86"/>
    <w:rsid w:val="00431D8A"/>
    <w:rsid w:val="00431DCA"/>
    <w:rsid w:val="00431F6A"/>
    <w:rsid w:val="00432002"/>
    <w:rsid w:val="00432077"/>
    <w:rsid w:val="00432167"/>
    <w:rsid w:val="00432176"/>
    <w:rsid w:val="0043229D"/>
    <w:rsid w:val="0043229E"/>
    <w:rsid w:val="00432379"/>
    <w:rsid w:val="004325FB"/>
    <w:rsid w:val="004327FF"/>
    <w:rsid w:val="00432835"/>
    <w:rsid w:val="00432936"/>
    <w:rsid w:val="00432997"/>
    <w:rsid w:val="00432AB4"/>
    <w:rsid w:val="00432B18"/>
    <w:rsid w:val="00432BAD"/>
    <w:rsid w:val="00432C56"/>
    <w:rsid w:val="00432D27"/>
    <w:rsid w:val="00432D82"/>
    <w:rsid w:val="00432D84"/>
    <w:rsid w:val="00432E89"/>
    <w:rsid w:val="00432FED"/>
    <w:rsid w:val="004330AF"/>
    <w:rsid w:val="00433137"/>
    <w:rsid w:val="0043324E"/>
    <w:rsid w:val="0043335D"/>
    <w:rsid w:val="00433380"/>
    <w:rsid w:val="0043339A"/>
    <w:rsid w:val="00433596"/>
    <w:rsid w:val="00433793"/>
    <w:rsid w:val="0043397D"/>
    <w:rsid w:val="00433A7C"/>
    <w:rsid w:val="00433B51"/>
    <w:rsid w:val="00433D60"/>
    <w:rsid w:val="00433D62"/>
    <w:rsid w:val="00433D93"/>
    <w:rsid w:val="00433E76"/>
    <w:rsid w:val="00433EA5"/>
    <w:rsid w:val="00433F2E"/>
    <w:rsid w:val="00433F54"/>
    <w:rsid w:val="00433F72"/>
    <w:rsid w:val="00434020"/>
    <w:rsid w:val="00434157"/>
    <w:rsid w:val="00434253"/>
    <w:rsid w:val="004342F5"/>
    <w:rsid w:val="0043432A"/>
    <w:rsid w:val="004343F8"/>
    <w:rsid w:val="00434480"/>
    <w:rsid w:val="004346B0"/>
    <w:rsid w:val="004348B4"/>
    <w:rsid w:val="0043492C"/>
    <w:rsid w:val="004349F2"/>
    <w:rsid w:val="00434A3B"/>
    <w:rsid w:val="00434CFE"/>
    <w:rsid w:val="00434D80"/>
    <w:rsid w:val="00434E15"/>
    <w:rsid w:val="00434E68"/>
    <w:rsid w:val="00434F4E"/>
    <w:rsid w:val="00434F8D"/>
    <w:rsid w:val="00435325"/>
    <w:rsid w:val="00435555"/>
    <w:rsid w:val="00435665"/>
    <w:rsid w:val="0043573D"/>
    <w:rsid w:val="0043579E"/>
    <w:rsid w:val="00435F92"/>
    <w:rsid w:val="0043603C"/>
    <w:rsid w:val="00436088"/>
    <w:rsid w:val="00436195"/>
    <w:rsid w:val="00436342"/>
    <w:rsid w:val="0043647B"/>
    <w:rsid w:val="004366EA"/>
    <w:rsid w:val="00436CFA"/>
    <w:rsid w:val="00436E4A"/>
    <w:rsid w:val="00436F0D"/>
    <w:rsid w:val="00436F1B"/>
    <w:rsid w:val="004371A6"/>
    <w:rsid w:val="004373C4"/>
    <w:rsid w:val="0043749D"/>
    <w:rsid w:val="0043754D"/>
    <w:rsid w:val="00437558"/>
    <w:rsid w:val="00437592"/>
    <w:rsid w:val="004375C0"/>
    <w:rsid w:val="00437690"/>
    <w:rsid w:val="004377CF"/>
    <w:rsid w:val="0043793A"/>
    <w:rsid w:val="00437957"/>
    <w:rsid w:val="004379CA"/>
    <w:rsid w:val="00437A48"/>
    <w:rsid w:val="00437A7D"/>
    <w:rsid w:val="00437B12"/>
    <w:rsid w:val="00437C38"/>
    <w:rsid w:val="00437E6B"/>
    <w:rsid w:val="00437EE7"/>
    <w:rsid w:val="00437F73"/>
    <w:rsid w:val="00437FD1"/>
    <w:rsid w:val="00440067"/>
    <w:rsid w:val="004400E0"/>
    <w:rsid w:val="0044030D"/>
    <w:rsid w:val="00440371"/>
    <w:rsid w:val="00440391"/>
    <w:rsid w:val="004404CA"/>
    <w:rsid w:val="004404FD"/>
    <w:rsid w:val="00440582"/>
    <w:rsid w:val="004405BC"/>
    <w:rsid w:val="004405F3"/>
    <w:rsid w:val="004407F1"/>
    <w:rsid w:val="00440921"/>
    <w:rsid w:val="00440969"/>
    <w:rsid w:val="004409F9"/>
    <w:rsid w:val="00440BB1"/>
    <w:rsid w:val="00440C3F"/>
    <w:rsid w:val="0044117C"/>
    <w:rsid w:val="0044128E"/>
    <w:rsid w:val="00441362"/>
    <w:rsid w:val="0044141C"/>
    <w:rsid w:val="00441433"/>
    <w:rsid w:val="0044144B"/>
    <w:rsid w:val="004419CA"/>
    <w:rsid w:val="00441A20"/>
    <w:rsid w:val="00441C2E"/>
    <w:rsid w:val="00441CF2"/>
    <w:rsid w:val="00441D22"/>
    <w:rsid w:val="00441D68"/>
    <w:rsid w:val="00441EAC"/>
    <w:rsid w:val="00441EDA"/>
    <w:rsid w:val="00442236"/>
    <w:rsid w:val="0044261C"/>
    <w:rsid w:val="0044270A"/>
    <w:rsid w:val="004427AA"/>
    <w:rsid w:val="004427DE"/>
    <w:rsid w:val="004429A7"/>
    <w:rsid w:val="004429FC"/>
    <w:rsid w:val="00442A05"/>
    <w:rsid w:val="00442B88"/>
    <w:rsid w:val="00442D05"/>
    <w:rsid w:val="00442E23"/>
    <w:rsid w:val="00442E2D"/>
    <w:rsid w:val="00442E57"/>
    <w:rsid w:val="00442F4C"/>
    <w:rsid w:val="00443012"/>
    <w:rsid w:val="004430E1"/>
    <w:rsid w:val="00443134"/>
    <w:rsid w:val="00443255"/>
    <w:rsid w:val="004432DA"/>
    <w:rsid w:val="0044351D"/>
    <w:rsid w:val="0044369A"/>
    <w:rsid w:val="0044373C"/>
    <w:rsid w:val="00443C09"/>
    <w:rsid w:val="00443EDC"/>
    <w:rsid w:val="00443EE9"/>
    <w:rsid w:val="00443F9B"/>
    <w:rsid w:val="00444098"/>
    <w:rsid w:val="004440C6"/>
    <w:rsid w:val="004444FA"/>
    <w:rsid w:val="0044476B"/>
    <w:rsid w:val="004447AF"/>
    <w:rsid w:val="0044496A"/>
    <w:rsid w:val="0044497D"/>
    <w:rsid w:val="00444CBD"/>
    <w:rsid w:val="00444EA1"/>
    <w:rsid w:val="00444ECE"/>
    <w:rsid w:val="00444F9D"/>
    <w:rsid w:val="004451D1"/>
    <w:rsid w:val="0044528D"/>
    <w:rsid w:val="00445298"/>
    <w:rsid w:val="004452C8"/>
    <w:rsid w:val="004453FD"/>
    <w:rsid w:val="004454FF"/>
    <w:rsid w:val="0044552D"/>
    <w:rsid w:val="0044558B"/>
    <w:rsid w:val="004456C2"/>
    <w:rsid w:val="00445AA2"/>
    <w:rsid w:val="00445AB5"/>
    <w:rsid w:val="00445AFF"/>
    <w:rsid w:val="00445BAD"/>
    <w:rsid w:val="00445D6B"/>
    <w:rsid w:val="00445E2C"/>
    <w:rsid w:val="00445E50"/>
    <w:rsid w:val="00445EE4"/>
    <w:rsid w:val="004460A8"/>
    <w:rsid w:val="00446147"/>
    <w:rsid w:val="00446165"/>
    <w:rsid w:val="0044619A"/>
    <w:rsid w:val="004461AB"/>
    <w:rsid w:val="004461BC"/>
    <w:rsid w:val="00446808"/>
    <w:rsid w:val="004468A7"/>
    <w:rsid w:val="00446960"/>
    <w:rsid w:val="00446C3B"/>
    <w:rsid w:val="00446D54"/>
    <w:rsid w:val="00446D87"/>
    <w:rsid w:val="00446E43"/>
    <w:rsid w:val="00447032"/>
    <w:rsid w:val="0044718D"/>
    <w:rsid w:val="004471A6"/>
    <w:rsid w:val="004471F7"/>
    <w:rsid w:val="00447263"/>
    <w:rsid w:val="0044738B"/>
    <w:rsid w:val="004473AB"/>
    <w:rsid w:val="00447453"/>
    <w:rsid w:val="0044765E"/>
    <w:rsid w:val="004476B9"/>
    <w:rsid w:val="0044780E"/>
    <w:rsid w:val="0044793B"/>
    <w:rsid w:val="00447AF3"/>
    <w:rsid w:val="00447B2A"/>
    <w:rsid w:val="00447DBA"/>
    <w:rsid w:val="00447E0A"/>
    <w:rsid w:val="00447E2B"/>
    <w:rsid w:val="0045025F"/>
    <w:rsid w:val="004502CB"/>
    <w:rsid w:val="00450437"/>
    <w:rsid w:val="004504C2"/>
    <w:rsid w:val="00450519"/>
    <w:rsid w:val="0045069A"/>
    <w:rsid w:val="004508CA"/>
    <w:rsid w:val="004508EC"/>
    <w:rsid w:val="0045093B"/>
    <w:rsid w:val="004509E3"/>
    <w:rsid w:val="004509F3"/>
    <w:rsid w:val="00450C36"/>
    <w:rsid w:val="00450D30"/>
    <w:rsid w:val="00450D50"/>
    <w:rsid w:val="00451018"/>
    <w:rsid w:val="0045101C"/>
    <w:rsid w:val="004510A5"/>
    <w:rsid w:val="0045119C"/>
    <w:rsid w:val="004511F9"/>
    <w:rsid w:val="00451470"/>
    <w:rsid w:val="004514B3"/>
    <w:rsid w:val="004514CE"/>
    <w:rsid w:val="00451791"/>
    <w:rsid w:val="0045183C"/>
    <w:rsid w:val="00451A98"/>
    <w:rsid w:val="00451AD9"/>
    <w:rsid w:val="00451BB9"/>
    <w:rsid w:val="00451C05"/>
    <w:rsid w:val="00451D11"/>
    <w:rsid w:val="00451D17"/>
    <w:rsid w:val="00451D3D"/>
    <w:rsid w:val="00451FE7"/>
    <w:rsid w:val="00452071"/>
    <w:rsid w:val="004520A4"/>
    <w:rsid w:val="00452325"/>
    <w:rsid w:val="00452394"/>
    <w:rsid w:val="0045239C"/>
    <w:rsid w:val="0045243D"/>
    <w:rsid w:val="0045255D"/>
    <w:rsid w:val="00452690"/>
    <w:rsid w:val="004527F9"/>
    <w:rsid w:val="00452890"/>
    <w:rsid w:val="0045294B"/>
    <w:rsid w:val="00452A77"/>
    <w:rsid w:val="00452B40"/>
    <w:rsid w:val="00452B5E"/>
    <w:rsid w:val="00452BA1"/>
    <w:rsid w:val="00452BD2"/>
    <w:rsid w:val="00452EEA"/>
    <w:rsid w:val="00452F0F"/>
    <w:rsid w:val="00452F12"/>
    <w:rsid w:val="00452F4F"/>
    <w:rsid w:val="00452F82"/>
    <w:rsid w:val="00453152"/>
    <w:rsid w:val="004531DA"/>
    <w:rsid w:val="0045329A"/>
    <w:rsid w:val="0045332F"/>
    <w:rsid w:val="004533A2"/>
    <w:rsid w:val="00453484"/>
    <w:rsid w:val="00453498"/>
    <w:rsid w:val="004534E0"/>
    <w:rsid w:val="00453608"/>
    <w:rsid w:val="00453953"/>
    <w:rsid w:val="004539F6"/>
    <w:rsid w:val="00453E41"/>
    <w:rsid w:val="00453E56"/>
    <w:rsid w:val="00453FB4"/>
    <w:rsid w:val="00454017"/>
    <w:rsid w:val="00454284"/>
    <w:rsid w:val="00454362"/>
    <w:rsid w:val="00454516"/>
    <w:rsid w:val="0045465C"/>
    <w:rsid w:val="0045480B"/>
    <w:rsid w:val="004548C5"/>
    <w:rsid w:val="004548C9"/>
    <w:rsid w:val="004548FA"/>
    <w:rsid w:val="00454B49"/>
    <w:rsid w:val="00454BC0"/>
    <w:rsid w:val="00454ED7"/>
    <w:rsid w:val="00454FB2"/>
    <w:rsid w:val="004550AC"/>
    <w:rsid w:val="00455494"/>
    <w:rsid w:val="004554BD"/>
    <w:rsid w:val="00455526"/>
    <w:rsid w:val="0045557B"/>
    <w:rsid w:val="00455580"/>
    <w:rsid w:val="00455774"/>
    <w:rsid w:val="0045579E"/>
    <w:rsid w:val="00455CCB"/>
    <w:rsid w:val="00455E7F"/>
    <w:rsid w:val="00455FBF"/>
    <w:rsid w:val="00456028"/>
    <w:rsid w:val="004560DA"/>
    <w:rsid w:val="004561BA"/>
    <w:rsid w:val="004561F7"/>
    <w:rsid w:val="004562BF"/>
    <w:rsid w:val="004563C6"/>
    <w:rsid w:val="004564C1"/>
    <w:rsid w:val="00456598"/>
    <w:rsid w:val="004565B5"/>
    <w:rsid w:val="00456637"/>
    <w:rsid w:val="004567E7"/>
    <w:rsid w:val="00456A98"/>
    <w:rsid w:val="00456ADA"/>
    <w:rsid w:val="00456B6B"/>
    <w:rsid w:val="00456CBC"/>
    <w:rsid w:val="00456CD8"/>
    <w:rsid w:val="00456DAD"/>
    <w:rsid w:val="00456DCE"/>
    <w:rsid w:val="00456E01"/>
    <w:rsid w:val="00456EDD"/>
    <w:rsid w:val="00456EE1"/>
    <w:rsid w:val="00456F12"/>
    <w:rsid w:val="00456F63"/>
    <w:rsid w:val="00456F75"/>
    <w:rsid w:val="00457592"/>
    <w:rsid w:val="004575F3"/>
    <w:rsid w:val="00457916"/>
    <w:rsid w:val="00457938"/>
    <w:rsid w:val="004579E4"/>
    <w:rsid w:val="00457A01"/>
    <w:rsid w:val="00457A34"/>
    <w:rsid w:val="00457A69"/>
    <w:rsid w:val="00457CCE"/>
    <w:rsid w:val="00457D6E"/>
    <w:rsid w:val="0046004A"/>
    <w:rsid w:val="004600A8"/>
    <w:rsid w:val="004602C4"/>
    <w:rsid w:val="0046051D"/>
    <w:rsid w:val="004607BE"/>
    <w:rsid w:val="004608FE"/>
    <w:rsid w:val="00460983"/>
    <w:rsid w:val="004609AD"/>
    <w:rsid w:val="004609DD"/>
    <w:rsid w:val="00460B30"/>
    <w:rsid w:val="00460B76"/>
    <w:rsid w:val="00460BE0"/>
    <w:rsid w:val="00460FF4"/>
    <w:rsid w:val="00461105"/>
    <w:rsid w:val="004612B1"/>
    <w:rsid w:val="004612E0"/>
    <w:rsid w:val="00461322"/>
    <w:rsid w:val="0046176A"/>
    <w:rsid w:val="00461914"/>
    <w:rsid w:val="00461947"/>
    <w:rsid w:val="00461AA5"/>
    <w:rsid w:val="00461AF2"/>
    <w:rsid w:val="00461C95"/>
    <w:rsid w:val="00461DB0"/>
    <w:rsid w:val="00461EF0"/>
    <w:rsid w:val="00462027"/>
    <w:rsid w:val="004620B7"/>
    <w:rsid w:val="004622A8"/>
    <w:rsid w:val="00462300"/>
    <w:rsid w:val="0046250F"/>
    <w:rsid w:val="00462858"/>
    <w:rsid w:val="004628B3"/>
    <w:rsid w:val="00462915"/>
    <w:rsid w:val="0046292E"/>
    <w:rsid w:val="00462992"/>
    <w:rsid w:val="00462A44"/>
    <w:rsid w:val="00462B7B"/>
    <w:rsid w:val="00462BF6"/>
    <w:rsid w:val="00462C0E"/>
    <w:rsid w:val="00462C4B"/>
    <w:rsid w:val="00462C6F"/>
    <w:rsid w:val="00462DBC"/>
    <w:rsid w:val="00462F6C"/>
    <w:rsid w:val="0046306B"/>
    <w:rsid w:val="0046315C"/>
    <w:rsid w:val="00463162"/>
    <w:rsid w:val="004632C5"/>
    <w:rsid w:val="004634A1"/>
    <w:rsid w:val="004634E2"/>
    <w:rsid w:val="00463514"/>
    <w:rsid w:val="00463698"/>
    <w:rsid w:val="00463718"/>
    <w:rsid w:val="0046384D"/>
    <w:rsid w:val="004638EF"/>
    <w:rsid w:val="00463B0F"/>
    <w:rsid w:val="00463C48"/>
    <w:rsid w:val="004640AE"/>
    <w:rsid w:val="0046434A"/>
    <w:rsid w:val="00464509"/>
    <w:rsid w:val="004645B9"/>
    <w:rsid w:val="0046462B"/>
    <w:rsid w:val="0046468D"/>
    <w:rsid w:val="004646C6"/>
    <w:rsid w:val="00464732"/>
    <w:rsid w:val="00464ADF"/>
    <w:rsid w:val="00464C79"/>
    <w:rsid w:val="00464FD2"/>
    <w:rsid w:val="0046505A"/>
    <w:rsid w:val="004651BF"/>
    <w:rsid w:val="00465235"/>
    <w:rsid w:val="0046529F"/>
    <w:rsid w:val="004653BF"/>
    <w:rsid w:val="004654E8"/>
    <w:rsid w:val="004654EC"/>
    <w:rsid w:val="0046561B"/>
    <w:rsid w:val="004656DF"/>
    <w:rsid w:val="00465707"/>
    <w:rsid w:val="0046572F"/>
    <w:rsid w:val="0046583A"/>
    <w:rsid w:val="0046584C"/>
    <w:rsid w:val="00465854"/>
    <w:rsid w:val="00465A1A"/>
    <w:rsid w:val="00465AD9"/>
    <w:rsid w:val="00465BFA"/>
    <w:rsid w:val="00465C25"/>
    <w:rsid w:val="00465C6A"/>
    <w:rsid w:val="00465DF3"/>
    <w:rsid w:val="00465FCB"/>
    <w:rsid w:val="00466094"/>
    <w:rsid w:val="0046613C"/>
    <w:rsid w:val="00466175"/>
    <w:rsid w:val="004662A9"/>
    <w:rsid w:val="004662D3"/>
    <w:rsid w:val="0046632C"/>
    <w:rsid w:val="004663AE"/>
    <w:rsid w:val="00466490"/>
    <w:rsid w:val="00466519"/>
    <w:rsid w:val="00466591"/>
    <w:rsid w:val="004666B0"/>
    <w:rsid w:val="00466730"/>
    <w:rsid w:val="004667A2"/>
    <w:rsid w:val="00466A37"/>
    <w:rsid w:val="00466A3A"/>
    <w:rsid w:val="00466BA7"/>
    <w:rsid w:val="00466BBD"/>
    <w:rsid w:val="00466DCC"/>
    <w:rsid w:val="00466E67"/>
    <w:rsid w:val="00466E89"/>
    <w:rsid w:val="00466FBD"/>
    <w:rsid w:val="004672FB"/>
    <w:rsid w:val="0046743C"/>
    <w:rsid w:val="0046753C"/>
    <w:rsid w:val="004677F4"/>
    <w:rsid w:val="004678C7"/>
    <w:rsid w:val="0046790F"/>
    <w:rsid w:val="00467AF3"/>
    <w:rsid w:val="00467B1B"/>
    <w:rsid w:val="00467D13"/>
    <w:rsid w:val="00467D76"/>
    <w:rsid w:val="00470163"/>
    <w:rsid w:val="004701D1"/>
    <w:rsid w:val="0047027E"/>
    <w:rsid w:val="004703A5"/>
    <w:rsid w:val="00470517"/>
    <w:rsid w:val="0047054C"/>
    <w:rsid w:val="00470561"/>
    <w:rsid w:val="004706CF"/>
    <w:rsid w:val="004707AB"/>
    <w:rsid w:val="004708CD"/>
    <w:rsid w:val="00470B18"/>
    <w:rsid w:val="00470D3B"/>
    <w:rsid w:val="00470DA8"/>
    <w:rsid w:val="00470EF4"/>
    <w:rsid w:val="0047103E"/>
    <w:rsid w:val="00471251"/>
    <w:rsid w:val="004712AF"/>
    <w:rsid w:val="004712F0"/>
    <w:rsid w:val="004713CF"/>
    <w:rsid w:val="00471669"/>
    <w:rsid w:val="00471754"/>
    <w:rsid w:val="00471889"/>
    <w:rsid w:val="004718FB"/>
    <w:rsid w:val="00471AA6"/>
    <w:rsid w:val="00471B3C"/>
    <w:rsid w:val="00471E96"/>
    <w:rsid w:val="00471FD9"/>
    <w:rsid w:val="00472346"/>
    <w:rsid w:val="00472697"/>
    <w:rsid w:val="004728E8"/>
    <w:rsid w:val="00472B96"/>
    <w:rsid w:val="00472D0F"/>
    <w:rsid w:val="00472E20"/>
    <w:rsid w:val="00472EC4"/>
    <w:rsid w:val="00472EC7"/>
    <w:rsid w:val="00472F0C"/>
    <w:rsid w:val="0047309E"/>
    <w:rsid w:val="00473123"/>
    <w:rsid w:val="0047314A"/>
    <w:rsid w:val="004731BF"/>
    <w:rsid w:val="0047336C"/>
    <w:rsid w:val="00473430"/>
    <w:rsid w:val="00473614"/>
    <w:rsid w:val="0047361E"/>
    <w:rsid w:val="004736B3"/>
    <w:rsid w:val="004736C2"/>
    <w:rsid w:val="00473B4F"/>
    <w:rsid w:val="00473F1B"/>
    <w:rsid w:val="00473F35"/>
    <w:rsid w:val="0047410C"/>
    <w:rsid w:val="004741D9"/>
    <w:rsid w:val="00474290"/>
    <w:rsid w:val="004742A5"/>
    <w:rsid w:val="004742C6"/>
    <w:rsid w:val="0047438E"/>
    <w:rsid w:val="004745F8"/>
    <w:rsid w:val="00474643"/>
    <w:rsid w:val="00474720"/>
    <w:rsid w:val="00474C25"/>
    <w:rsid w:val="00474D3C"/>
    <w:rsid w:val="00474DB1"/>
    <w:rsid w:val="00474DCD"/>
    <w:rsid w:val="00474DD0"/>
    <w:rsid w:val="00474EEA"/>
    <w:rsid w:val="0047532A"/>
    <w:rsid w:val="00475352"/>
    <w:rsid w:val="00475401"/>
    <w:rsid w:val="00475404"/>
    <w:rsid w:val="0047542E"/>
    <w:rsid w:val="004754A2"/>
    <w:rsid w:val="004754E9"/>
    <w:rsid w:val="0047567E"/>
    <w:rsid w:val="0047583A"/>
    <w:rsid w:val="00475937"/>
    <w:rsid w:val="004759FD"/>
    <w:rsid w:val="00475DB1"/>
    <w:rsid w:val="00475F4F"/>
    <w:rsid w:val="00476017"/>
    <w:rsid w:val="004760CE"/>
    <w:rsid w:val="0047620F"/>
    <w:rsid w:val="00476A8C"/>
    <w:rsid w:val="00476A8D"/>
    <w:rsid w:val="00476B75"/>
    <w:rsid w:val="00476BE3"/>
    <w:rsid w:val="004770F5"/>
    <w:rsid w:val="0047717E"/>
    <w:rsid w:val="00477189"/>
    <w:rsid w:val="00477509"/>
    <w:rsid w:val="004775FB"/>
    <w:rsid w:val="00477686"/>
    <w:rsid w:val="00477690"/>
    <w:rsid w:val="004776C2"/>
    <w:rsid w:val="00477820"/>
    <w:rsid w:val="00477892"/>
    <w:rsid w:val="00477950"/>
    <w:rsid w:val="0047797F"/>
    <w:rsid w:val="004779AA"/>
    <w:rsid w:val="00477BF9"/>
    <w:rsid w:val="00477CC3"/>
    <w:rsid w:val="00477D5D"/>
    <w:rsid w:val="00477EA1"/>
    <w:rsid w:val="00477EFB"/>
    <w:rsid w:val="00477FC3"/>
    <w:rsid w:val="00480064"/>
    <w:rsid w:val="00480295"/>
    <w:rsid w:val="0048040B"/>
    <w:rsid w:val="00480434"/>
    <w:rsid w:val="004804CD"/>
    <w:rsid w:val="0048054F"/>
    <w:rsid w:val="0048063E"/>
    <w:rsid w:val="004808AF"/>
    <w:rsid w:val="00480903"/>
    <w:rsid w:val="00480936"/>
    <w:rsid w:val="0048096C"/>
    <w:rsid w:val="004809D7"/>
    <w:rsid w:val="00480B69"/>
    <w:rsid w:val="00480C5B"/>
    <w:rsid w:val="00480CD7"/>
    <w:rsid w:val="00480D56"/>
    <w:rsid w:val="00480E4C"/>
    <w:rsid w:val="00480E50"/>
    <w:rsid w:val="00481005"/>
    <w:rsid w:val="00481087"/>
    <w:rsid w:val="004811FB"/>
    <w:rsid w:val="004813D5"/>
    <w:rsid w:val="00481504"/>
    <w:rsid w:val="00481680"/>
    <w:rsid w:val="00481847"/>
    <w:rsid w:val="0048194E"/>
    <w:rsid w:val="004819C8"/>
    <w:rsid w:val="004819CF"/>
    <w:rsid w:val="00481E27"/>
    <w:rsid w:val="00481EE6"/>
    <w:rsid w:val="00482102"/>
    <w:rsid w:val="00482309"/>
    <w:rsid w:val="0048252B"/>
    <w:rsid w:val="004825D7"/>
    <w:rsid w:val="0048262D"/>
    <w:rsid w:val="00482878"/>
    <w:rsid w:val="004828EB"/>
    <w:rsid w:val="00482AB9"/>
    <w:rsid w:val="00482AE2"/>
    <w:rsid w:val="00482D56"/>
    <w:rsid w:val="00482D61"/>
    <w:rsid w:val="00482DD2"/>
    <w:rsid w:val="00482EFC"/>
    <w:rsid w:val="004830DC"/>
    <w:rsid w:val="00483143"/>
    <w:rsid w:val="0048314F"/>
    <w:rsid w:val="0048318C"/>
    <w:rsid w:val="004831BF"/>
    <w:rsid w:val="00483249"/>
    <w:rsid w:val="004832A6"/>
    <w:rsid w:val="0048335D"/>
    <w:rsid w:val="0048341E"/>
    <w:rsid w:val="0048346C"/>
    <w:rsid w:val="00483537"/>
    <w:rsid w:val="00483615"/>
    <w:rsid w:val="004837B8"/>
    <w:rsid w:val="00483977"/>
    <w:rsid w:val="00483A72"/>
    <w:rsid w:val="00483B95"/>
    <w:rsid w:val="00483D17"/>
    <w:rsid w:val="00483E1B"/>
    <w:rsid w:val="00483F6F"/>
    <w:rsid w:val="0048419B"/>
    <w:rsid w:val="004841BF"/>
    <w:rsid w:val="004841C2"/>
    <w:rsid w:val="004843D6"/>
    <w:rsid w:val="0048456A"/>
    <w:rsid w:val="0048464A"/>
    <w:rsid w:val="00484651"/>
    <w:rsid w:val="004847A3"/>
    <w:rsid w:val="00484814"/>
    <w:rsid w:val="00484862"/>
    <w:rsid w:val="004848D2"/>
    <w:rsid w:val="00484A83"/>
    <w:rsid w:val="00484B50"/>
    <w:rsid w:val="00484B98"/>
    <w:rsid w:val="00484D34"/>
    <w:rsid w:val="00484D68"/>
    <w:rsid w:val="0048520F"/>
    <w:rsid w:val="00485280"/>
    <w:rsid w:val="00485775"/>
    <w:rsid w:val="00485970"/>
    <w:rsid w:val="00485B99"/>
    <w:rsid w:val="00485C27"/>
    <w:rsid w:val="00485CB4"/>
    <w:rsid w:val="00485D2C"/>
    <w:rsid w:val="00485D4A"/>
    <w:rsid w:val="00485EFA"/>
    <w:rsid w:val="00485F94"/>
    <w:rsid w:val="004860A3"/>
    <w:rsid w:val="004860CC"/>
    <w:rsid w:val="00486138"/>
    <w:rsid w:val="00486139"/>
    <w:rsid w:val="00486248"/>
    <w:rsid w:val="00486427"/>
    <w:rsid w:val="00486504"/>
    <w:rsid w:val="00486572"/>
    <w:rsid w:val="00486707"/>
    <w:rsid w:val="00486736"/>
    <w:rsid w:val="00486831"/>
    <w:rsid w:val="00486A1B"/>
    <w:rsid w:val="00486AB4"/>
    <w:rsid w:val="00486BD0"/>
    <w:rsid w:val="00486BE5"/>
    <w:rsid w:val="00486CCC"/>
    <w:rsid w:val="00486DBF"/>
    <w:rsid w:val="00486E03"/>
    <w:rsid w:val="00486E2F"/>
    <w:rsid w:val="00486ED2"/>
    <w:rsid w:val="00486F4E"/>
    <w:rsid w:val="00487221"/>
    <w:rsid w:val="004872BA"/>
    <w:rsid w:val="0048730C"/>
    <w:rsid w:val="004873E5"/>
    <w:rsid w:val="00487539"/>
    <w:rsid w:val="004875FF"/>
    <w:rsid w:val="00487643"/>
    <w:rsid w:val="004876B3"/>
    <w:rsid w:val="004877BF"/>
    <w:rsid w:val="004877CC"/>
    <w:rsid w:val="00487806"/>
    <w:rsid w:val="004878B7"/>
    <w:rsid w:val="00487962"/>
    <w:rsid w:val="00487A46"/>
    <w:rsid w:val="00487AED"/>
    <w:rsid w:val="00487B24"/>
    <w:rsid w:val="00487B64"/>
    <w:rsid w:val="00487C92"/>
    <w:rsid w:val="00487DBA"/>
    <w:rsid w:val="00487EDB"/>
    <w:rsid w:val="00487F09"/>
    <w:rsid w:val="00487F85"/>
    <w:rsid w:val="00487F9C"/>
    <w:rsid w:val="00487FFD"/>
    <w:rsid w:val="0049002A"/>
    <w:rsid w:val="0049006E"/>
    <w:rsid w:val="0049008B"/>
    <w:rsid w:val="00490188"/>
    <w:rsid w:val="004901BB"/>
    <w:rsid w:val="00490288"/>
    <w:rsid w:val="0049054B"/>
    <w:rsid w:val="0049070D"/>
    <w:rsid w:val="00490777"/>
    <w:rsid w:val="00490BBB"/>
    <w:rsid w:val="00490CC8"/>
    <w:rsid w:val="00490CEE"/>
    <w:rsid w:val="00490D08"/>
    <w:rsid w:val="0049105C"/>
    <w:rsid w:val="0049111F"/>
    <w:rsid w:val="0049114A"/>
    <w:rsid w:val="00491231"/>
    <w:rsid w:val="0049183D"/>
    <w:rsid w:val="004918A0"/>
    <w:rsid w:val="004918EF"/>
    <w:rsid w:val="00491BD9"/>
    <w:rsid w:val="00491C39"/>
    <w:rsid w:val="00491C9E"/>
    <w:rsid w:val="00491CFD"/>
    <w:rsid w:val="00491F3A"/>
    <w:rsid w:val="00492028"/>
    <w:rsid w:val="00492263"/>
    <w:rsid w:val="00492315"/>
    <w:rsid w:val="00492556"/>
    <w:rsid w:val="00492656"/>
    <w:rsid w:val="004926DA"/>
    <w:rsid w:val="0049270B"/>
    <w:rsid w:val="00492727"/>
    <w:rsid w:val="004928C8"/>
    <w:rsid w:val="00492B06"/>
    <w:rsid w:val="00492B67"/>
    <w:rsid w:val="00492F2E"/>
    <w:rsid w:val="004932C1"/>
    <w:rsid w:val="0049338F"/>
    <w:rsid w:val="00493666"/>
    <w:rsid w:val="004936D3"/>
    <w:rsid w:val="00493768"/>
    <w:rsid w:val="004937D4"/>
    <w:rsid w:val="00493821"/>
    <w:rsid w:val="0049383B"/>
    <w:rsid w:val="004939D1"/>
    <w:rsid w:val="00493A99"/>
    <w:rsid w:val="00493AF9"/>
    <w:rsid w:val="00493C1A"/>
    <w:rsid w:val="00493CC6"/>
    <w:rsid w:val="004943CD"/>
    <w:rsid w:val="004944FA"/>
    <w:rsid w:val="00494596"/>
    <w:rsid w:val="00494682"/>
    <w:rsid w:val="004946F4"/>
    <w:rsid w:val="004947DE"/>
    <w:rsid w:val="004949EF"/>
    <w:rsid w:val="00494BFC"/>
    <w:rsid w:val="00494C45"/>
    <w:rsid w:val="00494D2A"/>
    <w:rsid w:val="00494EC9"/>
    <w:rsid w:val="00494F00"/>
    <w:rsid w:val="00494F34"/>
    <w:rsid w:val="004950DA"/>
    <w:rsid w:val="0049521E"/>
    <w:rsid w:val="0049525D"/>
    <w:rsid w:val="004952F1"/>
    <w:rsid w:val="00495368"/>
    <w:rsid w:val="00495418"/>
    <w:rsid w:val="00495480"/>
    <w:rsid w:val="00495546"/>
    <w:rsid w:val="004955C0"/>
    <w:rsid w:val="00495626"/>
    <w:rsid w:val="00495827"/>
    <w:rsid w:val="00495968"/>
    <w:rsid w:val="00495AC2"/>
    <w:rsid w:val="00495B23"/>
    <w:rsid w:val="00495BB6"/>
    <w:rsid w:val="00495C40"/>
    <w:rsid w:val="00495E55"/>
    <w:rsid w:val="00495EBF"/>
    <w:rsid w:val="00495ECC"/>
    <w:rsid w:val="004960C9"/>
    <w:rsid w:val="00496103"/>
    <w:rsid w:val="00496119"/>
    <w:rsid w:val="004961D6"/>
    <w:rsid w:val="00496385"/>
    <w:rsid w:val="00496455"/>
    <w:rsid w:val="004965AD"/>
    <w:rsid w:val="0049663C"/>
    <w:rsid w:val="0049668A"/>
    <w:rsid w:val="0049673C"/>
    <w:rsid w:val="00496798"/>
    <w:rsid w:val="004967E6"/>
    <w:rsid w:val="00496864"/>
    <w:rsid w:val="004969EE"/>
    <w:rsid w:val="00496A87"/>
    <w:rsid w:val="00496E84"/>
    <w:rsid w:val="00496ECA"/>
    <w:rsid w:val="00496F8C"/>
    <w:rsid w:val="004970AA"/>
    <w:rsid w:val="004970B1"/>
    <w:rsid w:val="004970BD"/>
    <w:rsid w:val="0049737A"/>
    <w:rsid w:val="0049743E"/>
    <w:rsid w:val="00497512"/>
    <w:rsid w:val="004976C7"/>
    <w:rsid w:val="004977A4"/>
    <w:rsid w:val="00497B4A"/>
    <w:rsid w:val="00497BCA"/>
    <w:rsid w:val="00497BD4"/>
    <w:rsid w:val="00497D78"/>
    <w:rsid w:val="00497E45"/>
    <w:rsid w:val="00497E7C"/>
    <w:rsid w:val="004A008C"/>
    <w:rsid w:val="004A010A"/>
    <w:rsid w:val="004A02DD"/>
    <w:rsid w:val="004A0302"/>
    <w:rsid w:val="004A0303"/>
    <w:rsid w:val="004A0457"/>
    <w:rsid w:val="004A058C"/>
    <w:rsid w:val="004A060C"/>
    <w:rsid w:val="004A0742"/>
    <w:rsid w:val="004A0798"/>
    <w:rsid w:val="004A0841"/>
    <w:rsid w:val="004A08D3"/>
    <w:rsid w:val="004A0A20"/>
    <w:rsid w:val="004A0A39"/>
    <w:rsid w:val="004A0B6E"/>
    <w:rsid w:val="004A0C1D"/>
    <w:rsid w:val="004A0D2A"/>
    <w:rsid w:val="004A0D42"/>
    <w:rsid w:val="004A0DCC"/>
    <w:rsid w:val="004A110B"/>
    <w:rsid w:val="004A11D9"/>
    <w:rsid w:val="004A11FA"/>
    <w:rsid w:val="004A15BC"/>
    <w:rsid w:val="004A17C3"/>
    <w:rsid w:val="004A1BA2"/>
    <w:rsid w:val="004A1EA4"/>
    <w:rsid w:val="004A1FE3"/>
    <w:rsid w:val="004A20E9"/>
    <w:rsid w:val="004A21E1"/>
    <w:rsid w:val="004A228A"/>
    <w:rsid w:val="004A2322"/>
    <w:rsid w:val="004A2383"/>
    <w:rsid w:val="004A25F7"/>
    <w:rsid w:val="004A284F"/>
    <w:rsid w:val="004A292C"/>
    <w:rsid w:val="004A295C"/>
    <w:rsid w:val="004A298B"/>
    <w:rsid w:val="004A2B0C"/>
    <w:rsid w:val="004A2BD4"/>
    <w:rsid w:val="004A2BD9"/>
    <w:rsid w:val="004A2CF9"/>
    <w:rsid w:val="004A2D4C"/>
    <w:rsid w:val="004A2E27"/>
    <w:rsid w:val="004A2E46"/>
    <w:rsid w:val="004A2FB6"/>
    <w:rsid w:val="004A30C8"/>
    <w:rsid w:val="004A33E3"/>
    <w:rsid w:val="004A386D"/>
    <w:rsid w:val="004A3B31"/>
    <w:rsid w:val="004A3D01"/>
    <w:rsid w:val="004A3EDB"/>
    <w:rsid w:val="004A3F15"/>
    <w:rsid w:val="004A42D9"/>
    <w:rsid w:val="004A4474"/>
    <w:rsid w:val="004A44A3"/>
    <w:rsid w:val="004A44D1"/>
    <w:rsid w:val="004A455B"/>
    <w:rsid w:val="004A4569"/>
    <w:rsid w:val="004A46F0"/>
    <w:rsid w:val="004A491F"/>
    <w:rsid w:val="004A49AE"/>
    <w:rsid w:val="004A49D0"/>
    <w:rsid w:val="004A4A14"/>
    <w:rsid w:val="004A4B32"/>
    <w:rsid w:val="004A4CFE"/>
    <w:rsid w:val="004A4EF0"/>
    <w:rsid w:val="004A4F6C"/>
    <w:rsid w:val="004A508B"/>
    <w:rsid w:val="004A55CC"/>
    <w:rsid w:val="004A56DC"/>
    <w:rsid w:val="004A5891"/>
    <w:rsid w:val="004A58C2"/>
    <w:rsid w:val="004A58F7"/>
    <w:rsid w:val="004A59F1"/>
    <w:rsid w:val="004A5BD1"/>
    <w:rsid w:val="004A5BFA"/>
    <w:rsid w:val="004A5C2C"/>
    <w:rsid w:val="004A5E3A"/>
    <w:rsid w:val="004A5E81"/>
    <w:rsid w:val="004A600A"/>
    <w:rsid w:val="004A603A"/>
    <w:rsid w:val="004A60BE"/>
    <w:rsid w:val="004A6187"/>
    <w:rsid w:val="004A6189"/>
    <w:rsid w:val="004A6227"/>
    <w:rsid w:val="004A67D0"/>
    <w:rsid w:val="004A682D"/>
    <w:rsid w:val="004A6D25"/>
    <w:rsid w:val="004A6D3C"/>
    <w:rsid w:val="004A6DDA"/>
    <w:rsid w:val="004A6EA1"/>
    <w:rsid w:val="004A6EE8"/>
    <w:rsid w:val="004A70D9"/>
    <w:rsid w:val="004A7173"/>
    <w:rsid w:val="004A7262"/>
    <w:rsid w:val="004A735C"/>
    <w:rsid w:val="004A740C"/>
    <w:rsid w:val="004A7418"/>
    <w:rsid w:val="004A750B"/>
    <w:rsid w:val="004A7558"/>
    <w:rsid w:val="004A76A5"/>
    <w:rsid w:val="004A7703"/>
    <w:rsid w:val="004A774D"/>
    <w:rsid w:val="004A77AD"/>
    <w:rsid w:val="004A77D9"/>
    <w:rsid w:val="004A783A"/>
    <w:rsid w:val="004A786F"/>
    <w:rsid w:val="004A78F3"/>
    <w:rsid w:val="004A793C"/>
    <w:rsid w:val="004A79E0"/>
    <w:rsid w:val="004A7E3A"/>
    <w:rsid w:val="004B0060"/>
    <w:rsid w:val="004B00CB"/>
    <w:rsid w:val="004B0115"/>
    <w:rsid w:val="004B019C"/>
    <w:rsid w:val="004B01B8"/>
    <w:rsid w:val="004B0261"/>
    <w:rsid w:val="004B026B"/>
    <w:rsid w:val="004B0296"/>
    <w:rsid w:val="004B03FB"/>
    <w:rsid w:val="004B0485"/>
    <w:rsid w:val="004B04A4"/>
    <w:rsid w:val="004B04F4"/>
    <w:rsid w:val="004B0500"/>
    <w:rsid w:val="004B05FE"/>
    <w:rsid w:val="004B0628"/>
    <w:rsid w:val="004B06B9"/>
    <w:rsid w:val="004B0737"/>
    <w:rsid w:val="004B0B5D"/>
    <w:rsid w:val="004B0B5F"/>
    <w:rsid w:val="004B0CA3"/>
    <w:rsid w:val="004B0F6B"/>
    <w:rsid w:val="004B103F"/>
    <w:rsid w:val="004B113C"/>
    <w:rsid w:val="004B1222"/>
    <w:rsid w:val="004B125F"/>
    <w:rsid w:val="004B14D4"/>
    <w:rsid w:val="004B187A"/>
    <w:rsid w:val="004B18F0"/>
    <w:rsid w:val="004B1943"/>
    <w:rsid w:val="004B19AB"/>
    <w:rsid w:val="004B1B17"/>
    <w:rsid w:val="004B1BB8"/>
    <w:rsid w:val="004B1F49"/>
    <w:rsid w:val="004B2108"/>
    <w:rsid w:val="004B21D6"/>
    <w:rsid w:val="004B220B"/>
    <w:rsid w:val="004B226C"/>
    <w:rsid w:val="004B2360"/>
    <w:rsid w:val="004B25BC"/>
    <w:rsid w:val="004B27A5"/>
    <w:rsid w:val="004B27E1"/>
    <w:rsid w:val="004B28D0"/>
    <w:rsid w:val="004B28FF"/>
    <w:rsid w:val="004B2999"/>
    <w:rsid w:val="004B2A85"/>
    <w:rsid w:val="004B2B0A"/>
    <w:rsid w:val="004B2B50"/>
    <w:rsid w:val="004B2DB4"/>
    <w:rsid w:val="004B2EE0"/>
    <w:rsid w:val="004B2F0B"/>
    <w:rsid w:val="004B2F26"/>
    <w:rsid w:val="004B2F29"/>
    <w:rsid w:val="004B2FE6"/>
    <w:rsid w:val="004B3007"/>
    <w:rsid w:val="004B300E"/>
    <w:rsid w:val="004B3304"/>
    <w:rsid w:val="004B348C"/>
    <w:rsid w:val="004B352D"/>
    <w:rsid w:val="004B35B1"/>
    <w:rsid w:val="004B35EE"/>
    <w:rsid w:val="004B35F3"/>
    <w:rsid w:val="004B36BF"/>
    <w:rsid w:val="004B3A4F"/>
    <w:rsid w:val="004B3D9B"/>
    <w:rsid w:val="004B3DEC"/>
    <w:rsid w:val="004B3DF5"/>
    <w:rsid w:val="004B3E2B"/>
    <w:rsid w:val="004B3E39"/>
    <w:rsid w:val="004B3F3F"/>
    <w:rsid w:val="004B3FB9"/>
    <w:rsid w:val="004B4111"/>
    <w:rsid w:val="004B41DF"/>
    <w:rsid w:val="004B41F5"/>
    <w:rsid w:val="004B43AF"/>
    <w:rsid w:val="004B45A0"/>
    <w:rsid w:val="004B48C1"/>
    <w:rsid w:val="004B4A32"/>
    <w:rsid w:val="004B4C5A"/>
    <w:rsid w:val="004B4D01"/>
    <w:rsid w:val="004B4D57"/>
    <w:rsid w:val="004B4D95"/>
    <w:rsid w:val="004B4DEB"/>
    <w:rsid w:val="004B4F2D"/>
    <w:rsid w:val="004B4FF9"/>
    <w:rsid w:val="004B5056"/>
    <w:rsid w:val="004B516C"/>
    <w:rsid w:val="004B52CD"/>
    <w:rsid w:val="004B530D"/>
    <w:rsid w:val="004B5583"/>
    <w:rsid w:val="004B5642"/>
    <w:rsid w:val="004B56D3"/>
    <w:rsid w:val="004B5712"/>
    <w:rsid w:val="004B5B2A"/>
    <w:rsid w:val="004B5C75"/>
    <w:rsid w:val="004B5D66"/>
    <w:rsid w:val="004B5DE4"/>
    <w:rsid w:val="004B5E11"/>
    <w:rsid w:val="004B5F43"/>
    <w:rsid w:val="004B5F56"/>
    <w:rsid w:val="004B607B"/>
    <w:rsid w:val="004B612F"/>
    <w:rsid w:val="004B6258"/>
    <w:rsid w:val="004B632E"/>
    <w:rsid w:val="004B63BC"/>
    <w:rsid w:val="004B64A9"/>
    <w:rsid w:val="004B64F6"/>
    <w:rsid w:val="004B664D"/>
    <w:rsid w:val="004B66C8"/>
    <w:rsid w:val="004B66F6"/>
    <w:rsid w:val="004B6719"/>
    <w:rsid w:val="004B67A5"/>
    <w:rsid w:val="004B693F"/>
    <w:rsid w:val="004B6BA7"/>
    <w:rsid w:val="004B6C0A"/>
    <w:rsid w:val="004B6CE5"/>
    <w:rsid w:val="004B70E3"/>
    <w:rsid w:val="004B750F"/>
    <w:rsid w:val="004B7540"/>
    <w:rsid w:val="004B7627"/>
    <w:rsid w:val="004B76A4"/>
    <w:rsid w:val="004B7730"/>
    <w:rsid w:val="004B7783"/>
    <w:rsid w:val="004B77A2"/>
    <w:rsid w:val="004B77BF"/>
    <w:rsid w:val="004B7A4E"/>
    <w:rsid w:val="004B7B20"/>
    <w:rsid w:val="004B7B49"/>
    <w:rsid w:val="004B7CEF"/>
    <w:rsid w:val="004B7D04"/>
    <w:rsid w:val="004B7D88"/>
    <w:rsid w:val="004B7D8C"/>
    <w:rsid w:val="004B7FB0"/>
    <w:rsid w:val="004B7FED"/>
    <w:rsid w:val="004C01ED"/>
    <w:rsid w:val="004C0306"/>
    <w:rsid w:val="004C036B"/>
    <w:rsid w:val="004C0462"/>
    <w:rsid w:val="004C0466"/>
    <w:rsid w:val="004C0549"/>
    <w:rsid w:val="004C05CF"/>
    <w:rsid w:val="004C05E4"/>
    <w:rsid w:val="004C06D7"/>
    <w:rsid w:val="004C08D6"/>
    <w:rsid w:val="004C08ED"/>
    <w:rsid w:val="004C09B5"/>
    <w:rsid w:val="004C0C6B"/>
    <w:rsid w:val="004C0E17"/>
    <w:rsid w:val="004C0E71"/>
    <w:rsid w:val="004C0F77"/>
    <w:rsid w:val="004C0F85"/>
    <w:rsid w:val="004C116E"/>
    <w:rsid w:val="004C1286"/>
    <w:rsid w:val="004C1511"/>
    <w:rsid w:val="004C1520"/>
    <w:rsid w:val="004C1661"/>
    <w:rsid w:val="004C173D"/>
    <w:rsid w:val="004C18A6"/>
    <w:rsid w:val="004C1BC9"/>
    <w:rsid w:val="004C1C67"/>
    <w:rsid w:val="004C1DA9"/>
    <w:rsid w:val="004C1F65"/>
    <w:rsid w:val="004C2076"/>
    <w:rsid w:val="004C2138"/>
    <w:rsid w:val="004C2392"/>
    <w:rsid w:val="004C23CB"/>
    <w:rsid w:val="004C25F7"/>
    <w:rsid w:val="004C2616"/>
    <w:rsid w:val="004C26D6"/>
    <w:rsid w:val="004C2701"/>
    <w:rsid w:val="004C2761"/>
    <w:rsid w:val="004C2969"/>
    <w:rsid w:val="004C29B4"/>
    <w:rsid w:val="004C2AC4"/>
    <w:rsid w:val="004C2B99"/>
    <w:rsid w:val="004C2BAF"/>
    <w:rsid w:val="004C302A"/>
    <w:rsid w:val="004C30F7"/>
    <w:rsid w:val="004C3176"/>
    <w:rsid w:val="004C3204"/>
    <w:rsid w:val="004C3243"/>
    <w:rsid w:val="004C343C"/>
    <w:rsid w:val="004C34BE"/>
    <w:rsid w:val="004C35A3"/>
    <w:rsid w:val="004C35CB"/>
    <w:rsid w:val="004C3AB0"/>
    <w:rsid w:val="004C3E69"/>
    <w:rsid w:val="004C3F28"/>
    <w:rsid w:val="004C41C8"/>
    <w:rsid w:val="004C427C"/>
    <w:rsid w:val="004C42BC"/>
    <w:rsid w:val="004C43CD"/>
    <w:rsid w:val="004C43DA"/>
    <w:rsid w:val="004C43F7"/>
    <w:rsid w:val="004C4456"/>
    <w:rsid w:val="004C471F"/>
    <w:rsid w:val="004C4789"/>
    <w:rsid w:val="004C483B"/>
    <w:rsid w:val="004C4BE2"/>
    <w:rsid w:val="004C4C86"/>
    <w:rsid w:val="004C4DA5"/>
    <w:rsid w:val="004C4DCF"/>
    <w:rsid w:val="004C4E4D"/>
    <w:rsid w:val="004C4F59"/>
    <w:rsid w:val="004C5356"/>
    <w:rsid w:val="004C537C"/>
    <w:rsid w:val="004C53C7"/>
    <w:rsid w:val="004C53D6"/>
    <w:rsid w:val="004C5540"/>
    <w:rsid w:val="004C5585"/>
    <w:rsid w:val="004C5B29"/>
    <w:rsid w:val="004C5C63"/>
    <w:rsid w:val="004C5C80"/>
    <w:rsid w:val="004C5D0D"/>
    <w:rsid w:val="004C5D6B"/>
    <w:rsid w:val="004C5E69"/>
    <w:rsid w:val="004C5F7D"/>
    <w:rsid w:val="004C616B"/>
    <w:rsid w:val="004C6252"/>
    <w:rsid w:val="004C62E0"/>
    <w:rsid w:val="004C65E4"/>
    <w:rsid w:val="004C66E0"/>
    <w:rsid w:val="004C6709"/>
    <w:rsid w:val="004C671E"/>
    <w:rsid w:val="004C6802"/>
    <w:rsid w:val="004C6901"/>
    <w:rsid w:val="004C69D0"/>
    <w:rsid w:val="004C6B02"/>
    <w:rsid w:val="004C6DAD"/>
    <w:rsid w:val="004C6F52"/>
    <w:rsid w:val="004C75DF"/>
    <w:rsid w:val="004C7754"/>
    <w:rsid w:val="004C7928"/>
    <w:rsid w:val="004C7B26"/>
    <w:rsid w:val="004C7C9D"/>
    <w:rsid w:val="004C7CD3"/>
    <w:rsid w:val="004C7DDB"/>
    <w:rsid w:val="004C7E10"/>
    <w:rsid w:val="004C7EE8"/>
    <w:rsid w:val="004D0018"/>
    <w:rsid w:val="004D0026"/>
    <w:rsid w:val="004D01FA"/>
    <w:rsid w:val="004D0605"/>
    <w:rsid w:val="004D06A3"/>
    <w:rsid w:val="004D071B"/>
    <w:rsid w:val="004D07C9"/>
    <w:rsid w:val="004D0866"/>
    <w:rsid w:val="004D08FD"/>
    <w:rsid w:val="004D095F"/>
    <w:rsid w:val="004D0A1F"/>
    <w:rsid w:val="004D0B71"/>
    <w:rsid w:val="004D0BCF"/>
    <w:rsid w:val="004D0C7B"/>
    <w:rsid w:val="004D0CCD"/>
    <w:rsid w:val="004D0CF0"/>
    <w:rsid w:val="004D1045"/>
    <w:rsid w:val="004D1407"/>
    <w:rsid w:val="004D1416"/>
    <w:rsid w:val="004D1496"/>
    <w:rsid w:val="004D159E"/>
    <w:rsid w:val="004D15EE"/>
    <w:rsid w:val="004D1646"/>
    <w:rsid w:val="004D167C"/>
    <w:rsid w:val="004D1718"/>
    <w:rsid w:val="004D17B5"/>
    <w:rsid w:val="004D1B44"/>
    <w:rsid w:val="004D1F57"/>
    <w:rsid w:val="004D21C7"/>
    <w:rsid w:val="004D222A"/>
    <w:rsid w:val="004D22F2"/>
    <w:rsid w:val="004D246A"/>
    <w:rsid w:val="004D246B"/>
    <w:rsid w:val="004D25CD"/>
    <w:rsid w:val="004D25FB"/>
    <w:rsid w:val="004D25FD"/>
    <w:rsid w:val="004D2954"/>
    <w:rsid w:val="004D2AD0"/>
    <w:rsid w:val="004D2D03"/>
    <w:rsid w:val="004D2EE0"/>
    <w:rsid w:val="004D2F0F"/>
    <w:rsid w:val="004D2FE2"/>
    <w:rsid w:val="004D301F"/>
    <w:rsid w:val="004D30CB"/>
    <w:rsid w:val="004D30DB"/>
    <w:rsid w:val="004D30DF"/>
    <w:rsid w:val="004D3161"/>
    <w:rsid w:val="004D31AF"/>
    <w:rsid w:val="004D31BF"/>
    <w:rsid w:val="004D353F"/>
    <w:rsid w:val="004D36AC"/>
    <w:rsid w:val="004D38BB"/>
    <w:rsid w:val="004D3C53"/>
    <w:rsid w:val="004D3E42"/>
    <w:rsid w:val="004D3E4C"/>
    <w:rsid w:val="004D3EDC"/>
    <w:rsid w:val="004D3EF4"/>
    <w:rsid w:val="004D3F0F"/>
    <w:rsid w:val="004D3F3C"/>
    <w:rsid w:val="004D3FAC"/>
    <w:rsid w:val="004D3FD4"/>
    <w:rsid w:val="004D413B"/>
    <w:rsid w:val="004D4499"/>
    <w:rsid w:val="004D4599"/>
    <w:rsid w:val="004D4624"/>
    <w:rsid w:val="004D47DD"/>
    <w:rsid w:val="004D4962"/>
    <w:rsid w:val="004D49FC"/>
    <w:rsid w:val="004D4A6E"/>
    <w:rsid w:val="004D4AA9"/>
    <w:rsid w:val="004D4ACD"/>
    <w:rsid w:val="004D4C1E"/>
    <w:rsid w:val="004D4C83"/>
    <w:rsid w:val="004D4D90"/>
    <w:rsid w:val="004D4FFA"/>
    <w:rsid w:val="004D50F8"/>
    <w:rsid w:val="004D5184"/>
    <w:rsid w:val="004D52D0"/>
    <w:rsid w:val="004D5373"/>
    <w:rsid w:val="004D53AD"/>
    <w:rsid w:val="004D5498"/>
    <w:rsid w:val="004D552D"/>
    <w:rsid w:val="004D55F2"/>
    <w:rsid w:val="004D5632"/>
    <w:rsid w:val="004D57B0"/>
    <w:rsid w:val="004D58FA"/>
    <w:rsid w:val="004D5981"/>
    <w:rsid w:val="004D5ABC"/>
    <w:rsid w:val="004D5AF1"/>
    <w:rsid w:val="004D5D1D"/>
    <w:rsid w:val="004D5D35"/>
    <w:rsid w:val="004D5D67"/>
    <w:rsid w:val="004D6049"/>
    <w:rsid w:val="004D61DE"/>
    <w:rsid w:val="004D6201"/>
    <w:rsid w:val="004D638F"/>
    <w:rsid w:val="004D63BD"/>
    <w:rsid w:val="004D64DD"/>
    <w:rsid w:val="004D6568"/>
    <w:rsid w:val="004D65A5"/>
    <w:rsid w:val="004D65CF"/>
    <w:rsid w:val="004D6660"/>
    <w:rsid w:val="004D66AC"/>
    <w:rsid w:val="004D695E"/>
    <w:rsid w:val="004D6989"/>
    <w:rsid w:val="004D6E06"/>
    <w:rsid w:val="004D6F3E"/>
    <w:rsid w:val="004D6FE1"/>
    <w:rsid w:val="004D71C3"/>
    <w:rsid w:val="004D71E8"/>
    <w:rsid w:val="004D7223"/>
    <w:rsid w:val="004D7372"/>
    <w:rsid w:val="004D757F"/>
    <w:rsid w:val="004D75A3"/>
    <w:rsid w:val="004D7823"/>
    <w:rsid w:val="004D7824"/>
    <w:rsid w:val="004D786B"/>
    <w:rsid w:val="004D78CA"/>
    <w:rsid w:val="004D7980"/>
    <w:rsid w:val="004D7A07"/>
    <w:rsid w:val="004D7A31"/>
    <w:rsid w:val="004D7A52"/>
    <w:rsid w:val="004D7B73"/>
    <w:rsid w:val="004D7C01"/>
    <w:rsid w:val="004D7C2D"/>
    <w:rsid w:val="004D7D18"/>
    <w:rsid w:val="004E011F"/>
    <w:rsid w:val="004E014F"/>
    <w:rsid w:val="004E0208"/>
    <w:rsid w:val="004E030F"/>
    <w:rsid w:val="004E04C4"/>
    <w:rsid w:val="004E05AE"/>
    <w:rsid w:val="004E06E7"/>
    <w:rsid w:val="004E08B6"/>
    <w:rsid w:val="004E0CFE"/>
    <w:rsid w:val="004E0FA1"/>
    <w:rsid w:val="004E1039"/>
    <w:rsid w:val="004E10E9"/>
    <w:rsid w:val="004E1227"/>
    <w:rsid w:val="004E1285"/>
    <w:rsid w:val="004E14AB"/>
    <w:rsid w:val="004E1562"/>
    <w:rsid w:val="004E16B9"/>
    <w:rsid w:val="004E183B"/>
    <w:rsid w:val="004E19D9"/>
    <w:rsid w:val="004E1B07"/>
    <w:rsid w:val="004E1B34"/>
    <w:rsid w:val="004E1BA6"/>
    <w:rsid w:val="004E1CEA"/>
    <w:rsid w:val="004E1E9B"/>
    <w:rsid w:val="004E1EAA"/>
    <w:rsid w:val="004E1FAD"/>
    <w:rsid w:val="004E2004"/>
    <w:rsid w:val="004E20D5"/>
    <w:rsid w:val="004E20F4"/>
    <w:rsid w:val="004E2131"/>
    <w:rsid w:val="004E21BA"/>
    <w:rsid w:val="004E21E5"/>
    <w:rsid w:val="004E222C"/>
    <w:rsid w:val="004E2244"/>
    <w:rsid w:val="004E2392"/>
    <w:rsid w:val="004E23DE"/>
    <w:rsid w:val="004E26A1"/>
    <w:rsid w:val="004E26C0"/>
    <w:rsid w:val="004E27FF"/>
    <w:rsid w:val="004E2924"/>
    <w:rsid w:val="004E29CD"/>
    <w:rsid w:val="004E2B1D"/>
    <w:rsid w:val="004E2BF6"/>
    <w:rsid w:val="004E2C8F"/>
    <w:rsid w:val="004E2CAE"/>
    <w:rsid w:val="004E2D03"/>
    <w:rsid w:val="004E2D42"/>
    <w:rsid w:val="004E2EA3"/>
    <w:rsid w:val="004E2EC3"/>
    <w:rsid w:val="004E2EDA"/>
    <w:rsid w:val="004E3091"/>
    <w:rsid w:val="004E30C6"/>
    <w:rsid w:val="004E333B"/>
    <w:rsid w:val="004E3412"/>
    <w:rsid w:val="004E3482"/>
    <w:rsid w:val="004E3768"/>
    <w:rsid w:val="004E37CB"/>
    <w:rsid w:val="004E38D1"/>
    <w:rsid w:val="004E39E9"/>
    <w:rsid w:val="004E3BFD"/>
    <w:rsid w:val="004E3C8E"/>
    <w:rsid w:val="004E3F71"/>
    <w:rsid w:val="004E4112"/>
    <w:rsid w:val="004E4142"/>
    <w:rsid w:val="004E4194"/>
    <w:rsid w:val="004E439C"/>
    <w:rsid w:val="004E443E"/>
    <w:rsid w:val="004E4632"/>
    <w:rsid w:val="004E48A1"/>
    <w:rsid w:val="004E4A21"/>
    <w:rsid w:val="004E4A32"/>
    <w:rsid w:val="004E4B21"/>
    <w:rsid w:val="004E4D24"/>
    <w:rsid w:val="004E4F09"/>
    <w:rsid w:val="004E4FDE"/>
    <w:rsid w:val="004E50D9"/>
    <w:rsid w:val="004E513E"/>
    <w:rsid w:val="004E54C1"/>
    <w:rsid w:val="004E562B"/>
    <w:rsid w:val="004E5AA0"/>
    <w:rsid w:val="004E5B11"/>
    <w:rsid w:val="004E5B39"/>
    <w:rsid w:val="004E5CE3"/>
    <w:rsid w:val="004E5E1A"/>
    <w:rsid w:val="004E603F"/>
    <w:rsid w:val="004E6193"/>
    <w:rsid w:val="004E637E"/>
    <w:rsid w:val="004E63BA"/>
    <w:rsid w:val="004E63DE"/>
    <w:rsid w:val="004E64DB"/>
    <w:rsid w:val="004E65C5"/>
    <w:rsid w:val="004E6803"/>
    <w:rsid w:val="004E689D"/>
    <w:rsid w:val="004E6969"/>
    <w:rsid w:val="004E69CE"/>
    <w:rsid w:val="004E6A34"/>
    <w:rsid w:val="004E6AF2"/>
    <w:rsid w:val="004E6B69"/>
    <w:rsid w:val="004E6B77"/>
    <w:rsid w:val="004E6DF1"/>
    <w:rsid w:val="004E6F27"/>
    <w:rsid w:val="004E6FBC"/>
    <w:rsid w:val="004E6FC8"/>
    <w:rsid w:val="004E7064"/>
    <w:rsid w:val="004E70CE"/>
    <w:rsid w:val="004E711B"/>
    <w:rsid w:val="004E7186"/>
    <w:rsid w:val="004E71AC"/>
    <w:rsid w:val="004E71B5"/>
    <w:rsid w:val="004E7317"/>
    <w:rsid w:val="004E739F"/>
    <w:rsid w:val="004E7639"/>
    <w:rsid w:val="004E77FC"/>
    <w:rsid w:val="004E7822"/>
    <w:rsid w:val="004E788D"/>
    <w:rsid w:val="004E7A17"/>
    <w:rsid w:val="004E7B44"/>
    <w:rsid w:val="004E7CD1"/>
    <w:rsid w:val="004E7F1E"/>
    <w:rsid w:val="004E7F81"/>
    <w:rsid w:val="004F0077"/>
    <w:rsid w:val="004F0221"/>
    <w:rsid w:val="004F025C"/>
    <w:rsid w:val="004F027B"/>
    <w:rsid w:val="004F02EB"/>
    <w:rsid w:val="004F0389"/>
    <w:rsid w:val="004F04A5"/>
    <w:rsid w:val="004F0579"/>
    <w:rsid w:val="004F08F4"/>
    <w:rsid w:val="004F092B"/>
    <w:rsid w:val="004F0A25"/>
    <w:rsid w:val="004F0A53"/>
    <w:rsid w:val="004F0AB8"/>
    <w:rsid w:val="004F0ACC"/>
    <w:rsid w:val="004F0B66"/>
    <w:rsid w:val="004F0C16"/>
    <w:rsid w:val="004F0CBB"/>
    <w:rsid w:val="004F0CEB"/>
    <w:rsid w:val="004F0ED0"/>
    <w:rsid w:val="004F0EFB"/>
    <w:rsid w:val="004F0FDA"/>
    <w:rsid w:val="004F112F"/>
    <w:rsid w:val="004F1259"/>
    <w:rsid w:val="004F152D"/>
    <w:rsid w:val="004F15AF"/>
    <w:rsid w:val="004F1686"/>
    <w:rsid w:val="004F1865"/>
    <w:rsid w:val="004F1994"/>
    <w:rsid w:val="004F1C26"/>
    <w:rsid w:val="004F1C50"/>
    <w:rsid w:val="004F1CA4"/>
    <w:rsid w:val="004F1CBF"/>
    <w:rsid w:val="004F1CF9"/>
    <w:rsid w:val="004F1F74"/>
    <w:rsid w:val="004F219E"/>
    <w:rsid w:val="004F21F1"/>
    <w:rsid w:val="004F2234"/>
    <w:rsid w:val="004F2492"/>
    <w:rsid w:val="004F24BC"/>
    <w:rsid w:val="004F24F2"/>
    <w:rsid w:val="004F2539"/>
    <w:rsid w:val="004F25FA"/>
    <w:rsid w:val="004F2657"/>
    <w:rsid w:val="004F267A"/>
    <w:rsid w:val="004F28F1"/>
    <w:rsid w:val="004F2A88"/>
    <w:rsid w:val="004F2B7F"/>
    <w:rsid w:val="004F2C4F"/>
    <w:rsid w:val="004F2D5C"/>
    <w:rsid w:val="004F31A4"/>
    <w:rsid w:val="004F3248"/>
    <w:rsid w:val="004F3269"/>
    <w:rsid w:val="004F32A3"/>
    <w:rsid w:val="004F3397"/>
    <w:rsid w:val="004F3436"/>
    <w:rsid w:val="004F35A2"/>
    <w:rsid w:val="004F3606"/>
    <w:rsid w:val="004F36A6"/>
    <w:rsid w:val="004F36BB"/>
    <w:rsid w:val="004F3942"/>
    <w:rsid w:val="004F3ADC"/>
    <w:rsid w:val="004F3AFD"/>
    <w:rsid w:val="004F3B1F"/>
    <w:rsid w:val="004F3DB3"/>
    <w:rsid w:val="004F4233"/>
    <w:rsid w:val="004F4296"/>
    <w:rsid w:val="004F42EE"/>
    <w:rsid w:val="004F4319"/>
    <w:rsid w:val="004F4350"/>
    <w:rsid w:val="004F4360"/>
    <w:rsid w:val="004F44BE"/>
    <w:rsid w:val="004F450A"/>
    <w:rsid w:val="004F45C2"/>
    <w:rsid w:val="004F45CD"/>
    <w:rsid w:val="004F470F"/>
    <w:rsid w:val="004F476A"/>
    <w:rsid w:val="004F47B4"/>
    <w:rsid w:val="004F48F7"/>
    <w:rsid w:val="004F4926"/>
    <w:rsid w:val="004F493B"/>
    <w:rsid w:val="004F4954"/>
    <w:rsid w:val="004F4A4B"/>
    <w:rsid w:val="004F4ACE"/>
    <w:rsid w:val="004F4B3E"/>
    <w:rsid w:val="004F4E85"/>
    <w:rsid w:val="004F4FA1"/>
    <w:rsid w:val="004F5097"/>
    <w:rsid w:val="004F50F6"/>
    <w:rsid w:val="004F517F"/>
    <w:rsid w:val="004F5190"/>
    <w:rsid w:val="004F53F5"/>
    <w:rsid w:val="004F53FF"/>
    <w:rsid w:val="004F570F"/>
    <w:rsid w:val="004F57BB"/>
    <w:rsid w:val="004F594F"/>
    <w:rsid w:val="004F59AF"/>
    <w:rsid w:val="004F5B3E"/>
    <w:rsid w:val="004F5DA6"/>
    <w:rsid w:val="004F5F92"/>
    <w:rsid w:val="004F6120"/>
    <w:rsid w:val="004F617F"/>
    <w:rsid w:val="004F62BB"/>
    <w:rsid w:val="004F6542"/>
    <w:rsid w:val="004F666E"/>
    <w:rsid w:val="004F668B"/>
    <w:rsid w:val="004F66FD"/>
    <w:rsid w:val="004F6774"/>
    <w:rsid w:val="004F67DC"/>
    <w:rsid w:val="004F680E"/>
    <w:rsid w:val="004F689D"/>
    <w:rsid w:val="004F696A"/>
    <w:rsid w:val="004F69C6"/>
    <w:rsid w:val="004F6AC1"/>
    <w:rsid w:val="004F6BB6"/>
    <w:rsid w:val="004F6D8B"/>
    <w:rsid w:val="004F6F94"/>
    <w:rsid w:val="004F6FB8"/>
    <w:rsid w:val="004F7082"/>
    <w:rsid w:val="004F70D0"/>
    <w:rsid w:val="004F71A8"/>
    <w:rsid w:val="004F72BE"/>
    <w:rsid w:val="004F73C8"/>
    <w:rsid w:val="004F7413"/>
    <w:rsid w:val="004F7456"/>
    <w:rsid w:val="004F751A"/>
    <w:rsid w:val="004F773C"/>
    <w:rsid w:val="004F7743"/>
    <w:rsid w:val="004F78C8"/>
    <w:rsid w:val="004F78E2"/>
    <w:rsid w:val="004F79F9"/>
    <w:rsid w:val="004F7A46"/>
    <w:rsid w:val="004F7C2F"/>
    <w:rsid w:val="004F7DEA"/>
    <w:rsid w:val="004F7E9C"/>
    <w:rsid w:val="004F7EB4"/>
    <w:rsid w:val="004F7F8E"/>
    <w:rsid w:val="004F7F9B"/>
    <w:rsid w:val="0050001C"/>
    <w:rsid w:val="005000CD"/>
    <w:rsid w:val="005000FF"/>
    <w:rsid w:val="00500228"/>
    <w:rsid w:val="00500246"/>
    <w:rsid w:val="0050043B"/>
    <w:rsid w:val="005004C0"/>
    <w:rsid w:val="005004D1"/>
    <w:rsid w:val="0050099B"/>
    <w:rsid w:val="00500A60"/>
    <w:rsid w:val="00500B21"/>
    <w:rsid w:val="00500BEE"/>
    <w:rsid w:val="00500E94"/>
    <w:rsid w:val="005010FD"/>
    <w:rsid w:val="00501123"/>
    <w:rsid w:val="0050112A"/>
    <w:rsid w:val="0050115C"/>
    <w:rsid w:val="00501168"/>
    <w:rsid w:val="0050117B"/>
    <w:rsid w:val="005011AA"/>
    <w:rsid w:val="005011F1"/>
    <w:rsid w:val="00501372"/>
    <w:rsid w:val="00501511"/>
    <w:rsid w:val="005015CE"/>
    <w:rsid w:val="00501639"/>
    <w:rsid w:val="00501649"/>
    <w:rsid w:val="005017B2"/>
    <w:rsid w:val="00501ED7"/>
    <w:rsid w:val="00501EFF"/>
    <w:rsid w:val="005020D4"/>
    <w:rsid w:val="005022CB"/>
    <w:rsid w:val="00502423"/>
    <w:rsid w:val="0050256F"/>
    <w:rsid w:val="005026FD"/>
    <w:rsid w:val="0050279F"/>
    <w:rsid w:val="00502940"/>
    <w:rsid w:val="00502D6D"/>
    <w:rsid w:val="00502DDA"/>
    <w:rsid w:val="00502E19"/>
    <w:rsid w:val="00502EAA"/>
    <w:rsid w:val="00502ECE"/>
    <w:rsid w:val="00502EEF"/>
    <w:rsid w:val="00502F97"/>
    <w:rsid w:val="00503016"/>
    <w:rsid w:val="00503021"/>
    <w:rsid w:val="00503102"/>
    <w:rsid w:val="005031B0"/>
    <w:rsid w:val="005034C4"/>
    <w:rsid w:val="005035B2"/>
    <w:rsid w:val="00503865"/>
    <w:rsid w:val="005039F8"/>
    <w:rsid w:val="00503AFB"/>
    <w:rsid w:val="00503BA7"/>
    <w:rsid w:val="00503CD4"/>
    <w:rsid w:val="00503DB2"/>
    <w:rsid w:val="00503F58"/>
    <w:rsid w:val="00503F59"/>
    <w:rsid w:val="00504101"/>
    <w:rsid w:val="0050422D"/>
    <w:rsid w:val="005042E7"/>
    <w:rsid w:val="00504419"/>
    <w:rsid w:val="00504519"/>
    <w:rsid w:val="00504537"/>
    <w:rsid w:val="005045B4"/>
    <w:rsid w:val="00504752"/>
    <w:rsid w:val="005047B7"/>
    <w:rsid w:val="00504962"/>
    <w:rsid w:val="00504A88"/>
    <w:rsid w:val="00504C79"/>
    <w:rsid w:val="00504CD1"/>
    <w:rsid w:val="00504D5D"/>
    <w:rsid w:val="00504F0A"/>
    <w:rsid w:val="00505185"/>
    <w:rsid w:val="005051EE"/>
    <w:rsid w:val="0050528F"/>
    <w:rsid w:val="0050535D"/>
    <w:rsid w:val="00505424"/>
    <w:rsid w:val="0050562C"/>
    <w:rsid w:val="005056D6"/>
    <w:rsid w:val="005056E1"/>
    <w:rsid w:val="005056EA"/>
    <w:rsid w:val="0050579A"/>
    <w:rsid w:val="005058BF"/>
    <w:rsid w:val="00505B55"/>
    <w:rsid w:val="00505CAE"/>
    <w:rsid w:val="00505CAF"/>
    <w:rsid w:val="00505E6D"/>
    <w:rsid w:val="00506071"/>
    <w:rsid w:val="00506583"/>
    <w:rsid w:val="00506807"/>
    <w:rsid w:val="0050685A"/>
    <w:rsid w:val="005068B2"/>
    <w:rsid w:val="00506928"/>
    <w:rsid w:val="00506B6D"/>
    <w:rsid w:val="00506BD0"/>
    <w:rsid w:val="00506CFC"/>
    <w:rsid w:val="00506E27"/>
    <w:rsid w:val="00506FD3"/>
    <w:rsid w:val="00507213"/>
    <w:rsid w:val="00507223"/>
    <w:rsid w:val="00507254"/>
    <w:rsid w:val="005076A0"/>
    <w:rsid w:val="00507734"/>
    <w:rsid w:val="005077D9"/>
    <w:rsid w:val="00507975"/>
    <w:rsid w:val="00507CF7"/>
    <w:rsid w:val="00507D55"/>
    <w:rsid w:val="00507E07"/>
    <w:rsid w:val="00507E18"/>
    <w:rsid w:val="00507EDE"/>
    <w:rsid w:val="0051010C"/>
    <w:rsid w:val="0051020B"/>
    <w:rsid w:val="005102BC"/>
    <w:rsid w:val="0051034C"/>
    <w:rsid w:val="00510382"/>
    <w:rsid w:val="0051039E"/>
    <w:rsid w:val="0051046E"/>
    <w:rsid w:val="00510500"/>
    <w:rsid w:val="00510604"/>
    <w:rsid w:val="005106A0"/>
    <w:rsid w:val="00510834"/>
    <w:rsid w:val="00510BFD"/>
    <w:rsid w:val="00510CCF"/>
    <w:rsid w:val="00510CE4"/>
    <w:rsid w:val="00510D25"/>
    <w:rsid w:val="00510EEE"/>
    <w:rsid w:val="00510F4C"/>
    <w:rsid w:val="00511051"/>
    <w:rsid w:val="005110B4"/>
    <w:rsid w:val="0051115B"/>
    <w:rsid w:val="00511611"/>
    <w:rsid w:val="0051162E"/>
    <w:rsid w:val="005116B3"/>
    <w:rsid w:val="00511706"/>
    <w:rsid w:val="0051195A"/>
    <w:rsid w:val="00511A5E"/>
    <w:rsid w:val="00511AA7"/>
    <w:rsid w:val="00511AE5"/>
    <w:rsid w:val="00511B0F"/>
    <w:rsid w:val="00511D0D"/>
    <w:rsid w:val="00511F24"/>
    <w:rsid w:val="00511FF5"/>
    <w:rsid w:val="0051208C"/>
    <w:rsid w:val="00512241"/>
    <w:rsid w:val="00512409"/>
    <w:rsid w:val="0051240B"/>
    <w:rsid w:val="0051248E"/>
    <w:rsid w:val="005124AB"/>
    <w:rsid w:val="005124CC"/>
    <w:rsid w:val="005124F0"/>
    <w:rsid w:val="0051254A"/>
    <w:rsid w:val="00512660"/>
    <w:rsid w:val="0051270D"/>
    <w:rsid w:val="0051271B"/>
    <w:rsid w:val="0051274A"/>
    <w:rsid w:val="005128EB"/>
    <w:rsid w:val="00512938"/>
    <w:rsid w:val="005129B3"/>
    <w:rsid w:val="00512AAD"/>
    <w:rsid w:val="00512D23"/>
    <w:rsid w:val="00512F78"/>
    <w:rsid w:val="00512FA2"/>
    <w:rsid w:val="00512FCF"/>
    <w:rsid w:val="0051308B"/>
    <w:rsid w:val="005131B7"/>
    <w:rsid w:val="005132DB"/>
    <w:rsid w:val="0051332B"/>
    <w:rsid w:val="00513396"/>
    <w:rsid w:val="005133F3"/>
    <w:rsid w:val="0051344A"/>
    <w:rsid w:val="00513559"/>
    <w:rsid w:val="005135AC"/>
    <w:rsid w:val="00513706"/>
    <w:rsid w:val="005137D6"/>
    <w:rsid w:val="00513986"/>
    <w:rsid w:val="00513ABC"/>
    <w:rsid w:val="00513B1B"/>
    <w:rsid w:val="00513BE8"/>
    <w:rsid w:val="00513DB3"/>
    <w:rsid w:val="00513E4A"/>
    <w:rsid w:val="00513E6C"/>
    <w:rsid w:val="00513EFC"/>
    <w:rsid w:val="0051407F"/>
    <w:rsid w:val="00514098"/>
    <w:rsid w:val="005140EB"/>
    <w:rsid w:val="00514129"/>
    <w:rsid w:val="005141EE"/>
    <w:rsid w:val="005143BC"/>
    <w:rsid w:val="005144B1"/>
    <w:rsid w:val="00514665"/>
    <w:rsid w:val="00514702"/>
    <w:rsid w:val="005147BE"/>
    <w:rsid w:val="0051483A"/>
    <w:rsid w:val="005148A1"/>
    <w:rsid w:val="00514D71"/>
    <w:rsid w:val="00514D8D"/>
    <w:rsid w:val="00514EB3"/>
    <w:rsid w:val="00514EB7"/>
    <w:rsid w:val="005153FA"/>
    <w:rsid w:val="0051543D"/>
    <w:rsid w:val="005155F2"/>
    <w:rsid w:val="005158E3"/>
    <w:rsid w:val="00515997"/>
    <w:rsid w:val="005159C0"/>
    <w:rsid w:val="005159CD"/>
    <w:rsid w:val="00515B23"/>
    <w:rsid w:val="00515C0B"/>
    <w:rsid w:val="00515D32"/>
    <w:rsid w:val="00515D69"/>
    <w:rsid w:val="00515D7E"/>
    <w:rsid w:val="00515D8C"/>
    <w:rsid w:val="0051604C"/>
    <w:rsid w:val="00516091"/>
    <w:rsid w:val="005160D4"/>
    <w:rsid w:val="005161CC"/>
    <w:rsid w:val="005161F1"/>
    <w:rsid w:val="0051625D"/>
    <w:rsid w:val="00516264"/>
    <w:rsid w:val="00516484"/>
    <w:rsid w:val="00516485"/>
    <w:rsid w:val="005166EF"/>
    <w:rsid w:val="0051678F"/>
    <w:rsid w:val="00516975"/>
    <w:rsid w:val="005169BD"/>
    <w:rsid w:val="00516B07"/>
    <w:rsid w:val="00516BCF"/>
    <w:rsid w:val="00516BD8"/>
    <w:rsid w:val="00516C1A"/>
    <w:rsid w:val="00516C32"/>
    <w:rsid w:val="00516C53"/>
    <w:rsid w:val="00516D85"/>
    <w:rsid w:val="00516D94"/>
    <w:rsid w:val="00516F08"/>
    <w:rsid w:val="00516F33"/>
    <w:rsid w:val="00517149"/>
    <w:rsid w:val="00517176"/>
    <w:rsid w:val="00517418"/>
    <w:rsid w:val="00517448"/>
    <w:rsid w:val="0051756A"/>
    <w:rsid w:val="0051768E"/>
    <w:rsid w:val="00517836"/>
    <w:rsid w:val="0051792F"/>
    <w:rsid w:val="005200A0"/>
    <w:rsid w:val="005200AC"/>
    <w:rsid w:val="005200D9"/>
    <w:rsid w:val="0052057A"/>
    <w:rsid w:val="005205A3"/>
    <w:rsid w:val="0052061B"/>
    <w:rsid w:val="00520691"/>
    <w:rsid w:val="00520C1E"/>
    <w:rsid w:val="00520EBE"/>
    <w:rsid w:val="00520F06"/>
    <w:rsid w:val="00520F79"/>
    <w:rsid w:val="0052112F"/>
    <w:rsid w:val="0052122F"/>
    <w:rsid w:val="0052145C"/>
    <w:rsid w:val="00521657"/>
    <w:rsid w:val="005216A1"/>
    <w:rsid w:val="005219FB"/>
    <w:rsid w:val="00521AF1"/>
    <w:rsid w:val="00521B4A"/>
    <w:rsid w:val="00521BEF"/>
    <w:rsid w:val="00521D30"/>
    <w:rsid w:val="00521D68"/>
    <w:rsid w:val="0052208F"/>
    <w:rsid w:val="005220B5"/>
    <w:rsid w:val="00522153"/>
    <w:rsid w:val="0052217E"/>
    <w:rsid w:val="005221BB"/>
    <w:rsid w:val="005221FE"/>
    <w:rsid w:val="00522248"/>
    <w:rsid w:val="005222FC"/>
    <w:rsid w:val="00522369"/>
    <w:rsid w:val="00522389"/>
    <w:rsid w:val="005224BD"/>
    <w:rsid w:val="00522532"/>
    <w:rsid w:val="005226FC"/>
    <w:rsid w:val="00522965"/>
    <w:rsid w:val="00522B49"/>
    <w:rsid w:val="00522D71"/>
    <w:rsid w:val="00522F12"/>
    <w:rsid w:val="00522FB4"/>
    <w:rsid w:val="005230E1"/>
    <w:rsid w:val="005231DB"/>
    <w:rsid w:val="005232BB"/>
    <w:rsid w:val="0052330B"/>
    <w:rsid w:val="00523456"/>
    <w:rsid w:val="0052382A"/>
    <w:rsid w:val="005238DB"/>
    <w:rsid w:val="00523918"/>
    <w:rsid w:val="0052392F"/>
    <w:rsid w:val="00523990"/>
    <w:rsid w:val="00523A76"/>
    <w:rsid w:val="00523AB0"/>
    <w:rsid w:val="00523B10"/>
    <w:rsid w:val="00523B4F"/>
    <w:rsid w:val="00523C07"/>
    <w:rsid w:val="00523CCC"/>
    <w:rsid w:val="00523E94"/>
    <w:rsid w:val="00523F96"/>
    <w:rsid w:val="0052408E"/>
    <w:rsid w:val="00524130"/>
    <w:rsid w:val="00524227"/>
    <w:rsid w:val="005243F6"/>
    <w:rsid w:val="00524454"/>
    <w:rsid w:val="005244DA"/>
    <w:rsid w:val="005245E3"/>
    <w:rsid w:val="00524691"/>
    <w:rsid w:val="0052489B"/>
    <w:rsid w:val="005248B7"/>
    <w:rsid w:val="005248B9"/>
    <w:rsid w:val="00524BC8"/>
    <w:rsid w:val="00524BFD"/>
    <w:rsid w:val="00524CBF"/>
    <w:rsid w:val="00524CD0"/>
    <w:rsid w:val="00524FB4"/>
    <w:rsid w:val="005251AC"/>
    <w:rsid w:val="0052531E"/>
    <w:rsid w:val="005253CD"/>
    <w:rsid w:val="00525417"/>
    <w:rsid w:val="0052550C"/>
    <w:rsid w:val="00525569"/>
    <w:rsid w:val="0052561F"/>
    <w:rsid w:val="00525665"/>
    <w:rsid w:val="00525754"/>
    <w:rsid w:val="00525817"/>
    <w:rsid w:val="00525936"/>
    <w:rsid w:val="00525BC2"/>
    <w:rsid w:val="00525C5B"/>
    <w:rsid w:val="00525D08"/>
    <w:rsid w:val="00525D66"/>
    <w:rsid w:val="00525DE3"/>
    <w:rsid w:val="005260A9"/>
    <w:rsid w:val="005260C1"/>
    <w:rsid w:val="005261EE"/>
    <w:rsid w:val="00526334"/>
    <w:rsid w:val="00526354"/>
    <w:rsid w:val="00526503"/>
    <w:rsid w:val="00526518"/>
    <w:rsid w:val="00526541"/>
    <w:rsid w:val="00526585"/>
    <w:rsid w:val="00526863"/>
    <w:rsid w:val="00526AC6"/>
    <w:rsid w:val="00526D31"/>
    <w:rsid w:val="00526D49"/>
    <w:rsid w:val="00526F35"/>
    <w:rsid w:val="00526F74"/>
    <w:rsid w:val="005270EA"/>
    <w:rsid w:val="005270F9"/>
    <w:rsid w:val="00527181"/>
    <w:rsid w:val="00527192"/>
    <w:rsid w:val="0052768E"/>
    <w:rsid w:val="0052791B"/>
    <w:rsid w:val="00527DBC"/>
    <w:rsid w:val="00527E02"/>
    <w:rsid w:val="005300CF"/>
    <w:rsid w:val="00530187"/>
    <w:rsid w:val="0053021D"/>
    <w:rsid w:val="005305EC"/>
    <w:rsid w:val="005306AC"/>
    <w:rsid w:val="00530803"/>
    <w:rsid w:val="005308A4"/>
    <w:rsid w:val="00530978"/>
    <w:rsid w:val="00530A14"/>
    <w:rsid w:val="00530A35"/>
    <w:rsid w:val="00530AF5"/>
    <w:rsid w:val="00530BA3"/>
    <w:rsid w:val="00530C53"/>
    <w:rsid w:val="00530CF5"/>
    <w:rsid w:val="00530DA7"/>
    <w:rsid w:val="00530DE7"/>
    <w:rsid w:val="00530FD3"/>
    <w:rsid w:val="00531063"/>
    <w:rsid w:val="00531078"/>
    <w:rsid w:val="00531084"/>
    <w:rsid w:val="005313B0"/>
    <w:rsid w:val="0053148F"/>
    <w:rsid w:val="005314B0"/>
    <w:rsid w:val="005315D5"/>
    <w:rsid w:val="00531637"/>
    <w:rsid w:val="005316D1"/>
    <w:rsid w:val="005316EB"/>
    <w:rsid w:val="005316F4"/>
    <w:rsid w:val="0053172F"/>
    <w:rsid w:val="005318B4"/>
    <w:rsid w:val="00531B04"/>
    <w:rsid w:val="00531B44"/>
    <w:rsid w:val="00531B9B"/>
    <w:rsid w:val="00531C79"/>
    <w:rsid w:val="00531D22"/>
    <w:rsid w:val="00531D3D"/>
    <w:rsid w:val="00531E5A"/>
    <w:rsid w:val="005320BC"/>
    <w:rsid w:val="00532110"/>
    <w:rsid w:val="00532118"/>
    <w:rsid w:val="005321D9"/>
    <w:rsid w:val="0053221E"/>
    <w:rsid w:val="005323C0"/>
    <w:rsid w:val="005325F0"/>
    <w:rsid w:val="00532636"/>
    <w:rsid w:val="00532756"/>
    <w:rsid w:val="005327DA"/>
    <w:rsid w:val="005329A1"/>
    <w:rsid w:val="00532D31"/>
    <w:rsid w:val="00532E13"/>
    <w:rsid w:val="005330C5"/>
    <w:rsid w:val="00533270"/>
    <w:rsid w:val="00533288"/>
    <w:rsid w:val="005332A2"/>
    <w:rsid w:val="005332B5"/>
    <w:rsid w:val="005333A9"/>
    <w:rsid w:val="005334B9"/>
    <w:rsid w:val="0053392F"/>
    <w:rsid w:val="00533965"/>
    <w:rsid w:val="005339AA"/>
    <w:rsid w:val="00533B14"/>
    <w:rsid w:val="00533C4E"/>
    <w:rsid w:val="00533CD9"/>
    <w:rsid w:val="00533CFE"/>
    <w:rsid w:val="00533E37"/>
    <w:rsid w:val="00533E78"/>
    <w:rsid w:val="00533F7D"/>
    <w:rsid w:val="00533F91"/>
    <w:rsid w:val="0053414B"/>
    <w:rsid w:val="005345D2"/>
    <w:rsid w:val="00534619"/>
    <w:rsid w:val="0053461F"/>
    <w:rsid w:val="0053463E"/>
    <w:rsid w:val="00534728"/>
    <w:rsid w:val="0053478A"/>
    <w:rsid w:val="005347DC"/>
    <w:rsid w:val="005348AE"/>
    <w:rsid w:val="00534934"/>
    <w:rsid w:val="005349D1"/>
    <w:rsid w:val="00534D92"/>
    <w:rsid w:val="00534F5E"/>
    <w:rsid w:val="00534F6D"/>
    <w:rsid w:val="00534F74"/>
    <w:rsid w:val="00535047"/>
    <w:rsid w:val="005350BF"/>
    <w:rsid w:val="005351B6"/>
    <w:rsid w:val="0053540F"/>
    <w:rsid w:val="005355A6"/>
    <w:rsid w:val="0053565E"/>
    <w:rsid w:val="0053565F"/>
    <w:rsid w:val="005356D4"/>
    <w:rsid w:val="005358C2"/>
    <w:rsid w:val="00535971"/>
    <w:rsid w:val="00535AA6"/>
    <w:rsid w:val="00535AFC"/>
    <w:rsid w:val="00535BA3"/>
    <w:rsid w:val="00535C5F"/>
    <w:rsid w:val="00535D2F"/>
    <w:rsid w:val="00535D39"/>
    <w:rsid w:val="00535F61"/>
    <w:rsid w:val="005360ED"/>
    <w:rsid w:val="0053618B"/>
    <w:rsid w:val="005362D7"/>
    <w:rsid w:val="005363D6"/>
    <w:rsid w:val="005364A6"/>
    <w:rsid w:val="00536605"/>
    <w:rsid w:val="0053669C"/>
    <w:rsid w:val="00536836"/>
    <w:rsid w:val="005368A0"/>
    <w:rsid w:val="005368BC"/>
    <w:rsid w:val="00536A5D"/>
    <w:rsid w:val="00536AB8"/>
    <w:rsid w:val="00536AD3"/>
    <w:rsid w:val="00536CC9"/>
    <w:rsid w:val="0053703A"/>
    <w:rsid w:val="00537295"/>
    <w:rsid w:val="005373FC"/>
    <w:rsid w:val="00537489"/>
    <w:rsid w:val="005374F4"/>
    <w:rsid w:val="005376C7"/>
    <w:rsid w:val="00537921"/>
    <w:rsid w:val="005379EE"/>
    <w:rsid w:val="00537ABA"/>
    <w:rsid w:val="00537DAD"/>
    <w:rsid w:val="0054065C"/>
    <w:rsid w:val="005406C1"/>
    <w:rsid w:val="00540701"/>
    <w:rsid w:val="0054076B"/>
    <w:rsid w:val="0054095A"/>
    <w:rsid w:val="00540BF5"/>
    <w:rsid w:val="00540C12"/>
    <w:rsid w:val="00540C6F"/>
    <w:rsid w:val="00541094"/>
    <w:rsid w:val="005410BE"/>
    <w:rsid w:val="0054120C"/>
    <w:rsid w:val="00541357"/>
    <w:rsid w:val="00541508"/>
    <w:rsid w:val="0054160B"/>
    <w:rsid w:val="005416F8"/>
    <w:rsid w:val="005417D3"/>
    <w:rsid w:val="00541AF1"/>
    <w:rsid w:val="00541C99"/>
    <w:rsid w:val="00542121"/>
    <w:rsid w:val="005421F3"/>
    <w:rsid w:val="00542415"/>
    <w:rsid w:val="00542431"/>
    <w:rsid w:val="00542460"/>
    <w:rsid w:val="00542505"/>
    <w:rsid w:val="005425A8"/>
    <w:rsid w:val="0054261E"/>
    <w:rsid w:val="005427AC"/>
    <w:rsid w:val="00542A28"/>
    <w:rsid w:val="00542A2A"/>
    <w:rsid w:val="00542B30"/>
    <w:rsid w:val="00542B5D"/>
    <w:rsid w:val="00542B87"/>
    <w:rsid w:val="00542C99"/>
    <w:rsid w:val="00542D9E"/>
    <w:rsid w:val="00542E3A"/>
    <w:rsid w:val="00542E58"/>
    <w:rsid w:val="00542EE0"/>
    <w:rsid w:val="00542F0A"/>
    <w:rsid w:val="0054305A"/>
    <w:rsid w:val="0054305E"/>
    <w:rsid w:val="005430E2"/>
    <w:rsid w:val="0054327A"/>
    <w:rsid w:val="00543334"/>
    <w:rsid w:val="005433D0"/>
    <w:rsid w:val="005435F1"/>
    <w:rsid w:val="00543673"/>
    <w:rsid w:val="005436D7"/>
    <w:rsid w:val="005439B7"/>
    <w:rsid w:val="005439C6"/>
    <w:rsid w:val="00543A04"/>
    <w:rsid w:val="00543BA8"/>
    <w:rsid w:val="00543BC3"/>
    <w:rsid w:val="00543E72"/>
    <w:rsid w:val="00543E8A"/>
    <w:rsid w:val="0054422A"/>
    <w:rsid w:val="005442FC"/>
    <w:rsid w:val="005445DF"/>
    <w:rsid w:val="005446A8"/>
    <w:rsid w:val="005446F5"/>
    <w:rsid w:val="0054481A"/>
    <w:rsid w:val="0054491F"/>
    <w:rsid w:val="00544B6C"/>
    <w:rsid w:val="00544BCE"/>
    <w:rsid w:val="00544CE1"/>
    <w:rsid w:val="00544DB3"/>
    <w:rsid w:val="00544FE0"/>
    <w:rsid w:val="005450E4"/>
    <w:rsid w:val="005452C2"/>
    <w:rsid w:val="00545444"/>
    <w:rsid w:val="00545472"/>
    <w:rsid w:val="00545512"/>
    <w:rsid w:val="0054585A"/>
    <w:rsid w:val="00545C83"/>
    <w:rsid w:val="00545D19"/>
    <w:rsid w:val="00545D49"/>
    <w:rsid w:val="00545D92"/>
    <w:rsid w:val="00545E44"/>
    <w:rsid w:val="00545EBD"/>
    <w:rsid w:val="00545FE8"/>
    <w:rsid w:val="00546064"/>
    <w:rsid w:val="005460FE"/>
    <w:rsid w:val="00546362"/>
    <w:rsid w:val="005463E9"/>
    <w:rsid w:val="0054655B"/>
    <w:rsid w:val="005465F6"/>
    <w:rsid w:val="0054670D"/>
    <w:rsid w:val="00546775"/>
    <w:rsid w:val="00546A9E"/>
    <w:rsid w:val="00546B88"/>
    <w:rsid w:val="00546DBF"/>
    <w:rsid w:val="00546DD0"/>
    <w:rsid w:val="00546DEA"/>
    <w:rsid w:val="00546E1B"/>
    <w:rsid w:val="005471A0"/>
    <w:rsid w:val="005471ED"/>
    <w:rsid w:val="005472F2"/>
    <w:rsid w:val="005474B8"/>
    <w:rsid w:val="0054751F"/>
    <w:rsid w:val="00547607"/>
    <w:rsid w:val="00547671"/>
    <w:rsid w:val="00547736"/>
    <w:rsid w:val="00547BDB"/>
    <w:rsid w:val="00547DEC"/>
    <w:rsid w:val="00547E59"/>
    <w:rsid w:val="005501E8"/>
    <w:rsid w:val="00550327"/>
    <w:rsid w:val="00550408"/>
    <w:rsid w:val="00550486"/>
    <w:rsid w:val="005505DE"/>
    <w:rsid w:val="00550709"/>
    <w:rsid w:val="005507B3"/>
    <w:rsid w:val="00550844"/>
    <w:rsid w:val="00550BE6"/>
    <w:rsid w:val="00550CC0"/>
    <w:rsid w:val="00550EB8"/>
    <w:rsid w:val="00550EDF"/>
    <w:rsid w:val="00551196"/>
    <w:rsid w:val="005512AF"/>
    <w:rsid w:val="0055132C"/>
    <w:rsid w:val="00551348"/>
    <w:rsid w:val="00551418"/>
    <w:rsid w:val="0055145A"/>
    <w:rsid w:val="00551493"/>
    <w:rsid w:val="00551580"/>
    <w:rsid w:val="00551635"/>
    <w:rsid w:val="00551659"/>
    <w:rsid w:val="00551852"/>
    <w:rsid w:val="00551984"/>
    <w:rsid w:val="005519B1"/>
    <w:rsid w:val="00551A4D"/>
    <w:rsid w:val="00551C62"/>
    <w:rsid w:val="00551E50"/>
    <w:rsid w:val="00551F6C"/>
    <w:rsid w:val="00551F95"/>
    <w:rsid w:val="0055200F"/>
    <w:rsid w:val="0055210D"/>
    <w:rsid w:val="005521D0"/>
    <w:rsid w:val="005521D7"/>
    <w:rsid w:val="005523EA"/>
    <w:rsid w:val="00552515"/>
    <w:rsid w:val="0055258D"/>
    <w:rsid w:val="00552852"/>
    <w:rsid w:val="0055292C"/>
    <w:rsid w:val="0055295E"/>
    <w:rsid w:val="00552AAE"/>
    <w:rsid w:val="00552BA6"/>
    <w:rsid w:val="00552CD5"/>
    <w:rsid w:val="00552F84"/>
    <w:rsid w:val="00553020"/>
    <w:rsid w:val="00553173"/>
    <w:rsid w:val="005531EA"/>
    <w:rsid w:val="005534D2"/>
    <w:rsid w:val="00553659"/>
    <w:rsid w:val="00553763"/>
    <w:rsid w:val="005537B5"/>
    <w:rsid w:val="00553860"/>
    <w:rsid w:val="00553919"/>
    <w:rsid w:val="00553B70"/>
    <w:rsid w:val="00553E9B"/>
    <w:rsid w:val="00553F65"/>
    <w:rsid w:val="00554038"/>
    <w:rsid w:val="005540AD"/>
    <w:rsid w:val="00554139"/>
    <w:rsid w:val="0055418A"/>
    <w:rsid w:val="005541A8"/>
    <w:rsid w:val="00554246"/>
    <w:rsid w:val="005543CA"/>
    <w:rsid w:val="00554537"/>
    <w:rsid w:val="005545D5"/>
    <w:rsid w:val="00554627"/>
    <w:rsid w:val="00554692"/>
    <w:rsid w:val="00554734"/>
    <w:rsid w:val="00554931"/>
    <w:rsid w:val="00554A19"/>
    <w:rsid w:val="00554A5C"/>
    <w:rsid w:val="00554C88"/>
    <w:rsid w:val="00554E94"/>
    <w:rsid w:val="00554FF8"/>
    <w:rsid w:val="00555040"/>
    <w:rsid w:val="005550FF"/>
    <w:rsid w:val="0055528A"/>
    <w:rsid w:val="005552AB"/>
    <w:rsid w:val="005553A8"/>
    <w:rsid w:val="00555459"/>
    <w:rsid w:val="005555CE"/>
    <w:rsid w:val="005555E6"/>
    <w:rsid w:val="00555726"/>
    <w:rsid w:val="00555862"/>
    <w:rsid w:val="00555A06"/>
    <w:rsid w:val="00555A49"/>
    <w:rsid w:val="00555EB7"/>
    <w:rsid w:val="00555EE3"/>
    <w:rsid w:val="005560FA"/>
    <w:rsid w:val="005561B0"/>
    <w:rsid w:val="00556272"/>
    <w:rsid w:val="005562A1"/>
    <w:rsid w:val="005562A7"/>
    <w:rsid w:val="005562FD"/>
    <w:rsid w:val="00556307"/>
    <w:rsid w:val="005564D3"/>
    <w:rsid w:val="0055653E"/>
    <w:rsid w:val="005567FB"/>
    <w:rsid w:val="00556A2F"/>
    <w:rsid w:val="00556D31"/>
    <w:rsid w:val="00556D4B"/>
    <w:rsid w:val="00556D62"/>
    <w:rsid w:val="00556FB8"/>
    <w:rsid w:val="0055713E"/>
    <w:rsid w:val="00557193"/>
    <w:rsid w:val="005573E4"/>
    <w:rsid w:val="005574C3"/>
    <w:rsid w:val="00557516"/>
    <w:rsid w:val="0055763D"/>
    <w:rsid w:val="005576BA"/>
    <w:rsid w:val="005577BE"/>
    <w:rsid w:val="00557A06"/>
    <w:rsid w:val="00557CCC"/>
    <w:rsid w:val="00560005"/>
    <w:rsid w:val="00560063"/>
    <w:rsid w:val="0056008A"/>
    <w:rsid w:val="0056009B"/>
    <w:rsid w:val="00560384"/>
    <w:rsid w:val="0056061B"/>
    <w:rsid w:val="005606C4"/>
    <w:rsid w:val="00560769"/>
    <w:rsid w:val="005607F1"/>
    <w:rsid w:val="00560864"/>
    <w:rsid w:val="005608D3"/>
    <w:rsid w:val="0056095C"/>
    <w:rsid w:val="00560D94"/>
    <w:rsid w:val="00560DDB"/>
    <w:rsid w:val="00560DDF"/>
    <w:rsid w:val="00561103"/>
    <w:rsid w:val="005611C4"/>
    <w:rsid w:val="0056139C"/>
    <w:rsid w:val="0056149D"/>
    <w:rsid w:val="005615A2"/>
    <w:rsid w:val="005615A3"/>
    <w:rsid w:val="005615C4"/>
    <w:rsid w:val="0056172D"/>
    <w:rsid w:val="005617D3"/>
    <w:rsid w:val="00561835"/>
    <w:rsid w:val="005618C8"/>
    <w:rsid w:val="005618D7"/>
    <w:rsid w:val="00561A4B"/>
    <w:rsid w:val="00561C55"/>
    <w:rsid w:val="00561D11"/>
    <w:rsid w:val="005620D5"/>
    <w:rsid w:val="005621F2"/>
    <w:rsid w:val="00562432"/>
    <w:rsid w:val="00562471"/>
    <w:rsid w:val="005624D5"/>
    <w:rsid w:val="0056253B"/>
    <w:rsid w:val="00562553"/>
    <w:rsid w:val="00562561"/>
    <w:rsid w:val="005626CF"/>
    <w:rsid w:val="005628D2"/>
    <w:rsid w:val="00562944"/>
    <w:rsid w:val="00562CC7"/>
    <w:rsid w:val="00562CCD"/>
    <w:rsid w:val="00562DB0"/>
    <w:rsid w:val="00562FBC"/>
    <w:rsid w:val="00563021"/>
    <w:rsid w:val="005630A0"/>
    <w:rsid w:val="005630B4"/>
    <w:rsid w:val="005630E2"/>
    <w:rsid w:val="0056329B"/>
    <w:rsid w:val="005634D8"/>
    <w:rsid w:val="00563719"/>
    <w:rsid w:val="00563828"/>
    <w:rsid w:val="00563884"/>
    <w:rsid w:val="005638BC"/>
    <w:rsid w:val="005639A5"/>
    <w:rsid w:val="005639C2"/>
    <w:rsid w:val="00563A54"/>
    <w:rsid w:val="00563BC4"/>
    <w:rsid w:val="00563BF5"/>
    <w:rsid w:val="00563C57"/>
    <w:rsid w:val="00563C6F"/>
    <w:rsid w:val="00563D7E"/>
    <w:rsid w:val="00563DC9"/>
    <w:rsid w:val="00563F46"/>
    <w:rsid w:val="0056409C"/>
    <w:rsid w:val="005640AE"/>
    <w:rsid w:val="005640F5"/>
    <w:rsid w:val="00564438"/>
    <w:rsid w:val="00564504"/>
    <w:rsid w:val="005645A4"/>
    <w:rsid w:val="00564607"/>
    <w:rsid w:val="00564769"/>
    <w:rsid w:val="005647B2"/>
    <w:rsid w:val="005647EA"/>
    <w:rsid w:val="00564809"/>
    <w:rsid w:val="005648DD"/>
    <w:rsid w:val="005648F0"/>
    <w:rsid w:val="00564EB2"/>
    <w:rsid w:val="00564F21"/>
    <w:rsid w:val="00565480"/>
    <w:rsid w:val="00565501"/>
    <w:rsid w:val="005655DE"/>
    <w:rsid w:val="0056566D"/>
    <w:rsid w:val="0056571C"/>
    <w:rsid w:val="005658FD"/>
    <w:rsid w:val="00565938"/>
    <w:rsid w:val="00565F68"/>
    <w:rsid w:val="0056602F"/>
    <w:rsid w:val="005661F0"/>
    <w:rsid w:val="005663A3"/>
    <w:rsid w:val="005664AF"/>
    <w:rsid w:val="005664FA"/>
    <w:rsid w:val="0056654A"/>
    <w:rsid w:val="0056673E"/>
    <w:rsid w:val="005667B1"/>
    <w:rsid w:val="0056696E"/>
    <w:rsid w:val="00566A17"/>
    <w:rsid w:val="00566BEF"/>
    <w:rsid w:val="00566C0B"/>
    <w:rsid w:val="00566E14"/>
    <w:rsid w:val="00566EF2"/>
    <w:rsid w:val="00566FC1"/>
    <w:rsid w:val="0056713D"/>
    <w:rsid w:val="00567174"/>
    <w:rsid w:val="005671A7"/>
    <w:rsid w:val="0056742A"/>
    <w:rsid w:val="005675AF"/>
    <w:rsid w:val="00567632"/>
    <w:rsid w:val="005676B5"/>
    <w:rsid w:val="005676DE"/>
    <w:rsid w:val="005676EB"/>
    <w:rsid w:val="00567736"/>
    <w:rsid w:val="005677F0"/>
    <w:rsid w:val="00567AF1"/>
    <w:rsid w:val="00567CCF"/>
    <w:rsid w:val="00567E0F"/>
    <w:rsid w:val="005700C5"/>
    <w:rsid w:val="00570214"/>
    <w:rsid w:val="00570231"/>
    <w:rsid w:val="00570276"/>
    <w:rsid w:val="005702A8"/>
    <w:rsid w:val="00570409"/>
    <w:rsid w:val="0057052F"/>
    <w:rsid w:val="00570554"/>
    <w:rsid w:val="0057068B"/>
    <w:rsid w:val="005709E1"/>
    <w:rsid w:val="005709F5"/>
    <w:rsid w:val="00570C9D"/>
    <w:rsid w:val="00570F54"/>
    <w:rsid w:val="00571073"/>
    <w:rsid w:val="005710DC"/>
    <w:rsid w:val="005711B3"/>
    <w:rsid w:val="0057133E"/>
    <w:rsid w:val="00571382"/>
    <w:rsid w:val="00571668"/>
    <w:rsid w:val="005716EE"/>
    <w:rsid w:val="005717F6"/>
    <w:rsid w:val="00571A3F"/>
    <w:rsid w:val="00571A6F"/>
    <w:rsid w:val="00571CC3"/>
    <w:rsid w:val="00571EAC"/>
    <w:rsid w:val="00571EF8"/>
    <w:rsid w:val="00571F91"/>
    <w:rsid w:val="0057213F"/>
    <w:rsid w:val="00572387"/>
    <w:rsid w:val="005725BB"/>
    <w:rsid w:val="005727CE"/>
    <w:rsid w:val="00572980"/>
    <w:rsid w:val="0057299E"/>
    <w:rsid w:val="00572B36"/>
    <w:rsid w:val="00572C94"/>
    <w:rsid w:val="00572D36"/>
    <w:rsid w:val="00572D83"/>
    <w:rsid w:val="00572E03"/>
    <w:rsid w:val="00572E3C"/>
    <w:rsid w:val="00572F05"/>
    <w:rsid w:val="00573133"/>
    <w:rsid w:val="00573138"/>
    <w:rsid w:val="0057315B"/>
    <w:rsid w:val="00573245"/>
    <w:rsid w:val="005732E4"/>
    <w:rsid w:val="00573437"/>
    <w:rsid w:val="00573556"/>
    <w:rsid w:val="005735D6"/>
    <w:rsid w:val="0057370D"/>
    <w:rsid w:val="00573745"/>
    <w:rsid w:val="0057375A"/>
    <w:rsid w:val="005737C8"/>
    <w:rsid w:val="00573901"/>
    <w:rsid w:val="0057391B"/>
    <w:rsid w:val="0057394C"/>
    <w:rsid w:val="00573B23"/>
    <w:rsid w:val="00573B68"/>
    <w:rsid w:val="00573C00"/>
    <w:rsid w:val="00573C43"/>
    <w:rsid w:val="00573C5E"/>
    <w:rsid w:val="00573D2F"/>
    <w:rsid w:val="00573D8A"/>
    <w:rsid w:val="00573E21"/>
    <w:rsid w:val="00573EA0"/>
    <w:rsid w:val="00573F16"/>
    <w:rsid w:val="00573FD8"/>
    <w:rsid w:val="00574039"/>
    <w:rsid w:val="00574049"/>
    <w:rsid w:val="00574175"/>
    <w:rsid w:val="0057421B"/>
    <w:rsid w:val="005742D5"/>
    <w:rsid w:val="005743E6"/>
    <w:rsid w:val="00574A13"/>
    <w:rsid w:val="00574B20"/>
    <w:rsid w:val="00574B33"/>
    <w:rsid w:val="00574BE0"/>
    <w:rsid w:val="00574F97"/>
    <w:rsid w:val="00574FE3"/>
    <w:rsid w:val="0057518A"/>
    <w:rsid w:val="005752F5"/>
    <w:rsid w:val="00575589"/>
    <w:rsid w:val="00575644"/>
    <w:rsid w:val="0057574F"/>
    <w:rsid w:val="00575750"/>
    <w:rsid w:val="00575994"/>
    <w:rsid w:val="00575BC7"/>
    <w:rsid w:val="00575D8C"/>
    <w:rsid w:val="00575E39"/>
    <w:rsid w:val="00575E56"/>
    <w:rsid w:val="00575F91"/>
    <w:rsid w:val="0057643A"/>
    <w:rsid w:val="005764F9"/>
    <w:rsid w:val="0057653A"/>
    <w:rsid w:val="0057691D"/>
    <w:rsid w:val="00576BA9"/>
    <w:rsid w:val="00576E12"/>
    <w:rsid w:val="00576EF8"/>
    <w:rsid w:val="00576F82"/>
    <w:rsid w:val="0057722E"/>
    <w:rsid w:val="0057724F"/>
    <w:rsid w:val="00577598"/>
    <w:rsid w:val="0057778C"/>
    <w:rsid w:val="005777EF"/>
    <w:rsid w:val="005778F8"/>
    <w:rsid w:val="00577980"/>
    <w:rsid w:val="00577A12"/>
    <w:rsid w:val="00577A99"/>
    <w:rsid w:val="00577B0E"/>
    <w:rsid w:val="00577C41"/>
    <w:rsid w:val="00577CDC"/>
    <w:rsid w:val="00577F2D"/>
    <w:rsid w:val="005800FB"/>
    <w:rsid w:val="00580347"/>
    <w:rsid w:val="005803C9"/>
    <w:rsid w:val="00580AAA"/>
    <w:rsid w:val="00580B93"/>
    <w:rsid w:val="00580C7B"/>
    <w:rsid w:val="00580D11"/>
    <w:rsid w:val="00580F80"/>
    <w:rsid w:val="005810B1"/>
    <w:rsid w:val="005810EF"/>
    <w:rsid w:val="0058112D"/>
    <w:rsid w:val="005811B4"/>
    <w:rsid w:val="005812B5"/>
    <w:rsid w:val="00581441"/>
    <w:rsid w:val="00581478"/>
    <w:rsid w:val="005814A8"/>
    <w:rsid w:val="00581571"/>
    <w:rsid w:val="00581581"/>
    <w:rsid w:val="005815D0"/>
    <w:rsid w:val="005819DE"/>
    <w:rsid w:val="00581A6C"/>
    <w:rsid w:val="00581B33"/>
    <w:rsid w:val="00581B6D"/>
    <w:rsid w:val="00581B81"/>
    <w:rsid w:val="00582033"/>
    <w:rsid w:val="00582035"/>
    <w:rsid w:val="00582043"/>
    <w:rsid w:val="005820D0"/>
    <w:rsid w:val="00582231"/>
    <w:rsid w:val="005823D8"/>
    <w:rsid w:val="00582483"/>
    <w:rsid w:val="00582544"/>
    <w:rsid w:val="00582558"/>
    <w:rsid w:val="005825A1"/>
    <w:rsid w:val="00582633"/>
    <w:rsid w:val="005826CD"/>
    <w:rsid w:val="00582740"/>
    <w:rsid w:val="005828E8"/>
    <w:rsid w:val="005828E9"/>
    <w:rsid w:val="00582AEE"/>
    <w:rsid w:val="00582CD6"/>
    <w:rsid w:val="00582F28"/>
    <w:rsid w:val="00582F30"/>
    <w:rsid w:val="0058309C"/>
    <w:rsid w:val="005830AA"/>
    <w:rsid w:val="0058314E"/>
    <w:rsid w:val="00583352"/>
    <w:rsid w:val="005833CA"/>
    <w:rsid w:val="00583441"/>
    <w:rsid w:val="005835CC"/>
    <w:rsid w:val="005835D6"/>
    <w:rsid w:val="0058398A"/>
    <w:rsid w:val="005839B5"/>
    <w:rsid w:val="00583A80"/>
    <w:rsid w:val="00583C65"/>
    <w:rsid w:val="00583C69"/>
    <w:rsid w:val="00583E58"/>
    <w:rsid w:val="00583E8A"/>
    <w:rsid w:val="00583FB3"/>
    <w:rsid w:val="0058411A"/>
    <w:rsid w:val="00584163"/>
    <w:rsid w:val="00584184"/>
    <w:rsid w:val="0058420B"/>
    <w:rsid w:val="005842AE"/>
    <w:rsid w:val="005842BA"/>
    <w:rsid w:val="005843B2"/>
    <w:rsid w:val="005843DE"/>
    <w:rsid w:val="0058485A"/>
    <w:rsid w:val="00584B71"/>
    <w:rsid w:val="00584BAD"/>
    <w:rsid w:val="00584DB4"/>
    <w:rsid w:val="00584DCE"/>
    <w:rsid w:val="00584E7D"/>
    <w:rsid w:val="00584ED1"/>
    <w:rsid w:val="005850DB"/>
    <w:rsid w:val="0058515C"/>
    <w:rsid w:val="00585A03"/>
    <w:rsid w:val="00585C10"/>
    <w:rsid w:val="00585D0E"/>
    <w:rsid w:val="00586112"/>
    <w:rsid w:val="005862F4"/>
    <w:rsid w:val="0058635E"/>
    <w:rsid w:val="0058643F"/>
    <w:rsid w:val="00586784"/>
    <w:rsid w:val="005869A9"/>
    <w:rsid w:val="00586BAF"/>
    <w:rsid w:val="00586D8A"/>
    <w:rsid w:val="00586DA6"/>
    <w:rsid w:val="00586DD2"/>
    <w:rsid w:val="00586EC5"/>
    <w:rsid w:val="0058708F"/>
    <w:rsid w:val="005870B2"/>
    <w:rsid w:val="00587124"/>
    <w:rsid w:val="005872FF"/>
    <w:rsid w:val="00587424"/>
    <w:rsid w:val="00587521"/>
    <w:rsid w:val="005876C2"/>
    <w:rsid w:val="0058778F"/>
    <w:rsid w:val="005877AA"/>
    <w:rsid w:val="0058792F"/>
    <w:rsid w:val="00587A57"/>
    <w:rsid w:val="00587A62"/>
    <w:rsid w:val="00587C09"/>
    <w:rsid w:val="00587C3D"/>
    <w:rsid w:val="00587CAD"/>
    <w:rsid w:val="00587D0F"/>
    <w:rsid w:val="00587DB1"/>
    <w:rsid w:val="00587E29"/>
    <w:rsid w:val="00587E75"/>
    <w:rsid w:val="00587ED6"/>
    <w:rsid w:val="005900DC"/>
    <w:rsid w:val="0059016A"/>
    <w:rsid w:val="00590291"/>
    <w:rsid w:val="005904F0"/>
    <w:rsid w:val="0059054A"/>
    <w:rsid w:val="005905D4"/>
    <w:rsid w:val="0059065C"/>
    <w:rsid w:val="0059070D"/>
    <w:rsid w:val="00590831"/>
    <w:rsid w:val="0059099B"/>
    <w:rsid w:val="00590BBC"/>
    <w:rsid w:val="00590CEB"/>
    <w:rsid w:val="00590DC2"/>
    <w:rsid w:val="00590E8D"/>
    <w:rsid w:val="00591018"/>
    <w:rsid w:val="00591022"/>
    <w:rsid w:val="0059108A"/>
    <w:rsid w:val="005912BB"/>
    <w:rsid w:val="0059144C"/>
    <w:rsid w:val="005915BC"/>
    <w:rsid w:val="00591981"/>
    <w:rsid w:val="00591AB3"/>
    <w:rsid w:val="00591C13"/>
    <w:rsid w:val="00591D19"/>
    <w:rsid w:val="00591E97"/>
    <w:rsid w:val="00591F52"/>
    <w:rsid w:val="00592065"/>
    <w:rsid w:val="005921CE"/>
    <w:rsid w:val="005923B4"/>
    <w:rsid w:val="00592483"/>
    <w:rsid w:val="005924B3"/>
    <w:rsid w:val="005924D8"/>
    <w:rsid w:val="00592586"/>
    <w:rsid w:val="0059276D"/>
    <w:rsid w:val="0059297A"/>
    <w:rsid w:val="005929AB"/>
    <w:rsid w:val="00592A44"/>
    <w:rsid w:val="00592AED"/>
    <w:rsid w:val="00592B63"/>
    <w:rsid w:val="00592B91"/>
    <w:rsid w:val="00592C05"/>
    <w:rsid w:val="00592CE0"/>
    <w:rsid w:val="00592D81"/>
    <w:rsid w:val="00592DCB"/>
    <w:rsid w:val="00592DF6"/>
    <w:rsid w:val="00592E6C"/>
    <w:rsid w:val="00592F16"/>
    <w:rsid w:val="00593019"/>
    <w:rsid w:val="00593032"/>
    <w:rsid w:val="00593051"/>
    <w:rsid w:val="005930EC"/>
    <w:rsid w:val="0059319B"/>
    <w:rsid w:val="00593324"/>
    <w:rsid w:val="00593412"/>
    <w:rsid w:val="0059347E"/>
    <w:rsid w:val="00593627"/>
    <w:rsid w:val="00593AC4"/>
    <w:rsid w:val="00593ADB"/>
    <w:rsid w:val="00593BB5"/>
    <w:rsid w:val="00593BF7"/>
    <w:rsid w:val="00593CAC"/>
    <w:rsid w:val="00593CAD"/>
    <w:rsid w:val="00593CD9"/>
    <w:rsid w:val="00593F55"/>
    <w:rsid w:val="00594126"/>
    <w:rsid w:val="005941AE"/>
    <w:rsid w:val="00594218"/>
    <w:rsid w:val="00594328"/>
    <w:rsid w:val="00594369"/>
    <w:rsid w:val="005943BF"/>
    <w:rsid w:val="00594493"/>
    <w:rsid w:val="0059450E"/>
    <w:rsid w:val="0059472F"/>
    <w:rsid w:val="00594990"/>
    <w:rsid w:val="005949A4"/>
    <w:rsid w:val="00594A3D"/>
    <w:rsid w:val="00594AA1"/>
    <w:rsid w:val="00594ABB"/>
    <w:rsid w:val="00594AC6"/>
    <w:rsid w:val="00594B06"/>
    <w:rsid w:val="00594B79"/>
    <w:rsid w:val="00594BE4"/>
    <w:rsid w:val="00594C77"/>
    <w:rsid w:val="00594EBF"/>
    <w:rsid w:val="00594F13"/>
    <w:rsid w:val="00595397"/>
    <w:rsid w:val="0059542D"/>
    <w:rsid w:val="005954F9"/>
    <w:rsid w:val="00595504"/>
    <w:rsid w:val="00595508"/>
    <w:rsid w:val="0059571A"/>
    <w:rsid w:val="00595909"/>
    <w:rsid w:val="0059595C"/>
    <w:rsid w:val="00595A7B"/>
    <w:rsid w:val="00595B53"/>
    <w:rsid w:val="00595C2A"/>
    <w:rsid w:val="00595C30"/>
    <w:rsid w:val="00595D7E"/>
    <w:rsid w:val="00595F18"/>
    <w:rsid w:val="00596023"/>
    <w:rsid w:val="0059617D"/>
    <w:rsid w:val="0059651B"/>
    <w:rsid w:val="0059652A"/>
    <w:rsid w:val="0059666C"/>
    <w:rsid w:val="00596741"/>
    <w:rsid w:val="00596774"/>
    <w:rsid w:val="005967D7"/>
    <w:rsid w:val="0059682F"/>
    <w:rsid w:val="00596922"/>
    <w:rsid w:val="0059694F"/>
    <w:rsid w:val="005969C7"/>
    <w:rsid w:val="005969FB"/>
    <w:rsid w:val="00596AE3"/>
    <w:rsid w:val="00596B47"/>
    <w:rsid w:val="00596C05"/>
    <w:rsid w:val="00596C75"/>
    <w:rsid w:val="00596CBA"/>
    <w:rsid w:val="00596F2C"/>
    <w:rsid w:val="00596F8E"/>
    <w:rsid w:val="00596FB4"/>
    <w:rsid w:val="0059702C"/>
    <w:rsid w:val="005970C8"/>
    <w:rsid w:val="00597163"/>
    <w:rsid w:val="005971CA"/>
    <w:rsid w:val="005971D0"/>
    <w:rsid w:val="005971E7"/>
    <w:rsid w:val="005973C6"/>
    <w:rsid w:val="00597535"/>
    <w:rsid w:val="00597816"/>
    <w:rsid w:val="0059797B"/>
    <w:rsid w:val="00597BD2"/>
    <w:rsid w:val="00597D08"/>
    <w:rsid w:val="00597D91"/>
    <w:rsid w:val="00597E14"/>
    <w:rsid w:val="005A0034"/>
    <w:rsid w:val="005A009B"/>
    <w:rsid w:val="005A0142"/>
    <w:rsid w:val="005A01A1"/>
    <w:rsid w:val="005A0216"/>
    <w:rsid w:val="005A0369"/>
    <w:rsid w:val="005A03CA"/>
    <w:rsid w:val="005A04B2"/>
    <w:rsid w:val="005A055A"/>
    <w:rsid w:val="005A091E"/>
    <w:rsid w:val="005A0966"/>
    <w:rsid w:val="005A0A5B"/>
    <w:rsid w:val="005A0C33"/>
    <w:rsid w:val="005A0C37"/>
    <w:rsid w:val="005A0CA9"/>
    <w:rsid w:val="005A0CC3"/>
    <w:rsid w:val="005A0E1B"/>
    <w:rsid w:val="005A1167"/>
    <w:rsid w:val="005A12AC"/>
    <w:rsid w:val="005A12AD"/>
    <w:rsid w:val="005A149D"/>
    <w:rsid w:val="005A16B5"/>
    <w:rsid w:val="005A16E7"/>
    <w:rsid w:val="005A18AD"/>
    <w:rsid w:val="005A195A"/>
    <w:rsid w:val="005A199B"/>
    <w:rsid w:val="005A1AE9"/>
    <w:rsid w:val="005A1E22"/>
    <w:rsid w:val="005A2058"/>
    <w:rsid w:val="005A218F"/>
    <w:rsid w:val="005A21F9"/>
    <w:rsid w:val="005A231B"/>
    <w:rsid w:val="005A243D"/>
    <w:rsid w:val="005A2498"/>
    <w:rsid w:val="005A2518"/>
    <w:rsid w:val="005A2630"/>
    <w:rsid w:val="005A2A40"/>
    <w:rsid w:val="005A2A4A"/>
    <w:rsid w:val="005A2A67"/>
    <w:rsid w:val="005A2B1B"/>
    <w:rsid w:val="005A2BF7"/>
    <w:rsid w:val="005A309A"/>
    <w:rsid w:val="005A3269"/>
    <w:rsid w:val="005A32C9"/>
    <w:rsid w:val="005A339C"/>
    <w:rsid w:val="005A3413"/>
    <w:rsid w:val="005A3506"/>
    <w:rsid w:val="005A37C6"/>
    <w:rsid w:val="005A3879"/>
    <w:rsid w:val="005A3A1F"/>
    <w:rsid w:val="005A3A29"/>
    <w:rsid w:val="005A3D63"/>
    <w:rsid w:val="005A3E4F"/>
    <w:rsid w:val="005A3EB0"/>
    <w:rsid w:val="005A3EBB"/>
    <w:rsid w:val="005A3F55"/>
    <w:rsid w:val="005A408C"/>
    <w:rsid w:val="005A40DF"/>
    <w:rsid w:val="005A41BA"/>
    <w:rsid w:val="005A41DB"/>
    <w:rsid w:val="005A43D6"/>
    <w:rsid w:val="005A43E1"/>
    <w:rsid w:val="005A4625"/>
    <w:rsid w:val="005A47A8"/>
    <w:rsid w:val="005A4995"/>
    <w:rsid w:val="005A4CAD"/>
    <w:rsid w:val="005A4D38"/>
    <w:rsid w:val="005A4D64"/>
    <w:rsid w:val="005A4E97"/>
    <w:rsid w:val="005A4F1E"/>
    <w:rsid w:val="005A4F2F"/>
    <w:rsid w:val="005A4F59"/>
    <w:rsid w:val="005A4FA6"/>
    <w:rsid w:val="005A4FDE"/>
    <w:rsid w:val="005A5047"/>
    <w:rsid w:val="005A50DE"/>
    <w:rsid w:val="005A511E"/>
    <w:rsid w:val="005A5346"/>
    <w:rsid w:val="005A535D"/>
    <w:rsid w:val="005A54AB"/>
    <w:rsid w:val="005A553D"/>
    <w:rsid w:val="005A5547"/>
    <w:rsid w:val="005A5591"/>
    <w:rsid w:val="005A5601"/>
    <w:rsid w:val="005A56AA"/>
    <w:rsid w:val="005A56B3"/>
    <w:rsid w:val="005A582A"/>
    <w:rsid w:val="005A5A5A"/>
    <w:rsid w:val="005A5BE0"/>
    <w:rsid w:val="005A5FD8"/>
    <w:rsid w:val="005A60F4"/>
    <w:rsid w:val="005A61D8"/>
    <w:rsid w:val="005A61DC"/>
    <w:rsid w:val="005A653C"/>
    <w:rsid w:val="005A665E"/>
    <w:rsid w:val="005A6671"/>
    <w:rsid w:val="005A66C9"/>
    <w:rsid w:val="005A67C1"/>
    <w:rsid w:val="005A67D3"/>
    <w:rsid w:val="005A6987"/>
    <w:rsid w:val="005A69D3"/>
    <w:rsid w:val="005A69E3"/>
    <w:rsid w:val="005A6A6E"/>
    <w:rsid w:val="005A6B84"/>
    <w:rsid w:val="005A6BAC"/>
    <w:rsid w:val="005A6D8F"/>
    <w:rsid w:val="005A6E3B"/>
    <w:rsid w:val="005A6EA3"/>
    <w:rsid w:val="005A6F19"/>
    <w:rsid w:val="005A712E"/>
    <w:rsid w:val="005A71A7"/>
    <w:rsid w:val="005A73FD"/>
    <w:rsid w:val="005A77FA"/>
    <w:rsid w:val="005A7BC8"/>
    <w:rsid w:val="005A7D1C"/>
    <w:rsid w:val="005A7D5C"/>
    <w:rsid w:val="005B0044"/>
    <w:rsid w:val="005B0057"/>
    <w:rsid w:val="005B0065"/>
    <w:rsid w:val="005B00B8"/>
    <w:rsid w:val="005B03D8"/>
    <w:rsid w:val="005B04B2"/>
    <w:rsid w:val="005B0519"/>
    <w:rsid w:val="005B075E"/>
    <w:rsid w:val="005B0811"/>
    <w:rsid w:val="005B0A5E"/>
    <w:rsid w:val="005B0C18"/>
    <w:rsid w:val="005B0CBD"/>
    <w:rsid w:val="005B0CE8"/>
    <w:rsid w:val="005B0FA5"/>
    <w:rsid w:val="005B1079"/>
    <w:rsid w:val="005B125F"/>
    <w:rsid w:val="005B1355"/>
    <w:rsid w:val="005B15A4"/>
    <w:rsid w:val="005B165F"/>
    <w:rsid w:val="005B195E"/>
    <w:rsid w:val="005B1BA1"/>
    <w:rsid w:val="005B1BE3"/>
    <w:rsid w:val="005B1F27"/>
    <w:rsid w:val="005B2423"/>
    <w:rsid w:val="005B2433"/>
    <w:rsid w:val="005B27AB"/>
    <w:rsid w:val="005B2939"/>
    <w:rsid w:val="005B29B7"/>
    <w:rsid w:val="005B2AF0"/>
    <w:rsid w:val="005B2BA0"/>
    <w:rsid w:val="005B2C7F"/>
    <w:rsid w:val="005B2D2D"/>
    <w:rsid w:val="005B2EBA"/>
    <w:rsid w:val="005B2F68"/>
    <w:rsid w:val="005B2FDC"/>
    <w:rsid w:val="005B301B"/>
    <w:rsid w:val="005B3056"/>
    <w:rsid w:val="005B3068"/>
    <w:rsid w:val="005B306E"/>
    <w:rsid w:val="005B326B"/>
    <w:rsid w:val="005B3354"/>
    <w:rsid w:val="005B3661"/>
    <w:rsid w:val="005B36FC"/>
    <w:rsid w:val="005B3798"/>
    <w:rsid w:val="005B38CE"/>
    <w:rsid w:val="005B3954"/>
    <w:rsid w:val="005B3973"/>
    <w:rsid w:val="005B3A79"/>
    <w:rsid w:val="005B3CC0"/>
    <w:rsid w:val="005B3E1C"/>
    <w:rsid w:val="005B3E89"/>
    <w:rsid w:val="005B3EB7"/>
    <w:rsid w:val="005B40F2"/>
    <w:rsid w:val="005B45AC"/>
    <w:rsid w:val="005B46ED"/>
    <w:rsid w:val="005B4880"/>
    <w:rsid w:val="005B489E"/>
    <w:rsid w:val="005B49B6"/>
    <w:rsid w:val="005B4AD1"/>
    <w:rsid w:val="005B4B4E"/>
    <w:rsid w:val="005B4C1E"/>
    <w:rsid w:val="005B4C47"/>
    <w:rsid w:val="005B4CB7"/>
    <w:rsid w:val="005B4EA5"/>
    <w:rsid w:val="005B51EA"/>
    <w:rsid w:val="005B52E5"/>
    <w:rsid w:val="005B54A3"/>
    <w:rsid w:val="005B54FD"/>
    <w:rsid w:val="005B5525"/>
    <w:rsid w:val="005B553A"/>
    <w:rsid w:val="005B55B2"/>
    <w:rsid w:val="005B5653"/>
    <w:rsid w:val="005B5659"/>
    <w:rsid w:val="005B56F2"/>
    <w:rsid w:val="005B575A"/>
    <w:rsid w:val="005B577A"/>
    <w:rsid w:val="005B5806"/>
    <w:rsid w:val="005B5826"/>
    <w:rsid w:val="005B5949"/>
    <w:rsid w:val="005B59FF"/>
    <w:rsid w:val="005B5BEC"/>
    <w:rsid w:val="005B5C89"/>
    <w:rsid w:val="005B5CD4"/>
    <w:rsid w:val="005B5DA4"/>
    <w:rsid w:val="005B5DC0"/>
    <w:rsid w:val="005B5E33"/>
    <w:rsid w:val="005B6052"/>
    <w:rsid w:val="005B609F"/>
    <w:rsid w:val="005B617C"/>
    <w:rsid w:val="005B6235"/>
    <w:rsid w:val="005B6329"/>
    <w:rsid w:val="005B64A7"/>
    <w:rsid w:val="005B64E4"/>
    <w:rsid w:val="005B6A30"/>
    <w:rsid w:val="005B6B53"/>
    <w:rsid w:val="005B6BCA"/>
    <w:rsid w:val="005B6C5C"/>
    <w:rsid w:val="005B6C7F"/>
    <w:rsid w:val="005B6DA4"/>
    <w:rsid w:val="005B6DE9"/>
    <w:rsid w:val="005B6F47"/>
    <w:rsid w:val="005B6FCE"/>
    <w:rsid w:val="005B7059"/>
    <w:rsid w:val="005B7078"/>
    <w:rsid w:val="005B70AD"/>
    <w:rsid w:val="005B7145"/>
    <w:rsid w:val="005B73C0"/>
    <w:rsid w:val="005B77D7"/>
    <w:rsid w:val="005B7995"/>
    <w:rsid w:val="005B7A05"/>
    <w:rsid w:val="005B7D40"/>
    <w:rsid w:val="005B7D56"/>
    <w:rsid w:val="005B7DCD"/>
    <w:rsid w:val="005B7FA5"/>
    <w:rsid w:val="005C00CB"/>
    <w:rsid w:val="005C015C"/>
    <w:rsid w:val="005C01CE"/>
    <w:rsid w:val="005C02C6"/>
    <w:rsid w:val="005C030E"/>
    <w:rsid w:val="005C0410"/>
    <w:rsid w:val="005C0514"/>
    <w:rsid w:val="005C0729"/>
    <w:rsid w:val="005C0772"/>
    <w:rsid w:val="005C08F8"/>
    <w:rsid w:val="005C0A89"/>
    <w:rsid w:val="005C0B57"/>
    <w:rsid w:val="005C0BCD"/>
    <w:rsid w:val="005C0C22"/>
    <w:rsid w:val="005C0E68"/>
    <w:rsid w:val="005C1176"/>
    <w:rsid w:val="005C13E7"/>
    <w:rsid w:val="005C1401"/>
    <w:rsid w:val="005C149B"/>
    <w:rsid w:val="005C1575"/>
    <w:rsid w:val="005C17A5"/>
    <w:rsid w:val="005C1A2C"/>
    <w:rsid w:val="005C1BBC"/>
    <w:rsid w:val="005C1D01"/>
    <w:rsid w:val="005C1FC5"/>
    <w:rsid w:val="005C1FC6"/>
    <w:rsid w:val="005C2092"/>
    <w:rsid w:val="005C209A"/>
    <w:rsid w:val="005C2163"/>
    <w:rsid w:val="005C2168"/>
    <w:rsid w:val="005C22A8"/>
    <w:rsid w:val="005C23E0"/>
    <w:rsid w:val="005C2400"/>
    <w:rsid w:val="005C24E3"/>
    <w:rsid w:val="005C252A"/>
    <w:rsid w:val="005C2570"/>
    <w:rsid w:val="005C267C"/>
    <w:rsid w:val="005C27C1"/>
    <w:rsid w:val="005C2910"/>
    <w:rsid w:val="005C29BD"/>
    <w:rsid w:val="005C29D1"/>
    <w:rsid w:val="005C2B85"/>
    <w:rsid w:val="005C2C43"/>
    <w:rsid w:val="005C2E21"/>
    <w:rsid w:val="005C2EEF"/>
    <w:rsid w:val="005C2FCC"/>
    <w:rsid w:val="005C319A"/>
    <w:rsid w:val="005C31C9"/>
    <w:rsid w:val="005C3223"/>
    <w:rsid w:val="005C3401"/>
    <w:rsid w:val="005C3551"/>
    <w:rsid w:val="005C3564"/>
    <w:rsid w:val="005C3622"/>
    <w:rsid w:val="005C36A6"/>
    <w:rsid w:val="005C37F5"/>
    <w:rsid w:val="005C3A52"/>
    <w:rsid w:val="005C3E57"/>
    <w:rsid w:val="005C40FA"/>
    <w:rsid w:val="005C415F"/>
    <w:rsid w:val="005C4391"/>
    <w:rsid w:val="005C4478"/>
    <w:rsid w:val="005C4764"/>
    <w:rsid w:val="005C4837"/>
    <w:rsid w:val="005C4A4F"/>
    <w:rsid w:val="005C4B28"/>
    <w:rsid w:val="005C4B3D"/>
    <w:rsid w:val="005C4BC9"/>
    <w:rsid w:val="005C4C6A"/>
    <w:rsid w:val="005C4E07"/>
    <w:rsid w:val="005C5030"/>
    <w:rsid w:val="005C5096"/>
    <w:rsid w:val="005C54AC"/>
    <w:rsid w:val="005C55C8"/>
    <w:rsid w:val="005C57FE"/>
    <w:rsid w:val="005C58DC"/>
    <w:rsid w:val="005C59E0"/>
    <w:rsid w:val="005C5A1B"/>
    <w:rsid w:val="005C5A43"/>
    <w:rsid w:val="005C5A8D"/>
    <w:rsid w:val="005C5ABD"/>
    <w:rsid w:val="005C5BA1"/>
    <w:rsid w:val="005C5C02"/>
    <w:rsid w:val="005C5D58"/>
    <w:rsid w:val="005C5FBE"/>
    <w:rsid w:val="005C5FD1"/>
    <w:rsid w:val="005C60C5"/>
    <w:rsid w:val="005C61EF"/>
    <w:rsid w:val="005C61F8"/>
    <w:rsid w:val="005C61F9"/>
    <w:rsid w:val="005C62DE"/>
    <w:rsid w:val="005C634C"/>
    <w:rsid w:val="005C639B"/>
    <w:rsid w:val="005C63B8"/>
    <w:rsid w:val="005C672C"/>
    <w:rsid w:val="005C68B2"/>
    <w:rsid w:val="005C68E0"/>
    <w:rsid w:val="005C6B5C"/>
    <w:rsid w:val="005C6C76"/>
    <w:rsid w:val="005C6F31"/>
    <w:rsid w:val="005C7019"/>
    <w:rsid w:val="005C7052"/>
    <w:rsid w:val="005C71E3"/>
    <w:rsid w:val="005C72C3"/>
    <w:rsid w:val="005C7473"/>
    <w:rsid w:val="005C750F"/>
    <w:rsid w:val="005C751C"/>
    <w:rsid w:val="005C762A"/>
    <w:rsid w:val="005C766F"/>
    <w:rsid w:val="005C7712"/>
    <w:rsid w:val="005C7736"/>
    <w:rsid w:val="005C783E"/>
    <w:rsid w:val="005C7919"/>
    <w:rsid w:val="005C7A06"/>
    <w:rsid w:val="005C7BA9"/>
    <w:rsid w:val="005C7BD2"/>
    <w:rsid w:val="005C7E98"/>
    <w:rsid w:val="005C7F63"/>
    <w:rsid w:val="005D0010"/>
    <w:rsid w:val="005D017A"/>
    <w:rsid w:val="005D01D9"/>
    <w:rsid w:val="005D03AD"/>
    <w:rsid w:val="005D0660"/>
    <w:rsid w:val="005D06AA"/>
    <w:rsid w:val="005D093B"/>
    <w:rsid w:val="005D098C"/>
    <w:rsid w:val="005D0B24"/>
    <w:rsid w:val="005D0B6A"/>
    <w:rsid w:val="005D0CEE"/>
    <w:rsid w:val="005D0E6A"/>
    <w:rsid w:val="005D10A4"/>
    <w:rsid w:val="005D1279"/>
    <w:rsid w:val="005D13B5"/>
    <w:rsid w:val="005D1AFF"/>
    <w:rsid w:val="005D1B2B"/>
    <w:rsid w:val="005D1BD0"/>
    <w:rsid w:val="005D1BDB"/>
    <w:rsid w:val="005D1D73"/>
    <w:rsid w:val="005D1DAA"/>
    <w:rsid w:val="005D1F3D"/>
    <w:rsid w:val="005D1F94"/>
    <w:rsid w:val="005D2046"/>
    <w:rsid w:val="005D2047"/>
    <w:rsid w:val="005D21AC"/>
    <w:rsid w:val="005D2497"/>
    <w:rsid w:val="005D2535"/>
    <w:rsid w:val="005D26FF"/>
    <w:rsid w:val="005D2720"/>
    <w:rsid w:val="005D2800"/>
    <w:rsid w:val="005D2A61"/>
    <w:rsid w:val="005D2BDF"/>
    <w:rsid w:val="005D2ED8"/>
    <w:rsid w:val="005D2F97"/>
    <w:rsid w:val="005D317A"/>
    <w:rsid w:val="005D33A0"/>
    <w:rsid w:val="005D3465"/>
    <w:rsid w:val="005D3552"/>
    <w:rsid w:val="005D3635"/>
    <w:rsid w:val="005D3669"/>
    <w:rsid w:val="005D36C8"/>
    <w:rsid w:val="005D37B4"/>
    <w:rsid w:val="005D37B9"/>
    <w:rsid w:val="005D37CE"/>
    <w:rsid w:val="005D3CA2"/>
    <w:rsid w:val="005D3E22"/>
    <w:rsid w:val="005D3F77"/>
    <w:rsid w:val="005D40F7"/>
    <w:rsid w:val="005D414B"/>
    <w:rsid w:val="005D4197"/>
    <w:rsid w:val="005D4205"/>
    <w:rsid w:val="005D4236"/>
    <w:rsid w:val="005D457F"/>
    <w:rsid w:val="005D468A"/>
    <w:rsid w:val="005D46FF"/>
    <w:rsid w:val="005D4973"/>
    <w:rsid w:val="005D4C54"/>
    <w:rsid w:val="005D517E"/>
    <w:rsid w:val="005D550E"/>
    <w:rsid w:val="005D5512"/>
    <w:rsid w:val="005D5570"/>
    <w:rsid w:val="005D5599"/>
    <w:rsid w:val="005D57C6"/>
    <w:rsid w:val="005D585D"/>
    <w:rsid w:val="005D5AD8"/>
    <w:rsid w:val="005D5B1F"/>
    <w:rsid w:val="005D5BD7"/>
    <w:rsid w:val="005D5D2F"/>
    <w:rsid w:val="005D5EA6"/>
    <w:rsid w:val="005D5F46"/>
    <w:rsid w:val="005D5F68"/>
    <w:rsid w:val="005D6148"/>
    <w:rsid w:val="005D6648"/>
    <w:rsid w:val="005D6966"/>
    <w:rsid w:val="005D6AE3"/>
    <w:rsid w:val="005D6B3B"/>
    <w:rsid w:val="005D6BC4"/>
    <w:rsid w:val="005D6C27"/>
    <w:rsid w:val="005D6D11"/>
    <w:rsid w:val="005D6D13"/>
    <w:rsid w:val="005D6F2F"/>
    <w:rsid w:val="005D6F8E"/>
    <w:rsid w:val="005D7168"/>
    <w:rsid w:val="005D72B6"/>
    <w:rsid w:val="005D72B7"/>
    <w:rsid w:val="005D7371"/>
    <w:rsid w:val="005D765A"/>
    <w:rsid w:val="005D77DA"/>
    <w:rsid w:val="005D77F8"/>
    <w:rsid w:val="005D7812"/>
    <w:rsid w:val="005D78AC"/>
    <w:rsid w:val="005D78FA"/>
    <w:rsid w:val="005D7914"/>
    <w:rsid w:val="005D7970"/>
    <w:rsid w:val="005D7BBC"/>
    <w:rsid w:val="005D7BBF"/>
    <w:rsid w:val="005D7CCF"/>
    <w:rsid w:val="005D7E00"/>
    <w:rsid w:val="005E00DB"/>
    <w:rsid w:val="005E00FE"/>
    <w:rsid w:val="005E012F"/>
    <w:rsid w:val="005E01F4"/>
    <w:rsid w:val="005E042B"/>
    <w:rsid w:val="005E0485"/>
    <w:rsid w:val="005E06F1"/>
    <w:rsid w:val="005E0725"/>
    <w:rsid w:val="005E095C"/>
    <w:rsid w:val="005E0D57"/>
    <w:rsid w:val="005E0F9B"/>
    <w:rsid w:val="005E1019"/>
    <w:rsid w:val="005E1063"/>
    <w:rsid w:val="005E10D3"/>
    <w:rsid w:val="005E1193"/>
    <w:rsid w:val="005E1241"/>
    <w:rsid w:val="005E129C"/>
    <w:rsid w:val="005E1461"/>
    <w:rsid w:val="005E15AD"/>
    <w:rsid w:val="005E15C4"/>
    <w:rsid w:val="005E1721"/>
    <w:rsid w:val="005E1736"/>
    <w:rsid w:val="005E1740"/>
    <w:rsid w:val="005E1B6C"/>
    <w:rsid w:val="005E1C41"/>
    <w:rsid w:val="005E1C45"/>
    <w:rsid w:val="005E1C67"/>
    <w:rsid w:val="005E1E7B"/>
    <w:rsid w:val="005E1F54"/>
    <w:rsid w:val="005E20C4"/>
    <w:rsid w:val="005E2436"/>
    <w:rsid w:val="005E2556"/>
    <w:rsid w:val="005E28F8"/>
    <w:rsid w:val="005E2A8F"/>
    <w:rsid w:val="005E2BF5"/>
    <w:rsid w:val="005E2C27"/>
    <w:rsid w:val="005E2D8C"/>
    <w:rsid w:val="005E2E9A"/>
    <w:rsid w:val="005E31F0"/>
    <w:rsid w:val="005E3286"/>
    <w:rsid w:val="005E32FE"/>
    <w:rsid w:val="005E3390"/>
    <w:rsid w:val="005E339B"/>
    <w:rsid w:val="005E34DA"/>
    <w:rsid w:val="005E3501"/>
    <w:rsid w:val="005E3755"/>
    <w:rsid w:val="005E397B"/>
    <w:rsid w:val="005E399A"/>
    <w:rsid w:val="005E3ABA"/>
    <w:rsid w:val="005E3ABC"/>
    <w:rsid w:val="005E3BE4"/>
    <w:rsid w:val="005E3C33"/>
    <w:rsid w:val="005E3D72"/>
    <w:rsid w:val="005E3E88"/>
    <w:rsid w:val="005E3FF7"/>
    <w:rsid w:val="005E4015"/>
    <w:rsid w:val="005E422A"/>
    <w:rsid w:val="005E42C5"/>
    <w:rsid w:val="005E436A"/>
    <w:rsid w:val="005E4444"/>
    <w:rsid w:val="005E44A7"/>
    <w:rsid w:val="005E46ED"/>
    <w:rsid w:val="005E4A4F"/>
    <w:rsid w:val="005E4BA6"/>
    <w:rsid w:val="005E4C5B"/>
    <w:rsid w:val="005E4D32"/>
    <w:rsid w:val="005E4DE8"/>
    <w:rsid w:val="005E4EAE"/>
    <w:rsid w:val="005E4FC1"/>
    <w:rsid w:val="005E5001"/>
    <w:rsid w:val="005E5005"/>
    <w:rsid w:val="005E509E"/>
    <w:rsid w:val="005E5202"/>
    <w:rsid w:val="005E523F"/>
    <w:rsid w:val="005E54B3"/>
    <w:rsid w:val="005E5616"/>
    <w:rsid w:val="005E5622"/>
    <w:rsid w:val="005E5624"/>
    <w:rsid w:val="005E56A7"/>
    <w:rsid w:val="005E56E1"/>
    <w:rsid w:val="005E5800"/>
    <w:rsid w:val="005E592F"/>
    <w:rsid w:val="005E5955"/>
    <w:rsid w:val="005E59CA"/>
    <w:rsid w:val="005E5A6F"/>
    <w:rsid w:val="005E5BE8"/>
    <w:rsid w:val="005E6127"/>
    <w:rsid w:val="005E6155"/>
    <w:rsid w:val="005E6168"/>
    <w:rsid w:val="005E63C3"/>
    <w:rsid w:val="005E6452"/>
    <w:rsid w:val="005E6483"/>
    <w:rsid w:val="005E6610"/>
    <w:rsid w:val="005E6629"/>
    <w:rsid w:val="005E666D"/>
    <w:rsid w:val="005E6675"/>
    <w:rsid w:val="005E68DA"/>
    <w:rsid w:val="005E6AA0"/>
    <w:rsid w:val="005E6B6D"/>
    <w:rsid w:val="005E6BCD"/>
    <w:rsid w:val="005E6F66"/>
    <w:rsid w:val="005E6FA3"/>
    <w:rsid w:val="005E71BD"/>
    <w:rsid w:val="005E71E7"/>
    <w:rsid w:val="005E738B"/>
    <w:rsid w:val="005E7457"/>
    <w:rsid w:val="005E74B9"/>
    <w:rsid w:val="005E760F"/>
    <w:rsid w:val="005E7706"/>
    <w:rsid w:val="005E77E8"/>
    <w:rsid w:val="005E7880"/>
    <w:rsid w:val="005E7A66"/>
    <w:rsid w:val="005E7F4E"/>
    <w:rsid w:val="005F0105"/>
    <w:rsid w:val="005F0209"/>
    <w:rsid w:val="005F027B"/>
    <w:rsid w:val="005F043A"/>
    <w:rsid w:val="005F04D3"/>
    <w:rsid w:val="005F0632"/>
    <w:rsid w:val="005F0756"/>
    <w:rsid w:val="005F0B1A"/>
    <w:rsid w:val="005F0B39"/>
    <w:rsid w:val="005F0B78"/>
    <w:rsid w:val="005F0BEE"/>
    <w:rsid w:val="005F0CD9"/>
    <w:rsid w:val="005F0E02"/>
    <w:rsid w:val="005F0E80"/>
    <w:rsid w:val="005F1099"/>
    <w:rsid w:val="005F115A"/>
    <w:rsid w:val="005F11ED"/>
    <w:rsid w:val="005F121C"/>
    <w:rsid w:val="005F129F"/>
    <w:rsid w:val="005F1309"/>
    <w:rsid w:val="005F14F0"/>
    <w:rsid w:val="005F14FA"/>
    <w:rsid w:val="005F154F"/>
    <w:rsid w:val="005F15A2"/>
    <w:rsid w:val="005F15F9"/>
    <w:rsid w:val="005F1642"/>
    <w:rsid w:val="005F1825"/>
    <w:rsid w:val="005F18C8"/>
    <w:rsid w:val="005F19FD"/>
    <w:rsid w:val="005F1A6A"/>
    <w:rsid w:val="005F1BEA"/>
    <w:rsid w:val="005F1F0A"/>
    <w:rsid w:val="005F21E2"/>
    <w:rsid w:val="005F2296"/>
    <w:rsid w:val="005F2401"/>
    <w:rsid w:val="005F26A9"/>
    <w:rsid w:val="005F26CC"/>
    <w:rsid w:val="005F26F6"/>
    <w:rsid w:val="005F2BA5"/>
    <w:rsid w:val="005F2C44"/>
    <w:rsid w:val="005F2F40"/>
    <w:rsid w:val="005F2F6A"/>
    <w:rsid w:val="005F300C"/>
    <w:rsid w:val="005F3131"/>
    <w:rsid w:val="005F3225"/>
    <w:rsid w:val="005F3241"/>
    <w:rsid w:val="005F32B4"/>
    <w:rsid w:val="005F3322"/>
    <w:rsid w:val="005F3444"/>
    <w:rsid w:val="005F3540"/>
    <w:rsid w:val="005F356F"/>
    <w:rsid w:val="005F361D"/>
    <w:rsid w:val="005F366F"/>
    <w:rsid w:val="005F3696"/>
    <w:rsid w:val="005F36C7"/>
    <w:rsid w:val="005F3A79"/>
    <w:rsid w:val="005F3BE6"/>
    <w:rsid w:val="005F3C03"/>
    <w:rsid w:val="005F3C42"/>
    <w:rsid w:val="005F3CD0"/>
    <w:rsid w:val="005F3CFC"/>
    <w:rsid w:val="005F3D63"/>
    <w:rsid w:val="005F3D7B"/>
    <w:rsid w:val="005F3DD0"/>
    <w:rsid w:val="005F3DD7"/>
    <w:rsid w:val="005F4158"/>
    <w:rsid w:val="005F417D"/>
    <w:rsid w:val="005F431C"/>
    <w:rsid w:val="005F4519"/>
    <w:rsid w:val="005F4693"/>
    <w:rsid w:val="005F483D"/>
    <w:rsid w:val="005F4883"/>
    <w:rsid w:val="005F4912"/>
    <w:rsid w:val="005F4AC0"/>
    <w:rsid w:val="005F4B0B"/>
    <w:rsid w:val="005F4C9C"/>
    <w:rsid w:val="005F4CF8"/>
    <w:rsid w:val="005F4ED8"/>
    <w:rsid w:val="005F503C"/>
    <w:rsid w:val="005F5224"/>
    <w:rsid w:val="005F525A"/>
    <w:rsid w:val="005F52E8"/>
    <w:rsid w:val="005F5348"/>
    <w:rsid w:val="005F536E"/>
    <w:rsid w:val="005F54F5"/>
    <w:rsid w:val="005F5781"/>
    <w:rsid w:val="005F57A0"/>
    <w:rsid w:val="005F5873"/>
    <w:rsid w:val="005F5E24"/>
    <w:rsid w:val="005F5EF6"/>
    <w:rsid w:val="005F5F09"/>
    <w:rsid w:val="005F5F1E"/>
    <w:rsid w:val="005F5F43"/>
    <w:rsid w:val="005F5FEB"/>
    <w:rsid w:val="005F6090"/>
    <w:rsid w:val="005F60B9"/>
    <w:rsid w:val="005F61F8"/>
    <w:rsid w:val="005F6265"/>
    <w:rsid w:val="005F63C4"/>
    <w:rsid w:val="005F63FD"/>
    <w:rsid w:val="005F65FA"/>
    <w:rsid w:val="005F6653"/>
    <w:rsid w:val="005F6673"/>
    <w:rsid w:val="005F6692"/>
    <w:rsid w:val="005F670B"/>
    <w:rsid w:val="005F673C"/>
    <w:rsid w:val="005F67FD"/>
    <w:rsid w:val="005F685D"/>
    <w:rsid w:val="005F689B"/>
    <w:rsid w:val="005F68FD"/>
    <w:rsid w:val="005F6953"/>
    <w:rsid w:val="005F69D0"/>
    <w:rsid w:val="005F6AA7"/>
    <w:rsid w:val="005F6AF9"/>
    <w:rsid w:val="005F710B"/>
    <w:rsid w:val="005F7154"/>
    <w:rsid w:val="005F7164"/>
    <w:rsid w:val="005F74C0"/>
    <w:rsid w:val="005F7552"/>
    <w:rsid w:val="005F7655"/>
    <w:rsid w:val="005F79DB"/>
    <w:rsid w:val="005F7A18"/>
    <w:rsid w:val="005F7B4A"/>
    <w:rsid w:val="005F7BB2"/>
    <w:rsid w:val="005F7BF1"/>
    <w:rsid w:val="005FA130"/>
    <w:rsid w:val="006000CD"/>
    <w:rsid w:val="00600178"/>
    <w:rsid w:val="0060017E"/>
    <w:rsid w:val="006002AF"/>
    <w:rsid w:val="0060037D"/>
    <w:rsid w:val="006003AD"/>
    <w:rsid w:val="00600540"/>
    <w:rsid w:val="006005B0"/>
    <w:rsid w:val="006006C5"/>
    <w:rsid w:val="006007C0"/>
    <w:rsid w:val="0060082D"/>
    <w:rsid w:val="006009D7"/>
    <w:rsid w:val="006009E4"/>
    <w:rsid w:val="00600B90"/>
    <w:rsid w:val="00600BB8"/>
    <w:rsid w:val="00600C77"/>
    <w:rsid w:val="00600E76"/>
    <w:rsid w:val="00600FBC"/>
    <w:rsid w:val="00601307"/>
    <w:rsid w:val="006014C4"/>
    <w:rsid w:val="00601523"/>
    <w:rsid w:val="00601697"/>
    <w:rsid w:val="006016FF"/>
    <w:rsid w:val="00601792"/>
    <w:rsid w:val="006018AC"/>
    <w:rsid w:val="00601B60"/>
    <w:rsid w:val="00601BCE"/>
    <w:rsid w:val="00601D6B"/>
    <w:rsid w:val="00601E62"/>
    <w:rsid w:val="00601EC1"/>
    <w:rsid w:val="0060206A"/>
    <w:rsid w:val="0060234D"/>
    <w:rsid w:val="006024A9"/>
    <w:rsid w:val="006029AF"/>
    <w:rsid w:val="00602A4B"/>
    <w:rsid w:val="00602F39"/>
    <w:rsid w:val="006030B4"/>
    <w:rsid w:val="00603154"/>
    <w:rsid w:val="00603189"/>
    <w:rsid w:val="006031BF"/>
    <w:rsid w:val="0060320D"/>
    <w:rsid w:val="00603379"/>
    <w:rsid w:val="00603624"/>
    <w:rsid w:val="00603651"/>
    <w:rsid w:val="00603716"/>
    <w:rsid w:val="00603792"/>
    <w:rsid w:val="0060383E"/>
    <w:rsid w:val="0060390E"/>
    <w:rsid w:val="00603922"/>
    <w:rsid w:val="006039C2"/>
    <w:rsid w:val="00603A5D"/>
    <w:rsid w:val="00603A6A"/>
    <w:rsid w:val="00603D59"/>
    <w:rsid w:val="00603EF2"/>
    <w:rsid w:val="00603F6E"/>
    <w:rsid w:val="00603F9C"/>
    <w:rsid w:val="006040FE"/>
    <w:rsid w:val="0060416E"/>
    <w:rsid w:val="006044A9"/>
    <w:rsid w:val="0060458F"/>
    <w:rsid w:val="00604792"/>
    <w:rsid w:val="00604841"/>
    <w:rsid w:val="00604983"/>
    <w:rsid w:val="00604AC7"/>
    <w:rsid w:val="00604B97"/>
    <w:rsid w:val="00604C20"/>
    <w:rsid w:val="00604C46"/>
    <w:rsid w:val="00604C80"/>
    <w:rsid w:val="00604E37"/>
    <w:rsid w:val="00604F09"/>
    <w:rsid w:val="00604F80"/>
    <w:rsid w:val="00604FA6"/>
    <w:rsid w:val="0060507F"/>
    <w:rsid w:val="00605091"/>
    <w:rsid w:val="00605199"/>
    <w:rsid w:val="006051C4"/>
    <w:rsid w:val="006051F4"/>
    <w:rsid w:val="00605263"/>
    <w:rsid w:val="00605395"/>
    <w:rsid w:val="00605499"/>
    <w:rsid w:val="00605623"/>
    <w:rsid w:val="006057B8"/>
    <w:rsid w:val="0060590F"/>
    <w:rsid w:val="00605ADE"/>
    <w:rsid w:val="00605D51"/>
    <w:rsid w:val="00605DB8"/>
    <w:rsid w:val="00605E55"/>
    <w:rsid w:val="006060A8"/>
    <w:rsid w:val="006060AF"/>
    <w:rsid w:val="0060610C"/>
    <w:rsid w:val="006065A8"/>
    <w:rsid w:val="0060662B"/>
    <w:rsid w:val="006067C9"/>
    <w:rsid w:val="006067F4"/>
    <w:rsid w:val="00606886"/>
    <w:rsid w:val="006068D3"/>
    <w:rsid w:val="00606A61"/>
    <w:rsid w:val="00606C3B"/>
    <w:rsid w:val="00606E2D"/>
    <w:rsid w:val="006074A1"/>
    <w:rsid w:val="00607570"/>
    <w:rsid w:val="0060757E"/>
    <w:rsid w:val="0060764F"/>
    <w:rsid w:val="006077BA"/>
    <w:rsid w:val="006077C6"/>
    <w:rsid w:val="0060784D"/>
    <w:rsid w:val="006078CE"/>
    <w:rsid w:val="00607A29"/>
    <w:rsid w:val="00607B78"/>
    <w:rsid w:val="00607C0C"/>
    <w:rsid w:val="00607C72"/>
    <w:rsid w:val="00610072"/>
    <w:rsid w:val="0061009F"/>
    <w:rsid w:val="00610176"/>
    <w:rsid w:val="00610184"/>
    <w:rsid w:val="006101A7"/>
    <w:rsid w:val="006101C6"/>
    <w:rsid w:val="0061036A"/>
    <w:rsid w:val="006105DF"/>
    <w:rsid w:val="0061080C"/>
    <w:rsid w:val="006108FC"/>
    <w:rsid w:val="00610AFA"/>
    <w:rsid w:val="00610B10"/>
    <w:rsid w:val="00610D05"/>
    <w:rsid w:val="00610F5D"/>
    <w:rsid w:val="00610F72"/>
    <w:rsid w:val="00611005"/>
    <w:rsid w:val="0061112B"/>
    <w:rsid w:val="006111CA"/>
    <w:rsid w:val="0061120D"/>
    <w:rsid w:val="0061133C"/>
    <w:rsid w:val="00611384"/>
    <w:rsid w:val="0061143A"/>
    <w:rsid w:val="006114BF"/>
    <w:rsid w:val="006115AA"/>
    <w:rsid w:val="00611A26"/>
    <w:rsid w:val="00611A6E"/>
    <w:rsid w:val="00611A7C"/>
    <w:rsid w:val="00611B48"/>
    <w:rsid w:val="00611BC5"/>
    <w:rsid w:val="00611D77"/>
    <w:rsid w:val="00611F9B"/>
    <w:rsid w:val="0061218A"/>
    <w:rsid w:val="0061223A"/>
    <w:rsid w:val="006122B0"/>
    <w:rsid w:val="006122EE"/>
    <w:rsid w:val="0061231C"/>
    <w:rsid w:val="006125F3"/>
    <w:rsid w:val="00612661"/>
    <w:rsid w:val="006126B6"/>
    <w:rsid w:val="0061273A"/>
    <w:rsid w:val="006127AE"/>
    <w:rsid w:val="00612860"/>
    <w:rsid w:val="006128DA"/>
    <w:rsid w:val="006129D7"/>
    <w:rsid w:val="00612D04"/>
    <w:rsid w:val="00612D76"/>
    <w:rsid w:val="00612D84"/>
    <w:rsid w:val="00612FB3"/>
    <w:rsid w:val="0061304F"/>
    <w:rsid w:val="00613200"/>
    <w:rsid w:val="00613277"/>
    <w:rsid w:val="006132C4"/>
    <w:rsid w:val="00613636"/>
    <w:rsid w:val="006136C1"/>
    <w:rsid w:val="006137D3"/>
    <w:rsid w:val="0061386A"/>
    <w:rsid w:val="0061387E"/>
    <w:rsid w:val="0061392A"/>
    <w:rsid w:val="0061392F"/>
    <w:rsid w:val="00613A14"/>
    <w:rsid w:val="00613A71"/>
    <w:rsid w:val="00613AF7"/>
    <w:rsid w:val="00613CFD"/>
    <w:rsid w:val="00613E10"/>
    <w:rsid w:val="00613F9E"/>
    <w:rsid w:val="00614179"/>
    <w:rsid w:val="006143B5"/>
    <w:rsid w:val="006143E7"/>
    <w:rsid w:val="006144D6"/>
    <w:rsid w:val="006145E9"/>
    <w:rsid w:val="0061487B"/>
    <w:rsid w:val="006148FA"/>
    <w:rsid w:val="00614948"/>
    <w:rsid w:val="00614A62"/>
    <w:rsid w:val="00614BEB"/>
    <w:rsid w:val="00614C09"/>
    <w:rsid w:val="00614DA2"/>
    <w:rsid w:val="00614DD3"/>
    <w:rsid w:val="00614F12"/>
    <w:rsid w:val="00614F81"/>
    <w:rsid w:val="00614F99"/>
    <w:rsid w:val="00614FC9"/>
    <w:rsid w:val="006150DA"/>
    <w:rsid w:val="0061514A"/>
    <w:rsid w:val="0061519E"/>
    <w:rsid w:val="00615459"/>
    <w:rsid w:val="0061547F"/>
    <w:rsid w:val="00615A7A"/>
    <w:rsid w:val="00615D8B"/>
    <w:rsid w:val="00615DA5"/>
    <w:rsid w:val="00615E17"/>
    <w:rsid w:val="006160DC"/>
    <w:rsid w:val="0061618C"/>
    <w:rsid w:val="006161E9"/>
    <w:rsid w:val="00616441"/>
    <w:rsid w:val="00616473"/>
    <w:rsid w:val="00616626"/>
    <w:rsid w:val="0061674E"/>
    <w:rsid w:val="006167AD"/>
    <w:rsid w:val="0061685E"/>
    <w:rsid w:val="0061689C"/>
    <w:rsid w:val="00616ABB"/>
    <w:rsid w:val="00616B7F"/>
    <w:rsid w:val="00616B8E"/>
    <w:rsid w:val="00617068"/>
    <w:rsid w:val="0061714F"/>
    <w:rsid w:val="006171D5"/>
    <w:rsid w:val="006174BD"/>
    <w:rsid w:val="006176A5"/>
    <w:rsid w:val="006176DC"/>
    <w:rsid w:val="006176F8"/>
    <w:rsid w:val="006177AA"/>
    <w:rsid w:val="006177CB"/>
    <w:rsid w:val="00617B86"/>
    <w:rsid w:val="00617CA2"/>
    <w:rsid w:val="00617E04"/>
    <w:rsid w:val="00617F97"/>
    <w:rsid w:val="0062002C"/>
    <w:rsid w:val="00620133"/>
    <w:rsid w:val="006201B2"/>
    <w:rsid w:val="00620537"/>
    <w:rsid w:val="0062082E"/>
    <w:rsid w:val="00620CCA"/>
    <w:rsid w:val="00621208"/>
    <w:rsid w:val="0062129A"/>
    <w:rsid w:val="00621509"/>
    <w:rsid w:val="006219A6"/>
    <w:rsid w:val="00621A26"/>
    <w:rsid w:val="00621A8C"/>
    <w:rsid w:val="00621B07"/>
    <w:rsid w:val="00621C08"/>
    <w:rsid w:val="00621C91"/>
    <w:rsid w:val="00621CFE"/>
    <w:rsid w:val="00621E99"/>
    <w:rsid w:val="00621EA8"/>
    <w:rsid w:val="00621F97"/>
    <w:rsid w:val="006221EB"/>
    <w:rsid w:val="0062224B"/>
    <w:rsid w:val="006222CE"/>
    <w:rsid w:val="006223E6"/>
    <w:rsid w:val="0062255D"/>
    <w:rsid w:val="006225E2"/>
    <w:rsid w:val="0062276E"/>
    <w:rsid w:val="00622790"/>
    <w:rsid w:val="00622809"/>
    <w:rsid w:val="00622A9E"/>
    <w:rsid w:val="00622AA4"/>
    <w:rsid w:val="00622F17"/>
    <w:rsid w:val="0062318E"/>
    <w:rsid w:val="0062320F"/>
    <w:rsid w:val="0062326D"/>
    <w:rsid w:val="006232BD"/>
    <w:rsid w:val="006232E4"/>
    <w:rsid w:val="006234E0"/>
    <w:rsid w:val="0062360B"/>
    <w:rsid w:val="00623623"/>
    <w:rsid w:val="006236DF"/>
    <w:rsid w:val="006237D4"/>
    <w:rsid w:val="00623863"/>
    <w:rsid w:val="00623901"/>
    <w:rsid w:val="00623A19"/>
    <w:rsid w:val="00623A20"/>
    <w:rsid w:val="00623C04"/>
    <w:rsid w:val="00623CA5"/>
    <w:rsid w:val="00623D22"/>
    <w:rsid w:val="00623D6F"/>
    <w:rsid w:val="00623E44"/>
    <w:rsid w:val="00623E5F"/>
    <w:rsid w:val="00623F2D"/>
    <w:rsid w:val="00623FB2"/>
    <w:rsid w:val="006242D3"/>
    <w:rsid w:val="0062454F"/>
    <w:rsid w:val="006246CD"/>
    <w:rsid w:val="006246EF"/>
    <w:rsid w:val="0062475F"/>
    <w:rsid w:val="00624785"/>
    <w:rsid w:val="006247B1"/>
    <w:rsid w:val="00624815"/>
    <w:rsid w:val="00624AFB"/>
    <w:rsid w:val="00624C5E"/>
    <w:rsid w:val="00624D9E"/>
    <w:rsid w:val="00624F69"/>
    <w:rsid w:val="00625021"/>
    <w:rsid w:val="0062502D"/>
    <w:rsid w:val="0062507E"/>
    <w:rsid w:val="00625158"/>
    <w:rsid w:val="00625499"/>
    <w:rsid w:val="0062551B"/>
    <w:rsid w:val="00625880"/>
    <w:rsid w:val="00625969"/>
    <w:rsid w:val="00625A40"/>
    <w:rsid w:val="00625B41"/>
    <w:rsid w:val="00625BDB"/>
    <w:rsid w:val="00625C89"/>
    <w:rsid w:val="00625CBB"/>
    <w:rsid w:val="00625DF6"/>
    <w:rsid w:val="00625F92"/>
    <w:rsid w:val="00625FBC"/>
    <w:rsid w:val="006262AF"/>
    <w:rsid w:val="00626302"/>
    <w:rsid w:val="00626418"/>
    <w:rsid w:val="006264E3"/>
    <w:rsid w:val="0062654D"/>
    <w:rsid w:val="00626568"/>
    <w:rsid w:val="0062670F"/>
    <w:rsid w:val="006268A5"/>
    <w:rsid w:val="006268EA"/>
    <w:rsid w:val="00626991"/>
    <w:rsid w:val="00626EE7"/>
    <w:rsid w:val="00626FA8"/>
    <w:rsid w:val="00626FD8"/>
    <w:rsid w:val="00627055"/>
    <w:rsid w:val="006270B3"/>
    <w:rsid w:val="006272D3"/>
    <w:rsid w:val="006274BB"/>
    <w:rsid w:val="0062761E"/>
    <w:rsid w:val="00627620"/>
    <w:rsid w:val="006277DE"/>
    <w:rsid w:val="00627A40"/>
    <w:rsid w:val="00627AEB"/>
    <w:rsid w:val="00627AED"/>
    <w:rsid w:val="00627B43"/>
    <w:rsid w:val="00627B7C"/>
    <w:rsid w:val="00627B82"/>
    <w:rsid w:val="00630022"/>
    <w:rsid w:val="006301A8"/>
    <w:rsid w:val="0063033B"/>
    <w:rsid w:val="00630397"/>
    <w:rsid w:val="0063039C"/>
    <w:rsid w:val="006303A4"/>
    <w:rsid w:val="00630757"/>
    <w:rsid w:val="006308AC"/>
    <w:rsid w:val="00630A7E"/>
    <w:rsid w:val="00630B8E"/>
    <w:rsid w:val="00630DD1"/>
    <w:rsid w:val="00630F10"/>
    <w:rsid w:val="00631047"/>
    <w:rsid w:val="006310B9"/>
    <w:rsid w:val="006310C7"/>
    <w:rsid w:val="00631228"/>
    <w:rsid w:val="006314FD"/>
    <w:rsid w:val="00631554"/>
    <w:rsid w:val="006315C5"/>
    <w:rsid w:val="006315F3"/>
    <w:rsid w:val="0063168E"/>
    <w:rsid w:val="006317CF"/>
    <w:rsid w:val="00631865"/>
    <w:rsid w:val="006319F7"/>
    <w:rsid w:val="00631B9E"/>
    <w:rsid w:val="00631C65"/>
    <w:rsid w:val="00631CC2"/>
    <w:rsid w:val="00631ED0"/>
    <w:rsid w:val="00632130"/>
    <w:rsid w:val="00632252"/>
    <w:rsid w:val="00632272"/>
    <w:rsid w:val="006324FE"/>
    <w:rsid w:val="006328A4"/>
    <w:rsid w:val="00632AA5"/>
    <w:rsid w:val="00632AFE"/>
    <w:rsid w:val="00632B0A"/>
    <w:rsid w:val="00632BBA"/>
    <w:rsid w:val="00632DF4"/>
    <w:rsid w:val="00632E95"/>
    <w:rsid w:val="0063359B"/>
    <w:rsid w:val="006335E7"/>
    <w:rsid w:val="00633629"/>
    <w:rsid w:val="00633696"/>
    <w:rsid w:val="00633704"/>
    <w:rsid w:val="0063395E"/>
    <w:rsid w:val="0063399F"/>
    <w:rsid w:val="006339B5"/>
    <w:rsid w:val="00633A76"/>
    <w:rsid w:val="00633EA2"/>
    <w:rsid w:val="00633F7D"/>
    <w:rsid w:val="00634096"/>
    <w:rsid w:val="0063418D"/>
    <w:rsid w:val="00634219"/>
    <w:rsid w:val="006343A4"/>
    <w:rsid w:val="006343E0"/>
    <w:rsid w:val="00634433"/>
    <w:rsid w:val="006344C3"/>
    <w:rsid w:val="00634630"/>
    <w:rsid w:val="006346EF"/>
    <w:rsid w:val="00634817"/>
    <w:rsid w:val="006348FF"/>
    <w:rsid w:val="0063492A"/>
    <w:rsid w:val="006349B5"/>
    <w:rsid w:val="00634A1C"/>
    <w:rsid w:val="00634AAF"/>
    <w:rsid w:val="00634BB8"/>
    <w:rsid w:val="00634C19"/>
    <w:rsid w:val="00634C3F"/>
    <w:rsid w:val="00634DC3"/>
    <w:rsid w:val="00634EC6"/>
    <w:rsid w:val="00634F93"/>
    <w:rsid w:val="00634FFB"/>
    <w:rsid w:val="00634FFF"/>
    <w:rsid w:val="00635032"/>
    <w:rsid w:val="00635146"/>
    <w:rsid w:val="00635256"/>
    <w:rsid w:val="006352B2"/>
    <w:rsid w:val="006353A2"/>
    <w:rsid w:val="006355D0"/>
    <w:rsid w:val="0063579F"/>
    <w:rsid w:val="00635901"/>
    <w:rsid w:val="00635D6B"/>
    <w:rsid w:val="00635DF7"/>
    <w:rsid w:val="00636205"/>
    <w:rsid w:val="00636370"/>
    <w:rsid w:val="00636407"/>
    <w:rsid w:val="00636615"/>
    <w:rsid w:val="0063669B"/>
    <w:rsid w:val="00636734"/>
    <w:rsid w:val="00636767"/>
    <w:rsid w:val="00636793"/>
    <w:rsid w:val="0063685C"/>
    <w:rsid w:val="006368A8"/>
    <w:rsid w:val="00636AC3"/>
    <w:rsid w:val="00636BAB"/>
    <w:rsid w:val="00636D6D"/>
    <w:rsid w:val="00636DA3"/>
    <w:rsid w:val="00637036"/>
    <w:rsid w:val="00637071"/>
    <w:rsid w:val="006374FE"/>
    <w:rsid w:val="006377CD"/>
    <w:rsid w:val="0063793C"/>
    <w:rsid w:val="00637A7B"/>
    <w:rsid w:val="00637A94"/>
    <w:rsid w:val="00637C0C"/>
    <w:rsid w:val="00637C41"/>
    <w:rsid w:val="00637CB8"/>
    <w:rsid w:val="00637E31"/>
    <w:rsid w:val="00637EF3"/>
    <w:rsid w:val="00637FC4"/>
    <w:rsid w:val="006400B2"/>
    <w:rsid w:val="006400CD"/>
    <w:rsid w:val="006404EC"/>
    <w:rsid w:val="0064057C"/>
    <w:rsid w:val="006405AF"/>
    <w:rsid w:val="006405C8"/>
    <w:rsid w:val="006405DF"/>
    <w:rsid w:val="00640A63"/>
    <w:rsid w:val="00640A99"/>
    <w:rsid w:val="00640BA5"/>
    <w:rsid w:val="00640DEA"/>
    <w:rsid w:val="00640EC2"/>
    <w:rsid w:val="00640F17"/>
    <w:rsid w:val="00640F78"/>
    <w:rsid w:val="00640FF2"/>
    <w:rsid w:val="006412CC"/>
    <w:rsid w:val="006412EE"/>
    <w:rsid w:val="006413C5"/>
    <w:rsid w:val="00641564"/>
    <w:rsid w:val="00641569"/>
    <w:rsid w:val="006416B1"/>
    <w:rsid w:val="0064180B"/>
    <w:rsid w:val="006418A6"/>
    <w:rsid w:val="00641C36"/>
    <w:rsid w:val="00641D4D"/>
    <w:rsid w:val="00641D7E"/>
    <w:rsid w:val="00641E31"/>
    <w:rsid w:val="006420A9"/>
    <w:rsid w:val="00642130"/>
    <w:rsid w:val="00642319"/>
    <w:rsid w:val="006425F8"/>
    <w:rsid w:val="00642606"/>
    <w:rsid w:val="0064280E"/>
    <w:rsid w:val="006429CC"/>
    <w:rsid w:val="00642A68"/>
    <w:rsid w:val="00642AD7"/>
    <w:rsid w:val="00642B87"/>
    <w:rsid w:val="00642BEA"/>
    <w:rsid w:val="00642E74"/>
    <w:rsid w:val="00642E91"/>
    <w:rsid w:val="00642F28"/>
    <w:rsid w:val="00643260"/>
    <w:rsid w:val="006432E9"/>
    <w:rsid w:val="006433F9"/>
    <w:rsid w:val="0064361A"/>
    <w:rsid w:val="00643669"/>
    <w:rsid w:val="00643965"/>
    <w:rsid w:val="006439D4"/>
    <w:rsid w:val="00643AC7"/>
    <w:rsid w:val="00643B63"/>
    <w:rsid w:val="00643BB9"/>
    <w:rsid w:val="00643F8C"/>
    <w:rsid w:val="00644011"/>
    <w:rsid w:val="00644025"/>
    <w:rsid w:val="00644318"/>
    <w:rsid w:val="00644357"/>
    <w:rsid w:val="0064437B"/>
    <w:rsid w:val="006444B2"/>
    <w:rsid w:val="00644526"/>
    <w:rsid w:val="00644640"/>
    <w:rsid w:val="00644664"/>
    <w:rsid w:val="00644671"/>
    <w:rsid w:val="00644757"/>
    <w:rsid w:val="00644A5B"/>
    <w:rsid w:val="00644A8F"/>
    <w:rsid w:val="00644BB7"/>
    <w:rsid w:val="00644BF8"/>
    <w:rsid w:val="00644DFF"/>
    <w:rsid w:val="00644E21"/>
    <w:rsid w:val="00644E51"/>
    <w:rsid w:val="00644E92"/>
    <w:rsid w:val="00644F9A"/>
    <w:rsid w:val="00645063"/>
    <w:rsid w:val="006450A4"/>
    <w:rsid w:val="006453BB"/>
    <w:rsid w:val="006453C1"/>
    <w:rsid w:val="006454C6"/>
    <w:rsid w:val="00645792"/>
    <w:rsid w:val="00645835"/>
    <w:rsid w:val="006458E7"/>
    <w:rsid w:val="0064598A"/>
    <w:rsid w:val="00645A4A"/>
    <w:rsid w:val="00645C5B"/>
    <w:rsid w:val="00645D3E"/>
    <w:rsid w:val="00645D6F"/>
    <w:rsid w:val="00645F4A"/>
    <w:rsid w:val="00645F72"/>
    <w:rsid w:val="00646081"/>
    <w:rsid w:val="00646311"/>
    <w:rsid w:val="0064637A"/>
    <w:rsid w:val="006463BD"/>
    <w:rsid w:val="006464CD"/>
    <w:rsid w:val="006466BD"/>
    <w:rsid w:val="00646737"/>
    <w:rsid w:val="006469EB"/>
    <w:rsid w:val="006469F1"/>
    <w:rsid w:val="00646C3A"/>
    <w:rsid w:val="00646CA5"/>
    <w:rsid w:val="00646CB2"/>
    <w:rsid w:val="00646D82"/>
    <w:rsid w:val="00647039"/>
    <w:rsid w:val="00647171"/>
    <w:rsid w:val="006471F9"/>
    <w:rsid w:val="0064722F"/>
    <w:rsid w:val="0064727A"/>
    <w:rsid w:val="006472DB"/>
    <w:rsid w:val="00647347"/>
    <w:rsid w:val="00647376"/>
    <w:rsid w:val="0064739B"/>
    <w:rsid w:val="0064742D"/>
    <w:rsid w:val="00647573"/>
    <w:rsid w:val="00647853"/>
    <w:rsid w:val="0064787B"/>
    <w:rsid w:val="00647922"/>
    <w:rsid w:val="00647A99"/>
    <w:rsid w:val="00647E75"/>
    <w:rsid w:val="00650048"/>
    <w:rsid w:val="006501EE"/>
    <w:rsid w:val="00650208"/>
    <w:rsid w:val="006502F1"/>
    <w:rsid w:val="0065036E"/>
    <w:rsid w:val="006503FC"/>
    <w:rsid w:val="0065042C"/>
    <w:rsid w:val="0065042F"/>
    <w:rsid w:val="00650483"/>
    <w:rsid w:val="006505B6"/>
    <w:rsid w:val="006505D7"/>
    <w:rsid w:val="00650797"/>
    <w:rsid w:val="006509E6"/>
    <w:rsid w:val="00650A97"/>
    <w:rsid w:val="00650B36"/>
    <w:rsid w:val="00650B45"/>
    <w:rsid w:val="00650BB5"/>
    <w:rsid w:val="00650D85"/>
    <w:rsid w:val="0065103A"/>
    <w:rsid w:val="00651394"/>
    <w:rsid w:val="006517F0"/>
    <w:rsid w:val="006518C1"/>
    <w:rsid w:val="006519EC"/>
    <w:rsid w:val="00651D17"/>
    <w:rsid w:val="00651D76"/>
    <w:rsid w:val="00651E8D"/>
    <w:rsid w:val="00651F24"/>
    <w:rsid w:val="00651FCA"/>
    <w:rsid w:val="0065228F"/>
    <w:rsid w:val="00652355"/>
    <w:rsid w:val="0065236C"/>
    <w:rsid w:val="00652375"/>
    <w:rsid w:val="006523AB"/>
    <w:rsid w:val="0065258B"/>
    <w:rsid w:val="00652723"/>
    <w:rsid w:val="0065279D"/>
    <w:rsid w:val="006527D7"/>
    <w:rsid w:val="00652897"/>
    <w:rsid w:val="006528C9"/>
    <w:rsid w:val="00652AD2"/>
    <w:rsid w:val="00652AE6"/>
    <w:rsid w:val="00652CCB"/>
    <w:rsid w:val="00652E66"/>
    <w:rsid w:val="0065302E"/>
    <w:rsid w:val="0065307C"/>
    <w:rsid w:val="0065318A"/>
    <w:rsid w:val="0065331A"/>
    <w:rsid w:val="0065346D"/>
    <w:rsid w:val="0065377B"/>
    <w:rsid w:val="00653973"/>
    <w:rsid w:val="0065397F"/>
    <w:rsid w:val="006539DF"/>
    <w:rsid w:val="00653ACC"/>
    <w:rsid w:val="00653CE3"/>
    <w:rsid w:val="00653E2D"/>
    <w:rsid w:val="00653E5B"/>
    <w:rsid w:val="006542A6"/>
    <w:rsid w:val="0065432C"/>
    <w:rsid w:val="0065435C"/>
    <w:rsid w:val="006543E9"/>
    <w:rsid w:val="00654927"/>
    <w:rsid w:val="00654A15"/>
    <w:rsid w:val="00654A32"/>
    <w:rsid w:val="00654A69"/>
    <w:rsid w:val="00654B17"/>
    <w:rsid w:val="00654B30"/>
    <w:rsid w:val="00654CDA"/>
    <w:rsid w:val="00654D98"/>
    <w:rsid w:val="00654EE4"/>
    <w:rsid w:val="00654F51"/>
    <w:rsid w:val="00654F82"/>
    <w:rsid w:val="006550E2"/>
    <w:rsid w:val="006552A4"/>
    <w:rsid w:val="00655527"/>
    <w:rsid w:val="00655530"/>
    <w:rsid w:val="00655546"/>
    <w:rsid w:val="00655638"/>
    <w:rsid w:val="00655677"/>
    <w:rsid w:val="006557D0"/>
    <w:rsid w:val="0065587A"/>
    <w:rsid w:val="0065599B"/>
    <w:rsid w:val="00655B04"/>
    <w:rsid w:val="00655BF3"/>
    <w:rsid w:val="00655C09"/>
    <w:rsid w:val="00655D48"/>
    <w:rsid w:val="00656111"/>
    <w:rsid w:val="006562BE"/>
    <w:rsid w:val="00656561"/>
    <w:rsid w:val="00656655"/>
    <w:rsid w:val="006567FB"/>
    <w:rsid w:val="006569C2"/>
    <w:rsid w:val="00656B90"/>
    <w:rsid w:val="00656DD5"/>
    <w:rsid w:val="00656DF8"/>
    <w:rsid w:val="0065700A"/>
    <w:rsid w:val="006570D6"/>
    <w:rsid w:val="0065725C"/>
    <w:rsid w:val="0065740A"/>
    <w:rsid w:val="00657489"/>
    <w:rsid w:val="006575FD"/>
    <w:rsid w:val="00657817"/>
    <w:rsid w:val="006578CE"/>
    <w:rsid w:val="00657A96"/>
    <w:rsid w:val="00657B72"/>
    <w:rsid w:val="00657B7E"/>
    <w:rsid w:val="00657CD2"/>
    <w:rsid w:val="00657E76"/>
    <w:rsid w:val="00657F61"/>
    <w:rsid w:val="00660017"/>
    <w:rsid w:val="006600AA"/>
    <w:rsid w:val="006601AD"/>
    <w:rsid w:val="006603BC"/>
    <w:rsid w:val="006603EA"/>
    <w:rsid w:val="00660669"/>
    <w:rsid w:val="00660696"/>
    <w:rsid w:val="006606D0"/>
    <w:rsid w:val="006606F0"/>
    <w:rsid w:val="00660704"/>
    <w:rsid w:val="006607B5"/>
    <w:rsid w:val="006607C4"/>
    <w:rsid w:val="006608D3"/>
    <w:rsid w:val="006608FF"/>
    <w:rsid w:val="00660AB3"/>
    <w:rsid w:val="00660D16"/>
    <w:rsid w:val="00661238"/>
    <w:rsid w:val="006613F7"/>
    <w:rsid w:val="006613FE"/>
    <w:rsid w:val="006614A6"/>
    <w:rsid w:val="006614AD"/>
    <w:rsid w:val="006614FB"/>
    <w:rsid w:val="0066160E"/>
    <w:rsid w:val="006618A0"/>
    <w:rsid w:val="006619BB"/>
    <w:rsid w:val="00661A10"/>
    <w:rsid w:val="00661B3D"/>
    <w:rsid w:val="00661BA0"/>
    <w:rsid w:val="00661D0E"/>
    <w:rsid w:val="00661D6E"/>
    <w:rsid w:val="00661E6C"/>
    <w:rsid w:val="00661FB6"/>
    <w:rsid w:val="00662159"/>
    <w:rsid w:val="00662210"/>
    <w:rsid w:val="0066233B"/>
    <w:rsid w:val="006623A1"/>
    <w:rsid w:val="00662657"/>
    <w:rsid w:val="00662718"/>
    <w:rsid w:val="00662794"/>
    <w:rsid w:val="00662861"/>
    <w:rsid w:val="00662B09"/>
    <w:rsid w:val="00662B8A"/>
    <w:rsid w:val="00662C71"/>
    <w:rsid w:val="00662DC7"/>
    <w:rsid w:val="00662F30"/>
    <w:rsid w:val="00663070"/>
    <w:rsid w:val="006635E3"/>
    <w:rsid w:val="00663670"/>
    <w:rsid w:val="006638C4"/>
    <w:rsid w:val="006639CC"/>
    <w:rsid w:val="00663A59"/>
    <w:rsid w:val="00663B5A"/>
    <w:rsid w:val="00663C99"/>
    <w:rsid w:val="00664045"/>
    <w:rsid w:val="0066409B"/>
    <w:rsid w:val="006640E1"/>
    <w:rsid w:val="006642A5"/>
    <w:rsid w:val="00664343"/>
    <w:rsid w:val="00664360"/>
    <w:rsid w:val="0066449F"/>
    <w:rsid w:val="00664968"/>
    <w:rsid w:val="00664C75"/>
    <w:rsid w:val="00664C91"/>
    <w:rsid w:val="00664F48"/>
    <w:rsid w:val="00664F59"/>
    <w:rsid w:val="00664F64"/>
    <w:rsid w:val="006651BD"/>
    <w:rsid w:val="006651BF"/>
    <w:rsid w:val="00665282"/>
    <w:rsid w:val="006655F3"/>
    <w:rsid w:val="006656B3"/>
    <w:rsid w:val="006659B8"/>
    <w:rsid w:val="00665C14"/>
    <w:rsid w:val="00665C8C"/>
    <w:rsid w:val="00665D17"/>
    <w:rsid w:val="00665DA0"/>
    <w:rsid w:val="00665E27"/>
    <w:rsid w:val="00665FC4"/>
    <w:rsid w:val="0066639E"/>
    <w:rsid w:val="006663EB"/>
    <w:rsid w:val="0066656B"/>
    <w:rsid w:val="006665BD"/>
    <w:rsid w:val="00666714"/>
    <w:rsid w:val="00666817"/>
    <w:rsid w:val="00666821"/>
    <w:rsid w:val="00666925"/>
    <w:rsid w:val="00666987"/>
    <w:rsid w:val="00666A01"/>
    <w:rsid w:val="00666B63"/>
    <w:rsid w:val="00666DD6"/>
    <w:rsid w:val="00666E36"/>
    <w:rsid w:val="00666E65"/>
    <w:rsid w:val="00666FEC"/>
    <w:rsid w:val="0066700D"/>
    <w:rsid w:val="00667078"/>
    <w:rsid w:val="00667136"/>
    <w:rsid w:val="006673AC"/>
    <w:rsid w:val="006673E8"/>
    <w:rsid w:val="0066771D"/>
    <w:rsid w:val="00667747"/>
    <w:rsid w:val="0066798F"/>
    <w:rsid w:val="00667A92"/>
    <w:rsid w:val="00667B2B"/>
    <w:rsid w:val="00667B71"/>
    <w:rsid w:val="00667EE7"/>
    <w:rsid w:val="006700A6"/>
    <w:rsid w:val="00670149"/>
    <w:rsid w:val="006704D4"/>
    <w:rsid w:val="00670548"/>
    <w:rsid w:val="0067089D"/>
    <w:rsid w:val="006708A5"/>
    <w:rsid w:val="00670988"/>
    <w:rsid w:val="00670A33"/>
    <w:rsid w:val="00670AB5"/>
    <w:rsid w:val="00670ADF"/>
    <w:rsid w:val="00670B14"/>
    <w:rsid w:val="00670B18"/>
    <w:rsid w:val="00670C86"/>
    <w:rsid w:val="00670D03"/>
    <w:rsid w:val="00670D4E"/>
    <w:rsid w:val="00670D9C"/>
    <w:rsid w:val="00670E41"/>
    <w:rsid w:val="00670E82"/>
    <w:rsid w:val="00670F7D"/>
    <w:rsid w:val="00670FB9"/>
    <w:rsid w:val="006712EE"/>
    <w:rsid w:val="00671456"/>
    <w:rsid w:val="0067156E"/>
    <w:rsid w:val="0067166A"/>
    <w:rsid w:val="006716A8"/>
    <w:rsid w:val="00671726"/>
    <w:rsid w:val="00671A43"/>
    <w:rsid w:val="00671B7B"/>
    <w:rsid w:val="00671CB7"/>
    <w:rsid w:val="00671D01"/>
    <w:rsid w:val="00671D2B"/>
    <w:rsid w:val="00671DEE"/>
    <w:rsid w:val="00671EC0"/>
    <w:rsid w:val="00671F13"/>
    <w:rsid w:val="00671FC9"/>
    <w:rsid w:val="0067205E"/>
    <w:rsid w:val="0067221E"/>
    <w:rsid w:val="00672248"/>
    <w:rsid w:val="00672300"/>
    <w:rsid w:val="00672331"/>
    <w:rsid w:val="0067243E"/>
    <w:rsid w:val="006724EC"/>
    <w:rsid w:val="00672753"/>
    <w:rsid w:val="00672775"/>
    <w:rsid w:val="006727EA"/>
    <w:rsid w:val="0067296E"/>
    <w:rsid w:val="00672ED0"/>
    <w:rsid w:val="00672FD0"/>
    <w:rsid w:val="00673167"/>
    <w:rsid w:val="00673346"/>
    <w:rsid w:val="006734D1"/>
    <w:rsid w:val="00673556"/>
    <w:rsid w:val="0067363E"/>
    <w:rsid w:val="00673660"/>
    <w:rsid w:val="0067375E"/>
    <w:rsid w:val="0067379C"/>
    <w:rsid w:val="00673887"/>
    <w:rsid w:val="00673A5C"/>
    <w:rsid w:val="00673B96"/>
    <w:rsid w:val="00673BD8"/>
    <w:rsid w:val="00673C6C"/>
    <w:rsid w:val="00673C91"/>
    <w:rsid w:val="00673D71"/>
    <w:rsid w:val="00673F24"/>
    <w:rsid w:val="006742EB"/>
    <w:rsid w:val="0067436C"/>
    <w:rsid w:val="00674642"/>
    <w:rsid w:val="00674707"/>
    <w:rsid w:val="00674759"/>
    <w:rsid w:val="0067475A"/>
    <w:rsid w:val="00674830"/>
    <w:rsid w:val="00674906"/>
    <w:rsid w:val="00674AAD"/>
    <w:rsid w:val="00674F39"/>
    <w:rsid w:val="00674F47"/>
    <w:rsid w:val="00674F4F"/>
    <w:rsid w:val="00674F55"/>
    <w:rsid w:val="00674FF9"/>
    <w:rsid w:val="00675090"/>
    <w:rsid w:val="006750D6"/>
    <w:rsid w:val="00675176"/>
    <w:rsid w:val="006751FC"/>
    <w:rsid w:val="0067525A"/>
    <w:rsid w:val="006752D6"/>
    <w:rsid w:val="0067538A"/>
    <w:rsid w:val="006753BC"/>
    <w:rsid w:val="006754B5"/>
    <w:rsid w:val="0067562E"/>
    <w:rsid w:val="0067569D"/>
    <w:rsid w:val="0067571B"/>
    <w:rsid w:val="0067588A"/>
    <w:rsid w:val="00675AC9"/>
    <w:rsid w:val="00675B8B"/>
    <w:rsid w:val="00675E82"/>
    <w:rsid w:val="00675EDD"/>
    <w:rsid w:val="00675EE5"/>
    <w:rsid w:val="0067601E"/>
    <w:rsid w:val="00676117"/>
    <w:rsid w:val="0067615F"/>
    <w:rsid w:val="006761A7"/>
    <w:rsid w:val="006761AB"/>
    <w:rsid w:val="0067621C"/>
    <w:rsid w:val="00676311"/>
    <w:rsid w:val="0067637F"/>
    <w:rsid w:val="00676593"/>
    <w:rsid w:val="006765CD"/>
    <w:rsid w:val="006765D0"/>
    <w:rsid w:val="006766C2"/>
    <w:rsid w:val="00676843"/>
    <w:rsid w:val="00676905"/>
    <w:rsid w:val="00676907"/>
    <w:rsid w:val="00676951"/>
    <w:rsid w:val="00676C39"/>
    <w:rsid w:val="00676D8C"/>
    <w:rsid w:val="00676F21"/>
    <w:rsid w:val="00676F48"/>
    <w:rsid w:val="00677037"/>
    <w:rsid w:val="00677124"/>
    <w:rsid w:val="006771EE"/>
    <w:rsid w:val="00677506"/>
    <w:rsid w:val="006775F5"/>
    <w:rsid w:val="0067770B"/>
    <w:rsid w:val="00677808"/>
    <w:rsid w:val="0067782E"/>
    <w:rsid w:val="00677849"/>
    <w:rsid w:val="00677A9B"/>
    <w:rsid w:val="00677B51"/>
    <w:rsid w:val="00677BA7"/>
    <w:rsid w:val="00677C9D"/>
    <w:rsid w:val="00677D48"/>
    <w:rsid w:val="00680114"/>
    <w:rsid w:val="00680298"/>
    <w:rsid w:val="0068068D"/>
    <w:rsid w:val="006806AE"/>
    <w:rsid w:val="00680713"/>
    <w:rsid w:val="006808FC"/>
    <w:rsid w:val="00680919"/>
    <w:rsid w:val="006809B8"/>
    <w:rsid w:val="00680B62"/>
    <w:rsid w:val="00680CEC"/>
    <w:rsid w:val="00680CED"/>
    <w:rsid w:val="00680E05"/>
    <w:rsid w:val="00680E2F"/>
    <w:rsid w:val="00680E50"/>
    <w:rsid w:val="00680F0E"/>
    <w:rsid w:val="00681157"/>
    <w:rsid w:val="0068117F"/>
    <w:rsid w:val="006811E3"/>
    <w:rsid w:val="00681234"/>
    <w:rsid w:val="0068128C"/>
    <w:rsid w:val="006818F1"/>
    <w:rsid w:val="0068194E"/>
    <w:rsid w:val="00681D68"/>
    <w:rsid w:val="00681DCE"/>
    <w:rsid w:val="00681E9F"/>
    <w:rsid w:val="00682293"/>
    <w:rsid w:val="006823B4"/>
    <w:rsid w:val="00682994"/>
    <w:rsid w:val="00682A7A"/>
    <w:rsid w:val="00682CF8"/>
    <w:rsid w:val="00682DDA"/>
    <w:rsid w:val="00682EA7"/>
    <w:rsid w:val="006830B9"/>
    <w:rsid w:val="0068312A"/>
    <w:rsid w:val="006831D5"/>
    <w:rsid w:val="00683464"/>
    <w:rsid w:val="006834E0"/>
    <w:rsid w:val="0068351A"/>
    <w:rsid w:val="006836BE"/>
    <w:rsid w:val="00683CF4"/>
    <w:rsid w:val="00683DE8"/>
    <w:rsid w:val="00683E1A"/>
    <w:rsid w:val="00683FA3"/>
    <w:rsid w:val="006845C3"/>
    <w:rsid w:val="00684678"/>
    <w:rsid w:val="006846E9"/>
    <w:rsid w:val="0068482B"/>
    <w:rsid w:val="00684A68"/>
    <w:rsid w:val="00684AD4"/>
    <w:rsid w:val="00684E3A"/>
    <w:rsid w:val="00684EAF"/>
    <w:rsid w:val="00684EB2"/>
    <w:rsid w:val="00684EC3"/>
    <w:rsid w:val="00684FA9"/>
    <w:rsid w:val="00684FB8"/>
    <w:rsid w:val="0068521D"/>
    <w:rsid w:val="0068529E"/>
    <w:rsid w:val="00685324"/>
    <w:rsid w:val="00685453"/>
    <w:rsid w:val="006858A4"/>
    <w:rsid w:val="006858AC"/>
    <w:rsid w:val="00685A82"/>
    <w:rsid w:val="00685C13"/>
    <w:rsid w:val="00685CC4"/>
    <w:rsid w:val="00685DDC"/>
    <w:rsid w:val="00686056"/>
    <w:rsid w:val="006860DA"/>
    <w:rsid w:val="006863E1"/>
    <w:rsid w:val="00686477"/>
    <w:rsid w:val="006864A0"/>
    <w:rsid w:val="00686530"/>
    <w:rsid w:val="00686556"/>
    <w:rsid w:val="006867D6"/>
    <w:rsid w:val="006867F1"/>
    <w:rsid w:val="00686893"/>
    <w:rsid w:val="0068690F"/>
    <w:rsid w:val="00686963"/>
    <w:rsid w:val="0068699F"/>
    <w:rsid w:val="006869BD"/>
    <w:rsid w:val="00686B0A"/>
    <w:rsid w:val="00686B43"/>
    <w:rsid w:val="00686BC3"/>
    <w:rsid w:val="00686D7A"/>
    <w:rsid w:val="00686DA3"/>
    <w:rsid w:val="00686EF9"/>
    <w:rsid w:val="00686F7C"/>
    <w:rsid w:val="00686F7F"/>
    <w:rsid w:val="00687002"/>
    <w:rsid w:val="006870B0"/>
    <w:rsid w:val="006870D1"/>
    <w:rsid w:val="006871A4"/>
    <w:rsid w:val="00687270"/>
    <w:rsid w:val="00687346"/>
    <w:rsid w:val="006873D7"/>
    <w:rsid w:val="00687450"/>
    <w:rsid w:val="00687710"/>
    <w:rsid w:val="00687967"/>
    <w:rsid w:val="0068797E"/>
    <w:rsid w:val="006879C7"/>
    <w:rsid w:val="00687A25"/>
    <w:rsid w:val="00687CCD"/>
    <w:rsid w:val="00687D9D"/>
    <w:rsid w:val="00687DCE"/>
    <w:rsid w:val="00687EC6"/>
    <w:rsid w:val="00690111"/>
    <w:rsid w:val="0069057E"/>
    <w:rsid w:val="006905EC"/>
    <w:rsid w:val="00690904"/>
    <w:rsid w:val="00690ABF"/>
    <w:rsid w:val="00690D13"/>
    <w:rsid w:val="00690DCD"/>
    <w:rsid w:val="00690E3C"/>
    <w:rsid w:val="00690EB3"/>
    <w:rsid w:val="00690ED7"/>
    <w:rsid w:val="00690F38"/>
    <w:rsid w:val="00690FF1"/>
    <w:rsid w:val="00691049"/>
    <w:rsid w:val="00691321"/>
    <w:rsid w:val="00691370"/>
    <w:rsid w:val="006913EC"/>
    <w:rsid w:val="0069146D"/>
    <w:rsid w:val="0069149F"/>
    <w:rsid w:val="00691553"/>
    <w:rsid w:val="00691590"/>
    <w:rsid w:val="00691613"/>
    <w:rsid w:val="006916C3"/>
    <w:rsid w:val="006916DB"/>
    <w:rsid w:val="00691717"/>
    <w:rsid w:val="006918CB"/>
    <w:rsid w:val="006918DE"/>
    <w:rsid w:val="00691949"/>
    <w:rsid w:val="00691956"/>
    <w:rsid w:val="00691B05"/>
    <w:rsid w:val="00691B23"/>
    <w:rsid w:val="00691C05"/>
    <w:rsid w:val="00691C32"/>
    <w:rsid w:val="00691C8F"/>
    <w:rsid w:val="00691C99"/>
    <w:rsid w:val="00691CF8"/>
    <w:rsid w:val="00691E61"/>
    <w:rsid w:val="00691E92"/>
    <w:rsid w:val="0069204A"/>
    <w:rsid w:val="00692233"/>
    <w:rsid w:val="00692349"/>
    <w:rsid w:val="00692369"/>
    <w:rsid w:val="006923E4"/>
    <w:rsid w:val="00692782"/>
    <w:rsid w:val="00692812"/>
    <w:rsid w:val="00692958"/>
    <w:rsid w:val="00692BA1"/>
    <w:rsid w:val="00692D12"/>
    <w:rsid w:val="00692F62"/>
    <w:rsid w:val="00692FA4"/>
    <w:rsid w:val="006930CE"/>
    <w:rsid w:val="00693178"/>
    <w:rsid w:val="006931CA"/>
    <w:rsid w:val="006931D9"/>
    <w:rsid w:val="006934CB"/>
    <w:rsid w:val="0069366C"/>
    <w:rsid w:val="00693911"/>
    <w:rsid w:val="006939E9"/>
    <w:rsid w:val="00693A53"/>
    <w:rsid w:val="00693A8E"/>
    <w:rsid w:val="00693C9F"/>
    <w:rsid w:val="0069414F"/>
    <w:rsid w:val="006941F0"/>
    <w:rsid w:val="006942AB"/>
    <w:rsid w:val="00694337"/>
    <w:rsid w:val="00694544"/>
    <w:rsid w:val="00694723"/>
    <w:rsid w:val="0069486A"/>
    <w:rsid w:val="00694A04"/>
    <w:rsid w:val="00694A55"/>
    <w:rsid w:val="00694BD9"/>
    <w:rsid w:val="00694C1C"/>
    <w:rsid w:val="00694C34"/>
    <w:rsid w:val="00694ED0"/>
    <w:rsid w:val="00694F9F"/>
    <w:rsid w:val="006954A0"/>
    <w:rsid w:val="00695575"/>
    <w:rsid w:val="00695628"/>
    <w:rsid w:val="0069566B"/>
    <w:rsid w:val="0069569E"/>
    <w:rsid w:val="00695790"/>
    <w:rsid w:val="006957A1"/>
    <w:rsid w:val="0069591D"/>
    <w:rsid w:val="006959CF"/>
    <w:rsid w:val="00695D81"/>
    <w:rsid w:val="00695DBF"/>
    <w:rsid w:val="00696132"/>
    <w:rsid w:val="006961FB"/>
    <w:rsid w:val="00696291"/>
    <w:rsid w:val="006964DD"/>
    <w:rsid w:val="0069665A"/>
    <w:rsid w:val="00696901"/>
    <w:rsid w:val="00696A75"/>
    <w:rsid w:val="00696A84"/>
    <w:rsid w:val="00696A91"/>
    <w:rsid w:val="00696AEB"/>
    <w:rsid w:val="00696BAC"/>
    <w:rsid w:val="00696CF9"/>
    <w:rsid w:val="00696E71"/>
    <w:rsid w:val="00696E73"/>
    <w:rsid w:val="00696EBB"/>
    <w:rsid w:val="00696ED4"/>
    <w:rsid w:val="00696F04"/>
    <w:rsid w:val="00696F1B"/>
    <w:rsid w:val="00697202"/>
    <w:rsid w:val="00697496"/>
    <w:rsid w:val="006974CF"/>
    <w:rsid w:val="006975A2"/>
    <w:rsid w:val="006975BB"/>
    <w:rsid w:val="00697607"/>
    <w:rsid w:val="0069763B"/>
    <w:rsid w:val="00697702"/>
    <w:rsid w:val="00697A9E"/>
    <w:rsid w:val="00697B7E"/>
    <w:rsid w:val="00697C4B"/>
    <w:rsid w:val="00697C58"/>
    <w:rsid w:val="00697C96"/>
    <w:rsid w:val="00697CF8"/>
    <w:rsid w:val="00697E62"/>
    <w:rsid w:val="006A03A2"/>
    <w:rsid w:val="006A047A"/>
    <w:rsid w:val="006A047B"/>
    <w:rsid w:val="006A0486"/>
    <w:rsid w:val="006A059C"/>
    <w:rsid w:val="006A0769"/>
    <w:rsid w:val="006A078F"/>
    <w:rsid w:val="006A080B"/>
    <w:rsid w:val="006A08AD"/>
    <w:rsid w:val="006A08BC"/>
    <w:rsid w:val="006A0972"/>
    <w:rsid w:val="006A0A29"/>
    <w:rsid w:val="006A0ACD"/>
    <w:rsid w:val="006A0BF7"/>
    <w:rsid w:val="006A0CCF"/>
    <w:rsid w:val="006A0EE4"/>
    <w:rsid w:val="006A0FEF"/>
    <w:rsid w:val="006A1103"/>
    <w:rsid w:val="006A11E6"/>
    <w:rsid w:val="006A12E4"/>
    <w:rsid w:val="006A1475"/>
    <w:rsid w:val="006A1483"/>
    <w:rsid w:val="006A14E7"/>
    <w:rsid w:val="006A150B"/>
    <w:rsid w:val="006A1515"/>
    <w:rsid w:val="006A15DD"/>
    <w:rsid w:val="006A177F"/>
    <w:rsid w:val="006A19EB"/>
    <w:rsid w:val="006A1B86"/>
    <w:rsid w:val="006A1BC6"/>
    <w:rsid w:val="006A1C85"/>
    <w:rsid w:val="006A1D9E"/>
    <w:rsid w:val="006A1DB3"/>
    <w:rsid w:val="006A1E9F"/>
    <w:rsid w:val="006A1F49"/>
    <w:rsid w:val="006A20CE"/>
    <w:rsid w:val="006A22BE"/>
    <w:rsid w:val="006A231E"/>
    <w:rsid w:val="006A2452"/>
    <w:rsid w:val="006A24F7"/>
    <w:rsid w:val="006A2600"/>
    <w:rsid w:val="006A280D"/>
    <w:rsid w:val="006A29E3"/>
    <w:rsid w:val="006A2AEF"/>
    <w:rsid w:val="006A2B44"/>
    <w:rsid w:val="006A2C1A"/>
    <w:rsid w:val="006A2DA6"/>
    <w:rsid w:val="006A2DE3"/>
    <w:rsid w:val="006A2EDF"/>
    <w:rsid w:val="006A3079"/>
    <w:rsid w:val="006A30D4"/>
    <w:rsid w:val="006A317F"/>
    <w:rsid w:val="006A32DB"/>
    <w:rsid w:val="006A33CE"/>
    <w:rsid w:val="006A3441"/>
    <w:rsid w:val="006A35D4"/>
    <w:rsid w:val="006A35FB"/>
    <w:rsid w:val="006A38F9"/>
    <w:rsid w:val="006A3C06"/>
    <w:rsid w:val="006A3D92"/>
    <w:rsid w:val="006A3F64"/>
    <w:rsid w:val="006A4285"/>
    <w:rsid w:val="006A465E"/>
    <w:rsid w:val="006A473D"/>
    <w:rsid w:val="006A488E"/>
    <w:rsid w:val="006A493D"/>
    <w:rsid w:val="006A4A01"/>
    <w:rsid w:val="006A4C22"/>
    <w:rsid w:val="006A50B3"/>
    <w:rsid w:val="006A50C2"/>
    <w:rsid w:val="006A5313"/>
    <w:rsid w:val="006A53B3"/>
    <w:rsid w:val="006A53F4"/>
    <w:rsid w:val="006A549B"/>
    <w:rsid w:val="006A5656"/>
    <w:rsid w:val="006A565C"/>
    <w:rsid w:val="006A5682"/>
    <w:rsid w:val="006A579E"/>
    <w:rsid w:val="006A58FD"/>
    <w:rsid w:val="006A5A08"/>
    <w:rsid w:val="006A5BA6"/>
    <w:rsid w:val="006A5C62"/>
    <w:rsid w:val="006A5C91"/>
    <w:rsid w:val="006A5D17"/>
    <w:rsid w:val="006A5D53"/>
    <w:rsid w:val="006A609C"/>
    <w:rsid w:val="006A61A3"/>
    <w:rsid w:val="006A6306"/>
    <w:rsid w:val="006A6387"/>
    <w:rsid w:val="006A6406"/>
    <w:rsid w:val="006A67DC"/>
    <w:rsid w:val="006A683E"/>
    <w:rsid w:val="006A691C"/>
    <w:rsid w:val="006A6A4A"/>
    <w:rsid w:val="006A6B0E"/>
    <w:rsid w:val="006A6B2C"/>
    <w:rsid w:val="006A6B53"/>
    <w:rsid w:val="006A6DBB"/>
    <w:rsid w:val="006A6EAF"/>
    <w:rsid w:val="006A7016"/>
    <w:rsid w:val="006A7033"/>
    <w:rsid w:val="006A7077"/>
    <w:rsid w:val="006A7371"/>
    <w:rsid w:val="006A73C6"/>
    <w:rsid w:val="006A77CA"/>
    <w:rsid w:val="006A77F4"/>
    <w:rsid w:val="006A783C"/>
    <w:rsid w:val="006A7A55"/>
    <w:rsid w:val="006A7D63"/>
    <w:rsid w:val="006A7F4A"/>
    <w:rsid w:val="006B0075"/>
    <w:rsid w:val="006B0084"/>
    <w:rsid w:val="006B017C"/>
    <w:rsid w:val="006B0306"/>
    <w:rsid w:val="006B0356"/>
    <w:rsid w:val="006B044E"/>
    <w:rsid w:val="006B0452"/>
    <w:rsid w:val="006B0454"/>
    <w:rsid w:val="006B0491"/>
    <w:rsid w:val="006B04D6"/>
    <w:rsid w:val="006B04F0"/>
    <w:rsid w:val="006B0513"/>
    <w:rsid w:val="006B0652"/>
    <w:rsid w:val="006B0681"/>
    <w:rsid w:val="006B07EA"/>
    <w:rsid w:val="006B081E"/>
    <w:rsid w:val="006B085F"/>
    <w:rsid w:val="006B0AB8"/>
    <w:rsid w:val="006B0B84"/>
    <w:rsid w:val="006B0CE3"/>
    <w:rsid w:val="006B0E17"/>
    <w:rsid w:val="006B0E22"/>
    <w:rsid w:val="006B0E48"/>
    <w:rsid w:val="006B106F"/>
    <w:rsid w:val="006B10E6"/>
    <w:rsid w:val="006B1242"/>
    <w:rsid w:val="006B1271"/>
    <w:rsid w:val="006B127E"/>
    <w:rsid w:val="006B15A4"/>
    <w:rsid w:val="006B15A7"/>
    <w:rsid w:val="006B15B4"/>
    <w:rsid w:val="006B162C"/>
    <w:rsid w:val="006B16E0"/>
    <w:rsid w:val="006B17DE"/>
    <w:rsid w:val="006B1920"/>
    <w:rsid w:val="006B1A1A"/>
    <w:rsid w:val="006B1A65"/>
    <w:rsid w:val="006B1A80"/>
    <w:rsid w:val="006B1C28"/>
    <w:rsid w:val="006B1D25"/>
    <w:rsid w:val="006B1DCB"/>
    <w:rsid w:val="006B1F41"/>
    <w:rsid w:val="006B208A"/>
    <w:rsid w:val="006B2142"/>
    <w:rsid w:val="006B2181"/>
    <w:rsid w:val="006B2189"/>
    <w:rsid w:val="006B2191"/>
    <w:rsid w:val="006B2297"/>
    <w:rsid w:val="006B22EA"/>
    <w:rsid w:val="006B247D"/>
    <w:rsid w:val="006B24BB"/>
    <w:rsid w:val="006B2837"/>
    <w:rsid w:val="006B2972"/>
    <w:rsid w:val="006B29A1"/>
    <w:rsid w:val="006B2AD2"/>
    <w:rsid w:val="006B2B29"/>
    <w:rsid w:val="006B2DD2"/>
    <w:rsid w:val="006B2E0C"/>
    <w:rsid w:val="006B2E1F"/>
    <w:rsid w:val="006B2F4F"/>
    <w:rsid w:val="006B305B"/>
    <w:rsid w:val="006B30A1"/>
    <w:rsid w:val="006B30D1"/>
    <w:rsid w:val="006B313F"/>
    <w:rsid w:val="006B33E4"/>
    <w:rsid w:val="006B34F2"/>
    <w:rsid w:val="006B3871"/>
    <w:rsid w:val="006B3905"/>
    <w:rsid w:val="006B392F"/>
    <w:rsid w:val="006B397A"/>
    <w:rsid w:val="006B39F9"/>
    <w:rsid w:val="006B3BCC"/>
    <w:rsid w:val="006B3F30"/>
    <w:rsid w:val="006B4002"/>
    <w:rsid w:val="006B428F"/>
    <w:rsid w:val="006B4481"/>
    <w:rsid w:val="006B4694"/>
    <w:rsid w:val="006B472F"/>
    <w:rsid w:val="006B4760"/>
    <w:rsid w:val="006B4816"/>
    <w:rsid w:val="006B4924"/>
    <w:rsid w:val="006B4CAB"/>
    <w:rsid w:val="006B4E69"/>
    <w:rsid w:val="006B503C"/>
    <w:rsid w:val="006B507F"/>
    <w:rsid w:val="006B513B"/>
    <w:rsid w:val="006B517A"/>
    <w:rsid w:val="006B518E"/>
    <w:rsid w:val="006B5202"/>
    <w:rsid w:val="006B552B"/>
    <w:rsid w:val="006B559B"/>
    <w:rsid w:val="006B55F9"/>
    <w:rsid w:val="006B5669"/>
    <w:rsid w:val="006B5935"/>
    <w:rsid w:val="006B599A"/>
    <w:rsid w:val="006B5C26"/>
    <w:rsid w:val="006B5D94"/>
    <w:rsid w:val="006B5D99"/>
    <w:rsid w:val="006B5D9E"/>
    <w:rsid w:val="006B5DA6"/>
    <w:rsid w:val="006B5EC2"/>
    <w:rsid w:val="006B5EFC"/>
    <w:rsid w:val="006B5F38"/>
    <w:rsid w:val="006B5FAD"/>
    <w:rsid w:val="006B6149"/>
    <w:rsid w:val="006B61C2"/>
    <w:rsid w:val="006B61DE"/>
    <w:rsid w:val="006B6347"/>
    <w:rsid w:val="006B6478"/>
    <w:rsid w:val="006B64E0"/>
    <w:rsid w:val="006B65BE"/>
    <w:rsid w:val="006B66B9"/>
    <w:rsid w:val="006B6725"/>
    <w:rsid w:val="006B6745"/>
    <w:rsid w:val="006B6975"/>
    <w:rsid w:val="006B6A5F"/>
    <w:rsid w:val="006B6B83"/>
    <w:rsid w:val="006B6BD5"/>
    <w:rsid w:val="006B6D0C"/>
    <w:rsid w:val="006B6D40"/>
    <w:rsid w:val="006B6E11"/>
    <w:rsid w:val="006B6E7F"/>
    <w:rsid w:val="006B6EC7"/>
    <w:rsid w:val="006B6F1B"/>
    <w:rsid w:val="006B6F5F"/>
    <w:rsid w:val="006B7288"/>
    <w:rsid w:val="006B7573"/>
    <w:rsid w:val="006B78CE"/>
    <w:rsid w:val="006B78F3"/>
    <w:rsid w:val="006B79A7"/>
    <w:rsid w:val="006B7A17"/>
    <w:rsid w:val="006B7B0B"/>
    <w:rsid w:val="006B7C81"/>
    <w:rsid w:val="006B7CA9"/>
    <w:rsid w:val="006B7E4A"/>
    <w:rsid w:val="006B7F9A"/>
    <w:rsid w:val="006C0219"/>
    <w:rsid w:val="006C02E4"/>
    <w:rsid w:val="006C0371"/>
    <w:rsid w:val="006C04EB"/>
    <w:rsid w:val="006C0568"/>
    <w:rsid w:val="006C05A2"/>
    <w:rsid w:val="006C06B3"/>
    <w:rsid w:val="006C06FD"/>
    <w:rsid w:val="006C0A82"/>
    <w:rsid w:val="006C0B05"/>
    <w:rsid w:val="006C0B10"/>
    <w:rsid w:val="006C0D93"/>
    <w:rsid w:val="006C0F2E"/>
    <w:rsid w:val="006C104C"/>
    <w:rsid w:val="006C1238"/>
    <w:rsid w:val="006C1249"/>
    <w:rsid w:val="006C1328"/>
    <w:rsid w:val="006C1484"/>
    <w:rsid w:val="006C1547"/>
    <w:rsid w:val="006C16FC"/>
    <w:rsid w:val="006C17A7"/>
    <w:rsid w:val="006C183E"/>
    <w:rsid w:val="006C18B2"/>
    <w:rsid w:val="006C19AE"/>
    <w:rsid w:val="006C1B91"/>
    <w:rsid w:val="006C1D64"/>
    <w:rsid w:val="006C1E54"/>
    <w:rsid w:val="006C1E79"/>
    <w:rsid w:val="006C1F42"/>
    <w:rsid w:val="006C1FCF"/>
    <w:rsid w:val="006C2019"/>
    <w:rsid w:val="006C2045"/>
    <w:rsid w:val="006C2124"/>
    <w:rsid w:val="006C2303"/>
    <w:rsid w:val="006C2309"/>
    <w:rsid w:val="006C2331"/>
    <w:rsid w:val="006C23AB"/>
    <w:rsid w:val="006C248A"/>
    <w:rsid w:val="006C2557"/>
    <w:rsid w:val="006C2641"/>
    <w:rsid w:val="006C2642"/>
    <w:rsid w:val="006C2770"/>
    <w:rsid w:val="006C27D8"/>
    <w:rsid w:val="006C27E7"/>
    <w:rsid w:val="006C27F3"/>
    <w:rsid w:val="006C2BEA"/>
    <w:rsid w:val="006C2DCF"/>
    <w:rsid w:val="006C300D"/>
    <w:rsid w:val="006C30EF"/>
    <w:rsid w:val="006C3180"/>
    <w:rsid w:val="006C31FB"/>
    <w:rsid w:val="006C33AC"/>
    <w:rsid w:val="006C3457"/>
    <w:rsid w:val="006C34BD"/>
    <w:rsid w:val="006C3680"/>
    <w:rsid w:val="006C37D7"/>
    <w:rsid w:val="006C3BA0"/>
    <w:rsid w:val="006C3BC7"/>
    <w:rsid w:val="006C3C12"/>
    <w:rsid w:val="006C3CC5"/>
    <w:rsid w:val="006C3CE5"/>
    <w:rsid w:val="006C3EA1"/>
    <w:rsid w:val="006C3EBB"/>
    <w:rsid w:val="006C3FBB"/>
    <w:rsid w:val="006C4241"/>
    <w:rsid w:val="006C4396"/>
    <w:rsid w:val="006C43DE"/>
    <w:rsid w:val="006C446F"/>
    <w:rsid w:val="006C4870"/>
    <w:rsid w:val="006C48C2"/>
    <w:rsid w:val="006C4A68"/>
    <w:rsid w:val="006C4B4F"/>
    <w:rsid w:val="006C4B53"/>
    <w:rsid w:val="006C4C02"/>
    <w:rsid w:val="006C4CB1"/>
    <w:rsid w:val="006C4CBE"/>
    <w:rsid w:val="006C4D95"/>
    <w:rsid w:val="006C4FE5"/>
    <w:rsid w:val="006C50A4"/>
    <w:rsid w:val="006C50FD"/>
    <w:rsid w:val="006C5183"/>
    <w:rsid w:val="006C53B2"/>
    <w:rsid w:val="006C53E6"/>
    <w:rsid w:val="006C5502"/>
    <w:rsid w:val="006C5618"/>
    <w:rsid w:val="006C580C"/>
    <w:rsid w:val="006C5986"/>
    <w:rsid w:val="006C5A43"/>
    <w:rsid w:val="006C5AD3"/>
    <w:rsid w:val="006C5B76"/>
    <w:rsid w:val="006C5D4F"/>
    <w:rsid w:val="006C6056"/>
    <w:rsid w:val="006C609D"/>
    <w:rsid w:val="006C617F"/>
    <w:rsid w:val="006C6328"/>
    <w:rsid w:val="006C6339"/>
    <w:rsid w:val="006C6495"/>
    <w:rsid w:val="006C65A3"/>
    <w:rsid w:val="006C6743"/>
    <w:rsid w:val="006C6776"/>
    <w:rsid w:val="006C680A"/>
    <w:rsid w:val="006C6845"/>
    <w:rsid w:val="006C69D3"/>
    <w:rsid w:val="006C6A50"/>
    <w:rsid w:val="006C6A88"/>
    <w:rsid w:val="006C6C47"/>
    <w:rsid w:val="006C6CEE"/>
    <w:rsid w:val="006C6FD2"/>
    <w:rsid w:val="006C717E"/>
    <w:rsid w:val="006C71B8"/>
    <w:rsid w:val="006C731F"/>
    <w:rsid w:val="006C74B8"/>
    <w:rsid w:val="006C74D1"/>
    <w:rsid w:val="006C7BA2"/>
    <w:rsid w:val="006C7CA3"/>
    <w:rsid w:val="006C7D63"/>
    <w:rsid w:val="006C7DF1"/>
    <w:rsid w:val="006C7FAE"/>
    <w:rsid w:val="006D00C9"/>
    <w:rsid w:val="006D00EC"/>
    <w:rsid w:val="006D0167"/>
    <w:rsid w:val="006D0294"/>
    <w:rsid w:val="006D02DB"/>
    <w:rsid w:val="006D0331"/>
    <w:rsid w:val="006D0545"/>
    <w:rsid w:val="006D0598"/>
    <w:rsid w:val="006D063F"/>
    <w:rsid w:val="006D074C"/>
    <w:rsid w:val="006D08B0"/>
    <w:rsid w:val="006D0A1B"/>
    <w:rsid w:val="006D0D19"/>
    <w:rsid w:val="006D0EFB"/>
    <w:rsid w:val="006D0FCF"/>
    <w:rsid w:val="006D1011"/>
    <w:rsid w:val="006D11FD"/>
    <w:rsid w:val="006D1220"/>
    <w:rsid w:val="006D12A4"/>
    <w:rsid w:val="006D13F5"/>
    <w:rsid w:val="006D1474"/>
    <w:rsid w:val="006D1718"/>
    <w:rsid w:val="006D1756"/>
    <w:rsid w:val="006D176B"/>
    <w:rsid w:val="006D187B"/>
    <w:rsid w:val="006D1897"/>
    <w:rsid w:val="006D19D9"/>
    <w:rsid w:val="006D1A25"/>
    <w:rsid w:val="006D1B35"/>
    <w:rsid w:val="006D20A5"/>
    <w:rsid w:val="006D222B"/>
    <w:rsid w:val="006D2262"/>
    <w:rsid w:val="006D22AD"/>
    <w:rsid w:val="006D22BB"/>
    <w:rsid w:val="006D24EE"/>
    <w:rsid w:val="006D2666"/>
    <w:rsid w:val="006D2735"/>
    <w:rsid w:val="006D2745"/>
    <w:rsid w:val="006D289F"/>
    <w:rsid w:val="006D28AC"/>
    <w:rsid w:val="006D2A78"/>
    <w:rsid w:val="006D2C27"/>
    <w:rsid w:val="006D2D98"/>
    <w:rsid w:val="006D2E67"/>
    <w:rsid w:val="006D301E"/>
    <w:rsid w:val="006D3041"/>
    <w:rsid w:val="006D3049"/>
    <w:rsid w:val="006D312A"/>
    <w:rsid w:val="006D3525"/>
    <w:rsid w:val="006D373B"/>
    <w:rsid w:val="006D37F9"/>
    <w:rsid w:val="006D3915"/>
    <w:rsid w:val="006D39AE"/>
    <w:rsid w:val="006D39F5"/>
    <w:rsid w:val="006D3AFD"/>
    <w:rsid w:val="006D3BA1"/>
    <w:rsid w:val="006D3CA1"/>
    <w:rsid w:val="006D3D1E"/>
    <w:rsid w:val="006D3E28"/>
    <w:rsid w:val="006D3F99"/>
    <w:rsid w:val="006D3FF8"/>
    <w:rsid w:val="006D409D"/>
    <w:rsid w:val="006D413B"/>
    <w:rsid w:val="006D426B"/>
    <w:rsid w:val="006D429C"/>
    <w:rsid w:val="006D43A5"/>
    <w:rsid w:val="006D44AB"/>
    <w:rsid w:val="006D44F9"/>
    <w:rsid w:val="006D4587"/>
    <w:rsid w:val="006D4643"/>
    <w:rsid w:val="006D464E"/>
    <w:rsid w:val="006D467F"/>
    <w:rsid w:val="006D46EA"/>
    <w:rsid w:val="006D46ED"/>
    <w:rsid w:val="006D475E"/>
    <w:rsid w:val="006D4922"/>
    <w:rsid w:val="006D4C85"/>
    <w:rsid w:val="006D4D06"/>
    <w:rsid w:val="006D4E42"/>
    <w:rsid w:val="006D4F28"/>
    <w:rsid w:val="006D4F7A"/>
    <w:rsid w:val="006D507D"/>
    <w:rsid w:val="006D511A"/>
    <w:rsid w:val="006D51B4"/>
    <w:rsid w:val="006D5294"/>
    <w:rsid w:val="006D53B0"/>
    <w:rsid w:val="006D54B8"/>
    <w:rsid w:val="006D57B4"/>
    <w:rsid w:val="006D57D9"/>
    <w:rsid w:val="006D5A38"/>
    <w:rsid w:val="006D5AFF"/>
    <w:rsid w:val="006D5B62"/>
    <w:rsid w:val="006D5B76"/>
    <w:rsid w:val="006D5C46"/>
    <w:rsid w:val="006D5C6D"/>
    <w:rsid w:val="006D6189"/>
    <w:rsid w:val="006D61B6"/>
    <w:rsid w:val="006D64BF"/>
    <w:rsid w:val="006D64E3"/>
    <w:rsid w:val="006D657C"/>
    <w:rsid w:val="006D672F"/>
    <w:rsid w:val="006D6772"/>
    <w:rsid w:val="006D6784"/>
    <w:rsid w:val="006D6907"/>
    <w:rsid w:val="006D692B"/>
    <w:rsid w:val="006D6A17"/>
    <w:rsid w:val="006D6AB7"/>
    <w:rsid w:val="006D6AC1"/>
    <w:rsid w:val="006D6B7F"/>
    <w:rsid w:val="006D6D8E"/>
    <w:rsid w:val="006D7045"/>
    <w:rsid w:val="006D7248"/>
    <w:rsid w:val="006D7362"/>
    <w:rsid w:val="006D7430"/>
    <w:rsid w:val="006D7732"/>
    <w:rsid w:val="006D7733"/>
    <w:rsid w:val="006D773B"/>
    <w:rsid w:val="006D7858"/>
    <w:rsid w:val="006D78E8"/>
    <w:rsid w:val="006D7B7D"/>
    <w:rsid w:val="006D7B8E"/>
    <w:rsid w:val="006D7BD9"/>
    <w:rsid w:val="006D7C23"/>
    <w:rsid w:val="006D7D7A"/>
    <w:rsid w:val="006D7E63"/>
    <w:rsid w:val="006D7F20"/>
    <w:rsid w:val="006E00EB"/>
    <w:rsid w:val="006E0187"/>
    <w:rsid w:val="006E01B2"/>
    <w:rsid w:val="006E01B5"/>
    <w:rsid w:val="006E0215"/>
    <w:rsid w:val="006E0315"/>
    <w:rsid w:val="006E0320"/>
    <w:rsid w:val="006E0395"/>
    <w:rsid w:val="006E03CC"/>
    <w:rsid w:val="006E0628"/>
    <w:rsid w:val="006E06AD"/>
    <w:rsid w:val="006E06D3"/>
    <w:rsid w:val="006E07D1"/>
    <w:rsid w:val="006E07FD"/>
    <w:rsid w:val="006E08C4"/>
    <w:rsid w:val="006E08E4"/>
    <w:rsid w:val="006E0989"/>
    <w:rsid w:val="006E0A68"/>
    <w:rsid w:val="006E0BC1"/>
    <w:rsid w:val="006E0F29"/>
    <w:rsid w:val="006E115B"/>
    <w:rsid w:val="006E1235"/>
    <w:rsid w:val="006E142E"/>
    <w:rsid w:val="006E14B3"/>
    <w:rsid w:val="006E14DB"/>
    <w:rsid w:val="006E1511"/>
    <w:rsid w:val="006E1527"/>
    <w:rsid w:val="006E1705"/>
    <w:rsid w:val="006E1757"/>
    <w:rsid w:val="006E17E2"/>
    <w:rsid w:val="006E18AA"/>
    <w:rsid w:val="006E1991"/>
    <w:rsid w:val="006E19CA"/>
    <w:rsid w:val="006E1B03"/>
    <w:rsid w:val="006E1BCA"/>
    <w:rsid w:val="006E1D6B"/>
    <w:rsid w:val="006E1E72"/>
    <w:rsid w:val="006E1F8C"/>
    <w:rsid w:val="006E20D9"/>
    <w:rsid w:val="006E210F"/>
    <w:rsid w:val="006E21C0"/>
    <w:rsid w:val="006E22A3"/>
    <w:rsid w:val="006E24E3"/>
    <w:rsid w:val="006E27D3"/>
    <w:rsid w:val="006E28B0"/>
    <w:rsid w:val="006E2B80"/>
    <w:rsid w:val="006E2BD7"/>
    <w:rsid w:val="006E2BEC"/>
    <w:rsid w:val="006E2CE7"/>
    <w:rsid w:val="006E2D42"/>
    <w:rsid w:val="006E311C"/>
    <w:rsid w:val="006E31CE"/>
    <w:rsid w:val="006E3335"/>
    <w:rsid w:val="006E3469"/>
    <w:rsid w:val="006E347B"/>
    <w:rsid w:val="006E34F4"/>
    <w:rsid w:val="006E35D9"/>
    <w:rsid w:val="006E36A7"/>
    <w:rsid w:val="006E3850"/>
    <w:rsid w:val="006E3970"/>
    <w:rsid w:val="006E3A39"/>
    <w:rsid w:val="006E3A3F"/>
    <w:rsid w:val="006E3A7F"/>
    <w:rsid w:val="006E3E6E"/>
    <w:rsid w:val="006E3F3B"/>
    <w:rsid w:val="006E3FE5"/>
    <w:rsid w:val="006E43F2"/>
    <w:rsid w:val="006E440E"/>
    <w:rsid w:val="006E4463"/>
    <w:rsid w:val="006E447A"/>
    <w:rsid w:val="006E44AE"/>
    <w:rsid w:val="006E44C0"/>
    <w:rsid w:val="006E4922"/>
    <w:rsid w:val="006E4B70"/>
    <w:rsid w:val="006E4B82"/>
    <w:rsid w:val="006E4BD9"/>
    <w:rsid w:val="006E4C17"/>
    <w:rsid w:val="006E4C89"/>
    <w:rsid w:val="006E4F95"/>
    <w:rsid w:val="006E4FC3"/>
    <w:rsid w:val="006E50C9"/>
    <w:rsid w:val="006E526E"/>
    <w:rsid w:val="006E52E6"/>
    <w:rsid w:val="006E5393"/>
    <w:rsid w:val="006E546E"/>
    <w:rsid w:val="006E547D"/>
    <w:rsid w:val="006E54A1"/>
    <w:rsid w:val="006E5532"/>
    <w:rsid w:val="006E578E"/>
    <w:rsid w:val="006E5BA4"/>
    <w:rsid w:val="006E5C3F"/>
    <w:rsid w:val="006E5C73"/>
    <w:rsid w:val="006E5D19"/>
    <w:rsid w:val="006E5D5C"/>
    <w:rsid w:val="006E5E85"/>
    <w:rsid w:val="006E5ED7"/>
    <w:rsid w:val="006E5EF5"/>
    <w:rsid w:val="006E5F0B"/>
    <w:rsid w:val="006E5FF2"/>
    <w:rsid w:val="006E610C"/>
    <w:rsid w:val="006E61FA"/>
    <w:rsid w:val="006E66E1"/>
    <w:rsid w:val="006E6841"/>
    <w:rsid w:val="006E685E"/>
    <w:rsid w:val="006E689F"/>
    <w:rsid w:val="006E6901"/>
    <w:rsid w:val="006E69FC"/>
    <w:rsid w:val="006E70A7"/>
    <w:rsid w:val="006E7435"/>
    <w:rsid w:val="006E7721"/>
    <w:rsid w:val="006E77E4"/>
    <w:rsid w:val="006E77FA"/>
    <w:rsid w:val="006E7B1A"/>
    <w:rsid w:val="006E7E5E"/>
    <w:rsid w:val="006F00CD"/>
    <w:rsid w:val="006F022A"/>
    <w:rsid w:val="006F0231"/>
    <w:rsid w:val="006F0465"/>
    <w:rsid w:val="006F04C1"/>
    <w:rsid w:val="006F0F1A"/>
    <w:rsid w:val="006F123E"/>
    <w:rsid w:val="006F12B7"/>
    <w:rsid w:val="006F13F1"/>
    <w:rsid w:val="006F1591"/>
    <w:rsid w:val="006F16D5"/>
    <w:rsid w:val="006F176E"/>
    <w:rsid w:val="006F1802"/>
    <w:rsid w:val="006F1AAF"/>
    <w:rsid w:val="006F1C4D"/>
    <w:rsid w:val="006F1CD6"/>
    <w:rsid w:val="006F1D5B"/>
    <w:rsid w:val="006F1DA5"/>
    <w:rsid w:val="006F1E1D"/>
    <w:rsid w:val="006F1EC8"/>
    <w:rsid w:val="006F203A"/>
    <w:rsid w:val="006F21BF"/>
    <w:rsid w:val="006F22AE"/>
    <w:rsid w:val="006F2564"/>
    <w:rsid w:val="006F25D7"/>
    <w:rsid w:val="006F26B5"/>
    <w:rsid w:val="006F28C1"/>
    <w:rsid w:val="006F28E3"/>
    <w:rsid w:val="006F2A66"/>
    <w:rsid w:val="006F2B05"/>
    <w:rsid w:val="006F2B62"/>
    <w:rsid w:val="006F2BBE"/>
    <w:rsid w:val="006F2C55"/>
    <w:rsid w:val="006F2C56"/>
    <w:rsid w:val="006F2DBE"/>
    <w:rsid w:val="006F2E0E"/>
    <w:rsid w:val="006F2F8C"/>
    <w:rsid w:val="006F31C3"/>
    <w:rsid w:val="006F329B"/>
    <w:rsid w:val="006F3308"/>
    <w:rsid w:val="006F33E3"/>
    <w:rsid w:val="006F3592"/>
    <w:rsid w:val="006F3A16"/>
    <w:rsid w:val="006F3B05"/>
    <w:rsid w:val="006F3B20"/>
    <w:rsid w:val="006F3C43"/>
    <w:rsid w:val="006F3D12"/>
    <w:rsid w:val="006F3D70"/>
    <w:rsid w:val="006F3EFB"/>
    <w:rsid w:val="006F4004"/>
    <w:rsid w:val="006F40CE"/>
    <w:rsid w:val="006F42A2"/>
    <w:rsid w:val="006F457A"/>
    <w:rsid w:val="006F464E"/>
    <w:rsid w:val="006F47B9"/>
    <w:rsid w:val="006F48F4"/>
    <w:rsid w:val="006F490B"/>
    <w:rsid w:val="006F4954"/>
    <w:rsid w:val="006F4C66"/>
    <w:rsid w:val="006F4CFC"/>
    <w:rsid w:val="006F4E82"/>
    <w:rsid w:val="006F4EE1"/>
    <w:rsid w:val="006F4F66"/>
    <w:rsid w:val="006F4F8E"/>
    <w:rsid w:val="006F5148"/>
    <w:rsid w:val="006F51EC"/>
    <w:rsid w:val="006F52CA"/>
    <w:rsid w:val="006F5349"/>
    <w:rsid w:val="006F5417"/>
    <w:rsid w:val="006F541F"/>
    <w:rsid w:val="006F542F"/>
    <w:rsid w:val="006F568E"/>
    <w:rsid w:val="006F575E"/>
    <w:rsid w:val="006F581B"/>
    <w:rsid w:val="006F583A"/>
    <w:rsid w:val="006F5F58"/>
    <w:rsid w:val="006F5FAD"/>
    <w:rsid w:val="006F5FC6"/>
    <w:rsid w:val="006F605D"/>
    <w:rsid w:val="006F6204"/>
    <w:rsid w:val="006F624F"/>
    <w:rsid w:val="006F62D5"/>
    <w:rsid w:val="006F6366"/>
    <w:rsid w:val="006F64EB"/>
    <w:rsid w:val="006F6615"/>
    <w:rsid w:val="006F6763"/>
    <w:rsid w:val="006F69AD"/>
    <w:rsid w:val="006F6A40"/>
    <w:rsid w:val="006F6DDA"/>
    <w:rsid w:val="006F6FAA"/>
    <w:rsid w:val="006F7299"/>
    <w:rsid w:val="006F75DC"/>
    <w:rsid w:val="006F7757"/>
    <w:rsid w:val="006F77CA"/>
    <w:rsid w:val="006F79D4"/>
    <w:rsid w:val="006F7A32"/>
    <w:rsid w:val="006F7AB5"/>
    <w:rsid w:val="006F7B29"/>
    <w:rsid w:val="006F7BC8"/>
    <w:rsid w:val="006F7BEC"/>
    <w:rsid w:val="006F7C2E"/>
    <w:rsid w:val="006F7CEA"/>
    <w:rsid w:val="006F7CF4"/>
    <w:rsid w:val="006F7D18"/>
    <w:rsid w:val="006F7D1F"/>
    <w:rsid w:val="006F7DDE"/>
    <w:rsid w:val="006F7E04"/>
    <w:rsid w:val="006F7E5A"/>
    <w:rsid w:val="006F7F2C"/>
    <w:rsid w:val="006F7FB8"/>
    <w:rsid w:val="00700038"/>
    <w:rsid w:val="007001BE"/>
    <w:rsid w:val="0070025A"/>
    <w:rsid w:val="007004C7"/>
    <w:rsid w:val="00700583"/>
    <w:rsid w:val="0070074E"/>
    <w:rsid w:val="00700759"/>
    <w:rsid w:val="0070075B"/>
    <w:rsid w:val="00700A94"/>
    <w:rsid w:val="00700B2E"/>
    <w:rsid w:val="00700C32"/>
    <w:rsid w:val="00700E02"/>
    <w:rsid w:val="00700ED9"/>
    <w:rsid w:val="00700F07"/>
    <w:rsid w:val="0070116E"/>
    <w:rsid w:val="007013BC"/>
    <w:rsid w:val="007013D6"/>
    <w:rsid w:val="00701504"/>
    <w:rsid w:val="00701558"/>
    <w:rsid w:val="007016C7"/>
    <w:rsid w:val="00701847"/>
    <w:rsid w:val="00701893"/>
    <w:rsid w:val="00701946"/>
    <w:rsid w:val="00701AC1"/>
    <w:rsid w:val="00701BD6"/>
    <w:rsid w:val="00702022"/>
    <w:rsid w:val="0070202B"/>
    <w:rsid w:val="007022C2"/>
    <w:rsid w:val="007022FD"/>
    <w:rsid w:val="0070234D"/>
    <w:rsid w:val="007024E9"/>
    <w:rsid w:val="007025AF"/>
    <w:rsid w:val="007026F0"/>
    <w:rsid w:val="007027A8"/>
    <w:rsid w:val="0070281B"/>
    <w:rsid w:val="0070291D"/>
    <w:rsid w:val="00702998"/>
    <w:rsid w:val="007029B4"/>
    <w:rsid w:val="00702A11"/>
    <w:rsid w:val="00702B26"/>
    <w:rsid w:val="00702D66"/>
    <w:rsid w:val="00702E03"/>
    <w:rsid w:val="007031B0"/>
    <w:rsid w:val="0070322C"/>
    <w:rsid w:val="007033D3"/>
    <w:rsid w:val="007035B2"/>
    <w:rsid w:val="00703754"/>
    <w:rsid w:val="00703801"/>
    <w:rsid w:val="00703B74"/>
    <w:rsid w:val="00703C96"/>
    <w:rsid w:val="00703D18"/>
    <w:rsid w:val="00703ED6"/>
    <w:rsid w:val="0070415A"/>
    <w:rsid w:val="007042E6"/>
    <w:rsid w:val="007043D9"/>
    <w:rsid w:val="00704401"/>
    <w:rsid w:val="00704511"/>
    <w:rsid w:val="00704566"/>
    <w:rsid w:val="007046B2"/>
    <w:rsid w:val="00704879"/>
    <w:rsid w:val="00704D10"/>
    <w:rsid w:val="00704D18"/>
    <w:rsid w:val="00704DB5"/>
    <w:rsid w:val="00704E48"/>
    <w:rsid w:val="00704E5A"/>
    <w:rsid w:val="00704E6C"/>
    <w:rsid w:val="00704EE4"/>
    <w:rsid w:val="007050C4"/>
    <w:rsid w:val="00705286"/>
    <w:rsid w:val="00705376"/>
    <w:rsid w:val="007054C3"/>
    <w:rsid w:val="00705514"/>
    <w:rsid w:val="00705538"/>
    <w:rsid w:val="00705766"/>
    <w:rsid w:val="0070576A"/>
    <w:rsid w:val="00705787"/>
    <w:rsid w:val="00705864"/>
    <w:rsid w:val="00705897"/>
    <w:rsid w:val="00705B4F"/>
    <w:rsid w:val="00705BEC"/>
    <w:rsid w:val="00705BFF"/>
    <w:rsid w:val="00705DAD"/>
    <w:rsid w:val="00705E49"/>
    <w:rsid w:val="00705EA5"/>
    <w:rsid w:val="00705F24"/>
    <w:rsid w:val="00705F8E"/>
    <w:rsid w:val="00706187"/>
    <w:rsid w:val="007061B9"/>
    <w:rsid w:val="00706398"/>
    <w:rsid w:val="007064A9"/>
    <w:rsid w:val="007065CE"/>
    <w:rsid w:val="0070660A"/>
    <w:rsid w:val="00706614"/>
    <w:rsid w:val="007067A1"/>
    <w:rsid w:val="007067AC"/>
    <w:rsid w:val="007068FD"/>
    <w:rsid w:val="007069BC"/>
    <w:rsid w:val="00706B0E"/>
    <w:rsid w:val="00706B36"/>
    <w:rsid w:val="00706D79"/>
    <w:rsid w:val="00706EDF"/>
    <w:rsid w:val="00706FB9"/>
    <w:rsid w:val="00707154"/>
    <w:rsid w:val="007072AA"/>
    <w:rsid w:val="00707439"/>
    <w:rsid w:val="00707506"/>
    <w:rsid w:val="00707538"/>
    <w:rsid w:val="00707567"/>
    <w:rsid w:val="007075E6"/>
    <w:rsid w:val="00707AFB"/>
    <w:rsid w:val="00707B08"/>
    <w:rsid w:val="00707B49"/>
    <w:rsid w:val="00707BBF"/>
    <w:rsid w:val="00707C40"/>
    <w:rsid w:val="00707D15"/>
    <w:rsid w:val="00707DF4"/>
    <w:rsid w:val="0071036B"/>
    <w:rsid w:val="007103F8"/>
    <w:rsid w:val="007104C4"/>
    <w:rsid w:val="00710528"/>
    <w:rsid w:val="007106BE"/>
    <w:rsid w:val="00710747"/>
    <w:rsid w:val="00710D8A"/>
    <w:rsid w:val="007111B9"/>
    <w:rsid w:val="007111CF"/>
    <w:rsid w:val="007111FA"/>
    <w:rsid w:val="00711210"/>
    <w:rsid w:val="00711244"/>
    <w:rsid w:val="00711301"/>
    <w:rsid w:val="007117DA"/>
    <w:rsid w:val="00711D3F"/>
    <w:rsid w:val="00711D86"/>
    <w:rsid w:val="007120F1"/>
    <w:rsid w:val="00712214"/>
    <w:rsid w:val="0071235D"/>
    <w:rsid w:val="00712413"/>
    <w:rsid w:val="007124E8"/>
    <w:rsid w:val="007127F9"/>
    <w:rsid w:val="00712841"/>
    <w:rsid w:val="0071287B"/>
    <w:rsid w:val="00712FAE"/>
    <w:rsid w:val="00713433"/>
    <w:rsid w:val="0071349D"/>
    <w:rsid w:val="00713596"/>
    <w:rsid w:val="007137DD"/>
    <w:rsid w:val="00713997"/>
    <w:rsid w:val="00713C5A"/>
    <w:rsid w:val="00713FE4"/>
    <w:rsid w:val="00714056"/>
    <w:rsid w:val="0071405B"/>
    <w:rsid w:val="0071415E"/>
    <w:rsid w:val="00714363"/>
    <w:rsid w:val="00714531"/>
    <w:rsid w:val="0071460F"/>
    <w:rsid w:val="00714778"/>
    <w:rsid w:val="00714968"/>
    <w:rsid w:val="00714B85"/>
    <w:rsid w:val="00714D32"/>
    <w:rsid w:val="00714D8A"/>
    <w:rsid w:val="00714E2C"/>
    <w:rsid w:val="00714EC1"/>
    <w:rsid w:val="00714ED7"/>
    <w:rsid w:val="00715020"/>
    <w:rsid w:val="007150F5"/>
    <w:rsid w:val="00715152"/>
    <w:rsid w:val="00715239"/>
    <w:rsid w:val="007155E5"/>
    <w:rsid w:val="0071563A"/>
    <w:rsid w:val="007156D4"/>
    <w:rsid w:val="0071574E"/>
    <w:rsid w:val="007157A6"/>
    <w:rsid w:val="007158DD"/>
    <w:rsid w:val="00715A01"/>
    <w:rsid w:val="00715A3A"/>
    <w:rsid w:val="00715C9D"/>
    <w:rsid w:val="00715CA0"/>
    <w:rsid w:val="00715CD7"/>
    <w:rsid w:val="00715E6E"/>
    <w:rsid w:val="00715FB5"/>
    <w:rsid w:val="00716151"/>
    <w:rsid w:val="007162C7"/>
    <w:rsid w:val="00716468"/>
    <w:rsid w:val="007166B8"/>
    <w:rsid w:val="007166B9"/>
    <w:rsid w:val="007166BD"/>
    <w:rsid w:val="00716735"/>
    <w:rsid w:val="007168B0"/>
    <w:rsid w:val="00716B84"/>
    <w:rsid w:val="00716CFF"/>
    <w:rsid w:val="00716DA8"/>
    <w:rsid w:val="00716ED0"/>
    <w:rsid w:val="0071702C"/>
    <w:rsid w:val="00717073"/>
    <w:rsid w:val="007170FA"/>
    <w:rsid w:val="0071715A"/>
    <w:rsid w:val="00717167"/>
    <w:rsid w:val="00717283"/>
    <w:rsid w:val="007172D9"/>
    <w:rsid w:val="0071735D"/>
    <w:rsid w:val="00717409"/>
    <w:rsid w:val="00717723"/>
    <w:rsid w:val="0071774F"/>
    <w:rsid w:val="0071790A"/>
    <w:rsid w:val="00717AFF"/>
    <w:rsid w:val="00717BC2"/>
    <w:rsid w:val="00717C67"/>
    <w:rsid w:val="00717D86"/>
    <w:rsid w:val="00717EE0"/>
    <w:rsid w:val="0072001B"/>
    <w:rsid w:val="00720094"/>
    <w:rsid w:val="00720151"/>
    <w:rsid w:val="00720233"/>
    <w:rsid w:val="007203AA"/>
    <w:rsid w:val="00720464"/>
    <w:rsid w:val="00720888"/>
    <w:rsid w:val="007208D4"/>
    <w:rsid w:val="00720BDD"/>
    <w:rsid w:val="00720CCA"/>
    <w:rsid w:val="00720DB4"/>
    <w:rsid w:val="00720DF3"/>
    <w:rsid w:val="0072107E"/>
    <w:rsid w:val="0072138D"/>
    <w:rsid w:val="007214BF"/>
    <w:rsid w:val="007217A6"/>
    <w:rsid w:val="007217DF"/>
    <w:rsid w:val="00721840"/>
    <w:rsid w:val="0072196E"/>
    <w:rsid w:val="007219FD"/>
    <w:rsid w:val="00721BB0"/>
    <w:rsid w:val="00721D4E"/>
    <w:rsid w:val="00721EC3"/>
    <w:rsid w:val="00721FE1"/>
    <w:rsid w:val="007222AE"/>
    <w:rsid w:val="0072252F"/>
    <w:rsid w:val="007226DD"/>
    <w:rsid w:val="007227BE"/>
    <w:rsid w:val="00722813"/>
    <w:rsid w:val="00722987"/>
    <w:rsid w:val="00722A22"/>
    <w:rsid w:val="00722CC1"/>
    <w:rsid w:val="00722D57"/>
    <w:rsid w:val="00722DF8"/>
    <w:rsid w:val="007232AC"/>
    <w:rsid w:val="007234B8"/>
    <w:rsid w:val="007234F3"/>
    <w:rsid w:val="0072362B"/>
    <w:rsid w:val="00723704"/>
    <w:rsid w:val="0072385E"/>
    <w:rsid w:val="00723AD8"/>
    <w:rsid w:val="00723AE0"/>
    <w:rsid w:val="00723B1E"/>
    <w:rsid w:val="00723B80"/>
    <w:rsid w:val="00723BA5"/>
    <w:rsid w:val="00723D47"/>
    <w:rsid w:val="0072408E"/>
    <w:rsid w:val="00724163"/>
    <w:rsid w:val="00724263"/>
    <w:rsid w:val="00724270"/>
    <w:rsid w:val="007243A4"/>
    <w:rsid w:val="0072465E"/>
    <w:rsid w:val="007246A1"/>
    <w:rsid w:val="0072479D"/>
    <w:rsid w:val="00724919"/>
    <w:rsid w:val="0072497E"/>
    <w:rsid w:val="007249B1"/>
    <w:rsid w:val="00724BB1"/>
    <w:rsid w:val="00724C02"/>
    <w:rsid w:val="00724ED2"/>
    <w:rsid w:val="00724FD8"/>
    <w:rsid w:val="00725163"/>
    <w:rsid w:val="007251EC"/>
    <w:rsid w:val="007251FD"/>
    <w:rsid w:val="00725659"/>
    <w:rsid w:val="0072579A"/>
    <w:rsid w:val="0072581A"/>
    <w:rsid w:val="00725822"/>
    <w:rsid w:val="007258D7"/>
    <w:rsid w:val="0072599E"/>
    <w:rsid w:val="00725A80"/>
    <w:rsid w:val="00725ABF"/>
    <w:rsid w:val="00725B60"/>
    <w:rsid w:val="00725ED6"/>
    <w:rsid w:val="00725F74"/>
    <w:rsid w:val="0072600D"/>
    <w:rsid w:val="007260E2"/>
    <w:rsid w:val="00726289"/>
    <w:rsid w:val="0072646D"/>
    <w:rsid w:val="00726658"/>
    <w:rsid w:val="00726836"/>
    <w:rsid w:val="007268F8"/>
    <w:rsid w:val="007268FC"/>
    <w:rsid w:val="0072698C"/>
    <w:rsid w:val="00726AEE"/>
    <w:rsid w:val="00726BC0"/>
    <w:rsid w:val="00726CE0"/>
    <w:rsid w:val="007270E3"/>
    <w:rsid w:val="007270F1"/>
    <w:rsid w:val="00727123"/>
    <w:rsid w:val="007271A2"/>
    <w:rsid w:val="007272AB"/>
    <w:rsid w:val="00727324"/>
    <w:rsid w:val="00727399"/>
    <w:rsid w:val="0072746D"/>
    <w:rsid w:val="007274B9"/>
    <w:rsid w:val="007275B3"/>
    <w:rsid w:val="007276DF"/>
    <w:rsid w:val="007278E8"/>
    <w:rsid w:val="00727B56"/>
    <w:rsid w:val="00727C8A"/>
    <w:rsid w:val="00727D14"/>
    <w:rsid w:val="00727E13"/>
    <w:rsid w:val="00727E22"/>
    <w:rsid w:val="00727FA3"/>
    <w:rsid w:val="00730041"/>
    <w:rsid w:val="0073015E"/>
    <w:rsid w:val="00730340"/>
    <w:rsid w:val="00730361"/>
    <w:rsid w:val="007304B3"/>
    <w:rsid w:val="0073069A"/>
    <w:rsid w:val="007306C2"/>
    <w:rsid w:val="007307D0"/>
    <w:rsid w:val="00730802"/>
    <w:rsid w:val="00730828"/>
    <w:rsid w:val="0073095F"/>
    <w:rsid w:val="007309C3"/>
    <w:rsid w:val="00730CBF"/>
    <w:rsid w:val="00730DC9"/>
    <w:rsid w:val="00730F6F"/>
    <w:rsid w:val="007311B1"/>
    <w:rsid w:val="007311BB"/>
    <w:rsid w:val="007312AA"/>
    <w:rsid w:val="007313BD"/>
    <w:rsid w:val="007314A3"/>
    <w:rsid w:val="00731587"/>
    <w:rsid w:val="007319D5"/>
    <w:rsid w:val="00731AF9"/>
    <w:rsid w:val="00731BFC"/>
    <w:rsid w:val="00731F2D"/>
    <w:rsid w:val="0073204E"/>
    <w:rsid w:val="0073205B"/>
    <w:rsid w:val="00732128"/>
    <w:rsid w:val="00732193"/>
    <w:rsid w:val="007322E8"/>
    <w:rsid w:val="0073238D"/>
    <w:rsid w:val="00732462"/>
    <w:rsid w:val="007324DD"/>
    <w:rsid w:val="0073251B"/>
    <w:rsid w:val="00732754"/>
    <w:rsid w:val="00732AFC"/>
    <w:rsid w:val="00732B1B"/>
    <w:rsid w:val="00732C0A"/>
    <w:rsid w:val="00732C20"/>
    <w:rsid w:val="00732DD7"/>
    <w:rsid w:val="00732EF1"/>
    <w:rsid w:val="0073329F"/>
    <w:rsid w:val="0073336C"/>
    <w:rsid w:val="00733456"/>
    <w:rsid w:val="0073347F"/>
    <w:rsid w:val="00733897"/>
    <w:rsid w:val="00733909"/>
    <w:rsid w:val="00733943"/>
    <w:rsid w:val="00733990"/>
    <w:rsid w:val="00733A21"/>
    <w:rsid w:val="00733A22"/>
    <w:rsid w:val="00734009"/>
    <w:rsid w:val="007341B2"/>
    <w:rsid w:val="007341CD"/>
    <w:rsid w:val="00734258"/>
    <w:rsid w:val="0073432D"/>
    <w:rsid w:val="00734516"/>
    <w:rsid w:val="00734526"/>
    <w:rsid w:val="00734536"/>
    <w:rsid w:val="00734762"/>
    <w:rsid w:val="00734810"/>
    <w:rsid w:val="00734824"/>
    <w:rsid w:val="00734A21"/>
    <w:rsid w:val="00734A94"/>
    <w:rsid w:val="00734C1B"/>
    <w:rsid w:val="00734CA8"/>
    <w:rsid w:val="00734DB1"/>
    <w:rsid w:val="00734DE3"/>
    <w:rsid w:val="00734F64"/>
    <w:rsid w:val="00734F8C"/>
    <w:rsid w:val="0073506A"/>
    <w:rsid w:val="007350A8"/>
    <w:rsid w:val="007351FF"/>
    <w:rsid w:val="007352B2"/>
    <w:rsid w:val="00735431"/>
    <w:rsid w:val="00735466"/>
    <w:rsid w:val="00735486"/>
    <w:rsid w:val="00735702"/>
    <w:rsid w:val="00735797"/>
    <w:rsid w:val="007357C0"/>
    <w:rsid w:val="00735AB4"/>
    <w:rsid w:val="00735BAA"/>
    <w:rsid w:val="00735C42"/>
    <w:rsid w:val="00735CA5"/>
    <w:rsid w:val="00735D71"/>
    <w:rsid w:val="00735DA0"/>
    <w:rsid w:val="00735F6D"/>
    <w:rsid w:val="0073604D"/>
    <w:rsid w:val="007361D0"/>
    <w:rsid w:val="007362AC"/>
    <w:rsid w:val="007362C5"/>
    <w:rsid w:val="007362ED"/>
    <w:rsid w:val="0073630F"/>
    <w:rsid w:val="007363F7"/>
    <w:rsid w:val="00736471"/>
    <w:rsid w:val="007364E7"/>
    <w:rsid w:val="007364FB"/>
    <w:rsid w:val="007365E5"/>
    <w:rsid w:val="00736623"/>
    <w:rsid w:val="007366EB"/>
    <w:rsid w:val="0073677C"/>
    <w:rsid w:val="00736A6E"/>
    <w:rsid w:val="00736D6F"/>
    <w:rsid w:val="00736DBA"/>
    <w:rsid w:val="00736EBE"/>
    <w:rsid w:val="0073700C"/>
    <w:rsid w:val="00737120"/>
    <w:rsid w:val="00737125"/>
    <w:rsid w:val="007371F8"/>
    <w:rsid w:val="00737392"/>
    <w:rsid w:val="007373C1"/>
    <w:rsid w:val="0073753F"/>
    <w:rsid w:val="00737632"/>
    <w:rsid w:val="007376C5"/>
    <w:rsid w:val="00737707"/>
    <w:rsid w:val="007378FA"/>
    <w:rsid w:val="007379DD"/>
    <w:rsid w:val="00737A86"/>
    <w:rsid w:val="00737BE9"/>
    <w:rsid w:val="00737BEC"/>
    <w:rsid w:val="00737C83"/>
    <w:rsid w:val="00737EB5"/>
    <w:rsid w:val="00740172"/>
    <w:rsid w:val="007404C9"/>
    <w:rsid w:val="007405F4"/>
    <w:rsid w:val="00740837"/>
    <w:rsid w:val="00740A3C"/>
    <w:rsid w:val="00740BB7"/>
    <w:rsid w:val="00740BF6"/>
    <w:rsid w:val="00740CBD"/>
    <w:rsid w:val="00740D9D"/>
    <w:rsid w:val="00740E6F"/>
    <w:rsid w:val="0074103A"/>
    <w:rsid w:val="0074120D"/>
    <w:rsid w:val="0074128C"/>
    <w:rsid w:val="0074143C"/>
    <w:rsid w:val="00741445"/>
    <w:rsid w:val="007415C7"/>
    <w:rsid w:val="0074162C"/>
    <w:rsid w:val="00741686"/>
    <w:rsid w:val="00741706"/>
    <w:rsid w:val="007417D2"/>
    <w:rsid w:val="007417DB"/>
    <w:rsid w:val="0074190B"/>
    <w:rsid w:val="00741927"/>
    <w:rsid w:val="00741AE8"/>
    <w:rsid w:val="00741BA1"/>
    <w:rsid w:val="00741C59"/>
    <w:rsid w:val="00741D09"/>
    <w:rsid w:val="00741DCB"/>
    <w:rsid w:val="00741E24"/>
    <w:rsid w:val="00741F75"/>
    <w:rsid w:val="007420C1"/>
    <w:rsid w:val="00742256"/>
    <w:rsid w:val="007423A3"/>
    <w:rsid w:val="007425F8"/>
    <w:rsid w:val="00742607"/>
    <w:rsid w:val="00742751"/>
    <w:rsid w:val="0074287B"/>
    <w:rsid w:val="00742CF4"/>
    <w:rsid w:val="00742D41"/>
    <w:rsid w:val="00742DA3"/>
    <w:rsid w:val="00742DF3"/>
    <w:rsid w:val="00742EB0"/>
    <w:rsid w:val="007430DE"/>
    <w:rsid w:val="00743139"/>
    <w:rsid w:val="00743207"/>
    <w:rsid w:val="00743557"/>
    <w:rsid w:val="00743685"/>
    <w:rsid w:val="007437CF"/>
    <w:rsid w:val="007439EE"/>
    <w:rsid w:val="00743B82"/>
    <w:rsid w:val="00743D9A"/>
    <w:rsid w:val="00743EA1"/>
    <w:rsid w:val="00743F75"/>
    <w:rsid w:val="0074416C"/>
    <w:rsid w:val="00744308"/>
    <w:rsid w:val="00744331"/>
    <w:rsid w:val="007443D7"/>
    <w:rsid w:val="00744449"/>
    <w:rsid w:val="0074448E"/>
    <w:rsid w:val="007445D4"/>
    <w:rsid w:val="007446E2"/>
    <w:rsid w:val="007448E5"/>
    <w:rsid w:val="007448FA"/>
    <w:rsid w:val="00744968"/>
    <w:rsid w:val="0074496F"/>
    <w:rsid w:val="00744A7F"/>
    <w:rsid w:val="00744A88"/>
    <w:rsid w:val="00744BEC"/>
    <w:rsid w:val="00744E60"/>
    <w:rsid w:val="00744F0F"/>
    <w:rsid w:val="00744F1E"/>
    <w:rsid w:val="0074501D"/>
    <w:rsid w:val="00745080"/>
    <w:rsid w:val="007450FA"/>
    <w:rsid w:val="00745102"/>
    <w:rsid w:val="007451F2"/>
    <w:rsid w:val="0074559F"/>
    <w:rsid w:val="007455BF"/>
    <w:rsid w:val="0074566C"/>
    <w:rsid w:val="007458DF"/>
    <w:rsid w:val="00745A16"/>
    <w:rsid w:val="00745A77"/>
    <w:rsid w:val="00745AB4"/>
    <w:rsid w:val="00745AD1"/>
    <w:rsid w:val="00745F28"/>
    <w:rsid w:val="007460A4"/>
    <w:rsid w:val="007460EF"/>
    <w:rsid w:val="00746103"/>
    <w:rsid w:val="0074641C"/>
    <w:rsid w:val="0074677C"/>
    <w:rsid w:val="007468A1"/>
    <w:rsid w:val="00746A8A"/>
    <w:rsid w:val="00746B7C"/>
    <w:rsid w:val="00746CF2"/>
    <w:rsid w:val="00746D2C"/>
    <w:rsid w:val="00746D94"/>
    <w:rsid w:val="00747028"/>
    <w:rsid w:val="00747045"/>
    <w:rsid w:val="0074709A"/>
    <w:rsid w:val="007472DA"/>
    <w:rsid w:val="0074730B"/>
    <w:rsid w:val="00747389"/>
    <w:rsid w:val="007474AD"/>
    <w:rsid w:val="007474B5"/>
    <w:rsid w:val="00747697"/>
    <w:rsid w:val="007476BB"/>
    <w:rsid w:val="007476E3"/>
    <w:rsid w:val="007476F5"/>
    <w:rsid w:val="007477FD"/>
    <w:rsid w:val="0074785E"/>
    <w:rsid w:val="0074786D"/>
    <w:rsid w:val="00747944"/>
    <w:rsid w:val="007479DB"/>
    <w:rsid w:val="00747AA9"/>
    <w:rsid w:val="00747B57"/>
    <w:rsid w:val="00747C9C"/>
    <w:rsid w:val="00747E8D"/>
    <w:rsid w:val="0075018B"/>
    <w:rsid w:val="007501FD"/>
    <w:rsid w:val="00750222"/>
    <w:rsid w:val="007502FB"/>
    <w:rsid w:val="007503F2"/>
    <w:rsid w:val="00750798"/>
    <w:rsid w:val="007509BA"/>
    <w:rsid w:val="00750A76"/>
    <w:rsid w:val="00750AF4"/>
    <w:rsid w:val="00750B1F"/>
    <w:rsid w:val="00750B2F"/>
    <w:rsid w:val="00750CF7"/>
    <w:rsid w:val="00750D2C"/>
    <w:rsid w:val="00750D3B"/>
    <w:rsid w:val="00750E76"/>
    <w:rsid w:val="00750F6B"/>
    <w:rsid w:val="00750FF2"/>
    <w:rsid w:val="00751056"/>
    <w:rsid w:val="007514AC"/>
    <w:rsid w:val="007516F0"/>
    <w:rsid w:val="007519C4"/>
    <w:rsid w:val="00751D93"/>
    <w:rsid w:val="00751DB7"/>
    <w:rsid w:val="00751EE7"/>
    <w:rsid w:val="00751EFF"/>
    <w:rsid w:val="00751FA0"/>
    <w:rsid w:val="00752031"/>
    <w:rsid w:val="00752267"/>
    <w:rsid w:val="0075228A"/>
    <w:rsid w:val="00752332"/>
    <w:rsid w:val="00752336"/>
    <w:rsid w:val="007524BE"/>
    <w:rsid w:val="007525C1"/>
    <w:rsid w:val="007527E5"/>
    <w:rsid w:val="007529E5"/>
    <w:rsid w:val="00752AC0"/>
    <w:rsid w:val="00752B57"/>
    <w:rsid w:val="00752C06"/>
    <w:rsid w:val="00752CC2"/>
    <w:rsid w:val="00752EB7"/>
    <w:rsid w:val="00753028"/>
    <w:rsid w:val="00753044"/>
    <w:rsid w:val="007530BF"/>
    <w:rsid w:val="0075322B"/>
    <w:rsid w:val="00753267"/>
    <w:rsid w:val="00753280"/>
    <w:rsid w:val="00753425"/>
    <w:rsid w:val="007534CA"/>
    <w:rsid w:val="00753745"/>
    <w:rsid w:val="007538A7"/>
    <w:rsid w:val="0075390B"/>
    <w:rsid w:val="00753960"/>
    <w:rsid w:val="00753A99"/>
    <w:rsid w:val="00753B7C"/>
    <w:rsid w:val="00753C31"/>
    <w:rsid w:val="00753E8F"/>
    <w:rsid w:val="00753F3D"/>
    <w:rsid w:val="00754170"/>
    <w:rsid w:val="007544ED"/>
    <w:rsid w:val="00754654"/>
    <w:rsid w:val="00754743"/>
    <w:rsid w:val="00754787"/>
    <w:rsid w:val="0075494E"/>
    <w:rsid w:val="00754A2D"/>
    <w:rsid w:val="00754A8E"/>
    <w:rsid w:val="00754ABD"/>
    <w:rsid w:val="00754AC8"/>
    <w:rsid w:val="00754B34"/>
    <w:rsid w:val="00754BF9"/>
    <w:rsid w:val="00754E9C"/>
    <w:rsid w:val="00754E9D"/>
    <w:rsid w:val="00754FD1"/>
    <w:rsid w:val="007550AB"/>
    <w:rsid w:val="007551E1"/>
    <w:rsid w:val="0075529E"/>
    <w:rsid w:val="007555CB"/>
    <w:rsid w:val="00755644"/>
    <w:rsid w:val="007556C2"/>
    <w:rsid w:val="007557A6"/>
    <w:rsid w:val="00755821"/>
    <w:rsid w:val="007558EC"/>
    <w:rsid w:val="0075594B"/>
    <w:rsid w:val="00755955"/>
    <w:rsid w:val="00755C8B"/>
    <w:rsid w:val="00755F44"/>
    <w:rsid w:val="00755FB5"/>
    <w:rsid w:val="007560EB"/>
    <w:rsid w:val="00756114"/>
    <w:rsid w:val="007561E8"/>
    <w:rsid w:val="00756225"/>
    <w:rsid w:val="0075625C"/>
    <w:rsid w:val="0075626D"/>
    <w:rsid w:val="007563A9"/>
    <w:rsid w:val="0075642D"/>
    <w:rsid w:val="007564E6"/>
    <w:rsid w:val="0075650E"/>
    <w:rsid w:val="00756685"/>
    <w:rsid w:val="00756772"/>
    <w:rsid w:val="00756874"/>
    <w:rsid w:val="00756967"/>
    <w:rsid w:val="007569C0"/>
    <w:rsid w:val="00756A81"/>
    <w:rsid w:val="00756B5D"/>
    <w:rsid w:val="007570FA"/>
    <w:rsid w:val="007574FD"/>
    <w:rsid w:val="00757592"/>
    <w:rsid w:val="0075779B"/>
    <w:rsid w:val="007577E8"/>
    <w:rsid w:val="00757AD8"/>
    <w:rsid w:val="00757B48"/>
    <w:rsid w:val="00757B9E"/>
    <w:rsid w:val="00757BD6"/>
    <w:rsid w:val="00757BFF"/>
    <w:rsid w:val="00757ED4"/>
    <w:rsid w:val="00757F18"/>
    <w:rsid w:val="0075FBCA"/>
    <w:rsid w:val="007600BC"/>
    <w:rsid w:val="00760190"/>
    <w:rsid w:val="00760253"/>
    <w:rsid w:val="0076037C"/>
    <w:rsid w:val="007603CF"/>
    <w:rsid w:val="0076057E"/>
    <w:rsid w:val="00760718"/>
    <w:rsid w:val="00760843"/>
    <w:rsid w:val="007608B1"/>
    <w:rsid w:val="0076099F"/>
    <w:rsid w:val="00760A35"/>
    <w:rsid w:val="00760AC2"/>
    <w:rsid w:val="00760BAD"/>
    <w:rsid w:val="00760C34"/>
    <w:rsid w:val="00760D9F"/>
    <w:rsid w:val="00760E8F"/>
    <w:rsid w:val="00760F25"/>
    <w:rsid w:val="00760F5F"/>
    <w:rsid w:val="00760FC6"/>
    <w:rsid w:val="00761005"/>
    <w:rsid w:val="007610C7"/>
    <w:rsid w:val="007610CF"/>
    <w:rsid w:val="0076115E"/>
    <w:rsid w:val="0076122B"/>
    <w:rsid w:val="007612C3"/>
    <w:rsid w:val="007613E5"/>
    <w:rsid w:val="00761632"/>
    <w:rsid w:val="0076177D"/>
    <w:rsid w:val="00761849"/>
    <w:rsid w:val="00761863"/>
    <w:rsid w:val="007618BD"/>
    <w:rsid w:val="00761962"/>
    <w:rsid w:val="007619A5"/>
    <w:rsid w:val="00761A31"/>
    <w:rsid w:val="00761C44"/>
    <w:rsid w:val="00761C66"/>
    <w:rsid w:val="00761D62"/>
    <w:rsid w:val="00761EC4"/>
    <w:rsid w:val="0076230D"/>
    <w:rsid w:val="007623A7"/>
    <w:rsid w:val="0076251A"/>
    <w:rsid w:val="00762623"/>
    <w:rsid w:val="00762673"/>
    <w:rsid w:val="007627D7"/>
    <w:rsid w:val="0076285C"/>
    <w:rsid w:val="007628E8"/>
    <w:rsid w:val="0076292F"/>
    <w:rsid w:val="0076294B"/>
    <w:rsid w:val="007629C6"/>
    <w:rsid w:val="00762A2C"/>
    <w:rsid w:val="00762AB1"/>
    <w:rsid w:val="00762B04"/>
    <w:rsid w:val="00762B8E"/>
    <w:rsid w:val="00762C93"/>
    <w:rsid w:val="00762DA1"/>
    <w:rsid w:val="00762E28"/>
    <w:rsid w:val="00762F3D"/>
    <w:rsid w:val="007630C6"/>
    <w:rsid w:val="007631B3"/>
    <w:rsid w:val="0076337B"/>
    <w:rsid w:val="0076348A"/>
    <w:rsid w:val="007635D5"/>
    <w:rsid w:val="0076362A"/>
    <w:rsid w:val="0076374E"/>
    <w:rsid w:val="00763907"/>
    <w:rsid w:val="00763AE3"/>
    <w:rsid w:val="00763B69"/>
    <w:rsid w:val="00763B8D"/>
    <w:rsid w:val="00763CA4"/>
    <w:rsid w:val="00763DD7"/>
    <w:rsid w:val="00763E58"/>
    <w:rsid w:val="00763EAB"/>
    <w:rsid w:val="00763F0C"/>
    <w:rsid w:val="00764130"/>
    <w:rsid w:val="00764164"/>
    <w:rsid w:val="0076418C"/>
    <w:rsid w:val="00764554"/>
    <w:rsid w:val="007646EF"/>
    <w:rsid w:val="00764806"/>
    <w:rsid w:val="0076485C"/>
    <w:rsid w:val="00764895"/>
    <w:rsid w:val="00764A83"/>
    <w:rsid w:val="00764B4A"/>
    <w:rsid w:val="00764BFA"/>
    <w:rsid w:val="00764DBA"/>
    <w:rsid w:val="0076529D"/>
    <w:rsid w:val="007653DA"/>
    <w:rsid w:val="007653EE"/>
    <w:rsid w:val="00765408"/>
    <w:rsid w:val="0076570E"/>
    <w:rsid w:val="00765772"/>
    <w:rsid w:val="00765785"/>
    <w:rsid w:val="007657AD"/>
    <w:rsid w:val="0076588A"/>
    <w:rsid w:val="0076589A"/>
    <w:rsid w:val="00765A0F"/>
    <w:rsid w:val="00765A19"/>
    <w:rsid w:val="00765ADC"/>
    <w:rsid w:val="00765BDF"/>
    <w:rsid w:val="00765C79"/>
    <w:rsid w:val="00765CAE"/>
    <w:rsid w:val="00765CAF"/>
    <w:rsid w:val="00765D8F"/>
    <w:rsid w:val="0076614E"/>
    <w:rsid w:val="007661E7"/>
    <w:rsid w:val="00766290"/>
    <w:rsid w:val="007663D6"/>
    <w:rsid w:val="00766460"/>
    <w:rsid w:val="00766479"/>
    <w:rsid w:val="007664D3"/>
    <w:rsid w:val="00766545"/>
    <w:rsid w:val="00766703"/>
    <w:rsid w:val="007668BC"/>
    <w:rsid w:val="00766962"/>
    <w:rsid w:val="0076697E"/>
    <w:rsid w:val="00766AE2"/>
    <w:rsid w:val="00766B96"/>
    <w:rsid w:val="00766D0B"/>
    <w:rsid w:val="00766F6E"/>
    <w:rsid w:val="00767111"/>
    <w:rsid w:val="0076751C"/>
    <w:rsid w:val="00767560"/>
    <w:rsid w:val="007675FC"/>
    <w:rsid w:val="0076764C"/>
    <w:rsid w:val="0076799E"/>
    <w:rsid w:val="00767AB0"/>
    <w:rsid w:val="00767BA3"/>
    <w:rsid w:val="00767EE7"/>
    <w:rsid w:val="00767FF8"/>
    <w:rsid w:val="0077037C"/>
    <w:rsid w:val="0077061C"/>
    <w:rsid w:val="00770658"/>
    <w:rsid w:val="007706B0"/>
    <w:rsid w:val="00770797"/>
    <w:rsid w:val="0077096A"/>
    <w:rsid w:val="00770A27"/>
    <w:rsid w:val="00770A37"/>
    <w:rsid w:val="00770CD7"/>
    <w:rsid w:val="00770F52"/>
    <w:rsid w:val="00770FA5"/>
    <w:rsid w:val="007710D7"/>
    <w:rsid w:val="007712BC"/>
    <w:rsid w:val="0077137D"/>
    <w:rsid w:val="00771611"/>
    <w:rsid w:val="007716FD"/>
    <w:rsid w:val="00771714"/>
    <w:rsid w:val="0077173F"/>
    <w:rsid w:val="0077186E"/>
    <w:rsid w:val="00771A95"/>
    <w:rsid w:val="00771AAA"/>
    <w:rsid w:val="00771B93"/>
    <w:rsid w:val="00771C8C"/>
    <w:rsid w:val="00771C90"/>
    <w:rsid w:val="00771C99"/>
    <w:rsid w:val="00772092"/>
    <w:rsid w:val="0077215E"/>
    <w:rsid w:val="00772162"/>
    <w:rsid w:val="00772183"/>
    <w:rsid w:val="007722BD"/>
    <w:rsid w:val="00772349"/>
    <w:rsid w:val="0077275D"/>
    <w:rsid w:val="007727EB"/>
    <w:rsid w:val="007729C0"/>
    <w:rsid w:val="00772A2F"/>
    <w:rsid w:val="00772C30"/>
    <w:rsid w:val="00772CDC"/>
    <w:rsid w:val="00772D6C"/>
    <w:rsid w:val="00772EC3"/>
    <w:rsid w:val="00772F55"/>
    <w:rsid w:val="00772FDE"/>
    <w:rsid w:val="0077319C"/>
    <w:rsid w:val="00773278"/>
    <w:rsid w:val="00773305"/>
    <w:rsid w:val="00773325"/>
    <w:rsid w:val="007733B0"/>
    <w:rsid w:val="007733B7"/>
    <w:rsid w:val="007736BD"/>
    <w:rsid w:val="00773725"/>
    <w:rsid w:val="007738E6"/>
    <w:rsid w:val="007738EE"/>
    <w:rsid w:val="007739AC"/>
    <w:rsid w:val="007739BC"/>
    <w:rsid w:val="00773A60"/>
    <w:rsid w:val="00773AAA"/>
    <w:rsid w:val="00773B4B"/>
    <w:rsid w:val="00773B99"/>
    <w:rsid w:val="00773BF6"/>
    <w:rsid w:val="00773C44"/>
    <w:rsid w:val="00773CBB"/>
    <w:rsid w:val="00773CE3"/>
    <w:rsid w:val="00773D4C"/>
    <w:rsid w:val="00773D94"/>
    <w:rsid w:val="00773DFA"/>
    <w:rsid w:val="00773ECE"/>
    <w:rsid w:val="00773EF2"/>
    <w:rsid w:val="00774067"/>
    <w:rsid w:val="007740BC"/>
    <w:rsid w:val="007743E3"/>
    <w:rsid w:val="00774437"/>
    <w:rsid w:val="00774454"/>
    <w:rsid w:val="007744F1"/>
    <w:rsid w:val="0077467B"/>
    <w:rsid w:val="007746D1"/>
    <w:rsid w:val="00774DC1"/>
    <w:rsid w:val="00774EEC"/>
    <w:rsid w:val="0077539A"/>
    <w:rsid w:val="00775462"/>
    <w:rsid w:val="0077546D"/>
    <w:rsid w:val="00775528"/>
    <w:rsid w:val="007755AD"/>
    <w:rsid w:val="00775672"/>
    <w:rsid w:val="00775768"/>
    <w:rsid w:val="007757AD"/>
    <w:rsid w:val="0077594B"/>
    <w:rsid w:val="00775C18"/>
    <w:rsid w:val="00775D7E"/>
    <w:rsid w:val="00775F68"/>
    <w:rsid w:val="00776062"/>
    <w:rsid w:val="007760B5"/>
    <w:rsid w:val="0077635D"/>
    <w:rsid w:val="007763BD"/>
    <w:rsid w:val="007763DA"/>
    <w:rsid w:val="0077646F"/>
    <w:rsid w:val="007764EE"/>
    <w:rsid w:val="00776634"/>
    <w:rsid w:val="0077663E"/>
    <w:rsid w:val="007766E6"/>
    <w:rsid w:val="00776761"/>
    <w:rsid w:val="00776843"/>
    <w:rsid w:val="00776A8E"/>
    <w:rsid w:val="00776BE1"/>
    <w:rsid w:val="00776C26"/>
    <w:rsid w:val="00776CBF"/>
    <w:rsid w:val="0077702C"/>
    <w:rsid w:val="00777031"/>
    <w:rsid w:val="00777082"/>
    <w:rsid w:val="0077711F"/>
    <w:rsid w:val="0077720F"/>
    <w:rsid w:val="0077745E"/>
    <w:rsid w:val="00777702"/>
    <w:rsid w:val="00777759"/>
    <w:rsid w:val="007777E5"/>
    <w:rsid w:val="00777957"/>
    <w:rsid w:val="00777A54"/>
    <w:rsid w:val="00777BF6"/>
    <w:rsid w:val="00777C6A"/>
    <w:rsid w:val="00777D40"/>
    <w:rsid w:val="00777D64"/>
    <w:rsid w:val="00780040"/>
    <w:rsid w:val="00780062"/>
    <w:rsid w:val="00780147"/>
    <w:rsid w:val="00780384"/>
    <w:rsid w:val="00780485"/>
    <w:rsid w:val="007804B6"/>
    <w:rsid w:val="00780592"/>
    <w:rsid w:val="007807FE"/>
    <w:rsid w:val="00780837"/>
    <w:rsid w:val="007809CE"/>
    <w:rsid w:val="00780B08"/>
    <w:rsid w:val="00780B92"/>
    <w:rsid w:val="00780BC8"/>
    <w:rsid w:val="00780D78"/>
    <w:rsid w:val="00780E91"/>
    <w:rsid w:val="00780EE8"/>
    <w:rsid w:val="00780FAB"/>
    <w:rsid w:val="00781007"/>
    <w:rsid w:val="0078103C"/>
    <w:rsid w:val="0078112B"/>
    <w:rsid w:val="00781243"/>
    <w:rsid w:val="00781244"/>
    <w:rsid w:val="00781337"/>
    <w:rsid w:val="007813F3"/>
    <w:rsid w:val="007814D1"/>
    <w:rsid w:val="00781587"/>
    <w:rsid w:val="007815A5"/>
    <w:rsid w:val="00781669"/>
    <w:rsid w:val="00781704"/>
    <w:rsid w:val="007819A0"/>
    <w:rsid w:val="007819CC"/>
    <w:rsid w:val="007819D1"/>
    <w:rsid w:val="007819F8"/>
    <w:rsid w:val="00781B28"/>
    <w:rsid w:val="00781E1C"/>
    <w:rsid w:val="007820B8"/>
    <w:rsid w:val="00782156"/>
    <w:rsid w:val="007822CC"/>
    <w:rsid w:val="00782457"/>
    <w:rsid w:val="0078276B"/>
    <w:rsid w:val="007828F7"/>
    <w:rsid w:val="007829C6"/>
    <w:rsid w:val="00782B79"/>
    <w:rsid w:val="00782BBB"/>
    <w:rsid w:val="00782BF7"/>
    <w:rsid w:val="00782DA9"/>
    <w:rsid w:val="00782E98"/>
    <w:rsid w:val="007831D6"/>
    <w:rsid w:val="00783302"/>
    <w:rsid w:val="00783434"/>
    <w:rsid w:val="007834D7"/>
    <w:rsid w:val="0078367F"/>
    <w:rsid w:val="007836CB"/>
    <w:rsid w:val="007836CE"/>
    <w:rsid w:val="007836E3"/>
    <w:rsid w:val="0078371E"/>
    <w:rsid w:val="00783759"/>
    <w:rsid w:val="0078381A"/>
    <w:rsid w:val="00783831"/>
    <w:rsid w:val="00783856"/>
    <w:rsid w:val="00783ADD"/>
    <w:rsid w:val="00783C40"/>
    <w:rsid w:val="00783DE7"/>
    <w:rsid w:val="00783E4A"/>
    <w:rsid w:val="00783E5E"/>
    <w:rsid w:val="00783EF6"/>
    <w:rsid w:val="00784232"/>
    <w:rsid w:val="00784278"/>
    <w:rsid w:val="00784285"/>
    <w:rsid w:val="0078428C"/>
    <w:rsid w:val="00784345"/>
    <w:rsid w:val="007844DD"/>
    <w:rsid w:val="0078468E"/>
    <w:rsid w:val="007846BA"/>
    <w:rsid w:val="007846E7"/>
    <w:rsid w:val="0078471C"/>
    <w:rsid w:val="0078483A"/>
    <w:rsid w:val="007849D1"/>
    <w:rsid w:val="00784AFB"/>
    <w:rsid w:val="00784BD0"/>
    <w:rsid w:val="00784DB8"/>
    <w:rsid w:val="00784FD2"/>
    <w:rsid w:val="00785280"/>
    <w:rsid w:val="0078528C"/>
    <w:rsid w:val="0078533D"/>
    <w:rsid w:val="007854F9"/>
    <w:rsid w:val="0078552C"/>
    <w:rsid w:val="00785597"/>
    <w:rsid w:val="00785634"/>
    <w:rsid w:val="0078563C"/>
    <w:rsid w:val="007856EA"/>
    <w:rsid w:val="00785741"/>
    <w:rsid w:val="007857C1"/>
    <w:rsid w:val="00785888"/>
    <w:rsid w:val="00785CDF"/>
    <w:rsid w:val="00785D79"/>
    <w:rsid w:val="00785DB5"/>
    <w:rsid w:val="00785F6C"/>
    <w:rsid w:val="00786151"/>
    <w:rsid w:val="00786169"/>
    <w:rsid w:val="007861ED"/>
    <w:rsid w:val="00786217"/>
    <w:rsid w:val="00786270"/>
    <w:rsid w:val="007864AD"/>
    <w:rsid w:val="00786547"/>
    <w:rsid w:val="0078659E"/>
    <w:rsid w:val="00786714"/>
    <w:rsid w:val="007867E2"/>
    <w:rsid w:val="0078690C"/>
    <w:rsid w:val="00786962"/>
    <w:rsid w:val="00786989"/>
    <w:rsid w:val="00786C5B"/>
    <w:rsid w:val="00786DA6"/>
    <w:rsid w:val="00786E78"/>
    <w:rsid w:val="00786E8E"/>
    <w:rsid w:val="00786EB3"/>
    <w:rsid w:val="00786EF4"/>
    <w:rsid w:val="007870C4"/>
    <w:rsid w:val="00787210"/>
    <w:rsid w:val="00787496"/>
    <w:rsid w:val="007875BB"/>
    <w:rsid w:val="0078767B"/>
    <w:rsid w:val="0078773D"/>
    <w:rsid w:val="00787902"/>
    <w:rsid w:val="007879D3"/>
    <w:rsid w:val="007879E1"/>
    <w:rsid w:val="00787AA1"/>
    <w:rsid w:val="00787C17"/>
    <w:rsid w:val="00787C6E"/>
    <w:rsid w:val="00790076"/>
    <w:rsid w:val="00790201"/>
    <w:rsid w:val="00790397"/>
    <w:rsid w:val="007903CD"/>
    <w:rsid w:val="007903EA"/>
    <w:rsid w:val="0079066E"/>
    <w:rsid w:val="00790933"/>
    <w:rsid w:val="007909BD"/>
    <w:rsid w:val="00790A1F"/>
    <w:rsid w:val="00790A45"/>
    <w:rsid w:val="00790C62"/>
    <w:rsid w:val="00790F6B"/>
    <w:rsid w:val="00790FC4"/>
    <w:rsid w:val="0079140E"/>
    <w:rsid w:val="0079162C"/>
    <w:rsid w:val="00791647"/>
    <w:rsid w:val="0079187B"/>
    <w:rsid w:val="00791882"/>
    <w:rsid w:val="00791A6C"/>
    <w:rsid w:val="00791B5D"/>
    <w:rsid w:val="00791BD4"/>
    <w:rsid w:val="00791FAC"/>
    <w:rsid w:val="007922B3"/>
    <w:rsid w:val="007922FD"/>
    <w:rsid w:val="00792409"/>
    <w:rsid w:val="0079255D"/>
    <w:rsid w:val="00792803"/>
    <w:rsid w:val="0079280E"/>
    <w:rsid w:val="00792950"/>
    <w:rsid w:val="00792958"/>
    <w:rsid w:val="00792A80"/>
    <w:rsid w:val="00792AA1"/>
    <w:rsid w:val="00792C77"/>
    <w:rsid w:val="00792EC0"/>
    <w:rsid w:val="00792F67"/>
    <w:rsid w:val="0079305A"/>
    <w:rsid w:val="007931AC"/>
    <w:rsid w:val="00793280"/>
    <w:rsid w:val="00793328"/>
    <w:rsid w:val="007935B9"/>
    <w:rsid w:val="00793793"/>
    <w:rsid w:val="007937FC"/>
    <w:rsid w:val="007939AB"/>
    <w:rsid w:val="00793A3F"/>
    <w:rsid w:val="00793A9D"/>
    <w:rsid w:val="00793B19"/>
    <w:rsid w:val="00793BBD"/>
    <w:rsid w:val="00793C93"/>
    <w:rsid w:val="00793DAF"/>
    <w:rsid w:val="00793DBB"/>
    <w:rsid w:val="007940C2"/>
    <w:rsid w:val="007941D3"/>
    <w:rsid w:val="00794241"/>
    <w:rsid w:val="0079427F"/>
    <w:rsid w:val="007942F9"/>
    <w:rsid w:val="007943B6"/>
    <w:rsid w:val="00794434"/>
    <w:rsid w:val="0079455D"/>
    <w:rsid w:val="00794578"/>
    <w:rsid w:val="00794650"/>
    <w:rsid w:val="0079465E"/>
    <w:rsid w:val="00794748"/>
    <w:rsid w:val="00794983"/>
    <w:rsid w:val="00794AED"/>
    <w:rsid w:val="00794AF4"/>
    <w:rsid w:val="00794BC3"/>
    <w:rsid w:val="00794D10"/>
    <w:rsid w:val="00794DD9"/>
    <w:rsid w:val="00794E66"/>
    <w:rsid w:val="00794F97"/>
    <w:rsid w:val="007950DF"/>
    <w:rsid w:val="00795169"/>
    <w:rsid w:val="007952C2"/>
    <w:rsid w:val="007953DD"/>
    <w:rsid w:val="0079546B"/>
    <w:rsid w:val="0079546F"/>
    <w:rsid w:val="00795475"/>
    <w:rsid w:val="00795594"/>
    <w:rsid w:val="00795879"/>
    <w:rsid w:val="007958F1"/>
    <w:rsid w:val="00795922"/>
    <w:rsid w:val="00795A12"/>
    <w:rsid w:val="00795B5E"/>
    <w:rsid w:val="00795C8D"/>
    <w:rsid w:val="00795CBA"/>
    <w:rsid w:val="00795D32"/>
    <w:rsid w:val="00795E1D"/>
    <w:rsid w:val="00795E23"/>
    <w:rsid w:val="00795E4B"/>
    <w:rsid w:val="00795E53"/>
    <w:rsid w:val="00795E76"/>
    <w:rsid w:val="00795EFC"/>
    <w:rsid w:val="00795FC5"/>
    <w:rsid w:val="0079601D"/>
    <w:rsid w:val="00796102"/>
    <w:rsid w:val="007961B0"/>
    <w:rsid w:val="007965BA"/>
    <w:rsid w:val="007966D9"/>
    <w:rsid w:val="00796808"/>
    <w:rsid w:val="00796857"/>
    <w:rsid w:val="007968B5"/>
    <w:rsid w:val="00796943"/>
    <w:rsid w:val="00796A41"/>
    <w:rsid w:val="00796B11"/>
    <w:rsid w:val="00796DE1"/>
    <w:rsid w:val="00796F5C"/>
    <w:rsid w:val="00797095"/>
    <w:rsid w:val="00797178"/>
    <w:rsid w:val="007971AD"/>
    <w:rsid w:val="007971BD"/>
    <w:rsid w:val="007973B6"/>
    <w:rsid w:val="007973BD"/>
    <w:rsid w:val="0079768E"/>
    <w:rsid w:val="007976FA"/>
    <w:rsid w:val="00797801"/>
    <w:rsid w:val="0079780C"/>
    <w:rsid w:val="00797C3C"/>
    <w:rsid w:val="00797D62"/>
    <w:rsid w:val="00797E9D"/>
    <w:rsid w:val="00797EC1"/>
    <w:rsid w:val="00797F5D"/>
    <w:rsid w:val="0079837E"/>
    <w:rsid w:val="007A007E"/>
    <w:rsid w:val="007A01C6"/>
    <w:rsid w:val="007A02D1"/>
    <w:rsid w:val="007A034E"/>
    <w:rsid w:val="007A0666"/>
    <w:rsid w:val="007A06FC"/>
    <w:rsid w:val="007A0730"/>
    <w:rsid w:val="007A08CF"/>
    <w:rsid w:val="007A08D5"/>
    <w:rsid w:val="007A0B6E"/>
    <w:rsid w:val="007A0D23"/>
    <w:rsid w:val="007A0DA9"/>
    <w:rsid w:val="007A0DEF"/>
    <w:rsid w:val="007A0F59"/>
    <w:rsid w:val="007A1046"/>
    <w:rsid w:val="007A1252"/>
    <w:rsid w:val="007A12CC"/>
    <w:rsid w:val="007A12D0"/>
    <w:rsid w:val="007A135A"/>
    <w:rsid w:val="007A13B5"/>
    <w:rsid w:val="007A1421"/>
    <w:rsid w:val="007A1524"/>
    <w:rsid w:val="007A1879"/>
    <w:rsid w:val="007A1A0D"/>
    <w:rsid w:val="007A1C6D"/>
    <w:rsid w:val="007A1D5D"/>
    <w:rsid w:val="007A1E89"/>
    <w:rsid w:val="007A2008"/>
    <w:rsid w:val="007A2283"/>
    <w:rsid w:val="007A2911"/>
    <w:rsid w:val="007A2A40"/>
    <w:rsid w:val="007A2AE5"/>
    <w:rsid w:val="007A2AFE"/>
    <w:rsid w:val="007A2B8F"/>
    <w:rsid w:val="007A2C33"/>
    <w:rsid w:val="007A2C63"/>
    <w:rsid w:val="007A2F20"/>
    <w:rsid w:val="007A2F3E"/>
    <w:rsid w:val="007A2F55"/>
    <w:rsid w:val="007A3047"/>
    <w:rsid w:val="007A30F3"/>
    <w:rsid w:val="007A3236"/>
    <w:rsid w:val="007A33BB"/>
    <w:rsid w:val="007A367C"/>
    <w:rsid w:val="007A368E"/>
    <w:rsid w:val="007A369D"/>
    <w:rsid w:val="007A3705"/>
    <w:rsid w:val="007A37C2"/>
    <w:rsid w:val="007A38C6"/>
    <w:rsid w:val="007A3AB3"/>
    <w:rsid w:val="007A3CAC"/>
    <w:rsid w:val="007A3D36"/>
    <w:rsid w:val="007A3DB2"/>
    <w:rsid w:val="007A40D8"/>
    <w:rsid w:val="007A424A"/>
    <w:rsid w:val="007A433E"/>
    <w:rsid w:val="007A4366"/>
    <w:rsid w:val="007A43CE"/>
    <w:rsid w:val="007A4412"/>
    <w:rsid w:val="007A44FE"/>
    <w:rsid w:val="007A454F"/>
    <w:rsid w:val="007A45E9"/>
    <w:rsid w:val="007A4608"/>
    <w:rsid w:val="007A473E"/>
    <w:rsid w:val="007A4A35"/>
    <w:rsid w:val="007A4B37"/>
    <w:rsid w:val="007A4B4D"/>
    <w:rsid w:val="007A4C24"/>
    <w:rsid w:val="007A4CC7"/>
    <w:rsid w:val="007A4DDE"/>
    <w:rsid w:val="007A4E29"/>
    <w:rsid w:val="007A4E92"/>
    <w:rsid w:val="007A531A"/>
    <w:rsid w:val="007A53B1"/>
    <w:rsid w:val="007A554F"/>
    <w:rsid w:val="007A5A1C"/>
    <w:rsid w:val="007A5AEA"/>
    <w:rsid w:val="007A5BC7"/>
    <w:rsid w:val="007A5CDB"/>
    <w:rsid w:val="007A5CEB"/>
    <w:rsid w:val="007A5D19"/>
    <w:rsid w:val="007A5D65"/>
    <w:rsid w:val="007A5DD9"/>
    <w:rsid w:val="007A5EC1"/>
    <w:rsid w:val="007A5F25"/>
    <w:rsid w:val="007A608D"/>
    <w:rsid w:val="007A640F"/>
    <w:rsid w:val="007A6459"/>
    <w:rsid w:val="007A6612"/>
    <w:rsid w:val="007A661B"/>
    <w:rsid w:val="007A6796"/>
    <w:rsid w:val="007A68DC"/>
    <w:rsid w:val="007A6960"/>
    <w:rsid w:val="007A6C70"/>
    <w:rsid w:val="007A6FE6"/>
    <w:rsid w:val="007A727F"/>
    <w:rsid w:val="007A738F"/>
    <w:rsid w:val="007A73F8"/>
    <w:rsid w:val="007A7493"/>
    <w:rsid w:val="007A7624"/>
    <w:rsid w:val="007A76A1"/>
    <w:rsid w:val="007A77FD"/>
    <w:rsid w:val="007A786F"/>
    <w:rsid w:val="007A78A1"/>
    <w:rsid w:val="007A78C0"/>
    <w:rsid w:val="007A7BE3"/>
    <w:rsid w:val="007A7DC1"/>
    <w:rsid w:val="007B01FB"/>
    <w:rsid w:val="007B04F3"/>
    <w:rsid w:val="007B07D9"/>
    <w:rsid w:val="007B07E4"/>
    <w:rsid w:val="007B088A"/>
    <w:rsid w:val="007B0986"/>
    <w:rsid w:val="007B0B8E"/>
    <w:rsid w:val="007B0BC4"/>
    <w:rsid w:val="007B0C03"/>
    <w:rsid w:val="007B0CA6"/>
    <w:rsid w:val="007B0D4E"/>
    <w:rsid w:val="007B0D81"/>
    <w:rsid w:val="007B0DD6"/>
    <w:rsid w:val="007B0DED"/>
    <w:rsid w:val="007B0E86"/>
    <w:rsid w:val="007B0F1B"/>
    <w:rsid w:val="007B0F57"/>
    <w:rsid w:val="007B1074"/>
    <w:rsid w:val="007B154B"/>
    <w:rsid w:val="007B155B"/>
    <w:rsid w:val="007B1593"/>
    <w:rsid w:val="007B16C5"/>
    <w:rsid w:val="007B18B0"/>
    <w:rsid w:val="007B18DA"/>
    <w:rsid w:val="007B18EC"/>
    <w:rsid w:val="007B19BB"/>
    <w:rsid w:val="007B1AA6"/>
    <w:rsid w:val="007B1B8B"/>
    <w:rsid w:val="007B1BD1"/>
    <w:rsid w:val="007B1BDF"/>
    <w:rsid w:val="007B1C02"/>
    <w:rsid w:val="007B1C34"/>
    <w:rsid w:val="007B1C48"/>
    <w:rsid w:val="007B1E08"/>
    <w:rsid w:val="007B1E0D"/>
    <w:rsid w:val="007B1F12"/>
    <w:rsid w:val="007B1FC7"/>
    <w:rsid w:val="007B2008"/>
    <w:rsid w:val="007B222C"/>
    <w:rsid w:val="007B228B"/>
    <w:rsid w:val="007B2426"/>
    <w:rsid w:val="007B26C6"/>
    <w:rsid w:val="007B26E9"/>
    <w:rsid w:val="007B2864"/>
    <w:rsid w:val="007B29C4"/>
    <w:rsid w:val="007B2AEA"/>
    <w:rsid w:val="007B2BA2"/>
    <w:rsid w:val="007B2C81"/>
    <w:rsid w:val="007B2C9C"/>
    <w:rsid w:val="007B2CBF"/>
    <w:rsid w:val="007B2FB1"/>
    <w:rsid w:val="007B30C0"/>
    <w:rsid w:val="007B31C8"/>
    <w:rsid w:val="007B31CB"/>
    <w:rsid w:val="007B359D"/>
    <w:rsid w:val="007B39A9"/>
    <w:rsid w:val="007B3AAF"/>
    <w:rsid w:val="007B3AEA"/>
    <w:rsid w:val="007B3C4A"/>
    <w:rsid w:val="007B3C73"/>
    <w:rsid w:val="007B3CD4"/>
    <w:rsid w:val="007B3CEF"/>
    <w:rsid w:val="007B3E84"/>
    <w:rsid w:val="007B3F44"/>
    <w:rsid w:val="007B3F9B"/>
    <w:rsid w:val="007B3FD4"/>
    <w:rsid w:val="007B4169"/>
    <w:rsid w:val="007B4208"/>
    <w:rsid w:val="007B4221"/>
    <w:rsid w:val="007B4261"/>
    <w:rsid w:val="007B4312"/>
    <w:rsid w:val="007B447A"/>
    <w:rsid w:val="007B4524"/>
    <w:rsid w:val="007B478E"/>
    <w:rsid w:val="007B49A8"/>
    <w:rsid w:val="007B4A38"/>
    <w:rsid w:val="007B4C63"/>
    <w:rsid w:val="007B4D38"/>
    <w:rsid w:val="007B4D54"/>
    <w:rsid w:val="007B4E79"/>
    <w:rsid w:val="007B50CB"/>
    <w:rsid w:val="007B51E8"/>
    <w:rsid w:val="007B5255"/>
    <w:rsid w:val="007B5283"/>
    <w:rsid w:val="007B54BA"/>
    <w:rsid w:val="007B5706"/>
    <w:rsid w:val="007B5858"/>
    <w:rsid w:val="007B58DB"/>
    <w:rsid w:val="007B5A68"/>
    <w:rsid w:val="007B5B15"/>
    <w:rsid w:val="007B5B4C"/>
    <w:rsid w:val="007B5C46"/>
    <w:rsid w:val="007B5C53"/>
    <w:rsid w:val="007B5C77"/>
    <w:rsid w:val="007B5EE0"/>
    <w:rsid w:val="007B5F45"/>
    <w:rsid w:val="007B6100"/>
    <w:rsid w:val="007B6184"/>
    <w:rsid w:val="007B61CD"/>
    <w:rsid w:val="007B6323"/>
    <w:rsid w:val="007B63CA"/>
    <w:rsid w:val="007B6555"/>
    <w:rsid w:val="007B669B"/>
    <w:rsid w:val="007B67CA"/>
    <w:rsid w:val="007B683C"/>
    <w:rsid w:val="007B68FA"/>
    <w:rsid w:val="007B698A"/>
    <w:rsid w:val="007B6A34"/>
    <w:rsid w:val="007B6B08"/>
    <w:rsid w:val="007B7042"/>
    <w:rsid w:val="007B71C2"/>
    <w:rsid w:val="007B7403"/>
    <w:rsid w:val="007B754B"/>
    <w:rsid w:val="007B755A"/>
    <w:rsid w:val="007B75AE"/>
    <w:rsid w:val="007B75BC"/>
    <w:rsid w:val="007B7666"/>
    <w:rsid w:val="007B7680"/>
    <w:rsid w:val="007B77B6"/>
    <w:rsid w:val="007B782D"/>
    <w:rsid w:val="007B7871"/>
    <w:rsid w:val="007B78C7"/>
    <w:rsid w:val="007B7B0D"/>
    <w:rsid w:val="007B7D8C"/>
    <w:rsid w:val="007B7DD8"/>
    <w:rsid w:val="007C008A"/>
    <w:rsid w:val="007C0124"/>
    <w:rsid w:val="007C0175"/>
    <w:rsid w:val="007C019F"/>
    <w:rsid w:val="007C0301"/>
    <w:rsid w:val="007C03BA"/>
    <w:rsid w:val="007C04A6"/>
    <w:rsid w:val="007C06E8"/>
    <w:rsid w:val="007C096C"/>
    <w:rsid w:val="007C0982"/>
    <w:rsid w:val="007C0AEE"/>
    <w:rsid w:val="007C0BB9"/>
    <w:rsid w:val="007C0BEB"/>
    <w:rsid w:val="007C0C20"/>
    <w:rsid w:val="007C0D69"/>
    <w:rsid w:val="007C0D6A"/>
    <w:rsid w:val="007C0E24"/>
    <w:rsid w:val="007C0EED"/>
    <w:rsid w:val="007C0F3B"/>
    <w:rsid w:val="007C0FB1"/>
    <w:rsid w:val="007C1038"/>
    <w:rsid w:val="007C10A5"/>
    <w:rsid w:val="007C10BA"/>
    <w:rsid w:val="007C10DA"/>
    <w:rsid w:val="007C11BC"/>
    <w:rsid w:val="007C1227"/>
    <w:rsid w:val="007C1254"/>
    <w:rsid w:val="007C12B0"/>
    <w:rsid w:val="007C13EA"/>
    <w:rsid w:val="007C1454"/>
    <w:rsid w:val="007C14CE"/>
    <w:rsid w:val="007C15B3"/>
    <w:rsid w:val="007C16E7"/>
    <w:rsid w:val="007C1760"/>
    <w:rsid w:val="007C17EC"/>
    <w:rsid w:val="007C181E"/>
    <w:rsid w:val="007C1905"/>
    <w:rsid w:val="007C1A08"/>
    <w:rsid w:val="007C1C9C"/>
    <w:rsid w:val="007C1CB1"/>
    <w:rsid w:val="007C1CF6"/>
    <w:rsid w:val="007C1DF8"/>
    <w:rsid w:val="007C1E4F"/>
    <w:rsid w:val="007C1F90"/>
    <w:rsid w:val="007C214A"/>
    <w:rsid w:val="007C21BE"/>
    <w:rsid w:val="007C21C3"/>
    <w:rsid w:val="007C2227"/>
    <w:rsid w:val="007C245A"/>
    <w:rsid w:val="007C24F5"/>
    <w:rsid w:val="007C257B"/>
    <w:rsid w:val="007C27F3"/>
    <w:rsid w:val="007C294C"/>
    <w:rsid w:val="007C29CC"/>
    <w:rsid w:val="007C2A23"/>
    <w:rsid w:val="007C2A54"/>
    <w:rsid w:val="007C2AFD"/>
    <w:rsid w:val="007C2B73"/>
    <w:rsid w:val="007C2C66"/>
    <w:rsid w:val="007C2FEC"/>
    <w:rsid w:val="007C300A"/>
    <w:rsid w:val="007C3033"/>
    <w:rsid w:val="007C315A"/>
    <w:rsid w:val="007C335F"/>
    <w:rsid w:val="007C3362"/>
    <w:rsid w:val="007C3430"/>
    <w:rsid w:val="007C3521"/>
    <w:rsid w:val="007C363F"/>
    <w:rsid w:val="007C3BA0"/>
    <w:rsid w:val="007C3C48"/>
    <w:rsid w:val="007C3C8D"/>
    <w:rsid w:val="007C3E38"/>
    <w:rsid w:val="007C3EC8"/>
    <w:rsid w:val="007C4101"/>
    <w:rsid w:val="007C4107"/>
    <w:rsid w:val="007C4146"/>
    <w:rsid w:val="007C42F0"/>
    <w:rsid w:val="007C458D"/>
    <w:rsid w:val="007C4709"/>
    <w:rsid w:val="007C47D8"/>
    <w:rsid w:val="007C47E3"/>
    <w:rsid w:val="007C489A"/>
    <w:rsid w:val="007C48BC"/>
    <w:rsid w:val="007C4CF0"/>
    <w:rsid w:val="007C4DA8"/>
    <w:rsid w:val="007C4FA8"/>
    <w:rsid w:val="007C501D"/>
    <w:rsid w:val="007C52BF"/>
    <w:rsid w:val="007C52E3"/>
    <w:rsid w:val="007C5385"/>
    <w:rsid w:val="007C5460"/>
    <w:rsid w:val="007C5497"/>
    <w:rsid w:val="007C559D"/>
    <w:rsid w:val="007C5729"/>
    <w:rsid w:val="007C5759"/>
    <w:rsid w:val="007C5826"/>
    <w:rsid w:val="007C58A1"/>
    <w:rsid w:val="007C58BA"/>
    <w:rsid w:val="007C5A57"/>
    <w:rsid w:val="007C5A76"/>
    <w:rsid w:val="007C5D20"/>
    <w:rsid w:val="007C5DC4"/>
    <w:rsid w:val="007C5E1F"/>
    <w:rsid w:val="007C60E2"/>
    <w:rsid w:val="007C61B8"/>
    <w:rsid w:val="007C61BF"/>
    <w:rsid w:val="007C61F5"/>
    <w:rsid w:val="007C630E"/>
    <w:rsid w:val="007C63F4"/>
    <w:rsid w:val="007C6670"/>
    <w:rsid w:val="007C690A"/>
    <w:rsid w:val="007C6977"/>
    <w:rsid w:val="007C69AB"/>
    <w:rsid w:val="007C6A84"/>
    <w:rsid w:val="007C6A98"/>
    <w:rsid w:val="007C6B53"/>
    <w:rsid w:val="007C6D64"/>
    <w:rsid w:val="007C6E0E"/>
    <w:rsid w:val="007C6E1E"/>
    <w:rsid w:val="007C6F5D"/>
    <w:rsid w:val="007C6F61"/>
    <w:rsid w:val="007C7372"/>
    <w:rsid w:val="007C73D6"/>
    <w:rsid w:val="007C749B"/>
    <w:rsid w:val="007C756F"/>
    <w:rsid w:val="007C7614"/>
    <w:rsid w:val="007C781B"/>
    <w:rsid w:val="007C78B1"/>
    <w:rsid w:val="007C7944"/>
    <w:rsid w:val="007C7989"/>
    <w:rsid w:val="007C7C55"/>
    <w:rsid w:val="007C7CA1"/>
    <w:rsid w:val="007C7E5A"/>
    <w:rsid w:val="007D0010"/>
    <w:rsid w:val="007D00AE"/>
    <w:rsid w:val="007D0189"/>
    <w:rsid w:val="007D0272"/>
    <w:rsid w:val="007D0374"/>
    <w:rsid w:val="007D0391"/>
    <w:rsid w:val="007D03DB"/>
    <w:rsid w:val="007D04AC"/>
    <w:rsid w:val="007D050B"/>
    <w:rsid w:val="007D0773"/>
    <w:rsid w:val="007D0863"/>
    <w:rsid w:val="007D08B4"/>
    <w:rsid w:val="007D0A05"/>
    <w:rsid w:val="007D0A93"/>
    <w:rsid w:val="007D0B8E"/>
    <w:rsid w:val="007D0BA5"/>
    <w:rsid w:val="007D0EA9"/>
    <w:rsid w:val="007D0F13"/>
    <w:rsid w:val="007D105E"/>
    <w:rsid w:val="007D106D"/>
    <w:rsid w:val="007D107D"/>
    <w:rsid w:val="007D12BD"/>
    <w:rsid w:val="007D157F"/>
    <w:rsid w:val="007D16EB"/>
    <w:rsid w:val="007D17CB"/>
    <w:rsid w:val="007D1A19"/>
    <w:rsid w:val="007D1CE1"/>
    <w:rsid w:val="007D1D2B"/>
    <w:rsid w:val="007D1F55"/>
    <w:rsid w:val="007D1F84"/>
    <w:rsid w:val="007D1FD9"/>
    <w:rsid w:val="007D2065"/>
    <w:rsid w:val="007D207E"/>
    <w:rsid w:val="007D213F"/>
    <w:rsid w:val="007D2212"/>
    <w:rsid w:val="007D22BC"/>
    <w:rsid w:val="007D2830"/>
    <w:rsid w:val="007D29F5"/>
    <w:rsid w:val="007D2A14"/>
    <w:rsid w:val="007D2CA3"/>
    <w:rsid w:val="007D2DAF"/>
    <w:rsid w:val="007D2E7B"/>
    <w:rsid w:val="007D3145"/>
    <w:rsid w:val="007D319C"/>
    <w:rsid w:val="007D32C0"/>
    <w:rsid w:val="007D33FF"/>
    <w:rsid w:val="007D34C8"/>
    <w:rsid w:val="007D3531"/>
    <w:rsid w:val="007D3546"/>
    <w:rsid w:val="007D360B"/>
    <w:rsid w:val="007D3713"/>
    <w:rsid w:val="007D3A00"/>
    <w:rsid w:val="007D3B61"/>
    <w:rsid w:val="007D3CB0"/>
    <w:rsid w:val="007D3D38"/>
    <w:rsid w:val="007D3D9E"/>
    <w:rsid w:val="007D42A8"/>
    <w:rsid w:val="007D42C7"/>
    <w:rsid w:val="007D42E7"/>
    <w:rsid w:val="007D435D"/>
    <w:rsid w:val="007D4401"/>
    <w:rsid w:val="007D44B0"/>
    <w:rsid w:val="007D44C2"/>
    <w:rsid w:val="007D4771"/>
    <w:rsid w:val="007D48F9"/>
    <w:rsid w:val="007D4A26"/>
    <w:rsid w:val="007D4A96"/>
    <w:rsid w:val="007D4B13"/>
    <w:rsid w:val="007D4CCD"/>
    <w:rsid w:val="007D4CDA"/>
    <w:rsid w:val="007D4E6E"/>
    <w:rsid w:val="007D4F11"/>
    <w:rsid w:val="007D4F22"/>
    <w:rsid w:val="007D5071"/>
    <w:rsid w:val="007D50D2"/>
    <w:rsid w:val="007D513E"/>
    <w:rsid w:val="007D514F"/>
    <w:rsid w:val="007D51D5"/>
    <w:rsid w:val="007D52EF"/>
    <w:rsid w:val="007D5478"/>
    <w:rsid w:val="007D568E"/>
    <w:rsid w:val="007D57F6"/>
    <w:rsid w:val="007D5B6A"/>
    <w:rsid w:val="007D5D42"/>
    <w:rsid w:val="007D5DF5"/>
    <w:rsid w:val="007D5F05"/>
    <w:rsid w:val="007D605C"/>
    <w:rsid w:val="007D60F2"/>
    <w:rsid w:val="007D6126"/>
    <w:rsid w:val="007D6216"/>
    <w:rsid w:val="007D624A"/>
    <w:rsid w:val="007D6420"/>
    <w:rsid w:val="007D647E"/>
    <w:rsid w:val="007D64F3"/>
    <w:rsid w:val="007D6623"/>
    <w:rsid w:val="007D677A"/>
    <w:rsid w:val="007D67A1"/>
    <w:rsid w:val="007D67BD"/>
    <w:rsid w:val="007D6953"/>
    <w:rsid w:val="007D6BEE"/>
    <w:rsid w:val="007D6CE2"/>
    <w:rsid w:val="007D6CE6"/>
    <w:rsid w:val="007D6CEE"/>
    <w:rsid w:val="007D6E68"/>
    <w:rsid w:val="007D701D"/>
    <w:rsid w:val="007D7330"/>
    <w:rsid w:val="007D7384"/>
    <w:rsid w:val="007D747A"/>
    <w:rsid w:val="007D7519"/>
    <w:rsid w:val="007D7641"/>
    <w:rsid w:val="007D78B2"/>
    <w:rsid w:val="007D7989"/>
    <w:rsid w:val="007D79B1"/>
    <w:rsid w:val="007D7A71"/>
    <w:rsid w:val="007D7B50"/>
    <w:rsid w:val="007D7C71"/>
    <w:rsid w:val="007D7DEE"/>
    <w:rsid w:val="007D7E6C"/>
    <w:rsid w:val="007D7F3E"/>
    <w:rsid w:val="007E00A1"/>
    <w:rsid w:val="007E029A"/>
    <w:rsid w:val="007E02FB"/>
    <w:rsid w:val="007E03C0"/>
    <w:rsid w:val="007E03CD"/>
    <w:rsid w:val="007E049C"/>
    <w:rsid w:val="007E094F"/>
    <w:rsid w:val="007E09AF"/>
    <w:rsid w:val="007E0A12"/>
    <w:rsid w:val="007E0B52"/>
    <w:rsid w:val="007E10C3"/>
    <w:rsid w:val="007E1170"/>
    <w:rsid w:val="007E11B9"/>
    <w:rsid w:val="007E135C"/>
    <w:rsid w:val="007E13AB"/>
    <w:rsid w:val="007E13DD"/>
    <w:rsid w:val="007E1406"/>
    <w:rsid w:val="007E1408"/>
    <w:rsid w:val="007E141F"/>
    <w:rsid w:val="007E14D8"/>
    <w:rsid w:val="007E15FB"/>
    <w:rsid w:val="007E1600"/>
    <w:rsid w:val="007E1689"/>
    <w:rsid w:val="007E17F6"/>
    <w:rsid w:val="007E17FB"/>
    <w:rsid w:val="007E180B"/>
    <w:rsid w:val="007E1966"/>
    <w:rsid w:val="007E1CA9"/>
    <w:rsid w:val="007E1E67"/>
    <w:rsid w:val="007E1E6B"/>
    <w:rsid w:val="007E2003"/>
    <w:rsid w:val="007E2034"/>
    <w:rsid w:val="007E204F"/>
    <w:rsid w:val="007E2087"/>
    <w:rsid w:val="007E20CF"/>
    <w:rsid w:val="007E223D"/>
    <w:rsid w:val="007E26C2"/>
    <w:rsid w:val="007E2707"/>
    <w:rsid w:val="007E277A"/>
    <w:rsid w:val="007E2836"/>
    <w:rsid w:val="007E2C65"/>
    <w:rsid w:val="007E2C96"/>
    <w:rsid w:val="007E2CB1"/>
    <w:rsid w:val="007E2CF5"/>
    <w:rsid w:val="007E2F91"/>
    <w:rsid w:val="007E3038"/>
    <w:rsid w:val="007E3224"/>
    <w:rsid w:val="007E3317"/>
    <w:rsid w:val="007E337C"/>
    <w:rsid w:val="007E3399"/>
    <w:rsid w:val="007E3526"/>
    <w:rsid w:val="007E35AF"/>
    <w:rsid w:val="007E3620"/>
    <w:rsid w:val="007E3C2C"/>
    <w:rsid w:val="007E3C82"/>
    <w:rsid w:val="007E3D8A"/>
    <w:rsid w:val="007E3E8D"/>
    <w:rsid w:val="007E40E2"/>
    <w:rsid w:val="007E4103"/>
    <w:rsid w:val="007E419D"/>
    <w:rsid w:val="007E424A"/>
    <w:rsid w:val="007E43D5"/>
    <w:rsid w:val="007E44D1"/>
    <w:rsid w:val="007E457F"/>
    <w:rsid w:val="007E4584"/>
    <w:rsid w:val="007E45BB"/>
    <w:rsid w:val="007E468B"/>
    <w:rsid w:val="007E4755"/>
    <w:rsid w:val="007E481A"/>
    <w:rsid w:val="007E48D2"/>
    <w:rsid w:val="007E4976"/>
    <w:rsid w:val="007E49EB"/>
    <w:rsid w:val="007E4BDB"/>
    <w:rsid w:val="007E4C2B"/>
    <w:rsid w:val="007E4C44"/>
    <w:rsid w:val="007E4FF0"/>
    <w:rsid w:val="007E51E0"/>
    <w:rsid w:val="007E521A"/>
    <w:rsid w:val="007E5346"/>
    <w:rsid w:val="007E53D5"/>
    <w:rsid w:val="007E5461"/>
    <w:rsid w:val="007E555A"/>
    <w:rsid w:val="007E5606"/>
    <w:rsid w:val="007E562B"/>
    <w:rsid w:val="007E564E"/>
    <w:rsid w:val="007E568A"/>
    <w:rsid w:val="007E5790"/>
    <w:rsid w:val="007E586C"/>
    <w:rsid w:val="007E599E"/>
    <w:rsid w:val="007E5B39"/>
    <w:rsid w:val="007E600F"/>
    <w:rsid w:val="007E606E"/>
    <w:rsid w:val="007E61AA"/>
    <w:rsid w:val="007E61B2"/>
    <w:rsid w:val="007E627F"/>
    <w:rsid w:val="007E6357"/>
    <w:rsid w:val="007E63B3"/>
    <w:rsid w:val="007E654B"/>
    <w:rsid w:val="007E66DF"/>
    <w:rsid w:val="007E6914"/>
    <w:rsid w:val="007E6A2D"/>
    <w:rsid w:val="007E6B04"/>
    <w:rsid w:val="007E6DCF"/>
    <w:rsid w:val="007E71D4"/>
    <w:rsid w:val="007E71E9"/>
    <w:rsid w:val="007E727D"/>
    <w:rsid w:val="007E744D"/>
    <w:rsid w:val="007E76D6"/>
    <w:rsid w:val="007E76E7"/>
    <w:rsid w:val="007E780B"/>
    <w:rsid w:val="007E7936"/>
    <w:rsid w:val="007E79F9"/>
    <w:rsid w:val="007E7B60"/>
    <w:rsid w:val="007E7B92"/>
    <w:rsid w:val="007E7BAB"/>
    <w:rsid w:val="007E7BD7"/>
    <w:rsid w:val="007E7C95"/>
    <w:rsid w:val="007E7D93"/>
    <w:rsid w:val="007E7EE2"/>
    <w:rsid w:val="007E7FA6"/>
    <w:rsid w:val="007F005B"/>
    <w:rsid w:val="007F00C5"/>
    <w:rsid w:val="007F0218"/>
    <w:rsid w:val="007F0245"/>
    <w:rsid w:val="007F0258"/>
    <w:rsid w:val="007F02A6"/>
    <w:rsid w:val="007F02E5"/>
    <w:rsid w:val="007F0461"/>
    <w:rsid w:val="007F051D"/>
    <w:rsid w:val="007F0610"/>
    <w:rsid w:val="007F084F"/>
    <w:rsid w:val="007F0A43"/>
    <w:rsid w:val="007F0B2F"/>
    <w:rsid w:val="007F0D03"/>
    <w:rsid w:val="007F0D78"/>
    <w:rsid w:val="007F0E3B"/>
    <w:rsid w:val="007F0EE9"/>
    <w:rsid w:val="007F0F1C"/>
    <w:rsid w:val="007F0F9F"/>
    <w:rsid w:val="007F10E5"/>
    <w:rsid w:val="007F122A"/>
    <w:rsid w:val="007F1353"/>
    <w:rsid w:val="007F13F6"/>
    <w:rsid w:val="007F1412"/>
    <w:rsid w:val="007F1795"/>
    <w:rsid w:val="007F193D"/>
    <w:rsid w:val="007F1A4F"/>
    <w:rsid w:val="007F1B42"/>
    <w:rsid w:val="007F1B56"/>
    <w:rsid w:val="007F1BD6"/>
    <w:rsid w:val="007F1D80"/>
    <w:rsid w:val="007F22AE"/>
    <w:rsid w:val="007F22B7"/>
    <w:rsid w:val="007F2669"/>
    <w:rsid w:val="007F26CB"/>
    <w:rsid w:val="007F276A"/>
    <w:rsid w:val="007F27F5"/>
    <w:rsid w:val="007F2806"/>
    <w:rsid w:val="007F2845"/>
    <w:rsid w:val="007F28F2"/>
    <w:rsid w:val="007F2B3D"/>
    <w:rsid w:val="007F2D2C"/>
    <w:rsid w:val="007F2D99"/>
    <w:rsid w:val="007F2E03"/>
    <w:rsid w:val="007F2E21"/>
    <w:rsid w:val="007F2E86"/>
    <w:rsid w:val="007F2F11"/>
    <w:rsid w:val="007F31B2"/>
    <w:rsid w:val="007F3870"/>
    <w:rsid w:val="007F3917"/>
    <w:rsid w:val="007F3A13"/>
    <w:rsid w:val="007F3C80"/>
    <w:rsid w:val="007F3E09"/>
    <w:rsid w:val="007F3E73"/>
    <w:rsid w:val="007F412F"/>
    <w:rsid w:val="007F41CA"/>
    <w:rsid w:val="007F4367"/>
    <w:rsid w:val="007F4404"/>
    <w:rsid w:val="007F441A"/>
    <w:rsid w:val="007F4447"/>
    <w:rsid w:val="007F44AD"/>
    <w:rsid w:val="007F4657"/>
    <w:rsid w:val="007F4678"/>
    <w:rsid w:val="007F469C"/>
    <w:rsid w:val="007F477C"/>
    <w:rsid w:val="007F4828"/>
    <w:rsid w:val="007F486C"/>
    <w:rsid w:val="007F48C7"/>
    <w:rsid w:val="007F4B3D"/>
    <w:rsid w:val="007F4BAD"/>
    <w:rsid w:val="007F4DC4"/>
    <w:rsid w:val="007F4ED6"/>
    <w:rsid w:val="007F5052"/>
    <w:rsid w:val="007F5136"/>
    <w:rsid w:val="007F5201"/>
    <w:rsid w:val="007F5337"/>
    <w:rsid w:val="007F5349"/>
    <w:rsid w:val="007F548B"/>
    <w:rsid w:val="007F54AA"/>
    <w:rsid w:val="007F54FE"/>
    <w:rsid w:val="007F554C"/>
    <w:rsid w:val="007F55F2"/>
    <w:rsid w:val="007F569A"/>
    <w:rsid w:val="007F570A"/>
    <w:rsid w:val="007F57C1"/>
    <w:rsid w:val="007F57DD"/>
    <w:rsid w:val="007F58E1"/>
    <w:rsid w:val="007F5A84"/>
    <w:rsid w:val="007F5AE7"/>
    <w:rsid w:val="007F5B92"/>
    <w:rsid w:val="007F5CA2"/>
    <w:rsid w:val="007F5CCA"/>
    <w:rsid w:val="007F5CFB"/>
    <w:rsid w:val="007F5E01"/>
    <w:rsid w:val="007F5EF3"/>
    <w:rsid w:val="007F60A3"/>
    <w:rsid w:val="007F60F1"/>
    <w:rsid w:val="007F613D"/>
    <w:rsid w:val="007F620A"/>
    <w:rsid w:val="007F6255"/>
    <w:rsid w:val="007F62E6"/>
    <w:rsid w:val="007F6389"/>
    <w:rsid w:val="007F63DB"/>
    <w:rsid w:val="007F6541"/>
    <w:rsid w:val="007F6933"/>
    <w:rsid w:val="007F69F5"/>
    <w:rsid w:val="007F6B0A"/>
    <w:rsid w:val="007F6CBF"/>
    <w:rsid w:val="007F6ED1"/>
    <w:rsid w:val="007F6F3C"/>
    <w:rsid w:val="007F6F4E"/>
    <w:rsid w:val="007F7006"/>
    <w:rsid w:val="007F7052"/>
    <w:rsid w:val="007F706B"/>
    <w:rsid w:val="007F7077"/>
    <w:rsid w:val="007F7091"/>
    <w:rsid w:val="007F715D"/>
    <w:rsid w:val="007F7163"/>
    <w:rsid w:val="007F730A"/>
    <w:rsid w:val="007F7327"/>
    <w:rsid w:val="007F73EB"/>
    <w:rsid w:val="007F741A"/>
    <w:rsid w:val="007F7443"/>
    <w:rsid w:val="007F7452"/>
    <w:rsid w:val="007F7542"/>
    <w:rsid w:val="007F7544"/>
    <w:rsid w:val="007F756D"/>
    <w:rsid w:val="007F7603"/>
    <w:rsid w:val="007F765B"/>
    <w:rsid w:val="007F76C6"/>
    <w:rsid w:val="007F7757"/>
    <w:rsid w:val="007F77B2"/>
    <w:rsid w:val="007F7A06"/>
    <w:rsid w:val="007F7A8C"/>
    <w:rsid w:val="007F7C74"/>
    <w:rsid w:val="007F7D35"/>
    <w:rsid w:val="0080001F"/>
    <w:rsid w:val="00800326"/>
    <w:rsid w:val="00800410"/>
    <w:rsid w:val="00800422"/>
    <w:rsid w:val="008005B2"/>
    <w:rsid w:val="008005B7"/>
    <w:rsid w:val="008005C8"/>
    <w:rsid w:val="008006BE"/>
    <w:rsid w:val="0080074B"/>
    <w:rsid w:val="0080099F"/>
    <w:rsid w:val="008009E1"/>
    <w:rsid w:val="00800C96"/>
    <w:rsid w:val="00800D36"/>
    <w:rsid w:val="00800DB5"/>
    <w:rsid w:val="00800DE4"/>
    <w:rsid w:val="00800F53"/>
    <w:rsid w:val="0080107A"/>
    <w:rsid w:val="00801198"/>
    <w:rsid w:val="008011E9"/>
    <w:rsid w:val="00801204"/>
    <w:rsid w:val="008014C4"/>
    <w:rsid w:val="00801634"/>
    <w:rsid w:val="00801720"/>
    <w:rsid w:val="00801A11"/>
    <w:rsid w:val="00801C1F"/>
    <w:rsid w:val="00801E52"/>
    <w:rsid w:val="00801EA1"/>
    <w:rsid w:val="00801FAF"/>
    <w:rsid w:val="0080202C"/>
    <w:rsid w:val="00802049"/>
    <w:rsid w:val="00802084"/>
    <w:rsid w:val="0080220A"/>
    <w:rsid w:val="00802230"/>
    <w:rsid w:val="00802331"/>
    <w:rsid w:val="008023D3"/>
    <w:rsid w:val="00802577"/>
    <w:rsid w:val="00802679"/>
    <w:rsid w:val="00802738"/>
    <w:rsid w:val="00802822"/>
    <w:rsid w:val="008028A8"/>
    <w:rsid w:val="00802AED"/>
    <w:rsid w:val="00802C2E"/>
    <w:rsid w:val="00802D76"/>
    <w:rsid w:val="00802E14"/>
    <w:rsid w:val="00802E90"/>
    <w:rsid w:val="008030D3"/>
    <w:rsid w:val="00803284"/>
    <w:rsid w:val="0080329B"/>
    <w:rsid w:val="0080332C"/>
    <w:rsid w:val="00803365"/>
    <w:rsid w:val="0080345A"/>
    <w:rsid w:val="0080352E"/>
    <w:rsid w:val="00803579"/>
    <w:rsid w:val="008036E9"/>
    <w:rsid w:val="00803763"/>
    <w:rsid w:val="00803779"/>
    <w:rsid w:val="0080379E"/>
    <w:rsid w:val="0080394D"/>
    <w:rsid w:val="0080397A"/>
    <w:rsid w:val="00803B9B"/>
    <w:rsid w:val="00803F8F"/>
    <w:rsid w:val="00804020"/>
    <w:rsid w:val="0080422F"/>
    <w:rsid w:val="008042C8"/>
    <w:rsid w:val="0080437C"/>
    <w:rsid w:val="008044C3"/>
    <w:rsid w:val="0080468F"/>
    <w:rsid w:val="0080469C"/>
    <w:rsid w:val="0080473A"/>
    <w:rsid w:val="00804772"/>
    <w:rsid w:val="00804878"/>
    <w:rsid w:val="008048BA"/>
    <w:rsid w:val="008048D7"/>
    <w:rsid w:val="008048EB"/>
    <w:rsid w:val="00804A50"/>
    <w:rsid w:val="00804B72"/>
    <w:rsid w:val="00804B97"/>
    <w:rsid w:val="00804BD1"/>
    <w:rsid w:val="00804BD3"/>
    <w:rsid w:val="00804C0D"/>
    <w:rsid w:val="00804F58"/>
    <w:rsid w:val="00804FEF"/>
    <w:rsid w:val="0080502B"/>
    <w:rsid w:val="00805048"/>
    <w:rsid w:val="00805057"/>
    <w:rsid w:val="0080507E"/>
    <w:rsid w:val="008050B1"/>
    <w:rsid w:val="008050E6"/>
    <w:rsid w:val="00805211"/>
    <w:rsid w:val="008053E8"/>
    <w:rsid w:val="008053EA"/>
    <w:rsid w:val="008053F1"/>
    <w:rsid w:val="00805471"/>
    <w:rsid w:val="0080553E"/>
    <w:rsid w:val="00805602"/>
    <w:rsid w:val="00805B08"/>
    <w:rsid w:val="00805B8A"/>
    <w:rsid w:val="00805B96"/>
    <w:rsid w:val="00805C31"/>
    <w:rsid w:val="00805C3F"/>
    <w:rsid w:val="00805D07"/>
    <w:rsid w:val="00805DE2"/>
    <w:rsid w:val="00805E57"/>
    <w:rsid w:val="00806083"/>
    <w:rsid w:val="00806130"/>
    <w:rsid w:val="008061F5"/>
    <w:rsid w:val="008062ED"/>
    <w:rsid w:val="0080659B"/>
    <w:rsid w:val="008065D6"/>
    <w:rsid w:val="008066F3"/>
    <w:rsid w:val="00806916"/>
    <w:rsid w:val="00806B2F"/>
    <w:rsid w:val="00806C9D"/>
    <w:rsid w:val="00806CC7"/>
    <w:rsid w:val="00806DA4"/>
    <w:rsid w:val="00806E60"/>
    <w:rsid w:val="00806EFC"/>
    <w:rsid w:val="0080704C"/>
    <w:rsid w:val="00807054"/>
    <w:rsid w:val="008070F5"/>
    <w:rsid w:val="0080710D"/>
    <w:rsid w:val="00807116"/>
    <w:rsid w:val="008071BA"/>
    <w:rsid w:val="008071C7"/>
    <w:rsid w:val="0080728A"/>
    <w:rsid w:val="008072CC"/>
    <w:rsid w:val="00807528"/>
    <w:rsid w:val="00807697"/>
    <w:rsid w:val="00807954"/>
    <w:rsid w:val="00807BE7"/>
    <w:rsid w:val="00807CC7"/>
    <w:rsid w:val="00810048"/>
    <w:rsid w:val="0081007A"/>
    <w:rsid w:val="008100E1"/>
    <w:rsid w:val="00810298"/>
    <w:rsid w:val="008103BD"/>
    <w:rsid w:val="0081047E"/>
    <w:rsid w:val="008104F5"/>
    <w:rsid w:val="00810527"/>
    <w:rsid w:val="00810561"/>
    <w:rsid w:val="008106A5"/>
    <w:rsid w:val="00810A01"/>
    <w:rsid w:val="00810BB3"/>
    <w:rsid w:val="00810BB9"/>
    <w:rsid w:val="00810CBE"/>
    <w:rsid w:val="00810DBE"/>
    <w:rsid w:val="00810EDA"/>
    <w:rsid w:val="00810F18"/>
    <w:rsid w:val="00811199"/>
    <w:rsid w:val="00811235"/>
    <w:rsid w:val="008113A2"/>
    <w:rsid w:val="008115DC"/>
    <w:rsid w:val="008117C3"/>
    <w:rsid w:val="0081183F"/>
    <w:rsid w:val="008121B9"/>
    <w:rsid w:val="00812301"/>
    <w:rsid w:val="0081253D"/>
    <w:rsid w:val="00812584"/>
    <w:rsid w:val="00812710"/>
    <w:rsid w:val="00812728"/>
    <w:rsid w:val="00812764"/>
    <w:rsid w:val="0081287C"/>
    <w:rsid w:val="00812A78"/>
    <w:rsid w:val="00812E51"/>
    <w:rsid w:val="00812ED3"/>
    <w:rsid w:val="00812F6F"/>
    <w:rsid w:val="0081305B"/>
    <w:rsid w:val="00813129"/>
    <w:rsid w:val="00813225"/>
    <w:rsid w:val="008132D3"/>
    <w:rsid w:val="008133DA"/>
    <w:rsid w:val="0081353A"/>
    <w:rsid w:val="0081365C"/>
    <w:rsid w:val="008136CE"/>
    <w:rsid w:val="0081382F"/>
    <w:rsid w:val="00813A00"/>
    <w:rsid w:val="00813DBC"/>
    <w:rsid w:val="00813DF9"/>
    <w:rsid w:val="00813E94"/>
    <w:rsid w:val="00813EC3"/>
    <w:rsid w:val="00813F7A"/>
    <w:rsid w:val="00813FA3"/>
    <w:rsid w:val="00813FCA"/>
    <w:rsid w:val="008141D0"/>
    <w:rsid w:val="0081434C"/>
    <w:rsid w:val="00814594"/>
    <w:rsid w:val="008145D4"/>
    <w:rsid w:val="008145E3"/>
    <w:rsid w:val="00814642"/>
    <w:rsid w:val="0081474A"/>
    <w:rsid w:val="008148BF"/>
    <w:rsid w:val="00814C27"/>
    <w:rsid w:val="00814EB3"/>
    <w:rsid w:val="00814F9C"/>
    <w:rsid w:val="00815000"/>
    <w:rsid w:val="008152E9"/>
    <w:rsid w:val="0081552A"/>
    <w:rsid w:val="0081568C"/>
    <w:rsid w:val="0081579B"/>
    <w:rsid w:val="00815860"/>
    <w:rsid w:val="00815B6E"/>
    <w:rsid w:val="00815CD0"/>
    <w:rsid w:val="00815DF9"/>
    <w:rsid w:val="00815F91"/>
    <w:rsid w:val="0081611B"/>
    <w:rsid w:val="00816129"/>
    <w:rsid w:val="008161EC"/>
    <w:rsid w:val="008164EA"/>
    <w:rsid w:val="00816526"/>
    <w:rsid w:val="00816581"/>
    <w:rsid w:val="0081660B"/>
    <w:rsid w:val="008167D9"/>
    <w:rsid w:val="008167FB"/>
    <w:rsid w:val="00816843"/>
    <w:rsid w:val="00816874"/>
    <w:rsid w:val="0081689A"/>
    <w:rsid w:val="00816A08"/>
    <w:rsid w:val="00816A4B"/>
    <w:rsid w:val="00816A6A"/>
    <w:rsid w:val="00816AE6"/>
    <w:rsid w:val="00816AED"/>
    <w:rsid w:val="00816BE4"/>
    <w:rsid w:val="00816C7B"/>
    <w:rsid w:val="00816EC1"/>
    <w:rsid w:val="00816FE0"/>
    <w:rsid w:val="0081702E"/>
    <w:rsid w:val="008170C8"/>
    <w:rsid w:val="008170E4"/>
    <w:rsid w:val="00817162"/>
    <w:rsid w:val="00817289"/>
    <w:rsid w:val="008173A7"/>
    <w:rsid w:val="008173E0"/>
    <w:rsid w:val="00817511"/>
    <w:rsid w:val="00817607"/>
    <w:rsid w:val="0081760A"/>
    <w:rsid w:val="00817AE7"/>
    <w:rsid w:val="00817BE6"/>
    <w:rsid w:val="00817CE3"/>
    <w:rsid w:val="00817D85"/>
    <w:rsid w:val="00817DD8"/>
    <w:rsid w:val="00817E9B"/>
    <w:rsid w:val="008200FE"/>
    <w:rsid w:val="00820130"/>
    <w:rsid w:val="0082014F"/>
    <w:rsid w:val="008201ED"/>
    <w:rsid w:val="008201F8"/>
    <w:rsid w:val="00820300"/>
    <w:rsid w:val="00820569"/>
    <w:rsid w:val="0082066E"/>
    <w:rsid w:val="008206BC"/>
    <w:rsid w:val="0082075A"/>
    <w:rsid w:val="00820775"/>
    <w:rsid w:val="00820861"/>
    <w:rsid w:val="0082089C"/>
    <w:rsid w:val="00820B19"/>
    <w:rsid w:val="00820B5E"/>
    <w:rsid w:val="00820B64"/>
    <w:rsid w:val="00820B87"/>
    <w:rsid w:val="00820B95"/>
    <w:rsid w:val="00820C3A"/>
    <w:rsid w:val="00820CF8"/>
    <w:rsid w:val="00820F80"/>
    <w:rsid w:val="008210D0"/>
    <w:rsid w:val="008211A8"/>
    <w:rsid w:val="00821234"/>
    <w:rsid w:val="00821250"/>
    <w:rsid w:val="0082137B"/>
    <w:rsid w:val="00821C0E"/>
    <w:rsid w:val="00821D48"/>
    <w:rsid w:val="00821F18"/>
    <w:rsid w:val="0082208C"/>
    <w:rsid w:val="0082232A"/>
    <w:rsid w:val="0082233F"/>
    <w:rsid w:val="0082237B"/>
    <w:rsid w:val="008225F5"/>
    <w:rsid w:val="00822640"/>
    <w:rsid w:val="0082264E"/>
    <w:rsid w:val="008226C6"/>
    <w:rsid w:val="008226E1"/>
    <w:rsid w:val="00822808"/>
    <w:rsid w:val="00822995"/>
    <w:rsid w:val="00822A7B"/>
    <w:rsid w:val="00822B4F"/>
    <w:rsid w:val="00822FC7"/>
    <w:rsid w:val="0082300D"/>
    <w:rsid w:val="0082306E"/>
    <w:rsid w:val="008231A1"/>
    <w:rsid w:val="008231C7"/>
    <w:rsid w:val="0082324F"/>
    <w:rsid w:val="0082355E"/>
    <w:rsid w:val="0082358C"/>
    <w:rsid w:val="00823624"/>
    <w:rsid w:val="0082370C"/>
    <w:rsid w:val="008238D3"/>
    <w:rsid w:val="008238DB"/>
    <w:rsid w:val="0082394D"/>
    <w:rsid w:val="008239CE"/>
    <w:rsid w:val="008239D4"/>
    <w:rsid w:val="00823BEC"/>
    <w:rsid w:val="00823CA2"/>
    <w:rsid w:val="00823E01"/>
    <w:rsid w:val="00823EDA"/>
    <w:rsid w:val="0082400F"/>
    <w:rsid w:val="008240BC"/>
    <w:rsid w:val="008240E5"/>
    <w:rsid w:val="00824108"/>
    <w:rsid w:val="0082411C"/>
    <w:rsid w:val="00824260"/>
    <w:rsid w:val="008242AD"/>
    <w:rsid w:val="008242FE"/>
    <w:rsid w:val="00824307"/>
    <w:rsid w:val="00824330"/>
    <w:rsid w:val="00824362"/>
    <w:rsid w:val="0082455D"/>
    <w:rsid w:val="00824625"/>
    <w:rsid w:val="00824633"/>
    <w:rsid w:val="00824BBC"/>
    <w:rsid w:val="00824CB3"/>
    <w:rsid w:val="00824D4E"/>
    <w:rsid w:val="00824F18"/>
    <w:rsid w:val="00824F4E"/>
    <w:rsid w:val="00824F79"/>
    <w:rsid w:val="0082506F"/>
    <w:rsid w:val="0082507C"/>
    <w:rsid w:val="0082510F"/>
    <w:rsid w:val="00825145"/>
    <w:rsid w:val="0082514E"/>
    <w:rsid w:val="00825163"/>
    <w:rsid w:val="00825212"/>
    <w:rsid w:val="008253F3"/>
    <w:rsid w:val="0082546C"/>
    <w:rsid w:val="00825671"/>
    <w:rsid w:val="008256D2"/>
    <w:rsid w:val="00825752"/>
    <w:rsid w:val="0082587D"/>
    <w:rsid w:val="00825971"/>
    <w:rsid w:val="008259BF"/>
    <w:rsid w:val="008259ED"/>
    <w:rsid w:val="00825B0C"/>
    <w:rsid w:val="00825B5A"/>
    <w:rsid w:val="00825C20"/>
    <w:rsid w:val="00825C60"/>
    <w:rsid w:val="00825CB7"/>
    <w:rsid w:val="00825D11"/>
    <w:rsid w:val="00826011"/>
    <w:rsid w:val="008263BA"/>
    <w:rsid w:val="00826415"/>
    <w:rsid w:val="00826494"/>
    <w:rsid w:val="00826637"/>
    <w:rsid w:val="00826BDA"/>
    <w:rsid w:val="00826CEE"/>
    <w:rsid w:val="00826DE7"/>
    <w:rsid w:val="00826E9A"/>
    <w:rsid w:val="00826EA4"/>
    <w:rsid w:val="00826F6C"/>
    <w:rsid w:val="00826FAF"/>
    <w:rsid w:val="008270DA"/>
    <w:rsid w:val="00827199"/>
    <w:rsid w:val="008271E2"/>
    <w:rsid w:val="0082728A"/>
    <w:rsid w:val="0082731E"/>
    <w:rsid w:val="008273F4"/>
    <w:rsid w:val="00827513"/>
    <w:rsid w:val="00827577"/>
    <w:rsid w:val="008275C7"/>
    <w:rsid w:val="008276B7"/>
    <w:rsid w:val="00827757"/>
    <w:rsid w:val="0082778A"/>
    <w:rsid w:val="008277B6"/>
    <w:rsid w:val="0082790F"/>
    <w:rsid w:val="00827AFB"/>
    <w:rsid w:val="00827D6F"/>
    <w:rsid w:val="00830144"/>
    <w:rsid w:val="00830347"/>
    <w:rsid w:val="008304A0"/>
    <w:rsid w:val="008304B5"/>
    <w:rsid w:val="00830871"/>
    <w:rsid w:val="008308F1"/>
    <w:rsid w:val="0083091E"/>
    <w:rsid w:val="008309CA"/>
    <w:rsid w:val="00830A1D"/>
    <w:rsid w:val="00830CCF"/>
    <w:rsid w:val="00830D01"/>
    <w:rsid w:val="0083103C"/>
    <w:rsid w:val="008310D2"/>
    <w:rsid w:val="008310E2"/>
    <w:rsid w:val="00831100"/>
    <w:rsid w:val="00831333"/>
    <w:rsid w:val="008313DE"/>
    <w:rsid w:val="00831414"/>
    <w:rsid w:val="0083177C"/>
    <w:rsid w:val="008318A3"/>
    <w:rsid w:val="008318E6"/>
    <w:rsid w:val="008318FA"/>
    <w:rsid w:val="00831A52"/>
    <w:rsid w:val="00831A80"/>
    <w:rsid w:val="00831B5D"/>
    <w:rsid w:val="00831C81"/>
    <w:rsid w:val="00832202"/>
    <w:rsid w:val="00832385"/>
    <w:rsid w:val="00832409"/>
    <w:rsid w:val="0083243C"/>
    <w:rsid w:val="00832463"/>
    <w:rsid w:val="00832516"/>
    <w:rsid w:val="008326DD"/>
    <w:rsid w:val="0083292D"/>
    <w:rsid w:val="00832946"/>
    <w:rsid w:val="0083298A"/>
    <w:rsid w:val="00832A1D"/>
    <w:rsid w:val="00832AD3"/>
    <w:rsid w:val="00832F24"/>
    <w:rsid w:val="00832F70"/>
    <w:rsid w:val="00832FC8"/>
    <w:rsid w:val="00833181"/>
    <w:rsid w:val="00833260"/>
    <w:rsid w:val="0083326E"/>
    <w:rsid w:val="008332CB"/>
    <w:rsid w:val="00833472"/>
    <w:rsid w:val="00833476"/>
    <w:rsid w:val="00833C4C"/>
    <w:rsid w:val="00833E69"/>
    <w:rsid w:val="00833EAA"/>
    <w:rsid w:val="00833F1B"/>
    <w:rsid w:val="008340D7"/>
    <w:rsid w:val="008340DC"/>
    <w:rsid w:val="00834192"/>
    <w:rsid w:val="00834233"/>
    <w:rsid w:val="008342C1"/>
    <w:rsid w:val="008342EB"/>
    <w:rsid w:val="00834521"/>
    <w:rsid w:val="008345B9"/>
    <w:rsid w:val="00834732"/>
    <w:rsid w:val="00834907"/>
    <w:rsid w:val="00834A77"/>
    <w:rsid w:val="00834B63"/>
    <w:rsid w:val="00834C08"/>
    <w:rsid w:val="00834D0D"/>
    <w:rsid w:val="00834D3D"/>
    <w:rsid w:val="00834DA0"/>
    <w:rsid w:val="00834E67"/>
    <w:rsid w:val="00834F5C"/>
    <w:rsid w:val="008351DA"/>
    <w:rsid w:val="0083541D"/>
    <w:rsid w:val="008354AA"/>
    <w:rsid w:val="0083554E"/>
    <w:rsid w:val="00835675"/>
    <w:rsid w:val="008356AB"/>
    <w:rsid w:val="008357E1"/>
    <w:rsid w:val="00835843"/>
    <w:rsid w:val="008358B6"/>
    <w:rsid w:val="00835A24"/>
    <w:rsid w:val="00835A69"/>
    <w:rsid w:val="00835B43"/>
    <w:rsid w:val="00835BB7"/>
    <w:rsid w:val="00835CD8"/>
    <w:rsid w:val="00835D7F"/>
    <w:rsid w:val="00835ECD"/>
    <w:rsid w:val="00836472"/>
    <w:rsid w:val="00836B7A"/>
    <w:rsid w:val="00836C4C"/>
    <w:rsid w:val="00836CFB"/>
    <w:rsid w:val="00836EF7"/>
    <w:rsid w:val="00836F0E"/>
    <w:rsid w:val="00836FE8"/>
    <w:rsid w:val="0083708D"/>
    <w:rsid w:val="008372BB"/>
    <w:rsid w:val="00837426"/>
    <w:rsid w:val="00837560"/>
    <w:rsid w:val="008376A2"/>
    <w:rsid w:val="008377F4"/>
    <w:rsid w:val="00837807"/>
    <w:rsid w:val="0083795B"/>
    <w:rsid w:val="008379BF"/>
    <w:rsid w:val="00837B44"/>
    <w:rsid w:val="00837C0B"/>
    <w:rsid w:val="00837F2B"/>
    <w:rsid w:val="00837F75"/>
    <w:rsid w:val="008400F2"/>
    <w:rsid w:val="00840161"/>
    <w:rsid w:val="008401E8"/>
    <w:rsid w:val="00840351"/>
    <w:rsid w:val="008403B8"/>
    <w:rsid w:val="0084041E"/>
    <w:rsid w:val="00840680"/>
    <w:rsid w:val="0084069C"/>
    <w:rsid w:val="008406BC"/>
    <w:rsid w:val="00840738"/>
    <w:rsid w:val="008407A7"/>
    <w:rsid w:val="008408E1"/>
    <w:rsid w:val="0084090F"/>
    <w:rsid w:val="00840C62"/>
    <w:rsid w:val="00840CCE"/>
    <w:rsid w:val="00840E56"/>
    <w:rsid w:val="00840EE4"/>
    <w:rsid w:val="00841013"/>
    <w:rsid w:val="00841166"/>
    <w:rsid w:val="00841206"/>
    <w:rsid w:val="0084146D"/>
    <w:rsid w:val="008416EA"/>
    <w:rsid w:val="00841846"/>
    <w:rsid w:val="00841848"/>
    <w:rsid w:val="00841A21"/>
    <w:rsid w:val="00841A4A"/>
    <w:rsid w:val="00841C69"/>
    <w:rsid w:val="00841CA4"/>
    <w:rsid w:val="00841D76"/>
    <w:rsid w:val="00841DBE"/>
    <w:rsid w:val="00841E96"/>
    <w:rsid w:val="0084215E"/>
    <w:rsid w:val="008421F6"/>
    <w:rsid w:val="0084227D"/>
    <w:rsid w:val="008422D0"/>
    <w:rsid w:val="00842411"/>
    <w:rsid w:val="008425AA"/>
    <w:rsid w:val="0084267C"/>
    <w:rsid w:val="008428C6"/>
    <w:rsid w:val="00842903"/>
    <w:rsid w:val="00842906"/>
    <w:rsid w:val="0084299C"/>
    <w:rsid w:val="00842D0F"/>
    <w:rsid w:val="00842D99"/>
    <w:rsid w:val="00842E04"/>
    <w:rsid w:val="00842EA1"/>
    <w:rsid w:val="0084312A"/>
    <w:rsid w:val="0084343D"/>
    <w:rsid w:val="00843746"/>
    <w:rsid w:val="0084389C"/>
    <w:rsid w:val="008439B3"/>
    <w:rsid w:val="00843A05"/>
    <w:rsid w:val="00843A15"/>
    <w:rsid w:val="00843AD8"/>
    <w:rsid w:val="00843D17"/>
    <w:rsid w:val="00843D98"/>
    <w:rsid w:val="00843F4A"/>
    <w:rsid w:val="00844143"/>
    <w:rsid w:val="008442B9"/>
    <w:rsid w:val="00844484"/>
    <w:rsid w:val="008446C9"/>
    <w:rsid w:val="008446DB"/>
    <w:rsid w:val="0084482D"/>
    <w:rsid w:val="00844870"/>
    <w:rsid w:val="008449AF"/>
    <w:rsid w:val="008449D6"/>
    <w:rsid w:val="00844A76"/>
    <w:rsid w:val="00844C56"/>
    <w:rsid w:val="00844CCC"/>
    <w:rsid w:val="00844DBC"/>
    <w:rsid w:val="00844DD5"/>
    <w:rsid w:val="00844FAB"/>
    <w:rsid w:val="00845108"/>
    <w:rsid w:val="0084526B"/>
    <w:rsid w:val="00845345"/>
    <w:rsid w:val="008454F0"/>
    <w:rsid w:val="00845657"/>
    <w:rsid w:val="008456F7"/>
    <w:rsid w:val="00845702"/>
    <w:rsid w:val="00845731"/>
    <w:rsid w:val="00845877"/>
    <w:rsid w:val="00845963"/>
    <w:rsid w:val="00845A63"/>
    <w:rsid w:val="00845CD0"/>
    <w:rsid w:val="00845DAB"/>
    <w:rsid w:val="00845EE5"/>
    <w:rsid w:val="00845F84"/>
    <w:rsid w:val="00846108"/>
    <w:rsid w:val="0084610D"/>
    <w:rsid w:val="00846184"/>
    <w:rsid w:val="00846192"/>
    <w:rsid w:val="00846265"/>
    <w:rsid w:val="008462DB"/>
    <w:rsid w:val="0084639A"/>
    <w:rsid w:val="00846673"/>
    <w:rsid w:val="008467A0"/>
    <w:rsid w:val="008468E3"/>
    <w:rsid w:val="0084699B"/>
    <w:rsid w:val="00846A65"/>
    <w:rsid w:val="00846AC3"/>
    <w:rsid w:val="00846CB0"/>
    <w:rsid w:val="0084706E"/>
    <w:rsid w:val="00847075"/>
    <w:rsid w:val="00847125"/>
    <w:rsid w:val="008471D2"/>
    <w:rsid w:val="00847237"/>
    <w:rsid w:val="008472A0"/>
    <w:rsid w:val="008473D5"/>
    <w:rsid w:val="008474B9"/>
    <w:rsid w:val="008474C8"/>
    <w:rsid w:val="00847582"/>
    <w:rsid w:val="00847606"/>
    <w:rsid w:val="008476F4"/>
    <w:rsid w:val="0084781D"/>
    <w:rsid w:val="008479E8"/>
    <w:rsid w:val="00847FA1"/>
    <w:rsid w:val="0085002E"/>
    <w:rsid w:val="0085003E"/>
    <w:rsid w:val="0085005B"/>
    <w:rsid w:val="008500B0"/>
    <w:rsid w:val="00850114"/>
    <w:rsid w:val="00850230"/>
    <w:rsid w:val="008502E7"/>
    <w:rsid w:val="0085055D"/>
    <w:rsid w:val="00850745"/>
    <w:rsid w:val="00850870"/>
    <w:rsid w:val="00850955"/>
    <w:rsid w:val="00850A3F"/>
    <w:rsid w:val="00850CB4"/>
    <w:rsid w:val="00850D44"/>
    <w:rsid w:val="00851176"/>
    <w:rsid w:val="00851208"/>
    <w:rsid w:val="00851264"/>
    <w:rsid w:val="00851762"/>
    <w:rsid w:val="0085192D"/>
    <w:rsid w:val="00851A0B"/>
    <w:rsid w:val="00851A27"/>
    <w:rsid w:val="00851B31"/>
    <w:rsid w:val="00851B40"/>
    <w:rsid w:val="00851BF8"/>
    <w:rsid w:val="00851C73"/>
    <w:rsid w:val="00851C86"/>
    <w:rsid w:val="00851DCE"/>
    <w:rsid w:val="00851E6F"/>
    <w:rsid w:val="00852051"/>
    <w:rsid w:val="0085228E"/>
    <w:rsid w:val="008522C3"/>
    <w:rsid w:val="00852363"/>
    <w:rsid w:val="00852499"/>
    <w:rsid w:val="0085253B"/>
    <w:rsid w:val="0085259A"/>
    <w:rsid w:val="008525E8"/>
    <w:rsid w:val="00852A17"/>
    <w:rsid w:val="00852C1A"/>
    <w:rsid w:val="00852C94"/>
    <w:rsid w:val="00852D70"/>
    <w:rsid w:val="00852E09"/>
    <w:rsid w:val="00852F30"/>
    <w:rsid w:val="00852F40"/>
    <w:rsid w:val="0085312A"/>
    <w:rsid w:val="00853484"/>
    <w:rsid w:val="0085356D"/>
    <w:rsid w:val="008535B1"/>
    <w:rsid w:val="008535CD"/>
    <w:rsid w:val="008536EA"/>
    <w:rsid w:val="00853829"/>
    <w:rsid w:val="0085382B"/>
    <w:rsid w:val="008538BF"/>
    <w:rsid w:val="00853909"/>
    <w:rsid w:val="00853970"/>
    <w:rsid w:val="00853A25"/>
    <w:rsid w:val="00853B01"/>
    <w:rsid w:val="00853B46"/>
    <w:rsid w:val="00853BC0"/>
    <w:rsid w:val="00853D26"/>
    <w:rsid w:val="00853DBD"/>
    <w:rsid w:val="00853DE4"/>
    <w:rsid w:val="00853EF5"/>
    <w:rsid w:val="00853F40"/>
    <w:rsid w:val="00854320"/>
    <w:rsid w:val="008544F7"/>
    <w:rsid w:val="00854640"/>
    <w:rsid w:val="00854688"/>
    <w:rsid w:val="008548E5"/>
    <w:rsid w:val="00854AF8"/>
    <w:rsid w:val="00854DF5"/>
    <w:rsid w:val="00854DF6"/>
    <w:rsid w:val="00854EAB"/>
    <w:rsid w:val="00854FEB"/>
    <w:rsid w:val="0085509D"/>
    <w:rsid w:val="008550F2"/>
    <w:rsid w:val="00855236"/>
    <w:rsid w:val="008552A6"/>
    <w:rsid w:val="008552C0"/>
    <w:rsid w:val="00855474"/>
    <w:rsid w:val="008554C3"/>
    <w:rsid w:val="0085553F"/>
    <w:rsid w:val="008555AB"/>
    <w:rsid w:val="00855842"/>
    <w:rsid w:val="00855848"/>
    <w:rsid w:val="00855880"/>
    <w:rsid w:val="00855A9A"/>
    <w:rsid w:val="00855AF9"/>
    <w:rsid w:val="00855B32"/>
    <w:rsid w:val="00855BAB"/>
    <w:rsid w:val="00855D07"/>
    <w:rsid w:val="00855F20"/>
    <w:rsid w:val="00855F5B"/>
    <w:rsid w:val="00856108"/>
    <w:rsid w:val="00856186"/>
    <w:rsid w:val="008561BF"/>
    <w:rsid w:val="00856243"/>
    <w:rsid w:val="008562B5"/>
    <w:rsid w:val="00856389"/>
    <w:rsid w:val="00856390"/>
    <w:rsid w:val="00856417"/>
    <w:rsid w:val="00856637"/>
    <w:rsid w:val="00856799"/>
    <w:rsid w:val="008567A4"/>
    <w:rsid w:val="008569BD"/>
    <w:rsid w:val="00856A0E"/>
    <w:rsid w:val="00856AFB"/>
    <w:rsid w:val="00856D29"/>
    <w:rsid w:val="00856F23"/>
    <w:rsid w:val="00856F53"/>
    <w:rsid w:val="00856FD4"/>
    <w:rsid w:val="00856FDB"/>
    <w:rsid w:val="008572AF"/>
    <w:rsid w:val="00857539"/>
    <w:rsid w:val="00857543"/>
    <w:rsid w:val="00857665"/>
    <w:rsid w:val="0085770B"/>
    <w:rsid w:val="00857913"/>
    <w:rsid w:val="00857BC8"/>
    <w:rsid w:val="00857F6D"/>
    <w:rsid w:val="00860203"/>
    <w:rsid w:val="008603C1"/>
    <w:rsid w:val="0086042F"/>
    <w:rsid w:val="00860578"/>
    <w:rsid w:val="008607C9"/>
    <w:rsid w:val="00860988"/>
    <w:rsid w:val="008609E3"/>
    <w:rsid w:val="008610AC"/>
    <w:rsid w:val="008610E8"/>
    <w:rsid w:val="008610F9"/>
    <w:rsid w:val="008613D3"/>
    <w:rsid w:val="008613E1"/>
    <w:rsid w:val="0086141A"/>
    <w:rsid w:val="0086152F"/>
    <w:rsid w:val="00861AA2"/>
    <w:rsid w:val="00861C46"/>
    <w:rsid w:val="00861CF0"/>
    <w:rsid w:val="00861D97"/>
    <w:rsid w:val="00861ED0"/>
    <w:rsid w:val="008620BA"/>
    <w:rsid w:val="0086210A"/>
    <w:rsid w:val="0086216B"/>
    <w:rsid w:val="00862199"/>
    <w:rsid w:val="00862223"/>
    <w:rsid w:val="00862266"/>
    <w:rsid w:val="00862404"/>
    <w:rsid w:val="00862429"/>
    <w:rsid w:val="008624ED"/>
    <w:rsid w:val="00862601"/>
    <w:rsid w:val="00862619"/>
    <w:rsid w:val="00862625"/>
    <w:rsid w:val="008626C1"/>
    <w:rsid w:val="008626C7"/>
    <w:rsid w:val="00862898"/>
    <w:rsid w:val="008629C4"/>
    <w:rsid w:val="00862AFE"/>
    <w:rsid w:val="00862C17"/>
    <w:rsid w:val="00862C28"/>
    <w:rsid w:val="00862D3F"/>
    <w:rsid w:val="00862F71"/>
    <w:rsid w:val="00862F8A"/>
    <w:rsid w:val="00862FEB"/>
    <w:rsid w:val="00862FED"/>
    <w:rsid w:val="00863196"/>
    <w:rsid w:val="008631CE"/>
    <w:rsid w:val="00863262"/>
    <w:rsid w:val="008632AB"/>
    <w:rsid w:val="008634EB"/>
    <w:rsid w:val="00863683"/>
    <w:rsid w:val="00863954"/>
    <w:rsid w:val="00863A0B"/>
    <w:rsid w:val="00863A9B"/>
    <w:rsid w:val="00863CBB"/>
    <w:rsid w:val="00863DA2"/>
    <w:rsid w:val="00863EB1"/>
    <w:rsid w:val="00863EB5"/>
    <w:rsid w:val="00863F24"/>
    <w:rsid w:val="00863F98"/>
    <w:rsid w:val="00864027"/>
    <w:rsid w:val="00864176"/>
    <w:rsid w:val="00864182"/>
    <w:rsid w:val="008641B9"/>
    <w:rsid w:val="0086426F"/>
    <w:rsid w:val="00864306"/>
    <w:rsid w:val="00864421"/>
    <w:rsid w:val="0086443E"/>
    <w:rsid w:val="00864514"/>
    <w:rsid w:val="0086451E"/>
    <w:rsid w:val="008645E1"/>
    <w:rsid w:val="008645EB"/>
    <w:rsid w:val="00864979"/>
    <w:rsid w:val="008649D2"/>
    <w:rsid w:val="00864B6A"/>
    <w:rsid w:val="00864B73"/>
    <w:rsid w:val="00864B77"/>
    <w:rsid w:val="00864C32"/>
    <w:rsid w:val="00864C81"/>
    <w:rsid w:val="00864CAF"/>
    <w:rsid w:val="00864DE4"/>
    <w:rsid w:val="00864E71"/>
    <w:rsid w:val="00864E9A"/>
    <w:rsid w:val="00864EC9"/>
    <w:rsid w:val="008650F9"/>
    <w:rsid w:val="00865215"/>
    <w:rsid w:val="0086539F"/>
    <w:rsid w:val="00865619"/>
    <w:rsid w:val="0086576A"/>
    <w:rsid w:val="00865860"/>
    <w:rsid w:val="008658BB"/>
    <w:rsid w:val="008659F9"/>
    <w:rsid w:val="00865A3E"/>
    <w:rsid w:val="00865A4D"/>
    <w:rsid w:val="00865CEA"/>
    <w:rsid w:val="00865E5E"/>
    <w:rsid w:val="00865F23"/>
    <w:rsid w:val="00866037"/>
    <w:rsid w:val="00866074"/>
    <w:rsid w:val="008660CF"/>
    <w:rsid w:val="008663CF"/>
    <w:rsid w:val="00866505"/>
    <w:rsid w:val="00866506"/>
    <w:rsid w:val="00866576"/>
    <w:rsid w:val="0086664C"/>
    <w:rsid w:val="008666F6"/>
    <w:rsid w:val="008667E6"/>
    <w:rsid w:val="00866A07"/>
    <w:rsid w:val="00866AA0"/>
    <w:rsid w:val="00866CD3"/>
    <w:rsid w:val="00866E48"/>
    <w:rsid w:val="00866E6E"/>
    <w:rsid w:val="00866FA9"/>
    <w:rsid w:val="00867084"/>
    <w:rsid w:val="00867118"/>
    <w:rsid w:val="00867187"/>
    <w:rsid w:val="0086722F"/>
    <w:rsid w:val="00867335"/>
    <w:rsid w:val="0086737A"/>
    <w:rsid w:val="00867386"/>
    <w:rsid w:val="008673C6"/>
    <w:rsid w:val="0086741C"/>
    <w:rsid w:val="00867790"/>
    <w:rsid w:val="00867909"/>
    <w:rsid w:val="0086796F"/>
    <w:rsid w:val="00867A50"/>
    <w:rsid w:val="00867AD9"/>
    <w:rsid w:val="00867CEB"/>
    <w:rsid w:val="00867F41"/>
    <w:rsid w:val="008702C2"/>
    <w:rsid w:val="008702F9"/>
    <w:rsid w:val="0087045A"/>
    <w:rsid w:val="008704DA"/>
    <w:rsid w:val="008706FC"/>
    <w:rsid w:val="0087072D"/>
    <w:rsid w:val="0087081A"/>
    <w:rsid w:val="008708EE"/>
    <w:rsid w:val="00870AAB"/>
    <w:rsid w:val="00870DF8"/>
    <w:rsid w:val="00870E25"/>
    <w:rsid w:val="00870F15"/>
    <w:rsid w:val="00870FC3"/>
    <w:rsid w:val="00870FD2"/>
    <w:rsid w:val="008711D0"/>
    <w:rsid w:val="00871246"/>
    <w:rsid w:val="008717ED"/>
    <w:rsid w:val="0087199B"/>
    <w:rsid w:val="00871B46"/>
    <w:rsid w:val="00872139"/>
    <w:rsid w:val="0087217A"/>
    <w:rsid w:val="00872338"/>
    <w:rsid w:val="0087256E"/>
    <w:rsid w:val="008725D0"/>
    <w:rsid w:val="0087283A"/>
    <w:rsid w:val="00872CB5"/>
    <w:rsid w:val="00872D7C"/>
    <w:rsid w:val="00872FD2"/>
    <w:rsid w:val="0087313A"/>
    <w:rsid w:val="00873190"/>
    <w:rsid w:val="00873237"/>
    <w:rsid w:val="008732DC"/>
    <w:rsid w:val="008733D4"/>
    <w:rsid w:val="0087343D"/>
    <w:rsid w:val="008734E3"/>
    <w:rsid w:val="00873537"/>
    <w:rsid w:val="00873597"/>
    <w:rsid w:val="008737AF"/>
    <w:rsid w:val="008738AA"/>
    <w:rsid w:val="00873927"/>
    <w:rsid w:val="008739FB"/>
    <w:rsid w:val="00873A41"/>
    <w:rsid w:val="00873C43"/>
    <w:rsid w:val="00873CA6"/>
    <w:rsid w:val="00873D35"/>
    <w:rsid w:val="00873DDF"/>
    <w:rsid w:val="00873E2C"/>
    <w:rsid w:val="00873E91"/>
    <w:rsid w:val="00873EC2"/>
    <w:rsid w:val="00873F4B"/>
    <w:rsid w:val="00873FCC"/>
    <w:rsid w:val="00874138"/>
    <w:rsid w:val="00874232"/>
    <w:rsid w:val="00874333"/>
    <w:rsid w:val="0087449A"/>
    <w:rsid w:val="00874585"/>
    <w:rsid w:val="008745BF"/>
    <w:rsid w:val="0087478D"/>
    <w:rsid w:val="0087488F"/>
    <w:rsid w:val="008749E4"/>
    <w:rsid w:val="00874BC1"/>
    <w:rsid w:val="00874C41"/>
    <w:rsid w:val="00874F41"/>
    <w:rsid w:val="0087508A"/>
    <w:rsid w:val="00875120"/>
    <w:rsid w:val="00875212"/>
    <w:rsid w:val="008754BE"/>
    <w:rsid w:val="0087556F"/>
    <w:rsid w:val="008755F8"/>
    <w:rsid w:val="008757C1"/>
    <w:rsid w:val="0087580A"/>
    <w:rsid w:val="00875A69"/>
    <w:rsid w:val="00875D84"/>
    <w:rsid w:val="00875E74"/>
    <w:rsid w:val="00875E8C"/>
    <w:rsid w:val="00875EF0"/>
    <w:rsid w:val="0087600D"/>
    <w:rsid w:val="00876332"/>
    <w:rsid w:val="00876341"/>
    <w:rsid w:val="00876571"/>
    <w:rsid w:val="00876767"/>
    <w:rsid w:val="00876869"/>
    <w:rsid w:val="0087696D"/>
    <w:rsid w:val="008769AA"/>
    <w:rsid w:val="008769D9"/>
    <w:rsid w:val="00876DDF"/>
    <w:rsid w:val="00876E43"/>
    <w:rsid w:val="00876F22"/>
    <w:rsid w:val="00876F98"/>
    <w:rsid w:val="00876FCD"/>
    <w:rsid w:val="00876FFB"/>
    <w:rsid w:val="008771C4"/>
    <w:rsid w:val="008772C4"/>
    <w:rsid w:val="00877584"/>
    <w:rsid w:val="008776FF"/>
    <w:rsid w:val="00877714"/>
    <w:rsid w:val="00877AAD"/>
    <w:rsid w:val="00877AF0"/>
    <w:rsid w:val="00877B4E"/>
    <w:rsid w:val="00877BEE"/>
    <w:rsid w:val="00877E32"/>
    <w:rsid w:val="00877E5E"/>
    <w:rsid w:val="00877E69"/>
    <w:rsid w:val="00880163"/>
    <w:rsid w:val="00880180"/>
    <w:rsid w:val="008804F2"/>
    <w:rsid w:val="008805BD"/>
    <w:rsid w:val="00880627"/>
    <w:rsid w:val="00880629"/>
    <w:rsid w:val="008808F5"/>
    <w:rsid w:val="00880A9B"/>
    <w:rsid w:val="00880B1B"/>
    <w:rsid w:val="00880B69"/>
    <w:rsid w:val="00880F1C"/>
    <w:rsid w:val="0088107E"/>
    <w:rsid w:val="008810B3"/>
    <w:rsid w:val="008811A2"/>
    <w:rsid w:val="00881346"/>
    <w:rsid w:val="008813EC"/>
    <w:rsid w:val="0088166B"/>
    <w:rsid w:val="008816EC"/>
    <w:rsid w:val="00881922"/>
    <w:rsid w:val="00881992"/>
    <w:rsid w:val="008819D6"/>
    <w:rsid w:val="00881A2A"/>
    <w:rsid w:val="00881B8B"/>
    <w:rsid w:val="00881D37"/>
    <w:rsid w:val="00881D85"/>
    <w:rsid w:val="00881DBE"/>
    <w:rsid w:val="00882283"/>
    <w:rsid w:val="008822E3"/>
    <w:rsid w:val="008825A5"/>
    <w:rsid w:val="00882802"/>
    <w:rsid w:val="00882843"/>
    <w:rsid w:val="00882943"/>
    <w:rsid w:val="00882A74"/>
    <w:rsid w:val="00882B94"/>
    <w:rsid w:val="00882BAB"/>
    <w:rsid w:val="00882D15"/>
    <w:rsid w:val="00882D56"/>
    <w:rsid w:val="00882D5A"/>
    <w:rsid w:val="00882D67"/>
    <w:rsid w:val="00882DA7"/>
    <w:rsid w:val="00882F9B"/>
    <w:rsid w:val="00883028"/>
    <w:rsid w:val="00883089"/>
    <w:rsid w:val="00883284"/>
    <w:rsid w:val="008833B3"/>
    <w:rsid w:val="00883404"/>
    <w:rsid w:val="00883422"/>
    <w:rsid w:val="0088348A"/>
    <w:rsid w:val="008835A4"/>
    <w:rsid w:val="008837AD"/>
    <w:rsid w:val="0088380F"/>
    <w:rsid w:val="00883846"/>
    <w:rsid w:val="00883BA2"/>
    <w:rsid w:val="00883CDB"/>
    <w:rsid w:val="00883EB1"/>
    <w:rsid w:val="0088415B"/>
    <w:rsid w:val="008841E7"/>
    <w:rsid w:val="00884269"/>
    <w:rsid w:val="008842A0"/>
    <w:rsid w:val="008843FD"/>
    <w:rsid w:val="0088460D"/>
    <w:rsid w:val="0088467E"/>
    <w:rsid w:val="00884735"/>
    <w:rsid w:val="00884769"/>
    <w:rsid w:val="0088485D"/>
    <w:rsid w:val="008848CE"/>
    <w:rsid w:val="00884AD0"/>
    <w:rsid w:val="00884B41"/>
    <w:rsid w:val="00884B48"/>
    <w:rsid w:val="00884F6C"/>
    <w:rsid w:val="008852E3"/>
    <w:rsid w:val="008853D6"/>
    <w:rsid w:val="00885425"/>
    <w:rsid w:val="0088594B"/>
    <w:rsid w:val="00885998"/>
    <w:rsid w:val="008859D0"/>
    <w:rsid w:val="00885ABA"/>
    <w:rsid w:val="00885FFC"/>
    <w:rsid w:val="00885FFF"/>
    <w:rsid w:val="00886073"/>
    <w:rsid w:val="00886085"/>
    <w:rsid w:val="008861E6"/>
    <w:rsid w:val="00886579"/>
    <w:rsid w:val="008868BE"/>
    <w:rsid w:val="00886B3D"/>
    <w:rsid w:val="00886BA2"/>
    <w:rsid w:val="00886D86"/>
    <w:rsid w:val="00886DED"/>
    <w:rsid w:val="00886E5F"/>
    <w:rsid w:val="00886EF2"/>
    <w:rsid w:val="00886F3B"/>
    <w:rsid w:val="00886F87"/>
    <w:rsid w:val="008870BD"/>
    <w:rsid w:val="00887110"/>
    <w:rsid w:val="00887144"/>
    <w:rsid w:val="008873BA"/>
    <w:rsid w:val="008876DD"/>
    <w:rsid w:val="0088774E"/>
    <w:rsid w:val="0088779F"/>
    <w:rsid w:val="00887862"/>
    <w:rsid w:val="00887A2F"/>
    <w:rsid w:val="00887B71"/>
    <w:rsid w:val="00887BBC"/>
    <w:rsid w:val="00887DD7"/>
    <w:rsid w:val="00890068"/>
    <w:rsid w:val="008900D1"/>
    <w:rsid w:val="00890254"/>
    <w:rsid w:val="00890271"/>
    <w:rsid w:val="008904D0"/>
    <w:rsid w:val="00890862"/>
    <w:rsid w:val="00890B07"/>
    <w:rsid w:val="00890B76"/>
    <w:rsid w:val="00890C2E"/>
    <w:rsid w:val="00890C7B"/>
    <w:rsid w:val="00890CC9"/>
    <w:rsid w:val="00890DD7"/>
    <w:rsid w:val="00890E5F"/>
    <w:rsid w:val="00890E88"/>
    <w:rsid w:val="00890EA7"/>
    <w:rsid w:val="00890F60"/>
    <w:rsid w:val="00890FCF"/>
    <w:rsid w:val="008910BC"/>
    <w:rsid w:val="00891132"/>
    <w:rsid w:val="008911E6"/>
    <w:rsid w:val="00891264"/>
    <w:rsid w:val="00891870"/>
    <w:rsid w:val="00891BE3"/>
    <w:rsid w:val="00891CC4"/>
    <w:rsid w:val="00891CD1"/>
    <w:rsid w:val="008920AA"/>
    <w:rsid w:val="008921FD"/>
    <w:rsid w:val="00892411"/>
    <w:rsid w:val="0089252E"/>
    <w:rsid w:val="0089266F"/>
    <w:rsid w:val="008926AF"/>
    <w:rsid w:val="00892716"/>
    <w:rsid w:val="0089271F"/>
    <w:rsid w:val="00892876"/>
    <w:rsid w:val="00892886"/>
    <w:rsid w:val="008928B7"/>
    <w:rsid w:val="00892999"/>
    <w:rsid w:val="00892A9F"/>
    <w:rsid w:val="00892AAB"/>
    <w:rsid w:val="00892C81"/>
    <w:rsid w:val="00892E65"/>
    <w:rsid w:val="00892F24"/>
    <w:rsid w:val="008931E8"/>
    <w:rsid w:val="0089346E"/>
    <w:rsid w:val="008934DA"/>
    <w:rsid w:val="008938AE"/>
    <w:rsid w:val="00893A4C"/>
    <w:rsid w:val="00893A4F"/>
    <w:rsid w:val="00893A60"/>
    <w:rsid w:val="00893ACC"/>
    <w:rsid w:val="00893BFA"/>
    <w:rsid w:val="00893D54"/>
    <w:rsid w:val="00893D79"/>
    <w:rsid w:val="00893E0B"/>
    <w:rsid w:val="00893FB0"/>
    <w:rsid w:val="00894103"/>
    <w:rsid w:val="00894166"/>
    <w:rsid w:val="00894206"/>
    <w:rsid w:val="00894313"/>
    <w:rsid w:val="00894474"/>
    <w:rsid w:val="0089479D"/>
    <w:rsid w:val="008947E1"/>
    <w:rsid w:val="0089495D"/>
    <w:rsid w:val="008949C1"/>
    <w:rsid w:val="00894A41"/>
    <w:rsid w:val="00894E42"/>
    <w:rsid w:val="00894F9A"/>
    <w:rsid w:val="00895304"/>
    <w:rsid w:val="00895310"/>
    <w:rsid w:val="00895312"/>
    <w:rsid w:val="00895511"/>
    <w:rsid w:val="008956F8"/>
    <w:rsid w:val="00895705"/>
    <w:rsid w:val="0089576D"/>
    <w:rsid w:val="00895841"/>
    <w:rsid w:val="0089586F"/>
    <w:rsid w:val="0089587D"/>
    <w:rsid w:val="00895894"/>
    <w:rsid w:val="008958B4"/>
    <w:rsid w:val="00895B25"/>
    <w:rsid w:val="00895DC5"/>
    <w:rsid w:val="00895F41"/>
    <w:rsid w:val="0089646D"/>
    <w:rsid w:val="00896619"/>
    <w:rsid w:val="0089663A"/>
    <w:rsid w:val="00896A3D"/>
    <w:rsid w:val="00896BD0"/>
    <w:rsid w:val="00896CF3"/>
    <w:rsid w:val="00896D99"/>
    <w:rsid w:val="00896E71"/>
    <w:rsid w:val="00896FC2"/>
    <w:rsid w:val="008971CE"/>
    <w:rsid w:val="008972EA"/>
    <w:rsid w:val="00897407"/>
    <w:rsid w:val="0089746E"/>
    <w:rsid w:val="008974BA"/>
    <w:rsid w:val="00897526"/>
    <w:rsid w:val="00897977"/>
    <w:rsid w:val="00897AC0"/>
    <w:rsid w:val="00897B11"/>
    <w:rsid w:val="00897B30"/>
    <w:rsid w:val="00897CE4"/>
    <w:rsid w:val="00897D28"/>
    <w:rsid w:val="008A027B"/>
    <w:rsid w:val="008A02DE"/>
    <w:rsid w:val="008A02F7"/>
    <w:rsid w:val="008A0317"/>
    <w:rsid w:val="008A0368"/>
    <w:rsid w:val="008A041C"/>
    <w:rsid w:val="008A059A"/>
    <w:rsid w:val="008A0639"/>
    <w:rsid w:val="008A0870"/>
    <w:rsid w:val="008A08D5"/>
    <w:rsid w:val="008A0B33"/>
    <w:rsid w:val="008A0B7A"/>
    <w:rsid w:val="008A0BDA"/>
    <w:rsid w:val="008A0CD8"/>
    <w:rsid w:val="008A0F73"/>
    <w:rsid w:val="008A117C"/>
    <w:rsid w:val="008A135F"/>
    <w:rsid w:val="008A19E8"/>
    <w:rsid w:val="008A1A17"/>
    <w:rsid w:val="008A1C17"/>
    <w:rsid w:val="008A1C19"/>
    <w:rsid w:val="008A1E7A"/>
    <w:rsid w:val="008A1F8F"/>
    <w:rsid w:val="008A2016"/>
    <w:rsid w:val="008A2142"/>
    <w:rsid w:val="008A21F2"/>
    <w:rsid w:val="008A232D"/>
    <w:rsid w:val="008A2422"/>
    <w:rsid w:val="008A2481"/>
    <w:rsid w:val="008A2571"/>
    <w:rsid w:val="008A26F4"/>
    <w:rsid w:val="008A2808"/>
    <w:rsid w:val="008A283B"/>
    <w:rsid w:val="008A2DB0"/>
    <w:rsid w:val="008A2E66"/>
    <w:rsid w:val="008A3158"/>
    <w:rsid w:val="008A34DF"/>
    <w:rsid w:val="008A3611"/>
    <w:rsid w:val="008A3658"/>
    <w:rsid w:val="008A3B4A"/>
    <w:rsid w:val="008A3B68"/>
    <w:rsid w:val="008A3BB1"/>
    <w:rsid w:val="008A3CAF"/>
    <w:rsid w:val="008A3E38"/>
    <w:rsid w:val="008A3E81"/>
    <w:rsid w:val="008A3EA6"/>
    <w:rsid w:val="008A4139"/>
    <w:rsid w:val="008A42CA"/>
    <w:rsid w:val="008A450F"/>
    <w:rsid w:val="008A4527"/>
    <w:rsid w:val="008A4A02"/>
    <w:rsid w:val="008A4D08"/>
    <w:rsid w:val="008A4F7C"/>
    <w:rsid w:val="008A52C1"/>
    <w:rsid w:val="008A5383"/>
    <w:rsid w:val="008A5586"/>
    <w:rsid w:val="008A58A1"/>
    <w:rsid w:val="008A593D"/>
    <w:rsid w:val="008A5A41"/>
    <w:rsid w:val="008A5AC6"/>
    <w:rsid w:val="008A5B0B"/>
    <w:rsid w:val="008A5C82"/>
    <w:rsid w:val="008A5E38"/>
    <w:rsid w:val="008A5EAB"/>
    <w:rsid w:val="008A6116"/>
    <w:rsid w:val="008A63A9"/>
    <w:rsid w:val="008A6480"/>
    <w:rsid w:val="008A6486"/>
    <w:rsid w:val="008A6534"/>
    <w:rsid w:val="008A662C"/>
    <w:rsid w:val="008A68E3"/>
    <w:rsid w:val="008A6AD2"/>
    <w:rsid w:val="008A6DEF"/>
    <w:rsid w:val="008A6E26"/>
    <w:rsid w:val="008A7164"/>
    <w:rsid w:val="008A7205"/>
    <w:rsid w:val="008A7231"/>
    <w:rsid w:val="008A727A"/>
    <w:rsid w:val="008A7293"/>
    <w:rsid w:val="008A7391"/>
    <w:rsid w:val="008A74AE"/>
    <w:rsid w:val="008A7564"/>
    <w:rsid w:val="008A75FD"/>
    <w:rsid w:val="008A771C"/>
    <w:rsid w:val="008A789C"/>
    <w:rsid w:val="008A7909"/>
    <w:rsid w:val="008A7B36"/>
    <w:rsid w:val="008A7B60"/>
    <w:rsid w:val="008A7C3E"/>
    <w:rsid w:val="008B00A4"/>
    <w:rsid w:val="008B0284"/>
    <w:rsid w:val="008B038C"/>
    <w:rsid w:val="008B039D"/>
    <w:rsid w:val="008B047E"/>
    <w:rsid w:val="008B04C5"/>
    <w:rsid w:val="008B0551"/>
    <w:rsid w:val="008B05E9"/>
    <w:rsid w:val="008B0793"/>
    <w:rsid w:val="008B07A5"/>
    <w:rsid w:val="008B08B0"/>
    <w:rsid w:val="008B0948"/>
    <w:rsid w:val="008B0A64"/>
    <w:rsid w:val="008B0C11"/>
    <w:rsid w:val="008B0C96"/>
    <w:rsid w:val="008B0D28"/>
    <w:rsid w:val="008B0E80"/>
    <w:rsid w:val="008B117B"/>
    <w:rsid w:val="008B12CE"/>
    <w:rsid w:val="008B1358"/>
    <w:rsid w:val="008B139F"/>
    <w:rsid w:val="008B1415"/>
    <w:rsid w:val="008B1522"/>
    <w:rsid w:val="008B1851"/>
    <w:rsid w:val="008B1881"/>
    <w:rsid w:val="008B1C6E"/>
    <w:rsid w:val="008B1CBC"/>
    <w:rsid w:val="008B1D5D"/>
    <w:rsid w:val="008B1F18"/>
    <w:rsid w:val="008B203C"/>
    <w:rsid w:val="008B20E8"/>
    <w:rsid w:val="008B2207"/>
    <w:rsid w:val="008B22D9"/>
    <w:rsid w:val="008B233D"/>
    <w:rsid w:val="008B23B4"/>
    <w:rsid w:val="008B26FD"/>
    <w:rsid w:val="008B272A"/>
    <w:rsid w:val="008B28E1"/>
    <w:rsid w:val="008B2955"/>
    <w:rsid w:val="008B2BAB"/>
    <w:rsid w:val="008B2C55"/>
    <w:rsid w:val="008B2D6F"/>
    <w:rsid w:val="008B2E86"/>
    <w:rsid w:val="008B300A"/>
    <w:rsid w:val="008B304E"/>
    <w:rsid w:val="008B30D5"/>
    <w:rsid w:val="008B31C8"/>
    <w:rsid w:val="008B320A"/>
    <w:rsid w:val="008B3303"/>
    <w:rsid w:val="008B3306"/>
    <w:rsid w:val="008B3407"/>
    <w:rsid w:val="008B3A4A"/>
    <w:rsid w:val="008B3A62"/>
    <w:rsid w:val="008B3D38"/>
    <w:rsid w:val="008B3DB6"/>
    <w:rsid w:val="008B3FA4"/>
    <w:rsid w:val="008B44F8"/>
    <w:rsid w:val="008B4555"/>
    <w:rsid w:val="008B4613"/>
    <w:rsid w:val="008B47A4"/>
    <w:rsid w:val="008B489C"/>
    <w:rsid w:val="008B495B"/>
    <w:rsid w:val="008B4A90"/>
    <w:rsid w:val="008B4AD9"/>
    <w:rsid w:val="008B4B01"/>
    <w:rsid w:val="008B4CAF"/>
    <w:rsid w:val="008B4D58"/>
    <w:rsid w:val="008B5703"/>
    <w:rsid w:val="008B57EC"/>
    <w:rsid w:val="008B5949"/>
    <w:rsid w:val="008B5BF2"/>
    <w:rsid w:val="008B5C04"/>
    <w:rsid w:val="008B5CB1"/>
    <w:rsid w:val="008B5EDB"/>
    <w:rsid w:val="008B6069"/>
    <w:rsid w:val="008B6494"/>
    <w:rsid w:val="008B649D"/>
    <w:rsid w:val="008B64D3"/>
    <w:rsid w:val="008B657A"/>
    <w:rsid w:val="008B65D3"/>
    <w:rsid w:val="008B69CE"/>
    <w:rsid w:val="008B6CB2"/>
    <w:rsid w:val="008B6FDF"/>
    <w:rsid w:val="008B71B0"/>
    <w:rsid w:val="008B720F"/>
    <w:rsid w:val="008B7219"/>
    <w:rsid w:val="008B7337"/>
    <w:rsid w:val="008B73AC"/>
    <w:rsid w:val="008B73F2"/>
    <w:rsid w:val="008B73FD"/>
    <w:rsid w:val="008B7458"/>
    <w:rsid w:val="008B749E"/>
    <w:rsid w:val="008B754A"/>
    <w:rsid w:val="008B75F2"/>
    <w:rsid w:val="008B7675"/>
    <w:rsid w:val="008B76DB"/>
    <w:rsid w:val="008B76E5"/>
    <w:rsid w:val="008B7742"/>
    <w:rsid w:val="008B7788"/>
    <w:rsid w:val="008B78D1"/>
    <w:rsid w:val="008B7AB2"/>
    <w:rsid w:val="008B7B7C"/>
    <w:rsid w:val="008B7DC7"/>
    <w:rsid w:val="008B7E37"/>
    <w:rsid w:val="008B7ED7"/>
    <w:rsid w:val="008B7F99"/>
    <w:rsid w:val="008C00B6"/>
    <w:rsid w:val="008C0135"/>
    <w:rsid w:val="008C016D"/>
    <w:rsid w:val="008C01A2"/>
    <w:rsid w:val="008C032A"/>
    <w:rsid w:val="008C04BB"/>
    <w:rsid w:val="008C05EB"/>
    <w:rsid w:val="008C0759"/>
    <w:rsid w:val="008C087C"/>
    <w:rsid w:val="008C08EE"/>
    <w:rsid w:val="008C0934"/>
    <w:rsid w:val="008C0976"/>
    <w:rsid w:val="008C0A4F"/>
    <w:rsid w:val="008C0AC7"/>
    <w:rsid w:val="008C0ADC"/>
    <w:rsid w:val="008C0B1A"/>
    <w:rsid w:val="008C0C3C"/>
    <w:rsid w:val="008C0C75"/>
    <w:rsid w:val="008C0CAB"/>
    <w:rsid w:val="008C0D26"/>
    <w:rsid w:val="008C0DFC"/>
    <w:rsid w:val="008C0EAA"/>
    <w:rsid w:val="008C0ED5"/>
    <w:rsid w:val="008C0FA8"/>
    <w:rsid w:val="008C1235"/>
    <w:rsid w:val="008C1494"/>
    <w:rsid w:val="008C15DA"/>
    <w:rsid w:val="008C16DC"/>
    <w:rsid w:val="008C1847"/>
    <w:rsid w:val="008C1865"/>
    <w:rsid w:val="008C1930"/>
    <w:rsid w:val="008C1AA9"/>
    <w:rsid w:val="008C1D31"/>
    <w:rsid w:val="008C1E21"/>
    <w:rsid w:val="008C1F5A"/>
    <w:rsid w:val="008C1F72"/>
    <w:rsid w:val="008C2098"/>
    <w:rsid w:val="008C216F"/>
    <w:rsid w:val="008C218A"/>
    <w:rsid w:val="008C2192"/>
    <w:rsid w:val="008C2359"/>
    <w:rsid w:val="008C28E5"/>
    <w:rsid w:val="008C2903"/>
    <w:rsid w:val="008C2A49"/>
    <w:rsid w:val="008C2C15"/>
    <w:rsid w:val="008C2CB8"/>
    <w:rsid w:val="008C2F91"/>
    <w:rsid w:val="008C2F9F"/>
    <w:rsid w:val="008C3002"/>
    <w:rsid w:val="008C314E"/>
    <w:rsid w:val="008C3200"/>
    <w:rsid w:val="008C3255"/>
    <w:rsid w:val="008C331D"/>
    <w:rsid w:val="008C3408"/>
    <w:rsid w:val="008C347E"/>
    <w:rsid w:val="008C34C2"/>
    <w:rsid w:val="008C34CA"/>
    <w:rsid w:val="008C358B"/>
    <w:rsid w:val="008C36D2"/>
    <w:rsid w:val="008C386C"/>
    <w:rsid w:val="008C3A93"/>
    <w:rsid w:val="008C3AC1"/>
    <w:rsid w:val="008C3B90"/>
    <w:rsid w:val="008C3C11"/>
    <w:rsid w:val="008C3C8C"/>
    <w:rsid w:val="008C3CA6"/>
    <w:rsid w:val="008C3D7D"/>
    <w:rsid w:val="008C3E50"/>
    <w:rsid w:val="008C3E56"/>
    <w:rsid w:val="008C3EBA"/>
    <w:rsid w:val="008C4001"/>
    <w:rsid w:val="008C4029"/>
    <w:rsid w:val="008C4039"/>
    <w:rsid w:val="008C40B6"/>
    <w:rsid w:val="008C40F5"/>
    <w:rsid w:val="008C4264"/>
    <w:rsid w:val="008C426B"/>
    <w:rsid w:val="008C43BF"/>
    <w:rsid w:val="008C44E2"/>
    <w:rsid w:val="008C4569"/>
    <w:rsid w:val="008C45EC"/>
    <w:rsid w:val="008C46AE"/>
    <w:rsid w:val="008C46EF"/>
    <w:rsid w:val="008C47E9"/>
    <w:rsid w:val="008C48DE"/>
    <w:rsid w:val="008C4918"/>
    <w:rsid w:val="008C497E"/>
    <w:rsid w:val="008C49C6"/>
    <w:rsid w:val="008C4AA7"/>
    <w:rsid w:val="008C4B65"/>
    <w:rsid w:val="008C4B6B"/>
    <w:rsid w:val="008C4B8B"/>
    <w:rsid w:val="008C4C18"/>
    <w:rsid w:val="008C4DA4"/>
    <w:rsid w:val="008C4DF1"/>
    <w:rsid w:val="008C4E73"/>
    <w:rsid w:val="008C4E7E"/>
    <w:rsid w:val="008C4F52"/>
    <w:rsid w:val="008C5063"/>
    <w:rsid w:val="008C5093"/>
    <w:rsid w:val="008C50DE"/>
    <w:rsid w:val="008C5306"/>
    <w:rsid w:val="008C5404"/>
    <w:rsid w:val="008C5427"/>
    <w:rsid w:val="008C55ED"/>
    <w:rsid w:val="008C56EF"/>
    <w:rsid w:val="008C5A91"/>
    <w:rsid w:val="008C5C9D"/>
    <w:rsid w:val="008C5DCA"/>
    <w:rsid w:val="008C620D"/>
    <w:rsid w:val="008C6330"/>
    <w:rsid w:val="008C6667"/>
    <w:rsid w:val="008C6760"/>
    <w:rsid w:val="008C676F"/>
    <w:rsid w:val="008C68FE"/>
    <w:rsid w:val="008C6930"/>
    <w:rsid w:val="008C6935"/>
    <w:rsid w:val="008C69EC"/>
    <w:rsid w:val="008C6A5C"/>
    <w:rsid w:val="008C6CC4"/>
    <w:rsid w:val="008C6E68"/>
    <w:rsid w:val="008C6F5B"/>
    <w:rsid w:val="008C706C"/>
    <w:rsid w:val="008C7232"/>
    <w:rsid w:val="008C732C"/>
    <w:rsid w:val="008C735A"/>
    <w:rsid w:val="008C7362"/>
    <w:rsid w:val="008C752A"/>
    <w:rsid w:val="008C7583"/>
    <w:rsid w:val="008C762C"/>
    <w:rsid w:val="008C76B5"/>
    <w:rsid w:val="008C775D"/>
    <w:rsid w:val="008C77FA"/>
    <w:rsid w:val="008C786E"/>
    <w:rsid w:val="008C7991"/>
    <w:rsid w:val="008C7ADE"/>
    <w:rsid w:val="008C7AE3"/>
    <w:rsid w:val="008C7D97"/>
    <w:rsid w:val="008C7DDF"/>
    <w:rsid w:val="008C7E1E"/>
    <w:rsid w:val="008C7FE6"/>
    <w:rsid w:val="008D0023"/>
    <w:rsid w:val="008D016C"/>
    <w:rsid w:val="008D02D0"/>
    <w:rsid w:val="008D0548"/>
    <w:rsid w:val="008D0606"/>
    <w:rsid w:val="008D0737"/>
    <w:rsid w:val="008D074B"/>
    <w:rsid w:val="008D080C"/>
    <w:rsid w:val="008D0892"/>
    <w:rsid w:val="008D0CC0"/>
    <w:rsid w:val="008D0D52"/>
    <w:rsid w:val="008D0E0C"/>
    <w:rsid w:val="008D0F19"/>
    <w:rsid w:val="008D0F5F"/>
    <w:rsid w:val="008D0FA4"/>
    <w:rsid w:val="008D11B7"/>
    <w:rsid w:val="008D13A6"/>
    <w:rsid w:val="008D1547"/>
    <w:rsid w:val="008D167D"/>
    <w:rsid w:val="008D175D"/>
    <w:rsid w:val="008D18D0"/>
    <w:rsid w:val="008D1E6C"/>
    <w:rsid w:val="008D1EEB"/>
    <w:rsid w:val="008D203C"/>
    <w:rsid w:val="008D2136"/>
    <w:rsid w:val="008D2279"/>
    <w:rsid w:val="008D2691"/>
    <w:rsid w:val="008D2727"/>
    <w:rsid w:val="008D2997"/>
    <w:rsid w:val="008D299B"/>
    <w:rsid w:val="008D2C21"/>
    <w:rsid w:val="008D2C80"/>
    <w:rsid w:val="008D2C86"/>
    <w:rsid w:val="008D2D5A"/>
    <w:rsid w:val="008D2D6E"/>
    <w:rsid w:val="008D2ECF"/>
    <w:rsid w:val="008D2F3E"/>
    <w:rsid w:val="008D3152"/>
    <w:rsid w:val="008D3165"/>
    <w:rsid w:val="008D3172"/>
    <w:rsid w:val="008D331B"/>
    <w:rsid w:val="008D33C9"/>
    <w:rsid w:val="008D3579"/>
    <w:rsid w:val="008D37D7"/>
    <w:rsid w:val="008D38B1"/>
    <w:rsid w:val="008D38DE"/>
    <w:rsid w:val="008D3A33"/>
    <w:rsid w:val="008D3A5F"/>
    <w:rsid w:val="008D3D2C"/>
    <w:rsid w:val="008D3D93"/>
    <w:rsid w:val="008D4147"/>
    <w:rsid w:val="008D4236"/>
    <w:rsid w:val="008D4241"/>
    <w:rsid w:val="008D4375"/>
    <w:rsid w:val="008D442F"/>
    <w:rsid w:val="008D44BA"/>
    <w:rsid w:val="008D4542"/>
    <w:rsid w:val="008D4565"/>
    <w:rsid w:val="008D458D"/>
    <w:rsid w:val="008D48FF"/>
    <w:rsid w:val="008D4B1D"/>
    <w:rsid w:val="008D4D3D"/>
    <w:rsid w:val="008D4D4C"/>
    <w:rsid w:val="008D4DC9"/>
    <w:rsid w:val="008D4ED3"/>
    <w:rsid w:val="008D4EF9"/>
    <w:rsid w:val="008D4FF1"/>
    <w:rsid w:val="008D5024"/>
    <w:rsid w:val="008D50D6"/>
    <w:rsid w:val="008D5196"/>
    <w:rsid w:val="008D524F"/>
    <w:rsid w:val="008D5309"/>
    <w:rsid w:val="008D5380"/>
    <w:rsid w:val="008D54F8"/>
    <w:rsid w:val="008D55B4"/>
    <w:rsid w:val="008D55CD"/>
    <w:rsid w:val="008D579D"/>
    <w:rsid w:val="008D5927"/>
    <w:rsid w:val="008D5928"/>
    <w:rsid w:val="008D5A7E"/>
    <w:rsid w:val="008D5A91"/>
    <w:rsid w:val="008D5B55"/>
    <w:rsid w:val="008D5C3F"/>
    <w:rsid w:val="008D5CEE"/>
    <w:rsid w:val="008D5D12"/>
    <w:rsid w:val="008D5D95"/>
    <w:rsid w:val="008D5F72"/>
    <w:rsid w:val="008D611A"/>
    <w:rsid w:val="008D611B"/>
    <w:rsid w:val="008D614B"/>
    <w:rsid w:val="008D617B"/>
    <w:rsid w:val="008D6397"/>
    <w:rsid w:val="008D645B"/>
    <w:rsid w:val="008D659C"/>
    <w:rsid w:val="008D675B"/>
    <w:rsid w:val="008D6AF4"/>
    <w:rsid w:val="008D6B39"/>
    <w:rsid w:val="008D6BE7"/>
    <w:rsid w:val="008D6C55"/>
    <w:rsid w:val="008D6DAA"/>
    <w:rsid w:val="008D6DEC"/>
    <w:rsid w:val="008D6E3D"/>
    <w:rsid w:val="008D70FE"/>
    <w:rsid w:val="008D73E0"/>
    <w:rsid w:val="008D754F"/>
    <w:rsid w:val="008D7553"/>
    <w:rsid w:val="008D755A"/>
    <w:rsid w:val="008D756B"/>
    <w:rsid w:val="008D7634"/>
    <w:rsid w:val="008D778D"/>
    <w:rsid w:val="008D77F2"/>
    <w:rsid w:val="008D7888"/>
    <w:rsid w:val="008D79DF"/>
    <w:rsid w:val="008D7A0F"/>
    <w:rsid w:val="008D7A3C"/>
    <w:rsid w:val="008D7A6E"/>
    <w:rsid w:val="008D7A8B"/>
    <w:rsid w:val="008D7B16"/>
    <w:rsid w:val="008D7BE6"/>
    <w:rsid w:val="008D7BFB"/>
    <w:rsid w:val="008D7D21"/>
    <w:rsid w:val="008D7DD1"/>
    <w:rsid w:val="008E0004"/>
    <w:rsid w:val="008E003B"/>
    <w:rsid w:val="008E010A"/>
    <w:rsid w:val="008E019B"/>
    <w:rsid w:val="008E0269"/>
    <w:rsid w:val="008E0291"/>
    <w:rsid w:val="008E0561"/>
    <w:rsid w:val="008E05A4"/>
    <w:rsid w:val="008E0689"/>
    <w:rsid w:val="008E0739"/>
    <w:rsid w:val="008E07B4"/>
    <w:rsid w:val="008E08F6"/>
    <w:rsid w:val="008E0A46"/>
    <w:rsid w:val="008E0B97"/>
    <w:rsid w:val="008E0BA1"/>
    <w:rsid w:val="008E0BED"/>
    <w:rsid w:val="008E0CCC"/>
    <w:rsid w:val="008E0E29"/>
    <w:rsid w:val="008E0EDA"/>
    <w:rsid w:val="008E0EF1"/>
    <w:rsid w:val="008E11F4"/>
    <w:rsid w:val="008E12B3"/>
    <w:rsid w:val="008E13D5"/>
    <w:rsid w:val="008E14F9"/>
    <w:rsid w:val="008E1826"/>
    <w:rsid w:val="008E1BFF"/>
    <w:rsid w:val="008E1CBB"/>
    <w:rsid w:val="008E1EA0"/>
    <w:rsid w:val="008E1FF3"/>
    <w:rsid w:val="008E2053"/>
    <w:rsid w:val="008E2264"/>
    <w:rsid w:val="008E2431"/>
    <w:rsid w:val="008E2438"/>
    <w:rsid w:val="008E2597"/>
    <w:rsid w:val="008E25BB"/>
    <w:rsid w:val="008E25E4"/>
    <w:rsid w:val="008E2734"/>
    <w:rsid w:val="008E2806"/>
    <w:rsid w:val="008E2A5E"/>
    <w:rsid w:val="008E2C56"/>
    <w:rsid w:val="008E2D0D"/>
    <w:rsid w:val="008E2D4F"/>
    <w:rsid w:val="008E2EA8"/>
    <w:rsid w:val="008E2FA9"/>
    <w:rsid w:val="008E3070"/>
    <w:rsid w:val="008E3138"/>
    <w:rsid w:val="008E3158"/>
    <w:rsid w:val="008E3290"/>
    <w:rsid w:val="008E336D"/>
    <w:rsid w:val="008E3390"/>
    <w:rsid w:val="008E3683"/>
    <w:rsid w:val="008E3696"/>
    <w:rsid w:val="008E36E9"/>
    <w:rsid w:val="008E37D4"/>
    <w:rsid w:val="008E3BF8"/>
    <w:rsid w:val="008E3D66"/>
    <w:rsid w:val="008E3DAD"/>
    <w:rsid w:val="008E3EEC"/>
    <w:rsid w:val="008E3F68"/>
    <w:rsid w:val="008E4029"/>
    <w:rsid w:val="008E405F"/>
    <w:rsid w:val="008E4110"/>
    <w:rsid w:val="008E4144"/>
    <w:rsid w:val="008E4317"/>
    <w:rsid w:val="008E44B9"/>
    <w:rsid w:val="008E4620"/>
    <w:rsid w:val="008E4653"/>
    <w:rsid w:val="008E46FB"/>
    <w:rsid w:val="008E4710"/>
    <w:rsid w:val="008E4A82"/>
    <w:rsid w:val="008E4C68"/>
    <w:rsid w:val="008E4F27"/>
    <w:rsid w:val="008E5013"/>
    <w:rsid w:val="008E507B"/>
    <w:rsid w:val="008E50F3"/>
    <w:rsid w:val="008E518E"/>
    <w:rsid w:val="008E5246"/>
    <w:rsid w:val="008E552B"/>
    <w:rsid w:val="008E5972"/>
    <w:rsid w:val="008E59B0"/>
    <w:rsid w:val="008E5A2C"/>
    <w:rsid w:val="008E5A49"/>
    <w:rsid w:val="008E5AD5"/>
    <w:rsid w:val="008E5BB8"/>
    <w:rsid w:val="008E5C5E"/>
    <w:rsid w:val="008E5E55"/>
    <w:rsid w:val="008E5EF6"/>
    <w:rsid w:val="008E5F65"/>
    <w:rsid w:val="008E61DB"/>
    <w:rsid w:val="008E63C6"/>
    <w:rsid w:val="008E65B4"/>
    <w:rsid w:val="008E65E4"/>
    <w:rsid w:val="008E667D"/>
    <w:rsid w:val="008E67DD"/>
    <w:rsid w:val="008E6850"/>
    <w:rsid w:val="008E69F7"/>
    <w:rsid w:val="008E6B68"/>
    <w:rsid w:val="008E6C6B"/>
    <w:rsid w:val="008E6CAD"/>
    <w:rsid w:val="008E6CDF"/>
    <w:rsid w:val="008E6DD2"/>
    <w:rsid w:val="008E6E33"/>
    <w:rsid w:val="008E6F5A"/>
    <w:rsid w:val="008E71A6"/>
    <w:rsid w:val="008E71FE"/>
    <w:rsid w:val="008E73DC"/>
    <w:rsid w:val="008E73FC"/>
    <w:rsid w:val="008E74D9"/>
    <w:rsid w:val="008E778C"/>
    <w:rsid w:val="008E77A8"/>
    <w:rsid w:val="008E784F"/>
    <w:rsid w:val="008E78C1"/>
    <w:rsid w:val="008E79E5"/>
    <w:rsid w:val="008E7AF7"/>
    <w:rsid w:val="008E7B27"/>
    <w:rsid w:val="008E7B8E"/>
    <w:rsid w:val="008E7BC7"/>
    <w:rsid w:val="008E7C26"/>
    <w:rsid w:val="008E7CBF"/>
    <w:rsid w:val="008E7D0F"/>
    <w:rsid w:val="008E7D7A"/>
    <w:rsid w:val="008E7DEE"/>
    <w:rsid w:val="008E7ED3"/>
    <w:rsid w:val="008E7F3F"/>
    <w:rsid w:val="008E7F72"/>
    <w:rsid w:val="008F00A0"/>
    <w:rsid w:val="008F00E7"/>
    <w:rsid w:val="008F02C2"/>
    <w:rsid w:val="008F02CA"/>
    <w:rsid w:val="008F0391"/>
    <w:rsid w:val="008F0659"/>
    <w:rsid w:val="008F0745"/>
    <w:rsid w:val="008F0863"/>
    <w:rsid w:val="008F08B6"/>
    <w:rsid w:val="008F09CD"/>
    <w:rsid w:val="008F09D8"/>
    <w:rsid w:val="008F09E4"/>
    <w:rsid w:val="008F09EA"/>
    <w:rsid w:val="008F09EF"/>
    <w:rsid w:val="008F0BF5"/>
    <w:rsid w:val="008F0C00"/>
    <w:rsid w:val="008F0D07"/>
    <w:rsid w:val="008F0D5E"/>
    <w:rsid w:val="008F0E36"/>
    <w:rsid w:val="008F0FCD"/>
    <w:rsid w:val="008F1099"/>
    <w:rsid w:val="008F11F5"/>
    <w:rsid w:val="008F128B"/>
    <w:rsid w:val="008F155B"/>
    <w:rsid w:val="008F15FD"/>
    <w:rsid w:val="008F164D"/>
    <w:rsid w:val="008F1728"/>
    <w:rsid w:val="008F175C"/>
    <w:rsid w:val="008F1975"/>
    <w:rsid w:val="008F19DC"/>
    <w:rsid w:val="008F1D33"/>
    <w:rsid w:val="008F1DFA"/>
    <w:rsid w:val="008F1ECD"/>
    <w:rsid w:val="008F1EEE"/>
    <w:rsid w:val="008F2279"/>
    <w:rsid w:val="008F2341"/>
    <w:rsid w:val="008F23D6"/>
    <w:rsid w:val="008F23EC"/>
    <w:rsid w:val="008F2567"/>
    <w:rsid w:val="008F25FC"/>
    <w:rsid w:val="008F278F"/>
    <w:rsid w:val="008F2800"/>
    <w:rsid w:val="008F2AE4"/>
    <w:rsid w:val="008F2D8B"/>
    <w:rsid w:val="008F2DC2"/>
    <w:rsid w:val="008F2E01"/>
    <w:rsid w:val="008F31BA"/>
    <w:rsid w:val="008F3231"/>
    <w:rsid w:val="008F331C"/>
    <w:rsid w:val="008F33D9"/>
    <w:rsid w:val="008F33FF"/>
    <w:rsid w:val="008F349D"/>
    <w:rsid w:val="008F36F4"/>
    <w:rsid w:val="008F3709"/>
    <w:rsid w:val="008F37F7"/>
    <w:rsid w:val="008F3A1B"/>
    <w:rsid w:val="008F3A3B"/>
    <w:rsid w:val="008F3A47"/>
    <w:rsid w:val="008F3E19"/>
    <w:rsid w:val="008F3EBB"/>
    <w:rsid w:val="008F3ECD"/>
    <w:rsid w:val="008F3F49"/>
    <w:rsid w:val="008F44C5"/>
    <w:rsid w:val="008F4578"/>
    <w:rsid w:val="008F458D"/>
    <w:rsid w:val="008F45CD"/>
    <w:rsid w:val="008F4624"/>
    <w:rsid w:val="008F490B"/>
    <w:rsid w:val="008F49BB"/>
    <w:rsid w:val="008F4A24"/>
    <w:rsid w:val="008F4AB0"/>
    <w:rsid w:val="008F4B34"/>
    <w:rsid w:val="008F4BC0"/>
    <w:rsid w:val="008F4CF8"/>
    <w:rsid w:val="008F4D48"/>
    <w:rsid w:val="008F4D4D"/>
    <w:rsid w:val="008F4E8C"/>
    <w:rsid w:val="008F4F5D"/>
    <w:rsid w:val="008F51D5"/>
    <w:rsid w:val="008F5218"/>
    <w:rsid w:val="008F524F"/>
    <w:rsid w:val="008F5367"/>
    <w:rsid w:val="008F5371"/>
    <w:rsid w:val="008F53A2"/>
    <w:rsid w:val="008F54E4"/>
    <w:rsid w:val="008F55E0"/>
    <w:rsid w:val="008F5609"/>
    <w:rsid w:val="008F56A3"/>
    <w:rsid w:val="008F57B9"/>
    <w:rsid w:val="008F58E8"/>
    <w:rsid w:val="008F594C"/>
    <w:rsid w:val="008F5A18"/>
    <w:rsid w:val="008F5A27"/>
    <w:rsid w:val="008F5A47"/>
    <w:rsid w:val="008F5C53"/>
    <w:rsid w:val="008F5C86"/>
    <w:rsid w:val="008F5EB7"/>
    <w:rsid w:val="008F5EC8"/>
    <w:rsid w:val="008F6182"/>
    <w:rsid w:val="008F620F"/>
    <w:rsid w:val="008F6389"/>
    <w:rsid w:val="008F63B5"/>
    <w:rsid w:val="008F6401"/>
    <w:rsid w:val="008F65C2"/>
    <w:rsid w:val="008F65EA"/>
    <w:rsid w:val="008F660F"/>
    <w:rsid w:val="008F66AA"/>
    <w:rsid w:val="008F66DB"/>
    <w:rsid w:val="008F6750"/>
    <w:rsid w:val="008F68A1"/>
    <w:rsid w:val="008F69A4"/>
    <w:rsid w:val="008F6A39"/>
    <w:rsid w:val="008F6D13"/>
    <w:rsid w:val="008F6D3B"/>
    <w:rsid w:val="008F6D5B"/>
    <w:rsid w:val="008F6E11"/>
    <w:rsid w:val="008F6E81"/>
    <w:rsid w:val="008F724A"/>
    <w:rsid w:val="008F7415"/>
    <w:rsid w:val="008F747F"/>
    <w:rsid w:val="008F75C8"/>
    <w:rsid w:val="008F75DC"/>
    <w:rsid w:val="008F76CC"/>
    <w:rsid w:val="008F7715"/>
    <w:rsid w:val="008F7743"/>
    <w:rsid w:val="008F77A1"/>
    <w:rsid w:val="008F7800"/>
    <w:rsid w:val="008F7836"/>
    <w:rsid w:val="008F7915"/>
    <w:rsid w:val="008F79CB"/>
    <w:rsid w:val="008F79EF"/>
    <w:rsid w:val="008F7AC6"/>
    <w:rsid w:val="008F7B9B"/>
    <w:rsid w:val="008F7DA2"/>
    <w:rsid w:val="009004D8"/>
    <w:rsid w:val="0090055C"/>
    <w:rsid w:val="009006EC"/>
    <w:rsid w:val="00900747"/>
    <w:rsid w:val="009008B0"/>
    <w:rsid w:val="009008FA"/>
    <w:rsid w:val="00900943"/>
    <w:rsid w:val="00900A40"/>
    <w:rsid w:val="00900BDF"/>
    <w:rsid w:val="00900DD2"/>
    <w:rsid w:val="00900EB4"/>
    <w:rsid w:val="00900F5B"/>
    <w:rsid w:val="00900FAD"/>
    <w:rsid w:val="00900FE1"/>
    <w:rsid w:val="00901106"/>
    <w:rsid w:val="0090112E"/>
    <w:rsid w:val="00901293"/>
    <w:rsid w:val="00901363"/>
    <w:rsid w:val="009014F2"/>
    <w:rsid w:val="009015BC"/>
    <w:rsid w:val="00901719"/>
    <w:rsid w:val="00901826"/>
    <w:rsid w:val="00901995"/>
    <w:rsid w:val="00901CF1"/>
    <w:rsid w:val="00901E40"/>
    <w:rsid w:val="00901EA5"/>
    <w:rsid w:val="0090200C"/>
    <w:rsid w:val="00902275"/>
    <w:rsid w:val="009022DF"/>
    <w:rsid w:val="00902444"/>
    <w:rsid w:val="0090249D"/>
    <w:rsid w:val="009024CF"/>
    <w:rsid w:val="009024FE"/>
    <w:rsid w:val="0090266B"/>
    <w:rsid w:val="0090269F"/>
    <w:rsid w:val="00902733"/>
    <w:rsid w:val="0090280E"/>
    <w:rsid w:val="00902D94"/>
    <w:rsid w:val="00902D99"/>
    <w:rsid w:val="00902DAB"/>
    <w:rsid w:val="00902E28"/>
    <w:rsid w:val="00902F37"/>
    <w:rsid w:val="00902F49"/>
    <w:rsid w:val="00902F94"/>
    <w:rsid w:val="009030B3"/>
    <w:rsid w:val="00903142"/>
    <w:rsid w:val="00903165"/>
    <w:rsid w:val="009033CC"/>
    <w:rsid w:val="009033E0"/>
    <w:rsid w:val="00903402"/>
    <w:rsid w:val="00903487"/>
    <w:rsid w:val="00903535"/>
    <w:rsid w:val="0090358C"/>
    <w:rsid w:val="00903618"/>
    <w:rsid w:val="009036EB"/>
    <w:rsid w:val="00903827"/>
    <w:rsid w:val="00903865"/>
    <w:rsid w:val="0090399E"/>
    <w:rsid w:val="00903A09"/>
    <w:rsid w:val="00903A48"/>
    <w:rsid w:val="00903A86"/>
    <w:rsid w:val="00903BA2"/>
    <w:rsid w:val="00903C3E"/>
    <w:rsid w:val="00903D20"/>
    <w:rsid w:val="00903E54"/>
    <w:rsid w:val="00903FC3"/>
    <w:rsid w:val="00904031"/>
    <w:rsid w:val="00904097"/>
    <w:rsid w:val="00904214"/>
    <w:rsid w:val="00904331"/>
    <w:rsid w:val="00904508"/>
    <w:rsid w:val="009045E8"/>
    <w:rsid w:val="00904602"/>
    <w:rsid w:val="00904989"/>
    <w:rsid w:val="00904CCD"/>
    <w:rsid w:val="00904D42"/>
    <w:rsid w:val="00904FDC"/>
    <w:rsid w:val="00905143"/>
    <w:rsid w:val="009052F9"/>
    <w:rsid w:val="009053F7"/>
    <w:rsid w:val="009053FA"/>
    <w:rsid w:val="00905422"/>
    <w:rsid w:val="009055FE"/>
    <w:rsid w:val="0090575B"/>
    <w:rsid w:val="0090581E"/>
    <w:rsid w:val="009058EF"/>
    <w:rsid w:val="0090596C"/>
    <w:rsid w:val="0090597B"/>
    <w:rsid w:val="00905A38"/>
    <w:rsid w:val="00905B26"/>
    <w:rsid w:val="00905F25"/>
    <w:rsid w:val="00905FDE"/>
    <w:rsid w:val="0090607D"/>
    <w:rsid w:val="00906150"/>
    <w:rsid w:val="00906198"/>
    <w:rsid w:val="00906291"/>
    <w:rsid w:val="00906353"/>
    <w:rsid w:val="009063BD"/>
    <w:rsid w:val="00906413"/>
    <w:rsid w:val="0090641E"/>
    <w:rsid w:val="00906552"/>
    <w:rsid w:val="009065CD"/>
    <w:rsid w:val="009065CE"/>
    <w:rsid w:val="00906664"/>
    <w:rsid w:val="009066A5"/>
    <w:rsid w:val="0090670B"/>
    <w:rsid w:val="00906801"/>
    <w:rsid w:val="009069BE"/>
    <w:rsid w:val="00906B97"/>
    <w:rsid w:val="009070B4"/>
    <w:rsid w:val="00907165"/>
    <w:rsid w:val="0090720B"/>
    <w:rsid w:val="009073DF"/>
    <w:rsid w:val="009074D3"/>
    <w:rsid w:val="0090763D"/>
    <w:rsid w:val="009076B7"/>
    <w:rsid w:val="00907703"/>
    <w:rsid w:val="009077BD"/>
    <w:rsid w:val="00907868"/>
    <w:rsid w:val="00907A75"/>
    <w:rsid w:val="00907B21"/>
    <w:rsid w:val="00907E40"/>
    <w:rsid w:val="00907F76"/>
    <w:rsid w:val="009100CE"/>
    <w:rsid w:val="009100EC"/>
    <w:rsid w:val="009101B5"/>
    <w:rsid w:val="009101F0"/>
    <w:rsid w:val="00910345"/>
    <w:rsid w:val="0091037E"/>
    <w:rsid w:val="009104D3"/>
    <w:rsid w:val="009107BA"/>
    <w:rsid w:val="009108F8"/>
    <w:rsid w:val="00910986"/>
    <w:rsid w:val="00910B27"/>
    <w:rsid w:val="00910D38"/>
    <w:rsid w:val="00910FD8"/>
    <w:rsid w:val="00911194"/>
    <w:rsid w:val="0091127A"/>
    <w:rsid w:val="009112E8"/>
    <w:rsid w:val="009114B3"/>
    <w:rsid w:val="0091152E"/>
    <w:rsid w:val="009115C1"/>
    <w:rsid w:val="009118AB"/>
    <w:rsid w:val="009119EC"/>
    <w:rsid w:val="00911AB4"/>
    <w:rsid w:val="00911AC2"/>
    <w:rsid w:val="00911B86"/>
    <w:rsid w:val="00911C20"/>
    <w:rsid w:val="00911D03"/>
    <w:rsid w:val="00911EF8"/>
    <w:rsid w:val="00911F3D"/>
    <w:rsid w:val="009120A9"/>
    <w:rsid w:val="00912187"/>
    <w:rsid w:val="009121C7"/>
    <w:rsid w:val="009123D6"/>
    <w:rsid w:val="009124B6"/>
    <w:rsid w:val="0091274D"/>
    <w:rsid w:val="0091279B"/>
    <w:rsid w:val="009128E8"/>
    <w:rsid w:val="00912997"/>
    <w:rsid w:val="00912F61"/>
    <w:rsid w:val="00912FF6"/>
    <w:rsid w:val="00913333"/>
    <w:rsid w:val="0091333E"/>
    <w:rsid w:val="0091347A"/>
    <w:rsid w:val="009136C3"/>
    <w:rsid w:val="0091380A"/>
    <w:rsid w:val="009138FD"/>
    <w:rsid w:val="00913B7A"/>
    <w:rsid w:val="00913B82"/>
    <w:rsid w:val="00913BA3"/>
    <w:rsid w:val="00913BF3"/>
    <w:rsid w:val="00913C86"/>
    <w:rsid w:val="00913CAE"/>
    <w:rsid w:val="00913CF1"/>
    <w:rsid w:val="00913D2B"/>
    <w:rsid w:val="00913E1C"/>
    <w:rsid w:val="00913E3F"/>
    <w:rsid w:val="00913FE5"/>
    <w:rsid w:val="0091408F"/>
    <w:rsid w:val="00914133"/>
    <w:rsid w:val="00914193"/>
    <w:rsid w:val="0091433C"/>
    <w:rsid w:val="009144BD"/>
    <w:rsid w:val="009147EF"/>
    <w:rsid w:val="009147F2"/>
    <w:rsid w:val="00914889"/>
    <w:rsid w:val="00914930"/>
    <w:rsid w:val="00914957"/>
    <w:rsid w:val="00914A27"/>
    <w:rsid w:val="00914A3E"/>
    <w:rsid w:val="00914CD7"/>
    <w:rsid w:val="00914F61"/>
    <w:rsid w:val="009150B1"/>
    <w:rsid w:val="00915169"/>
    <w:rsid w:val="0091533E"/>
    <w:rsid w:val="00915441"/>
    <w:rsid w:val="0091548A"/>
    <w:rsid w:val="00915503"/>
    <w:rsid w:val="009155BC"/>
    <w:rsid w:val="00915606"/>
    <w:rsid w:val="009157F6"/>
    <w:rsid w:val="00915848"/>
    <w:rsid w:val="009159D7"/>
    <w:rsid w:val="00915A48"/>
    <w:rsid w:val="00915ABE"/>
    <w:rsid w:val="00915B03"/>
    <w:rsid w:val="00915C83"/>
    <w:rsid w:val="00915E1A"/>
    <w:rsid w:val="0091604C"/>
    <w:rsid w:val="00916137"/>
    <w:rsid w:val="0091621C"/>
    <w:rsid w:val="009163C4"/>
    <w:rsid w:val="0091642B"/>
    <w:rsid w:val="0091655D"/>
    <w:rsid w:val="00916691"/>
    <w:rsid w:val="00916887"/>
    <w:rsid w:val="00916A35"/>
    <w:rsid w:val="00916B42"/>
    <w:rsid w:val="00916B99"/>
    <w:rsid w:val="00916BCD"/>
    <w:rsid w:val="00916C93"/>
    <w:rsid w:val="00916D3A"/>
    <w:rsid w:val="00916E14"/>
    <w:rsid w:val="00916E7E"/>
    <w:rsid w:val="00920190"/>
    <w:rsid w:val="009201BE"/>
    <w:rsid w:val="009205FE"/>
    <w:rsid w:val="00920839"/>
    <w:rsid w:val="00920968"/>
    <w:rsid w:val="00920BB2"/>
    <w:rsid w:val="009210C7"/>
    <w:rsid w:val="009212AF"/>
    <w:rsid w:val="0092131A"/>
    <w:rsid w:val="0092133A"/>
    <w:rsid w:val="009215DA"/>
    <w:rsid w:val="009215F8"/>
    <w:rsid w:val="00921624"/>
    <w:rsid w:val="0092170D"/>
    <w:rsid w:val="009218B2"/>
    <w:rsid w:val="00921901"/>
    <w:rsid w:val="00921A0F"/>
    <w:rsid w:val="00921B4B"/>
    <w:rsid w:val="00921EEF"/>
    <w:rsid w:val="009220B6"/>
    <w:rsid w:val="009222FC"/>
    <w:rsid w:val="00922652"/>
    <w:rsid w:val="00922787"/>
    <w:rsid w:val="00922A20"/>
    <w:rsid w:val="00922A94"/>
    <w:rsid w:val="00922AE2"/>
    <w:rsid w:val="00922B79"/>
    <w:rsid w:val="00922C5D"/>
    <w:rsid w:val="00922D2C"/>
    <w:rsid w:val="00922DC4"/>
    <w:rsid w:val="00923074"/>
    <w:rsid w:val="00923163"/>
    <w:rsid w:val="009231DA"/>
    <w:rsid w:val="009232DC"/>
    <w:rsid w:val="009232E1"/>
    <w:rsid w:val="009233EF"/>
    <w:rsid w:val="009234C4"/>
    <w:rsid w:val="0092350E"/>
    <w:rsid w:val="00923825"/>
    <w:rsid w:val="00923C4B"/>
    <w:rsid w:val="00923E19"/>
    <w:rsid w:val="00923E69"/>
    <w:rsid w:val="00924012"/>
    <w:rsid w:val="00924228"/>
    <w:rsid w:val="009242BF"/>
    <w:rsid w:val="00924555"/>
    <w:rsid w:val="009245FA"/>
    <w:rsid w:val="00924798"/>
    <w:rsid w:val="009247B7"/>
    <w:rsid w:val="009247D0"/>
    <w:rsid w:val="00924B2C"/>
    <w:rsid w:val="00924B71"/>
    <w:rsid w:val="00924E87"/>
    <w:rsid w:val="00924EB7"/>
    <w:rsid w:val="00924F58"/>
    <w:rsid w:val="0092524D"/>
    <w:rsid w:val="009252F5"/>
    <w:rsid w:val="0092535F"/>
    <w:rsid w:val="00925444"/>
    <w:rsid w:val="009254F6"/>
    <w:rsid w:val="009256C3"/>
    <w:rsid w:val="0092577A"/>
    <w:rsid w:val="0092596E"/>
    <w:rsid w:val="00925A2C"/>
    <w:rsid w:val="00925C0A"/>
    <w:rsid w:val="00925D26"/>
    <w:rsid w:val="00925DED"/>
    <w:rsid w:val="00925E75"/>
    <w:rsid w:val="0092602D"/>
    <w:rsid w:val="009261FA"/>
    <w:rsid w:val="0092635B"/>
    <w:rsid w:val="0092643A"/>
    <w:rsid w:val="0092656F"/>
    <w:rsid w:val="00926646"/>
    <w:rsid w:val="00926648"/>
    <w:rsid w:val="0092676F"/>
    <w:rsid w:val="009267B9"/>
    <w:rsid w:val="009268B1"/>
    <w:rsid w:val="00926A2D"/>
    <w:rsid w:val="00926A41"/>
    <w:rsid w:val="00926A42"/>
    <w:rsid w:val="00926AC3"/>
    <w:rsid w:val="00926B63"/>
    <w:rsid w:val="00927085"/>
    <w:rsid w:val="009270C5"/>
    <w:rsid w:val="009271D0"/>
    <w:rsid w:val="009273C8"/>
    <w:rsid w:val="009274AE"/>
    <w:rsid w:val="00927608"/>
    <w:rsid w:val="00927650"/>
    <w:rsid w:val="0092797B"/>
    <w:rsid w:val="00927ACA"/>
    <w:rsid w:val="00927AF0"/>
    <w:rsid w:val="00927E6C"/>
    <w:rsid w:val="00927E85"/>
    <w:rsid w:val="00927E8E"/>
    <w:rsid w:val="00927EF1"/>
    <w:rsid w:val="00927F12"/>
    <w:rsid w:val="00927F86"/>
    <w:rsid w:val="009301BB"/>
    <w:rsid w:val="009301FC"/>
    <w:rsid w:val="00930249"/>
    <w:rsid w:val="00930258"/>
    <w:rsid w:val="0093063C"/>
    <w:rsid w:val="00930751"/>
    <w:rsid w:val="00930766"/>
    <w:rsid w:val="009307CE"/>
    <w:rsid w:val="00930887"/>
    <w:rsid w:val="00930893"/>
    <w:rsid w:val="0093093A"/>
    <w:rsid w:val="009309AA"/>
    <w:rsid w:val="00930A02"/>
    <w:rsid w:val="00930A39"/>
    <w:rsid w:val="00930B0A"/>
    <w:rsid w:val="00930C6F"/>
    <w:rsid w:val="00930D6A"/>
    <w:rsid w:val="00930DA1"/>
    <w:rsid w:val="00930E00"/>
    <w:rsid w:val="00930ECB"/>
    <w:rsid w:val="00930F3C"/>
    <w:rsid w:val="00930FB7"/>
    <w:rsid w:val="009311BC"/>
    <w:rsid w:val="00931417"/>
    <w:rsid w:val="0093142C"/>
    <w:rsid w:val="00931431"/>
    <w:rsid w:val="00931558"/>
    <w:rsid w:val="00931611"/>
    <w:rsid w:val="009316BC"/>
    <w:rsid w:val="00931705"/>
    <w:rsid w:val="00931870"/>
    <w:rsid w:val="00931B11"/>
    <w:rsid w:val="00931B18"/>
    <w:rsid w:val="00931C17"/>
    <w:rsid w:val="00931E26"/>
    <w:rsid w:val="00931EE2"/>
    <w:rsid w:val="00931F2F"/>
    <w:rsid w:val="00931F6E"/>
    <w:rsid w:val="00931F71"/>
    <w:rsid w:val="00932027"/>
    <w:rsid w:val="009321DA"/>
    <w:rsid w:val="0093221A"/>
    <w:rsid w:val="00932345"/>
    <w:rsid w:val="00932550"/>
    <w:rsid w:val="00932BD1"/>
    <w:rsid w:val="00932D36"/>
    <w:rsid w:val="00932DB1"/>
    <w:rsid w:val="00932DE8"/>
    <w:rsid w:val="00932F43"/>
    <w:rsid w:val="00933176"/>
    <w:rsid w:val="00933179"/>
    <w:rsid w:val="009331A0"/>
    <w:rsid w:val="00933222"/>
    <w:rsid w:val="009332CE"/>
    <w:rsid w:val="00933305"/>
    <w:rsid w:val="0093377C"/>
    <w:rsid w:val="0093380C"/>
    <w:rsid w:val="00933824"/>
    <w:rsid w:val="00933947"/>
    <w:rsid w:val="00933954"/>
    <w:rsid w:val="0093395B"/>
    <w:rsid w:val="00933B5D"/>
    <w:rsid w:val="00933B6C"/>
    <w:rsid w:val="00933B8A"/>
    <w:rsid w:val="00933D12"/>
    <w:rsid w:val="00933D5D"/>
    <w:rsid w:val="00933EB3"/>
    <w:rsid w:val="00933EB9"/>
    <w:rsid w:val="00933EC3"/>
    <w:rsid w:val="00933EFE"/>
    <w:rsid w:val="00933F39"/>
    <w:rsid w:val="00933F56"/>
    <w:rsid w:val="00933FE4"/>
    <w:rsid w:val="0093405D"/>
    <w:rsid w:val="009341A7"/>
    <w:rsid w:val="0093426F"/>
    <w:rsid w:val="00934317"/>
    <w:rsid w:val="00934389"/>
    <w:rsid w:val="0093445A"/>
    <w:rsid w:val="0093476C"/>
    <w:rsid w:val="00934795"/>
    <w:rsid w:val="009347B4"/>
    <w:rsid w:val="00934853"/>
    <w:rsid w:val="009348AD"/>
    <w:rsid w:val="00934900"/>
    <w:rsid w:val="00934907"/>
    <w:rsid w:val="00934951"/>
    <w:rsid w:val="00934A92"/>
    <w:rsid w:val="00934BBF"/>
    <w:rsid w:val="00934C2D"/>
    <w:rsid w:val="00934C40"/>
    <w:rsid w:val="00934C55"/>
    <w:rsid w:val="00934C9F"/>
    <w:rsid w:val="00934DF7"/>
    <w:rsid w:val="00934F82"/>
    <w:rsid w:val="009350F0"/>
    <w:rsid w:val="00935134"/>
    <w:rsid w:val="00935171"/>
    <w:rsid w:val="0093521A"/>
    <w:rsid w:val="009353C4"/>
    <w:rsid w:val="0093554C"/>
    <w:rsid w:val="0093563B"/>
    <w:rsid w:val="00935650"/>
    <w:rsid w:val="009359BF"/>
    <w:rsid w:val="00935B14"/>
    <w:rsid w:val="00935B92"/>
    <w:rsid w:val="00935BB0"/>
    <w:rsid w:val="00935D58"/>
    <w:rsid w:val="00935EFD"/>
    <w:rsid w:val="00935FF4"/>
    <w:rsid w:val="0093600B"/>
    <w:rsid w:val="009360EA"/>
    <w:rsid w:val="0093616B"/>
    <w:rsid w:val="0093626A"/>
    <w:rsid w:val="00936483"/>
    <w:rsid w:val="0093651B"/>
    <w:rsid w:val="009365DC"/>
    <w:rsid w:val="0093665A"/>
    <w:rsid w:val="00936732"/>
    <w:rsid w:val="009369C2"/>
    <w:rsid w:val="009369E4"/>
    <w:rsid w:val="00936BD4"/>
    <w:rsid w:val="00936D75"/>
    <w:rsid w:val="009370C8"/>
    <w:rsid w:val="00937199"/>
    <w:rsid w:val="0093740E"/>
    <w:rsid w:val="00937429"/>
    <w:rsid w:val="00937485"/>
    <w:rsid w:val="00937780"/>
    <w:rsid w:val="0093790A"/>
    <w:rsid w:val="00937A08"/>
    <w:rsid w:val="00937ABA"/>
    <w:rsid w:val="00937EC6"/>
    <w:rsid w:val="00937FBC"/>
    <w:rsid w:val="009403F1"/>
    <w:rsid w:val="00940601"/>
    <w:rsid w:val="00940659"/>
    <w:rsid w:val="00940733"/>
    <w:rsid w:val="00940798"/>
    <w:rsid w:val="009407DC"/>
    <w:rsid w:val="00940A6E"/>
    <w:rsid w:val="00940C4C"/>
    <w:rsid w:val="00940EA5"/>
    <w:rsid w:val="00940F42"/>
    <w:rsid w:val="0094116B"/>
    <w:rsid w:val="00941178"/>
    <w:rsid w:val="0094127F"/>
    <w:rsid w:val="0094134F"/>
    <w:rsid w:val="0094138C"/>
    <w:rsid w:val="00941412"/>
    <w:rsid w:val="00941487"/>
    <w:rsid w:val="00941673"/>
    <w:rsid w:val="0094169A"/>
    <w:rsid w:val="00941718"/>
    <w:rsid w:val="00941747"/>
    <w:rsid w:val="009417DF"/>
    <w:rsid w:val="0094186C"/>
    <w:rsid w:val="00941879"/>
    <w:rsid w:val="0094194E"/>
    <w:rsid w:val="00941981"/>
    <w:rsid w:val="009419A4"/>
    <w:rsid w:val="00941A35"/>
    <w:rsid w:val="00941A69"/>
    <w:rsid w:val="00941AA9"/>
    <w:rsid w:val="00941B05"/>
    <w:rsid w:val="00941B85"/>
    <w:rsid w:val="00941BE2"/>
    <w:rsid w:val="00941D5B"/>
    <w:rsid w:val="00941F58"/>
    <w:rsid w:val="00941FAB"/>
    <w:rsid w:val="0094212A"/>
    <w:rsid w:val="00942182"/>
    <w:rsid w:val="009421B2"/>
    <w:rsid w:val="009422BF"/>
    <w:rsid w:val="00942319"/>
    <w:rsid w:val="00942584"/>
    <w:rsid w:val="0094259D"/>
    <w:rsid w:val="009425AD"/>
    <w:rsid w:val="009426ED"/>
    <w:rsid w:val="0094284B"/>
    <w:rsid w:val="00942A4D"/>
    <w:rsid w:val="00942AF6"/>
    <w:rsid w:val="00942CAF"/>
    <w:rsid w:val="00942CD6"/>
    <w:rsid w:val="00942DF1"/>
    <w:rsid w:val="00942E1F"/>
    <w:rsid w:val="00942E32"/>
    <w:rsid w:val="00942F8F"/>
    <w:rsid w:val="0094300F"/>
    <w:rsid w:val="009431AD"/>
    <w:rsid w:val="00943261"/>
    <w:rsid w:val="00943415"/>
    <w:rsid w:val="00943497"/>
    <w:rsid w:val="00943834"/>
    <w:rsid w:val="0094385A"/>
    <w:rsid w:val="00943867"/>
    <w:rsid w:val="0094386C"/>
    <w:rsid w:val="0094395F"/>
    <w:rsid w:val="00943C60"/>
    <w:rsid w:val="00943C70"/>
    <w:rsid w:val="00943ED9"/>
    <w:rsid w:val="00943F17"/>
    <w:rsid w:val="00943F29"/>
    <w:rsid w:val="0094407C"/>
    <w:rsid w:val="009440BA"/>
    <w:rsid w:val="00944232"/>
    <w:rsid w:val="00944320"/>
    <w:rsid w:val="009443D9"/>
    <w:rsid w:val="009443E0"/>
    <w:rsid w:val="009446B6"/>
    <w:rsid w:val="00944823"/>
    <w:rsid w:val="00944948"/>
    <w:rsid w:val="009449D4"/>
    <w:rsid w:val="00944E1E"/>
    <w:rsid w:val="00944FDF"/>
    <w:rsid w:val="00945049"/>
    <w:rsid w:val="00945125"/>
    <w:rsid w:val="0094527B"/>
    <w:rsid w:val="009452F0"/>
    <w:rsid w:val="00945305"/>
    <w:rsid w:val="009457DC"/>
    <w:rsid w:val="00945839"/>
    <w:rsid w:val="00945853"/>
    <w:rsid w:val="009458BF"/>
    <w:rsid w:val="00945B36"/>
    <w:rsid w:val="00945C04"/>
    <w:rsid w:val="00945C61"/>
    <w:rsid w:val="00945C8D"/>
    <w:rsid w:val="00946091"/>
    <w:rsid w:val="00946245"/>
    <w:rsid w:val="0094631E"/>
    <w:rsid w:val="0094635F"/>
    <w:rsid w:val="009463D2"/>
    <w:rsid w:val="00946471"/>
    <w:rsid w:val="009464DA"/>
    <w:rsid w:val="009465DA"/>
    <w:rsid w:val="00946744"/>
    <w:rsid w:val="009467E0"/>
    <w:rsid w:val="009469A8"/>
    <w:rsid w:val="00946A34"/>
    <w:rsid w:val="00946B65"/>
    <w:rsid w:val="00946BA1"/>
    <w:rsid w:val="00946C16"/>
    <w:rsid w:val="00946E5B"/>
    <w:rsid w:val="00946F39"/>
    <w:rsid w:val="00947236"/>
    <w:rsid w:val="009472EB"/>
    <w:rsid w:val="0094731E"/>
    <w:rsid w:val="0094735E"/>
    <w:rsid w:val="0094752A"/>
    <w:rsid w:val="00947530"/>
    <w:rsid w:val="00947611"/>
    <w:rsid w:val="0094765D"/>
    <w:rsid w:val="009476B8"/>
    <w:rsid w:val="009476C4"/>
    <w:rsid w:val="00947810"/>
    <w:rsid w:val="009478ED"/>
    <w:rsid w:val="009479FB"/>
    <w:rsid w:val="00947C25"/>
    <w:rsid w:val="00947E71"/>
    <w:rsid w:val="00947ED6"/>
    <w:rsid w:val="00950015"/>
    <w:rsid w:val="00950176"/>
    <w:rsid w:val="009501E1"/>
    <w:rsid w:val="009501F8"/>
    <w:rsid w:val="00950294"/>
    <w:rsid w:val="00950607"/>
    <w:rsid w:val="0095089C"/>
    <w:rsid w:val="009508D6"/>
    <w:rsid w:val="00950CA4"/>
    <w:rsid w:val="00950CBC"/>
    <w:rsid w:val="00950CD7"/>
    <w:rsid w:val="00950CF3"/>
    <w:rsid w:val="00950F47"/>
    <w:rsid w:val="00950F4B"/>
    <w:rsid w:val="00950F5A"/>
    <w:rsid w:val="00950FFA"/>
    <w:rsid w:val="009511F7"/>
    <w:rsid w:val="0095129A"/>
    <w:rsid w:val="009512A8"/>
    <w:rsid w:val="009514AC"/>
    <w:rsid w:val="009514BE"/>
    <w:rsid w:val="0095152F"/>
    <w:rsid w:val="00951756"/>
    <w:rsid w:val="0095178C"/>
    <w:rsid w:val="00951806"/>
    <w:rsid w:val="009518BE"/>
    <w:rsid w:val="00951972"/>
    <w:rsid w:val="009519E1"/>
    <w:rsid w:val="00951A30"/>
    <w:rsid w:val="00951ACD"/>
    <w:rsid w:val="00951C81"/>
    <w:rsid w:val="00951CAA"/>
    <w:rsid w:val="00951CC9"/>
    <w:rsid w:val="00951CDA"/>
    <w:rsid w:val="00951DAD"/>
    <w:rsid w:val="00951F91"/>
    <w:rsid w:val="00951FB9"/>
    <w:rsid w:val="00951FC5"/>
    <w:rsid w:val="00952421"/>
    <w:rsid w:val="0095253B"/>
    <w:rsid w:val="00952552"/>
    <w:rsid w:val="0095280C"/>
    <w:rsid w:val="00952875"/>
    <w:rsid w:val="0095296A"/>
    <w:rsid w:val="00952A3F"/>
    <w:rsid w:val="00952C58"/>
    <w:rsid w:val="00952CA6"/>
    <w:rsid w:val="00952D08"/>
    <w:rsid w:val="00952D53"/>
    <w:rsid w:val="00952D95"/>
    <w:rsid w:val="00952E0C"/>
    <w:rsid w:val="00952F84"/>
    <w:rsid w:val="00953078"/>
    <w:rsid w:val="009530FB"/>
    <w:rsid w:val="00953123"/>
    <w:rsid w:val="009532E3"/>
    <w:rsid w:val="009534DE"/>
    <w:rsid w:val="00953695"/>
    <w:rsid w:val="0095373B"/>
    <w:rsid w:val="0095378E"/>
    <w:rsid w:val="009537BB"/>
    <w:rsid w:val="009539EA"/>
    <w:rsid w:val="00953C86"/>
    <w:rsid w:val="00953DC2"/>
    <w:rsid w:val="00953E95"/>
    <w:rsid w:val="00953F1C"/>
    <w:rsid w:val="009543D5"/>
    <w:rsid w:val="009544B5"/>
    <w:rsid w:val="00954691"/>
    <w:rsid w:val="00954798"/>
    <w:rsid w:val="00954829"/>
    <w:rsid w:val="00954C19"/>
    <w:rsid w:val="00954DA1"/>
    <w:rsid w:val="00954F9B"/>
    <w:rsid w:val="0095500B"/>
    <w:rsid w:val="009550A5"/>
    <w:rsid w:val="009550A9"/>
    <w:rsid w:val="0095510A"/>
    <w:rsid w:val="009551D2"/>
    <w:rsid w:val="009551D4"/>
    <w:rsid w:val="0095525D"/>
    <w:rsid w:val="00955304"/>
    <w:rsid w:val="00955340"/>
    <w:rsid w:val="009553C7"/>
    <w:rsid w:val="009554E2"/>
    <w:rsid w:val="00955637"/>
    <w:rsid w:val="00955B2E"/>
    <w:rsid w:val="00955C26"/>
    <w:rsid w:val="00955C6F"/>
    <w:rsid w:val="00955D3A"/>
    <w:rsid w:val="00955D54"/>
    <w:rsid w:val="00955D6C"/>
    <w:rsid w:val="00955D8A"/>
    <w:rsid w:val="00955E7F"/>
    <w:rsid w:val="00955E88"/>
    <w:rsid w:val="00955EDF"/>
    <w:rsid w:val="00956015"/>
    <w:rsid w:val="0095609D"/>
    <w:rsid w:val="009561B9"/>
    <w:rsid w:val="009562E4"/>
    <w:rsid w:val="009562F2"/>
    <w:rsid w:val="00956422"/>
    <w:rsid w:val="0095662B"/>
    <w:rsid w:val="009566C7"/>
    <w:rsid w:val="009567E5"/>
    <w:rsid w:val="00956A1C"/>
    <w:rsid w:val="00956E79"/>
    <w:rsid w:val="009574AF"/>
    <w:rsid w:val="009575F3"/>
    <w:rsid w:val="009576A1"/>
    <w:rsid w:val="009576D3"/>
    <w:rsid w:val="00957944"/>
    <w:rsid w:val="00957BA0"/>
    <w:rsid w:val="00957C78"/>
    <w:rsid w:val="00957D37"/>
    <w:rsid w:val="00957F8B"/>
    <w:rsid w:val="00960075"/>
    <w:rsid w:val="00960205"/>
    <w:rsid w:val="00960230"/>
    <w:rsid w:val="00960298"/>
    <w:rsid w:val="00960383"/>
    <w:rsid w:val="009604AA"/>
    <w:rsid w:val="009605F4"/>
    <w:rsid w:val="009605F7"/>
    <w:rsid w:val="00960643"/>
    <w:rsid w:val="00960A51"/>
    <w:rsid w:val="00960C72"/>
    <w:rsid w:val="00960C7A"/>
    <w:rsid w:val="00960CC1"/>
    <w:rsid w:val="00960CCE"/>
    <w:rsid w:val="00960CEC"/>
    <w:rsid w:val="00960F02"/>
    <w:rsid w:val="00961019"/>
    <w:rsid w:val="00961051"/>
    <w:rsid w:val="00961227"/>
    <w:rsid w:val="0096134D"/>
    <w:rsid w:val="0096136D"/>
    <w:rsid w:val="00961551"/>
    <w:rsid w:val="00961675"/>
    <w:rsid w:val="009616D2"/>
    <w:rsid w:val="0096170E"/>
    <w:rsid w:val="009617D5"/>
    <w:rsid w:val="0096189F"/>
    <w:rsid w:val="009619E7"/>
    <w:rsid w:val="00961A65"/>
    <w:rsid w:val="00961AD2"/>
    <w:rsid w:val="00961B8A"/>
    <w:rsid w:val="00961D7B"/>
    <w:rsid w:val="00961DE2"/>
    <w:rsid w:val="00961DFB"/>
    <w:rsid w:val="00961F8A"/>
    <w:rsid w:val="009620BF"/>
    <w:rsid w:val="00962112"/>
    <w:rsid w:val="00962263"/>
    <w:rsid w:val="009625F1"/>
    <w:rsid w:val="00962655"/>
    <w:rsid w:val="00962703"/>
    <w:rsid w:val="00962716"/>
    <w:rsid w:val="009627E6"/>
    <w:rsid w:val="00962934"/>
    <w:rsid w:val="00962B3B"/>
    <w:rsid w:val="00962B6E"/>
    <w:rsid w:val="00962DCD"/>
    <w:rsid w:val="00962E52"/>
    <w:rsid w:val="00962EA4"/>
    <w:rsid w:val="00962F15"/>
    <w:rsid w:val="00962FDC"/>
    <w:rsid w:val="0096313B"/>
    <w:rsid w:val="0096326D"/>
    <w:rsid w:val="009632FE"/>
    <w:rsid w:val="00963384"/>
    <w:rsid w:val="00963485"/>
    <w:rsid w:val="0096349F"/>
    <w:rsid w:val="0096351B"/>
    <w:rsid w:val="0096353F"/>
    <w:rsid w:val="00963580"/>
    <w:rsid w:val="00963824"/>
    <w:rsid w:val="0096383A"/>
    <w:rsid w:val="00963894"/>
    <w:rsid w:val="009638AE"/>
    <w:rsid w:val="0096395C"/>
    <w:rsid w:val="00963F18"/>
    <w:rsid w:val="00963F3C"/>
    <w:rsid w:val="00963F66"/>
    <w:rsid w:val="00963F9F"/>
    <w:rsid w:val="00964068"/>
    <w:rsid w:val="009640E2"/>
    <w:rsid w:val="0096420E"/>
    <w:rsid w:val="009642C1"/>
    <w:rsid w:val="0096443A"/>
    <w:rsid w:val="009647BD"/>
    <w:rsid w:val="0096498F"/>
    <w:rsid w:val="00964B98"/>
    <w:rsid w:val="00964D4D"/>
    <w:rsid w:val="00964F37"/>
    <w:rsid w:val="009650D6"/>
    <w:rsid w:val="00965317"/>
    <w:rsid w:val="00965347"/>
    <w:rsid w:val="00965375"/>
    <w:rsid w:val="00965469"/>
    <w:rsid w:val="00965638"/>
    <w:rsid w:val="00965798"/>
    <w:rsid w:val="009659DD"/>
    <w:rsid w:val="00965A5D"/>
    <w:rsid w:val="00965B6E"/>
    <w:rsid w:val="00965C32"/>
    <w:rsid w:val="00965D9E"/>
    <w:rsid w:val="00965EC9"/>
    <w:rsid w:val="00965F04"/>
    <w:rsid w:val="00965F12"/>
    <w:rsid w:val="00965FA3"/>
    <w:rsid w:val="0096603A"/>
    <w:rsid w:val="00966199"/>
    <w:rsid w:val="00966267"/>
    <w:rsid w:val="00966377"/>
    <w:rsid w:val="0096640B"/>
    <w:rsid w:val="0096653B"/>
    <w:rsid w:val="00966736"/>
    <w:rsid w:val="0096682B"/>
    <w:rsid w:val="00966902"/>
    <w:rsid w:val="009669AC"/>
    <w:rsid w:val="00966A94"/>
    <w:rsid w:val="00966CD3"/>
    <w:rsid w:val="00966EDA"/>
    <w:rsid w:val="009670C5"/>
    <w:rsid w:val="00967176"/>
    <w:rsid w:val="00967323"/>
    <w:rsid w:val="00967548"/>
    <w:rsid w:val="00967766"/>
    <w:rsid w:val="0096794E"/>
    <w:rsid w:val="00967AC9"/>
    <w:rsid w:val="00967AFB"/>
    <w:rsid w:val="00967D8D"/>
    <w:rsid w:val="00967E60"/>
    <w:rsid w:val="00970125"/>
    <w:rsid w:val="0097035B"/>
    <w:rsid w:val="0097035F"/>
    <w:rsid w:val="0097041E"/>
    <w:rsid w:val="00970439"/>
    <w:rsid w:val="0097087E"/>
    <w:rsid w:val="009708BE"/>
    <w:rsid w:val="00970ADB"/>
    <w:rsid w:val="00970C5F"/>
    <w:rsid w:val="00970F2C"/>
    <w:rsid w:val="0097103F"/>
    <w:rsid w:val="00971151"/>
    <w:rsid w:val="009711EC"/>
    <w:rsid w:val="0097122C"/>
    <w:rsid w:val="0097135D"/>
    <w:rsid w:val="00971665"/>
    <w:rsid w:val="009716C2"/>
    <w:rsid w:val="009717A5"/>
    <w:rsid w:val="00971836"/>
    <w:rsid w:val="00971B81"/>
    <w:rsid w:val="00971CC7"/>
    <w:rsid w:val="00971CC8"/>
    <w:rsid w:val="00971D2D"/>
    <w:rsid w:val="00971F4B"/>
    <w:rsid w:val="00972207"/>
    <w:rsid w:val="009723D5"/>
    <w:rsid w:val="009723FE"/>
    <w:rsid w:val="009724A5"/>
    <w:rsid w:val="009726F2"/>
    <w:rsid w:val="009727CF"/>
    <w:rsid w:val="009729DF"/>
    <w:rsid w:val="00972A02"/>
    <w:rsid w:val="00972BD2"/>
    <w:rsid w:val="00972C39"/>
    <w:rsid w:val="00972CC3"/>
    <w:rsid w:val="00972D00"/>
    <w:rsid w:val="00972D5B"/>
    <w:rsid w:val="00972DDF"/>
    <w:rsid w:val="00972EB3"/>
    <w:rsid w:val="00972F38"/>
    <w:rsid w:val="00972F77"/>
    <w:rsid w:val="00972FF1"/>
    <w:rsid w:val="00973058"/>
    <w:rsid w:val="00973297"/>
    <w:rsid w:val="009732C0"/>
    <w:rsid w:val="0097354A"/>
    <w:rsid w:val="00973601"/>
    <w:rsid w:val="00973645"/>
    <w:rsid w:val="00973681"/>
    <w:rsid w:val="009736A7"/>
    <w:rsid w:val="0097381D"/>
    <w:rsid w:val="00973955"/>
    <w:rsid w:val="00973B11"/>
    <w:rsid w:val="00973D00"/>
    <w:rsid w:val="00973E7A"/>
    <w:rsid w:val="00973F09"/>
    <w:rsid w:val="0097411F"/>
    <w:rsid w:val="0097413B"/>
    <w:rsid w:val="009741F6"/>
    <w:rsid w:val="009743E9"/>
    <w:rsid w:val="009743EF"/>
    <w:rsid w:val="009744B9"/>
    <w:rsid w:val="0097455E"/>
    <w:rsid w:val="009745FA"/>
    <w:rsid w:val="009745FE"/>
    <w:rsid w:val="009747D0"/>
    <w:rsid w:val="0097483B"/>
    <w:rsid w:val="009748FA"/>
    <w:rsid w:val="00974940"/>
    <w:rsid w:val="00974986"/>
    <w:rsid w:val="00974AA4"/>
    <w:rsid w:val="00974BE7"/>
    <w:rsid w:val="00974C41"/>
    <w:rsid w:val="00974C44"/>
    <w:rsid w:val="00974DD0"/>
    <w:rsid w:val="00974E7B"/>
    <w:rsid w:val="00974F46"/>
    <w:rsid w:val="00974F6E"/>
    <w:rsid w:val="0097503B"/>
    <w:rsid w:val="0097558D"/>
    <w:rsid w:val="009756C4"/>
    <w:rsid w:val="00975752"/>
    <w:rsid w:val="00975793"/>
    <w:rsid w:val="0097586E"/>
    <w:rsid w:val="009758D6"/>
    <w:rsid w:val="00975B04"/>
    <w:rsid w:val="00975C00"/>
    <w:rsid w:val="00975C7D"/>
    <w:rsid w:val="00975E5C"/>
    <w:rsid w:val="00975ED4"/>
    <w:rsid w:val="00976020"/>
    <w:rsid w:val="00976100"/>
    <w:rsid w:val="0097626E"/>
    <w:rsid w:val="00976331"/>
    <w:rsid w:val="0097638F"/>
    <w:rsid w:val="0097639D"/>
    <w:rsid w:val="009763E3"/>
    <w:rsid w:val="0097655F"/>
    <w:rsid w:val="009765AB"/>
    <w:rsid w:val="0097663A"/>
    <w:rsid w:val="009767B7"/>
    <w:rsid w:val="0097689A"/>
    <w:rsid w:val="00976948"/>
    <w:rsid w:val="009769D8"/>
    <w:rsid w:val="00976B3F"/>
    <w:rsid w:val="00976C61"/>
    <w:rsid w:val="00976D3A"/>
    <w:rsid w:val="00976E20"/>
    <w:rsid w:val="00976EB5"/>
    <w:rsid w:val="00976F64"/>
    <w:rsid w:val="009770FF"/>
    <w:rsid w:val="009771A6"/>
    <w:rsid w:val="0097734C"/>
    <w:rsid w:val="00977368"/>
    <w:rsid w:val="00977493"/>
    <w:rsid w:val="00977511"/>
    <w:rsid w:val="0097780F"/>
    <w:rsid w:val="0097794C"/>
    <w:rsid w:val="00977A13"/>
    <w:rsid w:val="00977BA3"/>
    <w:rsid w:val="00977BEA"/>
    <w:rsid w:val="00977BFA"/>
    <w:rsid w:val="00977CFF"/>
    <w:rsid w:val="00977FD4"/>
    <w:rsid w:val="0098003D"/>
    <w:rsid w:val="00980242"/>
    <w:rsid w:val="0098039F"/>
    <w:rsid w:val="00980431"/>
    <w:rsid w:val="0098044A"/>
    <w:rsid w:val="00980BFA"/>
    <w:rsid w:val="00980E08"/>
    <w:rsid w:val="00981018"/>
    <w:rsid w:val="009812AE"/>
    <w:rsid w:val="00981481"/>
    <w:rsid w:val="009816A7"/>
    <w:rsid w:val="00981835"/>
    <w:rsid w:val="00981879"/>
    <w:rsid w:val="009818F3"/>
    <w:rsid w:val="00981A9D"/>
    <w:rsid w:val="00981B11"/>
    <w:rsid w:val="00981B5F"/>
    <w:rsid w:val="00981C81"/>
    <w:rsid w:val="00981D86"/>
    <w:rsid w:val="00981EEB"/>
    <w:rsid w:val="0098205D"/>
    <w:rsid w:val="0098206F"/>
    <w:rsid w:val="009823FE"/>
    <w:rsid w:val="0098244D"/>
    <w:rsid w:val="00982600"/>
    <w:rsid w:val="00982612"/>
    <w:rsid w:val="00982682"/>
    <w:rsid w:val="009827CD"/>
    <w:rsid w:val="0098280B"/>
    <w:rsid w:val="009828A7"/>
    <w:rsid w:val="009828F2"/>
    <w:rsid w:val="00982C40"/>
    <w:rsid w:val="00982D5D"/>
    <w:rsid w:val="00982D62"/>
    <w:rsid w:val="00982F32"/>
    <w:rsid w:val="00982FBE"/>
    <w:rsid w:val="009830DF"/>
    <w:rsid w:val="00983117"/>
    <w:rsid w:val="009831D4"/>
    <w:rsid w:val="009833ED"/>
    <w:rsid w:val="009833F7"/>
    <w:rsid w:val="009837F6"/>
    <w:rsid w:val="0098380F"/>
    <w:rsid w:val="009838F9"/>
    <w:rsid w:val="00983929"/>
    <w:rsid w:val="00983A25"/>
    <w:rsid w:val="00983CD5"/>
    <w:rsid w:val="00983F28"/>
    <w:rsid w:val="00983F73"/>
    <w:rsid w:val="00983F86"/>
    <w:rsid w:val="00983F9A"/>
    <w:rsid w:val="009842B3"/>
    <w:rsid w:val="00984392"/>
    <w:rsid w:val="0098444F"/>
    <w:rsid w:val="00984503"/>
    <w:rsid w:val="00984596"/>
    <w:rsid w:val="009845C1"/>
    <w:rsid w:val="00984748"/>
    <w:rsid w:val="00984A1C"/>
    <w:rsid w:val="00984A5C"/>
    <w:rsid w:val="00984A72"/>
    <w:rsid w:val="00984AA1"/>
    <w:rsid w:val="00984BA5"/>
    <w:rsid w:val="00984C63"/>
    <w:rsid w:val="00984E9A"/>
    <w:rsid w:val="00984F81"/>
    <w:rsid w:val="00985062"/>
    <w:rsid w:val="0098507B"/>
    <w:rsid w:val="0098509B"/>
    <w:rsid w:val="00985131"/>
    <w:rsid w:val="00985171"/>
    <w:rsid w:val="009851B2"/>
    <w:rsid w:val="009851C5"/>
    <w:rsid w:val="00985274"/>
    <w:rsid w:val="009852A4"/>
    <w:rsid w:val="009853F7"/>
    <w:rsid w:val="009854D9"/>
    <w:rsid w:val="00985534"/>
    <w:rsid w:val="0098563A"/>
    <w:rsid w:val="009857D7"/>
    <w:rsid w:val="00985863"/>
    <w:rsid w:val="009858F5"/>
    <w:rsid w:val="009859A9"/>
    <w:rsid w:val="00985A3B"/>
    <w:rsid w:val="00985AB2"/>
    <w:rsid w:val="00985B47"/>
    <w:rsid w:val="00985DA3"/>
    <w:rsid w:val="00985DB7"/>
    <w:rsid w:val="00985EDC"/>
    <w:rsid w:val="00985F10"/>
    <w:rsid w:val="00986064"/>
    <w:rsid w:val="009860B0"/>
    <w:rsid w:val="00986152"/>
    <w:rsid w:val="0098623E"/>
    <w:rsid w:val="0098643D"/>
    <w:rsid w:val="00986531"/>
    <w:rsid w:val="009865D3"/>
    <w:rsid w:val="009866D6"/>
    <w:rsid w:val="009867BC"/>
    <w:rsid w:val="0098687C"/>
    <w:rsid w:val="009868AD"/>
    <w:rsid w:val="009869B7"/>
    <w:rsid w:val="00986AC5"/>
    <w:rsid w:val="00986C17"/>
    <w:rsid w:val="00986E0C"/>
    <w:rsid w:val="00986F1E"/>
    <w:rsid w:val="009870BA"/>
    <w:rsid w:val="0098739C"/>
    <w:rsid w:val="0098741C"/>
    <w:rsid w:val="0098755F"/>
    <w:rsid w:val="0098772F"/>
    <w:rsid w:val="009878F0"/>
    <w:rsid w:val="00987AB3"/>
    <w:rsid w:val="00987BA0"/>
    <w:rsid w:val="00987BE7"/>
    <w:rsid w:val="00987C32"/>
    <w:rsid w:val="00990073"/>
    <w:rsid w:val="009900F6"/>
    <w:rsid w:val="0099022B"/>
    <w:rsid w:val="0099026D"/>
    <w:rsid w:val="009903B9"/>
    <w:rsid w:val="00990919"/>
    <w:rsid w:val="00990952"/>
    <w:rsid w:val="00990D78"/>
    <w:rsid w:val="009912C8"/>
    <w:rsid w:val="0099131B"/>
    <w:rsid w:val="00991488"/>
    <w:rsid w:val="00991506"/>
    <w:rsid w:val="0099150F"/>
    <w:rsid w:val="00991538"/>
    <w:rsid w:val="0099172F"/>
    <w:rsid w:val="00991854"/>
    <w:rsid w:val="0099193E"/>
    <w:rsid w:val="009919E0"/>
    <w:rsid w:val="00991A8E"/>
    <w:rsid w:val="00991B85"/>
    <w:rsid w:val="00991B99"/>
    <w:rsid w:val="00991D11"/>
    <w:rsid w:val="00991D74"/>
    <w:rsid w:val="00992213"/>
    <w:rsid w:val="0099238A"/>
    <w:rsid w:val="009923E2"/>
    <w:rsid w:val="00992579"/>
    <w:rsid w:val="009925BA"/>
    <w:rsid w:val="0099276B"/>
    <w:rsid w:val="00992770"/>
    <w:rsid w:val="009927F0"/>
    <w:rsid w:val="00992A50"/>
    <w:rsid w:val="00992B32"/>
    <w:rsid w:val="00992B55"/>
    <w:rsid w:val="00992E8C"/>
    <w:rsid w:val="00992E99"/>
    <w:rsid w:val="00992F84"/>
    <w:rsid w:val="00992F8F"/>
    <w:rsid w:val="00992FAF"/>
    <w:rsid w:val="00993019"/>
    <w:rsid w:val="00993026"/>
    <w:rsid w:val="00993029"/>
    <w:rsid w:val="0099343C"/>
    <w:rsid w:val="00993483"/>
    <w:rsid w:val="009934CB"/>
    <w:rsid w:val="00993707"/>
    <w:rsid w:val="0099372E"/>
    <w:rsid w:val="00993781"/>
    <w:rsid w:val="00993867"/>
    <w:rsid w:val="00993CBC"/>
    <w:rsid w:val="00993CCE"/>
    <w:rsid w:val="00993DD3"/>
    <w:rsid w:val="00993DF6"/>
    <w:rsid w:val="00993E5B"/>
    <w:rsid w:val="00993E6D"/>
    <w:rsid w:val="00993E71"/>
    <w:rsid w:val="009940DC"/>
    <w:rsid w:val="00994107"/>
    <w:rsid w:val="009941E4"/>
    <w:rsid w:val="0099429F"/>
    <w:rsid w:val="009942E0"/>
    <w:rsid w:val="00994358"/>
    <w:rsid w:val="00994411"/>
    <w:rsid w:val="0099447D"/>
    <w:rsid w:val="009944F5"/>
    <w:rsid w:val="00994552"/>
    <w:rsid w:val="0099455A"/>
    <w:rsid w:val="00994714"/>
    <w:rsid w:val="00994857"/>
    <w:rsid w:val="00994AD2"/>
    <w:rsid w:val="00994C6E"/>
    <w:rsid w:val="00994C96"/>
    <w:rsid w:val="00994D18"/>
    <w:rsid w:val="00994D71"/>
    <w:rsid w:val="00994D95"/>
    <w:rsid w:val="00994FBF"/>
    <w:rsid w:val="009950E3"/>
    <w:rsid w:val="00995104"/>
    <w:rsid w:val="009951C3"/>
    <w:rsid w:val="009951EB"/>
    <w:rsid w:val="00995208"/>
    <w:rsid w:val="0099520C"/>
    <w:rsid w:val="00995464"/>
    <w:rsid w:val="0099553D"/>
    <w:rsid w:val="00995585"/>
    <w:rsid w:val="00995659"/>
    <w:rsid w:val="009956D0"/>
    <w:rsid w:val="009956E4"/>
    <w:rsid w:val="0099576B"/>
    <w:rsid w:val="0099588C"/>
    <w:rsid w:val="009958EE"/>
    <w:rsid w:val="0099592D"/>
    <w:rsid w:val="00995A47"/>
    <w:rsid w:val="00995BDE"/>
    <w:rsid w:val="00995D0D"/>
    <w:rsid w:val="00996083"/>
    <w:rsid w:val="0099614C"/>
    <w:rsid w:val="009961DF"/>
    <w:rsid w:val="0099647D"/>
    <w:rsid w:val="00996691"/>
    <w:rsid w:val="0099671C"/>
    <w:rsid w:val="0099692B"/>
    <w:rsid w:val="00996A97"/>
    <w:rsid w:val="00996DAE"/>
    <w:rsid w:val="00996E67"/>
    <w:rsid w:val="00996E8E"/>
    <w:rsid w:val="00996F30"/>
    <w:rsid w:val="00997062"/>
    <w:rsid w:val="0099721B"/>
    <w:rsid w:val="0099722E"/>
    <w:rsid w:val="00997233"/>
    <w:rsid w:val="009972BA"/>
    <w:rsid w:val="00997425"/>
    <w:rsid w:val="00997439"/>
    <w:rsid w:val="00997507"/>
    <w:rsid w:val="00997770"/>
    <w:rsid w:val="0099779A"/>
    <w:rsid w:val="00997882"/>
    <w:rsid w:val="00997898"/>
    <w:rsid w:val="00997900"/>
    <w:rsid w:val="00997983"/>
    <w:rsid w:val="00997BC2"/>
    <w:rsid w:val="00997C92"/>
    <w:rsid w:val="00997CAD"/>
    <w:rsid w:val="00997CF5"/>
    <w:rsid w:val="00997FC1"/>
    <w:rsid w:val="009A001C"/>
    <w:rsid w:val="009A0254"/>
    <w:rsid w:val="009A0464"/>
    <w:rsid w:val="009A05D1"/>
    <w:rsid w:val="009A05D2"/>
    <w:rsid w:val="009A065A"/>
    <w:rsid w:val="009A076C"/>
    <w:rsid w:val="009A09C3"/>
    <w:rsid w:val="009A0BDD"/>
    <w:rsid w:val="009A0C4A"/>
    <w:rsid w:val="009A0F6F"/>
    <w:rsid w:val="009A0F76"/>
    <w:rsid w:val="009A1008"/>
    <w:rsid w:val="009A106D"/>
    <w:rsid w:val="009A15ED"/>
    <w:rsid w:val="009A16AE"/>
    <w:rsid w:val="009A16D1"/>
    <w:rsid w:val="009A17A8"/>
    <w:rsid w:val="009A199A"/>
    <w:rsid w:val="009A1A40"/>
    <w:rsid w:val="009A1AFB"/>
    <w:rsid w:val="009A1B6F"/>
    <w:rsid w:val="009A1BD9"/>
    <w:rsid w:val="009A1C2E"/>
    <w:rsid w:val="009A1DE7"/>
    <w:rsid w:val="009A1EC0"/>
    <w:rsid w:val="009A1F43"/>
    <w:rsid w:val="009A21B4"/>
    <w:rsid w:val="009A2457"/>
    <w:rsid w:val="009A24EE"/>
    <w:rsid w:val="009A2514"/>
    <w:rsid w:val="009A2540"/>
    <w:rsid w:val="009A2782"/>
    <w:rsid w:val="009A27CA"/>
    <w:rsid w:val="009A27CB"/>
    <w:rsid w:val="009A2C78"/>
    <w:rsid w:val="009A2D94"/>
    <w:rsid w:val="009A2E4F"/>
    <w:rsid w:val="009A2F7A"/>
    <w:rsid w:val="009A2FC8"/>
    <w:rsid w:val="009A3051"/>
    <w:rsid w:val="009A327C"/>
    <w:rsid w:val="009A3336"/>
    <w:rsid w:val="009A33FE"/>
    <w:rsid w:val="009A3458"/>
    <w:rsid w:val="009A352E"/>
    <w:rsid w:val="009A3534"/>
    <w:rsid w:val="009A36B3"/>
    <w:rsid w:val="009A3862"/>
    <w:rsid w:val="009A3D1B"/>
    <w:rsid w:val="009A3DAC"/>
    <w:rsid w:val="009A3F3D"/>
    <w:rsid w:val="009A3F61"/>
    <w:rsid w:val="009A3F8A"/>
    <w:rsid w:val="009A406C"/>
    <w:rsid w:val="009A41FA"/>
    <w:rsid w:val="009A44A5"/>
    <w:rsid w:val="009A44E2"/>
    <w:rsid w:val="009A469C"/>
    <w:rsid w:val="009A47C6"/>
    <w:rsid w:val="009A48CD"/>
    <w:rsid w:val="009A4A37"/>
    <w:rsid w:val="009A4A77"/>
    <w:rsid w:val="009A4BBE"/>
    <w:rsid w:val="009A4E5B"/>
    <w:rsid w:val="009A4EB3"/>
    <w:rsid w:val="009A4FB1"/>
    <w:rsid w:val="009A523A"/>
    <w:rsid w:val="009A52AE"/>
    <w:rsid w:val="009A548B"/>
    <w:rsid w:val="009A54CC"/>
    <w:rsid w:val="009A5508"/>
    <w:rsid w:val="009A566E"/>
    <w:rsid w:val="009A5900"/>
    <w:rsid w:val="009A5A35"/>
    <w:rsid w:val="009A5BBB"/>
    <w:rsid w:val="009A5D8F"/>
    <w:rsid w:val="009A5E47"/>
    <w:rsid w:val="009A615F"/>
    <w:rsid w:val="009A6272"/>
    <w:rsid w:val="009A634D"/>
    <w:rsid w:val="009A65AC"/>
    <w:rsid w:val="009A677F"/>
    <w:rsid w:val="009A6A98"/>
    <w:rsid w:val="009A6B27"/>
    <w:rsid w:val="009A6B98"/>
    <w:rsid w:val="009A6DE6"/>
    <w:rsid w:val="009A70C2"/>
    <w:rsid w:val="009A7100"/>
    <w:rsid w:val="009A7133"/>
    <w:rsid w:val="009A71B1"/>
    <w:rsid w:val="009A770D"/>
    <w:rsid w:val="009A7748"/>
    <w:rsid w:val="009A7839"/>
    <w:rsid w:val="009A7914"/>
    <w:rsid w:val="009A79EE"/>
    <w:rsid w:val="009A7A01"/>
    <w:rsid w:val="009A7A15"/>
    <w:rsid w:val="009A7AED"/>
    <w:rsid w:val="009A7C40"/>
    <w:rsid w:val="009A7D81"/>
    <w:rsid w:val="009A7E07"/>
    <w:rsid w:val="009A7FD3"/>
    <w:rsid w:val="009A7FEA"/>
    <w:rsid w:val="009B026F"/>
    <w:rsid w:val="009B02B1"/>
    <w:rsid w:val="009B02C2"/>
    <w:rsid w:val="009B038E"/>
    <w:rsid w:val="009B058D"/>
    <w:rsid w:val="009B0762"/>
    <w:rsid w:val="009B07DD"/>
    <w:rsid w:val="009B0942"/>
    <w:rsid w:val="009B0A5E"/>
    <w:rsid w:val="009B0B22"/>
    <w:rsid w:val="009B0BED"/>
    <w:rsid w:val="009B0C14"/>
    <w:rsid w:val="009B0C34"/>
    <w:rsid w:val="009B0D40"/>
    <w:rsid w:val="009B0DA9"/>
    <w:rsid w:val="009B0E96"/>
    <w:rsid w:val="009B0F06"/>
    <w:rsid w:val="009B0F75"/>
    <w:rsid w:val="009B1336"/>
    <w:rsid w:val="009B1353"/>
    <w:rsid w:val="009B1372"/>
    <w:rsid w:val="009B139F"/>
    <w:rsid w:val="009B1405"/>
    <w:rsid w:val="009B1441"/>
    <w:rsid w:val="009B15CD"/>
    <w:rsid w:val="009B1631"/>
    <w:rsid w:val="009B1632"/>
    <w:rsid w:val="009B1C83"/>
    <w:rsid w:val="009B1DB2"/>
    <w:rsid w:val="009B1FFB"/>
    <w:rsid w:val="009B21DE"/>
    <w:rsid w:val="009B2203"/>
    <w:rsid w:val="009B2499"/>
    <w:rsid w:val="009B25B2"/>
    <w:rsid w:val="009B26F0"/>
    <w:rsid w:val="009B27B2"/>
    <w:rsid w:val="009B281B"/>
    <w:rsid w:val="009B2855"/>
    <w:rsid w:val="009B29AD"/>
    <w:rsid w:val="009B2C3F"/>
    <w:rsid w:val="009B2D95"/>
    <w:rsid w:val="009B2DBC"/>
    <w:rsid w:val="009B2F8A"/>
    <w:rsid w:val="009B3348"/>
    <w:rsid w:val="009B3447"/>
    <w:rsid w:val="009B344D"/>
    <w:rsid w:val="009B3511"/>
    <w:rsid w:val="009B3557"/>
    <w:rsid w:val="009B3648"/>
    <w:rsid w:val="009B3760"/>
    <w:rsid w:val="009B380D"/>
    <w:rsid w:val="009B3853"/>
    <w:rsid w:val="009B3904"/>
    <w:rsid w:val="009B3B25"/>
    <w:rsid w:val="009B3B88"/>
    <w:rsid w:val="009B3CFA"/>
    <w:rsid w:val="009B3E7D"/>
    <w:rsid w:val="009B3F82"/>
    <w:rsid w:val="009B4048"/>
    <w:rsid w:val="009B41F4"/>
    <w:rsid w:val="009B4241"/>
    <w:rsid w:val="009B4522"/>
    <w:rsid w:val="009B46DE"/>
    <w:rsid w:val="009B4831"/>
    <w:rsid w:val="009B4863"/>
    <w:rsid w:val="009B48BC"/>
    <w:rsid w:val="009B4C17"/>
    <w:rsid w:val="009B4C3C"/>
    <w:rsid w:val="009B4D72"/>
    <w:rsid w:val="009B4EA2"/>
    <w:rsid w:val="009B4F39"/>
    <w:rsid w:val="009B4F5F"/>
    <w:rsid w:val="009B4F6D"/>
    <w:rsid w:val="009B513C"/>
    <w:rsid w:val="009B5173"/>
    <w:rsid w:val="009B5236"/>
    <w:rsid w:val="009B5516"/>
    <w:rsid w:val="009B5707"/>
    <w:rsid w:val="009B5724"/>
    <w:rsid w:val="009B57C6"/>
    <w:rsid w:val="009B57FD"/>
    <w:rsid w:val="009B58BD"/>
    <w:rsid w:val="009B59A3"/>
    <w:rsid w:val="009B59B4"/>
    <w:rsid w:val="009B5A35"/>
    <w:rsid w:val="009B5ABC"/>
    <w:rsid w:val="009B5E2F"/>
    <w:rsid w:val="009B5EF0"/>
    <w:rsid w:val="009B5FA9"/>
    <w:rsid w:val="009B5FE8"/>
    <w:rsid w:val="009B6045"/>
    <w:rsid w:val="009B60B8"/>
    <w:rsid w:val="009B614E"/>
    <w:rsid w:val="009B62A3"/>
    <w:rsid w:val="009B62C6"/>
    <w:rsid w:val="009B651B"/>
    <w:rsid w:val="009B65A8"/>
    <w:rsid w:val="009B66C1"/>
    <w:rsid w:val="009B6712"/>
    <w:rsid w:val="009B68AB"/>
    <w:rsid w:val="009B694A"/>
    <w:rsid w:val="009B6CF0"/>
    <w:rsid w:val="009B6E47"/>
    <w:rsid w:val="009B6E74"/>
    <w:rsid w:val="009B6E9F"/>
    <w:rsid w:val="009B6EFB"/>
    <w:rsid w:val="009B71B8"/>
    <w:rsid w:val="009B71F3"/>
    <w:rsid w:val="009B7246"/>
    <w:rsid w:val="009B72DC"/>
    <w:rsid w:val="009B73CB"/>
    <w:rsid w:val="009B73D3"/>
    <w:rsid w:val="009B7478"/>
    <w:rsid w:val="009B7493"/>
    <w:rsid w:val="009B7531"/>
    <w:rsid w:val="009B75EE"/>
    <w:rsid w:val="009B7611"/>
    <w:rsid w:val="009B770F"/>
    <w:rsid w:val="009B775F"/>
    <w:rsid w:val="009B77AC"/>
    <w:rsid w:val="009B7823"/>
    <w:rsid w:val="009B79EB"/>
    <w:rsid w:val="009B7A66"/>
    <w:rsid w:val="009B7B40"/>
    <w:rsid w:val="009B7B53"/>
    <w:rsid w:val="009C00E7"/>
    <w:rsid w:val="009C0256"/>
    <w:rsid w:val="009C03E3"/>
    <w:rsid w:val="009C0438"/>
    <w:rsid w:val="009C0483"/>
    <w:rsid w:val="009C0501"/>
    <w:rsid w:val="009C0694"/>
    <w:rsid w:val="009C0814"/>
    <w:rsid w:val="009C0895"/>
    <w:rsid w:val="009C0921"/>
    <w:rsid w:val="009C0A1C"/>
    <w:rsid w:val="009C1120"/>
    <w:rsid w:val="009C114A"/>
    <w:rsid w:val="009C126A"/>
    <w:rsid w:val="009C13A0"/>
    <w:rsid w:val="009C1502"/>
    <w:rsid w:val="009C18B9"/>
    <w:rsid w:val="009C19C8"/>
    <w:rsid w:val="009C19D1"/>
    <w:rsid w:val="009C1A64"/>
    <w:rsid w:val="009C1AFA"/>
    <w:rsid w:val="009C212B"/>
    <w:rsid w:val="009C2285"/>
    <w:rsid w:val="009C23EF"/>
    <w:rsid w:val="009C23FB"/>
    <w:rsid w:val="009C2491"/>
    <w:rsid w:val="009C2548"/>
    <w:rsid w:val="009C2585"/>
    <w:rsid w:val="009C26D0"/>
    <w:rsid w:val="009C26FC"/>
    <w:rsid w:val="009C2712"/>
    <w:rsid w:val="009C2974"/>
    <w:rsid w:val="009C29EA"/>
    <w:rsid w:val="009C2A3B"/>
    <w:rsid w:val="009C2A47"/>
    <w:rsid w:val="009C2B18"/>
    <w:rsid w:val="009C2B37"/>
    <w:rsid w:val="009C2CB9"/>
    <w:rsid w:val="009C2DC4"/>
    <w:rsid w:val="009C3045"/>
    <w:rsid w:val="009C308A"/>
    <w:rsid w:val="009C31C4"/>
    <w:rsid w:val="009C35AC"/>
    <w:rsid w:val="009C35FD"/>
    <w:rsid w:val="009C36C5"/>
    <w:rsid w:val="009C3837"/>
    <w:rsid w:val="009C3851"/>
    <w:rsid w:val="009C3AC4"/>
    <w:rsid w:val="009C3B11"/>
    <w:rsid w:val="009C3C1D"/>
    <w:rsid w:val="009C3C90"/>
    <w:rsid w:val="009C3D44"/>
    <w:rsid w:val="009C3FEE"/>
    <w:rsid w:val="009C403B"/>
    <w:rsid w:val="009C40D9"/>
    <w:rsid w:val="009C42D9"/>
    <w:rsid w:val="009C4438"/>
    <w:rsid w:val="009C4473"/>
    <w:rsid w:val="009C4506"/>
    <w:rsid w:val="009C4515"/>
    <w:rsid w:val="009C451E"/>
    <w:rsid w:val="009C4605"/>
    <w:rsid w:val="009C4790"/>
    <w:rsid w:val="009C4947"/>
    <w:rsid w:val="009C4B44"/>
    <w:rsid w:val="009C4B61"/>
    <w:rsid w:val="009C4F7B"/>
    <w:rsid w:val="009C5281"/>
    <w:rsid w:val="009C562B"/>
    <w:rsid w:val="009C565D"/>
    <w:rsid w:val="009C5739"/>
    <w:rsid w:val="009C57DF"/>
    <w:rsid w:val="009C58DF"/>
    <w:rsid w:val="009C5914"/>
    <w:rsid w:val="009C59AA"/>
    <w:rsid w:val="009C5AEA"/>
    <w:rsid w:val="009C5AFA"/>
    <w:rsid w:val="009C5C2B"/>
    <w:rsid w:val="009C61DC"/>
    <w:rsid w:val="009C6329"/>
    <w:rsid w:val="009C6365"/>
    <w:rsid w:val="009C6372"/>
    <w:rsid w:val="009C639D"/>
    <w:rsid w:val="009C6420"/>
    <w:rsid w:val="009C65D9"/>
    <w:rsid w:val="009C6616"/>
    <w:rsid w:val="009C6670"/>
    <w:rsid w:val="009C6692"/>
    <w:rsid w:val="009C6781"/>
    <w:rsid w:val="009C688F"/>
    <w:rsid w:val="009C6B18"/>
    <w:rsid w:val="009C6DCC"/>
    <w:rsid w:val="009C6F2B"/>
    <w:rsid w:val="009C7182"/>
    <w:rsid w:val="009C7215"/>
    <w:rsid w:val="009C72CD"/>
    <w:rsid w:val="009C73DF"/>
    <w:rsid w:val="009C764B"/>
    <w:rsid w:val="009C774C"/>
    <w:rsid w:val="009C7760"/>
    <w:rsid w:val="009C79DD"/>
    <w:rsid w:val="009C7A0C"/>
    <w:rsid w:val="009C7CF1"/>
    <w:rsid w:val="009C7D16"/>
    <w:rsid w:val="009C7D5B"/>
    <w:rsid w:val="009C7E0E"/>
    <w:rsid w:val="009C7ECB"/>
    <w:rsid w:val="009C7F95"/>
    <w:rsid w:val="009D026E"/>
    <w:rsid w:val="009D0432"/>
    <w:rsid w:val="009D053F"/>
    <w:rsid w:val="009D0792"/>
    <w:rsid w:val="009D07C7"/>
    <w:rsid w:val="009D082B"/>
    <w:rsid w:val="009D0965"/>
    <w:rsid w:val="009D098E"/>
    <w:rsid w:val="009D0A66"/>
    <w:rsid w:val="009D0BE9"/>
    <w:rsid w:val="009D0CE5"/>
    <w:rsid w:val="009D0D42"/>
    <w:rsid w:val="009D0D5E"/>
    <w:rsid w:val="009D0DA2"/>
    <w:rsid w:val="009D0EAE"/>
    <w:rsid w:val="009D0F3C"/>
    <w:rsid w:val="009D0F63"/>
    <w:rsid w:val="009D0F70"/>
    <w:rsid w:val="009D13C8"/>
    <w:rsid w:val="009D149E"/>
    <w:rsid w:val="009D14BA"/>
    <w:rsid w:val="009D15FB"/>
    <w:rsid w:val="009D172C"/>
    <w:rsid w:val="009D17BD"/>
    <w:rsid w:val="009D1BF7"/>
    <w:rsid w:val="009D1C4A"/>
    <w:rsid w:val="009D1CAE"/>
    <w:rsid w:val="009D1DC0"/>
    <w:rsid w:val="009D1E94"/>
    <w:rsid w:val="009D1F35"/>
    <w:rsid w:val="009D2041"/>
    <w:rsid w:val="009D205F"/>
    <w:rsid w:val="009D2072"/>
    <w:rsid w:val="009D209A"/>
    <w:rsid w:val="009D21A7"/>
    <w:rsid w:val="009D22B6"/>
    <w:rsid w:val="009D22D8"/>
    <w:rsid w:val="009D234A"/>
    <w:rsid w:val="009D2393"/>
    <w:rsid w:val="009D23C4"/>
    <w:rsid w:val="009D25F8"/>
    <w:rsid w:val="009D25FF"/>
    <w:rsid w:val="009D2601"/>
    <w:rsid w:val="009D284B"/>
    <w:rsid w:val="009D28C1"/>
    <w:rsid w:val="009D2C59"/>
    <w:rsid w:val="009D2D71"/>
    <w:rsid w:val="009D2DC6"/>
    <w:rsid w:val="009D2EDB"/>
    <w:rsid w:val="009D2F15"/>
    <w:rsid w:val="009D2F9B"/>
    <w:rsid w:val="009D3024"/>
    <w:rsid w:val="009D3070"/>
    <w:rsid w:val="009D3134"/>
    <w:rsid w:val="009D324C"/>
    <w:rsid w:val="009D32BC"/>
    <w:rsid w:val="009D3321"/>
    <w:rsid w:val="009D3327"/>
    <w:rsid w:val="009D349A"/>
    <w:rsid w:val="009D3564"/>
    <w:rsid w:val="009D3721"/>
    <w:rsid w:val="009D3739"/>
    <w:rsid w:val="009D380C"/>
    <w:rsid w:val="009D388F"/>
    <w:rsid w:val="009D390F"/>
    <w:rsid w:val="009D3984"/>
    <w:rsid w:val="009D3B30"/>
    <w:rsid w:val="009D3F63"/>
    <w:rsid w:val="009D3FB6"/>
    <w:rsid w:val="009D415E"/>
    <w:rsid w:val="009D4427"/>
    <w:rsid w:val="009D4480"/>
    <w:rsid w:val="009D45DF"/>
    <w:rsid w:val="009D4660"/>
    <w:rsid w:val="009D49A3"/>
    <w:rsid w:val="009D4B73"/>
    <w:rsid w:val="009D4E79"/>
    <w:rsid w:val="009D501C"/>
    <w:rsid w:val="009D504F"/>
    <w:rsid w:val="009D5093"/>
    <w:rsid w:val="009D513F"/>
    <w:rsid w:val="009D5174"/>
    <w:rsid w:val="009D5180"/>
    <w:rsid w:val="009D5196"/>
    <w:rsid w:val="009D5306"/>
    <w:rsid w:val="009D5342"/>
    <w:rsid w:val="009D5415"/>
    <w:rsid w:val="009D545E"/>
    <w:rsid w:val="009D57E3"/>
    <w:rsid w:val="009D58A7"/>
    <w:rsid w:val="009D5929"/>
    <w:rsid w:val="009D5952"/>
    <w:rsid w:val="009D5B97"/>
    <w:rsid w:val="009D5C4E"/>
    <w:rsid w:val="009D60F7"/>
    <w:rsid w:val="009D6245"/>
    <w:rsid w:val="009D6283"/>
    <w:rsid w:val="009D62D1"/>
    <w:rsid w:val="009D633A"/>
    <w:rsid w:val="009D63E7"/>
    <w:rsid w:val="009D6494"/>
    <w:rsid w:val="009D64D8"/>
    <w:rsid w:val="009D654B"/>
    <w:rsid w:val="009D671B"/>
    <w:rsid w:val="009D67A9"/>
    <w:rsid w:val="009D6841"/>
    <w:rsid w:val="009D6CFA"/>
    <w:rsid w:val="009D709A"/>
    <w:rsid w:val="009D710A"/>
    <w:rsid w:val="009D7218"/>
    <w:rsid w:val="009D733D"/>
    <w:rsid w:val="009D7431"/>
    <w:rsid w:val="009D7473"/>
    <w:rsid w:val="009D7595"/>
    <w:rsid w:val="009D7757"/>
    <w:rsid w:val="009D78A0"/>
    <w:rsid w:val="009D7913"/>
    <w:rsid w:val="009D7C4F"/>
    <w:rsid w:val="009D7CAC"/>
    <w:rsid w:val="009D7DEF"/>
    <w:rsid w:val="009D7EB0"/>
    <w:rsid w:val="009D7EDF"/>
    <w:rsid w:val="009D7EFA"/>
    <w:rsid w:val="009D7F2F"/>
    <w:rsid w:val="009D7F58"/>
    <w:rsid w:val="009D7F64"/>
    <w:rsid w:val="009D7F9E"/>
    <w:rsid w:val="009D7FC6"/>
    <w:rsid w:val="009E006D"/>
    <w:rsid w:val="009E00C1"/>
    <w:rsid w:val="009E0235"/>
    <w:rsid w:val="009E02D2"/>
    <w:rsid w:val="009E031E"/>
    <w:rsid w:val="009E0560"/>
    <w:rsid w:val="009E0599"/>
    <w:rsid w:val="009E05DA"/>
    <w:rsid w:val="009E0838"/>
    <w:rsid w:val="009E0A65"/>
    <w:rsid w:val="009E0B8E"/>
    <w:rsid w:val="009E0C8A"/>
    <w:rsid w:val="009E0FCF"/>
    <w:rsid w:val="009E0FE3"/>
    <w:rsid w:val="009E100B"/>
    <w:rsid w:val="009E11F0"/>
    <w:rsid w:val="009E136C"/>
    <w:rsid w:val="009E139E"/>
    <w:rsid w:val="009E14E8"/>
    <w:rsid w:val="009E15F5"/>
    <w:rsid w:val="009E16BE"/>
    <w:rsid w:val="009E16F9"/>
    <w:rsid w:val="009E178E"/>
    <w:rsid w:val="009E18FE"/>
    <w:rsid w:val="009E1912"/>
    <w:rsid w:val="009E1A3D"/>
    <w:rsid w:val="009E1B59"/>
    <w:rsid w:val="009E1C4F"/>
    <w:rsid w:val="009E1E39"/>
    <w:rsid w:val="009E1EFA"/>
    <w:rsid w:val="009E1F66"/>
    <w:rsid w:val="009E2020"/>
    <w:rsid w:val="009E2152"/>
    <w:rsid w:val="009E21A5"/>
    <w:rsid w:val="009E2270"/>
    <w:rsid w:val="009E24F0"/>
    <w:rsid w:val="009E2577"/>
    <w:rsid w:val="009E2636"/>
    <w:rsid w:val="009E2918"/>
    <w:rsid w:val="009E29ED"/>
    <w:rsid w:val="009E2A02"/>
    <w:rsid w:val="009E2A44"/>
    <w:rsid w:val="009E2DF1"/>
    <w:rsid w:val="009E2F33"/>
    <w:rsid w:val="009E2F67"/>
    <w:rsid w:val="009E305E"/>
    <w:rsid w:val="009E31A9"/>
    <w:rsid w:val="009E32F1"/>
    <w:rsid w:val="009E333E"/>
    <w:rsid w:val="009E3360"/>
    <w:rsid w:val="009E337E"/>
    <w:rsid w:val="009E3596"/>
    <w:rsid w:val="009E3790"/>
    <w:rsid w:val="009E384A"/>
    <w:rsid w:val="009E390E"/>
    <w:rsid w:val="009E3969"/>
    <w:rsid w:val="009E39F5"/>
    <w:rsid w:val="009E3C7B"/>
    <w:rsid w:val="009E3E2F"/>
    <w:rsid w:val="009E3FCB"/>
    <w:rsid w:val="009E3FE7"/>
    <w:rsid w:val="009E3FE9"/>
    <w:rsid w:val="009E4040"/>
    <w:rsid w:val="009E40BA"/>
    <w:rsid w:val="009E4117"/>
    <w:rsid w:val="009E4263"/>
    <w:rsid w:val="009E4494"/>
    <w:rsid w:val="009E44B9"/>
    <w:rsid w:val="009E45AF"/>
    <w:rsid w:val="009E487A"/>
    <w:rsid w:val="009E49B9"/>
    <w:rsid w:val="009E4A77"/>
    <w:rsid w:val="009E4C45"/>
    <w:rsid w:val="009E4CC4"/>
    <w:rsid w:val="009E4E13"/>
    <w:rsid w:val="009E50F1"/>
    <w:rsid w:val="009E5122"/>
    <w:rsid w:val="009E523F"/>
    <w:rsid w:val="009E533D"/>
    <w:rsid w:val="009E53CB"/>
    <w:rsid w:val="009E553A"/>
    <w:rsid w:val="009E57CA"/>
    <w:rsid w:val="009E5AD9"/>
    <w:rsid w:val="009E5C6E"/>
    <w:rsid w:val="009E5E58"/>
    <w:rsid w:val="009E5EA6"/>
    <w:rsid w:val="009E6854"/>
    <w:rsid w:val="009E68D4"/>
    <w:rsid w:val="009E6974"/>
    <w:rsid w:val="009E6A0D"/>
    <w:rsid w:val="009E6BA6"/>
    <w:rsid w:val="009E6C22"/>
    <w:rsid w:val="009E6ED5"/>
    <w:rsid w:val="009E6FD3"/>
    <w:rsid w:val="009E73A0"/>
    <w:rsid w:val="009E74DC"/>
    <w:rsid w:val="009E7536"/>
    <w:rsid w:val="009E776A"/>
    <w:rsid w:val="009E7A72"/>
    <w:rsid w:val="009E7A97"/>
    <w:rsid w:val="009E7C09"/>
    <w:rsid w:val="009E7C0A"/>
    <w:rsid w:val="009E7C4C"/>
    <w:rsid w:val="009E7DC2"/>
    <w:rsid w:val="009E7EAC"/>
    <w:rsid w:val="009E7FDF"/>
    <w:rsid w:val="009F0233"/>
    <w:rsid w:val="009F031F"/>
    <w:rsid w:val="009F041B"/>
    <w:rsid w:val="009F04E8"/>
    <w:rsid w:val="009F0588"/>
    <w:rsid w:val="009F0712"/>
    <w:rsid w:val="009F0739"/>
    <w:rsid w:val="009F0782"/>
    <w:rsid w:val="009F0BFD"/>
    <w:rsid w:val="009F0C17"/>
    <w:rsid w:val="009F0C56"/>
    <w:rsid w:val="009F0D74"/>
    <w:rsid w:val="009F1014"/>
    <w:rsid w:val="009F1132"/>
    <w:rsid w:val="009F123D"/>
    <w:rsid w:val="009F1261"/>
    <w:rsid w:val="009F1393"/>
    <w:rsid w:val="009F14BE"/>
    <w:rsid w:val="009F1589"/>
    <w:rsid w:val="009F16B6"/>
    <w:rsid w:val="009F195C"/>
    <w:rsid w:val="009F1A28"/>
    <w:rsid w:val="009F1A97"/>
    <w:rsid w:val="009F1D23"/>
    <w:rsid w:val="009F1E10"/>
    <w:rsid w:val="009F1E17"/>
    <w:rsid w:val="009F1E40"/>
    <w:rsid w:val="009F1EAC"/>
    <w:rsid w:val="009F1FB0"/>
    <w:rsid w:val="009F2081"/>
    <w:rsid w:val="009F20C5"/>
    <w:rsid w:val="009F226C"/>
    <w:rsid w:val="009F255B"/>
    <w:rsid w:val="009F2572"/>
    <w:rsid w:val="009F2692"/>
    <w:rsid w:val="009F2696"/>
    <w:rsid w:val="009F2AED"/>
    <w:rsid w:val="009F2B19"/>
    <w:rsid w:val="009F2B90"/>
    <w:rsid w:val="009F2BE2"/>
    <w:rsid w:val="009F2C57"/>
    <w:rsid w:val="009F2D0D"/>
    <w:rsid w:val="009F2D2A"/>
    <w:rsid w:val="009F2EE3"/>
    <w:rsid w:val="009F318C"/>
    <w:rsid w:val="009F32FA"/>
    <w:rsid w:val="009F3320"/>
    <w:rsid w:val="009F33FA"/>
    <w:rsid w:val="009F343D"/>
    <w:rsid w:val="009F355E"/>
    <w:rsid w:val="009F35F2"/>
    <w:rsid w:val="009F36FA"/>
    <w:rsid w:val="009F390C"/>
    <w:rsid w:val="009F3A0D"/>
    <w:rsid w:val="009F3A1A"/>
    <w:rsid w:val="009F3A87"/>
    <w:rsid w:val="009F3ACF"/>
    <w:rsid w:val="009F3C74"/>
    <w:rsid w:val="009F3C7C"/>
    <w:rsid w:val="009F3CF5"/>
    <w:rsid w:val="009F3D80"/>
    <w:rsid w:val="009F3EC7"/>
    <w:rsid w:val="009F3F0B"/>
    <w:rsid w:val="009F3F54"/>
    <w:rsid w:val="009F3FEF"/>
    <w:rsid w:val="009F4148"/>
    <w:rsid w:val="009F4168"/>
    <w:rsid w:val="009F4178"/>
    <w:rsid w:val="009F423D"/>
    <w:rsid w:val="009F444C"/>
    <w:rsid w:val="009F4482"/>
    <w:rsid w:val="009F44CA"/>
    <w:rsid w:val="009F4547"/>
    <w:rsid w:val="009F45B8"/>
    <w:rsid w:val="009F47E1"/>
    <w:rsid w:val="009F484E"/>
    <w:rsid w:val="009F48AC"/>
    <w:rsid w:val="009F48CF"/>
    <w:rsid w:val="009F4983"/>
    <w:rsid w:val="009F4CEB"/>
    <w:rsid w:val="009F4D2F"/>
    <w:rsid w:val="009F4D81"/>
    <w:rsid w:val="009F4E3B"/>
    <w:rsid w:val="009F4E46"/>
    <w:rsid w:val="009F4EE3"/>
    <w:rsid w:val="009F4F3B"/>
    <w:rsid w:val="009F5007"/>
    <w:rsid w:val="009F5255"/>
    <w:rsid w:val="009F5378"/>
    <w:rsid w:val="009F53BA"/>
    <w:rsid w:val="009F5576"/>
    <w:rsid w:val="009F55F1"/>
    <w:rsid w:val="009F5649"/>
    <w:rsid w:val="009F592B"/>
    <w:rsid w:val="009F5945"/>
    <w:rsid w:val="009F59FB"/>
    <w:rsid w:val="009F5BC0"/>
    <w:rsid w:val="009F5BD6"/>
    <w:rsid w:val="009F5C3E"/>
    <w:rsid w:val="009F5C73"/>
    <w:rsid w:val="009F5CFC"/>
    <w:rsid w:val="009F5DD7"/>
    <w:rsid w:val="009F5E1C"/>
    <w:rsid w:val="009F6174"/>
    <w:rsid w:val="009F6259"/>
    <w:rsid w:val="009F6294"/>
    <w:rsid w:val="009F6341"/>
    <w:rsid w:val="009F63C9"/>
    <w:rsid w:val="009F63CA"/>
    <w:rsid w:val="009F64FA"/>
    <w:rsid w:val="009F6537"/>
    <w:rsid w:val="009F66C5"/>
    <w:rsid w:val="009F66DA"/>
    <w:rsid w:val="009F682B"/>
    <w:rsid w:val="009F6927"/>
    <w:rsid w:val="009F6A10"/>
    <w:rsid w:val="009F6AE7"/>
    <w:rsid w:val="009F6B99"/>
    <w:rsid w:val="009F6BD1"/>
    <w:rsid w:val="009F6BE0"/>
    <w:rsid w:val="009F6CBC"/>
    <w:rsid w:val="009F6DC6"/>
    <w:rsid w:val="009F6E97"/>
    <w:rsid w:val="009F6F9A"/>
    <w:rsid w:val="009F7019"/>
    <w:rsid w:val="009F7355"/>
    <w:rsid w:val="009F7513"/>
    <w:rsid w:val="009F76A1"/>
    <w:rsid w:val="009F76BD"/>
    <w:rsid w:val="009F7940"/>
    <w:rsid w:val="009F7A73"/>
    <w:rsid w:val="009F7A9A"/>
    <w:rsid w:val="009F7AB6"/>
    <w:rsid w:val="009F7B7E"/>
    <w:rsid w:val="009F7C3E"/>
    <w:rsid w:val="009F7F34"/>
    <w:rsid w:val="00A00153"/>
    <w:rsid w:val="00A0044A"/>
    <w:rsid w:val="00A00551"/>
    <w:rsid w:val="00A00851"/>
    <w:rsid w:val="00A0089B"/>
    <w:rsid w:val="00A00916"/>
    <w:rsid w:val="00A0096F"/>
    <w:rsid w:val="00A00AB9"/>
    <w:rsid w:val="00A00B2C"/>
    <w:rsid w:val="00A00BD8"/>
    <w:rsid w:val="00A00C41"/>
    <w:rsid w:val="00A00D4D"/>
    <w:rsid w:val="00A00DD5"/>
    <w:rsid w:val="00A00EA7"/>
    <w:rsid w:val="00A01186"/>
    <w:rsid w:val="00A011F8"/>
    <w:rsid w:val="00A0127C"/>
    <w:rsid w:val="00A012AD"/>
    <w:rsid w:val="00A0174B"/>
    <w:rsid w:val="00A01845"/>
    <w:rsid w:val="00A019A6"/>
    <w:rsid w:val="00A01A74"/>
    <w:rsid w:val="00A01B8E"/>
    <w:rsid w:val="00A01C48"/>
    <w:rsid w:val="00A01DA8"/>
    <w:rsid w:val="00A01EA9"/>
    <w:rsid w:val="00A01FBF"/>
    <w:rsid w:val="00A01FD3"/>
    <w:rsid w:val="00A01FD9"/>
    <w:rsid w:val="00A01FEE"/>
    <w:rsid w:val="00A0201B"/>
    <w:rsid w:val="00A0202F"/>
    <w:rsid w:val="00A020CA"/>
    <w:rsid w:val="00A02104"/>
    <w:rsid w:val="00A02148"/>
    <w:rsid w:val="00A021DD"/>
    <w:rsid w:val="00A02215"/>
    <w:rsid w:val="00A02369"/>
    <w:rsid w:val="00A0239A"/>
    <w:rsid w:val="00A0247A"/>
    <w:rsid w:val="00A02545"/>
    <w:rsid w:val="00A025A5"/>
    <w:rsid w:val="00A026DC"/>
    <w:rsid w:val="00A0271D"/>
    <w:rsid w:val="00A029E6"/>
    <w:rsid w:val="00A02C0F"/>
    <w:rsid w:val="00A02C49"/>
    <w:rsid w:val="00A02CDA"/>
    <w:rsid w:val="00A02D75"/>
    <w:rsid w:val="00A02F22"/>
    <w:rsid w:val="00A03094"/>
    <w:rsid w:val="00A030A5"/>
    <w:rsid w:val="00A030C1"/>
    <w:rsid w:val="00A03198"/>
    <w:rsid w:val="00A0321D"/>
    <w:rsid w:val="00A0359F"/>
    <w:rsid w:val="00A036D0"/>
    <w:rsid w:val="00A0399A"/>
    <w:rsid w:val="00A03BFE"/>
    <w:rsid w:val="00A03EE3"/>
    <w:rsid w:val="00A042A1"/>
    <w:rsid w:val="00A043D3"/>
    <w:rsid w:val="00A04408"/>
    <w:rsid w:val="00A04485"/>
    <w:rsid w:val="00A044BF"/>
    <w:rsid w:val="00A04750"/>
    <w:rsid w:val="00A04806"/>
    <w:rsid w:val="00A04A14"/>
    <w:rsid w:val="00A04B23"/>
    <w:rsid w:val="00A04B59"/>
    <w:rsid w:val="00A04C28"/>
    <w:rsid w:val="00A04CC5"/>
    <w:rsid w:val="00A04D42"/>
    <w:rsid w:val="00A04D56"/>
    <w:rsid w:val="00A04E14"/>
    <w:rsid w:val="00A05125"/>
    <w:rsid w:val="00A0527D"/>
    <w:rsid w:val="00A053BA"/>
    <w:rsid w:val="00A05442"/>
    <w:rsid w:val="00A054EE"/>
    <w:rsid w:val="00A05548"/>
    <w:rsid w:val="00A0562E"/>
    <w:rsid w:val="00A05779"/>
    <w:rsid w:val="00A05891"/>
    <w:rsid w:val="00A059EB"/>
    <w:rsid w:val="00A05A94"/>
    <w:rsid w:val="00A05B90"/>
    <w:rsid w:val="00A05DAD"/>
    <w:rsid w:val="00A05DAE"/>
    <w:rsid w:val="00A06082"/>
    <w:rsid w:val="00A060BD"/>
    <w:rsid w:val="00A060EE"/>
    <w:rsid w:val="00A06243"/>
    <w:rsid w:val="00A0626D"/>
    <w:rsid w:val="00A06374"/>
    <w:rsid w:val="00A063D4"/>
    <w:rsid w:val="00A063EE"/>
    <w:rsid w:val="00A06465"/>
    <w:rsid w:val="00A06637"/>
    <w:rsid w:val="00A06696"/>
    <w:rsid w:val="00A068D0"/>
    <w:rsid w:val="00A06C24"/>
    <w:rsid w:val="00A06C2C"/>
    <w:rsid w:val="00A06D51"/>
    <w:rsid w:val="00A06E1D"/>
    <w:rsid w:val="00A07075"/>
    <w:rsid w:val="00A070D3"/>
    <w:rsid w:val="00A07169"/>
    <w:rsid w:val="00A071A9"/>
    <w:rsid w:val="00A071EE"/>
    <w:rsid w:val="00A07325"/>
    <w:rsid w:val="00A07526"/>
    <w:rsid w:val="00A076DA"/>
    <w:rsid w:val="00A078F4"/>
    <w:rsid w:val="00A079C4"/>
    <w:rsid w:val="00A07ADD"/>
    <w:rsid w:val="00A07AF2"/>
    <w:rsid w:val="00A07C1F"/>
    <w:rsid w:val="00A07C65"/>
    <w:rsid w:val="00A07C76"/>
    <w:rsid w:val="00A07C86"/>
    <w:rsid w:val="00A07D0C"/>
    <w:rsid w:val="00A07E68"/>
    <w:rsid w:val="00A07F1E"/>
    <w:rsid w:val="00A07F6E"/>
    <w:rsid w:val="00A07F9B"/>
    <w:rsid w:val="00A10104"/>
    <w:rsid w:val="00A1012C"/>
    <w:rsid w:val="00A1032E"/>
    <w:rsid w:val="00A10349"/>
    <w:rsid w:val="00A10433"/>
    <w:rsid w:val="00A10462"/>
    <w:rsid w:val="00A104B1"/>
    <w:rsid w:val="00A1059E"/>
    <w:rsid w:val="00A1064C"/>
    <w:rsid w:val="00A10684"/>
    <w:rsid w:val="00A1087E"/>
    <w:rsid w:val="00A10886"/>
    <w:rsid w:val="00A1093B"/>
    <w:rsid w:val="00A10A5E"/>
    <w:rsid w:val="00A10FDC"/>
    <w:rsid w:val="00A11003"/>
    <w:rsid w:val="00A11155"/>
    <w:rsid w:val="00A1116A"/>
    <w:rsid w:val="00A11193"/>
    <w:rsid w:val="00A1123C"/>
    <w:rsid w:val="00A11561"/>
    <w:rsid w:val="00A11673"/>
    <w:rsid w:val="00A11822"/>
    <w:rsid w:val="00A11B4A"/>
    <w:rsid w:val="00A11B83"/>
    <w:rsid w:val="00A11B9A"/>
    <w:rsid w:val="00A11C47"/>
    <w:rsid w:val="00A11D67"/>
    <w:rsid w:val="00A11DBC"/>
    <w:rsid w:val="00A11F6D"/>
    <w:rsid w:val="00A1200D"/>
    <w:rsid w:val="00A120CA"/>
    <w:rsid w:val="00A1217B"/>
    <w:rsid w:val="00A121CE"/>
    <w:rsid w:val="00A12260"/>
    <w:rsid w:val="00A122CD"/>
    <w:rsid w:val="00A122E1"/>
    <w:rsid w:val="00A12452"/>
    <w:rsid w:val="00A1252E"/>
    <w:rsid w:val="00A12684"/>
    <w:rsid w:val="00A1279A"/>
    <w:rsid w:val="00A127D3"/>
    <w:rsid w:val="00A128C6"/>
    <w:rsid w:val="00A1298C"/>
    <w:rsid w:val="00A12A8D"/>
    <w:rsid w:val="00A12BFE"/>
    <w:rsid w:val="00A12C02"/>
    <w:rsid w:val="00A12CC0"/>
    <w:rsid w:val="00A12FF7"/>
    <w:rsid w:val="00A1308D"/>
    <w:rsid w:val="00A132D2"/>
    <w:rsid w:val="00A132E9"/>
    <w:rsid w:val="00A13348"/>
    <w:rsid w:val="00A134C1"/>
    <w:rsid w:val="00A134DC"/>
    <w:rsid w:val="00A135B9"/>
    <w:rsid w:val="00A1374C"/>
    <w:rsid w:val="00A13988"/>
    <w:rsid w:val="00A13A2B"/>
    <w:rsid w:val="00A13B1E"/>
    <w:rsid w:val="00A13B76"/>
    <w:rsid w:val="00A13B7E"/>
    <w:rsid w:val="00A13D49"/>
    <w:rsid w:val="00A13D7B"/>
    <w:rsid w:val="00A13DB5"/>
    <w:rsid w:val="00A13E26"/>
    <w:rsid w:val="00A14026"/>
    <w:rsid w:val="00A145DA"/>
    <w:rsid w:val="00A146BC"/>
    <w:rsid w:val="00A14775"/>
    <w:rsid w:val="00A149BD"/>
    <w:rsid w:val="00A14A6E"/>
    <w:rsid w:val="00A14B69"/>
    <w:rsid w:val="00A14BC1"/>
    <w:rsid w:val="00A14CD8"/>
    <w:rsid w:val="00A152B7"/>
    <w:rsid w:val="00A153D2"/>
    <w:rsid w:val="00A153D3"/>
    <w:rsid w:val="00A15484"/>
    <w:rsid w:val="00A15546"/>
    <w:rsid w:val="00A15621"/>
    <w:rsid w:val="00A15719"/>
    <w:rsid w:val="00A1580A"/>
    <w:rsid w:val="00A15991"/>
    <w:rsid w:val="00A159EE"/>
    <w:rsid w:val="00A15B53"/>
    <w:rsid w:val="00A15B84"/>
    <w:rsid w:val="00A15C74"/>
    <w:rsid w:val="00A15E62"/>
    <w:rsid w:val="00A15E63"/>
    <w:rsid w:val="00A15F9C"/>
    <w:rsid w:val="00A16002"/>
    <w:rsid w:val="00A160D4"/>
    <w:rsid w:val="00A161A4"/>
    <w:rsid w:val="00A161C4"/>
    <w:rsid w:val="00A16300"/>
    <w:rsid w:val="00A16315"/>
    <w:rsid w:val="00A1641C"/>
    <w:rsid w:val="00A16461"/>
    <w:rsid w:val="00A16491"/>
    <w:rsid w:val="00A1652C"/>
    <w:rsid w:val="00A16747"/>
    <w:rsid w:val="00A1675D"/>
    <w:rsid w:val="00A1685F"/>
    <w:rsid w:val="00A168DD"/>
    <w:rsid w:val="00A16B3A"/>
    <w:rsid w:val="00A16BC4"/>
    <w:rsid w:val="00A16C9F"/>
    <w:rsid w:val="00A16EEB"/>
    <w:rsid w:val="00A17192"/>
    <w:rsid w:val="00A171C1"/>
    <w:rsid w:val="00A171F0"/>
    <w:rsid w:val="00A172C2"/>
    <w:rsid w:val="00A172FB"/>
    <w:rsid w:val="00A175B2"/>
    <w:rsid w:val="00A176D4"/>
    <w:rsid w:val="00A176DE"/>
    <w:rsid w:val="00A17933"/>
    <w:rsid w:val="00A1794F"/>
    <w:rsid w:val="00A17957"/>
    <w:rsid w:val="00A17A20"/>
    <w:rsid w:val="00A17E73"/>
    <w:rsid w:val="00A20392"/>
    <w:rsid w:val="00A2055E"/>
    <w:rsid w:val="00A20712"/>
    <w:rsid w:val="00A208B5"/>
    <w:rsid w:val="00A20B97"/>
    <w:rsid w:val="00A20C56"/>
    <w:rsid w:val="00A20CFC"/>
    <w:rsid w:val="00A20F0C"/>
    <w:rsid w:val="00A210A6"/>
    <w:rsid w:val="00A21123"/>
    <w:rsid w:val="00A21133"/>
    <w:rsid w:val="00A211F8"/>
    <w:rsid w:val="00A21258"/>
    <w:rsid w:val="00A21265"/>
    <w:rsid w:val="00A2131A"/>
    <w:rsid w:val="00A2134B"/>
    <w:rsid w:val="00A21447"/>
    <w:rsid w:val="00A21457"/>
    <w:rsid w:val="00A216B0"/>
    <w:rsid w:val="00A2174C"/>
    <w:rsid w:val="00A217EC"/>
    <w:rsid w:val="00A21B73"/>
    <w:rsid w:val="00A21B95"/>
    <w:rsid w:val="00A21BEB"/>
    <w:rsid w:val="00A21C04"/>
    <w:rsid w:val="00A21CE6"/>
    <w:rsid w:val="00A21E63"/>
    <w:rsid w:val="00A21FE6"/>
    <w:rsid w:val="00A22056"/>
    <w:rsid w:val="00A222DC"/>
    <w:rsid w:val="00A22361"/>
    <w:rsid w:val="00A2237D"/>
    <w:rsid w:val="00A22443"/>
    <w:rsid w:val="00A22604"/>
    <w:rsid w:val="00A2267F"/>
    <w:rsid w:val="00A226C6"/>
    <w:rsid w:val="00A22793"/>
    <w:rsid w:val="00A22855"/>
    <w:rsid w:val="00A228A0"/>
    <w:rsid w:val="00A22963"/>
    <w:rsid w:val="00A22968"/>
    <w:rsid w:val="00A22984"/>
    <w:rsid w:val="00A22AD6"/>
    <w:rsid w:val="00A22B15"/>
    <w:rsid w:val="00A22C4E"/>
    <w:rsid w:val="00A22C63"/>
    <w:rsid w:val="00A22D2A"/>
    <w:rsid w:val="00A22E6C"/>
    <w:rsid w:val="00A22F22"/>
    <w:rsid w:val="00A232C7"/>
    <w:rsid w:val="00A232FF"/>
    <w:rsid w:val="00A23407"/>
    <w:rsid w:val="00A234E8"/>
    <w:rsid w:val="00A23554"/>
    <w:rsid w:val="00A236A4"/>
    <w:rsid w:val="00A237FD"/>
    <w:rsid w:val="00A238B7"/>
    <w:rsid w:val="00A23967"/>
    <w:rsid w:val="00A23A21"/>
    <w:rsid w:val="00A23B91"/>
    <w:rsid w:val="00A23F49"/>
    <w:rsid w:val="00A241DE"/>
    <w:rsid w:val="00A241F4"/>
    <w:rsid w:val="00A242A8"/>
    <w:rsid w:val="00A242DE"/>
    <w:rsid w:val="00A243AF"/>
    <w:rsid w:val="00A24612"/>
    <w:rsid w:val="00A247B3"/>
    <w:rsid w:val="00A247FB"/>
    <w:rsid w:val="00A249FB"/>
    <w:rsid w:val="00A24A56"/>
    <w:rsid w:val="00A24AFE"/>
    <w:rsid w:val="00A24B7F"/>
    <w:rsid w:val="00A24C7E"/>
    <w:rsid w:val="00A24CD2"/>
    <w:rsid w:val="00A24D6F"/>
    <w:rsid w:val="00A24D8F"/>
    <w:rsid w:val="00A24FC7"/>
    <w:rsid w:val="00A251DD"/>
    <w:rsid w:val="00A2533C"/>
    <w:rsid w:val="00A256C7"/>
    <w:rsid w:val="00A25975"/>
    <w:rsid w:val="00A25F92"/>
    <w:rsid w:val="00A2611E"/>
    <w:rsid w:val="00A261D4"/>
    <w:rsid w:val="00A2634F"/>
    <w:rsid w:val="00A265AD"/>
    <w:rsid w:val="00A2675E"/>
    <w:rsid w:val="00A267E7"/>
    <w:rsid w:val="00A26802"/>
    <w:rsid w:val="00A268D8"/>
    <w:rsid w:val="00A268DB"/>
    <w:rsid w:val="00A26A1E"/>
    <w:rsid w:val="00A26AFB"/>
    <w:rsid w:val="00A26B33"/>
    <w:rsid w:val="00A26BC8"/>
    <w:rsid w:val="00A26D61"/>
    <w:rsid w:val="00A26F6E"/>
    <w:rsid w:val="00A27062"/>
    <w:rsid w:val="00A270B0"/>
    <w:rsid w:val="00A271DD"/>
    <w:rsid w:val="00A272AF"/>
    <w:rsid w:val="00A27419"/>
    <w:rsid w:val="00A274A0"/>
    <w:rsid w:val="00A274FF"/>
    <w:rsid w:val="00A27541"/>
    <w:rsid w:val="00A279A1"/>
    <w:rsid w:val="00A27A6A"/>
    <w:rsid w:val="00A27A6D"/>
    <w:rsid w:val="00A27AB4"/>
    <w:rsid w:val="00A27AB5"/>
    <w:rsid w:val="00A27C81"/>
    <w:rsid w:val="00A27DE8"/>
    <w:rsid w:val="00A27F37"/>
    <w:rsid w:val="00A30189"/>
    <w:rsid w:val="00A301F2"/>
    <w:rsid w:val="00A30218"/>
    <w:rsid w:val="00A30294"/>
    <w:rsid w:val="00A306C3"/>
    <w:rsid w:val="00A3076C"/>
    <w:rsid w:val="00A309BF"/>
    <w:rsid w:val="00A30A83"/>
    <w:rsid w:val="00A30A84"/>
    <w:rsid w:val="00A30C36"/>
    <w:rsid w:val="00A30D70"/>
    <w:rsid w:val="00A30EDA"/>
    <w:rsid w:val="00A31113"/>
    <w:rsid w:val="00A31389"/>
    <w:rsid w:val="00A31458"/>
    <w:rsid w:val="00A31669"/>
    <w:rsid w:val="00A3186A"/>
    <w:rsid w:val="00A31B0C"/>
    <w:rsid w:val="00A31C16"/>
    <w:rsid w:val="00A31EF9"/>
    <w:rsid w:val="00A31F78"/>
    <w:rsid w:val="00A31F84"/>
    <w:rsid w:val="00A32258"/>
    <w:rsid w:val="00A32309"/>
    <w:rsid w:val="00A32575"/>
    <w:rsid w:val="00A32656"/>
    <w:rsid w:val="00A327A5"/>
    <w:rsid w:val="00A327F1"/>
    <w:rsid w:val="00A328AF"/>
    <w:rsid w:val="00A32A8B"/>
    <w:rsid w:val="00A32BC4"/>
    <w:rsid w:val="00A32E9B"/>
    <w:rsid w:val="00A3311F"/>
    <w:rsid w:val="00A33136"/>
    <w:rsid w:val="00A33238"/>
    <w:rsid w:val="00A33333"/>
    <w:rsid w:val="00A33339"/>
    <w:rsid w:val="00A3336F"/>
    <w:rsid w:val="00A33958"/>
    <w:rsid w:val="00A33A95"/>
    <w:rsid w:val="00A33AEC"/>
    <w:rsid w:val="00A33BA1"/>
    <w:rsid w:val="00A33DD1"/>
    <w:rsid w:val="00A33DF1"/>
    <w:rsid w:val="00A33E0A"/>
    <w:rsid w:val="00A33E40"/>
    <w:rsid w:val="00A33E78"/>
    <w:rsid w:val="00A33F11"/>
    <w:rsid w:val="00A33FBA"/>
    <w:rsid w:val="00A340B7"/>
    <w:rsid w:val="00A34333"/>
    <w:rsid w:val="00A34369"/>
    <w:rsid w:val="00A344F4"/>
    <w:rsid w:val="00A349D9"/>
    <w:rsid w:val="00A34B23"/>
    <w:rsid w:val="00A34B74"/>
    <w:rsid w:val="00A34C54"/>
    <w:rsid w:val="00A34C76"/>
    <w:rsid w:val="00A34CB7"/>
    <w:rsid w:val="00A34DA1"/>
    <w:rsid w:val="00A34EDF"/>
    <w:rsid w:val="00A34F94"/>
    <w:rsid w:val="00A34FCD"/>
    <w:rsid w:val="00A351BD"/>
    <w:rsid w:val="00A351DF"/>
    <w:rsid w:val="00A351EF"/>
    <w:rsid w:val="00A352DD"/>
    <w:rsid w:val="00A35426"/>
    <w:rsid w:val="00A35441"/>
    <w:rsid w:val="00A354D0"/>
    <w:rsid w:val="00A35605"/>
    <w:rsid w:val="00A3561A"/>
    <w:rsid w:val="00A356C9"/>
    <w:rsid w:val="00A356F8"/>
    <w:rsid w:val="00A35813"/>
    <w:rsid w:val="00A35ACA"/>
    <w:rsid w:val="00A35D21"/>
    <w:rsid w:val="00A361C8"/>
    <w:rsid w:val="00A361D4"/>
    <w:rsid w:val="00A361E1"/>
    <w:rsid w:val="00A3629F"/>
    <w:rsid w:val="00A3631A"/>
    <w:rsid w:val="00A3652A"/>
    <w:rsid w:val="00A36651"/>
    <w:rsid w:val="00A367E0"/>
    <w:rsid w:val="00A368AD"/>
    <w:rsid w:val="00A36967"/>
    <w:rsid w:val="00A369EC"/>
    <w:rsid w:val="00A369F3"/>
    <w:rsid w:val="00A36CF5"/>
    <w:rsid w:val="00A36DC5"/>
    <w:rsid w:val="00A36FC5"/>
    <w:rsid w:val="00A3715D"/>
    <w:rsid w:val="00A37305"/>
    <w:rsid w:val="00A37554"/>
    <w:rsid w:val="00A375AB"/>
    <w:rsid w:val="00A375CB"/>
    <w:rsid w:val="00A37672"/>
    <w:rsid w:val="00A37757"/>
    <w:rsid w:val="00A377B0"/>
    <w:rsid w:val="00A377EF"/>
    <w:rsid w:val="00A37856"/>
    <w:rsid w:val="00A37894"/>
    <w:rsid w:val="00A3790A"/>
    <w:rsid w:val="00A3794A"/>
    <w:rsid w:val="00A37BBF"/>
    <w:rsid w:val="00A37CB2"/>
    <w:rsid w:val="00A37E9F"/>
    <w:rsid w:val="00A37FBD"/>
    <w:rsid w:val="00A400BD"/>
    <w:rsid w:val="00A40147"/>
    <w:rsid w:val="00A40151"/>
    <w:rsid w:val="00A4020A"/>
    <w:rsid w:val="00A4025B"/>
    <w:rsid w:val="00A402A4"/>
    <w:rsid w:val="00A4049D"/>
    <w:rsid w:val="00A40568"/>
    <w:rsid w:val="00A4076E"/>
    <w:rsid w:val="00A4087B"/>
    <w:rsid w:val="00A408C0"/>
    <w:rsid w:val="00A40A01"/>
    <w:rsid w:val="00A40AFC"/>
    <w:rsid w:val="00A40BA4"/>
    <w:rsid w:val="00A40E3E"/>
    <w:rsid w:val="00A40E7F"/>
    <w:rsid w:val="00A40F06"/>
    <w:rsid w:val="00A411D5"/>
    <w:rsid w:val="00A41385"/>
    <w:rsid w:val="00A414E0"/>
    <w:rsid w:val="00A41526"/>
    <w:rsid w:val="00A4164F"/>
    <w:rsid w:val="00A417F7"/>
    <w:rsid w:val="00A41889"/>
    <w:rsid w:val="00A41A73"/>
    <w:rsid w:val="00A41AB1"/>
    <w:rsid w:val="00A41BA3"/>
    <w:rsid w:val="00A41BD1"/>
    <w:rsid w:val="00A41CE0"/>
    <w:rsid w:val="00A41D32"/>
    <w:rsid w:val="00A41E35"/>
    <w:rsid w:val="00A41E80"/>
    <w:rsid w:val="00A41EE2"/>
    <w:rsid w:val="00A41EEB"/>
    <w:rsid w:val="00A42047"/>
    <w:rsid w:val="00A42162"/>
    <w:rsid w:val="00A4225F"/>
    <w:rsid w:val="00A4230F"/>
    <w:rsid w:val="00A42434"/>
    <w:rsid w:val="00A42478"/>
    <w:rsid w:val="00A424A5"/>
    <w:rsid w:val="00A4263B"/>
    <w:rsid w:val="00A4270B"/>
    <w:rsid w:val="00A427AB"/>
    <w:rsid w:val="00A427B4"/>
    <w:rsid w:val="00A428BC"/>
    <w:rsid w:val="00A42A49"/>
    <w:rsid w:val="00A42B00"/>
    <w:rsid w:val="00A42B93"/>
    <w:rsid w:val="00A42CA8"/>
    <w:rsid w:val="00A42D2F"/>
    <w:rsid w:val="00A42E31"/>
    <w:rsid w:val="00A42F1F"/>
    <w:rsid w:val="00A42F73"/>
    <w:rsid w:val="00A43132"/>
    <w:rsid w:val="00A4318A"/>
    <w:rsid w:val="00A432F0"/>
    <w:rsid w:val="00A43753"/>
    <w:rsid w:val="00A43858"/>
    <w:rsid w:val="00A43A9D"/>
    <w:rsid w:val="00A43B27"/>
    <w:rsid w:val="00A43B3E"/>
    <w:rsid w:val="00A43B51"/>
    <w:rsid w:val="00A43DB7"/>
    <w:rsid w:val="00A43DC2"/>
    <w:rsid w:val="00A43E58"/>
    <w:rsid w:val="00A43F9E"/>
    <w:rsid w:val="00A440DB"/>
    <w:rsid w:val="00A440F4"/>
    <w:rsid w:val="00A443D6"/>
    <w:rsid w:val="00A444BE"/>
    <w:rsid w:val="00A445E0"/>
    <w:rsid w:val="00A4492B"/>
    <w:rsid w:val="00A44A32"/>
    <w:rsid w:val="00A44C1F"/>
    <w:rsid w:val="00A44CE1"/>
    <w:rsid w:val="00A44D05"/>
    <w:rsid w:val="00A44EE6"/>
    <w:rsid w:val="00A44F06"/>
    <w:rsid w:val="00A45048"/>
    <w:rsid w:val="00A4509C"/>
    <w:rsid w:val="00A45261"/>
    <w:rsid w:val="00A45343"/>
    <w:rsid w:val="00A45400"/>
    <w:rsid w:val="00A454A8"/>
    <w:rsid w:val="00A454DF"/>
    <w:rsid w:val="00A454F5"/>
    <w:rsid w:val="00A455F2"/>
    <w:rsid w:val="00A4561E"/>
    <w:rsid w:val="00A4562E"/>
    <w:rsid w:val="00A456B1"/>
    <w:rsid w:val="00A458BA"/>
    <w:rsid w:val="00A45991"/>
    <w:rsid w:val="00A45A25"/>
    <w:rsid w:val="00A45CCB"/>
    <w:rsid w:val="00A45CCF"/>
    <w:rsid w:val="00A45D14"/>
    <w:rsid w:val="00A45ECA"/>
    <w:rsid w:val="00A45F5C"/>
    <w:rsid w:val="00A45FE1"/>
    <w:rsid w:val="00A46157"/>
    <w:rsid w:val="00A4618E"/>
    <w:rsid w:val="00A461EB"/>
    <w:rsid w:val="00A4649B"/>
    <w:rsid w:val="00A4663C"/>
    <w:rsid w:val="00A4669C"/>
    <w:rsid w:val="00A4677A"/>
    <w:rsid w:val="00A467C2"/>
    <w:rsid w:val="00A467EE"/>
    <w:rsid w:val="00A46850"/>
    <w:rsid w:val="00A46878"/>
    <w:rsid w:val="00A46CCC"/>
    <w:rsid w:val="00A46DAD"/>
    <w:rsid w:val="00A46EBC"/>
    <w:rsid w:val="00A4701E"/>
    <w:rsid w:val="00A470B5"/>
    <w:rsid w:val="00A4739D"/>
    <w:rsid w:val="00A473AF"/>
    <w:rsid w:val="00A47492"/>
    <w:rsid w:val="00A475F9"/>
    <w:rsid w:val="00A47601"/>
    <w:rsid w:val="00A4760E"/>
    <w:rsid w:val="00A47610"/>
    <w:rsid w:val="00A47737"/>
    <w:rsid w:val="00A47899"/>
    <w:rsid w:val="00A47A1C"/>
    <w:rsid w:val="00A47A87"/>
    <w:rsid w:val="00A47A9B"/>
    <w:rsid w:val="00A47ABA"/>
    <w:rsid w:val="00A47B17"/>
    <w:rsid w:val="00A47B37"/>
    <w:rsid w:val="00A47BE5"/>
    <w:rsid w:val="00A501E1"/>
    <w:rsid w:val="00A50669"/>
    <w:rsid w:val="00A506BA"/>
    <w:rsid w:val="00A50862"/>
    <w:rsid w:val="00A508A1"/>
    <w:rsid w:val="00A50A1F"/>
    <w:rsid w:val="00A50D56"/>
    <w:rsid w:val="00A50EFF"/>
    <w:rsid w:val="00A50FA6"/>
    <w:rsid w:val="00A51117"/>
    <w:rsid w:val="00A51159"/>
    <w:rsid w:val="00A51440"/>
    <w:rsid w:val="00A514A1"/>
    <w:rsid w:val="00A51514"/>
    <w:rsid w:val="00A5162E"/>
    <w:rsid w:val="00A5191D"/>
    <w:rsid w:val="00A51996"/>
    <w:rsid w:val="00A51A05"/>
    <w:rsid w:val="00A51AFB"/>
    <w:rsid w:val="00A51CD5"/>
    <w:rsid w:val="00A51D72"/>
    <w:rsid w:val="00A51DAC"/>
    <w:rsid w:val="00A51EE4"/>
    <w:rsid w:val="00A5201E"/>
    <w:rsid w:val="00A520F5"/>
    <w:rsid w:val="00A524CA"/>
    <w:rsid w:val="00A52594"/>
    <w:rsid w:val="00A525D0"/>
    <w:rsid w:val="00A526FA"/>
    <w:rsid w:val="00A528D0"/>
    <w:rsid w:val="00A52BC7"/>
    <w:rsid w:val="00A52D7E"/>
    <w:rsid w:val="00A530AD"/>
    <w:rsid w:val="00A533FD"/>
    <w:rsid w:val="00A534E6"/>
    <w:rsid w:val="00A534FF"/>
    <w:rsid w:val="00A53511"/>
    <w:rsid w:val="00A53518"/>
    <w:rsid w:val="00A53780"/>
    <w:rsid w:val="00A53AA8"/>
    <w:rsid w:val="00A53BA5"/>
    <w:rsid w:val="00A53C71"/>
    <w:rsid w:val="00A53C82"/>
    <w:rsid w:val="00A53E07"/>
    <w:rsid w:val="00A53EFB"/>
    <w:rsid w:val="00A53F36"/>
    <w:rsid w:val="00A53F3E"/>
    <w:rsid w:val="00A54264"/>
    <w:rsid w:val="00A542AB"/>
    <w:rsid w:val="00A544C0"/>
    <w:rsid w:val="00A5459E"/>
    <w:rsid w:val="00A548DA"/>
    <w:rsid w:val="00A54945"/>
    <w:rsid w:val="00A549BC"/>
    <w:rsid w:val="00A54A17"/>
    <w:rsid w:val="00A54B5E"/>
    <w:rsid w:val="00A54BBF"/>
    <w:rsid w:val="00A54C0A"/>
    <w:rsid w:val="00A54D20"/>
    <w:rsid w:val="00A54D28"/>
    <w:rsid w:val="00A54D65"/>
    <w:rsid w:val="00A54D96"/>
    <w:rsid w:val="00A54E2F"/>
    <w:rsid w:val="00A54F49"/>
    <w:rsid w:val="00A55039"/>
    <w:rsid w:val="00A550D0"/>
    <w:rsid w:val="00A55220"/>
    <w:rsid w:val="00A5526F"/>
    <w:rsid w:val="00A55317"/>
    <w:rsid w:val="00A5539E"/>
    <w:rsid w:val="00A554D5"/>
    <w:rsid w:val="00A555F7"/>
    <w:rsid w:val="00A55722"/>
    <w:rsid w:val="00A557BB"/>
    <w:rsid w:val="00A55837"/>
    <w:rsid w:val="00A5599A"/>
    <w:rsid w:val="00A55A7F"/>
    <w:rsid w:val="00A55AB0"/>
    <w:rsid w:val="00A55E0C"/>
    <w:rsid w:val="00A55FAC"/>
    <w:rsid w:val="00A56114"/>
    <w:rsid w:val="00A561D1"/>
    <w:rsid w:val="00A5641F"/>
    <w:rsid w:val="00A56471"/>
    <w:rsid w:val="00A564B9"/>
    <w:rsid w:val="00A5679E"/>
    <w:rsid w:val="00A567DB"/>
    <w:rsid w:val="00A5684C"/>
    <w:rsid w:val="00A56A5A"/>
    <w:rsid w:val="00A56BCA"/>
    <w:rsid w:val="00A56CAF"/>
    <w:rsid w:val="00A56CB5"/>
    <w:rsid w:val="00A56CB8"/>
    <w:rsid w:val="00A56DB5"/>
    <w:rsid w:val="00A56E4D"/>
    <w:rsid w:val="00A56EEE"/>
    <w:rsid w:val="00A56FA1"/>
    <w:rsid w:val="00A5705C"/>
    <w:rsid w:val="00A5707B"/>
    <w:rsid w:val="00A57110"/>
    <w:rsid w:val="00A57241"/>
    <w:rsid w:val="00A576E6"/>
    <w:rsid w:val="00A5777E"/>
    <w:rsid w:val="00A579EB"/>
    <w:rsid w:val="00A57A57"/>
    <w:rsid w:val="00A57ACC"/>
    <w:rsid w:val="00A57CB1"/>
    <w:rsid w:val="00A57CBF"/>
    <w:rsid w:val="00A57D8A"/>
    <w:rsid w:val="00A57E75"/>
    <w:rsid w:val="00A60029"/>
    <w:rsid w:val="00A600E8"/>
    <w:rsid w:val="00A6022F"/>
    <w:rsid w:val="00A60517"/>
    <w:rsid w:val="00A605BB"/>
    <w:rsid w:val="00A6066C"/>
    <w:rsid w:val="00A60686"/>
    <w:rsid w:val="00A60701"/>
    <w:rsid w:val="00A607AC"/>
    <w:rsid w:val="00A60889"/>
    <w:rsid w:val="00A60A1A"/>
    <w:rsid w:val="00A60A66"/>
    <w:rsid w:val="00A60BE0"/>
    <w:rsid w:val="00A60C95"/>
    <w:rsid w:val="00A60E34"/>
    <w:rsid w:val="00A613D9"/>
    <w:rsid w:val="00A6154E"/>
    <w:rsid w:val="00A61746"/>
    <w:rsid w:val="00A61A06"/>
    <w:rsid w:val="00A61A69"/>
    <w:rsid w:val="00A61ACD"/>
    <w:rsid w:val="00A61C90"/>
    <w:rsid w:val="00A61E18"/>
    <w:rsid w:val="00A62113"/>
    <w:rsid w:val="00A622AC"/>
    <w:rsid w:val="00A622EF"/>
    <w:rsid w:val="00A623FE"/>
    <w:rsid w:val="00A62489"/>
    <w:rsid w:val="00A624E3"/>
    <w:rsid w:val="00A626D1"/>
    <w:rsid w:val="00A6292E"/>
    <w:rsid w:val="00A62983"/>
    <w:rsid w:val="00A62C40"/>
    <w:rsid w:val="00A62F8E"/>
    <w:rsid w:val="00A6319E"/>
    <w:rsid w:val="00A6338C"/>
    <w:rsid w:val="00A633F5"/>
    <w:rsid w:val="00A63461"/>
    <w:rsid w:val="00A63666"/>
    <w:rsid w:val="00A63702"/>
    <w:rsid w:val="00A63763"/>
    <w:rsid w:val="00A6377E"/>
    <w:rsid w:val="00A637D0"/>
    <w:rsid w:val="00A63801"/>
    <w:rsid w:val="00A638CD"/>
    <w:rsid w:val="00A638E6"/>
    <w:rsid w:val="00A63A78"/>
    <w:rsid w:val="00A63A8B"/>
    <w:rsid w:val="00A63BC6"/>
    <w:rsid w:val="00A63C69"/>
    <w:rsid w:val="00A63CB0"/>
    <w:rsid w:val="00A63CC0"/>
    <w:rsid w:val="00A63D83"/>
    <w:rsid w:val="00A63E6B"/>
    <w:rsid w:val="00A63EE5"/>
    <w:rsid w:val="00A641ED"/>
    <w:rsid w:val="00A643E2"/>
    <w:rsid w:val="00A64516"/>
    <w:rsid w:val="00A6468D"/>
    <w:rsid w:val="00A646A8"/>
    <w:rsid w:val="00A6484F"/>
    <w:rsid w:val="00A648D8"/>
    <w:rsid w:val="00A64942"/>
    <w:rsid w:val="00A64992"/>
    <w:rsid w:val="00A64A46"/>
    <w:rsid w:val="00A64A9D"/>
    <w:rsid w:val="00A64C5C"/>
    <w:rsid w:val="00A64EFE"/>
    <w:rsid w:val="00A651F7"/>
    <w:rsid w:val="00A6543F"/>
    <w:rsid w:val="00A6553B"/>
    <w:rsid w:val="00A6563A"/>
    <w:rsid w:val="00A6563E"/>
    <w:rsid w:val="00A659A2"/>
    <w:rsid w:val="00A659E1"/>
    <w:rsid w:val="00A65C0C"/>
    <w:rsid w:val="00A65C92"/>
    <w:rsid w:val="00A65CB5"/>
    <w:rsid w:val="00A65D50"/>
    <w:rsid w:val="00A65DA9"/>
    <w:rsid w:val="00A65DC1"/>
    <w:rsid w:val="00A65E83"/>
    <w:rsid w:val="00A65EE2"/>
    <w:rsid w:val="00A6626B"/>
    <w:rsid w:val="00A66391"/>
    <w:rsid w:val="00A668BC"/>
    <w:rsid w:val="00A66A47"/>
    <w:rsid w:val="00A66D0D"/>
    <w:rsid w:val="00A66D85"/>
    <w:rsid w:val="00A66E66"/>
    <w:rsid w:val="00A66F18"/>
    <w:rsid w:val="00A6715B"/>
    <w:rsid w:val="00A674AA"/>
    <w:rsid w:val="00A67532"/>
    <w:rsid w:val="00A6765C"/>
    <w:rsid w:val="00A676CC"/>
    <w:rsid w:val="00A6771D"/>
    <w:rsid w:val="00A6775E"/>
    <w:rsid w:val="00A678FF"/>
    <w:rsid w:val="00A67A01"/>
    <w:rsid w:val="00A67A67"/>
    <w:rsid w:val="00A67AC7"/>
    <w:rsid w:val="00A67B9F"/>
    <w:rsid w:val="00A67D47"/>
    <w:rsid w:val="00A67E42"/>
    <w:rsid w:val="00A67F75"/>
    <w:rsid w:val="00A70019"/>
    <w:rsid w:val="00A70211"/>
    <w:rsid w:val="00A70988"/>
    <w:rsid w:val="00A709A2"/>
    <w:rsid w:val="00A70E3A"/>
    <w:rsid w:val="00A70FC3"/>
    <w:rsid w:val="00A710DC"/>
    <w:rsid w:val="00A7122C"/>
    <w:rsid w:val="00A7124E"/>
    <w:rsid w:val="00A712B0"/>
    <w:rsid w:val="00A712F7"/>
    <w:rsid w:val="00A71309"/>
    <w:rsid w:val="00A71337"/>
    <w:rsid w:val="00A713A2"/>
    <w:rsid w:val="00A714B6"/>
    <w:rsid w:val="00A7152E"/>
    <w:rsid w:val="00A71857"/>
    <w:rsid w:val="00A71C9C"/>
    <w:rsid w:val="00A71DA0"/>
    <w:rsid w:val="00A71F0D"/>
    <w:rsid w:val="00A72084"/>
    <w:rsid w:val="00A72121"/>
    <w:rsid w:val="00A72125"/>
    <w:rsid w:val="00A72134"/>
    <w:rsid w:val="00A722CB"/>
    <w:rsid w:val="00A722D2"/>
    <w:rsid w:val="00A724B7"/>
    <w:rsid w:val="00A72627"/>
    <w:rsid w:val="00A7272D"/>
    <w:rsid w:val="00A7281A"/>
    <w:rsid w:val="00A7287B"/>
    <w:rsid w:val="00A729CB"/>
    <w:rsid w:val="00A72AA1"/>
    <w:rsid w:val="00A72C4D"/>
    <w:rsid w:val="00A72E14"/>
    <w:rsid w:val="00A72EDE"/>
    <w:rsid w:val="00A73404"/>
    <w:rsid w:val="00A73649"/>
    <w:rsid w:val="00A73712"/>
    <w:rsid w:val="00A7383A"/>
    <w:rsid w:val="00A738D8"/>
    <w:rsid w:val="00A739EA"/>
    <w:rsid w:val="00A73B8A"/>
    <w:rsid w:val="00A73CB1"/>
    <w:rsid w:val="00A7450E"/>
    <w:rsid w:val="00A747A7"/>
    <w:rsid w:val="00A74901"/>
    <w:rsid w:val="00A7498F"/>
    <w:rsid w:val="00A749E2"/>
    <w:rsid w:val="00A74A66"/>
    <w:rsid w:val="00A74A99"/>
    <w:rsid w:val="00A74ADB"/>
    <w:rsid w:val="00A74BBA"/>
    <w:rsid w:val="00A74D07"/>
    <w:rsid w:val="00A74D33"/>
    <w:rsid w:val="00A74F4A"/>
    <w:rsid w:val="00A74FE7"/>
    <w:rsid w:val="00A750AC"/>
    <w:rsid w:val="00A75202"/>
    <w:rsid w:val="00A753E8"/>
    <w:rsid w:val="00A75406"/>
    <w:rsid w:val="00A754E0"/>
    <w:rsid w:val="00A755E9"/>
    <w:rsid w:val="00A756B3"/>
    <w:rsid w:val="00A75760"/>
    <w:rsid w:val="00A75916"/>
    <w:rsid w:val="00A759B6"/>
    <w:rsid w:val="00A75A23"/>
    <w:rsid w:val="00A75A46"/>
    <w:rsid w:val="00A75AB4"/>
    <w:rsid w:val="00A75C79"/>
    <w:rsid w:val="00A75F54"/>
    <w:rsid w:val="00A760FD"/>
    <w:rsid w:val="00A7617C"/>
    <w:rsid w:val="00A76215"/>
    <w:rsid w:val="00A765A3"/>
    <w:rsid w:val="00A765A4"/>
    <w:rsid w:val="00A76823"/>
    <w:rsid w:val="00A76843"/>
    <w:rsid w:val="00A769C3"/>
    <w:rsid w:val="00A76C23"/>
    <w:rsid w:val="00A76C89"/>
    <w:rsid w:val="00A76D83"/>
    <w:rsid w:val="00A76E48"/>
    <w:rsid w:val="00A77110"/>
    <w:rsid w:val="00A77131"/>
    <w:rsid w:val="00A771D0"/>
    <w:rsid w:val="00A77354"/>
    <w:rsid w:val="00A77378"/>
    <w:rsid w:val="00A77478"/>
    <w:rsid w:val="00A7758C"/>
    <w:rsid w:val="00A775B6"/>
    <w:rsid w:val="00A776D0"/>
    <w:rsid w:val="00A779A0"/>
    <w:rsid w:val="00A77BD3"/>
    <w:rsid w:val="00A77C27"/>
    <w:rsid w:val="00A77E87"/>
    <w:rsid w:val="00A801B8"/>
    <w:rsid w:val="00A80413"/>
    <w:rsid w:val="00A80459"/>
    <w:rsid w:val="00A8049F"/>
    <w:rsid w:val="00A805F2"/>
    <w:rsid w:val="00A808D0"/>
    <w:rsid w:val="00A80B05"/>
    <w:rsid w:val="00A80C2C"/>
    <w:rsid w:val="00A80D60"/>
    <w:rsid w:val="00A80E26"/>
    <w:rsid w:val="00A80F9E"/>
    <w:rsid w:val="00A8109A"/>
    <w:rsid w:val="00A815B1"/>
    <w:rsid w:val="00A815D7"/>
    <w:rsid w:val="00A816C9"/>
    <w:rsid w:val="00A816DD"/>
    <w:rsid w:val="00A8180F"/>
    <w:rsid w:val="00A81920"/>
    <w:rsid w:val="00A81957"/>
    <w:rsid w:val="00A81A75"/>
    <w:rsid w:val="00A81B64"/>
    <w:rsid w:val="00A81C48"/>
    <w:rsid w:val="00A81D81"/>
    <w:rsid w:val="00A81DED"/>
    <w:rsid w:val="00A81F85"/>
    <w:rsid w:val="00A82054"/>
    <w:rsid w:val="00A822A8"/>
    <w:rsid w:val="00A82354"/>
    <w:rsid w:val="00A8262F"/>
    <w:rsid w:val="00A8264E"/>
    <w:rsid w:val="00A82656"/>
    <w:rsid w:val="00A8272B"/>
    <w:rsid w:val="00A82810"/>
    <w:rsid w:val="00A82A5D"/>
    <w:rsid w:val="00A82B61"/>
    <w:rsid w:val="00A82B78"/>
    <w:rsid w:val="00A82BAB"/>
    <w:rsid w:val="00A82C1A"/>
    <w:rsid w:val="00A82C21"/>
    <w:rsid w:val="00A82C5B"/>
    <w:rsid w:val="00A82D00"/>
    <w:rsid w:val="00A82D46"/>
    <w:rsid w:val="00A830A9"/>
    <w:rsid w:val="00A83152"/>
    <w:rsid w:val="00A83435"/>
    <w:rsid w:val="00A8345F"/>
    <w:rsid w:val="00A8346A"/>
    <w:rsid w:val="00A834EA"/>
    <w:rsid w:val="00A8378A"/>
    <w:rsid w:val="00A837C3"/>
    <w:rsid w:val="00A838B1"/>
    <w:rsid w:val="00A838E4"/>
    <w:rsid w:val="00A83A01"/>
    <w:rsid w:val="00A83B79"/>
    <w:rsid w:val="00A83D88"/>
    <w:rsid w:val="00A83FA0"/>
    <w:rsid w:val="00A84168"/>
    <w:rsid w:val="00A8419D"/>
    <w:rsid w:val="00A8441D"/>
    <w:rsid w:val="00A84453"/>
    <w:rsid w:val="00A845DC"/>
    <w:rsid w:val="00A84684"/>
    <w:rsid w:val="00A8472A"/>
    <w:rsid w:val="00A847AB"/>
    <w:rsid w:val="00A8493C"/>
    <w:rsid w:val="00A84A40"/>
    <w:rsid w:val="00A84B3D"/>
    <w:rsid w:val="00A84B61"/>
    <w:rsid w:val="00A84BF7"/>
    <w:rsid w:val="00A84D0D"/>
    <w:rsid w:val="00A84DAD"/>
    <w:rsid w:val="00A84E91"/>
    <w:rsid w:val="00A850BC"/>
    <w:rsid w:val="00A852B8"/>
    <w:rsid w:val="00A8541D"/>
    <w:rsid w:val="00A85445"/>
    <w:rsid w:val="00A85454"/>
    <w:rsid w:val="00A85719"/>
    <w:rsid w:val="00A85841"/>
    <w:rsid w:val="00A858CB"/>
    <w:rsid w:val="00A85949"/>
    <w:rsid w:val="00A85DA3"/>
    <w:rsid w:val="00A85E6E"/>
    <w:rsid w:val="00A85FCC"/>
    <w:rsid w:val="00A862EC"/>
    <w:rsid w:val="00A864BD"/>
    <w:rsid w:val="00A86651"/>
    <w:rsid w:val="00A86737"/>
    <w:rsid w:val="00A86865"/>
    <w:rsid w:val="00A86881"/>
    <w:rsid w:val="00A86A45"/>
    <w:rsid w:val="00A86A4C"/>
    <w:rsid w:val="00A86E3C"/>
    <w:rsid w:val="00A86E8A"/>
    <w:rsid w:val="00A87604"/>
    <w:rsid w:val="00A876DA"/>
    <w:rsid w:val="00A87740"/>
    <w:rsid w:val="00A877CB"/>
    <w:rsid w:val="00A877EA"/>
    <w:rsid w:val="00A87A1A"/>
    <w:rsid w:val="00A87BA2"/>
    <w:rsid w:val="00A87CBA"/>
    <w:rsid w:val="00A87D3F"/>
    <w:rsid w:val="00A87E0A"/>
    <w:rsid w:val="00A90085"/>
    <w:rsid w:val="00A900CC"/>
    <w:rsid w:val="00A90168"/>
    <w:rsid w:val="00A901AC"/>
    <w:rsid w:val="00A901C4"/>
    <w:rsid w:val="00A90345"/>
    <w:rsid w:val="00A90374"/>
    <w:rsid w:val="00A90407"/>
    <w:rsid w:val="00A906C8"/>
    <w:rsid w:val="00A90875"/>
    <w:rsid w:val="00A90958"/>
    <w:rsid w:val="00A9095F"/>
    <w:rsid w:val="00A90BDE"/>
    <w:rsid w:val="00A90D14"/>
    <w:rsid w:val="00A9100B"/>
    <w:rsid w:val="00A910CE"/>
    <w:rsid w:val="00A913F9"/>
    <w:rsid w:val="00A91814"/>
    <w:rsid w:val="00A91972"/>
    <w:rsid w:val="00A919E1"/>
    <w:rsid w:val="00A91B06"/>
    <w:rsid w:val="00A91C7E"/>
    <w:rsid w:val="00A91D33"/>
    <w:rsid w:val="00A91E5E"/>
    <w:rsid w:val="00A91F4E"/>
    <w:rsid w:val="00A92329"/>
    <w:rsid w:val="00A92338"/>
    <w:rsid w:val="00A92396"/>
    <w:rsid w:val="00A923DC"/>
    <w:rsid w:val="00A92472"/>
    <w:rsid w:val="00A92580"/>
    <w:rsid w:val="00A925BB"/>
    <w:rsid w:val="00A925CD"/>
    <w:rsid w:val="00A92765"/>
    <w:rsid w:val="00A928EA"/>
    <w:rsid w:val="00A92E59"/>
    <w:rsid w:val="00A93145"/>
    <w:rsid w:val="00A931C7"/>
    <w:rsid w:val="00A93231"/>
    <w:rsid w:val="00A93323"/>
    <w:rsid w:val="00A933C2"/>
    <w:rsid w:val="00A93516"/>
    <w:rsid w:val="00A93616"/>
    <w:rsid w:val="00A936DF"/>
    <w:rsid w:val="00A93AD0"/>
    <w:rsid w:val="00A93ED9"/>
    <w:rsid w:val="00A93F85"/>
    <w:rsid w:val="00A93FDE"/>
    <w:rsid w:val="00A93FE9"/>
    <w:rsid w:val="00A940DF"/>
    <w:rsid w:val="00A94129"/>
    <w:rsid w:val="00A944A5"/>
    <w:rsid w:val="00A94714"/>
    <w:rsid w:val="00A949AA"/>
    <w:rsid w:val="00A94B03"/>
    <w:rsid w:val="00A94C4F"/>
    <w:rsid w:val="00A94CE4"/>
    <w:rsid w:val="00A94DEC"/>
    <w:rsid w:val="00A94EE9"/>
    <w:rsid w:val="00A94EF3"/>
    <w:rsid w:val="00A95006"/>
    <w:rsid w:val="00A951B8"/>
    <w:rsid w:val="00A95207"/>
    <w:rsid w:val="00A9528D"/>
    <w:rsid w:val="00A95393"/>
    <w:rsid w:val="00A953BA"/>
    <w:rsid w:val="00A9554E"/>
    <w:rsid w:val="00A95553"/>
    <w:rsid w:val="00A955EE"/>
    <w:rsid w:val="00A9577F"/>
    <w:rsid w:val="00A9584F"/>
    <w:rsid w:val="00A95AEC"/>
    <w:rsid w:val="00A95B36"/>
    <w:rsid w:val="00A95B73"/>
    <w:rsid w:val="00A95CD5"/>
    <w:rsid w:val="00A95D19"/>
    <w:rsid w:val="00A95D9A"/>
    <w:rsid w:val="00A95E53"/>
    <w:rsid w:val="00A95E73"/>
    <w:rsid w:val="00A95E7D"/>
    <w:rsid w:val="00A960F9"/>
    <w:rsid w:val="00A96229"/>
    <w:rsid w:val="00A965D7"/>
    <w:rsid w:val="00A96819"/>
    <w:rsid w:val="00A9682F"/>
    <w:rsid w:val="00A96C8A"/>
    <w:rsid w:val="00A96CC4"/>
    <w:rsid w:val="00A96D00"/>
    <w:rsid w:val="00A96DD0"/>
    <w:rsid w:val="00A9701D"/>
    <w:rsid w:val="00A971D8"/>
    <w:rsid w:val="00A972EA"/>
    <w:rsid w:val="00A973EA"/>
    <w:rsid w:val="00A9762F"/>
    <w:rsid w:val="00A97645"/>
    <w:rsid w:val="00A977AD"/>
    <w:rsid w:val="00A977DA"/>
    <w:rsid w:val="00A9780F"/>
    <w:rsid w:val="00A978F6"/>
    <w:rsid w:val="00A97DE2"/>
    <w:rsid w:val="00A97EDE"/>
    <w:rsid w:val="00AA03F4"/>
    <w:rsid w:val="00AA063F"/>
    <w:rsid w:val="00AA0672"/>
    <w:rsid w:val="00AA06E3"/>
    <w:rsid w:val="00AA07F4"/>
    <w:rsid w:val="00AA09BE"/>
    <w:rsid w:val="00AA0A2A"/>
    <w:rsid w:val="00AA0AD3"/>
    <w:rsid w:val="00AA0C4E"/>
    <w:rsid w:val="00AA0DE9"/>
    <w:rsid w:val="00AA0E5A"/>
    <w:rsid w:val="00AA1083"/>
    <w:rsid w:val="00AA1121"/>
    <w:rsid w:val="00AA1344"/>
    <w:rsid w:val="00AA13A7"/>
    <w:rsid w:val="00AA1417"/>
    <w:rsid w:val="00AA148E"/>
    <w:rsid w:val="00AA151E"/>
    <w:rsid w:val="00AA15ED"/>
    <w:rsid w:val="00AA173A"/>
    <w:rsid w:val="00AA1795"/>
    <w:rsid w:val="00AA19B2"/>
    <w:rsid w:val="00AA1E0E"/>
    <w:rsid w:val="00AA1F2F"/>
    <w:rsid w:val="00AA21DE"/>
    <w:rsid w:val="00AA2246"/>
    <w:rsid w:val="00AA23BD"/>
    <w:rsid w:val="00AA241B"/>
    <w:rsid w:val="00AA2552"/>
    <w:rsid w:val="00AA2572"/>
    <w:rsid w:val="00AA25C7"/>
    <w:rsid w:val="00AA264C"/>
    <w:rsid w:val="00AA27AF"/>
    <w:rsid w:val="00AA27B1"/>
    <w:rsid w:val="00AA285F"/>
    <w:rsid w:val="00AA2972"/>
    <w:rsid w:val="00AA2BCD"/>
    <w:rsid w:val="00AA2C0A"/>
    <w:rsid w:val="00AA2CD2"/>
    <w:rsid w:val="00AA2CEB"/>
    <w:rsid w:val="00AA2DD0"/>
    <w:rsid w:val="00AA2F07"/>
    <w:rsid w:val="00AA2FBA"/>
    <w:rsid w:val="00AA30BB"/>
    <w:rsid w:val="00AA3292"/>
    <w:rsid w:val="00AA3325"/>
    <w:rsid w:val="00AA34E3"/>
    <w:rsid w:val="00AA3789"/>
    <w:rsid w:val="00AA38A6"/>
    <w:rsid w:val="00AA3B12"/>
    <w:rsid w:val="00AA3DFF"/>
    <w:rsid w:val="00AA3F21"/>
    <w:rsid w:val="00AA404C"/>
    <w:rsid w:val="00AA451D"/>
    <w:rsid w:val="00AA47ED"/>
    <w:rsid w:val="00AA4864"/>
    <w:rsid w:val="00AA4905"/>
    <w:rsid w:val="00AA494B"/>
    <w:rsid w:val="00AA495E"/>
    <w:rsid w:val="00AA49EC"/>
    <w:rsid w:val="00AA4A63"/>
    <w:rsid w:val="00AA4A78"/>
    <w:rsid w:val="00AA4C6B"/>
    <w:rsid w:val="00AA4D0C"/>
    <w:rsid w:val="00AA4FAE"/>
    <w:rsid w:val="00AA51D3"/>
    <w:rsid w:val="00AA5443"/>
    <w:rsid w:val="00AA549C"/>
    <w:rsid w:val="00AA54C9"/>
    <w:rsid w:val="00AA55E6"/>
    <w:rsid w:val="00AA580C"/>
    <w:rsid w:val="00AA5825"/>
    <w:rsid w:val="00AA582F"/>
    <w:rsid w:val="00AA595C"/>
    <w:rsid w:val="00AA5995"/>
    <w:rsid w:val="00AA59AA"/>
    <w:rsid w:val="00AA5B5E"/>
    <w:rsid w:val="00AA5B6F"/>
    <w:rsid w:val="00AA5F4D"/>
    <w:rsid w:val="00AA5FFB"/>
    <w:rsid w:val="00AA603C"/>
    <w:rsid w:val="00AA6516"/>
    <w:rsid w:val="00AA654D"/>
    <w:rsid w:val="00AA6592"/>
    <w:rsid w:val="00AA664B"/>
    <w:rsid w:val="00AA6660"/>
    <w:rsid w:val="00AA6758"/>
    <w:rsid w:val="00AA6AC7"/>
    <w:rsid w:val="00AA6D95"/>
    <w:rsid w:val="00AA6DA4"/>
    <w:rsid w:val="00AA70CF"/>
    <w:rsid w:val="00AA70ED"/>
    <w:rsid w:val="00AA715B"/>
    <w:rsid w:val="00AA7259"/>
    <w:rsid w:val="00AA75B8"/>
    <w:rsid w:val="00AA7A20"/>
    <w:rsid w:val="00AA7BBB"/>
    <w:rsid w:val="00AA7CFF"/>
    <w:rsid w:val="00AA7D27"/>
    <w:rsid w:val="00AA7D2B"/>
    <w:rsid w:val="00AA7E11"/>
    <w:rsid w:val="00AA7E6A"/>
    <w:rsid w:val="00AA7E8D"/>
    <w:rsid w:val="00AA7FF0"/>
    <w:rsid w:val="00AAD2F9"/>
    <w:rsid w:val="00AB018D"/>
    <w:rsid w:val="00AB01CE"/>
    <w:rsid w:val="00AB0352"/>
    <w:rsid w:val="00AB03B6"/>
    <w:rsid w:val="00AB05B5"/>
    <w:rsid w:val="00AB0602"/>
    <w:rsid w:val="00AB0674"/>
    <w:rsid w:val="00AB0832"/>
    <w:rsid w:val="00AB0847"/>
    <w:rsid w:val="00AB0870"/>
    <w:rsid w:val="00AB08D7"/>
    <w:rsid w:val="00AB0C9E"/>
    <w:rsid w:val="00AB0DF3"/>
    <w:rsid w:val="00AB0F94"/>
    <w:rsid w:val="00AB0FFF"/>
    <w:rsid w:val="00AB1124"/>
    <w:rsid w:val="00AB1147"/>
    <w:rsid w:val="00AB118A"/>
    <w:rsid w:val="00AB121A"/>
    <w:rsid w:val="00AB1240"/>
    <w:rsid w:val="00AB137E"/>
    <w:rsid w:val="00AB141E"/>
    <w:rsid w:val="00AB1482"/>
    <w:rsid w:val="00AB1735"/>
    <w:rsid w:val="00AB186D"/>
    <w:rsid w:val="00AB1B7E"/>
    <w:rsid w:val="00AB1C9F"/>
    <w:rsid w:val="00AB1D10"/>
    <w:rsid w:val="00AB1D65"/>
    <w:rsid w:val="00AB1DCE"/>
    <w:rsid w:val="00AB1FEF"/>
    <w:rsid w:val="00AB2067"/>
    <w:rsid w:val="00AB20C9"/>
    <w:rsid w:val="00AB2176"/>
    <w:rsid w:val="00AB22B9"/>
    <w:rsid w:val="00AB2329"/>
    <w:rsid w:val="00AB236F"/>
    <w:rsid w:val="00AB25DF"/>
    <w:rsid w:val="00AB26A3"/>
    <w:rsid w:val="00AB273D"/>
    <w:rsid w:val="00AB282B"/>
    <w:rsid w:val="00AB2894"/>
    <w:rsid w:val="00AB2976"/>
    <w:rsid w:val="00AB29A8"/>
    <w:rsid w:val="00AB2ABA"/>
    <w:rsid w:val="00AB2B9B"/>
    <w:rsid w:val="00AB2BEC"/>
    <w:rsid w:val="00AB2EE9"/>
    <w:rsid w:val="00AB2F4F"/>
    <w:rsid w:val="00AB3136"/>
    <w:rsid w:val="00AB329C"/>
    <w:rsid w:val="00AB32A9"/>
    <w:rsid w:val="00AB3387"/>
    <w:rsid w:val="00AB3388"/>
    <w:rsid w:val="00AB346E"/>
    <w:rsid w:val="00AB3792"/>
    <w:rsid w:val="00AB37F7"/>
    <w:rsid w:val="00AB3871"/>
    <w:rsid w:val="00AB397B"/>
    <w:rsid w:val="00AB3AA6"/>
    <w:rsid w:val="00AB3C1D"/>
    <w:rsid w:val="00AB3D58"/>
    <w:rsid w:val="00AB3D6A"/>
    <w:rsid w:val="00AB3DD5"/>
    <w:rsid w:val="00AB3EE4"/>
    <w:rsid w:val="00AB409B"/>
    <w:rsid w:val="00AB41F0"/>
    <w:rsid w:val="00AB42C0"/>
    <w:rsid w:val="00AB435D"/>
    <w:rsid w:val="00AB435E"/>
    <w:rsid w:val="00AB43DE"/>
    <w:rsid w:val="00AB43F5"/>
    <w:rsid w:val="00AB4420"/>
    <w:rsid w:val="00AB4499"/>
    <w:rsid w:val="00AB4567"/>
    <w:rsid w:val="00AB4781"/>
    <w:rsid w:val="00AB4827"/>
    <w:rsid w:val="00AB4C38"/>
    <w:rsid w:val="00AB4C55"/>
    <w:rsid w:val="00AB4C8D"/>
    <w:rsid w:val="00AB4C8F"/>
    <w:rsid w:val="00AB4DC7"/>
    <w:rsid w:val="00AB4E30"/>
    <w:rsid w:val="00AB4EB0"/>
    <w:rsid w:val="00AB4EEA"/>
    <w:rsid w:val="00AB4F3A"/>
    <w:rsid w:val="00AB4F5B"/>
    <w:rsid w:val="00AB4F64"/>
    <w:rsid w:val="00AB50F2"/>
    <w:rsid w:val="00AB5204"/>
    <w:rsid w:val="00AB521C"/>
    <w:rsid w:val="00AB528D"/>
    <w:rsid w:val="00AB52CE"/>
    <w:rsid w:val="00AB531B"/>
    <w:rsid w:val="00AB5323"/>
    <w:rsid w:val="00AB5373"/>
    <w:rsid w:val="00AB53FE"/>
    <w:rsid w:val="00AB5506"/>
    <w:rsid w:val="00AB5624"/>
    <w:rsid w:val="00AB5813"/>
    <w:rsid w:val="00AB589E"/>
    <w:rsid w:val="00AB5902"/>
    <w:rsid w:val="00AB5904"/>
    <w:rsid w:val="00AB5989"/>
    <w:rsid w:val="00AB5A18"/>
    <w:rsid w:val="00AB5A57"/>
    <w:rsid w:val="00AB5BA7"/>
    <w:rsid w:val="00AB5D44"/>
    <w:rsid w:val="00AB5E81"/>
    <w:rsid w:val="00AB610E"/>
    <w:rsid w:val="00AB613E"/>
    <w:rsid w:val="00AB616C"/>
    <w:rsid w:val="00AB6307"/>
    <w:rsid w:val="00AB63E5"/>
    <w:rsid w:val="00AB6426"/>
    <w:rsid w:val="00AB6517"/>
    <w:rsid w:val="00AB6628"/>
    <w:rsid w:val="00AB6A5E"/>
    <w:rsid w:val="00AB6E01"/>
    <w:rsid w:val="00AB6F78"/>
    <w:rsid w:val="00AB707E"/>
    <w:rsid w:val="00AB734C"/>
    <w:rsid w:val="00AB7456"/>
    <w:rsid w:val="00AB7573"/>
    <w:rsid w:val="00AB75C4"/>
    <w:rsid w:val="00AB760E"/>
    <w:rsid w:val="00AB7706"/>
    <w:rsid w:val="00AB77BA"/>
    <w:rsid w:val="00AB7927"/>
    <w:rsid w:val="00AB7A1E"/>
    <w:rsid w:val="00AB7B0C"/>
    <w:rsid w:val="00AB7B73"/>
    <w:rsid w:val="00AB7C88"/>
    <w:rsid w:val="00AB7D29"/>
    <w:rsid w:val="00AB7D30"/>
    <w:rsid w:val="00AB7D57"/>
    <w:rsid w:val="00AC0075"/>
    <w:rsid w:val="00AC012F"/>
    <w:rsid w:val="00AC02AA"/>
    <w:rsid w:val="00AC0376"/>
    <w:rsid w:val="00AC03DB"/>
    <w:rsid w:val="00AC043D"/>
    <w:rsid w:val="00AC0444"/>
    <w:rsid w:val="00AC0448"/>
    <w:rsid w:val="00AC05BD"/>
    <w:rsid w:val="00AC05D5"/>
    <w:rsid w:val="00AC077B"/>
    <w:rsid w:val="00AC0796"/>
    <w:rsid w:val="00AC0B10"/>
    <w:rsid w:val="00AC0BAF"/>
    <w:rsid w:val="00AC0CA0"/>
    <w:rsid w:val="00AC0F35"/>
    <w:rsid w:val="00AC105C"/>
    <w:rsid w:val="00AC1061"/>
    <w:rsid w:val="00AC115F"/>
    <w:rsid w:val="00AC12D4"/>
    <w:rsid w:val="00AC1467"/>
    <w:rsid w:val="00AC1626"/>
    <w:rsid w:val="00AC1676"/>
    <w:rsid w:val="00AC16B6"/>
    <w:rsid w:val="00AC17CD"/>
    <w:rsid w:val="00AC196B"/>
    <w:rsid w:val="00AC198A"/>
    <w:rsid w:val="00AC1A00"/>
    <w:rsid w:val="00AC1B19"/>
    <w:rsid w:val="00AC1D01"/>
    <w:rsid w:val="00AC1D94"/>
    <w:rsid w:val="00AC1E32"/>
    <w:rsid w:val="00AC2081"/>
    <w:rsid w:val="00AC20AF"/>
    <w:rsid w:val="00AC2126"/>
    <w:rsid w:val="00AC214B"/>
    <w:rsid w:val="00AC2378"/>
    <w:rsid w:val="00AC241D"/>
    <w:rsid w:val="00AC25C4"/>
    <w:rsid w:val="00AC264D"/>
    <w:rsid w:val="00AC2675"/>
    <w:rsid w:val="00AC29C8"/>
    <w:rsid w:val="00AC2A01"/>
    <w:rsid w:val="00AC2A7F"/>
    <w:rsid w:val="00AC2BC7"/>
    <w:rsid w:val="00AC2D2F"/>
    <w:rsid w:val="00AC2D7D"/>
    <w:rsid w:val="00AC2DFC"/>
    <w:rsid w:val="00AC3137"/>
    <w:rsid w:val="00AC3149"/>
    <w:rsid w:val="00AC315F"/>
    <w:rsid w:val="00AC321D"/>
    <w:rsid w:val="00AC32D2"/>
    <w:rsid w:val="00AC34E6"/>
    <w:rsid w:val="00AC3772"/>
    <w:rsid w:val="00AC378C"/>
    <w:rsid w:val="00AC39E1"/>
    <w:rsid w:val="00AC3A94"/>
    <w:rsid w:val="00AC3C57"/>
    <w:rsid w:val="00AC3C6A"/>
    <w:rsid w:val="00AC3CD0"/>
    <w:rsid w:val="00AC3D62"/>
    <w:rsid w:val="00AC3D71"/>
    <w:rsid w:val="00AC3DE3"/>
    <w:rsid w:val="00AC3DF5"/>
    <w:rsid w:val="00AC3E9B"/>
    <w:rsid w:val="00AC420D"/>
    <w:rsid w:val="00AC4379"/>
    <w:rsid w:val="00AC43EB"/>
    <w:rsid w:val="00AC45A8"/>
    <w:rsid w:val="00AC49E9"/>
    <w:rsid w:val="00AC49FA"/>
    <w:rsid w:val="00AC4A92"/>
    <w:rsid w:val="00AC4AAC"/>
    <w:rsid w:val="00AC4B1A"/>
    <w:rsid w:val="00AC4BFD"/>
    <w:rsid w:val="00AC4CFC"/>
    <w:rsid w:val="00AC4F6D"/>
    <w:rsid w:val="00AC50A9"/>
    <w:rsid w:val="00AC516F"/>
    <w:rsid w:val="00AC5240"/>
    <w:rsid w:val="00AC524B"/>
    <w:rsid w:val="00AC5375"/>
    <w:rsid w:val="00AC543A"/>
    <w:rsid w:val="00AC557F"/>
    <w:rsid w:val="00AC55DA"/>
    <w:rsid w:val="00AC56E1"/>
    <w:rsid w:val="00AC588A"/>
    <w:rsid w:val="00AC58BB"/>
    <w:rsid w:val="00AC58C5"/>
    <w:rsid w:val="00AC5912"/>
    <w:rsid w:val="00AC5918"/>
    <w:rsid w:val="00AC599B"/>
    <w:rsid w:val="00AC5AB0"/>
    <w:rsid w:val="00AC5BAD"/>
    <w:rsid w:val="00AC5E87"/>
    <w:rsid w:val="00AC5F83"/>
    <w:rsid w:val="00AC608A"/>
    <w:rsid w:val="00AC6168"/>
    <w:rsid w:val="00AC62EC"/>
    <w:rsid w:val="00AC630A"/>
    <w:rsid w:val="00AC65D9"/>
    <w:rsid w:val="00AC6672"/>
    <w:rsid w:val="00AC67EC"/>
    <w:rsid w:val="00AC69A9"/>
    <w:rsid w:val="00AC6B57"/>
    <w:rsid w:val="00AC6C1D"/>
    <w:rsid w:val="00AC6D72"/>
    <w:rsid w:val="00AC6F08"/>
    <w:rsid w:val="00AC6F32"/>
    <w:rsid w:val="00AC6F71"/>
    <w:rsid w:val="00AC6F8D"/>
    <w:rsid w:val="00AC720B"/>
    <w:rsid w:val="00AC7296"/>
    <w:rsid w:val="00AC772D"/>
    <w:rsid w:val="00AC77E4"/>
    <w:rsid w:val="00AC788F"/>
    <w:rsid w:val="00AC7B86"/>
    <w:rsid w:val="00AC7BF3"/>
    <w:rsid w:val="00AC7C8D"/>
    <w:rsid w:val="00AC7D36"/>
    <w:rsid w:val="00AC7F15"/>
    <w:rsid w:val="00AC7F29"/>
    <w:rsid w:val="00AC7F73"/>
    <w:rsid w:val="00AD00DD"/>
    <w:rsid w:val="00AD01A2"/>
    <w:rsid w:val="00AD0332"/>
    <w:rsid w:val="00AD0361"/>
    <w:rsid w:val="00AD03D3"/>
    <w:rsid w:val="00AD04A2"/>
    <w:rsid w:val="00AD04B7"/>
    <w:rsid w:val="00AD0865"/>
    <w:rsid w:val="00AD0ACA"/>
    <w:rsid w:val="00AD0AEA"/>
    <w:rsid w:val="00AD0E11"/>
    <w:rsid w:val="00AD0F26"/>
    <w:rsid w:val="00AD1032"/>
    <w:rsid w:val="00AD1054"/>
    <w:rsid w:val="00AD1235"/>
    <w:rsid w:val="00AD1244"/>
    <w:rsid w:val="00AD132B"/>
    <w:rsid w:val="00AD13DD"/>
    <w:rsid w:val="00AD13FE"/>
    <w:rsid w:val="00AD14FE"/>
    <w:rsid w:val="00AD15A4"/>
    <w:rsid w:val="00AD1659"/>
    <w:rsid w:val="00AD16EB"/>
    <w:rsid w:val="00AD1729"/>
    <w:rsid w:val="00AD1885"/>
    <w:rsid w:val="00AD1A17"/>
    <w:rsid w:val="00AD1A80"/>
    <w:rsid w:val="00AD1A8D"/>
    <w:rsid w:val="00AD1AA0"/>
    <w:rsid w:val="00AD1BCA"/>
    <w:rsid w:val="00AD1D4D"/>
    <w:rsid w:val="00AD1E5B"/>
    <w:rsid w:val="00AD1FB7"/>
    <w:rsid w:val="00AD2015"/>
    <w:rsid w:val="00AD2048"/>
    <w:rsid w:val="00AD20EA"/>
    <w:rsid w:val="00AD232A"/>
    <w:rsid w:val="00AD24F6"/>
    <w:rsid w:val="00AD2581"/>
    <w:rsid w:val="00AD26C8"/>
    <w:rsid w:val="00AD26E1"/>
    <w:rsid w:val="00AD2831"/>
    <w:rsid w:val="00AD28B1"/>
    <w:rsid w:val="00AD28F8"/>
    <w:rsid w:val="00AD2AA3"/>
    <w:rsid w:val="00AD2AAD"/>
    <w:rsid w:val="00AD2B0F"/>
    <w:rsid w:val="00AD2B80"/>
    <w:rsid w:val="00AD2BF4"/>
    <w:rsid w:val="00AD2FFF"/>
    <w:rsid w:val="00AD31C1"/>
    <w:rsid w:val="00AD324F"/>
    <w:rsid w:val="00AD3296"/>
    <w:rsid w:val="00AD33CC"/>
    <w:rsid w:val="00AD33E3"/>
    <w:rsid w:val="00AD3437"/>
    <w:rsid w:val="00AD343A"/>
    <w:rsid w:val="00AD35B7"/>
    <w:rsid w:val="00AD3788"/>
    <w:rsid w:val="00AD37B2"/>
    <w:rsid w:val="00AD3872"/>
    <w:rsid w:val="00AD3CB9"/>
    <w:rsid w:val="00AD3E79"/>
    <w:rsid w:val="00AD4023"/>
    <w:rsid w:val="00AD4096"/>
    <w:rsid w:val="00AD418E"/>
    <w:rsid w:val="00AD41AD"/>
    <w:rsid w:val="00AD42E6"/>
    <w:rsid w:val="00AD437F"/>
    <w:rsid w:val="00AD4506"/>
    <w:rsid w:val="00AD459D"/>
    <w:rsid w:val="00AD45D9"/>
    <w:rsid w:val="00AD46A1"/>
    <w:rsid w:val="00AD4A61"/>
    <w:rsid w:val="00AD4BDD"/>
    <w:rsid w:val="00AD4CF6"/>
    <w:rsid w:val="00AD4D0B"/>
    <w:rsid w:val="00AD4E84"/>
    <w:rsid w:val="00AD4E95"/>
    <w:rsid w:val="00AD4F65"/>
    <w:rsid w:val="00AD4FAD"/>
    <w:rsid w:val="00AD504A"/>
    <w:rsid w:val="00AD5084"/>
    <w:rsid w:val="00AD52C7"/>
    <w:rsid w:val="00AD54D1"/>
    <w:rsid w:val="00AD5590"/>
    <w:rsid w:val="00AD584A"/>
    <w:rsid w:val="00AD5889"/>
    <w:rsid w:val="00AD58F2"/>
    <w:rsid w:val="00AD598F"/>
    <w:rsid w:val="00AD5A21"/>
    <w:rsid w:val="00AD5A2C"/>
    <w:rsid w:val="00AD5A5D"/>
    <w:rsid w:val="00AD5AAC"/>
    <w:rsid w:val="00AD5B3D"/>
    <w:rsid w:val="00AD5C4D"/>
    <w:rsid w:val="00AD5CD8"/>
    <w:rsid w:val="00AD5D0C"/>
    <w:rsid w:val="00AD5E05"/>
    <w:rsid w:val="00AD5FB6"/>
    <w:rsid w:val="00AD602E"/>
    <w:rsid w:val="00AD6119"/>
    <w:rsid w:val="00AD61BC"/>
    <w:rsid w:val="00AD61E2"/>
    <w:rsid w:val="00AD61EA"/>
    <w:rsid w:val="00AD626C"/>
    <w:rsid w:val="00AD63F9"/>
    <w:rsid w:val="00AD64DE"/>
    <w:rsid w:val="00AD65D7"/>
    <w:rsid w:val="00AD65E0"/>
    <w:rsid w:val="00AD665E"/>
    <w:rsid w:val="00AD6716"/>
    <w:rsid w:val="00AD69ED"/>
    <w:rsid w:val="00AD6AD7"/>
    <w:rsid w:val="00AD6AD9"/>
    <w:rsid w:val="00AD6C1D"/>
    <w:rsid w:val="00AD6CD0"/>
    <w:rsid w:val="00AD6D80"/>
    <w:rsid w:val="00AD6E83"/>
    <w:rsid w:val="00AD6F29"/>
    <w:rsid w:val="00AD7093"/>
    <w:rsid w:val="00AD7208"/>
    <w:rsid w:val="00AD726B"/>
    <w:rsid w:val="00AD7287"/>
    <w:rsid w:val="00AD7384"/>
    <w:rsid w:val="00AD7407"/>
    <w:rsid w:val="00AD7453"/>
    <w:rsid w:val="00AD75A7"/>
    <w:rsid w:val="00AD764F"/>
    <w:rsid w:val="00AD77D1"/>
    <w:rsid w:val="00AD7B2B"/>
    <w:rsid w:val="00AD7D61"/>
    <w:rsid w:val="00AE01D1"/>
    <w:rsid w:val="00AE072F"/>
    <w:rsid w:val="00AE07F2"/>
    <w:rsid w:val="00AE0AEE"/>
    <w:rsid w:val="00AE0B71"/>
    <w:rsid w:val="00AE0BD2"/>
    <w:rsid w:val="00AE0EFF"/>
    <w:rsid w:val="00AE0FC7"/>
    <w:rsid w:val="00AE1232"/>
    <w:rsid w:val="00AE12EA"/>
    <w:rsid w:val="00AE1327"/>
    <w:rsid w:val="00AE1378"/>
    <w:rsid w:val="00AE13B6"/>
    <w:rsid w:val="00AE1789"/>
    <w:rsid w:val="00AE1874"/>
    <w:rsid w:val="00AE19A6"/>
    <w:rsid w:val="00AE1A05"/>
    <w:rsid w:val="00AE1AA6"/>
    <w:rsid w:val="00AE1B75"/>
    <w:rsid w:val="00AE1C34"/>
    <w:rsid w:val="00AE1C36"/>
    <w:rsid w:val="00AE1C6C"/>
    <w:rsid w:val="00AE1CC0"/>
    <w:rsid w:val="00AE1D5A"/>
    <w:rsid w:val="00AE2251"/>
    <w:rsid w:val="00AE244C"/>
    <w:rsid w:val="00AE25DC"/>
    <w:rsid w:val="00AE25F5"/>
    <w:rsid w:val="00AE26CF"/>
    <w:rsid w:val="00AE2816"/>
    <w:rsid w:val="00AE291C"/>
    <w:rsid w:val="00AE2AA5"/>
    <w:rsid w:val="00AE2AF3"/>
    <w:rsid w:val="00AE2C7F"/>
    <w:rsid w:val="00AE2D8C"/>
    <w:rsid w:val="00AE2E05"/>
    <w:rsid w:val="00AE2EA2"/>
    <w:rsid w:val="00AE2EFF"/>
    <w:rsid w:val="00AE3212"/>
    <w:rsid w:val="00AE344D"/>
    <w:rsid w:val="00AE3714"/>
    <w:rsid w:val="00AE3B44"/>
    <w:rsid w:val="00AE41DD"/>
    <w:rsid w:val="00AE4544"/>
    <w:rsid w:val="00AE45BE"/>
    <w:rsid w:val="00AE45C7"/>
    <w:rsid w:val="00AE465D"/>
    <w:rsid w:val="00AE48B8"/>
    <w:rsid w:val="00AE49FA"/>
    <w:rsid w:val="00AE4AA3"/>
    <w:rsid w:val="00AE4AB7"/>
    <w:rsid w:val="00AE4AE8"/>
    <w:rsid w:val="00AE4C7A"/>
    <w:rsid w:val="00AE4E1A"/>
    <w:rsid w:val="00AE4EA3"/>
    <w:rsid w:val="00AE5046"/>
    <w:rsid w:val="00AE50CF"/>
    <w:rsid w:val="00AE5154"/>
    <w:rsid w:val="00AE51A1"/>
    <w:rsid w:val="00AE532D"/>
    <w:rsid w:val="00AE53BC"/>
    <w:rsid w:val="00AE550F"/>
    <w:rsid w:val="00AE5601"/>
    <w:rsid w:val="00AE5705"/>
    <w:rsid w:val="00AE57FA"/>
    <w:rsid w:val="00AE586D"/>
    <w:rsid w:val="00AE5879"/>
    <w:rsid w:val="00AE58BC"/>
    <w:rsid w:val="00AE5A04"/>
    <w:rsid w:val="00AE5AAE"/>
    <w:rsid w:val="00AE5B26"/>
    <w:rsid w:val="00AE5BAA"/>
    <w:rsid w:val="00AE5C0F"/>
    <w:rsid w:val="00AE5CDF"/>
    <w:rsid w:val="00AE5D35"/>
    <w:rsid w:val="00AE5EDC"/>
    <w:rsid w:val="00AE5FE7"/>
    <w:rsid w:val="00AE633B"/>
    <w:rsid w:val="00AE63C9"/>
    <w:rsid w:val="00AE650D"/>
    <w:rsid w:val="00AE6745"/>
    <w:rsid w:val="00AE67A3"/>
    <w:rsid w:val="00AE6B93"/>
    <w:rsid w:val="00AE6C40"/>
    <w:rsid w:val="00AE6D3B"/>
    <w:rsid w:val="00AE7099"/>
    <w:rsid w:val="00AE710A"/>
    <w:rsid w:val="00AE7142"/>
    <w:rsid w:val="00AE71AC"/>
    <w:rsid w:val="00AE7244"/>
    <w:rsid w:val="00AE7250"/>
    <w:rsid w:val="00AE7279"/>
    <w:rsid w:val="00AE737D"/>
    <w:rsid w:val="00AE73E2"/>
    <w:rsid w:val="00AE7442"/>
    <w:rsid w:val="00AE7748"/>
    <w:rsid w:val="00AE78FD"/>
    <w:rsid w:val="00AE7973"/>
    <w:rsid w:val="00AE79C1"/>
    <w:rsid w:val="00AE7BC5"/>
    <w:rsid w:val="00AE7D37"/>
    <w:rsid w:val="00AE7DEF"/>
    <w:rsid w:val="00AE7E2D"/>
    <w:rsid w:val="00AE7E62"/>
    <w:rsid w:val="00AE7EF7"/>
    <w:rsid w:val="00AE7F17"/>
    <w:rsid w:val="00AE7F2D"/>
    <w:rsid w:val="00AF0011"/>
    <w:rsid w:val="00AF00EE"/>
    <w:rsid w:val="00AF00EF"/>
    <w:rsid w:val="00AF01A0"/>
    <w:rsid w:val="00AF04A7"/>
    <w:rsid w:val="00AF06FE"/>
    <w:rsid w:val="00AF0AA6"/>
    <w:rsid w:val="00AF0AE7"/>
    <w:rsid w:val="00AF0B97"/>
    <w:rsid w:val="00AF0CD2"/>
    <w:rsid w:val="00AF0D80"/>
    <w:rsid w:val="00AF0E2B"/>
    <w:rsid w:val="00AF1110"/>
    <w:rsid w:val="00AF1167"/>
    <w:rsid w:val="00AF11F8"/>
    <w:rsid w:val="00AF1270"/>
    <w:rsid w:val="00AF1417"/>
    <w:rsid w:val="00AF1C78"/>
    <w:rsid w:val="00AF1E00"/>
    <w:rsid w:val="00AF1E02"/>
    <w:rsid w:val="00AF1EDE"/>
    <w:rsid w:val="00AF2007"/>
    <w:rsid w:val="00AF2275"/>
    <w:rsid w:val="00AF229D"/>
    <w:rsid w:val="00AF2379"/>
    <w:rsid w:val="00AF240A"/>
    <w:rsid w:val="00AF24A6"/>
    <w:rsid w:val="00AF24F3"/>
    <w:rsid w:val="00AF25E0"/>
    <w:rsid w:val="00AF267D"/>
    <w:rsid w:val="00AF274C"/>
    <w:rsid w:val="00AF279B"/>
    <w:rsid w:val="00AF2878"/>
    <w:rsid w:val="00AF293B"/>
    <w:rsid w:val="00AF2AF6"/>
    <w:rsid w:val="00AF2B63"/>
    <w:rsid w:val="00AF2B86"/>
    <w:rsid w:val="00AF2C59"/>
    <w:rsid w:val="00AF2E05"/>
    <w:rsid w:val="00AF2E67"/>
    <w:rsid w:val="00AF32F7"/>
    <w:rsid w:val="00AF3331"/>
    <w:rsid w:val="00AF3485"/>
    <w:rsid w:val="00AF34C3"/>
    <w:rsid w:val="00AF351C"/>
    <w:rsid w:val="00AF3817"/>
    <w:rsid w:val="00AF39C5"/>
    <w:rsid w:val="00AF3A4E"/>
    <w:rsid w:val="00AF3A75"/>
    <w:rsid w:val="00AF3ACD"/>
    <w:rsid w:val="00AF3B1B"/>
    <w:rsid w:val="00AF3B65"/>
    <w:rsid w:val="00AF3BB7"/>
    <w:rsid w:val="00AF3BD0"/>
    <w:rsid w:val="00AF3C54"/>
    <w:rsid w:val="00AF3CE4"/>
    <w:rsid w:val="00AF3DEF"/>
    <w:rsid w:val="00AF3FF6"/>
    <w:rsid w:val="00AF4037"/>
    <w:rsid w:val="00AF41EB"/>
    <w:rsid w:val="00AF4305"/>
    <w:rsid w:val="00AF44B6"/>
    <w:rsid w:val="00AF44DE"/>
    <w:rsid w:val="00AF45D7"/>
    <w:rsid w:val="00AF45F9"/>
    <w:rsid w:val="00AF48FE"/>
    <w:rsid w:val="00AF499F"/>
    <w:rsid w:val="00AF4A3E"/>
    <w:rsid w:val="00AF4CE6"/>
    <w:rsid w:val="00AF4D53"/>
    <w:rsid w:val="00AF4D98"/>
    <w:rsid w:val="00AF4F12"/>
    <w:rsid w:val="00AF51DD"/>
    <w:rsid w:val="00AF551D"/>
    <w:rsid w:val="00AF553E"/>
    <w:rsid w:val="00AF5651"/>
    <w:rsid w:val="00AF5724"/>
    <w:rsid w:val="00AF57A1"/>
    <w:rsid w:val="00AF5996"/>
    <w:rsid w:val="00AF5B62"/>
    <w:rsid w:val="00AF5D5F"/>
    <w:rsid w:val="00AF5F35"/>
    <w:rsid w:val="00AF5F80"/>
    <w:rsid w:val="00AF5FA0"/>
    <w:rsid w:val="00AF5FE7"/>
    <w:rsid w:val="00AF67FF"/>
    <w:rsid w:val="00AF6B6B"/>
    <w:rsid w:val="00AF6CB8"/>
    <w:rsid w:val="00AF6D85"/>
    <w:rsid w:val="00AF6DBE"/>
    <w:rsid w:val="00AF6E67"/>
    <w:rsid w:val="00AF6E89"/>
    <w:rsid w:val="00AF6ED1"/>
    <w:rsid w:val="00AF6FD1"/>
    <w:rsid w:val="00AF71F2"/>
    <w:rsid w:val="00AF723C"/>
    <w:rsid w:val="00AF7243"/>
    <w:rsid w:val="00AF7262"/>
    <w:rsid w:val="00AF72BB"/>
    <w:rsid w:val="00AF7384"/>
    <w:rsid w:val="00AF7671"/>
    <w:rsid w:val="00AF774D"/>
    <w:rsid w:val="00AF77A7"/>
    <w:rsid w:val="00AF7929"/>
    <w:rsid w:val="00AF797D"/>
    <w:rsid w:val="00AF79C1"/>
    <w:rsid w:val="00AF7A63"/>
    <w:rsid w:val="00AF7A81"/>
    <w:rsid w:val="00AF7E66"/>
    <w:rsid w:val="00AF7F5D"/>
    <w:rsid w:val="00B0004B"/>
    <w:rsid w:val="00B00183"/>
    <w:rsid w:val="00B0020F"/>
    <w:rsid w:val="00B002B8"/>
    <w:rsid w:val="00B00533"/>
    <w:rsid w:val="00B005DF"/>
    <w:rsid w:val="00B00677"/>
    <w:rsid w:val="00B006AC"/>
    <w:rsid w:val="00B008A8"/>
    <w:rsid w:val="00B00946"/>
    <w:rsid w:val="00B00964"/>
    <w:rsid w:val="00B0097F"/>
    <w:rsid w:val="00B0098A"/>
    <w:rsid w:val="00B00990"/>
    <w:rsid w:val="00B00B99"/>
    <w:rsid w:val="00B00BF3"/>
    <w:rsid w:val="00B00CBD"/>
    <w:rsid w:val="00B00D5B"/>
    <w:rsid w:val="00B00DCC"/>
    <w:rsid w:val="00B00E98"/>
    <w:rsid w:val="00B00F60"/>
    <w:rsid w:val="00B00F90"/>
    <w:rsid w:val="00B010CC"/>
    <w:rsid w:val="00B010DB"/>
    <w:rsid w:val="00B01395"/>
    <w:rsid w:val="00B014DB"/>
    <w:rsid w:val="00B01528"/>
    <w:rsid w:val="00B01734"/>
    <w:rsid w:val="00B017C3"/>
    <w:rsid w:val="00B01845"/>
    <w:rsid w:val="00B01887"/>
    <w:rsid w:val="00B01A12"/>
    <w:rsid w:val="00B01BDC"/>
    <w:rsid w:val="00B01C3A"/>
    <w:rsid w:val="00B01C5B"/>
    <w:rsid w:val="00B01F8C"/>
    <w:rsid w:val="00B020E4"/>
    <w:rsid w:val="00B0223D"/>
    <w:rsid w:val="00B02443"/>
    <w:rsid w:val="00B02572"/>
    <w:rsid w:val="00B028A9"/>
    <w:rsid w:val="00B028CF"/>
    <w:rsid w:val="00B02B32"/>
    <w:rsid w:val="00B02C17"/>
    <w:rsid w:val="00B02C82"/>
    <w:rsid w:val="00B02CB7"/>
    <w:rsid w:val="00B02F7E"/>
    <w:rsid w:val="00B03119"/>
    <w:rsid w:val="00B03300"/>
    <w:rsid w:val="00B0347C"/>
    <w:rsid w:val="00B0375B"/>
    <w:rsid w:val="00B03826"/>
    <w:rsid w:val="00B038AF"/>
    <w:rsid w:val="00B038B4"/>
    <w:rsid w:val="00B03A2D"/>
    <w:rsid w:val="00B03A4A"/>
    <w:rsid w:val="00B03A6C"/>
    <w:rsid w:val="00B03B47"/>
    <w:rsid w:val="00B03BA5"/>
    <w:rsid w:val="00B03BF3"/>
    <w:rsid w:val="00B03C09"/>
    <w:rsid w:val="00B040C1"/>
    <w:rsid w:val="00B04342"/>
    <w:rsid w:val="00B043A2"/>
    <w:rsid w:val="00B0449B"/>
    <w:rsid w:val="00B044E3"/>
    <w:rsid w:val="00B04640"/>
    <w:rsid w:val="00B04835"/>
    <w:rsid w:val="00B04858"/>
    <w:rsid w:val="00B04860"/>
    <w:rsid w:val="00B04956"/>
    <w:rsid w:val="00B0496A"/>
    <w:rsid w:val="00B049D1"/>
    <w:rsid w:val="00B04AF5"/>
    <w:rsid w:val="00B04EA2"/>
    <w:rsid w:val="00B04ED5"/>
    <w:rsid w:val="00B04F9D"/>
    <w:rsid w:val="00B05140"/>
    <w:rsid w:val="00B0515B"/>
    <w:rsid w:val="00B05190"/>
    <w:rsid w:val="00B0526F"/>
    <w:rsid w:val="00B0527B"/>
    <w:rsid w:val="00B05451"/>
    <w:rsid w:val="00B054C2"/>
    <w:rsid w:val="00B055B1"/>
    <w:rsid w:val="00B055F3"/>
    <w:rsid w:val="00B05600"/>
    <w:rsid w:val="00B058EE"/>
    <w:rsid w:val="00B05A7A"/>
    <w:rsid w:val="00B05B3F"/>
    <w:rsid w:val="00B05F00"/>
    <w:rsid w:val="00B05F84"/>
    <w:rsid w:val="00B0609B"/>
    <w:rsid w:val="00B0611B"/>
    <w:rsid w:val="00B0617E"/>
    <w:rsid w:val="00B06480"/>
    <w:rsid w:val="00B065CE"/>
    <w:rsid w:val="00B065F1"/>
    <w:rsid w:val="00B0660D"/>
    <w:rsid w:val="00B06697"/>
    <w:rsid w:val="00B066FB"/>
    <w:rsid w:val="00B067C0"/>
    <w:rsid w:val="00B0681C"/>
    <w:rsid w:val="00B068DB"/>
    <w:rsid w:val="00B06971"/>
    <w:rsid w:val="00B06C1E"/>
    <w:rsid w:val="00B06D0D"/>
    <w:rsid w:val="00B06FC6"/>
    <w:rsid w:val="00B07127"/>
    <w:rsid w:val="00B07155"/>
    <w:rsid w:val="00B07169"/>
    <w:rsid w:val="00B07225"/>
    <w:rsid w:val="00B0728B"/>
    <w:rsid w:val="00B07478"/>
    <w:rsid w:val="00B074C3"/>
    <w:rsid w:val="00B0756C"/>
    <w:rsid w:val="00B07632"/>
    <w:rsid w:val="00B077B0"/>
    <w:rsid w:val="00B07802"/>
    <w:rsid w:val="00B07812"/>
    <w:rsid w:val="00B0794D"/>
    <w:rsid w:val="00B07B47"/>
    <w:rsid w:val="00B07B63"/>
    <w:rsid w:val="00B07E65"/>
    <w:rsid w:val="00B07F5F"/>
    <w:rsid w:val="00B07FA1"/>
    <w:rsid w:val="00B100AC"/>
    <w:rsid w:val="00B102DF"/>
    <w:rsid w:val="00B10355"/>
    <w:rsid w:val="00B10880"/>
    <w:rsid w:val="00B108C9"/>
    <w:rsid w:val="00B10A01"/>
    <w:rsid w:val="00B10A86"/>
    <w:rsid w:val="00B10D71"/>
    <w:rsid w:val="00B10F8A"/>
    <w:rsid w:val="00B11022"/>
    <w:rsid w:val="00B11086"/>
    <w:rsid w:val="00B11372"/>
    <w:rsid w:val="00B113F7"/>
    <w:rsid w:val="00B114E6"/>
    <w:rsid w:val="00B116C4"/>
    <w:rsid w:val="00B117BE"/>
    <w:rsid w:val="00B11833"/>
    <w:rsid w:val="00B11855"/>
    <w:rsid w:val="00B1190B"/>
    <w:rsid w:val="00B11918"/>
    <w:rsid w:val="00B11A21"/>
    <w:rsid w:val="00B11AD0"/>
    <w:rsid w:val="00B11BA7"/>
    <w:rsid w:val="00B11CA0"/>
    <w:rsid w:val="00B11D74"/>
    <w:rsid w:val="00B12047"/>
    <w:rsid w:val="00B1220E"/>
    <w:rsid w:val="00B1224A"/>
    <w:rsid w:val="00B12312"/>
    <w:rsid w:val="00B12317"/>
    <w:rsid w:val="00B126B8"/>
    <w:rsid w:val="00B1274F"/>
    <w:rsid w:val="00B12893"/>
    <w:rsid w:val="00B128EC"/>
    <w:rsid w:val="00B129FA"/>
    <w:rsid w:val="00B12A48"/>
    <w:rsid w:val="00B12B8D"/>
    <w:rsid w:val="00B12C1A"/>
    <w:rsid w:val="00B12D76"/>
    <w:rsid w:val="00B12E9C"/>
    <w:rsid w:val="00B13014"/>
    <w:rsid w:val="00B1301F"/>
    <w:rsid w:val="00B13076"/>
    <w:rsid w:val="00B13146"/>
    <w:rsid w:val="00B132B6"/>
    <w:rsid w:val="00B133A4"/>
    <w:rsid w:val="00B13404"/>
    <w:rsid w:val="00B13530"/>
    <w:rsid w:val="00B13765"/>
    <w:rsid w:val="00B139C9"/>
    <w:rsid w:val="00B13A5B"/>
    <w:rsid w:val="00B13BFC"/>
    <w:rsid w:val="00B13E06"/>
    <w:rsid w:val="00B13F7C"/>
    <w:rsid w:val="00B13FE7"/>
    <w:rsid w:val="00B14046"/>
    <w:rsid w:val="00B14134"/>
    <w:rsid w:val="00B14255"/>
    <w:rsid w:val="00B1435B"/>
    <w:rsid w:val="00B14441"/>
    <w:rsid w:val="00B145DE"/>
    <w:rsid w:val="00B14632"/>
    <w:rsid w:val="00B147DD"/>
    <w:rsid w:val="00B1493C"/>
    <w:rsid w:val="00B1495A"/>
    <w:rsid w:val="00B14BD1"/>
    <w:rsid w:val="00B14C31"/>
    <w:rsid w:val="00B14E3C"/>
    <w:rsid w:val="00B14F9D"/>
    <w:rsid w:val="00B14FF3"/>
    <w:rsid w:val="00B15067"/>
    <w:rsid w:val="00B151CC"/>
    <w:rsid w:val="00B1552C"/>
    <w:rsid w:val="00B15670"/>
    <w:rsid w:val="00B156D0"/>
    <w:rsid w:val="00B15716"/>
    <w:rsid w:val="00B1571A"/>
    <w:rsid w:val="00B1576E"/>
    <w:rsid w:val="00B157B9"/>
    <w:rsid w:val="00B1589E"/>
    <w:rsid w:val="00B15BCE"/>
    <w:rsid w:val="00B15CE1"/>
    <w:rsid w:val="00B15DD4"/>
    <w:rsid w:val="00B15E37"/>
    <w:rsid w:val="00B15F1A"/>
    <w:rsid w:val="00B15F20"/>
    <w:rsid w:val="00B1602D"/>
    <w:rsid w:val="00B1602E"/>
    <w:rsid w:val="00B1617A"/>
    <w:rsid w:val="00B16238"/>
    <w:rsid w:val="00B1628C"/>
    <w:rsid w:val="00B16298"/>
    <w:rsid w:val="00B164BC"/>
    <w:rsid w:val="00B1654E"/>
    <w:rsid w:val="00B16623"/>
    <w:rsid w:val="00B16654"/>
    <w:rsid w:val="00B167A3"/>
    <w:rsid w:val="00B16884"/>
    <w:rsid w:val="00B16A6E"/>
    <w:rsid w:val="00B16B1E"/>
    <w:rsid w:val="00B16D0F"/>
    <w:rsid w:val="00B16D6C"/>
    <w:rsid w:val="00B16DF0"/>
    <w:rsid w:val="00B16FE0"/>
    <w:rsid w:val="00B17130"/>
    <w:rsid w:val="00B17232"/>
    <w:rsid w:val="00B17665"/>
    <w:rsid w:val="00B176C3"/>
    <w:rsid w:val="00B178F6"/>
    <w:rsid w:val="00B179B9"/>
    <w:rsid w:val="00B17AF7"/>
    <w:rsid w:val="00B17B97"/>
    <w:rsid w:val="00B17C56"/>
    <w:rsid w:val="00B17C5C"/>
    <w:rsid w:val="00B17E8A"/>
    <w:rsid w:val="00B17EBF"/>
    <w:rsid w:val="00B17EF8"/>
    <w:rsid w:val="00B17F12"/>
    <w:rsid w:val="00B17F19"/>
    <w:rsid w:val="00B1E6F3"/>
    <w:rsid w:val="00B202EB"/>
    <w:rsid w:val="00B20376"/>
    <w:rsid w:val="00B203DB"/>
    <w:rsid w:val="00B204C9"/>
    <w:rsid w:val="00B205A1"/>
    <w:rsid w:val="00B20745"/>
    <w:rsid w:val="00B20750"/>
    <w:rsid w:val="00B209D0"/>
    <w:rsid w:val="00B209E9"/>
    <w:rsid w:val="00B20A8E"/>
    <w:rsid w:val="00B20AC0"/>
    <w:rsid w:val="00B20AC9"/>
    <w:rsid w:val="00B20B99"/>
    <w:rsid w:val="00B20B9E"/>
    <w:rsid w:val="00B20C4B"/>
    <w:rsid w:val="00B20C5A"/>
    <w:rsid w:val="00B20CD4"/>
    <w:rsid w:val="00B20D05"/>
    <w:rsid w:val="00B20DE6"/>
    <w:rsid w:val="00B20DF8"/>
    <w:rsid w:val="00B20E03"/>
    <w:rsid w:val="00B20F72"/>
    <w:rsid w:val="00B21021"/>
    <w:rsid w:val="00B21026"/>
    <w:rsid w:val="00B21131"/>
    <w:rsid w:val="00B2116E"/>
    <w:rsid w:val="00B211CC"/>
    <w:rsid w:val="00B21303"/>
    <w:rsid w:val="00B21369"/>
    <w:rsid w:val="00B2136A"/>
    <w:rsid w:val="00B215A8"/>
    <w:rsid w:val="00B21637"/>
    <w:rsid w:val="00B21711"/>
    <w:rsid w:val="00B21855"/>
    <w:rsid w:val="00B2189A"/>
    <w:rsid w:val="00B219C3"/>
    <w:rsid w:val="00B21AE4"/>
    <w:rsid w:val="00B21B04"/>
    <w:rsid w:val="00B21B1A"/>
    <w:rsid w:val="00B21E6E"/>
    <w:rsid w:val="00B21F21"/>
    <w:rsid w:val="00B221B4"/>
    <w:rsid w:val="00B221DD"/>
    <w:rsid w:val="00B22257"/>
    <w:rsid w:val="00B22482"/>
    <w:rsid w:val="00B2257A"/>
    <w:rsid w:val="00B22603"/>
    <w:rsid w:val="00B227AD"/>
    <w:rsid w:val="00B2286E"/>
    <w:rsid w:val="00B22AAD"/>
    <w:rsid w:val="00B22B50"/>
    <w:rsid w:val="00B22BDC"/>
    <w:rsid w:val="00B22C42"/>
    <w:rsid w:val="00B22C55"/>
    <w:rsid w:val="00B22DBB"/>
    <w:rsid w:val="00B22DF7"/>
    <w:rsid w:val="00B23318"/>
    <w:rsid w:val="00B234F1"/>
    <w:rsid w:val="00B235E8"/>
    <w:rsid w:val="00B23602"/>
    <w:rsid w:val="00B236EF"/>
    <w:rsid w:val="00B237BE"/>
    <w:rsid w:val="00B23968"/>
    <w:rsid w:val="00B239C4"/>
    <w:rsid w:val="00B23A54"/>
    <w:rsid w:val="00B23C1C"/>
    <w:rsid w:val="00B23D1B"/>
    <w:rsid w:val="00B23D5F"/>
    <w:rsid w:val="00B23D74"/>
    <w:rsid w:val="00B23D9A"/>
    <w:rsid w:val="00B23E6C"/>
    <w:rsid w:val="00B23EFF"/>
    <w:rsid w:val="00B240D6"/>
    <w:rsid w:val="00B24307"/>
    <w:rsid w:val="00B2432D"/>
    <w:rsid w:val="00B2440B"/>
    <w:rsid w:val="00B24460"/>
    <w:rsid w:val="00B247E9"/>
    <w:rsid w:val="00B248F4"/>
    <w:rsid w:val="00B24901"/>
    <w:rsid w:val="00B249B9"/>
    <w:rsid w:val="00B24AFF"/>
    <w:rsid w:val="00B24C98"/>
    <w:rsid w:val="00B24D10"/>
    <w:rsid w:val="00B24E18"/>
    <w:rsid w:val="00B24EA1"/>
    <w:rsid w:val="00B24F53"/>
    <w:rsid w:val="00B250B7"/>
    <w:rsid w:val="00B251B6"/>
    <w:rsid w:val="00B25200"/>
    <w:rsid w:val="00B252F1"/>
    <w:rsid w:val="00B25387"/>
    <w:rsid w:val="00B253A1"/>
    <w:rsid w:val="00B2575D"/>
    <w:rsid w:val="00B25763"/>
    <w:rsid w:val="00B25945"/>
    <w:rsid w:val="00B25954"/>
    <w:rsid w:val="00B25995"/>
    <w:rsid w:val="00B25A0A"/>
    <w:rsid w:val="00B25E56"/>
    <w:rsid w:val="00B25E68"/>
    <w:rsid w:val="00B26196"/>
    <w:rsid w:val="00B261EC"/>
    <w:rsid w:val="00B262AB"/>
    <w:rsid w:val="00B2634D"/>
    <w:rsid w:val="00B2637D"/>
    <w:rsid w:val="00B26396"/>
    <w:rsid w:val="00B26596"/>
    <w:rsid w:val="00B265B6"/>
    <w:rsid w:val="00B26668"/>
    <w:rsid w:val="00B267E1"/>
    <w:rsid w:val="00B267F4"/>
    <w:rsid w:val="00B2696F"/>
    <w:rsid w:val="00B27303"/>
    <w:rsid w:val="00B27333"/>
    <w:rsid w:val="00B274A6"/>
    <w:rsid w:val="00B275D2"/>
    <w:rsid w:val="00B27606"/>
    <w:rsid w:val="00B2762B"/>
    <w:rsid w:val="00B27667"/>
    <w:rsid w:val="00B277D7"/>
    <w:rsid w:val="00B277DB"/>
    <w:rsid w:val="00B27CFD"/>
    <w:rsid w:val="00B27D70"/>
    <w:rsid w:val="00B27E1E"/>
    <w:rsid w:val="00B27E71"/>
    <w:rsid w:val="00B27F84"/>
    <w:rsid w:val="00B27FD2"/>
    <w:rsid w:val="00B30162"/>
    <w:rsid w:val="00B301F8"/>
    <w:rsid w:val="00B30213"/>
    <w:rsid w:val="00B30326"/>
    <w:rsid w:val="00B3033B"/>
    <w:rsid w:val="00B30399"/>
    <w:rsid w:val="00B305FB"/>
    <w:rsid w:val="00B306C8"/>
    <w:rsid w:val="00B307F9"/>
    <w:rsid w:val="00B30817"/>
    <w:rsid w:val="00B308BF"/>
    <w:rsid w:val="00B30958"/>
    <w:rsid w:val="00B309AA"/>
    <w:rsid w:val="00B30C5F"/>
    <w:rsid w:val="00B30CD7"/>
    <w:rsid w:val="00B30D63"/>
    <w:rsid w:val="00B30D71"/>
    <w:rsid w:val="00B30DF9"/>
    <w:rsid w:val="00B30EC5"/>
    <w:rsid w:val="00B3126E"/>
    <w:rsid w:val="00B31448"/>
    <w:rsid w:val="00B3144D"/>
    <w:rsid w:val="00B315E1"/>
    <w:rsid w:val="00B3166C"/>
    <w:rsid w:val="00B3168F"/>
    <w:rsid w:val="00B31720"/>
    <w:rsid w:val="00B3180F"/>
    <w:rsid w:val="00B318F7"/>
    <w:rsid w:val="00B31AE1"/>
    <w:rsid w:val="00B31B69"/>
    <w:rsid w:val="00B31C55"/>
    <w:rsid w:val="00B31CD5"/>
    <w:rsid w:val="00B31D16"/>
    <w:rsid w:val="00B31DCB"/>
    <w:rsid w:val="00B31F40"/>
    <w:rsid w:val="00B31F5F"/>
    <w:rsid w:val="00B32013"/>
    <w:rsid w:val="00B3202C"/>
    <w:rsid w:val="00B32081"/>
    <w:rsid w:val="00B320B5"/>
    <w:rsid w:val="00B320B9"/>
    <w:rsid w:val="00B320C6"/>
    <w:rsid w:val="00B32116"/>
    <w:rsid w:val="00B3235F"/>
    <w:rsid w:val="00B3243A"/>
    <w:rsid w:val="00B32447"/>
    <w:rsid w:val="00B3247B"/>
    <w:rsid w:val="00B324E0"/>
    <w:rsid w:val="00B325BB"/>
    <w:rsid w:val="00B32613"/>
    <w:rsid w:val="00B326EA"/>
    <w:rsid w:val="00B327F1"/>
    <w:rsid w:val="00B32858"/>
    <w:rsid w:val="00B32A05"/>
    <w:rsid w:val="00B32A57"/>
    <w:rsid w:val="00B32AE7"/>
    <w:rsid w:val="00B32B28"/>
    <w:rsid w:val="00B32CB1"/>
    <w:rsid w:val="00B32CCA"/>
    <w:rsid w:val="00B32DDB"/>
    <w:rsid w:val="00B32E37"/>
    <w:rsid w:val="00B32EF1"/>
    <w:rsid w:val="00B3304C"/>
    <w:rsid w:val="00B330BA"/>
    <w:rsid w:val="00B330C8"/>
    <w:rsid w:val="00B3311C"/>
    <w:rsid w:val="00B3328B"/>
    <w:rsid w:val="00B332B1"/>
    <w:rsid w:val="00B333A0"/>
    <w:rsid w:val="00B33611"/>
    <w:rsid w:val="00B33784"/>
    <w:rsid w:val="00B3397E"/>
    <w:rsid w:val="00B33BC6"/>
    <w:rsid w:val="00B33C1E"/>
    <w:rsid w:val="00B33CB7"/>
    <w:rsid w:val="00B33D60"/>
    <w:rsid w:val="00B33EBF"/>
    <w:rsid w:val="00B33ED2"/>
    <w:rsid w:val="00B34106"/>
    <w:rsid w:val="00B34314"/>
    <w:rsid w:val="00B34628"/>
    <w:rsid w:val="00B3463E"/>
    <w:rsid w:val="00B34879"/>
    <w:rsid w:val="00B349CD"/>
    <w:rsid w:val="00B34A02"/>
    <w:rsid w:val="00B34AE1"/>
    <w:rsid w:val="00B34B2A"/>
    <w:rsid w:val="00B34B3C"/>
    <w:rsid w:val="00B34CEA"/>
    <w:rsid w:val="00B34E02"/>
    <w:rsid w:val="00B34E21"/>
    <w:rsid w:val="00B34FDF"/>
    <w:rsid w:val="00B35033"/>
    <w:rsid w:val="00B3511C"/>
    <w:rsid w:val="00B3526C"/>
    <w:rsid w:val="00B352FA"/>
    <w:rsid w:val="00B354BD"/>
    <w:rsid w:val="00B3555D"/>
    <w:rsid w:val="00B35621"/>
    <w:rsid w:val="00B35757"/>
    <w:rsid w:val="00B357C2"/>
    <w:rsid w:val="00B358F3"/>
    <w:rsid w:val="00B3590A"/>
    <w:rsid w:val="00B359F8"/>
    <w:rsid w:val="00B35D43"/>
    <w:rsid w:val="00B35DDC"/>
    <w:rsid w:val="00B35EB4"/>
    <w:rsid w:val="00B3600E"/>
    <w:rsid w:val="00B3604C"/>
    <w:rsid w:val="00B36202"/>
    <w:rsid w:val="00B362A0"/>
    <w:rsid w:val="00B362CB"/>
    <w:rsid w:val="00B362E3"/>
    <w:rsid w:val="00B36506"/>
    <w:rsid w:val="00B3668D"/>
    <w:rsid w:val="00B3688F"/>
    <w:rsid w:val="00B3689B"/>
    <w:rsid w:val="00B36968"/>
    <w:rsid w:val="00B36A11"/>
    <w:rsid w:val="00B36A3A"/>
    <w:rsid w:val="00B36A80"/>
    <w:rsid w:val="00B36B5C"/>
    <w:rsid w:val="00B36CCD"/>
    <w:rsid w:val="00B36D31"/>
    <w:rsid w:val="00B36DF5"/>
    <w:rsid w:val="00B36F3A"/>
    <w:rsid w:val="00B36F94"/>
    <w:rsid w:val="00B371D1"/>
    <w:rsid w:val="00B37202"/>
    <w:rsid w:val="00B375D9"/>
    <w:rsid w:val="00B379D0"/>
    <w:rsid w:val="00B37A70"/>
    <w:rsid w:val="00B37A82"/>
    <w:rsid w:val="00B37AA1"/>
    <w:rsid w:val="00B37ABE"/>
    <w:rsid w:val="00B37BEB"/>
    <w:rsid w:val="00B37C28"/>
    <w:rsid w:val="00B37C2E"/>
    <w:rsid w:val="00B37C81"/>
    <w:rsid w:val="00B37E2E"/>
    <w:rsid w:val="00B37E7D"/>
    <w:rsid w:val="00B37F23"/>
    <w:rsid w:val="00B37F84"/>
    <w:rsid w:val="00B40120"/>
    <w:rsid w:val="00B4052B"/>
    <w:rsid w:val="00B4055D"/>
    <w:rsid w:val="00B40608"/>
    <w:rsid w:val="00B40746"/>
    <w:rsid w:val="00B407EC"/>
    <w:rsid w:val="00B40954"/>
    <w:rsid w:val="00B409C8"/>
    <w:rsid w:val="00B40B7F"/>
    <w:rsid w:val="00B40C63"/>
    <w:rsid w:val="00B40CB7"/>
    <w:rsid w:val="00B40E14"/>
    <w:rsid w:val="00B40F5E"/>
    <w:rsid w:val="00B41120"/>
    <w:rsid w:val="00B411AD"/>
    <w:rsid w:val="00B411D3"/>
    <w:rsid w:val="00B41273"/>
    <w:rsid w:val="00B41356"/>
    <w:rsid w:val="00B415F5"/>
    <w:rsid w:val="00B41643"/>
    <w:rsid w:val="00B41828"/>
    <w:rsid w:val="00B419D1"/>
    <w:rsid w:val="00B41C15"/>
    <w:rsid w:val="00B41E04"/>
    <w:rsid w:val="00B41F02"/>
    <w:rsid w:val="00B42165"/>
    <w:rsid w:val="00B42166"/>
    <w:rsid w:val="00B424BB"/>
    <w:rsid w:val="00B42728"/>
    <w:rsid w:val="00B427BC"/>
    <w:rsid w:val="00B42931"/>
    <w:rsid w:val="00B429F4"/>
    <w:rsid w:val="00B42B19"/>
    <w:rsid w:val="00B42B49"/>
    <w:rsid w:val="00B42E5A"/>
    <w:rsid w:val="00B43010"/>
    <w:rsid w:val="00B4309A"/>
    <w:rsid w:val="00B430FB"/>
    <w:rsid w:val="00B43146"/>
    <w:rsid w:val="00B4335A"/>
    <w:rsid w:val="00B437AC"/>
    <w:rsid w:val="00B4399E"/>
    <w:rsid w:val="00B439E5"/>
    <w:rsid w:val="00B43A8F"/>
    <w:rsid w:val="00B43B13"/>
    <w:rsid w:val="00B43CEC"/>
    <w:rsid w:val="00B43EC3"/>
    <w:rsid w:val="00B44029"/>
    <w:rsid w:val="00B44103"/>
    <w:rsid w:val="00B44214"/>
    <w:rsid w:val="00B442B4"/>
    <w:rsid w:val="00B443F7"/>
    <w:rsid w:val="00B4446C"/>
    <w:rsid w:val="00B4496C"/>
    <w:rsid w:val="00B44B62"/>
    <w:rsid w:val="00B44CD9"/>
    <w:rsid w:val="00B44ECD"/>
    <w:rsid w:val="00B44F2E"/>
    <w:rsid w:val="00B45118"/>
    <w:rsid w:val="00B451A4"/>
    <w:rsid w:val="00B451AC"/>
    <w:rsid w:val="00B451EC"/>
    <w:rsid w:val="00B45300"/>
    <w:rsid w:val="00B4532C"/>
    <w:rsid w:val="00B456CB"/>
    <w:rsid w:val="00B456D3"/>
    <w:rsid w:val="00B45B54"/>
    <w:rsid w:val="00B45BDF"/>
    <w:rsid w:val="00B45C8F"/>
    <w:rsid w:val="00B45E17"/>
    <w:rsid w:val="00B45E39"/>
    <w:rsid w:val="00B45E86"/>
    <w:rsid w:val="00B45ECB"/>
    <w:rsid w:val="00B45EDC"/>
    <w:rsid w:val="00B460C9"/>
    <w:rsid w:val="00B460F6"/>
    <w:rsid w:val="00B46148"/>
    <w:rsid w:val="00B4635C"/>
    <w:rsid w:val="00B4638F"/>
    <w:rsid w:val="00B463DC"/>
    <w:rsid w:val="00B4646D"/>
    <w:rsid w:val="00B464C3"/>
    <w:rsid w:val="00B46529"/>
    <w:rsid w:val="00B465DA"/>
    <w:rsid w:val="00B4668F"/>
    <w:rsid w:val="00B4686B"/>
    <w:rsid w:val="00B4690B"/>
    <w:rsid w:val="00B4695B"/>
    <w:rsid w:val="00B46969"/>
    <w:rsid w:val="00B46A17"/>
    <w:rsid w:val="00B46CAC"/>
    <w:rsid w:val="00B46CC8"/>
    <w:rsid w:val="00B46DDE"/>
    <w:rsid w:val="00B46E71"/>
    <w:rsid w:val="00B46FBD"/>
    <w:rsid w:val="00B46FFA"/>
    <w:rsid w:val="00B47061"/>
    <w:rsid w:val="00B47063"/>
    <w:rsid w:val="00B4720B"/>
    <w:rsid w:val="00B4729D"/>
    <w:rsid w:val="00B47393"/>
    <w:rsid w:val="00B473D7"/>
    <w:rsid w:val="00B47448"/>
    <w:rsid w:val="00B47557"/>
    <w:rsid w:val="00B4771E"/>
    <w:rsid w:val="00B477D4"/>
    <w:rsid w:val="00B4796C"/>
    <w:rsid w:val="00B47A1D"/>
    <w:rsid w:val="00B47A54"/>
    <w:rsid w:val="00B47A61"/>
    <w:rsid w:val="00B47B41"/>
    <w:rsid w:val="00B47BD2"/>
    <w:rsid w:val="00B47BF8"/>
    <w:rsid w:val="00B47CF2"/>
    <w:rsid w:val="00B47E41"/>
    <w:rsid w:val="00B4C777"/>
    <w:rsid w:val="00B5019A"/>
    <w:rsid w:val="00B503FA"/>
    <w:rsid w:val="00B5041C"/>
    <w:rsid w:val="00B5047D"/>
    <w:rsid w:val="00B5047F"/>
    <w:rsid w:val="00B504AA"/>
    <w:rsid w:val="00B504C3"/>
    <w:rsid w:val="00B5053F"/>
    <w:rsid w:val="00B505BC"/>
    <w:rsid w:val="00B505C7"/>
    <w:rsid w:val="00B50654"/>
    <w:rsid w:val="00B506E1"/>
    <w:rsid w:val="00B507DA"/>
    <w:rsid w:val="00B508D6"/>
    <w:rsid w:val="00B509BD"/>
    <w:rsid w:val="00B50A86"/>
    <w:rsid w:val="00B50AE3"/>
    <w:rsid w:val="00B50B5D"/>
    <w:rsid w:val="00B50B96"/>
    <w:rsid w:val="00B5122A"/>
    <w:rsid w:val="00B51638"/>
    <w:rsid w:val="00B519D4"/>
    <w:rsid w:val="00B51B04"/>
    <w:rsid w:val="00B51EF5"/>
    <w:rsid w:val="00B51F59"/>
    <w:rsid w:val="00B520C1"/>
    <w:rsid w:val="00B522BE"/>
    <w:rsid w:val="00B52305"/>
    <w:rsid w:val="00B52434"/>
    <w:rsid w:val="00B52514"/>
    <w:rsid w:val="00B52522"/>
    <w:rsid w:val="00B52613"/>
    <w:rsid w:val="00B526B8"/>
    <w:rsid w:val="00B52828"/>
    <w:rsid w:val="00B52B07"/>
    <w:rsid w:val="00B52B23"/>
    <w:rsid w:val="00B52DE8"/>
    <w:rsid w:val="00B52EDE"/>
    <w:rsid w:val="00B52F55"/>
    <w:rsid w:val="00B52F85"/>
    <w:rsid w:val="00B531B6"/>
    <w:rsid w:val="00B53268"/>
    <w:rsid w:val="00B53271"/>
    <w:rsid w:val="00B5336B"/>
    <w:rsid w:val="00B53440"/>
    <w:rsid w:val="00B53570"/>
    <w:rsid w:val="00B535DD"/>
    <w:rsid w:val="00B5360A"/>
    <w:rsid w:val="00B5361C"/>
    <w:rsid w:val="00B53641"/>
    <w:rsid w:val="00B53742"/>
    <w:rsid w:val="00B537D8"/>
    <w:rsid w:val="00B53816"/>
    <w:rsid w:val="00B5398A"/>
    <w:rsid w:val="00B53A49"/>
    <w:rsid w:val="00B53B39"/>
    <w:rsid w:val="00B53C0C"/>
    <w:rsid w:val="00B53E0B"/>
    <w:rsid w:val="00B53E17"/>
    <w:rsid w:val="00B53E81"/>
    <w:rsid w:val="00B53F5E"/>
    <w:rsid w:val="00B53F83"/>
    <w:rsid w:val="00B54062"/>
    <w:rsid w:val="00B54205"/>
    <w:rsid w:val="00B5433C"/>
    <w:rsid w:val="00B54452"/>
    <w:rsid w:val="00B54538"/>
    <w:rsid w:val="00B5479F"/>
    <w:rsid w:val="00B54EA3"/>
    <w:rsid w:val="00B54F04"/>
    <w:rsid w:val="00B55166"/>
    <w:rsid w:val="00B553C5"/>
    <w:rsid w:val="00B55565"/>
    <w:rsid w:val="00B555A9"/>
    <w:rsid w:val="00B557AD"/>
    <w:rsid w:val="00B55893"/>
    <w:rsid w:val="00B559DA"/>
    <w:rsid w:val="00B55AA1"/>
    <w:rsid w:val="00B55C8C"/>
    <w:rsid w:val="00B55CE0"/>
    <w:rsid w:val="00B55D2F"/>
    <w:rsid w:val="00B55D60"/>
    <w:rsid w:val="00B55DAC"/>
    <w:rsid w:val="00B55DE6"/>
    <w:rsid w:val="00B5608F"/>
    <w:rsid w:val="00B5609B"/>
    <w:rsid w:val="00B56114"/>
    <w:rsid w:val="00B56199"/>
    <w:rsid w:val="00B56319"/>
    <w:rsid w:val="00B564B8"/>
    <w:rsid w:val="00B564E7"/>
    <w:rsid w:val="00B565F2"/>
    <w:rsid w:val="00B567C2"/>
    <w:rsid w:val="00B56812"/>
    <w:rsid w:val="00B56830"/>
    <w:rsid w:val="00B56A92"/>
    <w:rsid w:val="00B56D10"/>
    <w:rsid w:val="00B56DD6"/>
    <w:rsid w:val="00B5701C"/>
    <w:rsid w:val="00B570D9"/>
    <w:rsid w:val="00B57338"/>
    <w:rsid w:val="00B57414"/>
    <w:rsid w:val="00B574CF"/>
    <w:rsid w:val="00B5759A"/>
    <w:rsid w:val="00B57657"/>
    <w:rsid w:val="00B576FD"/>
    <w:rsid w:val="00B57777"/>
    <w:rsid w:val="00B57994"/>
    <w:rsid w:val="00B57A91"/>
    <w:rsid w:val="00B57AAC"/>
    <w:rsid w:val="00B57D09"/>
    <w:rsid w:val="00B57E2D"/>
    <w:rsid w:val="00B57E5A"/>
    <w:rsid w:val="00B57F35"/>
    <w:rsid w:val="00B60088"/>
    <w:rsid w:val="00B60229"/>
    <w:rsid w:val="00B60360"/>
    <w:rsid w:val="00B603FB"/>
    <w:rsid w:val="00B605E3"/>
    <w:rsid w:val="00B606FD"/>
    <w:rsid w:val="00B607D0"/>
    <w:rsid w:val="00B60ADF"/>
    <w:rsid w:val="00B60E55"/>
    <w:rsid w:val="00B60FE1"/>
    <w:rsid w:val="00B60FE2"/>
    <w:rsid w:val="00B6106D"/>
    <w:rsid w:val="00B6131B"/>
    <w:rsid w:val="00B6149D"/>
    <w:rsid w:val="00B61610"/>
    <w:rsid w:val="00B6165F"/>
    <w:rsid w:val="00B616ED"/>
    <w:rsid w:val="00B61731"/>
    <w:rsid w:val="00B617CD"/>
    <w:rsid w:val="00B61A3B"/>
    <w:rsid w:val="00B61A6C"/>
    <w:rsid w:val="00B61BC2"/>
    <w:rsid w:val="00B61DE8"/>
    <w:rsid w:val="00B61E27"/>
    <w:rsid w:val="00B61E34"/>
    <w:rsid w:val="00B61F62"/>
    <w:rsid w:val="00B61FE3"/>
    <w:rsid w:val="00B620AE"/>
    <w:rsid w:val="00B62110"/>
    <w:rsid w:val="00B6212D"/>
    <w:rsid w:val="00B62134"/>
    <w:rsid w:val="00B6213C"/>
    <w:rsid w:val="00B622D2"/>
    <w:rsid w:val="00B62344"/>
    <w:rsid w:val="00B624A6"/>
    <w:rsid w:val="00B6259F"/>
    <w:rsid w:val="00B62917"/>
    <w:rsid w:val="00B62932"/>
    <w:rsid w:val="00B62963"/>
    <w:rsid w:val="00B62968"/>
    <w:rsid w:val="00B62978"/>
    <w:rsid w:val="00B62A35"/>
    <w:rsid w:val="00B62A6D"/>
    <w:rsid w:val="00B62B96"/>
    <w:rsid w:val="00B62CE7"/>
    <w:rsid w:val="00B62DA1"/>
    <w:rsid w:val="00B632B0"/>
    <w:rsid w:val="00B632B8"/>
    <w:rsid w:val="00B63308"/>
    <w:rsid w:val="00B63395"/>
    <w:rsid w:val="00B634D3"/>
    <w:rsid w:val="00B63710"/>
    <w:rsid w:val="00B6390B"/>
    <w:rsid w:val="00B6394B"/>
    <w:rsid w:val="00B63A18"/>
    <w:rsid w:val="00B63C54"/>
    <w:rsid w:val="00B63CAE"/>
    <w:rsid w:val="00B64032"/>
    <w:rsid w:val="00B6406E"/>
    <w:rsid w:val="00B64080"/>
    <w:rsid w:val="00B642FC"/>
    <w:rsid w:val="00B643F1"/>
    <w:rsid w:val="00B64400"/>
    <w:rsid w:val="00B6473F"/>
    <w:rsid w:val="00B648A6"/>
    <w:rsid w:val="00B649E3"/>
    <w:rsid w:val="00B64A30"/>
    <w:rsid w:val="00B64DD6"/>
    <w:rsid w:val="00B64E58"/>
    <w:rsid w:val="00B64E81"/>
    <w:rsid w:val="00B64ECD"/>
    <w:rsid w:val="00B65139"/>
    <w:rsid w:val="00B65194"/>
    <w:rsid w:val="00B6538A"/>
    <w:rsid w:val="00B6551D"/>
    <w:rsid w:val="00B6557D"/>
    <w:rsid w:val="00B658D6"/>
    <w:rsid w:val="00B65CC8"/>
    <w:rsid w:val="00B65D38"/>
    <w:rsid w:val="00B65DB5"/>
    <w:rsid w:val="00B65E78"/>
    <w:rsid w:val="00B65F96"/>
    <w:rsid w:val="00B66065"/>
    <w:rsid w:val="00B660E4"/>
    <w:rsid w:val="00B66344"/>
    <w:rsid w:val="00B666C2"/>
    <w:rsid w:val="00B6678D"/>
    <w:rsid w:val="00B6679A"/>
    <w:rsid w:val="00B669D8"/>
    <w:rsid w:val="00B669F7"/>
    <w:rsid w:val="00B66A05"/>
    <w:rsid w:val="00B66BC0"/>
    <w:rsid w:val="00B66CD9"/>
    <w:rsid w:val="00B66EBC"/>
    <w:rsid w:val="00B66F45"/>
    <w:rsid w:val="00B66F54"/>
    <w:rsid w:val="00B67002"/>
    <w:rsid w:val="00B67056"/>
    <w:rsid w:val="00B670B0"/>
    <w:rsid w:val="00B67129"/>
    <w:rsid w:val="00B67167"/>
    <w:rsid w:val="00B671B5"/>
    <w:rsid w:val="00B67314"/>
    <w:rsid w:val="00B6736E"/>
    <w:rsid w:val="00B67390"/>
    <w:rsid w:val="00B673AC"/>
    <w:rsid w:val="00B6740B"/>
    <w:rsid w:val="00B675E7"/>
    <w:rsid w:val="00B676CB"/>
    <w:rsid w:val="00B67790"/>
    <w:rsid w:val="00B677FC"/>
    <w:rsid w:val="00B67B01"/>
    <w:rsid w:val="00B67B1E"/>
    <w:rsid w:val="00B67E4F"/>
    <w:rsid w:val="00B6F841"/>
    <w:rsid w:val="00B70033"/>
    <w:rsid w:val="00B702AE"/>
    <w:rsid w:val="00B7046D"/>
    <w:rsid w:val="00B704D6"/>
    <w:rsid w:val="00B706F2"/>
    <w:rsid w:val="00B706F9"/>
    <w:rsid w:val="00B70761"/>
    <w:rsid w:val="00B70B4C"/>
    <w:rsid w:val="00B70DBA"/>
    <w:rsid w:val="00B71170"/>
    <w:rsid w:val="00B71236"/>
    <w:rsid w:val="00B71399"/>
    <w:rsid w:val="00B7145C"/>
    <w:rsid w:val="00B7168C"/>
    <w:rsid w:val="00B71B92"/>
    <w:rsid w:val="00B71C88"/>
    <w:rsid w:val="00B71D4F"/>
    <w:rsid w:val="00B71E13"/>
    <w:rsid w:val="00B720C0"/>
    <w:rsid w:val="00B7241C"/>
    <w:rsid w:val="00B72476"/>
    <w:rsid w:val="00B724BD"/>
    <w:rsid w:val="00B725EB"/>
    <w:rsid w:val="00B7266C"/>
    <w:rsid w:val="00B72845"/>
    <w:rsid w:val="00B7293F"/>
    <w:rsid w:val="00B72A1E"/>
    <w:rsid w:val="00B72CED"/>
    <w:rsid w:val="00B72E63"/>
    <w:rsid w:val="00B72F08"/>
    <w:rsid w:val="00B73000"/>
    <w:rsid w:val="00B730EB"/>
    <w:rsid w:val="00B73369"/>
    <w:rsid w:val="00B7340F"/>
    <w:rsid w:val="00B7359D"/>
    <w:rsid w:val="00B73839"/>
    <w:rsid w:val="00B73A26"/>
    <w:rsid w:val="00B73A37"/>
    <w:rsid w:val="00B73A4A"/>
    <w:rsid w:val="00B73A6E"/>
    <w:rsid w:val="00B73C30"/>
    <w:rsid w:val="00B73F16"/>
    <w:rsid w:val="00B74025"/>
    <w:rsid w:val="00B74063"/>
    <w:rsid w:val="00B7409B"/>
    <w:rsid w:val="00B741AA"/>
    <w:rsid w:val="00B74302"/>
    <w:rsid w:val="00B744CD"/>
    <w:rsid w:val="00B744D7"/>
    <w:rsid w:val="00B744F6"/>
    <w:rsid w:val="00B7455E"/>
    <w:rsid w:val="00B746CD"/>
    <w:rsid w:val="00B746DD"/>
    <w:rsid w:val="00B74737"/>
    <w:rsid w:val="00B747F8"/>
    <w:rsid w:val="00B7483D"/>
    <w:rsid w:val="00B74976"/>
    <w:rsid w:val="00B74981"/>
    <w:rsid w:val="00B74A31"/>
    <w:rsid w:val="00B74B30"/>
    <w:rsid w:val="00B74C6F"/>
    <w:rsid w:val="00B74D7E"/>
    <w:rsid w:val="00B74FA4"/>
    <w:rsid w:val="00B75077"/>
    <w:rsid w:val="00B75108"/>
    <w:rsid w:val="00B75368"/>
    <w:rsid w:val="00B75374"/>
    <w:rsid w:val="00B7555C"/>
    <w:rsid w:val="00B75563"/>
    <w:rsid w:val="00B7574D"/>
    <w:rsid w:val="00B757E2"/>
    <w:rsid w:val="00B7583A"/>
    <w:rsid w:val="00B75C8C"/>
    <w:rsid w:val="00B75CC3"/>
    <w:rsid w:val="00B75E98"/>
    <w:rsid w:val="00B75FCC"/>
    <w:rsid w:val="00B76024"/>
    <w:rsid w:val="00B76057"/>
    <w:rsid w:val="00B760D2"/>
    <w:rsid w:val="00B76286"/>
    <w:rsid w:val="00B7630D"/>
    <w:rsid w:val="00B766CD"/>
    <w:rsid w:val="00B7684D"/>
    <w:rsid w:val="00B76940"/>
    <w:rsid w:val="00B76A44"/>
    <w:rsid w:val="00B76AF5"/>
    <w:rsid w:val="00B76C2E"/>
    <w:rsid w:val="00B76CD8"/>
    <w:rsid w:val="00B76CD9"/>
    <w:rsid w:val="00B76D21"/>
    <w:rsid w:val="00B76DDF"/>
    <w:rsid w:val="00B76DE2"/>
    <w:rsid w:val="00B76E4D"/>
    <w:rsid w:val="00B76ED9"/>
    <w:rsid w:val="00B76F72"/>
    <w:rsid w:val="00B76FC0"/>
    <w:rsid w:val="00B771F4"/>
    <w:rsid w:val="00B77432"/>
    <w:rsid w:val="00B77488"/>
    <w:rsid w:val="00B7749E"/>
    <w:rsid w:val="00B776B0"/>
    <w:rsid w:val="00B777C7"/>
    <w:rsid w:val="00B77962"/>
    <w:rsid w:val="00B77A20"/>
    <w:rsid w:val="00B77A80"/>
    <w:rsid w:val="00B77B2F"/>
    <w:rsid w:val="00B77C44"/>
    <w:rsid w:val="00B77CF2"/>
    <w:rsid w:val="00B77D25"/>
    <w:rsid w:val="00B77D95"/>
    <w:rsid w:val="00B77F9E"/>
    <w:rsid w:val="00B80192"/>
    <w:rsid w:val="00B8046D"/>
    <w:rsid w:val="00B80487"/>
    <w:rsid w:val="00B8048E"/>
    <w:rsid w:val="00B805BA"/>
    <w:rsid w:val="00B805E0"/>
    <w:rsid w:val="00B8063C"/>
    <w:rsid w:val="00B80690"/>
    <w:rsid w:val="00B808D6"/>
    <w:rsid w:val="00B8092C"/>
    <w:rsid w:val="00B80B27"/>
    <w:rsid w:val="00B80B70"/>
    <w:rsid w:val="00B80BA2"/>
    <w:rsid w:val="00B80C9F"/>
    <w:rsid w:val="00B80D59"/>
    <w:rsid w:val="00B80ECD"/>
    <w:rsid w:val="00B80F75"/>
    <w:rsid w:val="00B80F82"/>
    <w:rsid w:val="00B8100E"/>
    <w:rsid w:val="00B81138"/>
    <w:rsid w:val="00B81182"/>
    <w:rsid w:val="00B81287"/>
    <w:rsid w:val="00B812B3"/>
    <w:rsid w:val="00B81794"/>
    <w:rsid w:val="00B81954"/>
    <w:rsid w:val="00B81A04"/>
    <w:rsid w:val="00B81A05"/>
    <w:rsid w:val="00B81A10"/>
    <w:rsid w:val="00B81BB3"/>
    <w:rsid w:val="00B81BF2"/>
    <w:rsid w:val="00B81C6F"/>
    <w:rsid w:val="00B81CD2"/>
    <w:rsid w:val="00B81DCF"/>
    <w:rsid w:val="00B81E05"/>
    <w:rsid w:val="00B81F39"/>
    <w:rsid w:val="00B81FC9"/>
    <w:rsid w:val="00B821AA"/>
    <w:rsid w:val="00B822DC"/>
    <w:rsid w:val="00B8242B"/>
    <w:rsid w:val="00B82440"/>
    <w:rsid w:val="00B8256B"/>
    <w:rsid w:val="00B8269D"/>
    <w:rsid w:val="00B8278D"/>
    <w:rsid w:val="00B8290F"/>
    <w:rsid w:val="00B82992"/>
    <w:rsid w:val="00B82AC0"/>
    <w:rsid w:val="00B82B23"/>
    <w:rsid w:val="00B82C50"/>
    <w:rsid w:val="00B82FC5"/>
    <w:rsid w:val="00B83021"/>
    <w:rsid w:val="00B83212"/>
    <w:rsid w:val="00B832D5"/>
    <w:rsid w:val="00B83357"/>
    <w:rsid w:val="00B8337B"/>
    <w:rsid w:val="00B83417"/>
    <w:rsid w:val="00B83595"/>
    <w:rsid w:val="00B835DF"/>
    <w:rsid w:val="00B83617"/>
    <w:rsid w:val="00B836B1"/>
    <w:rsid w:val="00B8376B"/>
    <w:rsid w:val="00B83796"/>
    <w:rsid w:val="00B838AF"/>
    <w:rsid w:val="00B838C7"/>
    <w:rsid w:val="00B83928"/>
    <w:rsid w:val="00B83A95"/>
    <w:rsid w:val="00B83AA2"/>
    <w:rsid w:val="00B83F4C"/>
    <w:rsid w:val="00B84031"/>
    <w:rsid w:val="00B84182"/>
    <w:rsid w:val="00B84223"/>
    <w:rsid w:val="00B8423F"/>
    <w:rsid w:val="00B8428F"/>
    <w:rsid w:val="00B8433D"/>
    <w:rsid w:val="00B8441C"/>
    <w:rsid w:val="00B844BD"/>
    <w:rsid w:val="00B84688"/>
    <w:rsid w:val="00B84771"/>
    <w:rsid w:val="00B847A8"/>
    <w:rsid w:val="00B84868"/>
    <w:rsid w:val="00B84949"/>
    <w:rsid w:val="00B849E0"/>
    <w:rsid w:val="00B84BF8"/>
    <w:rsid w:val="00B84CE5"/>
    <w:rsid w:val="00B84CEA"/>
    <w:rsid w:val="00B84D6F"/>
    <w:rsid w:val="00B84DD7"/>
    <w:rsid w:val="00B84F48"/>
    <w:rsid w:val="00B85320"/>
    <w:rsid w:val="00B85328"/>
    <w:rsid w:val="00B853C8"/>
    <w:rsid w:val="00B853F8"/>
    <w:rsid w:val="00B85669"/>
    <w:rsid w:val="00B85690"/>
    <w:rsid w:val="00B856EA"/>
    <w:rsid w:val="00B8583A"/>
    <w:rsid w:val="00B85A75"/>
    <w:rsid w:val="00B85B41"/>
    <w:rsid w:val="00B85BC2"/>
    <w:rsid w:val="00B85CF6"/>
    <w:rsid w:val="00B85D1B"/>
    <w:rsid w:val="00B85DB0"/>
    <w:rsid w:val="00B85F1F"/>
    <w:rsid w:val="00B85FD9"/>
    <w:rsid w:val="00B86018"/>
    <w:rsid w:val="00B86170"/>
    <w:rsid w:val="00B86187"/>
    <w:rsid w:val="00B862FC"/>
    <w:rsid w:val="00B8673D"/>
    <w:rsid w:val="00B8680C"/>
    <w:rsid w:val="00B869BC"/>
    <w:rsid w:val="00B86E18"/>
    <w:rsid w:val="00B86E25"/>
    <w:rsid w:val="00B86E85"/>
    <w:rsid w:val="00B86F6C"/>
    <w:rsid w:val="00B8732F"/>
    <w:rsid w:val="00B87418"/>
    <w:rsid w:val="00B87593"/>
    <w:rsid w:val="00B87624"/>
    <w:rsid w:val="00B87748"/>
    <w:rsid w:val="00B87A8C"/>
    <w:rsid w:val="00B87AC3"/>
    <w:rsid w:val="00B87BA7"/>
    <w:rsid w:val="00B87BE3"/>
    <w:rsid w:val="00B87E7E"/>
    <w:rsid w:val="00B87E91"/>
    <w:rsid w:val="00B87EDF"/>
    <w:rsid w:val="00B87F70"/>
    <w:rsid w:val="00B900BD"/>
    <w:rsid w:val="00B9011B"/>
    <w:rsid w:val="00B9016F"/>
    <w:rsid w:val="00B9043B"/>
    <w:rsid w:val="00B90497"/>
    <w:rsid w:val="00B90765"/>
    <w:rsid w:val="00B90C3C"/>
    <w:rsid w:val="00B90C4A"/>
    <w:rsid w:val="00B90CE5"/>
    <w:rsid w:val="00B90DC3"/>
    <w:rsid w:val="00B90E51"/>
    <w:rsid w:val="00B90EF4"/>
    <w:rsid w:val="00B90EFD"/>
    <w:rsid w:val="00B90FC5"/>
    <w:rsid w:val="00B90FF2"/>
    <w:rsid w:val="00B91186"/>
    <w:rsid w:val="00B912CF"/>
    <w:rsid w:val="00B912DB"/>
    <w:rsid w:val="00B9144F"/>
    <w:rsid w:val="00B91891"/>
    <w:rsid w:val="00B91A8F"/>
    <w:rsid w:val="00B91CC9"/>
    <w:rsid w:val="00B91E88"/>
    <w:rsid w:val="00B91EBD"/>
    <w:rsid w:val="00B9214B"/>
    <w:rsid w:val="00B92171"/>
    <w:rsid w:val="00B921DE"/>
    <w:rsid w:val="00B922C1"/>
    <w:rsid w:val="00B923AE"/>
    <w:rsid w:val="00B92452"/>
    <w:rsid w:val="00B9254B"/>
    <w:rsid w:val="00B92594"/>
    <w:rsid w:val="00B92809"/>
    <w:rsid w:val="00B9298A"/>
    <w:rsid w:val="00B92B2A"/>
    <w:rsid w:val="00B92B49"/>
    <w:rsid w:val="00B92B62"/>
    <w:rsid w:val="00B92BE2"/>
    <w:rsid w:val="00B92BFC"/>
    <w:rsid w:val="00B92D8A"/>
    <w:rsid w:val="00B92F54"/>
    <w:rsid w:val="00B93202"/>
    <w:rsid w:val="00B9326C"/>
    <w:rsid w:val="00B934E7"/>
    <w:rsid w:val="00B93622"/>
    <w:rsid w:val="00B9362E"/>
    <w:rsid w:val="00B93666"/>
    <w:rsid w:val="00B93C1B"/>
    <w:rsid w:val="00B93CF4"/>
    <w:rsid w:val="00B93EB0"/>
    <w:rsid w:val="00B93F78"/>
    <w:rsid w:val="00B94253"/>
    <w:rsid w:val="00B94346"/>
    <w:rsid w:val="00B94380"/>
    <w:rsid w:val="00B9442E"/>
    <w:rsid w:val="00B94506"/>
    <w:rsid w:val="00B945F5"/>
    <w:rsid w:val="00B946E6"/>
    <w:rsid w:val="00B9479D"/>
    <w:rsid w:val="00B94A1A"/>
    <w:rsid w:val="00B94CF6"/>
    <w:rsid w:val="00B94D61"/>
    <w:rsid w:val="00B94E07"/>
    <w:rsid w:val="00B94F1D"/>
    <w:rsid w:val="00B94F4D"/>
    <w:rsid w:val="00B95097"/>
    <w:rsid w:val="00B9520F"/>
    <w:rsid w:val="00B95259"/>
    <w:rsid w:val="00B95458"/>
    <w:rsid w:val="00B954E8"/>
    <w:rsid w:val="00B954F9"/>
    <w:rsid w:val="00B9555A"/>
    <w:rsid w:val="00B955D5"/>
    <w:rsid w:val="00B955FF"/>
    <w:rsid w:val="00B95614"/>
    <w:rsid w:val="00B95757"/>
    <w:rsid w:val="00B95878"/>
    <w:rsid w:val="00B959B6"/>
    <w:rsid w:val="00B95A77"/>
    <w:rsid w:val="00B95B72"/>
    <w:rsid w:val="00B95B93"/>
    <w:rsid w:val="00B95C4B"/>
    <w:rsid w:val="00B95C69"/>
    <w:rsid w:val="00B95DC4"/>
    <w:rsid w:val="00B95E9C"/>
    <w:rsid w:val="00B962CB"/>
    <w:rsid w:val="00B96345"/>
    <w:rsid w:val="00B9641E"/>
    <w:rsid w:val="00B9649A"/>
    <w:rsid w:val="00B96769"/>
    <w:rsid w:val="00B96805"/>
    <w:rsid w:val="00B96831"/>
    <w:rsid w:val="00B96A6C"/>
    <w:rsid w:val="00B96B47"/>
    <w:rsid w:val="00B96B84"/>
    <w:rsid w:val="00B96BB2"/>
    <w:rsid w:val="00B96C44"/>
    <w:rsid w:val="00B96C9D"/>
    <w:rsid w:val="00B96CCC"/>
    <w:rsid w:val="00B96D2C"/>
    <w:rsid w:val="00B96D37"/>
    <w:rsid w:val="00B96ED1"/>
    <w:rsid w:val="00B96FDC"/>
    <w:rsid w:val="00B9725C"/>
    <w:rsid w:val="00B97293"/>
    <w:rsid w:val="00B972D2"/>
    <w:rsid w:val="00B975C0"/>
    <w:rsid w:val="00B97B35"/>
    <w:rsid w:val="00B97D6A"/>
    <w:rsid w:val="00B97DC3"/>
    <w:rsid w:val="00B97F62"/>
    <w:rsid w:val="00BA0278"/>
    <w:rsid w:val="00BA02A1"/>
    <w:rsid w:val="00BA02C7"/>
    <w:rsid w:val="00BA02EC"/>
    <w:rsid w:val="00BA0332"/>
    <w:rsid w:val="00BA040D"/>
    <w:rsid w:val="00BA0606"/>
    <w:rsid w:val="00BA0650"/>
    <w:rsid w:val="00BA0657"/>
    <w:rsid w:val="00BA068B"/>
    <w:rsid w:val="00BA06A5"/>
    <w:rsid w:val="00BA0854"/>
    <w:rsid w:val="00BA0B21"/>
    <w:rsid w:val="00BA0C0E"/>
    <w:rsid w:val="00BA0C4C"/>
    <w:rsid w:val="00BA0C5D"/>
    <w:rsid w:val="00BA0DD6"/>
    <w:rsid w:val="00BA0DEE"/>
    <w:rsid w:val="00BA0F0F"/>
    <w:rsid w:val="00BA10CF"/>
    <w:rsid w:val="00BA125B"/>
    <w:rsid w:val="00BA1269"/>
    <w:rsid w:val="00BA1417"/>
    <w:rsid w:val="00BA15FE"/>
    <w:rsid w:val="00BA168A"/>
    <w:rsid w:val="00BA179D"/>
    <w:rsid w:val="00BA18EB"/>
    <w:rsid w:val="00BA191C"/>
    <w:rsid w:val="00BA1AA1"/>
    <w:rsid w:val="00BA1B2E"/>
    <w:rsid w:val="00BA1B65"/>
    <w:rsid w:val="00BA1B6B"/>
    <w:rsid w:val="00BA1C60"/>
    <w:rsid w:val="00BA1DE6"/>
    <w:rsid w:val="00BA1E16"/>
    <w:rsid w:val="00BA1EEF"/>
    <w:rsid w:val="00BA1FDE"/>
    <w:rsid w:val="00BA2263"/>
    <w:rsid w:val="00BA2288"/>
    <w:rsid w:val="00BA22F2"/>
    <w:rsid w:val="00BA2313"/>
    <w:rsid w:val="00BA23E3"/>
    <w:rsid w:val="00BA2487"/>
    <w:rsid w:val="00BA267A"/>
    <w:rsid w:val="00BA27FB"/>
    <w:rsid w:val="00BA2B3F"/>
    <w:rsid w:val="00BA2BCD"/>
    <w:rsid w:val="00BA2C2A"/>
    <w:rsid w:val="00BA2E5E"/>
    <w:rsid w:val="00BA2EA8"/>
    <w:rsid w:val="00BA3081"/>
    <w:rsid w:val="00BA341D"/>
    <w:rsid w:val="00BA34CD"/>
    <w:rsid w:val="00BA3641"/>
    <w:rsid w:val="00BA3739"/>
    <w:rsid w:val="00BA37BC"/>
    <w:rsid w:val="00BA383F"/>
    <w:rsid w:val="00BA3860"/>
    <w:rsid w:val="00BA387E"/>
    <w:rsid w:val="00BA3979"/>
    <w:rsid w:val="00BA3B47"/>
    <w:rsid w:val="00BA3B4E"/>
    <w:rsid w:val="00BA3BC3"/>
    <w:rsid w:val="00BA3BD8"/>
    <w:rsid w:val="00BA3E27"/>
    <w:rsid w:val="00BA3E3F"/>
    <w:rsid w:val="00BA3ED9"/>
    <w:rsid w:val="00BA3F87"/>
    <w:rsid w:val="00BA4148"/>
    <w:rsid w:val="00BA417A"/>
    <w:rsid w:val="00BA42A5"/>
    <w:rsid w:val="00BA42F7"/>
    <w:rsid w:val="00BA468D"/>
    <w:rsid w:val="00BA4826"/>
    <w:rsid w:val="00BA4884"/>
    <w:rsid w:val="00BA49D3"/>
    <w:rsid w:val="00BA4A12"/>
    <w:rsid w:val="00BA4A41"/>
    <w:rsid w:val="00BA4AB8"/>
    <w:rsid w:val="00BA4C36"/>
    <w:rsid w:val="00BA4C6E"/>
    <w:rsid w:val="00BA4CC0"/>
    <w:rsid w:val="00BA4EF0"/>
    <w:rsid w:val="00BA510A"/>
    <w:rsid w:val="00BA525D"/>
    <w:rsid w:val="00BA5308"/>
    <w:rsid w:val="00BA530B"/>
    <w:rsid w:val="00BA53B6"/>
    <w:rsid w:val="00BA547D"/>
    <w:rsid w:val="00BA549C"/>
    <w:rsid w:val="00BA567E"/>
    <w:rsid w:val="00BA56E3"/>
    <w:rsid w:val="00BA57C1"/>
    <w:rsid w:val="00BA5AD0"/>
    <w:rsid w:val="00BA5AF4"/>
    <w:rsid w:val="00BA5C80"/>
    <w:rsid w:val="00BA5D79"/>
    <w:rsid w:val="00BA5E50"/>
    <w:rsid w:val="00BA6129"/>
    <w:rsid w:val="00BA6378"/>
    <w:rsid w:val="00BA63DA"/>
    <w:rsid w:val="00BA64B2"/>
    <w:rsid w:val="00BA64DB"/>
    <w:rsid w:val="00BA6557"/>
    <w:rsid w:val="00BA6588"/>
    <w:rsid w:val="00BA6659"/>
    <w:rsid w:val="00BA67A0"/>
    <w:rsid w:val="00BA681C"/>
    <w:rsid w:val="00BA68A0"/>
    <w:rsid w:val="00BA68E5"/>
    <w:rsid w:val="00BA6A1D"/>
    <w:rsid w:val="00BA6AA0"/>
    <w:rsid w:val="00BA6B02"/>
    <w:rsid w:val="00BA6B5B"/>
    <w:rsid w:val="00BA6B60"/>
    <w:rsid w:val="00BA6CC6"/>
    <w:rsid w:val="00BA6D39"/>
    <w:rsid w:val="00BA6DA3"/>
    <w:rsid w:val="00BA6E5D"/>
    <w:rsid w:val="00BA6E88"/>
    <w:rsid w:val="00BA6F27"/>
    <w:rsid w:val="00BA7076"/>
    <w:rsid w:val="00BA70BC"/>
    <w:rsid w:val="00BA70F4"/>
    <w:rsid w:val="00BA71FA"/>
    <w:rsid w:val="00BA77B3"/>
    <w:rsid w:val="00BA78B8"/>
    <w:rsid w:val="00BA78C4"/>
    <w:rsid w:val="00BA790D"/>
    <w:rsid w:val="00BA7969"/>
    <w:rsid w:val="00BA799B"/>
    <w:rsid w:val="00BA7A2F"/>
    <w:rsid w:val="00BA7A98"/>
    <w:rsid w:val="00BB0297"/>
    <w:rsid w:val="00BB03C9"/>
    <w:rsid w:val="00BB04D7"/>
    <w:rsid w:val="00BB0559"/>
    <w:rsid w:val="00BB077B"/>
    <w:rsid w:val="00BB0809"/>
    <w:rsid w:val="00BB086D"/>
    <w:rsid w:val="00BB0898"/>
    <w:rsid w:val="00BB0950"/>
    <w:rsid w:val="00BB0AFC"/>
    <w:rsid w:val="00BB0B7D"/>
    <w:rsid w:val="00BB0CB6"/>
    <w:rsid w:val="00BB0D5F"/>
    <w:rsid w:val="00BB0FA0"/>
    <w:rsid w:val="00BB115A"/>
    <w:rsid w:val="00BB11DD"/>
    <w:rsid w:val="00BB123A"/>
    <w:rsid w:val="00BB126D"/>
    <w:rsid w:val="00BB12D5"/>
    <w:rsid w:val="00BB13CF"/>
    <w:rsid w:val="00BB1511"/>
    <w:rsid w:val="00BB1672"/>
    <w:rsid w:val="00BB190E"/>
    <w:rsid w:val="00BB1986"/>
    <w:rsid w:val="00BB19E9"/>
    <w:rsid w:val="00BB1CF4"/>
    <w:rsid w:val="00BB1DBA"/>
    <w:rsid w:val="00BB1F14"/>
    <w:rsid w:val="00BB206B"/>
    <w:rsid w:val="00BB2567"/>
    <w:rsid w:val="00BB25C4"/>
    <w:rsid w:val="00BB2605"/>
    <w:rsid w:val="00BB2632"/>
    <w:rsid w:val="00BB2677"/>
    <w:rsid w:val="00BB270E"/>
    <w:rsid w:val="00BB29A8"/>
    <w:rsid w:val="00BB29C6"/>
    <w:rsid w:val="00BB2A23"/>
    <w:rsid w:val="00BB2B6A"/>
    <w:rsid w:val="00BB2CCA"/>
    <w:rsid w:val="00BB2CEF"/>
    <w:rsid w:val="00BB2D2D"/>
    <w:rsid w:val="00BB2FB4"/>
    <w:rsid w:val="00BB328F"/>
    <w:rsid w:val="00BB341F"/>
    <w:rsid w:val="00BB343F"/>
    <w:rsid w:val="00BB360A"/>
    <w:rsid w:val="00BB3652"/>
    <w:rsid w:val="00BB366C"/>
    <w:rsid w:val="00BB374B"/>
    <w:rsid w:val="00BB39B1"/>
    <w:rsid w:val="00BB3B0F"/>
    <w:rsid w:val="00BB3BAB"/>
    <w:rsid w:val="00BB3BB2"/>
    <w:rsid w:val="00BB3BD4"/>
    <w:rsid w:val="00BB3C80"/>
    <w:rsid w:val="00BB3D81"/>
    <w:rsid w:val="00BB40C2"/>
    <w:rsid w:val="00BB42BB"/>
    <w:rsid w:val="00BB431A"/>
    <w:rsid w:val="00BB433B"/>
    <w:rsid w:val="00BB4417"/>
    <w:rsid w:val="00BB46BB"/>
    <w:rsid w:val="00BB4A7A"/>
    <w:rsid w:val="00BB4ABB"/>
    <w:rsid w:val="00BB4BA6"/>
    <w:rsid w:val="00BB4BE2"/>
    <w:rsid w:val="00BB501E"/>
    <w:rsid w:val="00BB508D"/>
    <w:rsid w:val="00BB5139"/>
    <w:rsid w:val="00BB513C"/>
    <w:rsid w:val="00BB51A7"/>
    <w:rsid w:val="00BB52DF"/>
    <w:rsid w:val="00BB54DC"/>
    <w:rsid w:val="00BB5A7E"/>
    <w:rsid w:val="00BB5ACD"/>
    <w:rsid w:val="00BB5C16"/>
    <w:rsid w:val="00BB5D9E"/>
    <w:rsid w:val="00BB5F57"/>
    <w:rsid w:val="00BB5FCA"/>
    <w:rsid w:val="00BB60C1"/>
    <w:rsid w:val="00BB6212"/>
    <w:rsid w:val="00BB629D"/>
    <w:rsid w:val="00BB6668"/>
    <w:rsid w:val="00BB66DF"/>
    <w:rsid w:val="00BB66E9"/>
    <w:rsid w:val="00BB6723"/>
    <w:rsid w:val="00BB67D5"/>
    <w:rsid w:val="00BB681E"/>
    <w:rsid w:val="00BB68C3"/>
    <w:rsid w:val="00BB69E5"/>
    <w:rsid w:val="00BB6A3A"/>
    <w:rsid w:val="00BB6A65"/>
    <w:rsid w:val="00BB6CA8"/>
    <w:rsid w:val="00BB6CB3"/>
    <w:rsid w:val="00BB6D4E"/>
    <w:rsid w:val="00BB6DC2"/>
    <w:rsid w:val="00BB6E44"/>
    <w:rsid w:val="00BB7181"/>
    <w:rsid w:val="00BB719C"/>
    <w:rsid w:val="00BB71EF"/>
    <w:rsid w:val="00BB740B"/>
    <w:rsid w:val="00BB75FF"/>
    <w:rsid w:val="00BB7709"/>
    <w:rsid w:val="00BB7759"/>
    <w:rsid w:val="00BB785D"/>
    <w:rsid w:val="00BB7949"/>
    <w:rsid w:val="00BB797D"/>
    <w:rsid w:val="00BB7A05"/>
    <w:rsid w:val="00BB7A80"/>
    <w:rsid w:val="00BB7C4D"/>
    <w:rsid w:val="00BB7CD6"/>
    <w:rsid w:val="00BB7DE6"/>
    <w:rsid w:val="00BB7E00"/>
    <w:rsid w:val="00BB7F1D"/>
    <w:rsid w:val="00BB7FF3"/>
    <w:rsid w:val="00BC0047"/>
    <w:rsid w:val="00BC00CB"/>
    <w:rsid w:val="00BC00E6"/>
    <w:rsid w:val="00BC0282"/>
    <w:rsid w:val="00BC0501"/>
    <w:rsid w:val="00BC061E"/>
    <w:rsid w:val="00BC06D2"/>
    <w:rsid w:val="00BC0840"/>
    <w:rsid w:val="00BC0D78"/>
    <w:rsid w:val="00BC0E0B"/>
    <w:rsid w:val="00BC0F89"/>
    <w:rsid w:val="00BC0FBF"/>
    <w:rsid w:val="00BC1069"/>
    <w:rsid w:val="00BC126C"/>
    <w:rsid w:val="00BC1441"/>
    <w:rsid w:val="00BC14EF"/>
    <w:rsid w:val="00BC1603"/>
    <w:rsid w:val="00BC1616"/>
    <w:rsid w:val="00BC16FB"/>
    <w:rsid w:val="00BC1771"/>
    <w:rsid w:val="00BC19BF"/>
    <w:rsid w:val="00BC1B15"/>
    <w:rsid w:val="00BC1B98"/>
    <w:rsid w:val="00BC1BAC"/>
    <w:rsid w:val="00BC1F2A"/>
    <w:rsid w:val="00BC2092"/>
    <w:rsid w:val="00BC2140"/>
    <w:rsid w:val="00BC219A"/>
    <w:rsid w:val="00BC2226"/>
    <w:rsid w:val="00BC24F7"/>
    <w:rsid w:val="00BC257D"/>
    <w:rsid w:val="00BC2642"/>
    <w:rsid w:val="00BC266F"/>
    <w:rsid w:val="00BC268B"/>
    <w:rsid w:val="00BC2777"/>
    <w:rsid w:val="00BC27B3"/>
    <w:rsid w:val="00BC27DE"/>
    <w:rsid w:val="00BC2859"/>
    <w:rsid w:val="00BC288F"/>
    <w:rsid w:val="00BC28C4"/>
    <w:rsid w:val="00BC293D"/>
    <w:rsid w:val="00BC2B88"/>
    <w:rsid w:val="00BC2CC1"/>
    <w:rsid w:val="00BC2D05"/>
    <w:rsid w:val="00BC2D94"/>
    <w:rsid w:val="00BC2DCB"/>
    <w:rsid w:val="00BC2EDB"/>
    <w:rsid w:val="00BC2F1D"/>
    <w:rsid w:val="00BC307B"/>
    <w:rsid w:val="00BC30BA"/>
    <w:rsid w:val="00BC30C4"/>
    <w:rsid w:val="00BC30EA"/>
    <w:rsid w:val="00BC3160"/>
    <w:rsid w:val="00BC3169"/>
    <w:rsid w:val="00BC31BD"/>
    <w:rsid w:val="00BC32E8"/>
    <w:rsid w:val="00BC333B"/>
    <w:rsid w:val="00BC3384"/>
    <w:rsid w:val="00BC36B7"/>
    <w:rsid w:val="00BC375F"/>
    <w:rsid w:val="00BC37F9"/>
    <w:rsid w:val="00BC3843"/>
    <w:rsid w:val="00BC39F9"/>
    <w:rsid w:val="00BC3AAF"/>
    <w:rsid w:val="00BC3B70"/>
    <w:rsid w:val="00BC3B9C"/>
    <w:rsid w:val="00BC3CCA"/>
    <w:rsid w:val="00BC40E9"/>
    <w:rsid w:val="00BC44D9"/>
    <w:rsid w:val="00BC450F"/>
    <w:rsid w:val="00BC4529"/>
    <w:rsid w:val="00BC454E"/>
    <w:rsid w:val="00BC483C"/>
    <w:rsid w:val="00BC4A68"/>
    <w:rsid w:val="00BC4B07"/>
    <w:rsid w:val="00BC4B95"/>
    <w:rsid w:val="00BC4B9C"/>
    <w:rsid w:val="00BC4F2E"/>
    <w:rsid w:val="00BC5131"/>
    <w:rsid w:val="00BC514E"/>
    <w:rsid w:val="00BC545E"/>
    <w:rsid w:val="00BC54E1"/>
    <w:rsid w:val="00BC5644"/>
    <w:rsid w:val="00BC56F6"/>
    <w:rsid w:val="00BC56FF"/>
    <w:rsid w:val="00BC593F"/>
    <w:rsid w:val="00BC5A9F"/>
    <w:rsid w:val="00BC5BAA"/>
    <w:rsid w:val="00BC5BEC"/>
    <w:rsid w:val="00BC5C68"/>
    <w:rsid w:val="00BC5F20"/>
    <w:rsid w:val="00BC5F27"/>
    <w:rsid w:val="00BC603C"/>
    <w:rsid w:val="00BC60BA"/>
    <w:rsid w:val="00BC6299"/>
    <w:rsid w:val="00BC6470"/>
    <w:rsid w:val="00BC652D"/>
    <w:rsid w:val="00BC65C6"/>
    <w:rsid w:val="00BC6875"/>
    <w:rsid w:val="00BC6956"/>
    <w:rsid w:val="00BC6964"/>
    <w:rsid w:val="00BC6A35"/>
    <w:rsid w:val="00BC6AAF"/>
    <w:rsid w:val="00BC6CA2"/>
    <w:rsid w:val="00BC6CAF"/>
    <w:rsid w:val="00BC6CE6"/>
    <w:rsid w:val="00BC6D62"/>
    <w:rsid w:val="00BC6DD2"/>
    <w:rsid w:val="00BC6FD4"/>
    <w:rsid w:val="00BC741E"/>
    <w:rsid w:val="00BC74C0"/>
    <w:rsid w:val="00BC76E1"/>
    <w:rsid w:val="00BC7D8E"/>
    <w:rsid w:val="00BC7E1A"/>
    <w:rsid w:val="00BC7E4D"/>
    <w:rsid w:val="00BC7E5A"/>
    <w:rsid w:val="00BC7F1F"/>
    <w:rsid w:val="00BCDD26"/>
    <w:rsid w:val="00BD010E"/>
    <w:rsid w:val="00BD0123"/>
    <w:rsid w:val="00BD019C"/>
    <w:rsid w:val="00BD02AD"/>
    <w:rsid w:val="00BD0314"/>
    <w:rsid w:val="00BD036F"/>
    <w:rsid w:val="00BD04F5"/>
    <w:rsid w:val="00BD054B"/>
    <w:rsid w:val="00BD0877"/>
    <w:rsid w:val="00BD0887"/>
    <w:rsid w:val="00BD09A3"/>
    <w:rsid w:val="00BD0C06"/>
    <w:rsid w:val="00BD0E68"/>
    <w:rsid w:val="00BD0E6C"/>
    <w:rsid w:val="00BD0ED9"/>
    <w:rsid w:val="00BD0F37"/>
    <w:rsid w:val="00BD0FDF"/>
    <w:rsid w:val="00BD0FFB"/>
    <w:rsid w:val="00BD10A1"/>
    <w:rsid w:val="00BD1113"/>
    <w:rsid w:val="00BD11A7"/>
    <w:rsid w:val="00BD1497"/>
    <w:rsid w:val="00BD14CD"/>
    <w:rsid w:val="00BD14E8"/>
    <w:rsid w:val="00BD187E"/>
    <w:rsid w:val="00BD1AD3"/>
    <w:rsid w:val="00BD1B77"/>
    <w:rsid w:val="00BD1B7A"/>
    <w:rsid w:val="00BD1BA4"/>
    <w:rsid w:val="00BD1C17"/>
    <w:rsid w:val="00BD1ED8"/>
    <w:rsid w:val="00BD1F0D"/>
    <w:rsid w:val="00BD2010"/>
    <w:rsid w:val="00BD20EE"/>
    <w:rsid w:val="00BD2124"/>
    <w:rsid w:val="00BD21D7"/>
    <w:rsid w:val="00BD221D"/>
    <w:rsid w:val="00BD225C"/>
    <w:rsid w:val="00BD22AE"/>
    <w:rsid w:val="00BD2335"/>
    <w:rsid w:val="00BD2617"/>
    <w:rsid w:val="00BD284B"/>
    <w:rsid w:val="00BD288B"/>
    <w:rsid w:val="00BD2901"/>
    <w:rsid w:val="00BD2F29"/>
    <w:rsid w:val="00BD2F4C"/>
    <w:rsid w:val="00BD2FC9"/>
    <w:rsid w:val="00BD2FE2"/>
    <w:rsid w:val="00BD3339"/>
    <w:rsid w:val="00BD3574"/>
    <w:rsid w:val="00BD35A7"/>
    <w:rsid w:val="00BD370D"/>
    <w:rsid w:val="00BD37DA"/>
    <w:rsid w:val="00BD3813"/>
    <w:rsid w:val="00BD3981"/>
    <w:rsid w:val="00BD3E3E"/>
    <w:rsid w:val="00BD3EE9"/>
    <w:rsid w:val="00BD3F69"/>
    <w:rsid w:val="00BD4020"/>
    <w:rsid w:val="00BD4170"/>
    <w:rsid w:val="00BD4243"/>
    <w:rsid w:val="00BD4258"/>
    <w:rsid w:val="00BD4359"/>
    <w:rsid w:val="00BD4415"/>
    <w:rsid w:val="00BD45B8"/>
    <w:rsid w:val="00BD47FF"/>
    <w:rsid w:val="00BD48F0"/>
    <w:rsid w:val="00BD49AA"/>
    <w:rsid w:val="00BD4A07"/>
    <w:rsid w:val="00BD4A1A"/>
    <w:rsid w:val="00BD4A3B"/>
    <w:rsid w:val="00BD4A3F"/>
    <w:rsid w:val="00BD4A73"/>
    <w:rsid w:val="00BD4BDB"/>
    <w:rsid w:val="00BD4CE2"/>
    <w:rsid w:val="00BD4EFA"/>
    <w:rsid w:val="00BD4F80"/>
    <w:rsid w:val="00BD4FAA"/>
    <w:rsid w:val="00BD503A"/>
    <w:rsid w:val="00BD50FB"/>
    <w:rsid w:val="00BD53CD"/>
    <w:rsid w:val="00BD53DF"/>
    <w:rsid w:val="00BD5411"/>
    <w:rsid w:val="00BD5485"/>
    <w:rsid w:val="00BD5604"/>
    <w:rsid w:val="00BD565D"/>
    <w:rsid w:val="00BD5684"/>
    <w:rsid w:val="00BD56EF"/>
    <w:rsid w:val="00BD571E"/>
    <w:rsid w:val="00BD5A2D"/>
    <w:rsid w:val="00BD5D61"/>
    <w:rsid w:val="00BD5DA2"/>
    <w:rsid w:val="00BD606C"/>
    <w:rsid w:val="00BD6339"/>
    <w:rsid w:val="00BD6359"/>
    <w:rsid w:val="00BD6512"/>
    <w:rsid w:val="00BD66D6"/>
    <w:rsid w:val="00BD6BA2"/>
    <w:rsid w:val="00BD6DD9"/>
    <w:rsid w:val="00BD6EAE"/>
    <w:rsid w:val="00BD6EC1"/>
    <w:rsid w:val="00BD70F7"/>
    <w:rsid w:val="00BD7190"/>
    <w:rsid w:val="00BD72BD"/>
    <w:rsid w:val="00BD7598"/>
    <w:rsid w:val="00BD7834"/>
    <w:rsid w:val="00BD7B71"/>
    <w:rsid w:val="00BD7B9B"/>
    <w:rsid w:val="00BD7BD7"/>
    <w:rsid w:val="00BD7C8D"/>
    <w:rsid w:val="00BD7CF7"/>
    <w:rsid w:val="00BD7DC9"/>
    <w:rsid w:val="00BE0263"/>
    <w:rsid w:val="00BE02A3"/>
    <w:rsid w:val="00BE03DA"/>
    <w:rsid w:val="00BE05AC"/>
    <w:rsid w:val="00BE06E8"/>
    <w:rsid w:val="00BE0944"/>
    <w:rsid w:val="00BE0B70"/>
    <w:rsid w:val="00BE0BF7"/>
    <w:rsid w:val="00BE0D95"/>
    <w:rsid w:val="00BE102E"/>
    <w:rsid w:val="00BE1168"/>
    <w:rsid w:val="00BE12B1"/>
    <w:rsid w:val="00BE1400"/>
    <w:rsid w:val="00BE1BD4"/>
    <w:rsid w:val="00BE1D6E"/>
    <w:rsid w:val="00BE1E50"/>
    <w:rsid w:val="00BE1F2C"/>
    <w:rsid w:val="00BE20B3"/>
    <w:rsid w:val="00BE2106"/>
    <w:rsid w:val="00BE2242"/>
    <w:rsid w:val="00BE253B"/>
    <w:rsid w:val="00BE2581"/>
    <w:rsid w:val="00BE26C0"/>
    <w:rsid w:val="00BE2815"/>
    <w:rsid w:val="00BE28D3"/>
    <w:rsid w:val="00BE2913"/>
    <w:rsid w:val="00BE29D4"/>
    <w:rsid w:val="00BE2B2E"/>
    <w:rsid w:val="00BE2D53"/>
    <w:rsid w:val="00BE2EEA"/>
    <w:rsid w:val="00BE2F0F"/>
    <w:rsid w:val="00BE2FF1"/>
    <w:rsid w:val="00BE307A"/>
    <w:rsid w:val="00BE3109"/>
    <w:rsid w:val="00BE3148"/>
    <w:rsid w:val="00BE3292"/>
    <w:rsid w:val="00BE33FA"/>
    <w:rsid w:val="00BE34E1"/>
    <w:rsid w:val="00BE3563"/>
    <w:rsid w:val="00BE3753"/>
    <w:rsid w:val="00BE379A"/>
    <w:rsid w:val="00BE3817"/>
    <w:rsid w:val="00BE3857"/>
    <w:rsid w:val="00BE38ED"/>
    <w:rsid w:val="00BE3935"/>
    <w:rsid w:val="00BE3CAF"/>
    <w:rsid w:val="00BE3D18"/>
    <w:rsid w:val="00BE4004"/>
    <w:rsid w:val="00BE4136"/>
    <w:rsid w:val="00BE4188"/>
    <w:rsid w:val="00BE4252"/>
    <w:rsid w:val="00BE4280"/>
    <w:rsid w:val="00BE4645"/>
    <w:rsid w:val="00BE470B"/>
    <w:rsid w:val="00BE4859"/>
    <w:rsid w:val="00BE4862"/>
    <w:rsid w:val="00BE48D2"/>
    <w:rsid w:val="00BE4939"/>
    <w:rsid w:val="00BE4993"/>
    <w:rsid w:val="00BE499C"/>
    <w:rsid w:val="00BE4A25"/>
    <w:rsid w:val="00BE4E89"/>
    <w:rsid w:val="00BE51DD"/>
    <w:rsid w:val="00BE539D"/>
    <w:rsid w:val="00BE54F8"/>
    <w:rsid w:val="00BE555F"/>
    <w:rsid w:val="00BE59EE"/>
    <w:rsid w:val="00BE5A76"/>
    <w:rsid w:val="00BE5A80"/>
    <w:rsid w:val="00BE5AF4"/>
    <w:rsid w:val="00BE5BD1"/>
    <w:rsid w:val="00BE5D88"/>
    <w:rsid w:val="00BE5E11"/>
    <w:rsid w:val="00BE5ED2"/>
    <w:rsid w:val="00BE5F30"/>
    <w:rsid w:val="00BE6020"/>
    <w:rsid w:val="00BE603E"/>
    <w:rsid w:val="00BE61A1"/>
    <w:rsid w:val="00BE64BA"/>
    <w:rsid w:val="00BE64F3"/>
    <w:rsid w:val="00BE666B"/>
    <w:rsid w:val="00BE68E3"/>
    <w:rsid w:val="00BE68F2"/>
    <w:rsid w:val="00BE698A"/>
    <w:rsid w:val="00BE6A70"/>
    <w:rsid w:val="00BE6AE7"/>
    <w:rsid w:val="00BE6D9A"/>
    <w:rsid w:val="00BE6DFD"/>
    <w:rsid w:val="00BE6EB7"/>
    <w:rsid w:val="00BE6F25"/>
    <w:rsid w:val="00BE719B"/>
    <w:rsid w:val="00BE7329"/>
    <w:rsid w:val="00BE767E"/>
    <w:rsid w:val="00BE7722"/>
    <w:rsid w:val="00BE77B1"/>
    <w:rsid w:val="00BE7950"/>
    <w:rsid w:val="00BE7966"/>
    <w:rsid w:val="00BE7A8C"/>
    <w:rsid w:val="00BE7BFB"/>
    <w:rsid w:val="00BE7E12"/>
    <w:rsid w:val="00BE7E19"/>
    <w:rsid w:val="00BE7FF3"/>
    <w:rsid w:val="00BE7FFC"/>
    <w:rsid w:val="00BF0099"/>
    <w:rsid w:val="00BF01E7"/>
    <w:rsid w:val="00BF031B"/>
    <w:rsid w:val="00BF03AF"/>
    <w:rsid w:val="00BF0473"/>
    <w:rsid w:val="00BF04AE"/>
    <w:rsid w:val="00BF05AF"/>
    <w:rsid w:val="00BF090B"/>
    <w:rsid w:val="00BF0976"/>
    <w:rsid w:val="00BF09D7"/>
    <w:rsid w:val="00BF0ACF"/>
    <w:rsid w:val="00BF0AF2"/>
    <w:rsid w:val="00BF0B88"/>
    <w:rsid w:val="00BF0E46"/>
    <w:rsid w:val="00BF0F26"/>
    <w:rsid w:val="00BF10E6"/>
    <w:rsid w:val="00BF128C"/>
    <w:rsid w:val="00BF12AF"/>
    <w:rsid w:val="00BF1395"/>
    <w:rsid w:val="00BF1456"/>
    <w:rsid w:val="00BF1543"/>
    <w:rsid w:val="00BF1624"/>
    <w:rsid w:val="00BF1730"/>
    <w:rsid w:val="00BF17A8"/>
    <w:rsid w:val="00BF192A"/>
    <w:rsid w:val="00BF1C40"/>
    <w:rsid w:val="00BF1CD9"/>
    <w:rsid w:val="00BF1D3F"/>
    <w:rsid w:val="00BF1DD2"/>
    <w:rsid w:val="00BF1EB5"/>
    <w:rsid w:val="00BF1ECB"/>
    <w:rsid w:val="00BF1ECC"/>
    <w:rsid w:val="00BF1F03"/>
    <w:rsid w:val="00BF20FE"/>
    <w:rsid w:val="00BF2110"/>
    <w:rsid w:val="00BF2254"/>
    <w:rsid w:val="00BF2361"/>
    <w:rsid w:val="00BF2439"/>
    <w:rsid w:val="00BF247A"/>
    <w:rsid w:val="00BF250D"/>
    <w:rsid w:val="00BF257B"/>
    <w:rsid w:val="00BF2589"/>
    <w:rsid w:val="00BF2670"/>
    <w:rsid w:val="00BF2718"/>
    <w:rsid w:val="00BF273C"/>
    <w:rsid w:val="00BF2741"/>
    <w:rsid w:val="00BF2789"/>
    <w:rsid w:val="00BF2A27"/>
    <w:rsid w:val="00BF2E58"/>
    <w:rsid w:val="00BF3042"/>
    <w:rsid w:val="00BF3097"/>
    <w:rsid w:val="00BF3260"/>
    <w:rsid w:val="00BF32D8"/>
    <w:rsid w:val="00BF3339"/>
    <w:rsid w:val="00BF33C0"/>
    <w:rsid w:val="00BF3681"/>
    <w:rsid w:val="00BF39B3"/>
    <w:rsid w:val="00BF3B90"/>
    <w:rsid w:val="00BF3BC6"/>
    <w:rsid w:val="00BF3C97"/>
    <w:rsid w:val="00BF3CBF"/>
    <w:rsid w:val="00BF3DF9"/>
    <w:rsid w:val="00BF3E84"/>
    <w:rsid w:val="00BF3F14"/>
    <w:rsid w:val="00BF4019"/>
    <w:rsid w:val="00BF40B7"/>
    <w:rsid w:val="00BF40C3"/>
    <w:rsid w:val="00BF4100"/>
    <w:rsid w:val="00BF4216"/>
    <w:rsid w:val="00BF424F"/>
    <w:rsid w:val="00BF44EB"/>
    <w:rsid w:val="00BF4507"/>
    <w:rsid w:val="00BF45D0"/>
    <w:rsid w:val="00BF47FA"/>
    <w:rsid w:val="00BF4824"/>
    <w:rsid w:val="00BF4877"/>
    <w:rsid w:val="00BF48DD"/>
    <w:rsid w:val="00BF4943"/>
    <w:rsid w:val="00BF4972"/>
    <w:rsid w:val="00BF4AAF"/>
    <w:rsid w:val="00BF4ADB"/>
    <w:rsid w:val="00BF4B67"/>
    <w:rsid w:val="00BF4FB9"/>
    <w:rsid w:val="00BF5228"/>
    <w:rsid w:val="00BF54FB"/>
    <w:rsid w:val="00BF57F3"/>
    <w:rsid w:val="00BF5891"/>
    <w:rsid w:val="00BF5C17"/>
    <w:rsid w:val="00BF5CB3"/>
    <w:rsid w:val="00BF5D4A"/>
    <w:rsid w:val="00BF5E14"/>
    <w:rsid w:val="00BF6020"/>
    <w:rsid w:val="00BF61B5"/>
    <w:rsid w:val="00BF6351"/>
    <w:rsid w:val="00BF6458"/>
    <w:rsid w:val="00BF6556"/>
    <w:rsid w:val="00BF669D"/>
    <w:rsid w:val="00BF6781"/>
    <w:rsid w:val="00BF67EE"/>
    <w:rsid w:val="00BF684D"/>
    <w:rsid w:val="00BF68A8"/>
    <w:rsid w:val="00BF68C5"/>
    <w:rsid w:val="00BF68F3"/>
    <w:rsid w:val="00BF6927"/>
    <w:rsid w:val="00BF6934"/>
    <w:rsid w:val="00BF6A04"/>
    <w:rsid w:val="00BF6AED"/>
    <w:rsid w:val="00BF6BAF"/>
    <w:rsid w:val="00BF6BCA"/>
    <w:rsid w:val="00BF6D91"/>
    <w:rsid w:val="00BF6F8B"/>
    <w:rsid w:val="00BF708F"/>
    <w:rsid w:val="00BF71E8"/>
    <w:rsid w:val="00BF74B8"/>
    <w:rsid w:val="00BF74F7"/>
    <w:rsid w:val="00BF75F3"/>
    <w:rsid w:val="00BF7637"/>
    <w:rsid w:val="00BF770C"/>
    <w:rsid w:val="00BF7760"/>
    <w:rsid w:val="00BF7B0A"/>
    <w:rsid w:val="00BF7C0C"/>
    <w:rsid w:val="00BF7DD7"/>
    <w:rsid w:val="00BF7F1E"/>
    <w:rsid w:val="00BF7F52"/>
    <w:rsid w:val="00C0016F"/>
    <w:rsid w:val="00C0020F"/>
    <w:rsid w:val="00C00251"/>
    <w:rsid w:val="00C004C0"/>
    <w:rsid w:val="00C00510"/>
    <w:rsid w:val="00C00628"/>
    <w:rsid w:val="00C0079D"/>
    <w:rsid w:val="00C009C2"/>
    <w:rsid w:val="00C00B2F"/>
    <w:rsid w:val="00C00B5A"/>
    <w:rsid w:val="00C00BFC"/>
    <w:rsid w:val="00C00F6E"/>
    <w:rsid w:val="00C00FC6"/>
    <w:rsid w:val="00C01173"/>
    <w:rsid w:val="00C012EC"/>
    <w:rsid w:val="00C013A1"/>
    <w:rsid w:val="00C013E1"/>
    <w:rsid w:val="00C01475"/>
    <w:rsid w:val="00C01517"/>
    <w:rsid w:val="00C015F9"/>
    <w:rsid w:val="00C0173B"/>
    <w:rsid w:val="00C01B70"/>
    <w:rsid w:val="00C01C84"/>
    <w:rsid w:val="00C01C90"/>
    <w:rsid w:val="00C01D23"/>
    <w:rsid w:val="00C01DB5"/>
    <w:rsid w:val="00C020B0"/>
    <w:rsid w:val="00C02113"/>
    <w:rsid w:val="00C02492"/>
    <w:rsid w:val="00C024F1"/>
    <w:rsid w:val="00C024FD"/>
    <w:rsid w:val="00C025E9"/>
    <w:rsid w:val="00C025F8"/>
    <w:rsid w:val="00C02654"/>
    <w:rsid w:val="00C026BD"/>
    <w:rsid w:val="00C0284E"/>
    <w:rsid w:val="00C028CD"/>
    <w:rsid w:val="00C029D7"/>
    <w:rsid w:val="00C02A22"/>
    <w:rsid w:val="00C02AD1"/>
    <w:rsid w:val="00C02ADB"/>
    <w:rsid w:val="00C02BCD"/>
    <w:rsid w:val="00C02C8E"/>
    <w:rsid w:val="00C02DF1"/>
    <w:rsid w:val="00C02EE8"/>
    <w:rsid w:val="00C02F57"/>
    <w:rsid w:val="00C02FC8"/>
    <w:rsid w:val="00C03689"/>
    <w:rsid w:val="00C036A5"/>
    <w:rsid w:val="00C03712"/>
    <w:rsid w:val="00C03A8A"/>
    <w:rsid w:val="00C03AC3"/>
    <w:rsid w:val="00C03B8A"/>
    <w:rsid w:val="00C03D68"/>
    <w:rsid w:val="00C040B4"/>
    <w:rsid w:val="00C04170"/>
    <w:rsid w:val="00C044DB"/>
    <w:rsid w:val="00C04533"/>
    <w:rsid w:val="00C045F0"/>
    <w:rsid w:val="00C0461B"/>
    <w:rsid w:val="00C04760"/>
    <w:rsid w:val="00C047F6"/>
    <w:rsid w:val="00C04A28"/>
    <w:rsid w:val="00C04A8D"/>
    <w:rsid w:val="00C04AF5"/>
    <w:rsid w:val="00C04B97"/>
    <w:rsid w:val="00C04CBB"/>
    <w:rsid w:val="00C04DCF"/>
    <w:rsid w:val="00C04E1F"/>
    <w:rsid w:val="00C04E31"/>
    <w:rsid w:val="00C04F13"/>
    <w:rsid w:val="00C05097"/>
    <w:rsid w:val="00C050BC"/>
    <w:rsid w:val="00C050F4"/>
    <w:rsid w:val="00C05270"/>
    <w:rsid w:val="00C05320"/>
    <w:rsid w:val="00C05321"/>
    <w:rsid w:val="00C054B3"/>
    <w:rsid w:val="00C054E9"/>
    <w:rsid w:val="00C05828"/>
    <w:rsid w:val="00C05B4B"/>
    <w:rsid w:val="00C05CDA"/>
    <w:rsid w:val="00C05E40"/>
    <w:rsid w:val="00C05E67"/>
    <w:rsid w:val="00C05E9F"/>
    <w:rsid w:val="00C06177"/>
    <w:rsid w:val="00C062DD"/>
    <w:rsid w:val="00C065D9"/>
    <w:rsid w:val="00C0660C"/>
    <w:rsid w:val="00C0676F"/>
    <w:rsid w:val="00C0684E"/>
    <w:rsid w:val="00C06AC1"/>
    <w:rsid w:val="00C06B22"/>
    <w:rsid w:val="00C06C09"/>
    <w:rsid w:val="00C06C82"/>
    <w:rsid w:val="00C06F63"/>
    <w:rsid w:val="00C070B1"/>
    <w:rsid w:val="00C070F2"/>
    <w:rsid w:val="00C071A4"/>
    <w:rsid w:val="00C071B3"/>
    <w:rsid w:val="00C071D4"/>
    <w:rsid w:val="00C07271"/>
    <w:rsid w:val="00C0752F"/>
    <w:rsid w:val="00C075EA"/>
    <w:rsid w:val="00C079D4"/>
    <w:rsid w:val="00C07C71"/>
    <w:rsid w:val="00C07CC7"/>
    <w:rsid w:val="00C07E14"/>
    <w:rsid w:val="00C100EF"/>
    <w:rsid w:val="00C10175"/>
    <w:rsid w:val="00C106F3"/>
    <w:rsid w:val="00C10ACF"/>
    <w:rsid w:val="00C10D59"/>
    <w:rsid w:val="00C10EB7"/>
    <w:rsid w:val="00C10FD2"/>
    <w:rsid w:val="00C1108C"/>
    <w:rsid w:val="00C11245"/>
    <w:rsid w:val="00C1135C"/>
    <w:rsid w:val="00C113F0"/>
    <w:rsid w:val="00C115A0"/>
    <w:rsid w:val="00C116B3"/>
    <w:rsid w:val="00C11915"/>
    <w:rsid w:val="00C11BDE"/>
    <w:rsid w:val="00C11C13"/>
    <w:rsid w:val="00C11F9D"/>
    <w:rsid w:val="00C121AD"/>
    <w:rsid w:val="00C12209"/>
    <w:rsid w:val="00C12293"/>
    <w:rsid w:val="00C12330"/>
    <w:rsid w:val="00C12368"/>
    <w:rsid w:val="00C12477"/>
    <w:rsid w:val="00C12719"/>
    <w:rsid w:val="00C12CDB"/>
    <w:rsid w:val="00C12E51"/>
    <w:rsid w:val="00C12EE7"/>
    <w:rsid w:val="00C130C0"/>
    <w:rsid w:val="00C130C5"/>
    <w:rsid w:val="00C1324D"/>
    <w:rsid w:val="00C132FD"/>
    <w:rsid w:val="00C134A3"/>
    <w:rsid w:val="00C135C4"/>
    <w:rsid w:val="00C1363D"/>
    <w:rsid w:val="00C136BF"/>
    <w:rsid w:val="00C1373B"/>
    <w:rsid w:val="00C138F1"/>
    <w:rsid w:val="00C13933"/>
    <w:rsid w:val="00C13978"/>
    <w:rsid w:val="00C13D88"/>
    <w:rsid w:val="00C13EA5"/>
    <w:rsid w:val="00C13ECA"/>
    <w:rsid w:val="00C14038"/>
    <w:rsid w:val="00C14156"/>
    <w:rsid w:val="00C14193"/>
    <w:rsid w:val="00C142D3"/>
    <w:rsid w:val="00C143A3"/>
    <w:rsid w:val="00C144E6"/>
    <w:rsid w:val="00C1460E"/>
    <w:rsid w:val="00C146C2"/>
    <w:rsid w:val="00C1485A"/>
    <w:rsid w:val="00C148E8"/>
    <w:rsid w:val="00C1490A"/>
    <w:rsid w:val="00C14974"/>
    <w:rsid w:val="00C14A6B"/>
    <w:rsid w:val="00C14BCF"/>
    <w:rsid w:val="00C14C06"/>
    <w:rsid w:val="00C14C75"/>
    <w:rsid w:val="00C14CC8"/>
    <w:rsid w:val="00C14D2A"/>
    <w:rsid w:val="00C14D4A"/>
    <w:rsid w:val="00C14D4E"/>
    <w:rsid w:val="00C15099"/>
    <w:rsid w:val="00C151D3"/>
    <w:rsid w:val="00C15289"/>
    <w:rsid w:val="00C15373"/>
    <w:rsid w:val="00C153C9"/>
    <w:rsid w:val="00C15474"/>
    <w:rsid w:val="00C1549B"/>
    <w:rsid w:val="00C1554E"/>
    <w:rsid w:val="00C155B6"/>
    <w:rsid w:val="00C155CB"/>
    <w:rsid w:val="00C15619"/>
    <w:rsid w:val="00C1562C"/>
    <w:rsid w:val="00C156ED"/>
    <w:rsid w:val="00C1580C"/>
    <w:rsid w:val="00C1584D"/>
    <w:rsid w:val="00C158DA"/>
    <w:rsid w:val="00C15A11"/>
    <w:rsid w:val="00C15A52"/>
    <w:rsid w:val="00C15B47"/>
    <w:rsid w:val="00C15BC4"/>
    <w:rsid w:val="00C15C9C"/>
    <w:rsid w:val="00C15D26"/>
    <w:rsid w:val="00C15F22"/>
    <w:rsid w:val="00C160BA"/>
    <w:rsid w:val="00C1628C"/>
    <w:rsid w:val="00C16587"/>
    <w:rsid w:val="00C1674D"/>
    <w:rsid w:val="00C16753"/>
    <w:rsid w:val="00C1677F"/>
    <w:rsid w:val="00C16910"/>
    <w:rsid w:val="00C169FD"/>
    <w:rsid w:val="00C16BFE"/>
    <w:rsid w:val="00C16C9C"/>
    <w:rsid w:val="00C16CD2"/>
    <w:rsid w:val="00C16D69"/>
    <w:rsid w:val="00C16D8C"/>
    <w:rsid w:val="00C16DF6"/>
    <w:rsid w:val="00C16E05"/>
    <w:rsid w:val="00C16E34"/>
    <w:rsid w:val="00C16E51"/>
    <w:rsid w:val="00C16F58"/>
    <w:rsid w:val="00C1706D"/>
    <w:rsid w:val="00C170F2"/>
    <w:rsid w:val="00C1719E"/>
    <w:rsid w:val="00C172F3"/>
    <w:rsid w:val="00C173F8"/>
    <w:rsid w:val="00C17796"/>
    <w:rsid w:val="00C17BF3"/>
    <w:rsid w:val="00C200C0"/>
    <w:rsid w:val="00C201A1"/>
    <w:rsid w:val="00C202C2"/>
    <w:rsid w:val="00C20511"/>
    <w:rsid w:val="00C205CF"/>
    <w:rsid w:val="00C206CC"/>
    <w:rsid w:val="00C206E1"/>
    <w:rsid w:val="00C20945"/>
    <w:rsid w:val="00C20992"/>
    <w:rsid w:val="00C209B3"/>
    <w:rsid w:val="00C20A10"/>
    <w:rsid w:val="00C20A53"/>
    <w:rsid w:val="00C20BD4"/>
    <w:rsid w:val="00C20E08"/>
    <w:rsid w:val="00C20F1C"/>
    <w:rsid w:val="00C20F51"/>
    <w:rsid w:val="00C2111D"/>
    <w:rsid w:val="00C211CD"/>
    <w:rsid w:val="00C21696"/>
    <w:rsid w:val="00C218E8"/>
    <w:rsid w:val="00C2198E"/>
    <w:rsid w:val="00C219A4"/>
    <w:rsid w:val="00C21BBA"/>
    <w:rsid w:val="00C21CD6"/>
    <w:rsid w:val="00C21D41"/>
    <w:rsid w:val="00C21DB5"/>
    <w:rsid w:val="00C21E8A"/>
    <w:rsid w:val="00C21E9E"/>
    <w:rsid w:val="00C224B7"/>
    <w:rsid w:val="00C22709"/>
    <w:rsid w:val="00C22761"/>
    <w:rsid w:val="00C227B4"/>
    <w:rsid w:val="00C227CE"/>
    <w:rsid w:val="00C22879"/>
    <w:rsid w:val="00C22988"/>
    <w:rsid w:val="00C22A15"/>
    <w:rsid w:val="00C22B5E"/>
    <w:rsid w:val="00C22C2A"/>
    <w:rsid w:val="00C22E0C"/>
    <w:rsid w:val="00C22EC6"/>
    <w:rsid w:val="00C22F6B"/>
    <w:rsid w:val="00C23132"/>
    <w:rsid w:val="00C23223"/>
    <w:rsid w:val="00C2349F"/>
    <w:rsid w:val="00C234A9"/>
    <w:rsid w:val="00C2350E"/>
    <w:rsid w:val="00C2362B"/>
    <w:rsid w:val="00C2365D"/>
    <w:rsid w:val="00C237D6"/>
    <w:rsid w:val="00C23887"/>
    <w:rsid w:val="00C238B3"/>
    <w:rsid w:val="00C23990"/>
    <w:rsid w:val="00C23B54"/>
    <w:rsid w:val="00C23C15"/>
    <w:rsid w:val="00C23F01"/>
    <w:rsid w:val="00C24426"/>
    <w:rsid w:val="00C244F8"/>
    <w:rsid w:val="00C245A7"/>
    <w:rsid w:val="00C24787"/>
    <w:rsid w:val="00C24A22"/>
    <w:rsid w:val="00C24BC7"/>
    <w:rsid w:val="00C24C36"/>
    <w:rsid w:val="00C2503E"/>
    <w:rsid w:val="00C25156"/>
    <w:rsid w:val="00C2535B"/>
    <w:rsid w:val="00C2572E"/>
    <w:rsid w:val="00C25751"/>
    <w:rsid w:val="00C2590B"/>
    <w:rsid w:val="00C25A6B"/>
    <w:rsid w:val="00C25BD3"/>
    <w:rsid w:val="00C25CE5"/>
    <w:rsid w:val="00C25D41"/>
    <w:rsid w:val="00C25E8D"/>
    <w:rsid w:val="00C25EC1"/>
    <w:rsid w:val="00C25F02"/>
    <w:rsid w:val="00C25F06"/>
    <w:rsid w:val="00C25FEB"/>
    <w:rsid w:val="00C26274"/>
    <w:rsid w:val="00C26369"/>
    <w:rsid w:val="00C26447"/>
    <w:rsid w:val="00C264A4"/>
    <w:rsid w:val="00C26693"/>
    <w:rsid w:val="00C26B7D"/>
    <w:rsid w:val="00C26B84"/>
    <w:rsid w:val="00C26D52"/>
    <w:rsid w:val="00C26E48"/>
    <w:rsid w:val="00C270B4"/>
    <w:rsid w:val="00C271B9"/>
    <w:rsid w:val="00C271EF"/>
    <w:rsid w:val="00C27205"/>
    <w:rsid w:val="00C272F3"/>
    <w:rsid w:val="00C277D2"/>
    <w:rsid w:val="00C278CE"/>
    <w:rsid w:val="00C27A42"/>
    <w:rsid w:val="00C27A7B"/>
    <w:rsid w:val="00C27A9D"/>
    <w:rsid w:val="00C27B73"/>
    <w:rsid w:val="00C27BDE"/>
    <w:rsid w:val="00C27E35"/>
    <w:rsid w:val="00C27FA0"/>
    <w:rsid w:val="00C30105"/>
    <w:rsid w:val="00C301D7"/>
    <w:rsid w:val="00C30203"/>
    <w:rsid w:val="00C3047D"/>
    <w:rsid w:val="00C306B7"/>
    <w:rsid w:val="00C3082C"/>
    <w:rsid w:val="00C30966"/>
    <w:rsid w:val="00C30C21"/>
    <w:rsid w:val="00C30C9A"/>
    <w:rsid w:val="00C30D70"/>
    <w:rsid w:val="00C30FDA"/>
    <w:rsid w:val="00C310C3"/>
    <w:rsid w:val="00C31155"/>
    <w:rsid w:val="00C312C1"/>
    <w:rsid w:val="00C312CE"/>
    <w:rsid w:val="00C3132C"/>
    <w:rsid w:val="00C314DF"/>
    <w:rsid w:val="00C315E5"/>
    <w:rsid w:val="00C31674"/>
    <w:rsid w:val="00C316CB"/>
    <w:rsid w:val="00C3175C"/>
    <w:rsid w:val="00C31863"/>
    <w:rsid w:val="00C31999"/>
    <w:rsid w:val="00C31A92"/>
    <w:rsid w:val="00C31AAF"/>
    <w:rsid w:val="00C31B06"/>
    <w:rsid w:val="00C31CD2"/>
    <w:rsid w:val="00C31D9B"/>
    <w:rsid w:val="00C31FC6"/>
    <w:rsid w:val="00C32141"/>
    <w:rsid w:val="00C32193"/>
    <w:rsid w:val="00C32249"/>
    <w:rsid w:val="00C32384"/>
    <w:rsid w:val="00C3255D"/>
    <w:rsid w:val="00C3267A"/>
    <w:rsid w:val="00C32983"/>
    <w:rsid w:val="00C32ACE"/>
    <w:rsid w:val="00C32BA8"/>
    <w:rsid w:val="00C32F51"/>
    <w:rsid w:val="00C32F9E"/>
    <w:rsid w:val="00C33066"/>
    <w:rsid w:val="00C33078"/>
    <w:rsid w:val="00C330F9"/>
    <w:rsid w:val="00C3313A"/>
    <w:rsid w:val="00C331E0"/>
    <w:rsid w:val="00C33336"/>
    <w:rsid w:val="00C3336B"/>
    <w:rsid w:val="00C334A0"/>
    <w:rsid w:val="00C334AA"/>
    <w:rsid w:val="00C337F9"/>
    <w:rsid w:val="00C33BA7"/>
    <w:rsid w:val="00C33C12"/>
    <w:rsid w:val="00C33C1C"/>
    <w:rsid w:val="00C34437"/>
    <w:rsid w:val="00C3447E"/>
    <w:rsid w:val="00C3449C"/>
    <w:rsid w:val="00C3463C"/>
    <w:rsid w:val="00C3480E"/>
    <w:rsid w:val="00C34A1B"/>
    <w:rsid w:val="00C34A37"/>
    <w:rsid w:val="00C34C43"/>
    <w:rsid w:val="00C34E1C"/>
    <w:rsid w:val="00C34EA9"/>
    <w:rsid w:val="00C34EED"/>
    <w:rsid w:val="00C350C5"/>
    <w:rsid w:val="00C35236"/>
    <w:rsid w:val="00C35434"/>
    <w:rsid w:val="00C35858"/>
    <w:rsid w:val="00C35964"/>
    <w:rsid w:val="00C35A44"/>
    <w:rsid w:val="00C35B1D"/>
    <w:rsid w:val="00C35BD6"/>
    <w:rsid w:val="00C35CFA"/>
    <w:rsid w:val="00C36044"/>
    <w:rsid w:val="00C361F9"/>
    <w:rsid w:val="00C362EA"/>
    <w:rsid w:val="00C36374"/>
    <w:rsid w:val="00C36619"/>
    <w:rsid w:val="00C367B2"/>
    <w:rsid w:val="00C36C9B"/>
    <w:rsid w:val="00C36D0B"/>
    <w:rsid w:val="00C36DE3"/>
    <w:rsid w:val="00C36E46"/>
    <w:rsid w:val="00C36E4F"/>
    <w:rsid w:val="00C36F1C"/>
    <w:rsid w:val="00C37003"/>
    <w:rsid w:val="00C37154"/>
    <w:rsid w:val="00C37189"/>
    <w:rsid w:val="00C373D0"/>
    <w:rsid w:val="00C373DE"/>
    <w:rsid w:val="00C3748F"/>
    <w:rsid w:val="00C374F2"/>
    <w:rsid w:val="00C375C3"/>
    <w:rsid w:val="00C3792B"/>
    <w:rsid w:val="00C3793F"/>
    <w:rsid w:val="00C37D71"/>
    <w:rsid w:val="00C40043"/>
    <w:rsid w:val="00C400FC"/>
    <w:rsid w:val="00C40104"/>
    <w:rsid w:val="00C4015F"/>
    <w:rsid w:val="00C402BF"/>
    <w:rsid w:val="00C40317"/>
    <w:rsid w:val="00C405AE"/>
    <w:rsid w:val="00C40658"/>
    <w:rsid w:val="00C40764"/>
    <w:rsid w:val="00C407BD"/>
    <w:rsid w:val="00C4084E"/>
    <w:rsid w:val="00C40863"/>
    <w:rsid w:val="00C4093E"/>
    <w:rsid w:val="00C40A03"/>
    <w:rsid w:val="00C40B46"/>
    <w:rsid w:val="00C40C09"/>
    <w:rsid w:val="00C40D53"/>
    <w:rsid w:val="00C40D87"/>
    <w:rsid w:val="00C40E5C"/>
    <w:rsid w:val="00C40FCA"/>
    <w:rsid w:val="00C410A7"/>
    <w:rsid w:val="00C41171"/>
    <w:rsid w:val="00C415F4"/>
    <w:rsid w:val="00C416AF"/>
    <w:rsid w:val="00C41B36"/>
    <w:rsid w:val="00C41B5B"/>
    <w:rsid w:val="00C41BEB"/>
    <w:rsid w:val="00C41FB6"/>
    <w:rsid w:val="00C41FFE"/>
    <w:rsid w:val="00C421D6"/>
    <w:rsid w:val="00C4227D"/>
    <w:rsid w:val="00C4244B"/>
    <w:rsid w:val="00C42558"/>
    <w:rsid w:val="00C42786"/>
    <w:rsid w:val="00C427B1"/>
    <w:rsid w:val="00C42933"/>
    <w:rsid w:val="00C42CB6"/>
    <w:rsid w:val="00C42D0A"/>
    <w:rsid w:val="00C42D9F"/>
    <w:rsid w:val="00C42E51"/>
    <w:rsid w:val="00C42EA2"/>
    <w:rsid w:val="00C42F0C"/>
    <w:rsid w:val="00C42FCE"/>
    <w:rsid w:val="00C43040"/>
    <w:rsid w:val="00C43166"/>
    <w:rsid w:val="00C43226"/>
    <w:rsid w:val="00C4334E"/>
    <w:rsid w:val="00C4338E"/>
    <w:rsid w:val="00C43627"/>
    <w:rsid w:val="00C437DB"/>
    <w:rsid w:val="00C437FD"/>
    <w:rsid w:val="00C438EC"/>
    <w:rsid w:val="00C4397B"/>
    <w:rsid w:val="00C43A9E"/>
    <w:rsid w:val="00C43AEE"/>
    <w:rsid w:val="00C43B15"/>
    <w:rsid w:val="00C43E74"/>
    <w:rsid w:val="00C44209"/>
    <w:rsid w:val="00C44341"/>
    <w:rsid w:val="00C44474"/>
    <w:rsid w:val="00C446BD"/>
    <w:rsid w:val="00C446E8"/>
    <w:rsid w:val="00C4494B"/>
    <w:rsid w:val="00C44AD0"/>
    <w:rsid w:val="00C44C46"/>
    <w:rsid w:val="00C44CBF"/>
    <w:rsid w:val="00C44D39"/>
    <w:rsid w:val="00C44E5B"/>
    <w:rsid w:val="00C44EB6"/>
    <w:rsid w:val="00C45188"/>
    <w:rsid w:val="00C451A6"/>
    <w:rsid w:val="00C453AC"/>
    <w:rsid w:val="00C45426"/>
    <w:rsid w:val="00C45436"/>
    <w:rsid w:val="00C45520"/>
    <w:rsid w:val="00C45823"/>
    <w:rsid w:val="00C458C5"/>
    <w:rsid w:val="00C45948"/>
    <w:rsid w:val="00C45AD3"/>
    <w:rsid w:val="00C45B0E"/>
    <w:rsid w:val="00C45B6D"/>
    <w:rsid w:val="00C45EFD"/>
    <w:rsid w:val="00C4614C"/>
    <w:rsid w:val="00C4619E"/>
    <w:rsid w:val="00C461EE"/>
    <w:rsid w:val="00C46224"/>
    <w:rsid w:val="00C4624D"/>
    <w:rsid w:val="00C4625A"/>
    <w:rsid w:val="00C462E7"/>
    <w:rsid w:val="00C46510"/>
    <w:rsid w:val="00C465FE"/>
    <w:rsid w:val="00C4662F"/>
    <w:rsid w:val="00C466EE"/>
    <w:rsid w:val="00C4694F"/>
    <w:rsid w:val="00C46995"/>
    <w:rsid w:val="00C46A59"/>
    <w:rsid w:val="00C46BB0"/>
    <w:rsid w:val="00C46CFC"/>
    <w:rsid w:val="00C46D13"/>
    <w:rsid w:val="00C46DB3"/>
    <w:rsid w:val="00C46DDB"/>
    <w:rsid w:val="00C4705E"/>
    <w:rsid w:val="00C472C8"/>
    <w:rsid w:val="00C47550"/>
    <w:rsid w:val="00C47633"/>
    <w:rsid w:val="00C47720"/>
    <w:rsid w:val="00C478BD"/>
    <w:rsid w:val="00C47F06"/>
    <w:rsid w:val="00C47F40"/>
    <w:rsid w:val="00C47FDF"/>
    <w:rsid w:val="00C501FC"/>
    <w:rsid w:val="00C50249"/>
    <w:rsid w:val="00C50259"/>
    <w:rsid w:val="00C50411"/>
    <w:rsid w:val="00C50447"/>
    <w:rsid w:val="00C50491"/>
    <w:rsid w:val="00C50571"/>
    <w:rsid w:val="00C5059F"/>
    <w:rsid w:val="00C505F8"/>
    <w:rsid w:val="00C505FD"/>
    <w:rsid w:val="00C507DB"/>
    <w:rsid w:val="00C50A26"/>
    <w:rsid w:val="00C50AEE"/>
    <w:rsid w:val="00C50B90"/>
    <w:rsid w:val="00C50BA8"/>
    <w:rsid w:val="00C50D19"/>
    <w:rsid w:val="00C50D5F"/>
    <w:rsid w:val="00C50D96"/>
    <w:rsid w:val="00C50DF6"/>
    <w:rsid w:val="00C51153"/>
    <w:rsid w:val="00C5124E"/>
    <w:rsid w:val="00C515BB"/>
    <w:rsid w:val="00C515F3"/>
    <w:rsid w:val="00C51637"/>
    <w:rsid w:val="00C516D8"/>
    <w:rsid w:val="00C51807"/>
    <w:rsid w:val="00C5181D"/>
    <w:rsid w:val="00C5191F"/>
    <w:rsid w:val="00C5195E"/>
    <w:rsid w:val="00C51B32"/>
    <w:rsid w:val="00C51E0D"/>
    <w:rsid w:val="00C51EC2"/>
    <w:rsid w:val="00C51F66"/>
    <w:rsid w:val="00C5210E"/>
    <w:rsid w:val="00C52142"/>
    <w:rsid w:val="00C521AB"/>
    <w:rsid w:val="00C52287"/>
    <w:rsid w:val="00C5229B"/>
    <w:rsid w:val="00C52727"/>
    <w:rsid w:val="00C52854"/>
    <w:rsid w:val="00C52902"/>
    <w:rsid w:val="00C52A04"/>
    <w:rsid w:val="00C52C17"/>
    <w:rsid w:val="00C52CA9"/>
    <w:rsid w:val="00C52E64"/>
    <w:rsid w:val="00C530EF"/>
    <w:rsid w:val="00C53134"/>
    <w:rsid w:val="00C5325C"/>
    <w:rsid w:val="00C532F7"/>
    <w:rsid w:val="00C53301"/>
    <w:rsid w:val="00C5354C"/>
    <w:rsid w:val="00C53828"/>
    <w:rsid w:val="00C5382D"/>
    <w:rsid w:val="00C5384A"/>
    <w:rsid w:val="00C5396A"/>
    <w:rsid w:val="00C539D0"/>
    <w:rsid w:val="00C53C67"/>
    <w:rsid w:val="00C53D8E"/>
    <w:rsid w:val="00C53EF0"/>
    <w:rsid w:val="00C5446E"/>
    <w:rsid w:val="00C545A5"/>
    <w:rsid w:val="00C545FC"/>
    <w:rsid w:val="00C546E2"/>
    <w:rsid w:val="00C54861"/>
    <w:rsid w:val="00C54A1F"/>
    <w:rsid w:val="00C54B44"/>
    <w:rsid w:val="00C54B77"/>
    <w:rsid w:val="00C54BA4"/>
    <w:rsid w:val="00C54D8B"/>
    <w:rsid w:val="00C55040"/>
    <w:rsid w:val="00C550D1"/>
    <w:rsid w:val="00C550F8"/>
    <w:rsid w:val="00C55102"/>
    <w:rsid w:val="00C5521A"/>
    <w:rsid w:val="00C5529F"/>
    <w:rsid w:val="00C55318"/>
    <w:rsid w:val="00C55354"/>
    <w:rsid w:val="00C5555B"/>
    <w:rsid w:val="00C55695"/>
    <w:rsid w:val="00C5576E"/>
    <w:rsid w:val="00C55954"/>
    <w:rsid w:val="00C55C7A"/>
    <w:rsid w:val="00C55CA5"/>
    <w:rsid w:val="00C560F1"/>
    <w:rsid w:val="00C56115"/>
    <w:rsid w:val="00C56169"/>
    <w:rsid w:val="00C5624A"/>
    <w:rsid w:val="00C5636F"/>
    <w:rsid w:val="00C56425"/>
    <w:rsid w:val="00C564C4"/>
    <w:rsid w:val="00C56948"/>
    <w:rsid w:val="00C5698C"/>
    <w:rsid w:val="00C5699B"/>
    <w:rsid w:val="00C56A4F"/>
    <w:rsid w:val="00C56A50"/>
    <w:rsid w:val="00C56ADA"/>
    <w:rsid w:val="00C5700C"/>
    <w:rsid w:val="00C57022"/>
    <w:rsid w:val="00C57101"/>
    <w:rsid w:val="00C5727E"/>
    <w:rsid w:val="00C57326"/>
    <w:rsid w:val="00C57339"/>
    <w:rsid w:val="00C57384"/>
    <w:rsid w:val="00C5741D"/>
    <w:rsid w:val="00C57780"/>
    <w:rsid w:val="00C57896"/>
    <w:rsid w:val="00C578DD"/>
    <w:rsid w:val="00C57922"/>
    <w:rsid w:val="00C57B24"/>
    <w:rsid w:val="00C57C62"/>
    <w:rsid w:val="00C57D69"/>
    <w:rsid w:val="00C57EB2"/>
    <w:rsid w:val="00C57F25"/>
    <w:rsid w:val="00C6006F"/>
    <w:rsid w:val="00C60086"/>
    <w:rsid w:val="00C600B0"/>
    <w:rsid w:val="00C60101"/>
    <w:rsid w:val="00C60306"/>
    <w:rsid w:val="00C60435"/>
    <w:rsid w:val="00C60443"/>
    <w:rsid w:val="00C60482"/>
    <w:rsid w:val="00C604D8"/>
    <w:rsid w:val="00C60644"/>
    <w:rsid w:val="00C606D0"/>
    <w:rsid w:val="00C6070C"/>
    <w:rsid w:val="00C608ED"/>
    <w:rsid w:val="00C60A11"/>
    <w:rsid w:val="00C60A40"/>
    <w:rsid w:val="00C60B97"/>
    <w:rsid w:val="00C60BA4"/>
    <w:rsid w:val="00C60DC7"/>
    <w:rsid w:val="00C60DE2"/>
    <w:rsid w:val="00C60E41"/>
    <w:rsid w:val="00C60EA4"/>
    <w:rsid w:val="00C60ECF"/>
    <w:rsid w:val="00C6100E"/>
    <w:rsid w:val="00C61034"/>
    <w:rsid w:val="00C614AB"/>
    <w:rsid w:val="00C615B0"/>
    <w:rsid w:val="00C615D2"/>
    <w:rsid w:val="00C617DE"/>
    <w:rsid w:val="00C618CB"/>
    <w:rsid w:val="00C61AC6"/>
    <w:rsid w:val="00C61BE1"/>
    <w:rsid w:val="00C61E4F"/>
    <w:rsid w:val="00C61FB9"/>
    <w:rsid w:val="00C620E3"/>
    <w:rsid w:val="00C623A1"/>
    <w:rsid w:val="00C6251B"/>
    <w:rsid w:val="00C62756"/>
    <w:rsid w:val="00C627BD"/>
    <w:rsid w:val="00C62B2C"/>
    <w:rsid w:val="00C62F30"/>
    <w:rsid w:val="00C62FC4"/>
    <w:rsid w:val="00C6307F"/>
    <w:rsid w:val="00C63099"/>
    <w:rsid w:val="00C63110"/>
    <w:rsid w:val="00C633DD"/>
    <w:rsid w:val="00C633EE"/>
    <w:rsid w:val="00C6349A"/>
    <w:rsid w:val="00C635BD"/>
    <w:rsid w:val="00C635CF"/>
    <w:rsid w:val="00C636CF"/>
    <w:rsid w:val="00C636EE"/>
    <w:rsid w:val="00C637D5"/>
    <w:rsid w:val="00C63956"/>
    <w:rsid w:val="00C63BC8"/>
    <w:rsid w:val="00C63C5F"/>
    <w:rsid w:val="00C63CF3"/>
    <w:rsid w:val="00C63F15"/>
    <w:rsid w:val="00C6405F"/>
    <w:rsid w:val="00C64098"/>
    <w:rsid w:val="00C642D6"/>
    <w:rsid w:val="00C64317"/>
    <w:rsid w:val="00C64491"/>
    <w:rsid w:val="00C645A7"/>
    <w:rsid w:val="00C645FB"/>
    <w:rsid w:val="00C6467C"/>
    <w:rsid w:val="00C646EF"/>
    <w:rsid w:val="00C6478E"/>
    <w:rsid w:val="00C647C8"/>
    <w:rsid w:val="00C64859"/>
    <w:rsid w:val="00C6485C"/>
    <w:rsid w:val="00C64A02"/>
    <w:rsid w:val="00C64C05"/>
    <w:rsid w:val="00C64F6A"/>
    <w:rsid w:val="00C65781"/>
    <w:rsid w:val="00C658B2"/>
    <w:rsid w:val="00C65979"/>
    <w:rsid w:val="00C65A38"/>
    <w:rsid w:val="00C65A52"/>
    <w:rsid w:val="00C65A6E"/>
    <w:rsid w:val="00C65A95"/>
    <w:rsid w:val="00C65AD4"/>
    <w:rsid w:val="00C65B07"/>
    <w:rsid w:val="00C65D5A"/>
    <w:rsid w:val="00C65E51"/>
    <w:rsid w:val="00C660B4"/>
    <w:rsid w:val="00C661A3"/>
    <w:rsid w:val="00C662F1"/>
    <w:rsid w:val="00C66416"/>
    <w:rsid w:val="00C66A0C"/>
    <w:rsid w:val="00C66A52"/>
    <w:rsid w:val="00C66B30"/>
    <w:rsid w:val="00C66F0A"/>
    <w:rsid w:val="00C67029"/>
    <w:rsid w:val="00C6725B"/>
    <w:rsid w:val="00C6732B"/>
    <w:rsid w:val="00C67565"/>
    <w:rsid w:val="00C678CB"/>
    <w:rsid w:val="00C67A5C"/>
    <w:rsid w:val="00C67C97"/>
    <w:rsid w:val="00C67E63"/>
    <w:rsid w:val="00C67F9D"/>
    <w:rsid w:val="00C67FC5"/>
    <w:rsid w:val="00C700BC"/>
    <w:rsid w:val="00C701E2"/>
    <w:rsid w:val="00C7025F"/>
    <w:rsid w:val="00C70298"/>
    <w:rsid w:val="00C702C7"/>
    <w:rsid w:val="00C70404"/>
    <w:rsid w:val="00C70411"/>
    <w:rsid w:val="00C7059C"/>
    <w:rsid w:val="00C705DB"/>
    <w:rsid w:val="00C7068A"/>
    <w:rsid w:val="00C706FD"/>
    <w:rsid w:val="00C70766"/>
    <w:rsid w:val="00C70789"/>
    <w:rsid w:val="00C7092D"/>
    <w:rsid w:val="00C709C5"/>
    <w:rsid w:val="00C70BBF"/>
    <w:rsid w:val="00C70C5A"/>
    <w:rsid w:val="00C70CF6"/>
    <w:rsid w:val="00C70DCF"/>
    <w:rsid w:val="00C7107E"/>
    <w:rsid w:val="00C712DA"/>
    <w:rsid w:val="00C713F6"/>
    <w:rsid w:val="00C71436"/>
    <w:rsid w:val="00C71461"/>
    <w:rsid w:val="00C7158F"/>
    <w:rsid w:val="00C716FE"/>
    <w:rsid w:val="00C718DF"/>
    <w:rsid w:val="00C719C2"/>
    <w:rsid w:val="00C71A25"/>
    <w:rsid w:val="00C71AB8"/>
    <w:rsid w:val="00C71D70"/>
    <w:rsid w:val="00C71E3C"/>
    <w:rsid w:val="00C720A6"/>
    <w:rsid w:val="00C720E6"/>
    <w:rsid w:val="00C7237D"/>
    <w:rsid w:val="00C72611"/>
    <w:rsid w:val="00C726F3"/>
    <w:rsid w:val="00C7273E"/>
    <w:rsid w:val="00C7278F"/>
    <w:rsid w:val="00C72B34"/>
    <w:rsid w:val="00C72D0C"/>
    <w:rsid w:val="00C72D74"/>
    <w:rsid w:val="00C72F79"/>
    <w:rsid w:val="00C7307D"/>
    <w:rsid w:val="00C73256"/>
    <w:rsid w:val="00C732E7"/>
    <w:rsid w:val="00C734C4"/>
    <w:rsid w:val="00C734CF"/>
    <w:rsid w:val="00C735FB"/>
    <w:rsid w:val="00C736D8"/>
    <w:rsid w:val="00C73702"/>
    <w:rsid w:val="00C7372C"/>
    <w:rsid w:val="00C738A3"/>
    <w:rsid w:val="00C738DE"/>
    <w:rsid w:val="00C73984"/>
    <w:rsid w:val="00C739FC"/>
    <w:rsid w:val="00C73A87"/>
    <w:rsid w:val="00C73ACF"/>
    <w:rsid w:val="00C73B2C"/>
    <w:rsid w:val="00C73D9F"/>
    <w:rsid w:val="00C73DBA"/>
    <w:rsid w:val="00C73EC5"/>
    <w:rsid w:val="00C74173"/>
    <w:rsid w:val="00C7426F"/>
    <w:rsid w:val="00C7429C"/>
    <w:rsid w:val="00C74323"/>
    <w:rsid w:val="00C74625"/>
    <w:rsid w:val="00C747DE"/>
    <w:rsid w:val="00C74984"/>
    <w:rsid w:val="00C74AC7"/>
    <w:rsid w:val="00C74B04"/>
    <w:rsid w:val="00C74B17"/>
    <w:rsid w:val="00C74B55"/>
    <w:rsid w:val="00C74BE7"/>
    <w:rsid w:val="00C74D89"/>
    <w:rsid w:val="00C74F33"/>
    <w:rsid w:val="00C74FE2"/>
    <w:rsid w:val="00C7528F"/>
    <w:rsid w:val="00C75420"/>
    <w:rsid w:val="00C754CD"/>
    <w:rsid w:val="00C7585F"/>
    <w:rsid w:val="00C75B64"/>
    <w:rsid w:val="00C75BE0"/>
    <w:rsid w:val="00C75C28"/>
    <w:rsid w:val="00C75E38"/>
    <w:rsid w:val="00C75F5D"/>
    <w:rsid w:val="00C760A1"/>
    <w:rsid w:val="00C76244"/>
    <w:rsid w:val="00C762EB"/>
    <w:rsid w:val="00C763A0"/>
    <w:rsid w:val="00C763A8"/>
    <w:rsid w:val="00C76601"/>
    <w:rsid w:val="00C76722"/>
    <w:rsid w:val="00C76A24"/>
    <w:rsid w:val="00C76ACC"/>
    <w:rsid w:val="00C76E41"/>
    <w:rsid w:val="00C76F70"/>
    <w:rsid w:val="00C76FB2"/>
    <w:rsid w:val="00C77033"/>
    <w:rsid w:val="00C77203"/>
    <w:rsid w:val="00C773C6"/>
    <w:rsid w:val="00C775CF"/>
    <w:rsid w:val="00C776BD"/>
    <w:rsid w:val="00C7771A"/>
    <w:rsid w:val="00C777E1"/>
    <w:rsid w:val="00C77867"/>
    <w:rsid w:val="00C77918"/>
    <w:rsid w:val="00C77A68"/>
    <w:rsid w:val="00C77B10"/>
    <w:rsid w:val="00C77B8F"/>
    <w:rsid w:val="00C77BF0"/>
    <w:rsid w:val="00C77C7F"/>
    <w:rsid w:val="00C77CD0"/>
    <w:rsid w:val="00C77EA8"/>
    <w:rsid w:val="00C77F5C"/>
    <w:rsid w:val="00C77F6A"/>
    <w:rsid w:val="00C77FC2"/>
    <w:rsid w:val="00C79502"/>
    <w:rsid w:val="00C80041"/>
    <w:rsid w:val="00C800E8"/>
    <w:rsid w:val="00C801ED"/>
    <w:rsid w:val="00C8033A"/>
    <w:rsid w:val="00C8043B"/>
    <w:rsid w:val="00C804A7"/>
    <w:rsid w:val="00C80598"/>
    <w:rsid w:val="00C80644"/>
    <w:rsid w:val="00C80760"/>
    <w:rsid w:val="00C80861"/>
    <w:rsid w:val="00C808C3"/>
    <w:rsid w:val="00C809AD"/>
    <w:rsid w:val="00C80BB6"/>
    <w:rsid w:val="00C80CE7"/>
    <w:rsid w:val="00C80DBC"/>
    <w:rsid w:val="00C80DEA"/>
    <w:rsid w:val="00C8106B"/>
    <w:rsid w:val="00C8138D"/>
    <w:rsid w:val="00C81402"/>
    <w:rsid w:val="00C81561"/>
    <w:rsid w:val="00C8166A"/>
    <w:rsid w:val="00C81BC6"/>
    <w:rsid w:val="00C81BF1"/>
    <w:rsid w:val="00C81C80"/>
    <w:rsid w:val="00C81E57"/>
    <w:rsid w:val="00C8208B"/>
    <w:rsid w:val="00C8220F"/>
    <w:rsid w:val="00C82215"/>
    <w:rsid w:val="00C82296"/>
    <w:rsid w:val="00C82308"/>
    <w:rsid w:val="00C82657"/>
    <w:rsid w:val="00C82A93"/>
    <w:rsid w:val="00C82B44"/>
    <w:rsid w:val="00C82C4C"/>
    <w:rsid w:val="00C82D5F"/>
    <w:rsid w:val="00C82F22"/>
    <w:rsid w:val="00C83034"/>
    <w:rsid w:val="00C83136"/>
    <w:rsid w:val="00C83231"/>
    <w:rsid w:val="00C83257"/>
    <w:rsid w:val="00C83272"/>
    <w:rsid w:val="00C833F0"/>
    <w:rsid w:val="00C83448"/>
    <w:rsid w:val="00C834C4"/>
    <w:rsid w:val="00C834D3"/>
    <w:rsid w:val="00C836C0"/>
    <w:rsid w:val="00C83736"/>
    <w:rsid w:val="00C83795"/>
    <w:rsid w:val="00C837A5"/>
    <w:rsid w:val="00C837EA"/>
    <w:rsid w:val="00C83B81"/>
    <w:rsid w:val="00C83BF5"/>
    <w:rsid w:val="00C83C92"/>
    <w:rsid w:val="00C83D2D"/>
    <w:rsid w:val="00C83DDA"/>
    <w:rsid w:val="00C83EA0"/>
    <w:rsid w:val="00C83FBE"/>
    <w:rsid w:val="00C83FEA"/>
    <w:rsid w:val="00C84122"/>
    <w:rsid w:val="00C84150"/>
    <w:rsid w:val="00C8417E"/>
    <w:rsid w:val="00C84237"/>
    <w:rsid w:val="00C8424F"/>
    <w:rsid w:val="00C84338"/>
    <w:rsid w:val="00C843B9"/>
    <w:rsid w:val="00C84723"/>
    <w:rsid w:val="00C847F6"/>
    <w:rsid w:val="00C849B5"/>
    <w:rsid w:val="00C849C2"/>
    <w:rsid w:val="00C84B45"/>
    <w:rsid w:val="00C84B4C"/>
    <w:rsid w:val="00C84BCE"/>
    <w:rsid w:val="00C84BD9"/>
    <w:rsid w:val="00C84C12"/>
    <w:rsid w:val="00C84CEF"/>
    <w:rsid w:val="00C84D96"/>
    <w:rsid w:val="00C84E27"/>
    <w:rsid w:val="00C84FF3"/>
    <w:rsid w:val="00C852A5"/>
    <w:rsid w:val="00C852CF"/>
    <w:rsid w:val="00C8534A"/>
    <w:rsid w:val="00C853F9"/>
    <w:rsid w:val="00C855D6"/>
    <w:rsid w:val="00C855ED"/>
    <w:rsid w:val="00C8565E"/>
    <w:rsid w:val="00C85663"/>
    <w:rsid w:val="00C857AC"/>
    <w:rsid w:val="00C85A34"/>
    <w:rsid w:val="00C85AB3"/>
    <w:rsid w:val="00C85B57"/>
    <w:rsid w:val="00C85D6E"/>
    <w:rsid w:val="00C8621C"/>
    <w:rsid w:val="00C862B1"/>
    <w:rsid w:val="00C862C5"/>
    <w:rsid w:val="00C86369"/>
    <w:rsid w:val="00C86595"/>
    <w:rsid w:val="00C865E6"/>
    <w:rsid w:val="00C8665E"/>
    <w:rsid w:val="00C866C7"/>
    <w:rsid w:val="00C86A0E"/>
    <w:rsid w:val="00C86FE8"/>
    <w:rsid w:val="00C8701A"/>
    <w:rsid w:val="00C8703B"/>
    <w:rsid w:val="00C8718D"/>
    <w:rsid w:val="00C87208"/>
    <w:rsid w:val="00C8731C"/>
    <w:rsid w:val="00C8738C"/>
    <w:rsid w:val="00C87437"/>
    <w:rsid w:val="00C87581"/>
    <w:rsid w:val="00C8759C"/>
    <w:rsid w:val="00C875A4"/>
    <w:rsid w:val="00C875D8"/>
    <w:rsid w:val="00C87686"/>
    <w:rsid w:val="00C8773E"/>
    <w:rsid w:val="00C877FB"/>
    <w:rsid w:val="00C878C6"/>
    <w:rsid w:val="00C87A43"/>
    <w:rsid w:val="00C87AC7"/>
    <w:rsid w:val="00C87BFD"/>
    <w:rsid w:val="00C87D45"/>
    <w:rsid w:val="00C87F22"/>
    <w:rsid w:val="00C87F2D"/>
    <w:rsid w:val="00C900FE"/>
    <w:rsid w:val="00C90135"/>
    <w:rsid w:val="00C9028A"/>
    <w:rsid w:val="00C902C2"/>
    <w:rsid w:val="00C90397"/>
    <w:rsid w:val="00C903C4"/>
    <w:rsid w:val="00C90643"/>
    <w:rsid w:val="00C906C7"/>
    <w:rsid w:val="00C907A0"/>
    <w:rsid w:val="00C907D0"/>
    <w:rsid w:val="00C90B33"/>
    <w:rsid w:val="00C90B5B"/>
    <w:rsid w:val="00C90BB9"/>
    <w:rsid w:val="00C90D8E"/>
    <w:rsid w:val="00C90DBE"/>
    <w:rsid w:val="00C90E77"/>
    <w:rsid w:val="00C91231"/>
    <w:rsid w:val="00C912CA"/>
    <w:rsid w:val="00C91383"/>
    <w:rsid w:val="00C91467"/>
    <w:rsid w:val="00C91668"/>
    <w:rsid w:val="00C916A7"/>
    <w:rsid w:val="00C91718"/>
    <w:rsid w:val="00C917BB"/>
    <w:rsid w:val="00C917D8"/>
    <w:rsid w:val="00C918B1"/>
    <w:rsid w:val="00C91A94"/>
    <w:rsid w:val="00C91B03"/>
    <w:rsid w:val="00C91C60"/>
    <w:rsid w:val="00C91C91"/>
    <w:rsid w:val="00C92101"/>
    <w:rsid w:val="00C92158"/>
    <w:rsid w:val="00C921DD"/>
    <w:rsid w:val="00C922F9"/>
    <w:rsid w:val="00C92553"/>
    <w:rsid w:val="00C926A2"/>
    <w:rsid w:val="00C92870"/>
    <w:rsid w:val="00C928E0"/>
    <w:rsid w:val="00C928F7"/>
    <w:rsid w:val="00C92995"/>
    <w:rsid w:val="00C9299D"/>
    <w:rsid w:val="00C92A18"/>
    <w:rsid w:val="00C92A2E"/>
    <w:rsid w:val="00C92A7B"/>
    <w:rsid w:val="00C92BB7"/>
    <w:rsid w:val="00C92D31"/>
    <w:rsid w:val="00C92E2B"/>
    <w:rsid w:val="00C92F1E"/>
    <w:rsid w:val="00C92F30"/>
    <w:rsid w:val="00C93115"/>
    <w:rsid w:val="00C932E5"/>
    <w:rsid w:val="00C932E6"/>
    <w:rsid w:val="00C933F6"/>
    <w:rsid w:val="00C93499"/>
    <w:rsid w:val="00C9367D"/>
    <w:rsid w:val="00C93778"/>
    <w:rsid w:val="00C937BB"/>
    <w:rsid w:val="00C9386F"/>
    <w:rsid w:val="00C93870"/>
    <w:rsid w:val="00C938B9"/>
    <w:rsid w:val="00C938BE"/>
    <w:rsid w:val="00C9390A"/>
    <w:rsid w:val="00C93A15"/>
    <w:rsid w:val="00C93C52"/>
    <w:rsid w:val="00C93D89"/>
    <w:rsid w:val="00C93D92"/>
    <w:rsid w:val="00C93F2E"/>
    <w:rsid w:val="00C93F5D"/>
    <w:rsid w:val="00C94007"/>
    <w:rsid w:val="00C94028"/>
    <w:rsid w:val="00C941A7"/>
    <w:rsid w:val="00C94365"/>
    <w:rsid w:val="00C94383"/>
    <w:rsid w:val="00C94394"/>
    <w:rsid w:val="00C94432"/>
    <w:rsid w:val="00C944B1"/>
    <w:rsid w:val="00C945F3"/>
    <w:rsid w:val="00C946C6"/>
    <w:rsid w:val="00C94766"/>
    <w:rsid w:val="00C9478F"/>
    <w:rsid w:val="00C947C4"/>
    <w:rsid w:val="00C94851"/>
    <w:rsid w:val="00C949C6"/>
    <w:rsid w:val="00C94A17"/>
    <w:rsid w:val="00C94BEE"/>
    <w:rsid w:val="00C94C91"/>
    <w:rsid w:val="00C94FEA"/>
    <w:rsid w:val="00C95006"/>
    <w:rsid w:val="00C951CF"/>
    <w:rsid w:val="00C9536F"/>
    <w:rsid w:val="00C95573"/>
    <w:rsid w:val="00C95652"/>
    <w:rsid w:val="00C95873"/>
    <w:rsid w:val="00C95B2B"/>
    <w:rsid w:val="00C95BCC"/>
    <w:rsid w:val="00C95EA0"/>
    <w:rsid w:val="00C95F41"/>
    <w:rsid w:val="00C95FCB"/>
    <w:rsid w:val="00C9632E"/>
    <w:rsid w:val="00C9637F"/>
    <w:rsid w:val="00C96381"/>
    <w:rsid w:val="00C9644D"/>
    <w:rsid w:val="00C96564"/>
    <w:rsid w:val="00C9664B"/>
    <w:rsid w:val="00C9667A"/>
    <w:rsid w:val="00C966E6"/>
    <w:rsid w:val="00C96746"/>
    <w:rsid w:val="00C967E0"/>
    <w:rsid w:val="00C968F7"/>
    <w:rsid w:val="00C96974"/>
    <w:rsid w:val="00C96A7A"/>
    <w:rsid w:val="00C96AF8"/>
    <w:rsid w:val="00C96B00"/>
    <w:rsid w:val="00C96BA8"/>
    <w:rsid w:val="00C96D4F"/>
    <w:rsid w:val="00C96DCF"/>
    <w:rsid w:val="00C96F06"/>
    <w:rsid w:val="00C97189"/>
    <w:rsid w:val="00C97332"/>
    <w:rsid w:val="00C97452"/>
    <w:rsid w:val="00C9748E"/>
    <w:rsid w:val="00C977F1"/>
    <w:rsid w:val="00C9780A"/>
    <w:rsid w:val="00C97D9F"/>
    <w:rsid w:val="00C97DDF"/>
    <w:rsid w:val="00C97E77"/>
    <w:rsid w:val="00C97F18"/>
    <w:rsid w:val="00CA008B"/>
    <w:rsid w:val="00CA00B2"/>
    <w:rsid w:val="00CA0635"/>
    <w:rsid w:val="00CA0756"/>
    <w:rsid w:val="00CA092C"/>
    <w:rsid w:val="00CA09C5"/>
    <w:rsid w:val="00CA09EA"/>
    <w:rsid w:val="00CA0A71"/>
    <w:rsid w:val="00CA0A7B"/>
    <w:rsid w:val="00CA0CD4"/>
    <w:rsid w:val="00CA0E16"/>
    <w:rsid w:val="00CA0E26"/>
    <w:rsid w:val="00CA0FBE"/>
    <w:rsid w:val="00CA1095"/>
    <w:rsid w:val="00CA15B7"/>
    <w:rsid w:val="00CA15D4"/>
    <w:rsid w:val="00CA17A1"/>
    <w:rsid w:val="00CA17E1"/>
    <w:rsid w:val="00CA1875"/>
    <w:rsid w:val="00CA1A03"/>
    <w:rsid w:val="00CA1EFF"/>
    <w:rsid w:val="00CA2120"/>
    <w:rsid w:val="00CA214B"/>
    <w:rsid w:val="00CA2170"/>
    <w:rsid w:val="00CA21FA"/>
    <w:rsid w:val="00CA2278"/>
    <w:rsid w:val="00CA22FA"/>
    <w:rsid w:val="00CA2442"/>
    <w:rsid w:val="00CA24CB"/>
    <w:rsid w:val="00CA2531"/>
    <w:rsid w:val="00CA25DB"/>
    <w:rsid w:val="00CA273D"/>
    <w:rsid w:val="00CA2C16"/>
    <w:rsid w:val="00CA2DFB"/>
    <w:rsid w:val="00CA2E30"/>
    <w:rsid w:val="00CA2E4C"/>
    <w:rsid w:val="00CA2ED7"/>
    <w:rsid w:val="00CA2F8C"/>
    <w:rsid w:val="00CA3015"/>
    <w:rsid w:val="00CA3025"/>
    <w:rsid w:val="00CA3034"/>
    <w:rsid w:val="00CA3287"/>
    <w:rsid w:val="00CA32BB"/>
    <w:rsid w:val="00CA32D2"/>
    <w:rsid w:val="00CA3405"/>
    <w:rsid w:val="00CA3541"/>
    <w:rsid w:val="00CA369E"/>
    <w:rsid w:val="00CA37E5"/>
    <w:rsid w:val="00CA38A7"/>
    <w:rsid w:val="00CA3C54"/>
    <w:rsid w:val="00CA3D31"/>
    <w:rsid w:val="00CA3FAD"/>
    <w:rsid w:val="00CA3FD5"/>
    <w:rsid w:val="00CA420E"/>
    <w:rsid w:val="00CA4216"/>
    <w:rsid w:val="00CA4373"/>
    <w:rsid w:val="00CA49AC"/>
    <w:rsid w:val="00CA49EF"/>
    <w:rsid w:val="00CA4E29"/>
    <w:rsid w:val="00CA4E63"/>
    <w:rsid w:val="00CA4F37"/>
    <w:rsid w:val="00CA4FC1"/>
    <w:rsid w:val="00CA4FC8"/>
    <w:rsid w:val="00CA51E4"/>
    <w:rsid w:val="00CA51F1"/>
    <w:rsid w:val="00CA520E"/>
    <w:rsid w:val="00CA5312"/>
    <w:rsid w:val="00CA53A3"/>
    <w:rsid w:val="00CA5759"/>
    <w:rsid w:val="00CA580E"/>
    <w:rsid w:val="00CA58F3"/>
    <w:rsid w:val="00CA591E"/>
    <w:rsid w:val="00CA5B05"/>
    <w:rsid w:val="00CA5BC0"/>
    <w:rsid w:val="00CA5BF5"/>
    <w:rsid w:val="00CA5CB4"/>
    <w:rsid w:val="00CA5CB6"/>
    <w:rsid w:val="00CA5F06"/>
    <w:rsid w:val="00CA5F73"/>
    <w:rsid w:val="00CA6083"/>
    <w:rsid w:val="00CA6276"/>
    <w:rsid w:val="00CA63E9"/>
    <w:rsid w:val="00CA6454"/>
    <w:rsid w:val="00CA680B"/>
    <w:rsid w:val="00CA6999"/>
    <w:rsid w:val="00CA6C4E"/>
    <w:rsid w:val="00CA6CD2"/>
    <w:rsid w:val="00CA6DF0"/>
    <w:rsid w:val="00CA6E4F"/>
    <w:rsid w:val="00CA6EFC"/>
    <w:rsid w:val="00CA7179"/>
    <w:rsid w:val="00CA734C"/>
    <w:rsid w:val="00CA7402"/>
    <w:rsid w:val="00CA7446"/>
    <w:rsid w:val="00CA75DA"/>
    <w:rsid w:val="00CA768C"/>
    <w:rsid w:val="00CA7710"/>
    <w:rsid w:val="00CA7740"/>
    <w:rsid w:val="00CA7878"/>
    <w:rsid w:val="00CA7A89"/>
    <w:rsid w:val="00CA7C2F"/>
    <w:rsid w:val="00CA7C7D"/>
    <w:rsid w:val="00CA7E95"/>
    <w:rsid w:val="00CA7EBC"/>
    <w:rsid w:val="00CA7F68"/>
    <w:rsid w:val="00CB0138"/>
    <w:rsid w:val="00CB056B"/>
    <w:rsid w:val="00CB068C"/>
    <w:rsid w:val="00CB074F"/>
    <w:rsid w:val="00CB095C"/>
    <w:rsid w:val="00CB0B22"/>
    <w:rsid w:val="00CB0BED"/>
    <w:rsid w:val="00CB0BF8"/>
    <w:rsid w:val="00CB0C29"/>
    <w:rsid w:val="00CB0C3A"/>
    <w:rsid w:val="00CB1013"/>
    <w:rsid w:val="00CB1132"/>
    <w:rsid w:val="00CB143F"/>
    <w:rsid w:val="00CB17AB"/>
    <w:rsid w:val="00CB1A0D"/>
    <w:rsid w:val="00CB1A24"/>
    <w:rsid w:val="00CB1AAD"/>
    <w:rsid w:val="00CB1B6C"/>
    <w:rsid w:val="00CB1C09"/>
    <w:rsid w:val="00CB1C7D"/>
    <w:rsid w:val="00CB1D1D"/>
    <w:rsid w:val="00CB1EF1"/>
    <w:rsid w:val="00CB1F3C"/>
    <w:rsid w:val="00CB2135"/>
    <w:rsid w:val="00CB2237"/>
    <w:rsid w:val="00CB23B8"/>
    <w:rsid w:val="00CB2442"/>
    <w:rsid w:val="00CB24B5"/>
    <w:rsid w:val="00CB25C1"/>
    <w:rsid w:val="00CB2724"/>
    <w:rsid w:val="00CB2868"/>
    <w:rsid w:val="00CB2894"/>
    <w:rsid w:val="00CB29AB"/>
    <w:rsid w:val="00CB2A71"/>
    <w:rsid w:val="00CB3007"/>
    <w:rsid w:val="00CB3294"/>
    <w:rsid w:val="00CB32C3"/>
    <w:rsid w:val="00CB33D9"/>
    <w:rsid w:val="00CB35DE"/>
    <w:rsid w:val="00CB36F4"/>
    <w:rsid w:val="00CB37EF"/>
    <w:rsid w:val="00CB38A0"/>
    <w:rsid w:val="00CB3B96"/>
    <w:rsid w:val="00CB3B9D"/>
    <w:rsid w:val="00CB3BA6"/>
    <w:rsid w:val="00CB3C33"/>
    <w:rsid w:val="00CB3E84"/>
    <w:rsid w:val="00CB3EEB"/>
    <w:rsid w:val="00CB3F9F"/>
    <w:rsid w:val="00CB406E"/>
    <w:rsid w:val="00CB443F"/>
    <w:rsid w:val="00CB4584"/>
    <w:rsid w:val="00CB4855"/>
    <w:rsid w:val="00CB493B"/>
    <w:rsid w:val="00CB49B0"/>
    <w:rsid w:val="00CB4A85"/>
    <w:rsid w:val="00CB4AC7"/>
    <w:rsid w:val="00CB4C85"/>
    <w:rsid w:val="00CB4F46"/>
    <w:rsid w:val="00CB4FBB"/>
    <w:rsid w:val="00CB5215"/>
    <w:rsid w:val="00CB5271"/>
    <w:rsid w:val="00CB533B"/>
    <w:rsid w:val="00CB53B9"/>
    <w:rsid w:val="00CB54E6"/>
    <w:rsid w:val="00CB564A"/>
    <w:rsid w:val="00CB57CC"/>
    <w:rsid w:val="00CB595D"/>
    <w:rsid w:val="00CB59CB"/>
    <w:rsid w:val="00CB5B73"/>
    <w:rsid w:val="00CB5BEE"/>
    <w:rsid w:val="00CB5CF8"/>
    <w:rsid w:val="00CB5DF5"/>
    <w:rsid w:val="00CB5FDB"/>
    <w:rsid w:val="00CB61D1"/>
    <w:rsid w:val="00CB621E"/>
    <w:rsid w:val="00CB6230"/>
    <w:rsid w:val="00CB62D1"/>
    <w:rsid w:val="00CB62E8"/>
    <w:rsid w:val="00CB663A"/>
    <w:rsid w:val="00CB67B2"/>
    <w:rsid w:val="00CB6ADB"/>
    <w:rsid w:val="00CB6B17"/>
    <w:rsid w:val="00CB6CA0"/>
    <w:rsid w:val="00CB6CA8"/>
    <w:rsid w:val="00CB7025"/>
    <w:rsid w:val="00CB7050"/>
    <w:rsid w:val="00CB7079"/>
    <w:rsid w:val="00CB70E2"/>
    <w:rsid w:val="00CB720D"/>
    <w:rsid w:val="00CB72D2"/>
    <w:rsid w:val="00CB73A5"/>
    <w:rsid w:val="00CB75A4"/>
    <w:rsid w:val="00CB766F"/>
    <w:rsid w:val="00CB7737"/>
    <w:rsid w:val="00CB79A2"/>
    <w:rsid w:val="00CB7AFC"/>
    <w:rsid w:val="00CB7B09"/>
    <w:rsid w:val="00CB7D5C"/>
    <w:rsid w:val="00CB7DBF"/>
    <w:rsid w:val="00CB7EE7"/>
    <w:rsid w:val="00CC0012"/>
    <w:rsid w:val="00CC0021"/>
    <w:rsid w:val="00CC01BB"/>
    <w:rsid w:val="00CC02BD"/>
    <w:rsid w:val="00CC03CE"/>
    <w:rsid w:val="00CC05D3"/>
    <w:rsid w:val="00CC0766"/>
    <w:rsid w:val="00CC0797"/>
    <w:rsid w:val="00CC0837"/>
    <w:rsid w:val="00CC086C"/>
    <w:rsid w:val="00CC08CD"/>
    <w:rsid w:val="00CC096B"/>
    <w:rsid w:val="00CC09BD"/>
    <w:rsid w:val="00CC0A8A"/>
    <w:rsid w:val="00CC0C4D"/>
    <w:rsid w:val="00CC0E18"/>
    <w:rsid w:val="00CC0EB4"/>
    <w:rsid w:val="00CC11F4"/>
    <w:rsid w:val="00CC120F"/>
    <w:rsid w:val="00CC1362"/>
    <w:rsid w:val="00CC14CA"/>
    <w:rsid w:val="00CC14E7"/>
    <w:rsid w:val="00CC150E"/>
    <w:rsid w:val="00CC15BF"/>
    <w:rsid w:val="00CC164B"/>
    <w:rsid w:val="00CC19BA"/>
    <w:rsid w:val="00CC1AA0"/>
    <w:rsid w:val="00CC1BED"/>
    <w:rsid w:val="00CC1C3C"/>
    <w:rsid w:val="00CC1D10"/>
    <w:rsid w:val="00CC1D41"/>
    <w:rsid w:val="00CC1D94"/>
    <w:rsid w:val="00CC1E63"/>
    <w:rsid w:val="00CC1FEA"/>
    <w:rsid w:val="00CC22E9"/>
    <w:rsid w:val="00CC2770"/>
    <w:rsid w:val="00CC2953"/>
    <w:rsid w:val="00CC299A"/>
    <w:rsid w:val="00CC2A1A"/>
    <w:rsid w:val="00CC2BB0"/>
    <w:rsid w:val="00CC2EB4"/>
    <w:rsid w:val="00CC2ED0"/>
    <w:rsid w:val="00CC300F"/>
    <w:rsid w:val="00CC3047"/>
    <w:rsid w:val="00CC33AD"/>
    <w:rsid w:val="00CC3468"/>
    <w:rsid w:val="00CC34F5"/>
    <w:rsid w:val="00CC363A"/>
    <w:rsid w:val="00CC375B"/>
    <w:rsid w:val="00CC3771"/>
    <w:rsid w:val="00CC3904"/>
    <w:rsid w:val="00CC3930"/>
    <w:rsid w:val="00CC3B37"/>
    <w:rsid w:val="00CC3B86"/>
    <w:rsid w:val="00CC3C30"/>
    <w:rsid w:val="00CC3CD1"/>
    <w:rsid w:val="00CC3ECB"/>
    <w:rsid w:val="00CC3FCD"/>
    <w:rsid w:val="00CC4179"/>
    <w:rsid w:val="00CC43D6"/>
    <w:rsid w:val="00CC4410"/>
    <w:rsid w:val="00CC45D7"/>
    <w:rsid w:val="00CC4627"/>
    <w:rsid w:val="00CC46B0"/>
    <w:rsid w:val="00CC46BE"/>
    <w:rsid w:val="00CC4844"/>
    <w:rsid w:val="00CC489F"/>
    <w:rsid w:val="00CC4906"/>
    <w:rsid w:val="00CC4967"/>
    <w:rsid w:val="00CC4975"/>
    <w:rsid w:val="00CC4C85"/>
    <w:rsid w:val="00CC4F6D"/>
    <w:rsid w:val="00CC50D9"/>
    <w:rsid w:val="00CC5123"/>
    <w:rsid w:val="00CC52F4"/>
    <w:rsid w:val="00CC536E"/>
    <w:rsid w:val="00CC537E"/>
    <w:rsid w:val="00CC5383"/>
    <w:rsid w:val="00CC561E"/>
    <w:rsid w:val="00CC5663"/>
    <w:rsid w:val="00CC56B4"/>
    <w:rsid w:val="00CC56C5"/>
    <w:rsid w:val="00CC586F"/>
    <w:rsid w:val="00CC5991"/>
    <w:rsid w:val="00CC5B93"/>
    <w:rsid w:val="00CC5C6E"/>
    <w:rsid w:val="00CC5C88"/>
    <w:rsid w:val="00CC5D9B"/>
    <w:rsid w:val="00CC5E8F"/>
    <w:rsid w:val="00CC60D8"/>
    <w:rsid w:val="00CC60EF"/>
    <w:rsid w:val="00CC618A"/>
    <w:rsid w:val="00CC61B1"/>
    <w:rsid w:val="00CC650D"/>
    <w:rsid w:val="00CC6669"/>
    <w:rsid w:val="00CC6998"/>
    <w:rsid w:val="00CC6AC4"/>
    <w:rsid w:val="00CC6BA3"/>
    <w:rsid w:val="00CC6D7E"/>
    <w:rsid w:val="00CC6D97"/>
    <w:rsid w:val="00CC6E66"/>
    <w:rsid w:val="00CC7010"/>
    <w:rsid w:val="00CC702D"/>
    <w:rsid w:val="00CC71AE"/>
    <w:rsid w:val="00CC7238"/>
    <w:rsid w:val="00CC73CF"/>
    <w:rsid w:val="00CC7525"/>
    <w:rsid w:val="00CC75C4"/>
    <w:rsid w:val="00CC75FD"/>
    <w:rsid w:val="00CC7743"/>
    <w:rsid w:val="00CC78B4"/>
    <w:rsid w:val="00CC78C9"/>
    <w:rsid w:val="00CC79D0"/>
    <w:rsid w:val="00CC7BF1"/>
    <w:rsid w:val="00CC7C6F"/>
    <w:rsid w:val="00CC7E89"/>
    <w:rsid w:val="00CC7EB9"/>
    <w:rsid w:val="00CC7F64"/>
    <w:rsid w:val="00CD004F"/>
    <w:rsid w:val="00CD00D8"/>
    <w:rsid w:val="00CD0140"/>
    <w:rsid w:val="00CD01CA"/>
    <w:rsid w:val="00CD0534"/>
    <w:rsid w:val="00CD07C9"/>
    <w:rsid w:val="00CD0C80"/>
    <w:rsid w:val="00CD0DDE"/>
    <w:rsid w:val="00CD0E69"/>
    <w:rsid w:val="00CD0F44"/>
    <w:rsid w:val="00CD0F5E"/>
    <w:rsid w:val="00CD121B"/>
    <w:rsid w:val="00CD12A2"/>
    <w:rsid w:val="00CD1478"/>
    <w:rsid w:val="00CD14F7"/>
    <w:rsid w:val="00CD1726"/>
    <w:rsid w:val="00CD17E0"/>
    <w:rsid w:val="00CD1914"/>
    <w:rsid w:val="00CD1B5A"/>
    <w:rsid w:val="00CD1BD3"/>
    <w:rsid w:val="00CD1D48"/>
    <w:rsid w:val="00CD1E6C"/>
    <w:rsid w:val="00CD1EB6"/>
    <w:rsid w:val="00CD1ECD"/>
    <w:rsid w:val="00CD2005"/>
    <w:rsid w:val="00CD2211"/>
    <w:rsid w:val="00CD2270"/>
    <w:rsid w:val="00CD2308"/>
    <w:rsid w:val="00CD2461"/>
    <w:rsid w:val="00CD266B"/>
    <w:rsid w:val="00CD275C"/>
    <w:rsid w:val="00CD2944"/>
    <w:rsid w:val="00CD2AA9"/>
    <w:rsid w:val="00CD2B16"/>
    <w:rsid w:val="00CD2D58"/>
    <w:rsid w:val="00CD2D8C"/>
    <w:rsid w:val="00CD2E85"/>
    <w:rsid w:val="00CD2FC0"/>
    <w:rsid w:val="00CD2FCA"/>
    <w:rsid w:val="00CD300A"/>
    <w:rsid w:val="00CD305C"/>
    <w:rsid w:val="00CD30F4"/>
    <w:rsid w:val="00CD3462"/>
    <w:rsid w:val="00CD34DA"/>
    <w:rsid w:val="00CD367D"/>
    <w:rsid w:val="00CD3683"/>
    <w:rsid w:val="00CD36DF"/>
    <w:rsid w:val="00CD3928"/>
    <w:rsid w:val="00CD39B4"/>
    <w:rsid w:val="00CD3AEB"/>
    <w:rsid w:val="00CD3C46"/>
    <w:rsid w:val="00CD3E27"/>
    <w:rsid w:val="00CD3E6F"/>
    <w:rsid w:val="00CD3E80"/>
    <w:rsid w:val="00CD3FF4"/>
    <w:rsid w:val="00CD4039"/>
    <w:rsid w:val="00CD4386"/>
    <w:rsid w:val="00CD447F"/>
    <w:rsid w:val="00CD45CF"/>
    <w:rsid w:val="00CD46FA"/>
    <w:rsid w:val="00CD471F"/>
    <w:rsid w:val="00CD4A12"/>
    <w:rsid w:val="00CD4B01"/>
    <w:rsid w:val="00CD4BEB"/>
    <w:rsid w:val="00CD4D11"/>
    <w:rsid w:val="00CD4D26"/>
    <w:rsid w:val="00CD4DDA"/>
    <w:rsid w:val="00CD5024"/>
    <w:rsid w:val="00CD5261"/>
    <w:rsid w:val="00CD53BD"/>
    <w:rsid w:val="00CD53FA"/>
    <w:rsid w:val="00CD561E"/>
    <w:rsid w:val="00CD56CF"/>
    <w:rsid w:val="00CD5700"/>
    <w:rsid w:val="00CD579B"/>
    <w:rsid w:val="00CD57C9"/>
    <w:rsid w:val="00CD5834"/>
    <w:rsid w:val="00CD5AE9"/>
    <w:rsid w:val="00CD5B42"/>
    <w:rsid w:val="00CD5C74"/>
    <w:rsid w:val="00CD5CAB"/>
    <w:rsid w:val="00CD5D85"/>
    <w:rsid w:val="00CD5DAD"/>
    <w:rsid w:val="00CD5E74"/>
    <w:rsid w:val="00CD5EE8"/>
    <w:rsid w:val="00CD5F0A"/>
    <w:rsid w:val="00CD606D"/>
    <w:rsid w:val="00CD620C"/>
    <w:rsid w:val="00CD632D"/>
    <w:rsid w:val="00CD63B5"/>
    <w:rsid w:val="00CD6510"/>
    <w:rsid w:val="00CD65EA"/>
    <w:rsid w:val="00CD6658"/>
    <w:rsid w:val="00CD6666"/>
    <w:rsid w:val="00CD667B"/>
    <w:rsid w:val="00CD69B5"/>
    <w:rsid w:val="00CD6C0C"/>
    <w:rsid w:val="00CD6DBC"/>
    <w:rsid w:val="00CD6E2E"/>
    <w:rsid w:val="00CD6E46"/>
    <w:rsid w:val="00CD6E78"/>
    <w:rsid w:val="00CD6F2B"/>
    <w:rsid w:val="00CD7070"/>
    <w:rsid w:val="00CD7475"/>
    <w:rsid w:val="00CD754A"/>
    <w:rsid w:val="00CD757C"/>
    <w:rsid w:val="00CD7642"/>
    <w:rsid w:val="00CD7676"/>
    <w:rsid w:val="00CD76B7"/>
    <w:rsid w:val="00CD77E0"/>
    <w:rsid w:val="00CD791B"/>
    <w:rsid w:val="00CD7B30"/>
    <w:rsid w:val="00CD7B93"/>
    <w:rsid w:val="00CD7D3A"/>
    <w:rsid w:val="00CD7D4B"/>
    <w:rsid w:val="00CD7DD5"/>
    <w:rsid w:val="00CE0140"/>
    <w:rsid w:val="00CE01E2"/>
    <w:rsid w:val="00CE0564"/>
    <w:rsid w:val="00CE06E0"/>
    <w:rsid w:val="00CE083E"/>
    <w:rsid w:val="00CE089D"/>
    <w:rsid w:val="00CE0945"/>
    <w:rsid w:val="00CE0A94"/>
    <w:rsid w:val="00CE0AAD"/>
    <w:rsid w:val="00CE0B47"/>
    <w:rsid w:val="00CE0B9D"/>
    <w:rsid w:val="00CE0CA3"/>
    <w:rsid w:val="00CE119B"/>
    <w:rsid w:val="00CE121E"/>
    <w:rsid w:val="00CE127B"/>
    <w:rsid w:val="00CE133B"/>
    <w:rsid w:val="00CE13B4"/>
    <w:rsid w:val="00CE1416"/>
    <w:rsid w:val="00CE1459"/>
    <w:rsid w:val="00CE14C4"/>
    <w:rsid w:val="00CE1540"/>
    <w:rsid w:val="00CE17EE"/>
    <w:rsid w:val="00CE1959"/>
    <w:rsid w:val="00CE1B6A"/>
    <w:rsid w:val="00CE1D1C"/>
    <w:rsid w:val="00CE1D34"/>
    <w:rsid w:val="00CE1D9F"/>
    <w:rsid w:val="00CE1E2F"/>
    <w:rsid w:val="00CE1EA5"/>
    <w:rsid w:val="00CE1EC8"/>
    <w:rsid w:val="00CE1ED3"/>
    <w:rsid w:val="00CE1F3D"/>
    <w:rsid w:val="00CE1F58"/>
    <w:rsid w:val="00CE2196"/>
    <w:rsid w:val="00CE21AE"/>
    <w:rsid w:val="00CE21CA"/>
    <w:rsid w:val="00CE231B"/>
    <w:rsid w:val="00CE292E"/>
    <w:rsid w:val="00CE2B5A"/>
    <w:rsid w:val="00CE2BE7"/>
    <w:rsid w:val="00CE2BF4"/>
    <w:rsid w:val="00CE2CD0"/>
    <w:rsid w:val="00CE2CD9"/>
    <w:rsid w:val="00CE2EB0"/>
    <w:rsid w:val="00CE2F20"/>
    <w:rsid w:val="00CE2FED"/>
    <w:rsid w:val="00CE3036"/>
    <w:rsid w:val="00CE30B7"/>
    <w:rsid w:val="00CE3138"/>
    <w:rsid w:val="00CE3139"/>
    <w:rsid w:val="00CE3232"/>
    <w:rsid w:val="00CE33F1"/>
    <w:rsid w:val="00CE34E0"/>
    <w:rsid w:val="00CE36CF"/>
    <w:rsid w:val="00CE37B5"/>
    <w:rsid w:val="00CE38BA"/>
    <w:rsid w:val="00CE3AB1"/>
    <w:rsid w:val="00CE3C05"/>
    <w:rsid w:val="00CE3CE6"/>
    <w:rsid w:val="00CE41F5"/>
    <w:rsid w:val="00CE4278"/>
    <w:rsid w:val="00CE4374"/>
    <w:rsid w:val="00CE43B3"/>
    <w:rsid w:val="00CE44D4"/>
    <w:rsid w:val="00CE46A7"/>
    <w:rsid w:val="00CE479A"/>
    <w:rsid w:val="00CE47B1"/>
    <w:rsid w:val="00CE47B8"/>
    <w:rsid w:val="00CE4813"/>
    <w:rsid w:val="00CE4C39"/>
    <w:rsid w:val="00CE4C9B"/>
    <w:rsid w:val="00CE4EA7"/>
    <w:rsid w:val="00CE4F12"/>
    <w:rsid w:val="00CE519F"/>
    <w:rsid w:val="00CE51ED"/>
    <w:rsid w:val="00CE558A"/>
    <w:rsid w:val="00CE5591"/>
    <w:rsid w:val="00CE56FE"/>
    <w:rsid w:val="00CE5719"/>
    <w:rsid w:val="00CE5A32"/>
    <w:rsid w:val="00CE5AA0"/>
    <w:rsid w:val="00CE5D1D"/>
    <w:rsid w:val="00CE5DF6"/>
    <w:rsid w:val="00CE5E32"/>
    <w:rsid w:val="00CE63A1"/>
    <w:rsid w:val="00CE63A4"/>
    <w:rsid w:val="00CE650F"/>
    <w:rsid w:val="00CE66F4"/>
    <w:rsid w:val="00CE6995"/>
    <w:rsid w:val="00CE6A18"/>
    <w:rsid w:val="00CE6AE4"/>
    <w:rsid w:val="00CE6D0B"/>
    <w:rsid w:val="00CE6EE8"/>
    <w:rsid w:val="00CE6F38"/>
    <w:rsid w:val="00CE73B3"/>
    <w:rsid w:val="00CE7431"/>
    <w:rsid w:val="00CE758A"/>
    <w:rsid w:val="00CE7686"/>
    <w:rsid w:val="00CE76CA"/>
    <w:rsid w:val="00CE78B7"/>
    <w:rsid w:val="00CE791C"/>
    <w:rsid w:val="00CE796D"/>
    <w:rsid w:val="00CE7A55"/>
    <w:rsid w:val="00CE7C41"/>
    <w:rsid w:val="00CE7CE8"/>
    <w:rsid w:val="00CE7DD4"/>
    <w:rsid w:val="00CE7F03"/>
    <w:rsid w:val="00CE7FC5"/>
    <w:rsid w:val="00CF00F8"/>
    <w:rsid w:val="00CF0127"/>
    <w:rsid w:val="00CF0201"/>
    <w:rsid w:val="00CF03F9"/>
    <w:rsid w:val="00CF0545"/>
    <w:rsid w:val="00CF05C0"/>
    <w:rsid w:val="00CF05E6"/>
    <w:rsid w:val="00CF07B7"/>
    <w:rsid w:val="00CF087D"/>
    <w:rsid w:val="00CF089A"/>
    <w:rsid w:val="00CF08B9"/>
    <w:rsid w:val="00CF08D4"/>
    <w:rsid w:val="00CF0B48"/>
    <w:rsid w:val="00CF0B9A"/>
    <w:rsid w:val="00CF0BC0"/>
    <w:rsid w:val="00CF0C66"/>
    <w:rsid w:val="00CF0D9C"/>
    <w:rsid w:val="00CF0E3C"/>
    <w:rsid w:val="00CF0EFA"/>
    <w:rsid w:val="00CF13CF"/>
    <w:rsid w:val="00CF14ED"/>
    <w:rsid w:val="00CF1609"/>
    <w:rsid w:val="00CF163B"/>
    <w:rsid w:val="00CF163F"/>
    <w:rsid w:val="00CF167F"/>
    <w:rsid w:val="00CF17E3"/>
    <w:rsid w:val="00CF18A0"/>
    <w:rsid w:val="00CF1A34"/>
    <w:rsid w:val="00CF1B45"/>
    <w:rsid w:val="00CF1C3B"/>
    <w:rsid w:val="00CF208F"/>
    <w:rsid w:val="00CF2144"/>
    <w:rsid w:val="00CF216A"/>
    <w:rsid w:val="00CF21B2"/>
    <w:rsid w:val="00CF23CD"/>
    <w:rsid w:val="00CF2545"/>
    <w:rsid w:val="00CF256D"/>
    <w:rsid w:val="00CF2655"/>
    <w:rsid w:val="00CF26B7"/>
    <w:rsid w:val="00CF2909"/>
    <w:rsid w:val="00CF2A0B"/>
    <w:rsid w:val="00CF2A66"/>
    <w:rsid w:val="00CF2D02"/>
    <w:rsid w:val="00CF2D74"/>
    <w:rsid w:val="00CF2E5C"/>
    <w:rsid w:val="00CF2EA3"/>
    <w:rsid w:val="00CF2F28"/>
    <w:rsid w:val="00CF3527"/>
    <w:rsid w:val="00CF37DB"/>
    <w:rsid w:val="00CF39D0"/>
    <w:rsid w:val="00CF3AA2"/>
    <w:rsid w:val="00CF3B73"/>
    <w:rsid w:val="00CF3B7C"/>
    <w:rsid w:val="00CF3CA4"/>
    <w:rsid w:val="00CF3DFF"/>
    <w:rsid w:val="00CF4092"/>
    <w:rsid w:val="00CF41F4"/>
    <w:rsid w:val="00CF426E"/>
    <w:rsid w:val="00CF435D"/>
    <w:rsid w:val="00CF43BD"/>
    <w:rsid w:val="00CF43FE"/>
    <w:rsid w:val="00CF4407"/>
    <w:rsid w:val="00CF4534"/>
    <w:rsid w:val="00CF4670"/>
    <w:rsid w:val="00CF4878"/>
    <w:rsid w:val="00CF48B8"/>
    <w:rsid w:val="00CF4A22"/>
    <w:rsid w:val="00CF4BEF"/>
    <w:rsid w:val="00CF4D67"/>
    <w:rsid w:val="00CF4D76"/>
    <w:rsid w:val="00CF4DC0"/>
    <w:rsid w:val="00CF4DFA"/>
    <w:rsid w:val="00CF4E0C"/>
    <w:rsid w:val="00CF503C"/>
    <w:rsid w:val="00CF525B"/>
    <w:rsid w:val="00CF52DE"/>
    <w:rsid w:val="00CF52F7"/>
    <w:rsid w:val="00CF53F7"/>
    <w:rsid w:val="00CF544D"/>
    <w:rsid w:val="00CF546E"/>
    <w:rsid w:val="00CF55EE"/>
    <w:rsid w:val="00CF560C"/>
    <w:rsid w:val="00CF57BF"/>
    <w:rsid w:val="00CF581A"/>
    <w:rsid w:val="00CF585C"/>
    <w:rsid w:val="00CF5870"/>
    <w:rsid w:val="00CF58D9"/>
    <w:rsid w:val="00CF592C"/>
    <w:rsid w:val="00CF594C"/>
    <w:rsid w:val="00CF5B48"/>
    <w:rsid w:val="00CF5C31"/>
    <w:rsid w:val="00CF5D19"/>
    <w:rsid w:val="00CF6256"/>
    <w:rsid w:val="00CF6315"/>
    <w:rsid w:val="00CF6417"/>
    <w:rsid w:val="00CF6711"/>
    <w:rsid w:val="00CF6840"/>
    <w:rsid w:val="00CF6915"/>
    <w:rsid w:val="00CF6A68"/>
    <w:rsid w:val="00CF6D8F"/>
    <w:rsid w:val="00CF71EF"/>
    <w:rsid w:val="00CF7365"/>
    <w:rsid w:val="00CF7384"/>
    <w:rsid w:val="00CF7852"/>
    <w:rsid w:val="00CF78C8"/>
    <w:rsid w:val="00CF7AFA"/>
    <w:rsid w:val="00CF7C5F"/>
    <w:rsid w:val="00CF7C8E"/>
    <w:rsid w:val="00CF7CBF"/>
    <w:rsid w:val="00CF7DCB"/>
    <w:rsid w:val="00CF7E99"/>
    <w:rsid w:val="00CF7EE8"/>
    <w:rsid w:val="00CF7F22"/>
    <w:rsid w:val="00CF7F61"/>
    <w:rsid w:val="00CF7F7F"/>
    <w:rsid w:val="00D00002"/>
    <w:rsid w:val="00D0000F"/>
    <w:rsid w:val="00D0009A"/>
    <w:rsid w:val="00D00101"/>
    <w:rsid w:val="00D00121"/>
    <w:rsid w:val="00D0023B"/>
    <w:rsid w:val="00D0030F"/>
    <w:rsid w:val="00D0033D"/>
    <w:rsid w:val="00D00903"/>
    <w:rsid w:val="00D0098F"/>
    <w:rsid w:val="00D00A56"/>
    <w:rsid w:val="00D00C83"/>
    <w:rsid w:val="00D01026"/>
    <w:rsid w:val="00D01028"/>
    <w:rsid w:val="00D01037"/>
    <w:rsid w:val="00D01239"/>
    <w:rsid w:val="00D012E5"/>
    <w:rsid w:val="00D01300"/>
    <w:rsid w:val="00D016F0"/>
    <w:rsid w:val="00D016F4"/>
    <w:rsid w:val="00D0180A"/>
    <w:rsid w:val="00D01BE1"/>
    <w:rsid w:val="00D01C5D"/>
    <w:rsid w:val="00D01DBD"/>
    <w:rsid w:val="00D01E17"/>
    <w:rsid w:val="00D01E54"/>
    <w:rsid w:val="00D01EC1"/>
    <w:rsid w:val="00D01F09"/>
    <w:rsid w:val="00D01FC6"/>
    <w:rsid w:val="00D02102"/>
    <w:rsid w:val="00D02264"/>
    <w:rsid w:val="00D024D6"/>
    <w:rsid w:val="00D0266B"/>
    <w:rsid w:val="00D02948"/>
    <w:rsid w:val="00D0295D"/>
    <w:rsid w:val="00D02A70"/>
    <w:rsid w:val="00D02F81"/>
    <w:rsid w:val="00D032D2"/>
    <w:rsid w:val="00D03520"/>
    <w:rsid w:val="00D03799"/>
    <w:rsid w:val="00D03972"/>
    <w:rsid w:val="00D039DA"/>
    <w:rsid w:val="00D03A9C"/>
    <w:rsid w:val="00D03B2C"/>
    <w:rsid w:val="00D03BC1"/>
    <w:rsid w:val="00D03BD5"/>
    <w:rsid w:val="00D03CDE"/>
    <w:rsid w:val="00D03D5F"/>
    <w:rsid w:val="00D03DF5"/>
    <w:rsid w:val="00D04087"/>
    <w:rsid w:val="00D04186"/>
    <w:rsid w:val="00D041C4"/>
    <w:rsid w:val="00D0428B"/>
    <w:rsid w:val="00D04607"/>
    <w:rsid w:val="00D0463F"/>
    <w:rsid w:val="00D04828"/>
    <w:rsid w:val="00D04ABC"/>
    <w:rsid w:val="00D04AE6"/>
    <w:rsid w:val="00D04CD1"/>
    <w:rsid w:val="00D04D3C"/>
    <w:rsid w:val="00D04FAF"/>
    <w:rsid w:val="00D04FC8"/>
    <w:rsid w:val="00D053D1"/>
    <w:rsid w:val="00D0542C"/>
    <w:rsid w:val="00D0555C"/>
    <w:rsid w:val="00D05579"/>
    <w:rsid w:val="00D0563C"/>
    <w:rsid w:val="00D0566B"/>
    <w:rsid w:val="00D057AC"/>
    <w:rsid w:val="00D05890"/>
    <w:rsid w:val="00D058EF"/>
    <w:rsid w:val="00D0595B"/>
    <w:rsid w:val="00D05ABB"/>
    <w:rsid w:val="00D05C7B"/>
    <w:rsid w:val="00D05DC0"/>
    <w:rsid w:val="00D05DC6"/>
    <w:rsid w:val="00D05E33"/>
    <w:rsid w:val="00D0625C"/>
    <w:rsid w:val="00D063EB"/>
    <w:rsid w:val="00D06598"/>
    <w:rsid w:val="00D065EC"/>
    <w:rsid w:val="00D066D0"/>
    <w:rsid w:val="00D0688D"/>
    <w:rsid w:val="00D068C8"/>
    <w:rsid w:val="00D069C5"/>
    <w:rsid w:val="00D06A24"/>
    <w:rsid w:val="00D06B2D"/>
    <w:rsid w:val="00D06B34"/>
    <w:rsid w:val="00D06B95"/>
    <w:rsid w:val="00D06C3D"/>
    <w:rsid w:val="00D06C8B"/>
    <w:rsid w:val="00D07035"/>
    <w:rsid w:val="00D071A6"/>
    <w:rsid w:val="00D073C3"/>
    <w:rsid w:val="00D073EF"/>
    <w:rsid w:val="00D074D6"/>
    <w:rsid w:val="00D07596"/>
    <w:rsid w:val="00D076F0"/>
    <w:rsid w:val="00D079D4"/>
    <w:rsid w:val="00D07A60"/>
    <w:rsid w:val="00D07AC5"/>
    <w:rsid w:val="00D07BD7"/>
    <w:rsid w:val="00D07D5E"/>
    <w:rsid w:val="00D07D73"/>
    <w:rsid w:val="00D07DE3"/>
    <w:rsid w:val="00D07E8C"/>
    <w:rsid w:val="00D07FF2"/>
    <w:rsid w:val="00D1017A"/>
    <w:rsid w:val="00D101F0"/>
    <w:rsid w:val="00D10587"/>
    <w:rsid w:val="00D1062C"/>
    <w:rsid w:val="00D10834"/>
    <w:rsid w:val="00D10892"/>
    <w:rsid w:val="00D109F4"/>
    <w:rsid w:val="00D10A13"/>
    <w:rsid w:val="00D10A71"/>
    <w:rsid w:val="00D10AF2"/>
    <w:rsid w:val="00D10B18"/>
    <w:rsid w:val="00D10CAF"/>
    <w:rsid w:val="00D10DD4"/>
    <w:rsid w:val="00D110DA"/>
    <w:rsid w:val="00D111DD"/>
    <w:rsid w:val="00D11206"/>
    <w:rsid w:val="00D1123D"/>
    <w:rsid w:val="00D11279"/>
    <w:rsid w:val="00D1128C"/>
    <w:rsid w:val="00D115D2"/>
    <w:rsid w:val="00D11801"/>
    <w:rsid w:val="00D1181C"/>
    <w:rsid w:val="00D118E5"/>
    <w:rsid w:val="00D11941"/>
    <w:rsid w:val="00D11999"/>
    <w:rsid w:val="00D11D4D"/>
    <w:rsid w:val="00D11DCA"/>
    <w:rsid w:val="00D11F1A"/>
    <w:rsid w:val="00D12042"/>
    <w:rsid w:val="00D12103"/>
    <w:rsid w:val="00D122D2"/>
    <w:rsid w:val="00D12405"/>
    <w:rsid w:val="00D1240B"/>
    <w:rsid w:val="00D1241F"/>
    <w:rsid w:val="00D1244D"/>
    <w:rsid w:val="00D1252F"/>
    <w:rsid w:val="00D125E0"/>
    <w:rsid w:val="00D12609"/>
    <w:rsid w:val="00D1265F"/>
    <w:rsid w:val="00D126DE"/>
    <w:rsid w:val="00D128BD"/>
    <w:rsid w:val="00D12A66"/>
    <w:rsid w:val="00D12AD3"/>
    <w:rsid w:val="00D12C1B"/>
    <w:rsid w:val="00D12C5E"/>
    <w:rsid w:val="00D12D4F"/>
    <w:rsid w:val="00D12D74"/>
    <w:rsid w:val="00D1305D"/>
    <w:rsid w:val="00D1309A"/>
    <w:rsid w:val="00D130B6"/>
    <w:rsid w:val="00D1318C"/>
    <w:rsid w:val="00D1327B"/>
    <w:rsid w:val="00D13526"/>
    <w:rsid w:val="00D1369A"/>
    <w:rsid w:val="00D136F5"/>
    <w:rsid w:val="00D13827"/>
    <w:rsid w:val="00D1389B"/>
    <w:rsid w:val="00D13AA4"/>
    <w:rsid w:val="00D13ADB"/>
    <w:rsid w:val="00D13DA8"/>
    <w:rsid w:val="00D13DF2"/>
    <w:rsid w:val="00D14142"/>
    <w:rsid w:val="00D14230"/>
    <w:rsid w:val="00D1429D"/>
    <w:rsid w:val="00D14451"/>
    <w:rsid w:val="00D1457F"/>
    <w:rsid w:val="00D147E8"/>
    <w:rsid w:val="00D148F4"/>
    <w:rsid w:val="00D1496B"/>
    <w:rsid w:val="00D149EC"/>
    <w:rsid w:val="00D14BAB"/>
    <w:rsid w:val="00D14E60"/>
    <w:rsid w:val="00D14EF5"/>
    <w:rsid w:val="00D14FEB"/>
    <w:rsid w:val="00D1503E"/>
    <w:rsid w:val="00D15420"/>
    <w:rsid w:val="00D155FB"/>
    <w:rsid w:val="00D1567E"/>
    <w:rsid w:val="00D15714"/>
    <w:rsid w:val="00D15764"/>
    <w:rsid w:val="00D15796"/>
    <w:rsid w:val="00D15929"/>
    <w:rsid w:val="00D15955"/>
    <w:rsid w:val="00D15E21"/>
    <w:rsid w:val="00D15EC3"/>
    <w:rsid w:val="00D15F57"/>
    <w:rsid w:val="00D160EA"/>
    <w:rsid w:val="00D16248"/>
    <w:rsid w:val="00D162E1"/>
    <w:rsid w:val="00D162E4"/>
    <w:rsid w:val="00D1647F"/>
    <w:rsid w:val="00D164B4"/>
    <w:rsid w:val="00D16584"/>
    <w:rsid w:val="00D166DD"/>
    <w:rsid w:val="00D16757"/>
    <w:rsid w:val="00D1685A"/>
    <w:rsid w:val="00D16B17"/>
    <w:rsid w:val="00D16C11"/>
    <w:rsid w:val="00D16F25"/>
    <w:rsid w:val="00D1703B"/>
    <w:rsid w:val="00D170AA"/>
    <w:rsid w:val="00D17377"/>
    <w:rsid w:val="00D173D2"/>
    <w:rsid w:val="00D178DA"/>
    <w:rsid w:val="00D17B46"/>
    <w:rsid w:val="00D17BB3"/>
    <w:rsid w:val="00D17CBF"/>
    <w:rsid w:val="00D17CF7"/>
    <w:rsid w:val="00D17EFF"/>
    <w:rsid w:val="00D17F2E"/>
    <w:rsid w:val="00D200ED"/>
    <w:rsid w:val="00D20218"/>
    <w:rsid w:val="00D20255"/>
    <w:rsid w:val="00D2031D"/>
    <w:rsid w:val="00D20480"/>
    <w:rsid w:val="00D2053A"/>
    <w:rsid w:val="00D2057B"/>
    <w:rsid w:val="00D2066E"/>
    <w:rsid w:val="00D2072E"/>
    <w:rsid w:val="00D20A65"/>
    <w:rsid w:val="00D20A92"/>
    <w:rsid w:val="00D20C58"/>
    <w:rsid w:val="00D20CF3"/>
    <w:rsid w:val="00D20E76"/>
    <w:rsid w:val="00D20F31"/>
    <w:rsid w:val="00D21008"/>
    <w:rsid w:val="00D21110"/>
    <w:rsid w:val="00D21158"/>
    <w:rsid w:val="00D21482"/>
    <w:rsid w:val="00D214BB"/>
    <w:rsid w:val="00D21564"/>
    <w:rsid w:val="00D21660"/>
    <w:rsid w:val="00D2166A"/>
    <w:rsid w:val="00D21785"/>
    <w:rsid w:val="00D218BD"/>
    <w:rsid w:val="00D21A8D"/>
    <w:rsid w:val="00D21D2F"/>
    <w:rsid w:val="00D21E5B"/>
    <w:rsid w:val="00D221A1"/>
    <w:rsid w:val="00D22412"/>
    <w:rsid w:val="00D22421"/>
    <w:rsid w:val="00D224C9"/>
    <w:rsid w:val="00D225D4"/>
    <w:rsid w:val="00D22632"/>
    <w:rsid w:val="00D227C9"/>
    <w:rsid w:val="00D22942"/>
    <w:rsid w:val="00D22993"/>
    <w:rsid w:val="00D229C5"/>
    <w:rsid w:val="00D229F1"/>
    <w:rsid w:val="00D22BB1"/>
    <w:rsid w:val="00D22BB8"/>
    <w:rsid w:val="00D22E73"/>
    <w:rsid w:val="00D23285"/>
    <w:rsid w:val="00D232DA"/>
    <w:rsid w:val="00D23345"/>
    <w:rsid w:val="00D2337D"/>
    <w:rsid w:val="00D23428"/>
    <w:rsid w:val="00D2369F"/>
    <w:rsid w:val="00D236E8"/>
    <w:rsid w:val="00D2376B"/>
    <w:rsid w:val="00D237A4"/>
    <w:rsid w:val="00D23854"/>
    <w:rsid w:val="00D23887"/>
    <w:rsid w:val="00D2388F"/>
    <w:rsid w:val="00D23935"/>
    <w:rsid w:val="00D239A1"/>
    <w:rsid w:val="00D23A8D"/>
    <w:rsid w:val="00D23AA4"/>
    <w:rsid w:val="00D23B28"/>
    <w:rsid w:val="00D23D53"/>
    <w:rsid w:val="00D23E1C"/>
    <w:rsid w:val="00D23F55"/>
    <w:rsid w:val="00D24263"/>
    <w:rsid w:val="00D24340"/>
    <w:rsid w:val="00D2436A"/>
    <w:rsid w:val="00D24422"/>
    <w:rsid w:val="00D24542"/>
    <w:rsid w:val="00D24605"/>
    <w:rsid w:val="00D24749"/>
    <w:rsid w:val="00D24760"/>
    <w:rsid w:val="00D24870"/>
    <w:rsid w:val="00D24A1B"/>
    <w:rsid w:val="00D24AE5"/>
    <w:rsid w:val="00D24B9D"/>
    <w:rsid w:val="00D24BB7"/>
    <w:rsid w:val="00D24C18"/>
    <w:rsid w:val="00D24C3D"/>
    <w:rsid w:val="00D24C49"/>
    <w:rsid w:val="00D24C54"/>
    <w:rsid w:val="00D24C70"/>
    <w:rsid w:val="00D24E4E"/>
    <w:rsid w:val="00D25199"/>
    <w:rsid w:val="00D252C8"/>
    <w:rsid w:val="00D254D9"/>
    <w:rsid w:val="00D25520"/>
    <w:rsid w:val="00D25573"/>
    <w:rsid w:val="00D256E9"/>
    <w:rsid w:val="00D257ED"/>
    <w:rsid w:val="00D257EF"/>
    <w:rsid w:val="00D25A9A"/>
    <w:rsid w:val="00D25BA4"/>
    <w:rsid w:val="00D25BAA"/>
    <w:rsid w:val="00D25BDE"/>
    <w:rsid w:val="00D25C45"/>
    <w:rsid w:val="00D25C5B"/>
    <w:rsid w:val="00D25DDD"/>
    <w:rsid w:val="00D25E05"/>
    <w:rsid w:val="00D25EB5"/>
    <w:rsid w:val="00D25FCA"/>
    <w:rsid w:val="00D26013"/>
    <w:rsid w:val="00D26188"/>
    <w:rsid w:val="00D2629A"/>
    <w:rsid w:val="00D264A5"/>
    <w:rsid w:val="00D266BD"/>
    <w:rsid w:val="00D26D03"/>
    <w:rsid w:val="00D26E78"/>
    <w:rsid w:val="00D26FCD"/>
    <w:rsid w:val="00D27057"/>
    <w:rsid w:val="00D27099"/>
    <w:rsid w:val="00D274A9"/>
    <w:rsid w:val="00D27608"/>
    <w:rsid w:val="00D27B73"/>
    <w:rsid w:val="00D27BE9"/>
    <w:rsid w:val="00D27C02"/>
    <w:rsid w:val="00D27C4F"/>
    <w:rsid w:val="00D27CC6"/>
    <w:rsid w:val="00D27D57"/>
    <w:rsid w:val="00D27D8F"/>
    <w:rsid w:val="00D27DC4"/>
    <w:rsid w:val="00D3017C"/>
    <w:rsid w:val="00D30185"/>
    <w:rsid w:val="00D30198"/>
    <w:rsid w:val="00D3020E"/>
    <w:rsid w:val="00D3021C"/>
    <w:rsid w:val="00D303BD"/>
    <w:rsid w:val="00D30454"/>
    <w:rsid w:val="00D3045C"/>
    <w:rsid w:val="00D304B7"/>
    <w:rsid w:val="00D304D8"/>
    <w:rsid w:val="00D304E4"/>
    <w:rsid w:val="00D3051E"/>
    <w:rsid w:val="00D30840"/>
    <w:rsid w:val="00D30B64"/>
    <w:rsid w:val="00D30E31"/>
    <w:rsid w:val="00D3104B"/>
    <w:rsid w:val="00D310F7"/>
    <w:rsid w:val="00D311C4"/>
    <w:rsid w:val="00D311D9"/>
    <w:rsid w:val="00D313C9"/>
    <w:rsid w:val="00D314DD"/>
    <w:rsid w:val="00D31510"/>
    <w:rsid w:val="00D315B1"/>
    <w:rsid w:val="00D31629"/>
    <w:rsid w:val="00D319A9"/>
    <w:rsid w:val="00D31B22"/>
    <w:rsid w:val="00D31CFC"/>
    <w:rsid w:val="00D31D23"/>
    <w:rsid w:val="00D31DA9"/>
    <w:rsid w:val="00D31EC9"/>
    <w:rsid w:val="00D31FAC"/>
    <w:rsid w:val="00D3202F"/>
    <w:rsid w:val="00D32083"/>
    <w:rsid w:val="00D321C4"/>
    <w:rsid w:val="00D324AD"/>
    <w:rsid w:val="00D324C8"/>
    <w:rsid w:val="00D32511"/>
    <w:rsid w:val="00D3262F"/>
    <w:rsid w:val="00D3272A"/>
    <w:rsid w:val="00D32861"/>
    <w:rsid w:val="00D329DF"/>
    <w:rsid w:val="00D32B03"/>
    <w:rsid w:val="00D32B6D"/>
    <w:rsid w:val="00D32B84"/>
    <w:rsid w:val="00D32DEE"/>
    <w:rsid w:val="00D33023"/>
    <w:rsid w:val="00D33104"/>
    <w:rsid w:val="00D3311A"/>
    <w:rsid w:val="00D33159"/>
    <w:rsid w:val="00D33270"/>
    <w:rsid w:val="00D33484"/>
    <w:rsid w:val="00D335B0"/>
    <w:rsid w:val="00D336B2"/>
    <w:rsid w:val="00D336DC"/>
    <w:rsid w:val="00D33788"/>
    <w:rsid w:val="00D33972"/>
    <w:rsid w:val="00D339BD"/>
    <w:rsid w:val="00D33A2B"/>
    <w:rsid w:val="00D33A8F"/>
    <w:rsid w:val="00D33B44"/>
    <w:rsid w:val="00D33CDD"/>
    <w:rsid w:val="00D33E20"/>
    <w:rsid w:val="00D33EFA"/>
    <w:rsid w:val="00D33F0A"/>
    <w:rsid w:val="00D33FAF"/>
    <w:rsid w:val="00D34239"/>
    <w:rsid w:val="00D3431D"/>
    <w:rsid w:val="00D34407"/>
    <w:rsid w:val="00D34627"/>
    <w:rsid w:val="00D34990"/>
    <w:rsid w:val="00D34BA8"/>
    <w:rsid w:val="00D34C79"/>
    <w:rsid w:val="00D34E65"/>
    <w:rsid w:val="00D34F2C"/>
    <w:rsid w:val="00D34F84"/>
    <w:rsid w:val="00D34FA8"/>
    <w:rsid w:val="00D350ED"/>
    <w:rsid w:val="00D35133"/>
    <w:rsid w:val="00D352C2"/>
    <w:rsid w:val="00D35529"/>
    <w:rsid w:val="00D3555E"/>
    <w:rsid w:val="00D3558B"/>
    <w:rsid w:val="00D355E3"/>
    <w:rsid w:val="00D357A8"/>
    <w:rsid w:val="00D35C3A"/>
    <w:rsid w:val="00D35EB2"/>
    <w:rsid w:val="00D35F5E"/>
    <w:rsid w:val="00D36207"/>
    <w:rsid w:val="00D36235"/>
    <w:rsid w:val="00D362A3"/>
    <w:rsid w:val="00D362AE"/>
    <w:rsid w:val="00D362C2"/>
    <w:rsid w:val="00D36346"/>
    <w:rsid w:val="00D36399"/>
    <w:rsid w:val="00D36568"/>
    <w:rsid w:val="00D3688B"/>
    <w:rsid w:val="00D36978"/>
    <w:rsid w:val="00D36A4D"/>
    <w:rsid w:val="00D36C0F"/>
    <w:rsid w:val="00D36D8C"/>
    <w:rsid w:val="00D36E73"/>
    <w:rsid w:val="00D36F57"/>
    <w:rsid w:val="00D371AE"/>
    <w:rsid w:val="00D371BB"/>
    <w:rsid w:val="00D3751C"/>
    <w:rsid w:val="00D37568"/>
    <w:rsid w:val="00D37834"/>
    <w:rsid w:val="00D3792F"/>
    <w:rsid w:val="00D3796E"/>
    <w:rsid w:val="00D379B0"/>
    <w:rsid w:val="00D37A48"/>
    <w:rsid w:val="00D37A5F"/>
    <w:rsid w:val="00D37BFA"/>
    <w:rsid w:val="00D37D51"/>
    <w:rsid w:val="00D37E26"/>
    <w:rsid w:val="00D37E54"/>
    <w:rsid w:val="00D37ECC"/>
    <w:rsid w:val="00D37F40"/>
    <w:rsid w:val="00D37F85"/>
    <w:rsid w:val="00D4005F"/>
    <w:rsid w:val="00D400AF"/>
    <w:rsid w:val="00D400D5"/>
    <w:rsid w:val="00D4015A"/>
    <w:rsid w:val="00D40170"/>
    <w:rsid w:val="00D40290"/>
    <w:rsid w:val="00D404C3"/>
    <w:rsid w:val="00D40552"/>
    <w:rsid w:val="00D4070A"/>
    <w:rsid w:val="00D40816"/>
    <w:rsid w:val="00D40825"/>
    <w:rsid w:val="00D40997"/>
    <w:rsid w:val="00D40AB4"/>
    <w:rsid w:val="00D40E11"/>
    <w:rsid w:val="00D40E6C"/>
    <w:rsid w:val="00D40E9D"/>
    <w:rsid w:val="00D40EE3"/>
    <w:rsid w:val="00D40F47"/>
    <w:rsid w:val="00D40F63"/>
    <w:rsid w:val="00D4101D"/>
    <w:rsid w:val="00D4114F"/>
    <w:rsid w:val="00D41360"/>
    <w:rsid w:val="00D414B3"/>
    <w:rsid w:val="00D41871"/>
    <w:rsid w:val="00D4189F"/>
    <w:rsid w:val="00D41A22"/>
    <w:rsid w:val="00D41B3C"/>
    <w:rsid w:val="00D41BEF"/>
    <w:rsid w:val="00D41C83"/>
    <w:rsid w:val="00D41D45"/>
    <w:rsid w:val="00D41E79"/>
    <w:rsid w:val="00D41FCD"/>
    <w:rsid w:val="00D42040"/>
    <w:rsid w:val="00D420F9"/>
    <w:rsid w:val="00D42172"/>
    <w:rsid w:val="00D42180"/>
    <w:rsid w:val="00D423F2"/>
    <w:rsid w:val="00D42528"/>
    <w:rsid w:val="00D425E7"/>
    <w:rsid w:val="00D42717"/>
    <w:rsid w:val="00D42738"/>
    <w:rsid w:val="00D42754"/>
    <w:rsid w:val="00D427B9"/>
    <w:rsid w:val="00D427E5"/>
    <w:rsid w:val="00D4280C"/>
    <w:rsid w:val="00D42900"/>
    <w:rsid w:val="00D42996"/>
    <w:rsid w:val="00D42B0F"/>
    <w:rsid w:val="00D42B6F"/>
    <w:rsid w:val="00D42DD4"/>
    <w:rsid w:val="00D43018"/>
    <w:rsid w:val="00D431FE"/>
    <w:rsid w:val="00D43298"/>
    <w:rsid w:val="00D43496"/>
    <w:rsid w:val="00D434A4"/>
    <w:rsid w:val="00D4351C"/>
    <w:rsid w:val="00D43542"/>
    <w:rsid w:val="00D435EB"/>
    <w:rsid w:val="00D437A9"/>
    <w:rsid w:val="00D438EF"/>
    <w:rsid w:val="00D43922"/>
    <w:rsid w:val="00D4393F"/>
    <w:rsid w:val="00D43A59"/>
    <w:rsid w:val="00D43D46"/>
    <w:rsid w:val="00D43D91"/>
    <w:rsid w:val="00D43DFD"/>
    <w:rsid w:val="00D44195"/>
    <w:rsid w:val="00D442D1"/>
    <w:rsid w:val="00D4439B"/>
    <w:rsid w:val="00D44405"/>
    <w:rsid w:val="00D44512"/>
    <w:rsid w:val="00D44727"/>
    <w:rsid w:val="00D44807"/>
    <w:rsid w:val="00D44932"/>
    <w:rsid w:val="00D44A5F"/>
    <w:rsid w:val="00D44F0C"/>
    <w:rsid w:val="00D45176"/>
    <w:rsid w:val="00D4536E"/>
    <w:rsid w:val="00D455BC"/>
    <w:rsid w:val="00D456C0"/>
    <w:rsid w:val="00D45746"/>
    <w:rsid w:val="00D457CA"/>
    <w:rsid w:val="00D45861"/>
    <w:rsid w:val="00D45931"/>
    <w:rsid w:val="00D45A2B"/>
    <w:rsid w:val="00D45BB1"/>
    <w:rsid w:val="00D45D5E"/>
    <w:rsid w:val="00D45EDC"/>
    <w:rsid w:val="00D4604A"/>
    <w:rsid w:val="00D460B2"/>
    <w:rsid w:val="00D46158"/>
    <w:rsid w:val="00D46291"/>
    <w:rsid w:val="00D4634C"/>
    <w:rsid w:val="00D464CC"/>
    <w:rsid w:val="00D46704"/>
    <w:rsid w:val="00D46816"/>
    <w:rsid w:val="00D469A8"/>
    <w:rsid w:val="00D46B1B"/>
    <w:rsid w:val="00D46D30"/>
    <w:rsid w:val="00D46E11"/>
    <w:rsid w:val="00D46F52"/>
    <w:rsid w:val="00D470AD"/>
    <w:rsid w:val="00D471F3"/>
    <w:rsid w:val="00D477A0"/>
    <w:rsid w:val="00D4783B"/>
    <w:rsid w:val="00D4793E"/>
    <w:rsid w:val="00D479B1"/>
    <w:rsid w:val="00D479F3"/>
    <w:rsid w:val="00D47A1C"/>
    <w:rsid w:val="00D47AC2"/>
    <w:rsid w:val="00D47CF3"/>
    <w:rsid w:val="00D47D0F"/>
    <w:rsid w:val="00D47E34"/>
    <w:rsid w:val="00D47E67"/>
    <w:rsid w:val="00D5004A"/>
    <w:rsid w:val="00D500F5"/>
    <w:rsid w:val="00D50176"/>
    <w:rsid w:val="00D50197"/>
    <w:rsid w:val="00D502AE"/>
    <w:rsid w:val="00D502B2"/>
    <w:rsid w:val="00D504BA"/>
    <w:rsid w:val="00D504F3"/>
    <w:rsid w:val="00D50555"/>
    <w:rsid w:val="00D5063B"/>
    <w:rsid w:val="00D50853"/>
    <w:rsid w:val="00D5086D"/>
    <w:rsid w:val="00D50A75"/>
    <w:rsid w:val="00D50AC6"/>
    <w:rsid w:val="00D50B3D"/>
    <w:rsid w:val="00D50CDE"/>
    <w:rsid w:val="00D50D31"/>
    <w:rsid w:val="00D50E29"/>
    <w:rsid w:val="00D50E42"/>
    <w:rsid w:val="00D50FE3"/>
    <w:rsid w:val="00D5100A"/>
    <w:rsid w:val="00D512E4"/>
    <w:rsid w:val="00D513C9"/>
    <w:rsid w:val="00D5159E"/>
    <w:rsid w:val="00D515F7"/>
    <w:rsid w:val="00D51797"/>
    <w:rsid w:val="00D517F1"/>
    <w:rsid w:val="00D51822"/>
    <w:rsid w:val="00D51987"/>
    <w:rsid w:val="00D51A32"/>
    <w:rsid w:val="00D51A77"/>
    <w:rsid w:val="00D51C4B"/>
    <w:rsid w:val="00D51DD2"/>
    <w:rsid w:val="00D5203B"/>
    <w:rsid w:val="00D5206E"/>
    <w:rsid w:val="00D520C9"/>
    <w:rsid w:val="00D5215D"/>
    <w:rsid w:val="00D5222A"/>
    <w:rsid w:val="00D523C7"/>
    <w:rsid w:val="00D5243B"/>
    <w:rsid w:val="00D52533"/>
    <w:rsid w:val="00D527D9"/>
    <w:rsid w:val="00D52817"/>
    <w:rsid w:val="00D52901"/>
    <w:rsid w:val="00D5297D"/>
    <w:rsid w:val="00D52A6A"/>
    <w:rsid w:val="00D52B7C"/>
    <w:rsid w:val="00D52B81"/>
    <w:rsid w:val="00D52CBF"/>
    <w:rsid w:val="00D52EAD"/>
    <w:rsid w:val="00D52F36"/>
    <w:rsid w:val="00D52FBF"/>
    <w:rsid w:val="00D52FD2"/>
    <w:rsid w:val="00D53030"/>
    <w:rsid w:val="00D530F1"/>
    <w:rsid w:val="00D5311C"/>
    <w:rsid w:val="00D53274"/>
    <w:rsid w:val="00D53573"/>
    <w:rsid w:val="00D535FD"/>
    <w:rsid w:val="00D538CC"/>
    <w:rsid w:val="00D53A8D"/>
    <w:rsid w:val="00D53B99"/>
    <w:rsid w:val="00D53D33"/>
    <w:rsid w:val="00D53F51"/>
    <w:rsid w:val="00D53FA3"/>
    <w:rsid w:val="00D53FAF"/>
    <w:rsid w:val="00D53FFC"/>
    <w:rsid w:val="00D5408B"/>
    <w:rsid w:val="00D54117"/>
    <w:rsid w:val="00D5419F"/>
    <w:rsid w:val="00D54298"/>
    <w:rsid w:val="00D5429F"/>
    <w:rsid w:val="00D5430D"/>
    <w:rsid w:val="00D54362"/>
    <w:rsid w:val="00D5440E"/>
    <w:rsid w:val="00D54676"/>
    <w:rsid w:val="00D54767"/>
    <w:rsid w:val="00D547E2"/>
    <w:rsid w:val="00D54921"/>
    <w:rsid w:val="00D54956"/>
    <w:rsid w:val="00D549E8"/>
    <w:rsid w:val="00D54A96"/>
    <w:rsid w:val="00D54AAD"/>
    <w:rsid w:val="00D54DB4"/>
    <w:rsid w:val="00D54E39"/>
    <w:rsid w:val="00D54F15"/>
    <w:rsid w:val="00D54FAA"/>
    <w:rsid w:val="00D5515F"/>
    <w:rsid w:val="00D551EE"/>
    <w:rsid w:val="00D55236"/>
    <w:rsid w:val="00D5523D"/>
    <w:rsid w:val="00D5538C"/>
    <w:rsid w:val="00D553B0"/>
    <w:rsid w:val="00D554C2"/>
    <w:rsid w:val="00D55554"/>
    <w:rsid w:val="00D5555E"/>
    <w:rsid w:val="00D555C1"/>
    <w:rsid w:val="00D556A4"/>
    <w:rsid w:val="00D556AA"/>
    <w:rsid w:val="00D556BA"/>
    <w:rsid w:val="00D5575D"/>
    <w:rsid w:val="00D55820"/>
    <w:rsid w:val="00D558C5"/>
    <w:rsid w:val="00D55ED5"/>
    <w:rsid w:val="00D55FF3"/>
    <w:rsid w:val="00D56047"/>
    <w:rsid w:val="00D56103"/>
    <w:rsid w:val="00D562BE"/>
    <w:rsid w:val="00D5638D"/>
    <w:rsid w:val="00D563EB"/>
    <w:rsid w:val="00D56453"/>
    <w:rsid w:val="00D564F1"/>
    <w:rsid w:val="00D56551"/>
    <w:rsid w:val="00D5660A"/>
    <w:rsid w:val="00D56674"/>
    <w:rsid w:val="00D56676"/>
    <w:rsid w:val="00D5688A"/>
    <w:rsid w:val="00D56946"/>
    <w:rsid w:val="00D569C0"/>
    <w:rsid w:val="00D56A10"/>
    <w:rsid w:val="00D56B54"/>
    <w:rsid w:val="00D56EC0"/>
    <w:rsid w:val="00D57005"/>
    <w:rsid w:val="00D57149"/>
    <w:rsid w:val="00D5737B"/>
    <w:rsid w:val="00D573A6"/>
    <w:rsid w:val="00D573B2"/>
    <w:rsid w:val="00D5759A"/>
    <w:rsid w:val="00D57650"/>
    <w:rsid w:val="00D577DC"/>
    <w:rsid w:val="00D57859"/>
    <w:rsid w:val="00D578EC"/>
    <w:rsid w:val="00D57BE3"/>
    <w:rsid w:val="00D57D06"/>
    <w:rsid w:val="00D57D6E"/>
    <w:rsid w:val="00D57E90"/>
    <w:rsid w:val="00D57EEE"/>
    <w:rsid w:val="00D57F5C"/>
    <w:rsid w:val="00D57FDE"/>
    <w:rsid w:val="00D57FF5"/>
    <w:rsid w:val="00D60086"/>
    <w:rsid w:val="00D60114"/>
    <w:rsid w:val="00D6017D"/>
    <w:rsid w:val="00D602E5"/>
    <w:rsid w:val="00D603D6"/>
    <w:rsid w:val="00D60534"/>
    <w:rsid w:val="00D60547"/>
    <w:rsid w:val="00D60665"/>
    <w:rsid w:val="00D607D4"/>
    <w:rsid w:val="00D6084D"/>
    <w:rsid w:val="00D608B0"/>
    <w:rsid w:val="00D60A9C"/>
    <w:rsid w:val="00D60DDF"/>
    <w:rsid w:val="00D61023"/>
    <w:rsid w:val="00D61217"/>
    <w:rsid w:val="00D6137E"/>
    <w:rsid w:val="00D616BA"/>
    <w:rsid w:val="00D61AEB"/>
    <w:rsid w:val="00D61B55"/>
    <w:rsid w:val="00D61C39"/>
    <w:rsid w:val="00D61DFC"/>
    <w:rsid w:val="00D61E35"/>
    <w:rsid w:val="00D61F2A"/>
    <w:rsid w:val="00D61FB0"/>
    <w:rsid w:val="00D620D9"/>
    <w:rsid w:val="00D621EA"/>
    <w:rsid w:val="00D62251"/>
    <w:rsid w:val="00D6233C"/>
    <w:rsid w:val="00D623B0"/>
    <w:rsid w:val="00D6245E"/>
    <w:rsid w:val="00D62496"/>
    <w:rsid w:val="00D624B1"/>
    <w:rsid w:val="00D624CC"/>
    <w:rsid w:val="00D62653"/>
    <w:rsid w:val="00D627B5"/>
    <w:rsid w:val="00D629CC"/>
    <w:rsid w:val="00D62A77"/>
    <w:rsid w:val="00D62DE9"/>
    <w:rsid w:val="00D62FFD"/>
    <w:rsid w:val="00D630D4"/>
    <w:rsid w:val="00D63270"/>
    <w:rsid w:val="00D632ED"/>
    <w:rsid w:val="00D63364"/>
    <w:rsid w:val="00D6345F"/>
    <w:rsid w:val="00D636CF"/>
    <w:rsid w:val="00D63847"/>
    <w:rsid w:val="00D63957"/>
    <w:rsid w:val="00D639B1"/>
    <w:rsid w:val="00D63A95"/>
    <w:rsid w:val="00D63F17"/>
    <w:rsid w:val="00D63FAB"/>
    <w:rsid w:val="00D63FBA"/>
    <w:rsid w:val="00D642D4"/>
    <w:rsid w:val="00D64712"/>
    <w:rsid w:val="00D6479D"/>
    <w:rsid w:val="00D64976"/>
    <w:rsid w:val="00D6497B"/>
    <w:rsid w:val="00D64B81"/>
    <w:rsid w:val="00D64B93"/>
    <w:rsid w:val="00D64C4D"/>
    <w:rsid w:val="00D64C9D"/>
    <w:rsid w:val="00D64E08"/>
    <w:rsid w:val="00D653EE"/>
    <w:rsid w:val="00D65552"/>
    <w:rsid w:val="00D65601"/>
    <w:rsid w:val="00D6560C"/>
    <w:rsid w:val="00D6572E"/>
    <w:rsid w:val="00D658B9"/>
    <w:rsid w:val="00D65BD4"/>
    <w:rsid w:val="00D65F5E"/>
    <w:rsid w:val="00D66040"/>
    <w:rsid w:val="00D66082"/>
    <w:rsid w:val="00D660A6"/>
    <w:rsid w:val="00D660D9"/>
    <w:rsid w:val="00D66239"/>
    <w:rsid w:val="00D66473"/>
    <w:rsid w:val="00D66542"/>
    <w:rsid w:val="00D66599"/>
    <w:rsid w:val="00D665FB"/>
    <w:rsid w:val="00D6668F"/>
    <w:rsid w:val="00D666A4"/>
    <w:rsid w:val="00D66789"/>
    <w:rsid w:val="00D667D4"/>
    <w:rsid w:val="00D669AF"/>
    <w:rsid w:val="00D669E7"/>
    <w:rsid w:val="00D66B27"/>
    <w:rsid w:val="00D66E04"/>
    <w:rsid w:val="00D66EF7"/>
    <w:rsid w:val="00D6702D"/>
    <w:rsid w:val="00D671D4"/>
    <w:rsid w:val="00D67330"/>
    <w:rsid w:val="00D6733F"/>
    <w:rsid w:val="00D6735C"/>
    <w:rsid w:val="00D675A3"/>
    <w:rsid w:val="00D677E8"/>
    <w:rsid w:val="00D67839"/>
    <w:rsid w:val="00D67880"/>
    <w:rsid w:val="00D67A72"/>
    <w:rsid w:val="00D67A84"/>
    <w:rsid w:val="00D67AFD"/>
    <w:rsid w:val="00D67B6B"/>
    <w:rsid w:val="00D67C8C"/>
    <w:rsid w:val="00D70082"/>
    <w:rsid w:val="00D700C9"/>
    <w:rsid w:val="00D70317"/>
    <w:rsid w:val="00D70433"/>
    <w:rsid w:val="00D7048A"/>
    <w:rsid w:val="00D7069A"/>
    <w:rsid w:val="00D706CE"/>
    <w:rsid w:val="00D7073E"/>
    <w:rsid w:val="00D70B89"/>
    <w:rsid w:val="00D70C28"/>
    <w:rsid w:val="00D70C6F"/>
    <w:rsid w:val="00D70C75"/>
    <w:rsid w:val="00D70D55"/>
    <w:rsid w:val="00D71172"/>
    <w:rsid w:val="00D71259"/>
    <w:rsid w:val="00D71474"/>
    <w:rsid w:val="00D715E7"/>
    <w:rsid w:val="00D718C1"/>
    <w:rsid w:val="00D7196A"/>
    <w:rsid w:val="00D71A8D"/>
    <w:rsid w:val="00D71A91"/>
    <w:rsid w:val="00D71AA8"/>
    <w:rsid w:val="00D71CF9"/>
    <w:rsid w:val="00D71F42"/>
    <w:rsid w:val="00D72004"/>
    <w:rsid w:val="00D72114"/>
    <w:rsid w:val="00D72132"/>
    <w:rsid w:val="00D725C9"/>
    <w:rsid w:val="00D72602"/>
    <w:rsid w:val="00D7289D"/>
    <w:rsid w:val="00D72A30"/>
    <w:rsid w:val="00D72BF5"/>
    <w:rsid w:val="00D72D81"/>
    <w:rsid w:val="00D72DDF"/>
    <w:rsid w:val="00D7312F"/>
    <w:rsid w:val="00D7342B"/>
    <w:rsid w:val="00D73669"/>
    <w:rsid w:val="00D73954"/>
    <w:rsid w:val="00D73BDC"/>
    <w:rsid w:val="00D73C5C"/>
    <w:rsid w:val="00D740FD"/>
    <w:rsid w:val="00D741F2"/>
    <w:rsid w:val="00D74262"/>
    <w:rsid w:val="00D74700"/>
    <w:rsid w:val="00D74956"/>
    <w:rsid w:val="00D749C0"/>
    <w:rsid w:val="00D749D8"/>
    <w:rsid w:val="00D74B8C"/>
    <w:rsid w:val="00D74C0A"/>
    <w:rsid w:val="00D74E54"/>
    <w:rsid w:val="00D74E7B"/>
    <w:rsid w:val="00D7513C"/>
    <w:rsid w:val="00D75151"/>
    <w:rsid w:val="00D75550"/>
    <w:rsid w:val="00D75608"/>
    <w:rsid w:val="00D7568E"/>
    <w:rsid w:val="00D75726"/>
    <w:rsid w:val="00D7577D"/>
    <w:rsid w:val="00D757AF"/>
    <w:rsid w:val="00D757E5"/>
    <w:rsid w:val="00D75A2F"/>
    <w:rsid w:val="00D75DD1"/>
    <w:rsid w:val="00D76340"/>
    <w:rsid w:val="00D763AF"/>
    <w:rsid w:val="00D76467"/>
    <w:rsid w:val="00D7648D"/>
    <w:rsid w:val="00D764D1"/>
    <w:rsid w:val="00D76520"/>
    <w:rsid w:val="00D7655F"/>
    <w:rsid w:val="00D76569"/>
    <w:rsid w:val="00D765C9"/>
    <w:rsid w:val="00D765D6"/>
    <w:rsid w:val="00D76847"/>
    <w:rsid w:val="00D768FD"/>
    <w:rsid w:val="00D7694C"/>
    <w:rsid w:val="00D76A2C"/>
    <w:rsid w:val="00D76BDD"/>
    <w:rsid w:val="00D76CC5"/>
    <w:rsid w:val="00D76FED"/>
    <w:rsid w:val="00D77098"/>
    <w:rsid w:val="00D77111"/>
    <w:rsid w:val="00D771B2"/>
    <w:rsid w:val="00D771D5"/>
    <w:rsid w:val="00D77248"/>
    <w:rsid w:val="00D7732D"/>
    <w:rsid w:val="00D77368"/>
    <w:rsid w:val="00D77518"/>
    <w:rsid w:val="00D775A2"/>
    <w:rsid w:val="00D77713"/>
    <w:rsid w:val="00D7772A"/>
    <w:rsid w:val="00D77813"/>
    <w:rsid w:val="00D77983"/>
    <w:rsid w:val="00D77A40"/>
    <w:rsid w:val="00D77AC2"/>
    <w:rsid w:val="00D77B4B"/>
    <w:rsid w:val="00D77D69"/>
    <w:rsid w:val="00D77DAD"/>
    <w:rsid w:val="00D77DDF"/>
    <w:rsid w:val="00D77EBE"/>
    <w:rsid w:val="00D77F8F"/>
    <w:rsid w:val="00D77F9A"/>
    <w:rsid w:val="00D77FEA"/>
    <w:rsid w:val="00D801DE"/>
    <w:rsid w:val="00D8044E"/>
    <w:rsid w:val="00D804DF"/>
    <w:rsid w:val="00D8067B"/>
    <w:rsid w:val="00D8070B"/>
    <w:rsid w:val="00D80CF8"/>
    <w:rsid w:val="00D80CFE"/>
    <w:rsid w:val="00D80E27"/>
    <w:rsid w:val="00D811B5"/>
    <w:rsid w:val="00D8135C"/>
    <w:rsid w:val="00D8141C"/>
    <w:rsid w:val="00D81480"/>
    <w:rsid w:val="00D815D0"/>
    <w:rsid w:val="00D8163C"/>
    <w:rsid w:val="00D81786"/>
    <w:rsid w:val="00D818D6"/>
    <w:rsid w:val="00D818F4"/>
    <w:rsid w:val="00D819F6"/>
    <w:rsid w:val="00D81AC4"/>
    <w:rsid w:val="00D81C81"/>
    <w:rsid w:val="00D81DE4"/>
    <w:rsid w:val="00D81E04"/>
    <w:rsid w:val="00D81FA7"/>
    <w:rsid w:val="00D82261"/>
    <w:rsid w:val="00D823E0"/>
    <w:rsid w:val="00D82404"/>
    <w:rsid w:val="00D82425"/>
    <w:rsid w:val="00D824C5"/>
    <w:rsid w:val="00D82549"/>
    <w:rsid w:val="00D82598"/>
    <w:rsid w:val="00D8263C"/>
    <w:rsid w:val="00D82697"/>
    <w:rsid w:val="00D826B1"/>
    <w:rsid w:val="00D82711"/>
    <w:rsid w:val="00D82785"/>
    <w:rsid w:val="00D8284E"/>
    <w:rsid w:val="00D82AED"/>
    <w:rsid w:val="00D82B1D"/>
    <w:rsid w:val="00D82DE5"/>
    <w:rsid w:val="00D82EED"/>
    <w:rsid w:val="00D82FD0"/>
    <w:rsid w:val="00D831D8"/>
    <w:rsid w:val="00D833B1"/>
    <w:rsid w:val="00D8341E"/>
    <w:rsid w:val="00D83535"/>
    <w:rsid w:val="00D837AE"/>
    <w:rsid w:val="00D83816"/>
    <w:rsid w:val="00D83830"/>
    <w:rsid w:val="00D839F9"/>
    <w:rsid w:val="00D83D27"/>
    <w:rsid w:val="00D83D5C"/>
    <w:rsid w:val="00D83FB8"/>
    <w:rsid w:val="00D8412E"/>
    <w:rsid w:val="00D8426F"/>
    <w:rsid w:val="00D8433D"/>
    <w:rsid w:val="00D844AB"/>
    <w:rsid w:val="00D844C6"/>
    <w:rsid w:val="00D84587"/>
    <w:rsid w:val="00D84602"/>
    <w:rsid w:val="00D8460A"/>
    <w:rsid w:val="00D846BE"/>
    <w:rsid w:val="00D848AB"/>
    <w:rsid w:val="00D8495F"/>
    <w:rsid w:val="00D84998"/>
    <w:rsid w:val="00D84AFC"/>
    <w:rsid w:val="00D84EAE"/>
    <w:rsid w:val="00D84EEC"/>
    <w:rsid w:val="00D85042"/>
    <w:rsid w:val="00D8504A"/>
    <w:rsid w:val="00D85222"/>
    <w:rsid w:val="00D85264"/>
    <w:rsid w:val="00D85300"/>
    <w:rsid w:val="00D85307"/>
    <w:rsid w:val="00D853DE"/>
    <w:rsid w:val="00D85436"/>
    <w:rsid w:val="00D85568"/>
    <w:rsid w:val="00D855B7"/>
    <w:rsid w:val="00D85727"/>
    <w:rsid w:val="00D85742"/>
    <w:rsid w:val="00D85846"/>
    <w:rsid w:val="00D85915"/>
    <w:rsid w:val="00D859B3"/>
    <w:rsid w:val="00D85B9A"/>
    <w:rsid w:val="00D85DD1"/>
    <w:rsid w:val="00D85DD5"/>
    <w:rsid w:val="00D85FFD"/>
    <w:rsid w:val="00D8604C"/>
    <w:rsid w:val="00D860E4"/>
    <w:rsid w:val="00D86189"/>
    <w:rsid w:val="00D86213"/>
    <w:rsid w:val="00D862DE"/>
    <w:rsid w:val="00D86399"/>
    <w:rsid w:val="00D863FE"/>
    <w:rsid w:val="00D866EE"/>
    <w:rsid w:val="00D86A65"/>
    <w:rsid w:val="00D86E83"/>
    <w:rsid w:val="00D86EB7"/>
    <w:rsid w:val="00D86F50"/>
    <w:rsid w:val="00D87190"/>
    <w:rsid w:val="00D872A1"/>
    <w:rsid w:val="00D87304"/>
    <w:rsid w:val="00D874A0"/>
    <w:rsid w:val="00D87695"/>
    <w:rsid w:val="00D876AC"/>
    <w:rsid w:val="00D87937"/>
    <w:rsid w:val="00D87994"/>
    <w:rsid w:val="00D87A3F"/>
    <w:rsid w:val="00D87AAA"/>
    <w:rsid w:val="00D87E66"/>
    <w:rsid w:val="00D900CE"/>
    <w:rsid w:val="00D901BB"/>
    <w:rsid w:val="00D90253"/>
    <w:rsid w:val="00D9052B"/>
    <w:rsid w:val="00D90694"/>
    <w:rsid w:val="00D90A6A"/>
    <w:rsid w:val="00D90AC8"/>
    <w:rsid w:val="00D90ACE"/>
    <w:rsid w:val="00D90BB5"/>
    <w:rsid w:val="00D90BB8"/>
    <w:rsid w:val="00D90C3F"/>
    <w:rsid w:val="00D90CFD"/>
    <w:rsid w:val="00D90D7B"/>
    <w:rsid w:val="00D9136E"/>
    <w:rsid w:val="00D91638"/>
    <w:rsid w:val="00D916F6"/>
    <w:rsid w:val="00D91A24"/>
    <w:rsid w:val="00D91AD8"/>
    <w:rsid w:val="00D91B16"/>
    <w:rsid w:val="00D91D63"/>
    <w:rsid w:val="00D91DB0"/>
    <w:rsid w:val="00D91F1D"/>
    <w:rsid w:val="00D91FA6"/>
    <w:rsid w:val="00D921FD"/>
    <w:rsid w:val="00D92247"/>
    <w:rsid w:val="00D92574"/>
    <w:rsid w:val="00D92643"/>
    <w:rsid w:val="00D927E2"/>
    <w:rsid w:val="00D92B0F"/>
    <w:rsid w:val="00D92B4D"/>
    <w:rsid w:val="00D92D17"/>
    <w:rsid w:val="00D92D5E"/>
    <w:rsid w:val="00D92F31"/>
    <w:rsid w:val="00D93032"/>
    <w:rsid w:val="00D93070"/>
    <w:rsid w:val="00D9307E"/>
    <w:rsid w:val="00D9310F"/>
    <w:rsid w:val="00D9312C"/>
    <w:rsid w:val="00D93130"/>
    <w:rsid w:val="00D93158"/>
    <w:rsid w:val="00D93233"/>
    <w:rsid w:val="00D933A4"/>
    <w:rsid w:val="00D934E5"/>
    <w:rsid w:val="00D93527"/>
    <w:rsid w:val="00D935C0"/>
    <w:rsid w:val="00D935C6"/>
    <w:rsid w:val="00D9374D"/>
    <w:rsid w:val="00D93859"/>
    <w:rsid w:val="00D93864"/>
    <w:rsid w:val="00D938D9"/>
    <w:rsid w:val="00D93981"/>
    <w:rsid w:val="00D93990"/>
    <w:rsid w:val="00D93A4A"/>
    <w:rsid w:val="00D93AD1"/>
    <w:rsid w:val="00D93C18"/>
    <w:rsid w:val="00D93CF3"/>
    <w:rsid w:val="00D93D57"/>
    <w:rsid w:val="00D93FF0"/>
    <w:rsid w:val="00D941C3"/>
    <w:rsid w:val="00D9429D"/>
    <w:rsid w:val="00D9433C"/>
    <w:rsid w:val="00D944EE"/>
    <w:rsid w:val="00D944F0"/>
    <w:rsid w:val="00D946D0"/>
    <w:rsid w:val="00D94A1E"/>
    <w:rsid w:val="00D94AF6"/>
    <w:rsid w:val="00D94AFA"/>
    <w:rsid w:val="00D94BED"/>
    <w:rsid w:val="00D94C10"/>
    <w:rsid w:val="00D94D62"/>
    <w:rsid w:val="00D94F46"/>
    <w:rsid w:val="00D95054"/>
    <w:rsid w:val="00D95229"/>
    <w:rsid w:val="00D9538B"/>
    <w:rsid w:val="00D9563F"/>
    <w:rsid w:val="00D956A9"/>
    <w:rsid w:val="00D957CC"/>
    <w:rsid w:val="00D95975"/>
    <w:rsid w:val="00D95BCE"/>
    <w:rsid w:val="00D95CCC"/>
    <w:rsid w:val="00D95CF3"/>
    <w:rsid w:val="00D95D0A"/>
    <w:rsid w:val="00D96195"/>
    <w:rsid w:val="00D96296"/>
    <w:rsid w:val="00D96392"/>
    <w:rsid w:val="00D96577"/>
    <w:rsid w:val="00D9664F"/>
    <w:rsid w:val="00D96669"/>
    <w:rsid w:val="00D96732"/>
    <w:rsid w:val="00D96766"/>
    <w:rsid w:val="00D967ED"/>
    <w:rsid w:val="00D96958"/>
    <w:rsid w:val="00D96ACF"/>
    <w:rsid w:val="00D96E1F"/>
    <w:rsid w:val="00D96E95"/>
    <w:rsid w:val="00D96F0D"/>
    <w:rsid w:val="00D96FC2"/>
    <w:rsid w:val="00D96FF3"/>
    <w:rsid w:val="00D97004"/>
    <w:rsid w:val="00D97330"/>
    <w:rsid w:val="00D97498"/>
    <w:rsid w:val="00D97B4A"/>
    <w:rsid w:val="00D97D4B"/>
    <w:rsid w:val="00D97D94"/>
    <w:rsid w:val="00D97EF4"/>
    <w:rsid w:val="00D9B3ED"/>
    <w:rsid w:val="00DA0139"/>
    <w:rsid w:val="00DA0231"/>
    <w:rsid w:val="00DA029C"/>
    <w:rsid w:val="00DA0394"/>
    <w:rsid w:val="00DA04F9"/>
    <w:rsid w:val="00DA0543"/>
    <w:rsid w:val="00DA0A35"/>
    <w:rsid w:val="00DA0B39"/>
    <w:rsid w:val="00DA0C56"/>
    <w:rsid w:val="00DA0F00"/>
    <w:rsid w:val="00DA0F7F"/>
    <w:rsid w:val="00DA10F1"/>
    <w:rsid w:val="00DA113E"/>
    <w:rsid w:val="00DA1528"/>
    <w:rsid w:val="00DA1531"/>
    <w:rsid w:val="00DA158D"/>
    <w:rsid w:val="00DA160F"/>
    <w:rsid w:val="00DA1634"/>
    <w:rsid w:val="00DA16A9"/>
    <w:rsid w:val="00DA16E0"/>
    <w:rsid w:val="00DA1836"/>
    <w:rsid w:val="00DA1962"/>
    <w:rsid w:val="00DA1A02"/>
    <w:rsid w:val="00DA1A3D"/>
    <w:rsid w:val="00DA1A8B"/>
    <w:rsid w:val="00DA1BB7"/>
    <w:rsid w:val="00DA1C79"/>
    <w:rsid w:val="00DA1DC4"/>
    <w:rsid w:val="00DA1DE9"/>
    <w:rsid w:val="00DA1E31"/>
    <w:rsid w:val="00DA236D"/>
    <w:rsid w:val="00DA236F"/>
    <w:rsid w:val="00DA2515"/>
    <w:rsid w:val="00DA2520"/>
    <w:rsid w:val="00DA25C7"/>
    <w:rsid w:val="00DA2667"/>
    <w:rsid w:val="00DA2743"/>
    <w:rsid w:val="00DA28BF"/>
    <w:rsid w:val="00DA28C4"/>
    <w:rsid w:val="00DA2B36"/>
    <w:rsid w:val="00DA2B3A"/>
    <w:rsid w:val="00DA2EA2"/>
    <w:rsid w:val="00DA2F78"/>
    <w:rsid w:val="00DA30BF"/>
    <w:rsid w:val="00DA31F4"/>
    <w:rsid w:val="00DA336D"/>
    <w:rsid w:val="00DA360A"/>
    <w:rsid w:val="00DA36EF"/>
    <w:rsid w:val="00DA3737"/>
    <w:rsid w:val="00DA3885"/>
    <w:rsid w:val="00DA390B"/>
    <w:rsid w:val="00DA39A0"/>
    <w:rsid w:val="00DA3B2E"/>
    <w:rsid w:val="00DA3D2D"/>
    <w:rsid w:val="00DA3DB7"/>
    <w:rsid w:val="00DA3E14"/>
    <w:rsid w:val="00DA3E1E"/>
    <w:rsid w:val="00DA3E64"/>
    <w:rsid w:val="00DA4064"/>
    <w:rsid w:val="00DA421C"/>
    <w:rsid w:val="00DA425D"/>
    <w:rsid w:val="00DA4268"/>
    <w:rsid w:val="00DA42C9"/>
    <w:rsid w:val="00DA4384"/>
    <w:rsid w:val="00DA4659"/>
    <w:rsid w:val="00DA4661"/>
    <w:rsid w:val="00DA46CE"/>
    <w:rsid w:val="00DA478B"/>
    <w:rsid w:val="00DA4E9B"/>
    <w:rsid w:val="00DA4ECC"/>
    <w:rsid w:val="00DA5064"/>
    <w:rsid w:val="00DA509E"/>
    <w:rsid w:val="00DA5159"/>
    <w:rsid w:val="00DA52D6"/>
    <w:rsid w:val="00DA5484"/>
    <w:rsid w:val="00DA5492"/>
    <w:rsid w:val="00DA568F"/>
    <w:rsid w:val="00DA56CB"/>
    <w:rsid w:val="00DA56ED"/>
    <w:rsid w:val="00DA5722"/>
    <w:rsid w:val="00DA57C3"/>
    <w:rsid w:val="00DA582B"/>
    <w:rsid w:val="00DA58A2"/>
    <w:rsid w:val="00DA596D"/>
    <w:rsid w:val="00DA59F4"/>
    <w:rsid w:val="00DA5B86"/>
    <w:rsid w:val="00DA5C5F"/>
    <w:rsid w:val="00DA5D3F"/>
    <w:rsid w:val="00DA5F5D"/>
    <w:rsid w:val="00DA62E4"/>
    <w:rsid w:val="00DA6461"/>
    <w:rsid w:val="00DA6564"/>
    <w:rsid w:val="00DA65E4"/>
    <w:rsid w:val="00DA66FB"/>
    <w:rsid w:val="00DA67A0"/>
    <w:rsid w:val="00DA67E3"/>
    <w:rsid w:val="00DA685D"/>
    <w:rsid w:val="00DA6A17"/>
    <w:rsid w:val="00DA6B2A"/>
    <w:rsid w:val="00DA6CC5"/>
    <w:rsid w:val="00DA6D7F"/>
    <w:rsid w:val="00DA6DE1"/>
    <w:rsid w:val="00DA6EC6"/>
    <w:rsid w:val="00DA7033"/>
    <w:rsid w:val="00DA7151"/>
    <w:rsid w:val="00DA7183"/>
    <w:rsid w:val="00DA7312"/>
    <w:rsid w:val="00DA7498"/>
    <w:rsid w:val="00DA74CD"/>
    <w:rsid w:val="00DA75BC"/>
    <w:rsid w:val="00DA77C5"/>
    <w:rsid w:val="00DA7952"/>
    <w:rsid w:val="00DA7EFA"/>
    <w:rsid w:val="00DA7F17"/>
    <w:rsid w:val="00DA7FB1"/>
    <w:rsid w:val="00DA7FD7"/>
    <w:rsid w:val="00DB0059"/>
    <w:rsid w:val="00DB00BF"/>
    <w:rsid w:val="00DB01C0"/>
    <w:rsid w:val="00DB022E"/>
    <w:rsid w:val="00DB0267"/>
    <w:rsid w:val="00DB02A7"/>
    <w:rsid w:val="00DB038B"/>
    <w:rsid w:val="00DB04F8"/>
    <w:rsid w:val="00DB05B5"/>
    <w:rsid w:val="00DB0631"/>
    <w:rsid w:val="00DB0729"/>
    <w:rsid w:val="00DB09DC"/>
    <w:rsid w:val="00DB0A00"/>
    <w:rsid w:val="00DB0A50"/>
    <w:rsid w:val="00DB0ABB"/>
    <w:rsid w:val="00DB0B36"/>
    <w:rsid w:val="00DB0CB1"/>
    <w:rsid w:val="00DB0DC2"/>
    <w:rsid w:val="00DB0EFC"/>
    <w:rsid w:val="00DB0F72"/>
    <w:rsid w:val="00DB1087"/>
    <w:rsid w:val="00DB117A"/>
    <w:rsid w:val="00DB1317"/>
    <w:rsid w:val="00DB147D"/>
    <w:rsid w:val="00DB15B3"/>
    <w:rsid w:val="00DB162A"/>
    <w:rsid w:val="00DB1680"/>
    <w:rsid w:val="00DB1772"/>
    <w:rsid w:val="00DB17BC"/>
    <w:rsid w:val="00DB1800"/>
    <w:rsid w:val="00DB18FB"/>
    <w:rsid w:val="00DB1BBD"/>
    <w:rsid w:val="00DB1CAE"/>
    <w:rsid w:val="00DB1DB0"/>
    <w:rsid w:val="00DB1E4F"/>
    <w:rsid w:val="00DB1F37"/>
    <w:rsid w:val="00DB1F4D"/>
    <w:rsid w:val="00DB21FB"/>
    <w:rsid w:val="00DB22A2"/>
    <w:rsid w:val="00DB2356"/>
    <w:rsid w:val="00DB2495"/>
    <w:rsid w:val="00DB2645"/>
    <w:rsid w:val="00DB2685"/>
    <w:rsid w:val="00DB277B"/>
    <w:rsid w:val="00DB2AC2"/>
    <w:rsid w:val="00DB2B17"/>
    <w:rsid w:val="00DB2BFF"/>
    <w:rsid w:val="00DB2C53"/>
    <w:rsid w:val="00DB2D4A"/>
    <w:rsid w:val="00DB2E30"/>
    <w:rsid w:val="00DB311A"/>
    <w:rsid w:val="00DB3142"/>
    <w:rsid w:val="00DB31CF"/>
    <w:rsid w:val="00DB3256"/>
    <w:rsid w:val="00DB329D"/>
    <w:rsid w:val="00DB34BE"/>
    <w:rsid w:val="00DB371D"/>
    <w:rsid w:val="00DB375D"/>
    <w:rsid w:val="00DB3793"/>
    <w:rsid w:val="00DB379A"/>
    <w:rsid w:val="00DB3925"/>
    <w:rsid w:val="00DB3971"/>
    <w:rsid w:val="00DB3C1F"/>
    <w:rsid w:val="00DB3C7B"/>
    <w:rsid w:val="00DB3CD7"/>
    <w:rsid w:val="00DB3E09"/>
    <w:rsid w:val="00DB3FD7"/>
    <w:rsid w:val="00DB420B"/>
    <w:rsid w:val="00DB4255"/>
    <w:rsid w:val="00DB4325"/>
    <w:rsid w:val="00DB4410"/>
    <w:rsid w:val="00DB44EA"/>
    <w:rsid w:val="00DB463C"/>
    <w:rsid w:val="00DB4660"/>
    <w:rsid w:val="00DB4699"/>
    <w:rsid w:val="00DB46A8"/>
    <w:rsid w:val="00DB46AD"/>
    <w:rsid w:val="00DB48C2"/>
    <w:rsid w:val="00DB4951"/>
    <w:rsid w:val="00DB4A23"/>
    <w:rsid w:val="00DB4A30"/>
    <w:rsid w:val="00DB4C47"/>
    <w:rsid w:val="00DB4D42"/>
    <w:rsid w:val="00DB4E90"/>
    <w:rsid w:val="00DB4F75"/>
    <w:rsid w:val="00DB4FB0"/>
    <w:rsid w:val="00DB50C5"/>
    <w:rsid w:val="00DB5201"/>
    <w:rsid w:val="00DB5286"/>
    <w:rsid w:val="00DB5298"/>
    <w:rsid w:val="00DB5457"/>
    <w:rsid w:val="00DB54FB"/>
    <w:rsid w:val="00DB5890"/>
    <w:rsid w:val="00DB59AD"/>
    <w:rsid w:val="00DB5D5A"/>
    <w:rsid w:val="00DB5D79"/>
    <w:rsid w:val="00DB5FF4"/>
    <w:rsid w:val="00DB60B3"/>
    <w:rsid w:val="00DB611E"/>
    <w:rsid w:val="00DB61DC"/>
    <w:rsid w:val="00DB622D"/>
    <w:rsid w:val="00DB6255"/>
    <w:rsid w:val="00DB62A2"/>
    <w:rsid w:val="00DB63AD"/>
    <w:rsid w:val="00DB648F"/>
    <w:rsid w:val="00DB65FD"/>
    <w:rsid w:val="00DB6653"/>
    <w:rsid w:val="00DB6717"/>
    <w:rsid w:val="00DB6754"/>
    <w:rsid w:val="00DB67F6"/>
    <w:rsid w:val="00DB6928"/>
    <w:rsid w:val="00DB69B2"/>
    <w:rsid w:val="00DB6A2F"/>
    <w:rsid w:val="00DB6B05"/>
    <w:rsid w:val="00DB6CB3"/>
    <w:rsid w:val="00DB6E1A"/>
    <w:rsid w:val="00DB6E5A"/>
    <w:rsid w:val="00DB6ECE"/>
    <w:rsid w:val="00DB700B"/>
    <w:rsid w:val="00DB75AE"/>
    <w:rsid w:val="00DB7684"/>
    <w:rsid w:val="00DB7789"/>
    <w:rsid w:val="00DB7892"/>
    <w:rsid w:val="00DB78D6"/>
    <w:rsid w:val="00DB7AED"/>
    <w:rsid w:val="00DB7C6D"/>
    <w:rsid w:val="00DB7C9E"/>
    <w:rsid w:val="00DB7D08"/>
    <w:rsid w:val="00DB7F62"/>
    <w:rsid w:val="00DC00AC"/>
    <w:rsid w:val="00DC011A"/>
    <w:rsid w:val="00DC0168"/>
    <w:rsid w:val="00DC028B"/>
    <w:rsid w:val="00DC036F"/>
    <w:rsid w:val="00DC0391"/>
    <w:rsid w:val="00DC0541"/>
    <w:rsid w:val="00DC05AD"/>
    <w:rsid w:val="00DC0647"/>
    <w:rsid w:val="00DC0673"/>
    <w:rsid w:val="00DC085A"/>
    <w:rsid w:val="00DC0D56"/>
    <w:rsid w:val="00DC0DE1"/>
    <w:rsid w:val="00DC11C4"/>
    <w:rsid w:val="00DC1420"/>
    <w:rsid w:val="00DC16E7"/>
    <w:rsid w:val="00DC16E8"/>
    <w:rsid w:val="00DC172C"/>
    <w:rsid w:val="00DC1782"/>
    <w:rsid w:val="00DC18C8"/>
    <w:rsid w:val="00DC18DE"/>
    <w:rsid w:val="00DC1D27"/>
    <w:rsid w:val="00DC1D91"/>
    <w:rsid w:val="00DC1DCD"/>
    <w:rsid w:val="00DC1FE8"/>
    <w:rsid w:val="00DC2184"/>
    <w:rsid w:val="00DC22D2"/>
    <w:rsid w:val="00DC231D"/>
    <w:rsid w:val="00DC26B5"/>
    <w:rsid w:val="00DC28E9"/>
    <w:rsid w:val="00DC2BBB"/>
    <w:rsid w:val="00DC2C62"/>
    <w:rsid w:val="00DC2D98"/>
    <w:rsid w:val="00DC2E72"/>
    <w:rsid w:val="00DC2E95"/>
    <w:rsid w:val="00DC2F31"/>
    <w:rsid w:val="00DC2FA3"/>
    <w:rsid w:val="00DC2FFC"/>
    <w:rsid w:val="00DC30F6"/>
    <w:rsid w:val="00DC352E"/>
    <w:rsid w:val="00DC3588"/>
    <w:rsid w:val="00DC3724"/>
    <w:rsid w:val="00DC372B"/>
    <w:rsid w:val="00DC375D"/>
    <w:rsid w:val="00DC392C"/>
    <w:rsid w:val="00DC3AD5"/>
    <w:rsid w:val="00DC3B26"/>
    <w:rsid w:val="00DC3C0F"/>
    <w:rsid w:val="00DC3C82"/>
    <w:rsid w:val="00DC3D04"/>
    <w:rsid w:val="00DC3D1E"/>
    <w:rsid w:val="00DC3D91"/>
    <w:rsid w:val="00DC3E29"/>
    <w:rsid w:val="00DC3F57"/>
    <w:rsid w:val="00DC4004"/>
    <w:rsid w:val="00DC411C"/>
    <w:rsid w:val="00DC41E9"/>
    <w:rsid w:val="00DC421F"/>
    <w:rsid w:val="00DC4227"/>
    <w:rsid w:val="00DC424E"/>
    <w:rsid w:val="00DC4262"/>
    <w:rsid w:val="00DC4296"/>
    <w:rsid w:val="00DC4417"/>
    <w:rsid w:val="00DC4459"/>
    <w:rsid w:val="00DC45A2"/>
    <w:rsid w:val="00DC4646"/>
    <w:rsid w:val="00DC473B"/>
    <w:rsid w:val="00DC4819"/>
    <w:rsid w:val="00DC498E"/>
    <w:rsid w:val="00DC4AAE"/>
    <w:rsid w:val="00DC4B80"/>
    <w:rsid w:val="00DC4D07"/>
    <w:rsid w:val="00DC4D91"/>
    <w:rsid w:val="00DC4E73"/>
    <w:rsid w:val="00DC4FF5"/>
    <w:rsid w:val="00DC521E"/>
    <w:rsid w:val="00DC5264"/>
    <w:rsid w:val="00DC5338"/>
    <w:rsid w:val="00DC5357"/>
    <w:rsid w:val="00DC53EC"/>
    <w:rsid w:val="00DC53FB"/>
    <w:rsid w:val="00DC5673"/>
    <w:rsid w:val="00DC5782"/>
    <w:rsid w:val="00DC59F6"/>
    <w:rsid w:val="00DC5A08"/>
    <w:rsid w:val="00DC5AC6"/>
    <w:rsid w:val="00DC5B64"/>
    <w:rsid w:val="00DC5B70"/>
    <w:rsid w:val="00DC5BA4"/>
    <w:rsid w:val="00DC5D4A"/>
    <w:rsid w:val="00DC5ECD"/>
    <w:rsid w:val="00DC5F5E"/>
    <w:rsid w:val="00DC5FCC"/>
    <w:rsid w:val="00DC602A"/>
    <w:rsid w:val="00DC610E"/>
    <w:rsid w:val="00DC615D"/>
    <w:rsid w:val="00DC6396"/>
    <w:rsid w:val="00DC646A"/>
    <w:rsid w:val="00DC646C"/>
    <w:rsid w:val="00DC64E6"/>
    <w:rsid w:val="00DC6522"/>
    <w:rsid w:val="00DC65C2"/>
    <w:rsid w:val="00DC65CE"/>
    <w:rsid w:val="00DC65D0"/>
    <w:rsid w:val="00DC65F4"/>
    <w:rsid w:val="00DC6643"/>
    <w:rsid w:val="00DC6838"/>
    <w:rsid w:val="00DC684A"/>
    <w:rsid w:val="00DC69B6"/>
    <w:rsid w:val="00DC6BE6"/>
    <w:rsid w:val="00DC6C4B"/>
    <w:rsid w:val="00DC6C52"/>
    <w:rsid w:val="00DC6C60"/>
    <w:rsid w:val="00DC6E9B"/>
    <w:rsid w:val="00DC6EA3"/>
    <w:rsid w:val="00DC7026"/>
    <w:rsid w:val="00DC7065"/>
    <w:rsid w:val="00DC7164"/>
    <w:rsid w:val="00DC72A6"/>
    <w:rsid w:val="00DC73CD"/>
    <w:rsid w:val="00DC73F0"/>
    <w:rsid w:val="00DC740F"/>
    <w:rsid w:val="00DC754C"/>
    <w:rsid w:val="00DC75D6"/>
    <w:rsid w:val="00DC75FA"/>
    <w:rsid w:val="00DC76C8"/>
    <w:rsid w:val="00DC76DF"/>
    <w:rsid w:val="00DC7712"/>
    <w:rsid w:val="00DC7B39"/>
    <w:rsid w:val="00DC7DA6"/>
    <w:rsid w:val="00DD011D"/>
    <w:rsid w:val="00DD014F"/>
    <w:rsid w:val="00DD02D9"/>
    <w:rsid w:val="00DD04C4"/>
    <w:rsid w:val="00DD04D0"/>
    <w:rsid w:val="00DD0694"/>
    <w:rsid w:val="00DD06B9"/>
    <w:rsid w:val="00DD075E"/>
    <w:rsid w:val="00DD0B2C"/>
    <w:rsid w:val="00DD0CBF"/>
    <w:rsid w:val="00DD0D24"/>
    <w:rsid w:val="00DD0EB7"/>
    <w:rsid w:val="00DD107D"/>
    <w:rsid w:val="00DD12FE"/>
    <w:rsid w:val="00DD1438"/>
    <w:rsid w:val="00DD14E1"/>
    <w:rsid w:val="00DD1574"/>
    <w:rsid w:val="00DD1831"/>
    <w:rsid w:val="00DD1834"/>
    <w:rsid w:val="00DD190E"/>
    <w:rsid w:val="00DD1B0F"/>
    <w:rsid w:val="00DD1B67"/>
    <w:rsid w:val="00DD1D27"/>
    <w:rsid w:val="00DD1DC4"/>
    <w:rsid w:val="00DD1DD4"/>
    <w:rsid w:val="00DD1FCD"/>
    <w:rsid w:val="00DD21FD"/>
    <w:rsid w:val="00DD2222"/>
    <w:rsid w:val="00DD22FF"/>
    <w:rsid w:val="00DD2376"/>
    <w:rsid w:val="00DD2453"/>
    <w:rsid w:val="00DD245C"/>
    <w:rsid w:val="00DD246D"/>
    <w:rsid w:val="00DD287B"/>
    <w:rsid w:val="00DD2B1A"/>
    <w:rsid w:val="00DD2BDD"/>
    <w:rsid w:val="00DD307A"/>
    <w:rsid w:val="00DD327F"/>
    <w:rsid w:val="00DD3540"/>
    <w:rsid w:val="00DD3562"/>
    <w:rsid w:val="00DD3589"/>
    <w:rsid w:val="00DD36B5"/>
    <w:rsid w:val="00DD38B2"/>
    <w:rsid w:val="00DD3940"/>
    <w:rsid w:val="00DD39D4"/>
    <w:rsid w:val="00DD3DC8"/>
    <w:rsid w:val="00DD3E44"/>
    <w:rsid w:val="00DD3E8E"/>
    <w:rsid w:val="00DD3F0E"/>
    <w:rsid w:val="00DD4070"/>
    <w:rsid w:val="00DD40CC"/>
    <w:rsid w:val="00DD4323"/>
    <w:rsid w:val="00DD43EC"/>
    <w:rsid w:val="00DD45AC"/>
    <w:rsid w:val="00DD46CC"/>
    <w:rsid w:val="00DD47A2"/>
    <w:rsid w:val="00DD47C2"/>
    <w:rsid w:val="00DD489E"/>
    <w:rsid w:val="00DD48A8"/>
    <w:rsid w:val="00DD4928"/>
    <w:rsid w:val="00DD4A91"/>
    <w:rsid w:val="00DD4C01"/>
    <w:rsid w:val="00DD4C1C"/>
    <w:rsid w:val="00DD4C5A"/>
    <w:rsid w:val="00DD4E3D"/>
    <w:rsid w:val="00DD5410"/>
    <w:rsid w:val="00DD5615"/>
    <w:rsid w:val="00DD586E"/>
    <w:rsid w:val="00DD5882"/>
    <w:rsid w:val="00DD5A1B"/>
    <w:rsid w:val="00DD5A46"/>
    <w:rsid w:val="00DD5C3B"/>
    <w:rsid w:val="00DD5D89"/>
    <w:rsid w:val="00DD5E28"/>
    <w:rsid w:val="00DD6103"/>
    <w:rsid w:val="00DD61B5"/>
    <w:rsid w:val="00DD61D4"/>
    <w:rsid w:val="00DD64EF"/>
    <w:rsid w:val="00DD68A4"/>
    <w:rsid w:val="00DD693D"/>
    <w:rsid w:val="00DD69C3"/>
    <w:rsid w:val="00DD69C7"/>
    <w:rsid w:val="00DD6B7F"/>
    <w:rsid w:val="00DD6ED5"/>
    <w:rsid w:val="00DD6F3F"/>
    <w:rsid w:val="00DD6F6F"/>
    <w:rsid w:val="00DD712B"/>
    <w:rsid w:val="00DD715C"/>
    <w:rsid w:val="00DD7178"/>
    <w:rsid w:val="00DD719F"/>
    <w:rsid w:val="00DD7505"/>
    <w:rsid w:val="00DD785A"/>
    <w:rsid w:val="00DD7922"/>
    <w:rsid w:val="00DD7DC7"/>
    <w:rsid w:val="00DD7FD0"/>
    <w:rsid w:val="00DE00E9"/>
    <w:rsid w:val="00DE012D"/>
    <w:rsid w:val="00DE02D2"/>
    <w:rsid w:val="00DE03ED"/>
    <w:rsid w:val="00DE048D"/>
    <w:rsid w:val="00DE056F"/>
    <w:rsid w:val="00DE08FB"/>
    <w:rsid w:val="00DE0B4B"/>
    <w:rsid w:val="00DE0C55"/>
    <w:rsid w:val="00DE0E15"/>
    <w:rsid w:val="00DE0E75"/>
    <w:rsid w:val="00DE0F8F"/>
    <w:rsid w:val="00DE1163"/>
    <w:rsid w:val="00DE11A2"/>
    <w:rsid w:val="00DE11CB"/>
    <w:rsid w:val="00DE1205"/>
    <w:rsid w:val="00DE130B"/>
    <w:rsid w:val="00DE148F"/>
    <w:rsid w:val="00DE154C"/>
    <w:rsid w:val="00DE18BC"/>
    <w:rsid w:val="00DE1AF4"/>
    <w:rsid w:val="00DE1BD0"/>
    <w:rsid w:val="00DE1E10"/>
    <w:rsid w:val="00DE1FE4"/>
    <w:rsid w:val="00DE2107"/>
    <w:rsid w:val="00DE2144"/>
    <w:rsid w:val="00DE21A0"/>
    <w:rsid w:val="00DE2207"/>
    <w:rsid w:val="00DE226A"/>
    <w:rsid w:val="00DE251C"/>
    <w:rsid w:val="00DE2552"/>
    <w:rsid w:val="00DE2614"/>
    <w:rsid w:val="00DE2680"/>
    <w:rsid w:val="00DE28D4"/>
    <w:rsid w:val="00DE2A65"/>
    <w:rsid w:val="00DE2B6C"/>
    <w:rsid w:val="00DE2BAA"/>
    <w:rsid w:val="00DE2C69"/>
    <w:rsid w:val="00DE3217"/>
    <w:rsid w:val="00DE332B"/>
    <w:rsid w:val="00DE333D"/>
    <w:rsid w:val="00DE34AC"/>
    <w:rsid w:val="00DE34DF"/>
    <w:rsid w:val="00DE377F"/>
    <w:rsid w:val="00DE3820"/>
    <w:rsid w:val="00DE3C1B"/>
    <w:rsid w:val="00DE3CAF"/>
    <w:rsid w:val="00DE3D18"/>
    <w:rsid w:val="00DE4079"/>
    <w:rsid w:val="00DE4083"/>
    <w:rsid w:val="00DE40E0"/>
    <w:rsid w:val="00DE40ED"/>
    <w:rsid w:val="00DE4157"/>
    <w:rsid w:val="00DE42A1"/>
    <w:rsid w:val="00DE42C3"/>
    <w:rsid w:val="00DE4379"/>
    <w:rsid w:val="00DE44C9"/>
    <w:rsid w:val="00DE450F"/>
    <w:rsid w:val="00DE4532"/>
    <w:rsid w:val="00DE4602"/>
    <w:rsid w:val="00DE4618"/>
    <w:rsid w:val="00DE46DE"/>
    <w:rsid w:val="00DE490F"/>
    <w:rsid w:val="00DE4ABB"/>
    <w:rsid w:val="00DE4ADF"/>
    <w:rsid w:val="00DE4B80"/>
    <w:rsid w:val="00DE4F8B"/>
    <w:rsid w:val="00DE4F91"/>
    <w:rsid w:val="00DE4F95"/>
    <w:rsid w:val="00DE4FD8"/>
    <w:rsid w:val="00DE508C"/>
    <w:rsid w:val="00DE50D6"/>
    <w:rsid w:val="00DE5177"/>
    <w:rsid w:val="00DE51AF"/>
    <w:rsid w:val="00DE521D"/>
    <w:rsid w:val="00DE5647"/>
    <w:rsid w:val="00DE579B"/>
    <w:rsid w:val="00DE5975"/>
    <w:rsid w:val="00DE5CF3"/>
    <w:rsid w:val="00DE5DAD"/>
    <w:rsid w:val="00DE5F2C"/>
    <w:rsid w:val="00DE6006"/>
    <w:rsid w:val="00DE64BF"/>
    <w:rsid w:val="00DE64EF"/>
    <w:rsid w:val="00DE67BD"/>
    <w:rsid w:val="00DE6813"/>
    <w:rsid w:val="00DE68FA"/>
    <w:rsid w:val="00DE6A53"/>
    <w:rsid w:val="00DE6DD6"/>
    <w:rsid w:val="00DE6E82"/>
    <w:rsid w:val="00DE72CE"/>
    <w:rsid w:val="00DE747A"/>
    <w:rsid w:val="00DE7596"/>
    <w:rsid w:val="00DE7607"/>
    <w:rsid w:val="00DE766B"/>
    <w:rsid w:val="00DE767F"/>
    <w:rsid w:val="00DE76CF"/>
    <w:rsid w:val="00DE780D"/>
    <w:rsid w:val="00DE7872"/>
    <w:rsid w:val="00DE78BF"/>
    <w:rsid w:val="00DE794B"/>
    <w:rsid w:val="00DE7B35"/>
    <w:rsid w:val="00DE7E70"/>
    <w:rsid w:val="00DE7F14"/>
    <w:rsid w:val="00DF03D2"/>
    <w:rsid w:val="00DF045E"/>
    <w:rsid w:val="00DF0654"/>
    <w:rsid w:val="00DF06E9"/>
    <w:rsid w:val="00DF08CC"/>
    <w:rsid w:val="00DF09D6"/>
    <w:rsid w:val="00DF0A25"/>
    <w:rsid w:val="00DF0AB1"/>
    <w:rsid w:val="00DF0CC8"/>
    <w:rsid w:val="00DF1060"/>
    <w:rsid w:val="00DF10A5"/>
    <w:rsid w:val="00DF13E2"/>
    <w:rsid w:val="00DF1683"/>
    <w:rsid w:val="00DF168F"/>
    <w:rsid w:val="00DF171E"/>
    <w:rsid w:val="00DF176E"/>
    <w:rsid w:val="00DF1896"/>
    <w:rsid w:val="00DF1A55"/>
    <w:rsid w:val="00DF1B1A"/>
    <w:rsid w:val="00DF1B7C"/>
    <w:rsid w:val="00DF1C19"/>
    <w:rsid w:val="00DF1CFF"/>
    <w:rsid w:val="00DF1D93"/>
    <w:rsid w:val="00DF1E86"/>
    <w:rsid w:val="00DF1F78"/>
    <w:rsid w:val="00DF1F84"/>
    <w:rsid w:val="00DF1FC5"/>
    <w:rsid w:val="00DF2043"/>
    <w:rsid w:val="00DF2188"/>
    <w:rsid w:val="00DF21C4"/>
    <w:rsid w:val="00DF228C"/>
    <w:rsid w:val="00DF22AD"/>
    <w:rsid w:val="00DF232C"/>
    <w:rsid w:val="00DF23C2"/>
    <w:rsid w:val="00DF2400"/>
    <w:rsid w:val="00DF251B"/>
    <w:rsid w:val="00DF25E5"/>
    <w:rsid w:val="00DF26A9"/>
    <w:rsid w:val="00DF27A7"/>
    <w:rsid w:val="00DF2CE4"/>
    <w:rsid w:val="00DF2D20"/>
    <w:rsid w:val="00DF2D7A"/>
    <w:rsid w:val="00DF2D90"/>
    <w:rsid w:val="00DF2EDA"/>
    <w:rsid w:val="00DF2F67"/>
    <w:rsid w:val="00DF3032"/>
    <w:rsid w:val="00DF32B6"/>
    <w:rsid w:val="00DF348E"/>
    <w:rsid w:val="00DF363A"/>
    <w:rsid w:val="00DF3789"/>
    <w:rsid w:val="00DF3877"/>
    <w:rsid w:val="00DF39DB"/>
    <w:rsid w:val="00DF3A74"/>
    <w:rsid w:val="00DF3A9C"/>
    <w:rsid w:val="00DF3B1C"/>
    <w:rsid w:val="00DF3D2C"/>
    <w:rsid w:val="00DF3E61"/>
    <w:rsid w:val="00DF3ECC"/>
    <w:rsid w:val="00DF3F1F"/>
    <w:rsid w:val="00DF4047"/>
    <w:rsid w:val="00DF404F"/>
    <w:rsid w:val="00DF4134"/>
    <w:rsid w:val="00DF4332"/>
    <w:rsid w:val="00DF4532"/>
    <w:rsid w:val="00DF4A02"/>
    <w:rsid w:val="00DF4AF2"/>
    <w:rsid w:val="00DF4B18"/>
    <w:rsid w:val="00DF4B3E"/>
    <w:rsid w:val="00DF4B62"/>
    <w:rsid w:val="00DF4CD9"/>
    <w:rsid w:val="00DF4CE7"/>
    <w:rsid w:val="00DF4CF7"/>
    <w:rsid w:val="00DF4D02"/>
    <w:rsid w:val="00DF4D55"/>
    <w:rsid w:val="00DF4DF4"/>
    <w:rsid w:val="00DF5080"/>
    <w:rsid w:val="00DF50C8"/>
    <w:rsid w:val="00DF5123"/>
    <w:rsid w:val="00DF52F8"/>
    <w:rsid w:val="00DF5410"/>
    <w:rsid w:val="00DF542B"/>
    <w:rsid w:val="00DF5534"/>
    <w:rsid w:val="00DF5561"/>
    <w:rsid w:val="00DF5626"/>
    <w:rsid w:val="00DF584C"/>
    <w:rsid w:val="00DF58C9"/>
    <w:rsid w:val="00DF5BCA"/>
    <w:rsid w:val="00DF5C81"/>
    <w:rsid w:val="00DF5F20"/>
    <w:rsid w:val="00DF6080"/>
    <w:rsid w:val="00DF61B9"/>
    <w:rsid w:val="00DF647E"/>
    <w:rsid w:val="00DF64A2"/>
    <w:rsid w:val="00DF6826"/>
    <w:rsid w:val="00DF684B"/>
    <w:rsid w:val="00DF6955"/>
    <w:rsid w:val="00DF69FA"/>
    <w:rsid w:val="00DF6A27"/>
    <w:rsid w:val="00DF6C50"/>
    <w:rsid w:val="00DF6D4D"/>
    <w:rsid w:val="00DF6D56"/>
    <w:rsid w:val="00DF6DD9"/>
    <w:rsid w:val="00DF6E37"/>
    <w:rsid w:val="00DF6F48"/>
    <w:rsid w:val="00DF6F56"/>
    <w:rsid w:val="00DF702B"/>
    <w:rsid w:val="00DF7113"/>
    <w:rsid w:val="00DF73EB"/>
    <w:rsid w:val="00DF7664"/>
    <w:rsid w:val="00DF7708"/>
    <w:rsid w:val="00DF7819"/>
    <w:rsid w:val="00DF792B"/>
    <w:rsid w:val="00DF7C3C"/>
    <w:rsid w:val="00DF7C66"/>
    <w:rsid w:val="00DF7DA8"/>
    <w:rsid w:val="00DF7E0C"/>
    <w:rsid w:val="00DF7EB7"/>
    <w:rsid w:val="00DF7F54"/>
    <w:rsid w:val="00DF7F71"/>
    <w:rsid w:val="00E00419"/>
    <w:rsid w:val="00E0051A"/>
    <w:rsid w:val="00E00621"/>
    <w:rsid w:val="00E00715"/>
    <w:rsid w:val="00E0078E"/>
    <w:rsid w:val="00E0084D"/>
    <w:rsid w:val="00E00998"/>
    <w:rsid w:val="00E00A03"/>
    <w:rsid w:val="00E00AA6"/>
    <w:rsid w:val="00E00B3E"/>
    <w:rsid w:val="00E00C1F"/>
    <w:rsid w:val="00E00CFF"/>
    <w:rsid w:val="00E00F4A"/>
    <w:rsid w:val="00E010C7"/>
    <w:rsid w:val="00E01113"/>
    <w:rsid w:val="00E0112D"/>
    <w:rsid w:val="00E011B7"/>
    <w:rsid w:val="00E01208"/>
    <w:rsid w:val="00E01345"/>
    <w:rsid w:val="00E01391"/>
    <w:rsid w:val="00E01555"/>
    <w:rsid w:val="00E01717"/>
    <w:rsid w:val="00E01722"/>
    <w:rsid w:val="00E01729"/>
    <w:rsid w:val="00E01733"/>
    <w:rsid w:val="00E0190B"/>
    <w:rsid w:val="00E01A54"/>
    <w:rsid w:val="00E01ACB"/>
    <w:rsid w:val="00E01CBA"/>
    <w:rsid w:val="00E01D92"/>
    <w:rsid w:val="00E01E25"/>
    <w:rsid w:val="00E01EB0"/>
    <w:rsid w:val="00E01F1C"/>
    <w:rsid w:val="00E023ED"/>
    <w:rsid w:val="00E02618"/>
    <w:rsid w:val="00E026AE"/>
    <w:rsid w:val="00E02703"/>
    <w:rsid w:val="00E02724"/>
    <w:rsid w:val="00E02839"/>
    <w:rsid w:val="00E029A1"/>
    <w:rsid w:val="00E02D8D"/>
    <w:rsid w:val="00E02DC4"/>
    <w:rsid w:val="00E02DF8"/>
    <w:rsid w:val="00E0335C"/>
    <w:rsid w:val="00E033FA"/>
    <w:rsid w:val="00E03640"/>
    <w:rsid w:val="00E0375C"/>
    <w:rsid w:val="00E0386B"/>
    <w:rsid w:val="00E0390A"/>
    <w:rsid w:val="00E0397B"/>
    <w:rsid w:val="00E03A16"/>
    <w:rsid w:val="00E03A51"/>
    <w:rsid w:val="00E03AD6"/>
    <w:rsid w:val="00E03B15"/>
    <w:rsid w:val="00E03B67"/>
    <w:rsid w:val="00E03C34"/>
    <w:rsid w:val="00E03CFF"/>
    <w:rsid w:val="00E03D74"/>
    <w:rsid w:val="00E03ED0"/>
    <w:rsid w:val="00E041F9"/>
    <w:rsid w:val="00E04296"/>
    <w:rsid w:val="00E042B7"/>
    <w:rsid w:val="00E0450D"/>
    <w:rsid w:val="00E04640"/>
    <w:rsid w:val="00E04654"/>
    <w:rsid w:val="00E04898"/>
    <w:rsid w:val="00E049AA"/>
    <w:rsid w:val="00E04AE8"/>
    <w:rsid w:val="00E04B6E"/>
    <w:rsid w:val="00E04FAB"/>
    <w:rsid w:val="00E04FC8"/>
    <w:rsid w:val="00E04FD5"/>
    <w:rsid w:val="00E050F3"/>
    <w:rsid w:val="00E0517E"/>
    <w:rsid w:val="00E05239"/>
    <w:rsid w:val="00E054F4"/>
    <w:rsid w:val="00E0552C"/>
    <w:rsid w:val="00E05699"/>
    <w:rsid w:val="00E05A33"/>
    <w:rsid w:val="00E05A87"/>
    <w:rsid w:val="00E05B66"/>
    <w:rsid w:val="00E05BC3"/>
    <w:rsid w:val="00E05D26"/>
    <w:rsid w:val="00E05D71"/>
    <w:rsid w:val="00E05F7A"/>
    <w:rsid w:val="00E05F7D"/>
    <w:rsid w:val="00E06062"/>
    <w:rsid w:val="00E0614B"/>
    <w:rsid w:val="00E06549"/>
    <w:rsid w:val="00E065B8"/>
    <w:rsid w:val="00E065BD"/>
    <w:rsid w:val="00E0660F"/>
    <w:rsid w:val="00E0679E"/>
    <w:rsid w:val="00E069A2"/>
    <w:rsid w:val="00E06A4F"/>
    <w:rsid w:val="00E06BC9"/>
    <w:rsid w:val="00E06C36"/>
    <w:rsid w:val="00E06D97"/>
    <w:rsid w:val="00E06DB0"/>
    <w:rsid w:val="00E06DFF"/>
    <w:rsid w:val="00E06E7D"/>
    <w:rsid w:val="00E06EFB"/>
    <w:rsid w:val="00E06F2E"/>
    <w:rsid w:val="00E06F72"/>
    <w:rsid w:val="00E07042"/>
    <w:rsid w:val="00E070CB"/>
    <w:rsid w:val="00E07246"/>
    <w:rsid w:val="00E07401"/>
    <w:rsid w:val="00E0767F"/>
    <w:rsid w:val="00E07897"/>
    <w:rsid w:val="00E07931"/>
    <w:rsid w:val="00E07C0B"/>
    <w:rsid w:val="00E07E42"/>
    <w:rsid w:val="00E07F74"/>
    <w:rsid w:val="00E07F98"/>
    <w:rsid w:val="00E1000C"/>
    <w:rsid w:val="00E1008D"/>
    <w:rsid w:val="00E10111"/>
    <w:rsid w:val="00E10237"/>
    <w:rsid w:val="00E1027A"/>
    <w:rsid w:val="00E10395"/>
    <w:rsid w:val="00E1040B"/>
    <w:rsid w:val="00E104FA"/>
    <w:rsid w:val="00E10605"/>
    <w:rsid w:val="00E10628"/>
    <w:rsid w:val="00E1065B"/>
    <w:rsid w:val="00E106FE"/>
    <w:rsid w:val="00E10B2E"/>
    <w:rsid w:val="00E10E62"/>
    <w:rsid w:val="00E10FE4"/>
    <w:rsid w:val="00E110DA"/>
    <w:rsid w:val="00E111BC"/>
    <w:rsid w:val="00E11229"/>
    <w:rsid w:val="00E11417"/>
    <w:rsid w:val="00E11598"/>
    <w:rsid w:val="00E116D2"/>
    <w:rsid w:val="00E117B5"/>
    <w:rsid w:val="00E11BCF"/>
    <w:rsid w:val="00E11C9B"/>
    <w:rsid w:val="00E11DE4"/>
    <w:rsid w:val="00E12268"/>
    <w:rsid w:val="00E12408"/>
    <w:rsid w:val="00E12475"/>
    <w:rsid w:val="00E12478"/>
    <w:rsid w:val="00E1250B"/>
    <w:rsid w:val="00E1270E"/>
    <w:rsid w:val="00E12853"/>
    <w:rsid w:val="00E12896"/>
    <w:rsid w:val="00E1293B"/>
    <w:rsid w:val="00E1297E"/>
    <w:rsid w:val="00E129F6"/>
    <w:rsid w:val="00E12B57"/>
    <w:rsid w:val="00E12B5F"/>
    <w:rsid w:val="00E12C30"/>
    <w:rsid w:val="00E12C4A"/>
    <w:rsid w:val="00E12D03"/>
    <w:rsid w:val="00E12D7B"/>
    <w:rsid w:val="00E12DDE"/>
    <w:rsid w:val="00E12FA7"/>
    <w:rsid w:val="00E13342"/>
    <w:rsid w:val="00E13483"/>
    <w:rsid w:val="00E134BC"/>
    <w:rsid w:val="00E1354A"/>
    <w:rsid w:val="00E1355C"/>
    <w:rsid w:val="00E1365D"/>
    <w:rsid w:val="00E1395A"/>
    <w:rsid w:val="00E139E1"/>
    <w:rsid w:val="00E13A01"/>
    <w:rsid w:val="00E13A25"/>
    <w:rsid w:val="00E13A62"/>
    <w:rsid w:val="00E13B7D"/>
    <w:rsid w:val="00E13E47"/>
    <w:rsid w:val="00E13E90"/>
    <w:rsid w:val="00E13EF9"/>
    <w:rsid w:val="00E13F2A"/>
    <w:rsid w:val="00E13F67"/>
    <w:rsid w:val="00E14074"/>
    <w:rsid w:val="00E1431C"/>
    <w:rsid w:val="00E1459A"/>
    <w:rsid w:val="00E145E5"/>
    <w:rsid w:val="00E14863"/>
    <w:rsid w:val="00E149EE"/>
    <w:rsid w:val="00E14E43"/>
    <w:rsid w:val="00E14E7C"/>
    <w:rsid w:val="00E14FF1"/>
    <w:rsid w:val="00E150D3"/>
    <w:rsid w:val="00E150ED"/>
    <w:rsid w:val="00E152EE"/>
    <w:rsid w:val="00E155FB"/>
    <w:rsid w:val="00E1572D"/>
    <w:rsid w:val="00E15B41"/>
    <w:rsid w:val="00E15DEF"/>
    <w:rsid w:val="00E15E17"/>
    <w:rsid w:val="00E15E9E"/>
    <w:rsid w:val="00E16041"/>
    <w:rsid w:val="00E161F4"/>
    <w:rsid w:val="00E16214"/>
    <w:rsid w:val="00E163D2"/>
    <w:rsid w:val="00E16473"/>
    <w:rsid w:val="00E166A0"/>
    <w:rsid w:val="00E1676A"/>
    <w:rsid w:val="00E1685E"/>
    <w:rsid w:val="00E16A27"/>
    <w:rsid w:val="00E16B38"/>
    <w:rsid w:val="00E16B8E"/>
    <w:rsid w:val="00E16C57"/>
    <w:rsid w:val="00E16CC6"/>
    <w:rsid w:val="00E16CD8"/>
    <w:rsid w:val="00E16D61"/>
    <w:rsid w:val="00E16D65"/>
    <w:rsid w:val="00E17218"/>
    <w:rsid w:val="00E17260"/>
    <w:rsid w:val="00E17279"/>
    <w:rsid w:val="00E1741D"/>
    <w:rsid w:val="00E1742F"/>
    <w:rsid w:val="00E174BA"/>
    <w:rsid w:val="00E175DF"/>
    <w:rsid w:val="00E17654"/>
    <w:rsid w:val="00E1777F"/>
    <w:rsid w:val="00E17813"/>
    <w:rsid w:val="00E1785C"/>
    <w:rsid w:val="00E178B1"/>
    <w:rsid w:val="00E17971"/>
    <w:rsid w:val="00E179CE"/>
    <w:rsid w:val="00E17C98"/>
    <w:rsid w:val="00E17D28"/>
    <w:rsid w:val="00E17E15"/>
    <w:rsid w:val="00E17EA7"/>
    <w:rsid w:val="00E17F2F"/>
    <w:rsid w:val="00E2015A"/>
    <w:rsid w:val="00E2024B"/>
    <w:rsid w:val="00E20297"/>
    <w:rsid w:val="00E20318"/>
    <w:rsid w:val="00E204CC"/>
    <w:rsid w:val="00E20574"/>
    <w:rsid w:val="00E205B6"/>
    <w:rsid w:val="00E20814"/>
    <w:rsid w:val="00E209A9"/>
    <w:rsid w:val="00E209E0"/>
    <w:rsid w:val="00E20A84"/>
    <w:rsid w:val="00E20A8F"/>
    <w:rsid w:val="00E20B4E"/>
    <w:rsid w:val="00E20C46"/>
    <w:rsid w:val="00E20D3C"/>
    <w:rsid w:val="00E20F5E"/>
    <w:rsid w:val="00E2108E"/>
    <w:rsid w:val="00E210B5"/>
    <w:rsid w:val="00E210B7"/>
    <w:rsid w:val="00E21112"/>
    <w:rsid w:val="00E211E0"/>
    <w:rsid w:val="00E21264"/>
    <w:rsid w:val="00E21548"/>
    <w:rsid w:val="00E21856"/>
    <w:rsid w:val="00E2185C"/>
    <w:rsid w:val="00E219DE"/>
    <w:rsid w:val="00E21A91"/>
    <w:rsid w:val="00E21AEE"/>
    <w:rsid w:val="00E21BD4"/>
    <w:rsid w:val="00E21E27"/>
    <w:rsid w:val="00E21F81"/>
    <w:rsid w:val="00E21FAF"/>
    <w:rsid w:val="00E22322"/>
    <w:rsid w:val="00E223A4"/>
    <w:rsid w:val="00E22487"/>
    <w:rsid w:val="00E225A7"/>
    <w:rsid w:val="00E2261C"/>
    <w:rsid w:val="00E22954"/>
    <w:rsid w:val="00E22976"/>
    <w:rsid w:val="00E229B9"/>
    <w:rsid w:val="00E22A5A"/>
    <w:rsid w:val="00E22CBA"/>
    <w:rsid w:val="00E22E29"/>
    <w:rsid w:val="00E22EF1"/>
    <w:rsid w:val="00E23157"/>
    <w:rsid w:val="00E23251"/>
    <w:rsid w:val="00E23461"/>
    <w:rsid w:val="00E23582"/>
    <w:rsid w:val="00E235DA"/>
    <w:rsid w:val="00E236E6"/>
    <w:rsid w:val="00E23809"/>
    <w:rsid w:val="00E2389F"/>
    <w:rsid w:val="00E2390D"/>
    <w:rsid w:val="00E23C55"/>
    <w:rsid w:val="00E23F96"/>
    <w:rsid w:val="00E24003"/>
    <w:rsid w:val="00E24018"/>
    <w:rsid w:val="00E24073"/>
    <w:rsid w:val="00E24085"/>
    <w:rsid w:val="00E24155"/>
    <w:rsid w:val="00E24484"/>
    <w:rsid w:val="00E246A0"/>
    <w:rsid w:val="00E2485F"/>
    <w:rsid w:val="00E248B9"/>
    <w:rsid w:val="00E24A96"/>
    <w:rsid w:val="00E24BC0"/>
    <w:rsid w:val="00E24BEE"/>
    <w:rsid w:val="00E24CEC"/>
    <w:rsid w:val="00E24DC5"/>
    <w:rsid w:val="00E25064"/>
    <w:rsid w:val="00E2518D"/>
    <w:rsid w:val="00E251CD"/>
    <w:rsid w:val="00E25246"/>
    <w:rsid w:val="00E25348"/>
    <w:rsid w:val="00E253BB"/>
    <w:rsid w:val="00E25505"/>
    <w:rsid w:val="00E256BB"/>
    <w:rsid w:val="00E25841"/>
    <w:rsid w:val="00E25A97"/>
    <w:rsid w:val="00E25B13"/>
    <w:rsid w:val="00E25B3E"/>
    <w:rsid w:val="00E25B41"/>
    <w:rsid w:val="00E26113"/>
    <w:rsid w:val="00E2635C"/>
    <w:rsid w:val="00E263A0"/>
    <w:rsid w:val="00E264F3"/>
    <w:rsid w:val="00E2654F"/>
    <w:rsid w:val="00E26555"/>
    <w:rsid w:val="00E26600"/>
    <w:rsid w:val="00E266A4"/>
    <w:rsid w:val="00E266C2"/>
    <w:rsid w:val="00E26744"/>
    <w:rsid w:val="00E26794"/>
    <w:rsid w:val="00E267AF"/>
    <w:rsid w:val="00E267FF"/>
    <w:rsid w:val="00E268FF"/>
    <w:rsid w:val="00E26A66"/>
    <w:rsid w:val="00E26C81"/>
    <w:rsid w:val="00E26C9C"/>
    <w:rsid w:val="00E26CBF"/>
    <w:rsid w:val="00E26F21"/>
    <w:rsid w:val="00E26F8B"/>
    <w:rsid w:val="00E27033"/>
    <w:rsid w:val="00E27262"/>
    <w:rsid w:val="00E27320"/>
    <w:rsid w:val="00E27349"/>
    <w:rsid w:val="00E2737A"/>
    <w:rsid w:val="00E273FA"/>
    <w:rsid w:val="00E274DE"/>
    <w:rsid w:val="00E27628"/>
    <w:rsid w:val="00E2778D"/>
    <w:rsid w:val="00E2786F"/>
    <w:rsid w:val="00E2791E"/>
    <w:rsid w:val="00E27A4D"/>
    <w:rsid w:val="00E27A6A"/>
    <w:rsid w:val="00E27B98"/>
    <w:rsid w:val="00E27BE1"/>
    <w:rsid w:val="00E27D72"/>
    <w:rsid w:val="00E27DAE"/>
    <w:rsid w:val="00E3011B"/>
    <w:rsid w:val="00E30166"/>
    <w:rsid w:val="00E30178"/>
    <w:rsid w:val="00E301DA"/>
    <w:rsid w:val="00E302BE"/>
    <w:rsid w:val="00E304AF"/>
    <w:rsid w:val="00E30540"/>
    <w:rsid w:val="00E30546"/>
    <w:rsid w:val="00E30626"/>
    <w:rsid w:val="00E306EE"/>
    <w:rsid w:val="00E30700"/>
    <w:rsid w:val="00E307A6"/>
    <w:rsid w:val="00E308DA"/>
    <w:rsid w:val="00E30A61"/>
    <w:rsid w:val="00E30A81"/>
    <w:rsid w:val="00E30C9B"/>
    <w:rsid w:val="00E30D0D"/>
    <w:rsid w:val="00E30DF7"/>
    <w:rsid w:val="00E31123"/>
    <w:rsid w:val="00E3127E"/>
    <w:rsid w:val="00E313C2"/>
    <w:rsid w:val="00E315F1"/>
    <w:rsid w:val="00E31769"/>
    <w:rsid w:val="00E31B80"/>
    <w:rsid w:val="00E31C03"/>
    <w:rsid w:val="00E31D8B"/>
    <w:rsid w:val="00E322F7"/>
    <w:rsid w:val="00E32341"/>
    <w:rsid w:val="00E323FF"/>
    <w:rsid w:val="00E324E8"/>
    <w:rsid w:val="00E325AB"/>
    <w:rsid w:val="00E3271E"/>
    <w:rsid w:val="00E328F4"/>
    <w:rsid w:val="00E328FE"/>
    <w:rsid w:val="00E32AA8"/>
    <w:rsid w:val="00E32BD8"/>
    <w:rsid w:val="00E32C4E"/>
    <w:rsid w:val="00E32C6A"/>
    <w:rsid w:val="00E32CA9"/>
    <w:rsid w:val="00E32D46"/>
    <w:rsid w:val="00E32EDB"/>
    <w:rsid w:val="00E32F2D"/>
    <w:rsid w:val="00E33085"/>
    <w:rsid w:val="00E3315B"/>
    <w:rsid w:val="00E3327A"/>
    <w:rsid w:val="00E332CB"/>
    <w:rsid w:val="00E33308"/>
    <w:rsid w:val="00E33447"/>
    <w:rsid w:val="00E33622"/>
    <w:rsid w:val="00E3380E"/>
    <w:rsid w:val="00E3387D"/>
    <w:rsid w:val="00E339C5"/>
    <w:rsid w:val="00E33A86"/>
    <w:rsid w:val="00E33B5F"/>
    <w:rsid w:val="00E33CAD"/>
    <w:rsid w:val="00E33D53"/>
    <w:rsid w:val="00E33EB1"/>
    <w:rsid w:val="00E33FB2"/>
    <w:rsid w:val="00E3401C"/>
    <w:rsid w:val="00E3402A"/>
    <w:rsid w:val="00E342C8"/>
    <w:rsid w:val="00E342E2"/>
    <w:rsid w:val="00E3434F"/>
    <w:rsid w:val="00E34366"/>
    <w:rsid w:val="00E34449"/>
    <w:rsid w:val="00E34562"/>
    <w:rsid w:val="00E34569"/>
    <w:rsid w:val="00E34628"/>
    <w:rsid w:val="00E34636"/>
    <w:rsid w:val="00E34690"/>
    <w:rsid w:val="00E348C3"/>
    <w:rsid w:val="00E34A91"/>
    <w:rsid w:val="00E34BBD"/>
    <w:rsid w:val="00E34DEB"/>
    <w:rsid w:val="00E34E8F"/>
    <w:rsid w:val="00E35066"/>
    <w:rsid w:val="00E35303"/>
    <w:rsid w:val="00E35306"/>
    <w:rsid w:val="00E353A7"/>
    <w:rsid w:val="00E356AB"/>
    <w:rsid w:val="00E35847"/>
    <w:rsid w:val="00E35C28"/>
    <w:rsid w:val="00E35CD8"/>
    <w:rsid w:val="00E35DEF"/>
    <w:rsid w:val="00E35F86"/>
    <w:rsid w:val="00E35FA5"/>
    <w:rsid w:val="00E3604C"/>
    <w:rsid w:val="00E3608B"/>
    <w:rsid w:val="00E36143"/>
    <w:rsid w:val="00E36150"/>
    <w:rsid w:val="00E3618D"/>
    <w:rsid w:val="00E3638B"/>
    <w:rsid w:val="00E363EC"/>
    <w:rsid w:val="00E36430"/>
    <w:rsid w:val="00E36574"/>
    <w:rsid w:val="00E36851"/>
    <w:rsid w:val="00E36946"/>
    <w:rsid w:val="00E369EA"/>
    <w:rsid w:val="00E36BBA"/>
    <w:rsid w:val="00E36BBC"/>
    <w:rsid w:val="00E36C7A"/>
    <w:rsid w:val="00E36E49"/>
    <w:rsid w:val="00E36FE5"/>
    <w:rsid w:val="00E370B6"/>
    <w:rsid w:val="00E3710E"/>
    <w:rsid w:val="00E3724E"/>
    <w:rsid w:val="00E37278"/>
    <w:rsid w:val="00E373DB"/>
    <w:rsid w:val="00E37411"/>
    <w:rsid w:val="00E3765A"/>
    <w:rsid w:val="00E37668"/>
    <w:rsid w:val="00E37674"/>
    <w:rsid w:val="00E3777E"/>
    <w:rsid w:val="00E377B2"/>
    <w:rsid w:val="00E3782D"/>
    <w:rsid w:val="00E37A31"/>
    <w:rsid w:val="00E37BA1"/>
    <w:rsid w:val="00E37C56"/>
    <w:rsid w:val="00E37CAA"/>
    <w:rsid w:val="00E37F4E"/>
    <w:rsid w:val="00E3ED87"/>
    <w:rsid w:val="00E40463"/>
    <w:rsid w:val="00E40691"/>
    <w:rsid w:val="00E40B65"/>
    <w:rsid w:val="00E40BFA"/>
    <w:rsid w:val="00E40CD0"/>
    <w:rsid w:val="00E40E2F"/>
    <w:rsid w:val="00E40E9D"/>
    <w:rsid w:val="00E40F8B"/>
    <w:rsid w:val="00E4104A"/>
    <w:rsid w:val="00E410C5"/>
    <w:rsid w:val="00E412EC"/>
    <w:rsid w:val="00E413FE"/>
    <w:rsid w:val="00E4146B"/>
    <w:rsid w:val="00E415EF"/>
    <w:rsid w:val="00E4164E"/>
    <w:rsid w:val="00E417AD"/>
    <w:rsid w:val="00E417B5"/>
    <w:rsid w:val="00E4191C"/>
    <w:rsid w:val="00E4195B"/>
    <w:rsid w:val="00E4196E"/>
    <w:rsid w:val="00E41BF4"/>
    <w:rsid w:val="00E41C7E"/>
    <w:rsid w:val="00E41C90"/>
    <w:rsid w:val="00E41CEF"/>
    <w:rsid w:val="00E41F39"/>
    <w:rsid w:val="00E41F44"/>
    <w:rsid w:val="00E4203E"/>
    <w:rsid w:val="00E42057"/>
    <w:rsid w:val="00E4215C"/>
    <w:rsid w:val="00E421ED"/>
    <w:rsid w:val="00E42205"/>
    <w:rsid w:val="00E4227A"/>
    <w:rsid w:val="00E4230D"/>
    <w:rsid w:val="00E42320"/>
    <w:rsid w:val="00E4238F"/>
    <w:rsid w:val="00E42414"/>
    <w:rsid w:val="00E4259A"/>
    <w:rsid w:val="00E425DD"/>
    <w:rsid w:val="00E42658"/>
    <w:rsid w:val="00E42775"/>
    <w:rsid w:val="00E427A4"/>
    <w:rsid w:val="00E42A3F"/>
    <w:rsid w:val="00E42C41"/>
    <w:rsid w:val="00E42CC8"/>
    <w:rsid w:val="00E42D2E"/>
    <w:rsid w:val="00E42F25"/>
    <w:rsid w:val="00E42FFB"/>
    <w:rsid w:val="00E4305C"/>
    <w:rsid w:val="00E43062"/>
    <w:rsid w:val="00E4316E"/>
    <w:rsid w:val="00E432B0"/>
    <w:rsid w:val="00E43471"/>
    <w:rsid w:val="00E43488"/>
    <w:rsid w:val="00E43557"/>
    <w:rsid w:val="00E4362E"/>
    <w:rsid w:val="00E43794"/>
    <w:rsid w:val="00E438BC"/>
    <w:rsid w:val="00E438E4"/>
    <w:rsid w:val="00E439CE"/>
    <w:rsid w:val="00E43AB6"/>
    <w:rsid w:val="00E43B8D"/>
    <w:rsid w:val="00E43DE2"/>
    <w:rsid w:val="00E43E1B"/>
    <w:rsid w:val="00E43EF2"/>
    <w:rsid w:val="00E43F72"/>
    <w:rsid w:val="00E44488"/>
    <w:rsid w:val="00E4465E"/>
    <w:rsid w:val="00E44839"/>
    <w:rsid w:val="00E4496B"/>
    <w:rsid w:val="00E44A88"/>
    <w:rsid w:val="00E44AF4"/>
    <w:rsid w:val="00E44B0F"/>
    <w:rsid w:val="00E44C08"/>
    <w:rsid w:val="00E44DD3"/>
    <w:rsid w:val="00E44F16"/>
    <w:rsid w:val="00E44F26"/>
    <w:rsid w:val="00E45093"/>
    <w:rsid w:val="00E4515B"/>
    <w:rsid w:val="00E4520A"/>
    <w:rsid w:val="00E4528F"/>
    <w:rsid w:val="00E452DA"/>
    <w:rsid w:val="00E452EE"/>
    <w:rsid w:val="00E45391"/>
    <w:rsid w:val="00E4554D"/>
    <w:rsid w:val="00E456A4"/>
    <w:rsid w:val="00E4576C"/>
    <w:rsid w:val="00E457C4"/>
    <w:rsid w:val="00E45A7B"/>
    <w:rsid w:val="00E45B9A"/>
    <w:rsid w:val="00E45F96"/>
    <w:rsid w:val="00E46110"/>
    <w:rsid w:val="00E461D9"/>
    <w:rsid w:val="00E4621E"/>
    <w:rsid w:val="00E46224"/>
    <w:rsid w:val="00E4648D"/>
    <w:rsid w:val="00E464F0"/>
    <w:rsid w:val="00E4659C"/>
    <w:rsid w:val="00E46621"/>
    <w:rsid w:val="00E467C7"/>
    <w:rsid w:val="00E46995"/>
    <w:rsid w:val="00E469CB"/>
    <w:rsid w:val="00E46A9D"/>
    <w:rsid w:val="00E46B69"/>
    <w:rsid w:val="00E46BB8"/>
    <w:rsid w:val="00E46D3E"/>
    <w:rsid w:val="00E46EBF"/>
    <w:rsid w:val="00E46ED6"/>
    <w:rsid w:val="00E46FF8"/>
    <w:rsid w:val="00E474D4"/>
    <w:rsid w:val="00E47563"/>
    <w:rsid w:val="00E475CF"/>
    <w:rsid w:val="00E4788B"/>
    <w:rsid w:val="00E4797F"/>
    <w:rsid w:val="00E47B11"/>
    <w:rsid w:val="00E47B8F"/>
    <w:rsid w:val="00E47CAA"/>
    <w:rsid w:val="00E47E44"/>
    <w:rsid w:val="00E4C049"/>
    <w:rsid w:val="00E50117"/>
    <w:rsid w:val="00E501C5"/>
    <w:rsid w:val="00E50310"/>
    <w:rsid w:val="00E503F8"/>
    <w:rsid w:val="00E505B4"/>
    <w:rsid w:val="00E5060D"/>
    <w:rsid w:val="00E5071A"/>
    <w:rsid w:val="00E50733"/>
    <w:rsid w:val="00E50819"/>
    <w:rsid w:val="00E508EE"/>
    <w:rsid w:val="00E50B61"/>
    <w:rsid w:val="00E50BEC"/>
    <w:rsid w:val="00E50C21"/>
    <w:rsid w:val="00E50DE0"/>
    <w:rsid w:val="00E50F6F"/>
    <w:rsid w:val="00E510B3"/>
    <w:rsid w:val="00E51297"/>
    <w:rsid w:val="00E51325"/>
    <w:rsid w:val="00E51605"/>
    <w:rsid w:val="00E51616"/>
    <w:rsid w:val="00E5168D"/>
    <w:rsid w:val="00E51711"/>
    <w:rsid w:val="00E518C9"/>
    <w:rsid w:val="00E518D4"/>
    <w:rsid w:val="00E518E3"/>
    <w:rsid w:val="00E5198C"/>
    <w:rsid w:val="00E5198F"/>
    <w:rsid w:val="00E51A23"/>
    <w:rsid w:val="00E51AED"/>
    <w:rsid w:val="00E51AFE"/>
    <w:rsid w:val="00E51C76"/>
    <w:rsid w:val="00E51D9A"/>
    <w:rsid w:val="00E51DB9"/>
    <w:rsid w:val="00E51EC4"/>
    <w:rsid w:val="00E51F2D"/>
    <w:rsid w:val="00E5204D"/>
    <w:rsid w:val="00E52096"/>
    <w:rsid w:val="00E52199"/>
    <w:rsid w:val="00E5219B"/>
    <w:rsid w:val="00E5223B"/>
    <w:rsid w:val="00E523C0"/>
    <w:rsid w:val="00E52686"/>
    <w:rsid w:val="00E5287C"/>
    <w:rsid w:val="00E528D5"/>
    <w:rsid w:val="00E52A83"/>
    <w:rsid w:val="00E52D7D"/>
    <w:rsid w:val="00E52DA4"/>
    <w:rsid w:val="00E52DC1"/>
    <w:rsid w:val="00E52F55"/>
    <w:rsid w:val="00E530DA"/>
    <w:rsid w:val="00E53107"/>
    <w:rsid w:val="00E53220"/>
    <w:rsid w:val="00E532D1"/>
    <w:rsid w:val="00E532D7"/>
    <w:rsid w:val="00E5333C"/>
    <w:rsid w:val="00E53346"/>
    <w:rsid w:val="00E53797"/>
    <w:rsid w:val="00E538F5"/>
    <w:rsid w:val="00E53973"/>
    <w:rsid w:val="00E53976"/>
    <w:rsid w:val="00E53B37"/>
    <w:rsid w:val="00E53C6A"/>
    <w:rsid w:val="00E53D1C"/>
    <w:rsid w:val="00E53FB9"/>
    <w:rsid w:val="00E54330"/>
    <w:rsid w:val="00E54391"/>
    <w:rsid w:val="00E5446A"/>
    <w:rsid w:val="00E544A7"/>
    <w:rsid w:val="00E5455F"/>
    <w:rsid w:val="00E54579"/>
    <w:rsid w:val="00E54647"/>
    <w:rsid w:val="00E54672"/>
    <w:rsid w:val="00E547A0"/>
    <w:rsid w:val="00E547F6"/>
    <w:rsid w:val="00E54857"/>
    <w:rsid w:val="00E54A5D"/>
    <w:rsid w:val="00E54A5F"/>
    <w:rsid w:val="00E54BEF"/>
    <w:rsid w:val="00E54C25"/>
    <w:rsid w:val="00E54D88"/>
    <w:rsid w:val="00E54DCF"/>
    <w:rsid w:val="00E54DD6"/>
    <w:rsid w:val="00E54DE4"/>
    <w:rsid w:val="00E55020"/>
    <w:rsid w:val="00E551FD"/>
    <w:rsid w:val="00E555B0"/>
    <w:rsid w:val="00E55858"/>
    <w:rsid w:val="00E559A7"/>
    <w:rsid w:val="00E559EA"/>
    <w:rsid w:val="00E55BC4"/>
    <w:rsid w:val="00E55BF2"/>
    <w:rsid w:val="00E55C2B"/>
    <w:rsid w:val="00E56019"/>
    <w:rsid w:val="00E560DD"/>
    <w:rsid w:val="00E5618B"/>
    <w:rsid w:val="00E5626A"/>
    <w:rsid w:val="00E5651D"/>
    <w:rsid w:val="00E56523"/>
    <w:rsid w:val="00E56545"/>
    <w:rsid w:val="00E56550"/>
    <w:rsid w:val="00E56566"/>
    <w:rsid w:val="00E566AA"/>
    <w:rsid w:val="00E568A9"/>
    <w:rsid w:val="00E56932"/>
    <w:rsid w:val="00E56993"/>
    <w:rsid w:val="00E569E0"/>
    <w:rsid w:val="00E56AE3"/>
    <w:rsid w:val="00E56AFF"/>
    <w:rsid w:val="00E56BF3"/>
    <w:rsid w:val="00E56DB6"/>
    <w:rsid w:val="00E56DFA"/>
    <w:rsid w:val="00E56EA1"/>
    <w:rsid w:val="00E56F12"/>
    <w:rsid w:val="00E56F4A"/>
    <w:rsid w:val="00E56FE4"/>
    <w:rsid w:val="00E5701F"/>
    <w:rsid w:val="00E571A1"/>
    <w:rsid w:val="00E57296"/>
    <w:rsid w:val="00E57547"/>
    <w:rsid w:val="00E5767E"/>
    <w:rsid w:val="00E5778B"/>
    <w:rsid w:val="00E5779C"/>
    <w:rsid w:val="00E57845"/>
    <w:rsid w:val="00E57BEE"/>
    <w:rsid w:val="00E57D8E"/>
    <w:rsid w:val="00E57EAC"/>
    <w:rsid w:val="00E57F5C"/>
    <w:rsid w:val="00E600F0"/>
    <w:rsid w:val="00E60253"/>
    <w:rsid w:val="00E604CF"/>
    <w:rsid w:val="00E6068A"/>
    <w:rsid w:val="00E6069F"/>
    <w:rsid w:val="00E6082C"/>
    <w:rsid w:val="00E60877"/>
    <w:rsid w:val="00E60A0A"/>
    <w:rsid w:val="00E60BC6"/>
    <w:rsid w:val="00E60C2F"/>
    <w:rsid w:val="00E60CE9"/>
    <w:rsid w:val="00E60DFC"/>
    <w:rsid w:val="00E60EDE"/>
    <w:rsid w:val="00E61181"/>
    <w:rsid w:val="00E611CB"/>
    <w:rsid w:val="00E6135D"/>
    <w:rsid w:val="00E613DE"/>
    <w:rsid w:val="00E61516"/>
    <w:rsid w:val="00E615F9"/>
    <w:rsid w:val="00E618A2"/>
    <w:rsid w:val="00E61AC9"/>
    <w:rsid w:val="00E61BD7"/>
    <w:rsid w:val="00E61C52"/>
    <w:rsid w:val="00E61CBE"/>
    <w:rsid w:val="00E6209B"/>
    <w:rsid w:val="00E6217D"/>
    <w:rsid w:val="00E622BD"/>
    <w:rsid w:val="00E622CA"/>
    <w:rsid w:val="00E623B0"/>
    <w:rsid w:val="00E623E8"/>
    <w:rsid w:val="00E6242E"/>
    <w:rsid w:val="00E6243C"/>
    <w:rsid w:val="00E62483"/>
    <w:rsid w:val="00E624AB"/>
    <w:rsid w:val="00E624C9"/>
    <w:rsid w:val="00E624EF"/>
    <w:rsid w:val="00E6250C"/>
    <w:rsid w:val="00E62625"/>
    <w:rsid w:val="00E627D2"/>
    <w:rsid w:val="00E6281D"/>
    <w:rsid w:val="00E6296E"/>
    <w:rsid w:val="00E62A27"/>
    <w:rsid w:val="00E62D26"/>
    <w:rsid w:val="00E62DDC"/>
    <w:rsid w:val="00E62E54"/>
    <w:rsid w:val="00E62EC2"/>
    <w:rsid w:val="00E62EDA"/>
    <w:rsid w:val="00E62FAD"/>
    <w:rsid w:val="00E630B5"/>
    <w:rsid w:val="00E633B0"/>
    <w:rsid w:val="00E63657"/>
    <w:rsid w:val="00E636DB"/>
    <w:rsid w:val="00E63799"/>
    <w:rsid w:val="00E637D8"/>
    <w:rsid w:val="00E63908"/>
    <w:rsid w:val="00E63A00"/>
    <w:rsid w:val="00E63C3A"/>
    <w:rsid w:val="00E63C4F"/>
    <w:rsid w:val="00E63C71"/>
    <w:rsid w:val="00E63D77"/>
    <w:rsid w:val="00E63DE0"/>
    <w:rsid w:val="00E63FDE"/>
    <w:rsid w:val="00E64007"/>
    <w:rsid w:val="00E641C2"/>
    <w:rsid w:val="00E6425D"/>
    <w:rsid w:val="00E64292"/>
    <w:rsid w:val="00E643EB"/>
    <w:rsid w:val="00E643F1"/>
    <w:rsid w:val="00E643F6"/>
    <w:rsid w:val="00E6444A"/>
    <w:rsid w:val="00E64471"/>
    <w:rsid w:val="00E6469D"/>
    <w:rsid w:val="00E64722"/>
    <w:rsid w:val="00E6477F"/>
    <w:rsid w:val="00E64A01"/>
    <w:rsid w:val="00E64A25"/>
    <w:rsid w:val="00E64ECA"/>
    <w:rsid w:val="00E64EFA"/>
    <w:rsid w:val="00E64F1A"/>
    <w:rsid w:val="00E64FB6"/>
    <w:rsid w:val="00E65155"/>
    <w:rsid w:val="00E6516D"/>
    <w:rsid w:val="00E6518B"/>
    <w:rsid w:val="00E6534E"/>
    <w:rsid w:val="00E6535F"/>
    <w:rsid w:val="00E653F4"/>
    <w:rsid w:val="00E654B1"/>
    <w:rsid w:val="00E65566"/>
    <w:rsid w:val="00E6560A"/>
    <w:rsid w:val="00E6575F"/>
    <w:rsid w:val="00E6599D"/>
    <w:rsid w:val="00E65B72"/>
    <w:rsid w:val="00E65C30"/>
    <w:rsid w:val="00E65CF4"/>
    <w:rsid w:val="00E65F49"/>
    <w:rsid w:val="00E6608E"/>
    <w:rsid w:val="00E660BB"/>
    <w:rsid w:val="00E66130"/>
    <w:rsid w:val="00E667C3"/>
    <w:rsid w:val="00E66954"/>
    <w:rsid w:val="00E66C64"/>
    <w:rsid w:val="00E66C94"/>
    <w:rsid w:val="00E66D6B"/>
    <w:rsid w:val="00E66DC8"/>
    <w:rsid w:val="00E67064"/>
    <w:rsid w:val="00E670E8"/>
    <w:rsid w:val="00E670FE"/>
    <w:rsid w:val="00E6721A"/>
    <w:rsid w:val="00E67272"/>
    <w:rsid w:val="00E673CE"/>
    <w:rsid w:val="00E6753F"/>
    <w:rsid w:val="00E67561"/>
    <w:rsid w:val="00E677E7"/>
    <w:rsid w:val="00E67929"/>
    <w:rsid w:val="00E67BC3"/>
    <w:rsid w:val="00E67C00"/>
    <w:rsid w:val="00E67D36"/>
    <w:rsid w:val="00E67DAE"/>
    <w:rsid w:val="00E67DD8"/>
    <w:rsid w:val="00E70067"/>
    <w:rsid w:val="00E70181"/>
    <w:rsid w:val="00E70208"/>
    <w:rsid w:val="00E7033E"/>
    <w:rsid w:val="00E7078C"/>
    <w:rsid w:val="00E707C2"/>
    <w:rsid w:val="00E708D3"/>
    <w:rsid w:val="00E709A4"/>
    <w:rsid w:val="00E70A7F"/>
    <w:rsid w:val="00E70B7F"/>
    <w:rsid w:val="00E70B90"/>
    <w:rsid w:val="00E70C1E"/>
    <w:rsid w:val="00E70C3B"/>
    <w:rsid w:val="00E70CFC"/>
    <w:rsid w:val="00E70D45"/>
    <w:rsid w:val="00E70D93"/>
    <w:rsid w:val="00E70E76"/>
    <w:rsid w:val="00E7103D"/>
    <w:rsid w:val="00E710DC"/>
    <w:rsid w:val="00E7114D"/>
    <w:rsid w:val="00E711FB"/>
    <w:rsid w:val="00E712B9"/>
    <w:rsid w:val="00E71482"/>
    <w:rsid w:val="00E71651"/>
    <w:rsid w:val="00E716DF"/>
    <w:rsid w:val="00E71751"/>
    <w:rsid w:val="00E71856"/>
    <w:rsid w:val="00E71907"/>
    <w:rsid w:val="00E719D2"/>
    <w:rsid w:val="00E71AB9"/>
    <w:rsid w:val="00E71C09"/>
    <w:rsid w:val="00E71C43"/>
    <w:rsid w:val="00E71C62"/>
    <w:rsid w:val="00E71CFD"/>
    <w:rsid w:val="00E72127"/>
    <w:rsid w:val="00E722BE"/>
    <w:rsid w:val="00E723E0"/>
    <w:rsid w:val="00E724EE"/>
    <w:rsid w:val="00E72690"/>
    <w:rsid w:val="00E72850"/>
    <w:rsid w:val="00E72A1E"/>
    <w:rsid w:val="00E72A50"/>
    <w:rsid w:val="00E72A9F"/>
    <w:rsid w:val="00E72C24"/>
    <w:rsid w:val="00E72D10"/>
    <w:rsid w:val="00E72D69"/>
    <w:rsid w:val="00E72EC6"/>
    <w:rsid w:val="00E730F9"/>
    <w:rsid w:val="00E73298"/>
    <w:rsid w:val="00E7334A"/>
    <w:rsid w:val="00E73384"/>
    <w:rsid w:val="00E737F2"/>
    <w:rsid w:val="00E73A04"/>
    <w:rsid w:val="00E73A8B"/>
    <w:rsid w:val="00E73B0B"/>
    <w:rsid w:val="00E73C90"/>
    <w:rsid w:val="00E73CE9"/>
    <w:rsid w:val="00E73DB7"/>
    <w:rsid w:val="00E73F21"/>
    <w:rsid w:val="00E73F8F"/>
    <w:rsid w:val="00E74262"/>
    <w:rsid w:val="00E74574"/>
    <w:rsid w:val="00E7463E"/>
    <w:rsid w:val="00E7484B"/>
    <w:rsid w:val="00E748B1"/>
    <w:rsid w:val="00E748D9"/>
    <w:rsid w:val="00E749ED"/>
    <w:rsid w:val="00E74A64"/>
    <w:rsid w:val="00E74B1F"/>
    <w:rsid w:val="00E74CED"/>
    <w:rsid w:val="00E74D34"/>
    <w:rsid w:val="00E74F20"/>
    <w:rsid w:val="00E7507D"/>
    <w:rsid w:val="00E750EA"/>
    <w:rsid w:val="00E750F9"/>
    <w:rsid w:val="00E75176"/>
    <w:rsid w:val="00E75183"/>
    <w:rsid w:val="00E757ED"/>
    <w:rsid w:val="00E7598F"/>
    <w:rsid w:val="00E75D1D"/>
    <w:rsid w:val="00E75D58"/>
    <w:rsid w:val="00E75D61"/>
    <w:rsid w:val="00E75E96"/>
    <w:rsid w:val="00E75F61"/>
    <w:rsid w:val="00E75F77"/>
    <w:rsid w:val="00E75F9A"/>
    <w:rsid w:val="00E75FEA"/>
    <w:rsid w:val="00E762B5"/>
    <w:rsid w:val="00E7643E"/>
    <w:rsid w:val="00E7651D"/>
    <w:rsid w:val="00E76532"/>
    <w:rsid w:val="00E76B73"/>
    <w:rsid w:val="00E76BC1"/>
    <w:rsid w:val="00E76C95"/>
    <w:rsid w:val="00E76C98"/>
    <w:rsid w:val="00E76DAD"/>
    <w:rsid w:val="00E76E17"/>
    <w:rsid w:val="00E76ECD"/>
    <w:rsid w:val="00E77210"/>
    <w:rsid w:val="00E77239"/>
    <w:rsid w:val="00E772A4"/>
    <w:rsid w:val="00E772FA"/>
    <w:rsid w:val="00E77361"/>
    <w:rsid w:val="00E77438"/>
    <w:rsid w:val="00E77567"/>
    <w:rsid w:val="00E7764E"/>
    <w:rsid w:val="00E7767E"/>
    <w:rsid w:val="00E7771F"/>
    <w:rsid w:val="00E777C7"/>
    <w:rsid w:val="00E77AAB"/>
    <w:rsid w:val="00E77B1E"/>
    <w:rsid w:val="00E77BA5"/>
    <w:rsid w:val="00E77CB4"/>
    <w:rsid w:val="00E77D08"/>
    <w:rsid w:val="00E77D18"/>
    <w:rsid w:val="00E77F3C"/>
    <w:rsid w:val="00E77F97"/>
    <w:rsid w:val="00E77FC3"/>
    <w:rsid w:val="00E80082"/>
    <w:rsid w:val="00E80277"/>
    <w:rsid w:val="00E804EB"/>
    <w:rsid w:val="00E80747"/>
    <w:rsid w:val="00E8078F"/>
    <w:rsid w:val="00E8089A"/>
    <w:rsid w:val="00E809AE"/>
    <w:rsid w:val="00E80D38"/>
    <w:rsid w:val="00E80D82"/>
    <w:rsid w:val="00E80DD5"/>
    <w:rsid w:val="00E80EEC"/>
    <w:rsid w:val="00E80F0D"/>
    <w:rsid w:val="00E80F60"/>
    <w:rsid w:val="00E81055"/>
    <w:rsid w:val="00E81219"/>
    <w:rsid w:val="00E81581"/>
    <w:rsid w:val="00E815DF"/>
    <w:rsid w:val="00E81A11"/>
    <w:rsid w:val="00E81A7C"/>
    <w:rsid w:val="00E81AD5"/>
    <w:rsid w:val="00E81B67"/>
    <w:rsid w:val="00E81D08"/>
    <w:rsid w:val="00E81F2E"/>
    <w:rsid w:val="00E8215B"/>
    <w:rsid w:val="00E82238"/>
    <w:rsid w:val="00E822FE"/>
    <w:rsid w:val="00E82418"/>
    <w:rsid w:val="00E825E1"/>
    <w:rsid w:val="00E826AE"/>
    <w:rsid w:val="00E826B8"/>
    <w:rsid w:val="00E826ED"/>
    <w:rsid w:val="00E8272B"/>
    <w:rsid w:val="00E827DE"/>
    <w:rsid w:val="00E82807"/>
    <w:rsid w:val="00E82817"/>
    <w:rsid w:val="00E82AD9"/>
    <w:rsid w:val="00E82B14"/>
    <w:rsid w:val="00E82B71"/>
    <w:rsid w:val="00E82C31"/>
    <w:rsid w:val="00E82E55"/>
    <w:rsid w:val="00E82F21"/>
    <w:rsid w:val="00E82F3E"/>
    <w:rsid w:val="00E82FC9"/>
    <w:rsid w:val="00E831C6"/>
    <w:rsid w:val="00E831D4"/>
    <w:rsid w:val="00E832BA"/>
    <w:rsid w:val="00E8341B"/>
    <w:rsid w:val="00E834B4"/>
    <w:rsid w:val="00E835D2"/>
    <w:rsid w:val="00E837D3"/>
    <w:rsid w:val="00E83849"/>
    <w:rsid w:val="00E83869"/>
    <w:rsid w:val="00E8395A"/>
    <w:rsid w:val="00E839C4"/>
    <w:rsid w:val="00E839D4"/>
    <w:rsid w:val="00E83BD8"/>
    <w:rsid w:val="00E83BE0"/>
    <w:rsid w:val="00E83CF0"/>
    <w:rsid w:val="00E83DB9"/>
    <w:rsid w:val="00E83EE4"/>
    <w:rsid w:val="00E8414D"/>
    <w:rsid w:val="00E8419D"/>
    <w:rsid w:val="00E842BB"/>
    <w:rsid w:val="00E8433E"/>
    <w:rsid w:val="00E844B4"/>
    <w:rsid w:val="00E8461A"/>
    <w:rsid w:val="00E84826"/>
    <w:rsid w:val="00E84A38"/>
    <w:rsid w:val="00E84AA2"/>
    <w:rsid w:val="00E84AB1"/>
    <w:rsid w:val="00E84AC9"/>
    <w:rsid w:val="00E84BDE"/>
    <w:rsid w:val="00E84C1F"/>
    <w:rsid w:val="00E84C43"/>
    <w:rsid w:val="00E84CDD"/>
    <w:rsid w:val="00E84E41"/>
    <w:rsid w:val="00E84E47"/>
    <w:rsid w:val="00E84E48"/>
    <w:rsid w:val="00E84F0F"/>
    <w:rsid w:val="00E84F72"/>
    <w:rsid w:val="00E85226"/>
    <w:rsid w:val="00E855E2"/>
    <w:rsid w:val="00E85693"/>
    <w:rsid w:val="00E85727"/>
    <w:rsid w:val="00E857D5"/>
    <w:rsid w:val="00E8592A"/>
    <w:rsid w:val="00E85933"/>
    <w:rsid w:val="00E85AB1"/>
    <w:rsid w:val="00E85C69"/>
    <w:rsid w:val="00E85D75"/>
    <w:rsid w:val="00E85EAC"/>
    <w:rsid w:val="00E85ED4"/>
    <w:rsid w:val="00E86033"/>
    <w:rsid w:val="00E863A2"/>
    <w:rsid w:val="00E86491"/>
    <w:rsid w:val="00E865E0"/>
    <w:rsid w:val="00E866A6"/>
    <w:rsid w:val="00E866E9"/>
    <w:rsid w:val="00E868EF"/>
    <w:rsid w:val="00E869D9"/>
    <w:rsid w:val="00E869E3"/>
    <w:rsid w:val="00E86CBE"/>
    <w:rsid w:val="00E86CCD"/>
    <w:rsid w:val="00E86DCB"/>
    <w:rsid w:val="00E86E52"/>
    <w:rsid w:val="00E86F1D"/>
    <w:rsid w:val="00E872B0"/>
    <w:rsid w:val="00E872EB"/>
    <w:rsid w:val="00E8730B"/>
    <w:rsid w:val="00E873A0"/>
    <w:rsid w:val="00E87432"/>
    <w:rsid w:val="00E87484"/>
    <w:rsid w:val="00E874E6"/>
    <w:rsid w:val="00E87629"/>
    <w:rsid w:val="00E87684"/>
    <w:rsid w:val="00E8784D"/>
    <w:rsid w:val="00E878DE"/>
    <w:rsid w:val="00E879C6"/>
    <w:rsid w:val="00E87D08"/>
    <w:rsid w:val="00E87D2D"/>
    <w:rsid w:val="00E87D48"/>
    <w:rsid w:val="00E87EDC"/>
    <w:rsid w:val="00E901E9"/>
    <w:rsid w:val="00E90208"/>
    <w:rsid w:val="00E902B9"/>
    <w:rsid w:val="00E902F2"/>
    <w:rsid w:val="00E903B8"/>
    <w:rsid w:val="00E90492"/>
    <w:rsid w:val="00E90564"/>
    <w:rsid w:val="00E9071A"/>
    <w:rsid w:val="00E907F8"/>
    <w:rsid w:val="00E90800"/>
    <w:rsid w:val="00E90893"/>
    <w:rsid w:val="00E90960"/>
    <w:rsid w:val="00E909BF"/>
    <w:rsid w:val="00E90B0B"/>
    <w:rsid w:val="00E90B74"/>
    <w:rsid w:val="00E90C41"/>
    <w:rsid w:val="00E90C88"/>
    <w:rsid w:val="00E90D59"/>
    <w:rsid w:val="00E91020"/>
    <w:rsid w:val="00E91104"/>
    <w:rsid w:val="00E9120D"/>
    <w:rsid w:val="00E9140D"/>
    <w:rsid w:val="00E91468"/>
    <w:rsid w:val="00E914E3"/>
    <w:rsid w:val="00E914F3"/>
    <w:rsid w:val="00E915FC"/>
    <w:rsid w:val="00E917F4"/>
    <w:rsid w:val="00E919BD"/>
    <w:rsid w:val="00E91D90"/>
    <w:rsid w:val="00E91DD3"/>
    <w:rsid w:val="00E91FB2"/>
    <w:rsid w:val="00E92182"/>
    <w:rsid w:val="00E921C9"/>
    <w:rsid w:val="00E923BB"/>
    <w:rsid w:val="00E92479"/>
    <w:rsid w:val="00E926E2"/>
    <w:rsid w:val="00E926E3"/>
    <w:rsid w:val="00E928D3"/>
    <w:rsid w:val="00E928E9"/>
    <w:rsid w:val="00E929B0"/>
    <w:rsid w:val="00E929BA"/>
    <w:rsid w:val="00E92A9B"/>
    <w:rsid w:val="00E92AC1"/>
    <w:rsid w:val="00E92BA0"/>
    <w:rsid w:val="00E92BBD"/>
    <w:rsid w:val="00E92C22"/>
    <w:rsid w:val="00E92CBA"/>
    <w:rsid w:val="00E92DA4"/>
    <w:rsid w:val="00E92E81"/>
    <w:rsid w:val="00E92E9A"/>
    <w:rsid w:val="00E92F82"/>
    <w:rsid w:val="00E93036"/>
    <w:rsid w:val="00E93040"/>
    <w:rsid w:val="00E931AA"/>
    <w:rsid w:val="00E934BB"/>
    <w:rsid w:val="00E9359A"/>
    <w:rsid w:val="00E9360F"/>
    <w:rsid w:val="00E93614"/>
    <w:rsid w:val="00E9365E"/>
    <w:rsid w:val="00E93732"/>
    <w:rsid w:val="00E93758"/>
    <w:rsid w:val="00E937C1"/>
    <w:rsid w:val="00E937C4"/>
    <w:rsid w:val="00E93980"/>
    <w:rsid w:val="00E939CC"/>
    <w:rsid w:val="00E93B60"/>
    <w:rsid w:val="00E93BCF"/>
    <w:rsid w:val="00E93D8E"/>
    <w:rsid w:val="00E93E22"/>
    <w:rsid w:val="00E9403D"/>
    <w:rsid w:val="00E94172"/>
    <w:rsid w:val="00E942EE"/>
    <w:rsid w:val="00E94332"/>
    <w:rsid w:val="00E943B8"/>
    <w:rsid w:val="00E94477"/>
    <w:rsid w:val="00E9478C"/>
    <w:rsid w:val="00E94B63"/>
    <w:rsid w:val="00E94BD5"/>
    <w:rsid w:val="00E94C20"/>
    <w:rsid w:val="00E950CB"/>
    <w:rsid w:val="00E9512B"/>
    <w:rsid w:val="00E951F9"/>
    <w:rsid w:val="00E952CD"/>
    <w:rsid w:val="00E952E3"/>
    <w:rsid w:val="00E95328"/>
    <w:rsid w:val="00E95462"/>
    <w:rsid w:val="00E955D6"/>
    <w:rsid w:val="00E95712"/>
    <w:rsid w:val="00E957EC"/>
    <w:rsid w:val="00E95943"/>
    <w:rsid w:val="00E95A2E"/>
    <w:rsid w:val="00E95ABA"/>
    <w:rsid w:val="00E95B8D"/>
    <w:rsid w:val="00E95CF5"/>
    <w:rsid w:val="00E95D67"/>
    <w:rsid w:val="00E95EBB"/>
    <w:rsid w:val="00E95ECB"/>
    <w:rsid w:val="00E95F67"/>
    <w:rsid w:val="00E95FA2"/>
    <w:rsid w:val="00E96014"/>
    <w:rsid w:val="00E96035"/>
    <w:rsid w:val="00E962F0"/>
    <w:rsid w:val="00E962F6"/>
    <w:rsid w:val="00E963B7"/>
    <w:rsid w:val="00E96490"/>
    <w:rsid w:val="00E9653A"/>
    <w:rsid w:val="00E965A8"/>
    <w:rsid w:val="00E96736"/>
    <w:rsid w:val="00E9681E"/>
    <w:rsid w:val="00E96868"/>
    <w:rsid w:val="00E96933"/>
    <w:rsid w:val="00E96A51"/>
    <w:rsid w:val="00E96A62"/>
    <w:rsid w:val="00E96ACF"/>
    <w:rsid w:val="00E96BCA"/>
    <w:rsid w:val="00E96C4A"/>
    <w:rsid w:val="00E96D01"/>
    <w:rsid w:val="00E970AB"/>
    <w:rsid w:val="00E971EF"/>
    <w:rsid w:val="00E9735D"/>
    <w:rsid w:val="00E973B1"/>
    <w:rsid w:val="00E97414"/>
    <w:rsid w:val="00E97647"/>
    <w:rsid w:val="00E97774"/>
    <w:rsid w:val="00E97818"/>
    <w:rsid w:val="00E9783D"/>
    <w:rsid w:val="00E978A6"/>
    <w:rsid w:val="00E97A10"/>
    <w:rsid w:val="00E97C48"/>
    <w:rsid w:val="00E97D64"/>
    <w:rsid w:val="00E97D7A"/>
    <w:rsid w:val="00E97DA2"/>
    <w:rsid w:val="00E97E45"/>
    <w:rsid w:val="00E97FBD"/>
    <w:rsid w:val="00EA0098"/>
    <w:rsid w:val="00EA028D"/>
    <w:rsid w:val="00EA0338"/>
    <w:rsid w:val="00EA056D"/>
    <w:rsid w:val="00EA0572"/>
    <w:rsid w:val="00EA0623"/>
    <w:rsid w:val="00EA0669"/>
    <w:rsid w:val="00EA0730"/>
    <w:rsid w:val="00EA0969"/>
    <w:rsid w:val="00EA09E0"/>
    <w:rsid w:val="00EA0A4B"/>
    <w:rsid w:val="00EA0BC9"/>
    <w:rsid w:val="00EA0CB4"/>
    <w:rsid w:val="00EA0D75"/>
    <w:rsid w:val="00EA0E93"/>
    <w:rsid w:val="00EA0EFD"/>
    <w:rsid w:val="00EA10CE"/>
    <w:rsid w:val="00EA11C6"/>
    <w:rsid w:val="00EA1231"/>
    <w:rsid w:val="00EA1269"/>
    <w:rsid w:val="00EA1531"/>
    <w:rsid w:val="00EA1543"/>
    <w:rsid w:val="00EA15A1"/>
    <w:rsid w:val="00EA172E"/>
    <w:rsid w:val="00EA1730"/>
    <w:rsid w:val="00EA1859"/>
    <w:rsid w:val="00EA1899"/>
    <w:rsid w:val="00EA1981"/>
    <w:rsid w:val="00EA198E"/>
    <w:rsid w:val="00EA1A55"/>
    <w:rsid w:val="00EA1B44"/>
    <w:rsid w:val="00EA1C37"/>
    <w:rsid w:val="00EA1D64"/>
    <w:rsid w:val="00EA1EFA"/>
    <w:rsid w:val="00EA203A"/>
    <w:rsid w:val="00EA2099"/>
    <w:rsid w:val="00EA2126"/>
    <w:rsid w:val="00EA225B"/>
    <w:rsid w:val="00EA2292"/>
    <w:rsid w:val="00EA24CE"/>
    <w:rsid w:val="00EA26A1"/>
    <w:rsid w:val="00EA26DE"/>
    <w:rsid w:val="00EA2826"/>
    <w:rsid w:val="00EA28C1"/>
    <w:rsid w:val="00EA292C"/>
    <w:rsid w:val="00EA2B42"/>
    <w:rsid w:val="00EA2E22"/>
    <w:rsid w:val="00EA2E67"/>
    <w:rsid w:val="00EA2EF5"/>
    <w:rsid w:val="00EA31F1"/>
    <w:rsid w:val="00EA322A"/>
    <w:rsid w:val="00EA3311"/>
    <w:rsid w:val="00EA342B"/>
    <w:rsid w:val="00EA34DE"/>
    <w:rsid w:val="00EA34FC"/>
    <w:rsid w:val="00EA35C1"/>
    <w:rsid w:val="00EA36B5"/>
    <w:rsid w:val="00EA371F"/>
    <w:rsid w:val="00EA3836"/>
    <w:rsid w:val="00EA39E2"/>
    <w:rsid w:val="00EA3B0F"/>
    <w:rsid w:val="00EA3EC1"/>
    <w:rsid w:val="00EA3F42"/>
    <w:rsid w:val="00EA3F4F"/>
    <w:rsid w:val="00EA40FF"/>
    <w:rsid w:val="00EA41EA"/>
    <w:rsid w:val="00EA4231"/>
    <w:rsid w:val="00EA42AD"/>
    <w:rsid w:val="00EA4383"/>
    <w:rsid w:val="00EA43BC"/>
    <w:rsid w:val="00EA4495"/>
    <w:rsid w:val="00EA44BF"/>
    <w:rsid w:val="00EA44CA"/>
    <w:rsid w:val="00EA4673"/>
    <w:rsid w:val="00EA498A"/>
    <w:rsid w:val="00EA4995"/>
    <w:rsid w:val="00EA4B90"/>
    <w:rsid w:val="00EA4D49"/>
    <w:rsid w:val="00EA4DF9"/>
    <w:rsid w:val="00EA4F8B"/>
    <w:rsid w:val="00EA4FE4"/>
    <w:rsid w:val="00EA5142"/>
    <w:rsid w:val="00EA5199"/>
    <w:rsid w:val="00EA5494"/>
    <w:rsid w:val="00EA54D8"/>
    <w:rsid w:val="00EA557F"/>
    <w:rsid w:val="00EA5684"/>
    <w:rsid w:val="00EA5839"/>
    <w:rsid w:val="00EA5907"/>
    <w:rsid w:val="00EA5D75"/>
    <w:rsid w:val="00EA5E5B"/>
    <w:rsid w:val="00EA5E94"/>
    <w:rsid w:val="00EA6361"/>
    <w:rsid w:val="00EA63F8"/>
    <w:rsid w:val="00EA6502"/>
    <w:rsid w:val="00EA699B"/>
    <w:rsid w:val="00EA69D4"/>
    <w:rsid w:val="00EA6A0A"/>
    <w:rsid w:val="00EA6AE6"/>
    <w:rsid w:val="00EA6B8F"/>
    <w:rsid w:val="00EA6C73"/>
    <w:rsid w:val="00EA6CB4"/>
    <w:rsid w:val="00EA6D18"/>
    <w:rsid w:val="00EA702A"/>
    <w:rsid w:val="00EA7150"/>
    <w:rsid w:val="00EA7160"/>
    <w:rsid w:val="00EA723E"/>
    <w:rsid w:val="00EA724E"/>
    <w:rsid w:val="00EA734E"/>
    <w:rsid w:val="00EA75BC"/>
    <w:rsid w:val="00EA762E"/>
    <w:rsid w:val="00EA7698"/>
    <w:rsid w:val="00EA7848"/>
    <w:rsid w:val="00EA78CD"/>
    <w:rsid w:val="00EA7AF5"/>
    <w:rsid w:val="00EA7E1A"/>
    <w:rsid w:val="00EA7F05"/>
    <w:rsid w:val="00EA7FA3"/>
    <w:rsid w:val="00EB01FB"/>
    <w:rsid w:val="00EB0586"/>
    <w:rsid w:val="00EB068B"/>
    <w:rsid w:val="00EB06B4"/>
    <w:rsid w:val="00EB06E6"/>
    <w:rsid w:val="00EB072D"/>
    <w:rsid w:val="00EB0B79"/>
    <w:rsid w:val="00EB0DE6"/>
    <w:rsid w:val="00EB0EAC"/>
    <w:rsid w:val="00EB0F47"/>
    <w:rsid w:val="00EB1164"/>
    <w:rsid w:val="00EB11A7"/>
    <w:rsid w:val="00EB13C9"/>
    <w:rsid w:val="00EB14A4"/>
    <w:rsid w:val="00EB170D"/>
    <w:rsid w:val="00EB188E"/>
    <w:rsid w:val="00EB18B8"/>
    <w:rsid w:val="00EB1924"/>
    <w:rsid w:val="00EB1DF3"/>
    <w:rsid w:val="00EB1E81"/>
    <w:rsid w:val="00EB1EC3"/>
    <w:rsid w:val="00EB209E"/>
    <w:rsid w:val="00EB22D3"/>
    <w:rsid w:val="00EB22FB"/>
    <w:rsid w:val="00EB276D"/>
    <w:rsid w:val="00EB2845"/>
    <w:rsid w:val="00EB28CE"/>
    <w:rsid w:val="00EB2AB0"/>
    <w:rsid w:val="00EB2B90"/>
    <w:rsid w:val="00EB2BB4"/>
    <w:rsid w:val="00EB2EC2"/>
    <w:rsid w:val="00EB2F45"/>
    <w:rsid w:val="00EB3041"/>
    <w:rsid w:val="00EB317D"/>
    <w:rsid w:val="00EB32AC"/>
    <w:rsid w:val="00EB32DB"/>
    <w:rsid w:val="00EB32F9"/>
    <w:rsid w:val="00EB368D"/>
    <w:rsid w:val="00EB379C"/>
    <w:rsid w:val="00EB37EC"/>
    <w:rsid w:val="00EB3904"/>
    <w:rsid w:val="00EB3994"/>
    <w:rsid w:val="00EB3F12"/>
    <w:rsid w:val="00EB3F4B"/>
    <w:rsid w:val="00EB414C"/>
    <w:rsid w:val="00EB428C"/>
    <w:rsid w:val="00EB43E1"/>
    <w:rsid w:val="00EB447E"/>
    <w:rsid w:val="00EB48F3"/>
    <w:rsid w:val="00EB49B4"/>
    <w:rsid w:val="00EB4B08"/>
    <w:rsid w:val="00EB4BAD"/>
    <w:rsid w:val="00EB4BB3"/>
    <w:rsid w:val="00EB4C48"/>
    <w:rsid w:val="00EB4CBB"/>
    <w:rsid w:val="00EB4D16"/>
    <w:rsid w:val="00EB501D"/>
    <w:rsid w:val="00EB50F6"/>
    <w:rsid w:val="00EB50F7"/>
    <w:rsid w:val="00EB51FA"/>
    <w:rsid w:val="00EB54CE"/>
    <w:rsid w:val="00EB5521"/>
    <w:rsid w:val="00EB58E5"/>
    <w:rsid w:val="00EB5986"/>
    <w:rsid w:val="00EB5A26"/>
    <w:rsid w:val="00EB5C18"/>
    <w:rsid w:val="00EB5C3B"/>
    <w:rsid w:val="00EB5C93"/>
    <w:rsid w:val="00EB5CA9"/>
    <w:rsid w:val="00EB5CD1"/>
    <w:rsid w:val="00EB5D24"/>
    <w:rsid w:val="00EB5D76"/>
    <w:rsid w:val="00EB5D8A"/>
    <w:rsid w:val="00EB5D9F"/>
    <w:rsid w:val="00EB5DA6"/>
    <w:rsid w:val="00EB5E5C"/>
    <w:rsid w:val="00EB5F48"/>
    <w:rsid w:val="00EB5F72"/>
    <w:rsid w:val="00EB602E"/>
    <w:rsid w:val="00EB6049"/>
    <w:rsid w:val="00EB61B2"/>
    <w:rsid w:val="00EB627B"/>
    <w:rsid w:val="00EB6316"/>
    <w:rsid w:val="00EB670E"/>
    <w:rsid w:val="00EB6734"/>
    <w:rsid w:val="00EB69A2"/>
    <w:rsid w:val="00EB6A85"/>
    <w:rsid w:val="00EB6BFA"/>
    <w:rsid w:val="00EB6C39"/>
    <w:rsid w:val="00EB6CA2"/>
    <w:rsid w:val="00EB6D3D"/>
    <w:rsid w:val="00EB6EE1"/>
    <w:rsid w:val="00EB6F07"/>
    <w:rsid w:val="00EB6F0B"/>
    <w:rsid w:val="00EB6F70"/>
    <w:rsid w:val="00EB7006"/>
    <w:rsid w:val="00EB733F"/>
    <w:rsid w:val="00EB751C"/>
    <w:rsid w:val="00EB75FE"/>
    <w:rsid w:val="00EB7637"/>
    <w:rsid w:val="00EB77A6"/>
    <w:rsid w:val="00EB789F"/>
    <w:rsid w:val="00EB78FA"/>
    <w:rsid w:val="00EB79B3"/>
    <w:rsid w:val="00EB7C52"/>
    <w:rsid w:val="00EB7C83"/>
    <w:rsid w:val="00EB7EB8"/>
    <w:rsid w:val="00EB7EC1"/>
    <w:rsid w:val="00EB867A"/>
    <w:rsid w:val="00EC0165"/>
    <w:rsid w:val="00EC0227"/>
    <w:rsid w:val="00EC046A"/>
    <w:rsid w:val="00EC066C"/>
    <w:rsid w:val="00EC06EC"/>
    <w:rsid w:val="00EC075B"/>
    <w:rsid w:val="00EC08CD"/>
    <w:rsid w:val="00EC0974"/>
    <w:rsid w:val="00EC0996"/>
    <w:rsid w:val="00EC0B27"/>
    <w:rsid w:val="00EC0B7A"/>
    <w:rsid w:val="00EC0C57"/>
    <w:rsid w:val="00EC0CB7"/>
    <w:rsid w:val="00EC11E1"/>
    <w:rsid w:val="00EC1225"/>
    <w:rsid w:val="00EC1284"/>
    <w:rsid w:val="00EC1285"/>
    <w:rsid w:val="00EC1611"/>
    <w:rsid w:val="00EC1800"/>
    <w:rsid w:val="00EC1A25"/>
    <w:rsid w:val="00EC1A45"/>
    <w:rsid w:val="00EC1A86"/>
    <w:rsid w:val="00EC1C63"/>
    <w:rsid w:val="00EC1CD2"/>
    <w:rsid w:val="00EC2160"/>
    <w:rsid w:val="00EC219B"/>
    <w:rsid w:val="00EC21CC"/>
    <w:rsid w:val="00EC227B"/>
    <w:rsid w:val="00EC22E9"/>
    <w:rsid w:val="00EC2443"/>
    <w:rsid w:val="00EC2484"/>
    <w:rsid w:val="00EC24FE"/>
    <w:rsid w:val="00EC2578"/>
    <w:rsid w:val="00EC25CA"/>
    <w:rsid w:val="00EC264D"/>
    <w:rsid w:val="00EC29B2"/>
    <w:rsid w:val="00EC29D0"/>
    <w:rsid w:val="00EC2A12"/>
    <w:rsid w:val="00EC2AA3"/>
    <w:rsid w:val="00EC2AFD"/>
    <w:rsid w:val="00EC2C28"/>
    <w:rsid w:val="00EC2C71"/>
    <w:rsid w:val="00EC2DA8"/>
    <w:rsid w:val="00EC2DC5"/>
    <w:rsid w:val="00EC2EAB"/>
    <w:rsid w:val="00EC2FDF"/>
    <w:rsid w:val="00EC33E1"/>
    <w:rsid w:val="00EC3A18"/>
    <w:rsid w:val="00EC3BA9"/>
    <w:rsid w:val="00EC3BCC"/>
    <w:rsid w:val="00EC3D3B"/>
    <w:rsid w:val="00EC3E60"/>
    <w:rsid w:val="00EC3E88"/>
    <w:rsid w:val="00EC3FC0"/>
    <w:rsid w:val="00EC4182"/>
    <w:rsid w:val="00EC41B0"/>
    <w:rsid w:val="00EC425B"/>
    <w:rsid w:val="00EC4267"/>
    <w:rsid w:val="00EC429B"/>
    <w:rsid w:val="00EC4321"/>
    <w:rsid w:val="00EC43C4"/>
    <w:rsid w:val="00EC4541"/>
    <w:rsid w:val="00EC4786"/>
    <w:rsid w:val="00EC4927"/>
    <w:rsid w:val="00EC49BE"/>
    <w:rsid w:val="00EC4A35"/>
    <w:rsid w:val="00EC4EE3"/>
    <w:rsid w:val="00EC4EE6"/>
    <w:rsid w:val="00EC4F0B"/>
    <w:rsid w:val="00EC4F49"/>
    <w:rsid w:val="00EC4FAB"/>
    <w:rsid w:val="00EC5035"/>
    <w:rsid w:val="00EC53EB"/>
    <w:rsid w:val="00EC554E"/>
    <w:rsid w:val="00EC5738"/>
    <w:rsid w:val="00EC5853"/>
    <w:rsid w:val="00EC594A"/>
    <w:rsid w:val="00EC5A16"/>
    <w:rsid w:val="00EC5B51"/>
    <w:rsid w:val="00EC5CDE"/>
    <w:rsid w:val="00EC5EEB"/>
    <w:rsid w:val="00EC5F47"/>
    <w:rsid w:val="00EC6041"/>
    <w:rsid w:val="00EC610C"/>
    <w:rsid w:val="00EC63BA"/>
    <w:rsid w:val="00EC6586"/>
    <w:rsid w:val="00EC6598"/>
    <w:rsid w:val="00EC673C"/>
    <w:rsid w:val="00EC67AB"/>
    <w:rsid w:val="00EC6844"/>
    <w:rsid w:val="00EC69C9"/>
    <w:rsid w:val="00EC6B4F"/>
    <w:rsid w:val="00EC6BF2"/>
    <w:rsid w:val="00EC6CC9"/>
    <w:rsid w:val="00EC6D8D"/>
    <w:rsid w:val="00EC6E67"/>
    <w:rsid w:val="00EC6F36"/>
    <w:rsid w:val="00EC6F5A"/>
    <w:rsid w:val="00EC704E"/>
    <w:rsid w:val="00EC7178"/>
    <w:rsid w:val="00EC7256"/>
    <w:rsid w:val="00EC7311"/>
    <w:rsid w:val="00EC743F"/>
    <w:rsid w:val="00EC7468"/>
    <w:rsid w:val="00EC7685"/>
    <w:rsid w:val="00EC7710"/>
    <w:rsid w:val="00EC7752"/>
    <w:rsid w:val="00EC7760"/>
    <w:rsid w:val="00EC7780"/>
    <w:rsid w:val="00EC787D"/>
    <w:rsid w:val="00EC7B75"/>
    <w:rsid w:val="00EC7D4D"/>
    <w:rsid w:val="00EC7DB8"/>
    <w:rsid w:val="00EC7E6B"/>
    <w:rsid w:val="00ED014A"/>
    <w:rsid w:val="00ED0353"/>
    <w:rsid w:val="00ED0523"/>
    <w:rsid w:val="00ED092B"/>
    <w:rsid w:val="00ED0BA7"/>
    <w:rsid w:val="00ED0E05"/>
    <w:rsid w:val="00ED0E29"/>
    <w:rsid w:val="00ED1038"/>
    <w:rsid w:val="00ED103D"/>
    <w:rsid w:val="00ED10A9"/>
    <w:rsid w:val="00ED10DB"/>
    <w:rsid w:val="00ED10EC"/>
    <w:rsid w:val="00ED11E3"/>
    <w:rsid w:val="00ED14B2"/>
    <w:rsid w:val="00ED17CC"/>
    <w:rsid w:val="00ED1834"/>
    <w:rsid w:val="00ED1925"/>
    <w:rsid w:val="00ED19B1"/>
    <w:rsid w:val="00ED1A5B"/>
    <w:rsid w:val="00ED1AF3"/>
    <w:rsid w:val="00ED2002"/>
    <w:rsid w:val="00ED2451"/>
    <w:rsid w:val="00ED2583"/>
    <w:rsid w:val="00ED2608"/>
    <w:rsid w:val="00ED2787"/>
    <w:rsid w:val="00ED2995"/>
    <w:rsid w:val="00ED2A30"/>
    <w:rsid w:val="00ED2A92"/>
    <w:rsid w:val="00ED2AE4"/>
    <w:rsid w:val="00ED2B98"/>
    <w:rsid w:val="00ED2D66"/>
    <w:rsid w:val="00ED2E05"/>
    <w:rsid w:val="00ED2E28"/>
    <w:rsid w:val="00ED2EDD"/>
    <w:rsid w:val="00ED30C2"/>
    <w:rsid w:val="00ED30F8"/>
    <w:rsid w:val="00ED3582"/>
    <w:rsid w:val="00ED358C"/>
    <w:rsid w:val="00ED359C"/>
    <w:rsid w:val="00ED37A9"/>
    <w:rsid w:val="00ED37E1"/>
    <w:rsid w:val="00ED3820"/>
    <w:rsid w:val="00ED3894"/>
    <w:rsid w:val="00ED3B9C"/>
    <w:rsid w:val="00ED3C55"/>
    <w:rsid w:val="00ED3E7E"/>
    <w:rsid w:val="00ED3F0C"/>
    <w:rsid w:val="00ED4142"/>
    <w:rsid w:val="00ED42A2"/>
    <w:rsid w:val="00ED431C"/>
    <w:rsid w:val="00ED4418"/>
    <w:rsid w:val="00ED447B"/>
    <w:rsid w:val="00ED44D8"/>
    <w:rsid w:val="00ED4626"/>
    <w:rsid w:val="00ED46DC"/>
    <w:rsid w:val="00ED474B"/>
    <w:rsid w:val="00ED4765"/>
    <w:rsid w:val="00ED4962"/>
    <w:rsid w:val="00ED4A6C"/>
    <w:rsid w:val="00ED4A9F"/>
    <w:rsid w:val="00ED4B05"/>
    <w:rsid w:val="00ED4B1E"/>
    <w:rsid w:val="00ED4D5C"/>
    <w:rsid w:val="00ED4DD6"/>
    <w:rsid w:val="00ED4DF2"/>
    <w:rsid w:val="00ED4E5E"/>
    <w:rsid w:val="00ED4E86"/>
    <w:rsid w:val="00ED4E9C"/>
    <w:rsid w:val="00ED4F9A"/>
    <w:rsid w:val="00ED50D0"/>
    <w:rsid w:val="00ED518B"/>
    <w:rsid w:val="00ED51DD"/>
    <w:rsid w:val="00ED51E2"/>
    <w:rsid w:val="00ED52A9"/>
    <w:rsid w:val="00ED5776"/>
    <w:rsid w:val="00ED5879"/>
    <w:rsid w:val="00ED58A2"/>
    <w:rsid w:val="00ED58A3"/>
    <w:rsid w:val="00ED58FD"/>
    <w:rsid w:val="00ED5904"/>
    <w:rsid w:val="00ED5B59"/>
    <w:rsid w:val="00ED5F22"/>
    <w:rsid w:val="00ED5FC2"/>
    <w:rsid w:val="00ED6051"/>
    <w:rsid w:val="00ED6056"/>
    <w:rsid w:val="00ED6116"/>
    <w:rsid w:val="00ED6159"/>
    <w:rsid w:val="00ED61A6"/>
    <w:rsid w:val="00ED61BC"/>
    <w:rsid w:val="00ED628A"/>
    <w:rsid w:val="00ED62DC"/>
    <w:rsid w:val="00ED639A"/>
    <w:rsid w:val="00ED639C"/>
    <w:rsid w:val="00ED6437"/>
    <w:rsid w:val="00ED647B"/>
    <w:rsid w:val="00ED6492"/>
    <w:rsid w:val="00ED650F"/>
    <w:rsid w:val="00ED6555"/>
    <w:rsid w:val="00ED6B62"/>
    <w:rsid w:val="00ED6B8B"/>
    <w:rsid w:val="00ED6D92"/>
    <w:rsid w:val="00ED6E3A"/>
    <w:rsid w:val="00ED6EFD"/>
    <w:rsid w:val="00ED6F8A"/>
    <w:rsid w:val="00ED70C8"/>
    <w:rsid w:val="00ED7156"/>
    <w:rsid w:val="00ED720A"/>
    <w:rsid w:val="00ED7228"/>
    <w:rsid w:val="00ED7260"/>
    <w:rsid w:val="00ED7517"/>
    <w:rsid w:val="00ED77B7"/>
    <w:rsid w:val="00ED7825"/>
    <w:rsid w:val="00ED7AC4"/>
    <w:rsid w:val="00ED7B1E"/>
    <w:rsid w:val="00ED7D5E"/>
    <w:rsid w:val="00ED7E3A"/>
    <w:rsid w:val="00ED7E5B"/>
    <w:rsid w:val="00ED7E64"/>
    <w:rsid w:val="00EE0276"/>
    <w:rsid w:val="00EE04AE"/>
    <w:rsid w:val="00EE055A"/>
    <w:rsid w:val="00EE06AF"/>
    <w:rsid w:val="00EE0757"/>
    <w:rsid w:val="00EE07E2"/>
    <w:rsid w:val="00EE08E3"/>
    <w:rsid w:val="00EE08F0"/>
    <w:rsid w:val="00EE09EE"/>
    <w:rsid w:val="00EE0A24"/>
    <w:rsid w:val="00EE0A55"/>
    <w:rsid w:val="00EE0A99"/>
    <w:rsid w:val="00EE0C71"/>
    <w:rsid w:val="00EE0DCE"/>
    <w:rsid w:val="00EE0DEF"/>
    <w:rsid w:val="00EE0F20"/>
    <w:rsid w:val="00EE10B3"/>
    <w:rsid w:val="00EE1168"/>
    <w:rsid w:val="00EE129E"/>
    <w:rsid w:val="00EE1448"/>
    <w:rsid w:val="00EE16D4"/>
    <w:rsid w:val="00EE170F"/>
    <w:rsid w:val="00EE175E"/>
    <w:rsid w:val="00EE1849"/>
    <w:rsid w:val="00EE1A92"/>
    <w:rsid w:val="00EE1ACD"/>
    <w:rsid w:val="00EE1C63"/>
    <w:rsid w:val="00EE1CD8"/>
    <w:rsid w:val="00EE1D08"/>
    <w:rsid w:val="00EE1DE7"/>
    <w:rsid w:val="00EE1E35"/>
    <w:rsid w:val="00EE1EB5"/>
    <w:rsid w:val="00EE1F04"/>
    <w:rsid w:val="00EE1F47"/>
    <w:rsid w:val="00EE1FDF"/>
    <w:rsid w:val="00EE21E8"/>
    <w:rsid w:val="00EE2466"/>
    <w:rsid w:val="00EE25CB"/>
    <w:rsid w:val="00EE2672"/>
    <w:rsid w:val="00EE26C2"/>
    <w:rsid w:val="00EE27E0"/>
    <w:rsid w:val="00EE2810"/>
    <w:rsid w:val="00EE28A9"/>
    <w:rsid w:val="00EE28C4"/>
    <w:rsid w:val="00EE28DF"/>
    <w:rsid w:val="00EE2B11"/>
    <w:rsid w:val="00EE2BF4"/>
    <w:rsid w:val="00EE2C81"/>
    <w:rsid w:val="00EE2C87"/>
    <w:rsid w:val="00EE2C9E"/>
    <w:rsid w:val="00EE2DF4"/>
    <w:rsid w:val="00EE305A"/>
    <w:rsid w:val="00EE336B"/>
    <w:rsid w:val="00EE34C6"/>
    <w:rsid w:val="00EE3680"/>
    <w:rsid w:val="00EE36B1"/>
    <w:rsid w:val="00EE3723"/>
    <w:rsid w:val="00EE372A"/>
    <w:rsid w:val="00EE389E"/>
    <w:rsid w:val="00EE38EE"/>
    <w:rsid w:val="00EE3A1E"/>
    <w:rsid w:val="00EE3BAC"/>
    <w:rsid w:val="00EE3BB0"/>
    <w:rsid w:val="00EE3D4D"/>
    <w:rsid w:val="00EE3DEF"/>
    <w:rsid w:val="00EE3F5B"/>
    <w:rsid w:val="00EE3FC3"/>
    <w:rsid w:val="00EE44E7"/>
    <w:rsid w:val="00EE467E"/>
    <w:rsid w:val="00EE479C"/>
    <w:rsid w:val="00EE4842"/>
    <w:rsid w:val="00EE4882"/>
    <w:rsid w:val="00EE48E4"/>
    <w:rsid w:val="00EE4D14"/>
    <w:rsid w:val="00EE5178"/>
    <w:rsid w:val="00EE529C"/>
    <w:rsid w:val="00EE534F"/>
    <w:rsid w:val="00EE53A4"/>
    <w:rsid w:val="00EE563C"/>
    <w:rsid w:val="00EE5678"/>
    <w:rsid w:val="00EE5806"/>
    <w:rsid w:val="00EE583D"/>
    <w:rsid w:val="00EE584B"/>
    <w:rsid w:val="00EE594B"/>
    <w:rsid w:val="00EE5B2A"/>
    <w:rsid w:val="00EE5B81"/>
    <w:rsid w:val="00EE5C65"/>
    <w:rsid w:val="00EE5DE7"/>
    <w:rsid w:val="00EE5E0C"/>
    <w:rsid w:val="00EE5EA9"/>
    <w:rsid w:val="00EE5ED3"/>
    <w:rsid w:val="00EE5F88"/>
    <w:rsid w:val="00EE601E"/>
    <w:rsid w:val="00EE60A0"/>
    <w:rsid w:val="00EE6120"/>
    <w:rsid w:val="00EE61A2"/>
    <w:rsid w:val="00EE6345"/>
    <w:rsid w:val="00EE6366"/>
    <w:rsid w:val="00EE6395"/>
    <w:rsid w:val="00EE6640"/>
    <w:rsid w:val="00EE67C6"/>
    <w:rsid w:val="00EE698B"/>
    <w:rsid w:val="00EE6A14"/>
    <w:rsid w:val="00EE6A3C"/>
    <w:rsid w:val="00EE6CEE"/>
    <w:rsid w:val="00EE6D72"/>
    <w:rsid w:val="00EE6DE3"/>
    <w:rsid w:val="00EE6DE6"/>
    <w:rsid w:val="00EE6E0D"/>
    <w:rsid w:val="00EE6E21"/>
    <w:rsid w:val="00EE6EEF"/>
    <w:rsid w:val="00EE6F2D"/>
    <w:rsid w:val="00EE7089"/>
    <w:rsid w:val="00EE70D7"/>
    <w:rsid w:val="00EE7129"/>
    <w:rsid w:val="00EE7231"/>
    <w:rsid w:val="00EE7332"/>
    <w:rsid w:val="00EE740F"/>
    <w:rsid w:val="00EE75A3"/>
    <w:rsid w:val="00EE76BE"/>
    <w:rsid w:val="00EE76C3"/>
    <w:rsid w:val="00EE790D"/>
    <w:rsid w:val="00EE7AB4"/>
    <w:rsid w:val="00EE7AB8"/>
    <w:rsid w:val="00EE7B35"/>
    <w:rsid w:val="00EE7B8C"/>
    <w:rsid w:val="00EE7BA6"/>
    <w:rsid w:val="00EE7C4A"/>
    <w:rsid w:val="00EE7D2B"/>
    <w:rsid w:val="00EF0593"/>
    <w:rsid w:val="00EF0620"/>
    <w:rsid w:val="00EF07CB"/>
    <w:rsid w:val="00EF0925"/>
    <w:rsid w:val="00EF09EB"/>
    <w:rsid w:val="00EF0ACE"/>
    <w:rsid w:val="00EF0B31"/>
    <w:rsid w:val="00EF0BE3"/>
    <w:rsid w:val="00EF0BEB"/>
    <w:rsid w:val="00EF0C5C"/>
    <w:rsid w:val="00EF0DEB"/>
    <w:rsid w:val="00EF0E57"/>
    <w:rsid w:val="00EF0ED1"/>
    <w:rsid w:val="00EF0ED6"/>
    <w:rsid w:val="00EF1207"/>
    <w:rsid w:val="00EF126A"/>
    <w:rsid w:val="00EF1308"/>
    <w:rsid w:val="00EF1333"/>
    <w:rsid w:val="00EF1338"/>
    <w:rsid w:val="00EF1346"/>
    <w:rsid w:val="00EF143C"/>
    <w:rsid w:val="00EF16A4"/>
    <w:rsid w:val="00EF181E"/>
    <w:rsid w:val="00EF19B6"/>
    <w:rsid w:val="00EF1D14"/>
    <w:rsid w:val="00EF1E2E"/>
    <w:rsid w:val="00EF1F03"/>
    <w:rsid w:val="00EF1F50"/>
    <w:rsid w:val="00EF1F6F"/>
    <w:rsid w:val="00EF2306"/>
    <w:rsid w:val="00EF2434"/>
    <w:rsid w:val="00EF25B9"/>
    <w:rsid w:val="00EF2749"/>
    <w:rsid w:val="00EF29E8"/>
    <w:rsid w:val="00EF2A7E"/>
    <w:rsid w:val="00EF2B1A"/>
    <w:rsid w:val="00EF2CDF"/>
    <w:rsid w:val="00EF2D71"/>
    <w:rsid w:val="00EF2DAF"/>
    <w:rsid w:val="00EF2DCB"/>
    <w:rsid w:val="00EF2DD2"/>
    <w:rsid w:val="00EF2E20"/>
    <w:rsid w:val="00EF2EBF"/>
    <w:rsid w:val="00EF31C0"/>
    <w:rsid w:val="00EF31D8"/>
    <w:rsid w:val="00EF31DF"/>
    <w:rsid w:val="00EF33DE"/>
    <w:rsid w:val="00EF3508"/>
    <w:rsid w:val="00EF35D0"/>
    <w:rsid w:val="00EF36BF"/>
    <w:rsid w:val="00EF36C1"/>
    <w:rsid w:val="00EF36ED"/>
    <w:rsid w:val="00EF370D"/>
    <w:rsid w:val="00EF38DD"/>
    <w:rsid w:val="00EF3A88"/>
    <w:rsid w:val="00EF3C93"/>
    <w:rsid w:val="00EF3E06"/>
    <w:rsid w:val="00EF3E40"/>
    <w:rsid w:val="00EF4086"/>
    <w:rsid w:val="00EF414B"/>
    <w:rsid w:val="00EF42AE"/>
    <w:rsid w:val="00EF437A"/>
    <w:rsid w:val="00EF4761"/>
    <w:rsid w:val="00EF48D4"/>
    <w:rsid w:val="00EF49C7"/>
    <w:rsid w:val="00EF4B42"/>
    <w:rsid w:val="00EF4B47"/>
    <w:rsid w:val="00EF4B52"/>
    <w:rsid w:val="00EF4F9F"/>
    <w:rsid w:val="00EF50F4"/>
    <w:rsid w:val="00EF5322"/>
    <w:rsid w:val="00EF5344"/>
    <w:rsid w:val="00EF53CF"/>
    <w:rsid w:val="00EF53FA"/>
    <w:rsid w:val="00EF5654"/>
    <w:rsid w:val="00EF5740"/>
    <w:rsid w:val="00EF57BB"/>
    <w:rsid w:val="00EF5A1A"/>
    <w:rsid w:val="00EF5B3C"/>
    <w:rsid w:val="00EF5C6C"/>
    <w:rsid w:val="00EF5CD8"/>
    <w:rsid w:val="00EF5D0F"/>
    <w:rsid w:val="00EF5E75"/>
    <w:rsid w:val="00EF5E9F"/>
    <w:rsid w:val="00EF617A"/>
    <w:rsid w:val="00EF6233"/>
    <w:rsid w:val="00EF63BD"/>
    <w:rsid w:val="00EF65B6"/>
    <w:rsid w:val="00EF67E6"/>
    <w:rsid w:val="00EF6824"/>
    <w:rsid w:val="00EF682A"/>
    <w:rsid w:val="00EF68EB"/>
    <w:rsid w:val="00EF69A8"/>
    <w:rsid w:val="00EF6A3F"/>
    <w:rsid w:val="00EF6B93"/>
    <w:rsid w:val="00EF6C0F"/>
    <w:rsid w:val="00EF6C2B"/>
    <w:rsid w:val="00EF6CA4"/>
    <w:rsid w:val="00EF6CAB"/>
    <w:rsid w:val="00EF6D4D"/>
    <w:rsid w:val="00EF6DDF"/>
    <w:rsid w:val="00EF6DF0"/>
    <w:rsid w:val="00EF6E74"/>
    <w:rsid w:val="00EF6F2F"/>
    <w:rsid w:val="00EF7044"/>
    <w:rsid w:val="00EF7096"/>
    <w:rsid w:val="00EF714D"/>
    <w:rsid w:val="00EF72D9"/>
    <w:rsid w:val="00EF72E7"/>
    <w:rsid w:val="00EF73AE"/>
    <w:rsid w:val="00EF7428"/>
    <w:rsid w:val="00EF74C8"/>
    <w:rsid w:val="00EF7592"/>
    <w:rsid w:val="00EF7595"/>
    <w:rsid w:val="00EF7926"/>
    <w:rsid w:val="00EF79AB"/>
    <w:rsid w:val="00EF7A65"/>
    <w:rsid w:val="00EF7B36"/>
    <w:rsid w:val="00EF7B59"/>
    <w:rsid w:val="00F0031A"/>
    <w:rsid w:val="00F003A4"/>
    <w:rsid w:val="00F003AC"/>
    <w:rsid w:val="00F0056C"/>
    <w:rsid w:val="00F0063C"/>
    <w:rsid w:val="00F0074B"/>
    <w:rsid w:val="00F00C10"/>
    <w:rsid w:val="00F00CA4"/>
    <w:rsid w:val="00F00EEE"/>
    <w:rsid w:val="00F011AB"/>
    <w:rsid w:val="00F0141F"/>
    <w:rsid w:val="00F01566"/>
    <w:rsid w:val="00F01590"/>
    <w:rsid w:val="00F01649"/>
    <w:rsid w:val="00F0164F"/>
    <w:rsid w:val="00F016B1"/>
    <w:rsid w:val="00F01866"/>
    <w:rsid w:val="00F018B6"/>
    <w:rsid w:val="00F01A5C"/>
    <w:rsid w:val="00F01D6D"/>
    <w:rsid w:val="00F01DD8"/>
    <w:rsid w:val="00F01F18"/>
    <w:rsid w:val="00F01F2B"/>
    <w:rsid w:val="00F0207F"/>
    <w:rsid w:val="00F02207"/>
    <w:rsid w:val="00F0232D"/>
    <w:rsid w:val="00F02376"/>
    <w:rsid w:val="00F023BE"/>
    <w:rsid w:val="00F0244E"/>
    <w:rsid w:val="00F026CE"/>
    <w:rsid w:val="00F027B1"/>
    <w:rsid w:val="00F027B2"/>
    <w:rsid w:val="00F029CE"/>
    <w:rsid w:val="00F02C50"/>
    <w:rsid w:val="00F02CD3"/>
    <w:rsid w:val="00F02CFD"/>
    <w:rsid w:val="00F033A6"/>
    <w:rsid w:val="00F033F6"/>
    <w:rsid w:val="00F034B1"/>
    <w:rsid w:val="00F035AA"/>
    <w:rsid w:val="00F03BEE"/>
    <w:rsid w:val="00F03CC7"/>
    <w:rsid w:val="00F03F3B"/>
    <w:rsid w:val="00F0415B"/>
    <w:rsid w:val="00F04203"/>
    <w:rsid w:val="00F04293"/>
    <w:rsid w:val="00F043FA"/>
    <w:rsid w:val="00F044E2"/>
    <w:rsid w:val="00F04529"/>
    <w:rsid w:val="00F04541"/>
    <w:rsid w:val="00F045A6"/>
    <w:rsid w:val="00F045B9"/>
    <w:rsid w:val="00F045C5"/>
    <w:rsid w:val="00F046D0"/>
    <w:rsid w:val="00F047DA"/>
    <w:rsid w:val="00F0482D"/>
    <w:rsid w:val="00F0498F"/>
    <w:rsid w:val="00F04A1C"/>
    <w:rsid w:val="00F04A48"/>
    <w:rsid w:val="00F04ACF"/>
    <w:rsid w:val="00F04C36"/>
    <w:rsid w:val="00F04D54"/>
    <w:rsid w:val="00F04EEA"/>
    <w:rsid w:val="00F050C6"/>
    <w:rsid w:val="00F05118"/>
    <w:rsid w:val="00F05172"/>
    <w:rsid w:val="00F0532C"/>
    <w:rsid w:val="00F05330"/>
    <w:rsid w:val="00F054DA"/>
    <w:rsid w:val="00F055A5"/>
    <w:rsid w:val="00F057B2"/>
    <w:rsid w:val="00F05991"/>
    <w:rsid w:val="00F059EF"/>
    <w:rsid w:val="00F05B23"/>
    <w:rsid w:val="00F05C51"/>
    <w:rsid w:val="00F05DFE"/>
    <w:rsid w:val="00F05EA7"/>
    <w:rsid w:val="00F05FCE"/>
    <w:rsid w:val="00F0608A"/>
    <w:rsid w:val="00F0608B"/>
    <w:rsid w:val="00F060D6"/>
    <w:rsid w:val="00F06438"/>
    <w:rsid w:val="00F06509"/>
    <w:rsid w:val="00F06547"/>
    <w:rsid w:val="00F065C8"/>
    <w:rsid w:val="00F06648"/>
    <w:rsid w:val="00F0665D"/>
    <w:rsid w:val="00F0668E"/>
    <w:rsid w:val="00F066A7"/>
    <w:rsid w:val="00F0673E"/>
    <w:rsid w:val="00F0695B"/>
    <w:rsid w:val="00F06BF1"/>
    <w:rsid w:val="00F06DCD"/>
    <w:rsid w:val="00F06E0C"/>
    <w:rsid w:val="00F07000"/>
    <w:rsid w:val="00F0711B"/>
    <w:rsid w:val="00F071C8"/>
    <w:rsid w:val="00F07422"/>
    <w:rsid w:val="00F0753E"/>
    <w:rsid w:val="00F0757C"/>
    <w:rsid w:val="00F0759A"/>
    <w:rsid w:val="00F0762A"/>
    <w:rsid w:val="00F07650"/>
    <w:rsid w:val="00F077AF"/>
    <w:rsid w:val="00F07A33"/>
    <w:rsid w:val="00F07BFC"/>
    <w:rsid w:val="00F07C9F"/>
    <w:rsid w:val="00F07D64"/>
    <w:rsid w:val="00F07FCE"/>
    <w:rsid w:val="00F07FD1"/>
    <w:rsid w:val="00F07FE3"/>
    <w:rsid w:val="00F10068"/>
    <w:rsid w:val="00F100A6"/>
    <w:rsid w:val="00F1022A"/>
    <w:rsid w:val="00F10239"/>
    <w:rsid w:val="00F105C1"/>
    <w:rsid w:val="00F105C7"/>
    <w:rsid w:val="00F10765"/>
    <w:rsid w:val="00F10808"/>
    <w:rsid w:val="00F1080D"/>
    <w:rsid w:val="00F1082A"/>
    <w:rsid w:val="00F10866"/>
    <w:rsid w:val="00F109DA"/>
    <w:rsid w:val="00F10A9E"/>
    <w:rsid w:val="00F10C81"/>
    <w:rsid w:val="00F10CE5"/>
    <w:rsid w:val="00F10D06"/>
    <w:rsid w:val="00F10D65"/>
    <w:rsid w:val="00F10FCE"/>
    <w:rsid w:val="00F11157"/>
    <w:rsid w:val="00F1127A"/>
    <w:rsid w:val="00F112B8"/>
    <w:rsid w:val="00F112EA"/>
    <w:rsid w:val="00F113C7"/>
    <w:rsid w:val="00F113F8"/>
    <w:rsid w:val="00F1143D"/>
    <w:rsid w:val="00F1151E"/>
    <w:rsid w:val="00F11560"/>
    <w:rsid w:val="00F11677"/>
    <w:rsid w:val="00F11808"/>
    <w:rsid w:val="00F11871"/>
    <w:rsid w:val="00F11A3B"/>
    <w:rsid w:val="00F11AA1"/>
    <w:rsid w:val="00F11C11"/>
    <w:rsid w:val="00F11C4E"/>
    <w:rsid w:val="00F11CFE"/>
    <w:rsid w:val="00F11E29"/>
    <w:rsid w:val="00F11FB9"/>
    <w:rsid w:val="00F12058"/>
    <w:rsid w:val="00F120DD"/>
    <w:rsid w:val="00F12224"/>
    <w:rsid w:val="00F1240D"/>
    <w:rsid w:val="00F126A3"/>
    <w:rsid w:val="00F126B2"/>
    <w:rsid w:val="00F126EB"/>
    <w:rsid w:val="00F12707"/>
    <w:rsid w:val="00F12708"/>
    <w:rsid w:val="00F127D2"/>
    <w:rsid w:val="00F1281F"/>
    <w:rsid w:val="00F1285B"/>
    <w:rsid w:val="00F128C9"/>
    <w:rsid w:val="00F12A3E"/>
    <w:rsid w:val="00F12C49"/>
    <w:rsid w:val="00F12CAA"/>
    <w:rsid w:val="00F12CB7"/>
    <w:rsid w:val="00F12DB9"/>
    <w:rsid w:val="00F12EFB"/>
    <w:rsid w:val="00F12F19"/>
    <w:rsid w:val="00F12F39"/>
    <w:rsid w:val="00F12FB8"/>
    <w:rsid w:val="00F13122"/>
    <w:rsid w:val="00F1319E"/>
    <w:rsid w:val="00F1329D"/>
    <w:rsid w:val="00F133E7"/>
    <w:rsid w:val="00F134EC"/>
    <w:rsid w:val="00F1350C"/>
    <w:rsid w:val="00F1366A"/>
    <w:rsid w:val="00F1373F"/>
    <w:rsid w:val="00F13787"/>
    <w:rsid w:val="00F1386F"/>
    <w:rsid w:val="00F13C09"/>
    <w:rsid w:val="00F13CD9"/>
    <w:rsid w:val="00F13D5F"/>
    <w:rsid w:val="00F13D8E"/>
    <w:rsid w:val="00F13D8F"/>
    <w:rsid w:val="00F13E1B"/>
    <w:rsid w:val="00F13EBB"/>
    <w:rsid w:val="00F13EEF"/>
    <w:rsid w:val="00F140B9"/>
    <w:rsid w:val="00F14134"/>
    <w:rsid w:val="00F1414B"/>
    <w:rsid w:val="00F14331"/>
    <w:rsid w:val="00F145A7"/>
    <w:rsid w:val="00F14602"/>
    <w:rsid w:val="00F14681"/>
    <w:rsid w:val="00F14893"/>
    <w:rsid w:val="00F14982"/>
    <w:rsid w:val="00F149ED"/>
    <w:rsid w:val="00F14B1D"/>
    <w:rsid w:val="00F14C6B"/>
    <w:rsid w:val="00F14D4D"/>
    <w:rsid w:val="00F14DA8"/>
    <w:rsid w:val="00F14FBD"/>
    <w:rsid w:val="00F150A0"/>
    <w:rsid w:val="00F1518C"/>
    <w:rsid w:val="00F1520C"/>
    <w:rsid w:val="00F15278"/>
    <w:rsid w:val="00F15511"/>
    <w:rsid w:val="00F155B9"/>
    <w:rsid w:val="00F15AEC"/>
    <w:rsid w:val="00F15C7E"/>
    <w:rsid w:val="00F15CA6"/>
    <w:rsid w:val="00F15DCE"/>
    <w:rsid w:val="00F15DED"/>
    <w:rsid w:val="00F15E6B"/>
    <w:rsid w:val="00F15EAA"/>
    <w:rsid w:val="00F15F5C"/>
    <w:rsid w:val="00F15FF7"/>
    <w:rsid w:val="00F1632E"/>
    <w:rsid w:val="00F1639D"/>
    <w:rsid w:val="00F163B3"/>
    <w:rsid w:val="00F163EC"/>
    <w:rsid w:val="00F16451"/>
    <w:rsid w:val="00F1655E"/>
    <w:rsid w:val="00F166F0"/>
    <w:rsid w:val="00F16729"/>
    <w:rsid w:val="00F16803"/>
    <w:rsid w:val="00F1685D"/>
    <w:rsid w:val="00F168C7"/>
    <w:rsid w:val="00F16BBC"/>
    <w:rsid w:val="00F16C1B"/>
    <w:rsid w:val="00F16C4C"/>
    <w:rsid w:val="00F16E20"/>
    <w:rsid w:val="00F17054"/>
    <w:rsid w:val="00F17172"/>
    <w:rsid w:val="00F1722D"/>
    <w:rsid w:val="00F17447"/>
    <w:rsid w:val="00F1746F"/>
    <w:rsid w:val="00F1784D"/>
    <w:rsid w:val="00F1798D"/>
    <w:rsid w:val="00F17EA6"/>
    <w:rsid w:val="00F17F7D"/>
    <w:rsid w:val="00F2000B"/>
    <w:rsid w:val="00F2006E"/>
    <w:rsid w:val="00F20099"/>
    <w:rsid w:val="00F200BE"/>
    <w:rsid w:val="00F201FE"/>
    <w:rsid w:val="00F202BB"/>
    <w:rsid w:val="00F202E0"/>
    <w:rsid w:val="00F2045A"/>
    <w:rsid w:val="00F204B6"/>
    <w:rsid w:val="00F20620"/>
    <w:rsid w:val="00F20853"/>
    <w:rsid w:val="00F20936"/>
    <w:rsid w:val="00F20C35"/>
    <w:rsid w:val="00F20DED"/>
    <w:rsid w:val="00F20E03"/>
    <w:rsid w:val="00F20E84"/>
    <w:rsid w:val="00F20FBD"/>
    <w:rsid w:val="00F20FC0"/>
    <w:rsid w:val="00F211E6"/>
    <w:rsid w:val="00F21295"/>
    <w:rsid w:val="00F212BD"/>
    <w:rsid w:val="00F213F1"/>
    <w:rsid w:val="00F214E8"/>
    <w:rsid w:val="00F2153B"/>
    <w:rsid w:val="00F2166D"/>
    <w:rsid w:val="00F216BD"/>
    <w:rsid w:val="00F21776"/>
    <w:rsid w:val="00F217A2"/>
    <w:rsid w:val="00F21801"/>
    <w:rsid w:val="00F21821"/>
    <w:rsid w:val="00F21883"/>
    <w:rsid w:val="00F21935"/>
    <w:rsid w:val="00F21A68"/>
    <w:rsid w:val="00F21A99"/>
    <w:rsid w:val="00F21AFA"/>
    <w:rsid w:val="00F21BFE"/>
    <w:rsid w:val="00F21C09"/>
    <w:rsid w:val="00F21D9A"/>
    <w:rsid w:val="00F222BD"/>
    <w:rsid w:val="00F222DB"/>
    <w:rsid w:val="00F22328"/>
    <w:rsid w:val="00F22381"/>
    <w:rsid w:val="00F224D7"/>
    <w:rsid w:val="00F22663"/>
    <w:rsid w:val="00F226B5"/>
    <w:rsid w:val="00F22811"/>
    <w:rsid w:val="00F22A2F"/>
    <w:rsid w:val="00F22B97"/>
    <w:rsid w:val="00F22C8E"/>
    <w:rsid w:val="00F22ECF"/>
    <w:rsid w:val="00F22EDD"/>
    <w:rsid w:val="00F23079"/>
    <w:rsid w:val="00F231A2"/>
    <w:rsid w:val="00F23266"/>
    <w:rsid w:val="00F23272"/>
    <w:rsid w:val="00F2328B"/>
    <w:rsid w:val="00F23337"/>
    <w:rsid w:val="00F23374"/>
    <w:rsid w:val="00F233CB"/>
    <w:rsid w:val="00F23536"/>
    <w:rsid w:val="00F23826"/>
    <w:rsid w:val="00F2398C"/>
    <w:rsid w:val="00F23A7B"/>
    <w:rsid w:val="00F23A9D"/>
    <w:rsid w:val="00F23B77"/>
    <w:rsid w:val="00F23BE5"/>
    <w:rsid w:val="00F23BE6"/>
    <w:rsid w:val="00F23D88"/>
    <w:rsid w:val="00F23DD9"/>
    <w:rsid w:val="00F23E05"/>
    <w:rsid w:val="00F23FC2"/>
    <w:rsid w:val="00F23FE2"/>
    <w:rsid w:val="00F2414E"/>
    <w:rsid w:val="00F2417E"/>
    <w:rsid w:val="00F24183"/>
    <w:rsid w:val="00F24274"/>
    <w:rsid w:val="00F2432C"/>
    <w:rsid w:val="00F243F5"/>
    <w:rsid w:val="00F24447"/>
    <w:rsid w:val="00F2454A"/>
    <w:rsid w:val="00F24586"/>
    <w:rsid w:val="00F245BE"/>
    <w:rsid w:val="00F24719"/>
    <w:rsid w:val="00F247FC"/>
    <w:rsid w:val="00F24847"/>
    <w:rsid w:val="00F24A51"/>
    <w:rsid w:val="00F24B65"/>
    <w:rsid w:val="00F24C29"/>
    <w:rsid w:val="00F24DAA"/>
    <w:rsid w:val="00F24DCC"/>
    <w:rsid w:val="00F24FBC"/>
    <w:rsid w:val="00F24FE4"/>
    <w:rsid w:val="00F25192"/>
    <w:rsid w:val="00F251E1"/>
    <w:rsid w:val="00F252AA"/>
    <w:rsid w:val="00F252EC"/>
    <w:rsid w:val="00F25321"/>
    <w:rsid w:val="00F254BD"/>
    <w:rsid w:val="00F254FD"/>
    <w:rsid w:val="00F2571D"/>
    <w:rsid w:val="00F25832"/>
    <w:rsid w:val="00F259F3"/>
    <w:rsid w:val="00F25A17"/>
    <w:rsid w:val="00F25C12"/>
    <w:rsid w:val="00F25CA5"/>
    <w:rsid w:val="00F25D2E"/>
    <w:rsid w:val="00F25DAD"/>
    <w:rsid w:val="00F25E34"/>
    <w:rsid w:val="00F26325"/>
    <w:rsid w:val="00F26396"/>
    <w:rsid w:val="00F2641B"/>
    <w:rsid w:val="00F2653F"/>
    <w:rsid w:val="00F266BD"/>
    <w:rsid w:val="00F26801"/>
    <w:rsid w:val="00F26A7F"/>
    <w:rsid w:val="00F26CA2"/>
    <w:rsid w:val="00F26E21"/>
    <w:rsid w:val="00F26E67"/>
    <w:rsid w:val="00F26F9F"/>
    <w:rsid w:val="00F27088"/>
    <w:rsid w:val="00F270D3"/>
    <w:rsid w:val="00F27232"/>
    <w:rsid w:val="00F272A4"/>
    <w:rsid w:val="00F27334"/>
    <w:rsid w:val="00F273EC"/>
    <w:rsid w:val="00F274B5"/>
    <w:rsid w:val="00F2756D"/>
    <w:rsid w:val="00F27890"/>
    <w:rsid w:val="00F278E8"/>
    <w:rsid w:val="00F27A36"/>
    <w:rsid w:val="00F27A3E"/>
    <w:rsid w:val="00F27A8D"/>
    <w:rsid w:val="00F27ACF"/>
    <w:rsid w:val="00F27BB8"/>
    <w:rsid w:val="00F27BEA"/>
    <w:rsid w:val="00F27D75"/>
    <w:rsid w:val="00F27EE4"/>
    <w:rsid w:val="00F27EF3"/>
    <w:rsid w:val="00F28352"/>
    <w:rsid w:val="00F3009C"/>
    <w:rsid w:val="00F3010E"/>
    <w:rsid w:val="00F3025E"/>
    <w:rsid w:val="00F30620"/>
    <w:rsid w:val="00F30657"/>
    <w:rsid w:val="00F3081C"/>
    <w:rsid w:val="00F3096E"/>
    <w:rsid w:val="00F30CA9"/>
    <w:rsid w:val="00F30DB2"/>
    <w:rsid w:val="00F30DE7"/>
    <w:rsid w:val="00F30FE4"/>
    <w:rsid w:val="00F313F1"/>
    <w:rsid w:val="00F3144E"/>
    <w:rsid w:val="00F3150F"/>
    <w:rsid w:val="00F31580"/>
    <w:rsid w:val="00F315C5"/>
    <w:rsid w:val="00F316B1"/>
    <w:rsid w:val="00F316CB"/>
    <w:rsid w:val="00F318E0"/>
    <w:rsid w:val="00F318E9"/>
    <w:rsid w:val="00F31958"/>
    <w:rsid w:val="00F31DBC"/>
    <w:rsid w:val="00F31FD7"/>
    <w:rsid w:val="00F31FE3"/>
    <w:rsid w:val="00F3212A"/>
    <w:rsid w:val="00F321C1"/>
    <w:rsid w:val="00F321F5"/>
    <w:rsid w:val="00F323F5"/>
    <w:rsid w:val="00F32406"/>
    <w:rsid w:val="00F325F0"/>
    <w:rsid w:val="00F32667"/>
    <w:rsid w:val="00F3267C"/>
    <w:rsid w:val="00F3287F"/>
    <w:rsid w:val="00F32C71"/>
    <w:rsid w:val="00F32DA0"/>
    <w:rsid w:val="00F32EC1"/>
    <w:rsid w:val="00F33157"/>
    <w:rsid w:val="00F33383"/>
    <w:rsid w:val="00F335BC"/>
    <w:rsid w:val="00F336C5"/>
    <w:rsid w:val="00F33754"/>
    <w:rsid w:val="00F337B5"/>
    <w:rsid w:val="00F33A4C"/>
    <w:rsid w:val="00F33A84"/>
    <w:rsid w:val="00F33C1F"/>
    <w:rsid w:val="00F340D8"/>
    <w:rsid w:val="00F340EB"/>
    <w:rsid w:val="00F34123"/>
    <w:rsid w:val="00F3423F"/>
    <w:rsid w:val="00F3430D"/>
    <w:rsid w:val="00F3481D"/>
    <w:rsid w:val="00F3484F"/>
    <w:rsid w:val="00F34915"/>
    <w:rsid w:val="00F349E2"/>
    <w:rsid w:val="00F34B33"/>
    <w:rsid w:val="00F34C23"/>
    <w:rsid w:val="00F35043"/>
    <w:rsid w:val="00F35087"/>
    <w:rsid w:val="00F3514B"/>
    <w:rsid w:val="00F35324"/>
    <w:rsid w:val="00F35555"/>
    <w:rsid w:val="00F356D9"/>
    <w:rsid w:val="00F35749"/>
    <w:rsid w:val="00F3598F"/>
    <w:rsid w:val="00F35A14"/>
    <w:rsid w:val="00F35AAA"/>
    <w:rsid w:val="00F35B15"/>
    <w:rsid w:val="00F35B70"/>
    <w:rsid w:val="00F35BAC"/>
    <w:rsid w:val="00F35CDB"/>
    <w:rsid w:val="00F35CF9"/>
    <w:rsid w:val="00F35DE8"/>
    <w:rsid w:val="00F35DFC"/>
    <w:rsid w:val="00F360F5"/>
    <w:rsid w:val="00F36264"/>
    <w:rsid w:val="00F362F5"/>
    <w:rsid w:val="00F3680D"/>
    <w:rsid w:val="00F3684C"/>
    <w:rsid w:val="00F36859"/>
    <w:rsid w:val="00F36860"/>
    <w:rsid w:val="00F3689B"/>
    <w:rsid w:val="00F36C0E"/>
    <w:rsid w:val="00F36D65"/>
    <w:rsid w:val="00F36E5D"/>
    <w:rsid w:val="00F36F6B"/>
    <w:rsid w:val="00F36F7F"/>
    <w:rsid w:val="00F36FE3"/>
    <w:rsid w:val="00F37163"/>
    <w:rsid w:val="00F37167"/>
    <w:rsid w:val="00F37198"/>
    <w:rsid w:val="00F3726F"/>
    <w:rsid w:val="00F373CB"/>
    <w:rsid w:val="00F3741A"/>
    <w:rsid w:val="00F374B4"/>
    <w:rsid w:val="00F3772A"/>
    <w:rsid w:val="00F37738"/>
    <w:rsid w:val="00F37984"/>
    <w:rsid w:val="00F37A05"/>
    <w:rsid w:val="00F37A7C"/>
    <w:rsid w:val="00F37B0A"/>
    <w:rsid w:val="00F37B68"/>
    <w:rsid w:val="00F37BA2"/>
    <w:rsid w:val="00F37CBD"/>
    <w:rsid w:val="00F37CD8"/>
    <w:rsid w:val="00F37CF5"/>
    <w:rsid w:val="00F4007F"/>
    <w:rsid w:val="00F40201"/>
    <w:rsid w:val="00F40265"/>
    <w:rsid w:val="00F4036C"/>
    <w:rsid w:val="00F40414"/>
    <w:rsid w:val="00F40439"/>
    <w:rsid w:val="00F40570"/>
    <w:rsid w:val="00F4068B"/>
    <w:rsid w:val="00F407A3"/>
    <w:rsid w:val="00F407DE"/>
    <w:rsid w:val="00F4089E"/>
    <w:rsid w:val="00F409B1"/>
    <w:rsid w:val="00F40BC6"/>
    <w:rsid w:val="00F40D1A"/>
    <w:rsid w:val="00F40ECA"/>
    <w:rsid w:val="00F40F55"/>
    <w:rsid w:val="00F40FAD"/>
    <w:rsid w:val="00F41205"/>
    <w:rsid w:val="00F41253"/>
    <w:rsid w:val="00F4128E"/>
    <w:rsid w:val="00F41345"/>
    <w:rsid w:val="00F41638"/>
    <w:rsid w:val="00F416DF"/>
    <w:rsid w:val="00F419F9"/>
    <w:rsid w:val="00F41CBD"/>
    <w:rsid w:val="00F41F60"/>
    <w:rsid w:val="00F422E1"/>
    <w:rsid w:val="00F42400"/>
    <w:rsid w:val="00F42515"/>
    <w:rsid w:val="00F4260D"/>
    <w:rsid w:val="00F42647"/>
    <w:rsid w:val="00F4264A"/>
    <w:rsid w:val="00F429AE"/>
    <w:rsid w:val="00F42A1D"/>
    <w:rsid w:val="00F42AC8"/>
    <w:rsid w:val="00F42C57"/>
    <w:rsid w:val="00F42C5B"/>
    <w:rsid w:val="00F42C85"/>
    <w:rsid w:val="00F42D99"/>
    <w:rsid w:val="00F42DDC"/>
    <w:rsid w:val="00F42E92"/>
    <w:rsid w:val="00F43132"/>
    <w:rsid w:val="00F432C5"/>
    <w:rsid w:val="00F432FB"/>
    <w:rsid w:val="00F433BB"/>
    <w:rsid w:val="00F43487"/>
    <w:rsid w:val="00F4353A"/>
    <w:rsid w:val="00F436DF"/>
    <w:rsid w:val="00F437C7"/>
    <w:rsid w:val="00F43838"/>
    <w:rsid w:val="00F439F0"/>
    <w:rsid w:val="00F43AE2"/>
    <w:rsid w:val="00F43B0F"/>
    <w:rsid w:val="00F43B7F"/>
    <w:rsid w:val="00F43BF6"/>
    <w:rsid w:val="00F43C75"/>
    <w:rsid w:val="00F43DED"/>
    <w:rsid w:val="00F44003"/>
    <w:rsid w:val="00F44027"/>
    <w:rsid w:val="00F440CF"/>
    <w:rsid w:val="00F440E7"/>
    <w:rsid w:val="00F44153"/>
    <w:rsid w:val="00F441B5"/>
    <w:rsid w:val="00F44314"/>
    <w:rsid w:val="00F44414"/>
    <w:rsid w:val="00F4450E"/>
    <w:rsid w:val="00F445E4"/>
    <w:rsid w:val="00F44709"/>
    <w:rsid w:val="00F4477B"/>
    <w:rsid w:val="00F4480F"/>
    <w:rsid w:val="00F448EC"/>
    <w:rsid w:val="00F44A03"/>
    <w:rsid w:val="00F44A6E"/>
    <w:rsid w:val="00F44AF2"/>
    <w:rsid w:val="00F44B77"/>
    <w:rsid w:val="00F44CAD"/>
    <w:rsid w:val="00F44D22"/>
    <w:rsid w:val="00F44DE2"/>
    <w:rsid w:val="00F44E0B"/>
    <w:rsid w:val="00F44F6C"/>
    <w:rsid w:val="00F44F96"/>
    <w:rsid w:val="00F4507D"/>
    <w:rsid w:val="00F45087"/>
    <w:rsid w:val="00F45107"/>
    <w:rsid w:val="00F451FD"/>
    <w:rsid w:val="00F45243"/>
    <w:rsid w:val="00F45369"/>
    <w:rsid w:val="00F4539A"/>
    <w:rsid w:val="00F4549F"/>
    <w:rsid w:val="00F455C5"/>
    <w:rsid w:val="00F45611"/>
    <w:rsid w:val="00F458E1"/>
    <w:rsid w:val="00F459A3"/>
    <w:rsid w:val="00F45B1E"/>
    <w:rsid w:val="00F45BCD"/>
    <w:rsid w:val="00F45CD8"/>
    <w:rsid w:val="00F45D91"/>
    <w:rsid w:val="00F45EF0"/>
    <w:rsid w:val="00F46022"/>
    <w:rsid w:val="00F46111"/>
    <w:rsid w:val="00F46352"/>
    <w:rsid w:val="00F4636D"/>
    <w:rsid w:val="00F464F1"/>
    <w:rsid w:val="00F465AF"/>
    <w:rsid w:val="00F46728"/>
    <w:rsid w:val="00F467D9"/>
    <w:rsid w:val="00F46838"/>
    <w:rsid w:val="00F468D1"/>
    <w:rsid w:val="00F4690D"/>
    <w:rsid w:val="00F46948"/>
    <w:rsid w:val="00F46B68"/>
    <w:rsid w:val="00F46C53"/>
    <w:rsid w:val="00F46CCA"/>
    <w:rsid w:val="00F46D8E"/>
    <w:rsid w:val="00F46DF4"/>
    <w:rsid w:val="00F47070"/>
    <w:rsid w:val="00F470B0"/>
    <w:rsid w:val="00F47154"/>
    <w:rsid w:val="00F4718F"/>
    <w:rsid w:val="00F47203"/>
    <w:rsid w:val="00F472FB"/>
    <w:rsid w:val="00F473E9"/>
    <w:rsid w:val="00F47401"/>
    <w:rsid w:val="00F4752B"/>
    <w:rsid w:val="00F476CB"/>
    <w:rsid w:val="00F476FF"/>
    <w:rsid w:val="00F4772C"/>
    <w:rsid w:val="00F478C3"/>
    <w:rsid w:val="00F4795C"/>
    <w:rsid w:val="00F479A7"/>
    <w:rsid w:val="00F47AD4"/>
    <w:rsid w:val="00F47B73"/>
    <w:rsid w:val="00F47D36"/>
    <w:rsid w:val="00F47D62"/>
    <w:rsid w:val="00F47F3D"/>
    <w:rsid w:val="00F5016A"/>
    <w:rsid w:val="00F503B0"/>
    <w:rsid w:val="00F50479"/>
    <w:rsid w:val="00F50537"/>
    <w:rsid w:val="00F506EF"/>
    <w:rsid w:val="00F50962"/>
    <w:rsid w:val="00F509E0"/>
    <w:rsid w:val="00F50D25"/>
    <w:rsid w:val="00F50E43"/>
    <w:rsid w:val="00F5140D"/>
    <w:rsid w:val="00F51487"/>
    <w:rsid w:val="00F51739"/>
    <w:rsid w:val="00F517C2"/>
    <w:rsid w:val="00F51994"/>
    <w:rsid w:val="00F51A1C"/>
    <w:rsid w:val="00F51A23"/>
    <w:rsid w:val="00F51BBC"/>
    <w:rsid w:val="00F51FFF"/>
    <w:rsid w:val="00F52121"/>
    <w:rsid w:val="00F521F1"/>
    <w:rsid w:val="00F522BE"/>
    <w:rsid w:val="00F525AC"/>
    <w:rsid w:val="00F52852"/>
    <w:rsid w:val="00F5290F"/>
    <w:rsid w:val="00F52960"/>
    <w:rsid w:val="00F52A43"/>
    <w:rsid w:val="00F52B08"/>
    <w:rsid w:val="00F52C87"/>
    <w:rsid w:val="00F5309D"/>
    <w:rsid w:val="00F533AE"/>
    <w:rsid w:val="00F53576"/>
    <w:rsid w:val="00F535C7"/>
    <w:rsid w:val="00F53671"/>
    <w:rsid w:val="00F53689"/>
    <w:rsid w:val="00F53720"/>
    <w:rsid w:val="00F53752"/>
    <w:rsid w:val="00F53773"/>
    <w:rsid w:val="00F53812"/>
    <w:rsid w:val="00F53860"/>
    <w:rsid w:val="00F53ABF"/>
    <w:rsid w:val="00F53BE0"/>
    <w:rsid w:val="00F53C15"/>
    <w:rsid w:val="00F53CA7"/>
    <w:rsid w:val="00F53D84"/>
    <w:rsid w:val="00F53F53"/>
    <w:rsid w:val="00F53FB1"/>
    <w:rsid w:val="00F54008"/>
    <w:rsid w:val="00F54035"/>
    <w:rsid w:val="00F54125"/>
    <w:rsid w:val="00F5435A"/>
    <w:rsid w:val="00F544D7"/>
    <w:rsid w:val="00F54552"/>
    <w:rsid w:val="00F545F6"/>
    <w:rsid w:val="00F54672"/>
    <w:rsid w:val="00F546E1"/>
    <w:rsid w:val="00F54723"/>
    <w:rsid w:val="00F54971"/>
    <w:rsid w:val="00F549DA"/>
    <w:rsid w:val="00F54BBB"/>
    <w:rsid w:val="00F54D2C"/>
    <w:rsid w:val="00F54DC0"/>
    <w:rsid w:val="00F54F83"/>
    <w:rsid w:val="00F55188"/>
    <w:rsid w:val="00F55215"/>
    <w:rsid w:val="00F5530D"/>
    <w:rsid w:val="00F5536C"/>
    <w:rsid w:val="00F55410"/>
    <w:rsid w:val="00F5549C"/>
    <w:rsid w:val="00F55769"/>
    <w:rsid w:val="00F5579E"/>
    <w:rsid w:val="00F559CA"/>
    <w:rsid w:val="00F55C0E"/>
    <w:rsid w:val="00F55C12"/>
    <w:rsid w:val="00F55E81"/>
    <w:rsid w:val="00F56057"/>
    <w:rsid w:val="00F5629A"/>
    <w:rsid w:val="00F56448"/>
    <w:rsid w:val="00F565A3"/>
    <w:rsid w:val="00F5661D"/>
    <w:rsid w:val="00F566E3"/>
    <w:rsid w:val="00F56953"/>
    <w:rsid w:val="00F56A22"/>
    <w:rsid w:val="00F56B16"/>
    <w:rsid w:val="00F56B18"/>
    <w:rsid w:val="00F56C19"/>
    <w:rsid w:val="00F56CA6"/>
    <w:rsid w:val="00F56D72"/>
    <w:rsid w:val="00F56E0A"/>
    <w:rsid w:val="00F56E38"/>
    <w:rsid w:val="00F56EE2"/>
    <w:rsid w:val="00F5701A"/>
    <w:rsid w:val="00F5702D"/>
    <w:rsid w:val="00F5705C"/>
    <w:rsid w:val="00F5709A"/>
    <w:rsid w:val="00F572BE"/>
    <w:rsid w:val="00F572CD"/>
    <w:rsid w:val="00F57535"/>
    <w:rsid w:val="00F57673"/>
    <w:rsid w:val="00F576F6"/>
    <w:rsid w:val="00F57813"/>
    <w:rsid w:val="00F57824"/>
    <w:rsid w:val="00F578E4"/>
    <w:rsid w:val="00F57B5B"/>
    <w:rsid w:val="00F57B87"/>
    <w:rsid w:val="00F57BD1"/>
    <w:rsid w:val="00F60060"/>
    <w:rsid w:val="00F6013C"/>
    <w:rsid w:val="00F6014D"/>
    <w:rsid w:val="00F60313"/>
    <w:rsid w:val="00F603F5"/>
    <w:rsid w:val="00F60418"/>
    <w:rsid w:val="00F6041F"/>
    <w:rsid w:val="00F60475"/>
    <w:rsid w:val="00F604A8"/>
    <w:rsid w:val="00F605B2"/>
    <w:rsid w:val="00F60651"/>
    <w:rsid w:val="00F606A3"/>
    <w:rsid w:val="00F6071E"/>
    <w:rsid w:val="00F6072A"/>
    <w:rsid w:val="00F607BD"/>
    <w:rsid w:val="00F607E5"/>
    <w:rsid w:val="00F60842"/>
    <w:rsid w:val="00F60862"/>
    <w:rsid w:val="00F60A27"/>
    <w:rsid w:val="00F60A63"/>
    <w:rsid w:val="00F60A89"/>
    <w:rsid w:val="00F60B7D"/>
    <w:rsid w:val="00F60D50"/>
    <w:rsid w:val="00F60F67"/>
    <w:rsid w:val="00F61092"/>
    <w:rsid w:val="00F611FA"/>
    <w:rsid w:val="00F612C6"/>
    <w:rsid w:val="00F6141F"/>
    <w:rsid w:val="00F6149D"/>
    <w:rsid w:val="00F614DC"/>
    <w:rsid w:val="00F6164C"/>
    <w:rsid w:val="00F61698"/>
    <w:rsid w:val="00F617AF"/>
    <w:rsid w:val="00F619CF"/>
    <w:rsid w:val="00F61B33"/>
    <w:rsid w:val="00F61E80"/>
    <w:rsid w:val="00F61EC9"/>
    <w:rsid w:val="00F6207C"/>
    <w:rsid w:val="00F620F3"/>
    <w:rsid w:val="00F62353"/>
    <w:rsid w:val="00F6250F"/>
    <w:rsid w:val="00F6262F"/>
    <w:rsid w:val="00F62A79"/>
    <w:rsid w:val="00F62AC6"/>
    <w:rsid w:val="00F62E0E"/>
    <w:rsid w:val="00F63053"/>
    <w:rsid w:val="00F63336"/>
    <w:rsid w:val="00F6354A"/>
    <w:rsid w:val="00F6364B"/>
    <w:rsid w:val="00F636E8"/>
    <w:rsid w:val="00F636F2"/>
    <w:rsid w:val="00F637BC"/>
    <w:rsid w:val="00F6380C"/>
    <w:rsid w:val="00F638CF"/>
    <w:rsid w:val="00F63958"/>
    <w:rsid w:val="00F63A0C"/>
    <w:rsid w:val="00F63D78"/>
    <w:rsid w:val="00F63DB9"/>
    <w:rsid w:val="00F63DFE"/>
    <w:rsid w:val="00F63E84"/>
    <w:rsid w:val="00F64084"/>
    <w:rsid w:val="00F6412B"/>
    <w:rsid w:val="00F642EA"/>
    <w:rsid w:val="00F64334"/>
    <w:rsid w:val="00F644AC"/>
    <w:rsid w:val="00F64757"/>
    <w:rsid w:val="00F64A52"/>
    <w:rsid w:val="00F64A70"/>
    <w:rsid w:val="00F64C9F"/>
    <w:rsid w:val="00F64D5A"/>
    <w:rsid w:val="00F64E43"/>
    <w:rsid w:val="00F64E4E"/>
    <w:rsid w:val="00F65045"/>
    <w:rsid w:val="00F65093"/>
    <w:rsid w:val="00F6511F"/>
    <w:rsid w:val="00F651CD"/>
    <w:rsid w:val="00F6526A"/>
    <w:rsid w:val="00F6527F"/>
    <w:rsid w:val="00F652AA"/>
    <w:rsid w:val="00F6531A"/>
    <w:rsid w:val="00F65470"/>
    <w:rsid w:val="00F65663"/>
    <w:rsid w:val="00F65734"/>
    <w:rsid w:val="00F6593F"/>
    <w:rsid w:val="00F65988"/>
    <w:rsid w:val="00F659C4"/>
    <w:rsid w:val="00F659C5"/>
    <w:rsid w:val="00F65A84"/>
    <w:rsid w:val="00F65BE9"/>
    <w:rsid w:val="00F65CC1"/>
    <w:rsid w:val="00F65D1B"/>
    <w:rsid w:val="00F65F52"/>
    <w:rsid w:val="00F66051"/>
    <w:rsid w:val="00F661F2"/>
    <w:rsid w:val="00F663AB"/>
    <w:rsid w:val="00F66413"/>
    <w:rsid w:val="00F6642A"/>
    <w:rsid w:val="00F664A5"/>
    <w:rsid w:val="00F66552"/>
    <w:rsid w:val="00F6669D"/>
    <w:rsid w:val="00F666E6"/>
    <w:rsid w:val="00F66706"/>
    <w:rsid w:val="00F66792"/>
    <w:rsid w:val="00F66945"/>
    <w:rsid w:val="00F669CA"/>
    <w:rsid w:val="00F66A03"/>
    <w:rsid w:val="00F66A45"/>
    <w:rsid w:val="00F66CC0"/>
    <w:rsid w:val="00F66EF0"/>
    <w:rsid w:val="00F66F6F"/>
    <w:rsid w:val="00F66FF3"/>
    <w:rsid w:val="00F6719A"/>
    <w:rsid w:val="00F67214"/>
    <w:rsid w:val="00F67233"/>
    <w:rsid w:val="00F672DA"/>
    <w:rsid w:val="00F6731D"/>
    <w:rsid w:val="00F6735E"/>
    <w:rsid w:val="00F6771E"/>
    <w:rsid w:val="00F677DB"/>
    <w:rsid w:val="00F677F6"/>
    <w:rsid w:val="00F67943"/>
    <w:rsid w:val="00F67B0A"/>
    <w:rsid w:val="00F67BBC"/>
    <w:rsid w:val="00F67C04"/>
    <w:rsid w:val="00F67C42"/>
    <w:rsid w:val="00F67EAA"/>
    <w:rsid w:val="00F67FC9"/>
    <w:rsid w:val="00F70172"/>
    <w:rsid w:val="00F70210"/>
    <w:rsid w:val="00F70231"/>
    <w:rsid w:val="00F702DB"/>
    <w:rsid w:val="00F705B2"/>
    <w:rsid w:val="00F70952"/>
    <w:rsid w:val="00F709DC"/>
    <w:rsid w:val="00F70AA3"/>
    <w:rsid w:val="00F70C99"/>
    <w:rsid w:val="00F70CA0"/>
    <w:rsid w:val="00F70D2D"/>
    <w:rsid w:val="00F70D4B"/>
    <w:rsid w:val="00F70E67"/>
    <w:rsid w:val="00F71066"/>
    <w:rsid w:val="00F710C3"/>
    <w:rsid w:val="00F711D0"/>
    <w:rsid w:val="00F712F2"/>
    <w:rsid w:val="00F714A0"/>
    <w:rsid w:val="00F714FD"/>
    <w:rsid w:val="00F71585"/>
    <w:rsid w:val="00F715FA"/>
    <w:rsid w:val="00F718D7"/>
    <w:rsid w:val="00F7191D"/>
    <w:rsid w:val="00F71AA7"/>
    <w:rsid w:val="00F71C7B"/>
    <w:rsid w:val="00F72189"/>
    <w:rsid w:val="00F721B8"/>
    <w:rsid w:val="00F7223E"/>
    <w:rsid w:val="00F72240"/>
    <w:rsid w:val="00F72248"/>
    <w:rsid w:val="00F72384"/>
    <w:rsid w:val="00F723D1"/>
    <w:rsid w:val="00F723D9"/>
    <w:rsid w:val="00F72419"/>
    <w:rsid w:val="00F726B2"/>
    <w:rsid w:val="00F72941"/>
    <w:rsid w:val="00F72AA3"/>
    <w:rsid w:val="00F72B2C"/>
    <w:rsid w:val="00F72B9A"/>
    <w:rsid w:val="00F72BD3"/>
    <w:rsid w:val="00F72BE5"/>
    <w:rsid w:val="00F73023"/>
    <w:rsid w:val="00F730A3"/>
    <w:rsid w:val="00F73139"/>
    <w:rsid w:val="00F731CB"/>
    <w:rsid w:val="00F733B9"/>
    <w:rsid w:val="00F7348B"/>
    <w:rsid w:val="00F73527"/>
    <w:rsid w:val="00F73646"/>
    <w:rsid w:val="00F7370B"/>
    <w:rsid w:val="00F73AA0"/>
    <w:rsid w:val="00F73AA3"/>
    <w:rsid w:val="00F73AB9"/>
    <w:rsid w:val="00F73ABA"/>
    <w:rsid w:val="00F73C3E"/>
    <w:rsid w:val="00F73C47"/>
    <w:rsid w:val="00F73D5A"/>
    <w:rsid w:val="00F73FB5"/>
    <w:rsid w:val="00F74159"/>
    <w:rsid w:val="00F741D3"/>
    <w:rsid w:val="00F741F1"/>
    <w:rsid w:val="00F74309"/>
    <w:rsid w:val="00F7435C"/>
    <w:rsid w:val="00F743E7"/>
    <w:rsid w:val="00F7441F"/>
    <w:rsid w:val="00F74468"/>
    <w:rsid w:val="00F7458E"/>
    <w:rsid w:val="00F74715"/>
    <w:rsid w:val="00F74753"/>
    <w:rsid w:val="00F74862"/>
    <w:rsid w:val="00F748EC"/>
    <w:rsid w:val="00F74957"/>
    <w:rsid w:val="00F7496B"/>
    <w:rsid w:val="00F749A4"/>
    <w:rsid w:val="00F74A9D"/>
    <w:rsid w:val="00F7503B"/>
    <w:rsid w:val="00F7508C"/>
    <w:rsid w:val="00F75183"/>
    <w:rsid w:val="00F752BD"/>
    <w:rsid w:val="00F752F7"/>
    <w:rsid w:val="00F75395"/>
    <w:rsid w:val="00F754F1"/>
    <w:rsid w:val="00F75574"/>
    <w:rsid w:val="00F7559E"/>
    <w:rsid w:val="00F757A3"/>
    <w:rsid w:val="00F757CD"/>
    <w:rsid w:val="00F758F1"/>
    <w:rsid w:val="00F75904"/>
    <w:rsid w:val="00F759BB"/>
    <w:rsid w:val="00F75A87"/>
    <w:rsid w:val="00F75B49"/>
    <w:rsid w:val="00F75B92"/>
    <w:rsid w:val="00F75D83"/>
    <w:rsid w:val="00F75E32"/>
    <w:rsid w:val="00F76099"/>
    <w:rsid w:val="00F76125"/>
    <w:rsid w:val="00F76157"/>
    <w:rsid w:val="00F76231"/>
    <w:rsid w:val="00F76508"/>
    <w:rsid w:val="00F76705"/>
    <w:rsid w:val="00F7679B"/>
    <w:rsid w:val="00F76A4A"/>
    <w:rsid w:val="00F76BDC"/>
    <w:rsid w:val="00F76C9E"/>
    <w:rsid w:val="00F76CEC"/>
    <w:rsid w:val="00F76D55"/>
    <w:rsid w:val="00F76DBE"/>
    <w:rsid w:val="00F76DDC"/>
    <w:rsid w:val="00F76FDC"/>
    <w:rsid w:val="00F7702C"/>
    <w:rsid w:val="00F77049"/>
    <w:rsid w:val="00F77207"/>
    <w:rsid w:val="00F77213"/>
    <w:rsid w:val="00F7723A"/>
    <w:rsid w:val="00F772B5"/>
    <w:rsid w:val="00F77392"/>
    <w:rsid w:val="00F77443"/>
    <w:rsid w:val="00F7747B"/>
    <w:rsid w:val="00F77569"/>
    <w:rsid w:val="00F775D5"/>
    <w:rsid w:val="00F77650"/>
    <w:rsid w:val="00F7768C"/>
    <w:rsid w:val="00F77746"/>
    <w:rsid w:val="00F77925"/>
    <w:rsid w:val="00F77AE6"/>
    <w:rsid w:val="00F77E9C"/>
    <w:rsid w:val="00F77EA7"/>
    <w:rsid w:val="00F8007A"/>
    <w:rsid w:val="00F80190"/>
    <w:rsid w:val="00F8022E"/>
    <w:rsid w:val="00F80485"/>
    <w:rsid w:val="00F804A6"/>
    <w:rsid w:val="00F804E2"/>
    <w:rsid w:val="00F80539"/>
    <w:rsid w:val="00F805BC"/>
    <w:rsid w:val="00F806E5"/>
    <w:rsid w:val="00F8081E"/>
    <w:rsid w:val="00F808B9"/>
    <w:rsid w:val="00F80B4B"/>
    <w:rsid w:val="00F80DA5"/>
    <w:rsid w:val="00F80DD5"/>
    <w:rsid w:val="00F80E7C"/>
    <w:rsid w:val="00F80EE7"/>
    <w:rsid w:val="00F8105B"/>
    <w:rsid w:val="00F81074"/>
    <w:rsid w:val="00F810A5"/>
    <w:rsid w:val="00F81436"/>
    <w:rsid w:val="00F814C2"/>
    <w:rsid w:val="00F81501"/>
    <w:rsid w:val="00F815E1"/>
    <w:rsid w:val="00F8171E"/>
    <w:rsid w:val="00F817E4"/>
    <w:rsid w:val="00F81AB1"/>
    <w:rsid w:val="00F81B65"/>
    <w:rsid w:val="00F81E1D"/>
    <w:rsid w:val="00F81FA6"/>
    <w:rsid w:val="00F81FEA"/>
    <w:rsid w:val="00F82195"/>
    <w:rsid w:val="00F82259"/>
    <w:rsid w:val="00F82361"/>
    <w:rsid w:val="00F824C5"/>
    <w:rsid w:val="00F825E8"/>
    <w:rsid w:val="00F825FC"/>
    <w:rsid w:val="00F82784"/>
    <w:rsid w:val="00F828DD"/>
    <w:rsid w:val="00F82BF9"/>
    <w:rsid w:val="00F82E40"/>
    <w:rsid w:val="00F82E6D"/>
    <w:rsid w:val="00F82EC8"/>
    <w:rsid w:val="00F82F8C"/>
    <w:rsid w:val="00F83036"/>
    <w:rsid w:val="00F83045"/>
    <w:rsid w:val="00F83197"/>
    <w:rsid w:val="00F8324A"/>
    <w:rsid w:val="00F8326B"/>
    <w:rsid w:val="00F8346E"/>
    <w:rsid w:val="00F836EB"/>
    <w:rsid w:val="00F836ED"/>
    <w:rsid w:val="00F8376B"/>
    <w:rsid w:val="00F837FD"/>
    <w:rsid w:val="00F839C7"/>
    <w:rsid w:val="00F83A3E"/>
    <w:rsid w:val="00F83BAE"/>
    <w:rsid w:val="00F83BC1"/>
    <w:rsid w:val="00F83BFF"/>
    <w:rsid w:val="00F83CB0"/>
    <w:rsid w:val="00F83CC6"/>
    <w:rsid w:val="00F84225"/>
    <w:rsid w:val="00F84361"/>
    <w:rsid w:val="00F843D7"/>
    <w:rsid w:val="00F84505"/>
    <w:rsid w:val="00F845ED"/>
    <w:rsid w:val="00F84609"/>
    <w:rsid w:val="00F84828"/>
    <w:rsid w:val="00F84903"/>
    <w:rsid w:val="00F84A23"/>
    <w:rsid w:val="00F84A98"/>
    <w:rsid w:val="00F84AD4"/>
    <w:rsid w:val="00F84BE1"/>
    <w:rsid w:val="00F84C50"/>
    <w:rsid w:val="00F84CCB"/>
    <w:rsid w:val="00F84D25"/>
    <w:rsid w:val="00F84D35"/>
    <w:rsid w:val="00F85242"/>
    <w:rsid w:val="00F852AF"/>
    <w:rsid w:val="00F85617"/>
    <w:rsid w:val="00F85944"/>
    <w:rsid w:val="00F85B18"/>
    <w:rsid w:val="00F85BF8"/>
    <w:rsid w:val="00F85D82"/>
    <w:rsid w:val="00F85D8C"/>
    <w:rsid w:val="00F85E3A"/>
    <w:rsid w:val="00F86021"/>
    <w:rsid w:val="00F8617A"/>
    <w:rsid w:val="00F86222"/>
    <w:rsid w:val="00F86268"/>
    <w:rsid w:val="00F8630F"/>
    <w:rsid w:val="00F863CE"/>
    <w:rsid w:val="00F8644E"/>
    <w:rsid w:val="00F86470"/>
    <w:rsid w:val="00F86471"/>
    <w:rsid w:val="00F866DA"/>
    <w:rsid w:val="00F8676E"/>
    <w:rsid w:val="00F86945"/>
    <w:rsid w:val="00F86980"/>
    <w:rsid w:val="00F869DC"/>
    <w:rsid w:val="00F86A6A"/>
    <w:rsid w:val="00F86BA4"/>
    <w:rsid w:val="00F86BFF"/>
    <w:rsid w:val="00F87177"/>
    <w:rsid w:val="00F872FC"/>
    <w:rsid w:val="00F87389"/>
    <w:rsid w:val="00F87433"/>
    <w:rsid w:val="00F8753C"/>
    <w:rsid w:val="00F8765D"/>
    <w:rsid w:val="00F877E6"/>
    <w:rsid w:val="00F8795E"/>
    <w:rsid w:val="00F879A7"/>
    <w:rsid w:val="00F87B6E"/>
    <w:rsid w:val="00F87C3D"/>
    <w:rsid w:val="00F87D7B"/>
    <w:rsid w:val="00F9017C"/>
    <w:rsid w:val="00F901A4"/>
    <w:rsid w:val="00F901E9"/>
    <w:rsid w:val="00F9025D"/>
    <w:rsid w:val="00F903D8"/>
    <w:rsid w:val="00F90490"/>
    <w:rsid w:val="00F904B5"/>
    <w:rsid w:val="00F90684"/>
    <w:rsid w:val="00F9078A"/>
    <w:rsid w:val="00F90843"/>
    <w:rsid w:val="00F9085A"/>
    <w:rsid w:val="00F909B6"/>
    <w:rsid w:val="00F90A16"/>
    <w:rsid w:val="00F90A3B"/>
    <w:rsid w:val="00F90A60"/>
    <w:rsid w:val="00F90BCD"/>
    <w:rsid w:val="00F90CA1"/>
    <w:rsid w:val="00F90E2B"/>
    <w:rsid w:val="00F90E51"/>
    <w:rsid w:val="00F90E54"/>
    <w:rsid w:val="00F90EB6"/>
    <w:rsid w:val="00F910AB"/>
    <w:rsid w:val="00F9113D"/>
    <w:rsid w:val="00F9119D"/>
    <w:rsid w:val="00F9122D"/>
    <w:rsid w:val="00F912B7"/>
    <w:rsid w:val="00F912FB"/>
    <w:rsid w:val="00F91341"/>
    <w:rsid w:val="00F91539"/>
    <w:rsid w:val="00F91763"/>
    <w:rsid w:val="00F91896"/>
    <w:rsid w:val="00F91968"/>
    <w:rsid w:val="00F91C36"/>
    <w:rsid w:val="00F91CFA"/>
    <w:rsid w:val="00F92089"/>
    <w:rsid w:val="00F920DB"/>
    <w:rsid w:val="00F9212A"/>
    <w:rsid w:val="00F9212F"/>
    <w:rsid w:val="00F921DF"/>
    <w:rsid w:val="00F9248F"/>
    <w:rsid w:val="00F924A5"/>
    <w:rsid w:val="00F927FF"/>
    <w:rsid w:val="00F9283A"/>
    <w:rsid w:val="00F928CB"/>
    <w:rsid w:val="00F92969"/>
    <w:rsid w:val="00F92C13"/>
    <w:rsid w:val="00F92CCB"/>
    <w:rsid w:val="00F92D58"/>
    <w:rsid w:val="00F92D5A"/>
    <w:rsid w:val="00F92D76"/>
    <w:rsid w:val="00F92D97"/>
    <w:rsid w:val="00F92E62"/>
    <w:rsid w:val="00F92EAF"/>
    <w:rsid w:val="00F92ECE"/>
    <w:rsid w:val="00F92FC6"/>
    <w:rsid w:val="00F92FD9"/>
    <w:rsid w:val="00F931EF"/>
    <w:rsid w:val="00F932B4"/>
    <w:rsid w:val="00F93590"/>
    <w:rsid w:val="00F9378E"/>
    <w:rsid w:val="00F9379C"/>
    <w:rsid w:val="00F93865"/>
    <w:rsid w:val="00F93A7F"/>
    <w:rsid w:val="00F93B6D"/>
    <w:rsid w:val="00F93C60"/>
    <w:rsid w:val="00F93CF5"/>
    <w:rsid w:val="00F93DEF"/>
    <w:rsid w:val="00F93E73"/>
    <w:rsid w:val="00F93E80"/>
    <w:rsid w:val="00F93E83"/>
    <w:rsid w:val="00F93E84"/>
    <w:rsid w:val="00F93E9C"/>
    <w:rsid w:val="00F93F8E"/>
    <w:rsid w:val="00F9409F"/>
    <w:rsid w:val="00F940C3"/>
    <w:rsid w:val="00F94158"/>
    <w:rsid w:val="00F94287"/>
    <w:rsid w:val="00F9433C"/>
    <w:rsid w:val="00F944CE"/>
    <w:rsid w:val="00F94770"/>
    <w:rsid w:val="00F948DD"/>
    <w:rsid w:val="00F948F2"/>
    <w:rsid w:val="00F9493D"/>
    <w:rsid w:val="00F94A53"/>
    <w:rsid w:val="00F94A74"/>
    <w:rsid w:val="00F94DD8"/>
    <w:rsid w:val="00F94F31"/>
    <w:rsid w:val="00F9514B"/>
    <w:rsid w:val="00F95189"/>
    <w:rsid w:val="00F9528E"/>
    <w:rsid w:val="00F954B7"/>
    <w:rsid w:val="00F95527"/>
    <w:rsid w:val="00F95754"/>
    <w:rsid w:val="00F95866"/>
    <w:rsid w:val="00F95936"/>
    <w:rsid w:val="00F95B3D"/>
    <w:rsid w:val="00F95B85"/>
    <w:rsid w:val="00F95BEF"/>
    <w:rsid w:val="00F95BF6"/>
    <w:rsid w:val="00F95C2F"/>
    <w:rsid w:val="00F95C6C"/>
    <w:rsid w:val="00F95CB4"/>
    <w:rsid w:val="00F95EA1"/>
    <w:rsid w:val="00F95F07"/>
    <w:rsid w:val="00F95FD2"/>
    <w:rsid w:val="00F9603C"/>
    <w:rsid w:val="00F962B0"/>
    <w:rsid w:val="00F962FE"/>
    <w:rsid w:val="00F963B1"/>
    <w:rsid w:val="00F963F1"/>
    <w:rsid w:val="00F9691F"/>
    <w:rsid w:val="00F9694B"/>
    <w:rsid w:val="00F969CD"/>
    <w:rsid w:val="00F96B5E"/>
    <w:rsid w:val="00F96BEA"/>
    <w:rsid w:val="00F96D45"/>
    <w:rsid w:val="00F96E6F"/>
    <w:rsid w:val="00F96E84"/>
    <w:rsid w:val="00F96EF3"/>
    <w:rsid w:val="00F96FE8"/>
    <w:rsid w:val="00F9705B"/>
    <w:rsid w:val="00F970F0"/>
    <w:rsid w:val="00F97251"/>
    <w:rsid w:val="00F97311"/>
    <w:rsid w:val="00F973D7"/>
    <w:rsid w:val="00F977D1"/>
    <w:rsid w:val="00F9786E"/>
    <w:rsid w:val="00F9793F"/>
    <w:rsid w:val="00F979AF"/>
    <w:rsid w:val="00F97A59"/>
    <w:rsid w:val="00F97B5C"/>
    <w:rsid w:val="00F97CD7"/>
    <w:rsid w:val="00F97D0D"/>
    <w:rsid w:val="00F97E6F"/>
    <w:rsid w:val="00F97E97"/>
    <w:rsid w:val="00F97EFD"/>
    <w:rsid w:val="00F97F5E"/>
    <w:rsid w:val="00F97FE9"/>
    <w:rsid w:val="00FA024D"/>
    <w:rsid w:val="00FA0871"/>
    <w:rsid w:val="00FA094F"/>
    <w:rsid w:val="00FA0B53"/>
    <w:rsid w:val="00FA0CB3"/>
    <w:rsid w:val="00FA0D17"/>
    <w:rsid w:val="00FA0F3A"/>
    <w:rsid w:val="00FA0F53"/>
    <w:rsid w:val="00FA101E"/>
    <w:rsid w:val="00FA1203"/>
    <w:rsid w:val="00FA1431"/>
    <w:rsid w:val="00FA1446"/>
    <w:rsid w:val="00FA15F3"/>
    <w:rsid w:val="00FA16E3"/>
    <w:rsid w:val="00FA16FB"/>
    <w:rsid w:val="00FA1717"/>
    <w:rsid w:val="00FA17E4"/>
    <w:rsid w:val="00FA1892"/>
    <w:rsid w:val="00FA197A"/>
    <w:rsid w:val="00FA19A8"/>
    <w:rsid w:val="00FA1D4D"/>
    <w:rsid w:val="00FA1D9D"/>
    <w:rsid w:val="00FA2110"/>
    <w:rsid w:val="00FA21B2"/>
    <w:rsid w:val="00FA2205"/>
    <w:rsid w:val="00FA23BD"/>
    <w:rsid w:val="00FA24B2"/>
    <w:rsid w:val="00FA24C3"/>
    <w:rsid w:val="00FA26A2"/>
    <w:rsid w:val="00FA2710"/>
    <w:rsid w:val="00FA27A3"/>
    <w:rsid w:val="00FA285B"/>
    <w:rsid w:val="00FA29BF"/>
    <w:rsid w:val="00FA2AF0"/>
    <w:rsid w:val="00FA2B68"/>
    <w:rsid w:val="00FA2B8D"/>
    <w:rsid w:val="00FA2C07"/>
    <w:rsid w:val="00FA2EA5"/>
    <w:rsid w:val="00FA2F5D"/>
    <w:rsid w:val="00FA2FAE"/>
    <w:rsid w:val="00FA30DB"/>
    <w:rsid w:val="00FA31C9"/>
    <w:rsid w:val="00FA3503"/>
    <w:rsid w:val="00FA3538"/>
    <w:rsid w:val="00FA39B0"/>
    <w:rsid w:val="00FA39B9"/>
    <w:rsid w:val="00FA39C1"/>
    <w:rsid w:val="00FA39EA"/>
    <w:rsid w:val="00FA3D0E"/>
    <w:rsid w:val="00FA3E91"/>
    <w:rsid w:val="00FA400B"/>
    <w:rsid w:val="00FA4160"/>
    <w:rsid w:val="00FA4267"/>
    <w:rsid w:val="00FA42C3"/>
    <w:rsid w:val="00FA4361"/>
    <w:rsid w:val="00FA474D"/>
    <w:rsid w:val="00FA4792"/>
    <w:rsid w:val="00FA4975"/>
    <w:rsid w:val="00FA4A85"/>
    <w:rsid w:val="00FA4BCC"/>
    <w:rsid w:val="00FA4C70"/>
    <w:rsid w:val="00FA4C90"/>
    <w:rsid w:val="00FA4FF5"/>
    <w:rsid w:val="00FA525A"/>
    <w:rsid w:val="00FA5448"/>
    <w:rsid w:val="00FA5500"/>
    <w:rsid w:val="00FA56F9"/>
    <w:rsid w:val="00FA5881"/>
    <w:rsid w:val="00FA5A40"/>
    <w:rsid w:val="00FA5EB3"/>
    <w:rsid w:val="00FA5EE3"/>
    <w:rsid w:val="00FA605A"/>
    <w:rsid w:val="00FA6092"/>
    <w:rsid w:val="00FA6114"/>
    <w:rsid w:val="00FA61C6"/>
    <w:rsid w:val="00FA62AC"/>
    <w:rsid w:val="00FA6430"/>
    <w:rsid w:val="00FA6615"/>
    <w:rsid w:val="00FA6635"/>
    <w:rsid w:val="00FA66A5"/>
    <w:rsid w:val="00FA6868"/>
    <w:rsid w:val="00FA692A"/>
    <w:rsid w:val="00FA696C"/>
    <w:rsid w:val="00FA6B06"/>
    <w:rsid w:val="00FA6EC4"/>
    <w:rsid w:val="00FA6FCA"/>
    <w:rsid w:val="00FA7090"/>
    <w:rsid w:val="00FA721E"/>
    <w:rsid w:val="00FA734F"/>
    <w:rsid w:val="00FA7676"/>
    <w:rsid w:val="00FA7691"/>
    <w:rsid w:val="00FA781E"/>
    <w:rsid w:val="00FA786C"/>
    <w:rsid w:val="00FA798D"/>
    <w:rsid w:val="00FA79F9"/>
    <w:rsid w:val="00FA7B71"/>
    <w:rsid w:val="00FA7B8B"/>
    <w:rsid w:val="00FA7BBC"/>
    <w:rsid w:val="00FA7C92"/>
    <w:rsid w:val="00FA7ECF"/>
    <w:rsid w:val="00FB0129"/>
    <w:rsid w:val="00FB025A"/>
    <w:rsid w:val="00FB02C1"/>
    <w:rsid w:val="00FB0386"/>
    <w:rsid w:val="00FB0406"/>
    <w:rsid w:val="00FB0590"/>
    <w:rsid w:val="00FB05B4"/>
    <w:rsid w:val="00FB0882"/>
    <w:rsid w:val="00FB08DF"/>
    <w:rsid w:val="00FB0938"/>
    <w:rsid w:val="00FB09FF"/>
    <w:rsid w:val="00FB0C02"/>
    <w:rsid w:val="00FB0CC0"/>
    <w:rsid w:val="00FB0E1B"/>
    <w:rsid w:val="00FB0F4A"/>
    <w:rsid w:val="00FB10C8"/>
    <w:rsid w:val="00FB115A"/>
    <w:rsid w:val="00FB12BB"/>
    <w:rsid w:val="00FB14AD"/>
    <w:rsid w:val="00FB14DB"/>
    <w:rsid w:val="00FB175A"/>
    <w:rsid w:val="00FB17B3"/>
    <w:rsid w:val="00FB188F"/>
    <w:rsid w:val="00FB18C4"/>
    <w:rsid w:val="00FB1A65"/>
    <w:rsid w:val="00FB1B55"/>
    <w:rsid w:val="00FB1B75"/>
    <w:rsid w:val="00FB1DE4"/>
    <w:rsid w:val="00FB1EDB"/>
    <w:rsid w:val="00FB212A"/>
    <w:rsid w:val="00FB247E"/>
    <w:rsid w:val="00FB25A0"/>
    <w:rsid w:val="00FB25C1"/>
    <w:rsid w:val="00FB2647"/>
    <w:rsid w:val="00FB2902"/>
    <w:rsid w:val="00FB2BE7"/>
    <w:rsid w:val="00FB2C3E"/>
    <w:rsid w:val="00FB2D22"/>
    <w:rsid w:val="00FB2DED"/>
    <w:rsid w:val="00FB3200"/>
    <w:rsid w:val="00FB35D3"/>
    <w:rsid w:val="00FB35F2"/>
    <w:rsid w:val="00FB39E7"/>
    <w:rsid w:val="00FB3AC2"/>
    <w:rsid w:val="00FB3B2A"/>
    <w:rsid w:val="00FB3BC6"/>
    <w:rsid w:val="00FB3C98"/>
    <w:rsid w:val="00FB4026"/>
    <w:rsid w:val="00FB40F6"/>
    <w:rsid w:val="00FB4110"/>
    <w:rsid w:val="00FB415C"/>
    <w:rsid w:val="00FB41E2"/>
    <w:rsid w:val="00FB4325"/>
    <w:rsid w:val="00FB43AE"/>
    <w:rsid w:val="00FB43B5"/>
    <w:rsid w:val="00FB4520"/>
    <w:rsid w:val="00FB454C"/>
    <w:rsid w:val="00FB4559"/>
    <w:rsid w:val="00FB45F1"/>
    <w:rsid w:val="00FB46DF"/>
    <w:rsid w:val="00FB480C"/>
    <w:rsid w:val="00FB4817"/>
    <w:rsid w:val="00FB48D0"/>
    <w:rsid w:val="00FB4AE0"/>
    <w:rsid w:val="00FB4C9F"/>
    <w:rsid w:val="00FB4DAD"/>
    <w:rsid w:val="00FB4F92"/>
    <w:rsid w:val="00FB4FFE"/>
    <w:rsid w:val="00FB5228"/>
    <w:rsid w:val="00FB52FD"/>
    <w:rsid w:val="00FB5790"/>
    <w:rsid w:val="00FB58D6"/>
    <w:rsid w:val="00FB5ADD"/>
    <w:rsid w:val="00FB5BC7"/>
    <w:rsid w:val="00FB5C0A"/>
    <w:rsid w:val="00FB5EC8"/>
    <w:rsid w:val="00FB6038"/>
    <w:rsid w:val="00FB6066"/>
    <w:rsid w:val="00FB649D"/>
    <w:rsid w:val="00FB6877"/>
    <w:rsid w:val="00FB693C"/>
    <w:rsid w:val="00FB69AB"/>
    <w:rsid w:val="00FB6B62"/>
    <w:rsid w:val="00FB6BAF"/>
    <w:rsid w:val="00FB6C38"/>
    <w:rsid w:val="00FB6CB5"/>
    <w:rsid w:val="00FB6CE3"/>
    <w:rsid w:val="00FB6F4C"/>
    <w:rsid w:val="00FB7580"/>
    <w:rsid w:val="00FB75D8"/>
    <w:rsid w:val="00FB7725"/>
    <w:rsid w:val="00FB77B7"/>
    <w:rsid w:val="00FB78C3"/>
    <w:rsid w:val="00FB7AE9"/>
    <w:rsid w:val="00FC0267"/>
    <w:rsid w:val="00FC0275"/>
    <w:rsid w:val="00FC027E"/>
    <w:rsid w:val="00FC0294"/>
    <w:rsid w:val="00FC03E2"/>
    <w:rsid w:val="00FC03EA"/>
    <w:rsid w:val="00FC0570"/>
    <w:rsid w:val="00FC0638"/>
    <w:rsid w:val="00FC07BC"/>
    <w:rsid w:val="00FC0A1A"/>
    <w:rsid w:val="00FC0C12"/>
    <w:rsid w:val="00FC0D19"/>
    <w:rsid w:val="00FC0D41"/>
    <w:rsid w:val="00FC0DCD"/>
    <w:rsid w:val="00FC0F2E"/>
    <w:rsid w:val="00FC106E"/>
    <w:rsid w:val="00FC10E4"/>
    <w:rsid w:val="00FC1126"/>
    <w:rsid w:val="00FC11BE"/>
    <w:rsid w:val="00FC13D3"/>
    <w:rsid w:val="00FC1416"/>
    <w:rsid w:val="00FC1481"/>
    <w:rsid w:val="00FC1499"/>
    <w:rsid w:val="00FC1631"/>
    <w:rsid w:val="00FC1938"/>
    <w:rsid w:val="00FC19B0"/>
    <w:rsid w:val="00FC1A67"/>
    <w:rsid w:val="00FC1BAD"/>
    <w:rsid w:val="00FC1BF8"/>
    <w:rsid w:val="00FC1C52"/>
    <w:rsid w:val="00FC1C90"/>
    <w:rsid w:val="00FC1C9E"/>
    <w:rsid w:val="00FC1D26"/>
    <w:rsid w:val="00FC1E0A"/>
    <w:rsid w:val="00FC20E6"/>
    <w:rsid w:val="00FC2104"/>
    <w:rsid w:val="00FC21F6"/>
    <w:rsid w:val="00FC228C"/>
    <w:rsid w:val="00FC22A5"/>
    <w:rsid w:val="00FC231B"/>
    <w:rsid w:val="00FC2394"/>
    <w:rsid w:val="00FC2508"/>
    <w:rsid w:val="00FC2637"/>
    <w:rsid w:val="00FC279F"/>
    <w:rsid w:val="00FC27CF"/>
    <w:rsid w:val="00FC28BF"/>
    <w:rsid w:val="00FC2988"/>
    <w:rsid w:val="00FC2A8E"/>
    <w:rsid w:val="00FC2B0D"/>
    <w:rsid w:val="00FC2C8A"/>
    <w:rsid w:val="00FC2D3F"/>
    <w:rsid w:val="00FC2DA7"/>
    <w:rsid w:val="00FC2E7C"/>
    <w:rsid w:val="00FC2E81"/>
    <w:rsid w:val="00FC2F28"/>
    <w:rsid w:val="00FC2F55"/>
    <w:rsid w:val="00FC3019"/>
    <w:rsid w:val="00FC30A6"/>
    <w:rsid w:val="00FC3104"/>
    <w:rsid w:val="00FC3136"/>
    <w:rsid w:val="00FC3315"/>
    <w:rsid w:val="00FC33BB"/>
    <w:rsid w:val="00FC35AC"/>
    <w:rsid w:val="00FC371B"/>
    <w:rsid w:val="00FC37B4"/>
    <w:rsid w:val="00FC3A87"/>
    <w:rsid w:val="00FC3B93"/>
    <w:rsid w:val="00FC3E91"/>
    <w:rsid w:val="00FC3EE2"/>
    <w:rsid w:val="00FC3F32"/>
    <w:rsid w:val="00FC3FAC"/>
    <w:rsid w:val="00FC4020"/>
    <w:rsid w:val="00FC40D7"/>
    <w:rsid w:val="00FC4509"/>
    <w:rsid w:val="00FC4675"/>
    <w:rsid w:val="00FC4809"/>
    <w:rsid w:val="00FC480A"/>
    <w:rsid w:val="00FC482F"/>
    <w:rsid w:val="00FC483F"/>
    <w:rsid w:val="00FC488C"/>
    <w:rsid w:val="00FC489B"/>
    <w:rsid w:val="00FC4A28"/>
    <w:rsid w:val="00FC4BD5"/>
    <w:rsid w:val="00FC4BFF"/>
    <w:rsid w:val="00FC4C27"/>
    <w:rsid w:val="00FC4D6B"/>
    <w:rsid w:val="00FC4DE7"/>
    <w:rsid w:val="00FC4F85"/>
    <w:rsid w:val="00FC4FC8"/>
    <w:rsid w:val="00FC4FD2"/>
    <w:rsid w:val="00FC5005"/>
    <w:rsid w:val="00FC502B"/>
    <w:rsid w:val="00FC5055"/>
    <w:rsid w:val="00FC50BF"/>
    <w:rsid w:val="00FC510E"/>
    <w:rsid w:val="00FC5136"/>
    <w:rsid w:val="00FC5158"/>
    <w:rsid w:val="00FC544B"/>
    <w:rsid w:val="00FC5501"/>
    <w:rsid w:val="00FC5528"/>
    <w:rsid w:val="00FC5758"/>
    <w:rsid w:val="00FC57A8"/>
    <w:rsid w:val="00FC57B0"/>
    <w:rsid w:val="00FC585A"/>
    <w:rsid w:val="00FC5887"/>
    <w:rsid w:val="00FC5AC6"/>
    <w:rsid w:val="00FC5BE1"/>
    <w:rsid w:val="00FC5C06"/>
    <w:rsid w:val="00FC5D68"/>
    <w:rsid w:val="00FC5DF3"/>
    <w:rsid w:val="00FC5DFC"/>
    <w:rsid w:val="00FC5FC2"/>
    <w:rsid w:val="00FC5FC4"/>
    <w:rsid w:val="00FC6122"/>
    <w:rsid w:val="00FC6335"/>
    <w:rsid w:val="00FC6430"/>
    <w:rsid w:val="00FC644E"/>
    <w:rsid w:val="00FC664C"/>
    <w:rsid w:val="00FC688A"/>
    <w:rsid w:val="00FC68BB"/>
    <w:rsid w:val="00FC6C61"/>
    <w:rsid w:val="00FC6C68"/>
    <w:rsid w:val="00FC6F87"/>
    <w:rsid w:val="00FC6FE9"/>
    <w:rsid w:val="00FC7000"/>
    <w:rsid w:val="00FC7147"/>
    <w:rsid w:val="00FC7397"/>
    <w:rsid w:val="00FC7476"/>
    <w:rsid w:val="00FC77C3"/>
    <w:rsid w:val="00FC77E6"/>
    <w:rsid w:val="00FC78FC"/>
    <w:rsid w:val="00FC79E3"/>
    <w:rsid w:val="00FC7A43"/>
    <w:rsid w:val="00FC7E5C"/>
    <w:rsid w:val="00FC7EBF"/>
    <w:rsid w:val="00FC7F22"/>
    <w:rsid w:val="00FD0087"/>
    <w:rsid w:val="00FD012E"/>
    <w:rsid w:val="00FD03DD"/>
    <w:rsid w:val="00FD03FF"/>
    <w:rsid w:val="00FD044A"/>
    <w:rsid w:val="00FD0467"/>
    <w:rsid w:val="00FD066B"/>
    <w:rsid w:val="00FD066D"/>
    <w:rsid w:val="00FD067E"/>
    <w:rsid w:val="00FD08F7"/>
    <w:rsid w:val="00FD0A0D"/>
    <w:rsid w:val="00FD0A10"/>
    <w:rsid w:val="00FD0AE0"/>
    <w:rsid w:val="00FD0B79"/>
    <w:rsid w:val="00FD0F81"/>
    <w:rsid w:val="00FD122B"/>
    <w:rsid w:val="00FD13A3"/>
    <w:rsid w:val="00FD1526"/>
    <w:rsid w:val="00FD152C"/>
    <w:rsid w:val="00FD15B9"/>
    <w:rsid w:val="00FD1932"/>
    <w:rsid w:val="00FD198C"/>
    <w:rsid w:val="00FD1999"/>
    <w:rsid w:val="00FD19DA"/>
    <w:rsid w:val="00FD1AC8"/>
    <w:rsid w:val="00FD1B35"/>
    <w:rsid w:val="00FD1DA6"/>
    <w:rsid w:val="00FD1EB1"/>
    <w:rsid w:val="00FD2146"/>
    <w:rsid w:val="00FD21B7"/>
    <w:rsid w:val="00FD21CB"/>
    <w:rsid w:val="00FD222A"/>
    <w:rsid w:val="00FD2240"/>
    <w:rsid w:val="00FD2249"/>
    <w:rsid w:val="00FD2322"/>
    <w:rsid w:val="00FD23F7"/>
    <w:rsid w:val="00FD2564"/>
    <w:rsid w:val="00FD2755"/>
    <w:rsid w:val="00FD2A29"/>
    <w:rsid w:val="00FD2B67"/>
    <w:rsid w:val="00FD2BC2"/>
    <w:rsid w:val="00FD2C86"/>
    <w:rsid w:val="00FD2D17"/>
    <w:rsid w:val="00FD2DD8"/>
    <w:rsid w:val="00FD2E05"/>
    <w:rsid w:val="00FD2E43"/>
    <w:rsid w:val="00FD3188"/>
    <w:rsid w:val="00FD324F"/>
    <w:rsid w:val="00FD3446"/>
    <w:rsid w:val="00FD3495"/>
    <w:rsid w:val="00FD36FE"/>
    <w:rsid w:val="00FD37D3"/>
    <w:rsid w:val="00FD383B"/>
    <w:rsid w:val="00FD396E"/>
    <w:rsid w:val="00FD39CF"/>
    <w:rsid w:val="00FD3A00"/>
    <w:rsid w:val="00FD3B2F"/>
    <w:rsid w:val="00FD3F47"/>
    <w:rsid w:val="00FD4049"/>
    <w:rsid w:val="00FD42F8"/>
    <w:rsid w:val="00FD43D7"/>
    <w:rsid w:val="00FD4431"/>
    <w:rsid w:val="00FD45CD"/>
    <w:rsid w:val="00FD47C9"/>
    <w:rsid w:val="00FD4B24"/>
    <w:rsid w:val="00FD4B55"/>
    <w:rsid w:val="00FD4B7F"/>
    <w:rsid w:val="00FD4C23"/>
    <w:rsid w:val="00FD4E1E"/>
    <w:rsid w:val="00FD4EEA"/>
    <w:rsid w:val="00FD4FCA"/>
    <w:rsid w:val="00FD505C"/>
    <w:rsid w:val="00FD5277"/>
    <w:rsid w:val="00FD52B2"/>
    <w:rsid w:val="00FD536C"/>
    <w:rsid w:val="00FD5421"/>
    <w:rsid w:val="00FD5545"/>
    <w:rsid w:val="00FD5679"/>
    <w:rsid w:val="00FD5751"/>
    <w:rsid w:val="00FD575A"/>
    <w:rsid w:val="00FD5B90"/>
    <w:rsid w:val="00FD5DCB"/>
    <w:rsid w:val="00FD5FD2"/>
    <w:rsid w:val="00FD61EA"/>
    <w:rsid w:val="00FD622A"/>
    <w:rsid w:val="00FD63E5"/>
    <w:rsid w:val="00FD65EE"/>
    <w:rsid w:val="00FD66D6"/>
    <w:rsid w:val="00FD671C"/>
    <w:rsid w:val="00FD6731"/>
    <w:rsid w:val="00FD67BB"/>
    <w:rsid w:val="00FD6806"/>
    <w:rsid w:val="00FD6821"/>
    <w:rsid w:val="00FD6840"/>
    <w:rsid w:val="00FD6886"/>
    <w:rsid w:val="00FD6BD4"/>
    <w:rsid w:val="00FD6CA5"/>
    <w:rsid w:val="00FD6EA5"/>
    <w:rsid w:val="00FD6EE9"/>
    <w:rsid w:val="00FD6FD7"/>
    <w:rsid w:val="00FD7330"/>
    <w:rsid w:val="00FD74C7"/>
    <w:rsid w:val="00FD761B"/>
    <w:rsid w:val="00FD7752"/>
    <w:rsid w:val="00FD7770"/>
    <w:rsid w:val="00FD77D6"/>
    <w:rsid w:val="00FD7845"/>
    <w:rsid w:val="00FD7948"/>
    <w:rsid w:val="00FD796F"/>
    <w:rsid w:val="00FD79E0"/>
    <w:rsid w:val="00FD7A6B"/>
    <w:rsid w:val="00FD7B90"/>
    <w:rsid w:val="00FD7BE4"/>
    <w:rsid w:val="00FD7C04"/>
    <w:rsid w:val="00FD7D67"/>
    <w:rsid w:val="00FD7D79"/>
    <w:rsid w:val="00FD7DF2"/>
    <w:rsid w:val="00FD7E79"/>
    <w:rsid w:val="00FD7F4A"/>
    <w:rsid w:val="00FD7FCC"/>
    <w:rsid w:val="00FE0089"/>
    <w:rsid w:val="00FE04BC"/>
    <w:rsid w:val="00FE04CD"/>
    <w:rsid w:val="00FE0538"/>
    <w:rsid w:val="00FE083D"/>
    <w:rsid w:val="00FE09C8"/>
    <w:rsid w:val="00FE0A9A"/>
    <w:rsid w:val="00FE0AC6"/>
    <w:rsid w:val="00FE0AFF"/>
    <w:rsid w:val="00FE0B17"/>
    <w:rsid w:val="00FE0E72"/>
    <w:rsid w:val="00FE0ED6"/>
    <w:rsid w:val="00FE0EDC"/>
    <w:rsid w:val="00FE0EEE"/>
    <w:rsid w:val="00FE105D"/>
    <w:rsid w:val="00FE1060"/>
    <w:rsid w:val="00FE1574"/>
    <w:rsid w:val="00FE167A"/>
    <w:rsid w:val="00FE16A3"/>
    <w:rsid w:val="00FE1782"/>
    <w:rsid w:val="00FE17FA"/>
    <w:rsid w:val="00FE1820"/>
    <w:rsid w:val="00FE1968"/>
    <w:rsid w:val="00FE1B5F"/>
    <w:rsid w:val="00FE1D4F"/>
    <w:rsid w:val="00FE1D58"/>
    <w:rsid w:val="00FE1D79"/>
    <w:rsid w:val="00FE1E4F"/>
    <w:rsid w:val="00FE1FCF"/>
    <w:rsid w:val="00FE1FD1"/>
    <w:rsid w:val="00FE2020"/>
    <w:rsid w:val="00FE2098"/>
    <w:rsid w:val="00FE20AF"/>
    <w:rsid w:val="00FE2136"/>
    <w:rsid w:val="00FE214F"/>
    <w:rsid w:val="00FE217D"/>
    <w:rsid w:val="00FE2191"/>
    <w:rsid w:val="00FE2227"/>
    <w:rsid w:val="00FE239A"/>
    <w:rsid w:val="00FE2402"/>
    <w:rsid w:val="00FE2442"/>
    <w:rsid w:val="00FE2494"/>
    <w:rsid w:val="00FE2664"/>
    <w:rsid w:val="00FE28DD"/>
    <w:rsid w:val="00FE291E"/>
    <w:rsid w:val="00FE2AC8"/>
    <w:rsid w:val="00FE2E6C"/>
    <w:rsid w:val="00FE2FB0"/>
    <w:rsid w:val="00FE2FE0"/>
    <w:rsid w:val="00FE3279"/>
    <w:rsid w:val="00FE33C3"/>
    <w:rsid w:val="00FE3923"/>
    <w:rsid w:val="00FE3A64"/>
    <w:rsid w:val="00FE3DF3"/>
    <w:rsid w:val="00FE3EA0"/>
    <w:rsid w:val="00FE3F9F"/>
    <w:rsid w:val="00FE40AD"/>
    <w:rsid w:val="00FE4267"/>
    <w:rsid w:val="00FE44B0"/>
    <w:rsid w:val="00FE4553"/>
    <w:rsid w:val="00FE4597"/>
    <w:rsid w:val="00FE47CD"/>
    <w:rsid w:val="00FE498D"/>
    <w:rsid w:val="00FE4C06"/>
    <w:rsid w:val="00FE4C8C"/>
    <w:rsid w:val="00FE4E70"/>
    <w:rsid w:val="00FE4F88"/>
    <w:rsid w:val="00FE50C3"/>
    <w:rsid w:val="00FE532C"/>
    <w:rsid w:val="00FE53A6"/>
    <w:rsid w:val="00FE55BF"/>
    <w:rsid w:val="00FE55C4"/>
    <w:rsid w:val="00FE5655"/>
    <w:rsid w:val="00FE56A7"/>
    <w:rsid w:val="00FE586F"/>
    <w:rsid w:val="00FE58DA"/>
    <w:rsid w:val="00FE5A1F"/>
    <w:rsid w:val="00FE5C1B"/>
    <w:rsid w:val="00FE5D59"/>
    <w:rsid w:val="00FE5D91"/>
    <w:rsid w:val="00FE5E89"/>
    <w:rsid w:val="00FE6110"/>
    <w:rsid w:val="00FE62E2"/>
    <w:rsid w:val="00FE652A"/>
    <w:rsid w:val="00FE655E"/>
    <w:rsid w:val="00FE68AC"/>
    <w:rsid w:val="00FE6AF3"/>
    <w:rsid w:val="00FE6BA6"/>
    <w:rsid w:val="00FE6BD3"/>
    <w:rsid w:val="00FE6BE8"/>
    <w:rsid w:val="00FE6C15"/>
    <w:rsid w:val="00FE6CD3"/>
    <w:rsid w:val="00FE6D39"/>
    <w:rsid w:val="00FE6E04"/>
    <w:rsid w:val="00FE6E6E"/>
    <w:rsid w:val="00FE6F90"/>
    <w:rsid w:val="00FE6FB6"/>
    <w:rsid w:val="00FE7059"/>
    <w:rsid w:val="00FE72AA"/>
    <w:rsid w:val="00FE7317"/>
    <w:rsid w:val="00FE7378"/>
    <w:rsid w:val="00FE7417"/>
    <w:rsid w:val="00FE7703"/>
    <w:rsid w:val="00FE77B2"/>
    <w:rsid w:val="00FE7828"/>
    <w:rsid w:val="00FE7848"/>
    <w:rsid w:val="00FE79AB"/>
    <w:rsid w:val="00FE7A1B"/>
    <w:rsid w:val="00FE7A42"/>
    <w:rsid w:val="00FE7BD5"/>
    <w:rsid w:val="00FE7C21"/>
    <w:rsid w:val="00FE7D3F"/>
    <w:rsid w:val="00FE7DBB"/>
    <w:rsid w:val="00FE7E6F"/>
    <w:rsid w:val="00FF0121"/>
    <w:rsid w:val="00FF015C"/>
    <w:rsid w:val="00FF0294"/>
    <w:rsid w:val="00FF03A9"/>
    <w:rsid w:val="00FF04DE"/>
    <w:rsid w:val="00FF0542"/>
    <w:rsid w:val="00FF07F2"/>
    <w:rsid w:val="00FF0E3F"/>
    <w:rsid w:val="00FF0EE4"/>
    <w:rsid w:val="00FF0F52"/>
    <w:rsid w:val="00FF1054"/>
    <w:rsid w:val="00FF14D4"/>
    <w:rsid w:val="00FF1687"/>
    <w:rsid w:val="00FF16FC"/>
    <w:rsid w:val="00FF1704"/>
    <w:rsid w:val="00FF17C4"/>
    <w:rsid w:val="00FF180C"/>
    <w:rsid w:val="00FF18DE"/>
    <w:rsid w:val="00FF1A05"/>
    <w:rsid w:val="00FF1A0B"/>
    <w:rsid w:val="00FF1A79"/>
    <w:rsid w:val="00FF1C75"/>
    <w:rsid w:val="00FF1D47"/>
    <w:rsid w:val="00FF1E05"/>
    <w:rsid w:val="00FF1E3F"/>
    <w:rsid w:val="00FF1E8D"/>
    <w:rsid w:val="00FF1E95"/>
    <w:rsid w:val="00FF2028"/>
    <w:rsid w:val="00FF20A6"/>
    <w:rsid w:val="00FF2275"/>
    <w:rsid w:val="00FF22E4"/>
    <w:rsid w:val="00FF23E8"/>
    <w:rsid w:val="00FF29E4"/>
    <w:rsid w:val="00FF2B41"/>
    <w:rsid w:val="00FF2C4A"/>
    <w:rsid w:val="00FF2CC7"/>
    <w:rsid w:val="00FF2D4C"/>
    <w:rsid w:val="00FF2E5F"/>
    <w:rsid w:val="00FF2E71"/>
    <w:rsid w:val="00FF2F2E"/>
    <w:rsid w:val="00FF3014"/>
    <w:rsid w:val="00FF3089"/>
    <w:rsid w:val="00FF32C9"/>
    <w:rsid w:val="00FF3364"/>
    <w:rsid w:val="00FF34B6"/>
    <w:rsid w:val="00FF3714"/>
    <w:rsid w:val="00FF3785"/>
    <w:rsid w:val="00FF37A2"/>
    <w:rsid w:val="00FF38F0"/>
    <w:rsid w:val="00FF3973"/>
    <w:rsid w:val="00FF3B50"/>
    <w:rsid w:val="00FF3BBB"/>
    <w:rsid w:val="00FF4165"/>
    <w:rsid w:val="00FF425B"/>
    <w:rsid w:val="00FF4446"/>
    <w:rsid w:val="00FF44C6"/>
    <w:rsid w:val="00FF456D"/>
    <w:rsid w:val="00FF4653"/>
    <w:rsid w:val="00FF4675"/>
    <w:rsid w:val="00FF46DE"/>
    <w:rsid w:val="00FF47BE"/>
    <w:rsid w:val="00FF4A3A"/>
    <w:rsid w:val="00FF4D00"/>
    <w:rsid w:val="00FF4DC6"/>
    <w:rsid w:val="00FF5025"/>
    <w:rsid w:val="00FF5044"/>
    <w:rsid w:val="00FF5114"/>
    <w:rsid w:val="00FF5259"/>
    <w:rsid w:val="00FF5266"/>
    <w:rsid w:val="00FF5292"/>
    <w:rsid w:val="00FF52EF"/>
    <w:rsid w:val="00FF5394"/>
    <w:rsid w:val="00FF55B4"/>
    <w:rsid w:val="00FF5693"/>
    <w:rsid w:val="00FF56A1"/>
    <w:rsid w:val="00FF56D9"/>
    <w:rsid w:val="00FF573F"/>
    <w:rsid w:val="00FF5845"/>
    <w:rsid w:val="00FF598A"/>
    <w:rsid w:val="00FF59F8"/>
    <w:rsid w:val="00FF5DA6"/>
    <w:rsid w:val="00FF5DAC"/>
    <w:rsid w:val="00FF5F5B"/>
    <w:rsid w:val="00FF5FC9"/>
    <w:rsid w:val="00FF6059"/>
    <w:rsid w:val="00FF608D"/>
    <w:rsid w:val="00FF612C"/>
    <w:rsid w:val="00FF6140"/>
    <w:rsid w:val="00FF61CB"/>
    <w:rsid w:val="00FF634C"/>
    <w:rsid w:val="00FF645F"/>
    <w:rsid w:val="00FF64F1"/>
    <w:rsid w:val="00FF6504"/>
    <w:rsid w:val="00FF656B"/>
    <w:rsid w:val="00FF6625"/>
    <w:rsid w:val="00FF66A5"/>
    <w:rsid w:val="00FF6838"/>
    <w:rsid w:val="00FF68DF"/>
    <w:rsid w:val="00FF6C15"/>
    <w:rsid w:val="00FF6C50"/>
    <w:rsid w:val="00FF6C95"/>
    <w:rsid w:val="00FF6C98"/>
    <w:rsid w:val="00FF6D78"/>
    <w:rsid w:val="00FF6E06"/>
    <w:rsid w:val="00FF6E38"/>
    <w:rsid w:val="00FF6E3A"/>
    <w:rsid w:val="00FF6E7B"/>
    <w:rsid w:val="00FF6FD8"/>
    <w:rsid w:val="00FF70C4"/>
    <w:rsid w:val="00FF70D4"/>
    <w:rsid w:val="00FF7161"/>
    <w:rsid w:val="00FF719C"/>
    <w:rsid w:val="00FF72AC"/>
    <w:rsid w:val="00FF72C3"/>
    <w:rsid w:val="00FF7715"/>
    <w:rsid w:val="00FF780A"/>
    <w:rsid w:val="00FF798C"/>
    <w:rsid w:val="00FF7A38"/>
    <w:rsid w:val="00FF7B55"/>
    <w:rsid w:val="00FF7D92"/>
    <w:rsid w:val="00FF7E50"/>
    <w:rsid w:val="00FF7F74"/>
    <w:rsid w:val="010573A9"/>
    <w:rsid w:val="010FDC0B"/>
    <w:rsid w:val="01298B65"/>
    <w:rsid w:val="012A8450"/>
    <w:rsid w:val="013BF62B"/>
    <w:rsid w:val="013DA845"/>
    <w:rsid w:val="014C65EF"/>
    <w:rsid w:val="015067A2"/>
    <w:rsid w:val="0169E36F"/>
    <w:rsid w:val="016F7C9E"/>
    <w:rsid w:val="017BA792"/>
    <w:rsid w:val="017FE2B8"/>
    <w:rsid w:val="018B44CF"/>
    <w:rsid w:val="019CA3AB"/>
    <w:rsid w:val="01A8F778"/>
    <w:rsid w:val="01B9E343"/>
    <w:rsid w:val="01CD6ECB"/>
    <w:rsid w:val="01D43839"/>
    <w:rsid w:val="01D82415"/>
    <w:rsid w:val="01DE92AA"/>
    <w:rsid w:val="0208B49E"/>
    <w:rsid w:val="0212DE84"/>
    <w:rsid w:val="021BE7BE"/>
    <w:rsid w:val="022ECC4D"/>
    <w:rsid w:val="0238B610"/>
    <w:rsid w:val="0239B520"/>
    <w:rsid w:val="023DF240"/>
    <w:rsid w:val="02466D4C"/>
    <w:rsid w:val="024B088E"/>
    <w:rsid w:val="025298D5"/>
    <w:rsid w:val="0254DC1F"/>
    <w:rsid w:val="02699DA3"/>
    <w:rsid w:val="026C4B4B"/>
    <w:rsid w:val="02700681"/>
    <w:rsid w:val="02714B7B"/>
    <w:rsid w:val="028B17AF"/>
    <w:rsid w:val="02A0BF2B"/>
    <w:rsid w:val="02A1F6C1"/>
    <w:rsid w:val="02B39091"/>
    <w:rsid w:val="02BBB167"/>
    <w:rsid w:val="02C20AE9"/>
    <w:rsid w:val="02C9DCBC"/>
    <w:rsid w:val="02D06002"/>
    <w:rsid w:val="02D67E64"/>
    <w:rsid w:val="02D8DB71"/>
    <w:rsid w:val="02DABC22"/>
    <w:rsid w:val="02E9E472"/>
    <w:rsid w:val="02EC33F2"/>
    <w:rsid w:val="03010981"/>
    <w:rsid w:val="0315AF6A"/>
    <w:rsid w:val="0322A02F"/>
    <w:rsid w:val="0327A353"/>
    <w:rsid w:val="032CEE3A"/>
    <w:rsid w:val="0334536A"/>
    <w:rsid w:val="033F840A"/>
    <w:rsid w:val="03458B53"/>
    <w:rsid w:val="03497146"/>
    <w:rsid w:val="03560774"/>
    <w:rsid w:val="035FF50E"/>
    <w:rsid w:val="0360C0C0"/>
    <w:rsid w:val="03644CF3"/>
    <w:rsid w:val="0366D93F"/>
    <w:rsid w:val="036E90A4"/>
    <w:rsid w:val="0374F811"/>
    <w:rsid w:val="038807A0"/>
    <w:rsid w:val="038EA517"/>
    <w:rsid w:val="0399052A"/>
    <w:rsid w:val="0399920A"/>
    <w:rsid w:val="03B0455D"/>
    <w:rsid w:val="03D44154"/>
    <w:rsid w:val="03E4EC85"/>
    <w:rsid w:val="03EC4B43"/>
    <w:rsid w:val="03F4E6AD"/>
    <w:rsid w:val="03F51093"/>
    <w:rsid w:val="03FD1D71"/>
    <w:rsid w:val="040205A1"/>
    <w:rsid w:val="0408763E"/>
    <w:rsid w:val="04185643"/>
    <w:rsid w:val="042FD950"/>
    <w:rsid w:val="0446272E"/>
    <w:rsid w:val="044F4983"/>
    <w:rsid w:val="0450EF9A"/>
    <w:rsid w:val="0451FBEC"/>
    <w:rsid w:val="046BCA4E"/>
    <w:rsid w:val="0476AB86"/>
    <w:rsid w:val="0476B61E"/>
    <w:rsid w:val="048EBA23"/>
    <w:rsid w:val="049A4A2C"/>
    <w:rsid w:val="04B07301"/>
    <w:rsid w:val="04B1187D"/>
    <w:rsid w:val="04BA4A64"/>
    <w:rsid w:val="04C5FD17"/>
    <w:rsid w:val="04C9FCFE"/>
    <w:rsid w:val="04CAF621"/>
    <w:rsid w:val="04CD6E1D"/>
    <w:rsid w:val="04D03534"/>
    <w:rsid w:val="04D9CC9D"/>
    <w:rsid w:val="04E1BFE2"/>
    <w:rsid w:val="04EAFCDC"/>
    <w:rsid w:val="0501473E"/>
    <w:rsid w:val="05128294"/>
    <w:rsid w:val="051EB25C"/>
    <w:rsid w:val="0522B5B2"/>
    <w:rsid w:val="0525C794"/>
    <w:rsid w:val="0528D2B7"/>
    <w:rsid w:val="052A203D"/>
    <w:rsid w:val="053ACA1B"/>
    <w:rsid w:val="0546721A"/>
    <w:rsid w:val="054893E8"/>
    <w:rsid w:val="055B2AE5"/>
    <w:rsid w:val="055D1FBB"/>
    <w:rsid w:val="05631D0B"/>
    <w:rsid w:val="056C1AEC"/>
    <w:rsid w:val="056E06CF"/>
    <w:rsid w:val="057551DF"/>
    <w:rsid w:val="0577A16B"/>
    <w:rsid w:val="0586B176"/>
    <w:rsid w:val="058E6B6B"/>
    <w:rsid w:val="05A6139D"/>
    <w:rsid w:val="05A6ADC7"/>
    <w:rsid w:val="05B42F65"/>
    <w:rsid w:val="05B62B99"/>
    <w:rsid w:val="05D3EFB7"/>
    <w:rsid w:val="05F4288B"/>
    <w:rsid w:val="060EBE77"/>
    <w:rsid w:val="0614D94F"/>
    <w:rsid w:val="061D9F50"/>
    <w:rsid w:val="062ADFE9"/>
    <w:rsid w:val="063277C3"/>
    <w:rsid w:val="0633FA16"/>
    <w:rsid w:val="0642BF46"/>
    <w:rsid w:val="06578E81"/>
    <w:rsid w:val="066563E1"/>
    <w:rsid w:val="06681635"/>
    <w:rsid w:val="06692EBF"/>
    <w:rsid w:val="066BBE6D"/>
    <w:rsid w:val="067CAA01"/>
    <w:rsid w:val="06902621"/>
    <w:rsid w:val="069C459C"/>
    <w:rsid w:val="06A37F3B"/>
    <w:rsid w:val="06B5D6D8"/>
    <w:rsid w:val="06BA199E"/>
    <w:rsid w:val="06BDA420"/>
    <w:rsid w:val="06BF40B4"/>
    <w:rsid w:val="06CFA0C8"/>
    <w:rsid w:val="06CFCD81"/>
    <w:rsid w:val="06D0F38D"/>
    <w:rsid w:val="06D187D9"/>
    <w:rsid w:val="06DAACB6"/>
    <w:rsid w:val="06DB87CF"/>
    <w:rsid w:val="06DFDC55"/>
    <w:rsid w:val="06E7874D"/>
    <w:rsid w:val="06F1FD20"/>
    <w:rsid w:val="06F4234C"/>
    <w:rsid w:val="06F9B6B7"/>
    <w:rsid w:val="06FD5FCD"/>
    <w:rsid w:val="0702816A"/>
    <w:rsid w:val="070E57A5"/>
    <w:rsid w:val="0721DE3D"/>
    <w:rsid w:val="072281D7"/>
    <w:rsid w:val="07396CBA"/>
    <w:rsid w:val="073B895E"/>
    <w:rsid w:val="073D3333"/>
    <w:rsid w:val="0750EF6F"/>
    <w:rsid w:val="075AC6DE"/>
    <w:rsid w:val="075B2B85"/>
    <w:rsid w:val="077141E4"/>
    <w:rsid w:val="07727B6C"/>
    <w:rsid w:val="077A61D1"/>
    <w:rsid w:val="078EB509"/>
    <w:rsid w:val="0798B889"/>
    <w:rsid w:val="079D927B"/>
    <w:rsid w:val="07A5C0CF"/>
    <w:rsid w:val="07AA8ED8"/>
    <w:rsid w:val="07AFB829"/>
    <w:rsid w:val="07B09629"/>
    <w:rsid w:val="07B34D92"/>
    <w:rsid w:val="07BB82DF"/>
    <w:rsid w:val="07C01887"/>
    <w:rsid w:val="07C19436"/>
    <w:rsid w:val="07D53F0F"/>
    <w:rsid w:val="07DA9A25"/>
    <w:rsid w:val="07E50AAC"/>
    <w:rsid w:val="07EEED9C"/>
    <w:rsid w:val="07F9DE34"/>
    <w:rsid w:val="08081A16"/>
    <w:rsid w:val="081819E7"/>
    <w:rsid w:val="0830A732"/>
    <w:rsid w:val="08326CD3"/>
    <w:rsid w:val="083542FC"/>
    <w:rsid w:val="0842ECEC"/>
    <w:rsid w:val="08455811"/>
    <w:rsid w:val="0853DAD0"/>
    <w:rsid w:val="08653DE0"/>
    <w:rsid w:val="086A7377"/>
    <w:rsid w:val="086C2AD3"/>
    <w:rsid w:val="088B0D26"/>
    <w:rsid w:val="088E3A5D"/>
    <w:rsid w:val="0893B296"/>
    <w:rsid w:val="089B646F"/>
    <w:rsid w:val="089C043C"/>
    <w:rsid w:val="08A0FB4F"/>
    <w:rsid w:val="08B6FD25"/>
    <w:rsid w:val="08C205C8"/>
    <w:rsid w:val="08CEEA1F"/>
    <w:rsid w:val="08E41208"/>
    <w:rsid w:val="08ED0050"/>
    <w:rsid w:val="08F0FCD3"/>
    <w:rsid w:val="08F6FBE6"/>
    <w:rsid w:val="09054A9C"/>
    <w:rsid w:val="091FC3F5"/>
    <w:rsid w:val="09252815"/>
    <w:rsid w:val="094D21D6"/>
    <w:rsid w:val="0964959B"/>
    <w:rsid w:val="09702BCD"/>
    <w:rsid w:val="097A243F"/>
    <w:rsid w:val="09866821"/>
    <w:rsid w:val="09A881D3"/>
    <w:rsid w:val="09A99698"/>
    <w:rsid w:val="09B3DFE4"/>
    <w:rsid w:val="09BF5571"/>
    <w:rsid w:val="09CAE238"/>
    <w:rsid w:val="09CCB815"/>
    <w:rsid w:val="09D128AA"/>
    <w:rsid w:val="09D6C2A4"/>
    <w:rsid w:val="09F65A2D"/>
    <w:rsid w:val="0A002752"/>
    <w:rsid w:val="0A007585"/>
    <w:rsid w:val="0A00B432"/>
    <w:rsid w:val="0A077345"/>
    <w:rsid w:val="0A0BE2FC"/>
    <w:rsid w:val="0A0F30E2"/>
    <w:rsid w:val="0A23A293"/>
    <w:rsid w:val="0A33C1FA"/>
    <w:rsid w:val="0A345C76"/>
    <w:rsid w:val="0A58D0D1"/>
    <w:rsid w:val="0A5E785C"/>
    <w:rsid w:val="0A5E8F65"/>
    <w:rsid w:val="0A6A2DDE"/>
    <w:rsid w:val="0A6A580B"/>
    <w:rsid w:val="0A80DDD5"/>
    <w:rsid w:val="0A8FE69F"/>
    <w:rsid w:val="0A9528E9"/>
    <w:rsid w:val="0AA2740A"/>
    <w:rsid w:val="0AA4BFDC"/>
    <w:rsid w:val="0AAB33A7"/>
    <w:rsid w:val="0AB11030"/>
    <w:rsid w:val="0AC32385"/>
    <w:rsid w:val="0ACC8133"/>
    <w:rsid w:val="0AD3548F"/>
    <w:rsid w:val="0AF79D58"/>
    <w:rsid w:val="0AF9EF2A"/>
    <w:rsid w:val="0AFB3328"/>
    <w:rsid w:val="0B1248FF"/>
    <w:rsid w:val="0B46F4DD"/>
    <w:rsid w:val="0B5B62A1"/>
    <w:rsid w:val="0B6030CE"/>
    <w:rsid w:val="0B7665B2"/>
    <w:rsid w:val="0B945A06"/>
    <w:rsid w:val="0B9BD148"/>
    <w:rsid w:val="0BA8C867"/>
    <w:rsid w:val="0BB68B6E"/>
    <w:rsid w:val="0BCF1EEC"/>
    <w:rsid w:val="0BEA6EC4"/>
    <w:rsid w:val="0BEE48DC"/>
    <w:rsid w:val="0BFA5FC6"/>
    <w:rsid w:val="0BFC8F9C"/>
    <w:rsid w:val="0BFFFA25"/>
    <w:rsid w:val="0C054C6D"/>
    <w:rsid w:val="0C18867D"/>
    <w:rsid w:val="0C255DAE"/>
    <w:rsid w:val="0C2BB700"/>
    <w:rsid w:val="0C2C965E"/>
    <w:rsid w:val="0C307031"/>
    <w:rsid w:val="0C350346"/>
    <w:rsid w:val="0C4DAECF"/>
    <w:rsid w:val="0C4E44F4"/>
    <w:rsid w:val="0C4FB75A"/>
    <w:rsid w:val="0C590F58"/>
    <w:rsid w:val="0C624D15"/>
    <w:rsid w:val="0C6F942C"/>
    <w:rsid w:val="0C702917"/>
    <w:rsid w:val="0C777C3A"/>
    <w:rsid w:val="0C791B50"/>
    <w:rsid w:val="0C7FBDB7"/>
    <w:rsid w:val="0C880332"/>
    <w:rsid w:val="0C89CFFD"/>
    <w:rsid w:val="0C8B7C1D"/>
    <w:rsid w:val="0C8C4FB0"/>
    <w:rsid w:val="0C985F2E"/>
    <w:rsid w:val="0CAB6655"/>
    <w:rsid w:val="0CB15EB6"/>
    <w:rsid w:val="0CB6D311"/>
    <w:rsid w:val="0CBBD17C"/>
    <w:rsid w:val="0CC2851E"/>
    <w:rsid w:val="0CCBAF56"/>
    <w:rsid w:val="0CCDAF5E"/>
    <w:rsid w:val="0CD588BC"/>
    <w:rsid w:val="0CE09B26"/>
    <w:rsid w:val="0CE0DA8F"/>
    <w:rsid w:val="0CE2860A"/>
    <w:rsid w:val="0CE5D426"/>
    <w:rsid w:val="0D0A331A"/>
    <w:rsid w:val="0D22805E"/>
    <w:rsid w:val="0D337E4F"/>
    <w:rsid w:val="0D3CF8B0"/>
    <w:rsid w:val="0D3E59B7"/>
    <w:rsid w:val="0D4095D9"/>
    <w:rsid w:val="0D4174B5"/>
    <w:rsid w:val="0D470024"/>
    <w:rsid w:val="0D477F47"/>
    <w:rsid w:val="0D4F8550"/>
    <w:rsid w:val="0D5E0A52"/>
    <w:rsid w:val="0D618436"/>
    <w:rsid w:val="0D6B9208"/>
    <w:rsid w:val="0D74E939"/>
    <w:rsid w:val="0D75706B"/>
    <w:rsid w:val="0D781431"/>
    <w:rsid w:val="0D8CDFD7"/>
    <w:rsid w:val="0D8D8C65"/>
    <w:rsid w:val="0D9BE70B"/>
    <w:rsid w:val="0D9DD845"/>
    <w:rsid w:val="0DA789BE"/>
    <w:rsid w:val="0DA8FE56"/>
    <w:rsid w:val="0DB120A1"/>
    <w:rsid w:val="0DB41D5E"/>
    <w:rsid w:val="0DC2B254"/>
    <w:rsid w:val="0DE26341"/>
    <w:rsid w:val="0DE52F1E"/>
    <w:rsid w:val="0E0E99AF"/>
    <w:rsid w:val="0E28A2E5"/>
    <w:rsid w:val="0E3827BF"/>
    <w:rsid w:val="0E39E2E0"/>
    <w:rsid w:val="0E3AA766"/>
    <w:rsid w:val="0E3B8671"/>
    <w:rsid w:val="0E4D60E5"/>
    <w:rsid w:val="0E543FE5"/>
    <w:rsid w:val="0E563DD2"/>
    <w:rsid w:val="0E569433"/>
    <w:rsid w:val="0E64927D"/>
    <w:rsid w:val="0E69CED7"/>
    <w:rsid w:val="0E750417"/>
    <w:rsid w:val="0E8189FC"/>
    <w:rsid w:val="0E83564F"/>
    <w:rsid w:val="0E83E688"/>
    <w:rsid w:val="0EFC1B29"/>
    <w:rsid w:val="0F022825"/>
    <w:rsid w:val="0F0F510B"/>
    <w:rsid w:val="0F1236B3"/>
    <w:rsid w:val="0F1831B1"/>
    <w:rsid w:val="0F1FC621"/>
    <w:rsid w:val="0F234A7F"/>
    <w:rsid w:val="0F2387B2"/>
    <w:rsid w:val="0F34D5D4"/>
    <w:rsid w:val="0F38FFEE"/>
    <w:rsid w:val="0F5D6ADF"/>
    <w:rsid w:val="0F5FCBED"/>
    <w:rsid w:val="0F6A9FFD"/>
    <w:rsid w:val="0F766A97"/>
    <w:rsid w:val="0F81639F"/>
    <w:rsid w:val="0F8E2C50"/>
    <w:rsid w:val="0F9CFA96"/>
    <w:rsid w:val="0FABB348"/>
    <w:rsid w:val="0FAF3025"/>
    <w:rsid w:val="0FB4FCD7"/>
    <w:rsid w:val="0FC974AC"/>
    <w:rsid w:val="0FCA6A50"/>
    <w:rsid w:val="0FCEF74F"/>
    <w:rsid w:val="0FEFB10B"/>
    <w:rsid w:val="100F6F0A"/>
    <w:rsid w:val="1016ECFF"/>
    <w:rsid w:val="102D94CC"/>
    <w:rsid w:val="102DC3FB"/>
    <w:rsid w:val="1036D905"/>
    <w:rsid w:val="10380486"/>
    <w:rsid w:val="104067C6"/>
    <w:rsid w:val="10455FB1"/>
    <w:rsid w:val="10475227"/>
    <w:rsid w:val="1048EBEB"/>
    <w:rsid w:val="1078FB41"/>
    <w:rsid w:val="109EF062"/>
    <w:rsid w:val="10B6F3DB"/>
    <w:rsid w:val="10B845A9"/>
    <w:rsid w:val="10B89FB8"/>
    <w:rsid w:val="10B97562"/>
    <w:rsid w:val="10BE602B"/>
    <w:rsid w:val="10C2467B"/>
    <w:rsid w:val="10C95940"/>
    <w:rsid w:val="10D06BE6"/>
    <w:rsid w:val="10D259B2"/>
    <w:rsid w:val="10D58FBB"/>
    <w:rsid w:val="10DBB623"/>
    <w:rsid w:val="10DDBF53"/>
    <w:rsid w:val="10E59D7D"/>
    <w:rsid w:val="11078F42"/>
    <w:rsid w:val="11095A78"/>
    <w:rsid w:val="110F6878"/>
    <w:rsid w:val="11233D7E"/>
    <w:rsid w:val="1128A683"/>
    <w:rsid w:val="1141C8A8"/>
    <w:rsid w:val="114BCA17"/>
    <w:rsid w:val="115E080A"/>
    <w:rsid w:val="11733355"/>
    <w:rsid w:val="1173A01E"/>
    <w:rsid w:val="117D18C6"/>
    <w:rsid w:val="11823EEA"/>
    <w:rsid w:val="1184AA7C"/>
    <w:rsid w:val="1185D502"/>
    <w:rsid w:val="118BC1E7"/>
    <w:rsid w:val="118DD2E1"/>
    <w:rsid w:val="11AD9D37"/>
    <w:rsid w:val="11AF3C02"/>
    <w:rsid w:val="11AF70DB"/>
    <w:rsid w:val="11AFC120"/>
    <w:rsid w:val="11B2238A"/>
    <w:rsid w:val="11B27A22"/>
    <w:rsid w:val="11BD2710"/>
    <w:rsid w:val="11C1CB67"/>
    <w:rsid w:val="11D6B1C7"/>
    <w:rsid w:val="11D91694"/>
    <w:rsid w:val="11D9F7A5"/>
    <w:rsid w:val="11E2E6E0"/>
    <w:rsid w:val="11E89D11"/>
    <w:rsid w:val="11EA8A34"/>
    <w:rsid w:val="11EFE65A"/>
    <w:rsid w:val="11F89207"/>
    <w:rsid w:val="1200C9E3"/>
    <w:rsid w:val="1207CA08"/>
    <w:rsid w:val="120AC9F8"/>
    <w:rsid w:val="1223FF40"/>
    <w:rsid w:val="12246194"/>
    <w:rsid w:val="1225289C"/>
    <w:rsid w:val="12290B0C"/>
    <w:rsid w:val="124CD66A"/>
    <w:rsid w:val="124E0517"/>
    <w:rsid w:val="124F5508"/>
    <w:rsid w:val="124FE825"/>
    <w:rsid w:val="125441E9"/>
    <w:rsid w:val="125BB5AE"/>
    <w:rsid w:val="126684B4"/>
    <w:rsid w:val="1267F08A"/>
    <w:rsid w:val="1268C95F"/>
    <w:rsid w:val="126B7398"/>
    <w:rsid w:val="126C8E67"/>
    <w:rsid w:val="12715B7C"/>
    <w:rsid w:val="128665C9"/>
    <w:rsid w:val="1290EC05"/>
    <w:rsid w:val="1294E374"/>
    <w:rsid w:val="129B952C"/>
    <w:rsid w:val="12A1D712"/>
    <w:rsid w:val="12A2A7E2"/>
    <w:rsid w:val="12A53EF9"/>
    <w:rsid w:val="12B58CC2"/>
    <w:rsid w:val="12CD943A"/>
    <w:rsid w:val="12D2FFAA"/>
    <w:rsid w:val="12D8C9E2"/>
    <w:rsid w:val="12E2C289"/>
    <w:rsid w:val="12EE3DBD"/>
    <w:rsid w:val="1313EBE2"/>
    <w:rsid w:val="131B13DF"/>
    <w:rsid w:val="131DB34F"/>
    <w:rsid w:val="132F1D9E"/>
    <w:rsid w:val="13356B0A"/>
    <w:rsid w:val="133ABBBE"/>
    <w:rsid w:val="1352E67E"/>
    <w:rsid w:val="135D09AB"/>
    <w:rsid w:val="1362DAEC"/>
    <w:rsid w:val="1373535E"/>
    <w:rsid w:val="13764B73"/>
    <w:rsid w:val="137D126B"/>
    <w:rsid w:val="138583AA"/>
    <w:rsid w:val="1385A73A"/>
    <w:rsid w:val="1393BEAF"/>
    <w:rsid w:val="139763C3"/>
    <w:rsid w:val="139C0886"/>
    <w:rsid w:val="13A2B338"/>
    <w:rsid w:val="13B43EFA"/>
    <w:rsid w:val="13B9757E"/>
    <w:rsid w:val="13C14482"/>
    <w:rsid w:val="13CA8497"/>
    <w:rsid w:val="13CFFE42"/>
    <w:rsid w:val="13D42F53"/>
    <w:rsid w:val="13E8A6CB"/>
    <w:rsid w:val="13F0470B"/>
    <w:rsid w:val="13F049D0"/>
    <w:rsid w:val="13FB9E0E"/>
    <w:rsid w:val="1406C721"/>
    <w:rsid w:val="140973A0"/>
    <w:rsid w:val="141471D3"/>
    <w:rsid w:val="141A14B3"/>
    <w:rsid w:val="141BF427"/>
    <w:rsid w:val="141FE68C"/>
    <w:rsid w:val="142EA989"/>
    <w:rsid w:val="142EB4C6"/>
    <w:rsid w:val="14514A12"/>
    <w:rsid w:val="145C70F9"/>
    <w:rsid w:val="1461E66F"/>
    <w:rsid w:val="14695135"/>
    <w:rsid w:val="146EFE3C"/>
    <w:rsid w:val="14721779"/>
    <w:rsid w:val="1479AD0B"/>
    <w:rsid w:val="147A9D97"/>
    <w:rsid w:val="147B589A"/>
    <w:rsid w:val="1494E68D"/>
    <w:rsid w:val="14A2EC54"/>
    <w:rsid w:val="14B2A31A"/>
    <w:rsid w:val="14B8EB8E"/>
    <w:rsid w:val="14BB60EC"/>
    <w:rsid w:val="14CAB1B7"/>
    <w:rsid w:val="14CD1612"/>
    <w:rsid w:val="14CE76D8"/>
    <w:rsid w:val="14D3DDF1"/>
    <w:rsid w:val="14D59BD0"/>
    <w:rsid w:val="14D8DE6C"/>
    <w:rsid w:val="14E86423"/>
    <w:rsid w:val="14EBC2B6"/>
    <w:rsid w:val="14EE6BB3"/>
    <w:rsid w:val="14FDFC42"/>
    <w:rsid w:val="15075565"/>
    <w:rsid w:val="150D8AC0"/>
    <w:rsid w:val="1510A12B"/>
    <w:rsid w:val="15120696"/>
    <w:rsid w:val="152AFDFF"/>
    <w:rsid w:val="1541765F"/>
    <w:rsid w:val="15426ABA"/>
    <w:rsid w:val="154EFD8D"/>
    <w:rsid w:val="155D7FC2"/>
    <w:rsid w:val="156DB3CE"/>
    <w:rsid w:val="1588E4FB"/>
    <w:rsid w:val="15908184"/>
    <w:rsid w:val="15A1898A"/>
    <w:rsid w:val="15BAEB34"/>
    <w:rsid w:val="15CD42EC"/>
    <w:rsid w:val="15E3F122"/>
    <w:rsid w:val="15EEE8EA"/>
    <w:rsid w:val="15F2C8BD"/>
    <w:rsid w:val="15F6A44A"/>
    <w:rsid w:val="15F8C97D"/>
    <w:rsid w:val="15FB7316"/>
    <w:rsid w:val="16001E4D"/>
    <w:rsid w:val="16101B98"/>
    <w:rsid w:val="1612274A"/>
    <w:rsid w:val="162040B2"/>
    <w:rsid w:val="1631DA73"/>
    <w:rsid w:val="1646A916"/>
    <w:rsid w:val="16492914"/>
    <w:rsid w:val="165BF627"/>
    <w:rsid w:val="165D0871"/>
    <w:rsid w:val="165DA621"/>
    <w:rsid w:val="1661E614"/>
    <w:rsid w:val="16676EC5"/>
    <w:rsid w:val="166B4898"/>
    <w:rsid w:val="166C98B7"/>
    <w:rsid w:val="16847C85"/>
    <w:rsid w:val="16957029"/>
    <w:rsid w:val="16A016C8"/>
    <w:rsid w:val="16A83F81"/>
    <w:rsid w:val="16D4EB37"/>
    <w:rsid w:val="16D890CD"/>
    <w:rsid w:val="16E0EC5A"/>
    <w:rsid w:val="16E27398"/>
    <w:rsid w:val="16E697E0"/>
    <w:rsid w:val="16E8256F"/>
    <w:rsid w:val="16FCEAC7"/>
    <w:rsid w:val="17157EED"/>
    <w:rsid w:val="171E5C6C"/>
    <w:rsid w:val="1725BE43"/>
    <w:rsid w:val="17364241"/>
    <w:rsid w:val="173B9AB6"/>
    <w:rsid w:val="1740151F"/>
    <w:rsid w:val="176420A4"/>
    <w:rsid w:val="176A0BE4"/>
    <w:rsid w:val="17743E56"/>
    <w:rsid w:val="17857E83"/>
    <w:rsid w:val="178BC3C7"/>
    <w:rsid w:val="17B246A4"/>
    <w:rsid w:val="17C2D722"/>
    <w:rsid w:val="17C762C0"/>
    <w:rsid w:val="17CCD37D"/>
    <w:rsid w:val="17CD9D69"/>
    <w:rsid w:val="17D99BE8"/>
    <w:rsid w:val="17ED8FC4"/>
    <w:rsid w:val="17EF4AE6"/>
    <w:rsid w:val="180D46A2"/>
    <w:rsid w:val="1813BAFC"/>
    <w:rsid w:val="1813C108"/>
    <w:rsid w:val="181553D4"/>
    <w:rsid w:val="1836EC50"/>
    <w:rsid w:val="1839577E"/>
    <w:rsid w:val="183A1B4C"/>
    <w:rsid w:val="18417787"/>
    <w:rsid w:val="18439CD0"/>
    <w:rsid w:val="1857C600"/>
    <w:rsid w:val="185F211E"/>
    <w:rsid w:val="186A5D09"/>
    <w:rsid w:val="186AA0A3"/>
    <w:rsid w:val="1872A728"/>
    <w:rsid w:val="18B2F2C1"/>
    <w:rsid w:val="18BF2776"/>
    <w:rsid w:val="18C4344A"/>
    <w:rsid w:val="18CC40C7"/>
    <w:rsid w:val="18D0F065"/>
    <w:rsid w:val="18F23686"/>
    <w:rsid w:val="1900D131"/>
    <w:rsid w:val="1906C6C5"/>
    <w:rsid w:val="190AE3D7"/>
    <w:rsid w:val="1910A9AA"/>
    <w:rsid w:val="19224914"/>
    <w:rsid w:val="19238B50"/>
    <w:rsid w:val="19276B27"/>
    <w:rsid w:val="192776B8"/>
    <w:rsid w:val="1932627D"/>
    <w:rsid w:val="1934B7F0"/>
    <w:rsid w:val="19390AA5"/>
    <w:rsid w:val="194921C5"/>
    <w:rsid w:val="1958BD2F"/>
    <w:rsid w:val="195A9FAE"/>
    <w:rsid w:val="197619E6"/>
    <w:rsid w:val="198063D4"/>
    <w:rsid w:val="198737D9"/>
    <w:rsid w:val="199438AB"/>
    <w:rsid w:val="199976B0"/>
    <w:rsid w:val="19A306F8"/>
    <w:rsid w:val="19A9A8E8"/>
    <w:rsid w:val="19ACA8D8"/>
    <w:rsid w:val="19AF47B9"/>
    <w:rsid w:val="19B55C84"/>
    <w:rsid w:val="19B6A82C"/>
    <w:rsid w:val="19BF5D45"/>
    <w:rsid w:val="19CC23F1"/>
    <w:rsid w:val="19D0D95B"/>
    <w:rsid w:val="19D22F7E"/>
    <w:rsid w:val="19DE33A9"/>
    <w:rsid w:val="19E4229B"/>
    <w:rsid w:val="19E8AFEA"/>
    <w:rsid w:val="19E96825"/>
    <w:rsid w:val="19ECC224"/>
    <w:rsid w:val="19FA3ECB"/>
    <w:rsid w:val="1A000747"/>
    <w:rsid w:val="1A0F06E7"/>
    <w:rsid w:val="1A16315F"/>
    <w:rsid w:val="1A237606"/>
    <w:rsid w:val="1A265841"/>
    <w:rsid w:val="1A2C7E21"/>
    <w:rsid w:val="1A2D90AE"/>
    <w:rsid w:val="1A3E5070"/>
    <w:rsid w:val="1A443AE7"/>
    <w:rsid w:val="1A5BD40F"/>
    <w:rsid w:val="1A614713"/>
    <w:rsid w:val="1A67474B"/>
    <w:rsid w:val="1A6A24E0"/>
    <w:rsid w:val="1A74CF0F"/>
    <w:rsid w:val="1A756687"/>
    <w:rsid w:val="1A794294"/>
    <w:rsid w:val="1A85B763"/>
    <w:rsid w:val="1A913CD2"/>
    <w:rsid w:val="1A9894B3"/>
    <w:rsid w:val="1AA4A9DA"/>
    <w:rsid w:val="1ABC7891"/>
    <w:rsid w:val="1ABD3A7C"/>
    <w:rsid w:val="1ACF8291"/>
    <w:rsid w:val="1AD056E6"/>
    <w:rsid w:val="1AD23643"/>
    <w:rsid w:val="1ADC284D"/>
    <w:rsid w:val="1AF627A2"/>
    <w:rsid w:val="1B1C3435"/>
    <w:rsid w:val="1B2C6E29"/>
    <w:rsid w:val="1B3ED759"/>
    <w:rsid w:val="1B488FA7"/>
    <w:rsid w:val="1B4E5084"/>
    <w:rsid w:val="1B4F9DA1"/>
    <w:rsid w:val="1B619603"/>
    <w:rsid w:val="1B708925"/>
    <w:rsid w:val="1B8ACEA7"/>
    <w:rsid w:val="1B8D69F0"/>
    <w:rsid w:val="1B9A1B87"/>
    <w:rsid w:val="1B9BD7A8"/>
    <w:rsid w:val="1B9C0FAB"/>
    <w:rsid w:val="1BB48B3E"/>
    <w:rsid w:val="1BBC0141"/>
    <w:rsid w:val="1BBC42E6"/>
    <w:rsid w:val="1BC490EF"/>
    <w:rsid w:val="1BE7D110"/>
    <w:rsid w:val="1BF15570"/>
    <w:rsid w:val="1BF3B8B0"/>
    <w:rsid w:val="1BF793B9"/>
    <w:rsid w:val="1BFEEE27"/>
    <w:rsid w:val="1C1339B8"/>
    <w:rsid w:val="1C1435DD"/>
    <w:rsid w:val="1C174CBE"/>
    <w:rsid w:val="1C22C037"/>
    <w:rsid w:val="1C27653C"/>
    <w:rsid w:val="1C3B9D57"/>
    <w:rsid w:val="1C3DD799"/>
    <w:rsid w:val="1C513952"/>
    <w:rsid w:val="1C70E7E3"/>
    <w:rsid w:val="1C74C41C"/>
    <w:rsid w:val="1C7C6B2B"/>
    <w:rsid w:val="1C83CF6F"/>
    <w:rsid w:val="1C868B34"/>
    <w:rsid w:val="1CC344BA"/>
    <w:rsid w:val="1CCB5249"/>
    <w:rsid w:val="1CD41AAC"/>
    <w:rsid w:val="1CDD4334"/>
    <w:rsid w:val="1CF18BCE"/>
    <w:rsid w:val="1CF4D74B"/>
    <w:rsid w:val="1D0CDC4C"/>
    <w:rsid w:val="1D108E43"/>
    <w:rsid w:val="1D1C7560"/>
    <w:rsid w:val="1D2D7E61"/>
    <w:rsid w:val="1D2F4B44"/>
    <w:rsid w:val="1D43768E"/>
    <w:rsid w:val="1D5E1A74"/>
    <w:rsid w:val="1D616B80"/>
    <w:rsid w:val="1D74562A"/>
    <w:rsid w:val="1D8DE54E"/>
    <w:rsid w:val="1D9696DB"/>
    <w:rsid w:val="1DA4F900"/>
    <w:rsid w:val="1DA5A527"/>
    <w:rsid w:val="1DAAE537"/>
    <w:rsid w:val="1DB666A8"/>
    <w:rsid w:val="1DBEE227"/>
    <w:rsid w:val="1DC53D67"/>
    <w:rsid w:val="1E1C06A5"/>
    <w:rsid w:val="1E2DF557"/>
    <w:rsid w:val="1E30B718"/>
    <w:rsid w:val="1E393C8E"/>
    <w:rsid w:val="1E4E7CE6"/>
    <w:rsid w:val="1E53D4F7"/>
    <w:rsid w:val="1E59507D"/>
    <w:rsid w:val="1E63E8F1"/>
    <w:rsid w:val="1E751BA5"/>
    <w:rsid w:val="1E7FE933"/>
    <w:rsid w:val="1E89FE8D"/>
    <w:rsid w:val="1EA54364"/>
    <w:rsid w:val="1EC3D870"/>
    <w:rsid w:val="1ECCD2CA"/>
    <w:rsid w:val="1ECCD5C2"/>
    <w:rsid w:val="1ECE8518"/>
    <w:rsid w:val="1ECE910C"/>
    <w:rsid w:val="1ED420F5"/>
    <w:rsid w:val="1ED811EE"/>
    <w:rsid w:val="1ED90E48"/>
    <w:rsid w:val="1EE399DA"/>
    <w:rsid w:val="1EE6A005"/>
    <w:rsid w:val="1EEBDCB6"/>
    <w:rsid w:val="1EFEB88A"/>
    <w:rsid w:val="1F0712C4"/>
    <w:rsid w:val="1F255BBF"/>
    <w:rsid w:val="1F3475A5"/>
    <w:rsid w:val="1F3F398F"/>
    <w:rsid w:val="1F4214B0"/>
    <w:rsid w:val="1F497382"/>
    <w:rsid w:val="1F4A0B8C"/>
    <w:rsid w:val="1F4EE809"/>
    <w:rsid w:val="1F51DB5D"/>
    <w:rsid w:val="1F597B09"/>
    <w:rsid w:val="1F62FA8E"/>
    <w:rsid w:val="1F694CE8"/>
    <w:rsid w:val="1F7164DC"/>
    <w:rsid w:val="1F7AAF10"/>
    <w:rsid w:val="1F7DD362"/>
    <w:rsid w:val="1F8667BE"/>
    <w:rsid w:val="1F8F5029"/>
    <w:rsid w:val="1F9B9EA1"/>
    <w:rsid w:val="1F9BD6AF"/>
    <w:rsid w:val="1F9DC8B5"/>
    <w:rsid w:val="1FA40C36"/>
    <w:rsid w:val="1FBD62F6"/>
    <w:rsid w:val="1FC0F20C"/>
    <w:rsid w:val="1FD30592"/>
    <w:rsid w:val="1FE07FB5"/>
    <w:rsid w:val="1FEF7608"/>
    <w:rsid w:val="2017310D"/>
    <w:rsid w:val="2020E01B"/>
    <w:rsid w:val="20315169"/>
    <w:rsid w:val="2033D42C"/>
    <w:rsid w:val="2046E982"/>
    <w:rsid w:val="20598B3D"/>
    <w:rsid w:val="2061946E"/>
    <w:rsid w:val="20714741"/>
    <w:rsid w:val="20730867"/>
    <w:rsid w:val="207441F9"/>
    <w:rsid w:val="207A62BC"/>
    <w:rsid w:val="208A789E"/>
    <w:rsid w:val="208DCB40"/>
    <w:rsid w:val="20A50391"/>
    <w:rsid w:val="20AD2AE4"/>
    <w:rsid w:val="20BD17D4"/>
    <w:rsid w:val="20BD8737"/>
    <w:rsid w:val="20C9E1C2"/>
    <w:rsid w:val="20D60F10"/>
    <w:rsid w:val="20EDE48C"/>
    <w:rsid w:val="20EEADDA"/>
    <w:rsid w:val="20EF4E78"/>
    <w:rsid w:val="20FC9030"/>
    <w:rsid w:val="20FE99F9"/>
    <w:rsid w:val="2113CF04"/>
    <w:rsid w:val="211BB28F"/>
    <w:rsid w:val="211ED50E"/>
    <w:rsid w:val="21312C22"/>
    <w:rsid w:val="213DE4E8"/>
    <w:rsid w:val="213F07B6"/>
    <w:rsid w:val="21548BF8"/>
    <w:rsid w:val="215BED86"/>
    <w:rsid w:val="2160F436"/>
    <w:rsid w:val="2162AAD0"/>
    <w:rsid w:val="216CDBAE"/>
    <w:rsid w:val="21896523"/>
    <w:rsid w:val="21929F2E"/>
    <w:rsid w:val="21B5A3C0"/>
    <w:rsid w:val="21B5CD6D"/>
    <w:rsid w:val="21BE34B7"/>
    <w:rsid w:val="21E84056"/>
    <w:rsid w:val="220A1C12"/>
    <w:rsid w:val="2235F64F"/>
    <w:rsid w:val="227338EC"/>
    <w:rsid w:val="227E52C0"/>
    <w:rsid w:val="229A5C69"/>
    <w:rsid w:val="22AD5FC3"/>
    <w:rsid w:val="22B0F72B"/>
    <w:rsid w:val="22B8A432"/>
    <w:rsid w:val="22C23025"/>
    <w:rsid w:val="22D797DC"/>
    <w:rsid w:val="22E45CEF"/>
    <w:rsid w:val="22E87051"/>
    <w:rsid w:val="22ECC4F1"/>
    <w:rsid w:val="22F7A0E6"/>
    <w:rsid w:val="22F85C01"/>
    <w:rsid w:val="22F9731F"/>
    <w:rsid w:val="22FC1036"/>
    <w:rsid w:val="23040623"/>
    <w:rsid w:val="23081ED5"/>
    <w:rsid w:val="2308AC0F"/>
    <w:rsid w:val="230B556A"/>
    <w:rsid w:val="2312E682"/>
    <w:rsid w:val="231AA50F"/>
    <w:rsid w:val="232B3CCE"/>
    <w:rsid w:val="23404F1C"/>
    <w:rsid w:val="2341CF3D"/>
    <w:rsid w:val="236365F5"/>
    <w:rsid w:val="23758A5A"/>
    <w:rsid w:val="23767286"/>
    <w:rsid w:val="23865209"/>
    <w:rsid w:val="23867CED"/>
    <w:rsid w:val="238C979C"/>
    <w:rsid w:val="23A01362"/>
    <w:rsid w:val="23A54A68"/>
    <w:rsid w:val="23A6C2EE"/>
    <w:rsid w:val="23A804EC"/>
    <w:rsid w:val="23B3B3BB"/>
    <w:rsid w:val="23B621E1"/>
    <w:rsid w:val="23C7AA9E"/>
    <w:rsid w:val="23CB0911"/>
    <w:rsid w:val="23CE803B"/>
    <w:rsid w:val="23DD3013"/>
    <w:rsid w:val="23E3D233"/>
    <w:rsid w:val="23FD48C9"/>
    <w:rsid w:val="23FDD81A"/>
    <w:rsid w:val="24114C8E"/>
    <w:rsid w:val="2422381D"/>
    <w:rsid w:val="2439696B"/>
    <w:rsid w:val="243ABB77"/>
    <w:rsid w:val="2440477A"/>
    <w:rsid w:val="24528562"/>
    <w:rsid w:val="245FB085"/>
    <w:rsid w:val="24677603"/>
    <w:rsid w:val="24807EA2"/>
    <w:rsid w:val="248275AA"/>
    <w:rsid w:val="24874BD7"/>
    <w:rsid w:val="2494ECFC"/>
    <w:rsid w:val="249E8021"/>
    <w:rsid w:val="24A823F3"/>
    <w:rsid w:val="24AE0F8F"/>
    <w:rsid w:val="24AE2BE0"/>
    <w:rsid w:val="24B6D150"/>
    <w:rsid w:val="24C5E3AA"/>
    <w:rsid w:val="24D1C2D2"/>
    <w:rsid w:val="24D89D41"/>
    <w:rsid w:val="24DD9F9E"/>
    <w:rsid w:val="24E10A6E"/>
    <w:rsid w:val="24E8CBE5"/>
    <w:rsid w:val="24F4A784"/>
    <w:rsid w:val="25064300"/>
    <w:rsid w:val="25167FC2"/>
    <w:rsid w:val="2517AEE0"/>
    <w:rsid w:val="2518C6F4"/>
    <w:rsid w:val="2519E719"/>
    <w:rsid w:val="251EC862"/>
    <w:rsid w:val="25389046"/>
    <w:rsid w:val="253A8389"/>
    <w:rsid w:val="25454E44"/>
    <w:rsid w:val="254D4E10"/>
    <w:rsid w:val="25524250"/>
    <w:rsid w:val="255E6A19"/>
    <w:rsid w:val="25605363"/>
    <w:rsid w:val="256760E3"/>
    <w:rsid w:val="25724726"/>
    <w:rsid w:val="25769E78"/>
    <w:rsid w:val="257EC858"/>
    <w:rsid w:val="258A1C90"/>
    <w:rsid w:val="2594E44E"/>
    <w:rsid w:val="259FA15C"/>
    <w:rsid w:val="25CC3792"/>
    <w:rsid w:val="25DDC502"/>
    <w:rsid w:val="25EC9748"/>
    <w:rsid w:val="26015A98"/>
    <w:rsid w:val="261A87E8"/>
    <w:rsid w:val="261F1714"/>
    <w:rsid w:val="262524CE"/>
    <w:rsid w:val="262573E0"/>
    <w:rsid w:val="26306A30"/>
    <w:rsid w:val="2643A6D1"/>
    <w:rsid w:val="264D7F54"/>
    <w:rsid w:val="264DAC05"/>
    <w:rsid w:val="265041F3"/>
    <w:rsid w:val="26660A9C"/>
    <w:rsid w:val="26794B0B"/>
    <w:rsid w:val="2681D33F"/>
    <w:rsid w:val="268414D0"/>
    <w:rsid w:val="268D9FB6"/>
    <w:rsid w:val="2694AF31"/>
    <w:rsid w:val="26A00065"/>
    <w:rsid w:val="26A4E49A"/>
    <w:rsid w:val="26ABC399"/>
    <w:rsid w:val="26B02F29"/>
    <w:rsid w:val="26B614C1"/>
    <w:rsid w:val="26BA3216"/>
    <w:rsid w:val="26BF0F61"/>
    <w:rsid w:val="26C58119"/>
    <w:rsid w:val="26CB563F"/>
    <w:rsid w:val="26D0D4D2"/>
    <w:rsid w:val="26E5A008"/>
    <w:rsid w:val="26E96122"/>
    <w:rsid w:val="26F7E922"/>
    <w:rsid w:val="26F9282A"/>
    <w:rsid w:val="26FA0C47"/>
    <w:rsid w:val="26FAB53B"/>
    <w:rsid w:val="270203EA"/>
    <w:rsid w:val="270269DE"/>
    <w:rsid w:val="2708E7FA"/>
    <w:rsid w:val="270E5B28"/>
    <w:rsid w:val="2712EEF2"/>
    <w:rsid w:val="271A3BA4"/>
    <w:rsid w:val="272A3768"/>
    <w:rsid w:val="2730F8B2"/>
    <w:rsid w:val="273EEE11"/>
    <w:rsid w:val="2743BBEE"/>
    <w:rsid w:val="2745CAB9"/>
    <w:rsid w:val="274752BA"/>
    <w:rsid w:val="27523535"/>
    <w:rsid w:val="275BCB82"/>
    <w:rsid w:val="275BE8C8"/>
    <w:rsid w:val="2765ADB1"/>
    <w:rsid w:val="277A491F"/>
    <w:rsid w:val="279D07FE"/>
    <w:rsid w:val="27AA6FDD"/>
    <w:rsid w:val="27B7A899"/>
    <w:rsid w:val="27C75951"/>
    <w:rsid w:val="27CC8BA7"/>
    <w:rsid w:val="27CCF4B0"/>
    <w:rsid w:val="27D653EB"/>
    <w:rsid w:val="27DA507B"/>
    <w:rsid w:val="27DC1D32"/>
    <w:rsid w:val="27E18EE0"/>
    <w:rsid w:val="27E7B831"/>
    <w:rsid w:val="27E8F02C"/>
    <w:rsid w:val="28075A1E"/>
    <w:rsid w:val="280F492E"/>
    <w:rsid w:val="281340AC"/>
    <w:rsid w:val="2827B071"/>
    <w:rsid w:val="2828526F"/>
    <w:rsid w:val="2829A89D"/>
    <w:rsid w:val="2847BD95"/>
    <w:rsid w:val="284E7577"/>
    <w:rsid w:val="2852DCBA"/>
    <w:rsid w:val="285B9E4D"/>
    <w:rsid w:val="285D6998"/>
    <w:rsid w:val="285F6848"/>
    <w:rsid w:val="2877D4A8"/>
    <w:rsid w:val="288DC1CC"/>
    <w:rsid w:val="289F0688"/>
    <w:rsid w:val="28AD0F16"/>
    <w:rsid w:val="28AF5B62"/>
    <w:rsid w:val="28AFBB72"/>
    <w:rsid w:val="28B1F190"/>
    <w:rsid w:val="28B6FA1B"/>
    <w:rsid w:val="28BEDE70"/>
    <w:rsid w:val="28C4CF37"/>
    <w:rsid w:val="28D22E9E"/>
    <w:rsid w:val="28D3980C"/>
    <w:rsid w:val="28DDCFDE"/>
    <w:rsid w:val="28DF0AFE"/>
    <w:rsid w:val="28E5FA69"/>
    <w:rsid w:val="28EF3140"/>
    <w:rsid w:val="28F0580D"/>
    <w:rsid w:val="28F3FA75"/>
    <w:rsid w:val="28F96B4B"/>
    <w:rsid w:val="2906D605"/>
    <w:rsid w:val="290EC662"/>
    <w:rsid w:val="291AF56A"/>
    <w:rsid w:val="292DF249"/>
    <w:rsid w:val="2930DF8A"/>
    <w:rsid w:val="2943A4C7"/>
    <w:rsid w:val="294D73DD"/>
    <w:rsid w:val="294E5271"/>
    <w:rsid w:val="2953872B"/>
    <w:rsid w:val="295C52F1"/>
    <w:rsid w:val="2960C256"/>
    <w:rsid w:val="296FF7C7"/>
    <w:rsid w:val="29701664"/>
    <w:rsid w:val="297A49DE"/>
    <w:rsid w:val="297EF6B4"/>
    <w:rsid w:val="2982A5E5"/>
    <w:rsid w:val="29917945"/>
    <w:rsid w:val="29951BC8"/>
    <w:rsid w:val="299A947D"/>
    <w:rsid w:val="29A04DB3"/>
    <w:rsid w:val="29A43BCE"/>
    <w:rsid w:val="29B3F21F"/>
    <w:rsid w:val="29B6B137"/>
    <w:rsid w:val="29C6BD61"/>
    <w:rsid w:val="29C97FA5"/>
    <w:rsid w:val="29CF21E7"/>
    <w:rsid w:val="29D526E0"/>
    <w:rsid w:val="29DD2337"/>
    <w:rsid w:val="29E333E7"/>
    <w:rsid w:val="29E60C99"/>
    <w:rsid w:val="29EC787A"/>
    <w:rsid w:val="29F355F9"/>
    <w:rsid w:val="29F76C93"/>
    <w:rsid w:val="29FE8BB3"/>
    <w:rsid w:val="2A192374"/>
    <w:rsid w:val="2A295411"/>
    <w:rsid w:val="2A319D7F"/>
    <w:rsid w:val="2A4E175C"/>
    <w:rsid w:val="2A586AA2"/>
    <w:rsid w:val="2A64E57F"/>
    <w:rsid w:val="2A6C1BA9"/>
    <w:rsid w:val="2A843072"/>
    <w:rsid w:val="2A874AA1"/>
    <w:rsid w:val="2A8F5DD4"/>
    <w:rsid w:val="2A8FFCFA"/>
    <w:rsid w:val="2AAA3519"/>
    <w:rsid w:val="2AB7F40D"/>
    <w:rsid w:val="2ABC84F0"/>
    <w:rsid w:val="2ACB47AF"/>
    <w:rsid w:val="2ACB98E9"/>
    <w:rsid w:val="2ACE2B91"/>
    <w:rsid w:val="2AD2989F"/>
    <w:rsid w:val="2AD85C00"/>
    <w:rsid w:val="2ADB78A7"/>
    <w:rsid w:val="2ADF7D7B"/>
    <w:rsid w:val="2AEA570B"/>
    <w:rsid w:val="2AEA7D83"/>
    <w:rsid w:val="2AEDDBD2"/>
    <w:rsid w:val="2AF9E067"/>
    <w:rsid w:val="2B1F7941"/>
    <w:rsid w:val="2B397B3C"/>
    <w:rsid w:val="2B3CA7A2"/>
    <w:rsid w:val="2B3F4B05"/>
    <w:rsid w:val="2B512B69"/>
    <w:rsid w:val="2B54226E"/>
    <w:rsid w:val="2B665C9B"/>
    <w:rsid w:val="2B71429C"/>
    <w:rsid w:val="2B78B811"/>
    <w:rsid w:val="2B8D27E4"/>
    <w:rsid w:val="2B974170"/>
    <w:rsid w:val="2B98D315"/>
    <w:rsid w:val="2B9E044C"/>
    <w:rsid w:val="2B9E7C86"/>
    <w:rsid w:val="2B9EC302"/>
    <w:rsid w:val="2BA1307E"/>
    <w:rsid w:val="2BA779AB"/>
    <w:rsid w:val="2BA8E800"/>
    <w:rsid w:val="2BB453F7"/>
    <w:rsid w:val="2BB75EC2"/>
    <w:rsid w:val="2BB7E7D3"/>
    <w:rsid w:val="2BCD92FB"/>
    <w:rsid w:val="2BF180F0"/>
    <w:rsid w:val="2BFC6BC9"/>
    <w:rsid w:val="2C1447A8"/>
    <w:rsid w:val="2C1D7F86"/>
    <w:rsid w:val="2C1EDB0F"/>
    <w:rsid w:val="2C2B5D04"/>
    <w:rsid w:val="2C32503B"/>
    <w:rsid w:val="2C3C756D"/>
    <w:rsid w:val="2C4F2D78"/>
    <w:rsid w:val="2C54EFAC"/>
    <w:rsid w:val="2C58FC96"/>
    <w:rsid w:val="2C60F94C"/>
    <w:rsid w:val="2C6849D8"/>
    <w:rsid w:val="2C6C1676"/>
    <w:rsid w:val="2C7B947B"/>
    <w:rsid w:val="2C832192"/>
    <w:rsid w:val="2C84B97A"/>
    <w:rsid w:val="2C8954C6"/>
    <w:rsid w:val="2C8DB965"/>
    <w:rsid w:val="2C927429"/>
    <w:rsid w:val="2C92AB18"/>
    <w:rsid w:val="2CA1D3EC"/>
    <w:rsid w:val="2CA5035E"/>
    <w:rsid w:val="2CABB752"/>
    <w:rsid w:val="2CB013EA"/>
    <w:rsid w:val="2CBE484A"/>
    <w:rsid w:val="2CBFF2F9"/>
    <w:rsid w:val="2CC6AFB4"/>
    <w:rsid w:val="2CD3CF0F"/>
    <w:rsid w:val="2CE6910C"/>
    <w:rsid w:val="2CE6BA7B"/>
    <w:rsid w:val="2CE888DF"/>
    <w:rsid w:val="2D12F9AD"/>
    <w:rsid w:val="2D18F779"/>
    <w:rsid w:val="2D1C5F97"/>
    <w:rsid w:val="2D234278"/>
    <w:rsid w:val="2D2C92F4"/>
    <w:rsid w:val="2D4523FA"/>
    <w:rsid w:val="2D4B7C2C"/>
    <w:rsid w:val="2D5DBC70"/>
    <w:rsid w:val="2D6FA2F0"/>
    <w:rsid w:val="2D9020FE"/>
    <w:rsid w:val="2D99C5EC"/>
    <w:rsid w:val="2D9D927D"/>
    <w:rsid w:val="2D9DD6AD"/>
    <w:rsid w:val="2DAEC90E"/>
    <w:rsid w:val="2DB436F6"/>
    <w:rsid w:val="2DBC7EB6"/>
    <w:rsid w:val="2DC4C317"/>
    <w:rsid w:val="2DCFC7CB"/>
    <w:rsid w:val="2DD77555"/>
    <w:rsid w:val="2DDAA35A"/>
    <w:rsid w:val="2DE16748"/>
    <w:rsid w:val="2DE966F3"/>
    <w:rsid w:val="2DEE6509"/>
    <w:rsid w:val="2DF049E1"/>
    <w:rsid w:val="2E01041B"/>
    <w:rsid w:val="2E040638"/>
    <w:rsid w:val="2E0CB2FE"/>
    <w:rsid w:val="2E0D3857"/>
    <w:rsid w:val="2E135B61"/>
    <w:rsid w:val="2E1D73F6"/>
    <w:rsid w:val="2E24594B"/>
    <w:rsid w:val="2E2792FE"/>
    <w:rsid w:val="2E2C89B6"/>
    <w:rsid w:val="2E2CCD57"/>
    <w:rsid w:val="2E2F7197"/>
    <w:rsid w:val="2E3632D0"/>
    <w:rsid w:val="2E48B108"/>
    <w:rsid w:val="2E50011E"/>
    <w:rsid w:val="2E563331"/>
    <w:rsid w:val="2E621B7B"/>
    <w:rsid w:val="2E630D51"/>
    <w:rsid w:val="2E641C48"/>
    <w:rsid w:val="2E695CE9"/>
    <w:rsid w:val="2E806085"/>
    <w:rsid w:val="2E895A9A"/>
    <w:rsid w:val="2E8BBB12"/>
    <w:rsid w:val="2EA68715"/>
    <w:rsid w:val="2EA8BE7D"/>
    <w:rsid w:val="2EA9AAD1"/>
    <w:rsid w:val="2ED21939"/>
    <w:rsid w:val="2EDAC00F"/>
    <w:rsid w:val="2EE14C81"/>
    <w:rsid w:val="2EEA48DC"/>
    <w:rsid w:val="2F053C11"/>
    <w:rsid w:val="2F13008C"/>
    <w:rsid w:val="2F176B20"/>
    <w:rsid w:val="2F1880D7"/>
    <w:rsid w:val="2F1DDFD1"/>
    <w:rsid w:val="2F1E4441"/>
    <w:rsid w:val="2F2D9D4D"/>
    <w:rsid w:val="2F301AA8"/>
    <w:rsid w:val="2F30B6C5"/>
    <w:rsid w:val="2F3337BD"/>
    <w:rsid w:val="2F3B9158"/>
    <w:rsid w:val="2F4605E8"/>
    <w:rsid w:val="2F51B2DA"/>
    <w:rsid w:val="2F69E7EF"/>
    <w:rsid w:val="2F74A777"/>
    <w:rsid w:val="2F94B1BC"/>
    <w:rsid w:val="2F97DC74"/>
    <w:rsid w:val="2F9C6636"/>
    <w:rsid w:val="2F9E5004"/>
    <w:rsid w:val="2FA3ADC7"/>
    <w:rsid w:val="2FAA69CE"/>
    <w:rsid w:val="2FBCEC4F"/>
    <w:rsid w:val="2FC04AA2"/>
    <w:rsid w:val="2FC7EF78"/>
    <w:rsid w:val="2FCA07F8"/>
    <w:rsid w:val="2FCC685C"/>
    <w:rsid w:val="2FCF50BB"/>
    <w:rsid w:val="2FD307BA"/>
    <w:rsid w:val="2FD8136B"/>
    <w:rsid w:val="2FE48E5F"/>
    <w:rsid w:val="2FEE4A87"/>
    <w:rsid w:val="2FF91C77"/>
    <w:rsid w:val="2FFBF5EF"/>
    <w:rsid w:val="30006CD0"/>
    <w:rsid w:val="300793A0"/>
    <w:rsid w:val="300BBD9F"/>
    <w:rsid w:val="30233ED4"/>
    <w:rsid w:val="302C2072"/>
    <w:rsid w:val="302D09D4"/>
    <w:rsid w:val="302D9745"/>
    <w:rsid w:val="3033BE63"/>
    <w:rsid w:val="303C51FA"/>
    <w:rsid w:val="303FCE62"/>
    <w:rsid w:val="3041E837"/>
    <w:rsid w:val="30641A44"/>
    <w:rsid w:val="30673C98"/>
    <w:rsid w:val="306F9EF8"/>
    <w:rsid w:val="307BE718"/>
    <w:rsid w:val="307C2950"/>
    <w:rsid w:val="307C501F"/>
    <w:rsid w:val="30837E1C"/>
    <w:rsid w:val="3086A8AC"/>
    <w:rsid w:val="30A4DBD8"/>
    <w:rsid w:val="30A5DB57"/>
    <w:rsid w:val="30A6C82F"/>
    <w:rsid w:val="30A76B15"/>
    <w:rsid w:val="30A9C840"/>
    <w:rsid w:val="30B2ADFB"/>
    <w:rsid w:val="30B57EA3"/>
    <w:rsid w:val="30B9548B"/>
    <w:rsid w:val="30B99963"/>
    <w:rsid w:val="30BBB44E"/>
    <w:rsid w:val="30BBB474"/>
    <w:rsid w:val="30BFB9F5"/>
    <w:rsid w:val="30C52273"/>
    <w:rsid w:val="30C74CF0"/>
    <w:rsid w:val="30DD4D9D"/>
    <w:rsid w:val="30F26E96"/>
    <w:rsid w:val="310526CD"/>
    <w:rsid w:val="3115A8D2"/>
    <w:rsid w:val="31168F84"/>
    <w:rsid w:val="3117B1A2"/>
    <w:rsid w:val="311F9024"/>
    <w:rsid w:val="312A85ED"/>
    <w:rsid w:val="312C23D5"/>
    <w:rsid w:val="31445B2E"/>
    <w:rsid w:val="3145AA55"/>
    <w:rsid w:val="31477139"/>
    <w:rsid w:val="31541F14"/>
    <w:rsid w:val="3154BD8A"/>
    <w:rsid w:val="315A0CA6"/>
    <w:rsid w:val="31605FF5"/>
    <w:rsid w:val="31654226"/>
    <w:rsid w:val="31730946"/>
    <w:rsid w:val="31837FF8"/>
    <w:rsid w:val="318F0EB6"/>
    <w:rsid w:val="319A423D"/>
    <w:rsid w:val="31A1028E"/>
    <w:rsid w:val="31A4396C"/>
    <w:rsid w:val="31A83D4C"/>
    <w:rsid w:val="31AC8F2A"/>
    <w:rsid w:val="31B1635C"/>
    <w:rsid w:val="31B3AFB6"/>
    <w:rsid w:val="31B60C58"/>
    <w:rsid w:val="31B730D6"/>
    <w:rsid w:val="31C1B6D1"/>
    <w:rsid w:val="31CF5B9B"/>
    <w:rsid w:val="31D5777E"/>
    <w:rsid w:val="31D6E210"/>
    <w:rsid w:val="31DA0A22"/>
    <w:rsid w:val="31DA2173"/>
    <w:rsid w:val="31DD6338"/>
    <w:rsid w:val="31E3634C"/>
    <w:rsid w:val="31EDA27C"/>
    <w:rsid w:val="31FEB1E6"/>
    <w:rsid w:val="31FFD5CA"/>
    <w:rsid w:val="31FFEAA5"/>
    <w:rsid w:val="3212F7B0"/>
    <w:rsid w:val="321C78CF"/>
    <w:rsid w:val="3228739D"/>
    <w:rsid w:val="325D0CD7"/>
    <w:rsid w:val="325EA6B4"/>
    <w:rsid w:val="32627B77"/>
    <w:rsid w:val="32711A4A"/>
    <w:rsid w:val="3273C4E3"/>
    <w:rsid w:val="327C43D0"/>
    <w:rsid w:val="328B55AC"/>
    <w:rsid w:val="32973216"/>
    <w:rsid w:val="3297B95B"/>
    <w:rsid w:val="32993002"/>
    <w:rsid w:val="32A5DCC9"/>
    <w:rsid w:val="32AEE61C"/>
    <w:rsid w:val="32BAC234"/>
    <w:rsid w:val="32BEFA2B"/>
    <w:rsid w:val="32C81B74"/>
    <w:rsid w:val="32D21B19"/>
    <w:rsid w:val="32D39DF5"/>
    <w:rsid w:val="32D44177"/>
    <w:rsid w:val="32D447F2"/>
    <w:rsid w:val="32D8BA73"/>
    <w:rsid w:val="32D9DD33"/>
    <w:rsid w:val="32F3E283"/>
    <w:rsid w:val="32F58A2F"/>
    <w:rsid w:val="33185C46"/>
    <w:rsid w:val="33452F31"/>
    <w:rsid w:val="3350178F"/>
    <w:rsid w:val="33577835"/>
    <w:rsid w:val="335D0315"/>
    <w:rsid w:val="33753BEA"/>
    <w:rsid w:val="337F1376"/>
    <w:rsid w:val="338C84ED"/>
    <w:rsid w:val="3393A642"/>
    <w:rsid w:val="33A2F8AD"/>
    <w:rsid w:val="33A7C264"/>
    <w:rsid w:val="33D305A1"/>
    <w:rsid w:val="33E0627E"/>
    <w:rsid w:val="33E818D3"/>
    <w:rsid w:val="33F87891"/>
    <w:rsid w:val="33F9354F"/>
    <w:rsid w:val="3411C6EE"/>
    <w:rsid w:val="34120618"/>
    <w:rsid w:val="341F2B74"/>
    <w:rsid w:val="34205CDF"/>
    <w:rsid w:val="3420C9DB"/>
    <w:rsid w:val="342430B5"/>
    <w:rsid w:val="342430F8"/>
    <w:rsid w:val="3425D0A5"/>
    <w:rsid w:val="342B16CC"/>
    <w:rsid w:val="3438558C"/>
    <w:rsid w:val="3438C58B"/>
    <w:rsid w:val="345588B5"/>
    <w:rsid w:val="345AD877"/>
    <w:rsid w:val="346BD848"/>
    <w:rsid w:val="346C2E71"/>
    <w:rsid w:val="3475D44F"/>
    <w:rsid w:val="347A6042"/>
    <w:rsid w:val="34811AD9"/>
    <w:rsid w:val="3485DA3E"/>
    <w:rsid w:val="34873CDF"/>
    <w:rsid w:val="348C6CD8"/>
    <w:rsid w:val="34959DA1"/>
    <w:rsid w:val="349866A3"/>
    <w:rsid w:val="349FAB26"/>
    <w:rsid w:val="34ADBB90"/>
    <w:rsid w:val="34AED711"/>
    <w:rsid w:val="34B5A677"/>
    <w:rsid w:val="34C8EA71"/>
    <w:rsid w:val="34CBB721"/>
    <w:rsid w:val="34D1F90A"/>
    <w:rsid w:val="34DB9A09"/>
    <w:rsid w:val="34F0B7A2"/>
    <w:rsid w:val="34F3BAA5"/>
    <w:rsid w:val="34F5621A"/>
    <w:rsid w:val="35004126"/>
    <w:rsid w:val="3504F8E4"/>
    <w:rsid w:val="3514E96F"/>
    <w:rsid w:val="35262ED2"/>
    <w:rsid w:val="35278E6A"/>
    <w:rsid w:val="352DE618"/>
    <w:rsid w:val="3542C4AF"/>
    <w:rsid w:val="3549D707"/>
    <w:rsid w:val="3559AC01"/>
    <w:rsid w:val="355FF102"/>
    <w:rsid w:val="3561AFF4"/>
    <w:rsid w:val="35680464"/>
    <w:rsid w:val="357518AC"/>
    <w:rsid w:val="359420FA"/>
    <w:rsid w:val="35B7B7CF"/>
    <w:rsid w:val="35BDCEBD"/>
    <w:rsid w:val="35C473DA"/>
    <w:rsid w:val="35EEED0F"/>
    <w:rsid w:val="35F10B1D"/>
    <w:rsid w:val="35F4B990"/>
    <w:rsid w:val="35F79CDA"/>
    <w:rsid w:val="3617CBC9"/>
    <w:rsid w:val="3624096D"/>
    <w:rsid w:val="362FEA18"/>
    <w:rsid w:val="3634987F"/>
    <w:rsid w:val="363FFD00"/>
    <w:rsid w:val="3646420E"/>
    <w:rsid w:val="364DF156"/>
    <w:rsid w:val="365A607D"/>
    <w:rsid w:val="365B1303"/>
    <w:rsid w:val="365DEABA"/>
    <w:rsid w:val="3665699E"/>
    <w:rsid w:val="366D1070"/>
    <w:rsid w:val="36736626"/>
    <w:rsid w:val="3676AF50"/>
    <w:rsid w:val="368574B9"/>
    <w:rsid w:val="368B8E4F"/>
    <w:rsid w:val="3693F8B9"/>
    <w:rsid w:val="369F60B3"/>
    <w:rsid w:val="36AC5F98"/>
    <w:rsid w:val="36B16C7C"/>
    <w:rsid w:val="36CDFCE2"/>
    <w:rsid w:val="36E30940"/>
    <w:rsid w:val="36EB06CB"/>
    <w:rsid w:val="36F21AE9"/>
    <w:rsid w:val="36FCF9D8"/>
    <w:rsid w:val="3703F6EA"/>
    <w:rsid w:val="37063D60"/>
    <w:rsid w:val="3709B88D"/>
    <w:rsid w:val="370BD51A"/>
    <w:rsid w:val="37131138"/>
    <w:rsid w:val="3719C5C4"/>
    <w:rsid w:val="3719D023"/>
    <w:rsid w:val="3720F31D"/>
    <w:rsid w:val="3726C822"/>
    <w:rsid w:val="37290C41"/>
    <w:rsid w:val="372A50C5"/>
    <w:rsid w:val="374785E0"/>
    <w:rsid w:val="3757A392"/>
    <w:rsid w:val="3757BA00"/>
    <w:rsid w:val="375E5193"/>
    <w:rsid w:val="376381D7"/>
    <w:rsid w:val="3763EA9B"/>
    <w:rsid w:val="3772EDAD"/>
    <w:rsid w:val="37776A9C"/>
    <w:rsid w:val="377A8537"/>
    <w:rsid w:val="377B048F"/>
    <w:rsid w:val="378076E6"/>
    <w:rsid w:val="3783CF6E"/>
    <w:rsid w:val="37851866"/>
    <w:rsid w:val="37885378"/>
    <w:rsid w:val="37A055FC"/>
    <w:rsid w:val="37A38AED"/>
    <w:rsid w:val="37B6DF08"/>
    <w:rsid w:val="37B84701"/>
    <w:rsid w:val="37BEC367"/>
    <w:rsid w:val="37BFE553"/>
    <w:rsid w:val="37C7E809"/>
    <w:rsid w:val="37D0343E"/>
    <w:rsid w:val="37D152FB"/>
    <w:rsid w:val="37D814B3"/>
    <w:rsid w:val="37DB90E2"/>
    <w:rsid w:val="37DBAC68"/>
    <w:rsid w:val="37DE157D"/>
    <w:rsid w:val="37E502F4"/>
    <w:rsid w:val="37ECC499"/>
    <w:rsid w:val="37F33094"/>
    <w:rsid w:val="37FE2164"/>
    <w:rsid w:val="380D7A8D"/>
    <w:rsid w:val="38181374"/>
    <w:rsid w:val="381D4D84"/>
    <w:rsid w:val="381E420B"/>
    <w:rsid w:val="38269171"/>
    <w:rsid w:val="3830AD7F"/>
    <w:rsid w:val="38470D0D"/>
    <w:rsid w:val="38486C21"/>
    <w:rsid w:val="3848833B"/>
    <w:rsid w:val="384F096D"/>
    <w:rsid w:val="3867EC46"/>
    <w:rsid w:val="386DC3ED"/>
    <w:rsid w:val="387DD477"/>
    <w:rsid w:val="387F06E5"/>
    <w:rsid w:val="38835565"/>
    <w:rsid w:val="388A6E22"/>
    <w:rsid w:val="388AE84D"/>
    <w:rsid w:val="388F3E9A"/>
    <w:rsid w:val="3892D078"/>
    <w:rsid w:val="3893445C"/>
    <w:rsid w:val="38939537"/>
    <w:rsid w:val="38B4982D"/>
    <w:rsid w:val="38B751F9"/>
    <w:rsid w:val="38BE71EB"/>
    <w:rsid w:val="38D1400E"/>
    <w:rsid w:val="38D4E05A"/>
    <w:rsid w:val="38D606A7"/>
    <w:rsid w:val="38DFFBC0"/>
    <w:rsid w:val="38E32F03"/>
    <w:rsid w:val="38E5B6F2"/>
    <w:rsid w:val="38EC43CD"/>
    <w:rsid w:val="38FDDD47"/>
    <w:rsid w:val="390CB763"/>
    <w:rsid w:val="391FBE1D"/>
    <w:rsid w:val="392E25D6"/>
    <w:rsid w:val="3934E387"/>
    <w:rsid w:val="393F74C4"/>
    <w:rsid w:val="39422390"/>
    <w:rsid w:val="394357A0"/>
    <w:rsid w:val="39453970"/>
    <w:rsid w:val="3949AFE9"/>
    <w:rsid w:val="394DC5D7"/>
    <w:rsid w:val="394DE2DB"/>
    <w:rsid w:val="3957D3ED"/>
    <w:rsid w:val="396D235C"/>
    <w:rsid w:val="39732DC8"/>
    <w:rsid w:val="397499B5"/>
    <w:rsid w:val="3996F940"/>
    <w:rsid w:val="3997F8C0"/>
    <w:rsid w:val="39A1BC7D"/>
    <w:rsid w:val="39AD4208"/>
    <w:rsid w:val="39B46D12"/>
    <w:rsid w:val="39B5B0B8"/>
    <w:rsid w:val="39CA4695"/>
    <w:rsid w:val="39D37D6C"/>
    <w:rsid w:val="39DC8B50"/>
    <w:rsid w:val="39DF3890"/>
    <w:rsid w:val="39E68B54"/>
    <w:rsid w:val="39F322CB"/>
    <w:rsid w:val="39F6938F"/>
    <w:rsid w:val="39F75371"/>
    <w:rsid w:val="3A30236E"/>
    <w:rsid w:val="3A3612E1"/>
    <w:rsid w:val="3A3A8E62"/>
    <w:rsid w:val="3A3BACDC"/>
    <w:rsid w:val="3A431102"/>
    <w:rsid w:val="3A46CF99"/>
    <w:rsid w:val="3A4CCC4B"/>
    <w:rsid w:val="3A4D93D7"/>
    <w:rsid w:val="3A6224CE"/>
    <w:rsid w:val="3A628779"/>
    <w:rsid w:val="3A62C6EC"/>
    <w:rsid w:val="3A7D3C15"/>
    <w:rsid w:val="3AA1CF21"/>
    <w:rsid w:val="3AA5BFE2"/>
    <w:rsid w:val="3AAB6BA6"/>
    <w:rsid w:val="3AB493C2"/>
    <w:rsid w:val="3ABE8A24"/>
    <w:rsid w:val="3AC59C4F"/>
    <w:rsid w:val="3AD42C1C"/>
    <w:rsid w:val="3ADD5078"/>
    <w:rsid w:val="3AE8339F"/>
    <w:rsid w:val="3B0FAF60"/>
    <w:rsid w:val="3B18BA05"/>
    <w:rsid w:val="3B1CFB70"/>
    <w:rsid w:val="3B20ACD4"/>
    <w:rsid w:val="3B23FDC5"/>
    <w:rsid w:val="3B399DD7"/>
    <w:rsid w:val="3B3F17D6"/>
    <w:rsid w:val="3B42BC46"/>
    <w:rsid w:val="3B597F6F"/>
    <w:rsid w:val="3B6ED75B"/>
    <w:rsid w:val="3B6F5CA7"/>
    <w:rsid w:val="3B7ACFC7"/>
    <w:rsid w:val="3B8CDCEC"/>
    <w:rsid w:val="3B8CFB24"/>
    <w:rsid w:val="3BA4D499"/>
    <w:rsid w:val="3BAA5625"/>
    <w:rsid w:val="3BB32BF7"/>
    <w:rsid w:val="3BB3D74D"/>
    <w:rsid w:val="3BB5DA53"/>
    <w:rsid w:val="3BCE455F"/>
    <w:rsid w:val="3BF51643"/>
    <w:rsid w:val="3C0261BE"/>
    <w:rsid w:val="3C0A0010"/>
    <w:rsid w:val="3C0B6093"/>
    <w:rsid w:val="3C1823BD"/>
    <w:rsid w:val="3C201EA5"/>
    <w:rsid w:val="3C2242D0"/>
    <w:rsid w:val="3C281FA0"/>
    <w:rsid w:val="3C3813F9"/>
    <w:rsid w:val="3C3FF707"/>
    <w:rsid w:val="3C431272"/>
    <w:rsid w:val="3C4755AE"/>
    <w:rsid w:val="3C54A768"/>
    <w:rsid w:val="3C5BCBE1"/>
    <w:rsid w:val="3C61FD67"/>
    <w:rsid w:val="3C89FDD3"/>
    <w:rsid w:val="3C9016BF"/>
    <w:rsid w:val="3C9D0119"/>
    <w:rsid w:val="3CB75DE0"/>
    <w:rsid w:val="3CB790B1"/>
    <w:rsid w:val="3CBA2742"/>
    <w:rsid w:val="3CC70B18"/>
    <w:rsid w:val="3CCCD3C7"/>
    <w:rsid w:val="3CCFDF15"/>
    <w:rsid w:val="3CD67619"/>
    <w:rsid w:val="3CD8476B"/>
    <w:rsid w:val="3CE46F51"/>
    <w:rsid w:val="3CE756B2"/>
    <w:rsid w:val="3CEF32AD"/>
    <w:rsid w:val="3CF5834F"/>
    <w:rsid w:val="3CF77F3C"/>
    <w:rsid w:val="3CF8D2B8"/>
    <w:rsid w:val="3D130190"/>
    <w:rsid w:val="3D18BB22"/>
    <w:rsid w:val="3D1FDDDF"/>
    <w:rsid w:val="3D20F299"/>
    <w:rsid w:val="3D218952"/>
    <w:rsid w:val="3D330851"/>
    <w:rsid w:val="3D4210EF"/>
    <w:rsid w:val="3D4B0D04"/>
    <w:rsid w:val="3D4B6B26"/>
    <w:rsid w:val="3D9BA6C9"/>
    <w:rsid w:val="3DA29476"/>
    <w:rsid w:val="3DA2C4E2"/>
    <w:rsid w:val="3DA69253"/>
    <w:rsid w:val="3DA8B7E2"/>
    <w:rsid w:val="3DAA19CC"/>
    <w:rsid w:val="3DB41226"/>
    <w:rsid w:val="3DBCCD7C"/>
    <w:rsid w:val="3DBF7E38"/>
    <w:rsid w:val="3DC58355"/>
    <w:rsid w:val="3DE33901"/>
    <w:rsid w:val="3DF08A71"/>
    <w:rsid w:val="3DF9C0BA"/>
    <w:rsid w:val="3DFC577A"/>
    <w:rsid w:val="3E0272A8"/>
    <w:rsid w:val="3E056827"/>
    <w:rsid w:val="3E1181A1"/>
    <w:rsid w:val="3E1A3A60"/>
    <w:rsid w:val="3E2030FD"/>
    <w:rsid w:val="3E2922AF"/>
    <w:rsid w:val="3E293D98"/>
    <w:rsid w:val="3E30F435"/>
    <w:rsid w:val="3E3FE501"/>
    <w:rsid w:val="3E5FC9A6"/>
    <w:rsid w:val="3E7B3B72"/>
    <w:rsid w:val="3E8038EE"/>
    <w:rsid w:val="3E947980"/>
    <w:rsid w:val="3E9CA3DE"/>
    <w:rsid w:val="3EA1CD8B"/>
    <w:rsid w:val="3EB645BB"/>
    <w:rsid w:val="3EBA4267"/>
    <w:rsid w:val="3EBD5948"/>
    <w:rsid w:val="3EBFE211"/>
    <w:rsid w:val="3EC6332B"/>
    <w:rsid w:val="3ECC2049"/>
    <w:rsid w:val="3EDEA006"/>
    <w:rsid w:val="3EE20484"/>
    <w:rsid w:val="3EEA0A2E"/>
    <w:rsid w:val="3EEADF8C"/>
    <w:rsid w:val="3EEC7ADB"/>
    <w:rsid w:val="3EED880D"/>
    <w:rsid w:val="3F0225F1"/>
    <w:rsid w:val="3F13F6E9"/>
    <w:rsid w:val="3F1E7068"/>
    <w:rsid w:val="3F36B414"/>
    <w:rsid w:val="3F457E0B"/>
    <w:rsid w:val="3F473279"/>
    <w:rsid w:val="3F487FBF"/>
    <w:rsid w:val="3F4C78F7"/>
    <w:rsid w:val="3F5A936A"/>
    <w:rsid w:val="3F835E85"/>
    <w:rsid w:val="3F84E763"/>
    <w:rsid w:val="3F8DEC95"/>
    <w:rsid w:val="3F916DCE"/>
    <w:rsid w:val="3F946943"/>
    <w:rsid w:val="3F973F3D"/>
    <w:rsid w:val="3F9C6A95"/>
    <w:rsid w:val="3FADED14"/>
    <w:rsid w:val="3FC6F94E"/>
    <w:rsid w:val="3FCB7131"/>
    <w:rsid w:val="3FCFC82E"/>
    <w:rsid w:val="3FD31088"/>
    <w:rsid w:val="3FD8726F"/>
    <w:rsid w:val="3FDA7142"/>
    <w:rsid w:val="3FDF9E6D"/>
    <w:rsid w:val="3FE7E8DC"/>
    <w:rsid w:val="3FEE74EF"/>
    <w:rsid w:val="400292B9"/>
    <w:rsid w:val="40041815"/>
    <w:rsid w:val="4004BCCD"/>
    <w:rsid w:val="4004FFD1"/>
    <w:rsid w:val="4005CC4C"/>
    <w:rsid w:val="40120728"/>
    <w:rsid w:val="401B0005"/>
    <w:rsid w:val="401FD196"/>
    <w:rsid w:val="402214CB"/>
    <w:rsid w:val="402E3D8D"/>
    <w:rsid w:val="402F120C"/>
    <w:rsid w:val="40311DDA"/>
    <w:rsid w:val="40344485"/>
    <w:rsid w:val="40370847"/>
    <w:rsid w:val="40406CA3"/>
    <w:rsid w:val="4042B2F6"/>
    <w:rsid w:val="404B7DAA"/>
    <w:rsid w:val="4066FB7B"/>
    <w:rsid w:val="409E5E1C"/>
    <w:rsid w:val="40A2CA35"/>
    <w:rsid w:val="40BE840B"/>
    <w:rsid w:val="40CAD70A"/>
    <w:rsid w:val="40E047FA"/>
    <w:rsid w:val="40E57889"/>
    <w:rsid w:val="40F874AA"/>
    <w:rsid w:val="40F91DE4"/>
    <w:rsid w:val="40FBE874"/>
    <w:rsid w:val="40FF195C"/>
    <w:rsid w:val="411C340E"/>
    <w:rsid w:val="412B4179"/>
    <w:rsid w:val="4134B960"/>
    <w:rsid w:val="4139DB80"/>
    <w:rsid w:val="413EB5D2"/>
    <w:rsid w:val="41615939"/>
    <w:rsid w:val="41658E11"/>
    <w:rsid w:val="4165F6D6"/>
    <w:rsid w:val="417442B4"/>
    <w:rsid w:val="4177A165"/>
    <w:rsid w:val="418F61E3"/>
    <w:rsid w:val="4191DCBC"/>
    <w:rsid w:val="419E631A"/>
    <w:rsid w:val="41A2B83D"/>
    <w:rsid w:val="41AF8B94"/>
    <w:rsid w:val="41BFE5F2"/>
    <w:rsid w:val="41C48100"/>
    <w:rsid w:val="41CF29DA"/>
    <w:rsid w:val="41D37722"/>
    <w:rsid w:val="41E054BE"/>
    <w:rsid w:val="41E22B19"/>
    <w:rsid w:val="41E50E09"/>
    <w:rsid w:val="41FBF48B"/>
    <w:rsid w:val="41FD49AC"/>
    <w:rsid w:val="42002C7E"/>
    <w:rsid w:val="42038A4A"/>
    <w:rsid w:val="421F9D17"/>
    <w:rsid w:val="42253ADD"/>
    <w:rsid w:val="422F5694"/>
    <w:rsid w:val="42422B98"/>
    <w:rsid w:val="424C276C"/>
    <w:rsid w:val="42514056"/>
    <w:rsid w:val="4256DA9B"/>
    <w:rsid w:val="427002F8"/>
    <w:rsid w:val="42712238"/>
    <w:rsid w:val="427543AA"/>
    <w:rsid w:val="4279688F"/>
    <w:rsid w:val="4279F9CF"/>
    <w:rsid w:val="42A6A7A0"/>
    <w:rsid w:val="42AE749D"/>
    <w:rsid w:val="42AEF929"/>
    <w:rsid w:val="42BBEA53"/>
    <w:rsid w:val="42C53F24"/>
    <w:rsid w:val="42CF86B5"/>
    <w:rsid w:val="42D1A55B"/>
    <w:rsid w:val="42D2FD8E"/>
    <w:rsid w:val="42D4069E"/>
    <w:rsid w:val="42E112D8"/>
    <w:rsid w:val="42E77C5F"/>
    <w:rsid w:val="42E80E94"/>
    <w:rsid w:val="42F0ECA6"/>
    <w:rsid w:val="42F8D2F9"/>
    <w:rsid w:val="4324744A"/>
    <w:rsid w:val="4333B182"/>
    <w:rsid w:val="433808EF"/>
    <w:rsid w:val="43418296"/>
    <w:rsid w:val="43419CA9"/>
    <w:rsid w:val="434CAFA7"/>
    <w:rsid w:val="43551C7F"/>
    <w:rsid w:val="43754D01"/>
    <w:rsid w:val="43871778"/>
    <w:rsid w:val="43886746"/>
    <w:rsid w:val="438D66A3"/>
    <w:rsid w:val="43971E7C"/>
    <w:rsid w:val="4398A87E"/>
    <w:rsid w:val="43B08F1D"/>
    <w:rsid w:val="43B3E7DE"/>
    <w:rsid w:val="43B539E7"/>
    <w:rsid w:val="43BFEBFE"/>
    <w:rsid w:val="43C39F11"/>
    <w:rsid w:val="43C474CF"/>
    <w:rsid w:val="43C5F615"/>
    <w:rsid w:val="43D20231"/>
    <w:rsid w:val="43D7C764"/>
    <w:rsid w:val="43DB6213"/>
    <w:rsid w:val="43ED3E55"/>
    <w:rsid w:val="43EF6495"/>
    <w:rsid w:val="43F066BD"/>
    <w:rsid w:val="43F4B548"/>
    <w:rsid w:val="4407ED75"/>
    <w:rsid w:val="440B0B4A"/>
    <w:rsid w:val="441999A6"/>
    <w:rsid w:val="4419B727"/>
    <w:rsid w:val="442A762D"/>
    <w:rsid w:val="44322EEB"/>
    <w:rsid w:val="4437C28E"/>
    <w:rsid w:val="443D6ADD"/>
    <w:rsid w:val="443DD1D0"/>
    <w:rsid w:val="44404416"/>
    <w:rsid w:val="4441E8BC"/>
    <w:rsid w:val="44460435"/>
    <w:rsid w:val="4446B1B3"/>
    <w:rsid w:val="44566F56"/>
    <w:rsid w:val="4458B8EE"/>
    <w:rsid w:val="4460B4F3"/>
    <w:rsid w:val="446835D8"/>
    <w:rsid w:val="447FC706"/>
    <w:rsid w:val="4482941E"/>
    <w:rsid w:val="44853FBB"/>
    <w:rsid w:val="449557FB"/>
    <w:rsid w:val="4499699E"/>
    <w:rsid w:val="449A22F4"/>
    <w:rsid w:val="44AEDA37"/>
    <w:rsid w:val="44B4A1F1"/>
    <w:rsid w:val="44D120DE"/>
    <w:rsid w:val="44DADFE7"/>
    <w:rsid w:val="44E98736"/>
    <w:rsid w:val="44F525C3"/>
    <w:rsid w:val="44F8E1B6"/>
    <w:rsid w:val="450341E2"/>
    <w:rsid w:val="451321D8"/>
    <w:rsid w:val="451704DD"/>
    <w:rsid w:val="452F3BA3"/>
    <w:rsid w:val="45313408"/>
    <w:rsid w:val="453D5A4E"/>
    <w:rsid w:val="453EA5A1"/>
    <w:rsid w:val="4546AD3A"/>
    <w:rsid w:val="45522E23"/>
    <w:rsid w:val="455C5EF2"/>
    <w:rsid w:val="456E42F7"/>
    <w:rsid w:val="456EB20B"/>
    <w:rsid w:val="45709485"/>
    <w:rsid w:val="4571C97A"/>
    <w:rsid w:val="457A6D99"/>
    <w:rsid w:val="45916077"/>
    <w:rsid w:val="4595BA94"/>
    <w:rsid w:val="45B07465"/>
    <w:rsid w:val="45BA4602"/>
    <w:rsid w:val="45C4E687"/>
    <w:rsid w:val="45DBC7F0"/>
    <w:rsid w:val="45DE56A5"/>
    <w:rsid w:val="45E28214"/>
    <w:rsid w:val="45E4385B"/>
    <w:rsid w:val="45EAAFE1"/>
    <w:rsid w:val="45F7297B"/>
    <w:rsid w:val="45FF48D7"/>
    <w:rsid w:val="460024AC"/>
    <w:rsid w:val="4604CC67"/>
    <w:rsid w:val="46119BF0"/>
    <w:rsid w:val="46119F9C"/>
    <w:rsid w:val="4615E083"/>
    <w:rsid w:val="461A98BB"/>
    <w:rsid w:val="4625663A"/>
    <w:rsid w:val="462E48AC"/>
    <w:rsid w:val="46338375"/>
    <w:rsid w:val="464450A8"/>
    <w:rsid w:val="464BBC17"/>
    <w:rsid w:val="4652ACF8"/>
    <w:rsid w:val="465503BA"/>
    <w:rsid w:val="465D93DD"/>
    <w:rsid w:val="4663F8A2"/>
    <w:rsid w:val="46677BD4"/>
    <w:rsid w:val="46715373"/>
    <w:rsid w:val="467219B4"/>
    <w:rsid w:val="4684C9CA"/>
    <w:rsid w:val="4685889F"/>
    <w:rsid w:val="46918BC2"/>
    <w:rsid w:val="469C2B4B"/>
    <w:rsid w:val="46A50A73"/>
    <w:rsid w:val="46A99D34"/>
    <w:rsid w:val="46AAECEE"/>
    <w:rsid w:val="46B30E28"/>
    <w:rsid w:val="46B6AEB6"/>
    <w:rsid w:val="46D606D8"/>
    <w:rsid w:val="46D94BF5"/>
    <w:rsid w:val="46DC72A0"/>
    <w:rsid w:val="46E35AF8"/>
    <w:rsid w:val="46EFD24B"/>
    <w:rsid w:val="46FF252F"/>
    <w:rsid w:val="47041913"/>
    <w:rsid w:val="4713677C"/>
    <w:rsid w:val="47175278"/>
    <w:rsid w:val="473707A8"/>
    <w:rsid w:val="47376DF2"/>
    <w:rsid w:val="4771476D"/>
    <w:rsid w:val="477649C7"/>
    <w:rsid w:val="477F2D20"/>
    <w:rsid w:val="478E4F64"/>
    <w:rsid w:val="4795E90F"/>
    <w:rsid w:val="47A1CDCA"/>
    <w:rsid w:val="47A4AAA2"/>
    <w:rsid w:val="47A609D0"/>
    <w:rsid w:val="47ADD52E"/>
    <w:rsid w:val="47BE6EEB"/>
    <w:rsid w:val="47C00BA3"/>
    <w:rsid w:val="47C278F5"/>
    <w:rsid w:val="47C71861"/>
    <w:rsid w:val="47C9E924"/>
    <w:rsid w:val="47DB42D1"/>
    <w:rsid w:val="47DEF33B"/>
    <w:rsid w:val="47E86159"/>
    <w:rsid w:val="47F901AC"/>
    <w:rsid w:val="47FA5224"/>
    <w:rsid w:val="47FDA8D6"/>
    <w:rsid w:val="481B1211"/>
    <w:rsid w:val="483D1BAB"/>
    <w:rsid w:val="484C7AA7"/>
    <w:rsid w:val="484CF3C7"/>
    <w:rsid w:val="4850707E"/>
    <w:rsid w:val="485D6FCE"/>
    <w:rsid w:val="48678CC3"/>
    <w:rsid w:val="486CC2DB"/>
    <w:rsid w:val="4873B28E"/>
    <w:rsid w:val="488D7A6A"/>
    <w:rsid w:val="48921998"/>
    <w:rsid w:val="48926631"/>
    <w:rsid w:val="48937260"/>
    <w:rsid w:val="489C585C"/>
    <w:rsid w:val="489F15BF"/>
    <w:rsid w:val="48AEA71D"/>
    <w:rsid w:val="48B5078D"/>
    <w:rsid w:val="48BA6871"/>
    <w:rsid w:val="48CBDF19"/>
    <w:rsid w:val="48DF558F"/>
    <w:rsid w:val="48E0F8D5"/>
    <w:rsid w:val="48F15434"/>
    <w:rsid w:val="48FEEBE9"/>
    <w:rsid w:val="490FA010"/>
    <w:rsid w:val="491596C5"/>
    <w:rsid w:val="492EADC9"/>
    <w:rsid w:val="494D31C3"/>
    <w:rsid w:val="494EF461"/>
    <w:rsid w:val="4958AAA6"/>
    <w:rsid w:val="49679E71"/>
    <w:rsid w:val="496B810D"/>
    <w:rsid w:val="496D673D"/>
    <w:rsid w:val="4977E36B"/>
    <w:rsid w:val="497A6718"/>
    <w:rsid w:val="497B8C2E"/>
    <w:rsid w:val="499107A2"/>
    <w:rsid w:val="4991E671"/>
    <w:rsid w:val="49A12232"/>
    <w:rsid w:val="49A1796D"/>
    <w:rsid w:val="49A2E14C"/>
    <w:rsid w:val="49A37FB7"/>
    <w:rsid w:val="49A7060C"/>
    <w:rsid w:val="49CBC74A"/>
    <w:rsid w:val="49D0C2BF"/>
    <w:rsid w:val="49D1B322"/>
    <w:rsid w:val="49DA9A4A"/>
    <w:rsid w:val="49DB0BEA"/>
    <w:rsid w:val="49DFDC45"/>
    <w:rsid w:val="49E5703B"/>
    <w:rsid w:val="49F81C6A"/>
    <w:rsid w:val="49FC158D"/>
    <w:rsid w:val="4A0F8CE9"/>
    <w:rsid w:val="4A281B58"/>
    <w:rsid w:val="4A2B1133"/>
    <w:rsid w:val="4A2CBEFE"/>
    <w:rsid w:val="4A3EF7A0"/>
    <w:rsid w:val="4A42D190"/>
    <w:rsid w:val="4A486D2A"/>
    <w:rsid w:val="4A49B9F8"/>
    <w:rsid w:val="4A4CF8D1"/>
    <w:rsid w:val="4A4D00B1"/>
    <w:rsid w:val="4A558020"/>
    <w:rsid w:val="4A64610E"/>
    <w:rsid w:val="4A65AA16"/>
    <w:rsid w:val="4A67177E"/>
    <w:rsid w:val="4A6F3865"/>
    <w:rsid w:val="4A8A0E43"/>
    <w:rsid w:val="4A8F86AF"/>
    <w:rsid w:val="4AB1DD0E"/>
    <w:rsid w:val="4AB23AFE"/>
    <w:rsid w:val="4AC4BB9F"/>
    <w:rsid w:val="4AE4C3D4"/>
    <w:rsid w:val="4AEFDB24"/>
    <w:rsid w:val="4AF28851"/>
    <w:rsid w:val="4AF2E310"/>
    <w:rsid w:val="4AF464DC"/>
    <w:rsid w:val="4B19DA7A"/>
    <w:rsid w:val="4B499BC7"/>
    <w:rsid w:val="4B567ADC"/>
    <w:rsid w:val="4B58F9C2"/>
    <w:rsid w:val="4B5D33BD"/>
    <w:rsid w:val="4B6551C2"/>
    <w:rsid w:val="4B6EC7DD"/>
    <w:rsid w:val="4B72D4FF"/>
    <w:rsid w:val="4B808787"/>
    <w:rsid w:val="4B83D355"/>
    <w:rsid w:val="4BC45FDC"/>
    <w:rsid w:val="4BCC441E"/>
    <w:rsid w:val="4BD652B7"/>
    <w:rsid w:val="4BD981CC"/>
    <w:rsid w:val="4BDA873E"/>
    <w:rsid w:val="4BF030BD"/>
    <w:rsid w:val="4BFA310C"/>
    <w:rsid w:val="4C129CDB"/>
    <w:rsid w:val="4C1B5AB1"/>
    <w:rsid w:val="4C1C25F0"/>
    <w:rsid w:val="4C1C4D6C"/>
    <w:rsid w:val="4C1CC236"/>
    <w:rsid w:val="4C1F9430"/>
    <w:rsid w:val="4C2BD842"/>
    <w:rsid w:val="4C43FB49"/>
    <w:rsid w:val="4C4804F0"/>
    <w:rsid w:val="4C5FBE1C"/>
    <w:rsid w:val="4C7B2062"/>
    <w:rsid w:val="4C82BBF0"/>
    <w:rsid w:val="4C857B7F"/>
    <w:rsid w:val="4C86897D"/>
    <w:rsid w:val="4C891344"/>
    <w:rsid w:val="4C8B395C"/>
    <w:rsid w:val="4C904B68"/>
    <w:rsid w:val="4CA7A2C5"/>
    <w:rsid w:val="4CBB7E22"/>
    <w:rsid w:val="4CC0F2E3"/>
    <w:rsid w:val="4CEDAAFA"/>
    <w:rsid w:val="4CF05982"/>
    <w:rsid w:val="4CF0C339"/>
    <w:rsid w:val="4CF261AB"/>
    <w:rsid w:val="4D02DDCC"/>
    <w:rsid w:val="4D12D8A0"/>
    <w:rsid w:val="4D22B25A"/>
    <w:rsid w:val="4D321C88"/>
    <w:rsid w:val="4D33A9A4"/>
    <w:rsid w:val="4D4DB486"/>
    <w:rsid w:val="4D6101B8"/>
    <w:rsid w:val="4D656C83"/>
    <w:rsid w:val="4D6A90CC"/>
    <w:rsid w:val="4D7D07C4"/>
    <w:rsid w:val="4D8581B2"/>
    <w:rsid w:val="4D899310"/>
    <w:rsid w:val="4D985D89"/>
    <w:rsid w:val="4D9E808E"/>
    <w:rsid w:val="4DA68801"/>
    <w:rsid w:val="4DA7DC68"/>
    <w:rsid w:val="4DB64917"/>
    <w:rsid w:val="4DBCBF07"/>
    <w:rsid w:val="4DBFBD79"/>
    <w:rsid w:val="4DC19DD2"/>
    <w:rsid w:val="4DD02123"/>
    <w:rsid w:val="4DD98381"/>
    <w:rsid w:val="4DDD1956"/>
    <w:rsid w:val="4DDEA794"/>
    <w:rsid w:val="4DE70082"/>
    <w:rsid w:val="4E155927"/>
    <w:rsid w:val="4E262D5F"/>
    <w:rsid w:val="4E26B3F9"/>
    <w:rsid w:val="4E2C059E"/>
    <w:rsid w:val="4E41A982"/>
    <w:rsid w:val="4E45A252"/>
    <w:rsid w:val="4E4EA224"/>
    <w:rsid w:val="4E545109"/>
    <w:rsid w:val="4E61A481"/>
    <w:rsid w:val="4E7A039E"/>
    <w:rsid w:val="4E9D83A9"/>
    <w:rsid w:val="4EA27C20"/>
    <w:rsid w:val="4EAA1B0A"/>
    <w:rsid w:val="4EAA8154"/>
    <w:rsid w:val="4EB583C9"/>
    <w:rsid w:val="4EBDB117"/>
    <w:rsid w:val="4EC8E79E"/>
    <w:rsid w:val="4ECEB03F"/>
    <w:rsid w:val="4EEF1EF2"/>
    <w:rsid w:val="4EF093FE"/>
    <w:rsid w:val="4EFA0A7C"/>
    <w:rsid w:val="4F0CD84A"/>
    <w:rsid w:val="4F1070C8"/>
    <w:rsid w:val="4F13D4A0"/>
    <w:rsid w:val="4F1B6584"/>
    <w:rsid w:val="4F1E842E"/>
    <w:rsid w:val="4F27E7ED"/>
    <w:rsid w:val="4F355DA3"/>
    <w:rsid w:val="4F366BD0"/>
    <w:rsid w:val="4F616B34"/>
    <w:rsid w:val="4F66D4FE"/>
    <w:rsid w:val="4F6C0963"/>
    <w:rsid w:val="4F97EEA5"/>
    <w:rsid w:val="4FA1CB23"/>
    <w:rsid w:val="4FA8FC59"/>
    <w:rsid w:val="4FB18D87"/>
    <w:rsid w:val="4FB9EB12"/>
    <w:rsid w:val="4FBBC627"/>
    <w:rsid w:val="4FBFAC57"/>
    <w:rsid w:val="4FD848DA"/>
    <w:rsid w:val="4FDFC410"/>
    <w:rsid w:val="4FE19CB5"/>
    <w:rsid w:val="4FE4CD35"/>
    <w:rsid w:val="4FE958E1"/>
    <w:rsid w:val="50023A3F"/>
    <w:rsid w:val="50102D25"/>
    <w:rsid w:val="5015A508"/>
    <w:rsid w:val="50219779"/>
    <w:rsid w:val="50560BB5"/>
    <w:rsid w:val="5060108F"/>
    <w:rsid w:val="5061B0ED"/>
    <w:rsid w:val="506F6FAA"/>
    <w:rsid w:val="50754775"/>
    <w:rsid w:val="508595AB"/>
    <w:rsid w:val="50875614"/>
    <w:rsid w:val="5098D9DC"/>
    <w:rsid w:val="509D62F4"/>
    <w:rsid w:val="50AB33F7"/>
    <w:rsid w:val="50B82FFB"/>
    <w:rsid w:val="50C611E3"/>
    <w:rsid w:val="50D6274B"/>
    <w:rsid w:val="50D7E322"/>
    <w:rsid w:val="50DD097B"/>
    <w:rsid w:val="50ED8E85"/>
    <w:rsid w:val="50F2C980"/>
    <w:rsid w:val="511031A5"/>
    <w:rsid w:val="511884EE"/>
    <w:rsid w:val="511C893E"/>
    <w:rsid w:val="5125BA7A"/>
    <w:rsid w:val="51292763"/>
    <w:rsid w:val="51328131"/>
    <w:rsid w:val="513A0F04"/>
    <w:rsid w:val="5144445C"/>
    <w:rsid w:val="5148BF3C"/>
    <w:rsid w:val="5158B971"/>
    <w:rsid w:val="515CC2A2"/>
    <w:rsid w:val="517D22D4"/>
    <w:rsid w:val="517D9D23"/>
    <w:rsid w:val="51851AC2"/>
    <w:rsid w:val="51865D88"/>
    <w:rsid w:val="5193530D"/>
    <w:rsid w:val="5196C8C1"/>
    <w:rsid w:val="51A576A4"/>
    <w:rsid w:val="51C18DEB"/>
    <w:rsid w:val="51D1F944"/>
    <w:rsid w:val="51E4307F"/>
    <w:rsid w:val="51F3CA1E"/>
    <w:rsid w:val="51F83AA6"/>
    <w:rsid w:val="51FF7858"/>
    <w:rsid w:val="520243DF"/>
    <w:rsid w:val="5214067E"/>
    <w:rsid w:val="5215A6CD"/>
    <w:rsid w:val="521E569E"/>
    <w:rsid w:val="522DC842"/>
    <w:rsid w:val="524DFF5C"/>
    <w:rsid w:val="5258048A"/>
    <w:rsid w:val="525B6BFD"/>
    <w:rsid w:val="525CBFAD"/>
    <w:rsid w:val="52641034"/>
    <w:rsid w:val="527126A1"/>
    <w:rsid w:val="5271766E"/>
    <w:rsid w:val="5275B9A9"/>
    <w:rsid w:val="52797E77"/>
    <w:rsid w:val="5287E197"/>
    <w:rsid w:val="5296768D"/>
    <w:rsid w:val="529EFA0E"/>
    <w:rsid w:val="529F993B"/>
    <w:rsid w:val="52A8E0D7"/>
    <w:rsid w:val="52C3E814"/>
    <w:rsid w:val="52C62ED2"/>
    <w:rsid w:val="52C7015C"/>
    <w:rsid w:val="52C753F3"/>
    <w:rsid w:val="52E021DB"/>
    <w:rsid w:val="52E4974D"/>
    <w:rsid w:val="52E5492B"/>
    <w:rsid w:val="52E6E75A"/>
    <w:rsid w:val="52F4C648"/>
    <w:rsid w:val="52FD9114"/>
    <w:rsid w:val="53103060"/>
    <w:rsid w:val="5313F345"/>
    <w:rsid w:val="53227E3D"/>
    <w:rsid w:val="53245A8E"/>
    <w:rsid w:val="532E5394"/>
    <w:rsid w:val="53362C97"/>
    <w:rsid w:val="534548A9"/>
    <w:rsid w:val="5365B07A"/>
    <w:rsid w:val="53739DF2"/>
    <w:rsid w:val="53861370"/>
    <w:rsid w:val="53866BE2"/>
    <w:rsid w:val="5391C5BC"/>
    <w:rsid w:val="539397D9"/>
    <w:rsid w:val="539F9689"/>
    <w:rsid w:val="53A13829"/>
    <w:rsid w:val="53B4238B"/>
    <w:rsid w:val="53B8D0D1"/>
    <w:rsid w:val="53BF7018"/>
    <w:rsid w:val="53C66888"/>
    <w:rsid w:val="53D98F6D"/>
    <w:rsid w:val="53DEA07E"/>
    <w:rsid w:val="53E1259C"/>
    <w:rsid w:val="53E56F28"/>
    <w:rsid w:val="53EFD0BD"/>
    <w:rsid w:val="5402E0F1"/>
    <w:rsid w:val="5406ADBD"/>
    <w:rsid w:val="5406C695"/>
    <w:rsid w:val="54145AB2"/>
    <w:rsid w:val="54220E6E"/>
    <w:rsid w:val="542D42E3"/>
    <w:rsid w:val="5447BFBB"/>
    <w:rsid w:val="544E3EA9"/>
    <w:rsid w:val="5459E9AC"/>
    <w:rsid w:val="545C7D07"/>
    <w:rsid w:val="5466564B"/>
    <w:rsid w:val="5466CD4F"/>
    <w:rsid w:val="548782CD"/>
    <w:rsid w:val="548F5B1D"/>
    <w:rsid w:val="548FFC38"/>
    <w:rsid w:val="54933520"/>
    <w:rsid w:val="549B2067"/>
    <w:rsid w:val="54AACCBF"/>
    <w:rsid w:val="54B5F370"/>
    <w:rsid w:val="54BE6BCB"/>
    <w:rsid w:val="54BED64D"/>
    <w:rsid w:val="54BEF0D8"/>
    <w:rsid w:val="54C1E19B"/>
    <w:rsid w:val="54C384E2"/>
    <w:rsid w:val="54C407F6"/>
    <w:rsid w:val="54C5DC9C"/>
    <w:rsid w:val="54C90872"/>
    <w:rsid w:val="54D344BC"/>
    <w:rsid w:val="54DF254C"/>
    <w:rsid w:val="54E41269"/>
    <w:rsid w:val="54E4E1A6"/>
    <w:rsid w:val="54EE4A60"/>
    <w:rsid w:val="550F54BD"/>
    <w:rsid w:val="5512F9AA"/>
    <w:rsid w:val="55134013"/>
    <w:rsid w:val="5528A183"/>
    <w:rsid w:val="552B0CA7"/>
    <w:rsid w:val="553220EC"/>
    <w:rsid w:val="553412F2"/>
    <w:rsid w:val="553B8E5E"/>
    <w:rsid w:val="553DC668"/>
    <w:rsid w:val="5561B284"/>
    <w:rsid w:val="5566FEC9"/>
    <w:rsid w:val="556C85BC"/>
    <w:rsid w:val="556E2934"/>
    <w:rsid w:val="5570647E"/>
    <w:rsid w:val="55771CFA"/>
    <w:rsid w:val="55855722"/>
    <w:rsid w:val="558B3767"/>
    <w:rsid w:val="5590BC05"/>
    <w:rsid w:val="559C2B94"/>
    <w:rsid w:val="55A6985D"/>
    <w:rsid w:val="55B201C8"/>
    <w:rsid w:val="55B22351"/>
    <w:rsid w:val="55C07E78"/>
    <w:rsid w:val="55C2852B"/>
    <w:rsid w:val="55C464DF"/>
    <w:rsid w:val="55E873F8"/>
    <w:rsid w:val="55F37160"/>
    <w:rsid w:val="55FAB237"/>
    <w:rsid w:val="55FDA21F"/>
    <w:rsid w:val="5603E449"/>
    <w:rsid w:val="5606ED12"/>
    <w:rsid w:val="56181A88"/>
    <w:rsid w:val="5618E185"/>
    <w:rsid w:val="561B4F2B"/>
    <w:rsid w:val="5625C9C3"/>
    <w:rsid w:val="562B32EB"/>
    <w:rsid w:val="562FE851"/>
    <w:rsid w:val="5637E5E9"/>
    <w:rsid w:val="5654F4F1"/>
    <w:rsid w:val="565B8CA2"/>
    <w:rsid w:val="565D1A42"/>
    <w:rsid w:val="566EAEA4"/>
    <w:rsid w:val="5675F84D"/>
    <w:rsid w:val="567B9423"/>
    <w:rsid w:val="567E0282"/>
    <w:rsid w:val="5683CD44"/>
    <w:rsid w:val="5694202A"/>
    <w:rsid w:val="56AC9A5C"/>
    <w:rsid w:val="56B18A77"/>
    <w:rsid w:val="56B8BB2C"/>
    <w:rsid w:val="56BDD55D"/>
    <w:rsid w:val="56BF5B9F"/>
    <w:rsid w:val="56C67401"/>
    <w:rsid w:val="56C6DD08"/>
    <w:rsid w:val="56D65B3A"/>
    <w:rsid w:val="56D9FD72"/>
    <w:rsid w:val="56E1C9D9"/>
    <w:rsid w:val="56E3E6E9"/>
    <w:rsid w:val="571DEBA8"/>
    <w:rsid w:val="571E0780"/>
    <w:rsid w:val="57230EA7"/>
    <w:rsid w:val="57395E59"/>
    <w:rsid w:val="573C48A1"/>
    <w:rsid w:val="57500D98"/>
    <w:rsid w:val="5755C2CD"/>
    <w:rsid w:val="5758A51E"/>
    <w:rsid w:val="575EBDFD"/>
    <w:rsid w:val="57607A64"/>
    <w:rsid w:val="5761D5A6"/>
    <w:rsid w:val="57674C12"/>
    <w:rsid w:val="578925A0"/>
    <w:rsid w:val="579B78B9"/>
    <w:rsid w:val="57A06C87"/>
    <w:rsid w:val="57A4436C"/>
    <w:rsid w:val="57B30824"/>
    <w:rsid w:val="57C881CE"/>
    <w:rsid w:val="57D5B951"/>
    <w:rsid w:val="57D8EC64"/>
    <w:rsid w:val="57EE76C5"/>
    <w:rsid w:val="57F049B9"/>
    <w:rsid w:val="57F4698E"/>
    <w:rsid w:val="57F674CC"/>
    <w:rsid w:val="57F79604"/>
    <w:rsid w:val="57FB8009"/>
    <w:rsid w:val="57FBFB22"/>
    <w:rsid w:val="57FD13E7"/>
    <w:rsid w:val="57FF6B4C"/>
    <w:rsid w:val="580814BB"/>
    <w:rsid w:val="5810ADBB"/>
    <w:rsid w:val="5829E25B"/>
    <w:rsid w:val="582A54B0"/>
    <w:rsid w:val="582D704B"/>
    <w:rsid w:val="58394FB9"/>
    <w:rsid w:val="58460D76"/>
    <w:rsid w:val="5850C665"/>
    <w:rsid w:val="58514DBC"/>
    <w:rsid w:val="58522389"/>
    <w:rsid w:val="585342E7"/>
    <w:rsid w:val="5856EC0D"/>
    <w:rsid w:val="5862AD69"/>
    <w:rsid w:val="586649E4"/>
    <w:rsid w:val="5868C59F"/>
    <w:rsid w:val="5869E3A4"/>
    <w:rsid w:val="586AFB79"/>
    <w:rsid w:val="5871873E"/>
    <w:rsid w:val="5884C5E6"/>
    <w:rsid w:val="588609B6"/>
    <w:rsid w:val="589A85D9"/>
    <w:rsid w:val="58A15238"/>
    <w:rsid w:val="58BB1AB4"/>
    <w:rsid w:val="58BFF026"/>
    <w:rsid w:val="58CA6CAD"/>
    <w:rsid w:val="58CC9F72"/>
    <w:rsid w:val="58CF44A0"/>
    <w:rsid w:val="58D09B57"/>
    <w:rsid w:val="58D9348A"/>
    <w:rsid w:val="58E194F7"/>
    <w:rsid w:val="58E47001"/>
    <w:rsid w:val="58E61DEE"/>
    <w:rsid w:val="58F1011F"/>
    <w:rsid w:val="5905C948"/>
    <w:rsid w:val="5908B864"/>
    <w:rsid w:val="59227C76"/>
    <w:rsid w:val="594076F4"/>
    <w:rsid w:val="59455863"/>
    <w:rsid w:val="5955603B"/>
    <w:rsid w:val="595D5CAB"/>
    <w:rsid w:val="59684009"/>
    <w:rsid w:val="59808FAC"/>
    <w:rsid w:val="59942892"/>
    <w:rsid w:val="5994E3EF"/>
    <w:rsid w:val="599B01D8"/>
    <w:rsid w:val="59A058BE"/>
    <w:rsid w:val="59A4A5A4"/>
    <w:rsid w:val="59AB5E64"/>
    <w:rsid w:val="59AF5A15"/>
    <w:rsid w:val="59BAA09B"/>
    <w:rsid w:val="59C3CA18"/>
    <w:rsid w:val="59C5F1BD"/>
    <w:rsid w:val="59D9396D"/>
    <w:rsid w:val="59EEAAF8"/>
    <w:rsid w:val="59F1A2E2"/>
    <w:rsid w:val="59FA7F1A"/>
    <w:rsid w:val="5A008906"/>
    <w:rsid w:val="5A0AE92F"/>
    <w:rsid w:val="5A15348D"/>
    <w:rsid w:val="5A23E2FD"/>
    <w:rsid w:val="5A2AFF1D"/>
    <w:rsid w:val="5A33D3B1"/>
    <w:rsid w:val="5A361CF2"/>
    <w:rsid w:val="5A3D26E0"/>
    <w:rsid w:val="5A465469"/>
    <w:rsid w:val="5A4D83F0"/>
    <w:rsid w:val="5A4EB6E3"/>
    <w:rsid w:val="5A5CCF55"/>
    <w:rsid w:val="5A638A8B"/>
    <w:rsid w:val="5A6FF0EE"/>
    <w:rsid w:val="5A78672A"/>
    <w:rsid w:val="5A79FDB2"/>
    <w:rsid w:val="5A962C12"/>
    <w:rsid w:val="5A9989F2"/>
    <w:rsid w:val="5A9C0E8C"/>
    <w:rsid w:val="5AA7B77E"/>
    <w:rsid w:val="5AC0C54F"/>
    <w:rsid w:val="5AD1BD55"/>
    <w:rsid w:val="5AD4834E"/>
    <w:rsid w:val="5AE39C17"/>
    <w:rsid w:val="5AEFE3D8"/>
    <w:rsid w:val="5AFD7031"/>
    <w:rsid w:val="5AFFB5CD"/>
    <w:rsid w:val="5B036664"/>
    <w:rsid w:val="5B1CC0DC"/>
    <w:rsid w:val="5B1D0D38"/>
    <w:rsid w:val="5B30CDB9"/>
    <w:rsid w:val="5B385041"/>
    <w:rsid w:val="5B39B7B7"/>
    <w:rsid w:val="5B4AFAFF"/>
    <w:rsid w:val="5B5D40A5"/>
    <w:rsid w:val="5B67A650"/>
    <w:rsid w:val="5B67AC42"/>
    <w:rsid w:val="5B7181A8"/>
    <w:rsid w:val="5B80EA96"/>
    <w:rsid w:val="5B8E9E9A"/>
    <w:rsid w:val="5B9D6AC1"/>
    <w:rsid w:val="5BA16917"/>
    <w:rsid w:val="5BA76D8A"/>
    <w:rsid w:val="5BA8BBE3"/>
    <w:rsid w:val="5BB4CF88"/>
    <w:rsid w:val="5BBF8FDF"/>
    <w:rsid w:val="5BC77A1E"/>
    <w:rsid w:val="5BCFA412"/>
    <w:rsid w:val="5BD1CF21"/>
    <w:rsid w:val="5BDEEC89"/>
    <w:rsid w:val="5BFC4AFE"/>
    <w:rsid w:val="5BFE1DE0"/>
    <w:rsid w:val="5C10EB24"/>
    <w:rsid w:val="5C13BB88"/>
    <w:rsid w:val="5C202EE7"/>
    <w:rsid w:val="5C209A9C"/>
    <w:rsid w:val="5C2E736C"/>
    <w:rsid w:val="5C3BC6A8"/>
    <w:rsid w:val="5C4E37F2"/>
    <w:rsid w:val="5C52687B"/>
    <w:rsid w:val="5C6C5011"/>
    <w:rsid w:val="5C7E2260"/>
    <w:rsid w:val="5C857D28"/>
    <w:rsid w:val="5C879B84"/>
    <w:rsid w:val="5C978C4E"/>
    <w:rsid w:val="5CA9D2CF"/>
    <w:rsid w:val="5CB6EA79"/>
    <w:rsid w:val="5CCBD8F5"/>
    <w:rsid w:val="5CD35864"/>
    <w:rsid w:val="5CE52C7F"/>
    <w:rsid w:val="5CE5B8ED"/>
    <w:rsid w:val="5CF1D3D7"/>
    <w:rsid w:val="5CF971D6"/>
    <w:rsid w:val="5D0A628B"/>
    <w:rsid w:val="5D104EB1"/>
    <w:rsid w:val="5D1A134B"/>
    <w:rsid w:val="5D1F2775"/>
    <w:rsid w:val="5D1F8D18"/>
    <w:rsid w:val="5D3528A5"/>
    <w:rsid w:val="5D411773"/>
    <w:rsid w:val="5D4DD790"/>
    <w:rsid w:val="5D5B1E70"/>
    <w:rsid w:val="5D776EB9"/>
    <w:rsid w:val="5D7FD6BB"/>
    <w:rsid w:val="5D85227D"/>
    <w:rsid w:val="5D8B3B79"/>
    <w:rsid w:val="5D983E8C"/>
    <w:rsid w:val="5DA69286"/>
    <w:rsid w:val="5DA84E03"/>
    <w:rsid w:val="5DB0610D"/>
    <w:rsid w:val="5DB38560"/>
    <w:rsid w:val="5DB8ABC4"/>
    <w:rsid w:val="5DC6A445"/>
    <w:rsid w:val="5DD01684"/>
    <w:rsid w:val="5DDCC5DD"/>
    <w:rsid w:val="5DDDE3F9"/>
    <w:rsid w:val="5DF72D9C"/>
    <w:rsid w:val="5DFB0C82"/>
    <w:rsid w:val="5DFE2F93"/>
    <w:rsid w:val="5DFFFA18"/>
    <w:rsid w:val="5E01C831"/>
    <w:rsid w:val="5E021E5D"/>
    <w:rsid w:val="5E098112"/>
    <w:rsid w:val="5E1AC855"/>
    <w:rsid w:val="5E1AEED6"/>
    <w:rsid w:val="5E261573"/>
    <w:rsid w:val="5E3F3349"/>
    <w:rsid w:val="5E402EF0"/>
    <w:rsid w:val="5E420DBD"/>
    <w:rsid w:val="5E5196E1"/>
    <w:rsid w:val="5E5C74DF"/>
    <w:rsid w:val="5E736BF5"/>
    <w:rsid w:val="5E773BFA"/>
    <w:rsid w:val="5E8A85CD"/>
    <w:rsid w:val="5EA43A43"/>
    <w:rsid w:val="5EAF1498"/>
    <w:rsid w:val="5EBCFD69"/>
    <w:rsid w:val="5EC62931"/>
    <w:rsid w:val="5ED0F906"/>
    <w:rsid w:val="5EDA6DF3"/>
    <w:rsid w:val="5EF856C8"/>
    <w:rsid w:val="5EFEC904"/>
    <w:rsid w:val="5F00EDE9"/>
    <w:rsid w:val="5F0E1F72"/>
    <w:rsid w:val="5F222657"/>
    <w:rsid w:val="5F295EB4"/>
    <w:rsid w:val="5F2F2319"/>
    <w:rsid w:val="5F386986"/>
    <w:rsid w:val="5F3F060B"/>
    <w:rsid w:val="5F4159E0"/>
    <w:rsid w:val="5F536EF3"/>
    <w:rsid w:val="5F57EE06"/>
    <w:rsid w:val="5F62004F"/>
    <w:rsid w:val="5F6C3826"/>
    <w:rsid w:val="5F79FF1F"/>
    <w:rsid w:val="5F7F9334"/>
    <w:rsid w:val="5F91DE51"/>
    <w:rsid w:val="5F97C60E"/>
    <w:rsid w:val="5F9C793C"/>
    <w:rsid w:val="5F9D1558"/>
    <w:rsid w:val="5FACDC63"/>
    <w:rsid w:val="5FD77946"/>
    <w:rsid w:val="5FDB4BAE"/>
    <w:rsid w:val="5FE517E4"/>
    <w:rsid w:val="5FE7B1A5"/>
    <w:rsid w:val="5FF0A6FF"/>
    <w:rsid w:val="5FFABEF6"/>
    <w:rsid w:val="60065475"/>
    <w:rsid w:val="6011B5E1"/>
    <w:rsid w:val="60218A76"/>
    <w:rsid w:val="60219D19"/>
    <w:rsid w:val="602A7979"/>
    <w:rsid w:val="60369993"/>
    <w:rsid w:val="60438BAE"/>
    <w:rsid w:val="60448794"/>
    <w:rsid w:val="6045AC12"/>
    <w:rsid w:val="605DFE13"/>
    <w:rsid w:val="60617BF7"/>
    <w:rsid w:val="60638252"/>
    <w:rsid w:val="606E94BE"/>
    <w:rsid w:val="6074416A"/>
    <w:rsid w:val="607D539D"/>
    <w:rsid w:val="6085EB8C"/>
    <w:rsid w:val="608C9F12"/>
    <w:rsid w:val="60A98497"/>
    <w:rsid w:val="60B3C907"/>
    <w:rsid w:val="60B660FE"/>
    <w:rsid w:val="60BE53B8"/>
    <w:rsid w:val="60BFCA2D"/>
    <w:rsid w:val="60CC5B87"/>
    <w:rsid w:val="60E9E8FA"/>
    <w:rsid w:val="60EA979A"/>
    <w:rsid w:val="60EB5970"/>
    <w:rsid w:val="60F04C86"/>
    <w:rsid w:val="60FFE376"/>
    <w:rsid w:val="6109EBAE"/>
    <w:rsid w:val="610D3545"/>
    <w:rsid w:val="61158AF3"/>
    <w:rsid w:val="61191CA6"/>
    <w:rsid w:val="611CE291"/>
    <w:rsid w:val="611D1EAD"/>
    <w:rsid w:val="61212CEE"/>
    <w:rsid w:val="612CE250"/>
    <w:rsid w:val="6134F2CE"/>
    <w:rsid w:val="614239F9"/>
    <w:rsid w:val="61443298"/>
    <w:rsid w:val="616A888C"/>
    <w:rsid w:val="616AC3CB"/>
    <w:rsid w:val="61760509"/>
    <w:rsid w:val="617B2AFB"/>
    <w:rsid w:val="6187F3FE"/>
    <w:rsid w:val="6191E45A"/>
    <w:rsid w:val="6194E261"/>
    <w:rsid w:val="61A9F475"/>
    <w:rsid w:val="61AD566F"/>
    <w:rsid w:val="61AFFB49"/>
    <w:rsid w:val="61B05999"/>
    <w:rsid w:val="61B13E6D"/>
    <w:rsid w:val="61B3324B"/>
    <w:rsid w:val="61BBCCBC"/>
    <w:rsid w:val="61D242AD"/>
    <w:rsid w:val="61DEE87E"/>
    <w:rsid w:val="61F314A9"/>
    <w:rsid w:val="61F4F041"/>
    <w:rsid w:val="62031000"/>
    <w:rsid w:val="620FDE0B"/>
    <w:rsid w:val="6217243F"/>
    <w:rsid w:val="621E7412"/>
    <w:rsid w:val="622868F8"/>
    <w:rsid w:val="622E2B6F"/>
    <w:rsid w:val="62379566"/>
    <w:rsid w:val="623D916E"/>
    <w:rsid w:val="623D97DF"/>
    <w:rsid w:val="624804DC"/>
    <w:rsid w:val="624A04E2"/>
    <w:rsid w:val="6255E689"/>
    <w:rsid w:val="62593CE3"/>
    <w:rsid w:val="626E5B83"/>
    <w:rsid w:val="6274CD3D"/>
    <w:rsid w:val="627A4ED8"/>
    <w:rsid w:val="62829363"/>
    <w:rsid w:val="628786B5"/>
    <w:rsid w:val="628A2A85"/>
    <w:rsid w:val="629C2132"/>
    <w:rsid w:val="629E5C1C"/>
    <w:rsid w:val="62C2623A"/>
    <w:rsid w:val="62C7CD83"/>
    <w:rsid w:val="62DF665B"/>
    <w:rsid w:val="62E1CD60"/>
    <w:rsid w:val="62E2809F"/>
    <w:rsid w:val="62E91603"/>
    <w:rsid w:val="62EEC954"/>
    <w:rsid w:val="62F1977E"/>
    <w:rsid w:val="62F5AC15"/>
    <w:rsid w:val="62F8FC99"/>
    <w:rsid w:val="62FAF5BD"/>
    <w:rsid w:val="6301BF5D"/>
    <w:rsid w:val="63110569"/>
    <w:rsid w:val="6314492E"/>
    <w:rsid w:val="63267CAE"/>
    <w:rsid w:val="632729E8"/>
    <w:rsid w:val="632E1B5F"/>
    <w:rsid w:val="63320177"/>
    <w:rsid w:val="6334EF60"/>
    <w:rsid w:val="63576A4C"/>
    <w:rsid w:val="635DEBFC"/>
    <w:rsid w:val="63782B5D"/>
    <w:rsid w:val="63844A96"/>
    <w:rsid w:val="639EEF85"/>
    <w:rsid w:val="63A05D4A"/>
    <w:rsid w:val="63A7E994"/>
    <w:rsid w:val="63AE9F64"/>
    <w:rsid w:val="63B82E40"/>
    <w:rsid w:val="63C4305F"/>
    <w:rsid w:val="63D9F66E"/>
    <w:rsid w:val="63E5CF0B"/>
    <w:rsid w:val="63EA1188"/>
    <w:rsid w:val="63EBD011"/>
    <w:rsid w:val="63F54F90"/>
    <w:rsid w:val="63F617A4"/>
    <w:rsid w:val="63FE0EB7"/>
    <w:rsid w:val="6411234E"/>
    <w:rsid w:val="6428F9D8"/>
    <w:rsid w:val="642CC218"/>
    <w:rsid w:val="6437FA2A"/>
    <w:rsid w:val="6439D5C2"/>
    <w:rsid w:val="643CB572"/>
    <w:rsid w:val="64418C17"/>
    <w:rsid w:val="64456418"/>
    <w:rsid w:val="645175A3"/>
    <w:rsid w:val="6466527A"/>
    <w:rsid w:val="646E3F59"/>
    <w:rsid w:val="64713AD8"/>
    <w:rsid w:val="647AB4E1"/>
    <w:rsid w:val="64907301"/>
    <w:rsid w:val="6490FA45"/>
    <w:rsid w:val="6498F7A8"/>
    <w:rsid w:val="64A0B753"/>
    <w:rsid w:val="64A5BF76"/>
    <w:rsid w:val="64A92FE5"/>
    <w:rsid w:val="64B193EA"/>
    <w:rsid w:val="64B5813A"/>
    <w:rsid w:val="64BEAECC"/>
    <w:rsid w:val="64C5F10D"/>
    <w:rsid w:val="64CAFC5C"/>
    <w:rsid w:val="64CFA17C"/>
    <w:rsid w:val="64D8D9C0"/>
    <w:rsid w:val="6503578F"/>
    <w:rsid w:val="651CEFFB"/>
    <w:rsid w:val="6520BACE"/>
    <w:rsid w:val="652971B0"/>
    <w:rsid w:val="653F5F71"/>
    <w:rsid w:val="6543FF0E"/>
    <w:rsid w:val="655C70C4"/>
    <w:rsid w:val="6563203A"/>
    <w:rsid w:val="656CCF30"/>
    <w:rsid w:val="6580BFF3"/>
    <w:rsid w:val="65916086"/>
    <w:rsid w:val="65970673"/>
    <w:rsid w:val="65B81718"/>
    <w:rsid w:val="65BD87A2"/>
    <w:rsid w:val="65C4B34D"/>
    <w:rsid w:val="65D45CA8"/>
    <w:rsid w:val="65D56CDE"/>
    <w:rsid w:val="65DD4AAD"/>
    <w:rsid w:val="65F04A2A"/>
    <w:rsid w:val="65F2E464"/>
    <w:rsid w:val="65F53533"/>
    <w:rsid w:val="65F69DB5"/>
    <w:rsid w:val="65F88D40"/>
    <w:rsid w:val="660882C2"/>
    <w:rsid w:val="660E770F"/>
    <w:rsid w:val="660F0467"/>
    <w:rsid w:val="661C9474"/>
    <w:rsid w:val="661CF5DA"/>
    <w:rsid w:val="662C04C2"/>
    <w:rsid w:val="662E9653"/>
    <w:rsid w:val="6639C423"/>
    <w:rsid w:val="663AFAE1"/>
    <w:rsid w:val="6649711B"/>
    <w:rsid w:val="6659275D"/>
    <w:rsid w:val="66691907"/>
    <w:rsid w:val="6669A239"/>
    <w:rsid w:val="66776308"/>
    <w:rsid w:val="667C8357"/>
    <w:rsid w:val="66921FE9"/>
    <w:rsid w:val="669B3AB7"/>
    <w:rsid w:val="66A6196F"/>
    <w:rsid w:val="66A61DE8"/>
    <w:rsid w:val="66AD79D2"/>
    <w:rsid w:val="66B7C0E1"/>
    <w:rsid w:val="66BC5807"/>
    <w:rsid w:val="66BF5AE6"/>
    <w:rsid w:val="66C100BE"/>
    <w:rsid w:val="66C4C4F8"/>
    <w:rsid w:val="66D41E9C"/>
    <w:rsid w:val="66D6C497"/>
    <w:rsid w:val="66E0EAA8"/>
    <w:rsid w:val="66E3BB4B"/>
    <w:rsid w:val="66F5E54B"/>
    <w:rsid w:val="6708958B"/>
    <w:rsid w:val="6709EC06"/>
    <w:rsid w:val="671137BC"/>
    <w:rsid w:val="6715FD48"/>
    <w:rsid w:val="671D1D13"/>
    <w:rsid w:val="672ACBBE"/>
    <w:rsid w:val="672FCC94"/>
    <w:rsid w:val="6730074D"/>
    <w:rsid w:val="67345290"/>
    <w:rsid w:val="673E1AF6"/>
    <w:rsid w:val="674762C7"/>
    <w:rsid w:val="674BA7C1"/>
    <w:rsid w:val="674EBD75"/>
    <w:rsid w:val="674FD56B"/>
    <w:rsid w:val="67518A88"/>
    <w:rsid w:val="6755AF4D"/>
    <w:rsid w:val="67583A42"/>
    <w:rsid w:val="67A603BA"/>
    <w:rsid w:val="67A6D364"/>
    <w:rsid w:val="67B58D90"/>
    <w:rsid w:val="67CF1C93"/>
    <w:rsid w:val="67D0E48B"/>
    <w:rsid w:val="67D6F9A4"/>
    <w:rsid w:val="67D8322A"/>
    <w:rsid w:val="67D85224"/>
    <w:rsid w:val="67E41F13"/>
    <w:rsid w:val="67E45267"/>
    <w:rsid w:val="67E66B68"/>
    <w:rsid w:val="67F414CF"/>
    <w:rsid w:val="67F53AA8"/>
    <w:rsid w:val="67FBC680"/>
    <w:rsid w:val="6823BF65"/>
    <w:rsid w:val="6823F57F"/>
    <w:rsid w:val="6839E6D7"/>
    <w:rsid w:val="68434516"/>
    <w:rsid w:val="6850D1F9"/>
    <w:rsid w:val="68561407"/>
    <w:rsid w:val="686183F4"/>
    <w:rsid w:val="68651235"/>
    <w:rsid w:val="68733B3A"/>
    <w:rsid w:val="6880A88E"/>
    <w:rsid w:val="688ACC3E"/>
    <w:rsid w:val="68911CB2"/>
    <w:rsid w:val="689BF4CE"/>
    <w:rsid w:val="68A6633C"/>
    <w:rsid w:val="68AAB5C3"/>
    <w:rsid w:val="68BAF2C5"/>
    <w:rsid w:val="68BF24EB"/>
    <w:rsid w:val="68CE25FD"/>
    <w:rsid w:val="68D8EEF5"/>
    <w:rsid w:val="68D90980"/>
    <w:rsid w:val="68EB3117"/>
    <w:rsid w:val="68EF7802"/>
    <w:rsid w:val="6906D99D"/>
    <w:rsid w:val="692181DE"/>
    <w:rsid w:val="69352999"/>
    <w:rsid w:val="6940114D"/>
    <w:rsid w:val="69483B6A"/>
    <w:rsid w:val="69492BA1"/>
    <w:rsid w:val="694AB190"/>
    <w:rsid w:val="6951DB3F"/>
    <w:rsid w:val="695421DA"/>
    <w:rsid w:val="695BB3DC"/>
    <w:rsid w:val="69656E54"/>
    <w:rsid w:val="69657A1A"/>
    <w:rsid w:val="69818431"/>
    <w:rsid w:val="698C399D"/>
    <w:rsid w:val="699818AD"/>
    <w:rsid w:val="699BD9B4"/>
    <w:rsid w:val="69A74946"/>
    <w:rsid w:val="69AB5F97"/>
    <w:rsid w:val="69B99D49"/>
    <w:rsid w:val="69BC7134"/>
    <w:rsid w:val="69BF0938"/>
    <w:rsid w:val="69C8D9A5"/>
    <w:rsid w:val="69CD9CB6"/>
    <w:rsid w:val="69D69420"/>
    <w:rsid w:val="69D81975"/>
    <w:rsid w:val="69E79113"/>
    <w:rsid w:val="69EDDD95"/>
    <w:rsid w:val="69F8EA7C"/>
    <w:rsid w:val="69F9E69B"/>
    <w:rsid w:val="69FAAF2E"/>
    <w:rsid w:val="69FBCDEF"/>
    <w:rsid w:val="6A0AEA41"/>
    <w:rsid w:val="6A113CA3"/>
    <w:rsid w:val="6A1AAB50"/>
    <w:rsid w:val="6A28F286"/>
    <w:rsid w:val="6A2F4F2E"/>
    <w:rsid w:val="6A3670D2"/>
    <w:rsid w:val="6A74E4B6"/>
    <w:rsid w:val="6A81E527"/>
    <w:rsid w:val="6A8572A2"/>
    <w:rsid w:val="6A891088"/>
    <w:rsid w:val="6A8B4863"/>
    <w:rsid w:val="6A93C69A"/>
    <w:rsid w:val="6A943001"/>
    <w:rsid w:val="6A964466"/>
    <w:rsid w:val="6A9C5246"/>
    <w:rsid w:val="6AA4E975"/>
    <w:rsid w:val="6AB3F4C9"/>
    <w:rsid w:val="6AB77A66"/>
    <w:rsid w:val="6ABE2DEC"/>
    <w:rsid w:val="6ACA5B7A"/>
    <w:rsid w:val="6AD062F7"/>
    <w:rsid w:val="6ADE92D3"/>
    <w:rsid w:val="6AEFCA90"/>
    <w:rsid w:val="6B2DB9E5"/>
    <w:rsid w:val="6B31D6BF"/>
    <w:rsid w:val="6B37A965"/>
    <w:rsid w:val="6B3965B7"/>
    <w:rsid w:val="6B5630C4"/>
    <w:rsid w:val="6B596E28"/>
    <w:rsid w:val="6B5D9165"/>
    <w:rsid w:val="6B6B64F4"/>
    <w:rsid w:val="6B9308D6"/>
    <w:rsid w:val="6B94AAEA"/>
    <w:rsid w:val="6B992291"/>
    <w:rsid w:val="6BA3B01A"/>
    <w:rsid w:val="6BA7567A"/>
    <w:rsid w:val="6BAE6E61"/>
    <w:rsid w:val="6BD87EBF"/>
    <w:rsid w:val="6C0F82C8"/>
    <w:rsid w:val="6C1E43DC"/>
    <w:rsid w:val="6C25EDDB"/>
    <w:rsid w:val="6C327E63"/>
    <w:rsid w:val="6C3FAC02"/>
    <w:rsid w:val="6C45DCAB"/>
    <w:rsid w:val="6C50D282"/>
    <w:rsid w:val="6C54ED96"/>
    <w:rsid w:val="6C5724D5"/>
    <w:rsid w:val="6C62F33D"/>
    <w:rsid w:val="6C67F5CC"/>
    <w:rsid w:val="6C6A4031"/>
    <w:rsid w:val="6C725EDE"/>
    <w:rsid w:val="6C813DED"/>
    <w:rsid w:val="6C845437"/>
    <w:rsid w:val="6C96487D"/>
    <w:rsid w:val="6C9A9B6E"/>
    <w:rsid w:val="6CA332E4"/>
    <w:rsid w:val="6CA878F8"/>
    <w:rsid w:val="6CB13FD4"/>
    <w:rsid w:val="6CB23744"/>
    <w:rsid w:val="6CB42B9F"/>
    <w:rsid w:val="6CB80157"/>
    <w:rsid w:val="6CC4403C"/>
    <w:rsid w:val="6CC726E6"/>
    <w:rsid w:val="6CCC67CB"/>
    <w:rsid w:val="6CD0B798"/>
    <w:rsid w:val="6CEA0AA0"/>
    <w:rsid w:val="6CEB1A00"/>
    <w:rsid w:val="6D24C9E2"/>
    <w:rsid w:val="6D383810"/>
    <w:rsid w:val="6D3B5F33"/>
    <w:rsid w:val="6D55FCBF"/>
    <w:rsid w:val="6D5BA195"/>
    <w:rsid w:val="6D5C68E1"/>
    <w:rsid w:val="6D5F6E77"/>
    <w:rsid w:val="6D6E7B96"/>
    <w:rsid w:val="6D76362A"/>
    <w:rsid w:val="6D82D794"/>
    <w:rsid w:val="6D89A74C"/>
    <w:rsid w:val="6D8D7A02"/>
    <w:rsid w:val="6DB49AB1"/>
    <w:rsid w:val="6DB7C82B"/>
    <w:rsid w:val="6DD1F6BC"/>
    <w:rsid w:val="6DD2B933"/>
    <w:rsid w:val="6DD5F903"/>
    <w:rsid w:val="6DD646B1"/>
    <w:rsid w:val="6DD9C602"/>
    <w:rsid w:val="6DDC0441"/>
    <w:rsid w:val="6DE72727"/>
    <w:rsid w:val="6DFB2B00"/>
    <w:rsid w:val="6E01D8C9"/>
    <w:rsid w:val="6E037142"/>
    <w:rsid w:val="6E14EEB0"/>
    <w:rsid w:val="6E32B0D9"/>
    <w:rsid w:val="6E3B6689"/>
    <w:rsid w:val="6E3EA023"/>
    <w:rsid w:val="6E429B37"/>
    <w:rsid w:val="6E45DD2A"/>
    <w:rsid w:val="6E56719A"/>
    <w:rsid w:val="6E58EAE2"/>
    <w:rsid w:val="6E592FC6"/>
    <w:rsid w:val="6E654F8C"/>
    <w:rsid w:val="6E6573DD"/>
    <w:rsid w:val="6E800B08"/>
    <w:rsid w:val="6E8732DE"/>
    <w:rsid w:val="6E8EAF2B"/>
    <w:rsid w:val="6E92CE49"/>
    <w:rsid w:val="6EAA673E"/>
    <w:rsid w:val="6EB5DB3E"/>
    <w:rsid w:val="6ECA633F"/>
    <w:rsid w:val="6ECC78C8"/>
    <w:rsid w:val="6EF0D0A2"/>
    <w:rsid w:val="6EFBC6C1"/>
    <w:rsid w:val="6F01DE70"/>
    <w:rsid w:val="6F14DE58"/>
    <w:rsid w:val="6F1FF5B0"/>
    <w:rsid w:val="6F208CA5"/>
    <w:rsid w:val="6F571F7E"/>
    <w:rsid w:val="6F5FD9AF"/>
    <w:rsid w:val="6F734CAE"/>
    <w:rsid w:val="6F79BD54"/>
    <w:rsid w:val="6F7EF09E"/>
    <w:rsid w:val="6F95B5CF"/>
    <w:rsid w:val="6F97762F"/>
    <w:rsid w:val="6F9FE32E"/>
    <w:rsid w:val="6FA62154"/>
    <w:rsid w:val="6FB97078"/>
    <w:rsid w:val="6FC0ECB2"/>
    <w:rsid w:val="6FD0C697"/>
    <w:rsid w:val="6FD6EC8D"/>
    <w:rsid w:val="6FD8FF29"/>
    <w:rsid w:val="6FEBE8C4"/>
    <w:rsid w:val="70037436"/>
    <w:rsid w:val="701C75AA"/>
    <w:rsid w:val="702C3DAC"/>
    <w:rsid w:val="70450BE8"/>
    <w:rsid w:val="704D0748"/>
    <w:rsid w:val="705FF48D"/>
    <w:rsid w:val="706468FA"/>
    <w:rsid w:val="70827E35"/>
    <w:rsid w:val="7088C0BB"/>
    <w:rsid w:val="70895E33"/>
    <w:rsid w:val="708B94D4"/>
    <w:rsid w:val="708FA2CE"/>
    <w:rsid w:val="709079D8"/>
    <w:rsid w:val="7098D9CB"/>
    <w:rsid w:val="70A32783"/>
    <w:rsid w:val="70AA22FF"/>
    <w:rsid w:val="70BAA7D2"/>
    <w:rsid w:val="70BAFF67"/>
    <w:rsid w:val="70CE8BD6"/>
    <w:rsid w:val="70EEB616"/>
    <w:rsid w:val="70FC8FCF"/>
    <w:rsid w:val="71030759"/>
    <w:rsid w:val="7104CBBC"/>
    <w:rsid w:val="7110396E"/>
    <w:rsid w:val="71250F4E"/>
    <w:rsid w:val="7130EFB7"/>
    <w:rsid w:val="713FB430"/>
    <w:rsid w:val="714007A5"/>
    <w:rsid w:val="71598120"/>
    <w:rsid w:val="716A62E3"/>
    <w:rsid w:val="71760E14"/>
    <w:rsid w:val="71777435"/>
    <w:rsid w:val="71861BB3"/>
    <w:rsid w:val="718671EF"/>
    <w:rsid w:val="7187D4C7"/>
    <w:rsid w:val="718B8EBA"/>
    <w:rsid w:val="718C4AAB"/>
    <w:rsid w:val="71906140"/>
    <w:rsid w:val="71A80E5C"/>
    <w:rsid w:val="71A95B45"/>
    <w:rsid w:val="71B3E209"/>
    <w:rsid w:val="71B577E2"/>
    <w:rsid w:val="71BE30BA"/>
    <w:rsid w:val="71CC18DF"/>
    <w:rsid w:val="71D9E8A4"/>
    <w:rsid w:val="71E10FEA"/>
    <w:rsid w:val="71E6E813"/>
    <w:rsid w:val="71E8D7A9"/>
    <w:rsid w:val="71F2F360"/>
    <w:rsid w:val="71F82372"/>
    <w:rsid w:val="7209438E"/>
    <w:rsid w:val="720F5943"/>
    <w:rsid w:val="721875DB"/>
    <w:rsid w:val="721CE65A"/>
    <w:rsid w:val="722195EB"/>
    <w:rsid w:val="7226AB5B"/>
    <w:rsid w:val="723B17B5"/>
    <w:rsid w:val="723CD1ED"/>
    <w:rsid w:val="723E5E36"/>
    <w:rsid w:val="72460075"/>
    <w:rsid w:val="7246F4CD"/>
    <w:rsid w:val="724716F3"/>
    <w:rsid w:val="7250F3F6"/>
    <w:rsid w:val="7256FB66"/>
    <w:rsid w:val="725FB5A9"/>
    <w:rsid w:val="726CBA06"/>
    <w:rsid w:val="72741FD2"/>
    <w:rsid w:val="727C2900"/>
    <w:rsid w:val="728EC040"/>
    <w:rsid w:val="728F3A75"/>
    <w:rsid w:val="72994D8A"/>
    <w:rsid w:val="7299F002"/>
    <w:rsid w:val="72A61BFD"/>
    <w:rsid w:val="72A78926"/>
    <w:rsid w:val="72B94897"/>
    <w:rsid w:val="72BE818F"/>
    <w:rsid w:val="72C1EEDB"/>
    <w:rsid w:val="72C3CFEB"/>
    <w:rsid w:val="72DF0E2F"/>
    <w:rsid w:val="72F2A108"/>
    <w:rsid w:val="72F41D54"/>
    <w:rsid w:val="72FFDB90"/>
    <w:rsid w:val="73029C1F"/>
    <w:rsid w:val="73066AF8"/>
    <w:rsid w:val="7310A40D"/>
    <w:rsid w:val="73203578"/>
    <w:rsid w:val="73358E19"/>
    <w:rsid w:val="73481878"/>
    <w:rsid w:val="734BB618"/>
    <w:rsid w:val="73529B7F"/>
    <w:rsid w:val="7354988A"/>
    <w:rsid w:val="735ABB48"/>
    <w:rsid w:val="736A29EC"/>
    <w:rsid w:val="737B8AF9"/>
    <w:rsid w:val="73815BA5"/>
    <w:rsid w:val="73854FB0"/>
    <w:rsid w:val="73932BCF"/>
    <w:rsid w:val="73B3A1AA"/>
    <w:rsid w:val="73B6E63E"/>
    <w:rsid w:val="73B8A62B"/>
    <w:rsid w:val="73C6195C"/>
    <w:rsid w:val="73CA24EE"/>
    <w:rsid w:val="73CD2C18"/>
    <w:rsid w:val="73D93A63"/>
    <w:rsid w:val="73E7F117"/>
    <w:rsid w:val="73F5A3F1"/>
    <w:rsid w:val="73FA7E16"/>
    <w:rsid w:val="74049E16"/>
    <w:rsid w:val="7405702C"/>
    <w:rsid w:val="74083D1E"/>
    <w:rsid w:val="740FAE6A"/>
    <w:rsid w:val="7411EEA9"/>
    <w:rsid w:val="743B5426"/>
    <w:rsid w:val="74419351"/>
    <w:rsid w:val="744592FE"/>
    <w:rsid w:val="744A4521"/>
    <w:rsid w:val="744FC25B"/>
    <w:rsid w:val="745568F2"/>
    <w:rsid w:val="7459F89B"/>
    <w:rsid w:val="7498F3A8"/>
    <w:rsid w:val="749C0807"/>
    <w:rsid w:val="74A3A6B7"/>
    <w:rsid w:val="74A4F845"/>
    <w:rsid w:val="74A54F75"/>
    <w:rsid w:val="74A8B4E3"/>
    <w:rsid w:val="74A943AB"/>
    <w:rsid w:val="74AFEB1E"/>
    <w:rsid w:val="74B4CD81"/>
    <w:rsid w:val="74BFEEA6"/>
    <w:rsid w:val="74D4CA10"/>
    <w:rsid w:val="74DA8B95"/>
    <w:rsid w:val="74E5A1B2"/>
    <w:rsid w:val="74F4A26D"/>
    <w:rsid w:val="75025165"/>
    <w:rsid w:val="75090A03"/>
    <w:rsid w:val="7509C325"/>
    <w:rsid w:val="750A3DF6"/>
    <w:rsid w:val="750D674E"/>
    <w:rsid w:val="751A46B5"/>
    <w:rsid w:val="751CFD89"/>
    <w:rsid w:val="7542F9AB"/>
    <w:rsid w:val="7579D20F"/>
    <w:rsid w:val="757A672F"/>
    <w:rsid w:val="758382F8"/>
    <w:rsid w:val="75849AA6"/>
    <w:rsid w:val="75921018"/>
    <w:rsid w:val="7592F8E5"/>
    <w:rsid w:val="75D95B2E"/>
    <w:rsid w:val="75E3C070"/>
    <w:rsid w:val="75E91A61"/>
    <w:rsid w:val="75F856B2"/>
    <w:rsid w:val="75FEED3F"/>
    <w:rsid w:val="75FFCAE6"/>
    <w:rsid w:val="76025BA1"/>
    <w:rsid w:val="76030045"/>
    <w:rsid w:val="7629666E"/>
    <w:rsid w:val="762C2780"/>
    <w:rsid w:val="763585B1"/>
    <w:rsid w:val="76474358"/>
    <w:rsid w:val="765BDD6B"/>
    <w:rsid w:val="7661726C"/>
    <w:rsid w:val="767413B5"/>
    <w:rsid w:val="76747065"/>
    <w:rsid w:val="767E2BDB"/>
    <w:rsid w:val="7681BD0B"/>
    <w:rsid w:val="76825290"/>
    <w:rsid w:val="7682A938"/>
    <w:rsid w:val="7684EB9F"/>
    <w:rsid w:val="768E7E3D"/>
    <w:rsid w:val="76965032"/>
    <w:rsid w:val="76B36ED7"/>
    <w:rsid w:val="76B3EA2C"/>
    <w:rsid w:val="76D14C4A"/>
    <w:rsid w:val="76D586B1"/>
    <w:rsid w:val="76D9AFDE"/>
    <w:rsid w:val="76DCED37"/>
    <w:rsid w:val="76F042D0"/>
    <w:rsid w:val="76F2E809"/>
    <w:rsid w:val="76FF5632"/>
    <w:rsid w:val="77188FA2"/>
    <w:rsid w:val="772500BC"/>
    <w:rsid w:val="772AD392"/>
    <w:rsid w:val="773351CE"/>
    <w:rsid w:val="77522816"/>
    <w:rsid w:val="775A23B9"/>
    <w:rsid w:val="776227C2"/>
    <w:rsid w:val="776320BA"/>
    <w:rsid w:val="7765C8CB"/>
    <w:rsid w:val="77671B46"/>
    <w:rsid w:val="7767728D"/>
    <w:rsid w:val="776DF0A4"/>
    <w:rsid w:val="7774BBED"/>
    <w:rsid w:val="777D0261"/>
    <w:rsid w:val="77801A17"/>
    <w:rsid w:val="7784F2AB"/>
    <w:rsid w:val="7790B6B2"/>
    <w:rsid w:val="77CDEDE6"/>
    <w:rsid w:val="77D2DFFA"/>
    <w:rsid w:val="77D4E3FE"/>
    <w:rsid w:val="77EB05A1"/>
    <w:rsid w:val="781190D4"/>
    <w:rsid w:val="7815B7A5"/>
    <w:rsid w:val="7818887F"/>
    <w:rsid w:val="78287E87"/>
    <w:rsid w:val="7828A125"/>
    <w:rsid w:val="782E53A9"/>
    <w:rsid w:val="783C3E3A"/>
    <w:rsid w:val="783C4474"/>
    <w:rsid w:val="7847896D"/>
    <w:rsid w:val="7848D902"/>
    <w:rsid w:val="785347FA"/>
    <w:rsid w:val="785A1588"/>
    <w:rsid w:val="785F6082"/>
    <w:rsid w:val="78612E2D"/>
    <w:rsid w:val="786A81AD"/>
    <w:rsid w:val="786CD1BE"/>
    <w:rsid w:val="78790044"/>
    <w:rsid w:val="787A13C6"/>
    <w:rsid w:val="7881A73D"/>
    <w:rsid w:val="78978B94"/>
    <w:rsid w:val="78B0DA66"/>
    <w:rsid w:val="78B56D3D"/>
    <w:rsid w:val="78BE0CFE"/>
    <w:rsid w:val="78BFB8F2"/>
    <w:rsid w:val="78C4A4F3"/>
    <w:rsid w:val="78C51570"/>
    <w:rsid w:val="78CC078F"/>
    <w:rsid w:val="78D5B9EF"/>
    <w:rsid w:val="78D82920"/>
    <w:rsid w:val="78DFF12C"/>
    <w:rsid w:val="78E618F9"/>
    <w:rsid w:val="78E7C887"/>
    <w:rsid w:val="78E9183A"/>
    <w:rsid w:val="78ECA540"/>
    <w:rsid w:val="790A5814"/>
    <w:rsid w:val="791ED0CB"/>
    <w:rsid w:val="7920765F"/>
    <w:rsid w:val="79275F94"/>
    <w:rsid w:val="793B0B44"/>
    <w:rsid w:val="79401705"/>
    <w:rsid w:val="796CEFCA"/>
    <w:rsid w:val="79747F34"/>
    <w:rsid w:val="797EAAF1"/>
    <w:rsid w:val="79879378"/>
    <w:rsid w:val="798D823A"/>
    <w:rsid w:val="79AB00E5"/>
    <w:rsid w:val="79BEF73E"/>
    <w:rsid w:val="79DAC131"/>
    <w:rsid w:val="79DFF268"/>
    <w:rsid w:val="79E22EA0"/>
    <w:rsid w:val="79E989A7"/>
    <w:rsid w:val="79F7B071"/>
    <w:rsid w:val="79FE56F7"/>
    <w:rsid w:val="7A01DCA5"/>
    <w:rsid w:val="7A0899CE"/>
    <w:rsid w:val="7A0B4B40"/>
    <w:rsid w:val="7A110267"/>
    <w:rsid w:val="7A2401AA"/>
    <w:rsid w:val="7A291120"/>
    <w:rsid w:val="7A2A7348"/>
    <w:rsid w:val="7A390140"/>
    <w:rsid w:val="7A3BE459"/>
    <w:rsid w:val="7A3FD589"/>
    <w:rsid w:val="7A51658C"/>
    <w:rsid w:val="7A6847B5"/>
    <w:rsid w:val="7A6EE304"/>
    <w:rsid w:val="7A8328AE"/>
    <w:rsid w:val="7A8CCE32"/>
    <w:rsid w:val="7A9330DD"/>
    <w:rsid w:val="7A9B4C98"/>
    <w:rsid w:val="7AABB18D"/>
    <w:rsid w:val="7AB333E2"/>
    <w:rsid w:val="7AB56B77"/>
    <w:rsid w:val="7AD0CFF6"/>
    <w:rsid w:val="7AD66CB2"/>
    <w:rsid w:val="7AF3B17E"/>
    <w:rsid w:val="7AFD0457"/>
    <w:rsid w:val="7B00800C"/>
    <w:rsid w:val="7B0A8234"/>
    <w:rsid w:val="7B0C209D"/>
    <w:rsid w:val="7B0C95DB"/>
    <w:rsid w:val="7B12C778"/>
    <w:rsid w:val="7B1C11B5"/>
    <w:rsid w:val="7B1D8C32"/>
    <w:rsid w:val="7B28781F"/>
    <w:rsid w:val="7B2DDA84"/>
    <w:rsid w:val="7B323174"/>
    <w:rsid w:val="7B49CD19"/>
    <w:rsid w:val="7B6466BA"/>
    <w:rsid w:val="7B7E55DE"/>
    <w:rsid w:val="7B87C5EE"/>
    <w:rsid w:val="7BA0DD36"/>
    <w:rsid w:val="7BAC414C"/>
    <w:rsid w:val="7BC17AC5"/>
    <w:rsid w:val="7BC87F79"/>
    <w:rsid w:val="7BC98EB0"/>
    <w:rsid w:val="7BD8DE80"/>
    <w:rsid w:val="7BD9BD6F"/>
    <w:rsid w:val="7BE2DC4B"/>
    <w:rsid w:val="7BF403FE"/>
    <w:rsid w:val="7BF592B2"/>
    <w:rsid w:val="7C00200E"/>
    <w:rsid w:val="7C03CE37"/>
    <w:rsid w:val="7C087C2E"/>
    <w:rsid w:val="7C1CA8FE"/>
    <w:rsid w:val="7C25EB89"/>
    <w:rsid w:val="7C2BEF93"/>
    <w:rsid w:val="7C383850"/>
    <w:rsid w:val="7C5B8CBE"/>
    <w:rsid w:val="7C5D3680"/>
    <w:rsid w:val="7C62FF2F"/>
    <w:rsid w:val="7C79FAB6"/>
    <w:rsid w:val="7C7A6053"/>
    <w:rsid w:val="7C7BB01F"/>
    <w:rsid w:val="7C82B256"/>
    <w:rsid w:val="7C8D4A8F"/>
    <w:rsid w:val="7CAE76A9"/>
    <w:rsid w:val="7CBABC9E"/>
    <w:rsid w:val="7CBC79AC"/>
    <w:rsid w:val="7CCDBD05"/>
    <w:rsid w:val="7CD0CB71"/>
    <w:rsid w:val="7CD6A83D"/>
    <w:rsid w:val="7CDCAD9D"/>
    <w:rsid w:val="7CEC0A27"/>
    <w:rsid w:val="7CF6F50D"/>
    <w:rsid w:val="7D0987FE"/>
    <w:rsid w:val="7D0D3E51"/>
    <w:rsid w:val="7D19A5F3"/>
    <w:rsid w:val="7D1D0193"/>
    <w:rsid w:val="7D2D86AB"/>
    <w:rsid w:val="7D3ACCA6"/>
    <w:rsid w:val="7D3E8FAC"/>
    <w:rsid w:val="7D474B08"/>
    <w:rsid w:val="7D5018FF"/>
    <w:rsid w:val="7D53A5CF"/>
    <w:rsid w:val="7D550F2F"/>
    <w:rsid w:val="7D67275B"/>
    <w:rsid w:val="7D67E508"/>
    <w:rsid w:val="7D6A811C"/>
    <w:rsid w:val="7D7819F3"/>
    <w:rsid w:val="7D818D62"/>
    <w:rsid w:val="7D8EFF01"/>
    <w:rsid w:val="7D9B44EF"/>
    <w:rsid w:val="7DA3080A"/>
    <w:rsid w:val="7DA8C638"/>
    <w:rsid w:val="7DAD9F01"/>
    <w:rsid w:val="7DADED32"/>
    <w:rsid w:val="7DB5861E"/>
    <w:rsid w:val="7DEBBC86"/>
    <w:rsid w:val="7DF1AB85"/>
    <w:rsid w:val="7E04B8BC"/>
    <w:rsid w:val="7E0A2D22"/>
    <w:rsid w:val="7E0DAFBC"/>
    <w:rsid w:val="7E1CC5AA"/>
    <w:rsid w:val="7E232032"/>
    <w:rsid w:val="7E2C1787"/>
    <w:rsid w:val="7E36F0BE"/>
    <w:rsid w:val="7E3FE956"/>
    <w:rsid w:val="7E649742"/>
    <w:rsid w:val="7E66EF50"/>
    <w:rsid w:val="7E6C9663"/>
    <w:rsid w:val="7E816DDB"/>
    <w:rsid w:val="7E98F4F3"/>
    <w:rsid w:val="7EA7830E"/>
    <w:rsid w:val="7EB77A67"/>
    <w:rsid w:val="7EBA6A22"/>
    <w:rsid w:val="7EBB6641"/>
    <w:rsid w:val="7EC6F47B"/>
    <w:rsid w:val="7ECA81A0"/>
    <w:rsid w:val="7ED23F19"/>
    <w:rsid w:val="7EE47E71"/>
    <w:rsid w:val="7EF4CFF8"/>
    <w:rsid w:val="7F10C52A"/>
    <w:rsid w:val="7F117E6E"/>
    <w:rsid w:val="7F146482"/>
    <w:rsid w:val="7F1A69E9"/>
    <w:rsid w:val="7F1DFC6B"/>
    <w:rsid w:val="7F22E142"/>
    <w:rsid w:val="7F25C9AB"/>
    <w:rsid w:val="7F367080"/>
    <w:rsid w:val="7F371205"/>
    <w:rsid w:val="7F391715"/>
    <w:rsid w:val="7F39AE2C"/>
    <w:rsid w:val="7F3DCDDB"/>
    <w:rsid w:val="7F4ED77A"/>
    <w:rsid w:val="7F5747F7"/>
    <w:rsid w:val="7F5CD4B3"/>
    <w:rsid w:val="7F5ECFDB"/>
    <w:rsid w:val="7F60EF8C"/>
    <w:rsid w:val="7F67CFDC"/>
    <w:rsid w:val="7F725ACF"/>
    <w:rsid w:val="7F7C8BFD"/>
    <w:rsid w:val="7F832D16"/>
    <w:rsid w:val="7F8890F5"/>
    <w:rsid w:val="7FA76847"/>
    <w:rsid w:val="7FA91F36"/>
    <w:rsid w:val="7FAF332E"/>
    <w:rsid w:val="7FB400B3"/>
    <w:rsid w:val="7FB751C9"/>
    <w:rsid w:val="7FB89DE4"/>
    <w:rsid w:val="7FBE3764"/>
    <w:rsid w:val="7FCEFE40"/>
    <w:rsid w:val="7FD29208"/>
    <w:rsid w:val="7FDB64FD"/>
    <w:rsid w:val="7FE01D07"/>
    <w:rsid w:val="7FE813E0"/>
    <w:rsid w:val="7FEEB5A0"/>
    <w:rsid w:val="7FF04FB2"/>
    <w:rsid w:val="7FFDAD1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3A1350"/>
  <w15:docId w15:val="{792664DB-B91E-4140-AA1F-C7FB2F0F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C09"/>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095CF3"/>
    <w:pPr>
      <w:keepNext/>
      <w:keepLines/>
      <w:numPr>
        <w:ilvl w:val="1"/>
        <w:numId w:val="2"/>
      </w:numPr>
      <w:spacing w:before="240" w:after="0" w:line="280" w:lineRule="atLeast"/>
      <w:ind w:left="794"/>
      <w:outlineLvl w:val="1"/>
    </w:pPr>
    <w:rPr>
      <w:rFonts w:eastAsiaTheme="majorEastAsia" w:cstheme="majorBidi"/>
      <w:b/>
      <w:bCs/>
      <w:color w:val="012169" w:themeColor="accent4"/>
      <w:sz w:val="22"/>
      <w:szCs w:val="26"/>
    </w:rPr>
  </w:style>
  <w:style w:type="paragraph" w:styleId="Heading3">
    <w:name w:val="heading 3"/>
    <w:basedOn w:val="Normal"/>
    <w:next w:val="Normal"/>
    <w:link w:val="Heading3Char"/>
    <w:uiPriority w:val="1"/>
    <w:qFormat/>
    <w:rsid w:val="00F9113D"/>
    <w:pPr>
      <w:keepNext/>
      <w:keepLines/>
      <w:numPr>
        <w:ilvl w:val="2"/>
        <w:numId w:val="2"/>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92643A"/>
    <w:pPr>
      <w:keepNext/>
      <w:keepLines/>
      <w:numPr>
        <w:ilvl w:val="3"/>
        <w:numId w:val="2"/>
      </w:numPr>
      <w:tabs>
        <w:tab w:val="left" w:pos="340"/>
      </w:tabs>
      <w:spacing w:after="0"/>
      <w:outlineLvl w:val="3"/>
    </w:pPr>
    <w:rPr>
      <w:rFonts w:eastAsiaTheme="majorEastAsia" w:cstheme="majorBidi"/>
      <w:b/>
      <w:bCs/>
      <w:iCs/>
      <w:color w:val="012169" w:themeColor="accent4"/>
    </w:rPr>
  </w:style>
  <w:style w:type="paragraph" w:styleId="Heading5">
    <w:name w:val="heading 5"/>
    <w:basedOn w:val="Normal"/>
    <w:next w:val="Normal"/>
    <w:link w:val="Heading5Char"/>
    <w:uiPriority w:val="1"/>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095CF3"/>
    <w:rPr>
      <w:rFonts w:eastAsiaTheme="majorEastAsia" w:cstheme="majorBidi"/>
      <w:b/>
      <w:bCs/>
      <w:color w:val="012169" w:themeColor="accent4"/>
      <w:sz w:val="22"/>
      <w:szCs w:val="26"/>
      <w:lang w:val="en-AU"/>
    </w:rPr>
  </w:style>
  <w:style w:type="table" w:styleId="TableGrid">
    <w:name w:val="Table Grid"/>
    <w:aliases w:val="Table Definitions Grid,tt,DPS 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3"/>
      </w:numPr>
      <w:spacing w:after="0"/>
      <w:contextualSpacing/>
    </w:pPr>
    <w:rPr>
      <w:szCs w:val="17"/>
    </w:rPr>
  </w:style>
  <w:style w:type="paragraph" w:styleId="ListBullet2">
    <w:name w:val="List Bullet 2"/>
    <w:basedOn w:val="Normal"/>
    <w:uiPriority w:val="3"/>
    <w:rsid w:val="00DF7819"/>
    <w:pPr>
      <w:numPr>
        <w:numId w:val="15"/>
      </w:numPr>
      <w:spacing w:after="0"/>
      <w:contextualSpacing/>
    </w:pPr>
    <w:rPr>
      <w:szCs w:val="17"/>
    </w:rPr>
  </w:style>
  <w:style w:type="paragraph" w:styleId="ListNumber">
    <w:name w:val="List Number"/>
    <w:basedOn w:val="Normal"/>
    <w:uiPriority w:val="3"/>
    <w:qFormat/>
    <w:rsid w:val="007F7A8C"/>
    <w:pPr>
      <w:numPr>
        <w:numId w:val="14"/>
      </w:numPr>
      <w:spacing w:after="0"/>
      <w:contextualSpacing/>
    </w:pPr>
    <w:rPr>
      <w:szCs w:val="17"/>
    </w:rPr>
  </w:style>
  <w:style w:type="paragraph" w:styleId="ListNumber2">
    <w:name w:val="List Number 2"/>
    <w:basedOn w:val="Normal"/>
    <w:uiPriority w:val="3"/>
    <w:qFormat/>
    <w:rsid w:val="007F7A8C"/>
    <w:pPr>
      <w:numPr>
        <w:numId w:val="37"/>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92643A"/>
    <w:rPr>
      <w:rFonts w:eastAsiaTheme="majorEastAsia" w:cstheme="majorBidi"/>
      <w:b/>
      <w:bCs/>
      <w:iCs/>
      <w:color w:val="012169" w:themeColor="accent4"/>
      <w:lang w:val="en-AU"/>
    </w:rPr>
  </w:style>
  <w:style w:type="paragraph" w:styleId="FootnoteText">
    <w:name w:val="footnote text"/>
    <w:basedOn w:val="Normal"/>
    <w:link w:val="FootnoteTextChar"/>
    <w:uiPriority w:val="99"/>
    <w:semiHidden/>
    <w:rsid w:val="00F9113D"/>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F9113D"/>
    <w:rPr>
      <w:sz w:val="16"/>
      <w:szCs w:val="20"/>
    </w:rPr>
  </w:style>
  <w:style w:type="paragraph" w:customStyle="1" w:styleId="Documenttitle">
    <w:name w:val="Document title"/>
    <w:next w:val="Documentsubtitle"/>
    <w:uiPriority w:val="7"/>
    <w:qFormat/>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qFormat/>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EF0ED6"/>
    <w:pPr>
      <w:keepNext/>
      <w:keepLines/>
      <w:spacing w:before="240" w:after="240"/>
    </w:pPr>
    <w:rPr>
      <w:iCs/>
      <w:color w:val="012169" w:themeColor="accent4"/>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qFormat/>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C14D4E"/>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uiPriority w:val="5"/>
    <w:qFormat/>
    <w:rsid w:val="00F9113D"/>
    <w:pPr>
      <w:spacing w:after="240"/>
    </w:pPr>
  </w:style>
  <w:style w:type="character" w:customStyle="1" w:styleId="BodyTextChar">
    <w:name w:val="Body Text Char"/>
    <w:basedOn w:val="DefaultParagraphFont"/>
    <w:link w:val="BodyText"/>
    <w:uiPriority w:val="5"/>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7F276A"/>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523AB0"/>
    <w:pPr>
      <w:keepNext/>
      <w:keepLines/>
      <w:numPr>
        <w:ilvl w:val="6"/>
        <w:numId w:val="2"/>
      </w:numPr>
      <w:spacing w:before="240" w:after="240"/>
    </w:pPr>
    <w:rPr>
      <w:rFonts w:eastAsia="Times New Roman" w:cs="Times New Roman"/>
      <w:color w:val="012169" w:themeColor="accent4"/>
      <w:sz w:val="17"/>
      <w:szCs w:val="20"/>
    </w:rPr>
  </w:style>
  <w:style w:type="paragraph" w:customStyle="1" w:styleId="CaptionFigure">
    <w:name w:val="Caption_Figure"/>
    <w:basedOn w:val="Normal"/>
    <w:next w:val="Normal"/>
    <w:uiPriority w:val="4"/>
    <w:rsid w:val="00683464"/>
    <w:pPr>
      <w:keepNext/>
      <w:keepLines/>
      <w:numPr>
        <w:ilvl w:val="8"/>
        <w:numId w:val="2"/>
      </w:numPr>
    </w:pPr>
    <w:rPr>
      <w:bCs/>
      <w:color w:val="012169" w:themeColor="accent4"/>
      <w:sz w:val="17"/>
      <w:szCs w:val="22"/>
    </w:rPr>
  </w:style>
  <w:style w:type="paragraph" w:customStyle="1" w:styleId="CaptionChart">
    <w:name w:val="Caption_Chart"/>
    <w:basedOn w:val="Normal"/>
    <w:next w:val="Normal"/>
    <w:uiPriority w:val="4"/>
    <w:rsid w:val="008D5CEE"/>
    <w:pPr>
      <w:keepNext/>
      <w:keepLines/>
      <w:numPr>
        <w:ilvl w:val="7"/>
        <w:numId w:val="2"/>
      </w:numPr>
    </w:pPr>
    <w:rPr>
      <w:color w:val="012169" w:themeColor="accent4"/>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23AB0"/>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qFormat/>
    <w:rsid w:val="001D3B36"/>
    <w:rPr>
      <w:color w:val="86BC25" w:themeColor="accent1"/>
    </w:rPr>
  </w:style>
  <w:style w:type="paragraph" w:customStyle="1" w:styleId="paragraph">
    <w:name w:val="paragraph"/>
    <w:basedOn w:val="Normal"/>
    <w:rsid w:val="006A12E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A12E4"/>
  </w:style>
  <w:style w:type="character" w:customStyle="1" w:styleId="eop">
    <w:name w:val="eop"/>
    <w:basedOn w:val="DefaultParagraphFont"/>
    <w:rsid w:val="006A12E4"/>
  </w:style>
  <w:style w:type="paragraph" w:customStyle="1" w:styleId="Tablecontent">
    <w:name w:val="Table content"/>
    <w:basedOn w:val="Normal"/>
    <w:uiPriority w:val="10"/>
    <w:rsid w:val="001F3A73"/>
    <w:pPr>
      <w:spacing w:after="0" w:line="220" w:lineRule="atLeast"/>
    </w:pPr>
    <w:rPr>
      <w:rFonts w:ascii="Arial" w:hAnsi="Arial"/>
      <w:noProof/>
      <w:sz w:val="16"/>
      <w:lang w:val="en-GB"/>
    </w:rPr>
  </w:style>
  <w:style w:type="paragraph" w:customStyle="1" w:styleId="Tableheading">
    <w:name w:val="Table heading"/>
    <w:basedOn w:val="Normal"/>
    <w:uiPriority w:val="10"/>
    <w:rsid w:val="001F3A73"/>
    <w:pPr>
      <w:spacing w:after="0" w:line="250" w:lineRule="atLeast"/>
    </w:pPr>
    <w:rPr>
      <w:rFonts w:ascii="Arial" w:hAnsi="Arial"/>
      <w:b/>
      <w:noProof/>
      <w:lang w:val="en-GB"/>
    </w:rPr>
  </w:style>
  <w:style w:type="table" w:customStyle="1" w:styleId="Deloitte-TableColorBorder">
    <w:name w:val="Deloitte - Table Color Border"/>
    <w:basedOn w:val="TableNormal"/>
    <w:uiPriority w:val="99"/>
    <w:rsid w:val="001F3A73"/>
    <w:pPr>
      <w:spacing w:before="60" w:after="60"/>
    </w:pPr>
    <w:rPr>
      <w:sz w:val="17"/>
      <w:lang w:val="da-DK"/>
    </w:rPr>
    <w:tblPr>
      <w:tblBorders>
        <w:top w:val="single" w:sz="4" w:space="0" w:color="0097A9" w:themeColor="accent5"/>
        <w:bottom w:val="single" w:sz="4" w:space="0" w:color="0097A9" w:themeColor="accent5"/>
        <w:insideH w:val="single" w:sz="4" w:space="0" w:color="0097A9" w:themeColor="accent5"/>
      </w:tblBorders>
      <w:tblCellMar>
        <w:left w:w="0" w:type="dxa"/>
        <w:right w:w="0" w:type="dxa"/>
      </w:tblCellMar>
    </w:tblPr>
    <w:tblStylePr w:type="firstRow">
      <w:tblPr/>
      <w:tcPr>
        <w:tcBorders>
          <w:top w:val="single" w:sz="18" w:space="0" w:color="62B5E5" w:themeColor="accent3"/>
          <w:left w:val="nil"/>
          <w:bottom w:val="nil"/>
          <w:right w:val="nil"/>
          <w:insideH w:val="nil"/>
          <w:insideV w:val="nil"/>
          <w:tl2br w:val="nil"/>
          <w:tr2bl w:val="nil"/>
        </w:tcBorders>
      </w:tcPr>
    </w:tblStyle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rsid w:val="009B5707"/>
    <w:rPr>
      <w:lang w:val="en-AU"/>
    </w:rPr>
  </w:style>
  <w:style w:type="character" w:customStyle="1" w:styleId="UnresolvedMention1">
    <w:name w:val="Unresolved Mention1"/>
    <w:basedOn w:val="DefaultParagraphFont"/>
    <w:uiPriority w:val="99"/>
    <w:unhideWhenUsed/>
    <w:rsid w:val="00C271B9"/>
    <w:rPr>
      <w:color w:val="605E5C"/>
      <w:shd w:val="clear" w:color="auto" w:fill="E1DFDD"/>
    </w:rPr>
  </w:style>
  <w:style w:type="character" w:customStyle="1" w:styleId="Mention1">
    <w:name w:val="Mention1"/>
    <w:basedOn w:val="DefaultParagraphFont"/>
    <w:uiPriority w:val="99"/>
    <w:unhideWhenUsed/>
    <w:rsid w:val="001C5FD8"/>
    <w:rPr>
      <w:color w:val="2B579A"/>
      <w:shd w:val="clear" w:color="auto" w:fill="E6E6E6"/>
    </w:rPr>
  </w:style>
  <w:style w:type="paragraph" w:styleId="Revision">
    <w:name w:val="Revision"/>
    <w:hidden/>
    <w:uiPriority w:val="99"/>
    <w:semiHidden/>
    <w:rsid w:val="00E00715"/>
    <w:pPr>
      <w:spacing w:line="240" w:lineRule="auto"/>
    </w:pPr>
    <w:rPr>
      <w:lang w:val="en-AU"/>
    </w:rPr>
  </w:style>
  <w:style w:type="paragraph" w:customStyle="1" w:styleId="Default">
    <w:name w:val="Default"/>
    <w:rsid w:val="0059571A"/>
    <w:pPr>
      <w:autoSpaceDE w:val="0"/>
      <w:autoSpaceDN w:val="0"/>
      <w:adjustRightInd w:val="0"/>
      <w:spacing w:line="240" w:lineRule="auto"/>
    </w:pPr>
    <w:rPr>
      <w:rFonts w:ascii="Arial" w:hAnsi="Arial" w:cs="Arial"/>
      <w:color w:val="000000"/>
      <w:sz w:val="24"/>
      <w:szCs w:val="24"/>
      <w:lang w:val="en-AU"/>
    </w:rPr>
  </w:style>
  <w:style w:type="character" w:customStyle="1" w:styleId="spellingerror">
    <w:name w:val="spellingerror"/>
    <w:basedOn w:val="DefaultParagraphFont"/>
    <w:rsid w:val="00E84BDE"/>
  </w:style>
  <w:style w:type="character" w:customStyle="1" w:styleId="contextualspellingandgrammarerror">
    <w:name w:val="contextualspellingandgrammarerror"/>
    <w:basedOn w:val="DefaultParagraphFont"/>
    <w:rsid w:val="00E84BDE"/>
  </w:style>
  <w:style w:type="character" w:customStyle="1" w:styleId="UnresolvedMention">
    <w:name w:val="Unresolved Mention"/>
    <w:basedOn w:val="DefaultParagraphFont"/>
    <w:uiPriority w:val="99"/>
    <w:unhideWhenUsed/>
    <w:rsid w:val="00B75374"/>
    <w:rPr>
      <w:color w:val="605E5C"/>
      <w:shd w:val="clear" w:color="auto" w:fill="E1DFDD"/>
    </w:rPr>
  </w:style>
  <w:style w:type="character" w:customStyle="1" w:styleId="Mention">
    <w:name w:val="Mention"/>
    <w:basedOn w:val="DefaultParagraphFont"/>
    <w:uiPriority w:val="99"/>
    <w:unhideWhenUsed/>
    <w:rsid w:val="00B753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9562">
      <w:bodyDiv w:val="1"/>
      <w:marLeft w:val="0"/>
      <w:marRight w:val="0"/>
      <w:marTop w:val="0"/>
      <w:marBottom w:val="0"/>
      <w:divBdr>
        <w:top w:val="none" w:sz="0" w:space="0" w:color="auto"/>
        <w:left w:val="none" w:sz="0" w:space="0" w:color="auto"/>
        <w:bottom w:val="none" w:sz="0" w:space="0" w:color="auto"/>
        <w:right w:val="none" w:sz="0" w:space="0" w:color="auto"/>
      </w:divBdr>
    </w:div>
    <w:div w:id="19743345">
      <w:bodyDiv w:val="1"/>
      <w:marLeft w:val="0"/>
      <w:marRight w:val="0"/>
      <w:marTop w:val="0"/>
      <w:marBottom w:val="0"/>
      <w:divBdr>
        <w:top w:val="none" w:sz="0" w:space="0" w:color="auto"/>
        <w:left w:val="none" w:sz="0" w:space="0" w:color="auto"/>
        <w:bottom w:val="none" w:sz="0" w:space="0" w:color="auto"/>
        <w:right w:val="none" w:sz="0" w:space="0" w:color="auto"/>
      </w:divBdr>
      <w:divsChild>
        <w:div w:id="17856630">
          <w:marLeft w:val="0"/>
          <w:marRight w:val="0"/>
          <w:marTop w:val="0"/>
          <w:marBottom w:val="0"/>
          <w:divBdr>
            <w:top w:val="none" w:sz="0" w:space="0" w:color="auto"/>
            <w:left w:val="none" w:sz="0" w:space="0" w:color="auto"/>
            <w:bottom w:val="none" w:sz="0" w:space="0" w:color="auto"/>
            <w:right w:val="none" w:sz="0" w:space="0" w:color="auto"/>
          </w:divBdr>
          <w:divsChild>
            <w:div w:id="976447614">
              <w:marLeft w:val="0"/>
              <w:marRight w:val="0"/>
              <w:marTop w:val="0"/>
              <w:marBottom w:val="0"/>
              <w:divBdr>
                <w:top w:val="none" w:sz="0" w:space="0" w:color="auto"/>
                <w:left w:val="none" w:sz="0" w:space="0" w:color="auto"/>
                <w:bottom w:val="none" w:sz="0" w:space="0" w:color="auto"/>
                <w:right w:val="none" w:sz="0" w:space="0" w:color="auto"/>
              </w:divBdr>
            </w:div>
            <w:div w:id="1593589524">
              <w:marLeft w:val="0"/>
              <w:marRight w:val="0"/>
              <w:marTop w:val="0"/>
              <w:marBottom w:val="0"/>
              <w:divBdr>
                <w:top w:val="none" w:sz="0" w:space="0" w:color="auto"/>
                <w:left w:val="none" w:sz="0" w:space="0" w:color="auto"/>
                <w:bottom w:val="none" w:sz="0" w:space="0" w:color="auto"/>
                <w:right w:val="none" w:sz="0" w:space="0" w:color="auto"/>
              </w:divBdr>
            </w:div>
          </w:divsChild>
        </w:div>
        <w:div w:id="315300215">
          <w:marLeft w:val="0"/>
          <w:marRight w:val="0"/>
          <w:marTop w:val="0"/>
          <w:marBottom w:val="0"/>
          <w:divBdr>
            <w:top w:val="none" w:sz="0" w:space="0" w:color="auto"/>
            <w:left w:val="none" w:sz="0" w:space="0" w:color="auto"/>
            <w:bottom w:val="none" w:sz="0" w:space="0" w:color="auto"/>
            <w:right w:val="none" w:sz="0" w:space="0" w:color="auto"/>
          </w:divBdr>
          <w:divsChild>
            <w:div w:id="488255438">
              <w:marLeft w:val="0"/>
              <w:marRight w:val="0"/>
              <w:marTop w:val="0"/>
              <w:marBottom w:val="0"/>
              <w:divBdr>
                <w:top w:val="none" w:sz="0" w:space="0" w:color="auto"/>
                <w:left w:val="none" w:sz="0" w:space="0" w:color="auto"/>
                <w:bottom w:val="none" w:sz="0" w:space="0" w:color="auto"/>
                <w:right w:val="none" w:sz="0" w:space="0" w:color="auto"/>
              </w:divBdr>
            </w:div>
            <w:div w:id="698942081">
              <w:marLeft w:val="0"/>
              <w:marRight w:val="0"/>
              <w:marTop w:val="0"/>
              <w:marBottom w:val="0"/>
              <w:divBdr>
                <w:top w:val="none" w:sz="0" w:space="0" w:color="auto"/>
                <w:left w:val="none" w:sz="0" w:space="0" w:color="auto"/>
                <w:bottom w:val="none" w:sz="0" w:space="0" w:color="auto"/>
                <w:right w:val="none" w:sz="0" w:space="0" w:color="auto"/>
              </w:divBdr>
            </w:div>
            <w:div w:id="814182688">
              <w:marLeft w:val="0"/>
              <w:marRight w:val="0"/>
              <w:marTop w:val="0"/>
              <w:marBottom w:val="0"/>
              <w:divBdr>
                <w:top w:val="none" w:sz="0" w:space="0" w:color="auto"/>
                <w:left w:val="none" w:sz="0" w:space="0" w:color="auto"/>
                <w:bottom w:val="none" w:sz="0" w:space="0" w:color="auto"/>
                <w:right w:val="none" w:sz="0" w:space="0" w:color="auto"/>
              </w:divBdr>
            </w:div>
            <w:div w:id="933630221">
              <w:marLeft w:val="0"/>
              <w:marRight w:val="0"/>
              <w:marTop w:val="0"/>
              <w:marBottom w:val="0"/>
              <w:divBdr>
                <w:top w:val="none" w:sz="0" w:space="0" w:color="auto"/>
                <w:left w:val="none" w:sz="0" w:space="0" w:color="auto"/>
                <w:bottom w:val="none" w:sz="0" w:space="0" w:color="auto"/>
                <w:right w:val="none" w:sz="0" w:space="0" w:color="auto"/>
              </w:divBdr>
            </w:div>
            <w:div w:id="19237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8880">
      <w:bodyDiv w:val="1"/>
      <w:marLeft w:val="0"/>
      <w:marRight w:val="0"/>
      <w:marTop w:val="0"/>
      <w:marBottom w:val="0"/>
      <w:divBdr>
        <w:top w:val="none" w:sz="0" w:space="0" w:color="auto"/>
        <w:left w:val="none" w:sz="0" w:space="0" w:color="auto"/>
        <w:bottom w:val="none" w:sz="0" w:space="0" w:color="auto"/>
        <w:right w:val="none" w:sz="0" w:space="0" w:color="auto"/>
      </w:divBdr>
    </w:div>
    <w:div w:id="56706281">
      <w:bodyDiv w:val="1"/>
      <w:marLeft w:val="0"/>
      <w:marRight w:val="0"/>
      <w:marTop w:val="0"/>
      <w:marBottom w:val="0"/>
      <w:divBdr>
        <w:top w:val="none" w:sz="0" w:space="0" w:color="auto"/>
        <w:left w:val="none" w:sz="0" w:space="0" w:color="auto"/>
        <w:bottom w:val="none" w:sz="0" w:space="0" w:color="auto"/>
        <w:right w:val="none" w:sz="0" w:space="0" w:color="auto"/>
      </w:divBdr>
    </w:div>
    <w:div w:id="63725976">
      <w:bodyDiv w:val="1"/>
      <w:marLeft w:val="0"/>
      <w:marRight w:val="0"/>
      <w:marTop w:val="0"/>
      <w:marBottom w:val="0"/>
      <w:divBdr>
        <w:top w:val="none" w:sz="0" w:space="0" w:color="auto"/>
        <w:left w:val="none" w:sz="0" w:space="0" w:color="auto"/>
        <w:bottom w:val="none" w:sz="0" w:space="0" w:color="auto"/>
        <w:right w:val="none" w:sz="0" w:space="0" w:color="auto"/>
      </w:divBdr>
      <w:divsChild>
        <w:div w:id="1152521191">
          <w:marLeft w:val="274"/>
          <w:marRight w:val="0"/>
          <w:marTop w:val="0"/>
          <w:marBottom w:val="120"/>
          <w:divBdr>
            <w:top w:val="none" w:sz="0" w:space="0" w:color="auto"/>
            <w:left w:val="none" w:sz="0" w:space="0" w:color="auto"/>
            <w:bottom w:val="none" w:sz="0" w:space="0" w:color="auto"/>
            <w:right w:val="none" w:sz="0" w:space="0" w:color="auto"/>
          </w:divBdr>
        </w:div>
      </w:divsChild>
    </w:div>
    <w:div w:id="65080616">
      <w:bodyDiv w:val="1"/>
      <w:marLeft w:val="0"/>
      <w:marRight w:val="0"/>
      <w:marTop w:val="0"/>
      <w:marBottom w:val="0"/>
      <w:divBdr>
        <w:top w:val="none" w:sz="0" w:space="0" w:color="auto"/>
        <w:left w:val="none" w:sz="0" w:space="0" w:color="auto"/>
        <w:bottom w:val="none" w:sz="0" w:space="0" w:color="auto"/>
        <w:right w:val="none" w:sz="0" w:space="0" w:color="auto"/>
      </w:divBdr>
      <w:divsChild>
        <w:div w:id="1034228180">
          <w:marLeft w:val="274"/>
          <w:marRight w:val="0"/>
          <w:marTop w:val="0"/>
          <w:marBottom w:val="120"/>
          <w:divBdr>
            <w:top w:val="none" w:sz="0" w:space="0" w:color="auto"/>
            <w:left w:val="none" w:sz="0" w:space="0" w:color="auto"/>
            <w:bottom w:val="none" w:sz="0" w:space="0" w:color="auto"/>
            <w:right w:val="none" w:sz="0" w:space="0" w:color="auto"/>
          </w:divBdr>
        </w:div>
      </w:divsChild>
    </w:div>
    <w:div w:id="80488978">
      <w:bodyDiv w:val="1"/>
      <w:marLeft w:val="0"/>
      <w:marRight w:val="0"/>
      <w:marTop w:val="0"/>
      <w:marBottom w:val="0"/>
      <w:divBdr>
        <w:top w:val="none" w:sz="0" w:space="0" w:color="auto"/>
        <w:left w:val="none" w:sz="0" w:space="0" w:color="auto"/>
        <w:bottom w:val="none" w:sz="0" w:space="0" w:color="auto"/>
        <w:right w:val="none" w:sz="0" w:space="0" w:color="auto"/>
      </w:divBdr>
    </w:div>
    <w:div w:id="134035510">
      <w:bodyDiv w:val="1"/>
      <w:marLeft w:val="0"/>
      <w:marRight w:val="0"/>
      <w:marTop w:val="0"/>
      <w:marBottom w:val="0"/>
      <w:divBdr>
        <w:top w:val="none" w:sz="0" w:space="0" w:color="auto"/>
        <w:left w:val="none" w:sz="0" w:space="0" w:color="auto"/>
        <w:bottom w:val="none" w:sz="0" w:space="0" w:color="auto"/>
        <w:right w:val="none" w:sz="0" w:space="0" w:color="auto"/>
      </w:divBdr>
    </w:div>
    <w:div w:id="153181626">
      <w:bodyDiv w:val="1"/>
      <w:marLeft w:val="0"/>
      <w:marRight w:val="0"/>
      <w:marTop w:val="0"/>
      <w:marBottom w:val="0"/>
      <w:divBdr>
        <w:top w:val="none" w:sz="0" w:space="0" w:color="auto"/>
        <w:left w:val="none" w:sz="0" w:space="0" w:color="auto"/>
        <w:bottom w:val="none" w:sz="0" w:space="0" w:color="auto"/>
        <w:right w:val="none" w:sz="0" w:space="0" w:color="auto"/>
      </w:divBdr>
      <w:divsChild>
        <w:div w:id="64449806">
          <w:marLeft w:val="274"/>
          <w:marRight w:val="0"/>
          <w:marTop w:val="0"/>
          <w:marBottom w:val="120"/>
          <w:divBdr>
            <w:top w:val="none" w:sz="0" w:space="0" w:color="auto"/>
            <w:left w:val="none" w:sz="0" w:space="0" w:color="auto"/>
            <w:bottom w:val="none" w:sz="0" w:space="0" w:color="auto"/>
            <w:right w:val="none" w:sz="0" w:space="0" w:color="auto"/>
          </w:divBdr>
        </w:div>
        <w:div w:id="389546771">
          <w:marLeft w:val="274"/>
          <w:marRight w:val="0"/>
          <w:marTop w:val="0"/>
          <w:marBottom w:val="120"/>
          <w:divBdr>
            <w:top w:val="none" w:sz="0" w:space="0" w:color="auto"/>
            <w:left w:val="none" w:sz="0" w:space="0" w:color="auto"/>
            <w:bottom w:val="none" w:sz="0" w:space="0" w:color="auto"/>
            <w:right w:val="none" w:sz="0" w:space="0" w:color="auto"/>
          </w:divBdr>
        </w:div>
      </w:divsChild>
    </w:div>
    <w:div w:id="156725918">
      <w:bodyDiv w:val="1"/>
      <w:marLeft w:val="0"/>
      <w:marRight w:val="0"/>
      <w:marTop w:val="0"/>
      <w:marBottom w:val="0"/>
      <w:divBdr>
        <w:top w:val="none" w:sz="0" w:space="0" w:color="auto"/>
        <w:left w:val="none" w:sz="0" w:space="0" w:color="auto"/>
        <w:bottom w:val="none" w:sz="0" w:space="0" w:color="auto"/>
        <w:right w:val="none" w:sz="0" w:space="0" w:color="auto"/>
      </w:divBdr>
      <w:divsChild>
        <w:div w:id="575282652">
          <w:marLeft w:val="0"/>
          <w:marRight w:val="0"/>
          <w:marTop w:val="0"/>
          <w:marBottom w:val="0"/>
          <w:divBdr>
            <w:top w:val="none" w:sz="0" w:space="0" w:color="auto"/>
            <w:left w:val="none" w:sz="0" w:space="0" w:color="auto"/>
            <w:bottom w:val="none" w:sz="0" w:space="0" w:color="auto"/>
            <w:right w:val="none" w:sz="0" w:space="0" w:color="auto"/>
          </w:divBdr>
        </w:div>
      </w:divsChild>
    </w:div>
    <w:div w:id="162286580">
      <w:bodyDiv w:val="1"/>
      <w:marLeft w:val="0"/>
      <w:marRight w:val="0"/>
      <w:marTop w:val="0"/>
      <w:marBottom w:val="0"/>
      <w:divBdr>
        <w:top w:val="none" w:sz="0" w:space="0" w:color="auto"/>
        <w:left w:val="none" w:sz="0" w:space="0" w:color="auto"/>
        <w:bottom w:val="none" w:sz="0" w:space="0" w:color="auto"/>
        <w:right w:val="none" w:sz="0" w:space="0" w:color="auto"/>
      </w:divBdr>
      <w:divsChild>
        <w:div w:id="191194498">
          <w:marLeft w:val="0"/>
          <w:marRight w:val="0"/>
          <w:marTop w:val="0"/>
          <w:marBottom w:val="0"/>
          <w:divBdr>
            <w:top w:val="none" w:sz="0" w:space="0" w:color="auto"/>
            <w:left w:val="none" w:sz="0" w:space="0" w:color="auto"/>
            <w:bottom w:val="none" w:sz="0" w:space="0" w:color="auto"/>
            <w:right w:val="none" w:sz="0" w:space="0" w:color="auto"/>
          </w:divBdr>
        </w:div>
        <w:div w:id="225262802">
          <w:marLeft w:val="0"/>
          <w:marRight w:val="0"/>
          <w:marTop w:val="0"/>
          <w:marBottom w:val="0"/>
          <w:divBdr>
            <w:top w:val="none" w:sz="0" w:space="0" w:color="auto"/>
            <w:left w:val="none" w:sz="0" w:space="0" w:color="auto"/>
            <w:bottom w:val="none" w:sz="0" w:space="0" w:color="auto"/>
            <w:right w:val="none" w:sz="0" w:space="0" w:color="auto"/>
          </w:divBdr>
        </w:div>
        <w:div w:id="792095935">
          <w:marLeft w:val="0"/>
          <w:marRight w:val="0"/>
          <w:marTop w:val="0"/>
          <w:marBottom w:val="0"/>
          <w:divBdr>
            <w:top w:val="none" w:sz="0" w:space="0" w:color="auto"/>
            <w:left w:val="none" w:sz="0" w:space="0" w:color="auto"/>
            <w:bottom w:val="none" w:sz="0" w:space="0" w:color="auto"/>
            <w:right w:val="none" w:sz="0" w:space="0" w:color="auto"/>
          </w:divBdr>
        </w:div>
        <w:div w:id="869532621">
          <w:marLeft w:val="0"/>
          <w:marRight w:val="0"/>
          <w:marTop w:val="0"/>
          <w:marBottom w:val="0"/>
          <w:divBdr>
            <w:top w:val="none" w:sz="0" w:space="0" w:color="auto"/>
            <w:left w:val="none" w:sz="0" w:space="0" w:color="auto"/>
            <w:bottom w:val="none" w:sz="0" w:space="0" w:color="auto"/>
            <w:right w:val="none" w:sz="0" w:space="0" w:color="auto"/>
          </w:divBdr>
        </w:div>
        <w:div w:id="1008826149">
          <w:marLeft w:val="0"/>
          <w:marRight w:val="0"/>
          <w:marTop w:val="0"/>
          <w:marBottom w:val="0"/>
          <w:divBdr>
            <w:top w:val="none" w:sz="0" w:space="0" w:color="auto"/>
            <w:left w:val="none" w:sz="0" w:space="0" w:color="auto"/>
            <w:bottom w:val="none" w:sz="0" w:space="0" w:color="auto"/>
            <w:right w:val="none" w:sz="0" w:space="0" w:color="auto"/>
          </w:divBdr>
        </w:div>
        <w:div w:id="1504785078">
          <w:marLeft w:val="0"/>
          <w:marRight w:val="0"/>
          <w:marTop w:val="0"/>
          <w:marBottom w:val="0"/>
          <w:divBdr>
            <w:top w:val="none" w:sz="0" w:space="0" w:color="auto"/>
            <w:left w:val="none" w:sz="0" w:space="0" w:color="auto"/>
            <w:bottom w:val="none" w:sz="0" w:space="0" w:color="auto"/>
            <w:right w:val="none" w:sz="0" w:space="0" w:color="auto"/>
          </w:divBdr>
        </w:div>
        <w:div w:id="1639141125">
          <w:marLeft w:val="0"/>
          <w:marRight w:val="0"/>
          <w:marTop w:val="0"/>
          <w:marBottom w:val="0"/>
          <w:divBdr>
            <w:top w:val="none" w:sz="0" w:space="0" w:color="auto"/>
            <w:left w:val="none" w:sz="0" w:space="0" w:color="auto"/>
            <w:bottom w:val="none" w:sz="0" w:space="0" w:color="auto"/>
            <w:right w:val="none" w:sz="0" w:space="0" w:color="auto"/>
          </w:divBdr>
        </w:div>
        <w:div w:id="1704212736">
          <w:marLeft w:val="0"/>
          <w:marRight w:val="0"/>
          <w:marTop w:val="0"/>
          <w:marBottom w:val="0"/>
          <w:divBdr>
            <w:top w:val="none" w:sz="0" w:space="0" w:color="auto"/>
            <w:left w:val="none" w:sz="0" w:space="0" w:color="auto"/>
            <w:bottom w:val="none" w:sz="0" w:space="0" w:color="auto"/>
            <w:right w:val="none" w:sz="0" w:space="0" w:color="auto"/>
          </w:divBdr>
        </w:div>
        <w:div w:id="2092190790">
          <w:marLeft w:val="0"/>
          <w:marRight w:val="0"/>
          <w:marTop w:val="0"/>
          <w:marBottom w:val="0"/>
          <w:divBdr>
            <w:top w:val="none" w:sz="0" w:space="0" w:color="auto"/>
            <w:left w:val="none" w:sz="0" w:space="0" w:color="auto"/>
            <w:bottom w:val="none" w:sz="0" w:space="0" w:color="auto"/>
            <w:right w:val="none" w:sz="0" w:space="0" w:color="auto"/>
          </w:divBdr>
        </w:div>
      </w:divsChild>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40532107">
      <w:bodyDiv w:val="1"/>
      <w:marLeft w:val="0"/>
      <w:marRight w:val="0"/>
      <w:marTop w:val="0"/>
      <w:marBottom w:val="0"/>
      <w:divBdr>
        <w:top w:val="none" w:sz="0" w:space="0" w:color="auto"/>
        <w:left w:val="none" w:sz="0" w:space="0" w:color="auto"/>
        <w:bottom w:val="none" w:sz="0" w:space="0" w:color="auto"/>
        <w:right w:val="none" w:sz="0" w:space="0" w:color="auto"/>
      </w:divBdr>
      <w:divsChild>
        <w:div w:id="1252157297">
          <w:marLeft w:val="274"/>
          <w:marRight w:val="0"/>
          <w:marTop w:val="0"/>
          <w:marBottom w:val="120"/>
          <w:divBdr>
            <w:top w:val="none" w:sz="0" w:space="0" w:color="auto"/>
            <w:left w:val="none" w:sz="0" w:space="0" w:color="auto"/>
            <w:bottom w:val="none" w:sz="0" w:space="0" w:color="auto"/>
            <w:right w:val="none" w:sz="0" w:space="0" w:color="auto"/>
          </w:divBdr>
        </w:div>
      </w:divsChild>
    </w:div>
    <w:div w:id="270863446">
      <w:bodyDiv w:val="1"/>
      <w:marLeft w:val="0"/>
      <w:marRight w:val="0"/>
      <w:marTop w:val="0"/>
      <w:marBottom w:val="0"/>
      <w:divBdr>
        <w:top w:val="none" w:sz="0" w:space="0" w:color="auto"/>
        <w:left w:val="none" w:sz="0" w:space="0" w:color="auto"/>
        <w:bottom w:val="none" w:sz="0" w:space="0" w:color="auto"/>
        <w:right w:val="none" w:sz="0" w:space="0" w:color="auto"/>
      </w:divBdr>
    </w:div>
    <w:div w:id="273445838">
      <w:bodyDiv w:val="1"/>
      <w:marLeft w:val="0"/>
      <w:marRight w:val="0"/>
      <w:marTop w:val="0"/>
      <w:marBottom w:val="0"/>
      <w:divBdr>
        <w:top w:val="none" w:sz="0" w:space="0" w:color="auto"/>
        <w:left w:val="none" w:sz="0" w:space="0" w:color="auto"/>
        <w:bottom w:val="none" w:sz="0" w:space="0" w:color="auto"/>
        <w:right w:val="none" w:sz="0" w:space="0" w:color="auto"/>
      </w:divBdr>
    </w:div>
    <w:div w:id="302973143">
      <w:bodyDiv w:val="1"/>
      <w:marLeft w:val="0"/>
      <w:marRight w:val="0"/>
      <w:marTop w:val="0"/>
      <w:marBottom w:val="0"/>
      <w:divBdr>
        <w:top w:val="none" w:sz="0" w:space="0" w:color="auto"/>
        <w:left w:val="none" w:sz="0" w:space="0" w:color="auto"/>
        <w:bottom w:val="none" w:sz="0" w:space="0" w:color="auto"/>
        <w:right w:val="none" w:sz="0" w:space="0" w:color="auto"/>
      </w:divBdr>
      <w:divsChild>
        <w:div w:id="1177379660">
          <w:marLeft w:val="274"/>
          <w:marRight w:val="0"/>
          <w:marTop w:val="0"/>
          <w:marBottom w:val="0"/>
          <w:divBdr>
            <w:top w:val="none" w:sz="0" w:space="0" w:color="auto"/>
            <w:left w:val="none" w:sz="0" w:space="0" w:color="auto"/>
            <w:bottom w:val="none" w:sz="0" w:space="0" w:color="auto"/>
            <w:right w:val="none" w:sz="0" w:space="0" w:color="auto"/>
          </w:divBdr>
        </w:div>
        <w:div w:id="1627926846">
          <w:marLeft w:val="274"/>
          <w:marRight w:val="0"/>
          <w:marTop w:val="0"/>
          <w:marBottom w:val="0"/>
          <w:divBdr>
            <w:top w:val="none" w:sz="0" w:space="0" w:color="auto"/>
            <w:left w:val="none" w:sz="0" w:space="0" w:color="auto"/>
            <w:bottom w:val="none" w:sz="0" w:space="0" w:color="auto"/>
            <w:right w:val="none" w:sz="0" w:space="0" w:color="auto"/>
          </w:divBdr>
        </w:div>
        <w:div w:id="1938318915">
          <w:marLeft w:val="274"/>
          <w:marRight w:val="0"/>
          <w:marTop w:val="0"/>
          <w:marBottom w:val="0"/>
          <w:divBdr>
            <w:top w:val="none" w:sz="0" w:space="0" w:color="auto"/>
            <w:left w:val="none" w:sz="0" w:space="0" w:color="auto"/>
            <w:bottom w:val="none" w:sz="0" w:space="0" w:color="auto"/>
            <w:right w:val="none" w:sz="0" w:space="0" w:color="auto"/>
          </w:divBdr>
        </w:div>
        <w:div w:id="2124033538">
          <w:marLeft w:val="274"/>
          <w:marRight w:val="0"/>
          <w:marTop w:val="0"/>
          <w:marBottom w:val="0"/>
          <w:divBdr>
            <w:top w:val="none" w:sz="0" w:space="0" w:color="auto"/>
            <w:left w:val="none" w:sz="0" w:space="0" w:color="auto"/>
            <w:bottom w:val="none" w:sz="0" w:space="0" w:color="auto"/>
            <w:right w:val="none" w:sz="0" w:space="0" w:color="auto"/>
          </w:divBdr>
        </w:div>
      </w:divsChild>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439374234">
      <w:bodyDiv w:val="1"/>
      <w:marLeft w:val="0"/>
      <w:marRight w:val="0"/>
      <w:marTop w:val="0"/>
      <w:marBottom w:val="0"/>
      <w:divBdr>
        <w:top w:val="none" w:sz="0" w:space="0" w:color="auto"/>
        <w:left w:val="none" w:sz="0" w:space="0" w:color="auto"/>
        <w:bottom w:val="none" w:sz="0" w:space="0" w:color="auto"/>
        <w:right w:val="none" w:sz="0" w:space="0" w:color="auto"/>
      </w:divBdr>
    </w:div>
    <w:div w:id="440145753">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51872307">
      <w:bodyDiv w:val="1"/>
      <w:marLeft w:val="0"/>
      <w:marRight w:val="0"/>
      <w:marTop w:val="0"/>
      <w:marBottom w:val="0"/>
      <w:divBdr>
        <w:top w:val="none" w:sz="0" w:space="0" w:color="auto"/>
        <w:left w:val="none" w:sz="0" w:space="0" w:color="auto"/>
        <w:bottom w:val="none" w:sz="0" w:space="0" w:color="auto"/>
        <w:right w:val="none" w:sz="0" w:space="0" w:color="auto"/>
      </w:divBdr>
      <w:divsChild>
        <w:div w:id="552890310">
          <w:marLeft w:val="0"/>
          <w:marRight w:val="0"/>
          <w:marTop w:val="0"/>
          <w:marBottom w:val="0"/>
          <w:divBdr>
            <w:top w:val="none" w:sz="0" w:space="0" w:color="auto"/>
            <w:left w:val="none" w:sz="0" w:space="0" w:color="auto"/>
            <w:bottom w:val="none" w:sz="0" w:space="0" w:color="auto"/>
            <w:right w:val="none" w:sz="0" w:space="0" w:color="auto"/>
          </w:divBdr>
        </w:div>
      </w:divsChild>
    </w:div>
    <w:div w:id="459611567">
      <w:bodyDiv w:val="1"/>
      <w:marLeft w:val="0"/>
      <w:marRight w:val="0"/>
      <w:marTop w:val="0"/>
      <w:marBottom w:val="0"/>
      <w:divBdr>
        <w:top w:val="none" w:sz="0" w:space="0" w:color="auto"/>
        <w:left w:val="none" w:sz="0" w:space="0" w:color="auto"/>
        <w:bottom w:val="none" w:sz="0" w:space="0" w:color="auto"/>
        <w:right w:val="none" w:sz="0" w:space="0" w:color="auto"/>
      </w:divBdr>
    </w:div>
    <w:div w:id="477384305">
      <w:bodyDiv w:val="1"/>
      <w:marLeft w:val="0"/>
      <w:marRight w:val="0"/>
      <w:marTop w:val="0"/>
      <w:marBottom w:val="0"/>
      <w:divBdr>
        <w:top w:val="none" w:sz="0" w:space="0" w:color="auto"/>
        <w:left w:val="none" w:sz="0" w:space="0" w:color="auto"/>
        <w:bottom w:val="none" w:sz="0" w:space="0" w:color="auto"/>
        <w:right w:val="none" w:sz="0" w:space="0" w:color="auto"/>
      </w:divBdr>
    </w:div>
    <w:div w:id="499733341">
      <w:bodyDiv w:val="1"/>
      <w:marLeft w:val="0"/>
      <w:marRight w:val="0"/>
      <w:marTop w:val="0"/>
      <w:marBottom w:val="0"/>
      <w:divBdr>
        <w:top w:val="none" w:sz="0" w:space="0" w:color="auto"/>
        <w:left w:val="none" w:sz="0" w:space="0" w:color="auto"/>
        <w:bottom w:val="none" w:sz="0" w:space="0" w:color="auto"/>
        <w:right w:val="none" w:sz="0" w:space="0" w:color="auto"/>
      </w:divBdr>
      <w:divsChild>
        <w:div w:id="2047220869">
          <w:marLeft w:val="274"/>
          <w:marRight w:val="0"/>
          <w:marTop w:val="0"/>
          <w:marBottom w:val="120"/>
          <w:divBdr>
            <w:top w:val="none" w:sz="0" w:space="0" w:color="auto"/>
            <w:left w:val="none" w:sz="0" w:space="0" w:color="auto"/>
            <w:bottom w:val="none" w:sz="0" w:space="0" w:color="auto"/>
            <w:right w:val="none" w:sz="0" w:space="0" w:color="auto"/>
          </w:divBdr>
        </w:div>
      </w:divsChild>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40630201">
      <w:bodyDiv w:val="1"/>
      <w:marLeft w:val="0"/>
      <w:marRight w:val="0"/>
      <w:marTop w:val="0"/>
      <w:marBottom w:val="0"/>
      <w:divBdr>
        <w:top w:val="none" w:sz="0" w:space="0" w:color="auto"/>
        <w:left w:val="none" w:sz="0" w:space="0" w:color="auto"/>
        <w:bottom w:val="none" w:sz="0" w:space="0" w:color="auto"/>
        <w:right w:val="none" w:sz="0" w:space="0" w:color="auto"/>
      </w:divBdr>
    </w:div>
    <w:div w:id="546143452">
      <w:bodyDiv w:val="1"/>
      <w:marLeft w:val="0"/>
      <w:marRight w:val="0"/>
      <w:marTop w:val="0"/>
      <w:marBottom w:val="0"/>
      <w:divBdr>
        <w:top w:val="none" w:sz="0" w:space="0" w:color="auto"/>
        <w:left w:val="none" w:sz="0" w:space="0" w:color="auto"/>
        <w:bottom w:val="none" w:sz="0" w:space="0" w:color="auto"/>
        <w:right w:val="none" w:sz="0" w:space="0" w:color="auto"/>
      </w:divBdr>
    </w:div>
    <w:div w:id="583495163">
      <w:bodyDiv w:val="1"/>
      <w:marLeft w:val="0"/>
      <w:marRight w:val="0"/>
      <w:marTop w:val="0"/>
      <w:marBottom w:val="0"/>
      <w:divBdr>
        <w:top w:val="none" w:sz="0" w:space="0" w:color="auto"/>
        <w:left w:val="none" w:sz="0" w:space="0" w:color="auto"/>
        <w:bottom w:val="none" w:sz="0" w:space="0" w:color="auto"/>
        <w:right w:val="none" w:sz="0" w:space="0" w:color="auto"/>
      </w:divBdr>
      <w:divsChild>
        <w:div w:id="1027756265">
          <w:marLeft w:val="274"/>
          <w:marRight w:val="0"/>
          <w:marTop w:val="0"/>
          <w:marBottom w:val="0"/>
          <w:divBdr>
            <w:top w:val="none" w:sz="0" w:space="0" w:color="auto"/>
            <w:left w:val="none" w:sz="0" w:space="0" w:color="auto"/>
            <w:bottom w:val="none" w:sz="0" w:space="0" w:color="auto"/>
            <w:right w:val="none" w:sz="0" w:space="0" w:color="auto"/>
          </w:divBdr>
        </w:div>
      </w:divsChild>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02033763">
      <w:bodyDiv w:val="1"/>
      <w:marLeft w:val="0"/>
      <w:marRight w:val="0"/>
      <w:marTop w:val="0"/>
      <w:marBottom w:val="0"/>
      <w:divBdr>
        <w:top w:val="none" w:sz="0" w:space="0" w:color="auto"/>
        <w:left w:val="none" w:sz="0" w:space="0" w:color="auto"/>
        <w:bottom w:val="none" w:sz="0" w:space="0" w:color="auto"/>
        <w:right w:val="none" w:sz="0" w:space="0" w:color="auto"/>
      </w:divBdr>
      <w:divsChild>
        <w:div w:id="1905752998">
          <w:marLeft w:val="0"/>
          <w:marRight w:val="0"/>
          <w:marTop w:val="0"/>
          <w:marBottom w:val="0"/>
          <w:divBdr>
            <w:top w:val="none" w:sz="0" w:space="0" w:color="auto"/>
            <w:left w:val="none" w:sz="0" w:space="0" w:color="auto"/>
            <w:bottom w:val="none" w:sz="0" w:space="0" w:color="auto"/>
            <w:right w:val="none" w:sz="0" w:space="0" w:color="auto"/>
          </w:divBdr>
        </w:div>
        <w:div w:id="1999921044">
          <w:marLeft w:val="0"/>
          <w:marRight w:val="0"/>
          <w:marTop w:val="0"/>
          <w:marBottom w:val="0"/>
          <w:divBdr>
            <w:top w:val="none" w:sz="0" w:space="0" w:color="auto"/>
            <w:left w:val="none" w:sz="0" w:space="0" w:color="auto"/>
            <w:bottom w:val="none" w:sz="0" w:space="0" w:color="auto"/>
            <w:right w:val="none" w:sz="0" w:space="0" w:color="auto"/>
          </w:divBdr>
        </w:div>
      </w:divsChild>
    </w:div>
    <w:div w:id="635721525">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6129180">
      <w:bodyDiv w:val="1"/>
      <w:marLeft w:val="0"/>
      <w:marRight w:val="0"/>
      <w:marTop w:val="0"/>
      <w:marBottom w:val="0"/>
      <w:divBdr>
        <w:top w:val="none" w:sz="0" w:space="0" w:color="auto"/>
        <w:left w:val="none" w:sz="0" w:space="0" w:color="auto"/>
        <w:bottom w:val="none" w:sz="0" w:space="0" w:color="auto"/>
        <w:right w:val="none" w:sz="0" w:space="0" w:color="auto"/>
      </w:divBdr>
      <w:divsChild>
        <w:div w:id="1153567728">
          <w:marLeft w:val="274"/>
          <w:marRight w:val="0"/>
          <w:marTop w:val="0"/>
          <w:marBottom w:val="0"/>
          <w:divBdr>
            <w:top w:val="none" w:sz="0" w:space="0" w:color="auto"/>
            <w:left w:val="none" w:sz="0" w:space="0" w:color="auto"/>
            <w:bottom w:val="none" w:sz="0" w:space="0" w:color="auto"/>
            <w:right w:val="none" w:sz="0" w:space="0" w:color="auto"/>
          </w:divBdr>
        </w:div>
        <w:div w:id="1384207383">
          <w:marLeft w:val="274"/>
          <w:marRight w:val="0"/>
          <w:marTop w:val="0"/>
          <w:marBottom w:val="0"/>
          <w:divBdr>
            <w:top w:val="none" w:sz="0" w:space="0" w:color="auto"/>
            <w:left w:val="none" w:sz="0" w:space="0" w:color="auto"/>
            <w:bottom w:val="none" w:sz="0" w:space="0" w:color="auto"/>
            <w:right w:val="none" w:sz="0" w:space="0" w:color="auto"/>
          </w:divBdr>
        </w:div>
        <w:div w:id="1909806581">
          <w:marLeft w:val="274"/>
          <w:marRight w:val="0"/>
          <w:marTop w:val="0"/>
          <w:marBottom w:val="0"/>
          <w:divBdr>
            <w:top w:val="none" w:sz="0" w:space="0" w:color="auto"/>
            <w:left w:val="none" w:sz="0" w:space="0" w:color="auto"/>
            <w:bottom w:val="none" w:sz="0" w:space="0" w:color="auto"/>
            <w:right w:val="none" w:sz="0" w:space="0" w:color="auto"/>
          </w:divBdr>
        </w:div>
      </w:divsChild>
    </w:div>
    <w:div w:id="670136904">
      <w:bodyDiv w:val="1"/>
      <w:marLeft w:val="0"/>
      <w:marRight w:val="0"/>
      <w:marTop w:val="0"/>
      <w:marBottom w:val="0"/>
      <w:divBdr>
        <w:top w:val="none" w:sz="0" w:space="0" w:color="auto"/>
        <w:left w:val="none" w:sz="0" w:space="0" w:color="auto"/>
        <w:bottom w:val="none" w:sz="0" w:space="0" w:color="auto"/>
        <w:right w:val="none" w:sz="0" w:space="0" w:color="auto"/>
      </w:divBdr>
    </w:div>
    <w:div w:id="695081375">
      <w:bodyDiv w:val="1"/>
      <w:marLeft w:val="0"/>
      <w:marRight w:val="0"/>
      <w:marTop w:val="0"/>
      <w:marBottom w:val="0"/>
      <w:divBdr>
        <w:top w:val="none" w:sz="0" w:space="0" w:color="auto"/>
        <w:left w:val="none" w:sz="0" w:space="0" w:color="auto"/>
        <w:bottom w:val="none" w:sz="0" w:space="0" w:color="auto"/>
        <w:right w:val="none" w:sz="0" w:space="0" w:color="auto"/>
      </w:divBdr>
    </w:div>
    <w:div w:id="703487059">
      <w:bodyDiv w:val="1"/>
      <w:marLeft w:val="0"/>
      <w:marRight w:val="0"/>
      <w:marTop w:val="0"/>
      <w:marBottom w:val="0"/>
      <w:divBdr>
        <w:top w:val="none" w:sz="0" w:space="0" w:color="auto"/>
        <w:left w:val="none" w:sz="0" w:space="0" w:color="auto"/>
        <w:bottom w:val="none" w:sz="0" w:space="0" w:color="auto"/>
        <w:right w:val="none" w:sz="0" w:space="0" w:color="auto"/>
      </w:divBdr>
    </w:div>
    <w:div w:id="726882275">
      <w:bodyDiv w:val="1"/>
      <w:marLeft w:val="0"/>
      <w:marRight w:val="0"/>
      <w:marTop w:val="0"/>
      <w:marBottom w:val="0"/>
      <w:divBdr>
        <w:top w:val="none" w:sz="0" w:space="0" w:color="auto"/>
        <w:left w:val="none" w:sz="0" w:space="0" w:color="auto"/>
        <w:bottom w:val="none" w:sz="0" w:space="0" w:color="auto"/>
        <w:right w:val="none" w:sz="0" w:space="0" w:color="auto"/>
      </w:divBdr>
    </w:div>
    <w:div w:id="753432531">
      <w:bodyDiv w:val="1"/>
      <w:marLeft w:val="0"/>
      <w:marRight w:val="0"/>
      <w:marTop w:val="0"/>
      <w:marBottom w:val="0"/>
      <w:divBdr>
        <w:top w:val="none" w:sz="0" w:space="0" w:color="auto"/>
        <w:left w:val="none" w:sz="0" w:space="0" w:color="auto"/>
        <w:bottom w:val="none" w:sz="0" w:space="0" w:color="auto"/>
        <w:right w:val="none" w:sz="0" w:space="0" w:color="auto"/>
      </w:divBdr>
    </w:div>
    <w:div w:id="794105233">
      <w:bodyDiv w:val="1"/>
      <w:marLeft w:val="0"/>
      <w:marRight w:val="0"/>
      <w:marTop w:val="0"/>
      <w:marBottom w:val="0"/>
      <w:divBdr>
        <w:top w:val="none" w:sz="0" w:space="0" w:color="auto"/>
        <w:left w:val="none" w:sz="0" w:space="0" w:color="auto"/>
        <w:bottom w:val="none" w:sz="0" w:space="0" w:color="auto"/>
        <w:right w:val="none" w:sz="0" w:space="0" w:color="auto"/>
      </w:divBdr>
      <w:divsChild>
        <w:div w:id="1825386854">
          <w:marLeft w:val="274"/>
          <w:marRight w:val="0"/>
          <w:marTop w:val="0"/>
          <w:marBottom w:val="120"/>
          <w:divBdr>
            <w:top w:val="none" w:sz="0" w:space="0" w:color="auto"/>
            <w:left w:val="none" w:sz="0" w:space="0" w:color="auto"/>
            <w:bottom w:val="none" w:sz="0" w:space="0" w:color="auto"/>
            <w:right w:val="none" w:sz="0" w:space="0" w:color="auto"/>
          </w:divBdr>
        </w:div>
      </w:divsChild>
    </w:div>
    <w:div w:id="845024823">
      <w:bodyDiv w:val="1"/>
      <w:marLeft w:val="0"/>
      <w:marRight w:val="0"/>
      <w:marTop w:val="0"/>
      <w:marBottom w:val="0"/>
      <w:divBdr>
        <w:top w:val="none" w:sz="0" w:space="0" w:color="auto"/>
        <w:left w:val="none" w:sz="0" w:space="0" w:color="auto"/>
        <w:bottom w:val="none" w:sz="0" w:space="0" w:color="auto"/>
        <w:right w:val="none" w:sz="0" w:space="0" w:color="auto"/>
      </w:divBdr>
      <w:divsChild>
        <w:div w:id="893659147">
          <w:marLeft w:val="274"/>
          <w:marRight w:val="0"/>
          <w:marTop w:val="0"/>
          <w:marBottom w:val="120"/>
          <w:divBdr>
            <w:top w:val="none" w:sz="0" w:space="0" w:color="auto"/>
            <w:left w:val="none" w:sz="0" w:space="0" w:color="auto"/>
            <w:bottom w:val="none" w:sz="0" w:space="0" w:color="auto"/>
            <w:right w:val="none" w:sz="0" w:space="0" w:color="auto"/>
          </w:divBdr>
        </w:div>
      </w:divsChild>
    </w:div>
    <w:div w:id="851140543">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92472873">
      <w:bodyDiv w:val="1"/>
      <w:marLeft w:val="0"/>
      <w:marRight w:val="0"/>
      <w:marTop w:val="0"/>
      <w:marBottom w:val="0"/>
      <w:divBdr>
        <w:top w:val="none" w:sz="0" w:space="0" w:color="auto"/>
        <w:left w:val="none" w:sz="0" w:space="0" w:color="auto"/>
        <w:bottom w:val="none" w:sz="0" w:space="0" w:color="auto"/>
        <w:right w:val="none" w:sz="0" w:space="0" w:color="auto"/>
      </w:divBdr>
    </w:div>
    <w:div w:id="905992707">
      <w:bodyDiv w:val="1"/>
      <w:marLeft w:val="0"/>
      <w:marRight w:val="0"/>
      <w:marTop w:val="0"/>
      <w:marBottom w:val="0"/>
      <w:divBdr>
        <w:top w:val="none" w:sz="0" w:space="0" w:color="auto"/>
        <w:left w:val="none" w:sz="0" w:space="0" w:color="auto"/>
        <w:bottom w:val="none" w:sz="0" w:space="0" w:color="auto"/>
        <w:right w:val="none" w:sz="0" w:space="0" w:color="auto"/>
      </w:divBdr>
    </w:div>
    <w:div w:id="914122862">
      <w:bodyDiv w:val="1"/>
      <w:marLeft w:val="0"/>
      <w:marRight w:val="0"/>
      <w:marTop w:val="0"/>
      <w:marBottom w:val="0"/>
      <w:divBdr>
        <w:top w:val="none" w:sz="0" w:space="0" w:color="auto"/>
        <w:left w:val="none" w:sz="0" w:space="0" w:color="auto"/>
        <w:bottom w:val="none" w:sz="0" w:space="0" w:color="auto"/>
        <w:right w:val="none" w:sz="0" w:space="0" w:color="auto"/>
      </w:divBdr>
      <w:divsChild>
        <w:div w:id="663171746">
          <w:marLeft w:val="274"/>
          <w:marRight w:val="0"/>
          <w:marTop w:val="0"/>
          <w:marBottom w:val="0"/>
          <w:divBdr>
            <w:top w:val="none" w:sz="0" w:space="0" w:color="auto"/>
            <w:left w:val="none" w:sz="0" w:space="0" w:color="auto"/>
            <w:bottom w:val="none" w:sz="0" w:space="0" w:color="auto"/>
            <w:right w:val="none" w:sz="0" w:space="0" w:color="auto"/>
          </w:divBdr>
        </w:div>
        <w:div w:id="790369155">
          <w:marLeft w:val="274"/>
          <w:marRight w:val="0"/>
          <w:marTop w:val="0"/>
          <w:marBottom w:val="0"/>
          <w:divBdr>
            <w:top w:val="none" w:sz="0" w:space="0" w:color="auto"/>
            <w:left w:val="none" w:sz="0" w:space="0" w:color="auto"/>
            <w:bottom w:val="none" w:sz="0" w:space="0" w:color="auto"/>
            <w:right w:val="none" w:sz="0" w:space="0" w:color="auto"/>
          </w:divBdr>
        </w:div>
        <w:div w:id="1428306356">
          <w:marLeft w:val="274"/>
          <w:marRight w:val="0"/>
          <w:marTop w:val="0"/>
          <w:marBottom w:val="0"/>
          <w:divBdr>
            <w:top w:val="none" w:sz="0" w:space="0" w:color="auto"/>
            <w:left w:val="none" w:sz="0" w:space="0" w:color="auto"/>
            <w:bottom w:val="none" w:sz="0" w:space="0" w:color="auto"/>
            <w:right w:val="none" w:sz="0" w:space="0" w:color="auto"/>
          </w:divBdr>
        </w:div>
      </w:divsChild>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014772023">
      <w:bodyDiv w:val="1"/>
      <w:marLeft w:val="0"/>
      <w:marRight w:val="0"/>
      <w:marTop w:val="0"/>
      <w:marBottom w:val="0"/>
      <w:divBdr>
        <w:top w:val="none" w:sz="0" w:space="0" w:color="auto"/>
        <w:left w:val="none" w:sz="0" w:space="0" w:color="auto"/>
        <w:bottom w:val="none" w:sz="0" w:space="0" w:color="auto"/>
        <w:right w:val="none" w:sz="0" w:space="0" w:color="auto"/>
      </w:divBdr>
    </w:div>
    <w:div w:id="1077290314">
      <w:bodyDiv w:val="1"/>
      <w:marLeft w:val="0"/>
      <w:marRight w:val="0"/>
      <w:marTop w:val="0"/>
      <w:marBottom w:val="0"/>
      <w:divBdr>
        <w:top w:val="none" w:sz="0" w:space="0" w:color="auto"/>
        <w:left w:val="none" w:sz="0" w:space="0" w:color="auto"/>
        <w:bottom w:val="none" w:sz="0" w:space="0" w:color="auto"/>
        <w:right w:val="none" w:sz="0" w:space="0" w:color="auto"/>
      </w:divBdr>
      <w:divsChild>
        <w:div w:id="1315527765">
          <w:marLeft w:val="0"/>
          <w:marRight w:val="0"/>
          <w:marTop w:val="0"/>
          <w:marBottom w:val="0"/>
          <w:divBdr>
            <w:top w:val="none" w:sz="0" w:space="0" w:color="auto"/>
            <w:left w:val="none" w:sz="0" w:space="0" w:color="auto"/>
            <w:bottom w:val="none" w:sz="0" w:space="0" w:color="auto"/>
            <w:right w:val="none" w:sz="0" w:space="0" w:color="auto"/>
          </w:divBdr>
        </w:div>
      </w:divsChild>
    </w:div>
    <w:div w:id="1080131319">
      <w:bodyDiv w:val="1"/>
      <w:marLeft w:val="0"/>
      <w:marRight w:val="0"/>
      <w:marTop w:val="0"/>
      <w:marBottom w:val="0"/>
      <w:divBdr>
        <w:top w:val="none" w:sz="0" w:space="0" w:color="auto"/>
        <w:left w:val="none" w:sz="0" w:space="0" w:color="auto"/>
        <w:bottom w:val="none" w:sz="0" w:space="0" w:color="auto"/>
        <w:right w:val="none" w:sz="0" w:space="0" w:color="auto"/>
      </w:divBdr>
      <w:divsChild>
        <w:div w:id="392849924">
          <w:marLeft w:val="0"/>
          <w:marRight w:val="0"/>
          <w:marTop w:val="0"/>
          <w:marBottom w:val="0"/>
          <w:divBdr>
            <w:top w:val="none" w:sz="0" w:space="0" w:color="auto"/>
            <w:left w:val="none" w:sz="0" w:space="0" w:color="auto"/>
            <w:bottom w:val="none" w:sz="0" w:space="0" w:color="auto"/>
            <w:right w:val="none" w:sz="0" w:space="0" w:color="auto"/>
          </w:divBdr>
        </w:div>
      </w:divsChild>
    </w:div>
    <w:div w:id="1081560825">
      <w:bodyDiv w:val="1"/>
      <w:marLeft w:val="0"/>
      <w:marRight w:val="0"/>
      <w:marTop w:val="0"/>
      <w:marBottom w:val="0"/>
      <w:divBdr>
        <w:top w:val="none" w:sz="0" w:space="0" w:color="auto"/>
        <w:left w:val="none" w:sz="0" w:space="0" w:color="auto"/>
        <w:bottom w:val="none" w:sz="0" w:space="0" w:color="auto"/>
        <w:right w:val="none" w:sz="0" w:space="0" w:color="auto"/>
      </w:divBdr>
      <w:divsChild>
        <w:div w:id="1528830312">
          <w:marLeft w:val="274"/>
          <w:marRight w:val="0"/>
          <w:marTop w:val="0"/>
          <w:marBottom w:val="120"/>
          <w:divBdr>
            <w:top w:val="none" w:sz="0" w:space="0" w:color="auto"/>
            <w:left w:val="none" w:sz="0" w:space="0" w:color="auto"/>
            <w:bottom w:val="none" w:sz="0" w:space="0" w:color="auto"/>
            <w:right w:val="none" w:sz="0" w:space="0" w:color="auto"/>
          </w:divBdr>
        </w:div>
      </w:divsChild>
    </w:div>
    <w:div w:id="1093238334">
      <w:bodyDiv w:val="1"/>
      <w:marLeft w:val="0"/>
      <w:marRight w:val="0"/>
      <w:marTop w:val="0"/>
      <w:marBottom w:val="0"/>
      <w:divBdr>
        <w:top w:val="none" w:sz="0" w:space="0" w:color="auto"/>
        <w:left w:val="none" w:sz="0" w:space="0" w:color="auto"/>
        <w:bottom w:val="none" w:sz="0" w:space="0" w:color="auto"/>
        <w:right w:val="none" w:sz="0" w:space="0" w:color="auto"/>
      </w:divBdr>
      <w:divsChild>
        <w:div w:id="280958085">
          <w:marLeft w:val="274"/>
          <w:marRight w:val="0"/>
          <w:marTop w:val="0"/>
          <w:marBottom w:val="0"/>
          <w:divBdr>
            <w:top w:val="none" w:sz="0" w:space="0" w:color="auto"/>
            <w:left w:val="none" w:sz="0" w:space="0" w:color="auto"/>
            <w:bottom w:val="none" w:sz="0" w:space="0" w:color="auto"/>
            <w:right w:val="none" w:sz="0" w:space="0" w:color="auto"/>
          </w:divBdr>
        </w:div>
      </w:divsChild>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12553046">
      <w:bodyDiv w:val="1"/>
      <w:marLeft w:val="0"/>
      <w:marRight w:val="0"/>
      <w:marTop w:val="0"/>
      <w:marBottom w:val="0"/>
      <w:divBdr>
        <w:top w:val="none" w:sz="0" w:space="0" w:color="auto"/>
        <w:left w:val="none" w:sz="0" w:space="0" w:color="auto"/>
        <w:bottom w:val="none" w:sz="0" w:space="0" w:color="auto"/>
        <w:right w:val="none" w:sz="0" w:space="0" w:color="auto"/>
      </w:divBdr>
    </w:div>
    <w:div w:id="1118140436">
      <w:bodyDiv w:val="1"/>
      <w:marLeft w:val="0"/>
      <w:marRight w:val="0"/>
      <w:marTop w:val="0"/>
      <w:marBottom w:val="0"/>
      <w:divBdr>
        <w:top w:val="none" w:sz="0" w:space="0" w:color="auto"/>
        <w:left w:val="none" w:sz="0" w:space="0" w:color="auto"/>
        <w:bottom w:val="none" w:sz="0" w:space="0" w:color="auto"/>
        <w:right w:val="none" w:sz="0" w:space="0" w:color="auto"/>
      </w:divBdr>
    </w:div>
    <w:div w:id="1121998475">
      <w:bodyDiv w:val="1"/>
      <w:marLeft w:val="0"/>
      <w:marRight w:val="0"/>
      <w:marTop w:val="0"/>
      <w:marBottom w:val="0"/>
      <w:divBdr>
        <w:top w:val="none" w:sz="0" w:space="0" w:color="auto"/>
        <w:left w:val="none" w:sz="0" w:space="0" w:color="auto"/>
        <w:bottom w:val="none" w:sz="0" w:space="0" w:color="auto"/>
        <w:right w:val="none" w:sz="0" w:space="0" w:color="auto"/>
      </w:divBdr>
    </w:div>
    <w:div w:id="1159810237">
      <w:bodyDiv w:val="1"/>
      <w:marLeft w:val="0"/>
      <w:marRight w:val="0"/>
      <w:marTop w:val="0"/>
      <w:marBottom w:val="0"/>
      <w:divBdr>
        <w:top w:val="none" w:sz="0" w:space="0" w:color="auto"/>
        <w:left w:val="none" w:sz="0" w:space="0" w:color="auto"/>
        <w:bottom w:val="none" w:sz="0" w:space="0" w:color="auto"/>
        <w:right w:val="none" w:sz="0" w:space="0" w:color="auto"/>
      </w:divBdr>
      <w:divsChild>
        <w:div w:id="1317807232">
          <w:marLeft w:val="274"/>
          <w:marRight w:val="0"/>
          <w:marTop w:val="0"/>
          <w:marBottom w:val="0"/>
          <w:divBdr>
            <w:top w:val="none" w:sz="0" w:space="0" w:color="auto"/>
            <w:left w:val="none" w:sz="0" w:space="0" w:color="auto"/>
            <w:bottom w:val="none" w:sz="0" w:space="0" w:color="auto"/>
            <w:right w:val="none" w:sz="0" w:space="0" w:color="auto"/>
          </w:divBdr>
        </w:div>
      </w:divsChild>
    </w:div>
    <w:div w:id="1172912677">
      <w:bodyDiv w:val="1"/>
      <w:marLeft w:val="0"/>
      <w:marRight w:val="0"/>
      <w:marTop w:val="0"/>
      <w:marBottom w:val="0"/>
      <w:divBdr>
        <w:top w:val="none" w:sz="0" w:space="0" w:color="auto"/>
        <w:left w:val="none" w:sz="0" w:space="0" w:color="auto"/>
        <w:bottom w:val="none" w:sz="0" w:space="0" w:color="auto"/>
        <w:right w:val="none" w:sz="0" w:space="0" w:color="auto"/>
      </w:divBdr>
      <w:divsChild>
        <w:div w:id="1547058385">
          <w:marLeft w:val="274"/>
          <w:marRight w:val="0"/>
          <w:marTop w:val="0"/>
          <w:marBottom w:val="120"/>
          <w:divBdr>
            <w:top w:val="none" w:sz="0" w:space="0" w:color="auto"/>
            <w:left w:val="none" w:sz="0" w:space="0" w:color="auto"/>
            <w:bottom w:val="none" w:sz="0" w:space="0" w:color="auto"/>
            <w:right w:val="none" w:sz="0" w:space="0" w:color="auto"/>
          </w:divBdr>
        </w:div>
      </w:divsChild>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303538221">
      <w:bodyDiv w:val="1"/>
      <w:marLeft w:val="0"/>
      <w:marRight w:val="0"/>
      <w:marTop w:val="0"/>
      <w:marBottom w:val="0"/>
      <w:divBdr>
        <w:top w:val="none" w:sz="0" w:space="0" w:color="auto"/>
        <w:left w:val="none" w:sz="0" w:space="0" w:color="auto"/>
        <w:bottom w:val="none" w:sz="0" w:space="0" w:color="auto"/>
        <w:right w:val="none" w:sz="0" w:space="0" w:color="auto"/>
      </w:divBdr>
    </w:div>
    <w:div w:id="1331323951">
      <w:bodyDiv w:val="1"/>
      <w:marLeft w:val="0"/>
      <w:marRight w:val="0"/>
      <w:marTop w:val="0"/>
      <w:marBottom w:val="0"/>
      <w:divBdr>
        <w:top w:val="none" w:sz="0" w:space="0" w:color="auto"/>
        <w:left w:val="none" w:sz="0" w:space="0" w:color="auto"/>
        <w:bottom w:val="none" w:sz="0" w:space="0" w:color="auto"/>
        <w:right w:val="none" w:sz="0" w:space="0" w:color="auto"/>
      </w:divBdr>
      <w:divsChild>
        <w:div w:id="1468432318">
          <w:marLeft w:val="0"/>
          <w:marRight w:val="0"/>
          <w:marTop w:val="0"/>
          <w:marBottom w:val="0"/>
          <w:divBdr>
            <w:top w:val="none" w:sz="0" w:space="0" w:color="auto"/>
            <w:left w:val="none" w:sz="0" w:space="0" w:color="auto"/>
            <w:bottom w:val="none" w:sz="0" w:space="0" w:color="auto"/>
            <w:right w:val="none" w:sz="0" w:space="0" w:color="auto"/>
          </w:divBdr>
        </w:div>
      </w:divsChild>
    </w:div>
    <w:div w:id="1337534577">
      <w:bodyDiv w:val="1"/>
      <w:marLeft w:val="0"/>
      <w:marRight w:val="0"/>
      <w:marTop w:val="0"/>
      <w:marBottom w:val="0"/>
      <w:divBdr>
        <w:top w:val="none" w:sz="0" w:space="0" w:color="auto"/>
        <w:left w:val="none" w:sz="0" w:space="0" w:color="auto"/>
        <w:bottom w:val="none" w:sz="0" w:space="0" w:color="auto"/>
        <w:right w:val="none" w:sz="0" w:space="0" w:color="auto"/>
      </w:divBdr>
    </w:div>
    <w:div w:id="1439526475">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92910358">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499150992">
      <w:bodyDiv w:val="1"/>
      <w:marLeft w:val="0"/>
      <w:marRight w:val="0"/>
      <w:marTop w:val="0"/>
      <w:marBottom w:val="0"/>
      <w:divBdr>
        <w:top w:val="none" w:sz="0" w:space="0" w:color="auto"/>
        <w:left w:val="none" w:sz="0" w:space="0" w:color="auto"/>
        <w:bottom w:val="none" w:sz="0" w:space="0" w:color="auto"/>
        <w:right w:val="none" w:sz="0" w:space="0" w:color="auto"/>
      </w:divBdr>
      <w:divsChild>
        <w:div w:id="227156183">
          <w:marLeft w:val="1051"/>
          <w:marRight w:val="0"/>
          <w:marTop w:val="0"/>
          <w:marBottom w:val="0"/>
          <w:divBdr>
            <w:top w:val="none" w:sz="0" w:space="0" w:color="auto"/>
            <w:left w:val="none" w:sz="0" w:space="0" w:color="auto"/>
            <w:bottom w:val="none" w:sz="0" w:space="0" w:color="auto"/>
            <w:right w:val="none" w:sz="0" w:space="0" w:color="auto"/>
          </w:divBdr>
        </w:div>
        <w:div w:id="419182451">
          <w:marLeft w:val="274"/>
          <w:marRight w:val="0"/>
          <w:marTop w:val="0"/>
          <w:marBottom w:val="0"/>
          <w:divBdr>
            <w:top w:val="none" w:sz="0" w:space="0" w:color="auto"/>
            <w:left w:val="none" w:sz="0" w:space="0" w:color="auto"/>
            <w:bottom w:val="none" w:sz="0" w:space="0" w:color="auto"/>
            <w:right w:val="none" w:sz="0" w:space="0" w:color="auto"/>
          </w:divBdr>
        </w:div>
        <w:div w:id="630020351">
          <w:marLeft w:val="274"/>
          <w:marRight w:val="0"/>
          <w:marTop w:val="0"/>
          <w:marBottom w:val="0"/>
          <w:divBdr>
            <w:top w:val="none" w:sz="0" w:space="0" w:color="auto"/>
            <w:left w:val="none" w:sz="0" w:space="0" w:color="auto"/>
            <w:bottom w:val="none" w:sz="0" w:space="0" w:color="auto"/>
            <w:right w:val="none" w:sz="0" w:space="0" w:color="auto"/>
          </w:divBdr>
        </w:div>
        <w:div w:id="801078013">
          <w:marLeft w:val="274"/>
          <w:marRight w:val="0"/>
          <w:marTop w:val="0"/>
          <w:marBottom w:val="0"/>
          <w:divBdr>
            <w:top w:val="none" w:sz="0" w:space="0" w:color="auto"/>
            <w:left w:val="none" w:sz="0" w:space="0" w:color="auto"/>
            <w:bottom w:val="none" w:sz="0" w:space="0" w:color="auto"/>
            <w:right w:val="none" w:sz="0" w:space="0" w:color="auto"/>
          </w:divBdr>
        </w:div>
      </w:divsChild>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1337247">
      <w:bodyDiv w:val="1"/>
      <w:marLeft w:val="0"/>
      <w:marRight w:val="0"/>
      <w:marTop w:val="0"/>
      <w:marBottom w:val="0"/>
      <w:divBdr>
        <w:top w:val="none" w:sz="0" w:space="0" w:color="auto"/>
        <w:left w:val="none" w:sz="0" w:space="0" w:color="auto"/>
        <w:bottom w:val="none" w:sz="0" w:space="0" w:color="auto"/>
        <w:right w:val="none" w:sz="0" w:space="0" w:color="auto"/>
      </w:divBdr>
    </w:div>
    <w:div w:id="1517648197">
      <w:bodyDiv w:val="1"/>
      <w:marLeft w:val="0"/>
      <w:marRight w:val="0"/>
      <w:marTop w:val="0"/>
      <w:marBottom w:val="0"/>
      <w:divBdr>
        <w:top w:val="none" w:sz="0" w:space="0" w:color="auto"/>
        <w:left w:val="none" w:sz="0" w:space="0" w:color="auto"/>
        <w:bottom w:val="none" w:sz="0" w:space="0" w:color="auto"/>
        <w:right w:val="none" w:sz="0" w:space="0" w:color="auto"/>
      </w:divBdr>
    </w:div>
    <w:div w:id="1537740793">
      <w:bodyDiv w:val="1"/>
      <w:marLeft w:val="0"/>
      <w:marRight w:val="0"/>
      <w:marTop w:val="0"/>
      <w:marBottom w:val="0"/>
      <w:divBdr>
        <w:top w:val="none" w:sz="0" w:space="0" w:color="auto"/>
        <w:left w:val="none" w:sz="0" w:space="0" w:color="auto"/>
        <w:bottom w:val="none" w:sz="0" w:space="0" w:color="auto"/>
        <w:right w:val="none" w:sz="0" w:space="0" w:color="auto"/>
      </w:divBdr>
      <w:divsChild>
        <w:div w:id="698968120">
          <w:marLeft w:val="274"/>
          <w:marRight w:val="0"/>
          <w:marTop w:val="0"/>
          <w:marBottom w:val="120"/>
          <w:divBdr>
            <w:top w:val="none" w:sz="0" w:space="0" w:color="auto"/>
            <w:left w:val="none" w:sz="0" w:space="0" w:color="auto"/>
            <w:bottom w:val="none" w:sz="0" w:space="0" w:color="auto"/>
            <w:right w:val="none" w:sz="0" w:space="0" w:color="auto"/>
          </w:divBdr>
        </w:div>
      </w:divsChild>
    </w:div>
    <w:div w:id="1595361555">
      <w:bodyDiv w:val="1"/>
      <w:marLeft w:val="0"/>
      <w:marRight w:val="0"/>
      <w:marTop w:val="0"/>
      <w:marBottom w:val="0"/>
      <w:divBdr>
        <w:top w:val="none" w:sz="0" w:space="0" w:color="auto"/>
        <w:left w:val="none" w:sz="0" w:space="0" w:color="auto"/>
        <w:bottom w:val="none" w:sz="0" w:space="0" w:color="auto"/>
        <w:right w:val="none" w:sz="0" w:space="0" w:color="auto"/>
      </w:divBdr>
    </w:div>
    <w:div w:id="1604998443">
      <w:bodyDiv w:val="1"/>
      <w:marLeft w:val="0"/>
      <w:marRight w:val="0"/>
      <w:marTop w:val="0"/>
      <w:marBottom w:val="0"/>
      <w:divBdr>
        <w:top w:val="none" w:sz="0" w:space="0" w:color="auto"/>
        <w:left w:val="none" w:sz="0" w:space="0" w:color="auto"/>
        <w:bottom w:val="none" w:sz="0" w:space="0" w:color="auto"/>
        <w:right w:val="none" w:sz="0" w:space="0" w:color="auto"/>
      </w:divBdr>
    </w:div>
    <w:div w:id="1614747691">
      <w:bodyDiv w:val="1"/>
      <w:marLeft w:val="0"/>
      <w:marRight w:val="0"/>
      <w:marTop w:val="0"/>
      <w:marBottom w:val="0"/>
      <w:divBdr>
        <w:top w:val="none" w:sz="0" w:space="0" w:color="auto"/>
        <w:left w:val="none" w:sz="0" w:space="0" w:color="auto"/>
        <w:bottom w:val="none" w:sz="0" w:space="0" w:color="auto"/>
        <w:right w:val="none" w:sz="0" w:space="0" w:color="auto"/>
      </w:divBdr>
    </w:div>
    <w:div w:id="1616400404">
      <w:bodyDiv w:val="1"/>
      <w:marLeft w:val="0"/>
      <w:marRight w:val="0"/>
      <w:marTop w:val="0"/>
      <w:marBottom w:val="0"/>
      <w:divBdr>
        <w:top w:val="none" w:sz="0" w:space="0" w:color="auto"/>
        <w:left w:val="none" w:sz="0" w:space="0" w:color="auto"/>
        <w:bottom w:val="none" w:sz="0" w:space="0" w:color="auto"/>
        <w:right w:val="none" w:sz="0" w:space="0" w:color="auto"/>
      </w:divBdr>
      <w:divsChild>
        <w:div w:id="571744177">
          <w:marLeft w:val="0"/>
          <w:marRight w:val="0"/>
          <w:marTop w:val="0"/>
          <w:marBottom w:val="0"/>
          <w:divBdr>
            <w:top w:val="none" w:sz="0" w:space="0" w:color="auto"/>
            <w:left w:val="none" w:sz="0" w:space="0" w:color="auto"/>
            <w:bottom w:val="none" w:sz="0" w:space="0" w:color="auto"/>
            <w:right w:val="none" w:sz="0" w:space="0" w:color="auto"/>
          </w:divBdr>
        </w:div>
      </w:divsChild>
    </w:div>
    <w:div w:id="1641113819">
      <w:bodyDiv w:val="1"/>
      <w:marLeft w:val="0"/>
      <w:marRight w:val="0"/>
      <w:marTop w:val="0"/>
      <w:marBottom w:val="0"/>
      <w:divBdr>
        <w:top w:val="none" w:sz="0" w:space="0" w:color="auto"/>
        <w:left w:val="none" w:sz="0" w:space="0" w:color="auto"/>
        <w:bottom w:val="none" w:sz="0" w:space="0" w:color="auto"/>
        <w:right w:val="none" w:sz="0" w:space="0" w:color="auto"/>
      </w:divBdr>
      <w:divsChild>
        <w:div w:id="133451329">
          <w:marLeft w:val="0"/>
          <w:marRight w:val="0"/>
          <w:marTop w:val="0"/>
          <w:marBottom w:val="0"/>
          <w:divBdr>
            <w:top w:val="none" w:sz="0" w:space="0" w:color="auto"/>
            <w:left w:val="none" w:sz="0" w:space="0" w:color="auto"/>
            <w:bottom w:val="none" w:sz="0" w:space="0" w:color="auto"/>
            <w:right w:val="none" w:sz="0" w:space="0" w:color="auto"/>
          </w:divBdr>
        </w:div>
        <w:div w:id="949169568">
          <w:marLeft w:val="0"/>
          <w:marRight w:val="0"/>
          <w:marTop w:val="0"/>
          <w:marBottom w:val="0"/>
          <w:divBdr>
            <w:top w:val="none" w:sz="0" w:space="0" w:color="auto"/>
            <w:left w:val="none" w:sz="0" w:space="0" w:color="auto"/>
            <w:bottom w:val="none" w:sz="0" w:space="0" w:color="auto"/>
            <w:right w:val="none" w:sz="0" w:space="0" w:color="auto"/>
          </w:divBdr>
        </w:div>
        <w:div w:id="1534343168">
          <w:marLeft w:val="0"/>
          <w:marRight w:val="0"/>
          <w:marTop w:val="0"/>
          <w:marBottom w:val="0"/>
          <w:divBdr>
            <w:top w:val="none" w:sz="0" w:space="0" w:color="auto"/>
            <w:left w:val="none" w:sz="0" w:space="0" w:color="auto"/>
            <w:bottom w:val="none" w:sz="0" w:space="0" w:color="auto"/>
            <w:right w:val="none" w:sz="0" w:space="0" w:color="auto"/>
          </w:divBdr>
        </w:div>
        <w:div w:id="1951546823">
          <w:marLeft w:val="0"/>
          <w:marRight w:val="0"/>
          <w:marTop w:val="0"/>
          <w:marBottom w:val="0"/>
          <w:divBdr>
            <w:top w:val="none" w:sz="0" w:space="0" w:color="auto"/>
            <w:left w:val="none" w:sz="0" w:space="0" w:color="auto"/>
            <w:bottom w:val="none" w:sz="0" w:space="0" w:color="auto"/>
            <w:right w:val="none" w:sz="0" w:space="0" w:color="auto"/>
          </w:divBdr>
        </w:div>
      </w:divsChild>
    </w:div>
    <w:div w:id="1649094248">
      <w:bodyDiv w:val="1"/>
      <w:marLeft w:val="0"/>
      <w:marRight w:val="0"/>
      <w:marTop w:val="0"/>
      <w:marBottom w:val="0"/>
      <w:divBdr>
        <w:top w:val="none" w:sz="0" w:space="0" w:color="auto"/>
        <w:left w:val="none" w:sz="0" w:space="0" w:color="auto"/>
        <w:bottom w:val="none" w:sz="0" w:space="0" w:color="auto"/>
        <w:right w:val="none" w:sz="0" w:space="0" w:color="auto"/>
      </w:divBdr>
      <w:divsChild>
        <w:div w:id="291987601">
          <w:marLeft w:val="274"/>
          <w:marRight w:val="0"/>
          <w:marTop w:val="0"/>
          <w:marBottom w:val="120"/>
          <w:divBdr>
            <w:top w:val="none" w:sz="0" w:space="0" w:color="auto"/>
            <w:left w:val="none" w:sz="0" w:space="0" w:color="auto"/>
            <w:bottom w:val="none" w:sz="0" w:space="0" w:color="auto"/>
            <w:right w:val="none" w:sz="0" w:space="0" w:color="auto"/>
          </w:divBdr>
        </w:div>
        <w:div w:id="985276073">
          <w:marLeft w:val="850"/>
          <w:marRight w:val="0"/>
          <w:marTop w:val="0"/>
          <w:marBottom w:val="120"/>
          <w:divBdr>
            <w:top w:val="none" w:sz="0" w:space="0" w:color="auto"/>
            <w:left w:val="none" w:sz="0" w:space="0" w:color="auto"/>
            <w:bottom w:val="none" w:sz="0" w:space="0" w:color="auto"/>
            <w:right w:val="none" w:sz="0" w:space="0" w:color="auto"/>
          </w:divBdr>
        </w:div>
        <w:div w:id="1682471166">
          <w:marLeft w:val="850"/>
          <w:marRight w:val="0"/>
          <w:marTop w:val="0"/>
          <w:marBottom w:val="120"/>
          <w:divBdr>
            <w:top w:val="none" w:sz="0" w:space="0" w:color="auto"/>
            <w:left w:val="none" w:sz="0" w:space="0" w:color="auto"/>
            <w:bottom w:val="none" w:sz="0" w:space="0" w:color="auto"/>
            <w:right w:val="none" w:sz="0" w:space="0" w:color="auto"/>
          </w:divBdr>
        </w:div>
        <w:div w:id="1759061685">
          <w:marLeft w:val="274"/>
          <w:marRight w:val="0"/>
          <w:marTop w:val="0"/>
          <w:marBottom w:val="120"/>
          <w:divBdr>
            <w:top w:val="none" w:sz="0" w:space="0" w:color="auto"/>
            <w:left w:val="none" w:sz="0" w:space="0" w:color="auto"/>
            <w:bottom w:val="none" w:sz="0" w:space="0" w:color="auto"/>
            <w:right w:val="none" w:sz="0" w:space="0" w:color="auto"/>
          </w:divBdr>
        </w:div>
      </w:divsChild>
    </w:div>
    <w:div w:id="1659532613">
      <w:bodyDiv w:val="1"/>
      <w:marLeft w:val="0"/>
      <w:marRight w:val="0"/>
      <w:marTop w:val="0"/>
      <w:marBottom w:val="0"/>
      <w:divBdr>
        <w:top w:val="none" w:sz="0" w:space="0" w:color="auto"/>
        <w:left w:val="none" w:sz="0" w:space="0" w:color="auto"/>
        <w:bottom w:val="none" w:sz="0" w:space="0" w:color="auto"/>
        <w:right w:val="none" w:sz="0" w:space="0" w:color="auto"/>
      </w:divBdr>
    </w:div>
    <w:div w:id="1737900327">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24854053">
      <w:bodyDiv w:val="1"/>
      <w:marLeft w:val="0"/>
      <w:marRight w:val="0"/>
      <w:marTop w:val="0"/>
      <w:marBottom w:val="0"/>
      <w:divBdr>
        <w:top w:val="none" w:sz="0" w:space="0" w:color="auto"/>
        <w:left w:val="none" w:sz="0" w:space="0" w:color="auto"/>
        <w:bottom w:val="none" w:sz="0" w:space="0" w:color="auto"/>
        <w:right w:val="none" w:sz="0" w:space="0" w:color="auto"/>
      </w:divBdr>
    </w:div>
    <w:div w:id="1851985347">
      <w:bodyDiv w:val="1"/>
      <w:marLeft w:val="0"/>
      <w:marRight w:val="0"/>
      <w:marTop w:val="0"/>
      <w:marBottom w:val="0"/>
      <w:divBdr>
        <w:top w:val="none" w:sz="0" w:space="0" w:color="auto"/>
        <w:left w:val="none" w:sz="0" w:space="0" w:color="auto"/>
        <w:bottom w:val="none" w:sz="0" w:space="0" w:color="auto"/>
        <w:right w:val="none" w:sz="0" w:space="0" w:color="auto"/>
      </w:divBdr>
      <w:divsChild>
        <w:div w:id="8602171">
          <w:marLeft w:val="274"/>
          <w:marRight w:val="0"/>
          <w:marTop w:val="0"/>
          <w:marBottom w:val="120"/>
          <w:divBdr>
            <w:top w:val="none" w:sz="0" w:space="0" w:color="auto"/>
            <w:left w:val="none" w:sz="0" w:space="0" w:color="auto"/>
            <w:bottom w:val="none" w:sz="0" w:space="0" w:color="auto"/>
            <w:right w:val="none" w:sz="0" w:space="0" w:color="auto"/>
          </w:divBdr>
        </w:div>
        <w:div w:id="405766012">
          <w:marLeft w:val="274"/>
          <w:marRight w:val="0"/>
          <w:marTop w:val="0"/>
          <w:marBottom w:val="120"/>
          <w:divBdr>
            <w:top w:val="none" w:sz="0" w:space="0" w:color="auto"/>
            <w:left w:val="none" w:sz="0" w:space="0" w:color="auto"/>
            <w:bottom w:val="none" w:sz="0" w:space="0" w:color="auto"/>
            <w:right w:val="none" w:sz="0" w:space="0" w:color="auto"/>
          </w:divBdr>
        </w:div>
        <w:div w:id="1025205193">
          <w:marLeft w:val="274"/>
          <w:marRight w:val="0"/>
          <w:marTop w:val="0"/>
          <w:marBottom w:val="120"/>
          <w:divBdr>
            <w:top w:val="none" w:sz="0" w:space="0" w:color="auto"/>
            <w:left w:val="none" w:sz="0" w:space="0" w:color="auto"/>
            <w:bottom w:val="none" w:sz="0" w:space="0" w:color="auto"/>
            <w:right w:val="none" w:sz="0" w:space="0" w:color="auto"/>
          </w:divBdr>
        </w:div>
      </w:divsChild>
    </w:div>
    <w:div w:id="1954902101">
      <w:bodyDiv w:val="1"/>
      <w:marLeft w:val="0"/>
      <w:marRight w:val="0"/>
      <w:marTop w:val="0"/>
      <w:marBottom w:val="0"/>
      <w:divBdr>
        <w:top w:val="none" w:sz="0" w:space="0" w:color="auto"/>
        <w:left w:val="none" w:sz="0" w:space="0" w:color="auto"/>
        <w:bottom w:val="none" w:sz="0" w:space="0" w:color="auto"/>
        <w:right w:val="none" w:sz="0" w:space="0" w:color="auto"/>
      </w:divBdr>
    </w:div>
    <w:div w:id="1974557469">
      <w:bodyDiv w:val="1"/>
      <w:marLeft w:val="0"/>
      <w:marRight w:val="0"/>
      <w:marTop w:val="0"/>
      <w:marBottom w:val="0"/>
      <w:divBdr>
        <w:top w:val="none" w:sz="0" w:space="0" w:color="auto"/>
        <w:left w:val="none" w:sz="0" w:space="0" w:color="auto"/>
        <w:bottom w:val="none" w:sz="0" w:space="0" w:color="auto"/>
        <w:right w:val="none" w:sz="0" w:space="0" w:color="auto"/>
      </w:divBdr>
    </w:div>
    <w:div w:id="1992439015">
      <w:bodyDiv w:val="1"/>
      <w:marLeft w:val="0"/>
      <w:marRight w:val="0"/>
      <w:marTop w:val="0"/>
      <w:marBottom w:val="0"/>
      <w:divBdr>
        <w:top w:val="none" w:sz="0" w:space="0" w:color="auto"/>
        <w:left w:val="none" w:sz="0" w:space="0" w:color="auto"/>
        <w:bottom w:val="none" w:sz="0" w:space="0" w:color="auto"/>
        <w:right w:val="none" w:sz="0" w:space="0" w:color="auto"/>
      </w:divBdr>
    </w:div>
    <w:div w:id="2006393812">
      <w:bodyDiv w:val="1"/>
      <w:marLeft w:val="0"/>
      <w:marRight w:val="0"/>
      <w:marTop w:val="0"/>
      <w:marBottom w:val="0"/>
      <w:divBdr>
        <w:top w:val="none" w:sz="0" w:space="0" w:color="auto"/>
        <w:left w:val="none" w:sz="0" w:space="0" w:color="auto"/>
        <w:bottom w:val="none" w:sz="0" w:space="0" w:color="auto"/>
        <w:right w:val="none" w:sz="0" w:space="0" w:color="auto"/>
      </w:divBdr>
    </w:div>
    <w:div w:id="2034115024">
      <w:bodyDiv w:val="1"/>
      <w:marLeft w:val="0"/>
      <w:marRight w:val="0"/>
      <w:marTop w:val="0"/>
      <w:marBottom w:val="0"/>
      <w:divBdr>
        <w:top w:val="none" w:sz="0" w:space="0" w:color="auto"/>
        <w:left w:val="none" w:sz="0" w:space="0" w:color="auto"/>
        <w:bottom w:val="none" w:sz="0" w:space="0" w:color="auto"/>
        <w:right w:val="none" w:sz="0" w:space="0" w:color="auto"/>
      </w:divBdr>
    </w:div>
    <w:div w:id="2034573303">
      <w:bodyDiv w:val="1"/>
      <w:marLeft w:val="0"/>
      <w:marRight w:val="0"/>
      <w:marTop w:val="0"/>
      <w:marBottom w:val="0"/>
      <w:divBdr>
        <w:top w:val="none" w:sz="0" w:space="0" w:color="auto"/>
        <w:left w:val="none" w:sz="0" w:space="0" w:color="auto"/>
        <w:bottom w:val="none" w:sz="0" w:space="0" w:color="auto"/>
        <w:right w:val="none" w:sz="0" w:space="0" w:color="auto"/>
      </w:divBdr>
    </w:div>
    <w:div w:id="2047442411">
      <w:bodyDiv w:val="1"/>
      <w:marLeft w:val="0"/>
      <w:marRight w:val="0"/>
      <w:marTop w:val="0"/>
      <w:marBottom w:val="0"/>
      <w:divBdr>
        <w:top w:val="none" w:sz="0" w:space="0" w:color="auto"/>
        <w:left w:val="none" w:sz="0" w:space="0" w:color="auto"/>
        <w:bottom w:val="none" w:sz="0" w:space="0" w:color="auto"/>
        <w:right w:val="none" w:sz="0" w:space="0" w:color="auto"/>
      </w:divBdr>
      <w:divsChild>
        <w:div w:id="1957250806">
          <w:marLeft w:val="0"/>
          <w:marRight w:val="0"/>
          <w:marTop w:val="0"/>
          <w:marBottom w:val="0"/>
          <w:divBdr>
            <w:top w:val="none" w:sz="0" w:space="0" w:color="auto"/>
            <w:left w:val="none" w:sz="0" w:space="0" w:color="auto"/>
            <w:bottom w:val="none" w:sz="0" w:space="0" w:color="auto"/>
            <w:right w:val="none" w:sz="0" w:space="0" w:color="auto"/>
          </w:divBdr>
        </w:div>
      </w:divsChild>
    </w:div>
    <w:div w:id="2112893358">
      <w:bodyDiv w:val="1"/>
      <w:marLeft w:val="0"/>
      <w:marRight w:val="0"/>
      <w:marTop w:val="0"/>
      <w:marBottom w:val="0"/>
      <w:divBdr>
        <w:top w:val="none" w:sz="0" w:space="0" w:color="auto"/>
        <w:left w:val="none" w:sz="0" w:space="0" w:color="auto"/>
        <w:bottom w:val="none" w:sz="0" w:space="0" w:color="auto"/>
        <w:right w:val="none" w:sz="0" w:space="0" w:color="auto"/>
      </w:divBdr>
      <w:divsChild>
        <w:div w:id="242447668">
          <w:marLeft w:val="274"/>
          <w:marRight w:val="0"/>
          <w:marTop w:val="0"/>
          <w:marBottom w:val="120"/>
          <w:divBdr>
            <w:top w:val="none" w:sz="0" w:space="0" w:color="auto"/>
            <w:left w:val="none" w:sz="0" w:space="0" w:color="auto"/>
            <w:bottom w:val="none" w:sz="0" w:space="0" w:color="auto"/>
            <w:right w:val="none" w:sz="0" w:space="0" w:color="auto"/>
          </w:divBdr>
        </w:div>
        <w:div w:id="611865523">
          <w:marLeft w:val="274"/>
          <w:marRight w:val="0"/>
          <w:marTop w:val="0"/>
          <w:marBottom w:val="120"/>
          <w:divBdr>
            <w:top w:val="none" w:sz="0" w:space="0" w:color="auto"/>
            <w:left w:val="none" w:sz="0" w:space="0" w:color="auto"/>
            <w:bottom w:val="none" w:sz="0" w:space="0" w:color="auto"/>
            <w:right w:val="none" w:sz="0" w:space="0" w:color="auto"/>
          </w:divBdr>
        </w:div>
        <w:div w:id="1479953326">
          <w:marLeft w:val="274"/>
          <w:marRight w:val="0"/>
          <w:marTop w:val="0"/>
          <w:marBottom w:val="120"/>
          <w:divBdr>
            <w:top w:val="none" w:sz="0" w:space="0" w:color="auto"/>
            <w:left w:val="none" w:sz="0" w:space="0" w:color="auto"/>
            <w:bottom w:val="none" w:sz="0" w:space="0" w:color="auto"/>
            <w:right w:val="none" w:sz="0" w:space="0" w:color="auto"/>
          </w:divBdr>
        </w:div>
        <w:div w:id="1866821366">
          <w:marLeft w:val="274"/>
          <w:marRight w:val="0"/>
          <w:marTop w:val="0"/>
          <w:marBottom w:val="120"/>
          <w:divBdr>
            <w:top w:val="none" w:sz="0" w:space="0" w:color="auto"/>
            <w:left w:val="none" w:sz="0" w:space="0" w:color="auto"/>
            <w:bottom w:val="none" w:sz="0" w:space="0" w:color="auto"/>
            <w:right w:val="none" w:sz="0" w:space="0" w:color="auto"/>
          </w:divBdr>
        </w:div>
      </w:divsChild>
    </w:div>
    <w:div w:id="2126657423">
      <w:bodyDiv w:val="1"/>
      <w:marLeft w:val="0"/>
      <w:marRight w:val="0"/>
      <w:marTop w:val="0"/>
      <w:marBottom w:val="0"/>
      <w:divBdr>
        <w:top w:val="none" w:sz="0" w:space="0" w:color="auto"/>
        <w:left w:val="none" w:sz="0" w:space="0" w:color="auto"/>
        <w:bottom w:val="none" w:sz="0" w:space="0" w:color="auto"/>
        <w:right w:val="none" w:sz="0" w:space="0" w:color="auto"/>
      </w:divBdr>
    </w:div>
    <w:div w:id="2128307587">
      <w:bodyDiv w:val="1"/>
      <w:marLeft w:val="0"/>
      <w:marRight w:val="0"/>
      <w:marTop w:val="0"/>
      <w:marBottom w:val="0"/>
      <w:divBdr>
        <w:top w:val="none" w:sz="0" w:space="0" w:color="auto"/>
        <w:left w:val="none" w:sz="0" w:space="0" w:color="auto"/>
        <w:bottom w:val="none" w:sz="0" w:space="0" w:color="auto"/>
        <w:right w:val="none" w:sz="0" w:space="0" w:color="auto"/>
      </w:divBdr>
    </w:div>
    <w:div w:id="2136869704">
      <w:bodyDiv w:val="1"/>
      <w:marLeft w:val="0"/>
      <w:marRight w:val="0"/>
      <w:marTop w:val="0"/>
      <w:marBottom w:val="0"/>
      <w:divBdr>
        <w:top w:val="none" w:sz="0" w:space="0" w:color="auto"/>
        <w:left w:val="none" w:sz="0" w:space="0" w:color="auto"/>
        <w:bottom w:val="none" w:sz="0" w:space="0" w:color="auto"/>
        <w:right w:val="none" w:sz="0" w:space="0" w:color="auto"/>
      </w:divBdr>
    </w:div>
    <w:div w:id="2147114035">
      <w:bodyDiv w:val="1"/>
      <w:marLeft w:val="0"/>
      <w:marRight w:val="0"/>
      <w:marTop w:val="0"/>
      <w:marBottom w:val="0"/>
      <w:divBdr>
        <w:top w:val="none" w:sz="0" w:space="0" w:color="auto"/>
        <w:left w:val="none" w:sz="0" w:space="0" w:color="auto"/>
        <w:bottom w:val="none" w:sz="0" w:space="0" w:color="auto"/>
        <w:right w:val="none" w:sz="0" w:space="0" w:color="auto"/>
      </w:divBdr>
      <w:divsChild>
        <w:div w:id="1395928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image" Target="media/image16.emf"/><Relationship Id="rId21" Type="http://schemas.openxmlformats.org/officeDocument/2006/relationships/footer" Target="footer3.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image" Target="media/image42.emf"/><Relationship Id="rId76" Type="http://schemas.openxmlformats.org/officeDocument/2006/relationships/image" Target="media/image47.emf"/><Relationship Id="rId84" Type="http://schemas.openxmlformats.org/officeDocument/2006/relationships/image" Target="media/image55.emf"/><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header" Target="header9.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footer" Target="footer5.xml"/><Relationship Id="rId74" Type="http://schemas.openxmlformats.org/officeDocument/2006/relationships/image" Target="media/image45.emf"/><Relationship Id="rId79" Type="http://schemas.openxmlformats.org/officeDocument/2006/relationships/image" Target="media/image50.emf"/><Relationship Id="rId87" Type="http://schemas.openxmlformats.org/officeDocument/2006/relationships/hyperlink" Target="http://www.deloitte.com/au/deloitte-access-economics" TargetMode="External"/><Relationship Id="rId5" Type="http://schemas.openxmlformats.org/officeDocument/2006/relationships/numbering" Target="numbering.xml"/><Relationship Id="rId61" Type="http://schemas.openxmlformats.org/officeDocument/2006/relationships/image" Target="media/image38.emf"/><Relationship Id="rId82" Type="http://schemas.openxmlformats.org/officeDocument/2006/relationships/image" Target="media/image53.emf"/><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header" Target="header13.xml"/><Relationship Id="rId77" Type="http://schemas.openxmlformats.org/officeDocument/2006/relationships/image" Target="media/image48.emf"/><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6.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header" Target="header12.xml"/><Relationship Id="rId20" Type="http://schemas.openxmlformats.org/officeDocument/2006/relationships/header" Target="header6.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footer" Target="footer6.xml"/><Relationship Id="rId75" Type="http://schemas.openxmlformats.org/officeDocument/2006/relationships/image" Target="media/image46.emf"/><Relationship Id="rId83" Type="http://schemas.openxmlformats.org/officeDocument/2006/relationships/image" Target="media/image54.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header" Target="header11.xml"/><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ww.abc.net.au/news/2015-05-14/nt-like-seafood-labelling-laws-appears-doomed-in-senate/6470940" TargetMode="External"/><Relationship Id="rId13" Type="http://schemas.openxmlformats.org/officeDocument/2006/relationships/hyperlink" Target="https://www.americangrownflowers.org/" TargetMode="External"/><Relationship Id="rId3" Type="http://schemas.openxmlformats.org/officeDocument/2006/relationships/hyperlink" Target="https://www.industry.gov.au/sites/default/files/May%202018/document/pdf/country_of_origin_labelling_research_report_2015.pdf?acsf_files_redirect" TargetMode="External"/><Relationship Id="rId7" Type="http://schemas.openxmlformats.org/officeDocument/2006/relationships/hyperlink" Target="https://www.legislation.gov.au/Details/C2015B00050" TargetMode="External"/><Relationship Id="rId12" Type="http://schemas.openxmlformats.org/officeDocument/2006/relationships/hyperlink" Target="https://www.ipaustralia.gov.au/tools-resources/certification-rules/1715512" TargetMode="External"/><Relationship Id="rId17" Type="http://schemas.openxmlformats.org/officeDocument/2006/relationships/hyperlink" Target="https://www.hg.org/legal-articles/an-analysis-of-the-new-country-of-origin-labeling-law-in-california-5614" TargetMode="External"/><Relationship Id="rId2" Type="http://schemas.openxmlformats.org/officeDocument/2006/relationships/hyperlink" Target="https://www.foodstandards.gov.au/industry/labelling/pages/default.aspx" TargetMode="External"/><Relationship Id="rId16" Type="http://schemas.openxmlformats.org/officeDocument/2006/relationships/hyperlink" Target="https://www.accc.gov.au/business/covid-19-coronavirus-information-for-small-business" TargetMode="External"/><Relationship Id="rId1" Type="http://schemas.openxmlformats.org/officeDocument/2006/relationships/hyperlink" Target="https://ris.pmc.gov.au/sites/default/files/posts/2016/04/Country-of-Origin-Labelling-Decision-RIS-1.pdf" TargetMode="External"/><Relationship Id="rId6" Type="http://schemas.openxmlformats.org/officeDocument/2006/relationships/hyperlink" Target="https://www.agriculture.gov.au/abares/research-topics/fisheries/fisheries-and-aquaculture-statistics/seafood-consumption-2018" TargetMode="External"/><Relationship Id="rId11" Type="http://schemas.openxmlformats.org/officeDocument/2006/relationships/hyperlink" Target="https://www.abs.gov.au/statistics/industry/retail-and-wholesale-trade/retail-trade-australia/apr-2020" TargetMode="External"/><Relationship Id="rId5" Type="http://schemas.openxmlformats.org/officeDocument/2006/relationships/hyperlink" Target="https://www.industry.gov.au/publications/ministerial-statement-consumer-access-to-seafood-origin-information-in-foodservice" TargetMode="External"/><Relationship Id="rId15" Type="http://schemas.openxmlformats.org/officeDocument/2006/relationships/hyperlink" Target="https://www.business.gov.au/products-and-services/product-labelling/calculating-australian-content" TargetMode="External"/><Relationship Id="rId10" Type="http://schemas.openxmlformats.org/officeDocument/2006/relationships/hyperlink" Target="https://www.agriculture.gov.au/abares/research-topics/fisheries/fisheries-and-aquaculture-statistics/seafood-consumption-2018" TargetMode="External"/><Relationship Id="rId4" Type="http://schemas.openxmlformats.org/officeDocument/2006/relationships/hyperlink" Target="https://www.ncbi.nlm.nih.gov/pmc/articles/PMC7146475/" TargetMode="External"/><Relationship Id="rId9" Type="http://schemas.openxmlformats.org/officeDocument/2006/relationships/hyperlink" Target="https://www.industry.gov.au/publications/ministerial-statement-consumer-access-to-seafood-origin-information-in-foodservice" TargetMode="External"/><Relationship Id="rId14" Type="http://schemas.openxmlformats.org/officeDocument/2006/relationships/hyperlink" Target="https://www.accc.gov.au/business/advertising-promoting-your-business/country-of-origin-claims/country-of-origin-labelling-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46812fe-3a71-47d5-a78d-982f332ccd17">
      <UserInfo>
        <DisplayName>Banerjee, Rhea</DisplayName>
        <AccountId>31</AccountId>
        <AccountType/>
      </UserInfo>
      <UserInfo>
        <DisplayName>Condon, Luke</DisplayName>
        <AccountId>12</AccountId>
        <AccountType/>
      </UserInfo>
      <UserInfo>
        <DisplayName>Blott, Jacinta</DisplayName>
        <AccountId>20</AccountId>
        <AccountType/>
      </UserInfo>
      <UserInfo>
        <DisplayName>Liggins, Paul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7DBB1FBBA3574F8C94A5D4C51BF1D4" ma:contentTypeVersion="7" ma:contentTypeDescription="Create a new document." ma:contentTypeScope="" ma:versionID="b4a330516d4b24bcff6d345d8a28b69a">
  <xsd:schema xmlns:xsd="http://www.w3.org/2001/XMLSchema" xmlns:xs="http://www.w3.org/2001/XMLSchema" xmlns:p="http://schemas.microsoft.com/office/2006/metadata/properties" xmlns:ns2="368de3d9-7891-4167-bc2f-bdec8439158e" xmlns:ns3="a46812fe-3a71-47d5-a78d-982f332ccd17" targetNamespace="http://schemas.microsoft.com/office/2006/metadata/properties" ma:root="true" ma:fieldsID="9983be96bbe3b352496fc953e424a67f" ns2:_="" ns3:_="">
    <xsd:import namespace="368de3d9-7891-4167-bc2f-bdec8439158e"/>
    <xsd:import namespace="a46812fe-3a71-47d5-a78d-982f332ccd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de3d9-7891-4167-bc2f-bdec84391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812fe-3a71-47d5-a78d-982f332ccd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145E6-213F-4D20-981D-36134BF65A62}">
  <ds:schemaRefs>
    <ds:schemaRef ds:uri="368de3d9-7891-4167-bc2f-bdec8439158e"/>
    <ds:schemaRef ds:uri="http://schemas.microsoft.com/office/2006/metadata/properties"/>
    <ds:schemaRef ds:uri="http://purl.org/dc/elements/1.1/"/>
    <ds:schemaRef ds:uri="a46812fe-3a71-47d5-a78d-982f332ccd1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A5D4311-6226-4048-B6A7-6BA5669C3041}">
  <ds:schemaRefs>
    <ds:schemaRef ds:uri="http://schemas.microsoft.com/sharepoint/v3/contenttype/forms"/>
  </ds:schemaRefs>
</ds:datastoreItem>
</file>

<file path=customXml/itemProps3.xml><?xml version="1.0" encoding="utf-8"?>
<ds:datastoreItem xmlns:ds="http://schemas.openxmlformats.org/officeDocument/2006/customXml" ds:itemID="{364203FD-C93F-4BE2-A6C8-D17E68375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de3d9-7891-4167-bc2f-bdec8439158e"/>
    <ds:schemaRef ds:uri="a46812fe-3a71-47d5-a78d-982f332cc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78BC41-4396-4CB9-B9F5-0D471B1E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47293</Words>
  <Characters>269571</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Evaluation of Country of Origin Labelling reforms</vt:lpstr>
    </vt:vector>
  </TitlesOfParts>
  <Company/>
  <LinksUpToDate>false</LinksUpToDate>
  <CharactersWithSpaces>316232</CharactersWithSpaces>
  <SharedDoc>false</SharedDoc>
  <HLinks>
    <vt:vector size="888" baseType="variant">
      <vt:variant>
        <vt:i4>1507407</vt:i4>
      </vt:variant>
      <vt:variant>
        <vt:i4>1029</vt:i4>
      </vt:variant>
      <vt:variant>
        <vt:i4>0</vt:i4>
      </vt:variant>
      <vt:variant>
        <vt:i4>5</vt:i4>
      </vt:variant>
      <vt:variant>
        <vt:lpwstr>http://www.deloitte.com/au/deloitte-access-economics</vt:lpwstr>
      </vt:variant>
      <vt:variant>
        <vt:lpwstr/>
      </vt:variant>
      <vt:variant>
        <vt:i4>1048636</vt:i4>
      </vt:variant>
      <vt:variant>
        <vt:i4>785</vt:i4>
      </vt:variant>
      <vt:variant>
        <vt:i4>0</vt:i4>
      </vt:variant>
      <vt:variant>
        <vt:i4>5</vt:i4>
      </vt:variant>
      <vt:variant>
        <vt:lpwstr/>
      </vt:variant>
      <vt:variant>
        <vt:lpwstr>_Toc78298315</vt:lpwstr>
      </vt:variant>
      <vt:variant>
        <vt:i4>1114172</vt:i4>
      </vt:variant>
      <vt:variant>
        <vt:i4>779</vt:i4>
      </vt:variant>
      <vt:variant>
        <vt:i4>0</vt:i4>
      </vt:variant>
      <vt:variant>
        <vt:i4>5</vt:i4>
      </vt:variant>
      <vt:variant>
        <vt:lpwstr/>
      </vt:variant>
      <vt:variant>
        <vt:lpwstr>_Toc78298314</vt:lpwstr>
      </vt:variant>
      <vt:variant>
        <vt:i4>1441852</vt:i4>
      </vt:variant>
      <vt:variant>
        <vt:i4>770</vt:i4>
      </vt:variant>
      <vt:variant>
        <vt:i4>0</vt:i4>
      </vt:variant>
      <vt:variant>
        <vt:i4>5</vt:i4>
      </vt:variant>
      <vt:variant>
        <vt:lpwstr/>
      </vt:variant>
      <vt:variant>
        <vt:lpwstr>_Toc78298313</vt:lpwstr>
      </vt:variant>
      <vt:variant>
        <vt:i4>1507388</vt:i4>
      </vt:variant>
      <vt:variant>
        <vt:i4>764</vt:i4>
      </vt:variant>
      <vt:variant>
        <vt:i4>0</vt:i4>
      </vt:variant>
      <vt:variant>
        <vt:i4>5</vt:i4>
      </vt:variant>
      <vt:variant>
        <vt:lpwstr/>
      </vt:variant>
      <vt:variant>
        <vt:lpwstr>_Toc78298312</vt:lpwstr>
      </vt:variant>
      <vt:variant>
        <vt:i4>1310780</vt:i4>
      </vt:variant>
      <vt:variant>
        <vt:i4>758</vt:i4>
      </vt:variant>
      <vt:variant>
        <vt:i4>0</vt:i4>
      </vt:variant>
      <vt:variant>
        <vt:i4>5</vt:i4>
      </vt:variant>
      <vt:variant>
        <vt:lpwstr/>
      </vt:variant>
      <vt:variant>
        <vt:lpwstr>_Toc78298311</vt:lpwstr>
      </vt:variant>
      <vt:variant>
        <vt:i4>1376316</vt:i4>
      </vt:variant>
      <vt:variant>
        <vt:i4>752</vt:i4>
      </vt:variant>
      <vt:variant>
        <vt:i4>0</vt:i4>
      </vt:variant>
      <vt:variant>
        <vt:i4>5</vt:i4>
      </vt:variant>
      <vt:variant>
        <vt:lpwstr/>
      </vt:variant>
      <vt:variant>
        <vt:lpwstr>_Toc78298310</vt:lpwstr>
      </vt:variant>
      <vt:variant>
        <vt:i4>1835069</vt:i4>
      </vt:variant>
      <vt:variant>
        <vt:i4>746</vt:i4>
      </vt:variant>
      <vt:variant>
        <vt:i4>0</vt:i4>
      </vt:variant>
      <vt:variant>
        <vt:i4>5</vt:i4>
      </vt:variant>
      <vt:variant>
        <vt:lpwstr/>
      </vt:variant>
      <vt:variant>
        <vt:lpwstr>_Toc78298309</vt:lpwstr>
      </vt:variant>
      <vt:variant>
        <vt:i4>1900605</vt:i4>
      </vt:variant>
      <vt:variant>
        <vt:i4>740</vt:i4>
      </vt:variant>
      <vt:variant>
        <vt:i4>0</vt:i4>
      </vt:variant>
      <vt:variant>
        <vt:i4>5</vt:i4>
      </vt:variant>
      <vt:variant>
        <vt:lpwstr/>
      </vt:variant>
      <vt:variant>
        <vt:lpwstr>_Toc78298308</vt:lpwstr>
      </vt:variant>
      <vt:variant>
        <vt:i4>1179709</vt:i4>
      </vt:variant>
      <vt:variant>
        <vt:i4>734</vt:i4>
      </vt:variant>
      <vt:variant>
        <vt:i4>0</vt:i4>
      </vt:variant>
      <vt:variant>
        <vt:i4>5</vt:i4>
      </vt:variant>
      <vt:variant>
        <vt:lpwstr/>
      </vt:variant>
      <vt:variant>
        <vt:lpwstr>_Toc78298307</vt:lpwstr>
      </vt:variant>
      <vt:variant>
        <vt:i4>1245245</vt:i4>
      </vt:variant>
      <vt:variant>
        <vt:i4>728</vt:i4>
      </vt:variant>
      <vt:variant>
        <vt:i4>0</vt:i4>
      </vt:variant>
      <vt:variant>
        <vt:i4>5</vt:i4>
      </vt:variant>
      <vt:variant>
        <vt:lpwstr/>
      </vt:variant>
      <vt:variant>
        <vt:lpwstr>_Toc78298306</vt:lpwstr>
      </vt:variant>
      <vt:variant>
        <vt:i4>1048637</vt:i4>
      </vt:variant>
      <vt:variant>
        <vt:i4>722</vt:i4>
      </vt:variant>
      <vt:variant>
        <vt:i4>0</vt:i4>
      </vt:variant>
      <vt:variant>
        <vt:i4>5</vt:i4>
      </vt:variant>
      <vt:variant>
        <vt:lpwstr/>
      </vt:variant>
      <vt:variant>
        <vt:lpwstr>_Toc78298305</vt:lpwstr>
      </vt:variant>
      <vt:variant>
        <vt:i4>1114173</vt:i4>
      </vt:variant>
      <vt:variant>
        <vt:i4>716</vt:i4>
      </vt:variant>
      <vt:variant>
        <vt:i4>0</vt:i4>
      </vt:variant>
      <vt:variant>
        <vt:i4>5</vt:i4>
      </vt:variant>
      <vt:variant>
        <vt:lpwstr/>
      </vt:variant>
      <vt:variant>
        <vt:lpwstr>_Toc78298304</vt:lpwstr>
      </vt:variant>
      <vt:variant>
        <vt:i4>1441853</vt:i4>
      </vt:variant>
      <vt:variant>
        <vt:i4>710</vt:i4>
      </vt:variant>
      <vt:variant>
        <vt:i4>0</vt:i4>
      </vt:variant>
      <vt:variant>
        <vt:i4>5</vt:i4>
      </vt:variant>
      <vt:variant>
        <vt:lpwstr/>
      </vt:variant>
      <vt:variant>
        <vt:lpwstr>_Toc78298303</vt:lpwstr>
      </vt:variant>
      <vt:variant>
        <vt:i4>1507389</vt:i4>
      </vt:variant>
      <vt:variant>
        <vt:i4>704</vt:i4>
      </vt:variant>
      <vt:variant>
        <vt:i4>0</vt:i4>
      </vt:variant>
      <vt:variant>
        <vt:i4>5</vt:i4>
      </vt:variant>
      <vt:variant>
        <vt:lpwstr/>
      </vt:variant>
      <vt:variant>
        <vt:lpwstr>_Toc78298302</vt:lpwstr>
      </vt:variant>
      <vt:variant>
        <vt:i4>1310781</vt:i4>
      </vt:variant>
      <vt:variant>
        <vt:i4>695</vt:i4>
      </vt:variant>
      <vt:variant>
        <vt:i4>0</vt:i4>
      </vt:variant>
      <vt:variant>
        <vt:i4>5</vt:i4>
      </vt:variant>
      <vt:variant>
        <vt:lpwstr/>
      </vt:variant>
      <vt:variant>
        <vt:lpwstr>_Toc78298301</vt:lpwstr>
      </vt:variant>
      <vt:variant>
        <vt:i4>1376317</vt:i4>
      </vt:variant>
      <vt:variant>
        <vt:i4>689</vt:i4>
      </vt:variant>
      <vt:variant>
        <vt:i4>0</vt:i4>
      </vt:variant>
      <vt:variant>
        <vt:i4>5</vt:i4>
      </vt:variant>
      <vt:variant>
        <vt:lpwstr/>
      </vt:variant>
      <vt:variant>
        <vt:lpwstr>_Toc78298300</vt:lpwstr>
      </vt:variant>
      <vt:variant>
        <vt:i4>1900596</vt:i4>
      </vt:variant>
      <vt:variant>
        <vt:i4>683</vt:i4>
      </vt:variant>
      <vt:variant>
        <vt:i4>0</vt:i4>
      </vt:variant>
      <vt:variant>
        <vt:i4>5</vt:i4>
      </vt:variant>
      <vt:variant>
        <vt:lpwstr/>
      </vt:variant>
      <vt:variant>
        <vt:lpwstr>_Toc78298299</vt:lpwstr>
      </vt:variant>
      <vt:variant>
        <vt:i4>1835060</vt:i4>
      </vt:variant>
      <vt:variant>
        <vt:i4>677</vt:i4>
      </vt:variant>
      <vt:variant>
        <vt:i4>0</vt:i4>
      </vt:variant>
      <vt:variant>
        <vt:i4>5</vt:i4>
      </vt:variant>
      <vt:variant>
        <vt:lpwstr/>
      </vt:variant>
      <vt:variant>
        <vt:lpwstr>_Toc78298298</vt:lpwstr>
      </vt:variant>
      <vt:variant>
        <vt:i4>1245236</vt:i4>
      </vt:variant>
      <vt:variant>
        <vt:i4>671</vt:i4>
      </vt:variant>
      <vt:variant>
        <vt:i4>0</vt:i4>
      </vt:variant>
      <vt:variant>
        <vt:i4>5</vt:i4>
      </vt:variant>
      <vt:variant>
        <vt:lpwstr/>
      </vt:variant>
      <vt:variant>
        <vt:lpwstr>_Toc78298297</vt:lpwstr>
      </vt:variant>
      <vt:variant>
        <vt:i4>1179700</vt:i4>
      </vt:variant>
      <vt:variant>
        <vt:i4>665</vt:i4>
      </vt:variant>
      <vt:variant>
        <vt:i4>0</vt:i4>
      </vt:variant>
      <vt:variant>
        <vt:i4>5</vt:i4>
      </vt:variant>
      <vt:variant>
        <vt:lpwstr/>
      </vt:variant>
      <vt:variant>
        <vt:lpwstr>_Toc78298296</vt:lpwstr>
      </vt:variant>
      <vt:variant>
        <vt:i4>1114164</vt:i4>
      </vt:variant>
      <vt:variant>
        <vt:i4>659</vt:i4>
      </vt:variant>
      <vt:variant>
        <vt:i4>0</vt:i4>
      </vt:variant>
      <vt:variant>
        <vt:i4>5</vt:i4>
      </vt:variant>
      <vt:variant>
        <vt:lpwstr/>
      </vt:variant>
      <vt:variant>
        <vt:lpwstr>_Toc78298295</vt:lpwstr>
      </vt:variant>
      <vt:variant>
        <vt:i4>1048628</vt:i4>
      </vt:variant>
      <vt:variant>
        <vt:i4>653</vt:i4>
      </vt:variant>
      <vt:variant>
        <vt:i4>0</vt:i4>
      </vt:variant>
      <vt:variant>
        <vt:i4>5</vt:i4>
      </vt:variant>
      <vt:variant>
        <vt:lpwstr/>
      </vt:variant>
      <vt:variant>
        <vt:lpwstr>_Toc78298294</vt:lpwstr>
      </vt:variant>
      <vt:variant>
        <vt:i4>1507380</vt:i4>
      </vt:variant>
      <vt:variant>
        <vt:i4>647</vt:i4>
      </vt:variant>
      <vt:variant>
        <vt:i4>0</vt:i4>
      </vt:variant>
      <vt:variant>
        <vt:i4>5</vt:i4>
      </vt:variant>
      <vt:variant>
        <vt:lpwstr/>
      </vt:variant>
      <vt:variant>
        <vt:lpwstr>_Toc78298293</vt:lpwstr>
      </vt:variant>
      <vt:variant>
        <vt:i4>1441844</vt:i4>
      </vt:variant>
      <vt:variant>
        <vt:i4>641</vt:i4>
      </vt:variant>
      <vt:variant>
        <vt:i4>0</vt:i4>
      </vt:variant>
      <vt:variant>
        <vt:i4>5</vt:i4>
      </vt:variant>
      <vt:variant>
        <vt:lpwstr/>
      </vt:variant>
      <vt:variant>
        <vt:lpwstr>_Toc78298292</vt:lpwstr>
      </vt:variant>
      <vt:variant>
        <vt:i4>1376308</vt:i4>
      </vt:variant>
      <vt:variant>
        <vt:i4>635</vt:i4>
      </vt:variant>
      <vt:variant>
        <vt:i4>0</vt:i4>
      </vt:variant>
      <vt:variant>
        <vt:i4>5</vt:i4>
      </vt:variant>
      <vt:variant>
        <vt:lpwstr/>
      </vt:variant>
      <vt:variant>
        <vt:lpwstr>_Toc78298291</vt:lpwstr>
      </vt:variant>
      <vt:variant>
        <vt:i4>1310772</vt:i4>
      </vt:variant>
      <vt:variant>
        <vt:i4>629</vt:i4>
      </vt:variant>
      <vt:variant>
        <vt:i4>0</vt:i4>
      </vt:variant>
      <vt:variant>
        <vt:i4>5</vt:i4>
      </vt:variant>
      <vt:variant>
        <vt:lpwstr/>
      </vt:variant>
      <vt:variant>
        <vt:lpwstr>_Toc78298290</vt:lpwstr>
      </vt:variant>
      <vt:variant>
        <vt:i4>1900597</vt:i4>
      </vt:variant>
      <vt:variant>
        <vt:i4>623</vt:i4>
      </vt:variant>
      <vt:variant>
        <vt:i4>0</vt:i4>
      </vt:variant>
      <vt:variant>
        <vt:i4>5</vt:i4>
      </vt:variant>
      <vt:variant>
        <vt:lpwstr/>
      </vt:variant>
      <vt:variant>
        <vt:lpwstr>_Toc78298289</vt:lpwstr>
      </vt:variant>
      <vt:variant>
        <vt:i4>1835061</vt:i4>
      </vt:variant>
      <vt:variant>
        <vt:i4>617</vt:i4>
      </vt:variant>
      <vt:variant>
        <vt:i4>0</vt:i4>
      </vt:variant>
      <vt:variant>
        <vt:i4>5</vt:i4>
      </vt:variant>
      <vt:variant>
        <vt:lpwstr/>
      </vt:variant>
      <vt:variant>
        <vt:lpwstr>_Toc78298288</vt:lpwstr>
      </vt:variant>
      <vt:variant>
        <vt:i4>1245237</vt:i4>
      </vt:variant>
      <vt:variant>
        <vt:i4>611</vt:i4>
      </vt:variant>
      <vt:variant>
        <vt:i4>0</vt:i4>
      </vt:variant>
      <vt:variant>
        <vt:i4>5</vt:i4>
      </vt:variant>
      <vt:variant>
        <vt:lpwstr/>
      </vt:variant>
      <vt:variant>
        <vt:lpwstr>_Toc78298287</vt:lpwstr>
      </vt:variant>
      <vt:variant>
        <vt:i4>1179701</vt:i4>
      </vt:variant>
      <vt:variant>
        <vt:i4>605</vt:i4>
      </vt:variant>
      <vt:variant>
        <vt:i4>0</vt:i4>
      </vt:variant>
      <vt:variant>
        <vt:i4>5</vt:i4>
      </vt:variant>
      <vt:variant>
        <vt:lpwstr/>
      </vt:variant>
      <vt:variant>
        <vt:lpwstr>_Toc78298286</vt:lpwstr>
      </vt:variant>
      <vt:variant>
        <vt:i4>1114165</vt:i4>
      </vt:variant>
      <vt:variant>
        <vt:i4>599</vt:i4>
      </vt:variant>
      <vt:variant>
        <vt:i4>0</vt:i4>
      </vt:variant>
      <vt:variant>
        <vt:i4>5</vt:i4>
      </vt:variant>
      <vt:variant>
        <vt:lpwstr/>
      </vt:variant>
      <vt:variant>
        <vt:lpwstr>_Toc78298285</vt:lpwstr>
      </vt:variant>
      <vt:variant>
        <vt:i4>1048629</vt:i4>
      </vt:variant>
      <vt:variant>
        <vt:i4>593</vt:i4>
      </vt:variant>
      <vt:variant>
        <vt:i4>0</vt:i4>
      </vt:variant>
      <vt:variant>
        <vt:i4>5</vt:i4>
      </vt:variant>
      <vt:variant>
        <vt:lpwstr/>
      </vt:variant>
      <vt:variant>
        <vt:lpwstr>_Toc78298284</vt:lpwstr>
      </vt:variant>
      <vt:variant>
        <vt:i4>1507381</vt:i4>
      </vt:variant>
      <vt:variant>
        <vt:i4>587</vt:i4>
      </vt:variant>
      <vt:variant>
        <vt:i4>0</vt:i4>
      </vt:variant>
      <vt:variant>
        <vt:i4>5</vt:i4>
      </vt:variant>
      <vt:variant>
        <vt:lpwstr/>
      </vt:variant>
      <vt:variant>
        <vt:lpwstr>_Toc78298283</vt:lpwstr>
      </vt:variant>
      <vt:variant>
        <vt:i4>1441845</vt:i4>
      </vt:variant>
      <vt:variant>
        <vt:i4>581</vt:i4>
      </vt:variant>
      <vt:variant>
        <vt:i4>0</vt:i4>
      </vt:variant>
      <vt:variant>
        <vt:i4>5</vt:i4>
      </vt:variant>
      <vt:variant>
        <vt:lpwstr/>
      </vt:variant>
      <vt:variant>
        <vt:lpwstr>_Toc78298282</vt:lpwstr>
      </vt:variant>
      <vt:variant>
        <vt:i4>1376309</vt:i4>
      </vt:variant>
      <vt:variant>
        <vt:i4>575</vt:i4>
      </vt:variant>
      <vt:variant>
        <vt:i4>0</vt:i4>
      </vt:variant>
      <vt:variant>
        <vt:i4>5</vt:i4>
      </vt:variant>
      <vt:variant>
        <vt:lpwstr/>
      </vt:variant>
      <vt:variant>
        <vt:lpwstr>_Toc78298281</vt:lpwstr>
      </vt:variant>
      <vt:variant>
        <vt:i4>1310773</vt:i4>
      </vt:variant>
      <vt:variant>
        <vt:i4>569</vt:i4>
      </vt:variant>
      <vt:variant>
        <vt:i4>0</vt:i4>
      </vt:variant>
      <vt:variant>
        <vt:i4>5</vt:i4>
      </vt:variant>
      <vt:variant>
        <vt:lpwstr/>
      </vt:variant>
      <vt:variant>
        <vt:lpwstr>_Toc78298280</vt:lpwstr>
      </vt:variant>
      <vt:variant>
        <vt:i4>1900602</vt:i4>
      </vt:variant>
      <vt:variant>
        <vt:i4>563</vt:i4>
      </vt:variant>
      <vt:variant>
        <vt:i4>0</vt:i4>
      </vt:variant>
      <vt:variant>
        <vt:i4>5</vt:i4>
      </vt:variant>
      <vt:variant>
        <vt:lpwstr/>
      </vt:variant>
      <vt:variant>
        <vt:lpwstr>_Toc78298279</vt:lpwstr>
      </vt:variant>
      <vt:variant>
        <vt:i4>1835066</vt:i4>
      </vt:variant>
      <vt:variant>
        <vt:i4>557</vt:i4>
      </vt:variant>
      <vt:variant>
        <vt:i4>0</vt:i4>
      </vt:variant>
      <vt:variant>
        <vt:i4>5</vt:i4>
      </vt:variant>
      <vt:variant>
        <vt:lpwstr/>
      </vt:variant>
      <vt:variant>
        <vt:lpwstr>_Toc78298278</vt:lpwstr>
      </vt:variant>
      <vt:variant>
        <vt:i4>1245242</vt:i4>
      </vt:variant>
      <vt:variant>
        <vt:i4>551</vt:i4>
      </vt:variant>
      <vt:variant>
        <vt:i4>0</vt:i4>
      </vt:variant>
      <vt:variant>
        <vt:i4>5</vt:i4>
      </vt:variant>
      <vt:variant>
        <vt:lpwstr/>
      </vt:variant>
      <vt:variant>
        <vt:lpwstr>_Toc78298277</vt:lpwstr>
      </vt:variant>
      <vt:variant>
        <vt:i4>1179706</vt:i4>
      </vt:variant>
      <vt:variant>
        <vt:i4>545</vt:i4>
      </vt:variant>
      <vt:variant>
        <vt:i4>0</vt:i4>
      </vt:variant>
      <vt:variant>
        <vt:i4>5</vt:i4>
      </vt:variant>
      <vt:variant>
        <vt:lpwstr/>
      </vt:variant>
      <vt:variant>
        <vt:lpwstr>_Toc78298276</vt:lpwstr>
      </vt:variant>
      <vt:variant>
        <vt:i4>1114170</vt:i4>
      </vt:variant>
      <vt:variant>
        <vt:i4>539</vt:i4>
      </vt:variant>
      <vt:variant>
        <vt:i4>0</vt:i4>
      </vt:variant>
      <vt:variant>
        <vt:i4>5</vt:i4>
      </vt:variant>
      <vt:variant>
        <vt:lpwstr/>
      </vt:variant>
      <vt:variant>
        <vt:lpwstr>_Toc78298275</vt:lpwstr>
      </vt:variant>
      <vt:variant>
        <vt:i4>1048634</vt:i4>
      </vt:variant>
      <vt:variant>
        <vt:i4>533</vt:i4>
      </vt:variant>
      <vt:variant>
        <vt:i4>0</vt:i4>
      </vt:variant>
      <vt:variant>
        <vt:i4>5</vt:i4>
      </vt:variant>
      <vt:variant>
        <vt:lpwstr/>
      </vt:variant>
      <vt:variant>
        <vt:lpwstr>_Toc78298274</vt:lpwstr>
      </vt:variant>
      <vt:variant>
        <vt:i4>1507386</vt:i4>
      </vt:variant>
      <vt:variant>
        <vt:i4>527</vt:i4>
      </vt:variant>
      <vt:variant>
        <vt:i4>0</vt:i4>
      </vt:variant>
      <vt:variant>
        <vt:i4>5</vt:i4>
      </vt:variant>
      <vt:variant>
        <vt:lpwstr/>
      </vt:variant>
      <vt:variant>
        <vt:lpwstr>_Toc78298273</vt:lpwstr>
      </vt:variant>
      <vt:variant>
        <vt:i4>1441850</vt:i4>
      </vt:variant>
      <vt:variant>
        <vt:i4>521</vt:i4>
      </vt:variant>
      <vt:variant>
        <vt:i4>0</vt:i4>
      </vt:variant>
      <vt:variant>
        <vt:i4>5</vt:i4>
      </vt:variant>
      <vt:variant>
        <vt:lpwstr/>
      </vt:variant>
      <vt:variant>
        <vt:lpwstr>_Toc78298272</vt:lpwstr>
      </vt:variant>
      <vt:variant>
        <vt:i4>1376314</vt:i4>
      </vt:variant>
      <vt:variant>
        <vt:i4>515</vt:i4>
      </vt:variant>
      <vt:variant>
        <vt:i4>0</vt:i4>
      </vt:variant>
      <vt:variant>
        <vt:i4>5</vt:i4>
      </vt:variant>
      <vt:variant>
        <vt:lpwstr/>
      </vt:variant>
      <vt:variant>
        <vt:lpwstr>_Toc78298271</vt:lpwstr>
      </vt:variant>
      <vt:variant>
        <vt:i4>1310778</vt:i4>
      </vt:variant>
      <vt:variant>
        <vt:i4>509</vt:i4>
      </vt:variant>
      <vt:variant>
        <vt:i4>0</vt:i4>
      </vt:variant>
      <vt:variant>
        <vt:i4>5</vt:i4>
      </vt:variant>
      <vt:variant>
        <vt:lpwstr/>
      </vt:variant>
      <vt:variant>
        <vt:lpwstr>_Toc78298270</vt:lpwstr>
      </vt:variant>
      <vt:variant>
        <vt:i4>1900603</vt:i4>
      </vt:variant>
      <vt:variant>
        <vt:i4>503</vt:i4>
      </vt:variant>
      <vt:variant>
        <vt:i4>0</vt:i4>
      </vt:variant>
      <vt:variant>
        <vt:i4>5</vt:i4>
      </vt:variant>
      <vt:variant>
        <vt:lpwstr/>
      </vt:variant>
      <vt:variant>
        <vt:lpwstr>_Toc78298269</vt:lpwstr>
      </vt:variant>
      <vt:variant>
        <vt:i4>1835067</vt:i4>
      </vt:variant>
      <vt:variant>
        <vt:i4>497</vt:i4>
      </vt:variant>
      <vt:variant>
        <vt:i4>0</vt:i4>
      </vt:variant>
      <vt:variant>
        <vt:i4>5</vt:i4>
      </vt:variant>
      <vt:variant>
        <vt:lpwstr/>
      </vt:variant>
      <vt:variant>
        <vt:lpwstr>_Toc78298268</vt:lpwstr>
      </vt:variant>
      <vt:variant>
        <vt:i4>1245243</vt:i4>
      </vt:variant>
      <vt:variant>
        <vt:i4>491</vt:i4>
      </vt:variant>
      <vt:variant>
        <vt:i4>0</vt:i4>
      </vt:variant>
      <vt:variant>
        <vt:i4>5</vt:i4>
      </vt:variant>
      <vt:variant>
        <vt:lpwstr/>
      </vt:variant>
      <vt:variant>
        <vt:lpwstr>_Toc78298267</vt:lpwstr>
      </vt:variant>
      <vt:variant>
        <vt:i4>1179707</vt:i4>
      </vt:variant>
      <vt:variant>
        <vt:i4>485</vt:i4>
      </vt:variant>
      <vt:variant>
        <vt:i4>0</vt:i4>
      </vt:variant>
      <vt:variant>
        <vt:i4>5</vt:i4>
      </vt:variant>
      <vt:variant>
        <vt:lpwstr/>
      </vt:variant>
      <vt:variant>
        <vt:lpwstr>_Toc78298266</vt:lpwstr>
      </vt:variant>
      <vt:variant>
        <vt:i4>1114171</vt:i4>
      </vt:variant>
      <vt:variant>
        <vt:i4>479</vt:i4>
      </vt:variant>
      <vt:variant>
        <vt:i4>0</vt:i4>
      </vt:variant>
      <vt:variant>
        <vt:i4>5</vt:i4>
      </vt:variant>
      <vt:variant>
        <vt:lpwstr/>
      </vt:variant>
      <vt:variant>
        <vt:lpwstr>_Toc78298265</vt:lpwstr>
      </vt:variant>
      <vt:variant>
        <vt:i4>1048635</vt:i4>
      </vt:variant>
      <vt:variant>
        <vt:i4>473</vt:i4>
      </vt:variant>
      <vt:variant>
        <vt:i4>0</vt:i4>
      </vt:variant>
      <vt:variant>
        <vt:i4>5</vt:i4>
      </vt:variant>
      <vt:variant>
        <vt:lpwstr/>
      </vt:variant>
      <vt:variant>
        <vt:lpwstr>_Toc78298264</vt:lpwstr>
      </vt:variant>
      <vt:variant>
        <vt:i4>1507387</vt:i4>
      </vt:variant>
      <vt:variant>
        <vt:i4>467</vt:i4>
      </vt:variant>
      <vt:variant>
        <vt:i4>0</vt:i4>
      </vt:variant>
      <vt:variant>
        <vt:i4>5</vt:i4>
      </vt:variant>
      <vt:variant>
        <vt:lpwstr/>
      </vt:variant>
      <vt:variant>
        <vt:lpwstr>_Toc78298263</vt:lpwstr>
      </vt:variant>
      <vt:variant>
        <vt:i4>1441851</vt:i4>
      </vt:variant>
      <vt:variant>
        <vt:i4>461</vt:i4>
      </vt:variant>
      <vt:variant>
        <vt:i4>0</vt:i4>
      </vt:variant>
      <vt:variant>
        <vt:i4>5</vt:i4>
      </vt:variant>
      <vt:variant>
        <vt:lpwstr/>
      </vt:variant>
      <vt:variant>
        <vt:lpwstr>_Toc78298262</vt:lpwstr>
      </vt:variant>
      <vt:variant>
        <vt:i4>1376315</vt:i4>
      </vt:variant>
      <vt:variant>
        <vt:i4>455</vt:i4>
      </vt:variant>
      <vt:variant>
        <vt:i4>0</vt:i4>
      </vt:variant>
      <vt:variant>
        <vt:i4>5</vt:i4>
      </vt:variant>
      <vt:variant>
        <vt:lpwstr/>
      </vt:variant>
      <vt:variant>
        <vt:lpwstr>_Toc78298261</vt:lpwstr>
      </vt:variant>
      <vt:variant>
        <vt:i4>1310779</vt:i4>
      </vt:variant>
      <vt:variant>
        <vt:i4>449</vt:i4>
      </vt:variant>
      <vt:variant>
        <vt:i4>0</vt:i4>
      </vt:variant>
      <vt:variant>
        <vt:i4>5</vt:i4>
      </vt:variant>
      <vt:variant>
        <vt:lpwstr/>
      </vt:variant>
      <vt:variant>
        <vt:lpwstr>_Toc78298260</vt:lpwstr>
      </vt:variant>
      <vt:variant>
        <vt:i4>1900600</vt:i4>
      </vt:variant>
      <vt:variant>
        <vt:i4>443</vt:i4>
      </vt:variant>
      <vt:variant>
        <vt:i4>0</vt:i4>
      </vt:variant>
      <vt:variant>
        <vt:i4>5</vt:i4>
      </vt:variant>
      <vt:variant>
        <vt:lpwstr/>
      </vt:variant>
      <vt:variant>
        <vt:lpwstr>_Toc78298259</vt:lpwstr>
      </vt:variant>
      <vt:variant>
        <vt:i4>1835064</vt:i4>
      </vt:variant>
      <vt:variant>
        <vt:i4>437</vt:i4>
      </vt:variant>
      <vt:variant>
        <vt:i4>0</vt:i4>
      </vt:variant>
      <vt:variant>
        <vt:i4>5</vt:i4>
      </vt:variant>
      <vt:variant>
        <vt:lpwstr/>
      </vt:variant>
      <vt:variant>
        <vt:lpwstr>_Toc78298258</vt:lpwstr>
      </vt:variant>
      <vt:variant>
        <vt:i4>1245240</vt:i4>
      </vt:variant>
      <vt:variant>
        <vt:i4>431</vt:i4>
      </vt:variant>
      <vt:variant>
        <vt:i4>0</vt:i4>
      </vt:variant>
      <vt:variant>
        <vt:i4>5</vt:i4>
      </vt:variant>
      <vt:variant>
        <vt:lpwstr/>
      </vt:variant>
      <vt:variant>
        <vt:lpwstr>_Toc78298257</vt:lpwstr>
      </vt:variant>
      <vt:variant>
        <vt:i4>1179704</vt:i4>
      </vt:variant>
      <vt:variant>
        <vt:i4>425</vt:i4>
      </vt:variant>
      <vt:variant>
        <vt:i4>0</vt:i4>
      </vt:variant>
      <vt:variant>
        <vt:i4>5</vt:i4>
      </vt:variant>
      <vt:variant>
        <vt:lpwstr/>
      </vt:variant>
      <vt:variant>
        <vt:lpwstr>_Toc78298256</vt:lpwstr>
      </vt:variant>
      <vt:variant>
        <vt:i4>1114168</vt:i4>
      </vt:variant>
      <vt:variant>
        <vt:i4>419</vt:i4>
      </vt:variant>
      <vt:variant>
        <vt:i4>0</vt:i4>
      </vt:variant>
      <vt:variant>
        <vt:i4>5</vt:i4>
      </vt:variant>
      <vt:variant>
        <vt:lpwstr/>
      </vt:variant>
      <vt:variant>
        <vt:lpwstr>_Toc78298255</vt:lpwstr>
      </vt:variant>
      <vt:variant>
        <vt:i4>1048632</vt:i4>
      </vt:variant>
      <vt:variant>
        <vt:i4>413</vt:i4>
      </vt:variant>
      <vt:variant>
        <vt:i4>0</vt:i4>
      </vt:variant>
      <vt:variant>
        <vt:i4>5</vt:i4>
      </vt:variant>
      <vt:variant>
        <vt:lpwstr/>
      </vt:variant>
      <vt:variant>
        <vt:lpwstr>_Toc78298254</vt:lpwstr>
      </vt:variant>
      <vt:variant>
        <vt:i4>1507384</vt:i4>
      </vt:variant>
      <vt:variant>
        <vt:i4>407</vt:i4>
      </vt:variant>
      <vt:variant>
        <vt:i4>0</vt:i4>
      </vt:variant>
      <vt:variant>
        <vt:i4>5</vt:i4>
      </vt:variant>
      <vt:variant>
        <vt:lpwstr/>
      </vt:variant>
      <vt:variant>
        <vt:lpwstr>_Toc78298253</vt:lpwstr>
      </vt:variant>
      <vt:variant>
        <vt:i4>1441848</vt:i4>
      </vt:variant>
      <vt:variant>
        <vt:i4>401</vt:i4>
      </vt:variant>
      <vt:variant>
        <vt:i4>0</vt:i4>
      </vt:variant>
      <vt:variant>
        <vt:i4>5</vt:i4>
      </vt:variant>
      <vt:variant>
        <vt:lpwstr/>
      </vt:variant>
      <vt:variant>
        <vt:lpwstr>_Toc78298252</vt:lpwstr>
      </vt:variant>
      <vt:variant>
        <vt:i4>1376312</vt:i4>
      </vt:variant>
      <vt:variant>
        <vt:i4>392</vt:i4>
      </vt:variant>
      <vt:variant>
        <vt:i4>0</vt:i4>
      </vt:variant>
      <vt:variant>
        <vt:i4>5</vt:i4>
      </vt:variant>
      <vt:variant>
        <vt:lpwstr/>
      </vt:variant>
      <vt:variant>
        <vt:lpwstr>_Toc78298251</vt:lpwstr>
      </vt:variant>
      <vt:variant>
        <vt:i4>1310776</vt:i4>
      </vt:variant>
      <vt:variant>
        <vt:i4>386</vt:i4>
      </vt:variant>
      <vt:variant>
        <vt:i4>0</vt:i4>
      </vt:variant>
      <vt:variant>
        <vt:i4>5</vt:i4>
      </vt:variant>
      <vt:variant>
        <vt:lpwstr/>
      </vt:variant>
      <vt:variant>
        <vt:lpwstr>_Toc78298250</vt:lpwstr>
      </vt:variant>
      <vt:variant>
        <vt:i4>1900601</vt:i4>
      </vt:variant>
      <vt:variant>
        <vt:i4>380</vt:i4>
      </vt:variant>
      <vt:variant>
        <vt:i4>0</vt:i4>
      </vt:variant>
      <vt:variant>
        <vt:i4>5</vt:i4>
      </vt:variant>
      <vt:variant>
        <vt:lpwstr/>
      </vt:variant>
      <vt:variant>
        <vt:lpwstr>_Toc78298249</vt:lpwstr>
      </vt:variant>
      <vt:variant>
        <vt:i4>1835065</vt:i4>
      </vt:variant>
      <vt:variant>
        <vt:i4>374</vt:i4>
      </vt:variant>
      <vt:variant>
        <vt:i4>0</vt:i4>
      </vt:variant>
      <vt:variant>
        <vt:i4>5</vt:i4>
      </vt:variant>
      <vt:variant>
        <vt:lpwstr/>
      </vt:variant>
      <vt:variant>
        <vt:lpwstr>_Toc78298248</vt:lpwstr>
      </vt:variant>
      <vt:variant>
        <vt:i4>1245241</vt:i4>
      </vt:variant>
      <vt:variant>
        <vt:i4>368</vt:i4>
      </vt:variant>
      <vt:variant>
        <vt:i4>0</vt:i4>
      </vt:variant>
      <vt:variant>
        <vt:i4>5</vt:i4>
      </vt:variant>
      <vt:variant>
        <vt:lpwstr/>
      </vt:variant>
      <vt:variant>
        <vt:lpwstr>_Toc78298247</vt:lpwstr>
      </vt:variant>
      <vt:variant>
        <vt:i4>1179705</vt:i4>
      </vt:variant>
      <vt:variant>
        <vt:i4>362</vt:i4>
      </vt:variant>
      <vt:variant>
        <vt:i4>0</vt:i4>
      </vt:variant>
      <vt:variant>
        <vt:i4>5</vt:i4>
      </vt:variant>
      <vt:variant>
        <vt:lpwstr/>
      </vt:variant>
      <vt:variant>
        <vt:lpwstr>_Toc78298246</vt:lpwstr>
      </vt:variant>
      <vt:variant>
        <vt:i4>1114169</vt:i4>
      </vt:variant>
      <vt:variant>
        <vt:i4>356</vt:i4>
      </vt:variant>
      <vt:variant>
        <vt:i4>0</vt:i4>
      </vt:variant>
      <vt:variant>
        <vt:i4>5</vt:i4>
      </vt:variant>
      <vt:variant>
        <vt:lpwstr/>
      </vt:variant>
      <vt:variant>
        <vt:lpwstr>_Toc78298245</vt:lpwstr>
      </vt:variant>
      <vt:variant>
        <vt:i4>1048633</vt:i4>
      </vt:variant>
      <vt:variant>
        <vt:i4>350</vt:i4>
      </vt:variant>
      <vt:variant>
        <vt:i4>0</vt:i4>
      </vt:variant>
      <vt:variant>
        <vt:i4>5</vt:i4>
      </vt:variant>
      <vt:variant>
        <vt:lpwstr/>
      </vt:variant>
      <vt:variant>
        <vt:lpwstr>_Toc78298244</vt:lpwstr>
      </vt:variant>
      <vt:variant>
        <vt:i4>1507385</vt:i4>
      </vt:variant>
      <vt:variant>
        <vt:i4>344</vt:i4>
      </vt:variant>
      <vt:variant>
        <vt:i4>0</vt:i4>
      </vt:variant>
      <vt:variant>
        <vt:i4>5</vt:i4>
      </vt:variant>
      <vt:variant>
        <vt:lpwstr/>
      </vt:variant>
      <vt:variant>
        <vt:lpwstr>_Toc78298243</vt:lpwstr>
      </vt:variant>
      <vt:variant>
        <vt:i4>1441849</vt:i4>
      </vt:variant>
      <vt:variant>
        <vt:i4>338</vt:i4>
      </vt:variant>
      <vt:variant>
        <vt:i4>0</vt:i4>
      </vt:variant>
      <vt:variant>
        <vt:i4>5</vt:i4>
      </vt:variant>
      <vt:variant>
        <vt:lpwstr/>
      </vt:variant>
      <vt:variant>
        <vt:lpwstr>_Toc78298242</vt:lpwstr>
      </vt:variant>
      <vt:variant>
        <vt:i4>1376313</vt:i4>
      </vt:variant>
      <vt:variant>
        <vt:i4>332</vt:i4>
      </vt:variant>
      <vt:variant>
        <vt:i4>0</vt:i4>
      </vt:variant>
      <vt:variant>
        <vt:i4>5</vt:i4>
      </vt:variant>
      <vt:variant>
        <vt:lpwstr/>
      </vt:variant>
      <vt:variant>
        <vt:lpwstr>_Toc78298241</vt:lpwstr>
      </vt:variant>
      <vt:variant>
        <vt:i4>1310777</vt:i4>
      </vt:variant>
      <vt:variant>
        <vt:i4>326</vt:i4>
      </vt:variant>
      <vt:variant>
        <vt:i4>0</vt:i4>
      </vt:variant>
      <vt:variant>
        <vt:i4>5</vt:i4>
      </vt:variant>
      <vt:variant>
        <vt:lpwstr/>
      </vt:variant>
      <vt:variant>
        <vt:lpwstr>_Toc78298240</vt:lpwstr>
      </vt:variant>
      <vt:variant>
        <vt:i4>1900606</vt:i4>
      </vt:variant>
      <vt:variant>
        <vt:i4>320</vt:i4>
      </vt:variant>
      <vt:variant>
        <vt:i4>0</vt:i4>
      </vt:variant>
      <vt:variant>
        <vt:i4>5</vt:i4>
      </vt:variant>
      <vt:variant>
        <vt:lpwstr/>
      </vt:variant>
      <vt:variant>
        <vt:lpwstr>_Toc78298239</vt:lpwstr>
      </vt:variant>
      <vt:variant>
        <vt:i4>1835070</vt:i4>
      </vt:variant>
      <vt:variant>
        <vt:i4>314</vt:i4>
      </vt:variant>
      <vt:variant>
        <vt:i4>0</vt:i4>
      </vt:variant>
      <vt:variant>
        <vt:i4>5</vt:i4>
      </vt:variant>
      <vt:variant>
        <vt:lpwstr/>
      </vt:variant>
      <vt:variant>
        <vt:lpwstr>_Toc78298238</vt:lpwstr>
      </vt:variant>
      <vt:variant>
        <vt:i4>1245246</vt:i4>
      </vt:variant>
      <vt:variant>
        <vt:i4>308</vt:i4>
      </vt:variant>
      <vt:variant>
        <vt:i4>0</vt:i4>
      </vt:variant>
      <vt:variant>
        <vt:i4>5</vt:i4>
      </vt:variant>
      <vt:variant>
        <vt:lpwstr/>
      </vt:variant>
      <vt:variant>
        <vt:lpwstr>_Toc78298237</vt:lpwstr>
      </vt:variant>
      <vt:variant>
        <vt:i4>1179710</vt:i4>
      </vt:variant>
      <vt:variant>
        <vt:i4>302</vt:i4>
      </vt:variant>
      <vt:variant>
        <vt:i4>0</vt:i4>
      </vt:variant>
      <vt:variant>
        <vt:i4>5</vt:i4>
      </vt:variant>
      <vt:variant>
        <vt:lpwstr/>
      </vt:variant>
      <vt:variant>
        <vt:lpwstr>_Toc78298236</vt:lpwstr>
      </vt:variant>
      <vt:variant>
        <vt:i4>1114174</vt:i4>
      </vt:variant>
      <vt:variant>
        <vt:i4>296</vt:i4>
      </vt:variant>
      <vt:variant>
        <vt:i4>0</vt:i4>
      </vt:variant>
      <vt:variant>
        <vt:i4>5</vt:i4>
      </vt:variant>
      <vt:variant>
        <vt:lpwstr/>
      </vt:variant>
      <vt:variant>
        <vt:lpwstr>_Toc78298235</vt:lpwstr>
      </vt:variant>
      <vt:variant>
        <vt:i4>1048638</vt:i4>
      </vt:variant>
      <vt:variant>
        <vt:i4>290</vt:i4>
      </vt:variant>
      <vt:variant>
        <vt:i4>0</vt:i4>
      </vt:variant>
      <vt:variant>
        <vt:i4>5</vt:i4>
      </vt:variant>
      <vt:variant>
        <vt:lpwstr/>
      </vt:variant>
      <vt:variant>
        <vt:lpwstr>_Toc78298234</vt:lpwstr>
      </vt:variant>
      <vt:variant>
        <vt:i4>1507390</vt:i4>
      </vt:variant>
      <vt:variant>
        <vt:i4>284</vt:i4>
      </vt:variant>
      <vt:variant>
        <vt:i4>0</vt:i4>
      </vt:variant>
      <vt:variant>
        <vt:i4>5</vt:i4>
      </vt:variant>
      <vt:variant>
        <vt:lpwstr/>
      </vt:variant>
      <vt:variant>
        <vt:lpwstr>_Toc78298233</vt:lpwstr>
      </vt:variant>
      <vt:variant>
        <vt:i4>1441854</vt:i4>
      </vt:variant>
      <vt:variant>
        <vt:i4>278</vt:i4>
      </vt:variant>
      <vt:variant>
        <vt:i4>0</vt:i4>
      </vt:variant>
      <vt:variant>
        <vt:i4>5</vt:i4>
      </vt:variant>
      <vt:variant>
        <vt:lpwstr/>
      </vt:variant>
      <vt:variant>
        <vt:lpwstr>_Toc78298232</vt:lpwstr>
      </vt:variant>
      <vt:variant>
        <vt:i4>1376318</vt:i4>
      </vt:variant>
      <vt:variant>
        <vt:i4>272</vt:i4>
      </vt:variant>
      <vt:variant>
        <vt:i4>0</vt:i4>
      </vt:variant>
      <vt:variant>
        <vt:i4>5</vt:i4>
      </vt:variant>
      <vt:variant>
        <vt:lpwstr/>
      </vt:variant>
      <vt:variant>
        <vt:lpwstr>_Toc78298231</vt:lpwstr>
      </vt:variant>
      <vt:variant>
        <vt:i4>1310782</vt:i4>
      </vt:variant>
      <vt:variant>
        <vt:i4>266</vt:i4>
      </vt:variant>
      <vt:variant>
        <vt:i4>0</vt:i4>
      </vt:variant>
      <vt:variant>
        <vt:i4>5</vt:i4>
      </vt:variant>
      <vt:variant>
        <vt:lpwstr/>
      </vt:variant>
      <vt:variant>
        <vt:lpwstr>_Toc78298230</vt:lpwstr>
      </vt:variant>
      <vt:variant>
        <vt:i4>1900607</vt:i4>
      </vt:variant>
      <vt:variant>
        <vt:i4>260</vt:i4>
      </vt:variant>
      <vt:variant>
        <vt:i4>0</vt:i4>
      </vt:variant>
      <vt:variant>
        <vt:i4>5</vt:i4>
      </vt:variant>
      <vt:variant>
        <vt:lpwstr/>
      </vt:variant>
      <vt:variant>
        <vt:lpwstr>_Toc78298229</vt:lpwstr>
      </vt:variant>
      <vt:variant>
        <vt:i4>1835071</vt:i4>
      </vt:variant>
      <vt:variant>
        <vt:i4>254</vt:i4>
      </vt:variant>
      <vt:variant>
        <vt:i4>0</vt:i4>
      </vt:variant>
      <vt:variant>
        <vt:i4>5</vt:i4>
      </vt:variant>
      <vt:variant>
        <vt:lpwstr/>
      </vt:variant>
      <vt:variant>
        <vt:lpwstr>_Toc78298228</vt:lpwstr>
      </vt:variant>
      <vt:variant>
        <vt:i4>1245247</vt:i4>
      </vt:variant>
      <vt:variant>
        <vt:i4>248</vt:i4>
      </vt:variant>
      <vt:variant>
        <vt:i4>0</vt:i4>
      </vt:variant>
      <vt:variant>
        <vt:i4>5</vt:i4>
      </vt:variant>
      <vt:variant>
        <vt:lpwstr/>
      </vt:variant>
      <vt:variant>
        <vt:lpwstr>_Toc78298227</vt:lpwstr>
      </vt:variant>
      <vt:variant>
        <vt:i4>1179711</vt:i4>
      </vt:variant>
      <vt:variant>
        <vt:i4>242</vt:i4>
      </vt:variant>
      <vt:variant>
        <vt:i4>0</vt:i4>
      </vt:variant>
      <vt:variant>
        <vt:i4>5</vt:i4>
      </vt:variant>
      <vt:variant>
        <vt:lpwstr/>
      </vt:variant>
      <vt:variant>
        <vt:lpwstr>_Toc78298226</vt:lpwstr>
      </vt:variant>
      <vt:variant>
        <vt:i4>1114175</vt:i4>
      </vt:variant>
      <vt:variant>
        <vt:i4>236</vt:i4>
      </vt:variant>
      <vt:variant>
        <vt:i4>0</vt:i4>
      </vt:variant>
      <vt:variant>
        <vt:i4>5</vt:i4>
      </vt:variant>
      <vt:variant>
        <vt:lpwstr/>
      </vt:variant>
      <vt:variant>
        <vt:lpwstr>_Toc78298225</vt:lpwstr>
      </vt:variant>
      <vt:variant>
        <vt:i4>1048639</vt:i4>
      </vt:variant>
      <vt:variant>
        <vt:i4>230</vt:i4>
      </vt:variant>
      <vt:variant>
        <vt:i4>0</vt:i4>
      </vt:variant>
      <vt:variant>
        <vt:i4>5</vt:i4>
      </vt:variant>
      <vt:variant>
        <vt:lpwstr/>
      </vt:variant>
      <vt:variant>
        <vt:lpwstr>_Toc78298224</vt:lpwstr>
      </vt:variant>
      <vt:variant>
        <vt:i4>1507391</vt:i4>
      </vt:variant>
      <vt:variant>
        <vt:i4>224</vt:i4>
      </vt:variant>
      <vt:variant>
        <vt:i4>0</vt:i4>
      </vt:variant>
      <vt:variant>
        <vt:i4>5</vt:i4>
      </vt:variant>
      <vt:variant>
        <vt:lpwstr/>
      </vt:variant>
      <vt:variant>
        <vt:lpwstr>_Toc78298223</vt:lpwstr>
      </vt:variant>
      <vt:variant>
        <vt:i4>1441855</vt:i4>
      </vt:variant>
      <vt:variant>
        <vt:i4>218</vt:i4>
      </vt:variant>
      <vt:variant>
        <vt:i4>0</vt:i4>
      </vt:variant>
      <vt:variant>
        <vt:i4>5</vt:i4>
      </vt:variant>
      <vt:variant>
        <vt:lpwstr/>
      </vt:variant>
      <vt:variant>
        <vt:lpwstr>_Toc78298222</vt:lpwstr>
      </vt:variant>
      <vt:variant>
        <vt:i4>1376319</vt:i4>
      </vt:variant>
      <vt:variant>
        <vt:i4>212</vt:i4>
      </vt:variant>
      <vt:variant>
        <vt:i4>0</vt:i4>
      </vt:variant>
      <vt:variant>
        <vt:i4>5</vt:i4>
      </vt:variant>
      <vt:variant>
        <vt:lpwstr/>
      </vt:variant>
      <vt:variant>
        <vt:lpwstr>_Toc78298221</vt:lpwstr>
      </vt:variant>
      <vt:variant>
        <vt:i4>1310783</vt:i4>
      </vt:variant>
      <vt:variant>
        <vt:i4>206</vt:i4>
      </vt:variant>
      <vt:variant>
        <vt:i4>0</vt:i4>
      </vt:variant>
      <vt:variant>
        <vt:i4>5</vt:i4>
      </vt:variant>
      <vt:variant>
        <vt:lpwstr/>
      </vt:variant>
      <vt:variant>
        <vt:lpwstr>_Toc78298220</vt:lpwstr>
      </vt:variant>
      <vt:variant>
        <vt:i4>1900604</vt:i4>
      </vt:variant>
      <vt:variant>
        <vt:i4>200</vt:i4>
      </vt:variant>
      <vt:variant>
        <vt:i4>0</vt:i4>
      </vt:variant>
      <vt:variant>
        <vt:i4>5</vt:i4>
      </vt:variant>
      <vt:variant>
        <vt:lpwstr/>
      </vt:variant>
      <vt:variant>
        <vt:lpwstr>_Toc78298219</vt:lpwstr>
      </vt:variant>
      <vt:variant>
        <vt:i4>1835068</vt:i4>
      </vt:variant>
      <vt:variant>
        <vt:i4>194</vt:i4>
      </vt:variant>
      <vt:variant>
        <vt:i4>0</vt:i4>
      </vt:variant>
      <vt:variant>
        <vt:i4>5</vt:i4>
      </vt:variant>
      <vt:variant>
        <vt:lpwstr/>
      </vt:variant>
      <vt:variant>
        <vt:lpwstr>_Toc78298218</vt:lpwstr>
      </vt:variant>
      <vt:variant>
        <vt:i4>1245244</vt:i4>
      </vt:variant>
      <vt:variant>
        <vt:i4>188</vt:i4>
      </vt:variant>
      <vt:variant>
        <vt:i4>0</vt:i4>
      </vt:variant>
      <vt:variant>
        <vt:i4>5</vt:i4>
      </vt:variant>
      <vt:variant>
        <vt:lpwstr/>
      </vt:variant>
      <vt:variant>
        <vt:lpwstr>_Toc78298217</vt:lpwstr>
      </vt:variant>
      <vt:variant>
        <vt:i4>1179708</vt:i4>
      </vt:variant>
      <vt:variant>
        <vt:i4>182</vt:i4>
      </vt:variant>
      <vt:variant>
        <vt:i4>0</vt:i4>
      </vt:variant>
      <vt:variant>
        <vt:i4>5</vt:i4>
      </vt:variant>
      <vt:variant>
        <vt:lpwstr/>
      </vt:variant>
      <vt:variant>
        <vt:lpwstr>_Toc78298216</vt:lpwstr>
      </vt:variant>
      <vt:variant>
        <vt:i4>1114172</vt:i4>
      </vt:variant>
      <vt:variant>
        <vt:i4>176</vt:i4>
      </vt:variant>
      <vt:variant>
        <vt:i4>0</vt:i4>
      </vt:variant>
      <vt:variant>
        <vt:i4>5</vt:i4>
      </vt:variant>
      <vt:variant>
        <vt:lpwstr/>
      </vt:variant>
      <vt:variant>
        <vt:lpwstr>_Toc78298215</vt:lpwstr>
      </vt:variant>
      <vt:variant>
        <vt:i4>1048636</vt:i4>
      </vt:variant>
      <vt:variant>
        <vt:i4>170</vt:i4>
      </vt:variant>
      <vt:variant>
        <vt:i4>0</vt:i4>
      </vt:variant>
      <vt:variant>
        <vt:i4>5</vt:i4>
      </vt:variant>
      <vt:variant>
        <vt:lpwstr/>
      </vt:variant>
      <vt:variant>
        <vt:lpwstr>_Toc78298214</vt:lpwstr>
      </vt:variant>
      <vt:variant>
        <vt:i4>1507388</vt:i4>
      </vt:variant>
      <vt:variant>
        <vt:i4>164</vt:i4>
      </vt:variant>
      <vt:variant>
        <vt:i4>0</vt:i4>
      </vt:variant>
      <vt:variant>
        <vt:i4>5</vt:i4>
      </vt:variant>
      <vt:variant>
        <vt:lpwstr/>
      </vt:variant>
      <vt:variant>
        <vt:lpwstr>_Toc78298213</vt:lpwstr>
      </vt:variant>
      <vt:variant>
        <vt:i4>1441852</vt:i4>
      </vt:variant>
      <vt:variant>
        <vt:i4>158</vt:i4>
      </vt:variant>
      <vt:variant>
        <vt:i4>0</vt:i4>
      </vt:variant>
      <vt:variant>
        <vt:i4>5</vt:i4>
      </vt:variant>
      <vt:variant>
        <vt:lpwstr/>
      </vt:variant>
      <vt:variant>
        <vt:lpwstr>_Toc78298212</vt:lpwstr>
      </vt:variant>
      <vt:variant>
        <vt:i4>1376316</vt:i4>
      </vt:variant>
      <vt:variant>
        <vt:i4>152</vt:i4>
      </vt:variant>
      <vt:variant>
        <vt:i4>0</vt:i4>
      </vt:variant>
      <vt:variant>
        <vt:i4>5</vt:i4>
      </vt:variant>
      <vt:variant>
        <vt:lpwstr/>
      </vt:variant>
      <vt:variant>
        <vt:lpwstr>_Toc78298211</vt:lpwstr>
      </vt:variant>
      <vt:variant>
        <vt:i4>1310780</vt:i4>
      </vt:variant>
      <vt:variant>
        <vt:i4>146</vt:i4>
      </vt:variant>
      <vt:variant>
        <vt:i4>0</vt:i4>
      </vt:variant>
      <vt:variant>
        <vt:i4>5</vt:i4>
      </vt:variant>
      <vt:variant>
        <vt:lpwstr/>
      </vt:variant>
      <vt:variant>
        <vt:lpwstr>_Toc78298210</vt:lpwstr>
      </vt:variant>
      <vt:variant>
        <vt:i4>1900605</vt:i4>
      </vt:variant>
      <vt:variant>
        <vt:i4>140</vt:i4>
      </vt:variant>
      <vt:variant>
        <vt:i4>0</vt:i4>
      </vt:variant>
      <vt:variant>
        <vt:i4>5</vt:i4>
      </vt:variant>
      <vt:variant>
        <vt:lpwstr/>
      </vt:variant>
      <vt:variant>
        <vt:lpwstr>_Toc78298209</vt:lpwstr>
      </vt:variant>
      <vt:variant>
        <vt:i4>1835069</vt:i4>
      </vt:variant>
      <vt:variant>
        <vt:i4>134</vt:i4>
      </vt:variant>
      <vt:variant>
        <vt:i4>0</vt:i4>
      </vt:variant>
      <vt:variant>
        <vt:i4>5</vt:i4>
      </vt:variant>
      <vt:variant>
        <vt:lpwstr/>
      </vt:variant>
      <vt:variant>
        <vt:lpwstr>_Toc78298208</vt:lpwstr>
      </vt:variant>
      <vt:variant>
        <vt:i4>1245245</vt:i4>
      </vt:variant>
      <vt:variant>
        <vt:i4>128</vt:i4>
      </vt:variant>
      <vt:variant>
        <vt:i4>0</vt:i4>
      </vt:variant>
      <vt:variant>
        <vt:i4>5</vt:i4>
      </vt:variant>
      <vt:variant>
        <vt:lpwstr/>
      </vt:variant>
      <vt:variant>
        <vt:lpwstr>_Toc78298207</vt:lpwstr>
      </vt:variant>
      <vt:variant>
        <vt:i4>1179709</vt:i4>
      </vt:variant>
      <vt:variant>
        <vt:i4>122</vt:i4>
      </vt:variant>
      <vt:variant>
        <vt:i4>0</vt:i4>
      </vt:variant>
      <vt:variant>
        <vt:i4>5</vt:i4>
      </vt:variant>
      <vt:variant>
        <vt:lpwstr/>
      </vt:variant>
      <vt:variant>
        <vt:lpwstr>_Toc78298206</vt:lpwstr>
      </vt:variant>
      <vt:variant>
        <vt:i4>1114173</vt:i4>
      </vt:variant>
      <vt:variant>
        <vt:i4>116</vt:i4>
      </vt:variant>
      <vt:variant>
        <vt:i4>0</vt:i4>
      </vt:variant>
      <vt:variant>
        <vt:i4>5</vt:i4>
      </vt:variant>
      <vt:variant>
        <vt:lpwstr/>
      </vt:variant>
      <vt:variant>
        <vt:lpwstr>_Toc78298205</vt:lpwstr>
      </vt:variant>
      <vt:variant>
        <vt:i4>1048637</vt:i4>
      </vt:variant>
      <vt:variant>
        <vt:i4>110</vt:i4>
      </vt:variant>
      <vt:variant>
        <vt:i4>0</vt:i4>
      </vt:variant>
      <vt:variant>
        <vt:i4>5</vt:i4>
      </vt:variant>
      <vt:variant>
        <vt:lpwstr/>
      </vt:variant>
      <vt:variant>
        <vt:lpwstr>_Toc78298204</vt:lpwstr>
      </vt:variant>
      <vt:variant>
        <vt:i4>1507389</vt:i4>
      </vt:variant>
      <vt:variant>
        <vt:i4>104</vt:i4>
      </vt:variant>
      <vt:variant>
        <vt:i4>0</vt:i4>
      </vt:variant>
      <vt:variant>
        <vt:i4>5</vt:i4>
      </vt:variant>
      <vt:variant>
        <vt:lpwstr/>
      </vt:variant>
      <vt:variant>
        <vt:lpwstr>_Toc78298203</vt:lpwstr>
      </vt:variant>
      <vt:variant>
        <vt:i4>1441853</vt:i4>
      </vt:variant>
      <vt:variant>
        <vt:i4>98</vt:i4>
      </vt:variant>
      <vt:variant>
        <vt:i4>0</vt:i4>
      </vt:variant>
      <vt:variant>
        <vt:i4>5</vt:i4>
      </vt:variant>
      <vt:variant>
        <vt:lpwstr/>
      </vt:variant>
      <vt:variant>
        <vt:lpwstr>_Toc78298202</vt:lpwstr>
      </vt:variant>
      <vt:variant>
        <vt:i4>1376317</vt:i4>
      </vt:variant>
      <vt:variant>
        <vt:i4>92</vt:i4>
      </vt:variant>
      <vt:variant>
        <vt:i4>0</vt:i4>
      </vt:variant>
      <vt:variant>
        <vt:i4>5</vt:i4>
      </vt:variant>
      <vt:variant>
        <vt:lpwstr/>
      </vt:variant>
      <vt:variant>
        <vt:lpwstr>_Toc78298201</vt:lpwstr>
      </vt:variant>
      <vt:variant>
        <vt:i4>1310781</vt:i4>
      </vt:variant>
      <vt:variant>
        <vt:i4>86</vt:i4>
      </vt:variant>
      <vt:variant>
        <vt:i4>0</vt:i4>
      </vt:variant>
      <vt:variant>
        <vt:i4>5</vt:i4>
      </vt:variant>
      <vt:variant>
        <vt:lpwstr/>
      </vt:variant>
      <vt:variant>
        <vt:lpwstr>_Toc78298200</vt:lpwstr>
      </vt:variant>
      <vt:variant>
        <vt:i4>1966132</vt:i4>
      </vt:variant>
      <vt:variant>
        <vt:i4>80</vt:i4>
      </vt:variant>
      <vt:variant>
        <vt:i4>0</vt:i4>
      </vt:variant>
      <vt:variant>
        <vt:i4>5</vt:i4>
      </vt:variant>
      <vt:variant>
        <vt:lpwstr/>
      </vt:variant>
      <vt:variant>
        <vt:lpwstr>_Toc78298199</vt:lpwstr>
      </vt:variant>
      <vt:variant>
        <vt:i4>2031668</vt:i4>
      </vt:variant>
      <vt:variant>
        <vt:i4>74</vt:i4>
      </vt:variant>
      <vt:variant>
        <vt:i4>0</vt:i4>
      </vt:variant>
      <vt:variant>
        <vt:i4>5</vt:i4>
      </vt:variant>
      <vt:variant>
        <vt:lpwstr/>
      </vt:variant>
      <vt:variant>
        <vt:lpwstr>_Toc78298198</vt:lpwstr>
      </vt:variant>
      <vt:variant>
        <vt:i4>1048628</vt:i4>
      </vt:variant>
      <vt:variant>
        <vt:i4>68</vt:i4>
      </vt:variant>
      <vt:variant>
        <vt:i4>0</vt:i4>
      </vt:variant>
      <vt:variant>
        <vt:i4>5</vt:i4>
      </vt:variant>
      <vt:variant>
        <vt:lpwstr/>
      </vt:variant>
      <vt:variant>
        <vt:lpwstr>_Toc78298197</vt:lpwstr>
      </vt:variant>
      <vt:variant>
        <vt:i4>1114164</vt:i4>
      </vt:variant>
      <vt:variant>
        <vt:i4>62</vt:i4>
      </vt:variant>
      <vt:variant>
        <vt:i4>0</vt:i4>
      </vt:variant>
      <vt:variant>
        <vt:i4>5</vt:i4>
      </vt:variant>
      <vt:variant>
        <vt:lpwstr/>
      </vt:variant>
      <vt:variant>
        <vt:lpwstr>_Toc78298196</vt:lpwstr>
      </vt:variant>
      <vt:variant>
        <vt:i4>1179700</vt:i4>
      </vt:variant>
      <vt:variant>
        <vt:i4>56</vt:i4>
      </vt:variant>
      <vt:variant>
        <vt:i4>0</vt:i4>
      </vt:variant>
      <vt:variant>
        <vt:i4>5</vt:i4>
      </vt:variant>
      <vt:variant>
        <vt:lpwstr/>
      </vt:variant>
      <vt:variant>
        <vt:lpwstr>_Toc78298195</vt:lpwstr>
      </vt:variant>
      <vt:variant>
        <vt:i4>1245236</vt:i4>
      </vt:variant>
      <vt:variant>
        <vt:i4>50</vt:i4>
      </vt:variant>
      <vt:variant>
        <vt:i4>0</vt:i4>
      </vt:variant>
      <vt:variant>
        <vt:i4>5</vt:i4>
      </vt:variant>
      <vt:variant>
        <vt:lpwstr/>
      </vt:variant>
      <vt:variant>
        <vt:lpwstr>_Toc78298194</vt:lpwstr>
      </vt:variant>
      <vt:variant>
        <vt:i4>1310772</vt:i4>
      </vt:variant>
      <vt:variant>
        <vt:i4>44</vt:i4>
      </vt:variant>
      <vt:variant>
        <vt:i4>0</vt:i4>
      </vt:variant>
      <vt:variant>
        <vt:i4>5</vt:i4>
      </vt:variant>
      <vt:variant>
        <vt:lpwstr/>
      </vt:variant>
      <vt:variant>
        <vt:lpwstr>_Toc78298193</vt:lpwstr>
      </vt:variant>
      <vt:variant>
        <vt:i4>1376308</vt:i4>
      </vt:variant>
      <vt:variant>
        <vt:i4>38</vt:i4>
      </vt:variant>
      <vt:variant>
        <vt:i4>0</vt:i4>
      </vt:variant>
      <vt:variant>
        <vt:i4>5</vt:i4>
      </vt:variant>
      <vt:variant>
        <vt:lpwstr/>
      </vt:variant>
      <vt:variant>
        <vt:lpwstr>_Toc78298192</vt:lpwstr>
      </vt:variant>
      <vt:variant>
        <vt:i4>1441844</vt:i4>
      </vt:variant>
      <vt:variant>
        <vt:i4>32</vt:i4>
      </vt:variant>
      <vt:variant>
        <vt:i4>0</vt:i4>
      </vt:variant>
      <vt:variant>
        <vt:i4>5</vt:i4>
      </vt:variant>
      <vt:variant>
        <vt:lpwstr/>
      </vt:variant>
      <vt:variant>
        <vt:lpwstr>_Toc78298191</vt:lpwstr>
      </vt:variant>
      <vt:variant>
        <vt:i4>1507380</vt:i4>
      </vt:variant>
      <vt:variant>
        <vt:i4>26</vt:i4>
      </vt:variant>
      <vt:variant>
        <vt:i4>0</vt:i4>
      </vt:variant>
      <vt:variant>
        <vt:i4>5</vt:i4>
      </vt:variant>
      <vt:variant>
        <vt:lpwstr/>
      </vt:variant>
      <vt:variant>
        <vt:lpwstr>_Toc78298190</vt:lpwstr>
      </vt:variant>
      <vt:variant>
        <vt:i4>1966133</vt:i4>
      </vt:variant>
      <vt:variant>
        <vt:i4>20</vt:i4>
      </vt:variant>
      <vt:variant>
        <vt:i4>0</vt:i4>
      </vt:variant>
      <vt:variant>
        <vt:i4>5</vt:i4>
      </vt:variant>
      <vt:variant>
        <vt:lpwstr/>
      </vt:variant>
      <vt:variant>
        <vt:lpwstr>_Toc78298189</vt:lpwstr>
      </vt:variant>
      <vt:variant>
        <vt:i4>2031669</vt:i4>
      </vt:variant>
      <vt:variant>
        <vt:i4>14</vt:i4>
      </vt:variant>
      <vt:variant>
        <vt:i4>0</vt:i4>
      </vt:variant>
      <vt:variant>
        <vt:i4>5</vt:i4>
      </vt:variant>
      <vt:variant>
        <vt:lpwstr/>
      </vt:variant>
      <vt:variant>
        <vt:lpwstr>_Toc78298188</vt:lpwstr>
      </vt:variant>
      <vt:variant>
        <vt:i4>1048629</vt:i4>
      </vt:variant>
      <vt:variant>
        <vt:i4>8</vt:i4>
      </vt:variant>
      <vt:variant>
        <vt:i4>0</vt:i4>
      </vt:variant>
      <vt:variant>
        <vt:i4>5</vt:i4>
      </vt:variant>
      <vt:variant>
        <vt:lpwstr/>
      </vt:variant>
      <vt:variant>
        <vt:lpwstr>_Toc78298187</vt:lpwstr>
      </vt:variant>
      <vt:variant>
        <vt:i4>1114165</vt:i4>
      </vt:variant>
      <vt:variant>
        <vt:i4>2</vt:i4>
      </vt:variant>
      <vt:variant>
        <vt:i4>0</vt:i4>
      </vt:variant>
      <vt:variant>
        <vt:i4>5</vt:i4>
      </vt:variant>
      <vt:variant>
        <vt:lpwstr/>
      </vt:variant>
      <vt:variant>
        <vt:lpwstr>_Toc78298186</vt:lpwstr>
      </vt:variant>
      <vt:variant>
        <vt:i4>3997748</vt:i4>
      </vt:variant>
      <vt:variant>
        <vt:i4>48</vt:i4>
      </vt:variant>
      <vt:variant>
        <vt:i4>0</vt:i4>
      </vt:variant>
      <vt:variant>
        <vt:i4>5</vt:i4>
      </vt:variant>
      <vt:variant>
        <vt:lpwstr>https://www.hg.org/legal-articles/an-analysis-of-the-new-country-of-origin-labeling-law-in-california-5614</vt:lpwstr>
      </vt:variant>
      <vt:variant>
        <vt:lpwstr/>
      </vt:variant>
      <vt:variant>
        <vt:i4>6422581</vt:i4>
      </vt:variant>
      <vt:variant>
        <vt:i4>45</vt:i4>
      </vt:variant>
      <vt:variant>
        <vt:i4>0</vt:i4>
      </vt:variant>
      <vt:variant>
        <vt:i4>5</vt:i4>
      </vt:variant>
      <vt:variant>
        <vt:lpwstr>https://www.accc.gov.au/business/covid-19-coronavirus-information-for-small-business</vt:lpwstr>
      </vt:variant>
      <vt:variant>
        <vt:lpwstr>country-of-origin-labelling</vt:lpwstr>
      </vt:variant>
      <vt:variant>
        <vt:i4>7078014</vt:i4>
      </vt:variant>
      <vt:variant>
        <vt:i4>42</vt:i4>
      </vt:variant>
      <vt:variant>
        <vt:i4>0</vt:i4>
      </vt:variant>
      <vt:variant>
        <vt:i4>5</vt:i4>
      </vt:variant>
      <vt:variant>
        <vt:lpwstr>https://www.business.gov.au/products-and-services/product-labelling/calculating-australian-content</vt:lpwstr>
      </vt:variant>
      <vt:variant>
        <vt:lpwstr>average-proportion-of-Australian-ingredients</vt:lpwstr>
      </vt:variant>
      <vt:variant>
        <vt:i4>7012477</vt:i4>
      </vt:variant>
      <vt:variant>
        <vt:i4>39</vt:i4>
      </vt:variant>
      <vt:variant>
        <vt:i4>0</vt:i4>
      </vt:variant>
      <vt:variant>
        <vt:i4>5</vt:i4>
      </vt:variant>
      <vt:variant>
        <vt:lpwstr>https://www.accc.gov.au/business/advertising-promoting-your-business/country-of-origin-claims/country-of-origin-labelling-faqs</vt:lpwstr>
      </vt:variant>
      <vt:variant>
        <vt:lpwstr/>
      </vt:variant>
      <vt:variant>
        <vt:i4>4718623</vt:i4>
      </vt:variant>
      <vt:variant>
        <vt:i4>36</vt:i4>
      </vt:variant>
      <vt:variant>
        <vt:i4>0</vt:i4>
      </vt:variant>
      <vt:variant>
        <vt:i4>5</vt:i4>
      </vt:variant>
      <vt:variant>
        <vt:lpwstr>https://www.americangrownflowers.org/</vt:lpwstr>
      </vt:variant>
      <vt:variant>
        <vt:lpwstr/>
      </vt:variant>
      <vt:variant>
        <vt:i4>3801129</vt:i4>
      </vt:variant>
      <vt:variant>
        <vt:i4>33</vt:i4>
      </vt:variant>
      <vt:variant>
        <vt:i4>0</vt:i4>
      </vt:variant>
      <vt:variant>
        <vt:i4>5</vt:i4>
      </vt:variant>
      <vt:variant>
        <vt:lpwstr>https://www.ipaustralia.gov.au/tools-resources/certification-rules/1715512</vt:lpwstr>
      </vt:variant>
      <vt:variant>
        <vt:lpwstr/>
      </vt:variant>
      <vt:variant>
        <vt:i4>851985</vt:i4>
      </vt:variant>
      <vt:variant>
        <vt:i4>30</vt:i4>
      </vt:variant>
      <vt:variant>
        <vt:i4>0</vt:i4>
      </vt:variant>
      <vt:variant>
        <vt:i4>5</vt:i4>
      </vt:variant>
      <vt:variant>
        <vt:lpwstr>https://www.abs.gov.au/statistics/industry/retail-and-wholesale-trade/retail-trade-australia/apr-2020</vt:lpwstr>
      </vt:variant>
      <vt:variant>
        <vt:lpwstr/>
      </vt:variant>
      <vt:variant>
        <vt:i4>3997733</vt:i4>
      </vt:variant>
      <vt:variant>
        <vt:i4>27</vt:i4>
      </vt:variant>
      <vt:variant>
        <vt:i4>0</vt:i4>
      </vt:variant>
      <vt:variant>
        <vt:i4>5</vt:i4>
      </vt:variant>
      <vt:variant>
        <vt:lpwstr>https://www.agriculture.gov.au/abares/research-topics/fisheries/fisheries-and-aquaculture-statistics/seafood-consumption-2018</vt:lpwstr>
      </vt:variant>
      <vt:variant>
        <vt:lpwstr>:~:text=Australia's%20apparent%20consumption%20of%20seafood,%E2%80%9318%20(Figure%2023)</vt:lpwstr>
      </vt:variant>
      <vt:variant>
        <vt:i4>4390912</vt:i4>
      </vt:variant>
      <vt:variant>
        <vt:i4>24</vt:i4>
      </vt:variant>
      <vt:variant>
        <vt:i4>0</vt:i4>
      </vt:variant>
      <vt:variant>
        <vt:i4>5</vt:i4>
      </vt:variant>
      <vt:variant>
        <vt:lpwstr>https://www.industry.gov.au/publications/ministerial-statement-consumer-access-to-seafood-origin-information-in-foodservice</vt:lpwstr>
      </vt:variant>
      <vt:variant>
        <vt:lpwstr>footnote-5</vt:lpwstr>
      </vt:variant>
      <vt:variant>
        <vt:i4>2949243</vt:i4>
      </vt:variant>
      <vt:variant>
        <vt:i4>21</vt:i4>
      </vt:variant>
      <vt:variant>
        <vt:i4>0</vt:i4>
      </vt:variant>
      <vt:variant>
        <vt:i4>5</vt:i4>
      </vt:variant>
      <vt:variant>
        <vt:lpwstr>https://www.abc.net.au/news/2015-05-14/nt-like-seafood-labelling-laws-appears-doomed-in-senate/6470940</vt:lpwstr>
      </vt:variant>
      <vt:variant>
        <vt:lpwstr/>
      </vt:variant>
      <vt:variant>
        <vt:i4>7667746</vt:i4>
      </vt:variant>
      <vt:variant>
        <vt:i4>18</vt:i4>
      </vt:variant>
      <vt:variant>
        <vt:i4>0</vt:i4>
      </vt:variant>
      <vt:variant>
        <vt:i4>5</vt:i4>
      </vt:variant>
      <vt:variant>
        <vt:lpwstr>https://www.legislation.gov.au/Details/C2015B00050</vt:lpwstr>
      </vt:variant>
      <vt:variant>
        <vt:lpwstr/>
      </vt:variant>
      <vt:variant>
        <vt:i4>4456528</vt:i4>
      </vt:variant>
      <vt:variant>
        <vt:i4>15</vt:i4>
      </vt:variant>
      <vt:variant>
        <vt:i4>0</vt:i4>
      </vt:variant>
      <vt:variant>
        <vt:i4>5</vt:i4>
      </vt:variant>
      <vt:variant>
        <vt:lpwstr>https://www.agriculture.gov.au/abares/research-topics/fisheries/fisheries-and-aquaculture-statistics/seafood-consumption-2018</vt:lpwstr>
      </vt:variant>
      <vt:variant>
        <vt:lpwstr/>
      </vt:variant>
      <vt:variant>
        <vt:i4>4390912</vt:i4>
      </vt:variant>
      <vt:variant>
        <vt:i4>12</vt:i4>
      </vt:variant>
      <vt:variant>
        <vt:i4>0</vt:i4>
      </vt:variant>
      <vt:variant>
        <vt:i4>5</vt:i4>
      </vt:variant>
      <vt:variant>
        <vt:lpwstr>https://www.industry.gov.au/publications/ministerial-statement-consumer-access-to-seafood-origin-information-in-foodservice</vt:lpwstr>
      </vt:variant>
      <vt:variant>
        <vt:lpwstr>footnote-5</vt:lpwstr>
      </vt:variant>
      <vt:variant>
        <vt:i4>1441858</vt:i4>
      </vt:variant>
      <vt:variant>
        <vt:i4>9</vt:i4>
      </vt:variant>
      <vt:variant>
        <vt:i4>0</vt:i4>
      </vt:variant>
      <vt:variant>
        <vt:i4>5</vt:i4>
      </vt:variant>
      <vt:variant>
        <vt:lpwstr>https://www.ncbi.nlm.nih.gov/pmc/articles/PMC7146475/</vt:lpwstr>
      </vt:variant>
      <vt:variant>
        <vt:lpwstr/>
      </vt:variant>
      <vt:variant>
        <vt:i4>6881390</vt:i4>
      </vt:variant>
      <vt:variant>
        <vt:i4>6</vt:i4>
      </vt:variant>
      <vt:variant>
        <vt:i4>0</vt:i4>
      </vt:variant>
      <vt:variant>
        <vt:i4>5</vt:i4>
      </vt:variant>
      <vt:variant>
        <vt:lpwstr>https://www.industry.gov.au/sites/default/files/May 2018/document/pdf/country_of_origin_labelling_research_report_2015.pdf?acsf_files_redirect</vt:lpwstr>
      </vt:variant>
      <vt:variant>
        <vt:lpwstr/>
      </vt:variant>
      <vt:variant>
        <vt:i4>2752621</vt:i4>
      </vt:variant>
      <vt:variant>
        <vt:i4>3</vt:i4>
      </vt:variant>
      <vt:variant>
        <vt:i4>0</vt:i4>
      </vt:variant>
      <vt:variant>
        <vt:i4>5</vt:i4>
      </vt:variant>
      <vt:variant>
        <vt:lpwstr>https://www.foodstandards.gov.au/industry/labelling/pages/default.aspx</vt:lpwstr>
      </vt:variant>
      <vt:variant>
        <vt:lpwstr/>
      </vt:variant>
      <vt:variant>
        <vt:i4>3211389</vt:i4>
      </vt:variant>
      <vt:variant>
        <vt:i4>0</vt:i4>
      </vt:variant>
      <vt:variant>
        <vt:i4>0</vt:i4>
      </vt:variant>
      <vt:variant>
        <vt:i4>5</vt:i4>
      </vt:variant>
      <vt:variant>
        <vt:lpwstr>https://ris.pmc.gov.au/sites/default/files/posts/2016/04/Country-of-Origin-Labelling-Decision-RIS-1.pdf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Country of Origin Labelling reforms</dc:title>
  <dc:subject/>
  <dc:creator>Retief, Lauren</dc:creator>
  <cp:keywords/>
  <cp:lastModifiedBy>Saunders, Georgie</cp:lastModifiedBy>
  <cp:revision>4</cp:revision>
  <cp:lastPrinted>2022-01-24T04:56:00Z</cp:lastPrinted>
  <dcterms:created xsi:type="dcterms:W3CDTF">2022-02-02T02:43:00Z</dcterms:created>
  <dcterms:modified xsi:type="dcterms:W3CDTF">2022-02-02T02:46:00Z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2019-04-23T06:49:33.9845782</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636872632085102656</vt:lpwstr>
  </property>
  <property fmtid="{D5CDD505-2E9C-101B-9397-08002B2CF9AE}" pid="8" name="MSIP_Label_ea60d57e-af5b-4752-ac57-3e4f28ca11dc_Enabled">
    <vt:lpwstr>true</vt:lpwstr>
  </property>
  <property fmtid="{D5CDD505-2E9C-101B-9397-08002B2CF9AE}" pid="9" name="MSIP_Label_ea60d57e-af5b-4752-ac57-3e4f28ca11dc_SetDate">
    <vt:lpwstr>2020-12-07T06:10:37Z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e5ab5cb2-dafa-45e3-b16e-86767d995dd7</vt:lpwstr>
  </property>
  <property fmtid="{D5CDD505-2E9C-101B-9397-08002B2CF9AE}" pid="14" name="MSIP_Label_ea60d57e-af5b-4752-ac57-3e4f28ca11dc_ContentBits">
    <vt:lpwstr>0</vt:lpwstr>
  </property>
  <property fmtid="{D5CDD505-2E9C-101B-9397-08002B2CF9AE}" pid="15" name="ContentTypeId">
    <vt:lpwstr>0x0101009D7DBB1FBBA3574F8C94A5D4C51BF1D4</vt:lpwstr>
  </property>
  <property fmtid="{D5CDD505-2E9C-101B-9397-08002B2CF9AE}" pid="16" name="DocHub_ProgrammeName">
    <vt:lpwstr/>
  </property>
  <property fmtid="{D5CDD505-2E9C-101B-9397-08002B2CF9AE}" pid="17" name="DocHub_DocumentType">
    <vt:lpwstr>58;#Report|116a9244-cef6-47ce-a9a5-088c9cf21292</vt:lpwstr>
  </property>
  <property fmtid="{D5CDD505-2E9C-101B-9397-08002B2CF9AE}" pid="18" name="DocHub_SecurityClassification">
    <vt:lpwstr>3;#OFFICIAL:Sensitive|11f6fb0b-52ce-4109-8f7f-521b2a62f692</vt:lpwstr>
  </property>
  <property fmtid="{D5CDD505-2E9C-101B-9397-08002B2CF9AE}" pid="19" name="DocHub_WorkActivity">
    <vt:lpwstr>236;#Evaluation|28fcc9c4-cc04-4474-8c96-4c996189684f</vt:lpwstr>
  </property>
  <property fmtid="{D5CDD505-2E9C-101B-9397-08002B2CF9AE}" pid="20" name="DocHub_EvalStatus">
    <vt:lpwstr>3078;#In Progress|a349e962-307d-49f3-8994-7032d492783e</vt:lpwstr>
  </property>
  <property fmtid="{D5CDD505-2E9C-101B-9397-08002B2CF9AE}" pid="21" name="DocHub_Keywords">
    <vt:lpwstr/>
  </property>
  <property fmtid="{D5CDD505-2E9C-101B-9397-08002B2CF9AE}" pid="22" name="DocHub_Year">
    <vt:lpwstr>4103;#2020-21|fc8bd51e-588a-4169-a977-a72f113edbe3</vt:lpwstr>
  </property>
  <property fmtid="{D5CDD505-2E9C-101B-9397-08002B2CF9AE}" pid="23" name="_dlc_DocIdItemGuid">
    <vt:lpwstr>68fe4f01-5def-46fa-9153-22a7d5e1efb4</vt:lpwstr>
  </property>
  <property fmtid="{D5CDD505-2E9C-101B-9397-08002B2CF9AE}" pid="24" name="DocHub_DepartmentalDivisions">
    <vt:lpwstr/>
  </property>
  <property fmtid="{D5CDD505-2E9C-101B-9397-08002B2CF9AE}" pid="25" name="DocHub_GovernmentEntities">
    <vt:lpwstr/>
  </property>
  <property fmtid="{D5CDD505-2E9C-101B-9397-08002B2CF9AE}" pid="26" name="DocHub_EconomicTheme">
    <vt:lpwstr/>
  </property>
  <property fmtid="{D5CDD505-2E9C-101B-9397-08002B2CF9AE}" pid="27" name="DocHub_PolicyScope">
    <vt:lpwstr/>
  </property>
  <property fmtid="{D5CDD505-2E9C-101B-9397-08002B2CF9AE}" pid="28" name="DocHub_PortfolioPerspective">
    <vt:lpwstr/>
  </property>
  <property fmtid="{D5CDD505-2E9C-101B-9397-08002B2CF9AE}" pid="29" name="DocHub_CoOLSubCategory">
    <vt:lpwstr/>
  </property>
  <property fmtid="{D5CDD505-2E9C-101B-9397-08002B2CF9AE}" pid="30" name="DocHub_Policy">
    <vt:lpwstr/>
  </property>
  <property fmtid="{D5CDD505-2E9C-101B-9397-08002B2CF9AE}" pid="31" name="DocHub_Theme">
    <vt:lpwstr/>
  </property>
</Properties>
</file>