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1.xml" ContentType="application/vnd.openxmlformats-officedocument.drawingml.chart+xml"/>
  <Override PartName="/word/theme/themeOverride1.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2.xml" ContentType="application/vnd.openxmlformats-officedocument.themeOverride+xml"/>
  <Override PartName="/word/charts/chart1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header10.xml" ContentType="application/vnd.openxmlformats-officedocument.wordprocessingml.header+xml"/>
  <Override PartName="/word/footer10.xml" ContentType="application/vnd.openxmlformats-officedocument.wordprocessingml.footer+xml"/>
  <Override PartName="/word/charts/chart1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0.xml" ContentType="application/vnd.openxmlformats-officedocument.drawingml.chart+xml"/>
  <Override PartName="/word/charts/style6.xml" ContentType="application/vnd.ms-office.chartstyle+xml"/>
  <Override PartName="/word/charts/colors6.xml" ContentType="application/vnd.ms-office.chartcolorstyle+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C8F212" w14:textId="68E74FD2" w:rsidR="00E42F64" w:rsidRPr="00C30D7B" w:rsidRDefault="00E42F64" w:rsidP="00C30D7B">
      <w:pPr>
        <w:pStyle w:val="Covertitle1100pt"/>
      </w:pPr>
      <w:r w:rsidRPr="00C30D7B">
        <w:t xml:space="preserve">Australia’s Aerospace Industry Capability </w:t>
      </w:r>
    </w:p>
    <w:p w14:paraId="44FB9566" w14:textId="53FA225A" w:rsidR="00E42F64" w:rsidRPr="00C30D7B" w:rsidRDefault="00E42F64" w:rsidP="00C30D7B">
      <w:pPr>
        <w:pStyle w:val="Covertitle216ptB"/>
      </w:pPr>
      <w:r w:rsidRPr="00C30D7B">
        <w:t xml:space="preserve">Research and Economic Modelling </w:t>
      </w:r>
      <w:r w:rsidR="00320E02" w:rsidRPr="00C30D7B">
        <w:br/>
      </w:r>
      <w:r w:rsidRPr="00C30D7B">
        <w:t xml:space="preserve">of the Aircraft Manufacturing and </w:t>
      </w:r>
      <w:r w:rsidR="00320E02" w:rsidRPr="00C30D7B">
        <w:br/>
      </w:r>
      <w:r w:rsidRPr="00C30D7B">
        <w:t>Repair Services Industry in Australia</w:t>
      </w:r>
    </w:p>
    <w:p w14:paraId="6E49ACDB" w14:textId="77777777" w:rsidR="00E42F64" w:rsidRPr="00C30D7B" w:rsidRDefault="00E42F64" w:rsidP="00C30D7B">
      <w:pPr>
        <w:pStyle w:val="Covertitle316ptNB"/>
        <w:rPr>
          <w:b/>
        </w:rPr>
      </w:pPr>
      <w:r w:rsidRPr="00C30D7B">
        <w:rPr>
          <w:b/>
        </w:rPr>
        <w:t xml:space="preserve">12 June 2019 </w:t>
      </w:r>
    </w:p>
    <w:p w14:paraId="1B794BBE" w14:textId="77777777" w:rsidR="00E42F64" w:rsidRPr="00C30D7B" w:rsidRDefault="00E42F64" w:rsidP="00C30D7B">
      <w:pPr>
        <w:pStyle w:val="Covertitle316ptNB"/>
      </w:pPr>
      <w:r w:rsidRPr="00C30D7B">
        <w:t>—</w:t>
      </w:r>
    </w:p>
    <w:p w14:paraId="2EFD085B" w14:textId="77777777" w:rsidR="00E42F64" w:rsidRPr="00320E02" w:rsidRDefault="00E42F64" w:rsidP="00C30D7B">
      <w:pPr>
        <w:pStyle w:val="Covertitle316ptNB"/>
      </w:pPr>
      <w:r w:rsidRPr="00C30D7B">
        <w:t>KPMG.com.au</w:t>
      </w:r>
      <w:r w:rsidR="00DA425E" w:rsidRPr="00C30D7B">
        <w:t xml:space="preserve"> </w:t>
      </w:r>
      <w:r w:rsidR="00DA425E" w:rsidRPr="00320E02">
        <w:tab/>
      </w:r>
    </w:p>
    <w:p w14:paraId="0508DC5B" w14:textId="3C36564A" w:rsidR="004D7257" w:rsidRDefault="00A45E04" w:rsidP="00E42F64">
      <w:pPr>
        <w:spacing w:before="0" w:after="160" w:line="259" w:lineRule="auto"/>
        <w:ind w:left="567"/>
        <w:sectPr w:rsidR="004D7257" w:rsidSect="00320E02">
          <w:headerReference w:type="default" r:id="rId8"/>
          <w:footerReference w:type="default" r:id="rId9"/>
          <w:headerReference w:type="first" r:id="rId10"/>
          <w:footerReference w:type="first" r:id="rId11"/>
          <w:pgSz w:w="11906" w:h="16838"/>
          <w:pgMar w:top="2552" w:right="4109" w:bottom="1440" w:left="1440" w:header="708" w:footer="708" w:gutter="0"/>
          <w:cols w:space="708"/>
          <w:titlePg/>
          <w:docGrid w:linePitch="360"/>
        </w:sectPr>
      </w:pPr>
      <w:r w:rsidRPr="008D6E2F">
        <w:br w:type="page"/>
      </w:r>
    </w:p>
    <w:p w14:paraId="25477200" w14:textId="1436A58F" w:rsidR="003A429A" w:rsidRDefault="00302D5E">
      <w:pPr>
        <w:spacing w:before="0" w:after="160" w:line="259" w:lineRule="auto"/>
        <w:sectPr w:rsidR="003A429A" w:rsidSect="007B43E6">
          <w:headerReference w:type="default" r:id="rId12"/>
          <w:footerReference w:type="default" r:id="rId13"/>
          <w:headerReference w:type="first" r:id="rId14"/>
          <w:footerReference w:type="first" r:id="rId15"/>
          <w:type w:val="continuous"/>
          <w:pgSz w:w="11906" w:h="16838"/>
          <w:pgMar w:top="1560" w:right="1440" w:bottom="1440" w:left="1440" w:header="709" w:footer="709" w:gutter="0"/>
          <w:pgNumType w:fmt="lowerRoman" w:start="1"/>
          <w:cols w:space="708"/>
          <w:titlePg/>
          <w:docGrid w:linePitch="360"/>
        </w:sectPr>
      </w:pPr>
      <w:r>
        <w:rPr>
          <w:noProof/>
          <w:lang w:eastAsia="en-AU"/>
        </w:rPr>
        <w:lastRenderedPageBreak/>
        <w:drawing>
          <wp:anchor distT="0" distB="0" distL="114300" distR="114300" simplePos="0" relativeHeight="251883520" behindDoc="0" locked="0" layoutInCell="1" allowOverlap="1" wp14:anchorId="1C693B66" wp14:editId="284A0A8C">
            <wp:simplePos x="0" y="0"/>
            <wp:positionH relativeFrom="page">
              <wp:align>left</wp:align>
            </wp:positionH>
            <wp:positionV relativeFrom="page">
              <wp:align>top</wp:align>
            </wp:positionV>
            <wp:extent cx="15091200" cy="10674000"/>
            <wp:effectExtent l="0" t="0" r="0" b="0"/>
            <wp:wrapNone/>
            <wp:docPr id="352" name="Picture 352" descr="This infographics highlights data you will find in the report." title="Aircraft Manufacturing &amp; Repaire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702" t="1685"/>
                    <a:stretch/>
                  </pic:blipFill>
                  <pic:spPr bwMode="auto">
                    <a:xfrm>
                      <a:off x="0" y="0"/>
                      <a:ext cx="15091200" cy="1067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4A41" w:rsidRPr="00794A41" w:rsidDel="00794A41">
        <w:t xml:space="preserve"> </w:t>
      </w:r>
    </w:p>
    <w:p w14:paraId="259516BC" w14:textId="7C27922F" w:rsidR="006C3FE3" w:rsidRDefault="00302D5E" w:rsidP="006C3FE3">
      <w:pPr>
        <w:spacing w:before="0" w:after="160" w:line="259" w:lineRule="auto"/>
        <w:sectPr w:rsidR="006C3FE3" w:rsidSect="003A429A">
          <w:headerReference w:type="default" r:id="rId17"/>
          <w:footerReference w:type="default" r:id="rId18"/>
          <w:pgSz w:w="11906" w:h="16838"/>
          <w:pgMar w:top="1560" w:right="1440" w:bottom="1440" w:left="1440" w:header="709" w:footer="709" w:gutter="0"/>
          <w:pgNumType w:fmt="lowerRoman" w:start="1"/>
          <w:cols w:space="708"/>
          <w:titlePg/>
          <w:docGrid w:linePitch="360"/>
        </w:sectPr>
      </w:pPr>
      <w:bookmarkStart w:id="0" w:name="_GoBack"/>
      <w:r>
        <w:rPr>
          <w:noProof/>
          <w:lang w:eastAsia="en-AU"/>
        </w:rPr>
        <w:lastRenderedPageBreak/>
        <w:drawing>
          <wp:anchor distT="0" distB="0" distL="114300" distR="114300" simplePos="0" relativeHeight="251885568" behindDoc="0" locked="0" layoutInCell="1" allowOverlap="1" wp14:anchorId="15201475" wp14:editId="3B83652A">
            <wp:simplePos x="0" y="0"/>
            <wp:positionH relativeFrom="page">
              <wp:align>right</wp:align>
            </wp:positionH>
            <wp:positionV relativeFrom="page">
              <wp:align>top</wp:align>
            </wp:positionV>
            <wp:extent cx="15091200" cy="10674000"/>
            <wp:effectExtent l="0" t="0" r="0" b="0"/>
            <wp:wrapNone/>
            <wp:docPr id="353" name="Picture 353" descr="This infographics highlights data you will find in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702" t="1685"/>
                    <a:stretch/>
                  </pic:blipFill>
                  <pic:spPr bwMode="auto">
                    <a:xfrm>
                      <a:off x="0" y="0"/>
                      <a:ext cx="15091200" cy="1067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156CC4A9" w14:textId="6B70230F" w:rsidR="009617D3" w:rsidRPr="009617D3" w:rsidRDefault="009617D3" w:rsidP="009617D3">
      <w:pPr>
        <w:spacing w:before="0" w:after="160" w:line="259" w:lineRule="auto"/>
        <w:rPr>
          <w:b/>
          <w:i/>
          <w:sz w:val="16"/>
        </w:rPr>
      </w:pPr>
      <w:r w:rsidRPr="009617D3">
        <w:rPr>
          <w:b/>
          <w:i/>
          <w:sz w:val="16"/>
        </w:rPr>
        <w:lastRenderedPageBreak/>
        <w:t>Inherent Limitations</w:t>
      </w:r>
    </w:p>
    <w:p w14:paraId="08C131CF" w14:textId="77777777" w:rsidR="009617D3" w:rsidRPr="009617D3" w:rsidRDefault="009617D3" w:rsidP="009617D3">
      <w:pPr>
        <w:spacing w:before="0" w:after="160" w:line="259" w:lineRule="auto"/>
        <w:rPr>
          <w:i/>
          <w:sz w:val="16"/>
        </w:rPr>
      </w:pPr>
      <w:r w:rsidRPr="009617D3">
        <w:rPr>
          <w:i/>
          <w:sz w:val="16"/>
        </w:rPr>
        <w:t xml:space="preserve">This report has been prepared as outlined in the scope section. The services provided in connection with this engagement comprise an advisory engagement, which is not subject to assurance or other standards issued by the Australian Auditing and Assurance Standards Board and, consequently no opinions or conclusions intended to convey assurance have been expressed. </w:t>
      </w:r>
    </w:p>
    <w:p w14:paraId="76A07E54" w14:textId="77777777" w:rsidR="009617D3" w:rsidRPr="009617D3" w:rsidRDefault="009617D3" w:rsidP="009617D3">
      <w:pPr>
        <w:spacing w:before="0" w:after="160" w:line="259" w:lineRule="auto"/>
        <w:rPr>
          <w:i/>
          <w:sz w:val="16"/>
        </w:rPr>
      </w:pPr>
      <w:r w:rsidRPr="009617D3">
        <w:rPr>
          <w:i/>
          <w:sz w:val="16"/>
        </w:rPr>
        <w:t>No warranty of completeness, accuracy or reliability is given in relation to the statements and representations made by, and the information and documentation provided by stakeholders consulted as part of the process.</w:t>
      </w:r>
    </w:p>
    <w:p w14:paraId="061B5C33" w14:textId="77777777" w:rsidR="009617D3" w:rsidRPr="009617D3" w:rsidRDefault="009617D3" w:rsidP="009617D3">
      <w:pPr>
        <w:spacing w:before="0" w:after="160" w:line="259" w:lineRule="auto"/>
        <w:rPr>
          <w:i/>
          <w:sz w:val="16"/>
        </w:rPr>
      </w:pPr>
      <w:r w:rsidRPr="009617D3">
        <w:rPr>
          <w:i/>
          <w:sz w:val="16"/>
        </w:rPr>
        <w:t>KPMG have indicated within this report the sources of the information provided. We have not sought to independently verify those sources unless otherwise noted within the report.</w:t>
      </w:r>
    </w:p>
    <w:p w14:paraId="62ACB16B" w14:textId="77777777" w:rsidR="009617D3" w:rsidRPr="009617D3" w:rsidRDefault="009617D3" w:rsidP="009617D3">
      <w:pPr>
        <w:spacing w:before="0" w:after="160" w:line="259" w:lineRule="auto"/>
        <w:rPr>
          <w:i/>
          <w:sz w:val="16"/>
        </w:rPr>
      </w:pPr>
      <w:r w:rsidRPr="009617D3">
        <w:rPr>
          <w:i/>
          <w:sz w:val="16"/>
        </w:rPr>
        <w:t>KPMG is under no obligation in any circumstance to update this report, in either oral or written form, for events occurring after the report has been issued in final form.</w:t>
      </w:r>
    </w:p>
    <w:p w14:paraId="161F4C1C" w14:textId="77777777" w:rsidR="009617D3" w:rsidRPr="009617D3" w:rsidRDefault="009617D3" w:rsidP="009617D3">
      <w:pPr>
        <w:spacing w:before="0" w:after="160" w:line="259" w:lineRule="auto"/>
        <w:rPr>
          <w:i/>
          <w:sz w:val="16"/>
        </w:rPr>
      </w:pPr>
      <w:r w:rsidRPr="009617D3">
        <w:rPr>
          <w:i/>
          <w:sz w:val="16"/>
        </w:rPr>
        <w:t>The findings in this report have been formed on the above basis.</w:t>
      </w:r>
    </w:p>
    <w:p w14:paraId="49B799C6" w14:textId="77777777" w:rsidR="009617D3" w:rsidRPr="009617D3" w:rsidRDefault="009617D3" w:rsidP="009617D3">
      <w:pPr>
        <w:spacing w:before="0" w:after="160" w:line="259" w:lineRule="auto"/>
        <w:rPr>
          <w:b/>
          <w:i/>
          <w:sz w:val="16"/>
        </w:rPr>
      </w:pPr>
      <w:r w:rsidRPr="009617D3">
        <w:rPr>
          <w:b/>
          <w:i/>
          <w:sz w:val="16"/>
        </w:rPr>
        <w:t>Third Party Reliance</w:t>
      </w:r>
    </w:p>
    <w:p w14:paraId="23932556" w14:textId="77777777" w:rsidR="009617D3" w:rsidRPr="009617D3" w:rsidRDefault="009617D3" w:rsidP="009617D3">
      <w:pPr>
        <w:spacing w:before="0" w:after="160" w:line="259" w:lineRule="auto"/>
        <w:rPr>
          <w:i/>
          <w:sz w:val="16"/>
        </w:rPr>
      </w:pPr>
      <w:r w:rsidRPr="009617D3">
        <w:rPr>
          <w:i/>
          <w:sz w:val="16"/>
        </w:rPr>
        <w:t>This report is solely for the purpose set out in the Scope Section and for the Department of Industry, Innovation and Science information, and is not to be used for any other purpose or distributed to any other party without KPMG’s prior written consent.</w:t>
      </w:r>
    </w:p>
    <w:p w14:paraId="51F4305D" w14:textId="5F0C1700" w:rsidR="009617D3" w:rsidRDefault="009617D3" w:rsidP="009617D3">
      <w:pPr>
        <w:spacing w:before="0" w:after="160" w:line="259" w:lineRule="auto"/>
        <w:rPr>
          <w:i/>
          <w:sz w:val="16"/>
        </w:rPr>
      </w:pPr>
      <w:r w:rsidRPr="009617D3">
        <w:rPr>
          <w:i/>
          <w:sz w:val="16"/>
        </w:rPr>
        <w:t>This report has been prepared at the request of the Department of Industry, Innovation and Science in accordance with the terms of KPMG’s engagement contract dated 24 July 2018. Other than our responsibility to the Department of Industry, Innovation and Science, neither KPMG nor any member or employee of KPMG undertakes responsibility arising in any way from reliance placed by a third party on this report. Any reliance placed is that party’s sole responsibility.</w:t>
      </w:r>
    </w:p>
    <w:p w14:paraId="0881724B" w14:textId="6BB5632C" w:rsidR="00A50756" w:rsidRDefault="00A50756" w:rsidP="00A50756">
      <w:pPr>
        <w:spacing w:before="0" w:after="160" w:line="259" w:lineRule="auto"/>
        <w:rPr>
          <w:b/>
          <w:i/>
          <w:sz w:val="16"/>
        </w:rPr>
      </w:pPr>
      <w:r>
        <w:rPr>
          <w:b/>
          <w:i/>
          <w:sz w:val="16"/>
        </w:rPr>
        <w:t>Accessibility</w:t>
      </w:r>
    </w:p>
    <w:p w14:paraId="2584AB2D" w14:textId="6B86EA20" w:rsidR="009617D3" w:rsidRDefault="00A50756" w:rsidP="006C3FE3">
      <w:pPr>
        <w:spacing w:before="0" w:after="160" w:line="259" w:lineRule="auto"/>
      </w:pPr>
      <w:r w:rsidRPr="00A50756">
        <w:rPr>
          <w:i/>
          <w:iCs/>
          <w:sz w:val="16"/>
        </w:rPr>
        <w:t>To comply with the Commonwealth Government’s accessibility requirements for publishing on the internet, two versions of this Report</w:t>
      </w:r>
      <w:r>
        <w:rPr>
          <w:i/>
          <w:iCs/>
          <w:sz w:val="16"/>
        </w:rPr>
        <w:t xml:space="preserve"> </w:t>
      </w:r>
      <w:r w:rsidRPr="00A50756">
        <w:rPr>
          <w:i/>
          <w:iCs/>
          <w:sz w:val="16"/>
        </w:rPr>
        <w:t>are available: a KPMG-branded PDF version and an unbranded Microsoft Word version. The KPMG-branded PDF version of this Report remains the definitive version of this Report.</w:t>
      </w:r>
    </w:p>
    <w:p w14:paraId="6DA796AA" w14:textId="77777777" w:rsidR="009617D3" w:rsidRPr="00BD508C" w:rsidRDefault="009617D3" w:rsidP="006C3FE3">
      <w:pPr>
        <w:spacing w:before="0" w:after="160" w:line="259" w:lineRule="auto"/>
        <w:sectPr w:rsidR="009617D3" w:rsidRPr="00BD508C" w:rsidSect="009617D3">
          <w:footerReference w:type="first" r:id="rId19"/>
          <w:pgSz w:w="11906" w:h="16838"/>
          <w:pgMar w:top="8647" w:right="1440" w:bottom="1440" w:left="1440" w:header="709" w:footer="709" w:gutter="0"/>
          <w:pgNumType w:fmt="lowerRoman" w:start="1"/>
          <w:cols w:space="708"/>
          <w:titlePg/>
          <w:docGrid w:linePitch="360"/>
        </w:sectPr>
      </w:pPr>
    </w:p>
    <w:sdt>
      <w:sdtPr>
        <w:rPr>
          <w:noProof/>
          <w:color w:val="FFFFFF" w:themeColor="background1"/>
          <w:sz w:val="16"/>
          <w:szCs w:val="20"/>
          <w:lang w:eastAsia="en-AU"/>
        </w:rPr>
        <w:id w:val="945808376"/>
        <w:docPartObj>
          <w:docPartGallery w:val="Table of Contents"/>
          <w:docPartUnique/>
        </w:docPartObj>
      </w:sdtPr>
      <w:sdtEndPr/>
      <w:sdtContent>
        <w:p w14:paraId="3B279966" w14:textId="77777777" w:rsidR="004E16E2" w:rsidRDefault="004E16E2" w:rsidP="000F44EC">
          <w:pPr>
            <w:spacing w:before="0" w:after="160"/>
            <w:rPr>
              <w:noProof/>
              <w:color w:val="FFFFFF" w:themeColor="background1"/>
              <w:sz w:val="16"/>
              <w:szCs w:val="20"/>
              <w:lang w:eastAsia="en-AU"/>
            </w:rPr>
          </w:pPr>
        </w:p>
        <w:p w14:paraId="7934A888" w14:textId="77777777" w:rsidR="004E16E2" w:rsidRDefault="004E16E2" w:rsidP="000F44EC">
          <w:pPr>
            <w:spacing w:before="0" w:after="160"/>
            <w:rPr>
              <w:noProof/>
              <w:color w:val="FFFFFF" w:themeColor="background1"/>
              <w:sz w:val="16"/>
              <w:szCs w:val="20"/>
              <w:lang w:eastAsia="en-AU"/>
            </w:rPr>
          </w:pPr>
        </w:p>
        <w:p w14:paraId="7432585F" w14:textId="77777777" w:rsidR="004E16E2" w:rsidRDefault="004E16E2" w:rsidP="000F44EC">
          <w:pPr>
            <w:spacing w:before="0" w:after="160"/>
            <w:rPr>
              <w:noProof/>
              <w:color w:val="FFFFFF" w:themeColor="background1"/>
              <w:sz w:val="16"/>
              <w:szCs w:val="20"/>
              <w:lang w:eastAsia="en-AU"/>
            </w:rPr>
          </w:pPr>
        </w:p>
        <w:p w14:paraId="4A75352A" w14:textId="77777777" w:rsidR="000B4BDE" w:rsidRPr="007B43E6" w:rsidRDefault="000B4BDE" w:rsidP="005A2D34">
          <w:pPr>
            <w:pStyle w:val="Heading1Noshow"/>
            <w:rPr>
              <w:lang w:val="en-US"/>
            </w:rPr>
          </w:pPr>
          <w:r w:rsidRPr="007B43E6">
            <w:rPr>
              <w:lang w:val="en-US"/>
            </w:rPr>
            <w:t>Table of Contents</w:t>
          </w:r>
        </w:p>
        <w:p w14:paraId="1106EFB5" w14:textId="77777777" w:rsidR="00F61026" w:rsidRDefault="000B4BDE">
          <w:pPr>
            <w:pStyle w:val="TOC2"/>
            <w:rPr>
              <w:rFonts w:asciiTheme="minorHAnsi" w:eastAsiaTheme="minorEastAsia" w:hAnsiTheme="minorHAnsi"/>
              <w:b w:val="0"/>
              <w:noProof/>
              <w:sz w:val="22"/>
              <w:lang w:eastAsia="en-AU"/>
            </w:rPr>
          </w:pPr>
          <w:r>
            <w:rPr>
              <w:b w:val="0"/>
            </w:rPr>
            <w:fldChar w:fldCharType="begin"/>
          </w:r>
          <w:r>
            <w:instrText xml:space="preserve"> TOC \o "1-3" \h \z \u </w:instrText>
          </w:r>
          <w:r>
            <w:rPr>
              <w:b w:val="0"/>
            </w:rPr>
            <w:fldChar w:fldCharType="separate"/>
          </w:r>
          <w:hyperlink w:anchor="_Toc26537881" w:history="1">
            <w:r w:rsidR="00F61026" w:rsidRPr="004608D2">
              <w:rPr>
                <w:rStyle w:val="Hyperlink"/>
                <w:noProof/>
              </w:rPr>
              <w:t>Executive Summary</w:t>
            </w:r>
            <w:r w:rsidR="00F61026">
              <w:rPr>
                <w:noProof/>
                <w:webHidden/>
              </w:rPr>
              <w:tab/>
            </w:r>
            <w:r w:rsidR="00F61026">
              <w:rPr>
                <w:noProof/>
                <w:webHidden/>
              </w:rPr>
              <w:fldChar w:fldCharType="begin"/>
            </w:r>
            <w:r w:rsidR="00F61026">
              <w:rPr>
                <w:noProof/>
                <w:webHidden/>
              </w:rPr>
              <w:instrText xml:space="preserve"> PAGEREF _Toc26537881 \h </w:instrText>
            </w:r>
            <w:r w:rsidR="00F61026">
              <w:rPr>
                <w:noProof/>
                <w:webHidden/>
              </w:rPr>
            </w:r>
            <w:r w:rsidR="00F61026">
              <w:rPr>
                <w:noProof/>
                <w:webHidden/>
              </w:rPr>
              <w:fldChar w:fldCharType="separate"/>
            </w:r>
            <w:r w:rsidR="00D732D7">
              <w:rPr>
                <w:noProof/>
                <w:webHidden/>
              </w:rPr>
              <w:t>i</w:t>
            </w:r>
            <w:r w:rsidR="00F61026">
              <w:rPr>
                <w:noProof/>
                <w:webHidden/>
              </w:rPr>
              <w:fldChar w:fldCharType="end"/>
            </w:r>
          </w:hyperlink>
        </w:p>
        <w:p w14:paraId="5226AB40" w14:textId="77777777" w:rsidR="00F61026" w:rsidRDefault="00FD67F9">
          <w:pPr>
            <w:pStyle w:val="TOC2"/>
            <w:rPr>
              <w:rFonts w:asciiTheme="minorHAnsi" w:eastAsiaTheme="minorEastAsia" w:hAnsiTheme="minorHAnsi"/>
              <w:b w:val="0"/>
              <w:noProof/>
              <w:sz w:val="22"/>
              <w:lang w:eastAsia="en-AU"/>
            </w:rPr>
          </w:pPr>
          <w:hyperlink w:anchor="_Toc26537882" w:history="1">
            <w:r w:rsidR="00F61026" w:rsidRPr="004608D2">
              <w:rPr>
                <w:rStyle w:val="Hyperlink"/>
                <w:noProof/>
              </w:rPr>
              <w:t>Introduction</w:t>
            </w:r>
            <w:r w:rsidR="00F61026">
              <w:rPr>
                <w:noProof/>
                <w:webHidden/>
              </w:rPr>
              <w:tab/>
            </w:r>
            <w:r w:rsidR="00F61026">
              <w:rPr>
                <w:noProof/>
                <w:webHidden/>
              </w:rPr>
              <w:fldChar w:fldCharType="begin"/>
            </w:r>
            <w:r w:rsidR="00F61026">
              <w:rPr>
                <w:noProof/>
                <w:webHidden/>
              </w:rPr>
              <w:instrText xml:space="preserve"> PAGEREF _Toc26537882 \h </w:instrText>
            </w:r>
            <w:r w:rsidR="00F61026">
              <w:rPr>
                <w:noProof/>
                <w:webHidden/>
              </w:rPr>
            </w:r>
            <w:r w:rsidR="00F61026">
              <w:rPr>
                <w:noProof/>
                <w:webHidden/>
              </w:rPr>
              <w:fldChar w:fldCharType="separate"/>
            </w:r>
            <w:r w:rsidR="00D732D7">
              <w:rPr>
                <w:noProof/>
                <w:webHidden/>
              </w:rPr>
              <w:t>1</w:t>
            </w:r>
            <w:r w:rsidR="00F61026">
              <w:rPr>
                <w:noProof/>
                <w:webHidden/>
              </w:rPr>
              <w:fldChar w:fldCharType="end"/>
            </w:r>
          </w:hyperlink>
        </w:p>
        <w:p w14:paraId="30848E71" w14:textId="77777777" w:rsidR="00F61026" w:rsidRDefault="00FD67F9">
          <w:pPr>
            <w:pStyle w:val="TOC3"/>
            <w:rPr>
              <w:rFonts w:asciiTheme="minorHAnsi" w:eastAsiaTheme="minorEastAsia" w:hAnsiTheme="minorHAnsi"/>
              <w:noProof/>
              <w:sz w:val="22"/>
              <w:lang w:eastAsia="en-AU"/>
            </w:rPr>
          </w:pPr>
          <w:hyperlink w:anchor="_Toc26537883" w:history="1">
            <w:r w:rsidR="00F61026" w:rsidRPr="004608D2">
              <w:rPr>
                <w:rStyle w:val="Hyperlink"/>
                <w:noProof/>
              </w:rPr>
              <w:t>Scope</w:t>
            </w:r>
            <w:r w:rsidR="00F61026">
              <w:rPr>
                <w:noProof/>
                <w:webHidden/>
              </w:rPr>
              <w:tab/>
            </w:r>
            <w:r w:rsidR="00F61026">
              <w:rPr>
                <w:noProof/>
                <w:webHidden/>
              </w:rPr>
              <w:fldChar w:fldCharType="begin"/>
            </w:r>
            <w:r w:rsidR="00F61026">
              <w:rPr>
                <w:noProof/>
                <w:webHidden/>
              </w:rPr>
              <w:instrText xml:space="preserve"> PAGEREF _Toc26537883 \h </w:instrText>
            </w:r>
            <w:r w:rsidR="00F61026">
              <w:rPr>
                <w:noProof/>
                <w:webHidden/>
              </w:rPr>
            </w:r>
            <w:r w:rsidR="00F61026">
              <w:rPr>
                <w:noProof/>
                <w:webHidden/>
              </w:rPr>
              <w:fldChar w:fldCharType="separate"/>
            </w:r>
            <w:r w:rsidR="00D732D7">
              <w:rPr>
                <w:noProof/>
                <w:webHidden/>
              </w:rPr>
              <w:t>1</w:t>
            </w:r>
            <w:r w:rsidR="00F61026">
              <w:rPr>
                <w:noProof/>
                <w:webHidden/>
              </w:rPr>
              <w:fldChar w:fldCharType="end"/>
            </w:r>
          </w:hyperlink>
        </w:p>
        <w:p w14:paraId="685956DF" w14:textId="77777777" w:rsidR="00F61026" w:rsidRDefault="00FD67F9">
          <w:pPr>
            <w:pStyle w:val="TOC3"/>
            <w:rPr>
              <w:rFonts w:asciiTheme="minorHAnsi" w:eastAsiaTheme="minorEastAsia" w:hAnsiTheme="minorHAnsi"/>
              <w:noProof/>
              <w:sz w:val="22"/>
              <w:lang w:eastAsia="en-AU"/>
            </w:rPr>
          </w:pPr>
          <w:hyperlink w:anchor="_Toc26537884" w:history="1">
            <w:r w:rsidR="00F61026" w:rsidRPr="004608D2">
              <w:rPr>
                <w:rStyle w:val="Hyperlink"/>
                <w:noProof/>
              </w:rPr>
              <w:t>Report structure</w:t>
            </w:r>
            <w:r w:rsidR="00F61026">
              <w:rPr>
                <w:noProof/>
                <w:webHidden/>
              </w:rPr>
              <w:tab/>
            </w:r>
            <w:r w:rsidR="00F61026">
              <w:rPr>
                <w:noProof/>
                <w:webHidden/>
              </w:rPr>
              <w:fldChar w:fldCharType="begin"/>
            </w:r>
            <w:r w:rsidR="00F61026">
              <w:rPr>
                <w:noProof/>
                <w:webHidden/>
              </w:rPr>
              <w:instrText xml:space="preserve"> PAGEREF _Toc26537884 \h </w:instrText>
            </w:r>
            <w:r w:rsidR="00F61026">
              <w:rPr>
                <w:noProof/>
                <w:webHidden/>
              </w:rPr>
            </w:r>
            <w:r w:rsidR="00F61026">
              <w:rPr>
                <w:noProof/>
                <w:webHidden/>
              </w:rPr>
              <w:fldChar w:fldCharType="separate"/>
            </w:r>
            <w:r w:rsidR="00D732D7">
              <w:rPr>
                <w:noProof/>
                <w:webHidden/>
              </w:rPr>
              <w:t>2</w:t>
            </w:r>
            <w:r w:rsidR="00F61026">
              <w:rPr>
                <w:noProof/>
                <w:webHidden/>
              </w:rPr>
              <w:fldChar w:fldCharType="end"/>
            </w:r>
          </w:hyperlink>
        </w:p>
        <w:p w14:paraId="46669056" w14:textId="77777777" w:rsidR="00F61026" w:rsidRDefault="00FD67F9">
          <w:pPr>
            <w:pStyle w:val="TOC2"/>
            <w:rPr>
              <w:rFonts w:asciiTheme="minorHAnsi" w:eastAsiaTheme="minorEastAsia" w:hAnsiTheme="minorHAnsi"/>
              <w:b w:val="0"/>
              <w:noProof/>
              <w:sz w:val="22"/>
              <w:lang w:eastAsia="en-AU"/>
            </w:rPr>
          </w:pPr>
          <w:hyperlink w:anchor="_Toc26537885" w:history="1">
            <w:r w:rsidR="00F61026" w:rsidRPr="004608D2">
              <w:rPr>
                <w:rStyle w:val="Hyperlink"/>
                <w:noProof/>
              </w:rPr>
              <w:t>The Aircraft Manufacturing Industry in Australia</w:t>
            </w:r>
            <w:r w:rsidR="00F61026">
              <w:rPr>
                <w:noProof/>
                <w:webHidden/>
              </w:rPr>
              <w:tab/>
            </w:r>
            <w:r w:rsidR="00F61026">
              <w:rPr>
                <w:noProof/>
                <w:webHidden/>
              </w:rPr>
              <w:fldChar w:fldCharType="begin"/>
            </w:r>
            <w:r w:rsidR="00F61026">
              <w:rPr>
                <w:noProof/>
                <w:webHidden/>
              </w:rPr>
              <w:instrText xml:space="preserve"> PAGEREF _Toc26537885 \h </w:instrText>
            </w:r>
            <w:r w:rsidR="00F61026">
              <w:rPr>
                <w:noProof/>
                <w:webHidden/>
              </w:rPr>
            </w:r>
            <w:r w:rsidR="00F61026">
              <w:rPr>
                <w:noProof/>
                <w:webHidden/>
              </w:rPr>
              <w:fldChar w:fldCharType="separate"/>
            </w:r>
            <w:r w:rsidR="00D732D7">
              <w:rPr>
                <w:noProof/>
                <w:webHidden/>
              </w:rPr>
              <w:t>5</w:t>
            </w:r>
            <w:r w:rsidR="00F61026">
              <w:rPr>
                <w:noProof/>
                <w:webHidden/>
              </w:rPr>
              <w:fldChar w:fldCharType="end"/>
            </w:r>
          </w:hyperlink>
        </w:p>
        <w:p w14:paraId="67BC1F96" w14:textId="77777777" w:rsidR="00F61026" w:rsidRDefault="00FD67F9">
          <w:pPr>
            <w:pStyle w:val="TOC3"/>
            <w:rPr>
              <w:rFonts w:asciiTheme="minorHAnsi" w:eastAsiaTheme="minorEastAsia" w:hAnsiTheme="minorHAnsi"/>
              <w:noProof/>
              <w:sz w:val="22"/>
              <w:lang w:eastAsia="en-AU"/>
            </w:rPr>
          </w:pPr>
          <w:hyperlink w:anchor="_Toc26537886" w:history="1">
            <w:r w:rsidR="00F61026" w:rsidRPr="004608D2">
              <w:rPr>
                <w:rStyle w:val="Hyperlink"/>
                <w:noProof/>
              </w:rPr>
              <w:t>Australia's capabilities in the Aircraft Manufacturing industry</w:t>
            </w:r>
            <w:r w:rsidR="00F61026">
              <w:rPr>
                <w:noProof/>
                <w:webHidden/>
              </w:rPr>
              <w:tab/>
            </w:r>
            <w:r w:rsidR="00F61026">
              <w:rPr>
                <w:noProof/>
                <w:webHidden/>
              </w:rPr>
              <w:fldChar w:fldCharType="begin"/>
            </w:r>
            <w:r w:rsidR="00F61026">
              <w:rPr>
                <w:noProof/>
                <w:webHidden/>
              </w:rPr>
              <w:instrText xml:space="preserve"> PAGEREF _Toc26537886 \h </w:instrText>
            </w:r>
            <w:r w:rsidR="00F61026">
              <w:rPr>
                <w:noProof/>
                <w:webHidden/>
              </w:rPr>
            </w:r>
            <w:r w:rsidR="00F61026">
              <w:rPr>
                <w:noProof/>
                <w:webHidden/>
              </w:rPr>
              <w:fldChar w:fldCharType="separate"/>
            </w:r>
            <w:r w:rsidR="00D732D7">
              <w:rPr>
                <w:noProof/>
                <w:webHidden/>
              </w:rPr>
              <w:t>5</w:t>
            </w:r>
            <w:r w:rsidR="00F61026">
              <w:rPr>
                <w:noProof/>
                <w:webHidden/>
              </w:rPr>
              <w:fldChar w:fldCharType="end"/>
            </w:r>
          </w:hyperlink>
        </w:p>
        <w:p w14:paraId="3714B05C" w14:textId="77777777" w:rsidR="00F61026" w:rsidRDefault="00FD67F9">
          <w:pPr>
            <w:pStyle w:val="TOC3"/>
            <w:rPr>
              <w:rFonts w:asciiTheme="minorHAnsi" w:eastAsiaTheme="minorEastAsia" w:hAnsiTheme="minorHAnsi"/>
              <w:noProof/>
              <w:sz w:val="22"/>
              <w:lang w:eastAsia="en-AU"/>
            </w:rPr>
          </w:pPr>
          <w:hyperlink w:anchor="_Toc26537887" w:history="1">
            <w:r w:rsidR="00F61026" w:rsidRPr="004608D2">
              <w:rPr>
                <w:rStyle w:val="Hyperlink"/>
                <w:noProof/>
              </w:rPr>
              <w:t>Company innovation and investment in research and development</w:t>
            </w:r>
            <w:r w:rsidR="00F61026">
              <w:rPr>
                <w:noProof/>
                <w:webHidden/>
              </w:rPr>
              <w:tab/>
            </w:r>
            <w:r w:rsidR="00F61026">
              <w:rPr>
                <w:noProof/>
                <w:webHidden/>
              </w:rPr>
              <w:fldChar w:fldCharType="begin"/>
            </w:r>
            <w:r w:rsidR="00F61026">
              <w:rPr>
                <w:noProof/>
                <w:webHidden/>
              </w:rPr>
              <w:instrText xml:space="preserve"> PAGEREF _Toc26537887 \h </w:instrText>
            </w:r>
            <w:r w:rsidR="00F61026">
              <w:rPr>
                <w:noProof/>
                <w:webHidden/>
              </w:rPr>
            </w:r>
            <w:r w:rsidR="00F61026">
              <w:rPr>
                <w:noProof/>
                <w:webHidden/>
              </w:rPr>
              <w:fldChar w:fldCharType="separate"/>
            </w:r>
            <w:r w:rsidR="00D732D7">
              <w:rPr>
                <w:noProof/>
                <w:webHidden/>
              </w:rPr>
              <w:t>13</w:t>
            </w:r>
            <w:r w:rsidR="00F61026">
              <w:rPr>
                <w:noProof/>
                <w:webHidden/>
              </w:rPr>
              <w:fldChar w:fldCharType="end"/>
            </w:r>
          </w:hyperlink>
        </w:p>
        <w:p w14:paraId="2FBE7E5B" w14:textId="77777777" w:rsidR="00F61026" w:rsidRDefault="00FD67F9">
          <w:pPr>
            <w:pStyle w:val="TOC3"/>
            <w:rPr>
              <w:rFonts w:asciiTheme="minorHAnsi" w:eastAsiaTheme="minorEastAsia" w:hAnsiTheme="minorHAnsi"/>
              <w:noProof/>
              <w:sz w:val="22"/>
              <w:lang w:eastAsia="en-AU"/>
            </w:rPr>
          </w:pPr>
          <w:hyperlink w:anchor="_Toc26537888" w:history="1">
            <w:r w:rsidR="00F61026" w:rsidRPr="004608D2">
              <w:rPr>
                <w:rStyle w:val="Hyperlink"/>
                <w:noProof/>
              </w:rPr>
              <w:t>International markets and supply chains</w:t>
            </w:r>
            <w:r w:rsidR="00F61026">
              <w:rPr>
                <w:noProof/>
                <w:webHidden/>
              </w:rPr>
              <w:tab/>
            </w:r>
            <w:r w:rsidR="00F61026">
              <w:rPr>
                <w:noProof/>
                <w:webHidden/>
              </w:rPr>
              <w:fldChar w:fldCharType="begin"/>
            </w:r>
            <w:r w:rsidR="00F61026">
              <w:rPr>
                <w:noProof/>
                <w:webHidden/>
              </w:rPr>
              <w:instrText xml:space="preserve"> PAGEREF _Toc26537888 \h </w:instrText>
            </w:r>
            <w:r w:rsidR="00F61026">
              <w:rPr>
                <w:noProof/>
                <w:webHidden/>
              </w:rPr>
            </w:r>
            <w:r w:rsidR="00F61026">
              <w:rPr>
                <w:noProof/>
                <w:webHidden/>
              </w:rPr>
              <w:fldChar w:fldCharType="separate"/>
            </w:r>
            <w:r w:rsidR="00D732D7">
              <w:rPr>
                <w:noProof/>
                <w:webHidden/>
              </w:rPr>
              <w:t>17</w:t>
            </w:r>
            <w:r w:rsidR="00F61026">
              <w:rPr>
                <w:noProof/>
                <w:webHidden/>
              </w:rPr>
              <w:fldChar w:fldCharType="end"/>
            </w:r>
          </w:hyperlink>
        </w:p>
        <w:p w14:paraId="3A024718" w14:textId="77777777" w:rsidR="00F61026" w:rsidRDefault="00FD67F9">
          <w:pPr>
            <w:pStyle w:val="TOC3"/>
            <w:rPr>
              <w:rFonts w:asciiTheme="minorHAnsi" w:eastAsiaTheme="minorEastAsia" w:hAnsiTheme="minorHAnsi"/>
              <w:noProof/>
              <w:sz w:val="22"/>
              <w:lang w:eastAsia="en-AU"/>
            </w:rPr>
          </w:pPr>
          <w:hyperlink w:anchor="_Toc26537889" w:history="1">
            <w:r w:rsidR="00F61026" w:rsidRPr="004608D2">
              <w:rPr>
                <w:rStyle w:val="Hyperlink"/>
                <w:noProof/>
              </w:rPr>
              <w:t>Growth opportunities and barriers</w:t>
            </w:r>
            <w:r w:rsidR="00F61026">
              <w:rPr>
                <w:noProof/>
                <w:webHidden/>
              </w:rPr>
              <w:tab/>
            </w:r>
            <w:r w:rsidR="00F61026">
              <w:rPr>
                <w:noProof/>
                <w:webHidden/>
              </w:rPr>
              <w:fldChar w:fldCharType="begin"/>
            </w:r>
            <w:r w:rsidR="00F61026">
              <w:rPr>
                <w:noProof/>
                <w:webHidden/>
              </w:rPr>
              <w:instrText xml:space="preserve"> PAGEREF _Toc26537889 \h </w:instrText>
            </w:r>
            <w:r w:rsidR="00F61026">
              <w:rPr>
                <w:noProof/>
                <w:webHidden/>
              </w:rPr>
            </w:r>
            <w:r w:rsidR="00F61026">
              <w:rPr>
                <w:noProof/>
                <w:webHidden/>
              </w:rPr>
              <w:fldChar w:fldCharType="separate"/>
            </w:r>
            <w:r w:rsidR="00D732D7">
              <w:rPr>
                <w:noProof/>
                <w:webHidden/>
              </w:rPr>
              <w:t>19</w:t>
            </w:r>
            <w:r w:rsidR="00F61026">
              <w:rPr>
                <w:noProof/>
                <w:webHidden/>
              </w:rPr>
              <w:fldChar w:fldCharType="end"/>
            </w:r>
          </w:hyperlink>
        </w:p>
        <w:p w14:paraId="046E3BFD" w14:textId="77777777" w:rsidR="00F61026" w:rsidRDefault="00FD67F9">
          <w:pPr>
            <w:pStyle w:val="TOC2"/>
            <w:rPr>
              <w:rFonts w:asciiTheme="minorHAnsi" w:eastAsiaTheme="minorEastAsia" w:hAnsiTheme="minorHAnsi"/>
              <w:b w:val="0"/>
              <w:noProof/>
              <w:sz w:val="22"/>
              <w:lang w:eastAsia="en-AU"/>
            </w:rPr>
          </w:pPr>
          <w:hyperlink w:anchor="_Toc26537890" w:history="1">
            <w:r w:rsidR="00F61026" w:rsidRPr="004608D2">
              <w:rPr>
                <w:rStyle w:val="Hyperlink"/>
                <w:noProof/>
              </w:rPr>
              <w:t>Economic Profile of the Aircraft Manufacturing Industry</w:t>
            </w:r>
            <w:r w:rsidR="00F61026">
              <w:rPr>
                <w:noProof/>
                <w:webHidden/>
              </w:rPr>
              <w:tab/>
            </w:r>
            <w:r w:rsidR="00F61026">
              <w:rPr>
                <w:noProof/>
                <w:webHidden/>
              </w:rPr>
              <w:fldChar w:fldCharType="begin"/>
            </w:r>
            <w:r w:rsidR="00F61026">
              <w:rPr>
                <w:noProof/>
                <w:webHidden/>
              </w:rPr>
              <w:instrText xml:space="preserve"> PAGEREF _Toc26537890 \h </w:instrText>
            </w:r>
            <w:r w:rsidR="00F61026">
              <w:rPr>
                <w:noProof/>
                <w:webHidden/>
              </w:rPr>
            </w:r>
            <w:r w:rsidR="00F61026">
              <w:rPr>
                <w:noProof/>
                <w:webHidden/>
              </w:rPr>
              <w:fldChar w:fldCharType="separate"/>
            </w:r>
            <w:r w:rsidR="00D732D7">
              <w:rPr>
                <w:noProof/>
                <w:webHidden/>
              </w:rPr>
              <w:t>25</w:t>
            </w:r>
            <w:r w:rsidR="00F61026">
              <w:rPr>
                <w:noProof/>
                <w:webHidden/>
              </w:rPr>
              <w:fldChar w:fldCharType="end"/>
            </w:r>
          </w:hyperlink>
        </w:p>
        <w:p w14:paraId="14000B57" w14:textId="77777777" w:rsidR="00F61026" w:rsidRDefault="00FD67F9">
          <w:pPr>
            <w:pStyle w:val="TOC3"/>
            <w:rPr>
              <w:rFonts w:asciiTheme="minorHAnsi" w:eastAsiaTheme="minorEastAsia" w:hAnsiTheme="minorHAnsi"/>
              <w:noProof/>
              <w:sz w:val="22"/>
              <w:lang w:eastAsia="en-AU"/>
            </w:rPr>
          </w:pPr>
          <w:hyperlink w:anchor="_Toc26537891" w:history="1">
            <w:r w:rsidR="00F61026" w:rsidRPr="004608D2">
              <w:rPr>
                <w:rStyle w:val="Hyperlink"/>
                <w:noProof/>
              </w:rPr>
              <w:t>Business locations</w:t>
            </w:r>
            <w:r w:rsidR="00F61026">
              <w:rPr>
                <w:noProof/>
                <w:webHidden/>
              </w:rPr>
              <w:tab/>
            </w:r>
            <w:r w:rsidR="00F61026">
              <w:rPr>
                <w:noProof/>
                <w:webHidden/>
              </w:rPr>
              <w:fldChar w:fldCharType="begin"/>
            </w:r>
            <w:r w:rsidR="00F61026">
              <w:rPr>
                <w:noProof/>
                <w:webHidden/>
              </w:rPr>
              <w:instrText xml:space="preserve"> PAGEREF _Toc26537891 \h </w:instrText>
            </w:r>
            <w:r w:rsidR="00F61026">
              <w:rPr>
                <w:noProof/>
                <w:webHidden/>
              </w:rPr>
            </w:r>
            <w:r w:rsidR="00F61026">
              <w:rPr>
                <w:noProof/>
                <w:webHidden/>
              </w:rPr>
              <w:fldChar w:fldCharType="separate"/>
            </w:r>
            <w:r w:rsidR="00D732D7">
              <w:rPr>
                <w:noProof/>
                <w:webHidden/>
              </w:rPr>
              <w:t>25</w:t>
            </w:r>
            <w:r w:rsidR="00F61026">
              <w:rPr>
                <w:noProof/>
                <w:webHidden/>
              </w:rPr>
              <w:fldChar w:fldCharType="end"/>
            </w:r>
          </w:hyperlink>
        </w:p>
        <w:p w14:paraId="60BFC572" w14:textId="77777777" w:rsidR="00F61026" w:rsidRDefault="00FD67F9">
          <w:pPr>
            <w:pStyle w:val="TOC3"/>
            <w:rPr>
              <w:rFonts w:asciiTheme="minorHAnsi" w:eastAsiaTheme="minorEastAsia" w:hAnsiTheme="minorHAnsi"/>
              <w:noProof/>
              <w:sz w:val="22"/>
              <w:lang w:eastAsia="en-AU"/>
            </w:rPr>
          </w:pPr>
          <w:hyperlink w:anchor="_Toc26537892" w:history="1">
            <w:r w:rsidR="00F61026" w:rsidRPr="004608D2">
              <w:rPr>
                <w:rStyle w:val="Hyperlink"/>
                <w:noProof/>
              </w:rPr>
              <w:t>Direct employment</w:t>
            </w:r>
            <w:r w:rsidR="00F61026">
              <w:rPr>
                <w:noProof/>
                <w:webHidden/>
              </w:rPr>
              <w:tab/>
            </w:r>
            <w:r w:rsidR="00F61026">
              <w:rPr>
                <w:noProof/>
                <w:webHidden/>
              </w:rPr>
              <w:fldChar w:fldCharType="begin"/>
            </w:r>
            <w:r w:rsidR="00F61026">
              <w:rPr>
                <w:noProof/>
                <w:webHidden/>
              </w:rPr>
              <w:instrText xml:space="preserve"> PAGEREF _Toc26537892 \h </w:instrText>
            </w:r>
            <w:r w:rsidR="00F61026">
              <w:rPr>
                <w:noProof/>
                <w:webHidden/>
              </w:rPr>
            </w:r>
            <w:r w:rsidR="00F61026">
              <w:rPr>
                <w:noProof/>
                <w:webHidden/>
              </w:rPr>
              <w:fldChar w:fldCharType="separate"/>
            </w:r>
            <w:r w:rsidR="00D732D7">
              <w:rPr>
                <w:noProof/>
                <w:webHidden/>
              </w:rPr>
              <w:t>28</w:t>
            </w:r>
            <w:r w:rsidR="00F61026">
              <w:rPr>
                <w:noProof/>
                <w:webHidden/>
              </w:rPr>
              <w:fldChar w:fldCharType="end"/>
            </w:r>
          </w:hyperlink>
        </w:p>
        <w:p w14:paraId="38069323" w14:textId="77777777" w:rsidR="00F61026" w:rsidRDefault="00FD67F9">
          <w:pPr>
            <w:pStyle w:val="TOC3"/>
            <w:rPr>
              <w:rFonts w:asciiTheme="minorHAnsi" w:eastAsiaTheme="minorEastAsia" w:hAnsiTheme="minorHAnsi"/>
              <w:noProof/>
              <w:sz w:val="22"/>
              <w:lang w:eastAsia="en-AU"/>
            </w:rPr>
          </w:pPr>
          <w:hyperlink w:anchor="_Toc26537893" w:history="1">
            <w:r w:rsidR="00F61026" w:rsidRPr="004608D2">
              <w:rPr>
                <w:rStyle w:val="Hyperlink"/>
                <w:noProof/>
              </w:rPr>
              <w:t>Value added</w:t>
            </w:r>
            <w:r w:rsidR="00F61026">
              <w:rPr>
                <w:noProof/>
                <w:webHidden/>
              </w:rPr>
              <w:tab/>
            </w:r>
            <w:r w:rsidR="00F61026">
              <w:rPr>
                <w:noProof/>
                <w:webHidden/>
              </w:rPr>
              <w:fldChar w:fldCharType="begin"/>
            </w:r>
            <w:r w:rsidR="00F61026">
              <w:rPr>
                <w:noProof/>
                <w:webHidden/>
              </w:rPr>
              <w:instrText xml:space="preserve"> PAGEREF _Toc26537893 \h </w:instrText>
            </w:r>
            <w:r w:rsidR="00F61026">
              <w:rPr>
                <w:noProof/>
                <w:webHidden/>
              </w:rPr>
            </w:r>
            <w:r w:rsidR="00F61026">
              <w:rPr>
                <w:noProof/>
                <w:webHidden/>
              </w:rPr>
              <w:fldChar w:fldCharType="separate"/>
            </w:r>
            <w:r w:rsidR="00D732D7">
              <w:rPr>
                <w:noProof/>
                <w:webHidden/>
              </w:rPr>
              <w:t>32</w:t>
            </w:r>
            <w:r w:rsidR="00F61026">
              <w:rPr>
                <w:noProof/>
                <w:webHidden/>
              </w:rPr>
              <w:fldChar w:fldCharType="end"/>
            </w:r>
          </w:hyperlink>
        </w:p>
        <w:p w14:paraId="6F476EB1" w14:textId="77777777" w:rsidR="00F61026" w:rsidRDefault="00FD67F9">
          <w:pPr>
            <w:pStyle w:val="TOC3"/>
            <w:rPr>
              <w:rFonts w:asciiTheme="minorHAnsi" w:eastAsiaTheme="minorEastAsia" w:hAnsiTheme="minorHAnsi"/>
              <w:noProof/>
              <w:sz w:val="22"/>
              <w:lang w:eastAsia="en-AU"/>
            </w:rPr>
          </w:pPr>
          <w:hyperlink w:anchor="_Toc26537894" w:history="1">
            <w:r w:rsidR="00F61026" w:rsidRPr="004608D2">
              <w:rPr>
                <w:rStyle w:val="Hyperlink"/>
                <w:noProof/>
              </w:rPr>
              <w:t>Expenditure</w:t>
            </w:r>
            <w:r w:rsidR="00F61026">
              <w:rPr>
                <w:noProof/>
                <w:webHidden/>
              </w:rPr>
              <w:tab/>
            </w:r>
            <w:r w:rsidR="00F61026">
              <w:rPr>
                <w:noProof/>
                <w:webHidden/>
              </w:rPr>
              <w:fldChar w:fldCharType="begin"/>
            </w:r>
            <w:r w:rsidR="00F61026">
              <w:rPr>
                <w:noProof/>
                <w:webHidden/>
              </w:rPr>
              <w:instrText xml:space="preserve"> PAGEREF _Toc26537894 \h </w:instrText>
            </w:r>
            <w:r w:rsidR="00F61026">
              <w:rPr>
                <w:noProof/>
                <w:webHidden/>
              </w:rPr>
            </w:r>
            <w:r w:rsidR="00F61026">
              <w:rPr>
                <w:noProof/>
                <w:webHidden/>
              </w:rPr>
              <w:fldChar w:fldCharType="separate"/>
            </w:r>
            <w:r w:rsidR="00D732D7">
              <w:rPr>
                <w:noProof/>
                <w:webHidden/>
              </w:rPr>
              <w:t>33</w:t>
            </w:r>
            <w:r w:rsidR="00F61026">
              <w:rPr>
                <w:noProof/>
                <w:webHidden/>
              </w:rPr>
              <w:fldChar w:fldCharType="end"/>
            </w:r>
          </w:hyperlink>
        </w:p>
        <w:p w14:paraId="226E795C" w14:textId="77777777" w:rsidR="00F61026" w:rsidRDefault="00FD67F9">
          <w:pPr>
            <w:pStyle w:val="TOC3"/>
            <w:rPr>
              <w:rFonts w:asciiTheme="minorHAnsi" w:eastAsiaTheme="minorEastAsia" w:hAnsiTheme="minorHAnsi"/>
              <w:noProof/>
              <w:sz w:val="22"/>
              <w:lang w:eastAsia="en-AU"/>
            </w:rPr>
          </w:pPr>
          <w:hyperlink w:anchor="_Toc26537895" w:history="1">
            <w:r w:rsidR="00F61026" w:rsidRPr="004608D2">
              <w:rPr>
                <w:rStyle w:val="Hyperlink"/>
                <w:noProof/>
              </w:rPr>
              <w:t>Sales</w:t>
            </w:r>
            <w:r w:rsidR="00F61026">
              <w:rPr>
                <w:noProof/>
                <w:webHidden/>
              </w:rPr>
              <w:tab/>
            </w:r>
            <w:r w:rsidR="00F61026">
              <w:rPr>
                <w:noProof/>
                <w:webHidden/>
              </w:rPr>
              <w:fldChar w:fldCharType="begin"/>
            </w:r>
            <w:r w:rsidR="00F61026">
              <w:rPr>
                <w:noProof/>
                <w:webHidden/>
              </w:rPr>
              <w:instrText xml:space="preserve"> PAGEREF _Toc26537895 \h </w:instrText>
            </w:r>
            <w:r w:rsidR="00F61026">
              <w:rPr>
                <w:noProof/>
                <w:webHidden/>
              </w:rPr>
            </w:r>
            <w:r w:rsidR="00F61026">
              <w:rPr>
                <w:noProof/>
                <w:webHidden/>
              </w:rPr>
              <w:fldChar w:fldCharType="separate"/>
            </w:r>
            <w:r w:rsidR="00D732D7">
              <w:rPr>
                <w:noProof/>
                <w:webHidden/>
              </w:rPr>
              <w:t>34</w:t>
            </w:r>
            <w:r w:rsidR="00F61026">
              <w:rPr>
                <w:noProof/>
                <w:webHidden/>
              </w:rPr>
              <w:fldChar w:fldCharType="end"/>
            </w:r>
          </w:hyperlink>
        </w:p>
        <w:p w14:paraId="0332780C" w14:textId="77777777" w:rsidR="00F61026" w:rsidRDefault="00FD67F9">
          <w:pPr>
            <w:pStyle w:val="TOC3"/>
            <w:rPr>
              <w:rFonts w:asciiTheme="minorHAnsi" w:eastAsiaTheme="minorEastAsia" w:hAnsiTheme="minorHAnsi"/>
              <w:noProof/>
              <w:sz w:val="22"/>
              <w:lang w:eastAsia="en-AU"/>
            </w:rPr>
          </w:pPr>
          <w:hyperlink w:anchor="_Toc26537896" w:history="1">
            <w:r w:rsidR="00F61026" w:rsidRPr="004608D2">
              <w:rPr>
                <w:rStyle w:val="Hyperlink"/>
                <w:noProof/>
              </w:rPr>
              <w:t>Exports</w:t>
            </w:r>
            <w:r w:rsidR="00F61026">
              <w:rPr>
                <w:noProof/>
                <w:webHidden/>
              </w:rPr>
              <w:tab/>
            </w:r>
            <w:r w:rsidR="00F61026">
              <w:rPr>
                <w:noProof/>
                <w:webHidden/>
              </w:rPr>
              <w:fldChar w:fldCharType="begin"/>
            </w:r>
            <w:r w:rsidR="00F61026">
              <w:rPr>
                <w:noProof/>
                <w:webHidden/>
              </w:rPr>
              <w:instrText xml:space="preserve"> PAGEREF _Toc26537896 \h </w:instrText>
            </w:r>
            <w:r w:rsidR="00F61026">
              <w:rPr>
                <w:noProof/>
                <w:webHidden/>
              </w:rPr>
            </w:r>
            <w:r w:rsidR="00F61026">
              <w:rPr>
                <w:noProof/>
                <w:webHidden/>
              </w:rPr>
              <w:fldChar w:fldCharType="separate"/>
            </w:r>
            <w:r w:rsidR="00D732D7">
              <w:rPr>
                <w:noProof/>
                <w:webHidden/>
              </w:rPr>
              <w:t>37</w:t>
            </w:r>
            <w:r w:rsidR="00F61026">
              <w:rPr>
                <w:noProof/>
                <w:webHidden/>
              </w:rPr>
              <w:fldChar w:fldCharType="end"/>
            </w:r>
          </w:hyperlink>
        </w:p>
        <w:p w14:paraId="42340B9F" w14:textId="77777777" w:rsidR="00F61026" w:rsidRDefault="00FD67F9">
          <w:pPr>
            <w:pStyle w:val="TOC2"/>
            <w:rPr>
              <w:rFonts w:asciiTheme="minorHAnsi" w:eastAsiaTheme="minorEastAsia" w:hAnsiTheme="minorHAnsi"/>
              <w:b w:val="0"/>
              <w:noProof/>
              <w:sz w:val="22"/>
              <w:lang w:eastAsia="en-AU"/>
            </w:rPr>
          </w:pPr>
          <w:hyperlink w:anchor="_Toc26537897" w:history="1">
            <w:r w:rsidR="00F61026" w:rsidRPr="004608D2">
              <w:rPr>
                <w:rStyle w:val="Hyperlink"/>
                <w:noProof/>
              </w:rPr>
              <w:t>Economic contribution and linkages of the Aircraft Manufacturing Industry</w:t>
            </w:r>
            <w:r w:rsidR="00F61026">
              <w:rPr>
                <w:noProof/>
                <w:webHidden/>
              </w:rPr>
              <w:tab/>
            </w:r>
            <w:r w:rsidR="00F61026">
              <w:rPr>
                <w:noProof/>
                <w:webHidden/>
              </w:rPr>
              <w:fldChar w:fldCharType="begin"/>
            </w:r>
            <w:r w:rsidR="00F61026">
              <w:rPr>
                <w:noProof/>
                <w:webHidden/>
              </w:rPr>
              <w:instrText xml:space="preserve"> PAGEREF _Toc26537897 \h </w:instrText>
            </w:r>
            <w:r w:rsidR="00F61026">
              <w:rPr>
                <w:noProof/>
                <w:webHidden/>
              </w:rPr>
            </w:r>
            <w:r w:rsidR="00F61026">
              <w:rPr>
                <w:noProof/>
                <w:webHidden/>
              </w:rPr>
              <w:fldChar w:fldCharType="separate"/>
            </w:r>
            <w:r w:rsidR="00D732D7">
              <w:rPr>
                <w:noProof/>
                <w:webHidden/>
              </w:rPr>
              <w:t>43</w:t>
            </w:r>
            <w:r w:rsidR="00F61026">
              <w:rPr>
                <w:noProof/>
                <w:webHidden/>
              </w:rPr>
              <w:fldChar w:fldCharType="end"/>
            </w:r>
          </w:hyperlink>
        </w:p>
        <w:p w14:paraId="61AEB37F" w14:textId="77777777" w:rsidR="00F61026" w:rsidRDefault="00FD67F9">
          <w:pPr>
            <w:pStyle w:val="TOC3"/>
            <w:rPr>
              <w:rFonts w:asciiTheme="minorHAnsi" w:eastAsiaTheme="minorEastAsia" w:hAnsiTheme="minorHAnsi"/>
              <w:noProof/>
              <w:sz w:val="22"/>
              <w:lang w:eastAsia="en-AU"/>
            </w:rPr>
          </w:pPr>
          <w:hyperlink w:anchor="_Toc26537898" w:history="1">
            <w:r w:rsidR="00F61026" w:rsidRPr="004608D2">
              <w:rPr>
                <w:rStyle w:val="Hyperlink"/>
                <w:noProof/>
              </w:rPr>
              <w:t>Scenario design</w:t>
            </w:r>
            <w:r w:rsidR="00F61026">
              <w:rPr>
                <w:noProof/>
                <w:webHidden/>
              </w:rPr>
              <w:tab/>
            </w:r>
            <w:r w:rsidR="00F61026">
              <w:rPr>
                <w:noProof/>
                <w:webHidden/>
              </w:rPr>
              <w:fldChar w:fldCharType="begin"/>
            </w:r>
            <w:r w:rsidR="00F61026">
              <w:rPr>
                <w:noProof/>
                <w:webHidden/>
              </w:rPr>
              <w:instrText xml:space="preserve"> PAGEREF _Toc26537898 \h </w:instrText>
            </w:r>
            <w:r w:rsidR="00F61026">
              <w:rPr>
                <w:noProof/>
                <w:webHidden/>
              </w:rPr>
            </w:r>
            <w:r w:rsidR="00F61026">
              <w:rPr>
                <w:noProof/>
                <w:webHidden/>
              </w:rPr>
              <w:fldChar w:fldCharType="separate"/>
            </w:r>
            <w:r w:rsidR="00D732D7">
              <w:rPr>
                <w:noProof/>
                <w:webHidden/>
              </w:rPr>
              <w:t>43</w:t>
            </w:r>
            <w:r w:rsidR="00F61026">
              <w:rPr>
                <w:noProof/>
                <w:webHidden/>
              </w:rPr>
              <w:fldChar w:fldCharType="end"/>
            </w:r>
          </w:hyperlink>
        </w:p>
        <w:p w14:paraId="0628ECBA" w14:textId="77777777" w:rsidR="00F61026" w:rsidRDefault="00FD67F9">
          <w:pPr>
            <w:pStyle w:val="TOC3"/>
            <w:rPr>
              <w:rFonts w:asciiTheme="minorHAnsi" w:eastAsiaTheme="minorEastAsia" w:hAnsiTheme="minorHAnsi"/>
              <w:noProof/>
              <w:sz w:val="22"/>
              <w:lang w:eastAsia="en-AU"/>
            </w:rPr>
          </w:pPr>
          <w:hyperlink w:anchor="_Toc26537899" w:history="1">
            <w:r w:rsidR="00F61026" w:rsidRPr="004608D2">
              <w:rPr>
                <w:rStyle w:val="Hyperlink"/>
                <w:noProof/>
              </w:rPr>
              <w:t>Results</w:t>
            </w:r>
            <w:r w:rsidR="00F61026">
              <w:rPr>
                <w:noProof/>
                <w:webHidden/>
              </w:rPr>
              <w:tab/>
            </w:r>
            <w:r w:rsidR="00F61026">
              <w:rPr>
                <w:noProof/>
                <w:webHidden/>
              </w:rPr>
              <w:fldChar w:fldCharType="begin"/>
            </w:r>
            <w:r w:rsidR="00F61026">
              <w:rPr>
                <w:noProof/>
                <w:webHidden/>
              </w:rPr>
              <w:instrText xml:space="preserve"> PAGEREF _Toc26537899 \h </w:instrText>
            </w:r>
            <w:r w:rsidR="00F61026">
              <w:rPr>
                <w:noProof/>
                <w:webHidden/>
              </w:rPr>
            </w:r>
            <w:r w:rsidR="00F61026">
              <w:rPr>
                <w:noProof/>
                <w:webHidden/>
              </w:rPr>
              <w:fldChar w:fldCharType="separate"/>
            </w:r>
            <w:r w:rsidR="00D732D7">
              <w:rPr>
                <w:noProof/>
                <w:webHidden/>
              </w:rPr>
              <w:t>44</w:t>
            </w:r>
            <w:r w:rsidR="00F61026">
              <w:rPr>
                <w:noProof/>
                <w:webHidden/>
              </w:rPr>
              <w:fldChar w:fldCharType="end"/>
            </w:r>
          </w:hyperlink>
        </w:p>
        <w:p w14:paraId="6B0E4A06" w14:textId="77777777" w:rsidR="00F61026" w:rsidRDefault="00FD67F9">
          <w:pPr>
            <w:pStyle w:val="TOC2"/>
            <w:rPr>
              <w:rFonts w:asciiTheme="minorHAnsi" w:eastAsiaTheme="minorEastAsia" w:hAnsiTheme="minorHAnsi"/>
              <w:b w:val="0"/>
              <w:noProof/>
              <w:sz w:val="22"/>
              <w:lang w:eastAsia="en-AU"/>
            </w:rPr>
          </w:pPr>
          <w:hyperlink w:anchor="_Toc26537900" w:history="1">
            <w:r w:rsidR="00F61026" w:rsidRPr="004608D2">
              <w:rPr>
                <w:rStyle w:val="Hyperlink"/>
                <w:noProof/>
              </w:rPr>
              <w:t>Conclusion</w:t>
            </w:r>
            <w:r w:rsidR="00F61026">
              <w:rPr>
                <w:noProof/>
                <w:webHidden/>
              </w:rPr>
              <w:tab/>
            </w:r>
            <w:r w:rsidR="00F61026">
              <w:rPr>
                <w:noProof/>
                <w:webHidden/>
              </w:rPr>
              <w:fldChar w:fldCharType="begin"/>
            </w:r>
            <w:r w:rsidR="00F61026">
              <w:rPr>
                <w:noProof/>
                <w:webHidden/>
              </w:rPr>
              <w:instrText xml:space="preserve"> PAGEREF _Toc26537900 \h </w:instrText>
            </w:r>
            <w:r w:rsidR="00F61026">
              <w:rPr>
                <w:noProof/>
                <w:webHidden/>
              </w:rPr>
            </w:r>
            <w:r w:rsidR="00F61026">
              <w:rPr>
                <w:noProof/>
                <w:webHidden/>
              </w:rPr>
              <w:fldChar w:fldCharType="separate"/>
            </w:r>
            <w:r w:rsidR="00D732D7">
              <w:rPr>
                <w:noProof/>
                <w:webHidden/>
              </w:rPr>
              <w:t>49</w:t>
            </w:r>
            <w:r w:rsidR="00F61026">
              <w:rPr>
                <w:noProof/>
                <w:webHidden/>
              </w:rPr>
              <w:fldChar w:fldCharType="end"/>
            </w:r>
          </w:hyperlink>
        </w:p>
        <w:p w14:paraId="1E3AB9B3" w14:textId="77777777" w:rsidR="00F61026" w:rsidRDefault="00FD67F9">
          <w:pPr>
            <w:pStyle w:val="TOC2"/>
            <w:rPr>
              <w:rFonts w:asciiTheme="minorHAnsi" w:eastAsiaTheme="minorEastAsia" w:hAnsiTheme="minorHAnsi"/>
              <w:b w:val="0"/>
              <w:noProof/>
              <w:sz w:val="22"/>
              <w:lang w:eastAsia="en-AU"/>
            </w:rPr>
          </w:pPr>
          <w:hyperlink w:anchor="_Toc26537901" w:history="1">
            <w:r w:rsidR="00F61026" w:rsidRPr="004608D2">
              <w:rPr>
                <w:rStyle w:val="Hyperlink"/>
                <w:noProof/>
              </w:rPr>
              <w:t>Appendix: KPMG–CGE Model Description</w:t>
            </w:r>
            <w:r w:rsidR="00F61026">
              <w:rPr>
                <w:noProof/>
                <w:webHidden/>
              </w:rPr>
              <w:tab/>
            </w:r>
            <w:r w:rsidR="00F61026">
              <w:rPr>
                <w:noProof/>
                <w:webHidden/>
              </w:rPr>
              <w:fldChar w:fldCharType="begin"/>
            </w:r>
            <w:r w:rsidR="00F61026">
              <w:rPr>
                <w:noProof/>
                <w:webHidden/>
              </w:rPr>
              <w:instrText xml:space="preserve"> PAGEREF _Toc26537901 \h </w:instrText>
            </w:r>
            <w:r w:rsidR="00F61026">
              <w:rPr>
                <w:noProof/>
                <w:webHidden/>
              </w:rPr>
            </w:r>
            <w:r w:rsidR="00F61026">
              <w:rPr>
                <w:noProof/>
                <w:webHidden/>
              </w:rPr>
              <w:fldChar w:fldCharType="separate"/>
            </w:r>
            <w:r w:rsidR="00D732D7">
              <w:rPr>
                <w:noProof/>
                <w:webHidden/>
              </w:rPr>
              <w:t>51</w:t>
            </w:r>
            <w:r w:rsidR="00F61026">
              <w:rPr>
                <w:noProof/>
                <w:webHidden/>
              </w:rPr>
              <w:fldChar w:fldCharType="end"/>
            </w:r>
          </w:hyperlink>
        </w:p>
        <w:p w14:paraId="4DF2C2B2" w14:textId="77777777" w:rsidR="00F61026" w:rsidRDefault="00FD67F9">
          <w:pPr>
            <w:pStyle w:val="TOC3"/>
            <w:rPr>
              <w:rFonts w:asciiTheme="minorHAnsi" w:eastAsiaTheme="minorEastAsia" w:hAnsiTheme="minorHAnsi"/>
              <w:noProof/>
              <w:sz w:val="22"/>
              <w:lang w:eastAsia="en-AU"/>
            </w:rPr>
          </w:pPr>
          <w:hyperlink w:anchor="_Toc26537902" w:history="1">
            <w:r w:rsidR="00F61026" w:rsidRPr="004608D2">
              <w:rPr>
                <w:rStyle w:val="Hyperlink"/>
                <w:noProof/>
              </w:rPr>
              <w:t>Model theory</w:t>
            </w:r>
            <w:r w:rsidR="00F61026">
              <w:rPr>
                <w:noProof/>
                <w:webHidden/>
              </w:rPr>
              <w:tab/>
            </w:r>
            <w:r w:rsidR="00F61026">
              <w:rPr>
                <w:noProof/>
                <w:webHidden/>
              </w:rPr>
              <w:fldChar w:fldCharType="begin"/>
            </w:r>
            <w:r w:rsidR="00F61026">
              <w:rPr>
                <w:noProof/>
                <w:webHidden/>
              </w:rPr>
              <w:instrText xml:space="preserve"> PAGEREF _Toc26537902 \h </w:instrText>
            </w:r>
            <w:r w:rsidR="00F61026">
              <w:rPr>
                <w:noProof/>
                <w:webHidden/>
              </w:rPr>
            </w:r>
            <w:r w:rsidR="00F61026">
              <w:rPr>
                <w:noProof/>
                <w:webHidden/>
              </w:rPr>
              <w:fldChar w:fldCharType="separate"/>
            </w:r>
            <w:r w:rsidR="00D732D7">
              <w:rPr>
                <w:noProof/>
                <w:webHidden/>
              </w:rPr>
              <w:t>51</w:t>
            </w:r>
            <w:r w:rsidR="00F61026">
              <w:rPr>
                <w:noProof/>
                <w:webHidden/>
              </w:rPr>
              <w:fldChar w:fldCharType="end"/>
            </w:r>
          </w:hyperlink>
        </w:p>
        <w:p w14:paraId="7524091E" w14:textId="77777777" w:rsidR="00F61026" w:rsidRDefault="00FD67F9">
          <w:pPr>
            <w:pStyle w:val="TOC3"/>
            <w:rPr>
              <w:rFonts w:asciiTheme="minorHAnsi" w:eastAsiaTheme="minorEastAsia" w:hAnsiTheme="minorHAnsi"/>
              <w:noProof/>
              <w:sz w:val="22"/>
              <w:lang w:eastAsia="en-AU"/>
            </w:rPr>
          </w:pPr>
          <w:hyperlink w:anchor="_Toc26537903" w:history="1">
            <w:r w:rsidR="00F61026" w:rsidRPr="004608D2">
              <w:rPr>
                <w:rStyle w:val="Hyperlink"/>
                <w:noProof/>
              </w:rPr>
              <w:t>Model data</w:t>
            </w:r>
            <w:r w:rsidR="00F61026">
              <w:rPr>
                <w:noProof/>
                <w:webHidden/>
              </w:rPr>
              <w:tab/>
            </w:r>
            <w:r w:rsidR="00F61026">
              <w:rPr>
                <w:noProof/>
                <w:webHidden/>
              </w:rPr>
              <w:fldChar w:fldCharType="begin"/>
            </w:r>
            <w:r w:rsidR="00F61026">
              <w:rPr>
                <w:noProof/>
                <w:webHidden/>
              </w:rPr>
              <w:instrText xml:space="preserve"> PAGEREF _Toc26537903 \h </w:instrText>
            </w:r>
            <w:r w:rsidR="00F61026">
              <w:rPr>
                <w:noProof/>
                <w:webHidden/>
              </w:rPr>
            </w:r>
            <w:r w:rsidR="00F61026">
              <w:rPr>
                <w:noProof/>
                <w:webHidden/>
              </w:rPr>
              <w:fldChar w:fldCharType="separate"/>
            </w:r>
            <w:r w:rsidR="00D732D7">
              <w:rPr>
                <w:noProof/>
                <w:webHidden/>
              </w:rPr>
              <w:t>51</w:t>
            </w:r>
            <w:r w:rsidR="00F61026">
              <w:rPr>
                <w:noProof/>
                <w:webHidden/>
              </w:rPr>
              <w:fldChar w:fldCharType="end"/>
            </w:r>
          </w:hyperlink>
        </w:p>
        <w:p w14:paraId="027EB7AB" w14:textId="77777777" w:rsidR="00F61026" w:rsidRDefault="00FD67F9">
          <w:pPr>
            <w:pStyle w:val="TOC3"/>
            <w:rPr>
              <w:rFonts w:asciiTheme="minorHAnsi" w:eastAsiaTheme="minorEastAsia" w:hAnsiTheme="minorHAnsi"/>
              <w:noProof/>
              <w:sz w:val="22"/>
              <w:lang w:eastAsia="en-AU"/>
            </w:rPr>
          </w:pPr>
          <w:hyperlink w:anchor="_Toc26537904" w:history="1">
            <w:r w:rsidR="00F61026" w:rsidRPr="004608D2">
              <w:rPr>
                <w:rStyle w:val="Hyperlink"/>
                <w:noProof/>
              </w:rPr>
              <w:t>Why use a CGE model?</w:t>
            </w:r>
            <w:r w:rsidR="00F61026">
              <w:rPr>
                <w:noProof/>
                <w:webHidden/>
              </w:rPr>
              <w:tab/>
            </w:r>
            <w:r w:rsidR="00F61026">
              <w:rPr>
                <w:noProof/>
                <w:webHidden/>
              </w:rPr>
              <w:fldChar w:fldCharType="begin"/>
            </w:r>
            <w:r w:rsidR="00F61026">
              <w:rPr>
                <w:noProof/>
                <w:webHidden/>
              </w:rPr>
              <w:instrText xml:space="preserve"> PAGEREF _Toc26537904 \h </w:instrText>
            </w:r>
            <w:r w:rsidR="00F61026">
              <w:rPr>
                <w:noProof/>
                <w:webHidden/>
              </w:rPr>
            </w:r>
            <w:r w:rsidR="00F61026">
              <w:rPr>
                <w:noProof/>
                <w:webHidden/>
              </w:rPr>
              <w:fldChar w:fldCharType="separate"/>
            </w:r>
            <w:r w:rsidR="00D732D7">
              <w:rPr>
                <w:noProof/>
                <w:webHidden/>
              </w:rPr>
              <w:t>51</w:t>
            </w:r>
            <w:r w:rsidR="00F61026">
              <w:rPr>
                <w:noProof/>
                <w:webHidden/>
              </w:rPr>
              <w:fldChar w:fldCharType="end"/>
            </w:r>
          </w:hyperlink>
        </w:p>
        <w:p w14:paraId="3F695ACE" w14:textId="69DF7DB5" w:rsidR="000B4BDE" w:rsidRDefault="000B4BDE" w:rsidP="00DF7D23">
          <w:pPr>
            <w:pStyle w:val="SourceCaseStudy"/>
          </w:pPr>
          <w:r>
            <w:fldChar w:fldCharType="end"/>
          </w:r>
        </w:p>
      </w:sdtContent>
    </w:sdt>
    <w:p w14:paraId="47CD7876" w14:textId="77777777" w:rsidR="00AA0B2E" w:rsidRDefault="00AA0B2E" w:rsidP="0011521D">
      <w:pPr>
        <w:pStyle w:val="Heading2"/>
        <w:sectPr w:rsidR="00AA0B2E" w:rsidSect="00AC029F">
          <w:headerReference w:type="first" r:id="rId20"/>
          <w:footerReference w:type="first" r:id="rId21"/>
          <w:pgSz w:w="11906" w:h="16838"/>
          <w:pgMar w:top="1560" w:right="1440" w:bottom="1440" w:left="1440" w:header="709" w:footer="709" w:gutter="0"/>
          <w:pgNumType w:fmt="lowerRoman" w:start="1"/>
          <w:cols w:space="708"/>
          <w:titlePg/>
          <w:docGrid w:linePitch="360"/>
        </w:sectPr>
      </w:pPr>
    </w:p>
    <w:p w14:paraId="35F23D00" w14:textId="77777777" w:rsidR="006C3FE3" w:rsidRDefault="006C3FE3" w:rsidP="007D63B3">
      <w:pPr>
        <w:pStyle w:val="BodyText1"/>
        <w:sectPr w:rsidR="006C3FE3" w:rsidSect="007D63B3">
          <w:footerReference w:type="default" r:id="rId22"/>
          <w:headerReference w:type="first" r:id="rId23"/>
          <w:footerReference w:type="first" r:id="rId24"/>
          <w:type w:val="continuous"/>
          <w:pgSz w:w="11906" w:h="16838"/>
          <w:pgMar w:top="1985" w:right="1440" w:bottom="1440" w:left="1440" w:header="709" w:footer="709" w:gutter="0"/>
          <w:pgNumType w:start="0"/>
          <w:cols w:space="454"/>
          <w:titlePg/>
          <w:docGrid w:linePitch="360"/>
        </w:sectPr>
      </w:pPr>
    </w:p>
    <w:p w14:paraId="5E5EB741" w14:textId="2AFF308A" w:rsidR="006C3FE3" w:rsidRDefault="006C3FE3" w:rsidP="006C3FE3">
      <w:pPr>
        <w:pStyle w:val="Heading2"/>
      </w:pPr>
      <w:bookmarkStart w:id="1" w:name="_Toc26537881"/>
      <w:r>
        <w:lastRenderedPageBreak/>
        <w:t>Executive Summary</w:t>
      </w:r>
      <w:bookmarkEnd w:id="1"/>
    </w:p>
    <w:p w14:paraId="72A918BE" w14:textId="77777777" w:rsidR="006C3FE3" w:rsidRDefault="006C3FE3" w:rsidP="006C3FE3">
      <w:pPr>
        <w:pStyle w:val="IntroPara"/>
        <w:spacing w:after="360"/>
      </w:pPr>
      <w:r>
        <w:t xml:space="preserve">The Australian Aircraft Manufacturing and Repair Services industry is an important part of the Australian economy and holds a key position in the Asia Pacific aviation market. The industry is underpinned by the technical capabilities of businesses encompassing expertise in engineering, design, aircraft parts manufacturing, maintenance, research and development and training. </w:t>
      </w:r>
    </w:p>
    <w:p w14:paraId="5C2732F3" w14:textId="77777777" w:rsidR="006C3FE3" w:rsidRDefault="006C3FE3" w:rsidP="006C3FE3">
      <w:pPr>
        <w:pStyle w:val="BodyText1"/>
      </w:pPr>
      <w:r>
        <w:t xml:space="preserve">This report provides an overview of Australia’s capability in the Aircraft Manufacturing and Repair Services industry and examines the industry’s economic contribution, both financial and non-financial to the Australian economy. Our analysis of the industry is based on the latest available ABS Input-Output tables (2015-16), ABS Manufacturing data (2016-17) and KPMG economic modelling. KPMG also consulted with industry stakeholders and conducted an industry survey of relevant businesses to collect their views on key aspects of the Aircraft Manufacturing and Repair Services industry and to identify the industry’s non-monetary contributions. </w:t>
      </w:r>
    </w:p>
    <w:p w14:paraId="66DA6CEA" w14:textId="77777777" w:rsidR="006C3FE3" w:rsidRDefault="006C3FE3" w:rsidP="006C3FE3">
      <w:pPr>
        <w:pStyle w:val="BodyText1"/>
      </w:pPr>
      <w:r>
        <w:t xml:space="preserve">The unique capabilities and global position of the industry are highlighted through the Case Studies presented in this report, which examine various different sized and types of aerospace businesses within the industry.  </w:t>
      </w:r>
    </w:p>
    <w:p w14:paraId="649148A3" w14:textId="77777777" w:rsidR="006C3FE3" w:rsidRDefault="006C3FE3" w:rsidP="006C3FE3">
      <w:pPr>
        <w:pStyle w:val="BodyText1"/>
      </w:pPr>
      <w:r>
        <w:t>Australia’s Aircraft Manufacturing and Repair Services industry encompasses manufacturing of commercial and military aircraft and parts; design and systems engineering; Maintenance, Repair and Overhaul (MRO) services for airlines and manufacturers; training; and research &amp; development (R&amp;D). While the sector does include the space subsector, the focus of this study was confined to that of non-space activity.</w:t>
      </w:r>
    </w:p>
    <w:p w14:paraId="349C8A2E" w14:textId="77777777" w:rsidR="006C3FE3" w:rsidRDefault="006C3FE3" w:rsidP="006C3FE3">
      <w:pPr>
        <w:pStyle w:val="BodyText1"/>
      </w:pPr>
      <w:r>
        <w:t>The industry’s main capabilities include:</w:t>
      </w:r>
    </w:p>
    <w:p w14:paraId="746DCEF0" w14:textId="1AF5ED56" w:rsidR="006C3FE3" w:rsidRDefault="006C3FE3" w:rsidP="006C3FE3">
      <w:pPr>
        <w:pStyle w:val="Bullet1stlevel"/>
      </w:pPr>
      <w:r>
        <w:t xml:space="preserve">manufacture of avionics, aircraft structures and airframes- including advanced composites, aviation parts; </w:t>
      </w:r>
    </w:p>
    <w:p w14:paraId="33A8D14A" w14:textId="679EAF7E" w:rsidR="006C3FE3" w:rsidRDefault="006C3FE3" w:rsidP="006C3FE3">
      <w:pPr>
        <w:pStyle w:val="Bullet1stlevel"/>
      </w:pPr>
      <w:r>
        <w:t xml:space="preserve">helicopter manufacturing; </w:t>
      </w:r>
    </w:p>
    <w:p w14:paraId="6E71C059" w14:textId="4DBF57E7" w:rsidR="006C3FE3" w:rsidRDefault="006C3FE3" w:rsidP="006C3FE3">
      <w:pPr>
        <w:pStyle w:val="Bullet1stlevel"/>
      </w:pPr>
      <w:r>
        <w:t xml:space="preserve">ground support equipment (GSE); </w:t>
      </w:r>
    </w:p>
    <w:p w14:paraId="1CED0694" w14:textId="409C1EAC" w:rsidR="006C3FE3" w:rsidRDefault="006C3FE3" w:rsidP="006C3FE3">
      <w:pPr>
        <w:pStyle w:val="Bullet1stlevel"/>
      </w:pPr>
      <w:r>
        <w:t xml:space="preserve">aircraft maintenance, repair and overhaul, sustainment; </w:t>
      </w:r>
    </w:p>
    <w:p w14:paraId="4C221323" w14:textId="40517996" w:rsidR="006C3FE3" w:rsidRDefault="006C3FE3" w:rsidP="006C3FE3">
      <w:pPr>
        <w:pStyle w:val="Bullet1stlevel"/>
      </w:pPr>
      <w:r>
        <w:t>aeronautical design; and</w:t>
      </w:r>
    </w:p>
    <w:p w14:paraId="52450878" w14:textId="10B245D0" w:rsidR="006C3FE3" w:rsidRDefault="006C3FE3" w:rsidP="006C3FE3">
      <w:pPr>
        <w:pStyle w:val="Bullet1stlevel"/>
      </w:pPr>
      <w:proofErr w:type="gramStart"/>
      <w:r>
        <w:t>unmanned</w:t>
      </w:r>
      <w:proofErr w:type="gramEnd"/>
      <w:r>
        <w:t xml:space="preserve"> aerial systems. </w:t>
      </w:r>
    </w:p>
    <w:p w14:paraId="3D62CCDE" w14:textId="44B1F933" w:rsidR="006C3FE3" w:rsidRDefault="006C3FE3" w:rsidP="006C3FE3">
      <w:pPr>
        <w:pStyle w:val="BodyText1"/>
      </w:pPr>
      <w:r>
        <w:t>The direct economic contribution of the Australian Aircraft Ma</w:t>
      </w:r>
      <w:r w:rsidR="00185557">
        <w:t xml:space="preserve">nufacturing and Repair Services </w:t>
      </w:r>
      <w:r>
        <w:t xml:space="preserve">industry is measured through employment within the industry and value-added by the industry. </w:t>
      </w:r>
    </w:p>
    <w:p w14:paraId="564F72EC" w14:textId="125A425C" w:rsidR="006C3FE3" w:rsidRDefault="006C3FE3" w:rsidP="006C3FE3">
      <w:pPr>
        <w:pStyle w:val="BodyText1"/>
      </w:pPr>
      <w:r>
        <w:t>Value-added refers to the outputs from the Australian Aircraft Manufacturing and Repair Services industry less inputs from other industry sectors. In the financial year 2016-17, the Aircraft Manufacturing and Repair Services industry directly added over $2 billion to Australia’s Gross Domestic Product. In the same year, nationally, the industry employed 13,396 workers across manufacturing and repair activities, with the key occupation that of aircraft maintenance engineers, with other engineering professionals and technicians also important occupations in this industry.</w:t>
      </w:r>
    </w:p>
    <w:p w14:paraId="7E028184" w14:textId="4972FBA4" w:rsidR="00002459" w:rsidRPr="007D63B3" w:rsidRDefault="00002459" w:rsidP="007D63B3">
      <w:pPr>
        <w:pStyle w:val="BodyText1"/>
        <w:rPr>
          <w:sz w:val="4"/>
          <w:szCs w:val="4"/>
        </w:rPr>
      </w:pPr>
      <w:r>
        <w:t>To assess the Australian Aircraft Manufacturing and Repair Service industry’s linkages with other industries, economic modelling of the industry (in terms of an increase in its size) was simulated. T</w:t>
      </w:r>
      <w:r w:rsidRPr="006074EC">
        <w:t xml:space="preserve">he impacts represent the </w:t>
      </w:r>
      <w:r w:rsidR="008531C1" w:rsidRPr="006074EC">
        <w:t>industry’s</w:t>
      </w:r>
      <w:r w:rsidRPr="006074EC">
        <w:t xml:space="preserve"> current contribution, based on current industry relationships and input choices. </w:t>
      </w:r>
    </w:p>
    <w:p w14:paraId="412FA468" w14:textId="77777777" w:rsidR="00F85FE7" w:rsidRDefault="00002459" w:rsidP="007D63B3">
      <w:pPr>
        <w:pStyle w:val="BodyText1"/>
      </w:pPr>
      <w:r w:rsidRPr="00D947B4">
        <w:lastRenderedPageBreak/>
        <w:t xml:space="preserve">Through industry and supply-chain flow-on linkages that connect the </w:t>
      </w:r>
      <w:r>
        <w:t xml:space="preserve">Australian </w:t>
      </w:r>
      <w:r w:rsidRPr="00D947B4">
        <w:t xml:space="preserve">economy, </w:t>
      </w:r>
      <w:r>
        <w:t xml:space="preserve">it is estimated that </w:t>
      </w:r>
      <w:r w:rsidRPr="00D947B4">
        <w:t xml:space="preserve">the </w:t>
      </w:r>
      <w:r w:rsidR="00555E98">
        <w:t>Aircraft Manufacturing and Repair Services</w:t>
      </w:r>
      <w:r>
        <w:t xml:space="preserve"> industry</w:t>
      </w:r>
      <w:r w:rsidRPr="00D947B4">
        <w:t xml:space="preserve"> support</w:t>
      </w:r>
      <w:r>
        <w:t>s</w:t>
      </w:r>
      <w:r w:rsidRPr="00D947B4">
        <w:t xml:space="preserve"> an additional $</w:t>
      </w:r>
      <w:r>
        <w:t>0.9 </w:t>
      </w:r>
      <w:r w:rsidRPr="00D947B4">
        <w:t xml:space="preserve">billion in related value-add annually. A further </w:t>
      </w:r>
      <w:r>
        <w:t>4,889</w:t>
      </w:r>
      <w:r w:rsidRPr="00D947B4">
        <w:t xml:space="preserve"> workers were employed in jobs flowing from activities related to the </w:t>
      </w:r>
      <w:r w:rsidR="00555E98">
        <w:t>Aircraft Manufacturing and Repair Services</w:t>
      </w:r>
      <w:r>
        <w:t xml:space="preserve"> industry</w:t>
      </w:r>
      <w:r w:rsidRPr="00D947B4">
        <w:t xml:space="preserve">. This highlights the importance of the </w:t>
      </w:r>
      <w:r w:rsidR="00555E98">
        <w:t>Aircraft Manufacturing and Repair Services</w:t>
      </w:r>
      <w:r>
        <w:t xml:space="preserve"> industry</w:t>
      </w:r>
      <w:r w:rsidR="00655FB7">
        <w:t>’s</w:t>
      </w:r>
      <w:r w:rsidRPr="00D947B4">
        <w:t xml:space="preserve"> inherent linkages to other sectors in the </w:t>
      </w:r>
      <w:r>
        <w:t>Australian</w:t>
      </w:r>
      <w:r w:rsidRPr="00D947B4">
        <w:t xml:space="preserve"> economy.</w:t>
      </w:r>
    </w:p>
    <w:p w14:paraId="5BC30292" w14:textId="49D83161" w:rsidR="00F85FE7" w:rsidRDefault="00002459" w:rsidP="007D63B3">
      <w:pPr>
        <w:pStyle w:val="BodyText1"/>
      </w:pPr>
      <w:r w:rsidRPr="00D947B4">
        <w:t xml:space="preserve">Thus, in total, it is estimated that the </w:t>
      </w:r>
      <w:r>
        <w:t xml:space="preserve">Australian </w:t>
      </w:r>
      <w:r w:rsidR="00555E98">
        <w:t>Aircraft Manufacturing and Repair Services</w:t>
      </w:r>
      <w:r>
        <w:t xml:space="preserve"> industry</w:t>
      </w:r>
      <w:r w:rsidRPr="00D947B4">
        <w:t xml:space="preserve"> </w:t>
      </w:r>
      <w:r w:rsidR="00655FB7">
        <w:t>supported</w:t>
      </w:r>
      <w:r w:rsidR="00655FB7" w:rsidRPr="00D947B4">
        <w:t xml:space="preserve"> </w:t>
      </w:r>
      <w:r w:rsidRPr="00D947B4">
        <w:t xml:space="preserve">an annual contribution to Gross </w:t>
      </w:r>
      <w:r>
        <w:t xml:space="preserve">Domestic </w:t>
      </w:r>
      <w:r w:rsidRPr="00D947B4">
        <w:t>Product (G</w:t>
      </w:r>
      <w:r>
        <w:t>D</w:t>
      </w:r>
      <w:r w:rsidRPr="00D947B4">
        <w:t>P) of around $</w:t>
      </w:r>
      <w:r>
        <w:t>2.9</w:t>
      </w:r>
      <w:r w:rsidRPr="00D947B4">
        <w:t> billion ($</w:t>
      </w:r>
      <w:r>
        <w:t>2.0</w:t>
      </w:r>
      <w:r w:rsidRPr="00D947B4">
        <w:t xml:space="preserve"> billion direct + $</w:t>
      </w:r>
      <w:r>
        <w:t>0.9</w:t>
      </w:r>
      <w:r w:rsidRPr="00D947B4">
        <w:t xml:space="preserve"> billion indirect) and around </w:t>
      </w:r>
      <w:r>
        <w:t>18,285</w:t>
      </w:r>
      <w:r w:rsidRPr="00D947B4">
        <w:t xml:space="preserve"> jobs in </w:t>
      </w:r>
      <w:r>
        <w:t xml:space="preserve">Australian industries </w:t>
      </w:r>
      <w:r w:rsidRPr="00D947B4">
        <w:t>(</w:t>
      </w:r>
      <w:r>
        <w:t>13,396</w:t>
      </w:r>
      <w:r w:rsidRPr="00D947B4">
        <w:t xml:space="preserve"> direct + </w:t>
      </w:r>
      <w:r>
        <w:t>4,889 </w:t>
      </w:r>
      <w:r w:rsidRPr="00D947B4">
        <w:t>indirect) in 2016-17.</w:t>
      </w:r>
      <w:r>
        <w:t xml:space="preserve"> </w:t>
      </w:r>
      <w:r w:rsidRPr="00D947B4">
        <w:t xml:space="preserve">This is equivalent to around </w:t>
      </w:r>
      <w:r>
        <w:t>0.2</w:t>
      </w:r>
      <w:r w:rsidRPr="00D947B4">
        <w:t xml:space="preserve"> per cent of total </w:t>
      </w:r>
      <w:r>
        <w:t>Australian</w:t>
      </w:r>
      <w:r w:rsidRPr="00D947B4">
        <w:t xml:space="preserve"> G</w:t>
      </w:r>
      <w:r>
        <w:t>D</w:t>
      </w:r>
      <w:r w:rsidRPr="00D947B4">
        <w:t xml:space="preserve">P and </w:t>
      </w:r>
      <w:r>
        <w:t xml:space="preserve">jobs </w:t>
      </w:r>
      <w:r w:rsidRPr="00D947B4">
        <w:t>in 2016-17.</w:t>
      </w:r>
    </w:p>
    <w:p w14:paraId="29DFC1CF" w14:textId="33F5783F" w:rsidR="007D63B3" w:rsidRDefault="008616FD" w:rsidP="007C068F">
      <w:pPr>
        <w:pStyle w:val="BodyText1"/>
        <w:spacing w:before="0" w:after="0"/>
      </w:pPr>
      <w:r>
        <w:t xml:space="preserve">A number of strengths and challenges within the Australian </w:t>
      </w:r>
      <w:r w:rsidR="00555E98">
        <w:t>Aircraft Manufacturing and Repair Services</w:t>
      </w:r>
      <w:r>
        <w:t xml:space="preserve"> industry were highlighted in </w:t>
      </w:r>
      <w:r w:rsidR="001963CA">
        <w:t>the</w:t>
      </w:r>
      <w:r>
        <w:t xml:space="preserve"> industry survey and consultations with stakeholders. </w:t>
      </w:r>
    </w:p>
    <w:p w14:paraId="63467E3E" w14:textId="0B1F0185" w:rsidR="00A01B02" w:rsidRPr="007C068F" w:rsidRDefault="00A01B02" w:rsidP="007C068F">
      <w:pPr>
        <w:pStyle w:val="BodyText1"/>
        <w:spacing w:before="0" w:after="0"/>
        <w:rPr>
          <w:sz w:val="12"/>
          <w:szCs w:val="12"/>
        </w:rPr>
      </w:pPr>
    </w:p>
    <w:p w14:paraId="2265FD3F" w14:textId="77777777" w:rsidR="000163EE" w:rsidRDefault="008616FD" w:rsidP="007C068F">
      <w:pPr>
        <w:pStyle w:val="BodyText1"/>
        <w:spacing w:before="0"/>
      </w:pPr>
      <w:r>
        <w:t xml:space="preserve">High standards of product safety and Australia’s reputation in the industry globally were identified as two key strengths of the industry. </w:t>
      </w:r>
    </w:p>
    <w:p w14:paraId="3DB122DE" w14:textId="48BCACE2" w:rsidR="008616FD" w:rsidRDefault="00432C9D" w:rsidP="008616FD">
      <w:pPr>
        <w:pStyle w:val="BodyText1"/>
      </w:pPr>
      <w:r>
        <w:t xml:space="preserve">The commitment to providing quality products and services, despite some constraints, </w:t>
      </w:r>
      <w:r w:rsidRPr="00442C03">
        <w:t xml:space="preserve">has helped build trust in Australian products and build a </w:t>
      </w:r>
      <w:r>
        <w:t xml:space="preserve">strong </w:t>
      </w:r>
      <w:r w:rsidRPr="00442C03">
        <w:t xml:space="preserve">brand reputation for the industry in the global market. </w:t>
      </w:r>
      <w:r>
        <w:t>However, w</w:t>
      </w:r>
      <w:r w:rsidR="002415EE">
        <w:t xml:space="preserve">ith the expected growth in Asia Pacific’s air </w:t>
      </w:r>
      <w:r w:rsidR="00604185">
        <w:t xml:space="preserve">travel </w:t>
      </w:r>
      <w:r w:rsidR="002415EE">
        <w:t xml:space="preserve">and Australia’s growing foothold in some of the niche sectors like Unmanned Aerial Systems (UAS), industry representatives expressed concern over some impediments to these opportunities at present. The </w:t>
      </w:r>
      <w:r w:rsidR="008616FD">
        <w:t xml:space="preserve">availability of skilled labour </w:t>
      </w:r>
      <w:r w:rsidR="002415EE">
        <w:t xml:space="preserve">and the </w:t>
      </w:r>
      <w:r w:rsidR="002C5776">
        <w:rPr>
          <w:color w:val="000000"/>
        </w:rPr>
        <w:t xml:space="preserve">lack of mutual recognition of certifications from key trade partners, further weighed down by regulatory </w:t>
      </w:r>
      <w:r w:rsidR="00655FB7">
        <w:rPr>
          <w:color w:val="000000"/>
        </w:rPr>
        <w:t>requirements</w:t>
      </w:r>
      <w:r w:rsidR="002C5776">
        <w:rPr>
          <w:color w:val="000000"/>
        </w:rPr>
        <w:t xml:space="preserve">, </w:t>
      </w:r>
      <w:r w:rsidR="008616FD">
        <w:t xml:space="preserve">are considered to be the top challenges </w:t>
      </w:r>
      <w:r w:rsidR="00655FB7">
        <w:t xml:space="preserve">faced </w:t>
      </w:r>
      <w:r w:rsidR="002C5776">
        <w:t xml:space="preserve">by industry players </w:t>
      </w:r>
      <w:r w:rsidR="00A2264C">
        <w:t>going forward.</w:t>
      </w:r>
    </w:p>
    <w:p w14:paraId="4F937557" w14:textId="752B9569" w:rsidR="00F85FE7" w:rsidRDefault="00F85FE7" w:rsidP="00F85FE7">
      <w:pPr>
        <w:pStyle w:val="BodyText1"/>
      </w:pPr>
      <w:r>
        <w:t xml:space="preserve">While there is an ongoing degree of volatility in the global aerospace industry, industry representatives believe that building on these current strengths and, where possible, exploring new avenues </w:t>
      </w:r>
      <w:r w:rsidR="00655FB7">
        <w:t>(</w:t>
      </w:r>
      <w:r>
        <w:t>like developing regional maintenance hubs and translating relevant research work into practical tools</w:t>
      </w:r>
      <w:r w:rsidR="00655FB7">
        <w:t>)</w:t>
      </w:r>
      <w:r>
        <w:t xml:space="preserve"> can help </w:t>
      </w:r>
      <w:r w:rsidR="00655FB7">
        <w:t xml:space="preserve">alleviate </w:t>
      </w:r>
      <w:r>
        <w:t>some of the challenges and build a more competitive Aircraft Manufacturing and Repair Services industry in Australia. Further, a common pool of resources and skill sets between defence and civil sectors can be leveraged to support both long-term high volume contracts in the former and a consistent stream of small</w:t>
      </w:r>
      <w:r w:rsidR="003341C7">
        <w:t>er engagements from the latter.</w:t>
      </w:r>
    </w:p>
    <w:p w14:paraId="67096A83" w14:textId="77777777" w:rsidR="00F85FE7" w:rsidRDefault="003341C7" w:rsidP="00A2264C">
      <w:pPr>
        <w:pStyle w:val="BodyText1"/>
        <w:spacing w:before="600"/>
        <w:sectPr w:rsidR="00F85FE7" w:rsidSect="006C3FE3">
          <w:headerReference w:type="first" r:id="rId25"/>
          <w:pgSz w:w="11906" w:h="16838"/>
          <w:pgMar w:top="1985" w:right="1440" w:bottom="1440" w:left="1440" w:header="709" w:footer="709" w:gutter="0"/>
          <w:pgNumType w:fmt="lowerRoman" w:start="1"/>
          <w:cols w:space="454"/>
          <w:titlePg/>
          <w:docGrid w:linePitch="360"/>
        </w:sectPr>
      </w:pPr>
      <w:r w:rsidRPr="00BB2DB9">
        <w:rPr>
          <w:noProof/>
          <w:lang w:eastAsia="en-AU"/>
        </w:rPr>
        <w:drawing>
          <wp:inline distT="0" distB="0" distL="0" distR="0" wp14:anchorId="42F7AC63" wp14:editId="13502F58">
            <wp:extent cx="5731510" cy="1389258"/>
            <wp:effectExtent l="0" t="0" r="2540" b="1905"/>
            <wp:docPr id="225" name="Picture 225" descr="Snapshot of Australia's Aircraft Manufacturing and Repair Services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1389258"/>
                    </a:xfrm>
                    <a:prstGeom prst="rect">
                      <a:avLst/>
                    </a:prstGeom>
                    <a:noFill/>
                    <a:ln>
                      <a:noFill/>
                    </a:ln>
                  </pic:spPr>
                </pic:pic>
              </a:graphicData>
            </a:graphic>
          </wp:inline>
        </w:drawing>
      </w:r>
    </w:p>
    <w:p w14:paraId="6F48109C" w14:textId="77777777" w:rsidR="00541846" w:rsidRPr="007C068F" w:rsidRDefault="00541846" w:rsidP="007C068F">
      <w:pPr>
        <w:pStyle w:val="BodyText1"/>
        <w:spacing w:before="0" w:after="0"/>
        <w:rPr>
          <w:sz w:val="4"/>
          <w:szCs w:val="4"/>
        </w:rPr>
        <w:sectPr w:rsidR="00541846" w:rsidRPr="007C068F" w:rsidSect="007275F1">
          <w:pgSz w:w="11906" w:h="16838"/>
          <w:pgMar w:top="1985" w:right="1440" w:bottom="1440" w:left="1440" w:header="709" w:footer="709" w:gutter="0"/>
          <w:pgNumType w:fmt="lowerRoman" w:start="3"/>
          <w:cols w:num="2" w:space="454"/>
          <w:titlePg/>
          <w:docGrid w:linePitch="360"/>
        </w:sectPr>
      </w:pPr>
    </w:p>
    <w:p w14:paraId="3AB21587" w14:textId="25EF7BDC" w:rsidR="008616FD" w:rsidRDefault="00F04FDC" w:rsidP="007C068F">
      <w:pPr>
        <w:pStyle w:val="BodyText1"/>
      </w:pPr>
      <w:r>
        <w:t xml:space="preserve">The Australian Aircraft Manufacturing and Repair Services industry is well placed globally, with around 600 companies participating in the aerospace manufacturing global supply chain. Australia has a number of key capabilities across the aerospace industry that separates it from its counterparts and </w:t>
      </w:r>
      <w:r w:rsidR="00C05736">
        <w:t xml:space="preserve">provides </w:t>
      </w:r>
      <w:r>
        <w:t xml:space="preserve">a </w:t>
      </w:r>
      <w:r w:rsidRPr="0030573C">
        <w:t xml:space="preserve">high level of trust </w:t>
      </w:r>
      <w:r w:rsidR="00C05736">
        <w:t>in</w:t>
      </w:r>
      <w:r w:rsidR="00C05736" w:rsidRPr="0030573C">
        <w:t xml:space="preserve"> </w:t>
      </w:r>
      <w:r>
        <w:t xml:space="preserve">Australian </w:t>
      </w:r>
      <w:r w:rsidRPr="0030573C">
        <w:t xml:space="preserve">products </w:t>
      </w:r>
      <w:r w:rsidR="00C05736">
        <w:t>across</w:t>
      </w:r>
      <w:r w:rsidR="00C05736" w:rsidRPr="0030573C">
        <w:t xml:space="preserve"> </w:t>
      </w:r>
      <w:r w:rsidRPr="0030573C">
        <w:t xml:space="preserve">the </w:t>
      </w:r>
      <w:r>
        <w:t xml:space="preserve">global </w:t>
      </w:r>
      <w:r w:rsidRPr="0030573C">
        <w:t>market</w:t>
      </w:r>
      <w:r>
        <w:t>.</w:t>
      </w:r>
      <w:r w:rsidR="00653B90">
        <w:t xml:space="preserve"> </w:t>
      </w:r>
      <w:r w:rsidR="00982C0E">
        <w:t xml:space="preserve">In-depth analysis of the industry brought some key features to the </w:t>
      </w:r>
      <w:r w:rsidR="008531C1">
        <w:t>forefront that</w:t>
      </w:r>
      <w:r w:rsidR="00982C0E">
        <w:t xml:space="preserve"> go beyond the industry’s fiscal contribution to the economy. </w:t>
      </w:r>
      <w:r w:rsidR="008616FD">
        <w:t>The industry’s broader non-</w:t>
      </w:r>
      <w:r w:rsidR="00C05736">
        <w:t xml:space="preserve">financial </w:t>
      </w:r>
      <w:r w:rsidR="008616FD">
        <w:t>economic contributions include:</w:t>
      </w:r>
    </w:p>
    <w:p w14:paraId="2335A9C0" w14:textId="7CAAD858" w:rsidR="00E0751F" w:rsidRDefault="008616FD" w:rsidP="007C068F">
      <w:pPr>
        <w:pStyle w:val="Bullet1stlevel"/>
        <w:spacing w:before="120"/>
        <w:ind w:left="357" w:right="175" w:hanging="357"/>
      </w:pPr>
      <w:r w:rsidRPr="001711FD">
        <w:rPr>
          <w:b/>
          <w:color w:val="0091DA" w:themeColor="accent2"/>
        </w:rPr>
        <w:t>Research and Development (R&amp;D</w:t>
      </w:r>
      <w:r w:rsidR="008531C1" w:rsidRPr="001711FD">
        <w:rPr>
          <w:b/>
          <w:color w:val="0091DA" w:themeColor="accent2"/>
        </w:rPr>
        <w:t>)</w:t>
      </w:r>
      <w:r w:rsidR="008531C1" w:rsidRPr="00A01B02">
        <w:rPr>
          <w:i/>
        </w:rPr>
        <w:t xml:space="preserve"> -</w:t>
      </w:r>
      <w:r>
        <w:t xml:space="preserve"> R&amp;D activities play an important role in the domestic industry </w:t>
      </w:r>
      <w:r w:rsidRPr="00C15BFD">
        <w:t xml:space="preserve">successfully reaching </w:t>
      </w:r>
      <w:r>
        <w:t xml:space="preserve">out to </w:t>
      </w:r>
      <w:r w:rsidRPr="00C15BFD">
        <w:t xml:space="preserve">international </w:t>
      </w:r>
      <w:r>
        <w:t xml:space="preserve">businesses and remaining globally competitive. While Australia’s absolute investment in R&amp;D in air, spacecraft and related machinery </w:t>
      </w:r>
      <w:r w:rsidR="0042414F">
        <w:t xml:space="preserve">is relatively low compared to other OECD countries, </w:t>
      </w:r>
      <w:r w:rsidR="00036E80">
        <w:t xml:space="preserve">Australia is recognised through its position in </w:t>
      </w:r>
      <w:r w:rsidR="0042414F">
        <w:t>the</w:t>
      </w:r>
      <w:r w:rsidR="00036E80">
        <w:t xml:space="preserve"> top 10 OECD countries for its</w:t>
      </w:r>
      <w:r w:rsidR="0042414F">
        <w:t xml:space="preserve"> quality of research</w:t>
      </w:r>
      <w:r w:rsidR="00036E80">
        <w:t>.</w:t>
      </w:r>
      <w:r>
        <w:t xml:space="preserve"> </w:t>
      </w:r>
    </w:p>
    <w:p w14:paraId="5CBDE44B" w14:textId="3EFBBDBC" w:rsidR="008616FD" w:rsidRDefault="0042414F" w:rsidP="007C068F">
      <w:pPr>
        <w:pStyle w:val="Bullet1stlevel"/>
        <w:numPr>
          <w:ilvl w:val="0"/>
          <w:numId w:val="0"/>
        </w:numPr>
        <w:spacing w:before="120"/>
        <w:ind w:left="357" w:right="175"/>
      </w:pPr>
      <w:r>
        <w:t>Also p</w:t>
      </w:r>
      <w:r w:rsidR="00982C0E">
        <w:t>artly attributed to t</w:t>
      </w:r>
      <w:r w:rsidR="008616FD">
        <w:t>he government’s R&amp;D Tax Incentive to businesses</w:t>
      </w:r>
      <w:r w:rsidR="00982C0E">
        <w:t xml:space="preserve">, </w:t>
      </w:r>
      <w:r w:rsidR="008616FD">
        <w:t xml:space="preserve">Australia </w:t>
      </w:r>
      <w:r w:rsidR="00604185">
        <w:t xml:space="preserve">has </w:t>
      </w:r>
      <w:r w:rsidR="008616FD">
        <w:t xml:space="preserve">become a popular destination for </w:t>
      </w:r>
      <w:r w:rsidR="00C05736">
        <w:t xml:space="preserve">many </w:t>
      </w:r>
      <w:r w:rsidR="008616FD">
        <w:t>R&amp;D activit</w:t>
      </w:r>
      <w:r w:rsidR="00E6200A">
        <w:t>i</w:t>
      </w:r>
      <w:r w:rsidR="008616FD">
        <w:t>es carried out by big international O</w:t>
      </w:r>
      <w:r w:rsidR="00E6200A">
        <w:t xml:space="preserve">riginal </w:t>
      </w:r>
      <w:r w:rsidR="008616FD">
        <w:t>E</w:t>
      </w:r>
      <w:r w:rsidR="00E6200A">
        <w:t xml:space="preserve">quipment </w:t>
      </w:r>
      <w:r w:rsidR="008616FD">
        <w:t>M</w:t>
      </w:r>
      <w:r w:rsidR="008531C1">
        <w:t>anufacturers (OEMs). Prominent examples include Boeing</w:t>
      </w:r>
      <w:r w:rsidR="006D61CB">
        <w:t>’s Research and Technology Australia branch – the company’s biggest offshore research and development facility</w:t>
      </w:r>
      <w:r w:rsidR="00E0751F">
        <w:t xml:space="preserve"> – </w:t>
      </w:r>
      <w:r w:rsidR="006D61CB">
        <w:t xml:space="preserve">and Lockheed Martin’s STELaRLab – its </w:t>
      </w:r>
      <w:r w:rsidR="008531C1">
        <w:t>first multi</w:t>
      </w:r>
      <w:r w:rsidR="008616FD">
        <w:t>dis</w:t>
      </w:r>
      <w:r w:rsidR="008531C1">
        <w:t>ci</w:t>
      </w:r>
      <w:r w:rsidR="008616FD">
        <w:t xml:space="preserve">plinary R&amp;D facility outside of </w:t>
      </w:r>
      <w:r w:rsidR="00E0751F">
        <w:t xml:space="preserve">the </w:t>
      </w:r>
      <w:r w:rsidR="008616FD">
        <w:t xml:space="preserve">US. </w:t>
      </w:r>
    </w:p>
    <w:p w14:paraId="7BEBFE43" w14:textId="252970D5" w:rsidR="001711FD" w:rsidRDefault="001711FD" w:rsidP="00F85FE7">
      <w:pPr>
        <w:pStyle w:val="Bullet1stlevel"/>
        <w:spacing w:before="120"/>
        <w:ind w:left="357" w:hanging="357"/>
      </w:pPr>
      <w:r w:rsidRPr="00F85FE7">
        <w:rPr>
          <w:b/>
          <w:color w:val="0091DA" w:themeColor="accent2"/>
        </w:rPr>
        <w:t>Innovation</w:t>
      </w:r>
      <w:r>
        <w:rPr>
          <w:i/>
        </w:rPr>
        <w:t xml:space="preserve"> - </w:t>
      </w:r>
      <w:r>
        <w:t>Australia’s strong reputation in the Aircraft Manufacturing and Repair Services industry stems from its capability to develop innovative products</w:t>
      </w:r>
      <w:r w:rsidR="00795A55">
        <w:t xml:space="preserve">. </w:t>
      </w:r>
      <w:r>
        <w:t xml:space="preserve">The </w:t>
      </w:r>
      <w:r w:rsidR="00A418D3">
        <w:t>i</w:t>
      </w:r>
      <w:r>
        <w:t>ndustry is recognised for its problem solving capabilities and skill</w:t>
      </w:r>
      <w:r w:rsidR="00F178A9">
        <w:t xml:space="preserve">s in </w:t>
      </w:r>
      <w:r>
        <w:t>modify</w:t>
      </w:r>
      <w:r w:rsidR="00F178A9">
        <w:t>ing</w:t>
      </w:r>
      <w:r>
        <w:t xml:space="preserve"> existing technologies/products to gain efficiencies</w:t>
      </w:r>
      <w:r w:rsidR="00795A55">
        <w:t xml:space="preserve"> like the CSIRO patented carbon fibre technology</w:t>
      </w:r>
      <w:r>
        <w:t>. Unique business strategies and an “attention to detail” approach adopted by many Australian firms also often present</w:t>
      </w:r>
      <w:r w:rsidR="00F178A9">
        <w:t>s</w:t>
      </w:r>
      <w:r>
        <w:t xml:space="preserve"> learning opportunities for international businesses that work with the</w:t>
      </w:r>
      <w:r w:rsidR="00F178A9">
        <w:t>se Australian firms</w:t>
      </w:r>
      <w:r>
        <w:t>.</w:t>
      </w:r>
    </w:p>
    <w:p w14:paraId="266B67A3" w14:textId="1876656D" w:rsidR="00A2264C" w:rsidRDefault="00225996" w:rsidP="00A2264C">
      <w:pPr>
        <w:pStyle w:val="Bullet1stlevel"/>
        <w:spacing w:before="120"/>
        <w:ind w:left="357" w:hanging="357"/>
      </w:pPr>
      <w:r w:rsidRPr="00A2264C">
        <w:rPr>
          <w:b/>
          <w:color w:val="0091DA" w:themeColor="accent2"/>
        </w:rPr>
        <w:t>Industry collaboration</w:t>
      </w:r>
      <w:r w:rsidR="008616FD" w:rsidRPr="00A2264C">
        <w:rPr>
          <w:i/>
        </w:rPr>
        <w:t>-</w:t>
      </w:r>
      <w:r w:rsidR="008616FD">
        <w:t xml:space="preserve"> </w:t>
      </w:r>
      <w:r w:rsidR="00982C0E">
        <w:t>Australia is highly</w:t>
      </w:r>
      <w:r w:rsidR="00AD2A70">
        <w:t xml:space="preserve"> regarded for its </w:t>
      </w:r>
      <w:r w:rsidR="00EA73A0">
        <w:t xml:space="preserve">research capacity in </w:t>
      </w:r>
      <w:r w:rsidR="00AD2A70">
        <w:t xml:space="preserve">organisations like the CSIRO and technology universities. Recognising the need to translate research work to industry applications, the industry is making efforts to collaborate with universities. These partnerships are also leading </w:t>
      </w:r>
      <w:r w:rsidR="00F178A9">
        <w:t xml:space="preserve">to </w:t>
      </w:r>
      <w:r w:rsidR="00AD2A70">
        <w:t xml:space="preserve">many start-ups spinning out of universities to </w:t>
      </w:r>
      <w:r w:rsidR="00E0751F">
        <w:t xml:space="preserve">bring </w:t>
      </w:r>
      <w:r w:rsidR="00AD2A70">
        <w:t>high-tech products</w:t>
      </w:r>
      <w:r w:rsidR="00E0751F">
        <w:t xml:space="preserve"> to market</w:t>
      </w:r>
      <w:r w:rsidR="00AD2A70">
        <w:t>, thus expandin</w:t>
      </w:r>
      <w:r w:rsidR="00A2264C">
        <w:t>g the industry’s capabilities.</w:t>
      </w:r>
    </w:p>
    <w:p w14:paraId="32A947E7" w14:textId="0173A8C4" w:rsidR="00C275E7" w:rsidRDefault="00430CA6" w:rsidP="00A2264C">
      <w:pPr>
        <w:pStyle w:val="Bodyafterbullet"/>
      </w:pPr>
      <w:r>
        <w:t xml:space="preserve">In going forward, </w:t>
      </w:r>
      <w:r w:rsidR="00E0751F">
        <w:t xml:space="preserve">both the </w:t>
      </w:r>
      <w:r>
        <w:t xml:space="preserve">significant increase </w:t>
      </w:r>
      <w:r w:rsidR="00E0751F">
        <w:t xml:space="preserve">expected </w:t>
      </w:r>
      <w:r>
        <w:t>in the magnitude of air traffic</w:t>
      </w:r>
      <w:r w:rsidR="00E0751F">
        <w:t xml:space="preserve"> (</w:t>
      </w:r>
      <w:r w:rsidR="00AA24B4">
        <w:t>particularly</w:t>
      </w:r>
      <w:r>
        <w:t xml:space="preserve"> in Asia-Pacific</w:t>
      </w:r>
      <w:r w:rsidR="00E0751F">
        <w:t>),</w:t>
      </w:r>
      <w:r>
        <w:t xml:space="preserve"> and the in-flow of </w:t>
      </w:r>
      <w:r w:rsidR="00842B3D">
        <w:t>aerospace related d</w:t>
      </w:r>
      <w:r>
        <w:t xml:space="preserve">efence contracts </w:t>
      </w:r>
      <w:r w:rsidR="00842B3D">
        <w:t>to support Australia and its allies</w:t>
      </w:r>
      <w:r w:rsidR="00E0751F">
        <w:t>,</w:t>
      </w:r>
      <w:r w:rsidR="00842B3D">
        <w:t xml:space="preserve"> </w:t>
      </w:r>
      <w:r w:rsidR="00EA73A0">
        <w:t>present</w:t>
      </w:r>
      <w:r>
        <w:t xml:space="preserve"> opportunities for the</w:t>
      </w:r>
      <w:r w:rsidR="00842B3D">
        <w:t xml:space="preserve"> domestic</w:t>
      </w:r>
      <w:r>
        <w:t xml:space="preserve"> </w:t>
      </w:r>
      <w:r w:rsidR="00555E98">
        <w:t>Aircraft Manufacturing and Repair Services</w:t>
      </w:r>
      <w:r>
        <w:t xml:space="preserve"> industry. </w:t>
      </w:r>
      <w:r w:rsidR="00AA24B4">
        <w:t>Up skilling</w:t>
      </w:r>
      <w:r>
        <w:t xml:space="preserve"> and</w:t>
      </w:r>
      <w:r w:rsidR="009D0C67">
        <w:t xml:space="preserve"> </w:t>
      </w:r>
      <w:r w:rsidR="00604185">
        <w:t xml:space="preserve">effective </w:t>
      </w:r>
      <w:r w:rsidR="009D0C67">
        <w:t>utilisation of Australia’s SME capability</w:t>
      </w:r>
      <w:r>
        <w:t xml:space="preserve"> can prepare the industry to leverage these upcoming opportunities</w:t>
      </w:r>
      <w:r w:rsidR="001711FD">
        <w:t>.</w:t>
      </w:r>
    </w:p>
    <w:p w14:paraId="034FB258" w14:textId="1AA55D3B" w:rsidR="004E16E2" w:rsidRDefault="005273F4" w:rsidP="00A2264C">
      <w:pPr>
        <w:pStyle w:val="BodyText1"/>
        <w:spacing w:before="360"/>
        <w:sectPr w:rsidR="004E16E2" w:rsidSect="00C275E7">
          <w:type w:val="continuous"/>
          <w:pgSz w:w="11906" w:h="16838"/>
          <w:pgMar w:top="1985" w:right="1440" w:bottom="1440" w:left="1440" w:header="709" w:footer="709" w:gutter="0"/>
          <w:pgNumType w:start="0"/>
          <w:cols w:space="708"/>
          <w:titlePg/>
          <w:docGrid w:linePitch="360"/>
        </w:sectPr>
      </w:pPr>
      <w:r>
        <w:rPr>
          <w:noProof/>
          <w:lang w:eastAsia="en-AU"/>
        </w:rPr>
        <w:drawing>
          <wp:inline distT="0" distB="0" distL="0" distR="0" wp14:anchorId="72D5C333" wp14:editId="380E0019">
            <wp:extent cx="5760000" cy="2145055"/>
            <wp:effectExtent l="0" t="0" r="0" b="0"/>
            <wp:docPr id="308" name="Picture 308" descr="The industry believes their key strengths are in their high product safety standards followed by their reputation.  In contrast, they nominated the lack of recognition certifications and high regulatory burden the most identified weaknesses of their industry" title="Key strengths and weaknesses of the industry, in decreasing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2145055"/>
                    </a:xfrm>
                    <a:prstGeom prst="rect">
                      <a:avLst/>
                    </a:prstGeom>
                    <a:noFill/>
                  </pic:spPr>
                </pic:pic>
              </a:graphicData>
            </a:graphic>
          </wp:inline>
        </w:drawing>
      </w:r>
    </w:p>
    <w:p w14:paraId="064301FA" w14:textId="6B7F3C06" w:rsidR="009C6F5C" w:rsidRPr="0011521D" w:rsidRDefault="00EE39AE" w:rsidP="0011521D">
      <w:pPr>
        <w:pStyle w:val="Heading2"/>
      </w:pPr>
      <w:bookmarkStart w:id="2" w:name="_Ref536707585"/>
      <w:bookmarkStart w:id="3" w:name="_Toc26537882"/>
      <w:r w:rsidRPr="0011521D">
        <w:lastRenderedPageBreak/>
        <w:t>Introduction</w:t>
      </w:r>
      <w:bookmarkStart w:id="4" w:name="_Toc473101704"/>
      <w:bookmarkEnd w:id="2"/>
      <w:bookmarkEnd w:id="3"/>
    </w:p>
    <w:p w14:paraId="53AF7D08" w14:textId="1A96DD4C" w:rsidR="008F6E27" w:rsidRDefault="00DF755F" w:rsidP="00224DD1">
      <w:bookmarkStart w:id="5" w:name="_Toc474229767"/>
      <w:r>
        <w:t xml:space="preserve">Australia’s </w:t>
      </w:r>
      <w:r w:rsidRPr="00B83552">
        <w:t xml:space="preserve">geographical distance from merchandising partners </w:t>
      </w:r>
      <w:r>
        <w:t xml:space="preserve">and a population spread out across a </w:t>
      </w:r>
      <w:r w:rsidR="00224DD1" w:rsidRPr="00B83552">
        <w:t xml:space="preserve">large internal landmass </w:t>
      </w:r>
      <w:r w:rsidR="00922D9D">
        <w:t xml:space="preserve">was an initial driver of the establishment of </w:t>
      </w:r>
      <w:r w:rsidR="00224DD1" w:rsidRPr="00B83552">
        <w:t>the aerospace sector</w:t>
      </w:r>
      <w:r w:rsidR="00922D9D">
        <w:t xml:space="preserve"> in Australia</w:t>
      </w:r>
      <w:r w:rsidR="00224DD1" w:rsidRPr="00B83552">
        <w:t>.</w:t>
      </w:r>
      <w:r w:rsidR="00922D9D">
        <w:t xml:space="preserve">  Since then, the Australian aerospace industry has developed to encompass a wide range of services and has built a reputation of capability and innovation. </w:t>
      </w:r>
      <w:r w:rsidR="00F312EC">
        <w:t xml:space="preserve">The Australian aerospace industry’s primary sub-sectors include Defence, </w:t>
      </w:r>
      <w:r w:rsidR="00CE62E0">
        <w:t xml:space="preserve">commercial aviation, </w:t>
      </w:r>
      <w:r w:rsidR="008F6E27">
        <w:t xml:space="preserve">aircraft parts, </w:t>
      </w:r>
      <w:r w:rsidR="00D53D6B">
        <w:t>Maintenance</w:t>
      </w:r>
      <w:r w:rsidR="008F6E27">
        <w:t xml:space="preserve">, Repair and Overhaul (MRO) services, business jets, helicopters, aerial agriculture and Unmanned Aerial Vehicles (UAV). </w:t>
      </w:r>
    </w:p>
    <w:p w14:paraId="10373180" w14:textId="6E8534BF" w:rsidR="00922D9D" w:rsidRDefault="00922D9D" w:rsidP="00922D9D">
      <w:bookmarkStart w:id="6" w:name="_Toc954125"/>
      <w:bookmarkStart w:id="7" w:name="_Toc1401817"/>
      <w:bookmarkStart w:id="8" w:name="_Toc2066616"/>
      <w:bookmarkStart w:id="9" w:name="_Toc2066727"/>
      <w:bookmarkStart w:id="10" w:name="_Toc2066797"/>
      <w:bookmarkStart w:id="11" w:name="_Toc954126"/>
      <w:bookmarkStart w:id="12" w:name="_Toc1401818"/>
      <w:bookmarkStart w:id="13" w:name="_Toc2066617"/>
      <w:bookmarkStart w:id="14" w:name="_Toc2066728"/>
      <w:bookmarkStart w:id="15" w:name="_Toc2066798"/>
      <w:bookmarkStart w:id="16" w:name="_Toc954127"/>
      <w:bookmarkStart w:id="17" w:name="_Toc1401819"/>
      <w:bookmarkStart w:id="18" w:name="_Toc2066618"/>
      <w:bookmarkStart w:id="19" w:name="_Toc2066729"/>
      <w:bookmarkStart w:id="20" w:name="_Toc2066799"/>
      <w:bookmarkStart w:id="21" w:name="_Toc954128"/>
      <w:bookmarkStart w:id="22" w:name="_Toc1401820"/>
      <w:bookmarkStart w:id="23" w:name="_Toc2066619"/>
      <w:bookmarkStart w:id="24" w:name="_Toc2066730"/>
      <w:bookmarkStart w:id="25" w:name="_Toc2066800"/>
      <w:bookmarkStart w:id="26" w:name="_Toc954129"/>
      <w:bookmarkStart w:id="27" w:name="_Toc1401821"/>
      <w:bookmarkStart w:id="28" w:name="_Toc2066620"/>
      <w:bookmarkStart w:id="29" w:name="_Toc2066731"/>
      <w:bookmarkStart w:id="30" w:name="_Toc2066801"/>
      <w:bookmarkStart w:id="31" w:name="_Toc954130"/>
      <w:bookmarkStart w:id="32" w:name="_Toc1401822"/>
      <w:bookmarkStart w:id="33" w:name="_Toc2066621"/>
      <w:bookmarkStart w:id="34" w:name="_Toc2066732"/>
      <w:bookmarkStart w:id="35" w:name="_Toc2066802"/>
      <w:bookmarkStart w:id="36" w:name="_Toc954131"/>
      <w:bookmarkStart w:id="37" w:name="_Toc1401823"/>
      <w:bookmarkStart w:id="38" w:name="_Toc2066622"/>
      <w:bookmarkStart w:id="39" w:name="_Toc2066733"/>
      <w:bookmarkStart w:id="40" w:name="_Toc2066803"/>
      <w:bookmarkStart w:id="41" w:name="_Toc954132"/>
      <w:bookmarkStart w:id="42" w:name="_Toc1401824"/>
      <w:bookmarkStart w:id="43" w:name="_Toc2066623"/>
      <w:bookmarkStart w:id="44" w:name="_Toc2066734"/>
      <w:bookmarkStart w:id="45" w:name="_Toc2066804"/>
      <w:bookmarkStart w:id="46" w:name="_Toc954133"/>
      <w:bookmarkStart w:id="47" w:name="_Toc1401825"/>
      <w:bookmarkStart w:id="48" w:name="_Toc2066624"/>
      <w:bookmarkStart w:id="49" w:name="_Toc2066735"/>
      <w:bookmarkStart w:id="50" w:name="_Toc2066805"/>
      <w:bookmarkStart w:id="51" w:name="_Toc954134"/>
      <w:bookmarkStart w:id="52" w:name="_Toc1401826"/>
      <w:bookmarkStart w:id="53" w:name="_Toc2066625"/>
      <w:bookmarkStart w:id="54" w:name="_Toc2066736"/>
      <w:bookmarkStart w:id="55" w:name="_Toc2066806"/>
      <w:bookmarkStart w:id="56" w:name="_Toc954135"/>
      <w:bookmarkStart w:id="57" w:name="_Toc1401827"/>
      <w:bookmarkStart w:id="58" w:name="_Toc2066626"/>
      <w:bookmarkStart w:id="59" w:name="_Toc2066737"/>
      <w:bookmarkStart w:id="60" w:name="_Toc2066807"/>
      <w:bookmarkStart w:id="61" w:name="_Toc954136"/>
      <w:bookmarkStart w:id="62" w:name="_Toc1401828"/>
      <w:bookmarkStart w:id="63" w:name="_Toc2066627"/>
      <w:bookmarkStart w:id="64" w:name="_Toc2066738"/>
      <w:bookmarkStart w:id="65" w:name="_Toc2066808"/>
      <w:bookmarkStart w:id="66" w:name="_Toc954137"/>
      <w:bookmarkStart w:id="67" w:name="_Toc1401829"/>
      <w:bookmarkStart w:id="68" w:name="_Toc2066628"/>
      <w:bookmarkStart w:id="69" w:name="_Toc2066739"/>
      <w:bookmarkStart w:id="70" w:name="_Toc2066809"/>
      <w:bookmarkStart w:id="71" w:name="_Toc954138"/>
      <w:bookmarkStart w:id="72" w:name="_Toc1401830"/>
      <w:bookmarkStart w:id="73" w:name="_Toc2066629"/>
      <w:bookmarkStart w:id="74" w:name="_Toc2066740"/>
      <w:bookmarkStart w:id="75" w:name="_Toc2066810"/>
      <w:bookmarkStart w:id="76" w:name="_Toc954139"/>
      <w:bookmarkStart w:id="77" w:name="_Toc1401831"/>
      <w:bookmarkStart w:id="78" w:name="_Toc2066630"/>
      <w:bookmarkStart w:id="79" w:name="_Toc2066741"/>
      <w:bookmarkStart w:id="80" w:name="_Toc2066811"/>
      <w:bookmarkStart w:id="81" w:name="_Toc954140"/>
      <w:bookmarkStart w:id="82" w:name="_Toc1401832"/>
      <w:bookmarkStart w:id="83" w:name="_Toc2066631"/>
      <w:bookmarkStart w:id="84" w:name="_Toc2066742"/>
      <w:bookmarkStart w:id="85" w:name="_Toc2066812"/>
      <w:bookmarkStart w:id="86" w:name="_Toc954141"/>
      <w:bookmarkStart w:id="87" w:name="_Toc1401833"/>
      <w:bookmarkStart w:id="88" w:name="_Toc2066632"/>
      <w:bookmarkStart w:id="89" w:name="_Toc2066743"/>
      <w:bookmarkStart w:id="90" w:name="_Toc2066813"/>
      <w:bookmarkStart w:id="91" w:name="_Toc954142"/>
      <w:bookmarkStart w:id="92" w:name="_Toc1401834"/>
      <w:bookmarkStart w:id="93" w:name="_Toc2066633"/>
      <w:bookmarkStart w:id="94" w:name="_Toc2066744"/>
      <w:bookmarkStart w:id="95" w:name="_Toc2066814"/>
      <w:bookmarkStart w:id="96" w:name="_Toc954143"/>
      <w:bookmarkStart w:id="97" w:name="_Toc1401835"/>
      <w:bookmarkStart w:id="98" w:name="_Toc2066634"/>
      <w:bookmarkStart w:id="99" w:name="_Toc2066745"/>
      <w:bookmarkStart w:id="100" w:name="_Toc2066815"/>
      <w:bookmarkStart w:id="101" w:name="_Toc954144"/>
      <w:bookmarkStart w:id="102" w:name="_Toc1401836"/>
      <w:bookmarkStart w:id="103" w:name="_Toc2066635"/>
      <w:bookmarkStart w:id="104" w:name="_Toc2066746"/>
      <w:bookmarkStart w:id="105" w:name="_Toc2066816"/>
      <w:bookmarkStart w:id="106" w:name="_Toc954145"/>
      <w:bookmarkStart w:id="107" w:name="_Toc1401837"/>
      <w:bookmarkStart w:id="108" w:name="_Toc2066636"/>
      <w:bookmarkStart w:id="109" w:name="_Toc2066747"/>
      <w:bookmarkStart w:id="110" w:name="_Toc2066817"/>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t>The Aircraft Manufacturing and Repair Services industry forms a</w:t>
      </w:r>
      <w:r w:rsidR="007D3F27">
        <w:t xml:space="preserve">n important </w:t>
      </w:r>
      <w:r>
        <w:t xml:space="preserve">part of the well-respected Australian aerospace industry, providing support to civil as well as defence aviation sectors both domestically and internationally. The Aircraft Manufacturing and Repair Services industry had estimated annual revenue of nearly $4 billion in 2017-18, directly employing over 13,000 </w:t>
      </w:r>
      <w:r w:rsidR="00820036">
        <w:t>individuals</w:t>
      </w:r>
      <w:r>
        <w:t xml:space="preserve"> across its sub-sectors. While Boeing Australia Holdings Pty Ltd, Airbus Group Australia Pacific Limited and BAE Systems Australia Holdings Limited account for 70 per cent of </w:t>
      </w:r>
      <w:r w:rsidR="00820036">
        <w:t>Australia’s</w:t>
      </w:r>
      <w:r>
        <w:t xml:space="preserve"> market share</w:t>
      </w:r>
      <w:r>
        <w:rPr>
          <w:rStyle w:val="FootnoteReference"/>
        </w:rPr>
        <w:footnoteReference w:id="1"/>
      </w:r>
      <w:r>
        <w:t xml:space="preserve">, the operations of these </w:t>
      </w:r>
      <w:r w:rsidRPr="00B75CAF">
        <w:t xml:space="preserve">major </w:t>
      </w:r>
      <w:r>
        <w:t xml:space="preserve">global aerospace </w:t>
      </w:r>
      <w:r w:rsidRPr="00B75CAF">
        <w:t>players</w:t>
      </w:r>
      <w:r>
        <w:t xml:space="preserve"> are largely </w:t>
      </w:r>
      <w:r w:rsidRPr="00B75CAF">
        <w:t xml:space="preserve">supported by a </w:t>
      </w:r>
      <w:r>
        <w:t xml:space="preserve">wide </w:t>
      </w:r>
      <w:r w:rsidRPr="00B75CAF">
        <w:t>range of</w:t>
      </w:r>
      <w:r>
        <w:t xml:space="preserve"> home-grown </w:t>
      </w:r>
      <w:r w:rsidRPr="00B75CAF">
        <w:t xml:space="preserve">small and medium enterprises (SMEs). These </w:t>
      </w:r>
      <w:r>
        <w:t xml:space="preserve">local </w:t>
      </w:r>
      <w:r w:rsidRPr="00B75CAF">
        <w:t>firms speciali</w:t>
      </w:r>
      <w:r>
        <w:t>s</w:t>
      </w:r>
      <w:r w:rsidRPr="00B75CAF">
        <w:t>e in maintenance and repair, manufacture and distribution of parts, engineering services, airframe and engine component manufacturing, airport systems, avionics, and a select few carry out commercial aircraft maintenance.</w:t>
      </w:r>
      <w:r>
        <w:t xml:space="preserve">  </w:t>
      </w:r>
    </w:p>
    <w:p w14:paraId="0E5C7201" w14:textId="63CB6BA1" w:rsidR="002D28F0" w:rsidRPr="0011521D" w:rsidRDefault="002D28F0" w:rsidP="0011521D">
      <w:pPr>
        <w:pStyle w:val="Heading3"/>
      </w:pPr>
      <w:bookmarkStart w:id="111" w:name="_Toc26537883"/>
      <w:r w:rsidRPr="0011521D">
        <w:t>Scope</w:t>
      </w:r>
      <w:bookmarkEnd w:id="4"/>
      <w:bookmarkEnd w:id="5"/>
      <w:bookmarkEnd w:id="111"/>
    </w:p>
    <w:p w14:paraId="0B8E3887" w14:textId="77777777" w:rsidR="001F468A" w:rsidRDefault="004E3330" w:rsidP="007C068F">
      <w:r>
        <w:t xml:space="preserve">KPMG </w:t>
      </w:r>
      <w:r w:rsidR="00FE00AC">
        <w:t xml:space="preserve">was </w:t>
      </w:r>
      <w:r>
        <w:t>engaged by the Department of Industry, Innovation and Science</w:t>
      </w:r>
      <w:r w:rsidR="00E5519A">
        <w:t xml:space="preserve"> to provide a report </w:t>
      </w:r>
      <w:r w:rsidR="001F468A">
        <w:t xml:space="preserve">on the </w:t>
      </w:r>
      <w:r w:rsidR="008656AC">
        <w:t xml:space="preserve">Aerospace Industry </w:t>
      </w:r>
      <w:r w:rsidR="001F468A">
        <w:t>in Australia</w:t>
      </w:r>
      <w:r w:rsidR="00C13A4E">
        <w:t xml:space="preserve">, with a particular focus on the </w:t>
      </w:r>
      <w:r w:rsidR="004D778C">
        <w:t>a</w:t>
      </w:r>
      <w:r w:rsidR="008656AC">
        <w:t xml:space="preserve">ircraft </w:t>
      </w:r>
      <w:r w:rsidR="004D778C">
        <w:t xml:space="preserve">manufacturing </w:t>
      </w:r>
      <w:r w:rsidR="00396EEF">
        <w:t>industry</w:t>
      </w:r>
      <w:r w:rsidR="004D778C">
        <w:t>,</w:t>
      </w:r>
      <w:r w:rsidR="00396EEF">
        <w:t xml:space="preserve"> the </w:t>
      </w:r>
      <w:r w:rsidR="004D778C">
        <w:t>maintenance, r</w:t>
      </w:r>
      <w:r w:rsidR="008656AC">
        <w:t xml:space="preserve">epair </w:t>
      </w:r>
      <w:r w:rsidR="004D778C">
        <w:t xml:space="preserve">and overhaul </w:t>
      </w:r>
      <w:r w:rsidR="00396EEF">
        <w:t>(MRO) industry</w:t>
      </w:r>
      <w:r w:rsidR="004D778C">
        <w:t>, and related supply chains.</w:t>
      </w:r>
      <w:r w:rsidR="008656AC">
        <w:t xml:space="preserve"> </w:t>
      </w:r>
    </w:p>
    <w:p w14:paraId="2517D5DB" w14:textId="77777777" w:rsidR="00922D9D" w:rsidRPr="00922D9D" w:rsidRDefault="00922D9D" w:rsidP="007C068F">
      <w:r w:rsidRPr="007D3F27">
        <w:t>To achieve this, KPMG’s research and analysis has included desktop research, surveying companies, consultations with industry associations, case studies of in</w:t>
      </w:r>
      <w:r w:rsidRPr="00922D9D">
        <w:t xml:space="preserve">novative Australian companies and economic modelling of the Aircraft Manufacturing and Repair Services industry in Australia. </w:t>
      </w:r>
    </w:p>
    <w:p w14:paraId="6A1B544E" w14:textId="77777777" w:rsidR="00E5519A" w:rsidRDefault="00E11EC3" w:rsidP="007C068F">
      <w:r>
        <w:t>T</w:t>
      </w:r>
      <w:r w:rsidR="005F0405">
        <w:t>h</w:t>
      </w:r>
      <w:r w:rsidR="007F4D65">
        <w:t>e scope of this report covers</w:t>
      </w:r>
      <w:r w:rsidR="00E5519A">
        <w:t>:</w:t>
      </w:r>
    </w:p>
    <w:p w14:paraId="357E1631" w14:textId="77777777" w:rsidR="00791090" w:rsidRDefault="00791090">
      <w:pPr>
        <w:pStyle w:val="Bullet1stlevel"/>
      </w:pPr>
      <w:r>
        <w:t>Australia’s industry capab</w:t>
      </w:r>
      <w:r w:rsidR="00396EEF">
        <w:t>ility in the aerospace industry</w:t>
      </w:r>
      <w:r>
        <w:t xml:space="preserve">, </w:t>
      </w:r>
      <w:r w:rsidR="00E5519A" w:rsidRPr="00D22F1A">
        <w:t xml:space="preserve">focusing on </w:t>
      </w:r>
      <w:r w:rsidR="004D778C">
        <w:t xml:space="preserve">the </w:t>
      </w:r>
      <w:r w:rsidR="00555E98">
        <w:t>Aircraft Manufacturing and Repair Services</w:t>
      </w:r>
      <w:r w:rsidR="00AF1EDC">
        <w:t xml:space="preserve"> </w:t>
      </w:r>
      <w:r w:rsidR="00670F9E">
        <w:t>industry</w:t>
      </w:r>
      <w:r w:rsidR="004D778C">
        <w:t>;</w:t>
      </w:r>
    </w:p>
    <w:p w14:paraId="4126382F" w14:textId="77777777" w:rsidR="00E5519A" w:rsidRPr="00D22F1A" w:rsidRDefault="00C94AA1" w:rsidP="00D22F1A">
      <w:pPr>
        <w:pStyle w:val="Bullet1stlevel"/>
      </w:pPr>
      <w:r>
        <w:t>I</w:t>
      </w:r>
      <w:r w:rsidRPr="00D22F1A">
        <w:t xml:space="preserve">nnovative </w:t>
      </w:r>
      <w:r w:rsidR="00E5519A" w:rsidRPr="00D22F1A">
        <w:t>activit</w:t>
      </w:r>
      <w:r w:rsidR="009E5043" w:rsidRPr="00D22F1A">
        <w:t>i</w:t>
      </w:r>
      <w:r w:rsidR="00E5519A" w:rsidRPr="00D22F1A">
        <w:t>es, research and development and connections to international markets and supply chains</w:t>
      </w:r>
      <w:r w:rsidR="004D778C">
        <w:t>;</w:t>
      </w:r>
    </w:p>
    <w:p w14:paraId="72462981" w14:textId="77777777" w:rsidR="00791090" w:rsidRDefault="00C94AA1" w:rsidP="00D22F1A">
      <w:pPr>
        <w:pStyle w:val="Bullet1stlevel"/>
      </w:pPr>
      <w:r>
        <w:t>I</w:t>
      </w:r>
      <w:r w:rsidRPr="00D22F1A">
        <w:t xml:space="preserve">dentified </w:t>
      </w:r>
      <w:r w:rsidR="00E5519A" w:rsidRPr="00D22F1A">
        <w:t>growth opportunities and</w:t>
      </w:r>
      <w:r w:rsidR="00791090">
        <w:t xml:space="preserve"> </w:t>
      </w:r>
      <w:r w:rsidR="00E5519A" w:rsidRPr="00D22F1A">
        <w:t>barrier</w:t>
      </w:r>
      <w:r w:rsidR="005F0405" w:rsidRPr="00D22F1A">
        <w:t>s</w:t>
      </w:r>
      <w:r w:rsidR="00791090">
        <w:t xml:space="preserve">/challenges for </w:t>
      </w:r>
      <w:r w:rsidR="00E5519A" w:rsidRPr="00D22F1A">
        <w:t>the</w:t>
      </w:r>
      <w:r w:rsidR="008656AC">
        <w:t xml:space="preserve"> aerospace</w:t>
      </w:r>
      <w:r w:rsidR="00E5519A" w:rsidRPr="00D22F1A">
        <w:t xml:space="preserve"> </w:t>
      </w:r>
      <w:r w:rsidR="004D778C">
        <w:t>industry</w:t>
      </w:r>
      <w:r w:rsidR="00791090">
        <w:t>;</w:t>
      </w:r>
    </w:p>
    <w:p w14:paraId="08B3302E" w14:textId="77777777" w:rsidR="00791090" w:rsidRPr="00D22F1A" w:rsidRDefault="00791090" w:rsidP="00791090">
      <w:pPr>
        <w:pStyle w:val="Bullet1stlevel"/>
      </w:pPr>
      <w:r>
        <w:t>The contribution of the sector to the Australian economy;</w:t>
      </w:r>
      <w:r w:rsidRPr="00791090">
        <w:t xml:space="preserve"> </w:t>
      </w:r>
      <w:r>
        <w:t>and</w:t>
      </w:r>
    </w:p>
    <w:p w14:paraId="5D4C00FE" w14:textId="77777777" w:rsidR="00E5519A" w:rsidRPr="00D22F1A" w:rsidRDefault="00791090" w:rsidP="00D22F1A">
      <w:pPr>
        <w:pStyle w:val="Bullet1stlevel"/>
      </w:pPr>
      <w:r>
        <w:t>Case Studies of Australian companies which are innovative and operating globally.</w:t>
      </w:r>
      <w:r w:rsidR="00E5519A" w:rsidRPr="00D22F1A">
        <w:t xml:space="preserve"> </w:t>
      </w:r>
    </w:p>
    <w:p w14:paraId="398B2A9A" w14:textId="0D44B3DC" w:rsidR="00922D9D" w:rsidRDefault="0030120F" w:rsidP="007C068F">
      <w:pPr>
        <w:pStyle w:val="BodyText1"/>
        <w:spacing w:before="240"/>
        <w:rPr>
          <w:b/>
        </w:rPr>
      </w:pPr>
      <w:r w:rsidRPr="00AB35AE">
        <w:t>According to the Australian New Zealand Standard Industry Classification</w:t>
      </w:r>
      <w:r w:rsidR="00C82D0F" w:rsidRPr="00AB35AE">
        <w:t xml:space="preserve"> (ANZSIC)</w:t>
      </w:r>
      <w:r w:rsidRPr="00AB35AE">
        <w:t>,</w:t>
      </w:r>
      <w:r w:rsidR="00915B64">
        <w:rPr>
          <w:rStyle w:val="FootnoteReference"/>
        </w:rPr>
        <w:footnoteReference w:id="2"/>
      </w:r>
      <w:r w:rsidRPr="00AB35AE">
        <w:t xml:space="preserve"> </w:t>
      </w:r>
      <w:r w:rsidR="00555E98">
        <w:rPr>
          <w:i/>
        </w:rPr>
        <w:t>Aircraft Manufacturing and Repair Services</w:t>
      </w:r>
      <w:r w:rsidR="00AF1EDC">
        <w:rPr>
          <w:i/>
        </w:rPr>
        <w:t xml:space="preserve"> </w:t>
      </w:r>
      <w:r w:rsidR="00B714C0">
        <w:t xml:space="preserve">is </w:t>
      </w:r>
      <w:r w:rsidR="007970AD">
        <w:t>classified as follows.</w:t>
      </w:r>
    </w:p>
    <w:p w14:paraId="2D09B26D" w14:textId="77777777" w:rsidR="007970AD" w:rsidRPr="007C068F" w:rsidRDefault="007970AD" w:rsidP="007C068F">
      <w:pPr>
        <w:pStyle w:val="BodyText1"/>
        <w:spacing w:before="40" w:after="40"/>
      </w:pPr>
      <w:r w:rsidRPr="007C068F">
        <w:t>Division C – Manufacturing</w:t>
      </w:r>
    </w:p>
    <w:p w14:paraId="680EC61A" w14:textId="77777777" w:rsidR="007970AD" w:rsidRDefault="00B17A4E" w:rsidP="007C068F">
      <w:pPr>
        <w:pStyle w:val="Bullet1stlevel"/>
        <w:numPr>
          <w:ilvl w:val="0"/>
          <w:numId w:val="0"/>
        </w:numPr>
        <w:spacing w:before="40" w:after="40"/>
        <w:ind w:left="360"/>
      </w:pPr>
      <w:r>
        <w:t xml:space="preserve"> </w:t>
      </w:r>
      <w:r w:rsidR="007970AD">
        <w:t xml:space="preserve">Subdivision 23 Transport Equipment Manufacturing </w:t>
      </w:r>
    </w:p>
    <w:p w14:paraId="19D2D0BA" w14:textId="77777777" w:rsidR="007970AD" w:rsidRPr="00BD508C" w:rsidRDefault="007970AD" w:rsidP="007C068F">
      <w:pPr>
        <w:pStyle w:val="Bullet2ndlevel"/>
        <w:spacing w:before="40" w:after="40"/>
      </w:pPr>
      <w:r w:rsidRPr="00BD508C">
        <w:t xml:space="preserve">Group 239 Other Transport Equipment Manufacturing </w:t>
      </w:r>
    </w:p>
    <w:p w14:paraId="479E3E05" w14:textId="77777777" w:rsidR="007970AD" w:rsidRPr="00BD508C" w:rsidRDefault="007970AD" w:rsidP="007C068F">
      <w:pPr>
        <w:pStyle w:val="Bullet2ndlevel"/>
        <w:spacing w:before="40" w:after="40"/>
        <w:ind w:left="993" w:hanging="284"/>
      </w:pPr>
      <w:r w:rsidRPr="00BD508C">
        <w:lastRenderedPageBreak/>
        <w:t xml:space="preserve">Class 2394 </w:t>
      </w:r>
      <w:r w:rsidR="00555E98" w:rsidRPr="00BD508C">
        <w:t>Aircraft Manufacturing and Repair Services</w:t>
      </w:r>
      <w:r w:rsidRPr="00BD508C">
        <w:t xml:space="preserve">. </w:t>
      </w:r>
    </w:p>
    <w:p w14:paraId="1CBE267A" w14:textId="77777777" w:rsidR="0030120F" w:rsidRPr="00AB35AE" w:rsidRDefault="00791090" w:rsidP="00400B94">
      <w:pPr>
        <w:pStyle w:val="Bodyafterbullet"/>
        <w:spacing w:before="120"/>
      </w:pPr>
      <w:r>
        <w:t>All r</w:t>
      </w:r>
      <w:r w:rsidR="005F0405">
        <w:t>eference</w:t>
      </w:r>
      <w:r>
        <w:t>s</w:t>
      </w:r>
      <w:r w:rsidR="005F0405">
        <w:t xml:space="preserve"> in this report to the </w:t>
      </w:r>
      <w:r w:rsidR="00555E98">
        <w:t>Aircraft Manufacturing and Repair Services</w:t>
      </w:r>
      <w:r w:rsidR="00AF1EDC">
        <w:t xml:space="preserve"> </w:t>
      </w:r>
      <w:r w:rsidR="00670F9E">
        <w:t xml:space="preserve">industry </w:t>
      </w:r>
      <w:r w:rsidR="005F0405">
        <w:t xml:space="preserve">refers to the </w:t>
      </w:r>
      <w:r>
        <w:t xml:space="preserve">activities as per the </w:t>
      </w:r>
      <w:r w:rsidR="00C65FD9" w:rsidRPr="00AB35AE">
        <w:t xml:space="preserve">ABS </w:t>
      </w:r>
      <w:r w:rsidR="00CC041B">
        <w:t xml:space="preserve">ANZSIC </w:t>
      </w:r>
      <w:r w:rsidR="00E76E2A">
        <w:t xml:space="preserve">Class 2394 </w:t>
      </w:r>
      <w:r>
        <w:t xml:space="preserve">definition, which is replicated </w:t>
      </w:r>
      <w:r w:rsidR="007F4D65">
        <w:t>below</w:t>
      </w:r>
      <w:r w:rsidR="00C65FD9" w:rsidRPr="00AB35AE">
        <w:t>.</w:t>
      </w:r>
      <w:r w:rsidR="00442A1F">
        <w:t xml:space="preserve"> </w:t>
      </w:r>
    </w:p>
    <w:p w14:paraId="45D6D5EF" w14:textId="77777777" w:rsidR="0030120F" w:rsidRPr="00AC042A" w:rsidRDefault="00555E98" w:rsidP="00AF04CA">
      <w:pPr>
        <w:pStyle w:val="Heading4"/>
      </w:pPr>
      <w:r w:rsidRPr="00AC042A">
        <w:t>Aircraft Manufacturing and Repair Services</w:t>
      </w:r>
    </w:p>
    <w:p w14:paraId="5DDA13D4" w14:textId="77777777" w:rsidR="0030120F" w:rsidRPr="00AB35AE" w:rsidRDefault="00B714C0" w:rsidP="00B714C0">
      <w:pPr>
        <w:autoSpaceDE w:val="0"/>
        <w:autoSpaceDN w:val="0"/>
        <w:adjustRightInd w:val="0"/>
        <w:spacing w:before="0" w:after="0"/>
      </w:pPr>
      <w:r w:rsidRPr="00B714C0">
        <w:t>This class consists of units mainly engaged in manufacturing or repairing aircraft, aircraft engines and frames, as well as specialist aircraft repair services not elsewhere classified.</w:t>
      </w:r>
      <w:r w:rsidRPr="00AB35AE">
        <w:t xml:space="preserve"> </w:t>
      </w:r>
    </w:p>
    <w:p w14:paraId="12379C56" w14:textId="77777777" w:rsidR="0030120F" w:rsidRDefault="0030120F" w:rsidP="00473B24">
      <w:pPr>
        <w:pStyle w:val="Bodyafterbullet"/>
        <w:spacing w:before="120"/>
      </w:pPr>
      <w:r>
        <w:t xml:space="preserve">Primary </w:t>
      </w:r>
      <w:r w:rsidR="00915B64">
        <w:t>activities</w:t>
      </w:r>
      <w:r>
        <w:t xml:space="preserve"> include:</w:t>
      </w:r>
    </w:p>
    <w:p w14:paraId="7A754D6E" w14:textId="77777777" w:rsidR="00B714C0" w:rsidRPr="00473B24" w:rsidRDefault="00B714C0" w:rsidP="00B17A4E">
      <w:pPr>
        <w:pStyle w:val="Bullet1stlevel"/>
      </w:pPr>
      <w:r w:rsidRPr="00473B24">
        <w:t>Aircraft engine building or repairing</w:t>
      </w:r>
    </w:p>
    <w:p w14:paraId="01286C07" w14:textId="77777777" w:rsidR="00B714C0" w:rsidRPr="00B714C0" w:rsidRDefault="00B714C0" w:rsidP="00B17A4E">
      <w:pPr>
        <w:pStyle w:val="Bullet1stlevel"/>
      </w:pPr>
      <w:r w:rsidRPr="00B714C0">
        <w:t>Aircraft manufacturing</w:t>
      </w:r>
    </w:p>
    <w:p w14:paraId="06C4EDC9" w14:textId="77777777" w:rsidR="00B714C0" w:rsidRPr="00B714C0" w:rsidRDefault="00B714C0" w:rsidP="00B17A4E">
      <w:pPr>
        <w:pStyle w:val="Bullet1stlevel"/>
      </w:pPr>
      <w:r w:rsidRPr="00B714C0">
        <w:t>Airframe building and repair</w:t>
      </w:r>
    </w:p>
    <w:p w14:paraId="4BE2F610" w14:textId="77777777" w:rsidR="00B714C0" w:rsidRPr="00B714C0" w:rsidRDefault="00B714C0" w:rsidP="00B17A4E">
      <w:pPr>
        <w:pStyle w:val="Bullet1stlevel"/>
      </w:pPr>
      <w:r w:rsidRPr="00B714C0">
        <w:t>Avionics equipment repairing n.e.c.</w:t>
      </w:r>
    </w:p>
    <w:p w14:paraId="5D069213" w14:textId="77777777" w:rsidR="00B714C0" w:rsidRPr="00B714C0" w:rsidRDefault="00B714C0" w:rsidP="00B17A4E">
      <w:pPr>
        <w:pStyle w:val="Bullet1stlevel"/>
      </w:pPr>
      <w:r w:rsidRPr="00B714C0">
        <w:t xml:space="preserve">Glider manufacturing and repair (except </w:t>
      </w:r>
      <w:r w:rsidR="00CE62E0">
        <w:t>h</w:t>
      </w:r>
      <w:r w:rsidRPr="00B714C0">
        <w:t>ang glider)</w:t>
      </w:r>
    </w:p>
    <w:p w14:paraId="601EC55B" w14:textId="77777777" w:rsidR="00B714C0" w:rsidRPr="00B714C0" w:rsidRDefault="00B714C0" w:rsidP="00B17A4E">
      <w:pPr>
        <w:pStyle w:val="Bullet1stlevel"/>
      </w:pPr>
      <w:r w:rsidRPr="00B714C0">
        <w:t>Guided missile manufacturing</w:t>
      </w:r>
    </w:p>
    <w:p w14:paraId="178627D3" w14:textId="77777777" w:rsidR="00CE62E0" w:rsidRDefault="00B714C0" w:rsidP="00B17A4E">
      <w:pPr>
        <w:pStyle w:val="Bullet1stlevel"/>
      </w:pPr>
      <w:r w:rsidRPr="00B714C0">
        <w:t>Helicopter manufacturing or repairing</w:t>
      </w:r>
      <w:r w:rsidRPr="00AB35AE">
        <w:t xml:space="preserve"> </w:t>
      </w:r>
    </w:p>
    <w:p w14:paraId="41D3262C" w14:textId="29F36B33" w:rsidR="007D3F27" w:rsidRDefault="00040675" w:rsidP="007C068F">
      <w:pPr>
        <w:pStyle w:val="Bodyafterbullet"/>
      </w:pPr>
      <w:r>
        <w:t>T</w:t>
      </w:r>
      <w:r w:rsidR="007D3F27">
        <w:t xml:space="preserve">he focus of this study was confined to that of non-space activity.  </w:t>
      </w:r>
    </w:p>
    <w:p w14:paraId="22A2FBF8" w14:textId="393CA6C1" w:rsidR="009D19DA" w:rsidRDefault="009D19DA">
      <w:r>
        <w:t xml:space="preserve">While </w:t>
      </w:r>
      <w:r w:rsidRPr="00473B24">
        <w:t xml:space="preserve">Australia’s commercial </w:t>
      </w:r>
      <w:r w:rsidR="00795A55">
        <w:t xml:space="preserve">civil </w:t>
      </w:r>
      <w:r w:rsidRPr="00473B24">
        <w:t xml:space="preserve">aviation segment, </w:t>
      </w:r>
      <w:r w:rsidR="00795A55">
        <w:t xml:space="preserve">with </w:t>
      </w:r>
      <w:r w:rsidRPr="00473B24">
        <w:t>Qantas</w:t>
      </w:r>
      <w:r w:rsidR="00795A55">
        <w:t xml:space="preserve"> and Virgin groups being major operators</w:t>
      </w:r>
      <w:r w:rsidRPr="00473B24">
        <w:t xml:space="preserve">, sources its carriers and major equipment directly from </w:t>
      </w:r>
      <w:r>
        <w:t>the OEMs</w:t>
      </w:r>
      <w:r w:rsidRPr="00473B24">
        <w:t>,</w:t>
      </w:r>
      <w:r>
        <w:t xml:space="preserve"> approved suppliers in the global supply chain are a preferred choice for spares and components. Domestic businesses have </w:t>
      </w:r>
      <w:r w:rsidRPr="00473B24">
        <w:t xml:space="preserve">a </w:t>
      </w:r>
      <w:r w:rsidR="00820036" w:rsidRPr="00473B24">
        <w:t>sizeable</w:t>
      </w:r>
      <w:r w:rsidRPr="00473B24">
        <w:t xml:space="preserve"> market </w:t>
      </w:r>
      <w:r>
        <w:t xml:space="preserve">share </w:t>
      </w:r>
      <w:r w:rsidR="00541846">
        <w:t xml:space="preserve">of Australia </w:t>
      </w:r>
      <w:r w:rsidRPr="00473B24">
        <w:t xml:space="preserve">for products ranging from avionics to ground support equipment, </w:t>
      </w:r>
      <w:r>
        <w:t xml:space="preserve">but </w:t>
      </w:r>
      <w:r w:rsidRPr="00473B24">
        <w:t xml:space="preserve">the best opportunities remain in supplying aircraft parts and components as well as MRO services for US-manufactured </w:t>
      </w:r>
      <w:r>
        <w:t>aircraft</w:t>
      </w:r>
      <w:r w:rsidRPr="00473B24">
        <w:t>.</w:t>
      </w:r>
      <w:r w:rsidRPr="009D19DA">
        <w:t xml:space="preserve"> </w:t>
      </w:r>
      <w:r>
        <w:t xml:space="preserve">Further, </w:t>
      </w:r>
      <w:r w:rsidRPr="00632148">
        <w:t>Australia</w:t>
      </w:r>
      <w:r>
        <w:t xml:space="preserve">’s focus on </w:t>
      </w:r>
      <w:r w:rsidRPr="00632148">
        <w:t xml:space="preserve">acquiring various fixed wing, helicopter and </w:t>
      </w:r>
      <w:r w:rsidR="009A08AB">
        <w:t>Unmanned Aerial Systems (</w:t>
      </w:r>
      <w:r w:rsidR="00397FE2">
        <w:t>UAS</w:t>
      </w:r>
      <w:r w:rsidR="009A08AB">
        <w:t>)</w:t>
      </w:r>
      <w:r w:rsidR="002F5ED6">
        <w:t>, as part of Defence’s</w:t>
      </w:r>
      <w:r w:rsidR="00892322">
        <w:t xml:space="preserve"> Integrated Investment </w:t>
      </w:r>
      <w:r w:rsidR="00820036">
        <w:t>Program</w:t>
      </w:r>
      <w:r w:rsidR="002F5ED6">
        <w:t xml:space="preserve">, </w:t>
      </w:r>
      <w:r>
        <w:t>demonstrates its willingness to</w:t>
      </w:r>
      <w:r w:rsidR="002F5ED6">
        <w:t xml:space="preserve"> expand capabilities</w:t>
      </w:r>
      <w:r>
        <w:t xml:space="preserve"> </w:t>
      </w:r>
      <w:r w:rsidR="002F5ED6">
        <w:t xml:space="preserve">and promote the rapidly growing helicopter and UAV sectors. </w:t>
      </w:r>
    </w:p>
    <w:p w14:paraId="10B2957C" w14:textId="30CB56F6" w:rsidR="00A553F1" w:rsidRPr="00473B24" w:rsidRDefault="00CE62E0">
      <w:r w:rsidRPr="002621BD">
        <w:t xml:space="preserve">There are over 15,500 </w:t>
      </w:r>
      <w:r w:rsidR="002439CF">
        <w:t>aircraft</w:t>
      </w:r>
      <w:r w:rsidRPr="002621BD">
        <w:t xml:space="preserve"> registered in Australia’s civil aircraft register, with its fleet of</w:t>
      </w:r>
      <w:r>
        <w:t xml:space="preserve"> 2</w:t>
      </w:r>
      <w:r w:rsidR="009D19DA">
        <w:t>,</w:t>
      </w:r>
      <w:r>
        <w:t>259</w:t>
      </w:r>
      <w:r w:rsidRPr="002621BD">
        <w:t xml:space="preserve"> civil helicopters ranking fifth highest in the world. </w:t>
      </w:r>
      <w:r>
        <w:t xml:space="preserve">Australia has a large and growing helicopter market, </w:t>
      </w:r>
      <w:r w:rsidRPr="002621BD">
        <w:t>suitable for remote oil, gas and mining projects as well as cater</w:t>
      </w:r>
      <w:r>
        <w:t>ing</w:t>
      </w:r>
      <w:r w:rsidRPr="002621BD">
        <w:t xml:space="preserve"> well to island tourist re</w:t>
      </w:r>
      <w:r w:rsidR="00A553F1">
        <w:t>sorts</w:t>
      </w:r>
      <w:r w:rsidRPr="002621BD">
        <w:t xml:space="preserve">, medical and rescue operations, and agricultural </w:t>
      </w:r>
      <w:r w:rsidR="00A553F1">
        <w:t>activities</w:t>
      </w:r>
      <w:r w:rsidRPr="002621BD">
        <w:t xml:space="preserve">. </w:t>
      </w:r>
    </w:p>
    <w:p w14:paraId="2E1D62A1" w14:textId="77777777" w:rsidR="00597043" w:rsidRDefault="009C6F5C" w:rsidP="0011521D">
      <w:pPr>
        <w:pStyle w:val="Heading3"/>
      </w:pPr>
      <w:bookmarkStart w:id="112" w:name="_Toc1401840"/>
      <w:bookmarkStart w:id="113" w:name="_Toc2066639"/>
      <w:bookmarkStart w:id="114" w:name="_Toc2066750"/>
      <w:bookmarkStart w:id="115" w:name="_Toc2066820"/>
      <w:bookmarkStart w:id="116" w:name="_Toc535999845"/>
      <w:bookmarkStart w:id="117" w:name="_Toc474229769"/>
      <w:bookmarkStart w:id="118" w:name="_Toc26537884"/>
      <w:bookmarkEnd w:id="112"/>
      <w:bookmarkEnd w:id="113"/>
      <w:bookmarkEnd w:id="114"/>
      <w:bookmarkEnd w:id="115"/>
      <w:bookmarkEnd w:id="116"/>
      <w:r>
        <w:t>Repo</w:t>
      </w:r>
      <w:r w:rsidRPr="00D22F1A">
        <w:t>rt</w:t>
      </w:r>
      <w:r>
        <w:t xml:space="preserve"> </w:t>
      </w:r>
      <w:r w:rsidR="00033BA2">
        <w:t>s</w:t>
      </w:r>
      <w:r>
        <w:t>tructure</w:t>
      </w:r>
      <w:bookmarkEnd w:id="117"/>
      <w:bookmarkEnd w:id="118"/>
    </w:p>
    <w:p w14:paraId="385D9740" w14:textId="77777777" w:rsidR="009C6F5C" w:rsidRPr="00E42F64" w:rsidRDefault="009C6F5C" w:rsidP="00E42F64">
      <w:pPr>
        <w:pStyle w:val="BodyText1"/>
      </w:pPr>
      <w:r w:rsidRPr="00E42F64">
        <w:t>The remainder of this report is structured as follows</w:t>
      </w:r>
      <w:r w:rsidR="009452CA" w:rsidRPr="00E42F64">
        <w:t>:</w:t>
      </w:r>
    </w:p>
    <w:p w14:paraId="79804724" w14:textId="77777777" w:rsidR="009C6F5C" w:rsidRPr="00C13CFA" w:rsidRDefault="002531DB" w:rsidP="00D22F1A">
      <w:pPr>
        <w:pStyle w:val="Bullet1stlevel"/>
      </w:pPr>
      <w:r w:rsidRPr="00C13CFA">
        <w:t>S</w:t>
      </w:r>
      <w:r w:rsidR="00501650">
        <w:t>ection</w:t>
      </w:r>
      <w:r w:rsidR="00287FEA">
        <w:t xml:space="preserve"> </w:t>
      </w:r>
      <w:r w:rsidR="00287FEA">
        <w:fldChar w:fldCharType="begin"/>
      </w:r>
      <w:r w:rsidR="00287FEA">
        <w:instrText xml:space="preserve"> REF _Ref536708868 \r \h </w:instrText>
      </w:r>
      <w:r w:rsidR="00287FEA">
        <w:fldChar w:fldCharType="separate"/>
      </w:r>
      <w:r w:rsidR="00980A78">
        <w:t>2</w:t>
      </w:r>
      <w:r w:rsidR="00287FEA">
        <w:fldChar w:fldCharType="end"/>
      </w:r>
      <w:r w:rsidR="00B909DF">
        <w:t xml:space="preserve"> </w:t>
      </w:r>
      <w:r w:rsidR="00C13CFA">
        <w:t xml:space="preserve">summarises the features of </w:t>
      </w:r>
      <w:r w:rsidR="00D30390" w:rsidRPr="00C13CFA">
        <w:t>Australia’s</w:t>
      </w:r>
      <w:r w:rsidR="00D007E5">
        <w:t xml:space="preserve"> </w:t>
      </w:r>
      <w:r w:rsidR="00555E98">
        <w:t>Aircraft Manufacturing and Repair Services</w:t>
      </w:r>
      <w:r w:rsidR="003E0AC6">
        <w:t xml:space="preserve"> </w:t>
      </w:r>
      <w:r w:rsidR="00D30390" w:rsidRPr="00C13CFA">
        <w:t>industry</w:t>
      </w:r>
      <w:r w:rsidR="00C13CFA">
        <w:t xml:space="preserve"> in terms of</w:t>
      </w:r>
      <w:r w:rsidR="00D30390" w:rsidRPr="00C13CFA">
        <w:t xml:space="preserve"> capability, innovation, international trade and competition. This section also identifies opportunities for growth in the sector and barriers to future development</w:t>
      </w:r>
      <w:r w:rsidR="00CA305F" w:rsidRPr="00C13CFA">
        <w:t>.</w:t>
      </w:r>
    </w:p>
    <w:p w14:paraId="49362890" w14:textId="15A76421" w:rsidR="009C6F5C" w:rsidRPr="00C13CFA" w:rsidRDefault="00287FEA" w:rsidP="00D22F1A">
      <w:pPr>
        <w:pStyle w:val="Bullet1stlevel"/>
      </w:pPr>
      <w:r>
        <w:t xml:space="preserve">Section </w:t>
      </w:r>
      <w:r w:rsidR="007D3F27">
        <w:fldChar w:fldCharType="begin"/>
      </w:r>
      <w:r w:rsidR="007D3F27">
        <w:instrText xml:space="preserve"> REF _Ref3469484 \r \h </w:instrText>
      </w:r>
      <w:r w:rsidR="007D3F27">
        <w:fldChar w:fldCharType="separate"/>
      </w:r>
      <w:r w:rsidR="00980A78">
        <w:t>3</w:t>
      </w:r>
      <w:r w:rsidR="007D3F27">
        <w:fldChar w:fldCharType="end"/>
      </w:r>
      <w:r w:rsidR="00D30390" w:rsidRPr="00C13CFA">
        <w:t xml:space="preserve"> contains a</w:t>
      </w:r>
      <w:r w:rsidR="001D7C98">
        <w:t xml:space="preserve"> detailed economic analysis to present an economic profile of the </w:t>
      </w:r>
      <w:r w:rsidR="00555E98">
        <w:t>Aircraft Manufacturing and Repair Services</w:t>
      </w:r>
      <w:r w:rsidR="00396EEF">
        <w:t xml:space="preserve"> industry </w:t>
      </w:r>
      <w:r w:rsidR="001D7C98">
        <w:t>in Australia</w:t>
      </w:r>
      <w:r w:rsidR="00D30390" w:rsidRPr="00C13CFA">
        <w:t>.</w:t>
      </w:r>
    </w:p>
    <w:p w14:paraId="3DBEF926" w14:textId="77777777" w:rsidR="009C6F5C" w:rsidRPr="00C13CFA" w:rsidRDefault="00287FEA" w:rsidP="00D22F1A">
      <w:pPr>
        <w:pStyle w:val="Bullet1stlevel"/>
      </w:pPr>
      <w:r>
        <w:t>Section</w:t>
      </w:r>
      <w:r w:rsidR="00C92752">
        <w:t xml:space="preserve"> </w:t>
      </w:r>
      <w:r w:rsidR="00C92752">
        <w:fldChar w:fldCharType="begin"/>
      </w:r>
      <w:r w:rsidR="00C92752">
        <w:instrText xml:space="preserve"> REF _Ref536709205 \r \h </w:instrText>
      </w:r>
      <w:r w:rsidR="00C92752">
        <w:fldChar w:fldCharType="separate"/>
      </w:r>
      <w:r w:rsidR="00980A78">
        <w:t>4</w:t>
      </w:r>
      <w:r w:rsidR="00C92752">
        <w:fldChar w:fldCharType="end"/>
      </w:r>
      <w:r w:rsidR="00CC041B">
        <w:t xml:space="preserve"> estimates the overall</w:t>
      </w:r>
      <w:r w:rsidR="00CA305F" w:rsidRPr="00C13CFA">
        <w:t xml:space="preserve"> </w:t>
      </w:r>
      <w:r w:rsidR="0059628A">
        <w:t>contribution of</w:t>
      </w:r>
      <w:r w:rsidR="002B6CCA" w:rsidRPr="00C13CFA">
        <w:t xml:space="preserve"> the</w:t>
      </w:r>
      <w:r w:rsidR="001D7C98">
        <w:t xml:space="preserve"> </w:t>
      </w:r>
      <w:r w:rsidR="00CC041B">
        <w:t xml:space="preserve">Australian </w:t>
      </w:r>
      <w:r w:rsidR="00555E98">
        <w:t>Aircraft Manufacturing and Repair Services</w:t>
      </w:r>
      <w:r w:rsidR="00396EEF">
        <w:t xml:space="preserve"> industry </w:t>
      </w:r>
      <w:r w:rsidR="00CC041B">
        <w:t>to the Australian economy</w:t>
      </w:r>
      <w:r w:rsidR="002B6CCA" w:rsidRPr="00C13CFA">
        <w:t>.</w:t>
      </w:r>
    </w:p>
    <w:p w14:paraId="626902AA" w14:textId="75EBF1FC" w:rsidR="009C6F5C" w:rsidRDefault="009E3709" w:rsidP="00D22F1A">
      <w:pPr>
        <w:pStyle w:val="Bullet1stlevel"/>
      </w:pPr>
      <w:r>
        <w:t>T</w:t>
      </w:r>
      <w:r w:rsidR="00CA305F" w:rsidRPr="00C13CFA">
        <w:t>he appendi</w:t>
      </w:r>
      <w:r w:rsidR="007D3F27">
        <w:t>x</w:t>
      </w:r>
      <w:r w:rsidR="00CA305F" w:rsidRPr="00C13CFA">
        <w:t xml:space="preserve"> contain</w:t>
      </w:r>
      <w:r w:rsidR="007D3F27">
        <w:t xml:space="preserve">s </w:t>
      </w:r>
      <w:r w:rsidR="00CA305F" w:rsidRPr="00C13CFA">
        <w:t>an overview of the KPMG</w:t>
      </w:r>
      <w:r w:rsidR="00570028">
        <w:t>–</w:t>
      </w:r>
      <w:r w:rsidR="00CA305F" w:rsidRPr="00C13CFA">
        <w:t>CGE model</w:t>
      </w:r>
      <w:r w:rsidR="00F41705">
        <w:t>,</w:t>
      </w:r>
      <w:r w:rsidR="00CA305F" w:rsidRPr="00C13CFA">
        <w:t xml:space="preserve"> </w:t>
      </w:r>
      <w:r w:rsidR="007D3F27">
        <w:t>used to estimate the overall contribution of the industry to the Australian economy</w:t>
      </w:r>
      <w:r w:rsidR="00CA305F" w:rsidRPr="00C13CFA">
        <w:t>.</w:t>
      </w:r>
    </w:p>
    <w:p w14:paraId="7198281E" w14:textId="77777777" w:rsidR="0056313F" w:rsidRDefault="009E3709" w:rsidP="00D22F1A">
      <w:pPr>
        <w:pStyle w:val="Bullet1stlevel"/>
      </w:pPr>
      <w:r>
        <w:t xml:space="preserve">Finally, </w:t>
      </w:r>
      <w:r w:rsidR="00B96461">
        <w:t>c</w:t>
      </w:r>
      <w:r>
        <w:t>ase studies have been included at the end of each section to give a deeper understanding and some real life examples of the capabilities, capacities, challenges and opportunities faced by businesses in the</w:t>
      </w:r>
      <w:r w:rsidR="00D007E5">
        <w:t xml:space="preserve"> </w:t>
      </w:r>
      <w:r w:rsidR="00555E98">
        <w:t>Aircraft Manufacturing and Repair Services</w:t>
      </w:r>
      <w:r w:rsidR="00396EEF">
        <w:t xml:space="preserve"> </w:t>
      </w:r>
      <w:r>
        <w:t>industry.</w:t>
      </w:r>
    </w:p>
    <w:p w14:paraId="400C1A27" w14:textId="77AF48BB" w:rsidR="00043E3B" w:rsidRDefault="00043E3B">
      <w:pPr>
        <w:spacing w:before="0" w:after="160" w:line="259" w:lineRule="auto"/>
        <w:sectPr w:rsidR="00043E3B" w:rsidSect="00A2264C">
          <w:headerReference w:type="default" r:id="rId28"/>
          <w:pgSz w:w="11906" w:h="16838"/>
          <w:pgMar w:top="1985" w:right="1440" w:bottom="1440" w:left="1440" w:header="709" w:footer="709" w:gutter="0"/>
          <w:pgNumType w:start="1"/>
          <w:cols w:space="708"/>
          <w:titlePg/>
          <w:docGrid w:linePitch="360"/>
        </w:sectPr>
      </w:pPr>
    </w:p>
    <w:p w14:paraId="48E32D53" w14:textId="3E9258DC" w:rsidR="003E0161" w:rsidRDefault="00441A53" w:rsidP="0011521D">
      <w:pPr>
        <w:pStyle w:val="CaseStudy"/>
      </w:pPr>
      <w:r w:rsidRPr="00E40562">
        <w:rPr>
          <w:noProof/>
          <w:lang w:eastAsia="en-AU"/>
        </w:rPr>
        <w:lastRenderedPageBreak/>
        <w:drawing>
          <wp:anchor distT="0" distB="0" distL="114300" distR="114300" simplePos="0" relativeHeight="251864064" behindDoc="1" locked="0" layoutInCell="1" allowOverlap="1" wp14:anchorId="200CA5CE" wp14:editId="2431AA1A">
            <wp:simplePos x="0" y="0"/>
            <wp:positionH relativeFrom="page">
              <wp:posOffset>0</wp:posOffset>
            </wp:positionH>
            <wp:positionV relativeFrom="paragraph">
              <wp:posOffset>-1061398</wp:posOffset>
            </wp:positionV>
            <wp:extent cx="7560000" cy="9728170"/>
            <wp:effectExtent l="0" t="0" r="3175" b="6985"/>
            <wp:wrapNone/>
            <wp:docPr id="19" name="Picture 19" descr="Case Study Seeing Machines" title="Cas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60000" cy="9728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5D2C" w:rsidRPr="00D73819">
        <w:t>Seeing Machines</w:t>
      </w:r>
      <w:r w:rsidR="00C25D2C" w:rsidRPr="00C25D2C">
        <w:t xml:space="preserve"> </w:t>
      </w:r>
    </w:p>
    <w:p w14:paraId="53C9D66B" w14:textId="77381BE0" w:rsidR="005A67A4" w:rsidRPr="00510AD0" w:rsidRDefault="00CC4A57" w:rsidP="0011521D">
      <w:pPr>
        <w:pStyle w:val="CaseStudyIntro"/>
        <w:spacing w:after="120"/>
        <w:ind w:right="1982"/>
      </w:pPr>
      <w:bookmarkStart w:id="119" w:name="_Ref473725922"/>
      <w:bookmarkStart w:id="120" w:name="_Toc461200670"/>
      <w:r>
        <w:t xml:space="preserve">An embodiment of the </w:t>
      </w:r>
      <w:r w:rsidR="0077433D">
        <w:t xml:space="preserve">technological expertise held by </w:t>
      </w:r>
      <w:r w:rsidR="008E290F">
        <w:t xml:space="preserve">Australia’s </w:t>
      </w:r>
      <w:r w:rsidR="00820036">
        <w:t>start-ups</w:t>
      </w:r>
      <w:r w:rsidR="008E290F">
        <w:t>, Seeing Machine’s Driver Monitoring Systems is</w:t>
      </w:r>
      <w:r w:rsidR="0077433D">
        <w:t xml:space="preserve"> </w:t>
      </w:r>
      <w:r w:rsidR="008E290F">
        <w:t xml:space="preserve">stirring </w:t>
      </w:r>
      <w:r w:rsidR="0077433D">
        <w:t xml:space="preserve">up </w:t>
      </w:r>
      <w:r w:rsidR="008E290F">
        <w:t xml:space="preserve">interest </w:t>
      </w:r>
      <w:r w:rsidR="0077433D">
        <w:t>in the global aerospace sector,</w:t>
      </w:r>
      <w:r w:rsidR="008E290F">
        <w:t xml:space="preserve"> </w:t>
      </w:r>
      <w:r>
        <w:t xml:space="preserve">well suited </w:t>
      </w:r>
      <w:r w:rsidR="00566475">
        <w:t xml:space="preserve">to partially offset </w:t>
      </w:r>
      <w:r w:rsidR="003D0081">
        <w:t xml:space="preserve">a </w:t>
      </w:r>
      <w:r w:rsidR="008E290F">
        <w:t xml:space="preserve">shortfall in pilot numbers and </w:t>
      </w:r>
      <w:r w:rsidR="00820036">
        <w:t>manoeuvring</w:t>
      </w:r>
      <w:r w:rsidR="008E290F">
        <w:t xml:space="preserve"> </w:t>
      </w:r>
      <w:r>
        <w:t xml:space="preserve">in </w:t>
      </w:r>
      <w:r w:rsidR="008E290F">
        <w:t>p</w:t>
      </w:r>
      <w:r w:rsidR="0077433D">
        <w:t xml:space="preserve">lausibly </w:t>
      </w:r>
      <w:r w:rsidR="00A2264C">
        <w:t>busier air paths.</w:t>
      </w:r>
    </w:p>
    <w:p w14:paraId="0133B312" w14:textId="2185A07E" w:rsidR="007369C8" w:rsidRDefault="007369C8" w:rsidP="007C068F">
      <w:pPr>
        <w:spacing w:before="40"/>
      </w:pPr>
      <w:r>
        <w:t>Seeing Machines is part of the start-up culture that</w:t>
      </w:r>
      <w:r w:rsidR="00920DBD">
        <w:t xml:space="preserve"> i</w:t>
      </w:r>
      <w:r>
        <w:t xml:space="preserve">s gaining momentum in Australia. It was founded in 2000 by four PhD students at the Australian National University and has grown to employ 200 people in over a decade. The technology start-up, with its headquarters in Canberra and a presence in the United States, the UK and Japan, draws on the interaction between humans and machines to save lives. Their core business involves using computer vision and machine learning technology to track eye and face movement and interpret these movements to detect fatigue, distractions, and enhance driver safety. After engaging in research applications in controlled environments for nearly a decade, Seeing Machines saw its first commercial opportunity in the mining sector during the resources boom, to monitor driver attention and fatigue. The application of this technology in driver monitoring systems set Seeing Machines on its path to success, which has diversified away from the mining industry into the road, rail, automotive and now aviation sectors. </w:t>
      </w:r>
    </w:p>
    <w:p w14:paraId="4E82A165" w14:textId="5D63C69E" w:rsidR="00C25D2C" w:rsidRPr="00D73819" w:rsidRDefault="00C25D2C" w:rsidP="009A08AB">
      <w:pPr>
        <w:pStyle w:val="Casestudysubheading"/>
        <w:keepNext/>
        <w:spacing w:before="120" w:after="60"/>
      </w:pPr>
      <w:r w:rsidRPr="00EF5E5A">
        <w:t xml:space="preserve">Taking off in the </w:t>
      </w:r>
      <w:r w:rsidRPr="00C25D2C">
        <w:t>aviation</w:t>
      </w:r>
      <w:r w:rsidRPr="00EF5E5A">
        <w:t xml:space="preserve"> industry </w:t>
      </w:r>
    </w:p>
    <w:p w14:paraId="57C85C4C" w14:textId="392A9758" w:rsidR="007369C8" w:rsidRDefault="007369C8" w:rsidP="00C25D2C">
      <w:pPr>
        <w:spacing w:before="60" w:after="60"/>
      </w:pPr>
      <w:r>
        <w:t xml:space="preserve">Seeing Machines is in the post research &amp; development and pre-commercialisation stage in the aviation market. The FOVIO Driver Monitoring System (DMS) is a unique offering that has not yet been tested in the aviation sector. As such, venturing into this sector has meant creating a new market for its product, rather than entering an existing one. Seeing Machines notes that growth of the aviation industry coupled with a shortage of pilots globally has provided additional momentum for conversations with airlines and has already led to initial </w:t>
      </w:r>
      <w:r w:rsidRPr="006749F8">
        <w:t xml:space="preserve">commercial engagements </w:t>
      </w:r>
      <w:r>
        <w:t xml:space="preserve">in areas of </w:t>
      </w:r>
      <w:r w:rsidRPr="006749F8">
        <w:t>pilot training</w:t>
      </w:r>
      <w:r>
        <w:t xml:space="preserve"> and crew resource management. </w:t>
      </w:r>
    </w:p>
    <w:p w14:paraId="3C89A6E7" w14:textId="55FE2F16" w:rsidR="007369C8" w:rsidRDefault="007369C8" w:rsidP="00C25D2C">
      <w:pPr>
        <w:spacing w:before="60" w:after="60"/>
      </w:pPr>
      <w:r>
        <w:t xml:space="preserve">While aviation does not account for a significant share of the business at the moment, Seeing Machines sees a multi-million dollar market in the future. In 2017, there were an estimated 25,000 commercial aircraft in operation, with this number expected to double in the next 20 years. Heading towards a future of higher automation and significantly lesser airspace, Seeing Machines’ technology has the potential to be a key component in supporting the sector’s safety standards. </w:t>
      </w:r>
    </w:p>
    <w:p w14:paraId="07D4B6DA" w14:textId="6BE03A82" w:rsidR="007369C8" w:rsidRDefault="007369C8" w:rsidP="00C25D2C">
      <w:pPr>
        <w:spacing w:before="60" w:after="60"/>
      </w:pPr>
      <w:r>
        <w:t xml:space="preserve">In collaboration with aviation carriers, three product lines have been developed to manage constraints in the current aviation systems.  </w:t>
      </w:r>
    </w:p>
    <w:p w14:paraId="06776EE3" w14:textId="4DDA889D" w:rsidR="007369C8" w:rsidRPr="00EF5E5A" w:rsidRDefault="007369C8" w:rsidP="00C25D2C">
      <w:pPr>
        <w:spacing w:before="60" w:after="60"/>
      </w:pPr>
      <w:r w:rsidRPr="00EF5E5A">
        <w:t>The Pilot/Crew Training System is a sophisticated tool that provides aviation training providers with an objective assessment of trainees based on tracking their eye movement, which can be used to select, tra</w:t>
      </w:r>
      <w:r w:rsidR="00A2264C">
        <w:t>in and assess pilot candidates.</w:t>
      </w:r>
    </w:p>
    <w:p w14:paraId="2EE5BBF4" w14:textId="19417FB4" w:rsidR="007369C8" w:rsidRPr="00EF5E5A" w:rsidRDefault="007369C8" w:rsidP="00B16CBA">
      <w:pPr>
        <w:pStyle w:val="BodyText1"/>
        <w:spacing w:before="40" w:after="40"/>
      </w:pPr>
      <w:r w:rsidRPr="00EF5E5A">
        <w:t xml:space="preserve">The Pilot Support </w:t>
      </w:r>
      <w:r w:rsidRPr="00C25D2C">
        <w:t>System</w:t>
      </w:r>
      <w:r w:rsidRPr="00EF5E5A">
        <w:t xml:space="preserve"> technology is designed to assess a pilot’s exhaustion and alertness levels in real-time during a live flight. This can then be used as a measure to evaluate work schedules and pairing designs in order to mitigate risks due to pilot fatigue. </w:t>
      </w:r>
    </w:p>
    <w:p w14:paraId="3E68500A" w14:textId="6FE4D822" w:rsidR="007369C8" w:rsidRPr="00C73690" w:rsidRDefault="007369C8" w:rsidP="00B16CBA">
      <w:pPr>
        <w:spacing w:before="40" w:after="40"/>
        <w:rPr>
          <w:spacing w:val="-2"/>
        </w:rPr>
      </w:pPr>
      <w:r w:rsidRPr="00C73690">
        <w:rPr>
          <w:spacing w:val="-2"/>
        </w:rPr>
        <w:t>Seeing Machines’ Operator Alertness System is developed to assist air navigation service providers and controllers with managing the foreseeable exponential increase in safety concerns by providing live data on alertness levels of pilots and using it to inform effective resourcing and scheduling decisions.</w:t>
      </w:r>
      <w:r w:rsidR="009C68B7" w:rsidRPr="00C73690">
        <w:rPr>
          <w:rStyle w:val="FootnoteReference"/>
          <w:spacing w:val="-2"/>
        </w:rPr>
        <w:footnoteReference w:id="3"/>
      </w:r>
      <w:r w:rsidR="009C68B7" w:rsidRPr="00C73690">
        <w:rPr>
          <w:spacing w:val="-2"/>
        </w:rPr>
        <w:t xml:space="preserve"> </w:t>
      </w:r>
    </w:p>
    <w:p w14:paraId="42D365A7" w14:textId="73939B8A" w:rsidR="007369C8" w:rsidRPr="00C25D2C" w:rsidRDefault="007369C8" w:rsidP="00B16CBA">
      <w:pPr>
        <w:spacing w:before="40" w:after="40"/>
        <w:rPr>
          <w:spacing w:val="-2"/>
        </w:rPr>
      </w:pPr>
      <w:r w:rsidRPr="00C25D2C">
        <w:rPr>
          <w:spacing w:val="-2"/>
        </w:rPr>
        <w:t>In light of an increasing global focus on safety, Seeing Machines views its eye tracking system as a mainstream commercial product for the aviation industr</w:t>
      </w:r>
      <w:r w:rsidR="00890B5D">
        <w:rPr>
          <w:spacing w:val="-2"/>
        </w:rPr>
        <w:t>y, rather than a niche product.</w:t>
      </w:r>
    </w:p>
    <w:p w14:paraId="5E0BEC48" w14:textId="022EFAD8" w:rsidR="00C25D2C" w:rsidRDefault="00C25D2C" w:rsidP="00C25D2C">
      <w:pPr>
        <w:pStyle w:val="Casestudysubheading"/>
        <w:spacing w:before="120" w:after="60"/>
      </w:pPr>
      <w:r w:rsidRPr="00EF5E5A">
        <w:t>Regional presence – Global outreach</w:t>
      </w:r>
    </w:p>
    <w:p w14:paraId="413BD89F" w14:textId="0458A380" w:rsidR="007369C8" w:rsidRDefault="007369C8" w:rsidP="00B16CBA">
      <w:pPr>
        <w:spacing w:before="40" w:after="40"/>
      </w:pPr>
      <w:r>
        <w:t xml:space="preserve">Spun out of a university in Canberra, Seeing Machines strategic decision to continue with its base here has helped them retain an Australian identity and allows for easier communication with regional customers. While access to domestic talent may have been challenging, having the flexibility of tapping into the international workforce market on a needs basis has been useful. </w:t>
      </w:r>
    </w:p>
    <w:p w14:paraId="2FF231BE" w14:textId="31FCE8BE" w:rsidR="007369C8" w:rsidRPr="00C25D2C" w:rsidRDefault="00441A53" w:rsidP="00B16CBA">
      <w:pPr>
        <w:spacing w:before="40" w:after="40"/>
        <w:rPr>
          <w:spacing w:val="-4"/>
        </w:rPr>
      </w:pPr>
      <w:r w:rsidRPr="0046712D">
        <w:rPr>
          <w:noProof/>
          <w:lang w:eastAsia="en-AU"/>
        </w:rPr>
        <w:lastRenderedPageBreak/>
        <w:drawing>
          <wp:anchor distT="0" distB="0" distL="114300" distR="114300" simplePos="0" relativeHeight="251880448" behindDoc="1" locked="0" layoutInCell="1" allowOverlap="1" wp14:anchorId="35CB13D0" wp14:editId="15F42D8C">
            <wp:simplePos x="0" y="0"/>
            <wp:positionH relativeFrom="page">
              <wp:align>left</wp:align>
            </wp:positionH>
            <wp:positionV relativeFrom="margin">
              <wp:posOffset>-250299</wp:posOffset>
            </wp:positionV>
            <wp:extent cx="7559675" cy="8969828"/>
            <wp:effectExtent l="0" t="0" r="3175" b="3175"/>
            <wp:wrapNone/>
            <wp:docPr id="229" name="Picture 229" descr="Case Study Continued. Seeing Machines" title="Case Study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59675" cy="8969828"/>
                    </a:xfrm>
                    <a:prstGeom prst="rect">
                      <a:avLst/>
                    </a:prstGeom>
                    <a:noFill/>
                    <a:ln>
                      <a:noFill/>
                    </a:ln>
                  </pic:spPr>
                </pic:pic>
              </a:graphicData>
            </a:graphic>
            <wp14:sizeRelH relativeFrom="page">
              <wp14:pctWidth>0</wp14:pctWidth>
            </wp14:sizeRelH>
            <wp14:sizeRelV relativeFrom="page">
              <wp14:pctHeight>0</wp14:pctHeight>
            </wp14:sizeRelV>
          </wp:anchor>
        </w:drawing>
      </w:r>
      <w:r w:rsidR="007369C8" w:rsidRPr="00C25D2C">
        <w:rPr>
          <w:spacing w:val="-4"/>
        </w:rPr>
        <w:t>Seeing Machines core engineering and development of hardware is mainly done in Canberra. While availability of skilled personnel for design and engineering has not been a hurdle, Seeing Machines has found that being based in Canberra can impact business development. To mitigate some of these challenges, Seeing Machines has expanded its footprint into the United States.  However, this has also had its share of challenges, as the United States already has an established pool of local talent and solutions to meet demand. This, however, has not stopped Seeing Machines from counting firms such as Caterpillar, General Motors, Emirates, Bosch, Progress Rail, Coach USA and Transport for London among its major clients.</w:t>
      </w:r>
      <w:r w:rsidR="009C68B7" w:rsidRPr="00C25D2C">
        <w:rPr>
          <w:rStyle w:val="FootnoteReference"/>
          <w:spacing w:val="-4"/>
        </w:rPr>
        <w:footnoteReference w:id="4"/>
      </w:r>
      <w:r w:rsidR="009C68B7" w:rsidRPr="00C25D2C">
        <w:rPr>
          <w:spacing w:val="-4"/>
        </w:rPr>
        <w:t xml:space="preserve"> </w:t>
      </w:r>
    </w:p>
    <w:p w14:paraId="0D9C2291" w14:textId="39E6BABD" w:rsidR="00C25D2C" w:rsidRDefault="00C25D2C" w:rsidP="00C25D2C">
      <w:pPr>
        <w:pStyle w:val="Casestudysubheading"/>
        <w:spacing w:before="120" w:after="60"/>
      </w:pPr>
      <w:r w:rsidRPr="00C25D2C">
        <w:t>Manoeuvring</w:t>
      </w:r>
      <w:r w:rsidRPr="00EF5E5A">
        <w:t xml:space="preserve"> the market</w:t>
      </w:r>
    </w:p>
    <w:p w14:paraId="3F810888" w14:textId="202EEE2E" w:rsidR="007369C8" w:rsidRDefault="007369C8" w:rsidP="00C25D2C">
      <w:pPr>
        <w:spacing w:before="40" w:after="40"/>
      </w:pPr>
      <w:r>
        <w:t>As a start-up exploring various commercial avenues, Seeing Machines indicates the pivotal role of research and development grants in supporting cash flows, until investments could be realized. Receiving such grants in both Australia and US not only provided incentives to innovate, but also helped in boosting its visibility</w:t>
      </w:r>
      <w:r w:rsidR="00C73690">
        <w:t xml:space="preserve"> and exposure in these markets.</w:t>
      </w:r>
    </w:p>
    <w:p w14:paraId="54312112" w14:textId="77777777" w:rsidR="007369C8" w:rsidRDefault="007369C8" w:rsidP="00C25D2C">
      <w:pPr>
        <w:spacing w:before="40" w:after="40"/>
      </w:pPr>
      <w:r>
        <w:t>The market for global commercial air freight operators potentially stands to gain from DMS technology, where pilot fatigue is exacerbated by the demanding predominantly night time flight schedule, relative to passenger aircraft operations. Seeing Machines’ technology also has good prospects in the defence export market</w:t>
      </w:r>
      <w:r w:rsidRPr="00B9766E">
        <w:t xml:space="preserve"> </w:t>
      </w:r>
      <w:r>
        <w:t xml:space="preserve">as it is classified as a controlled, rather than restricted product from a defence perspective. Seeing Machines successfully landed its first commercial deal with the Royal Australian Air Force this year, and is set to continue exploring potential civil and defence applications. Opportunities have been identified in the space </w:t>
      </w:r>
      <w:r w:rsidRPr="007A10D4">
        <w:t>of ab-initio</w:t>
      </w:r>
      <w:r>
        <w:t xml:space="preserve"> pilot training, wherein student pilots can be trained and assessed under different scenarios using gaze tracking technology, before they are type-rated and certified.  Additionally, mature and innovative Full Flight Simulator OEMs such as L3, as well as several premium airlines, have announced formal partnerships and engagements with Seeing Machines, further validating the value proposition of evidence-based training on operational efficiencies and effectiveness. A senior training captain at a major Australian airline noted that the impact of gaze-tracking on evidence-based training was a key differentiator and factor in “creating skilled thinking pilots,” such that “eye-trackers should be fitted to every sim and every aircraft in the fleet.”</w:t>
      </w:r>
    </w:p>
    <w:p w14:paraId="7BCE9D4E" w14:textId="77777777" w:rsidR="007369C8" w:rsidRPr="00C25D2C" w:rsidRDefault="007369C8" w:rsidP="00C25D2C">
      <w:pPr>
        <w:spacing w:before="40" w:after="40"/>
        <w:rPr>
          <w:spacing w:val="-4"/>
        </w:rPr>
      </w:pPr>
      <w:r w:rsidRPr="00C25D2C">
        <w:rPr>
          <w:spacing w:val="-4"/>
        </w:rPr>
        <w:t xml:space="preserve">Operating in over 13 international markets across Europe, Americas, the Middle-East and Asia Pacific, exports account for a large proportion of Seeing Machines’ sales in the aviation industry. Notwithstanding the industry’s cyclical nature (in terms of pilot demand and supply as well as the manufacture of business/commercial </w:t>
      </w:r>
      <w:r w:rsidR="002439CF" w:rsidRPr="00C25D2C">
        <w:rPr>
          <w:spacing w:val="-4"/>
        </w:rPr>
        <w:t>aircraft</w:t>
      </w:r>
      <w:r w:rsidRPr="00C25D2C">
        <w:rPr>
          <w:spacing w:val="-4"/>
        </w:rPr>
        <w:t xml:space="preserve">), recognition of the DMS technology as being critical to safety has helped Seeing Machines navigate this volatile market. </w:t>
      </w:r>
    </w:p>
    <w:p w14:paraId="283FDE80" w14:textId="77777777" w:rsidR="00890B5D" w:rsidRDefault="007369C8" w:rsidP="00C25D2C">
      <w:pPr>
        <w:spacing w:before="40" w:after="40"/>
        <w:rPr>
          <w:spacing w:val="-2"/>
        </w:rPr>
        <w:sectPr w:rsidR="00890B5D" w:rsidSect="00890B5D">
          <w:pgSz w:w="11906" w:h="16838" w:code="9"/>
          <w:pgMar w:top="1701" w:right="1418" w:bottom="1418" w:left="1418" w:header="709" w:footer="454" w:gutter="0"/>
          <w:cols w:space="568"/>
          <w:titlePg/>
          <w:docGrid w:linePitch="360"/>
        </w:sectPr>
      </w:pPr>
      <w:r w:rsidRPr="00C25D2C">
        <w:rPr>
          <w:spacing w:val="-2"/>
        </w:rPr>
        <w:t>Envisaging a future with (nearly) complete automation across various transportation sectors is increasing the demand by carriers for the company’s Driver Monitoring Systems, with the dual purpose of monitoring the comfort and condition of passengers, as well as improving safety (averting emergencies). Increased human-machine interactions in education and medicine is also seeing this eye tracking technology pave its way into new sectors.</w:t>
      </w:r>
    </w:p>
    <w:p w14:paraId="50C8086E" w14:textId="0BA54C73" w:rsidR="002F3AD1" w:rsidRPr="009567DD" w:rsidRDefault="002F3AD1" w:rsidP="0011521D">
      <w:pPr>
        <w:pStyle w:val="Heading2"/>
      </w:pPr>
      <w:bookmarkStart w:id="121" w:name="_Ref536707087"/>
      <w:bookmarkStart w:id="122" w:name="_Ref536707348"/>
      <w:bookmarkStart w:id="123" w:name="_Ref536707361"/>
      <w:bookmarkStart w:id="124" w:name="_Ref536708868"/>
      <w:bookmarkStart w:id="125" w:name="_Toc2586938"/>
      <w:bookmarkStart w:id="126" w:name="_Toc26537885"/>
      <w:bookmarkEnd w:id="119"/>
      <w:r w:rsidRPr="009567DD">
        <w:lastRenderedPageBreak/>
        <w:t>The Aircraft Manufacturing Industry in Australia</w:t>
      </w:r>
      <w:bookmarkEnd w:id="121"/>
      <w:bookmarkEnd w:id="122"/>
      <w:bookmarkEnd w:id="123"/>
      <w:bookmarkEnd w:id="124"/>
      <w:bookmarkEnd w:id="125"/>
      <w:bookmarkEnd w:id="126"/>
    </w:p>
    <w:p w14:paraId="24F84632" w14:textId="08C34F84" w:rsidR="00367D83" w:rsidRDefault="00066B44" w:rsidP="00720136">
      <w:pPr>
        <w:pStyle w:val="BodyText1"/>
      </w:pPr>
      <w:r>
        <w:t>Australia’</w:t>
      </w:r>
      <w:r w:rsidR="00862246">
        <w:t xml:space="preserve">s </w:t>
      </w:r>
      <w:r w:rsidR="00555E98">
        <w:t>Aircraft Manufacturing and Repair Services</w:t>
      </w:r>
      <w:r w:rsidR="00AF1EDC">
        <w:t xml:space="preserve"> </w:t>
      </w:r>
      <w:r w:rsidR="00396EEF">
        <w:t xml:space="preserve">industry </w:t>
      </w:r>
      <w:r w:rsidR="00367D83">
        <w:t xml:space="preserve">comprises manufacturing of commercial and military </w:t>
      </w:r>
      <w:r w:rsidR="002439CF">
        <w:t>aircraft</w:t>
      </w:r>
      <w:r w:rsidR="00367D83">
        <w:t xml:space="preserve"> and parts</w:t>
      </w:r>
      <w:r w:rsidR="003E0AC6">
        <w:t>;</w:t>
      </w:r>
      <w:r w:rsidR="00367D83">
        <w:t xml:space="preserve"> design and systems engineering</w:t>
      </w:r>
      <w:r w:rsidR="003E0AC6">
        <w:t>;</w:t>
      </w:r>
      <w:r w:rsidR="00367D83">
        <w:t xml:space="preserve"> </w:t>
      </w:r>
      <w:r w:rsidR="00396EEF">
        <w:t xml:space="preserve">MRO </w:t>
      </w:r>
      <w:r w:rsidR="00367D83">
        <w:t xml:space="preserve">services for airlines </w:t>
      </w:r>
      <w:r w:rsidR="00C755FF">
        <w:t>and manufacturers</w:t>
      </w:r>
      <w:r w:rsidR="003E0AC6">
        <w:t>;</w:t>
      </w:r>
      <w:r w:rsidR="00C755FF">
        <w:t xml:space="preserve"> </w:t>
      </w:r>
      <w:r w:rsidR="00391AD7">
        <w:t xml:space="preserve">R&amp;D and </w:t>
      </w:r>
      <w:r w:rsidR="00C755FF">
        <w:t>training</w:t>
      </w:r>
      <w:r w:rsidR="00391AD7">
        <w:t>.</w:t>
      </w:r>
    </w:p>
    <w:p w14:paraId="63A9A4A8" w14:textId="40AA4643" w:rsidR="00061B7B" w:rsidRDefault="00061B7B" w:rsidP="00061B7B">
      <w:pPr>
        <w:pStyle w:val="BodyText1"/>
      </w:pPr>
      <w:r>
        <w:t xml:space="preserve">Our industry consultations with aerospace industry representatives </w:t>
      </w:r>
      <w:r w:rsidR="002542C6">
        <w:t xml:space="preserve">indicate </w:t>
      </w:r>
      <w:r w:rsidR="00CD2F63">
        <w:t xml:space="preserve">the distinctive </w:t>
      </w:r>
      <w:r w:rsidR="0089235C">
        <w:t xml:space="preserve">nature of operations yet </w:t>
      </w:r>
      <w:r w:rsidR="00CD2F63">
        <w:t xml:space="preserve">synergistic </w:t>
      </w:r>
      <w:r w:rsidR="0089235C">
        <w:t xml:space="preserve">interactions between </w:t>
      </w:r>
      <w:r w:rsidR="00CD2F63">
        <w:t xml:space="preserve">the </w:t>
      </w:r>
      <w:r>
        <w:t>defence and civil sectors</w:t>
      </w:r>
      <w:r w:rsidR="00CD2F63">
        <w:t xml:space="preserve"> of the aerospace industry</w:t>
      </w:r>
      <w:r>
        <w:t xml:space="preserve">. </w:t>
      </w:r>
      <w:r w:rsidRPr="00922E25">
        <w:t>The</w:t>
      </w:r>
      <w:r>
        <w:t>re are standard compliance requirements for products and services</w:t>
      </w:r>
      <w:r w:rsidR="0089235C">
        <w:t xml:space="preserve"> (like AS9100, which includes the quality management system certification ISO9001 and other requirements specific to the aerospace industry)</w:t>
      </w:r>
      <w:r w:rsidR="009303F2">
        <w:t>,</w:t>
      </w:r>
      <w:r>
        <w:t xml:space="preserve"> as well as</w:t>
      </w:r>
      <w:r w:rsidR="0089235C">
        <w:t xml:space="preserve"> for</w:t>
      </w:r>
      <w:r>
        <w:t xml:space="preserve"> workers</w:t>
      </w:r>
      <w:r w:rsidR="0089235C">
        <w:t xml:space="preserve"> </w:t>
      </w:r>
      <w:r>
        <w:t>across all parts of th</w:t>
      </w:r>
      <w:r w:rsidR="001D6D5D">
        <w:t>e</w:t>
      </w:r>
      <w:r>
        <w:t xml:space="preserve"> industry. This means that the standards do not </w:t>
      </w:r>
      <w:r w:rsidR="009303F2">
        <w:t xml:space="preserve">necessarily </w:t>
      </w:r>
      <w:r>
        <w:t>influence a company’s decision to work in one or the other part of the industry. Although it was mentioned that defence</w:t>
      </w:r>
      <w:r w:rsidR="002F14A5">
        <w:t xml:space="preserve"> </w:t>
      </w:r>
      <w:r>
        <w:t>related work is not covered by some of the regulatory standards that are applied to the civil sector</w:t>
      </w:r>
      <w:r w:rsidR="004B1B42">
        <w:t xml:space="preserve">, it </w:t>
      </w:r>
      <w:r w:rsidR="009303F2">
        <w:t xml:space="preserve">can have its own challenges </w:t>
      </w:r>
      <w:r w:rsidR="00737BAA">
        <w:t>(</w:t>
      </w:r>
      <w:r w:rsidR="002542C6">
        <w:t>in particular</w:t>
      </w:r>
      <w:r w:rsidR="00737BAA">
        <w:t>,</w:t>
      </w:r>
      <w:r w:rsidR="002542C6">
        <w:t xml:space="preserve"> </w:t>
      </w:r>
      <w:r w:rsidR="009303F2">
        <w:t>some businesses indicate that the Defence procurement process can be complex)</w:t>
      </w:r>
      <w:r w:rsidR="002542C6">
        <w:t>.</w:t>
      </w:r>
    </w:p>
    <w:p w14:paraId="7E1EBF95" w14:textId="15B9822A" w:rsidR="00061B7B" w:rsidRDefault="00061B7B" w:rsidP="00061B7B">
      <w:pPr>
        <w:pStyle w:val="BodyText1"/>
      </w:pPr>
      <w:r>
        <w:t>The d</w:t>
      </w:r>
      <w:r w:rsidRPr="00922E25">
        <w:t>efence and civil side</w:t>
      </w:r>
      <w:r>
        <w:t>s</w:t>
      </w:r>
      <w:r w:rsidRPr="00922E25">
        <w:t xml:space="preserve"> of the industry are largely separate </w:t>
      </w:r>
      <w:r>
        <w:t xml:space="preserve">in terms of </w:t>
      </w:r>
      <w:r w:rsidRPr="00922E25">
        <w:t>company structures, technolog</w:t>
      </w:r>
      <w:r w:rsidR="00DD4339">
        <w:t>ies</w:t>
      </w:r>
      <w:r w:rsidRPr="00922E25">
        <w:t xml:space="preserve"> and </w:t>
      </w:r>
      <w:r w:rsidR="00DD4339">
        <w:t>capital requirements</w:t>
      </w:r>
      <w:r w:rsidRPr="00922E25">
        <w:t>.</w:t>
      </w:r>
      <w:r>
        <w:t xml:space="preserve"> In particular, </w:t>
      </w:r>
      <w:r w:rsidR="00A418D3">
        <w:t>d</w:t>
      </w:r>
      <w:r>
        <w:t xml:space="preserve">efence work tends to be </w:t>
      </w:r>
      <w:r w:rsidRPr="00922E25">
        <w:t xml:space="preserve">highly specialized. Some of the prime </w:t>
      </w:r>
      <w:r w:rsidR="00100726">
        <w:t xml:space="preserve">contractors (“primes”) </w:t>
      </w:r>
      <w:r w:rsidRPr="00922E25">
        <w:t>like BAE, Boeing</w:t>
      </w:r>
      <w:r w:rsidR="00100726">
        <w:t xml:space="preserve"> and</w:t>
      </w:r>
      <w:r w:rsidRPr="00922E25">
        <w:t xml:space="preserve"> Airbus</w:t>
      </w:r>
      <w:r>
        <w:t xml:space="preserve"> do</w:t>
      </w:r>
      <w:r w:rsidRPr="00922E25">
        <w:t xml:space="preserve"> operate in both spaces, </w:t>
      </w:r>
      <w:r>
        <w:t xml:space="preserve">indicating </w:t>
      </w:r>
      <w:r w:rsidRPr="00922E25">
        <w:t xml:space="preserve">operations </w:t>
      </w:r>
      <w:r>
        <w:t>that can be compl</w:t>
      </w:r>
      <w:r w:rsidR="00795A55">
        <w:t>e</w:t>
      </w:r>
      <w:r>
        <w:t xml:space="preserve">mentary between civil and </w:t>
      </w:r>
      <w:r w:rsidR="002F14A5">
        <w:t>d</w:t>
      </w:r>
      <w:r>
        <w:t xml:space="preserve">efence. </w:t>
      </w:r>
      <w:r w:rsidRPr="00922E25">
        <w:t xml:space="preserve">It is also fair to expect transfer of R&amp;D between the two sectors. </w:t>
      </w:r>
      <w:r>
        <w:t>Further, activities relating to m</w:t>
      </w:r>
      <w:r w:rsidRPr="00922E25">
        <w:t xml:space="preserve">anufacturing </w:t>
      </w:r>
      <w:r>
        <w:t xml:space="preserve">or </w:t>
      </w:r>
      <w:r w:rsidRPr="00922E25">
        <w:t xml:space="preserve">repair </w:t>
      </w:r>
      <w:r>
        <w:t>are seen as somewhat compl</w:t>
      </w:r>
      <w:r w:rsidR="00795A55">
        <w:t>e</w:t>
      </w:r>
      <w:r>
        <w:t xml:space="preserve">mentary between the two sectors. While the significant </w:t>
      </w:r>
      <w:r w:rsidR="002F14A5">
        <w:t>d</w:t>
      </w:r>
      <w:r>
        <w:t>efence budget has provided much of the work in this space, in recent times there has been some shift to t</w:t>
      </w:r>
      <w:r w:rsidR="00890B5D">
        <w:t>he civil side of the industry.</w:t>
      </w:r>
    </w:p>
    <w:p w14:paraId="7CA8AF4F" w14:textId="77777777" w:rsidR="007F4D65" w:rsidRDefault="00C755FF" w:rsidP="00720136">
      <w:pPr>
        <w:pStyle w:val="BodyText1"/>
      </w:pPr>
      <w:r w:rsidRPr="00C755FF">
        <w:t xml:space="preserve">This section provides an overview of </w:t>
      </w:r>
      <w:r w:rsidR="00066B44" w:rsidRPr="00C755FF">
        <w:t>Australia’</w:t>
      </w:r>
      <w:r w:rsidR="00862246" w:rsidRPr="00C755FF">
        <w:t xml:space="preserve">s </w:t>
      </w:r>
      <w:r w:rsidRPr="00C755FF">
        <w:t xml:space="preserve">current </w:t>
      </w:r>
      <w:r w:rsidR="00066B44" w:rsidRPr="00C755FF">
        <w:t>capabilities</w:t>
      </w:r>
      <w:r w:rsidR="00862246" w:rsidRPr="00C755FF">
        <w:t xml:space="preserve"> </w:t>
      </w:r>
      <w:r w:rsidRPr="00C755FF">
        <w:t xml:space="preserve">in </w:t>
      </w:r>
      <w:r w:rsidR="00381E09">
        <w:t xml:space="preserve">the Aircraft Manufacturing and Repair Services industry in </w:t>
      </w:r>
      <w:r w:rsidRPr="00C755FF">
        <w:t xml:space="preserve">terms of business size, skills and market segmentation. This is followed by </w:t>
      </w:r>
      <w:r w:rsidR="00862246" w:rsidRPr="00C755FF">
        <w:t>an over</w:t>
      </w:r>
      <w:r w:rsidR="00803E22" w:rsidRPr="00C755FF">
        <w:t xml:space="preserve">view of </w:t>
      </w:r>
      <w:r w:rsidR="00862246" w:rsidRPr="00C755FF">
        <w:t>innovative initiatives</w:t>
      </w:r>
      <w:r w:rsidR="00803E22" w:rsidRPr="00C755FF">
        <w:t xml:space="preserve"> currently</w:t>
      </w:r>
      <w:r w:rsidR="00862246" w:rsidRPr="00C755FF">
        <w:t xml:space="preserve"> employed by the industry. Focus then shifts to </w:t>
      </w:r>
      <w:r w:rsidR="00803E22" w:rsidRPr="00C755FF">
        <w:t>international trade</w:t>
      </w:r>
      <w:r w:rsidR="00862246" w:rsidRPr="00C755FF">
        <w:t xml:space="preserve"> and </w:t>
      </w:r>
      <w:r w:rsidR="00546A68" w:rsidRPr="00C755FF">
        <w:t xml:space="preserve">the </w:t>
      </w:r>
      <w:r w:rsidR="00803E22" w:rsidRPr="00C755FF">
        <w:t>competition present i</w:t>
      </w:r>
      <w:r w:rsidR="00862246" w:rsidRPr="00C755FF">
        <w:t xml:space="preserve">n </w:t>
      </w:r>
      <w:r w:rsidRPr="00C755FF">
        <w:t xml:space="preserve">international markets and </w:t>
      </w:r>
      <w:r w:rsidR="00720136" w:rsidRPr="00C755FF">
        <w:t>the final subsection</w:t>
      </w:r>
      <w:r w:rsidRPr="00C755FF">
        <w:t xml:space="preserve"> identifies</w:t>
      </w:r>
      <w:r w:rsidR="00720136" w:rsidRPr="00C755FF">
        <w:t xml:space="preserve"> o</w:t>
      </w:r>
      <w:r w:rsidR="00803E22" w:rsidRPr="00C755FF">
        <w:t xml:space="preserve">pportunities for growth </w:t>
      </w:r>
      <w:r w:rsidRPr="00C755FF">
        <w:t xml:space="preserve">as well as </w:t>
      </w:r>
      <w:r w:rsidR="00803E22" w:rsidRPr="00C755FF">
        <w:t xml:space="preserve">barriers to the development of the </w:t>
      </w:r>
      <w:r w:rsidR="00546A68" w:rsidRPr="00C755FF">
        <w:t xml:space="preserve">domestic </w:t>
      </w:r>
      <w:r w:rsidR="00381E09">
        <w:t>industry.</w:t>
      </w:r>
      <w:r w:rsidR="00803E22">
        <w:t xml:space="preserve"> </w:t>
      </w:r>
    </w:p>
    <w:p w14:paraId="6E5A7763" w14:textId="627CE2E8" w:rsidR="004523D7" w:rsidRPr="00AE5BF2" w:rsidRDefault="004523D7" w:rsidP="0011521D">
      <w:pPr>
        <w:pStyle w:val="Heading3"/>
      </w:pPr>
      <w:bookmarkStart w:id="127" w:name="_Toc536634754"/>
      <w:bookmarkStart w:id="128" w:name="_Toc536696252"/>
      <w:bookmarkStart w:id="129" w:name="_Toc26537886"/>
      <w:bookmarkEnd w:id="127"/>
      <w:bookmarkEnd w:id="128"/>
      <w:r w:rsidRPr="00AE5BF2">
        <w:t>Australia's capabili</w:t>
      </w:r>
      <w:r w:rsidR="004467D0" w:rsidRPr="00AE5BF2">
        <w:t>ties</w:t>
      </w:r>
      <w:r w:rsidR="002E4C20" w:rsidRPr="00AE5BF2">
        <w:t xml:space="preserve"> in the </w:t>
      </w:r>
      <w:r w:rsidR="00CA07EA" w:rsidRPr="00AE5BF2">
        <w:t>A</w:t>
      </w:r>
      <w:r w:rsidR="00DD5259" w:rsidRPr="00AE5BF2">
        <w:t xml:space="preserve">ircraft </w:t>
      </w:r>
      <w:r w:rsidR="00CA07EA" w:rsidRPr="00AE5BF2">
        <w:t>M</w:t>
      </w:r>
      <w:r w:rsidR="00DD5259" w:rsidRPr="00AE5BF2">
        <w:t xml:space="preserve">anufacturing </w:t>
      </w:r>
      <w:r w:rsidR="002E4C20" w:rsidRPr="00AE5BF2">
        <w:t>industry</w:t>
      </w:r>
      <w:bookmarkEnd w:id="129"/>
    </w:p>
    <w:p w14:paraId="1FA2FD63" w14:textId="510D2986" w:rsidR="00CC3319" w:rsidRDefault="005C5668" w:rsidP="00720136">
      <w:pPr>
        <w:pStyle w:val="BodyText1"/>
      </w:pPr>
      <w:r w:rsidRPr="00DF313B">
        <w:t xml:space="preserve">The Australian </w:t>
      </w:r>
      <w:r w:rsidR="00555E98">
        <w:t>Aircraft Manufacturing and Repair Services</w:t>
      </w:r>
      <w:r w:rsidRPr="00DF313B">
        <w:t xml:space="preserve"> industry includes a </w:t>
      </w:r>
      <w:r w:rsidR="00DF313B" w:rsidRPr="00DF313B">
        <w:t xml:space="preserve">broad range </w:t>
      </w:r>
      <w:r w:rsidRPr="00DF313B">
        <w:t xml:space="preserve">of businesses and specialists </w:t>
      </w:r>
      <w:r w:rsidR="00DF313B" w:rsidRPr="00DF313B">
        <w:t>involved in manufacturing aircraft and aircraft parts as well as maintain</w:t>
      </w:r>
      <w:r w:rsidR="00396EEF">
        <w:t>ing</w:t>
      </w:r>
      <w:r w:rsidR="00DF313B" w:rsidRPr="00DF313B">
        <w:t xml:space="preserve"> and repair</w:t>
      </w:r>
      <w:r w:rsidR="00396EEF">
        <w:t>ing</w:t>
      </w:r>
      <w:r w:rsidR="00DF313B" w:rsidRPr="00DF313B">
        <w:t xml:space="preserve"> </w:t>
      </w:r>
      <w:r w:rsidR="00AA24B4" w:rsidRPr="00DF313B">
        <w:t>commercial</w:t>
      </w:r>
      <w:r w:rsidR="00DF313B" w:rsidRPr="00DF313B">
        <w:t xml:space="preserve"> and military aerospace equipment. </w:t>
      </w:r>
      <w:r w:rsidR="004B3004">
        <w:t xml:space="preserve">The industry prides itself in having unique capabilities across various aerospace segments as well as </w:t>
      </w:r>
      <w:r w:rsidR="009303F2">
        <w:t xml:space="preserve">solid </w:t>
      </w:r>
      <w:r w:rsidR="004B3004">
        <w:t xml:space="preserve">engineering and design skills. </w:t>
      </w:r>
    </w:p>
    <w:p w14:paraId="4ADF9282" w14:textId="77777777" w:rsidR="00893B57" w:rsidRPr="00AF04CA" w:rsidRDefault="00893B57" w:rsidP="00AF04CA">
      <w:pPr>
        <w:pStyle w:val="Heading4"/>
      </w:pPr>
      <w:r w:rsidRPr="00AF04CA">
        <w:t xml:space="preserve">Business </w:t>
      </w:r>
      <w:r w:rsidR="00B36519" w:rsidRPr="00AF04CA">
        <w:t>size</w:t>
      </w:r>
    </w:p>
    <w:p w14:paraId="7E04735E" w14:textId="564271D6" w:rsidR="00E5635D" w:rsidRDefault="000B7199" w:rsidP="00E5635D">
      <w:pPr>
        <w:pStyle w:val="BodyText1"/>
      </w:pPr>
      <w:r>
        <w:t>In Australia</w:t>
      </w:r>
      <w:r w:rsidR="00E5635D">
        <w:t>,</w:t>
      </w:r>
      <w:r w:rsidR="00CF051A">
        <w:t xml:space="preserve"> in 2017-18,</w:t>
      </w:r>
      <w:r>
        <w:t xml:space="preserve"> t</w:t>
      </w:r>
      <w:r w:rsidR="005C5668">
        <w:t xml:space="preserve">here </w:t>
      </w:r>
      <w:r w:rsidR="00CF051A">
        <w:t xml:space="preserve">were </w:t>
      </w:r>
      <w:r w:rsidR="009D6B4E">
        <w:t xml:space="preserve">937 </w:t>
      </w:r>
      <w:r>
        <w:t xml:space="preserve">registered </w:t>
      </w:r>
      <w:r w:rsidR="005C5668">
        <w:t xml:space="preserve">businesses </w:t>
      </w:r>
      <w:r>
        <w:t xml:space="preserve">operating in the </w:t>
      </w:r>
      <w:r w:rsidR="00555E98">
        <w:t>Aircraft Manufacturing and Repair Services</w:t>
      </w:r>
      <w:r w:rsidR="00AF1EDC">
        <w:t xml:space="preserve"> </w:t>
      </w:r>
      <w:r w:rsidR="00396EEF">
        <w:t>industry</w:t>
      </w:r>
      <w:r w:rsidR="005C5668">
        <w:t>.</w:t>
      </w:r>
      <w:r w:rsidR="00A621DC">
        <w:rPr>
          <w:rStyle w:val="FootnoteReference"/>
        </w:rPr>
        <w:footnoteReference w:id="5"/>
      </w:r>
    </w:p>
    <w:p w14:paraId="1D1F6D7B" w14:textId="1CCEC2C7" w:rsidR="008B5DF4" w:rsidRDefault="00E5635D" w:rsidP="00E5635D">
      <w:pPr>
        <w:pStyle w:val="BodyText1"/>
      </w:pPr>
      <w:r>
        <w:lastRenderedPageBreak/>
        <w:fldChar w:fldCharType="begin"/>
      </w:r>
      <w:r>
        <w:instrText xml:space="preserve"> REF _Ref531777922 \h </w:instrText>
      </w:r>
      <w:r>
        <w:fldChar w:fldCharType="separate"/>
      </w:r>
      <w:r w:rsidR="00980A78">
        <w:t xml:space="preserve">Figure </w:t>
      </w:r>
      <w:r w:rsidR="00980A78">
        <w:rPr>
          <w:noProof/>
        </w:rPr>
        <w:t>1</w:t>
      </w:r>
      <w:r>
        <w:fldChar w:fldCharType="end"/>
      </w:r>
      <w:r>
        <w:t xml:space="preserve"> shows the </w:t>
      </w:r>
      <w:r w:rsidR="00D94268">
        <w:t xml:space="preserve">size of these Australian aircraft manufacturing and repair service businesses in terms of number of employees and </w:t>
      </w:r>
      <w:r>
        <w:t>turnover at the end of 201</w:t>
      </w:r>
      <w:r w:rsidR="009D6B4E">
        <w:t>7-18</w:t>
      </w:r>
      <w:r>
        <w:t xml:space="preserve">. It can be seen that </w:t>
      </w:r>
      <w:r w:rsidR="009D6B4E">
        <w:t xml:space="preserve">over </w:t>
      </w:r>
      <w:r w:rsidR="00FC7926">
        <w:t xml:space="preserve">half the businesses in the </w:t>
      </w:r>
      <w:r w:rsidR="00CA07EA">
        <w:t>A</w:t>
      </w:r>
      <w:r w:rsidR="00FC7926">
        <w:t xml:space="preserve">ircraft </w:t>
      </w:r>
      <w:r w:rsidR="00CA07EA">
        <w:t>M</w:t>
      </w:r>
      <w:r w:rsidR="00FC7926">
        <w:t xml:space="preserve">anufacturing and </w:t>
      </w:r>
      <w:r w:rsidR="00CA07EA">
        <w:t>R</w:t>
      </w:r>
      <w:r w:rsidR="00FC7926">
        <w:t xml:space="preserve">epair </w:t>
      </w:r>
      <w:r w:rsidR="00CA07EA">
        <w:t>S</w:t>
      </w:r>
      <w:r w:rsidR="00FC7926">
        <w:t>ervice industry are non</w:t>
      </w:r>
      <w:r w:rsidR="00893B57">
        <w:t>-employing</w:t>
      </w:r>
      <w:r w:rsidR="00B0446B">
        <w:t>, operating as sole proprietors or in partnerships</w:t>
      </w:r>
      <w:r>
        <w:t>.</w:t>
      </w:r>
      <w:r w:rsidR="00893B57">
        <w:t xml:space="preserve"> </w:t>
      </w:r>
      <w:r>
        <w:t>There</w:t>
      </w:r>
      <w:r w:rsidR="00E45DD7">
        <w:t xml:space="preserve"> are</w:t>
      </w:r>
      <w:r>
        <w:t xml:space="preserve"> </w:t>
      </w:r>
      <w:r w:rsidR="00FC7926">
        <w:t xml:space="preserve">another </w:t>
      </w:r>
      <w:r w:rsidR="009D6B4E">
        <w:t xml:space="preserve">380 </w:t>
      </w:r>
      <w:r>
        <w:t>businesses in the market</w:t>
      </w:r>
      <w:r w:rsidR="00FC7926">
        <w:t xml:space="preserve"> that operate at a small-scale</w:t>
      </w:r>
      <w:r>
        <w:t xml:space="preserve">, employing up to 20 employees. </w:t>
      </w:r>
      <w:r w:rsidR="00893B57">
        <w:t>At the larger end of the market, the</w:t>
      </w:r>
      <w:r w:rsidR="00443BD2">
        <w:t xml:space="preserve"> data identified </w:t>
      </w:r>
      <w:r w:rsidR="00893B57">
        <w:t xml:space="preserve">only </w:t>
      </w:r>
      <w:r w:rsidR="009D6B4E">
        <w:t xml:space="preserve">three </w:t>
      </w:r>
      <w:r w:rsidR="00893B57">
        <w:t xml:space="preserve">businesses </w:t>
      </w:r>
      <w:r w:rsidR="00065D1D">
        <w:t>that</w:t>
      </w:r>
      <w:r w:rsidR="00893B57">
        <w:t xml:space="preserve"> employ more than 200</w:t>
      </w:r>
      <w:r w:rsidR="00B96461">
        <w:t> </w:t>
      </w:r>
      <w:r w:rsidR="00893B57">
        <w:t xml:space="preserve">workers. </w:t>
      </w:r>
    </w:p>
    <w:p w14:paraId="2CC34EAC" w14:textId="71C8BE28" w:rsidR="008D19EC" w:rsidRDefault="008B5DF4" w:rsidP="00E5635D">
      <w:pPr>
        <w:pStyle w:val="BodyText1"/>
      </w:pPr>
      <w:r>
        <w:t>(It should be noted that t</w:t>
      </w:r>
      <w:r w:rsidR="008D19EC">
        <w:t xml:space="preserve">his data </w:t>
      </w:r>
      <w:r>
        <w:t xml:space="preserve">can be subject to reporting errors, and likely </w:t>
      </w:r>
      <w:r w:rsidR="008D19EC">
        <w:t>underrepresent</w:t>
      </w:r>
      <w:r>
        <w:t>s</w:t>
      </w:r>
      <w:r w:rsidR="008D19EC">
        <w:t xml:space="preserve"> the </w:t>
      </w:r>
      <w:r>
        <w:t xml:space="preserve">number of </w:t>
      </w:r>
      <w:r w:rsidR="008D19EC">
        <w:t xml:space="preserve">large-sized businesses in this industry. </w:t>
      </w:r>
      <w:r>
        <w:t xml:space="preserve">Under this survey, a </w:t>
      </w:r>
      <w:r w:rsidR="008D19EC">
        <w:t>business inv</w:t>
      </w:r>
      <w:r w:rsidR="004D1550">
        <w:t>olved in multiple commercial ac</w:t>
      </w:r>
      <w:r w:rsidR="008D19EC">
        <w:t>tivit</w:t>
      </w:r>
      <w:r w:rsidR="004D1550">
        <w:t>i</w:t>
      </w:r>
      <w:r w:rsidR="008D19EC">
        <w:t xml:space="preserve">es </w:t>
      </w:r>
      <w:r>
        <w:t xml:space="preserve">will be </w:t>
      </w:r>
      <w:r w:rsidR="00A51129">
        <w:t xml:space="preserve">classified </w:t>
      </w:r>
      <w:r w:rsidR="008D19EC">
        <w:t xml:space="preserve">under a particular industry according to its main activity. </w:t>
      </w:r>
      <w:r w:rsidR="00A51129">
        <w:t xml:space="preserve">Moreover, as one would expect, increased diversification in </w:t>
      </w:r>
      <w:r w:rsidR="006F6FF5">
        <w:t xml:space="preserve">services provided </w:t>
      </w:r>
      <w:r w:rsidR="00A51129">
        <w:t xml:space="preserve">by the bigger firms means </w:t>
      </w:r>
      <w:r>
        <w:t xml:space="preserve">there may be differences in categorisation of the same business across different </w:t>
      </w:r>
      <w:r w:rsidR="00A51129">
        <w:t>year</w:t>
      </w:r>
      <w:r>
        <w:t>s</w:t>
      </w:r>
      <w:r w:rsidR="00A51129">
        <w:t xml:space="preserve">, </w:t>
      </w:r>
      <w:r>
        <w:t xml:space="preserve">which could </w:t>
      </w:r>
      <w:r w:rsidR="00A51129">
        <w:t xml:space="preserve">result in </w:t>
      </w:r>
      <w:r>
        <w:t>significant variations from year to year)</w:t>
      </w:r>
      <w:r w:rsidR="00A51129">
        <w:t>.</w:t>
      </w:r>
    </w:p>
    <w:p w14:paraId="39502978" w14:textId="40EE3F30" w:rsidR="00893B57" w:rsidRPr="00BE4DE4" w:rsidRDefault="009A695C" w:rsidP="00BE4DE4">
      <w:pPr>
        <w:spacing w:after="0"/>
        <w:jc w:val="center"/>
        <w:rPr>
          <w:rStyle w:val="SourceChar"/>
        </w:rPr>
      </w:pPr>
      <w:r w:rsidRPr="009A695C">
        <w:rPr>
          <w:noProof/>
          <w:lang w:eastAsia="en-AU"/>
        </w:rPr>
        <w:drawing>
          <wp:inline distT="0" distB="0" distL="0" distR="0" wp14:anchorId="2BEEDEE7" wp14:editId="33FAEEC2">
            <wp:extent cx="5731510" cy="291971"/>
            <wp:effectExtent l="0" t="0" r="0" b="0"/>
            <wp:docPr id="1" name="Picture 1" descr="Figure 1: Number of businesses in the industry according to employee strength and revenues (2017-18)"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91971"/>
                    </a:xfrm>
                    <a:prstGeom prst="rect">
                      <a:avLst/>
                    </a:prstGeom>
                    <a:noFill/>
                    <a:ln>
                      <a:noFill/>
                    </a:ln>
                  </pic:spPr>
                </pic:pic>
              </a:graphicData>
            </a:graphic>
          </wp:inline>
        </w:drawing>
      </w:r>
      <w:r w:rsidR="00354E71" w:rsidRPr="00354E71">
        <w:rPr>
          <w:noProof/>
          <w:lang w:eastAsia="en-AU"/>
        </w:rPr>
        <w:t xml:space="preserve"> </w:t>
      </w:r>
      <w:r w:rsidR="00354E71">
        <w:rPr>
          <w:noProof/>
          <w:lang w:eastAsia="en-AU"/>
        </w:rPr>
        <w:drawing>
          <wp:inline distT="0" distB="0" distL="0" distR="0" wp14:anchorId="05B63325" wp14:editId="6E808443">
            <wp:extent cx="4680000" cy="2520000"/>
            <wp:effectExtent l="0" t="0" r="6350" b="0"/>
            <wp:docPr id="20" name="Chart 20" descr="Figure 1: Number of businesses in the industry according to employee strength and revenues (2017-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9A695C">
        <w:rPr>
          <w:noProof/>
          <w:lang w:eastAsia="en-AU"/>
        </w:rPr>
        <w:t xml:space="preserve"> </w:t>
      </w:r>
      <w:r w:rsidRPr="009A695C">
        <w:rPr>
          <w:noProof/>
          <w:lang w:eastAsia="en-AU"/>
        </w:rPr>
        <w:drawing>
          <wp:inline distT="0" distB="0" distL="0" distR="0" wp14:anchorId="2B7B3529" wp14:editId="2CA5B6DD">
            <wp:extent cx="9130665" cy="158737"/>
            <wp:effectExtent l="0" t="0" r="0" b="0"/>
            <wp:docPr id="18" name="Picture 18" descr="Source: ABS 8165.0" titl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37369" cy="266641"/>
                    </a:xfrm>
                    <a:prstGeom prst="rect">
                      <a:avLst/>
                    </a:prstGeom>
                    <a:noFill/>
                    <a:ln>
                      <a:noFill/>
                    </a:ln>
                  </pic:spPr>
                </pic:pic>
              </a:graphicData>
            </a:graphic>
          </wp:inline>
        </w:drawing>
      </w:r>
    </w:p>
    <w:p w14:paraId="5353A30E" w14:textId="6D814921" w:rsidR="00670F9E" w:rsidRDefault="00E45DD7" w:rsidP="007C068F">
      <w:pPr>
        <w:pStyle w:val="Bodyafterbullet"/>
      </w:pPr>
      <w:r w:rsidRPr="00220DC6">
        <w:t xml:space="preserve">On the revenue side, </w:t>
      </w:r>
      <w:r w:rsidR="009D6B4E" w:rsidRPr="00220DC6">
        <w:t>over 70 per cent</w:t>
      </w:r>
      <w:r w:rsidRPr="00220DC6">
        <w:t xml:space="preserve"> of all businesses registered an annual income between $50,000 and $2 million at the end of financial year 2016-17. The remaining </w:t>
      </w:r>
      <w:r w:rsidR="009D6B4E" w:rsidRPr="00220DC6">
        <w:t>30 per cent</w:t>
      </w:r>
      <w:r w:rsidRPr="00220DC6">
        <w:t xml:space="preserve"> of the operators were placed </w:t>
      </w:r>
      <w:r w:rsidR="009D6B4E" w:rsidRPr="00220DC6">
        <w:t xml:space="preserve">relatively evenly </w:t>
      </w:r>
      <w:r w:rsidRPr="00220DC6">
        <w:t>at the far ends of the spectrum, registering an annual revenue of either less than $50,000 or greater than $2 million.</w:t>
      </w:r>
      <w:r w:rsidR="00D7199C" w:rsidRPr="00220DC6" w:rsidDel="00D7199C">
        <w:t xml:space="preserve"> </w:t>
      </w:r>
    </w:p>
    <w:p w14:paraId="7F6CC53B" w14:textId="3D3400FD" w:rsidR="00DA446F" w:rsidRDefault="00DA446F" w:rsidP="00DA446F">
      <w:pPr>
        <w:pStyle w:val="BodyText1"/>
      </w:pPr>
      <w:r>
        <w:t xml:space="preserve">In general, </w:t>
      </w:r>
      <w:r w:rsidR="00FF27A0">
        <w:t xml:space="preserve">while the Aircraft Manufacturing and Repair Services industry is </w:t>
      </w:r>
      <w:r w:rsidR="00443BD2">
        <w:t>largely made up</w:t>
      </w:r>
      <w:r w:rsidR="00FF27A0">
        <w:t xml:space="preserve"> of </w:t>
      </w:r>
      <w:r>
        <w:t>small and medium-sized enterprises (SMEs)</w:t>
      </w:r>
      <w:r w:rsidR="00FF27A0">
        <w:t>, industry revenues are concentrated at the top end with few big players.</w:t>
      </w:r>
      <w:r w:rsidR="008E54C5">
        <w:t xml:space="preserve"> The underlying characteristics of this high-tech industry including high costs, low volumes limits the number of businesses who can enter and survive the industry.</w:t>
      </w:r>
      <w:r w:rsidR="00BA1518">
        <w:t xml:space="preserve"> However, m</w:t>
      </w:r>
      <w:r w:rsidR="008E54C5">
        <w:t>arket share growth of the big players means</w:t>
      </w:r>
      <w:r w:rsidR="00BA1518">
        <w:t xml:space="preserve"> an</w:t>
      </w:r>
      <w:r w:rsidR="008E54C5">
        <w:t xml:space="preserve"> increasing amount of work is outsourced to the smaller players</w:t>
      </w:r>
      <w:r w:rsidR="00BA1518">
        <w:t xml:space="preserve">, resulting in the subcontractors </w:t>
      </w:r>
      <w:r w:rsidR="008E54C5">
        <w:t>specialis</w:t>
      </w:r>
      <w:r w:rsidR="00BA1518">
        <w:t xml:space="preserve">ing, while the big players focus on top-end product integration.  </w:t>
      </w:r>
    </w:p>
    <w:p w14:paraId="62534C10" w14:textId="3F49D800" w:rsidR="004E6662" w:rsidRPr="004E6662" w:rsidRDefault="004E6662" w:rsidP="00AF04CA">
      <w:pPr>
        <w:pStyle w:val="Heading4"/>
      </w:pPr>
      <w:r w:rsidRPr="004E6662">
        <w:t xml:space="preserve">Business capability </w:t>
      </w:r>
      <w:r>
        <w:t>–</w:t>
      </w:r>
      <w:r w:rsidRPr="004E6662">
        <w:t xml:space="preserve"> products</w:t>
      </w:r>
      <w:r>
        <w:t xml:space="preserve"> and services</w:t>
      </w:r>
    </w:p>
    <w:p w14:paraId="174C8190" w14:textId="4B770350" w:rsidR="00890B5D" w:rsidRDefault="001D0CBC" w:rsidP="00B559B0">
      <w:pPr>
        <w:pStyle w:val="BodyText1"/>
      </w:pPr>
      <w:r w:rsidRPr="007970AD">
        <w:t xml:space="preserve">Australia’s </w:t>
      </w:r>
      <w:r w:rsidR="00555E98">
        <w:t>Aircraft Manufacturing and Repair Services</w:t>
      </w:r>
      <w:r>
        <w:t xml:space="preserve"> </w:t>
      </w:r>
      <w:r w:rsidRPr="007970AD">
        <w:t xml:space="preserve">industry </w:t>
      </w:r>
      <w:r>
        <w:t>supplies a</w:t>
      </w:r>
      <w:r w:rsidRPr="007970AD">
        <w:t xml:space="preserve"> range </w:t>
      </w:r>
      <w:r>
        <w:t>of products and services</w:t>
      </w:r>
      <w:r w:rsidRPr="007970AD">
        <w:t xml:space="preserve"> </w:t>
      </w:r>
      <w:r>
        <w:t xml:space="preserve">to </w:t>
      </w:r>
      <w:r w:rsidRPr="007970AD">
        <w:t xml:space="preserve">multiple </w:t>
      </w:r>
      <w:r w:rsidR="00AA24B4">
        <w:t>entities</w:t>
      </w:r>
      <w:r>
        <w:t xml:space="preserve"> in </w:t>
      </w:r>
      <w:r w:rsidRPr="005946E0">
        <w:t xml:space="preserve">the economy. </w:t>
      </w:r>
      <w:r w:rsidR="00BF4983">
        <w:t xml:space="preserve">The products supplied </w:t>
      </w:r>
      <w:r>
        <w:t xml:space="preserve">include airframes, </w:t>
      </w:r>
      <w:r w:rsidR="00BF4983">
        <w:t>aircraft parts and components</w:t>
      </w:r>
      <w:r>
        <w:t>,</w:t>
      </w:r>
      <w:r w:rsidR="00BF4983">
        <w:t xml:space="preserve"> </w:t>
      </w:r>
      <w:r w:rsidR="0083500E">
        <w:t xml:space="preserve">and </w:t>
      </w:r>
      <w:r w:rsidR="00BF4983">
        <w:t>advanced composite materials</w:t>
      </w:r>
      <w:r w:rsidR="00CC281F">
        <w:t>.</w:t>
      </w:r>
      <w:r w:rsidR="00BF4983">
        <w:t xml:space="preserve"> </w:t>
      </w:r>
      <w:r w:rsidR="00B33EB5">
        <w:t xml:space="preserve">Industry stakeholders credit </w:t>
      </w:r>
      <w:r w:rsidR="00B559B0">
        <w:t xml:space="preserve">research and innovative business practices </w:t>
      </w:r>
      <w:r w:rsidR="00B559B0">
        <w:rPr>
          <w:rFonts w:cstheme="minorHAnsi"/>
          <w:lang w:val="en-US"/>
        </w:rPr>
        <w:t xml:space="preserve">to </w:t>
      </w:r>
      <w:r w:rsidR="00B33EB5">
        <w:rPr>
          <w:rFonts w:cstheme="minorHAnsi"/>
          <w:lang w:val="en-US"/>
        </w:rPr>
        <w:t xml:space="preserve">have </w:t>
      </w:r>
      <w:r w:rsidR="00B33EB5" w:rsidRPr="00717C04">
        <w:rPr>
          <w:rFonts w:cstheme="minorHAnsi"/>
          <w:lang w:val="en-US"/>
        </w:rPr>
        <w:t xml:space="preserve">enabled businesses enter niche markets and secure a share of the global market in new areas within aerospace. This includes development of Australia’s capability in the engine space, light-weight materials, and use of 3D printing of aircraft components. Companies </w:t>
      </w:r>
      <w:r w:rsidR="005E5EB4">
        <w:rPr>
          <w:rFonts w:cstheme="minorHAnsi"/>
          <w:lang w:val="en-US"/>
        </w:rPr>
        <w:lastRenderedPageBreak/>
        <w:t xml:space="preserve">with an </w:t>
      </w:r>
      <w:r w:rsidR="005E5EB4" w:rsidRPr="00717C04">
        <w:rPr>
          <w:rFonts w:cstheme="minorHAnsi"/>
          <w:lang w:val="en-US"/>
        </w:rPr>
        <w:t>international</w:t>
      </w:r>
      <w:r w:rsidR="005E5EB4">
        <w:rPr>
          <w:rFonts w:cstheme="minorHAnsi"/>
          <w:lang w:val="en-US"/>
        </w:rPr>
        <w:t xml:space="preserve"> footprint, </w:t>
      </w:r>
      <w:r w:rsidR="00B33EB5" w:rsidRPr="00717C04">
        <w:rPr>
          <w:rFonts w:cstheme="minorHAnsi"/>
          <w:lang w:val="en-US"/>
        </w:rPr>
        <w:t>like Quickstep</w:t>
      </w:r>
      <w:r w:rsidR="005E5EB4">
        <w:rPr>
          <w:rFonts w:cstheme="minorHAnsi"/>
          <w:lang w:val="en-US"/>
        </w:rPr>
        <w:t xml:space="preserve"> and</w:t>
      </w:r>
      <w:r w:rsidR="00B33EB5" w:rsidRPr="00717C04">
        <w:rPr>
          <w:rFonts w:cstheme="minorHAnsi"/>
          <w:lang w:val="en-US"/>
        </w:rPr>
        <w:t xml:space="preserve"> Cablex</w:t>
      </w:r>
      <w:r w:rsidR="005E5EB4">
        <w:rPr>
          <w:rFonts w:cstheme="minorHAnsi"/>
          <w:lang w:val="en-US"/>
        </w:rPr>
        <w:t>,</w:t>
      </w:r>
      <w:r w:rsidR="00B33EB5" w:rsidRPr="00717C04">
        <w:rPr>
          <w:rFonts w:cstheme="minorHAnsi"/>
          <w:lang w:val="en-US"/>
        </w:rPr>
        <w:t xml:space="preserve"> </w:t>
      </w:r>
      <w:r w:rsidR="005E5EB4">
        <w:rPr>
          <w:rFonts w:cstheme="minorHAnsi"/>
          <w:lang w:val="en-US"/>
        </w:rPr>
        <w:t>also demonstrate Australia’s appeal and competitiveness in the aerospace sector</w:t>
      </w:r>
      <w:r w:rsidR="00B33EB5" w:rsidRPr="00717C04">
        <w:rPr>
          <w:rFonts w:cstheme="minorHAnsi"/>
          <w:lang w:val="en-US"/>
        </w:rPr>
        <w:t>.</w:t>
      </w:r>
    </w:p>
    <w:p w14:paraId="1C274957" w14:textId="1CF8FE9D" w:rsidR="00B559B0" w:rsidRDefault="00B559B0" w:rsidP="00B559B0">
      <w:pPr>
        <w:pStyle w:val="BodyText1"/>
      </w:pPr>
      <w:r>
        <w:t xml:space="preserve">Australia’s </w:t>
      </w:r>
      <w:r w:rsidRPr="00B00058">
        <w:t>maintenance, repair and overhaul (MRO) sector comprises of original equipment manufacturers (OEMs), independent service providers, and commercial airlines with in-house MRO capabilities</w:t>
      </w:r>
      <w:r w:rsidRPr="004526E3">
        <w:t>.</w:t>
      </w:r>
      <w:r w:rsidRPr="004526E3" w:rsidDel="00BF4983">
        <w:t xml:space="preserve"> </w:t>
      </w:r>
      <w:r w:rsidRPr="004526E3">
        <w:t xml:space="preserve">Services offered include line and heavy maintenance, repair, overhaul and modification of aircraft, aircraft engines and </w:t>
      </w:r>
      <w:r w:rsidRPr="00B00058">
        <w:t>components</w:t>
      </w:r>
      <w:r w:rsidRPr="004526E3">
        <w:t>, airframes</w:t>
      </w:r>
      <w:r w:rsidRPr="00B00058">
        <w:t xml:space="preserve">, </w:t>
      </w:r>
      <w:r w:rsidRPr="004526E3">
        <w:t>aircraft systems</w:t>
      </w:r>
      <w:r w:rsidRPr="00B00058">
        <w:t xml:space="preserve">, </w:t>
      </w:r>
      <w:r w:rsidRPr="004526E3">
        <w:t>avionics and instruments.</w:t>
      </w:r>
    </w:p>
    <w:p w14:paraId="7B466A6B" w14:textId="2C36F307" w:rsidR="008B7B9C" w:rsidRDefault="00B33EB5" w:rsidP="0011331B">
      <w:r>
        <w:t xml:space="preserve">The </w:t>
      </w:r>
      <w:r w:rsidRPr="00442C03">
        <w:t xml:space="preserve">diversity </w:t>
      </w:r>
      <w:r>
        <w:t xml:space="preserve">of work </w:t>
      </w:r>
      <w:r w:rsidRPr="00442C03">
        <w:t>within the industry</w:t>
      </w:r>
      <w:r>
        <w:t xml:space="preserve"> is seen as</w:t>
      </w:r>
      <w:r w:rsidR="00B559B0">
        <w:t xml:space="preserve"> a</w:t>
      </w:r>
      <w:r>
        <w:t xml:space="preserve"> favourable trait. The industry has a larger share of defence work than ever before, owing in part to the large Australian </w:t>
      </w:r>
      <w:r w:rsidR="002F14A5">
        <w:t>D</w:t>
      </w:r>
      <w:r>
        <w:t xml:space="preserve">efence budget and </w:t>
      </w:r>
      <w:r w:rsidR="00E77182">
        <w:t>government initiatives towards bec</w:t>
      </w:r>
      <w:r w:rsidR="00355E44">
        <w:t>oming a top ten</w:t>
      </w:r>
      <w:r w:rsidR="00E77182">
        <w:t xml:space="preserve"> defence exporter. </w:t>
      </w:r>
      <w:r w:rsidR="00355E44">
        <w:t xml:space="preserve">As an example, </w:t>
      </w:r>
      <w:r w:rsidR="00E77182">
        <w:t>federal government’s Defence Export Strategy</w:t>
      </w:r>
      <w:r w:rsidR="008B7B9C">
        <w:t xml:space="preserve"> (</w:t>
      </w:r>
      <w:r w:rsidR="00E77182">
        <w:t>released in 2018</w:t>
      </w:r>
      <w:r w:rsidR="008B7B9C">
        <w:t>)</w:t>
      </w:r>
      <w:r w:rsidR="00E77182">
        <w:t xml:space="preserve"> </w:t>
      </w:r>
      <w:r w:rsidR="00C27FAF">
        <w:t>has earmarked</w:t>
      </w:r>
      <w:r w:rsidR="00E77182">
        <w:t xml:space="preserve"> $20 million in additional annual funding </w:t>
      </w:r>
      <w:r w:rsidR="00C27FAF">
        <w:t xml:space="preserve">from 2018-19 to support defence exports. </w:t>
      </w:r>
      <w:r>
        <w:t>In general, diversification across both the defence and civil space, and across manufacturing and MRO, has meant that work across the</w:t>
      </w:r>
      <w:r w:rsidR="00C27FAF">
        <w:t xml:space="preserve"> industry </w:t>
      </w:r>
      <w:r>
        <w:t xml:space="preserve">tends to be less “lumpy” and that there are more opportunities. </w:t>
      </w:r>
    </w:p>
    <w:p w14:paraId="48188083" w14:textId="1F077A77" w:rsidR="0011331B" w:rsidRPr="00442C03" w:rsidRDefault="00B33EB5" w:rsidP="0011331B">
      <w:r>
        <w:t xml:space="preserve">Civil aircraft manufacturing and repair is also seen as a large opportunity for Australia, as this sector is a significant and growing part of the world aerospace market. </w:t>
      </w:r>
      <w:r w:rsidR="0011331B">
        <w:t xml:space="preserve">The Australian Government’s Industry Growth Centre Initiative identifies Advanced Manufacturing as one of the six priority sectors in Australia. Each sector is supported by government funding through industry led Growth Centres to drive innovation and competitiveness. The Advanced Manufacturing Growth Centre (AMGC) was established in 2015 to engage with manufacturers, research institutions and export hubs to translate its research on Australian Manufacturing potential into opportunities for the industry. AMGC counts roughly </w:t>
      </w:r>
      <w:r w:rsidR="0011331B" w:rsidRPr="00E06F86">
        <w:t>400 companies</w:t>
      </w:r>
      <w:r w:rsidR="0011331B">
        <w:t xml:space="preserve"> in its member base</w:t>
      </w:r>
      <w:r w:rsidR="0011331B" w:rsidRPr="00E06F86">
        <w:t xml:space="preserve">, </w:t>
      </w:r>
      <w:r w:rsidR="008B7B9C">
        <w:t xml:space="preserve">the </w:t>
      </w:r>
      <w:r w:rsidR="0011331B" w:rsidRPr="00E06F86">
        <w:t xml:space="preserve">majority </w:t>
      </w:r>
      <w:r w:rsidR="0011331B">
        <w:t xml:space="preserve">of which are in NSW, </w:t>
      </w:r>
      <w:r w:rsidR="0011331B" w:rsidRPr="00E06F86">
        <w:t>which has the largest manufacturing activity across all states</w:t>
      </w:r>
      <w:r w:rsidR="0011331B">
        <w:t xml:space="preserve">. </w:t>
      </w:r>
    </w:p>
    <w:p w14:paraId="1C233161" w14:textId="0200DA46" w:rsidR="00227585" w:rsidRDefault="00355E44" w:rsidP="00473B24">
      <w:r>
        <w:t xml:space="preserve">The current global automation trend </w:t>
      </w:r>
      <w:r w:rsidR="008B7B9C">
        <w:t xml:space="preserve">(the </w:t>
      </w:r>
      <w:r w:rsidR="0019728D" w:rsidRPr="0019728D">
        <w:t>Fourth Industr</w:t>
      </w:r>
      <w:r>
        <w:t>ial Revolution, or Industry 4.0</w:t>
      </w:r>
      <w:r w:rsidR="008B7B9C">
        <w:t>)</w:t>
      </w:r>
      <w:r>
        <w:t xml:space="preserve"> </w:t>
      </w:r>
      <w:r w:rsidR="008B7B9C">
        <w:t>–</w:t>
      </w:r>
      <w:r w:rsidR="0019728D" w:rsidRPr="0019728D">
        <w:t xml:space="preserve"> </w:t>
      </w:r>
      <w:r w:rsidR="0019728D">
        <w:t xml:space="preserve">driven by technological </w:t>
      </w:r>
      <w:r w:rsidR="0019728D" w:rsidRPr="0019728D">
        <w:t xml:space="preserve">developments </w:t>
      </w:r>
      <w:r w:rsidR="0019728D">
        <w:t xml:space="preserve">in </w:t>
      </w:r>
      <w:r w:rsidR="002704AE">
        <w:t>machine learning</w:t>
      </w:r>
      <w:r w:rsidR="0019728D" w:rsidRPr="0019728D">
        <w:t xml:space="preserve">, </w:t>
      </w:r>
      <w:r w:rsidR="008B7B9C">
        <w:t xml:space="preserve">the </w:t>
      </w:r>
      <w:r w:rsidR="0019728D" w:rsidRPr="0019728D">
        <w:t>Internet of Things</w:t>
      </w:r>
      <w:r w:rsidR="002704AE">
        <w:t xml:space="preserve"> (IoT), additive manufacturing</w:t>
      </w:r>
      <w:r w:rsidR="0019728D">
        <w:t xml:space="preserve"> and robotics</w:t>
      </w:r>
      <w:r w:rsidR="008B7B9C">
        <w:t xml:space="preserve"> –</w:t>
      </w:r>
      <w:r w:rsidR="0019728D" w:rsidRPr="0019728D">
        <w:t xml:space="preserve"> </w:t>
      </w:r>
      <w:r w:rsidR="007161D0">
        <w:t xml:space="preserve">is set to digitally </w:t>
      </w:r>
      <w:r w:rsidR="0019728D" w:rsidRPr="0019728D">
        <w:t xml:space="preserve">disrupt and revolutionise </w:t>
      </w:r>
      <w:r w:rsidR="007161D0">
        <w:t>the aerospace industry, altering efficiency parameters.</w:t>
      </w:r>
      <w:r w:rsidR="002704AE">
        <w:t xml:space="preserve"> </w:t>
      </w:r>
      <w:r w:rsidR="00A44C35">
        <w:t xml:space="preserve">As our global counterparts embrace this </w:t>
      </w:r>
      <w:r w:rsidR="008B7B9C">
        <w:t>technological</w:t>
      </w:r>
      <w:r w:rsidR="00A44C35">
        <w:t xml:space="preserve"> wave, </w:t>
      </w:r>
      <w:r>
        <w:t xml:space="preserve">it is imperative for </w:t>
      </w:r>
      <w:r w:rsidR="00A44C35">
        <w:t xml:space="preserve">Australia to rapidly adapt </w:t>
      </w:r>
      <w:r>
        <w:t xml:space="preserve">in order </w:t>
      </w:r>
      <w:r w:rsidR="0011331B">
        <w:t xml:space="preserve">to secure a </w:t>
      </w:r>
      <w:r w:rsidR="00A44C35">
        <w:t xml:space="preserve">competitive future. </w:t>
      </w:r>
      <w:r w:rsidR="00763F91">
        <w:t>Some noteworthy initiatives in Australia include AMGC’s Industry 4.0 audit</w:t>
      </w:r>
      <w:r w:rsidR="008B7B9C">
        <w:t xml:space="preserve"> (</w:t>
      </w:r>
      <w:r w:rsidR="00763F91">
        <w:t>to develop an audit tool in partnership with Robert Bosch Australia</w:t>
      </w:r>
      <w:r w:rsidR="008B7B9C">
        <w:t>)</w:t>
      </w:r>
      <w:r w:rsidR="00763F91">
        <w:t xml:space="preserve">, which will identify </w:t>
      </w:r>
      <w:r w:rsidR="008B7B9C">
        <w:t xml:space="preserve">the </w:t>
      </w:r>
      <w:r w:rsidR="00763F91">
        <w:t xml:space="preserve">gaps in business processes of a few SMEs and recommend practical technological transitions spanning Industry 4.0 themes. </w:t>
      </w:r>
      <w:r w:rsidR="00227585">
        <w:t xml:space="preserve">In addition, </w:t>
      </w:r>
      <w:r w:rsidR="008F2BD9" w:rsidRPr="008F2BD9">
        <w:t xml:space="preserve">BAE Systems Australia and the </w:t>
      </w:r>
      <w:r w:rsidR="008F2BD9">
        <w:t xml:space="preserve">AMGC </w:t>
      </w:r>
      <w:r w:rsidR="008F2BD9" w:rsidRPr="008F2BD9">
        <w:t>are working to</w:t>
      </w:r>
      <w:r w:rsidR="00C333B6">
        <w:t>gether</w:t>
      </w:r>
      <w:r w:rsidR="009C1001">
        <w:t xml:space="preserve"> to test </w:t>
      </w:r>
      <w:r w:rsidR="008F2BD9" w:rsidRPr="008F2BD9">
        <w:t xml:space="preserve">supply chain digitisation </w:t>
      </w:r>
      <w:r w:rsidR="009C1001">
        <w:t xml:space="preserve">in </w:t>
      </w:r>
      <w:r w:rsidR="008F2BD9">
        <w:t xml:space="preserve">the </w:t>
      </w:r>
      <w:r w:rsidR="008F2BD9" w:rsidRPr="008F2BD9">
        <w:t>Joint Strike Fighter program</w:t>
      </w:r>
      <w:r w:rsidR="009C1001">
        <w:t>, to improve risk management and optimise production in response to issues identified in real time.</w:t>
      </w:r>
      <w:r w:rsidR="00216C39">
        <w:t xml:space="preserve"> The recent establishment of an Industry 4.0 Testlab at the University of South Australia is set to make smart technologies</w:t>
      </w:r>
      <w:r w:rsidR="00216C39" w:rsidRPr="00216C39">
        <w:t xml:space="preserve"> promised by Industry 4.0 </w:t>
      </w:r>
      <w:r w:rsidR="008B7B9C">
        <w:t>accessible</w:t>
      </w:r>
      <w:r w:rsidR="00216C39">
        <w:t xml:space="preserve"> to high-tech SMEs and </w:t>
      </w:r>
      <w:r w:rsidR="008B7B9C">
        <w:t>start-ups</w:t>
      </w:r>
      <w:r w:rsidR="00216C39">
        <w:t>.</w:t>
      </w:r>
    </w:p>
    <w:p w14:paraId="5D242FAC" w14:textId="3F501423" w:rsidR="0019728D" w:rsidRDefault="00227585" w:rsidP="00473B24">
      <w:r>
        <w:t xml:space="preserve">Developments in each driver of Industry 4.0 is reshaping and transforming industries, </w:t>
      </w:r>
      <w:r w:rsidR="008B7B9C">
        <w:t xml:space="preserve">supporting </w:t>
      </w:r>
      <w:r w:rsidR="00003B8E">
        <w:t xml:space="preserve">the </w:t>
      </w:r>
      <w:r w:rsidR="008B7B9C">
        <w:rPr>
          <w:rFonts w:cstheme="minorHAnsi"/>
          <w:lang w:val="en-US"/>
        </w:rPr>
        <w:t xml:space="preserve">clear </w:t>
      </w:r>
      <w:r>
        <w:rPr>
          <w:rFonts w:cstheme="minorHAnsi"/>
          <w:lang w:val="en-US"/>
        </w:rPr>
        <w:t xml:space="preserve">opinion </w:t>
      </w:r>
      <w:r w:rsidR="00003B8E">
        <w:rPr>
          <w:rFonts w:cstheme="minorHAnsi"/>
          <w:lang w:val="en-US"/>
        </w:rPr>
        <w:t xml:space="preserve">of industry representatives </w:t>
      </w:r>
      <w:r>
        <w:rPr>
          <w:rFonts w:cstheme="minorHAnsi"/>
          <w:lang w:val="en-US"/>
        </w:rPr>
        <w:t>on the n</w:t>
      </w:r>
      <w:r w:rsidRPr="009E4021">
        <w:rPr>
          <w:rFonts w:cstheme="minorHAnsi"/>
          <w:lang w:val="en-US"/>
        </w:rPr>
        <w:t>eed to</w:t>
      </w:r>
      <w:r>
        <w:rPr>
          <w:rFonts w:cstheme="minorHAnsi"/>
          <w:lang w:val="en-US"/>
        </w:rPr>
        <w:t xml:space="preserve"> focus on smarter manufacturing </w:t>
      </w:r>
      <w:r>
        <w:t xml:space="preserve">and </w:t>
      </w:r>
      <w:r w:rsidRPr="00933D93">
        <w:t>keeping up with advancements in t</w:t>
      </w:r>
      <w:r w:rsidRPr="00081C34">
        <w:t>echnolog</w:t>
      </w:r>
      <w:r w:rsidRPr="00933D93">
        <w:t>y</w:t>
      </w:r>
      <w:r>
        <w:t xml:space="preserve">. </w:t>
      </w:r>
      <w:r w:rsidR="00A44C35">
        <w:t xml:space="preserve">While headed </w:t>
      </w:r>
      <w:r w:rsidR="006D4F0E">
        <w:t xml:space="preserve">in the right direction, Australia has a long way to go before it can harness the benefits of Industry 4.0.  </w:t>
      </w:r>
    </w:p>
    <w:p w14:paraId="5A00E839" w14:textId="7F4494E7" w:rsidR="00DB36AA" w:rsidRDefault="00393646" w:rsidP="00473B24">
      <w:r>
        <w:t xml:space="preserve">One of the Industry 4.0 drivers, </w:t>
      </w:r>
      <w:r w:rsidRPr="00E577CA">
        <w:rPr>
          <w:b/>
        </w:rPr>
        <w:t>a</w:t>
      </w:r>
      <w:r w:rsidR="00DB36AA" w:rsidRPr="00E577CA">
        <w:rPr>
          <w:b/>
        </w:rPr>
        <w:t>dditive manufacturing</w:t>
      </w:r>
      <w:r>
        <w:t xml:space="preserve"> (</w:t>
      </w:r>
      <w:r w:rsidR="00DB36AA" w:rsidRPr="009D4DE2">
        <w:t>which involves addition of materials</w:t>
      </w:r>
      <w:r w:rsidR="00DB36AA">
        <w:t>,</w:t>
      </w:r>
      <w:r w:rsidR="00DB36AA" w:rsidRPr="009D4DE2">
        <w:t xml:space="preserve"> layer by layer</w:t>
      </w:r>
      <w:r w:rsidR="00DB36AA">
        <w:t>,</w:t>
      </w:r>
      <w:r w:rsidR="00DB36AA" w:rsidRPr="009D4DE2">
        <w:t xml:space="preserve"> to make the end product</w:t>
      </w:r>
      <w:r>
        <w:t>)</w:t>
      </w:r>
      <w:r w:rsidR="00DB36AA">
        <w:t xml:space="preserve">, is slated to alter the design, manufacture and repair of aircrafts in the future. </w:t>
      </w:r>
      <w:proofErr w:type="gramStart"/>
      <w:r w:rsidR="005220FC">
        <w:t>Its</w:t>
      </w:r>
      <w:proofErr w:type="gramEnd"/>
      <w:r w:rsidR="005220FC">
        <w:t xml:space="preserve"> potential to reduce lead times, </w:t>
      </w:r>
      <w:r w:rsidR="00676ABA">
        <w:t xml:space="preserve">produce lightweight components at lower costs and improve </w:t>
      </w:r>
      <w:r w:rsidR="005220FC">
        <w:t>spare parts supply chains</w:t>
      </w:r>
      <w:r w:rsidR="00676ABA">
        <w:t xml:space="preserve"> calls for widespread adoption across </w:t>
      </w:r>
      <w:r w:rsidR="005220FC">
        <w:t>commercial</w:t>
      </w:r>
      <w:r w:rsidR="00676ABA">
        <w:t xml:space="preserve"> and </w:t>
      </w:r>
      <w:r w:rsidR="005220FC">
        <w:t xml:space="preserve">military </w:t>
      </w:r>
      <w:r w:rsidR="00676ABA">
        <w:t>aerospace sectors. In Australia, t</w:t>
      </w:r>
      <w:r w:rsidR="00DB36AA" w:rsidRPr="009D4DE2">
        <w:t>h</w:t>
      </w:r>
      <w:r w:rsidR="00986017">
        <w:t xml:space="preserve">e work done by organisations such as Monash University’s Centre for Additive Manufacture, RMIT’s Centre for Additive Manufacturing and the Additive Manufacturing Hub in Victoria has exposed the domestic industry to applications </w:t>
      </w:r>
      <w:r w:rsidR="00DB36AA">
        <w:t>in the</w:t>
      </w:r>
      <w:r w:rsidR="00DB36AA" w:rsidRPr="009D4DE2">
        <w:t xml:space="preserve"> manufacture </w:t>
      </w:r>
      <w:r w:rsidR="00DB36AA">
        <w:t xml:space="preserve">of </w:t>
      </w:r>
      <w:r w:rsidR="00DB36AA" w:rsidRPr="009D4DE2">
        <w:t xml:space="preserve">specialised components and parts on demand, tailored to specific requirements and in small batches. A recent example is RUAG Australia’s two year collaboration with researchers from </w:t>
      </w:r>
      <w:r w:rsidR="00DB36AA">
        <w:t xml:space="preserve">the </w:t>
      </w:r>
      <w:r w:rsidR="00DB36AA" w:rsidRPr="00206F29">
        <w:rPr>
          <w:bCs/>
        </w:rPr>
        <w:t xml:space="preserve">Innovative Manufacturing Cooperative Research Centre </w:t>
      </w:r>
      <w:r w:rsidR="00DB36AA">
        <w:rPr>
          <w:bCs/>
        </w:rPr>
        <w:t>(</w:t>
      </w:r>
      <w:r w:rsidR="00DB36AA" w:rsidRPr="009D4DE2">
        <w:t>IMCRC</w:t>
      </w:r>
      <w:r w:rsidR="00DB36AA">
        <w:t>)</w:t>
      </w:r>
      <w:r w:rsidR="00DB36AA" w:rsidRPr="009D4DE2">
        <w:t xml:space="preserve"> and RMIT </w:t>
      </w:r>
      <w:r w:rsidR="00DF7D23">
        <w:t>University</w:t>
      </w:r>
      <w:r w:rsidR="00DB36AA">
        <w:t xml:space="preserve"> </w:t>
      </w:r>
      <w:r w:rsidR="00DB36AA" w:rsidRPr="009D4DE2">
        <w:t xml:space="preserve">to investigate the potential use of </w:t>
      </w:r>
      <w:r w:rsidR="00CA4495">
        <w:t xml:space="preserve">‘laser metal deposition’ technology </w:t>
      </w:r>
      <w:r w:rsidR="00DB36AA" w:rsidRPr="00201B81">
        <w:t xml:space="preserve">to </w:t>
      </w:r>
      <w:r w:rsidR="00CA4495">
        <w:t xml:space="preserve">significantly </w:t>
      </w:r>
      <w:r w:rsidR="00DB36AA" w:rsidRPr="00201B81">
        <w:t xml:space="preserve">reduce </w:t>
      </w:r>
      <w:r w:rsidR="00CA4495">
        <w:t xml:space="preserve">build and </w:t>
      </w:r>
      <w:r w:rsidR="00DB36AA" w:rsidRPr="00201B81">
        <w:t>repair costs</w:t>
      </w:r>
      <w:r w:rsidR="00CA4495">
        <w:t xml:space="preserve"> for military aircraft parts</w:t>
      </w:r>
      <w:r w:rsidR="00DB36AA">
        <w:t>.</w:t>
      </w:r>
    </w:p>
    <w:p w14:paraId="03E374EB" w14:textId="77777777" w:rsidR="00890B5D" w:rsidRDefault="00890B5D" w:rsidP="00473B24">
      <w:r>
        <w:br w:type="page"/>
      </w:r>
    </w:p>
    <w:p w14:paraId="489EA57C" w14:textId="4BE0A33F" w:rsidR="00611315" w:rsidRDefault="00393646" w:rsidP="00473B24">
      <w:r>
        <w:lastRenderedPageBreak/>
        <w:t xml:space="preserve">Another Industry 4.0 driver, </w:t>
      </w:r>
      <w:r w:rsidRPr="00E577CA">
        <w:rPr>
          <w:b/>
        </w:rPr>
        <w:t>d</w:t>
      </w:r>
      <w:r w:rsidR="00611315" w:rsidRPr="00E577CA">
        <w:rPr>
          <w:b/>
        </w:rPr>
        <w:t>evelopments in machine learning</w:t>
      </w:r>
      <w:r>
        <w:t>,</w:t>
      </w:r>
      <w:r w:rsidR="00611315">
        <w:t xml:space="preserve"> is propelling the aerospace industry towards a future of automation, </w:t>
      </w:r>
      <w:r w:rsidR="00611315" w:rsidRPr="00611315">
        <w:t xml:space="preserve">as machines </w:t>
      </w:r>
      <w:r w:rsidR="00611315">
        <w:t xml:space="preserve">are being designed to </w:t>
      </w:r>
      <w:r w:rsidR="00611315" w:rsidRPr="00611315">
        <w:t>make decisions and perform complex tasks with minimal input from human controllers</w:t>
      </w:r>
      <w:r w:rsidR="00611315">
        <w:t>.</w:t>
      </w:r>
      <w:r w:rsidR="00F54C5D">
        <w:t xml:space="preserve"> </w:t>
      </w:r>
      <w:r w:rsidR="00F54C5D" w:rsidRPr="00F54C5D">
        <w:t>Lockheed Martin Australia</w:t>
      </w:r>
      <w:r w:rsidR="0055149E">
        <w:t xml:space="preserve">’s three year partnership </w:t>
      </w:r>
      <w:r w:rsidR="00F54C5D" w:rsidRPr="00F54C5D">
        <w:t>with the University of Adelaide</w:t>
      </w:r>
      <w:r w:rsidR="0055149E">
        <w:t>’s Australian Institute for Machine Learning</w:t>
      </w:r>
      <w:r w:rsidR="00262E02">
        <w:t xml:space="preserve"> (AIML)</w:t>
      </w:r>
      <w:r w:rsidR="0055149E">
        <w:t xml:space="preserve"> will bring together </w:t>
      </w:r>
      <w:r w:rsidR="00EA542E">
        <w:t>re</w:t>
      </w:r>
      <w:r w:rsidR="0055149E">
        <w:t>searchers to</w:t>
      </w:r>
      <w:r w:rsidR="00EA542E">
        <w:t xml:space="preserve"> develop machine learning </w:t>
      </w:r>
      <w:r>
        <w:t>capabilities</w:t>
      </w:r>
      <w:r w:rsidR="00EA542E">
        <w:t xml:space="preserve"> in areas like </w:t>
      </w:r>
      <w:r w:rsidR="00F54C5D" w:rsidRPr="00F54C5D">
        <w:t>automated information processing and decision support.</w:t>
      </w:r>
      <w:r w:rsidR="00611315">
        <w:t xml:space="preserve"> </w:t>
      </w:r>
      <w:r w:rsidR="00262E02">
        <w:t xml:space="preserve">AIML </w:t>
      </w:r>
      <w:r w:rsidR="008B3FEC">
        <w:t xml:space="preserve">is </w:t>
      </w:r>
      <w:r w:rsidR="00262E02">
        <w:t>also engag</w:t>
      </w:r>
      <w:r w:rsidR="008B3FEC">
        <w:t xml:space="preserve">ing </w:t>
      </w:r>
      <w:r w:rsidR="00262E02">
        <w:t xml:space="preserve">with </w:t>
      </w:r>
      <w:r w:rsidR="008B3FEC">
        <w:t xml:space="preserve">and financially supporting </w:t>
      </w:r>
      <w:r w:rsidR="00262E02">
        <w:t xml:space="preserve">South Australian SMEs in adoption of machine learning and artificial intelligence based processes to improve productivity. </w:t>
      </w:r>
      <w:r>
        <w:t xml:space="preserve">Despite some exceptions, such as </w:t>
      </w:r>
      <w:r w:rsidR="00F54C5D">
        <w:t>Australian start-up Seeing Machines (refer to the case study), Australia</w:t>
      </w:r>
      <w:r w:rsidR="00794717">
        <w:t>n businesses</w:t>
      </w:r>
      <w:r w:rsidR="00F54C5D">
        <w:t xml:space="preserve"> </w:t>
      </w:r>
      <w:r>
        <w:t xml:space="preserve">in general </w:t>
      </w:r>
      <w:r w:rsidR="008B3FEC">
        <w:t xml:space="preserve">have </w:t>
      </w:r>
      <w:r w:rsidR="00EA542E">
        <w:t xml:space="preserve">maintained low investments in artificial intelligence based automation, necessitating the need for </w:t>
      </w:r>
      <w:r w:rsidR="00794717">
        <w:t xml:space="preserve">an accelerated uptake to realize the associated benefits. </w:t>
      </w:r>
    </w:p>
    <w:p w14:paraId="754254AE" w14:textId="77777777" w:rsidR="00123487" w:rsidRDefault="00123487" w:rsidP="00123487">
      <w:pPr>
        <w:spacing w:after="0"/>
      </w:pPr>
      <w:r w:rsidRPr="00453B15">
        <w:rPr>
          <w:b/>
        </w:rPr>
        <w:t>Internet of Things (IoT)</w:t>
      </w:r>
      <w:r>
        <w:t xml:space="preserve">, referring to </w:t>
      </w:r>
      <w:r w:rsidRPr="00D3522D">
        <w:t xml:space="preserve">the seamless coordination of </w:t>
      </w:r>
      <w:r>
        <w:t xml:space="preserve">large volumes of data </w:t>
      </w:r>
      <w:r w:rsidRPr="00D3522D">
        <w:t>from people, products and machines</w:t>
      </w:r>
      <w:r>
        <w:t xml:space="preserve">, is touted to transform the aerospace industry by bringing efficiencies across manufacturing, maintenance and operations. A particular application lies in predictive maintenance, which can </w:t>
      </w:r>
      <w:r w:rsidRPr="00B71BD1">
        <w:t>improve the responsiveness of aerospace businesses by flagging equipment issues before maintenance is scheduled or required</w:t>
      </w:r>
      <w:r>
        <w:t xml:space="preserve">. Boeing Australia’s recently developed data analytics system is set to provide </w:t>
      </w:r>
      <w:r w:rsidRPr="00B71BD1">
        <w:t xml:space="preserve">predictive maintenance </w:t>
      </w:r>
      <w:r>
        <w:t xml:space="preserve">insights, to be first incorporated in BDA serviced </w:t>
      </w:r>
      <w:r w:rsidRPr="00B71BD1">
        <w:t>CH-47F Chinook fleet</w:t>
      </w:r>
      <w:r>
        <w:t xml:space="preserve">. Australia’s budding UAV sector can also reap potential benefits </w:t>
      </w:r>
      <w:r w:rsidRPr="00320873">
        <w:t>from greater integration of IoT</w:t>
      </w:r>
      <w:r>
        <w:t xml:space="preserve">. For example, </w:t>
      </w:r>
      <w:r w:rsidRPr="005B1C4B">
        <w:t xml:space="preserve">Telstra </w:t>
      </w:r>
      <w:r>
        <w:t xml:space="preserve">is currently exploring the potential use of </w:t>
      </w:r>
      <w:r w:rsidRPr="005B1C4B">
        <w:t xml:space="preserve">its long-range IoT networks </w:t>
      </w:r>
      <w:r>
        <w:t>to monitor vehicles like UAVs in Australia’s low-altitude airspace, enable navigation</w:t>
      </w:r>
      <w:r w:rsidRPr="005B1C4B">
        <w:t xml:space="preserve"> through airspaces with high traffic volumes</w:t>
      </w:r>
      <w:r>
        <w:t>,</w:t>
      </w:r>
      <w:r w:rsidRPr="005B1C4B">
        <w:t xml:space="preserve"> or react to emergencies such as airspace closures in near-real-time</w:t>
      </w:r>
      <w:r>
        <w:t xml:space="preserve">. </w:t>
      </w:r>
    </w:p>
    <w:p w14:paraId="6C2F7FAF" w14:textId="17B4418A" w:rsidR="00123487" w:rsidRDefault="00123487" w:rsidP="00123487">
      <w:r>
        <w:t>Australia’s start-up segment has also been pro-active in integrating IoT technology and space sector systems. For example, Fleet Space Technologies, an IoT nanosatellite technology start-up, was launched in 2015 before Australia’s commercial space sector was established. Fleet’s uses nanosatellites to connect the world’s IoT devices to an industrial internet which can be used for tracking, monitoring or safety purposes at a low cost, across industries like agriculture, mining, oil and gas and maritime. Fleet’s first commercial satellite launch in 2018, also a first for Australia received an overwhelming response for its cost-efficient and low-power industrial IoT solution to connecting devices, and secured funding to launch ten additional satellites by 2020. Another example, Myriota (a spin-out from the University of South Australia), also operates in the area of nanosatellite-enabled global connectivity for the IoT, and is expected to grow to a size of 50 employees by 2020. Myriota recently secured Boeing HorizonX Ventures’ first outside of US funding to develop micro transmitters that could directly connect to satellites in orbit to enable secure information sharing.</w:t>
      </w:r>
    </w:p>
    <w:p w14:paraId="5896ACE7" w14:textId="3F475A74" w:rsidR="00FE5AC8" w:rsidRDefault="001D0CBC">
      <w:pPr>
        <w:pStyle w:val="BodyText1"/>
      </w:pPr>
      <w:r>
        <w:t xml:space="preserve">Overall, </w:t>
      </w:r>
      <w:r w:rsidR="00453B15">
        <w:t xml:space="preserve">Australia’s Aircraft Manufacturing and Repair Services industry </w:t>
      </w:r>
      <w:r w:rsidR="00A92C22">
        <w:t xml:space="preserve">ranks high in technical expertise as well as provision of </w:t>
      </w:r>
      <w:r>
        <w:t>high value</w:t>
      </w:r>
      <w:r w:rsidR="00A92C22">
        <w:t xml:space="preserve">, </w:t>
      </w:r>
      <w:r w:rsidR="00FE5AC8">
        <w:t xml:space="preserve">specialised </w:t>
      </w:r>
      <w:r w:rsidR="00A92C22">
        <w:t xml:space="preserve">goods </w:t>
      </w:r>
      <w:r w:rsidR="00FE5AC8">
        <w:t>and services.</w:t>
      </w:r>
      <w:r w:rsidR="00A92C22">
        <w:t xml:space="preserve"> </w:t>
      </w:r>
      <w:r w:rsidR="00FE5AC8">
        <w:t xml:space="preserve">In particular, </w:t>
      </w:r>
      <w:r w:rsidR="00875BE0">
        <w:t xml:space="preserve">as shown in </w:t>
      </w:r>
      <w:r w:rsidR="00875BE0">
        <w:fldChar w:fldCharType="begin"/>
      </w:r>
      <w:r w:rsidR="00875BE0">
        <w:instrText xml:space="preserve"> REF _Ref479162061 \h </w:instrText>
      </w:r>
      <w:r w:rsidR="00875BE0">
        <w:fldChar w:fldCharType="separate"/>
      </w:r>
      <w:r w:rsidR="00980A78" w:rsidRPr="00D712CB">
        <w:t xml:space="preserve">Figure </w:t>
      </w:r>
      <w:r w:rsidR="00980A78">
        <w:rPr>
          <w:noProof/>
        </w:rPr>
        <w:t>2</w:t>
      </w:r>
      <w:r w:rsidR="00875BE0">
        <w:fldChar w:fldCharType="end"/>
      </w:r>
      <w:r w:rsidR="00875BE0">
        <w:t xml:space="preserve">, </w:t>
      </w:r>
      <w:r w:rsidR="00FE5AC8">
        <w:t xml:space="preserve">the ‘specialisation ratio’ indicates that 83 per cent of </w:t>
      </w:r>
      <w:r w:rsidR="0046190C">
        <w:t xml:space="preserve">this industry’s </w:t>
      </w:r>
      <w:r w:rsidR="00FE5AC8">
        <w:t xml:space="preserve">output </w:t>
      </w:r>
      <w:r w:rsidR="0046190C">
        <w:t>i</w:t>
      </w:r>
      <w:r w:rsidR="00FE5AC8">
        <w:t xml:space="preserve">s </w:t>
      </w:r>
      <w:r w:rsidR="004F2525">
        <w:t xml:space="preserve">made up of </w:t>
      </w:r>
      <w:r w:rsidR="00875BE0">
        <w:t>a</w:t>
      </w:r>
      <w:r w:rsidR="00555E98">
        <w:t xml:space="preserve">ircraft </w:t>
      </w:r>
      <w:r w:rsidR="00875BE0">
        <w:t>m</w:t>
      </w:r>
      <w:r w:rsidR="00555E98">
        <w:t xml:space="preserve">anufacturing </w:t>
      </w:r>
      <w:r w:rsidR="00875BE0">
        <w:t xml:space="preserve">products </w:t>
      </w:r>
      <w:r w:rsidR="00555E98">
        <w:t xml:space="preserve">and </w:t>
      </w:r>
      <w:r w:rsidR="00875BE0">
        <w:t>r</w:t>
      </w:r>
      <w:r w:rsidR="00555E98">
        <w:t xml:space="preserve">epair </w:t>
      </w:r>
      <w:r w:rsidR="00875BE0">
        <w:t>s</w:t>
      </w:r>
      <w:r w:rsidR="00555E98">
        <w:t>ervices</w:t>
      </w:r>
      <w:r w:rsidR="0046190C">
        <w:t xml:space="preserve">. In comparison to other transport industries, </w:t>
      </w:r>
      <w:r w:rsidR="00FE5AC8">
        <w:t xml:space="preserve">the </w:t>
      </w:r>
      <w:r w:rsidR="00555E98">
        <w:t>Aircraft Manufacturing and Repair Services</w:t>
      </w:r>
      <w:r w:rsidR="00FE5AC8">
        <w:t xml:space="preserve"> industry </w:t>
      </w:r>
      <w:r w:rsidR="0046190C">
        <w:t xml:space="preserve">has a similar specialisation index to </w:t>
      </w:r>
      <w:r w:rsidR="00B559B0">
        <w:t>M</w:t>
      </w:r>
      <w:r w:rsidR="0046190C">
        <w:t xml:space="preserve">otor </w:t>
      </w:r>
      <w:r w:rsidR="00B559B0">
        <w:t>V</w:t>
      </w:r>
      <w:r w:rsidR="0046190C">
        <w:t xml:space="preserve">ehicle and </w:t>
      </w:r>
      <w:r w:rsidR="00B559B0">
        <w:t>O</w:t>
      </w:r>
      <w:r w:rsidR="0046190C">
        <w:t xml:space="preserve">ther </w:t>
      </w:r>
      <w:r w:rsidR="00B559B0">
        <w:t>T</w:t>
      </w:r>
      <w:r w:rsidR="0046190C">
        <w:t xml:space="preserve">ransport </w:t>
      </w:r>
      <w:r w:rsidR="00B559B0">
        <w:t>E</w:t>
      </w:r>
      <w:r w:rsidR="0046190C">
        <w:t xml:space="preserve">quipment </w:t>
      </w:r>
      <w:r w:rsidR="00B559B0">
        <w:t>M</w:t>
      </w:r>
      <w:r w:rsidR="0046190C">
        <w:t xml:space="preserve">anufacturing, but is </w:t>
      </w:r>
      <w:r w:rsidR="00FE5AC8">
        <w:t xml:space="preserve">relatively more specialised than </w:t>
      </w:r>
      <w:r w:rsidR="0046190C">
        <w:t xml:space="preserve">the </w:t>
      </w:r>
      <w:r w:rsidR="00B559B0">
        <w:t>S</w:t>
      </w:r>
      <w:r w:rsidR="00FE5AC8">
        <w:t xml:space="preserve">hip and </w:t>
      </w:r>
      <w:r w:rsidR="00B559B0">
        <w:t>B</w:t>
      </w:r>
      <w:r w:rsidR="00FE5AC8">
        <w:t xml:space="preserve">oat </w:t>
      </w:r>
      <w:r w:rsidR="00B559B0">
        <w:t>M</w:t>
      </w:r>
      <w:r w:rsidR="00FE5AC8">
        <w:t xml:space="preserve">anufacturing and </w:t>
      </w:r>
      <w:r w:rsidR="0046190C">
        <w:t xml:space="preserve">the </w:t>
      </w:r>
      <w:r w:rsidR="00B559B0">
        <w:t>R</w:t>
      </w:r>
      <w:r w:rsidR="00FE5AC8">
        <w:t xml:space="preserve">ailway </w:t>
      </w:r>
      <w:r w:rsidR="00B559B0">
        <w:t>R</w:t>
      </w:r>
      <w:r w:rsidR="00FE5AC8">
        <w:t xml:space="preserve">olling </w:t>
      </w:r>
      <w:r w:rsidR="00B559B0">
        <w:t>S</w:t>
      </w:r>
      <w:r w:rsidR="00FE5AC8">
        <w:t xml:space="preserve">tock </w:t>
      </w:r>
      <w:r w:rsidR="00B559B0">
        <w:t>M</w:t>
      </w:r>
      <w:r w:rsidR="00FE5AC8">
        <w:t xml:space="preserve">anufacturing sectors. </w:t>
      </w:r>
    </w:p>
    <w:p w14:paraId="277400A5" w14:textId="66AAA918" w:rsidR="004E6662" w:rsidRDefault="00046396" w:rsidP="000603C0">
      <w:pPr>
        <w:pStyle w:val="BodyText1"/>
      </w:pPr>
      <w:r>
        <w:t xml:space="preserve">Being a specialised industry with </w:t>
      </w:r>
      <w:r w:rsidR="000603C0">
        <w:t xml:space="preserve">high demand for </w:t>
      </w:r>
      <w:r>
        <w:t xml:space="preserve">technical </w:t>
      </w:r>
      <w:r w:rsidR="000603C0">
        <w:t xml:space="preserve">expertise, </w:t>
      </w:r>
      <w:r w:rsidR="00265621">
        <w:t xml:space="preserve">Australian </w:t>
      </w:r>
      <w:r w:rsidR="00022205">
        <w:t xml:space="preserve">businesses in the </w:t>
      </w:r>
      <w:r w:rsidR="00555E98">
        <w:t>Aircraft Manufacturing and Repair Services</w:t>
      </w:r>
      <w:r w:rsidR="00AF1EDC">
        <w:t xml:space="preserve"> </w:t>
      </w:r>
      <w:r w:rsidR="00670F9E">
        <w:t xml:space="preserve">industry </w:t>
      </w:r>
      <w:r w:rsidR="0046190C">
        <w:t xml:space="preserve">also </w:t>
      </w:r>
      <w:r w:rsidR="000603C0">
        <w:t xml:space="preserve">have a high </w:t>
      </w:r>
      <w:r w:rsidR="00FE5AC8">
        <w:t>‘</w:t>
      </w:r>
      <w:r w:rsidR="000603C0">
        <w:t>coverage ratio</w:t>
      </w:r>
      <w:r w:rsidR="00FE5AC8">
        <w:t>’</w:t>
      </w:r>
      <w:r w:rsidR="000603C0">
        <w:t xml:space="preserve">. That is, </w:t>
      </w:r>
      <w:r w:rsidR="0046190C">
        <w:t xml:space="preserve">96 </w:t>
      </w:r>
      <w:r w:rsidR="000603C0">
        <w:t>per cent of aircraft</w:t>
      </w:r>
      <w:r w:rsidR="0046190C">
        <w:t xml:space="preserve">, </w:t>
      </w:r>
      <w:r w:rsidR="000603C0">
        <w:t xml:space="preserve">parts </w:t>
      </w:r>
      <w:r w:rsidR="0046190C">
        <w:t xml:space="preserve">and </w:t>
      </w:r>
      <w:r w:rsidR="000603C0">
        <w:t xml:space="preserve">maintenance services are provided by the </w:t>
      </w:r>
      <w:r w:rsidR="00555E98">
        <w:t>Aircraft Manufacturing and Repair Services</w:t>
      </w:r>
      <w:r w:rsidR="00396EEF">
        <w:t xml:space="preserve"> </w:t>
      </w:r>
      <w:r w:rsidR="000603C0">
        <w:t xml:space="preserve">industry itself (as defined by their primary output), as shown in </w:t>
      </w:r>
      <w:r w:rsidR="000603C0">
        <w:fldChar w:fldCharType="begin"/>
      </w:r>
      <w:r w:rsidR="000603C0">
        <w:instrText xml:space="preserve"> REF _Ref479162061 \h </w:instrText>
      </w:r>
      <w:r w:rsidR="000603C0">
        <w:fldChar w:fldCharType="separate"/>
      </w:r>
      <w:r w:rsidR="00980A78" w:rsidRPr="00D712CB">
        <w:t xml:space="preserve">Figure </w:t>
      </w:r>
      <w:r w:rsidR="00980A78">
        <w:rPr>
          <w:noProof/>
        </w:rPr>
        <w:t>2</w:t>
      </w:r>
      <w:r w:rsidR="000603C0">
        <w:fldChar w:fldCharType="end"/>
      </w:r>
      <w:r w:rsidR="000603C0">
        <w:t xml:space="preserve">. </w:t>
      </w:r>
    </w:p>
    <w:p w14:paraId="29E24F64" w14:textId="4BDBBE00" w:rsidR="00D618AD" w:rsidRPr="00D618AD" w:rsidRDefault="009A695C" w:rsidP="00D618AD">
      <w:pPr>
        <w:jc w:val="center"/>
        <w:rPr>
          <w:lang w:eastAsia="en-AU"/>
        </w:rPr>
      </w:pPr>
      <w:r w:rsidRPr="009A695C">
        <w:rPr>
          <w:noProof/>
          <w:lang w:eastAsia="en-AU"/>
        </w:rPr>
        <w:lastRenderedPageBreak/>
        <w:drawing>
          <wp:inline distT="0" distB="0" distL="0" distR="0" wp14:anchorId="1AD36C0A" wp14:editId="1DD3A2C6">
            <wp:extent cx="5731510" cy="291971"/>
            <wp:effectExtent l="0" t="0" r="0" b="0"/>
            <wp:docPr id="22" name="Picture 22" descr="Figure 2: Specialisation and diversification of selected manufacturing sectors (2015-16)"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291971"/>
                    </a:xfrm>
                    <a:prstGeom prst="rect">
                      <a:avLst/>
                    </a:prstGeom>
                    <a:noFill/>
                    <a:ln>
                      <a:noFill/>
                    </a:ln>
                  </pic:spPr>
                </pic:pic>
              </a:graphicData>
            </a:graphic>
          </wp:inline>
        </w:drawing>
      </w:r>
      <w:r w:rsidR="00260D07">
        <w:rPr>
          <w:noProof/>
          <w:lang w:eastAsia="en-AU"/>
        </w:rPr>
        <w:drawing>
          <wp:inline distT="0" distB="0" distL="0" distR="0" wp14:anchorId="5F3E0AF5" wp14:editId="7657684C">
            <wp:extent cx="4625340" cy="2810510"/>
            <wp:effectExtent l="0" t="0" r="3810" b="8890"/>
            <wp:docPr id="28" name="Chart 28" descr="Figure 2 shows specialisation and coverage ratios across different manufacturing sectors. Aircraft manufacturing had the highest coverage ratio of 96% and specialisation ratio of about 83%. Motor vehicles and parts had the lowest coverage ratio of about 86% and specialisation ratio of around 85%. Ships and boat manufacturing had a coverage ratio of 92% and specialisation ratio of 73%. For railway rolling stock manufacturing, coverage and specialisation ratio were 90% and 77% respectively.   " title="Figure 2: Specialisation and diversification of selected manufacturing sectors"/>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A0C7143" w14:textId="77777777" w:rsidR="009634F4" w:rsidRPr="00B17A4E" w:rsidRDefault="009634F4" w:rsidP="00DF7D23">
      <w:pPr>
        <w:pStyle w:val="Source"/>
      </w:pPr>
      <w:r w:rsidRPr="00B17A4E">
        <w:rPr>
          <w:rStyle w:val="FootnoteChar"/>
          <w:color w:val="808080" w:themeColor="background1" w:themeShade="80"/>
          <w:sz w:val="16"/>
          <w:szCs w:val="20"/>
        </w:rPr>
        <w:t>Source: ABS 5209.0.55.001</w:t>
      </w:r>
      <w:r w:rsidR="00F14F96" w:rsidRPr="00B17A4E">
        <w:rPr>
          <w:rStyle w:val="FootnoteChar"/>
          <w:color w:val="808080" w:themeColor="background1" w:themeShade="80"/>
          <w:sz w:val="16"/>
          <w:szCs w:val="20"/>
        </w:rPr>
        <w:t>,</w:t>
      </w:r>
      <w:r w:rsidR="005443D7" w:rsidRPr="00B17A4E">
        <w:rPr>
          <w:rStyle w:val="FootnoteChar"/>
          <w:color w:val="808080" w:themeColor="background1" w:themeShade="80"/>
          <w:sz w:val="16"/>
          <w:szCs w:val="20"/>
        </w:rPr>
        <w:t xml:space="preserve"> Table 19</w:t>
      </w:r>
      <w:r w:rsidR="00265621" w:rsidRPr="00B17A4E">
        <w:rPr>
          <w:rStyle w:val="FootnoteChar"/>
          <w:color w:val="808080" w:themeColor="background1" w:themeShade="80"/>
          <w:sz w:val="16"/>
          <w:szCs w:val="20"/>
        </w:rPr>
        <w:br/>
      </w:r>
      <w:r w:rsidRPr="00B17A4E">
        <w:rPr>
          <w:rStyle w:val="FootnoteChar"/>
          <w:color w:val="808080" w:themeColor="background1" w:themeShade="80"/>
          <w:sz w:val="16"/>
          <w:szCs w:val="20"/>
        </w:rPr>
        <w:t>Note: The specialisation ratio indicates how much of an indust</w:t>
      </w:r>
      <w:r w:rsidR="001D123E" w:rsidRPr="00B17A4E">
        <w:rPr>
          <w:rStyle w:val="FootnoteChar"/>
          <w:color w:val="808080" w:themeColor="background1" w:themeShade="80"/>
          <w:sz w:val="16"/>
          <w:szCs w:val="20"/>
        </w:rPr>
        <w:t>r</w:t>
      </w:r>
      <w:r w:rsidRPr="00B17A4E">
        <w:rPr>
          <w:rStyle w:val="FootnoteChar"/>
          <w:color w:val="808080" w:themeColor="background1" w:themeShade="80"/>
          <w:sz w:val="16"/>
          <w:szCs w:val="20"/>
        </w:rPr>
        <w:t xml:space="preserve">y's output is made </w:t>
      </w:r>
      <w:r w:rsidR="00720136" w:rsidRPr="00B17A4E">
        <w:rPr>
          <w:rStyle w:val="FootnoteChar"/>
          <w:color w:val="808080" w:themeColor="background1" w:themeShade="80"/>
          <w:sz w:val="16"/>
          <w:szCs w:val="20"/>
        </w:rPr>
        <w:t xml:space="preserve">up </w:t>
      </w:r>
      <w:r w:rsidRPr="00B17A4E">
        <w:rPr>
          <w:rStyle w:val="FootnoteChar"/>
          <w:color w:val="808080" w:themeColor="background1" w:themeShade="80"/>
          <w:sz w:val="16"/>
          <w:szCs w:val="20"/>
        </w:rPr>
        <w:t xml:space="preserve">of that industry's product type. </w:t>
      </w:r>
      <w:r w:rsidR="00720136" w:rsidRPr="00B17A4E">
        <w:rPr>
          <w:rStyle w:val="FootnoteChar"/>
          <w:color w:val="808080" w:themeColor="background1" w:themeShade="80"/>
          <w:sz w:val="16"/>
          <w:szCs w:val="20"/>
        </w:rPr>
        <w:br/>
      </w:r>
      <w:r w:rsidRPr="00B17A4E">
        <w:rPr>
          <w:rStyle w:val="FootnoteChar"/>
          <w:color w:val="808080" w:themeColor="background1" w:themeShade="80"/>
          <w:sz w:val="16"/>
          <w:szCs w:val="20"/>
        </w:rPr>
        <w:t>The cover</w:t>
      </w:r>
      <w:r w:rsidR="00077EB9" w:rsidRPr="00B17A4E">
        <w:rPr>
          <w:rStyle w:val="FootnoteChar"/>
          <w:color w:val="808080" w:themeColor="background1" w:themeShade="80"/>
          <w:sz w:val="16"/>
          <w:szCs w:val="20"/>
        </w:rPr>
        <w:t>age</w:t>
      </w:r>
      <w:r w:rsidRPr="00B17A4E">
        <w:rPr>
          <w:rStyle w:val="FootnoteChar"/>
          <w:color w:val="808080" w:themeColor="background1" w:themeShade="80"/>
          <w:sz w:val="16"/>
          <w:szCs w:val="20"/>
        </w:rPr>
        <w:t xml:space="preserve"> ratio indicates how much production is produced by primar</w:t>
      </w:r>
      <w:r w:rsidRPr="00B17A4E">
        <w:t>y manufacturers.</w:t>
      </w:r>
    </w:p>
    <w:p w14:paraId="311DDABF" w14:textId="5D5C5F86" w:rsidR="00EE742E" w:rsidRDefault="00A543D3" w:rsidP="00D913DA">
      <w:pPr>
        <w:pStyle w:val="Bodyafterbullet"/>
        <w:rPr>
          <w:iCs/>
          <w:noProof/>
          <w:color w:val="808080" w:themeColor="background1" w:themeShade="80"/>
          <w:sz w:val="18"/>
          <w:szCs w:val="18"/>
          <w:lang w:eastAsia="en-AU"/>
        </w:rPr>
      </w:pPr>
      <w:r>
        <w:t xml:space="preserve">In 2017-18, </w:t>
      </w:r>
      <w:r w:rsidR="00555E98">
        <w:t>Aircraft Manufacturing and Repair Services</w:t>
      </w:r>
      <w:r>
        <w:t xml:space="preserve"> industry produced $3.9 billion worth of </w:t>
      </w:r>
      <w:r w:rsidR="002F6DE2">
        <w:t>aircraft manufacturing product</w:t>
      </w:r>
      <w:r>
        <w:t>, which comprised of nearly 84</w:t>
      </w:r>
      <w:r w:rsidR="00845BA7">
        <w:t xml:space="preserve"> per cent</w:t>
      </w:r>
      <w:r>
        <w:t xml:space="preserve"> of </w:t>
      </w:r>
      <w:r w:rsidR="002F6DE2">
        <w:t xml:space="preserve">the total industry </w:t>
      </w:r>
      <w:r w:rsidR="00AA24B4">
        <w:t>output</w:t>
      </w:r>
      <w:r>
        <w:t xml:space="preserve">. A more detailed breakdown of </w:t>
      </w:r>
      <w:r w:rsidR="00003896">
        <w:t xml:space="preserve">goods and services </w:t>
      </w:r>
      <w:r>
        <w:t>within the aircraft manufacturing product can be seen on the bar graph in</w:t>
      </w:r>
      <w:r w:rsidR="009C68B7">
        <w:t xml:space="preserve"> </w:t>
      </w:r>
      <w:bookmarkStart w:id="130" w:name="_Ref535328324"/>
      <w:bookmarkStart w:id="131" w:name="_Ref536709412"/>
      <w:r w:rsidR="00D73BD5">
        <w:fldChar w:fldCharType="begin"/>
      </w:r>
      <w:r w:rsidR="00D73BD5">
        <w:instrText xml:space="preserve"> REF _Ref9593762 \h </w:instrText>
      </w:r>
      <w:r w:rsidR="00D73BD5">
        <w:fldChar w:fldCharType="separate"/>
      </w:r>
      <w:r w:rsidR="00D73BD5">
        <w:t xml:space="preserve">Figure </w:t>
      </w:r>
      <w:r w:rsidR="00D73BD5">
        <w:rPr>
          <w:noProof/>
        </w:rPr>
        <w:t>3</w:t>
      </w:r>
      <w:r w:rsidR="00D73BD5">
        <w:fldChar w:fldCharType="end"/>
      </w:r>
      <w:r w:rsidR="00D73BD5">
        <w:t>.</w:t>
      </w:r>
    </w:p>
    <w:bookmarkEnd w:id="130"/>
    <w:bookmarkEnd w:id="131"/>
    <w:p w14:paraId="5ECAEE13" w14:textId="30A20E0A" w:rsidR="00EE742E" w:rsidRDefault="001764A5" w:rsidP="00890B5D">
      <w:pPr>
        <w:spacing w:before="360"/>
        <w:rPr>
          <w:lang w:eastAsia="en-AU"/>
        </w:rPr>
      </w:pPr>
      <w:r w:rsidRPr="001764A5">
        <w:rPr>
          <w:noProof/>
          <w:lang w:eastAsia="en-AU"/>
        </w:rPr>
        <w:drawing>
          <wp:inline distT="0" distB="0" distL="0" distR="0" wp14:anchorId="45891E35" wp14:editId="4B13DD41">
            <wp:extent cx="5731510" cy="291971"/>
            <wp:effectExtent l="0" t="0" r="0" b="0"/>
            <wp:docPr id="231" name="Picture 231" descr="Figure 3: Goods and services produced by the Aircraft Manufacturing and Repair Services industry(2017-18)"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291971"/>
                    </a:xfrm>
                    <a:prstGeom prst="rect">
                      <a:avLst/>
                    </a:prstGeom>
                    <a:noFill/>
                    <a:ln>
                      <a:noFill/>
                    </a:ln>
                  </pic:spPr>
                </pic:pic>
              </a:graphicData>
            </a:graphic>
          </wp:inline>
        </w:drawing>
      </w:r>
      <w:r w:rsidR="00AF04CA">
        <w:rPr>
          <w:noProof/>
          <w:lang w:eastAsia="en-AU"/>
        </w:rPr>
        <w:drawing>
          <wp:inline distT="0" distB="0" distL="0" distR="0" wp14:anchorId="5CA97C43" wp14:editId="01FED59A">
            <wp:extent cx="5688330" cy="2932430"/>
            <wp:effectExtent l="0" t="0" r="7620" b="1270"/>
            <wp:docPr id="10" name="Picture 10" descr="Around half of these aircraft manufacturing products are aircraft and aircraft parts, while the remaining are almost evenly split between military and commercial maintenance and repair services." title="Goods and services produced by the Aircraft Manufacturing and Repair Services industry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8330" cy="2932430"/>
                    </a:xfrm>
                    <a:prstGeom prst="rect">
                      <a:avLst/>
                    </a:prstGeom>
                    <a:noFill/>
                  </pic:spPr>
                </pic:pic>
              </a:graphicData>
            </a:graphic>
          </wp:inline>
        </w:drawing>
      </w:r>
    </w:p>
    <w:p w14:paraId="3D500B31" w14:textId="1059B4FB" w:rsidR="003C56B5" w:rsidRDefault="001764A5">
      <w:pPr>
        <w:spacing w:before="0" w:after="160" w:line="259" w:lineRule="auto"/>
      </w:pPr>
      <w:r w:rsidRPr="001764A5">
        <w:rPr>
          <w:noProof/>
          <w:lang w:eastAsia="en-AU"/>
        </w:rPr>
        <w:drawing>
          <wp:inline distT="0" distB="0" distL="0" distR="0" wp14:anchorId="71217CAD" wp14:editId="402C96CB">
            <wp:extent cx="5731510" cy="272929"/>
            <wp:effectExtent l="0" t="0" r="0" b="0"/>
            <wp:docPr id="235" name="Picture 235" descr="Source: ABS 5209.0.55.001 Table 1; IBISWord; KPMG AUSTRALIA" titl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272929"/>
                    </a:xfrm>
                    <a:prstGeom prst="rect">
                      <a:avLst/>
                    </a:prstGeom>
                    <a:noFill/>
                    <a:ln>
                      <a:noFill/>
                    </a:ln>
                  </pic:spPr>
                </pic:pic>
              </a:graphicData>
            </a:graphic>
          </wp:inline>
        </w:drawing>
      </w:r>
      <w:r w:rsidR="003C56B5">
        <w:br w:type="page"/>
      </w:r>
    </w:p>
    <w:p w14:paraId="0AFFC231" w14:textId="1949BFCE" w:rsidR="00E72578" w:rsidRDefault="003F55A8" w:rsidP="007C068F">
      <w:pPr>
        <w:spacing w:before="0" w:after="160" w:line="259" w:lineRule="auto"/>
      </w:pPr>
      <w:r>
        <w:lastRenderedPageBreak/>
        <w:t>While aircraft manufacturing output accounts for the largest share, the industry also provides non-residential real estate services; professional, scientific and technical services; and wholesale trade services.</w:t>
      </w:r>
      <w:r w:rsidR="00E61C25" w:rsidRPr="00E61C25">
        <w:t xml:space="preserve"> </w:t>
      </w:r>
      <w:r w:rsidR="00E72578">
        <w:t>These goods and services are described as follows</w:t>
      </w:r>
      <w:r w:rsidR="00DE223D">
        <w:t>:</w:t>
      </w:r>
    </w:p>
    <w:p w14:paraId="10C99B9C" w14:textId="63CBD0D7" w:rsidR="00E72578" w:rsidRDefault="00E72578" w:rsidP="00E72578">
      <w:pPr>
        <w:pStyle w:val="Bullet1stlevel"/>
      </w:pPr>
      <w:r w:rsidRPr="00BB659F">
        <w:t>Non-residential property operators and real estate services include</w:t>
      </w:r>
      <w:r>
        <w:t xml:space="preserve"> units engaged in renting or leasing of airport real estat</w:t>
      </w:r>
      <w:r w:rsidR="00890B5D">
        <w:t>e, airfields, hangar space etc.</w:t>
      </w:r>
    </w:p>
    <w:p w14:paraId="21635FEE" w14:textId="6DAA565A" w:rsidR="00E72578" w:rsidRPr="00B17A4E" w:rsidRDefault="00E72578" w:rsidP="00B17A4E">
      <w:pPr>
        <w:pStyle w:val="Bullet1stlevel"/>
      </w:pPr>
      <w:r w:rsidRPr="00B17A4E">
        <w:t>Professional, Scientific and Technical services include services provided by aerospace engineering and operations technicians. This may include testing as well as maintenance and repair of equipment, components and assemblies. Design consulting as well as research and development</w:t>
      </w:r>
      <w:r w:rsidR="00890B5D">
        <w:t xml:space="preserve"> services are also included.</w:t>
      </w:r>
    </w:p>
    <w:p w14:paraId="266F6DA5" w14:textId="6ADE737C" w:rsidR="007A1966" w:rsidRDefault="00AA24B4">
      <w:pPr>
        <w:pStyle w:val="Bullet1stlevel"/>
      </w:pPr>
      <w:r w:rsidRPr="00B17A4E">
        <w:t>Wholesale</w:t>
      </w:r>
      <w:r w:rsidR="003F55A8" w:rsidRPr="00B17A4E">
        <w:t xml:space="preserve"> trade services </w:t>
      </w:r>
      <w:r w:rsidR="008C1239" w:rsidRPr="00B17A4E">
        <w:t>include wholesaling of basic material, machinery and equipment for manufacturing processes as well as wholesaling of aircraft parts and components.</w:t>
      </w:r>
    </w:p>
    <w:p w14:paraId="57E5632D" w14:textId="77777777" w:rsidR="008B3FEC" w:rsidRDefault="008B3FEC" w:rsidP="00AF04CA">
      <w:pPr>
        <w:pStyle w:val="Heading4"/>
      </w:pPr>
      <w:r>
        <w:t>Skill</w:t>
      </w:r>
      <w:r w:rsidRPr="00AF04CA">
        <w:t>s and training</w:t>
      </w:r>
    </w:p>
    <w:p w14:paraId="161A9F86" w14:textId="1D17BA99" w:rsidR="008B3FEC" w:rsidRPr="00717C04" w:rsidRDefault="008B3FEC" w:rsidP="00E42F64">
      <w:pPr>
        <w:pStyle w:val="BodyText1"/>
        <w:rPr>
          <w:rFonts w:cstheme="minorHAnsi"/>
          <w:lang w:val="en-US"/>
        </w:rPr>
      </w:pPr>
      <w:r>
        <w:t xml:space="preserve">Australia has high quality engineering and design skills within the aerospace sector. </w:t>
      </w:r>
      <w:r w:rsidRPr="00F04FDC">
        <w:t xml:space="preserve">Business owners and senior staff are seen to have significant knowledge of the aviation platforms and a passion </w:t>
      </w:r>
      <w:r>
        <w:t xml:space="preserve">for </w:t>
      </w:r>
      <w:r w:rsidRPr="00F04FDC">
        <w:t xml:space="preserve">the </w:t>
      </w:r>
      <w:r>
        <w:t>industry.</w:t>
      </w:r>
      <w:r w:rsidRPr="00F04FDC">
        <w:t xml:space="preserve"> </w:t>
      </w:r>
      <w:r>
        <w:t>However, i</w:t>
      </w:r>
      <w:r w:rsidRPr="00D0316B">
        <w:t>ndustry representatives</w:t>
      </w:r>
      <w:r>
        <w:t xml:space="preserve"> have</w:t>
      </w:r>
      <w:r w:rsidRPr="00D0316B">
        <w:t xml:space="preserve"> indicated that</w:t>
      </w:r>
      <w:r w:rsidRPr="00933D93">
        <w:t xml:space="preserve"> retaining aviation specialists is proving to be a challenge</w:t>
      </w:r>
      <w:r>
        <w:t>,</w:t>
      </w:r>
      <w:r w:rsidRPr="00933D93">
        <w:t xml:space="preserve"> </w:t>
      </w:r>
      <w:r>
        <w:t xml:space="preserve">as the talent </w:t>
      </w:r>
      <w:r w:rsidRPr="00FB72C8">
        <w:t xml:space="preserve">within the </w:t>
      </w:r>
      <w:r>
        <w:t xml:space="preserve">industry </w:t>
      </w:r>
      <w:r w:rsidRPr="00FB72C8">
        <w:t>is not utilized to its full potential</w:t>
      </w:r>
      <w:r>
        <w:t xml:space="preserve"> and </w:t>
      </w:r>
      <w:r w:rsidRPr="00933D93">
        <w:t xml:space="preserve">they are </w:t>
      </w:r>
      <w:r>
        <w:t>often</w:t>
      </w:r>
      <w:r w:rsidRPr="00933D93">
        <w:t xml:space="preserve"> </w:t>
      </w:r>
      <w:r>
        <w:t xml:space="preserve">recruited </w:t>
      </w:r>
      <w:r w:rsidRPr="00933D93">
        <w:t>by the prime</w:t>
      </w:r>
      <w:r>
        <w:t xml:space="preserve"> contractors</w:t>
      </w:r>
      <w:r>
        <w:rPr>
          <w:rStyle w:val="FootnoteReference"/>
        </w:rPr>
        <w:footnoteReference w:id="6"/>
      </w:r>
      <w:r w:rsidRPr="00933D93">
        <w:t xml:space="preserve"> supporting high-tech </w:t>
      </w:r>
      <w:r>
        <w:t>d</w:t>
      </w:r>
      <w:r w:rsidRPr="00933D93">
        <w:t>efence work.</w:t>
      </w:r>
      <w:r>
        <w:t xml:space="preserve"> </w:t>
      </w:r>
      <w:r>
        <w:rPr>
          <w:rFonts w:cstheme="minorHAnsi"/>
          <w:lang w:val="en-US"/>
        </w:rPr>
        <w:t>T</w:t>
      </w:r>
      <w:r w:rsidRPr="00717C04">
        <w:rPr>
          <w:rFonts w:cstheme="minorHAnsi"/>
          <w:lang w:val="en-US"/>
        </w:rPr>
        <w:t>here</w:t>
      </w:r>
      <w:r>
        <w:rPr>
          <w:rFonts w:cstheme="minorHAnsi"/>
          <w:lang w:val="en-US"/>
        </w:rPr>
        <w:t xml:space="preserve"> i</w:t>
      </w:r>
      <w:r w:rsidRPr="00717C04">
        <w:rPr>
          <w:rFonts w:cstheme="minorHAnsi"/>
          <w:lang w:val="en-US"/>
        </w:rPr>
        <w:t xml:space="preserve">s also a significant </w:t>
      </w:r>
      <w:r>
        <w:rPr>
          <w:rFonts w:cstheme="minorHAnsi"/>
          <w:lang w:val="en-US"/>
        </w:rPr>
        <w:t xml:space="preserve">international </w:t>
      </w:r>
      <w:r w:rsidRPr="00717C04">
        <w:rPr>
          <w:rFonts w:cstheme="minorHAnsi"/>
          <w:lang w:val="en-US"/>
        </w:rPr>
        <w:t xml:space="preserve">outflow of workforce with technical expertise and skills within the aviation industry, to the detriment </w:t>
      </w:r>
      <w:r>
        <w:rPr>
          <w:rFonts w:cstheme="minorHAnsi"/>
          <w:lang w:val="en-US"/>
        </w:rPr>
        <w:t>of the Australian sector. R</w:t>
      </w:r>
      <w:r w:rsidRPr="00717C04">
        <w:rPr>
          <w:rFonts w:cstheme="minorHAnsi"/>
          <w:lang w:val="en-US"/>
        </w:rPr>
        <w:t xml:space="preserve">egard for Australian skills and </w:t>
      </w:r>
      <w:r>
        <w:rPr>
          <w:rFonts w:cstheme="minorHAnsi"/>
          <w:lang w:val="en-US"/>
        </w:rPr>
        <w:t xml:space="preserve">somewhat simpler </w:t>
      </w:r>
      <w:r w:rsidRPr="00717C04">
        <w:rPr>
          <w:rFonts w:cstheme="minorHAnsi"/>
          <w:lang w:val="en-US"/>
        </w:rPr>
        <w:t xml:space="preserve">regulatory systems </w:t>
      </w:r>
      <w:r>
        <w:rPr>
          <w:rFonts w:cstheme="minorHAnsi"/>
          <w:lang w:val="en-US"/>
        </w:rPr>
        <w:t>overseas are</w:t>
      </w:r>
      <w:r w:rsidRPr="00717C04">
        <w:rPr>
          <w:rFonts w:cstheme="minorHAnsi"/>
          <w:lang w:val="en-US"/>
        </w:rPr>
        <w:t xml:space="preserve"> encouraging designers, innovators </w:t>
      </w:r>
      <w:r>
        <w:rPr>
          <w:rFonts w:cstheme="minorHAnsi"/>
          <w:lang w:val="en-US"/>
        </w:rPr>
        <w:t xml:space="preserve">and other skillsets </w:t>
      </w:r>
      <w:r w:rsidRPr="00717C04">
        <w:rPr>
          <w:rFonts w:cstheme="minorHAnsi"/>
          <w:lang w:val="en-US"/>
        </w:rPr>
        <w:t xml:space="preserve">to </w:t>
      </w:r>
      <w:r>
        <w:rPr>
          <w:rFonts w:cstheme="minorHAnsi"/>
          <w:lang w:val="en-US"/>
        </w:rPr>
        <w:t>shift bases.</w:t>
      </w:r>
    </w:p>
    <w:p w14:paraId="166699EB" w14:textId="65FE73E8" w:rsidR="008B3FEC" w:rsidRDefault="008B3FEC" w:rsidP="00E42F64">
      <w:pPr>
        <w:pStyle w:val="BodyText1"/>
      </w:pPr>
      <w:r w:rsidRPr="00933D93">
        <w:t>It was also noted that domestic qualifications and training do not completely align with the industry’s requirements</w:t>
      </w:r>
      <w:r>
        <w:t xml:space="preserve"> – </w:t>
      </w:r>
      <w:r w:rsidRPr="00933D93">
        <w:t>especially overseas</w:t>
      </w:r>
      <w:r>
        <w:t xml:space="preserve"> – </w:t>
      </w:r>
      <w:r w:rsidRPr="00933D93">
        <w:t xml:space="preserve">further increasing the difficulty in accessing skilled resources. Thus, </w:t>
      </w:r>
      <w:r w:rsidRPr="00D0316B">
        <w:t>it is imp</w:t>
      </w:r>
      <w:r>
        <w:t xml:space="preserve">ortant </w:t>
      </w:r>
      <w:r w:rsidRPr="00D0316B">
        <w:t xml:space="preserve">to </w:t>
      </w:r>
      <w:r>
        <w:t xml:space="preserve">look at ways to </w:t>
      </w:r>
      <w:r w:rsidRPr="00D0316B">
        <w:t>expand</w:t>
      </w:r>
      <w:r>
        <w:t xml:space="preserve"> </w:t>
      </w:r>
      <w:r w:rsidRPr="00D0316B">
        <w:t xml:space="preserve">and </w:t>
      </w:r>
      <w:r>
        <w:t xml:space="preserve">better </w:t>
      </w:r>
      <w:r w:rsidRPr="00D0316B">
        <w:t xml:space="preserve">maintain a pool of skilled workers across the </w:t>
      </w:r>
      <w:r>
        <w:t xml:space="preserve">Aircraft Manufacturing and Repair Services industry, to be able to sustain and meet the increasing </w:t>
      </w:r>
      <w:r w:rsidR="00890B5D">
        <w:t>needs of the aviation industry.</w:t>
      </w:r>
    </w:p>
    <w:p w14:paraId="4D2FE040" w14:textId="2342F54E" w:rsidR="00890B5D" w:rsidRDefault="005B59CD" w:rsidP="001764A5">
      <w:pPr>
        <w:jc w:val="center"/>
      </w:pPr>
      <w:r>
        <w:fldChar w:fldCharType="begin"/>
      </w:r>
      <w:r>
        <w:instrText xml:space="preserve"> REF _Ref531878063 \h </w:instrText>
      </w:r>
      <w:r>
        <w:fldChar w:fldCharType="separate"/>
      </w:r>
      <w:r w:rsidR="00980A78">
        <w:rPr>
          <w:b/>
          <w:bCs/>
          <w:lang w:val="en-US"/>
        </w:rPr>
        <w:fldChar w:fldCharType="begin"/>
      </w:r>
      <w:r w:rsidR="00980A78">
        <w:instrText xml:space="preserve"> REF _Ref9593634 \h </w:instrText>
      </w:r>
      <w:r w:rsidR="00980A78">
        <w:rPr>
          <w:b/>
          <w:bCs/>
          <w:lang w:val="en-US"/>
        </w:rPr>
      </w:r>
      <w:r w:rsidR="00980A78">
        <w:rPr>
          <w:b/>
          <w:bCs/>
          <w:lang w:val="en-US"/>
        </w:rPr>
        <w:fldChar w:fldCharType="separate"/>
      </w:r>
      <w:r w:rsidR="00980A78">
        <w:t xml:space="preserve">Figure </w:t>
      </w:r>
      <w:r w:rsidR="00980A78">
        <w:rPr>
          <w:noProof/>
        </w:rPr>
        <w:t>4</w:t>
      </w:r>
      <w:r w:rsidR="00980A78">
        <w:rPr>
          <w:noProof/>
        </w:rPr>
        <w:fldChar w:fldCharType="end"/>
      </w:r>
      <w:r>
        <w:fldChar w:fldCharType="end"/>
      </w:r>
      <w:r w:rsidR="008B3FEC">
        <w:t xml:space="preserve"> </w:t>
      </w:r>
      <w:proofErr w:type="gramStart"/>
      <w:r w:rsidR="008B3FEC">
        <w:t>shows</w:t>
      </w:r>
      <w:proofErr w:type="gramEnd"/>
      <w:r w:rsidR="008B3FEC">
        <w:t xml:space="preserve"> the number of apprentices and trainees in the Aircraft Manufacturing and Repair Services industry commencing or completing training between 2007 and 2017. There has been a declining trend in both the number of enrolments as well as completions by aerospace-related apprentices and trainees in the past decade, thus substantiating the concern expressed by industry stakeholders around increasing difficult</w:t>
      </w:r>
      <w:r w:rsidR="00890B5D">
        <w:t>ies in finding skilled workers.</w:t>
      </w:r>
      <w:r w:rsidR="001764A5" w:rsidRPr="001764A5">
        <w:t xml:space="preserve"> </w:t>
      </w:r>
      <w:r w:rsidR="001764A5" w:rsidRPr="001764A5">
        <w:rPr>
          <w:noProof/>
          <w:lang w:eastAsia="en-AU"/>
        </w:rPr>
        <w:drawing>
          <wp:inline distT="0" distB="0" distL="0" distR="0" wp14:anchorId="16596F49" wp14:editId="26FFB57D">
            <wp:extent cx="5731510" cy="291971"/>
            <wp:effectExtent l="0" t="0" r="0" b="0"/>
            <wp:docPr id="238" name="Picture 238" descr="Apprentice and tarinee enrolments and completion"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291971"/>
                    </a:xfrm>
                    <a:prstGeom prst="rect">
                      <a:avLst/>
                    </a:prstGeom>
                    <a:noFill/>
                    <a:ln>
                      <a:noFill/>
                    </a:ln>
                  </pic:spPr>
                </pic:pic>
              </a:graphicData>
            </a:graphic>
          </wp:inline>
        </w:drawing>
      </w:r>
      <w:bookmarkStart w:id="132" w:name="_Ref9593634"/>
      <w:r w:rsidR="00DF7D23">
        <w:rPr>
          <w:noProof/>
          <w:lang w:eastAsia="en-AU"/>
        </w:rPr>
        <w:drawing>
          <wp:inline distT="0" distB="0" distL="0" distR="0" wp14:anchorId="37129643" wp14:editId="1A71281F">
            <wp:extent cx="3749040" cy="2225040"/>
            <wp:effectExtent l="0" t="0" r="3810" b="3810"/>
            <wp:docPr id="21" name="Chart 21" descr="Figure 4: Apprentice and trainee enrolments and completions"/>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bookmarkEnd w:id="132"/>
    <w:p w14:paraId="08B9A5F5" w14:textId="504CEF52" w:rsidR="00765CFA" w:rsidRPr="00890B5D" w:rsidRDefault="00DF7D23" w:rsidP="00890B5D">
      <w:pPr>
        <w:pStyle w:val="Source"/>
      </w:pPr>
      <w:r>
        <w:t>Source</w:t>
      </w:r>
      <w:r w:rsidR="00821B69">
        <w:t>: NCVER Vocstats</w:t>
      </w:r>
      <w:r w:rsidR="00765CFA">
        <w:br w:type="page"/>
      </w:r>
    </w:p>
    <w:p w14:paraId="38EA7989" w14:textId="1798909E" w:rsidR="008B3FEC" w:rsidRDefault="008B3FEC" w:rsidP="008B3FEC">
      <w:pPr>
        <w:pStyle w:val="Bodyafterbullet"/>
      </w:pPr>
      <w:r w:rsidRPr="009B1618">
        <w:lastRenderedPageBreak/>
        <w:t>The MEA Aeroskills Training package</w:t>
      </w:r>
      <w:r>
        <w:t xml:space="preserve"> </w:t>
      </w:r>
      <w:r w:rsidRPr="009B1618">
        <w:t xml:space="preserve">provides qualifications </w:t>
      </w:r>
      <w:r>
        <w:t xml:space="preserve">at various levels </w:t>
      </w:r>
      <w:r w:rsidRPr="009B1618">
        <w:t>in Avionics, Mechanical and Maintenance and othe</w:t>
      </w:r>
      <w:r>
        <w:t>r aeroskills</w:t>
      </w:r>
      <w:r w:rsidRPr="009B1618">
        <w:t xml:space="preserve">. </w:t>
      </w:r>
      <w:r>
        <w:t>These qualifications are designed to meet civil and military aviation requirements when performing various maintenance activities,</w:t>
      </w:r>
      <w:r w:rsidRPr="009B1618">
        <w:t xml:space="preserve"> </w:t>
      </w:r>
      <w:r>
        <w:t xml:space="preserve">and are applicable to airline employees as well as operators of powered aircraft and helicopters. </w:t>
      </w:r>
      <w:r w:rsidR="005B59CD">
        <w:fldChar w:fldCharType="begin"/>
      </w:r>
      <w:r w:rsidR="005B59CD">
        <w:instrText xml:space="preserve"> REF _Ref535318631 \h  \* MERGEFORMAT </w:instrText>
      </w:r>
      <w:r w:rsidR="005B59CD">
        <w:fldChar w:fldCharType="separate"/>
      </w:r>
      <w:r w:rsidR="002742CB">
        <w:rPr>
          <w:b/>
          <w:bCs/>
          <w:lang w:val="en-US"/>
        </w:rPr>
        <w:fldChar w:fldCharType="begin"/>
      </w:r>
      <w:r w:rsidR="002742CB">
        <w:instrText xml:space="preserve"> REF _Ref9593672 \h </w:instrText>
      </w:r>
      <w:r w:rsidR="002742CB">
        <w:rPr>
          <w:b/>
          <w:bCs/>
          <w:lang w:val="en-US"/>
        </w:rPr>
      </w:r>
      <w:r w:rsidR="002742CB">
        <w:rPr>
          <w:b/>
          <w:bCs/>
          <w:lang w:val="en-US"/>
        </w:rPr>
        <w:fldChar w:fldCharType="separate"/>
      </w:r>
      <w:r w:rsidR="002742CB">
        <w:t xml:space="preserve">Figure </w:t>
      </w:r>
      <w:r w:rsidR="002742CB">
        <w:rPr>
          <w:noProof/>
        </w:rPr>
        <w:t>5</w:t>
      </w:r>
      <w:r w:rsidR="002742CB">
        <w:rPr>
          <w:noProof/>
        </w:rPr>
        <w:fldChar w:fldCharType="end"/>
      </w:r>
      <w:r w:rsidR="005B59CD">
        <w:fldChar w:fldCharType="end"/>
      </w:r>
      <w:r>
        <w:t xml:space="preserve"> </w:t>
      </w:r>
      <w:proofErr w:type="gramStart"/>
      <w:r>
        <w:t>indicates</w:t>
      </w:r>
      <w:proofErr w:type="gramEnd"/>
      <w:r>
        <w:t xml:space="preserve"> the total number of enrolments in the MEA Aeroskills program for various qualifications in 2014-2017. </w:t>
      </w:r>
    </w:p>
    <w:p w14:paraId="16455DCE" w14:textId="600B2908" w:rsidR="008B3FEC" w:rsidRPr="009B1618" w:rsidRDefault="008B3FEC" w:rsidP="008B3FEC">
      <w:pPr>
        <w:pStyle w:val="BodyText1"/>
      </w:pPr>
      <w:r>
        <w:t>The highest share of enrolments in all years between 2014 and 2017 was for a Certificate IV qualification, which is an entry level requirement for the industry. However, the number of enrolments for this qualification has halved over the past few years. In comparison, while the number of enrolments in Certificate II and Diploma qualifications are a much smaller share, the 2017 enrolments in these two courses combined are at a similar level to their 2014 levels. Interestingly, in 2017, enrolments in the Certificate IV fell to the same level as the combined enrolments for the Certificate II and Diploma.</w:t>
      </w:r>
      <w:r w:rsidR="001764A5" w:rsidRPr="001764A5">
        <w:t xml:space="preserve"> </w:t>
      </w:r>
      <w:r w:rsidR="001764A5" w:rsidRPr="001764A5">
        <w:rPr>
          <w:noProof/>
          <w:lang w:eastAsia="en-AU"/>
        </w:rPr>
        <w:drawing>
          <wp:inline distT="0" distB="0" distL="0" distR="0" wp14:anchorId="06C4026E" wp14:editId="134EE178">
            <wp:extent cx="5731510" cy="291971"/>
            <wp:effectExtent l="0" t="0" r="0" b="0"/>
            <wp:docPr id="243" name="Picture 243" descr="Figure 5: Total enrolments in the MEA Aeroskills program by qualification level" title="Fu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291971"/>
                    </a:xfrm>
                    <a:prstGeom prst="rect">
                      <a:avLst/>
                    </a:prstGeom>
                    <a:noFill/>
                    <a:ln>
                      <a:noFill/>
                    </a:ln>
                  </pic:spPr>
                </pic:pic>
              </a:graphicData>
            </a:graphic>
          </wp:inline>
        </w:drawing>
      </w:r>
    </w:p>
    <w:p w14:paraId="08026EDE" w14:textId="77777777" w:rsidR="008B3FEC" w:rsidRDefault="008B3FEC" w:rsidP="008B3FEC">
      <w:pPr>
        <w:pStyle w:val="BodyText1"/>
        <w:spacing w:before="0"/>
        <w:jc w:val="center"/>
        <w:rPr>
          <w:highlight w:val="yellow"/>
        </w:rPr>
      </w:pPr>
      <w:r>
        <w:rPr>
          <w:noProof/>
          <w:lang w:eastAsia="en-AU"/>
        </w:rPr>
        <w:drawing>
          <wp:inline distT="0" distB="0" distL="0" distR="0" wp14:anchorId="7B277DBD" wp14:editId="021CF8B8">
            <wp:extent cx="4678680" cy="2598420"/>
            <wp:effectExtent l="0" t="0" r="7620" b="0"/>
            <wp:docPr id="7" name="Chart 7" descr="Figure 5: Total enrolments in the MEA Aeroksills program by qualification level "/>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5CF3455" w14:textId="6A8F8168" w:rsidR="008B3FEC" w:rsidRPr="00473B24" w:rsidRDefault="001764A5" w:rsidP="008B3FEC">
      <w:pPr>
        <w:rPr>
          <w:rFonts w:cstheme="minorHAnsi"/>
          <w:lang w:val="en-US"/>
        </w:rPr>
      </w:pPr>
      <w:r w:rsidRPr="001764A5">
        <w:rPr>
          <w:noProof/>
          <w:lang w:eastAsia="en-AU"/>
        </w:rPr>
        <w:drawing>
          <wp:inline distT="0" distB="0" distL="0" distR="0" wp14:anchorId="5990D778" wp14:editId="1A131B07">
            <wp:extent cx="5731510" cy="399873"/>
            <wp:effectExtent l="0" t="0" r="2540" b="0"/>
            <wp:docPr id="246" name="Picture 246" descr="source: NCVER VOCStATS&#10;note: 2017 values are prelimiary published data." titl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399873"/>
                    </a:xfrm>
                    <a:prstGeom prst="rect">
                      <a:avLst/>
                    </a:prstGeom>
                    <a:noFill/>
                    <a:ln>
                      <a:noFill/>
                    </a:ln>
                  </pic:spPr>
                </pic:pic>
              </a:graphicData>
            </a:graphic>
          </wp:inline>
        </w:drawing>
      </w:r>
      <w:r w:rsidR="008B3FEC" w:rsidRPr="00473B24">
        <w:t xml:space="preserve">Both industry stakeholders and survey respondents have commented on challenges around the availability of skilled workers in </w:t>
      </w:r>
      <w:r w:rsidR="008B3FEC">
        <w:t xml:space="preserve">sufficient </w:t>
      </w:r>
      <w:r w:rsidR="008B3FEC" w:rsidRPr="00473B24">
        <w:t>numbers. With</w:t>
      </w:r>
      <w:r w:rsidR="008B3FEC">
        <w:t xml:space="preserve"> </w:t>
      </w:r>
      <w:r w:rsidR="008B3FEC" w:rsidRPr="00473B24">
        <w:rPr>
          <w:rFonts w:cstheme="minorHAnsi"/>
        </w:rPr>
        <w:t xml:space="preserve">technological advancements taking place, there </w:t>
      </w:r>
      <w:r w:rsidR="008B3FEC">
        <w:rPr>
          <w:rFonts w:cstheme="minorHAnsi"/>
        </w:rPr>
        <w:t>are</w:t>
      </w:r>
      <w:r w:rsidR="008B3FEC" w:rsidRPr="00473B24">
        <w:rPr>
          <w:rFonts w:cstheme="minorHAnsi"/>
        </w:rPr>
        <w:t xml:space="preserve"> also concerns that a lot of the ‘blue-collar artisan skills’ are being missed as people gravitate towards university courses. TAFE courses are considered very favourable for much of the workforce in this industry as they generally include both theoretical qualifications and practical training, making students more “work-ready” for Apprenticeship Programs,</w:t>
      </w:r>
      <w:r w:rsidR="008B3FEC" w:rsidRPr="00473B24">
        <w:rPr>
          <w:rFonts w:cstheme="minorHAnsi"/>
          <w:lang w:val="en-US"/>
        </w:rPr>
        <w:t xml:space="preserve"> such as those run by various airlines</w:t>
      </w:r>
      <w:r w:rsidR="008B3FEC" w:rsidRPr="00473B24">
        <w:t xml:space="preserve">. </w:t>
      </w:r>
      <w:r w:rsidR="008B3FEC" w:rsidRPr="00473B24">
        <w:rPr>
          <w:rFonts w:cstheme="minorHAnsi"/>
          <w:lang w:val="en-US"/>
        </w:rPr>
        <w:t xml:space="preserve">Also, </w:t>
      </w:r>
      <w:r w:rsidR="008B3FEC">
        <w:rPr>
          <w:rFonts w:cstheme="minorHAnsi"/>
          <w:lang w:val="en-US"/>
        </w:rPr>
        <w:t xml:space="preserve">industry representatives have expressed the </w:t>
      </w:r>
      <w:r w:rsidR="008B3FEC" w:rsidRPr="00473B24">
        <w:rPr>
          <w:rFonts w:cstheme="minorHAnsi"/>
          <w:lang w:val="en-US"/>
        </w:rPr>
        <w:t xml:space="preserve">need to harmonise training and adopt international training standards to ensure recognition of domestic qualifications for overseas work. </w:t>
      </w:r>
    </w:p>
    <w:p w14:paraId="29179C96" w14:textId="1C817D93" w:rsidR="008B3FEC" w:rsidRPr="00443BD2" w:rsidRDefault="007C0520" w:rsidP="008B3FEC">
      <w:pPr>
        <w:rPr>
          <w:rFonts w:cstheme="minorHAnsi"/>
          <w:lang w:val="en-US"/>
        </w:rPr>
      </w:pPr>
      <w:r>
        <w:rPr>
          <w:rFonts w:cstheme="minorHAnsi"/>
          <w:lang w:val="en-US"/>
        </w:rPr>
        <w:t xml:space="preserve">A review of Australia’s global competiveness in the </w:t>
      </w:r>
      <w:r w:rsidR="008B3FEC" w:rsidRPr="00443BD2">
        <w:rPr>
          <w:rFonts w:cstheme="minorHAnsi"/>
          <w:lang w:val="en-US"/>
        </w:rPr>
        <w:t>AMGC’s Sector Competitiveness Plan</w:t>
      </w:r>
      <w:r>
        <w:rPr>
          <w:rFonts w:cstheme="minorHAnsi"/>
          <w:lang w:val="en-US"/>
        </w:rPr>
        <w:t xml:space="preserve"> highlights the need to </w:t>
      </w:r>
      <w:r w:rsidRPr="008838B5">
        <w:rPr>
          <w:rFonts w:cstheme="minorHAnsi"/>
          <w:lang w:val="en-US"/>
        </w:rPr>
        <w:t>promote STEM subjects and attract more workers into manufacturing</w:t>
      </w:r>
      <w:r>
        <w:rPr>
          <w:rFonts w:cstheme="minorHAnsi"/>
          <w:lang w:val="en-US"/>
        </w:rPr>
        <w:t xml:space="preserve">. In particular, </w:t>
      </w:r>
      <w:r w:rsidR="00443BD2">
        <w:rPr>
          <w:rFonts w:cstheme="minorHAnsi"/>
          <w:lang w:val="en-US"/>
        </w:rPr>
        <w:t xml:space="preserve">this Plan </w:t>
      </w:r>
      <w:r w:rsidR="00920DBD">
        <w:rPr>
          <w:rFonts w:cstheme="minorHAnsi"/>
          <w:lang w:val="en-US"/>
        </w:rPr>
        <w:t xml:space="preserve">indicates </w:t>
      </w:r>
      <w:r>
        <w:rPr>
          <w:rFonts w:cstheme="minorHAnsi"/>
          <w:lang w:val="en-US"/>
        </w:rPr>
        <w:t xml:space="preserve">that </w:t>
      </w:r>
      <w:r w:rsidR="008B3FEC" w:rsidRPr="00443BD2">
        <w:rPr>
          <w:rFonts w:cstheme="minorHAnsi"/>
          <w:lang w:val="en-US"/>
        </w:rPr>
        <w:t>Australia’s high labour costs make it difficult to compete globally, particularly for low-skill jobs. Although Australia holds a wage cost advantage for high-skilled workers,</w:t>
      </w:r>
      <w:r w:rsidR="00593EDB">
        <w:rPr>
          <w:rFonts w:cstheme="minorHAnsi"/>
          <w:lang w:val="en-US"/>
        </w:rPr>
        <w:t xml:space="preserve"> it is undermined by l</w:t>
      </w:r>
      <w:r w:rsidR="008B3FEC" w:rsidRPr="00443BD2">
        <w:rPr>
          <w:rFonts w:cstheme="minorHAnsi"/>
          <w:lang w:val="en-US"/>
        </w:rPr>
        <w:t>ow labour productivities in manufacturing</w:t>
      </w:r>
      <w:r w:rsidR="00593EDB">
        <w:rPr>
          <w:rFonts w:cstheme="minorHAnsi"/>
          <w:lang w:val="en-US"/>
        </w:rPr>
        <w:t xml:space="preserve">. This </w:t>
      </w:r>
      <w:r w:rsidR="008B3FEC" w:rsidRPr="00443BD2">
        <w:rPr>
          <w:rFonts w:cstheme="minorHAnsi"/>
          <w:lang w:val="en-US"/>
        </w:rPr>
        <w:t>is attributed to the</w:t>
      </w:r>
      <w:r w:rsidR="00593EDB">
        <w:rPr>
          <w:rFonts w:cstheme="minorHAnsi"/>
          <w:lang w:val="en-US"/>
        </w:rPr>
        <w:t xml:space="preserve"> industry’s</w:t>
      </w:r>
      <w:r w:rsidR="008B3FEC" w:rsidRPr="00443BD2">
        <w:rPr>
          <w:rFonts w:cstheme="minorHAnsi"/>
          <w:lang w:val="en-US"/>
        </w:rPr>
        <w:t xml:space="preserve"> large share of small scale businesses, resulting in relatively inefficient production processes due to costs spread over smaller volumes of output. A shortage of skilled </w:t>
      </w:r>
      <w:r w:rsidR="00593EDB">
        <w:rPr>
          <w:rFonts w:cstheme="minorHAnsi"/>
          <w:lang w:val="en-US"/>
        </w:rPr>
        <w:t xml:space="preserve">and technology sound </w:t>
      </w:r>
      <w:r w:rsidR="008B3FEC" w:rsidRPr="00443BD2">
        <w:rPr>
          <w:rFonts w:cstheme="minorHAnsi"/>
          <w:lang w:val="en-US"/>
        </w:rPr>
        <w:t xml:space="preserve">personnel at the manager level also feeds into lower uptake of automation and Industry 4.0 processes. </w:t>
      </w:r>
    </w:p>
    <w:p w14:paraId="09DEFC24" w14:textId="60B1CE7D" w:rsidR="008B3FEC" w:rsidRPr="00473B24" w:rsidRDefault="003F08D7" w:rsidP="008B3FEC">
      <w:pPr>
        <w:rPr>
          <w:rFonts w:cstheme="minorHAnsi"/>
          <w:lang w:val="en-US"/>
        </w:rPr>
      </w:pPr>
      <w:r w:rsidRPr="00443BD2">
        <w:rPr>
          <w:rFonts w:cstheme="minorHAnsi"/>
          <w:lang w:val="en-US"/>
        </w:rPr>
        <w:t>There is increased recognition of th</w:t>
      </w:r>
      <w:r>
        <w:rPr>
          <w:rFonts w:cstheme="minorHAnsi"/>
          <w:lang w:val="en-US"/>
        </w:rPr>
        <w:t xml:space="preserve">e need to attract and retain engineering </w:t>
      </w:r>
      <w:r w:rsidR="00920DBD">
        <w:rPr>
          <w:rFonts w:cstheme="minorHAnsi"/>
          <w:lang w:val="en-US"/>
        </w:rPr>
        <w:t>talent</w:t>
      </w:r>
      <w:r w:rsidRPr="00443BD2">
        <w:rPr>
          <w:rFonts w:cstheme="minorHAnsi"/>
          <w:lang w:val="en-US"/>
        </w:rPr>
        <w:t xml:space="preserve">, with some progress made as demonstrated in </w:t>
      </w:r>
      <w:r w:rsidR="008B3FEC" w:rsidRPr="00443BD2">
        <w:rPr>
          <w:rFonts w:cstheme="minorHAnsi"/>
          <w:lang w:val="en-US"/>
        </w:rPr>
        <w:t>the newly set-up Australian Space Agency</w:t>
      </w:r>
      <w:r w:rsidR="00443BD2">
        <w:rPr>
          <w:rFonts w:cstheme="minorHAnsi"/>
          <w:lang w:val="en-US"/>
        </w:rPr>
        <w:t xml:space="preserve"> that is</w:t>
      </w:r>
      <w:r w:rsidR="008B3FEC" w:rsidRPr="00443BD2">
        <w:rPr>
          <w:rFonts w:cstheme="minorHAnsi"/>
          <w:lang w:val="en-US"/>
        </w:rPr>
        <w:t xml:space="preserve"> designed to attract bright students with technical skills into the industry. The Defence Industry Skilling and STEM </w:t>
      </w:r>
      <w:r w:rsidR="008B3FEC" w:rsidRPr="00443BD2">
        <w:rPr>
          <w:rFonts w:cstheme="minorHAnsi"/>
          <w:lang w:val="en-US"/>
        </w:rPr>
        <w:lastRenderedPageBreak/>
        <w:t xml:space="preserve">Strategy is also a step towards training </w:t>
      </w:r>
      <w:r w:rsidR="00920DBD">
        <w:rPr>
          <w:rFonts w:cstheme="minorHAnsi"/>
          <w:lang w:val="en-US"/>
        </w:rPr>
        <w:t xml:space="preserve">the </w:t>
      </w:r>
      <w:r w:rsidR="008B3FEC" w:rsidRPr="00443BD2">
        <w:rPr>
          <w:rFonts w:cstheme="minorHAnsi"/>
          <w:lang w:val="en-US"/>
        </w:rPr>
        <w:t xml:space="preserve">future workforce in the required fields. </w:t>
      </w:r>
      <w:r w:rsidR="00E35EBF">
        <w:rPr>
          <w:rFonts w:cstheme="minorHAnsi"/>
          <w:lang w:val="en-US"/>
        </w:rPr>
        <w:t xml:space="preserve">While </w:t>
      </w:r>
      <w:r w:rsidR="00EB2CA0">
        <w:rPr>
          <w:rFonts w:cstheme="minorHAnsi"/>
          <w:lang w:val="en-US"/>
        </w:rPr>
        <w:t xml:space="preserve">such </w:t>
      </w:r>
      <w:r w:rsidR="00E35EBF">
        <w:rPr>
          <w:rFonts w:cstheme="minorHAnsi"/>
          <w:lang w:val="en-US"/>
        </w:rPr>
        <w:t>government s</w:t>
      </w:r>
      <w:r w:rsidR="00EB2CA0">
        <w:rPr>
          <w:rFonts w:cstheme="minorHAnsi"/>
          <w:lang w:val="en-US"/>
        </w:rPr>
        <w:t xml:space="preserve">trategies define the broader industry focus, collaborative work done by startups </w:t>
      </w:r>
      <w:r w:rsidR="00174028">
        <w:rPr>
          <w:rFonts w:cstheme="minorHAnsi"/>
          <w:lang w:val="en-US"/>
        </w:rPr>
        <w:t xml:space="preserve">has </w:t>
      </w:r>
      <w:r w:rsidR="00EB2CA0">
        <w:rPr>
          <w:rFonts w:cstheme="minorHAnsi"/>
          <w:lang w:val="en-US"/>
        </w:rPr>
        <w:t xml:space="preserve">set the ball rolling in the right direction. </w:t>
      </w:r>
      <w:r w:rsidR="008B3FEC" w:rsidRPr="00443BD2">
        <w:rPr>
          <w:rFonts w:cstheme="minorHAnsi"/>
          <w:lang w:val="en-US"/>
        </w:rPr>
        <w:t>JAR Aerospace</w:t>
      </w:r>
      <w:r>
        <w:rPr>
          <w:rFonts w:cstheme="minorHAnsi"/>
          <w:lang w:val="en-US"/>
        </w:rPr>
        <w:t>, a technological startup,</w:t>
      </w:r>
      <w:r w:rsidR="008B3FEC" w:rsidRPr="00443BD2">
        <w:rPr>
          <w:rFonts w:cstheme="minorHAnsi"/>
          <w:lang w:val="en-US"/>
        </w:rPr>
        <w:t xml:space="preserve"> </w:t>
      </w:r>
      <w:r w:rsidR="00174028">
        <w:rPr>
          <w:rFonts w:cstheme="minorHAnsi"/>
          <w:lang w:val="en-US"/>
        </w:rPr>
        <w:t xml:space="preserve">believes in the need for </w:t>
      </w:r>
      <w:r w:rsidR="008B3FEC" w:rsidRPr="00443BD2">
        <w:rPr>
          <w:rFonts w:cstheme="minorHAnsi"/>
          <w:lang w:val="en-US"/>
        </w:rPr>
        <w:t xml:space="preserve">a young, enthusiastic workforce </w:t>
      </w:r>
      <w:r w:rsidR="00174028">
        <w:rPr>
          <w:rFonts w:cstheme="minorHAnsi"/>
          <w:lang w:val="en-US"/>
        </w:rPr>
        <w:t xml:space="preserve">to </w:t>
      </w:r>
      <w:r w:rsidR="008B3FEC" w:rsidRPr="00443BD2">
        <w:rPr>
          <w:rFonts w:cstheme="minorHAnsi"/>
          <w:lang w:val="en-US"/>
        </w:rPr>
        <w:t>drive the industry</w:t>
      </w:r>
      <w:r w:rsidR="00174028">
        <w:rPr>
          <w:rFonts w:cstheme="minorHAnsi"/>
          <w:lang w:val="en-US"/>
        </w:rPr>
        <w:t xml:space="preserve"> forward</w:t>
      </w:r>
      <w:r w:rsidR="008B3FEC" w:rsidRPr="00443BD2">
        <w:rPr>
          <w:rFonts w:cstheme="minorHAnsi"/>
          <w:lang w:val="en-US"/>
        </w:rPr>
        <w:t>.</w:t>
      </w:r>
      <w:r w:rsidR="004A4D1E">
        <w:rPr>
          <w:rFonts w:cstheme="minorHAnsi"/>
          <w:lang w:val="en-US"/>
        </w:rPr>
        <w:t xml:space="preserve"> It</w:t>
      </w:r>
      <w:r w:rsidR="008B3FEC" w:rsidRPr="00443BD2">
        <w:rPr>
          <w:rFonts w:cstheme="minorHAnsi"/>
          <w:lang w:val="en-US"/>
        </w:rPr>
        <w:t xml:space="preserve"> has partnered with UNSW’s ARC T</w:t>
      </w:r>
      <w:r w:rsidR="004A4D1E">
        <w:rPr>
          <w:rFonts w:cstheme="minorHAnsi"/>
          <w:lang w:val="en-US"/>
        </w:rPr>
        <w:t xml:space="preserve">raining Centre for AMAC on R&amp;D and </w:t>
      </w:r>
      <w:r>
        <w:rPr>
          <w:rFonts w:cstheme="minorHAnsi"/>
          <w:lang w:val="en-US"/>
        </w:rPr>
        <w:t xml:space="preserve">has </w:t>
      </w:r>
      <w:r w:rsidR="008B3FEC" w:rsidRPr="00443BD2">
        <w:rPr>
          <w:rFonts w:cstheme="minorHAnsi"/>
          <w:lang w:val="en-US"/>
        </w:rPr>
        <w:t xml:space="preserve">also initiated an educational branch, JAR Education, </w:t>
      </w:r>
      <w:r w:rsidR="004A4D1E">
        <w:rPr>
          <w:rFonts w:cstheme="minorHAnsi"/>
          <w:lang w:val="en-US"/>
        </w:rPr>
        <w:t xml:space="preserve">separate to its commercial operations. This branch works </w:t>
      </w:r>
      <w:r w:rsidR="008B3FEC" w:rsidRPr="00443BD2">
        <w:rPr>
          <w:rFonts w:cstheme="minorHAnsi"/>
          <w:lang w:val="en-US"/>
        </w:rPr>
        <w:t>with school students in a hand</w:t>
      </w:r>
      <w:r>
        <w:rPr>
          <w:rFonts w:cstheme="minorHAnsi"/>
          <w:lang w:val="en-US"/>
        </w:rPr>
        <w:t>s</w:t>
      </w:r>
      <w:r w:rsidR="008B3FEC" w:rsidRPr="00443BD2">
        <w:rPr>
          <w:rFonts w:cstheme="minorHAnsi"/>
          <w:lang w:val="en-US"/>
        </w:rPr>
        <w:t>-on learning environment</w:t>
      </w:r>
      <w:r w:rsidR="004A4D1E">
        <w:rPr>
          <w:rFonts w:cstheme="minorHAnsi"/>
          <w:lang w:val="en-US"/>
        </w:rPr>
        <w:t>,</w:t>
      </w:r>
      <w:r w:rsidR="008B3FEC" w:rsidRPr="00443BD2">
        <w:rPr>
          <w:rFonts w:cstheme="minorHAnsi"/>
          <w:lang w:val="en-US"/>
        </w:rPr>
        <w:t xml:space="preserve"> to develop their understanding of drone science and stir their interest in STEM branches.</w:t>
      </w:r>
    </w:p>
    <w:p w14:paraId="4A7B95CB" w14:textId="204B7F55" w:rsidR="008B3FEC" w:rsidRDefault="0037059A" w:rsidP="008B3FEC">
      <w:pPr>
        <w:pStyle w:val="BodyText1"/>
      </w:pPr>
      <w:r>
        <w:t xml:space="preserve">In spite of some degree of labour </w:t>
      </w:r>
      <w:r w:rsidR="008B3FEC" w:rsidRPr="00922E25">
        <w:t xml:space="preserve">migration </w:t>
      </w:r>
      <w:r w:rsidR="008B3FEC">
        <w:t xml:space="preserve">between the defence and civil sectors, </w:t>
      </w:r>
      <w:r w:rsidR="008B3FEC" w:rsidRPr="00922E25">
        <w:t xml:space="preserve">they are mutually supporting sectors </w:t>
      </w:r>
      <w:r w:rsidR="008B3FEC">
        <w:t xml:space="preserve">in terms of meeting </w:t>
      </w:r>
      <w:r w:rsidR="008B3FEC" w:rsidRPr="00922E25">
        <w:t xml:space="preserve">skill requirements. </w:t>
      </w:r>
      <w:r w:rsidR="008B3FEC">
        <w:t>I</w:t>
      </w:r>
      <w:r w:rsidR="008B3FEC" w:rsidRPr="00922E25">
        <w:t>t was noted</w:t>
      </w:r>
      <w:r w:rsidR="008B3FEC">
        <w:t xml:space="preserve"> during consultations</w:t>
      </w:r>
      <w:r w:rsidR="008B3FEC" w:rsidRPr="00922E25">
        <w:t xml:space="preserve"> that</w:t>
      </w:r>
      <w:r w:rsidR="008B3FEC">
        <w:t>, in fact, the</w:t>
      </w:r>
      <w:r w:rsidR="008B3FEC" w:rsidRPr="00922E25">
        <w:t xml:space="preserve"> civil and defence </w:t>
      </w:r>
      <w:r w:rsidR="008B3FEC">
        <w:t xml:space="preserve">sides of the market </w:t>
      </w:r>
      <w:r w:rsidR="008B3FEC" w:rsidRPr="00922E25">
        <w:t>keep each other’s skills base refreshed</w:t>
      </w:r>
      <w:r w:rsidR="008B3FEC">
        <w:t xml:space="preserve">. For instance, </w:t>
      </w:r>
      <w:r w:rsidR="00920DBD">
        <w:t xml:space="preserve">there is </w:t>
      </w:r>
      <w:r w:rsidR="008B3FEC">
        <w:t xml:space="preserve">reduced defence training in skills like metal work, electronics and the like, while this is now a civil focus. Having a common workforce thus enables one sector to leverage the skill set of another. </w:t>
      </w:r>
      <w:r w:rsidR="008B3FEC" w:rsidRPr="00922E25">
        <w:t xml:space="preserve"> </w:t>
      </w:r>
    </w:p>
    <w:p w14:paraId="022E66BD" w14:textId="0B60A544" w:rsidR="008B3FEC" w:rsidRDefault="008B3FEC" w:rsidP="008B3FEC">
      <w:pPr>
        <w:pStyle w:val="BodyText1"/>
      </w:pPr>
      <w:r w:rsidRPr="00933D93">
        <w:t>While a VET certification does equip individu</w:t>
      </w:r>
      <w:r>
        <w:t>al</w:t>
      </w:r>
      <w:r w:rsidRPr="00933D93">
        <w:t>s with the necessary qualifications</w:t>
      </w:r>
      <w:r>
        <w:t xml:space="preserve"> and skills</w:t>
      </w:r>
      <w:r w:rsidRPr="00933D93">
        <w:t xml:space="preserve"> to enter the </w:t>
      </w:r>
      <w:r>
        <w:t>Aircraft Manufacturing and Repair Services</w:t>
      </w:r>
      <w:r w:rsidRPr="00933D93">
        <w:t xml:space="preserve"> industry, obtaining a university qualification </w:t>
      </w:r>
      <w:r>
        <w:t xml:space="preserve">also </w:t>
      </w:r>
      <w:r w:rsidRPr="00933D93">
        <w:t>retain</w:t>
      </w:r>
      <w:r>
        <w:t>s</w:t>
      </w:r>
      <w:r w:rsidRPr="00933D93">
        <w:t xml:space="preserve"> its appeal and importance. </w:t>
      </w:r>
      <w:r>
        <w:t>In 2016-17, of the total workers employed by the Aircraft Manufacturing and Repair Services</w:t>
      </w:r>
      <w:r w:rsidRPr="00933D93">
        <w:t xml:space="preserve"> industry</w:t>
      </w:r>
      <w:r>
        <w:t>, approximately 1,100 (or only 15 per cent) had a VET qualification (majorly Certificate IV), while the remaining 85 per cent were university graduates.</w:t>
      </w:r>
      <w:r>
        <w:rPr>
          <w:rStyle w:val="FootnoteReference"/>
        </w:rPr>
        <w:footnoteReference w:id="7"/>
      </w:r>
      <w:r>
        <w:t xml:space="preserve"> Individuals with higher education in engineering are considered to be well-qualified and highly employable, and thus are sought after not just by the Aircraft Manufacturing and Repair Services industry, but also by other industries. </w:t>
      </w:r>
    </w:p>
    <w:p w14:paraId="492819E8" w14:textId="64D10209" w:rsidR="008B3FEC" w:rsidRDefault="005B59CD" w:rsidP="008B3FEC">
      <w:pPr>
        <w:pStyle w:val="BodyText1"/>
        <w:rPr>
          <w:rFonts w:asciiTheme="minorHAnsi" w:hAnsiTheme="minorHAnsi"/>
          <w:i/>
          <w:iCs/>
          <w:noProof/>
          <w:color w:val="44546A" w:themeColor="text2"/>
          <w:sz w:val="18"/>
          <w:szCs w:val="18"/>
          <w:lang w:eastAsia="en-AU"/>
        </w:rPr>
      </w:pPr>
      <w:r>
        <w:fldChar w:fldCharType="begin"/>
      </w:r>
      <w:r>
        <w:instrText xml:space="preserve"> REF _Ref954047 \h </w:instrText>
      </w:r>
      <w:r>
        <w:fldChar w:fldCharType="separate"/>
      </w:r>
      <w:r w:rsidR="002742CB">
        <w:rPr>
          <w:b/>
          <w:bCs/>
          <w:lang w:val="en-US"/>
        </w:rPr>
        <w:fldChar w:fldCharType="begin"/>
      </w:r>
      <w:r w:rsidR="002742CB">
        <w:instrText xml:space="preserve"> REF _Ref9593690 \h </w:instrText>
      </w:r>
      <w:r w:rsidR="002742CB">
        <w:rPr>
          <w:b/>
          <w:bCs/>
          <w:lang w:val="en-US"/>
        </w:rPr>
      </w:r>
      <w:r w:rsidR="002742CB">
        <w:rPr>
          <w:b/>
          <w:bCs/>
          <w:lang w:val="en-US"/>
        </w:rPr>
        <w:fldChar w:fldCharType="separate"/>
      </w:r>
      <w:r w:rsidR="002742CB">
        <w:t xml:space="preserve">Figure </w:t>
      </w:r>
      <w:r w:rsidR="002742CB">
        <w:rPr>
          <w:noProof/>
        </w:rPr>
        <w:t>6</w:t>
      </w:r>
      <w:r w:rsidR="002742CB">
        <w:rPr>
          <w:noProof/>
        </w:rPr>
        <w:fldChar w:fldCharType="end"/>
      </w:r>
      <w:r>
        <w:fldChar w:fldCharType="end"/>
      </w:r>
      <w:r w:rsidR="008B3FEC">
        <w:t xml:space="preserve"> </w:t>
      </w:r>
      <w:proofErr w:type="gramStart"/>
      <w:r w:rsidR="008B3FEC">
        <w:t>lists</w:t>
      </w:r>
      <w:proofErr w:type="gramEnd"/>
      <w:r w:rsidR="008B3FEC">
        <w:t xml:space="preserve"> the top six qualifications in the Aircraft Manufacturing and Repair Services industry (indicated in the blue boxes, as measured by the share of all those employed in this industry). It then identifies the major other industry competitors for these skills. </w:t>
      </w:r>
    </w:p>
    <w:p w14:paraId="2276AA6F" w14:textId="124F3C94" w:rsidR="008B3FEC" w:rsidRPr="00D32BF3" w:rsidRDefault="002B749E" w:rsidP="00821B69">
      <w:pPr>
        <w:pStyle w:val="Caption"/>
      </w:pPr>
      <w:r>
        <w:t>Figue 6: Top five industry competitors for top aerospace qualifications (2016)</w:t>
      </w:r>
    </w:p>
    <w:tbl>
      <w:tblPr>
        <w:tblW w:w="0" w:type="auto"/>
        <w:tblBorders>
          <w:insideH w:val="single" w:sz="2" w:space="0" w:color="D9D9D9" w:themeColor="background1" w:themeShade="D9"/>
        </w:tblBorders>
        <w:tblLayout w:type="fixed"/>
        <w:tblCellMar>
          <w:top w:w="28" w:type="dxa"/>
          <w:bottom w:w="28" w:type="dxa"/>
        </w:tblCellMar>
        <w:tblLook w:val="04A0" w:firstRow="1" w:lastRow="0" w:firstColumn="1" w:lastColumn="0" w:noHBand="0" w:noVBand="1"/>
        <w:tblCaption w:val="Figure 6"/>
        <w:tblDescription w:val="Top five industry competitos for top aerospace qualifications (2016)"/>
      </w:tblPr>
      <w:tblGrid>
        <w:gridCol w:w="1474"/>
        <w:gridCol w:w="1559"/>
        <w:gridCol w:w="1729"/>
        <w:gridCol w:w="1588"/>
        <w:gridCol w:w="1361"/>
        <w:gridCol w:w="1304"/>
      </w:tblGrid>
      <w:tr w:rsidR="00920DBD" w:rsidRPr="007C068F" w14:paraId="6C3B8449" w14:textId="77777777" w:rsidTr="00E577CA">
        <w:trPr>
          <w:trHeight w:hRule="exact" w:val="794"/>
        </w:trPr>
        <w:tc>
          <w:tcPr>
            <w:tcW w:w="1474" w:type="dxa"/>
            <w:shd w:val="clear" w:color="auto" w:fill="0091DA" w:themeFill="accent2"/>
            <w:vAlign w:val="center"/>
            <w:hideMark/>
          </w:tcPr>
          <w:p w14:paraId="3D7523F0" w14:textId="77777777" w:rsidR="008B3FEC" w:rsidRPr="007C068F" w:rsidRDefault="008B3FEC" w:rsidP="00040675">
            <w:pPr>
              <w:spacing w:before="0" w:after="0"/>
              <w:rPr>
                <w:rFonts w:eastAsia="Times New Roman" w:cs="Arial"/>
                <w:b/>
                <w:bCs/>
                <w:color w:val="FFFFFF"/>
                <w:sz w:val="16"/>
                <w:szCs w:val="16"/>
                <w:lang w:eastAsia="en-AU"/>
              </w:rPr>
            </w:pPr>
            <w:r w:rsidRPr="007C068F">
              <w:rPr>
                <w:rFonts w:eastAsia="Times New Roman" w:cs="Arial"/>
                <w:b/>
                <w:bCs/>
                <w:color w:val="FFFFFF"/>
                <w:sz w:val="16"/>
                <w:szCs w:val="16"/>
                <w:lang w:eastAsia="en-AU"/>
              </w:rPr>
              <w:t>Aerospace Engineering and Technology</w:t>
            </w:r>
          </w:p>
        </w:tc>
        <w:tc>
          <w:tcPr>
            <w:tcW w:w="1559" w:type="dxa"/>
            <w:shd w:val="clear" w:color="auto" w:fill="F2F2F2" w:themeFill="background1" w:themeFillShade="F2"/>
            <w:vAlign w:val="center"/>
            <w:hideMark/>
          </w:tcPr>
          <w:p w14:paraId="51F09031" w14:textId="77777777" w:rsidR="008B3FEC" w:rsidRPr="007C068F" w:rsidRDefault="008B3FEC" w:rsidP="00040675">
            <w:pPr>
              <w:spacing w:before="0" w:after="0"/>
              <w:rPr>
                <w:rFonts w:eastAsia="Times New Roman" w:cs="Arial"/>
                <w:b/>
                <w:bCs/>
                <w:color w:val="000000" w:themeColor="text1"/>
                <w:sz w:val="15"/>
                <w:szCs w:val="15"/>
                <w:lang w:eastAsia="en-AU"/>
              </w:rPr>
            </w:pPr>
            <w:r w:rsidRPr="007C068F">
              <w:rPr>
                <w:rFonts w:eastAsia="Times New Roman" w:cs="Arial"/>
                <w:b/>
                <w:bCs/>
                <w:color w:val="000000" w:themeColor="text1"/>
                <w:sz w:val="15"/>
                <w:szCs w:val="15"/>
                <w:lang w:eastAsia="en-AU"/>
              </w:rPr>
              <w:t>Air and Space Transport (19%)</w:t>
            </w:r>
          </w:p>
        </w:tc>
        <w:tc>
          <w:tcPr>
            <w:tcW w:w="1729" w:type="dxa"/>
            <w:shd w:val="clear" w:color="auto" w:fill="F2F2F2" w:themeFill="background1" w:themeFillShade="F2"/>
            <w:vAlign w:val="center"/>
            <w:hideMark/>
          </w:tcPr>
          <w:p w14:paraId="14D8981F" w14:textId="77777777" w:rsidR="008B3FEC" w:rsidRPr="007C068F" w:rsidRDefault="008B3FEC" w:rsidP="00040675">
            <w:pPr>
              <w:spacing w:before="0" w:after="0"/>
              <w:rPr>
                <w:rFonts w:eastAsia="Times New Roman" w:cs="Arial"/>
                <w:b/>
                <w:bCs/>
                <w:color w:val="000000" w:themeColor="text1"/>
                <w:sz w:val="15"/>
                <w:szCs w:val="15"/>
                <w:lang w:eastAsia="en-AU"/>
              </w:rPr>
            </w:pPr>
            <w:r w:rsidRPr="007C068F">
              <w:rPr>
                <w:rFonts w:eastAsia="Times New Roman" w:cs="Arial"/>
                <w:b/>
                <w:bCs/>
                <w:color w:val="000000" w:themeColor="text1"/>
                <w:sz w:val="15"/>
                <w:szCs w:val="15"/>
                <w:lang w:eastAsia="en-AU"/>
              </w:rPr>
              <w:t>Defence (6%)</w:t>
            </w:r>
          </w:p>
        </w:tc>
        <w:tc>
          <w:tcPr>
            <w:tcW w:w="1588" w:type="dxa"/>
            <w:shd w:val="clear" w:color="auto" w:fill="F2F2F2" w:themeFill="background1" w:themeFillShade="F2"/>
            <w:vAlign w:val="center"/>
            <w:hideMark/>
          </w:tcPr>
          <w:p w14:paraId="54509B74" w14:textId="77777777" w:rsidR="008B3FEC" w:rsidRPr="007C068F" w:rsidRDefault="008B3FEC" w:rsidP="00040675">
            <w:pPr>
              <w:spacing w:before="0" w:after="0"/>
              <w:rPr>
                <w:rFonts w:eastAsia="Times New Roman" w:cs="Arial"/>
                <w:b/>
                <w:bCs/>
                <w:color w:val="000000" w:themeColor="text1"/>
                <w:sz w:val="15"/>
                <w:szCs w:val="15"/>
                <w:lang w:eastAsia="en-AU"/>
              </w:rPr>
            </w:pPr>
            <w:r w:rsidRPr="007C068F">
              <w:rPr>
                <w:rFonts w:eastAsia="Times New Roman" w:cs="Arial"/>
                <w:b/>
                <w:bCs/>
                <w:color w:val="000000" w:themeColor="text1"/>
                <w:sz w:val="15"/>
                <w:szCs w:val="15"/>
                <w:lang w:eastAsia="en-AU"/>
              </w:rPr>
              <w:t>Transport Equipment Manufacturing (5%)</w:t>
            </w:r>
          </w:p>
        </w:tc>
        <w:tc>
          <w:tcPr>
            <w:tcW w:w="1361" w:type="dxa"/>
            <w:shd w:val="clear" w:color="auto" w:fill="F2F2F2" w:themeFill="background1" w:themeFillShade="F2"/>
            <w:vAlign w:val="center"/>
            <w:hideMark/>
          </w:tcPr>
          <w:p w14:paraId="336881D7" w14:textId="77777777" w:rsidR="008B3FEC" w:rsidRPr="007C068F" w:rsidRDefault="008B3FEC" w:rsidP="00040675">
            <w:pPr>
              <w:spacing w:before="0" w:after="0"/>
              <w:rPr>
                <w:rFonts w:eastAsia="Times New Roman" w:cs="Arial"/>
                <w:b/>
                <w:bCs/>
                <w:color w:val="000000" w:themeColor="text1"/>
                <w:sz w:val="15"/>
                <w:szCs w:val="15"/>
                <w:lang w:eastAsia="en-AU"/>
              </w:rPr>
            </w:pPr>
            <w:r w:rsidRPr="007C068F">
              <w:rPr>
                <w:rFonts w:eastAsia="Times New Roman" w:cs="Arial"/>
                <w:b/>
                <w:bCs/>
                <w:color w:val="000000" w:themeColor="text1"/>
                <w:sz w:val="15"/>
                <w:szCs w:val="15"/>
                <w:lang w:eastAsia="en-AU"/>
              </w:rPr>
              <w:t>Transport Support Services (2%)</w:t>
            </w:r>
          </w:p>
        </w:tc>
        <w:tc>
          <w:tcPr>
            <w:tcW w:w="1304" w:type="dxa"/>
            <w:shd w:val="clear" w:color="auto" w:fill="F2F2F2" w:themeFill="background1" w:themeFillShade="F2"/>
            <w:vAlign w:val="center"/>
            <w:hideMark/>
          </w:tcPr>
          <w:p w14:paraId="4B49E0A2" w14:textId="77777777" w:rsidR="008B3FEC" w:rsidRPr="007C068F" w:rsidRDefault="008B3FEC" w:rsidP="00040675">
            <w:pPr>
              <w:spacing w:before="0" w:after="0"/>
              <w:rPr>
                <w:rFonts w:eastAsia="Times New Roman" w:cs="Arial"/>
                <w:b/>
                <w:bCs/>
                <w:color w:val="000000" w:themeColor="text1"/>
                <w:sz w:val="15"/>
                <w:szCs w:val="15"/>
                <w:lang w:eastAsia="en-AU"/>
              </w:rPr>
            </w:pPr>
            <w:r w:rsidRPr="007C068F">
              <w:rPr>
                <w:rFonts w:eastAsia="Times New Roman" w:cs="Arial"/>
                <w:b/>
                <w:bCs/>
                <w:color w:val="000000" w:themeColor="text1"/>
                <w:sz w:val="15"/>
                <w:szCs w:val="15"/>
                <w:lang w:eastAsia="en-AU"/>
              </w:rPr>
              <w:t>Other Transport (1%)</w:t>
            </w:r>
          </w:p>
        </w:tc>
      </w:tr>
      <w:tr w:rsidR="00920DBD" w:rsidRPr="007C068F" w14:paraId="5B0BB6F0" w14:textId="77777777" w:rsidTr="00E577CA">
        <w:trPr>
          <w:trHeight w:hRule="exact" w:val="794"/>
        </w:trPr>
        <w:tc>
          <w:tcPr>
            <w:tcW w:w="1474" w:type="dxa"/>
            <w:shd w:val="clear" w:color="auto" w:fill="0091DA" w:themeFill="accent2"/>
            <w:vAlign w:val="center"/>
            <w:hideMark/>
          </w:tcPr>
          <w:p w14:paraId="424ED1C4" w14:textId="77777777" w:rsidR="008B3FEC" w:rsidRPr="007C068F" w:rsidRDefault="008B3FEC" w:rsidP="00040675">
            <w:pPr>
              <w:spacing w:before="0" w:after="0"/>
              <w:rPr>
                <w:rFonts w:eastAsia="Times New Roman" w:cs="Arial"/>
                <w:b/>
                <w:bCs/>
                <w:color w:val="FFFFFF"/>
                <w:sz w:val="16"/>
                <w:szCs w:val="16"/>
                <w:lang w:eastAsia="en-AU"/>
              </w:rPr>
            </w:pPr>
            <w:r w:rsidRPr="007C068F">
              <w:rPr>
                <w:rFonts w:eastAsia="Times New Roman" w:cs="Arial"/>
                <w:b/>
                <w:bCs/>
                <w:color w:val="FFFFFF"/>
                <w:sz w:val="16"/>
                <w:szCs w:val="16"/>
                <w:lang w:eastAsia="en-AU"/>
              </w:rPr>
              <w:t>Engineering and Related Technologies, nfd</w:t>
            </w:r>
          </w:p>
        </w:tc>
        <w:tc>
          <w:tcPr>
            <w:tcW w:w="1559" w:type="dxa"/>
            <w:shd w:val="clear" w:color="auto" w:fill="F2F2F2" w:themeFill="background1" w:themeFillShade="F2"/>
            <w:vAlign w:val="center"/>
            <w:hideMark/>
          </w:tcPr>
          <w:p w14:paraId="64D21FBF" w14:textId="77777777" w:rsidR="008B3FEC" w:rsidRPr="007C068F" w:rsidRDefault="008B3FEC" w:rsidP="00040675">
            <w:pPr>
              <w:spacing w:before="0" w:after="0"/>
              <w:rPr>
                <w:rFonts w:eastAsia="Times New Roman" w:cs="Arial"/>
                <w:b/>
                <w:bCs/>
                <w:color w:val="000000" w:themeColor="text1"/>
                <w:sz w:val="15"/>
                <w:szCs w:val="15"/>
                <w:lang w:eastAsia="en-AU"/>
              </w:rPr>
            </w:pPr>
            <w:r w:rsidRPr="007C068F">
              <w:rPr>
                <w:rFonts w:eastAsia="Times New Roman" w:cs="Arial"/>
                <w:b/>
                <w:bCs/>
                <w:color w:val="000000" w:themeColor="text1"/>
                <w:sz w:val="15"/>
                <w:szCs w:val="15"/>
                <w:lang w:eastAsia="en-AU"/>
              </w:rPr>
              <w:t>Oil and Gas Extraction (14%)</w:t>
            </w:r>
          </w:p>
        </w:tc>
        <w:tc>
          <w:tcPr>
            <w:tcW w:w="1729" w:type="dxa"/>
            <w:shd w:val="clear" w:color="auto" w:fill="F2F2F2" w:themeFill="background1" w:themeFillShade="F2"/>
            <w:vAlign w:val="center"/>
            <w:hideMark/>
          </w:tcPr>
          <w:p w14:paraId="6C18D087" w14:textId="77777777" w:rsidR="008B3FEC" w:rsidRPr="007C068F" w:rsidRDefault="008B3FEC" w:rsidP="00040675">
            <w:pPr>
              <w:spacing w:before="0" w:after="0"/>
              <w:rPr>
                <w:rFonts w:eastAsia="Times New Roman" w:cs="Arial"/>
                <w:b/>
                <w:bCs/>
                <w:color w:val="000000" w:themeColor="text1"/>
                <w:sz w:val="15"/>
                <w:szCs w:val="15"/>
                <w:lang w:eastAsia="en-AU"/>
              </w:rPr>
            </w:pPr>
            <w:r w:rsidRPr="007C068F">
              <w:rPr>
                <w:rFonts w:eastAsia="Times New Roman" w:cs="Arial"/>
                <w:b/>
                <w:bCs/>
                <w:color w:val="000000" w:themeColor="text1"/>
                <w:sz w:val="15"/>
                <w:szCs w:val="15"/>
                <w:lang w:eastAsia="en-AU"/>
              </w:rPr>
              <w:t>Repair and Maintenance (11%)</w:t>
            </w:r>
          </w:p>
        </w:tc>
        <w:tc>
          <w:tcPr>
            <w:tcW w:w="1588" w:type="dxa"/>
            <w:shd w:val="clear" w:color="auto" w:fill="F2F2F2" w:themeFill="background1" w:themeFillShade="F2"/>
            <w:vAlign w:val="center"/>
            <w:hideMark/>
          </w:tcPr>
          <w:p w14:paraId="0F04CBB3" w14:textId="77777777" w:rsidR="008B3FEC" w:rsidRPr="007C068F" w:rsidRDefault="008B3FEC" w:rsidP="00040675">
            <w:pPr>
              <w:spacing w:before="0" w:after="0"/>
              <w:rPr>
                <w:rFonts w:eastAsia="Times New Roman" w:cs="Arial"/>
                <w:b/>
                <w:bCs/>
                <w:color w:val="000000" w:themeColor="text1"/>
                <w:sz w:val="15"/>
                <w:szCs w:val="15"/>
                <w:lang w:eastAsia="en-AU"/>
              </w:rPr>
            </w:pPr>
            <w:r w:rsidRPr="007C068F">
              <w:rPr>
                <w:rFonts w:eastAsia="Times New Roman" w:cs="Arial"/>
                <w:b/>
                <w:bCs/>
                <w:color w:val="000000" w:themeColor="text1"/>
                <w:sz w:val="15"/>
                <w:szCs w:val="15"/>
                <w:lang w:eastAsia="en-AU"/>
              </w:rPr>
              <w:t>Transport Equipment Manufacturing (10%)</w:t>
            </w:r>
          </w:p>
        </w:tc>
        <w:tc>
          <w:tcPr>
            <w:tcW w:w="1361" w:type="dxa"/>
            <w:shd w:val="clear" w:color="auto" w:fill="F2F2F2" w:themeFill="background1" w:themeFillShade="F2"/>
            <w:vAlign w:val="center"/>
            <w:hideMark/>
          </w:tcPr>
          <w:p w14:paraId="460740DC" w14:textId="77777777" w:rsidR="008B3FEC" w:rsidRPr="007C068F" w:rsidRDefault="008B3FEC" w:rsidP="00040675">
            <w:pPr>
              <w:spacing w:before="0" w:after="0"/>
              <w:rPr>
                <w:rFonts w:eastAsia="Times New Roman" w:cs="Arial"/>
                <w:b/>
                <w:bCs/>
                <w:color w:val="000000" w:themeColor="text1"/>
                <w:sz w:val="15"/>
                <w:szCs w:val="15"/>
                <w:lang w:eastAsia="en-AU"/>
              </w:rPr>
            </w:pPr>
            <w:r w:rsidRPr="007C068F">
              <w:rPr>
                <w:rFonts w:eastAsia="Times New Roman" w:cs="Arial"/>
                <w:b/>
                <w:bCs/>
                <w:color w:val="000000" w:themeColor="text1"/>
                <w:sz w:val="15"/>
                <w:szCs w:val="15"/>
                <w:lang w:eastAsia="en-AU"/>
              </w:rPr>
              <w:t>Machinery and Equipment Manufacturing (10%)</w:t>
            </w:r>
          </w:p>
        </w:tc>
        <w:tc>
          <w:tcPr>
            <w:tcW w:w="1304" w:type="dxa"/>
            <w:shd w:val="clear" w:color="auto" w:fill="F2F2F2" w:themeFill="background1" w:themeFillShade="F2"/>
            <w:vAlign w:val="center"/>
            <w:hideMark/>
          </w:tcPr>
          <w:p w14:paraId="1F4FFF8E" w14:textId="77777777" w:rsidR="008B3FEC" w:rsidRPr="007C068F" w:rsidRDefault="008B3FEC" w:rsidP="00040675">
            <w:pPr>
              <w:spacing w:before="0" w:after="0"/>
              <w:rPr>
                <w:rFonts w:eastAsia="Times New Roman" w:cs="Arial"/>
                <w:b/>
                <w:bCs/>
                <w:color w:val="000000" w:themeColor="text1"/>
                <w:sz w:val="15"/>
                <w:szCs w:val="15"/>
                <w:lang w:eastAsia="en-AU"/>
              </w:rPr>
            </w:pPr>
            <w:r w:rsidRPr="007C068F">
              <w:rPr>
                <w:rFonts w:eastAsia="Times New Roman" w:cs="Arial"/>
                <w:b/>
                <w:bCs/>
                <w:color w:val="000000" w:themeColor="text1"/>
                <w:sz w:val="15"/>
                <w:szCs w:val="15"/>
                <w:lang w:eastAsia="en-AU"/>
              </w:rPr>
              <w:t>Petroleum and Coal Product Manufacturing (10%)</w:t>
            </w:r>
          </w:p>
        </w:tc>
      </w:tr>
      <w:tr w:rsidR="00920DBD" w:rsidRPr="007C068F" w14:paraId="5EA02E8F" w14:textId="77777777" w:rsidTr="00E577CA">
        <w:trPr>
          <w:trHeight w:hRule="exact" w:val="794"/>
        </w:trPr>
        <w:tc>
          <w:tcPr>
            <w:tcW w:w="1474" w:type="dxa"/>
            <w:shd w:val="clear" w:color="auto" w:fill="0091DA" w:themeFill="accent2"/>
            <w:vAlign w:val="center"/>
            <w:hideMark/>
          </w:tcPr>
          <w:p w14:paraId="6B75F28C" w14:textId="77777777" w:rsidR="008B3FEC" w:rsidRPr="007C068F" w:rsidRDefault="008B3FEC" w:rsidP="00040675">
            <w:pPr>
              <w:spacing w:before="0" w:after="0"/>
              <w:rPr>
                <w:rFonts w:eastAsia="Times New Roman" w:cs="Arial"/>
                <w:b/>
                <w:bCs/>
                <w:color w:val="FFFFFF"/>
                <w:sz w:val="16"/>
                <w:szCs w:val="16"/>
                <w:lang w:eastAsia="en-AU"/>
              </w:rPr>
            </w:pPr>
            <w:r w:rsidRPr="007C068F">
              <w:rPr>
                <w:rFonts w:eastAsia="Times New Roman" w:cs="Arial"/>
                <w:b/>
                <w:bCs/>
                <w:color w:val="FFFFFF"/>
                <w:sz w:val="16"/>
                <w:szCs w:val="16"/>
                <w:lang w:eastAsia="en-AU"/>
              </w:rPr>
              <w:t>Business and Management</w:t>
            </w:r>
          </w:p>
        </w:tc>
        <w:tc>
          <w:tcPr>
            <w:tcW w:w="1559" w:type="dxa"/>
            <w:shd w:val="clear" w:color="auto" w:fill="F2F2F2" w:themeFill="background1" w:themeFillShade="F2"/>
            <w:vAlign w:val="center"/>
            <w:hideMark/>
          </w:tcPr>
          <w:p w14:paraId="26E6CB23" w14:textId="77777777" w:rsidR="008B3FEC" w:rsidRPr="007C068F" w:rsidRDefault="008B3FEC" w:rsidP="00040675">
            <w:pPr>
              <w:spacing w:before="0" w:after="0"/>
              <w:rPr>
                <w:rFonts w:eastAsia="Times New Roman" w:cs="Arial"/>
                <w:b/>
                <w:bCs/>
                <w:color w:val="000000" w:themeColor="text1"/>
                <w:sz w:val="15"/>
                <w:szCs w:val="15"/>
                <w:lang w:eastAsia="en-AU"/>
              </w:rPr>
            </w:pPr>
            <w:r w:rsidRPr="007C068F">
              <w:rPr>
                <w:rFonts w:eastAsia="Times New Roman" w:cs="Arial"/>
                <w:b/>
                <w:bCs/>
                <w:color w:val="000000" w:themeColor="text1"/>
                <w:sz w:val="15"/>
                <w:szCs w:val="15"/>
                <w:lang w:eastAsia="en-AU"/>
              </w:rPr>
              <w:t>Administrative and Support Services, nfd (16%)</w:t>
            </w:r>
          </w:p>
        </w:tc>
        <w:tc>
          <w:tcPr>
            <w:tcW w:w="1729" w:type="dxa"/>
            <w:shd w:val="clear" w:color="auto" w:fill="F2F2F2" w:themeFill="background1" w:themeFillShade="F2"/>
            <w:vAlign w:val="center"/>
            <w:hideMark/>
          </w:tcPr>
          <w:p w14:paraId="7F0BD54D" w14:textId="77777777" w:rsidR="008B3FEC" w:rsidRPr="007C068F" w:rsidRDefault="008B3FEC" w:rsidP="00040675">
            <w:pPr>
              <w:spacing w:before="0" w:after="0"/>
              <w:rPr>
                <w:rFonts w:eastAsia="Times New Roman" w:cs="Arial"/>
                <w:b/>
                <w:bCs/>
                <w:color w:val="000000" w:themeColor="text1"/>
                <w:sz w:val="15"/>
                <w:szCs w:val="15"/>
                <w:lang w:eastAsia="en-AU"/>
              </w:rPr>
            </w:pPr>
            <w:r w:rsidRPr="007C068F">
              <w:rPr>
                <w:rFonts w:eastAsia="Times New Roman" w:cs="Arial"/>
                <w:b/>
                <w:bCs/>
                <w:color w:val="000000" w:themeColor="text1"/>
                <w:sz w:val="15"/>
                <w:szCs w:val="15"/>
                <w:lang w:eastAsia="en-AU"/>
              </w:rPr>
              <w:t>Administrative Services (14%)</w:t>
            </w:r>
          </w:p>
        </w:tc>
        <w:tc>
          <w:tcPr>
            <w:tcW w:w="1588" w:type="dxa"/>
            <w:shd w:val="clear" w:color="auto" w:fill="F2F2F2" w:themeFill="background1" w:themeFillShade="F2"/>
            <w:vAlign w:val="center"/>
            <w:hideMark/>
          </w:tcPr>
          <w:p w14:paraId="0402F824" w14:textId="77777777" w:rsidR="008B3FEC" w:rsidRPr="007C068F" w:rsidRDefault="008B3FEC" w:rsidP="00040675">
            <w:pPr>
              <w:spacing w:before="0" w:after="0"/>
              <w:rPr>
                <w:rFonts w:eastAsia="Times New Roman" w:cs="Arial"/>
                <w:b/>
                <w:bCs/>
                <w:color w:val="000000" w:themeColor="text1"/>
                <w:sz w:val="15"/>
                <w:szCs w:val="15"/>
                <w:lang w:eastAsia="en-AU"/>
              </w:rPr>
            </w:pPr>
            <w:r w:rsidRPr="007C068F">
              <w:rPr>
                <w:rFonts w:eastAsia="Times New Roman" w:cs="Arial"/>
                <w:b/>
                <w:bCs/>
                <w:color w:val="000000" w:themeColor="text1"/>
                <w:sz w:val="15"/>
                <w:szCs w:val="15"/>
                <w:lang w:eastAsia="en-AU"/>
              </w:rPr>
              <w:t>Insurance and Superannuation Funds (13%)</w:t>
            </w:r>
          </w:p>
        </w:tc>
        <w:tc>
          <w:tcPr>
            <w:tcW w:w="1361" w:type="dxa"/>
            <w:shd w:val="clear" w:color="auto" w:fill="F2F2F2" w:themeFill="background1" w:themeFillShade="F2"/>
            <w:vAlign w:val="center"/>
            <w:hideMark/>
          </w:tcPr>
          <w:p w14:paraId="00F638A6" w14:textId="77777777" w:rsidR="008B3FEC" w:rsidRPr="007C068F" w:rsidRDefault="008B3FEC" w:rsidP="00040675">
            <w:pPr>
              <w:spacing w:before="0" w:after="0"/>
              <w:rPr>
                <w:rFonts w:eastAsia="Times New Roman" w:cs="Arial"/>
                <w:b/>
                <w:bCs/>
                <w:color w:val="000000" w:themeColor="text1"/>
                <w:sz w:val="15"/>
                <w:szCs w:val="15"/>
                <w:lang w:eastAsia="en-AU"/>
              </w:rPr>
            </w:pPr>
            <w:r w:rsidRPr="007C068F">
              <w:rPr>
                <w:rFonts w:eastAsia="Times New Roman" w:cs="Arial"/>
                <w:b/>
                <w:bCs/>
                <w:color w:val="000000" w:themeColor="text1"/>
                <w:sz w:val="15"/>
                <w:szCs w:val="15"/>
                <w:lang w:eastAsia="en-AU"/>
              </w:rPr>
              <w:t>Finance (13%)</w:t>
            </w:r>
          </w:p>
        </w:tc>
        <w:tc>
          <w:tcPr>
            <w:tcW w:w="1304" w:type="dxa"/>
            <w:shd w:val="clear" w:color="auto" w:fill="F2F2F2" w:themeFill="background1" w:themeFillShade="F2"/>
            <w:vAlign w:val="center"/>
            <w:hideMark/>
          </w:tcPr>
          <w:p w14:paraId="00E7FB4B" w14:textId="77777777" w:rsidR="008B3FEC" w:rsidRPr="007C068F" w:rsidRDefault="008B3FEC" w:rsidP="00040675">
            <w:pPr>
              <w:spacing w:before="0" w:after="0"/>
              <w:rPr>
                <w:rFonts w:eastAsia="Times New Roman" w:cs="Arial"/>
                <w:b/>
                <w:bCs/>
                <w:color w:val="000000" w:themeColor="text1"/>
                <w:sz w:val="15"/>
                <w:szCs w:val="15"/>
                <w:lang w:eastAsia="en-AU"/>
              </w:rPr>
            </w:pPr>
            <w:r w:rsidRPr="007C068F">
              <w:rPr>
                <w:rFonts w:eastAsia="Times New Roman" w:cs="Arial"/>
                <w:b/>
                <w:bCs/>
                <w:color w:val="000000" w:themeColor="text1"/>
                <w:sz w:val="15"/>
                <w:szCs w:val="15"/>
                <w:lang w:eastAsia="en-AU"/>
              </w:rPr>
              <w:t>Public Administration (13%)</w:t>
            </w:r>
          </w:p>
        </w:tc>
      </w:tr>
      <w:tr w:rsidR="00920DBD" w:rsidRPr="007C068F" w14:paraId="344B0A72" w14:textId="77777777" w:rsidTr="00E577CA">
        <w:trPr>
          <w:trHeight w:hRule="exact" w:val="794"/>
        </w:trPr>
        <w:tc>
          <w:tcPr>
            <w:tcW w:w="1474" w:type="dxa"/>
            <w:shd w:val="clear" w:color="auto" w:fill="0091DA" w:themeFill="accent2"/>
            <w:vAlign w:val="center"/>
            <w:hideMark/>
          </w:tcPr>
          <w:p w14:paraId="4226FFC6" w14:textId="77777777" w:rsidR="008B3FEC" w:rsidRPr="007C068F" w:rsidRDefault="008B3FEC" w:rsidP="00040675">
            <w:pPr>
              <w:spacing w:before="0" w:after="0"/>
              <w:rPr>
                <w:rFonts w:eastAsia="Times New Roman" w:cs="Arial"/>
                <w:b/>
                <w:bCs/>
                <w:color w:val="FFFFFF"/>
                <w:sz w:val="16"/>
                <w:szCs w:val="16"/>
                <w:lang w:eastAsia="en-AU"/>
              </w:rPr>
            </w:pPr>
            <w:r w:rsidRPr="007C068F">
              <w:rPr>
                <w:rFonts w:eastAsia="Times New Roman" w:cs="Arial"/>
                <w:b/>
                <w:bCs/>
                <w:color w:val="FFFFFF"/>
                <w:sz w:val="16"/>
                <w:szCs w:val="16"/>
                <w:lang w:eastAsia="en-AU"/>
              </w:rPr>
              <w:t>Mechanical and Industrial Engineering and Technology</w:t>
            </w:r>
          </w:p>
        </w:tc>
        <w:tc>
          <w:tcPr>
            <w:tcW w:w="1559" w:type="dxa"/>
            <w:shd w:val="clear" w:color="auto" w:fill="F2F2F2" w:themeFill="background1" w:themeFillShade="F2"/>
            <w:vAlign w:val="center"/>
            <w:hideMark/>
          </w:tcPr>
          <w:p w14:paraId="6D2F15A9" w14:textId="77777777" w:rsidR="008B3FEC" w:rsidRPr="007C068F" w:rsidRDefault="008B3FEC" w:rsidP="00040675">
            <w:pPr>
              <w:spacing w:before="0" w:after="0"/>
              <w:rPr>
                <w:rFonts w:eastAsia="Times New Roman" w:cs="Arial"/>
                <w:b/>
                <w:bCs/>
                <w:color w:val="000000" w:themeColor="text1"/>
                <w:sz w:val="15"/>
                <w:szCs w:val="15"/>
                <w:lang w:eastAsia="en-AU"/>
              </w:rPr>
            </w:pPr>
            <w:r w:rsidRPr="007C068F">
              <w:rPr>
                <w:rFonts w:eastAsia="Times New Roman" w:cs="Arial"/>
                <w:b/>
                <w:bCs/>
                <w:color w:val="000000" w:themeColor="text1"/>
                <w:sz w:val="15"/>
                <w:szCs w:val="15"/>
                <w:lang w:eastAsia="en-AU"/>
              </w:rPr>
              <w:t>Primary Metal and Metal Product Manufacturing (25%)</w:t>
            </w:r>
          </w:p>
        </w:tc>
        <w:tc>
          <w:tcPr>
            <w:tcW w:w="1729" w:type="dxa"/>
            <w:shd w:val="clear" w:color="auto" w:fill="F2F2F2" w:themeFill="background1" w:themeFillShade="F2"/>
            <w:vAlign w:val="center"/>
            <w:hideMark/>
          </w:tcPr>
          <w:p w14:paraId="425EE037" w14:textId="77777777" w:rsidR="008B3FEC" w:rsidRPr="007C068F" w:rsidRDefault="008B3FEC" w:rsidP="00040675">
            <w:pPr>
              <w:spacing w:before="0" w:after="0"/>
              <w:rPr>
                <w:rFonts w:eastAsia="Times New Roman" w:cs="Arial"/>
                <w:b/>
                <w:bCs/>
                <w:color w:val="000000" w:themeColor="text1"/>
                <w:sz w:val="15"/>
                <w:szCs w:val="15"/>
                <w:lang w:eastAsia="en-AU"/>
              </w:rPr>
            </w:pPr>
            <w:r w:rsidRPr="007C068F">
              <w:rPr>
                <w:rFonts w:eastAsia="Times New Roman" w:cs="Arial"/>
                <w:b/>
                <w:bCs/>
                <w:color w:val="000000" w:themeColor="text1"/>
                <w:sz w:val="15"/>
                <w:szCs w:val="15"/>
                <w:lang w:eastAsia="en-AU"/>
              </w:rPr>
              <w:t>Fabricated Metal Product Manufacturing (21%)</w:t>
            </w:r>
          </w:p>
        </w:tc>
        <w:tc>
          <w:tcPr>
            <w:tcW w:w="1588" w:type="dxa"/>
            <w:shd w:val="clear" w:color="auto" w:fill="F2F2F2" w:themeFill="background1" w:themeFillShade="F2"/>
            <w:vAlign w:val="center"/>
            <w:hideMark/>
          </w:tcPr>
          <w:p w14:paraId="4CCC8681" w14:textId="77777777" w:rsidR="008B3FEC" w:rsidRPr="007C068F" w:rsidRDefault="008B3FEC" w:rsidP="00040675">
            <w:pPr>
              <w:spacing w:before="0" w:after="0"/>
              <w:rPr>
                <w:rFonts w:eastAsia="Times New Roman" w:cs="Arial"/>
                <w:b/>
                <w:bCs/>
                <w:color w:val="000000" w:themeColor="text1"/>
                <w:sz w:val="15"/>
                <w:szCs w:val="15"/>
                <w:lang w:eastAsia="en-AU"/>
              </w:rPr>
            </w:pPr>
            <w:r w:rsidRPr="007C068F">
              <w:rPr>
                <w:rFonts w:eastAsia="Times New Roman" w:cs="Arial"/>
                <w:b/>
                <w:bCs/>
                <w:color w:val="000000" w:themeColor="text1"/>
                <w:sz w:val="15"/>
                <w:szCs w:val="15"/>
                <w:lang w:eastAsia="en-AU"/>
              </w:rPr>
              <w:t>Mining, nfd (16%)</w:t>
            </w:r>
          </w:p>
        </w:tc>
        <w:tc>
          <w:tcPr>
            <w:tcW w:w="1361" w:type="dxa"/>
            <w:shd w:val="clear" w:color="auto" w:fill="F2F2F2" w:themeFill="background1" w:themeFillShade="F2"/>
            <w:vAlign w:val="center"/>
            <w:hideMark/>
          </w:tcPr>
          <w:p w14:paraId="5D50EB9D" w14:textId="77777777" w:rsidR="008B3FEC" w:rsidRPr="007C068F" w:rsidRDefault="008B3FEC" w:rsidP="00040675">
            <w:pPr>
              <w:spacing w:before="0" w:after="0"/>
              <w:rPr>
                <w:rFonts w:eastAsia="Times New Roman" w:cs="Arial"/>
                <w:b/>
                <w:bCs/>
                <w:color w:val="000000" w:themeColor="text1"/>
                <w:sz w:val="15"/>
                <w:szCs w:val="15"/>
                <w:lang w:eastAsia="en-AU"/>
              </w:rPr>
            </w:pPr>
            <w:r w:rsidRPr="007C068F">
              <w:rPr>
                <w:rFonts w:eastAsia="Times New Roman" w:cs="Arial"/>
                <w:b/>
                <w:bCs/>
                <w:color w:val="000000" w:themeColor="text1"/>
                <w:sz w:val="15"/>
                <w:szCs w:val="15"/>
                <w:lang w:eastAsia="en-AU"/>
              </w:rPr>
              <w:t>Coal Mining (15%)</w:t>
            </w:r>
          </w:p>
        </w:tc>
        <w:tc>
          <w:tcPr>
            <w:tcW w:w="1304" w:type="dxa"/>
            <w:shd w:val="clear" w:color="auto" w:fill="F2F2F2" w:themeFill="background1" w:themeFillShade="F2"/>
            <w:vAlign w:val="center"/>
            <w:hideMark/>
          </w:tcPr>
          <w:p w14:paraId="046BBD55" w14:textId="77777777" w:rsidR="008B3FEC" w:rsidRPr="007C068F" w:rsidRDefault="008B3FEC" w:rsidP="00040675">
            <w:pPr>
              <w:spacing w:before="0" w:after="0"/>
              <w:rPr>
                <w:rFonts w:eastAsia="Times New Roman" w:cs="Arial"/>
                <w:b/>
                <w:bCs/>
                <w:color w:val="000000" w:themeColor="text1"/>
                <w:sz w:val="15"/>
                <w:szCs w:val="15"/>
                <w:lang w:eastAsia="en-AU"/>
              </w:rPr>
            </w:pPr>
            <w:r w:rsidRPr="007C068F">
              <w:rPr>
                <w:rFonts w:eastAsia="Times New Roman" w:cs="Arial"/>
                <w:b/>
                <w:bCs/>
                <w:color w:val="000000" w:themeColor="text1"/>
                <w:sz w:val="15"/>
                <w:szCs w:val="15"/>
                <w:lang w:eastAsia="en-AU"/>
              </w:rPr>
              <w:t>Petroleum and Coal Product Manufacturing (14%)</w:t>
            </w:r>
          </w:p>
        </w:tc>
      </w:tr>
      <w:tr w:rsidR="00920DBD" w:rsidRPr="007C068F" w14:paraId="383CEB53" w14:textId="77777777" w:rsidTr="00E577CA">
        <w:trPr>
          <w:trHeight w:hRule="exact" w:val="794"/>
        </w:trPr>
        <w:tc>
          <w:tcPr>
            <w:tcW w:w="1474" w:type="dxa"/>
            <w:shd w:val="clear" w:color="auto" w:fill="0091DA" w:themeFill="accent2"/>
            <w:vAlign w:val="center"/>
            <w:hideMark/>
          </w:tcPr>
          <w:p w14:paraId="3DDC8377" w14:textId="77777777" w:rsidR="008B3FEC" w:rsidRPr="007C068F" w:rsidRDefault="008B3FEC" w:rsidP="00040675">
            <w:pPr>
              <w:spacing w:before="0" w:after="0"/>
              <w:rPr>
                <w:rFonts w:eastAsia="Times New Roman" w:cs="Arial"/>
                <w:b/>
                <w:bCs/>
                <w:color w:val="FFFFFF"/>
                <w:sz w:val="16"/>
                <w:szCs w:val="16"/>
                <w:lang w:eastAsia="en-AU"/>
              </w:rPr>
            </w:pPr>
            <w:r w:rsidRPr="007C068F">
              <w:rPr>
                <w:rFonts w:eastAsia="Times New Roman" w:cs="Arial"/>
                <w:b/>
                <w:bCs/>
                <w:color w:val="FFFFFF"/>
                <w:sz w:val="16"/>
                <w:szCs w:val="16"/>
                <w:lang w:eastAsia="en-AU"/>
              </w:rPr>
              <w:t>Electrical and Electronic Engineering and Technology</w:t>
            </w:r>
          </w:p>
        </w:tc>
        <w:tc>
          <w:tcPr>
            <w:tcW w:w="1559" w:type="dxa"/>
            <w:shd w:val="clear" w:color="auto" w:fill="F2F2F2" w:themeFill="background1" w:themeFillShade="F2"/>
            <w:vAlign w:val="center"/>
            <w:hideMark/>
          </w:tcPr>
          <w:p w14:paraId="4FAC5415" w14:textId="77777777" w:rsidR="008B3FEC" w:rsidRPr="007C068F" w:rsidRDefault="008B3FEC" w:rsidP="00040675">
            <w:pPr>
              <w:spacing w:before="0" w:after="0"/>
              <w:rPr>
                <w:rFonts w:eastAsia="Times New Roman" w:cs="Arial"/>
                <w:b/>
                <w:bCs/>
                <w:color w:val="000000" w:themeColor="text1"/>
                <w:sz w:val="15"/>
                <w:szCs w:val="15"/>
                <w:lang w:eastAsia="en-AU"/>
              </w:rPr>
            </w:pPr>
            <w:r w:rsidRPr="007C068F">
              <w:rPr>
                <w:rFonts w:eastAsia="Times New Roman" w:cs="Arial"/>
                <w:b/>
                <w:bCs/>
                <w:color w:val="000000" w:themeColor="text1"/>
                <w:sz w:val="15"/>
                <w:szCs w:val="15"/>
                <w:lang w:eastAsia="en-AU"/>
              </w:rPr>
              <w:t>Electricity Supply (30%)</w:t>
            </w:r>
          </w:p>
        </w:tc>
        <w:tc>
          <w:tcPr>
            <w:tcW w:w="1729" w:type="dxa"/>
            <w:shd w:val="clear" w:color="auto" w:fill="F2F2F2" w:themeFill="background1" w:themeFillShade="F2"/>
            <w:vAlign w:val="center"/>
            <w:hideMark/>
          </w:tcPr>
          <w:p w14:paraId="21227A07" w14:textId="77777777" w:rsidR="008B3FEC" w:rsidRPr="007C068F" w:rsidRDefault="008B3FEC" w:rsidP="00040675">
            <w:pPr>
              <w:spacing w:before="0" w:after="0"/>
              <w:rPr>
                <w:rFonts w:eastAsia="Times New Roman" w:cs="Arial"/>
                <w:b/>
                <w:bCs/>
                <w:color w:val="000000" w:themeColor="text1"/>
                <w:sz w:val="15"/>
                <w:szCs w:val="15"/>
                <w:lang w:eastAsia="en-AU"/>
              </w:rPr>
            </w:pPr>
            <w:r w:rsidRPr="007C068F">
              <w:rPr>
                <w:rFonts w:eastAsia="Times New Roman" w:cs="Arial"/>
                <w:b/>
                <w:bCs/>
                <w:color w:val="000000" w:themeColor="text1"/>
                <w:sz w:val="15"/>
                <w:szCs w:val="15"/>
                <w:lang w:eastAsia="en-AU"/>
              </w:rPr>
              <w:t>Telecommunications Services (17%)</w:t>
            </w:r>
          </w:p>
        </w:tc>
        <w:tc>
          <w:tcPr>
            <w:tcW w:w="1588" w:type="dxa"/>
            <w:shd w:val="clear" w:color="auto" w:fill="F2F2F2" w:themeFill="background1" w:themeFillShade="F2"/>
            <w:vAlign w:val="center"/>
            <w:hideMark/>
          </w:tcPr>
          <w:p w14:paraId="42B03490" w14:textId="77777777" w:rsidR="008B3FEC" w:rsidRPr="007C068F" w:rsidRDefault="008B3FEC" w:rsidP="00040675">
            <w:pPr>
              <w:spacing w:before="0" w:after="0"/>
              <w:rPr>
                <w:rFonts w:eastAsia="Times New Roman" w:cs="Arial"/>
                <w:b/>
                <w:bCs/>
                <w:color w:val="000000" w:themeColor="text1"/>
                <w:sz w:val="15"/>
                <w:szCs w:val="15"/>
                <w:lang w:eastAsia="en-AU"/>
              </w:rPr>
            </w:pPr>
            <w:r w:rsidRPr="007C068F">
              <w:rPr>
                <w:rFonts w:eastAsia="Times New Roman" w:cs="Arial"/>
                <w:b/>
                <w:bCs/>
                <w:color w:val="000000" w:themeColor="text1"/>
                <w:sz w:val="15"/>
                <w:szCs w:val="15"/>
                <w:lang w:eastAsia="en-AU"/>
              </w:rPr>
              <w:t>Construction Services (13%)</w:t>
            </w:r>
          </w:p>
        </w:tc>
        <w:tc>
          <w:tcPr>
            <w:tcW w:w="1361" w:type="dxa"/>
            <w:shd w:val="clear" w:color="auto" w:fill="F2F2F2" w:themeFill="background1" w:themeFillShade="F2"/>
            <w:vAlign w:val="center"/>
            <w:hideMark/>
          </w:tcPr>
          <w:p w14:paraId="7CDD3FDE" w14:textId="77777777" w:rsidR="008B3FEC" w:rsidRPr="007C068F" w:rsidRDefault="008B3FEC" w:rsidP="00040675">
            <w:pPr>
              <w:spacing w:before="0" w:after="0"/>
              <w:rPr>
                <w:rFonts w:eastAsia="Times New Roman" w:cs="Arial"/>
                <w:b/>
                <w:bCs/>
                <w:color w:val="000000" w:themeColor="text1"/>
                <w:sz w:val="15"/>
                <w:szCs w:val="15"/>
                <w:lang w:eastAsia="en-AU"/>
              </w:rPr>
            </w:pPr>
            <w:r w:rsidRPr="007C068F">
              <w:rPr>
                <w:rFonts w:eastAsia="Times New Roman" w:cs="Arial"/>
                <w:b/>
                <w:bCs/>
                <w:color w:val="000000" w:themeColor="text1"/>
                <w:sz w:val="15"/>
                <w:szCs w:val="15"/>
                <w:lang w:eastAsia="en-AU"/>
              </w:rPr>
              <w:t>Electricity, Gas, Water and Waste Services, nfd (11%)</w:t>
            </w:r>
          </w:p>
        </w:tc>
        <w:tc>
          <w:tcPr>
            <w:tcW w:w="1304" w:type="dxa"/>
            <w:shd w:val="clear" w:color="auto" w:fill="F2F2F2" w:themeFill="background1" w:themeFillShade="F2"/>
            <w:vAlign w:val="center"/>
            <w:hideMark/>
          </w:tcPr>
          <w:p w14:paraId="4EE81365" w14:textId="77777777" w:rsidR="008B3FEC" w:rsidRPr="007C068F" w:rsidRDefault="008B3FEC" w:rsidP="00040675">
            <w:pPr>
              <w:spacing w:before="0" w:after="0"/>
              <w:rPr>
                <w:rFonts w:eastAsia="Times New Roman" w:cs="Arial"/>
                <w:b/>
                <w:bCs/>
                <w:color w:val="000000" w:themeColor="text1"/>
                <w:sz w:val="15"/>
                <w:szCs w:val="15"/>
                <w:lang w:eastAsia="en-AU"/>
              </w:rPr>
            </w:pPr>
            <w:r w:rsidRPr="007C068F">
              <w:rPr>
                <w:rFonts w:eastAsia="Times New Roman" w:cs="Arial"/>
                <w:b/>
                <w:bCs/>
                <w:color w:val="000000" w:themeColor="text1"/>
                <w:sz w:val="15"/>
                <w:szCs w:val="15"/>
                <w:lang w:eastAsia="en-AU"/>
              </w:rPr>
              <w:t>Machinery and Equipment Manufacturing (11%)</w:t>
            </w:r>
          </w:p>
        </w:tc>
      </w:tr>
      <w:tr w:rsidR="00920DBD" w:rsidRPr="007C068F" w14:paraId="4B840F90" w14:textId="77777777" w:rsidTr="00E577CA">
        <w:trPr>
          <w:trHeight w:hRule="exact" w:val="794"/>
        </w:trPr>
        <w:tc>
          <w:tcPr>
            <w:tcW w:w="1474" w:type="dxa"/>
            <w:shd w:val="clear" w:color="auto" w:fill="0091DA" w:themeFill="accent2"/>
            <w:vAlign w:val="center"/>
            <w:hideMark/>
          </w:tcPr>
          <w:p w14:paraId="141C9CA2" w14:textId="77777777" w:rsidR="008B3FEC" w:rsidRPr="007C068F" w:rsidRDefault="008B3FEC" w:rsidP="00040675">
            <w:pPr>
              <w:spacing w:before="0" w:after="0"/>
              <w:rPr>
                <w:rFonts w:eastAsia="Times New Roman" w:cs="Arial"/>
                <w:b/>
                <w:bCs/>
                <w:color w:val="FFFFFF"/>
                <w:sz w:val="16"/>
                <w:szCs w:val="16"/>
                <w:lang w:eastAsia="en-AU"/>
              </w:rPr>
            </w:pPr>
            <w:r w:rsidRPr="007C068F">
              <w:rPr>
                <w:rFonts w:eastAsia="Times New Roman" w:cs="Arial"/>
                <w:b/>
                <w:bCs/>
                <w:color w:val="FFFFFF"/>
                <w:sz w:val="16"/>
                <w:szCs w:val="16"/>
                <w:lang w:eastAsia="en-AU"/>
              </w:rPr>
              <w:t>Automotive Engineering and Technology</w:t>
            </w:r>
          </w:p>
        </w:tc>
        <w:tc>
          <w:tcPr>
            <w:tcW w:w="1559" w:type="dxa"/>
            <w:shd w:val="clear" w:color="auto" w:fill="F2F2F2" w:themeFill="background1" w:themeFillShade="F2"/>
            <w:vAlign w:val="center"/>
            <w:hideMark/>
          </w:tcPr>
          <w:p w14:paraId="28B19F49" w14:textId="77777777" w:rsidR="008B3FEC" w:rsidRPr="007C068F" w:rsidRDefault="008B3FEC" w:rsidP="00040675">
            <w:pPr>
              <w:spacing w:before="0" w:after="0"/>
              <w:rPr>
                <w:rFonts w:eastAsia="Times New Roman" w:cs="Arial"/>
                <w:b/>
                <w:bCs/>
                <w:color w:val="000000" w:themeColor="text1"/>
                <w:sz w:val="15"/>
                <w:szCs w:val="15"/>
                <w:lang w:eastAsia="en-AU"/>
              </w:rPr>
            </w:pPr>
            <w:r w:rsidRPr="007C068F">
              <w:rPr>
                <w:rFonts w:eastAsia="Times New Roman" w:cs="Arial"/>
                <w:b/>
                <w:bCs/>
                <w:color w:val="000000" w:themeColor="text1"/>
                <w:sz w:val="15"/>
                <w:szCs w:val="15"/>
                <w:lang w:eastAsia="en-AU"/>
              </w:rPr>
              <w:t>Repair and Maintenance (27%)</w:t>
            </w:r>
          </w:p>
        </w:tc>
        <w:tc>
          <w:tcPr>
            <w:tcW w:w="1729" w:type="dxa"/>
            <w:shd w:val="clear" w:color="auto" w:fill="F2F2F2" w:themeFill="background1" w:themeFillShade="F2"/>
            <w:vAlign w:val="center"/>
            <w:hideMark/>
          </w:tcPr>
          <w:p w14:paraId="41388258" w14:textId="77777777" w:rsidR="008B3FEC" w:rsidRPr="007C068F" w:rsidRDefault="008B3FEC" w:rsidP="00040675">
            <w:pPr>
              <w:spacing w:before="0" w:after="0"/>
              <w:rPr>
                <w:rFonts w:eastAsia="Times New Roman" w:cs="Arial"/>
                <w:b/>
                <w:bCs/>
                <w:color w:val="000000" w:themeColor="text1"/>
                <w:sz w:val="15"/>
                <w:szCs w:val="15"/>
                <w:lang w:eastAsia="en-AU"/>
              </w:rPr>
            </w:pPr>
            <w:r w:rsidRPr="007C068F">
              <w:rPr>
                <w:rFonts w:eastAsia="Times New Roman" w:cs="Arial"/>
                <w:b/>
                <w:bCs/>
                <w:color w:val="000000" w:themeColor="text1"/>
                <w:sz w:val="15"/>
                <w:szCs w:val="15"/>
                <w:lang w:eastAsia="en-AU"/>
              </w:rPr>
              <w:t>Motor Vehicle and Motor Vehicle Parts Retailing (15%)</w:t>
            </w:r>
          </w:p>
        </w:tc>
        <w:tc>
          <w:tcPr>
            <w:tcW w:w="1588" w:type="dxa"/>
            <w:shd w:val="clear" w:color="auto" w:fill="F2F2F2" w:themeFill="background1" w:themeFillShade="F2"/>
            <w:vAlign w:val="center"/>
            <w:hideMark/>
          </w:tcPr>
          <w:p w14:paraId="2FED471B" w14:textId="77777777" w:rsidR="008B3FEC" w:rsidRPr="007C068F" w:rsidRDefault="008B3FEC" w:rsidP="00040675">
            <w:pPr>
              <w:spacing w:before="0" w:after="0"/>
              <w:rPr>
                <w:rFonts w:eastAsia="Times New Roman" w:cs="Arial"/>
                <w:b/>
                <w:bCs/>
                <w:color w:val="000000" w:themeColor="text1"/>
                <w:sz w:val="15"/>
                <w:szCs w:val="15"/>
                <w:lang w:eastAsia="en-AU"/>
              </w:rPr>
            </w:pPr>
            <w:r w:rsidRPr="007C068F">
              <w:rPr>
                <w:rFonts w:eastAsia="Times New Roman" w:cs="Arial"/>
                <w:b/>
                <w:bCs/>
                <w:color w:val="000000" w:themeColor="text1"/>
                <w:sz w:val="15"/>
                <w:szCs w:val="15"/>
                <w:lang w:eastAsia="en-AU"/>
              </w:rPr>
              <w:t>Motor Vehicle and Motor Vehicle Parts Wholesaling (14%)</w:t>
            </w:r>
          </w:p>
        </w:tc>
        <w:tc>
          <w:tcPr>
            <w:tcW w:w="1361" w:type="dxa"/>
            <w:shd w:val="clear" w:color="auto" w:fill="F2F2F2" w:themeFill="background1" w:themeFillShade="F2"/>
            <w:vAlign w:val="center"/>
            <w:hideMark/>
          </w:tcPr>
          <w:p w14:paraId="3CCDA82E" w14:textId="77777777" w:rsidR="008B3FEC" w:rsidRPr="007C068F" w:rsidRDefault="008B3FEC" w:rsidP="00040675">
            <w:pPr>
              <w:spacing w:before="0" w:after="0"/>
              <w:rPr>
                <w:rFonts w:eastAsia="Times New Roman" w:cs="Arial"/>
                <w:b/>
                <w:bCs/>
                <w:color w:val="000000" w:themeColor="text1"/>
                <w:sz w:val="15"/>
                <w:szCs w:val="15"/>
                <w:lang w:eastAsia="en-AU"/>
              </w:rPr>
            </w:pPr>
            <w:r w:rsidRPr="007C068F">
              <w:rPr>
                <w:rFonts w:eastAsia="Times New Roman" w:cs="Arial"/>
                <w:b/>
                <w:bCs/>
                <w:color w:val="000000" w:themeColor="text1"/>
                <w:sz w:val="15"/>
                <w:szCs w:val="15"/>
                <w:lang w:eastAsia="en-AU"/>
              </w:rPr>
              <w:t>Transport Equipment Manufacturing (6%)</w:t>
            </w:r>
          </w:p>
        </w:tc>
        <w:tc>
          <w:tcPr>
            <w:tcW w:w="1304" w:type="dxa"/>
            <w:shd w:val="clear" w:color="auto" w:fill="F2F2F2" w:themeFill="background1" w:themeFillShade="F2"/>
            <w:vAlign w:val="center"/>
            <w:hideMark/>
          </w:tcPr>
          <w:p w14:paraId="38B9D097" w14:textId="77777777" w:rsidR="008B3FEC" w:rsidRPr="007C068F" w:rsidRDefault="008B3FEC" w:rsidP="00040675">
            <w:pPr>
              <w:spacing w:before="0" w:after="0"/>
              <w:rPr>
                <w:rFonts w:eastAsia="Times New Roman" w:cs="Arial"/>
                <w:b/>
                <w:bCs/>
                <w:color w:val="000000" w:themeColor="text1"/>
                <w:sz w:val="15"/>
                <w:szCs w:val="15"/>
                <w:lang w:eastAsia="en-AU"/>
              </w:rPr>
            </w:pPr>
            <w:r w:rsidRPr="007C068F">
              <w:rPr>
                <w:rFonts w:eastAsia="Times New Roman" w:cs="Arial"/>
                <w:b/>
                <w:bCs/>
                <w:color w:val="000000" w:themeColor="text1"/>
                <w:sz w:val="15"/>
                <w:szCs w:val="15"/>
                <w:lang w:eastAsia="en-AU"/>
              </w:rPr>
              <w:t>Road Transport (5%)</w:t>
            </w:r>
          </w:p>
        </w:tc>
      </w:tr>
    </w:tbl>
    <w:p w14:paraId="11153F87" w14:textId="37B72CB7" w:rsidR="008B3FEC" w:rsidRDefault="001764A5" w:rsidP="00393646">
      <w:pPr>
        <w:pStyle w:val="Bodyafterbullet"/>
      </w:pPr>
      <w:r w:rsidRPr="001764A5">
        <w:rPr>
          <w:noProof/>
          <w:lang w:eastAsia="en-AU"/>
        </w:rPr>
        <w:drawing>
          <wp:inline distT="0" distB="0" distL="0" distR="0" wp14:anchorId="051C5029" wp14:editId="2646AE6D">
            <wp:extent cx="5731510" cy="272929"/>
            <wp:effectExtent l="0" t="0" r="0" b="0"/>
            <wp:docPr id="249" name="Picture 249" descr="source: ABS 2016 Census" titl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1510" cy="272929"/>
                    </a:xfrm>
                    <a:prstGeom prst="rect">
                      <a:avLst/>
                    </a:prstGeom>
                    <a:noFill/>
                    <a:ln>
                      <a:noFill/>
                    </a:ln>
                  </pic:spPr>
                </pic:pic>
              </a:graphicData>
            </a:graphic>
          </wp:inline>
        </w:drawing>
      </w:r>
      <w:r w:rsidR="008B3FEC">
        <w:t xml:space="preserve">In 2016, workers with a qualification in Aerospace Engineering and Technology formed 37 per cent of the Aircraft Manufacturing and Repair Services industry’s workforce. At the same time, the biggest </w:t>
      </w:r>
      <w:r w:rsidR="008B3FEC">
        <w:lastRenderedPageBreak/>
        <w:t>competing industry for these qualifications was the Air and Space Transport industry, accounting for 19 per cent of all workers wit</w:t>
      </w:r>
      <w:r w:rsidR="00C855FD">
        <w:t>h these qualifications in 2016.</w:t>
      </w:r>
    </w:p>
    <w:p w14:paraId="7732DE41" w14:textId="23E041C4" w:rsidR="008B3FEC" w:rsidRDefault="008B3FEC" w:rsidP="008B3FEC">
      <w:r>
        <w:t xml:space="preserve">Other engineering graduates, such as those specialising in Mechanical and Industrial Engineering are highly sought after by the Metal Product Manufacturing and Mining industries. Specialists in Electrical and Electronics Engineering are often employed by the Electricity services industry, while Business and Management skills support the Administrative </w:t>
      </w:r>
      <w:r w:rsidR="00C855FD">
        <w:t>and Finance industries as well.</w:t>
      </w:r>
    </w:p>
    <w:p w14:paraId="1E96AA6A" w14:textId="4E91565F" w:rsidR="004523D7" w:rsidRDefault="004523D7" w:rsidP="0011521D">
      <w:pPr>
        <w:pStyle w:val="Heading3"/>
      </w:pPr>
      <w:bookmarkStart w:id="133" w:name="_Toc26537887"/>
      <w:r>
        <w:t>Company innovation and investm</w:t>
      </w:r>
      <w:r w:rsidR="006D104F">
        <w:t>ent in research and development</w:t>
      </w:r>
      <w:bookmarkEnd w:id="133"/>
    </w:p>
    <w:p w14:paraId="151462C7" w14:textId="738FE7D8" w:rsidR="007B4461" w:rsidRDefault="006668A7" w:rsidP="006668A7">
      <w:pPr>
        <w:spacing w:after="0"/>
      </w:pPr>
      <w:r w:rsidRPr="00522B9B">
        <w:t xml:space="preserve">The </w:t>
      </w:r>
      <w:r w:rsidR="00555E98">
        <w:t>Aircraft Manufacturing and Repair Services</w:t>
      </w:r>
      <w:r>
        <w:t xml:space="preserve"> industry is a technolog</w:t>
      </w:r>
      <w:r w:rsidR="0090471F">
        <w:t>ically</w:t>
      </w:r>
      <w:r>
        <w:t xml:space="preserve"> intensive </w:t>
      </w:r>
      <w:r w:rsidRPr="00522B9B">
        <w:t xml:space="preserve">industry. </w:t>
      </w:r>
      <w:r>
        <w:t xml:space="preserve">The production processes and inputs in this industry meet stringent safety requirements and require the scales to balance between cost, efficiency and reliability. This warrants </w:t>
      </w:r>
      <w:r w:rsidRPr="00522B9B">
        <w:t xml:space="preserve">the perpetual need for innovation in order to remain </w:t>
      </w:r>
      <w:r>
        <w:t xml:space="preserve">technologically ahead and </w:t>
      </w:r>
      <w:r w:rsidRPr="00522B9B">
        <w:t xml:space="preserve">globally competitive. </w:t>
      </w:r>
      <w:r>
        <w:t xml:space="preserve">Industry stakeholders </w:t>
      </w:r>
      <w:r w:rsidR="0090471F">
        <w:t xml:space="preserve">made note of </w:t>
      </w:r>
      <w:r w:rsidRPr="00522B9B">
        <w:t xml:space="preserve">Australia’s </w:t>
      </w:r>
      <w:r>
        <w:t xml:space="preserve">strength in its high </w:t>
      </w:r>
      <w:r w:rsidR="00355532">
        <w:t xml:space="preserve">safety </w:t>
      </w:r>
      <w:r>
        <w:t xml:space="preserve">standards and </w:t>
      </w:r>
      <w:r w:rsidR="00355532">
        <w:t xml:space="preserve">a </w:t>
      </w:r>
      <w:r>
        <w:t>commitment to providing superior and innovative products despite limited resources</w:t>
      </w:r>
      <w:r w:rsidR="00C855FD">
        <w:t xml:space="preserve"> (trained staff and equipment).</w:t>
      </w:r>
    </w:p>
    <w:p w14:paraId="4A1E1D98" w14:textId="72BE3D15" w:rsidR="00BD7068" w:rsidRDefault="00BD7068" w:rsidP="00BD7068">
      <w:pPr>
        <w:spacing w:after="0"/>
      </w:pPr>
      <w:r w:rsidRPr="00473B24">
        <w:t>It is believed that the key drive to innovate should be to meet market demands and leverage new opportunities in niche markets, which can eventually be commercialized. For instance, GippsAero initially found a niche market for 8-seater aircraft and, as customers requested improvements to the aircraft, has continued to redevelop its product – such as introducing a turbocharged version – to meet these needs.</w:t>
      </w:r>
    </w:p>
    <w:p w14:paraId="00623DFE" w14:textId="5EC1C33C" w:rsidR="00BD7068" w:rsidRDefault="00BD7068" w:rsidP="00BD7068">
      <w:pPr>
        <w:spacing w:after="0"/>
      </w:pPr>
      <w:r>
        <w:rPr>
          <w:rFonts w:cstheme="minorHAnsi"/>
        </w:rPr>
        <w:t>The presence of three key aerospace R&amp;D institutions in Victoria speak to Australia’s excellence in innovation</w:t>
      </w:r>
      <w:r w:rsidRPr="00071C30">
        <w:rPr>
          <w:rFonts w:cstheme="minorHAnsi"/>
        </w:rPr>
        <w:t xml:space="preserve">. </w:t>
      </w:r>
      <w:r w:rsidRPr="002E5442">
        <w:t xml:space="preserve">The Defence Science and Technology Group’s Aerospace Division in Melbourne provides essential support and technical advice on </w:t>
      </w:r>
      <w:r w:rsidR="00372BFF">
        <w:t xml:space="preserve">the </w:t>
      </w:r>
      <w:r w:rsidRPr="002E5442">
        <w:t>A</w:t>
      </w:r>
      <w:r w:rsidR="00372BFF">
        <w:t xml:space="preserve">ustralian </w:t>
      </w:r>
      <w:r w:rsidRPr="002E5442">
        <w:t>D</w:t>
      </w:r>
      <w:r w:rsidR="00372BFF">
        <w:t xml:space="preserve">efence </w:t>
      </w:r>
      <w:r w:rsidRPr="002E5442">
        <w:t>F</w:t>
      </w:r>
      <w:r w:rsidR="00372BFF">
        <w:t>orce</w:t>
      </w:r>
      <w:r w:rsidRPr="002E5442">
        <w:t xml:space="preserve">’s </w:t>
      </w:r>
      <w:r w:rsidR="00372BFF">
        <w:t xml:space="preserve">(ADF) </w:t>
      </w:r>
      <w:r w:rsidRPr="002E5442">
        <w:t>aircraft platforms. In addition, the Defence Materials Technology Centre undertakes aerospace R&amp;D to address industry challenges and support commercialisation of technology, while the Defence Science Institute facilitates defence aerospace research.</w:t>
      </w:r>
      <w:r>
        <w:t xml:space="preserve"> The domestic defence industry’s innovation potential has received considerable support, with total funding of over a billion dollars </w:t>
      </w:r>
      <w:r w:rsidR="00372BFF">
        <w:t xml:space="preserve">reserved </w:t>
      </w:r>
      <w:r>
        <w:t xml:space="preserve">by the Defence Innovation Hub and Next Generation Technologies Hub over the decade to 2025-26. These investment initiatives aid innovation in future technologies, exemplified by the recent win of over $1.2 million in contracts by three Australian businesses, developing lightweight armour solutions and combining features of a helicopter and fixed wing aircraft to build efficiency. </w:t>
      </w:r>
      <w:r w:rsidR="009C0C5A">
        <w:t xml:space="preserve">As part of the government’s Industry Growth Centre </w:t>
      </w:r>
      <w:r w:rsidR="00DF7D23">
        <w:t>Initiative</w:t>
      </w:r>
      <w:r w:rsidR="009C0C5A">
        <w:t xml:space="preserve">, </w:t>
      </w:r>
      <w:r w:rsidR="00E06F86" w:rsidRPr="00E06F86">
        <w:t>AMGC</w:t>
      </w:r>
      <w:r w:rsidR="009C0C5A">
        <w:t xml:space="preserve"> is delivering </w:t>
      </w:r>
      <w:r>
        <w:t xml:space="preserve">the </w:t>
      </w:r>
      <w:r w:rsidRPr="00611B2B">
        <w:t>A</w:t>
      </w:r>
      <w:r>
        <w:t xml:space="preserve">dvanced </w:t>
      </w:r>
      <w:r w:rsidRPr="00611B2B">
        <w:t>M</w:t>
      </w:r>
      <w:r>
        <w:t xml:space="preserve">anufacturing Early Stages Research Fund </w:t>
      </w:r>
      <w:r w:rsidRPr="00611B2B">
        <w:t xml:space="preserve">(AMESRF) </w:t>
      </w:r>
      <w:r>
        <w:t>to provide up to $1</w:t>
      </w:r>
      <w:r w:rsidR="00595B8B">
        <w:t xml:space="preserve"> </w:t>
      </w:r>
      <w:r w:rsidR="00CC2CEA">
        <w:t xml:space="preserve">million </w:t>
      </w:r>
      <w:r w:rsidR="00E06F86">
        <w:t>per year from</w:t>
      </w:r>
      <w:r>
        <w:t xml:space="preserve"> 2017-18 to 2020-21 </w:t>
      </w:r>
      <w:r w:rsidRPr="00696A29">
        <w:t xml:space="preserve">for </w:t>
      </w:r>
      <w:r>
        <w:t>small-scale and pilot research projects</w:t>
      </w:r>
      <w:r w:rsidR="00E06F86">
        <w:t xml:space="preserve"> </w:t>
      </w:r>
      <w:r w:rsidR="009C0C5A">
        <w:t xml:space="preserve">with a feasible potential to boost Australia’s capability </w:t>
      </w:r>
      <w:r w:rsidR="00E06F86">
        <w:t>in advanced manufacturing</w:t>
      </w:r>
      <w:r w:rsidR="00C855FD">
        <w:t xml:space="preserve"> processes.</w:t>
      </w:r>
    </w:p>
    <w:p w14:paraId="53F0F0B8" w14:textId="20D80C39" w:rsidR="007B4461" w:rsidRDefault="00B32508" w:rsidP="007B4461">
      <w:pPr>
        <w:spacing w:after="0"/>
      </w:pPr>
      <w:r>
        <w:t xml:space="preserve">Innovation can be measured by the amount of </w:t>
      </w:r>
      <w:r w:rsidR="00393E2E">
        <w:t xml:space="preserve">R&amp;D </w:t>
      </w:r>
      <w:r>
        <w:t xml:space="preserve">taking place in a country. </w:t>
      </w:r>
      <w:r w:rsidR="007B4461">
        <w:t>Industry consultations indicate that th</w:t>
      </w:r>
      <w:r w:rsidR="00393E2E">
        <w:t xml:space="preserve">is activity is not observed much </w:t>
      </w:r>
      <w:r w:rsidR="007B4461">
        <w:t xml:space="preserve">industry-wide </w:t>
      </w:r>
      <w:r w:rsidR="00393E2E">
        <w:t>in the Aircraft Manufacturing and Repair Service industry.</w:t>
      </w:r>
      <w:r w:rsidR="007B4461">
        <w:t xml:space="preserve"> The incentives to engage in R&amp;D are largely driven by the existing technology base of a business and profits. Aircraft Manufacturing and Repair Services lie at the high technology end of the spectrum. This keeps companies self-motivated to engage in R&amp;D in order to improve process efficiencies and innovate to create points of differentiation over competitors. For example, Quickstep, Marand,</w:t>
      </w:r>
      <w:r w:rsidR="008670C1">
        <w:t xml:space="preserve"> and</w:t>
      </w:r>
      <w:r w:rsidR="007B4461">
        <w:t xml:space="preserve"> Boeing Aerostructures have all recognised the importance of improved technology to remain </w:t>
      </w:r>
      <w:r w:rsidR="00C855FD">
        <w:t>at the forefront of the market.</w:t>
      </w:r>
    </w:p>
    <w:p w14:paraId="5D4FAC91" w14:textId="5C08FA5E" w:rsidR="007B4461" w:rsidRDefault="007B4461" w:rsidP="007B4461">
      <w:pPr>
        <w:spacing w:after="0"/>
      </w:pPr>
      <w:r>
        <w:t>Further, due to the high c</w:t>
      </w:r>
      <w:r w:rsidRPr="00F92F7E">
        <w:t>ost</w:t>
      </w:r>
      <w:r>
        <w:t>s</w:t>
      </w:r>
      <w:r w:rsidRPr="00F92F7E">
        <w:t xml:space="preserve"> of </w:t>
      </w:r>
      <w:r>
        <w:t xml:space="preserve">engaging in </w:t>
      </w:r>
      <w:r w:rsidRPr="00F92F7E">
        <w:t>R&amp;D</w:t>
      </w:r>
      <w:r>
        <w:t xml:space="preserve"> and the generally long payback times, it mostly remains in the ambit of larger companies that have the resources to allocate to new innovations. </w:t>
      </w:r>
      <w:r w:rsidRPr="002D766C">
        <w:t>Many small businesses develop new technologies to meet ever changing activities in their business, but they are not generally capitalized sufficiently to procure new technology products that could imp</w:t>
      </w:r>
      <w:r>
        <w:t>rove their business capability. It is believed that tax incentives and access to funding and R&amp;D support for the industry can incentivise more pl</w:t>
      </w:r>
      <w:r w:rsidR="00C855FD">
        <w:t>ayers and stimulate the sector.</w:t>
      </w:r>
    </w:p>
    <w:p w14:paraId="11CAF02E" w14:textId="5063EBFD" w:rsidR="00C855FD" w:rsidRDefault="00B32508" w:rsidP="00565BFF">
      <w:pPr>
        <w:spacing w:after="0"/>
      </w:pPr>
      <w:r w:rsidRPr="00933D93">
        <w:lastRenderedPageBreak/>
        <w:t xml:space="preserve">The government provides an R&amp;D tax incentive to businesses to encourage a higher spend on research and innovation. </w:t>
      </w:r>
      <w:r w:rsidRPr="00201B81">
        <w:t xml:space="preserve">Reforms to the scheme, following its review, are aimed at providing </w:t>
      </w:r>
      <w:r>
        <w:t xml:space="preserve">a reasonable </w:t>
      </w:r>
      <w:r w:rsidR="00393E2E">
        <w:t>cash flow support to small</w:t>
      </w:r>
      <w:r w:rsidRPr="00201B81">
        <w:t xml:space="preserve"> firms with an annual turnover</w:t>
      </w:r>
      <w:r w:rsidR="00393E2E">
        <w:t xml:space="preserve"> of</w:t>
      </w:r>
      <w:r w:rsidRPr="00201B81">
        <w:t xml:space="preserve"> less than $20 m</w:t>
      </w:r>
      <w:r>
        <w:t>illion.</w:t>
      </w:r>
    </w:p>
    <w:p w14:paraId="2BE5AE63" w14:textId="285F3B22" w:rsidR="00565BFF" w:rsidRDefault="00565BFF" w:rsidP="00565BFF">
      <w:pPr>
        <w:spacing w:after="0"/>
        <w:rPr>
          <w:rFonts w:asciiTheme="minorHAnsi" w:hAnsiTheme="minorHAnsi" w:cstheme="minorHAnsi"/>
          <w:lang w:val="en-US"/>
        </w:rPr>
      </w:pPr>
      <w:r>
        <w:t xml:space="preserve">Moreover, </w:t>
      </w:r>
      <w:r>
        <w:rPr>
          <w:rFonts w:cstheme="minorHAnsi"/>
          <w:lang w:val="en-US"/>
        </w:rPr>
        <w:t>government initiatives such as the Defence Innovation Network, which facilitates partnerships between the NSW Defence industry and universities, is an opportunity for businesses to accelerate R&amp;D activities and deliver innovative technologies. Another significant initiative is the Australian Research Council (ARC) Training Centre for Automated Manufacture of Advanced Composites (AMAC) at the University of New South Wales, which aims to forge industrial partnerships that unlock Australia’s capability and build international competitive</w:t>
      </w:r>
      <w:r w:rsidR="00C855FD">
        <w:rPr>
          <w:rFonts w:cstheme="minorHAnsi"/>
          <w:lang w:val="en-US"/>
        </w:rPr>
        <w:t>ness in advanced manufacturing.</w:t>
      </w:r>
    </w:p>
    <w:p w14:paraId="060C5D45" w14:textId="20F6252E" w:rsidR="00BD7068" w:rsidRDefault="000833DA" w:rsidP="003144D2">
      <w:pPr>
        <w:spacing w:after="0"/>
      </w:pPr>
      <w:r>
        <w:t xml:space="preserve">It is recognised that the </w:t>
      </w:r>
      <w:r w:rsidRPr="003A1A41">
        <w:t xml:space="preserve">Australian Aircraft Manufacturing and Repair Services industry </w:t>
      </w:r>
      <w:r>
        <w:t xml:space="preserve">is </w:t>
      </w:r>
      <w:r w:rsidRPr="00A701F1">
        <w:t xml:space="preserve">not a </w:t>
      </w:r>
      <w:r w:rsidRPr="003A1A41">
        <w:t>traditional manufacturer, like some of</w:t>
      </w:r>
      <w:r>
        <w:t xml:space="preserve"> the big players in the market, but instead </w:t>
      </w:r>
      <w:r w:rsidRPr="003A1A41">
        <w:t xml:space="preserve">has a solid problem solving capability. This includes adopting existing technology in the market, modifying it to enhance its use and “making it our own”. This ability has helped the Australian Aircraft Manufacturing and Repair Services industry endure in spite of intense competition, thus making survival another one of </w:t>
      </w:r>
      <w:r w:rsidR="001C3B2F">
        <w:t>its</w:t>
      </w:r>
      <w:r w:rsidR="001C3B2F" w:rsidRPr="003A1A41">
        <w:t xml:space="preserve"> </w:t>
      </w:r>
      <w:r w:rsidR="00C855FD">
        <w:t>key strengths.</w:t>
      </w:r>
    </w:p>
    <w:p w14:paraId="2362D904" w14:textId="1DFD2C41" w:rsidR="006668A7" w:rsidRDefault="006668A7" w:rsidP="006668A7">
      <w:pPr>
        <w:pStyle w:val="BodyText1"/>
      </w:pPr>
      <w:r>
        <w:t>Overall</w:t>
      </w:r>
      <w:r w:rsidRPr="00400B94">
        <w:t xml:space="preserve">, the </w:t>
      </w:r>
      <w:r w:rsidR="001C3B2F">
        <w:t>‘</w:t>
      </w:r>
      <w:r w:rsidRPr="00F2695E">
        <w:t xml:space="preserve">air </w:t>
      </w:r>
      <w:r>
        <w:t>and</w:t>
      </w:r>
      <w:r w:rsidRPr="00F2695E">
        <w:t xml:space="preserve"> spacecraft and related mach</w:t>
      </w:r>
      <w:r>
        <w:t>i</w:t>
      </w:r>
      <w:r w:rsidRPr="00F2695E">
        <w:t>nery sector</w:t>
      </w:r>
      <w:r w:rsidR="001C3B2F">
        <w:t>’</w:t>
      </w:r>
      <w:r w:rsidRPr="00F2695E">
        <w:t xml:space="preserve"> </w:t>
      </w:r>
      <w:r w:rsidRPr="00400B94">
        <w:t>in Australia allocates considerable funds towards R&amp;D, estimated at AUS$35.6</w:t>
      </w:r>
      <w:r w:rsidR="00595B8B">
        <w:t xml:space="preserve"> </w:t>
      </w:r>
      <w:r w:rsidRPr="00400B94">
        <w:t>million (or US$23.6 million) in 2011 according to the OECD’s Analytical Business Enterprise Research and Development (ANBERD) database.</w:t>
      </w:r>
    </w:p>
    <w:p w14:paraId="222C23BB" w14:textId="14D2C865" w:rsidR="006839F1" w:rsidRDefault="006839F1" w:rsidP="006839F1">
      <w:pPr>
        <w:pStyle w:val="BodyText1"/>
      </w:pPr>
      <w:r>
        <w:t>The two figures</w:t>
      </w:r>
      <w:r w:rsidR="00DF67A7">
        <w:t xml:space="preserve"> </w:t>
      </w:r>
      <w:r w:rsidR="001C3B2F">
        <w:t xml:space="preserve">on the following page </w:t>
      </w:r>
      <w:r w:rsidR="00C25CFD">
        <w:t>s</w:t>
      </w:r>
      <w:r w:rsidR="007964A5">
        <w:t>how the annual</w:t>
      </w:r>
      <w:r w:rsidR="00DE067F">
        <w:t xml:space="preserve"> </w:t>
      </w:r>
      <w:r w:rsidR="007964A5">
        <w:t>R&amp;D expenditure</w:t>
      </w:r>
      <w:r w:rsidR="007A1916">
        <w:t xml:space="preserve"> in the </w:t>
      </w:r>
      <w:r w:rsidR="001C3B2F">
        <w:t>‘</w:t>
      </w:r>
      <w:r w:rsidR="007A1916">
        <w:t xml:space="preserve">air and spacecraft and related machinery </w:t>
      </w:r>
      <w:r w:rsidR="001C3B2F">
        <w:t xml:space="preserve">sector’ </w:t>
      </w:r>
      <w:r w:rsidR="007A1916">
        <w:t xml:space="preserve">by different countries over 15 years. </w:t>
      </w:r>
      <w:r>
        <w:t>It can be seen that the level of R&amp;D spending in th</w:t>
      </w:r>
      <w:r w:rsidR="001C3B2F">
        <w:t>is</w:t>
      </w:r>
      <w:r>
        <w:t xml:space="preserve"> sector in Australia rose between 2004 and 2006 and has declined significantly since then to just over US$20 million in 2011. In contrast, other countries (such as Canada, Japan, Spain, Poland and Belgium) have been steadily increasing their R&amp;D expenditure in the aerospace sector over the past decade, with Canada (as an example) investing in excess of US$120 million in</w:t>
      </w:r>
      <w:r w:rsidR="00C855FD">
        <w:t xml:space="preserve"> recent years.</w:t>
      </w:r>
    </w:p>
    <w:p w14:paraId="12637608" w14:textId="46A4D793" w:rsidR="006839F1" w:rsidRDefault="006839F1" w:rsidP="006839F1">
      <w:pPr>
        <w:pStyle w:val="BodyText1"/>
      </w:pPr>
      <w:r>
        <w:t xml:space="preserve">Of the big R&amp;D investors in this space, the US </w:t>
      </w:r>
      <w:r w:rsidR="00101A04">
        <w:t>is by far the largest and has maintained</w:t>
      </w:r>
      <w:r>
        <w:t xml:space="preserve"> aerospace R&amp;D investment at around US$25 billion since 2011</w:t>
      </w:r>
      <w:r w:rsidR="00101A04">
        <w:t>.</w:t>
      </w:r>
      <w:r>
        <w:t xml:space="preserve"> France continues to grow its aerospace R&amp;D spending (reaching $3.5 billion</w:t>
      </w:r>
      <w:r w:rsidR="00101A04">
        <w:t xml:space="preserve"> in 2013</w:t>
      </w:r>
      <w:r>
        <w:t xml:space="preserve">) and while there has been a lot of variation in R&amp;D investment by Germany and a decline in recent years, its levels of R&amp;D investment in aerospace still remains </w:t>
      </w:r>
      <w:r w:rsidR="00AA24B4">
        <w:t>significantly</w:t>
      </w:r>
      <w:r>
        <w:t xml:space="preserve"> ahead of the other countries matching the United Kingdom’s spend of around </w:t>
      </w:r>
      <w:r w:rsidR="00101A04">
        <w:t>$1.9 </w:t>
      </w:r>
      <w:r>
        <w:t>billion i</w:t>
      </w:r>
      <w:r w:rsidR="00C855FD">
        <w:t>n 2015.</w:t>
      </w:r>
    </w:p>
    <w:p w14:paraId="0CB3D41F" w14:textId="77777777" w:rsidR="006D104F" w:rsidRDefault="00101A04" w:rsidP="007369C8">
      <w:pPr>
        <w:pStyle w:val="BodyText1"/>
      </w:pPr>
      <w:r>
        <w:t>Another measure of R&amp;D, t</w:t>
      </w:r>
      <w:r w:rsidR="006839F1">
        <w:t xml:space="preserve">he </w:t>
      </w:r>
      <w:r>
        <w:t>‘</w:t>
      </w:r>
      <w:r w:rsidR="006839F1">
        <w:t>R&amp;D intensity index</w:t>
      </w:r>
      <w:r>
        <w:t>’,</w:t>
      </w:r>
      <w:r w:rsidR="006839F1">
        <w:t xml:space="preserve"> provides an indication of the amount invested in research and development relative to the gross value added by the </w:t>
      </w:r>
      <w:r w:rsidR="00555E98">
        <w:t>Aircraft Manufacturing and Repair Services</w:t>
      </w:r>
      <w:r w:rsidR="006839F1">
        <w:t xml:space="preserve"> industry. </w:t>
      </w:r>
      <w:r>
        <w:t>Under this index, t</w:t>
      </w:r>
      <w:r w:rsidR="006839F1">
        <w:t>his industry is classified as a high R&amp;D intensity industry based on average investments across OECD countries.</w:t>
      </w:r>
      <w:r w:rsidR="006839F1">
        <w:rPr>
          <w:rStyle w:val="FootnoteReference"/>
        </w:rPr>
        <w:footnoteReference w:id="8"/>
      </w:r>
    </w:p>
    <w:p w14:paraId="69DD5A1D" w14:textId="3EBB2332" w:rsidR="00C25CFD" w:rsidRDefault="00C25CFD" w:rsidP="00DF7D23">
      <w:pPr>
        <w:pStyle w:val="Caption"/>
      </w:pPr>
      <w:bookmarkStart w:id="134" w:name="_Ref479162383"/>
      <w:bookmarkStart w:id="135" w:name="_Ref472511553"/>
      <w:r>
        <w:lastRenderedPageBreak/>
        <w:t xml:space="preserve">Figure </w:t>
      </w:r>
      <w:bookmarkEnd w:id="134"/>
      <w:bookmarkEnd w:id="135"/>
      <w:r w:rsidR="001764A5">
        <w:t>7</w:t>
      </w:r>
      <w:r>
        <w:t xml:space="preserve">: </w:t>
      </w:r>
      <w:r w:rsidRPr="003C69D4">
        <w:t xml:space="preserve">Annual </w:t>
      </w:r>
      <w:r w:rsidR="00ED2A3D">
        <w:t xml:space="preserve">R&amp;D </w:t>
      </w:r>
      <w:r w:rsidRPr="003C69D4">
        <w:t xml:space="preserve">expenditure in </w:t>
      </w:r>
      <w:r w:rsidR="00ED2A3D">
        <w:t>air &amp; spacecraft and related mach</w:t>
      </w:r>
      <w:r w:rsidR="00A5697D">
        <w:t>i</w:t>
      </w:r>
      <w:r w:rsidR="00ED2A3D">
        <w:t xml:space="preserve">nery sector </w:t>
      </w:r>
      <w:r>
        <w:t>by country</w:t>
      </w:r>
      <w:r w:rsidR="006839F1">
        <w:t xml:space="preserve"> </w:t>
      </w:r>
      <w:r w:rsidR="006839F1">
        <w:br/>
        <w:t>(Australia plus the top 7 excluding the US)</w:t>
      </w:r>
    </w:p>
    <w:p w14:paraId="6BD6F4DB" w14:textId="77777777" w:rsidR="00C25CFD" w:rsidRDefault="006839F1" w:rsidP="006D104F">
      <w:r w:rsidRPr="006839F1">
        <w:rPr>
          <w:noProof/>
          <w:lang w:eastAsia="en-AU"/>
        </w:rPr>
        <w:t xml:space="preserve"> </w:t>
      </w:r>
      <w:r>
        <w:rPr>
          <w:noProof/>
          <w:lang w:eastAsia="en-AU"/>
        </w:rPr>
        <w:drawing>
          <wp:inline distT="0" distB="0" distL="0" distR="0" wp14:anchorId="7A358EFA" wp14:editId="2C7E5AF3">
            <wp:extent cx="5040000" cy="3060000"/>
            <wp:effectExtent l="0" t="0" r="8255" b="7620"/>
            <wp:docPr id="233" name="Chart 233" descr="Figure 7: Annual R&amp;D expenditure in air &amp; spacecraft and related machinery sector by country (Australia plus the top 7 excluding the US)"/>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07C6C19" w14:textId="77777777" w:rsidR="007A1916" w:rsidRDefault="00C25CFD" w:rsidP="00DF7D23">
      <w:pPr>
        <w:pStyle w:val="Source"/>
      </w:pPr>
      <w:r>
        <w:t>Source: OECD ANBE</w:t>
      </w:r>
      <w:r w:rsidRPr="00A5121F">
        <w:t>RD database</w:t>
      </w:r>
      <w:r w:rsidR="009D411F" w:rsidRPr="00A5121F">
        <w:t>, G</w:t>
      </w:r>
      <w:r w:rsidR="006459A7" w:rsidRPr="00A5121F">
        <w:t xml:space="preserve">alindo-Rueda, F. and F. Verger </w:t>
      </w:r>
      <w:r w:rsidR="009D411F" w:rsidRPr="00A5121F">
        <w:t>(2016)</w:t>
      </w:r>
      <w:r w:rsidR="005E5BED">
        <w:t xml:space="preserve"> </w:t>
      </w:r>
      <w:r w:rsidR="006459A7" w:rsidRPr="00A5121F">
        <w:rPr>
          <w:rStyle w:val="FootnoteReference"/>
        </w:rPr>
        <w:footnoteReference w:id="9"/>
      </w:r>
    </w:p>
    <w:p w14:paraId="304BBC59" w14:textId="52ADEB17" w:rsidR="006839F1" w:rsidRDefault="006839F1" w:rsidP="00C855FD">
      <w:pPr>
        <w:pStyle w:val="Caption"/>
        <w:spacing w:before="600"/>
      </w:pPr>
      <w:r>
        <w:t xml:space="preserve">Figure </w:t>
      </w:r>
      <w:r>
        <w:fldChar w:fldCharType="begin"/>
      </w:r>
      <w:r>
        <w:instrText xml:space="preserve"> SEQ Figure \* ARABIC </w:instrText>
      </w:r>
      <w:r>
        <w:fldChar w:fldCharType="separate"/>
      </w:r>
      <w:r w:rsidR="00980A78">
        <w:t>8</w:t>
      </w:r>
      <w:r>
        <w:fldChar w:fldCharType="end"/>
      </w:r>
      <w:r>
        <w:t xml:space="preserve">: </w:t>
      </w:r>
      <w:r w:rsidRPr="003C69D4">
        <w:t xml:space="preserve">Annual </w:t>
      </w:r>
      <w:r>
        <w:t xml:space="preserve">R&amp;D </w:t>
      </w:r>
      <w:r w:rsidRPr="003C69D4">
        <w:t xml:space="preserve">expenditure in </w:t>
      </w:r>
      <w:r>
        <w:t>air &amp; spacecraft and related mach</w:t>
      </w:r>
      <w:r w:rsidR="00A5697D">
        <w:t>i</w:t>
      </w:r>
      <w:r>
        <w:t xml:space="preserve">nery sector by country </w:t>
      </w:r>
      <w:r>
        <w:br/>
        <w:t>(Australia plus the remaining 6)</w:t>
      </w:r>
    </w:p>
    <w:p w14:paraId="64855DD3" w14:textId="77777777" w:rsidR="007A1916" w:rsidRDefault="006839F1" w:rsidP="00DF7D23">
      <w:pPr>
        <w:pStyle w:val="Footnote"/>
      </w:pPr>
      <w:r>
        <w:drawing>
          <wp:inline distT="0" distB="0" distL="0" distR="0" wp14:anchorId="6A626BC0" wp14:editId="634D87D1">
            <wp:extent cx="5040000" cy="3060000"/>
            <wp:effectExtent l="0" t="0" r="8255" b="7620"/>
            <wp:docPr id="234" name="Chart 234" descr="Of the 14 countries identified, while Australian R&amp;D spending in this industry was slightly higher than Austria, Poland and Singapore in the mid 2000’s, it had fallen to the lowest of all 14 countries by 2011 (at only around US$20 mill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8BE7532" w14:textId="1DA2F6FA" w:rsidR="00C855FD" w:rsidRDefault="004A52D8" w:rsidP="00C855FD">
      <w:pPr>
        <w:pStyle w:val="Source"/>
      </w:pPr>
      <w:r w:rsidRPr="00A81F16">
        <w:t xml:space="preserve">Source: OECD ANBERD database, Galindo-Rueda, F. and F. Verger (2016) </w:t>
      </w:r>
      <w:r w:rsidRPr="00A81F16">
        <w:rPr>
          <w:rStyle w:val="FootnoteReference"/>
          <w:vertAlign w:val="baseline"/>
        </w:rPr>
        <w:footnoteReference w:id="10"/>
      </w:r>
      <w:r w:rsidR="00C855FD">
        <w:br w:type="page"/>
      </w:r>
    </w:p>
    <w:p w14:paraId="147EE280" w14:textId="0FAB1FED" w:rsidR="00397FE2" w:rsidRDefault="00372BFF" w:rsidP="00822CC7">
      <w:pPr>
        <w:spacing w:after="0"/>
      </w:pPr>
      <w:r>
        <w:lastRenderedPageBreak/>
        <w:t>Notwithstanding moderate investments at an individual business level, Australia’s Aircraft Manufacturing</w:t>
      </w:r>
      <w:r w:rsidR="00657169">
        <w:t xml:space="preserve"> and Repair Services industry is regarded for innovative products and practices. A likely driver for this is </w:t>
      </w:r>
      <w:r w:rsidR="00BD7068">
        <w:t xml:space="preserve">Australia’s </w:t>
      </w:r>
      <w:r w:rsidR="00657169">
        <w:t xml:space="preserve">increasing </w:t>
      </w:r>
      <w:r w:rsidR="00BD7068">
        <w:t xml:space="preserve">industry collaborations with research organisations and universities </w:t>
      </w:r>
      <w:r w:rsidR="00657169">
        <w:t xml:space="preserve">that </w:t>
      </w:r>
      <w:r w:rsidR="00BD7068">
        <w:t xml:space="preserve">fosters product development </w:t>
      </w:r>
      <w:r w:rsidR="00BD7068">
        <w:rPr>
          <w:rFonts w:cstheme="minorHAnsi"/>
          <w:lang w:val="en-US"/>
        </w:rPr>
        <w:t xml:space="preserve">through translation of academic excellence into industry and commercial opportunities. </w:t>
      </w:r>
      <w:r w:rsidR="00131B89">
        <w:rPr>
          <w:rFonts w:cstheme="minorHAnsi"/>
          <w:lang w:val="en-US"/>
        </w:rPr>
        <w:t>These industry-academia partnerships</w:t>
      </w:r>
      <w:r w:rsidR="00657169">
        <w:rPr>
          <w:rFonts w:cstheme="minorHAnsi"/>
          <w:lang w:val="en-US"/>
        </w:rPr>
        <w:t xml:space="preserve"> and </w:t>
      </w:r>
      <w:r w:rsidR="00397FE2">
        <w:rPr>
          <w:rFonts w:cstheme="minorHAnsi"/>
          <w:lang w:val="en-US"/>
        </w:rPr>
        <w:t xml:space="preserve">encouragement for </w:t>
      </w:r>
      <w:r w:rsidR="00657169">
        <w:rPr>
          <w:rFonts w:cstheme="minorHAnsi"/>
          <w:lang w:val="en-US"/>
        </w:rPr>
        <w:t xml:space="preserve">entrepreneurial </w:t>
      </w:r>
      <w:r w:rsidR="00397FE2">
        <w:rPr>
          <w:rFonts w:cstheme="minorHAnsi"/>
          <w:lang w:val="en-US"/>
        </w:rPr>
        <w:t xml:space="preserve">activities through </w:t>
      </w:r>
      <w:r w:rsidR="00AF2DE9">
        <w:rPr>
          <w:rFonts w:cstheme="minorHAnsi"/>
          <w:lang w:val="en-US"/>
        </w:rPr>
        <w:t xml:space="preserve">university startup support programs have </w:t>
      </w:r>
      <w:r w:rsidR="00657169">
        <w:rPr>
          <w:rFonts w:cstheme="minorHAnsi"/>
          <w:lang w:val="en-US"/>
        </w:rPr>
        <w:t xml:space="preserve">also </w:t>
      </w:r>
      <w:r w:rsidR="00AF2DE9">
        <w:rPr>
          <w:rFonts w:cstheme="minorHAnsi"/>
          <w:lang w:val="en-US"/>
        </w:rPr>
        <w:t xml:space="preserve">seen </w:t>
      </w:r>
      <w:r w:rsidR="00AF2DE9" w:rsidRPr="00AF2DE9">
        <w:rPr>
          <w:rFonts w:cstheme="minorHAnsi"/>
          <w:lang w:val="en-US"/>
        </w:rPr>
        <w:t>Au</w:t>
      </w:r>
      <w:r w:rsidR="00B77A09">
        <w:rPr>
          <w:rFonts w:cstheme="minorHAnsi"/>
          <w:lang w:val="en-US"/>
        </w:rPr>
        <w:t>stralia’s start</w:t>
      </w:r>
      <w:r w:rsidR="00AF2DE9" w:rsidRPr="00AF2DE9">
        <w:rPr>
          <w:rFonts w:cstheme="minorHAnsi"/>
          <w:lang w:val="en-US"/>
        </w:rPr>
        <w:t xml:space="preserve">up </w:t>
      </w:r>
      <w:r w:rsidR="00B77A09">
        <w:rPr>
          <w:rFonts w:cstheme="minorHAnsi"/>
          <w:lang w:val="en-US"/>
        </w:rPr>
        <w:t xml:space="preserve">economy </w:t>
      </w:r>
      <w:r w:rsidR="00AF2DE9" w:rsidRPr="00AF2DE9">
        <w:rPr>
          <w:rFonts w:cstheme="minorHAnsi"/>
          <w:lang w:val="en-US"/>
        </w:rPr>
        <w:t>gain momentum in the past decade</w:t>
      </w:r>
      <w:r w:rsidR="00AF2DE9">
        <w:rPr>
          <w:rFonts w:cstheme="minorHAnsi"/>
          <w:lang w:val="en-US"/>
        </w:rPr>
        <w:t>,</w:t>
      </w:r>
      <w:r w:rsidR="00B77A09">
        <w:rPr>
          <w:rFonts w:cstheme="minorHAnsi"/>
          <w:lang w:val="en-US"/>
        </w:rPr>
        <w:t xml:space="preserve"> opening new doors for the industry in niche untapped sectors </w:t>
      </w:r>
      <w:r w:rsidR="00B77A09">
        <w:t>such as UAVs, agritech and the space sector.</w:t>
      </w:r>
      <w:r w:rsidR="00FA7A82">
        <w:t xml:space="preserve"> </w:t>
      </w:r>
      <w:r w:rsidR="00A81F16">
        <w:t>Example include the following.</w:t>
      </w:r>
    </w:p>
    <w:p w14:paraId="6676FB5E" w14:textId="77777777" w:rsidR="0032333C" w:rsidRPr="005C13D9" w:rsidRDefault="00822CC7" w:rsidP="00E577CA">
      <w:pPr>
        <w:pStyle w:val="ListParagraph"/>
        <w:numPr>
          <w:ilvl w:val="0"/>
          <w:numId w:val="52"/>
        </w:numPr>
        <w:spacing w:before="120" w:after="120" w:line="240" w:lineRule="auto"/>
        <w:contextualSpacing w:val="0"/>
        <w:rPr>
          <w:rFonts w:cs="Arial"/>
          <w:szCs w:val="20"/>
        </w:rPr>
      </w:pPr>
      <w:r w:rsidRPr="00E577CA">
        <w:rPr>
          <w:rFonts w:ascii="Univers 45 Light" w:hAnsi="Univers 45 Light" w:cs="Arial"/>
          <w:sz w:val="20"/>
          <w:szCs w:val="20"/>
        </w:rPr>
        <w:t xml:space="preserve">JAR Aerospace, a tech start-up operating out </w:t>
      </w:r>
      <w:r w:rsidR="002756CF" w:rsidRPr="00E577CA">
        <w:rPr>
          <w:rFonts w:ascii="Univers 45 Light" w:hAnsi="Univers 45 Light" w:cs="Arial"/>
          <w:sz w:val="20"/>
          <w:szCs w:val="20"/>
        </w:rPr>
        <w:t>of two facilities in Sydney,</w:t>
      </w:r>
      <w:r w:rsidRPr="00E577CA">
        <w:rPr>
          <w:rFonts w:ascii="Univers 45 Light" w:hAnsi="Univers 45 Light" w:cs="Arial"/>
          <w:sz w:val="20"/>
          <w:szCs w:val="20"/>
        </w:rPr>
        <w:t xml:space="preserve"> </w:t>
      </w:r>
      <w:r w:rsidR="002756CF" w:rsidRPr="00E577CA">
        <w:rPr>
          <w:rFonts w:ascii="Univers 45 Light" w:hAnsi="Univers 45 Light" w:cs="Arial"/>
          <w:sz w:val="20"/>
          <w:szCs w:val="20"/>
        </w:rPr>
        <w:t xml:space="preserve">has </w:t>
      </w:r>
      <w:r w:rsidRPr="00E577CA">
        <w:rPr>
          <w:rFonts w:ascii="Univers 45 Light" w:hAnsi="Univers 45 Light" w:cs="Arial"/>
          <w:sz w:val="20"/>
          <w:szCs w:val="20"/>
        </w:rPr>
        <w:t xml:space="preserve">made </w:t>
      </w:r>
      <w:r w:rsidR="002756CF" w:rsidRPr="00E577CA">
        <w:rPr>
          <w:rFonts w:ascii="Univers 45 Light" w:hAnsi="Univers 45 Light" w:cs="Arial"/>
          <w:sz w:val="20"/>
          <w:szCs w:val="20"/>
        </w:rPr>
        <w:t xml:space="preserve">a successful launch into </w:t>
      </w:r>
      <w:r w:rsidRPr="00E577CA">
        <w:rPr>
          <w:rFonts w:ascii="Univers 45 Light" w:hAnsi="Univers 45 Light" w:cs="Arial"/>
          <w:sz w:val="20"/>
          <w:szCs w:val="20"/>
        </w:rPr>
        <w:t xml:space="preserve">the </w:t>
      </w:r>
      <w:r w:rsidR="00397FE2" w:rsidRPr="00E577CA">
        <w:rPr>
          <w:rFonts w:ascii="Univers 45 Light" w:hAnsi="Univers 45 Light" w:cs="Arial"/>
          <w:sz w:val="20"/>
          <w:szCs w:val="20"/>
        </w:rPr>
        <w:t xml:space="preserve">UAVs </w:t>
      </w:r>
      <w:r w:rsidR="00956AE5" w:rsidRPr="00E577CA">
        <w:rPr>
          <w:rFonts w:ascii="Univers 45 Light" w:hAnsi="Univers 45 Light" w:cs="Arial"/>
          <w:sz w:val="20"/>
          <w:szCs w:val="20"/>
        </w:rPr>
        <w:t>space</w:t>
      </w:r>
      <w:r w:rsidRPr="00E577CA">
        <w:rPr>
          <w:rFonts w:ascii="Univers 45 Light" w:hAnsi="Univers 45 Light" w:cs="Arial"/>
          <w:sz w:val="20"/>
          <w:szCs w:val="20"/>
        </w:rPr>
        <w:t xml:space="preserve"> in less than two years since its inception in 2017</w:t>
      </w:r>
      <w:r w:rsidR="002756CF" w:rsidRPr="00E577CA">
        <w:rPr>
          <w:rFonts w:ascii="Univers 45 Light" w:hAnsi="Univers 45 Light" w:cs="Arial"/>
          <w:sz w:val="20"/>
          <w:szCs w:val="20"/>
        </w:rPr>
        <w:t xml:space="preserve"> and aspires to enter Australia’s promising space industry in the next five years</w:t>
      </w:r>
      <w:r w:rsidRPr="00E577CA">
        <w:rPr>
          <w:rFonts w:ascii="Univers 45 Light" w:hAnsi="Univers 45 Light" w:cs="Arial"/>
          <w:sz w:val="20"/>
          <w:szCs w:val="20"/>
        </w:rPr>
        <w:t>. The business develops UASs for commercial applications, with a cl</w:t>
      </w:r>
      <w:r w:rsidR="002756CF" w:rsidRPr="00E577CA">
        <w:rPr>
          <w:rFonts w:ascii="Univers 45 Light" w:hAnsi="Univers 45 Light" w:cs="Arial"/>
          <w:sz w:val="20"/>
          <w:szCs w:val="20"/>
        </w:rPr>
        <w:t>ear focus on the defence sector</w:t>
      </w:r>
      <w:r w:rsidRPr="00E577CA">
        <w:rPr>
          <w:rFonts w:ascii="Univers 45 Light" w:hAnsi="Univers 45 Light" w:cs="Arial"/>
          <w:sz w:val="20"/>
          <w:szCs w:val="20"/>
        </w:rPr>
        <w:t xml:space="preserve">. In 2018, the company secured a Defence Innovation Hub contract from the Australian Army to develop a vertical take-off and landing (VTOL) fixed-wing UAS. </w:t>
      </w:r>
    </w:p>
    <w:p w14:paraId="2FAC5A10" w14:textId="70A4AB21" w:rsidR="00822CC7" w:rsidRPr="005C13D9" w:rsidRDefault="0032333C" w:rsidP="00E577CA">
      <w:pPr>
        <w:pStyle w:val="ListParagraph"/>
        <w:numPr>
          <w:ilvl w:val="0"/>
          <w:numId w:val="52"/>
        </w:numPr>
        <w:spacing w:before="120" w:after="120" w:line="240" w:lineRule="auto"/>
        <w:contextualSpacing w:val="0"/>
        <w:rPr>
          <w:rFonts w:cs="Arial"/>
          <w:szCs w:val="20"/>
        </w:rPr>
      </w:pPr>
      <w:r w:rsidRPr="00E577CA">
        <w:rPr>
          <w:rFonts w:ascii="Univers 45 Light" w:hAnsi="Univers 45 Light" w:cs="Arial"/>
          <w:sz w:val="20"/>
          <w:szCs w:val="20"/>
        </w:rPr>
        <w:t xml:space="preserve">Demonstrating </w:t>
      </w:r>
      <w:r w:rsidR="00C539AC" w:rsidRPr="00E577CA">
        <w:rPr>
          <w:rFonts w:ascii="Univers 45 Light" w:hAnsi="Univers 45 Light" w:cs="Arial"/>
          <w:sz w:val="20"/>
          <w:szCs w:val="20"/>
        </w:rPr>
        <w:t xml:space="preserve">the importance of university support for entrepreneurial </w:t>
      </w:r>
      <w:r w:rsidRPr="00E577CA">
        <w:rPr>
          <w:rFonts w:ascii="Univers 45 Light" w:hAnsi="Univers 45 Light" w:cs="Arial"/>
          <w:sz w:val="20"/>
          <w:szCs w:val="20"/>
        </w:rPr>
        <w:t>initiatives</w:t>
      </w:r>
      <w:r w:rsidR="00C539AC" w:rsidRPr="00E577CA">
        <w:rPr>
          <w:rFonts w:ascii="Univers 45 Light" w:hAnsi="Univers 45 Light" w:cs="Arial"/>
          <w:sz w:val="20"/>
          <w:szCs w:val="20"/>
        </w:rPr>
        <w:t xml:space="preserve"> to flourish, </w:t>
      </w:r>
      <w:r w:rsidR="00822CC7" w:rsidRPr="00E577CA">
        <w:rPr>
          <w:rFonts w:ascii="Univers 45 Light" w:hAnsi="Univers 45 Light" w:cs="Arial"/>
          <w:sz w:val="20"/>
          <w:szCs w:val="20"/>
        </w:rPr>
        <w:t>Flurosat</w:t>
      </w:r>
      <w:r w:rsidR="00C539AC" w:rsidRPr="00E577CA">
        <w:rPr>
          <w:rFonts w:ascii="Univers 45 Light" w:hAnsi="Univers 45 Light" w:cs="Arial"/>
          <w:sz w:val="20"/>
          <w:szCs w:val="20"/>
        </w:rPr>
        <w:t xml:space="preserve"> was </w:t>
      </w:r>
      <w:r w:rsidR="002756CF" w:rsidRPr="00E577CA">
        <w:rPr>
          <w:rFonts w:ascii="Univers 45 Light" w:hAnsi="Univers 45 Light" w:cs="Arial"/>
          <w:sz w:val="20"/>
          <w:szCs w:val="20"/>
        </w:rPr>
        <w:t>born out of a pilot program at the University of Sydney</w:t>
      </w:r>
      <w:r w:rsidRPr="00E577CA">
        <w:rPr>
          <w:rFonts w:ascii="Univers 45 Light" w:hAnsi="Univers 45 Light" w:cs="Arial"/>
          <w:sz w:val="20"/>
          <w:szCs w:val="20"/>
        </w:rPr>
        <w:t xml:space="preserve">. This program is designed so that </w:t>
      </w:r>
      <w:r w:rsidR="002756CF" w:rsidRPr="00E577CA">
        <w:rPr>
          <w:rFonts w:ascii="Univers 45 Light" w:hAnsi="Univers 45 Light" w:cs="Arial"/>
          <w:sz w:val="20"/>
          <w:szCs w:val="20"/>
        </w:rPr>
        <w:t xml:space="preserve">university students </w:t>
      </w:r>
      <w:r w:rsidRPr="00E577CA">
        <w:rPr>
          <w:rFonts w:ascii="Univers 45 Light" w:hAnsi="Univers 45 Light" w:cs="Arial"/>
          <w:sz w:val="20"/>
          <w:szCs w:val="20"/>
        </w:rPr>
        <w:t xml:space="preserve">can </w:t>
      </w:r>
      <w:r w:rsidR="002756CF" w:rsidRPr="00E577CA">
        <w:rPr>
          <w:rFonts w:ascii="Univers 45 Light" w:hAnsi="Univers 45 Light" w:cs="Arial"/>
          <w:sz w:val="20"/>
          <w:szCs w:val="20"/>
        </w:rPr>
        <w:t>work on real-world problems</w:t>
      </w:r>
      <w:r w:rsidRPr="00E577CA">
        <w:rPr>
          <w:rFonts w:ascii="Univers 45 Light" w:hAnsi="Univers 45 Light" w:cs="Arial"/>
          <w:sz w:val="20"/>
          <w:szCs w:val="20"/>
        </w:rPr>
        <w:t>. In the case of Flurosat</w:t>
      </w:r>
      <w:r w:rsidR="002756CF" w:rsidRPr="00E577CA">
        <w:rPr>
          <w:rFonts w:ascii="Univers 45 Light" w:hAnsi="Univers 45 Light" w:cs="Arial"/>
          <w:sz w:val="20"/>
          <w:szCs w:val="20"/>
        </w:rPr>
        <w:t xml:space="preserve">, </w:t>
      </w:r>
      <w:r w:rsidRPr="00E577CA">
        <w:rPr>
          <w:rFonts w:ascii="Univers 45 Light" w:hAnsi="Univers 45 Light" w:cs="Arial"/>
          <w:sz w:val="20"/>
          <w:szCs w:val="20"/>
        </w:rPr>
        <w:t xml:space="preserve">the program helped facilitate a </w:t>
      </w:r>
      <w:r w:rsidR="00822CC7" w:rsidRPr="00E577CA">
        <w:rPr>
          <w:rFonts w:ascii="Univers 45 Light" w:hAnsi="Univers 45 Light" w:cs="Arial"/>
          <w:sz w:val="20"/>
          <w:szCs w:val="20"/>
        </w:rPr>
        <w:t>cross-disciplinary application of aerospace technology</w:t>
      </w:r>
      <w:r w:rsidR="002756CF" w:rsidRPr="00E577CA">
        <w:rPr>
          <w:rFonts w:ascii="Univers 45 Light" w:hAnsi="Univers 45 Light" w:cs="Arial"/>
          <w:sz w:val="20"/>
          <w:szCs w:val="20"/>
        </w:rPr>
        <w:t xml:space="preserve"> </w:t>
      </w:r>
      <w:r w:rsidRPr="00E577CA">
        <w:rPr>
          <w:rFonts w:ascii="Univers 45 Light" w:hAnsi="Univers 45 Light" w:cs="Arial"/>
          <w:sz w:val="20"/>
          <w:szCs w:val="20"/>
        </w:rPr>
        <w:t xml:space="preserve">to </w:t>
      </w:r>
      <w:r w:rsidR="002756CF" w:rsidRPr="00E577CA">
        <w:rPr>
          <w:rFonts w:ascii="Univers 45 Light" w:hAnsi="Univers 45 Light" w:cs="Arial"/>
          <w:sz w:val="20"/>
          <w:szCs w:val="20"/>
        </w:rPr>
        <w:t>improv</w:t>
      </w:r>
      <w:r w:rsidRPr="00E577CA">
        <w:rPr>
          <w:rFonts w:ascii="Univers 45 Light" w:hAnsi="Univers 45 Light" w:cs="Arial"/>
          <w:sz w:val="20"/>
          <w:szCs w:val="20"/>
        </w:rPr>
        <w:t>e</w:t>
      </w:r>
      <w:r w:rsidR="002756CF" w:rsidRPr="00E577CA">
        <w:rPr>
          <w:rFonts w:ascii="Univers 45 Light" w:hAnsi="Univers 45 Light" w:cs="Arial"/>
          <w:sz w:val="20"/>
          <w:szCs w:val="20"/>
        </w:rPr>
        <w:t xml:space="preserve"> food security</w:t>
      </w:r>
      <w:r w:rsidRPr="00E577CA">
        <w:rPr>
          <w:rFonts w:ascii="Univers 45 Light" w:hAnsi="Univers 45 Light" w:cs="Arial"/>
          <w:sz w:val="20"/>
          <w:szCs w:val="20"/>
        </w:rPr>
        <w:t xml:space="preserve"> Specifically, Furosat is an </w:t>
      </w:r>
      <w:r w:rsidR="00C539AC" w:rsidRPr="00E577CA">
        <w:rPr>
          <w:rFonts w:ascii="Univers 45 Light" w:hAnsi="Univers 45 Light" w:cs="Arial"/>
          <w:sz w:val="20"/>
          <w:szCs w:val="20"/>
        </w:rPr>
        <w:t xml:space="preserve">ag-tech </w:t>
      </w:r>
      <w:r w:rsidRPr="00E577CA">
        <w:rPr>
          <w:rFonts w:ascii="Univers 45 Light" w:hAnsi="Univers 45 Light" w:cs="Arial"/>
          <w:sz w:val="20"/>
          <w:szCs w:val="20"/>
        </w:rPr>
        <w:t>start-up</w:t>
      </w:r>
      <w:r w:rsidR="00C539AC" w:rsidRPr="00E577CA">
        <w:rPr>
          <w:rFonts w:ascii="Univers 45 Light" w:hAnsi="Univers 45 Light" w:cs="Arial"/>
          <w:sz w:val="20"/>
          <w:szCs w:val="20"/>
        </w:rPr>
        <w:t xml:space="preserve"> </w:t>
      </w:r>
      <w:r w:rsidRPr="00E577CA">
        <w:rPr>
          <w:rFonts w:ascii="Univers 45 Light" w:hAnsi="Univers 45 Light" w:cs="Arial"/>
          <w:sz w:val="20"/>
          <w:szCs w:val="20"/>
        </w:rPr>
        <w:t xml:space="preserve">that </w:t>
      </w:r>
      <w:r w:rsidR="00C539AC" w:rsidRPr="00E577CA">
        <w:rPr>
          <w:rFonts w:ascii="Univers 45 Light" w:hAnsi="Univers 45 Light" w:cs="Arial"/>
          <w:sz w:val="20"/>
          <w:szCs w:val="20"/>
        </w:rPr>
        <w:t>uses</w:t>
      </w:r>
      <w:r w:rsidR="00822CC7" w:rsidRPr="00E577CA">
        <w:rPr>
          <w:rFonts w:ascii="Univers 45 Light" w:hAnsi="Univers 45 Light" w:cs="Arial"/>
          <w:sz w:val="20"/>
          <w:szCs w:val="20"/>
        </w:rPr>
        <w:t xml:space="preserve"> satellite imaging to monitor crop health and thus inform resource management by farmers.</w:t>
      </w:r>
      <w:r w:rsidR="002756CF" w:rsidRPr="00E577CA">
        <w:rPr>
          <w:rFonts w:ascii="Univers 45 Light" w:hAnsi="Univers 45 Light" w:cs="Arial"/>
          <w:sz w:val="20"/>
          <w:szCs w:val="20"/>
        </w:rPr>
        <w:t xml:space="preserve"> Having won </w:t>
      </w:r>
      <w:r w:rsidR="00822CC7" w:rsidRPr="00E577CA">
        <w:rPr>
          <w:rFonts w:ascii="Univers 45 Light" w:hAnsi="Univers 45 Light" w:cs="Arial"/>
          <w:sz w:val="20"/>
          <w:szCs w:val="20"/>
        </w:rPr>
        <w:t xml:space="preserve">a </w:t>
      </w:r>
      <w:r w:rsidRPr="00E577CA">
        <w:rPr>
          <w:rFonts w:ascii="Univers 45 Light" w:hAnsi="Univers 45 Light" w:cs="Arial"/>
          <w:sz w:val="20"/>
          <w:szCs w:val="20"/>
        </w:rPr>
        <w:t>number</w:t>
      </w:r>
      <w:r w:rsidR="00822CC7" w:rsidRPr="00E577CA">
        <w:rPr>
          <w:rFonts w:ascii="Univers 45 Light" w:hAnsi="Univers 45 Light" w:cs="Arial"/>
          <w:sz w:val="20"/>
          <w:szCs w:val="20"/>
        </w:rPr>
        <w:t xml:space="preserve"> of government grants, </w:t>
      </w:r>
      <w:r w:rsidR="002756CF" w:rsidRPr="00E577CA">
        <w:rPr>
          <w:rFonts w:ascii="Univers 45 Light" w:hAnsi="Univers 45 Light" w:cs="Arial"/>
          <w:sz w:val="20"/>
          <w:szCs w:val="20"/>
        </w:rPr>
        <w:t>Flurosat most recently secured</w:t>
      </w:r>
      <w:r w:rsidR="00822CC7" w:rsidRPr="00E577CA">
        <w:rPr>
          <w:rFonts w:ascii="Univers 45 Light" w:hAnsi="Univers 45 Light" w:cs="Arial"/>
          <w:sz w:val="20"/>
          <w:szCs w:val="20"/>
        </w:rPr>
        <w:t xml:space="preserve"> a $3 million Cooperative Research Centres Project (CRC-P) grant, which will help the business make data insights more accessible for</w:t>
      </w:r>
      <w:r w:rsidR="002756CF" w:rsidRPr="00E577CA">
        <w:rPr>
          <w:rFonts w:ascii="Univers 45 Light" w:hAnsi="Univers 45 Light" w:cs="Arial"/>
          <w:sz w:val="20"/>
          <w:szCs w:val="20"/>
        </w:rPr>
        <w:t xml:space="preserve"> agricultural</w:t>
      </w:r>
      <w:r w:rsidR="00822CC7" w:rsidRPr="00E577CA">
        <w:rPr>
          <w:rFonts w:ascii="Univers 45 Light" w:hAnsi="Univers 45 Light" w:cs="Arial"/>
          <w:sz w:val="20"/>
          <w:szCs w:val="20"/>
        </w:rPr>
        <w:t xml:space="preserve"> use. </w:t>
      </w:r>
    </w:p>
    <w:p w14:paraId="2D80BB0C" w14:textId="6B87631C" w:rsidR="00D66BE4" w:rsidRDefault="002A6551" w:rsidP="00A81F16">
      <w:pPr>
        <w:pStyle w:val="Bodyafterbullet"/>
      </w:pPr>
      <w:r>
        <w:t xml:space="preserve">A further area for innovation in Australia is the space sector. </w:t>
      </w:r>
      <w:r w:rsidR="006163FE">
        <w:t xml:space="preserve">Amid </w:t>
      </w:r>
      <w:r w:rsidR="00E12CF5">
        <w:t xml:space="preserve">a burgeoning </w:t>
      </w:r>
      <w:r w:rsidR="006163FE">
        <w:t xml:space="preserve">global space sector, </w:t>
      </w:r>
      <w:r w:rsidR="0032333C">
        <w:t xml:space="preserve">the </w:t>
      </w:r>
      <w:r w:rsidR="006163FE">
        <w:t xml:space="preserve">launch of the Australian Space Agency in 2018 has provided </w:t>
      </w:r>
      <w:r w:rsidR="006163FE" w:rsidRPr="006163FE">
        <w:t xml:space="preserve">the much-needed entry into space for Australia, with </w:t>
      </w:r>
      <w:r w:rsidR="00E12CF5">
        <w:t xml:space="preserve">the </w:t>
      </w:r>
      <w:r w:rsidR="006163FE" w:rsidRPr="006163FE">
        <w:t xml:space="preserve">apex body </w:t>
      </w:r>
      <w:r w:rsidR="00E12CF5">
        <w:t xml:space="preserve">intended to provide financial and </w:t>
      </w:r>
      <w:r w:rsidR="006163FE" w:rsidRPr="006163FE">
        <w:t xml:space="preserve">legislative support </w:t>
      </w:r>
      <w:r w:rsidR="00E12CF5">
        <w:t xml:space="preserve">as well as promote </w:t>
      </w:r>
      <w:r w:rsidR="006163FE" w:rsidRPr="006163FE">
        <w:t>Australian space capabilities on a global platform</w:t>
      </w:r>
      <w:r w:rsidR="006163FE">
        <w:t>.</w:t>
      </w:r>
      <w:r w:rsidR="003135C5">
        <w:t xml:space="preserve"> </w:t>
      </w:r>
      <w:r w:rsidR="00B85D86">
        <w:t xml:space="preserve">With </w:t>
      </w:r>
      <w:r w:rsidR="006163FE" w:rsidRPr="006163FE">
        <w:t>Australia</w:t>
      </w:r>
      <w:r w:rsidR="00B85D86">
        <w:t xml:space="preserve">’s </w:t>
      </w:r>
      <w:r w:rsidR="006163FE" w:rsidRPr="006163FE">
        <w:t xml:space="preserve">demonstrated </w:t>
      </w:r>
      <w:r w:rsidR="00B85D86">
        <w:t xml:space="preserve">and varied </w:t>
      </w:r>
      <w:r w:rsidR="006163FE" w:rsidRPr="006163FE">
        <w:t>aerospace capabilities,</w:t>
      </w:r>
      <w:r w:rsidR="00B85D86">
        <w:t xml:space="preserve"> it stands to reason that this know</w:t>
      </w:r>
      <w:r w:rsidR="00595B8B">
        <w:t xml:space="preserve"> </w:t>
      </w:r>
      <w:r w:rsidR="00B85D86">
        <w:t xml:space="preserve">how </w:t>
      </w:r>
      <w:r w:rsidR="006163FE" w:rsidRPr="006163FE">
        <w:t xml:space="preserve">can be built on to not only expand the domestic space industry, but also access new global supply chain opportunities. </w:t>
      </w:r>
      <w:r w:rsidR="006163FE">
        <w:t>The broad spectrum of capabilities required along the space supply chain presents</w:t>
      </w:r>
      <w:r w:rsidR="00BF2EFD">
        <w:t xml:space="preserve"> </w:t>
      </w:r>
      <w:r w:rsidR="006163FE">
        <w:t xml:space="preserve">opportunities for Australia’s large </w:t>
      </w:r>
      <w:r w:rsidR="00381787">
        <w:t xml:space="preserve">proportion of </w:t>
      </w:r>
      <w:r w:rsidR="006163FE">
        <w:t xml:space="preserve">SMEs </w:t>
      </w:r>
      <w:r w:rsidR="00BF2EFD">
        <w:t>in the aerospace sector</w:t>
      </w:r>
      <w:r w:rsidR="00381787">
        <w:t>.</w:t>
      </w:r>
      <w:r w:rsidR="006163FE">
        <w:t xml:space="preserve"> </w:t>
      </w:r>
      <w:r w:rsidR="00223A56">
        <w:t>Companies involved in manufacturing aerospace vehicle components or other products as well as those employing manufacturers, precision engineering enterprises, transportation companies, fuel and chemical suppliers, resources companies, construction firms, telecommunication specialists and associated service providers all possess existing skills and expertise</w:t>
      </w:r>
      <w:r w:rsidR="00A81F16">
        <w:t xml:space="preserve"> that are </w:t>
      </w:r>
      <w:r w:rsidR="00223A56">
        <w:t>adaptable and transferrabl</w:t>
      </w:r>
      <w:r w:rsidR="00D66BE4">
        <w:t xml:space="preserve">e to an emerging space sector. </w:t>
      </w:r>
      <w:r w:rsidR="00223A56">
        <w:t>In addition, manufacturing skills and technological expertise in advanced manufacturing, 3D printing, high-tech materials, earth observation, remote asset management and robotics are easily applicable in dev</w:t>
      </w:r>
      <w:r w:rsidR="00C855FD">
        <w:t>eloping space-ready technology.</w:t>
      </w:r>
    </w:p>
    <w:p w14:paraId="1A6B4E5C" w14:textId="3AFC4747" w:rsidR="00D66BE4" w:rsidRDefault="00D66BE4" w:rsidP="00D66BE4">
      <w:pPr>
        <w:spacing w:after="0"/>
      </w:pPr>
      <w:r>
        <w:t xml:space="preserve">The space industry is synonymous with specialist and advanced technology as well as high product standards delivered </w:t>
      </w:r>
      <w:r w:rsidR="00A81F16">
        <w:t xml:space="preserve">under a tight </w:t>
      </w:r>
      <w:r>
        <w:t>regulat</w:t>
      </w:r>
      <w:r w:rsidR="00A81F16">
        <w:t>ory framework</w:t>
      </w:r>
      <w:r>
        <w:t>, thus making the aerospace industry well placed to cater to this emerging sector. The aerospace experience with meeting strict aviation regulations and its expertise in air and space law and air traffic management could be beneficial in navigating space</w:t>
      </w:r>
      <w:r w:rsidR="00A81F16">
        <w:t>-</w:t>
      </w:r>
      <w:r>
        <w:t>related regulatory frameworks and fulfil a foreseeable nee</w:t>
      </w:r>
      <w:r w:rsidR="00C855FD">
        <w:t>d for space traffic management.</w:t>
      </w:r>
    </w:p>
    <w:p w14:paraId="1605AAF1" w14:textId="52D7E939" w:rsidR="00CE3EBA" w:rsidRDefault="00D66BE4" w:rsidP="00CE3EBA">
      <w:pPr>
        <w:spacing w:after="0"/>
      </w:pPr>
      <w:r>
        <w:t>Th</w:t>
      </w:r>
      <w:r w:rsidR="006163FE">
        <w:t xml:space="preserve">e presence of </w:t>
      </w:r>
      <w:r w:rsidR="00CE3EBA">
        <w:t>a highly skilled workforce and a strong research base in both civil and military aerospace sectors</w:t>
      </w:r>
      <w:r w:rsidR="00381787">
        <w:t xml:space="preserve"> could </w:t>
      </w:r>
      <w:r w:rsidR="002A6551">
        <w:t xml:space="preserve">help </w:t>
      </w:r>
      <w:r w:rsidR="00381787">
        <w:t>spearhead</w:t>
      </w:r>
      <w:r w:rsidR="00223A56">
        <w:t xml:space="preserve"> Australia’s</w:t>
      </w:r>
      <w:r w:rsidR="00381787">
        <w:t xml:space="preserve"> </w:t>
      </w:r>
      <w:r w:rsidR="00A81F16">
        <w:t xml:space="preserve">growing </w:t>
      </w:r>
      <w:r w:rsidR="00381787">
        <w:t>space sector</w:t>
      </w:r>
      <w:r w:rsidR="00223A56">
        <w:t xml:space="preserve">, while </w:t>
      </w:r>
      <w:r w:rsidR="00CE3EBA">
        <w:t>potentially limit</w:t>
      </w:r>
      <w:r w:rsidR="00223A56">
        <w:t>ing</w:t>
      </w:r>
      <w:r w:rsidR="00CE3EBA">
        <w:t xml:space="preserve"> the migration of Australia’s engineering talent to more </w:t>
      </w:r>
      <w:proofErr w:type="gramStart"/>
      <w:r w:rsidR="00DF7D23">
        <w:t>advance</w:t>
      </w:r>
      <w:r w:rsidR="00595B8B">
        <w:t>d</w:t>
      </w:r>
      <w:proofErr w:type="gramEnd"/>
      <w:r w:rsidR="00CE3EBA">
        <w:t xml:space="preserve"> and established space sectors in US, UK and Canada. Australia is believed to have a strong hold in communications technology and space services like situational awareness, ground stations which could help cover the gap with other countries.</w:t>
      </w:r>
    </w:p>
    <w:p w14:paraId="324E00CF" w14:textId="77777777" w:rsidR="00C855FD" w:rsidRDefault="00C855FD" w:rsidP="00822CC7">
      <w:pPr>
        <w:spacing w:after="0"/>
      </w:pPr>
      <w:r>
        <w:br w:type="page"/>
      </w:r>
    </w:p>
    <w:p w14:paraId="1E24D0F2" w14:textId="769AF8F7" w:rsidR="00B77A09" w:rsidRDefault="003135C5" w:rsidP="00822CC7">
      <w:pPr>
        <w:spacing w:after="0"/>
      </w:pPr>
      <w:r>
        <w:lastRenderedPageBreak/>
        <w:t xml:space="preserve">A number of </w:t>
      </w:r>
      <w:r w:rsidRPr="006163FE">
        <w:t>big aerospace players like Boeing, Airbus</w:t>
      </w:r>
      <w:r w:rsidR="00A81F16">
        <w:t xml:space="preserve"> and</w:t>
      </w:r>
      <w:r w:rsidRPr="006163FE">
        <w:t xml:space="preserve"> Northrop Grumman</w:t>
      </w:r>
      <w:r>
        <w:t xml:space="preserve"> are involved in the global space segment</w:t>
      </w:r>
      <w:r w:rsidR="00A81F16">
        <w:t>.  G</w:t>
      </w:r>
      <w:r w:rsidRPr="006163FE">
        <w:t xml:space="preserve">rowth in the Australian space sector could incentivise </w:t>
      </w:r>
      <w:r>
        <w:t xml:space="preserve">them </w:t>
      </w:r>
      <w:r w:rsidRPr="006163FE">
        <w:t>to expand their current Australia operations.</w:t>
      </w:r>
      <w:r>
        <w:t xml:space="preserve"> Moreover, Australia’s </w:t>
      </w:r>
      <w:r w:rsidR="00A81F16">
        <w:t xml:space="preserve">developing </w:t>
      </w:r>
      <w:r>
        <w:t>space sector is attracting up</w:t>
      </w:r>
      <w:r w:rsidR="0052251B">
        <w:t>-and-</w:t>
      </w:r>
      <w:r>
        <w:t>coming start</w:t>
      </w:r>
      <w:r w:rsidR="00A81F16">
        <w:t>-</w:t>
      </w:r>
      <w:r>
        <w:t xml:space="preserve">ups to explore its commercial aspects. </w:t>
      </w:r>
      <w:r w:rsidR="00A81F16">
        <w:t xml:space="preserve">For example, </w:t>
      </w:r>
      <w:r>
        <w:t xml:space="preserve">Queensland spacetech </w:t>
      </w:r>
      <w:r w:rsidR="00A81F16">
        <w:t>start-up</w:t>
      </w:r>
      <w:r>
        <w:t>, Gilmour Space Technologies</w:t>
      </w:r>
      <w:r w:rsidR="00A81F16">
        <w:t>,</w:t>
      </w:r>
      <w:r>
        <w:t xml:space="preserve"> is a launch provider</w:t>
      </w:r>
      <w:r w:rsidR="00A81F16">
        <w:t xml:space="preserve"> that </w:t>
      </w:r>
      <w:r>
        <w:t>suppl</w:t>
      </w:r>
      <w:r w:rsidR="00A81F16">
        <w:t>ies</w:t>
      </w:r>
      <w:r>
        <w:t xml:space="preserve"> hybrid rockets for the small satellite industry. Th</w:t>
      </w:r>
      <w:r w:rsidR="00A81F16">
        <w:t>is</w:t>
      </w:r>
      <w:r>
        <w:t xml:space="preserve"> </w:t>
      </w:r>
      <w:r w:rsidR="00A81F16">
        <w:t>start-up’s</w:t>
      </w:r>
      <w:r>
        <w:t xml:space="preserve"> innovative and low-cost manufacturing capability has enabled it to secure AU$19 million of funding to launch its first commercial rocket into space by 2020. It</w:t>
      </w:r>
      <w:r w:rsidR="00920DBD">
        <w:t xml:space="preserve"> i</w:t>
      </w:r>
      <w:r>
        <w:t>s the first Australian start-up to sign a Space Act agreement with NASA on collaboration projects. Whil</w:t>
      </w:r>
      <w:r w:rsidR="00D66BE4">
        <w:t xml:space="preserve">st doing </w:t>
      </w:r>
      <w:r>
        <w:t>commercial</w:t>
      </w:r>
      <w:r w:rsidR="00D66BE4">
        <w:t>ly well</w:t>
      </w:r>
      <w:r>
        <w:t xml:space="preserve">, the business flags </w:t>
      </w:r>
      <w:r w:rsidR="00D66BE4">
        <w:t xml:space="preserve">potential challenges for the space sector in Australia in terms of </w:t>
      </w:r>
      <w:r>
        <w:t>high launch permit costs and limited launch opportunit</w:t>
      </w:r>
      <w:r w:rsidR="00123487">
        <w:t>ies.</w:t>
      </w:r>
    </w:p>
    <w:p w14:paraId="254FAA2E" w14:textId="375440D3" w:rsidR="007B4461" w:rsidRPr="00F92F7E" w:rsidRDefault="00565BFF" w:rsidP="007B4461">
      <w:pPr>
        <w:spacing w:after="0"/>
      </w:pPr>
      <w:r>
        <w:t>Overall, e</w:t>
      </w:r>
      <w:r w:rsidR="00B77A09">
        <w:t xml:space="preserve">arly stage businesses have received immense support from government and university seed </w:t>
      </w:r>
      <w:r w:rsidR="00DF7D23">
        <w:t>funding</w:t>
      </w:r>
      <w:r w:rsidR="00B77A09">
        <w:t xml:space="preserve">, thus enabling them to sustain </w:t>
      </w:r>
      <w:r>
        <w:t>and thrive in the</w:t>
      </w:r>
      <w:r w:rsidR="00B77A09">
        <w:t xml:space="preserve"> </w:t>
      </w:r>
      <w:r>
        <w:t>capital-</w:t>
      </w:r>
      <w:r w:rsidR="00B77A09">
        <w:t xml:space="preserve">intensive </w:t>
      </w:r>
      <w:r>
        <w:t xml:space="preserve">aerospace and space </w:t>
      </w:r>
      <w:r w:rsidR="00B77A09">
        <w:t xml:space="preserve">sectors with high-quality infrastructure requirements. </w:t>
      </w:r>
      <w:r w:rsidR="007B4461">
        <w:t xml:space="preserve">However, in general, </w:t>
      </w:r>
      <w:r w:rsidR="00DF67A7">
        <w:t xml:space="preserve">industry stakeholders believe that </w:t>
      </w:r>
      <w:r w:rsidR="007B4461">
        <w:t xml:space="preserve">the importance of reaching out to </w:t>
      </w:r>
      <w:r w:rsidR="001136B3">
        <w:t>innovation and</w:t>
      </w:r>
      <w:r w:rsidR="007B4461" w:rsidRPr="0081194B">
        <w:t xml:space="preserve"> research</w:t>
      </w:r>
      <w:r w:rsidR="007B4461">
        <w:t xml:space="preserve"> when facing a business problem does not yet appear in-grained in the local industry. Industry sees opportunity in further developing an innovative culture across the whole industry and </w:t>
      </w:r>
      <w:r w:rsidR="001C3B2F">
        <w:t xml:space="preserve">believes </w:t>
      </w:r>
      <w:r w:rsidR="007B4461">
        <w:t xml:space="preserve">this can help develop more competitive and sustainable businesses. </w:t>
      </w:r>
      <w:r w:rsidR="007B4461" w:rsidRPr="00F92F7E">
        <w:t>Strategic procure</w:t>
      </w:r>
      <w:r w:rsidR="007B4461">
        <w:t xml:space="preserve">ment from military/government is also seen as an opportunity for the industry, with knowledge transfers from these projects assisting the industry on a path to success. </w:t>
      </w:r>
    </w:p>
    <w:p w14:paraId="7C4060A1" w14:textId="4B8CBBD3" w:rsidR="004523D7" w:rsidRPr="00A77E29" w:rsidRDefault="004523D7" w:rsidP="0011521D">
      <w:pPr>
        <w:pStyle w:val="Heading3"/>
      </w:pPr>
      <w:bookmarkStart w:id="136" w:name="_Toc2066646"/>
      <w:bookmarkStart w:id="137" w:name="_Toc2066757"/>
      <w:bookmarkStart w:id="138" w:name="_Toc2066826"/>
      <w:bookmarkStart w:id="139" w:name="_Toc2066647"/>
      <w:bookmarkStart w:id="140" w:name="_Toc2066758"/>
      <w:bookmarkStart w:id="141" w:name="_Toc2066827"/>
      <w:bookmarkStart w:id="142" w:name="_Toc536634757"/>
      <w:bookmarkStart w:id="143" w:name="_Toc536696255"/>
      <w:bookmarkStart w:id="144" w:name="_Toc26537888"/>
      <w:bookmarkEnd w:id="136"/>
      <w:bookmarkEnd w:id="137"/>
      <w:bookmarkEnd w:id="138"/>
      <w:bookmarkEnd w:id="139"/>
      <w:bookmarkEnd w:id="140"/>
      <w:bookmarkEnd w:id="141"/>
      <w:bookmarkEnd w:id="142"/>
      <w:bookmarkEnd w:id="143"/>
      <w:r w:rsidRPr="00A77E29">
        <w:t>International markets and supply chains</w:t>
      </w:r>
      <w:bookmarkEnd w:id="144"/>
    </w:p>
    <w:p w14:paraId="4CC7E9FD" w14:textId="77777777" w:rsidR="001136B3" w:rsidRDefault="006668A7" w:rsidP="00473B24">
      <w:pPr>
        <w:spacing w:after="0"/>
      </w:pPr>
      <w:r w:rsidRPr="00474886">
        <w:t xml:space="preserve">As the current wave of globalisation rides high, integrating into global supply chains of the big aircraft manufacturers and delivering value services to global customers is essential for the </w:t>
      </w:r>
      <w:r w:rsidR="00555E98">
        <w:t>Aircraft Manufacturing and Repair Services</w:t>
      </w:r>
      <w:r>
        <w:t xml:space="preserve"> </w:t>
      </w:r>
      <w:r w:rsidRPr="00474886">
        <w:t>industry to sustain itself.</w:t>
      </w:r>
      <w:r w:rsidR="00171D04">
        <w:t xml:space="preserve"> </w:t>
      </w:r>
    </w:p>
    <w:p w14:paraId="2C685F29" w14:textId="4554AE61" w:rsidR="001136B3" w:rsidRDefault="00171D04" w:rsidP="00473B24">
      <w:pPr>
        <w:spacing w:after="0"/>
        <w:rPr>
          <w:rFonts w:cstheme="minorHAnsi"/>
          <w:lang w:val="en-US"/>
        </w:rPr>
      </w:pPr>
      <w:r w:rsidRPr="00FB72C8">
        <w:rPr>
          <w:rFonts w:cstheme="minorHAnsi"/>
          <w:lang w:val="en-US"/>
        </w:rPr>
        <w:t>Australian companies are</w:t>
      </w:r>
      <w:r w:rsidR="001C3B2F">
        <w:rPr>
          <w:rFonts w:cstheme="minorHAnsi"/>
          <w:lang w:val="en-US"/>
        </w:rPr>
        <w:t xml:space="preserve"> not</w:t>
      </w:r>
      <w:r w:rsidRPr="00FB72C8">
        <w:rPr>
          <w:rFonts w:cstheme="minorHAnsi"/>
          <w:lang w:val="en-US"/>
        </w:rPr>
        <w:t xml:space="preserve"> </w:t>
      </w:r>
      <w:r w:rsidR="001C3B2F">
        <w:rPr>
          <w:rFonts w:cstheme="minorHAnsi"/>
          <w:lang w:val="en-US"/>
        </w:rPr>
        <w:t>generally ‘</w:t>
      </w:r>
      <w:r w:rsidRPr="00FB72C8">
        <w:rPr>
          <w:rFonts w:cstheme="minorHAnsi"/>
          <w:lang w:val="en-US"/>
        </w:rPr>
        <w:t>one stop shops</w:t>
      </w:r>
      <w:r w:rsidR="001C3B2F">
        <w:rPr>
          <w:rFonts w:cstheme="minorHAnsi"/>
          <w:lang w:val="en-US"/>
        </w:rPr>
        <w:t>’</w:t>
      </w:r>
      <w:r w:rsidR="00FB437F">
        <w:t xml:space="preserve"> </w:t>
      </w:r>
      <w:r>
        <w:t>and t</w:t>
      </w:r>
      <w:r w:rsidR="001348B0" w:rsidRPr="00FB72C8">
        <w:rPr>
          <w:rFonts w:cstheme="minorHAnsi"/>
          <w:lang w:val="en-US"/>
        </w:rPr>
        <w:t xml:space="preserve">he physical distance from the market place presents </w:t>
      </w:r>
      <w:r>
        <w:rPr>
          <w:rFonts w:cstheme="minorHAnsi"/>
          <w:lang w:val="en-US"/>
        </w:rPr>
        <w:t xml:space="preserve">additional </w:t>
      </w:r>
      <w:r w:rsidR="001348B0" w:rsidRPr="00FB72C8">
        <w:rPr>
          <w:rFonts w:cstheme="minorHAnsi"/>
          <w:lang w:val="en-US"/>
        </w:rPr>
        <w:t>hurdle</w:t>
      </w:r>
      <w:r>
        <w:rPr>
          <w:rFonts w:cstheme="minorHAnsi"/>
          <w:lang w:val="en-US"/>
        </w:rPr>
        <w:t>s</w:t>
      </w:r>
      <w:r w:rsidR="001348B0" w:rsidRPr="00FB72C8">
        <w:rPr>
          <w:rFonts w:cstheme="minorHAnsi"/>
          <w:lang w:val="en-US"/>
        </w:rPr>
        <w:t xml:space="preserve"> for Australian businesses. For example, being part of an international supply chain brings complications associated with communication (different time zones) and distance to market. Although geographical barriers cannot be removed, </w:t>
      </w:r>
      <w:r>
        <w:rPr>
          <w:rFonts w:cstheme="minorHAnsi"/>
          <w:lang w:val="en-US"/>
        </w:rPr>
        <w:t>efforts in</w:t>
      </w:r>
      <w:r w:rsidRPr="00FB72C8">
        <w:rPr>
          <w:rFonts w:cstheme="minorHAnsi"/>
          <w:lang w:val="en-US"/>
        </w:rPr>
        <w:t xml:space="preserve"> building trust</w:t>
      </w:r>
      <w:r>
        <w:rPr>
          <w:rFonts w:cstheme="minorHAnsi"/>
          <w:lang w:val="en-US"/>
        </w:rPr>
        <w:t xml:space="preserve"> </w:t>
      </w:r>
      <w:r w:rsidRPr="00FB72C8">
        <w:rPr>
          <w:rFonts w:cstheme="minorHAnsi"/>
          <w:lang w:val="en-US"/>
        </w:rPr>
        <w:t>with prime contractors and establishing a reputation of proven performance has been key to overcoming some of these challenges</w:t>
      </w:r>
      <w:r>
        <w:rPr>
          <w:rFonts w:cstheme="minorHAnsi"/>
          <w:lang w:val="en-US"/>
        </w:rPr>
        <w:t xml:space="preserve">. </w:t>
      </w:r>
      <w:r w:rsidR="00904010" w:rsidRPr="00904010">
        <w:rPr>
          <w:rFonts w:cstheme="minorHAnsi"/>
          <w:lang w:val="en-US"/>
        </w:rPr>
        <w:t>For instance, companies such as Marand and Quickstep are both successfully integrated into prime c</w:t>
      </w:r>
      <w:r w:rsidR="001348B0">
        <w:rPr>
          <w:rFonts w:cstheme="minorHAnsi"/>
          <w:lang w:val="en-US"/>
        </w:rPr>
        <w:t>ontractor global supply chains.</w:t>
      </w:r>
      <w:r>
        <w:rPr>
          <w:rFonts w:cstheme="minorHAnsi"/>
          <w:lang w:val="en-US"/>
        </w:rPr>
        <w:t xml:space="preserve"> </w:t>
      </w:r>
    </w:p>
    <w:p w14:paraId="001DBC89" w14:textId="006D6F93" w:rsidR="007C3E8C" w:rsidRDefault="007C3E8C" w:rsidP="007C3E8C">
      <w:r>
        <w:t xml:space="preserve">Additionally, the global manufacturing sector’s digital transformation </w:t>
      </w:r>
      <w:r w:rsidR="0045658D">
        <w:t>has seen</w:t>
      </w:r>
      <w:r>
        <w:t xml:space="preserve"> AMGC actively involved in promoting the creation of </w:t>
      </w:r>
      <w:r w:rsidR="0045658D">
        <w:t xml:space="preserve">Australia’s </w:t>
      </w:r>
      <w:r>
        <w:t xml:space="preserve">brand equity. </w:t>
      </w:r>
      <w:r w:rsidR="0045658D">
        <w:t xml:space="preserve">It believes that </w:t>
      </w:r>
      <w:r>
        <w:t xml:space="preserve">building global competitiveness warrants a shift away from traditional manufacturing towards innovation and ramping up </w:t>
      </w:r>
      <w:r w:rsidR="0045658D">
        <w:t xml:space="preserve">pre and post-production </w:t>
      </w:r>
      <w:r>
        <w:t>service</w:t>
      </w:r>
      <w:r w:rsidR="0045658D">
        <w:t xml:space="preserve">s </w:t>
      </w:r>
      <w:r>
        <w:t>including design, engineering, sales, logistics, and packaging.</w:t>
      </w:r>
      <w:r w:rsidR="0045658D">
        <w:t xml:space="preserve"> </w:t>
      </w:r>
      <w:r>
        <w:t xml:space="preserve"> </w:t>
      </w:r>
    </w:p>
    <w:p w14:paraId="3B176FFA" w14:textId="77777777" w:rsidR="006668A7" w:rsidRDefault="00F66548" w:rsidP="00473B24">
      <w:pPr>
        <w:spacing w:after="0"/>
      </w:pPr>
      <w:r>
        <w:t xml:space="preserve">Industry representatives and survey respondents indicate that </w:t>
      </w:r>
      <w:r w:rsidR="006668A7">
        <w:t>Australia is not a low-cost manufacturer relative to the rest of the world</w:t>
      </w:r>
      <w:r>
        <w:t xml:space="preserve">, </w:t>
      </w:r>
      <w:r w:rsidR="006668A7">
        <w:t>attribute</w:t>
      </w:r>
      <w:r>
        <w:t xml:space="preserve">d </w:t>
      </w:r>
      <w:r w:rsidR="006668A7">
        <w:t xml:space="preserve">in part to high labour costs. This makes it more </w:t>
      </w:r>
      <w:r w:rsidR="006668A7" w:rsidRPr="00A77E29">
        <w:t>efficient for businesses to import some of their inputs</w:t>
      </w:r>
      <w:r w:rsidR="006668A7">
        <w:t xml:space="preserve"> (upstream)</w:t>
      </w:r>
      <w:r w:rsidR="006668A7" w:rsidRPr="00A77E29">
        <w:t xml:space="preserve"> into the </w:t>
      </w:r>
      <w:r w:rsidR="00CA07EA">
        <w:t>A</w:t>
      </w:r>
      <w:r w:rsidR="006668A7">
        <w:t xml:space="preserve">ircraft </w:t>
      </w:r>
      <w:r w:rsidR="00CA07EA">
        <w:t>M</w:t>
      </w:r>
      <w:r w:rsidR="006668A7" w:rsidRPr="00A77E29">
        <w:t xml:space="preserve">anufacturing </w:t>
      </w:r>
      <w:r w:rsidR="00CA07EA">
        <w:t xml:space="preserve">and Repair Services industry </w:t>
      </w:r>
      <w:r w:rsidR="006668A7" w:rsidRPr="00A77E29">
        <w:t xml:space="preserve">than for these components to be produced domestically. </w:t>
      </w:r>
    </w:p>
    <w:p w14:paraId="0D2F999F" w14:textId="5D5C50BF" w:rsidR="006668A7" w:rsidRPr="00A77E29" w:rsidRDefault="006668A7" w:rsidP="006668A7">
      <w:pPr>
        <w:pStyle w:val="BodyText1"/>
      </w:pPr>
      <w:r>
        <w:fldChar w:fldCharType="begin"/>
      </w:r>
      <w:r>
        <w:instrText xml:space="preserve"> REF _Ref534988445 \h </w:instrText>
      </w:r>
      <w:r>
        <w:fldChar w:fldCharType="separate"/>
      </w:r>
      <w:r w:rsidR="00980A78">
        <w:t xml:space="preserve">Figure </w:t>
      </w:r>
      <w:r w:rsidR="00980A78">
        <w:rPr>
          <w:noProof/>
        </w:rPr>
        <w:t>9</w:t>
      </w:r>
      <w:r>
        <w:fldChar w:fldCharType="end"/>
      </w:r>
      <w:r>
        <w:t xml:space="preserve"> indicates the top five countries from which Australia imported </w:t>
      </w:r>
      <w:r w:rsidR="002439CF">
        <w:t>aircraft</w:t>
      </w:r>
      <w:r>
        <w:t xml:space="preserve">, </w:t>
      </w:r>
      <w:r w:rsidR="00AA24B4">
        <w:t>spacecraft</w:t>
      </w:r>
      <w:r>
        <w:t xml:space="preserve"> and aircraft parts in 2017-18. It can be seen that half of Australia’s imports are from USA, being the biggest aerospace industry in the world. A large share of the imports included parts of aeroplanes or helicopters excluding </w:t>
      </w:r>
      <w:r w:rsidR="00AA24B4">
        <w:t>propellers</w:t>
      </w:r>
      <w:r>
        <w:t xml:space="preserve">, rotors and under-carriages. Aeroplanes and other </w:t>
      </w:r>
      <w:r w:rsidR="002439CF">
        <w:t>aircraft</w:t>
      </w:r>
      <w:r>
        <w:t xml:space="preserve"> (unladen weight between 2,000kg and 15,000 kg) as well as air combat simulators were also a significant share of imports. A moderate share of imports also come from France and Italy, supplying $194 million and $163 million worth of aircraft products to Australia respectively, in 2017-18. Imports from these two countries included helicopters of an unladen weight less than 2,000kg as well as parts of aeroplanes and helicopters. </w:t>
      </w:r>
    </w:p>
    <w:p w14:paraId="0B4B6438" w14:textId="402FDEAF" w:rsidR="001779AD" w:rsidRDefault="001764A5" w:rsidP="00BE4DE4">
      <w:pPr>
        <w:pStyle w:val="BodyText1"/>
        <w:tabs>
          <w:tab w:val="left" w:pos="4678"/>
        </w:tabs>
      </w:pPr>
      <w:r w:rsidRPr="001764A5">
        <w:rPr>
          <w:noProof/>
          <w:lang w:eastAsia="en-AU"/>
        </w:rPr>
        <w:lastRenderedPageBreak/>
        <w:drawing>
          <wp:inline distT="0" distB="0" distL="0" distR="0" wp14:anchorId="07FC8BC3" wp14:editId="63EF6B60">
            <wp:extent cx="5731510" cy="291971"/>
            <wp:effectExtent l="0" t="0" r="0" b="0"/>
            <wp:docPr id="289" name="Picture 289" descr="Top five imports and exports countries for Aircraft manufacturing and Repair Services, 2017-18"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291971"/>
                    </a:xfrm>
                    <a:prstGeom prst="rect">
                      <a:avLst/>
                    </a:prstGeom>
                    <a:noFill/>
                    <a:ln>
                      <a:noFill/>
                    </a:ln>
                  </pic:spPr>
                </pic:pic>
              </a:graphicData>
            </a:graphic>
          </wp:inline>
        </w:drawing>
      </w:r>
      <w:r w:rsidR="002362AE">
        <w:rPr>
          <w:noProof/>
          <w:lang w:eastAsia="en-AU"/>
        </w:rPr>
        <w:drawing>
          <wp:inline distT="0" distB="0" distL="0" distR="0" wp14:anchorId="3128FE97" wp14:editId="25B494AD">
            <wp:extent cx="2700000" cy="3600000"/>
            <wp:effectExtent l="0" t="0" r="5715" b="635"/>
            <wp:docPr id="247" name="Chart 247" descr="Figure 9: Top five import and export countries for Aircraft Manufacturing and Repair Services, 2017-18" title="Figure 9: Top five import and export countries for Aircraft Manufacturing and Repair Services, 2017-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BE4DE4">
        <w:tab/>
      </w:r>
      <w:r w:rsidR="00333A13">
        <w:rPr>
          <w:noProof/>
          <w:lang w:eastAsia="en-AU"/>
        </w:rPr>
        <w:drawing>
          <wp:inline distT="0" distB="0" distL="0" distR="0" wp14:anchorId="19130764" wp14:editId="679D7C07">
            <wp:extent cx="2700000" cy="3600000"/>
            <wp:effectExtent l="0" t="0" r="5715" b="635"/>
            <wp:docPr id="250" name="Chart 250" descr=" Figure 9: Top five import and export countries for Aircraft Manufacturing and Repair Services, 2017-18" title="Figure 9: Top five import and export countries for Aircraft Manufacturing and Repair Services, 2017-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D43F8E4" w14:textId="4E23E886" w:rsidR="00C3551E" w:rsidRPr="00A77E29" w:rsidRDefault="001764A5" w:rsidP="007C068F">
      <w:pPr>
        <w:pStyle w:val="Bodyafterbullet"/>
      </w:pPr>
      <w:r w:rsidRPr="001764A5">
        <w:rPr>
          <w:noProof/>
          <w:lang w:eastAsia="en-AU"/>
        </w:rPr>
        <w:drawing>
          <wp:inline distT="0" distB="0" distL="0" distR="0" wp14:anchorId="24ED4D6E" wp14:editId="190FFDA3">
            <wp:extent cx="5731510" cy="399873"/>
            <wp:effectExtent l="0" t="0" r="2540" b="0"/>
            <wp:docPr id="255" name="Picture 255" descr="Source: ABS 5368.0 &amp; UN merchandise trade data on DFAT Stars database. Note: 2017 -18 values are preliminary published data. " titl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399873"/>
                    </a:xfrm>
                    <a:prstGeom prst="rect">
                      <a:avLst/>
                    </a:prstGeom>
                    <a:noFill/>
                    <a:ln>
                      <a:noFill/>
                    </a:ln>
                  </pic:spPr>
                </pic:pic>
              </a:graphicData>
            </a:graphic>
          </wp:inline>
        </w:drawing>
      </w:r>
      <w:r w:rsidR="00C3551E" w:rsidRPr="00A77E29">
        <w:t>Turning</w:t>
      </w:r>
      <w:r w:rsidR="00436178" w:rsidRPr="00A77E29">
        <w:t xml:space="preserve"> to</w:t>
      </w:r>
      <w:r w:rsidR="00C3551E" w:rsidRPr="00A77E29">
        <w:t xml:space="preserve"> downstream (sales), </w:t>
      </w:r>
      <w:r w:rsidR="0099092A">
        <w:fldChar w:fldCharType="begin"/>
      </w:r>
      <w:r w:rsidR="0099092A">
        <w:instrText xml:space="preserve"> REF _Ref534988445 \h </w:instrText>
      </w:r>
      <w:r w:rsidR="001C3B2F">
        <w:instrText xml:space="preserve"> \* MERGEFORMAT </w:instrText>
      </w:r>
      <w:r w:rsidR="0099092A">
        <w:fldChar w:fldCharType="separate"/>
      </w:r>
      <w:r w:rsidR="00980A78">
        <w:t xml:space="preserve">Figure </w:t>
      </w:r>
      <w:r w:rsidR="00980A78">
        <w:rPr>
          <w:noProof/>
        </w:rPr>
        <w:t>9</w:t>
      </w:r>
      <w:r w:rsidR="0099092A">
        <w:fldChar w:fldCharType="end"/>
      </w:r>
      <w:r w:rsidR="0099092A">
        <w:t xml:space="preserve"> indicates that the United States </w:t>
      </w:r>
      <w:r w:rsidR="00430283">
        <w:t>was Australia’s largest export partner as well, accounting for 47</w:t>
      </w:r>
      <w:r w:rsidR="007369C8">
        <w:t xml:space="preserve"> per cent</w:t>
      </w:r>
      <w:r w:rsidR="00430283">
        <w:t xml:space="preserve"> of the total exports in 2017-18.</w:t>
      </w:r>
      <w:r w:rsidR="00273E72">
        <w:t xml:space="preserve"> </w:t>
      </w:r>
      <w:r w:rsidR="00430283">
        <w:t xml:space="preserve">Industry stakeholders noted Australia’s </w:t>
      </w:r>
      <w:r w:rsidR="00820036">
        <w:t>capability</w:t>
      </w:r>
      <w:r w:rsidR="00430283">
        <w:t xml:space="preserve"> in manufacturing parts, components, engines and supplying these to the big aircraft manufacturers based overseas for assembly. This concurs with the </w:t>
      </w:r>
      <w:r w:rsidR="00FF5C23" w:rsidRPr="00035190">
        <w:t xml:space="preserve">ABS </w:t>
      </w:r>
      <w:r w:rsidR="00C3551E" w:rsidRPr="00035190">
        <w:t>international merchandise export data,</w:t>
      </w:r>
      <w:r w:rsidR="00C3551E" w:rsidRPr="00035190">
        <w:rPr>
          <w:rStyle w:val="FootnoteReference"/>
        </w:rPr>
        <w:footnoteReference w:id="11"/>
      </w:r>
      <w:r w:rsidR="00FF5C23" w:rsidRPr="00035190">
        <w:t xml:space="preserve"> which shows that parts of </w:t>
      </w:r>
      <w:r w:rsidR="002439CF">
        <w:t>aircraft</w:t>
      </w:r>
      <w:r w:rsidR="00FF5C23" w:rsidRPr="00035190">
        <w:t xml:space="preserve"> or helicopters (excluding </w:t>
      </w:r>
      <w:r w:rsidR="00AA24B4" w:rsidRPr="00035190">
        <w:t>propellers</w:t>
      </w:r>
      <w:r w:rsidR="00FF5C23" w:rsidRPr="00035190">
        <w:t>, rotors or the like) account for 86</w:t>
      </w:r>
      <w:r w:rsidR="007369C8">
        <w:t xml:space="preserve"> per cent</w:t>
      </w:r>
      <w:r w:rsidR="00FF5C23" w:rsidRPr="00035190">
        <w:t xml:space="preserve"> of Australia’s total exports </w:t>
      </w:r>
      <w:r w:rsidR="001C3B2F">
        <w:t xml:space="preserve">from this industry </w:t>
      </w:r>
      <w:r w:rsidR="00FF5C23" w:rsidRPr="00035190">
        <w:t xml:space="preserve">in 2017-18 to other countries. </w:t>
      </w:r>
      <w:r w:rsidR="009E3411">
        <w:t xml:space="preserve">After the U.S., </w:t>
      </w:r>
      <w:r w:rsidR="00FF5C23" w:rsidRPr="00035190">
        <w:t xml:space="preserve">Malaysia, </w:t>
      </w:r>
      <w:r w:rsidR="009E3411">
        <w:t xml:space="preserve">Singapore and </w:t>
      </w:r>
      <w:r w:rsidR="00FF5C23" w:rsidRPr="00035190">
        <w:t xml:space="preserve">France were Australia’s </w:t>
      </w:r>
      <w:r w:rsidR="009E3411">
        <w:t xml:space="preserve">major export destinations, </w:t>
      </w:r>
      <w:r w:rsidR="00FF5C23" w:rsidRPr="00035190">
        <w:t>together accounting for a quarter of the imports share.</w:t>
      </w:r>
      <w:r w:rsidR="00273E72" w:rsidRPr="00035190">
        <w:t xml:space="preserve"> New Zealand is also a purchaser of helicopters and aeroplanes (unladen weight between 2</w:t>
      </w:r>
      <w:r w:rsidR="007369C8">
        <w:t>,</w:t>
      </w:r>
      <w:r w:rsidR="00273E72" w:rsidRPr="00035190">
        <w:t xml:space="preserve">000kg and 15,000kg) from Australia, with total exports </w:t>
      </w:r>
      <w:r w:rsidR="008D4DDB">
        <w:t xml:space="preserve">to this country </w:t>
      </w:r>
      <w:r w:rsidR="00273E72" w:rsidRPr="00035190">
        <w:t>worth $86 million in 2017-18.</w:t>
      </w:r>
    </w:p>
    <w:p w14:paraId="73B00F41" w14:textId="58CA1E3F" w:rsidR="006668A7" w:rsidRPr="00A01655" w:rsidRDefault="006668A7" w:rsidP="00CF5F96">
      <w:pPr>
        <w:pStyle w:val="Bullet1stlevel"/>
        <w:numPr>
          <w:ilvl w:val="0"/>
          <w:numId w:val="0"/>
        </w:numPr>
      </w:pPr>
      <w:r w:rsidRPr="00933D93">
        <w:t xml:space="preserve">Conversations with stakeholders in the </w:t>
      </w:r>
      <w:r w:rsidR="00555E98">
        <w:t>Aircraft Manufacturing and Repair Services</w:t>
      </w:r>
      <w:r>
        <w:t xml:space="preserve"> </w:t>
      </w:r>
      <w:r w:rsidR="006D59C3">
        <w:t xml:space="preserve">industry have </w:t>
      </w:r>
      <w:r w:rsidRPr="00933D93">
        <w:t xml:space="preserve">highlighted the </w:t>
      </w:r>
      <w:r w:rsidR="00820036">
        <w:t>strong</w:t>
      </w:r>
      <w:r w:rsidR="00E94B85">
        <w:t xml:space="preserve"> </w:t>
      </w:r>
      <w:r w:rsidR="00171D04">
        <w:t xml:space="preserve">competition faced by </w:t>
      </w:r>
      <w:r w:rsidR="00FB437F">
        <w:t>s</w:t>
      </w:r>
      <w:r w:rsidR="00FB437F" w:rsidRPr="00717C04">
        <w:rPr>
          <w:rFonts w:cstheme="minorHAnsi"/>
          <w:lang w:val="en-US"/>
        </w:rPr>
        <w:t xml:space="preserve">mall suppliers at the Tier1 &amp; Tier2 level for a place in </w:t>
      </w:r>
      <w:r w:rsidR="00FB437F">
        <w:rPr>
          <w:rFonts w:cstheme="minorHAnsi"/>
          <w:lang w:val="en-US"/>
        </w:rPr>
        <w:t>international supply chains of the P</w:t>
      </w:r>
      <w:r w:rsidR="00FB437F" w:rsidRPr="00717C04">
        <w:rPr>
          <w:rFonts w:cstheme="minorHAnsi"/>
          <w:lang w:val="en-US"/>
        </w:rPr>
        <w:t>rimes</w:t>
      </w:r>
      <w:r w:rsidR="00FB437F">
        <w:rPr>
          <w:rFonts w:cstheme="minorHAnsi"/>
          <w:lang w:val="en-US"/>
        </w:rPr>
        <w:t xml:space="preserve">. </w:t>
      </w:r>
      <w:r w:rsidRPr="00A01655">
        <w:t>Australia’s cost disadvantage puts further pressure wh</w:t>
      </w:r>
      <w:r>
        <w:t xml:space="preserve">en </w:t>
      </w:r>
      <w:r w:rsidRPr="00A01655">
        <w:t>competing with Asian markets, like China and Singapore</w:t>
      </w:r>
      <w:r w:rsidR="00171D04">
        <w:t xml:space="preserve">, which are </w:t>
      </w:r>
      <w:r w:rsidR="00171D04" w:rsidRPr="00717C04">
        <w:rPr>
          <w:rFonts w:cstheme="minorHAnsi"/>
          <w:lang w:val="en-US"/>
        </w:rPr>
        <w:t>major competitor</w:t>
      </w:r>
      <w:r w:rsidR="00171D04">
        <w:rPr>
          <w:rFonts w:cstheme="minorHAnsi"/>
          <w:lang w:val="en-US"/>
        </w:rPr>
        <w:t>s</w:t>
      </w:r>
      <w:r w:rsidR="00171D04" w:rsidRPr="00717C04">
        <w:rPr>
          <w:rFonts w:cstheme="minorHAnsi"/>
          <w:lang w:val="en-US"/>
        </w:rPr>
        <w:t xml:space="preserve"> to local business</w:t>
      </w:r>
      <w:r w:rsidR="00171D04">
        <w:rPr>
          <w:rFonts w:cstheme="minorHAnsi"/>
          <w:lang w:val="en-US"/>
        </w:rPr>
        <w:t>es</w:t>
      </w:r>
      <w:r w:rsidR="00171D04" w:rsidRPr="00717C04">
        <w:rPr>
          <w:rFonts w:cstheme="minorHAnsi"/>
          <w:lang w:val="en-US"/>
        </w:rPr>
        <w:t xml:space="preserve"> for high-volume and cheaper products</w:t>
      </w:r>
      <w:r w:rsidR="00171D04">
        <w:rPr>
          <w:rFonts w:cstheme="minorHAnsi"/>
          <w:lang w:val="en-US"/>
        </w:rPr>
        <w:t>.</w:t>
      </w:r>
      <w:r w:rsidR="00171D04" w:rsidRPr="00717C04">
        <w:rPr>
          <w:rFonts w:cstheme="minorHAnsi"/>
          <w:lang w:val="en-US"/>
        </w:rPr>
        <w:t xml:space="preserve"> </w:t>
      </w:r>
      <w:r w:rsidR="0049590A" w:rsidRPr="00717C04">
        <w:rPr>
          <w:rFonts w:cstheme="minorHAnsi"/>
          <w:lang w:val="en-US"/>
        </w:rPr>
        <w:t xml:space="preserve">While </w:t>
      </w:r>
      <w:r w:rsidR="0049590A">
        <w:rPr>
          <w:rFonts w:cstheme="minorHAnsi"/>
          <w:lang w:val="en-US"/>
        </w:rPr>
        <w:t xml:space="preserve">the large </w:t>
      </w:r>
      <w:r w:rsidR="0049590A" w:rsidRPr="00717C04">
        <w:rPr>
          <w:rFonts w:cstheme="minorHAnsi"/>
          <w:lang w:val="en-US"/>
        </w:rPr>
        <w:t xml:space="preserve">big OEM’s like Boeing, Airbus, </w:t>
      </w:r>
      <w:r w:rsidR="008D4DDB">
        <w:rPr>
          <w:rFonts w:cstheme="minorHAnsi"/>
          <w:lang w:val="en-US"/>
        </w:rPr>
        <w:t xml:space="preserve">and </w:t>
      </w:r>
      <w:r w:rsidR="0049590A" w:rsidRPr="00717C04">
        <w:rPr>
          <w:rFonts w:cstheme="minorHAnsi"/>
          <w:lang w:val="en-US"/>
        </w:rPr>
        <w:t xml:space="preserve">Lockheed Martin are the dominant players in aircraft manufacturing, the growth of </w:t>
      </w:r>
      <w:r w:rsidR="0049590A">
        <w:rPr>
          <w:rFonts w:cstheme="minorHAnsi"/>
          <w:lang w:val="en-US"/>
        </w:rPr>
        <w:t xml:space="preserve">some </w:t>
      </w:r>
      <w:r w:rsidR="0049590A" w:rsidRPr="00A01655">
        <w:t xml:space="preserve">Australian home-grown </w:t>
      </w:r>
      <w:r w:rsidR="0049590A" w:rsidRPr="00717C04">
        <w:rPr>
          <w:rFonts w:cstheme="minorHAnsi"/>
          <w:lang w:val="en-US"/>
        </w:rPr>
        <w:t xml:space="preserve">manufacturers has earned accolades for the Australian aerospace </w:t>
      </w:r>
      <w:r w:rsidR="0049590A">
        <w:t xml:space="preserve">industry. </w:t>
      </w:r>
      <w:r w:rsidRPr="00A01655">
        <w:t>These include:</w:t>
      </w:r>
    </w:p>
    <w:p w14:paraId="444614F1" w14:textId="6B35C6DC" w:rsidR="00490D8F" w:rsidRPr="00A01655" w:rsidRDefault="001254CA" w:rsidP="00D22F1A">
      <w:pPr>
        <w:pStyle w:val="Bullet1stlevel"/>
      </w:pPr>
      <w:r w:rsidRPr="00A01655">
        <w:t>GippsAero</w:t>
      </w:r>
      <w:r w:rsidR="007369C8">
        <w:t xml:space="preserve"> </w:t>
      </w:r>
      <w:r w:rsidR="007369C8" w:rsidRPr="00A01655">
        <w:t>–</w:t>
      </w:r>
      <w:r w:rsidRPr="00A01655">
        <w:t xml:space="preserve"> Based at LaTrobe, this Australian commercial aircraft manufacturer builds single-</w:t>
      </w:r>
      <w:r w:rsidR="00AA24B4" w:rsidRPr="00A01655">
        <w:t>utility</w:t>
      </w:r>
      <w:r w:rsidRPr="00A01655">
        <w:t xml:space="preserve"> </w:t>
      </w:r>
      <w:r w:rsidR="002439CF">
        <w:t>aircraft</w:t>
      </w:r>
      <w:r w:rsidRPr="00A01655">
        <w:t xml:space="preserve">. Its piston-powered GA8 as well as turbine-powered GA10 </w:t>
      </w:r>
      <w:r w:rsidR="002439CF">
        <w:t>aircraft</w:t>
      </w:r>
      <w:r w:rsidRPr="00A01655">
        <w:t xml:space="preserve"> have been a success in the export market among private and commercial users alike. Airvan 10 is the first of its type single engine turboprop-type certified aircraft manufactured in Australia.  </w:t>
      </w:r>
    </w:p>
    <w:p w14:paraId="4F9E43C8" w14:textId="77777777" w:rsidR="00490D8F" w:rsidRPr="00A01655" w:rsidRDefault="00490D8F" w:rsidP="00D22F1A">
      <w:pPr>
        <w:pStyle w:val="Bullet1stlevel"/>
      </w:pPr>
      <w:r w:rsidRPr="00A01655">
        <w:lastRenderedPageBreak/>
        <w:t>Jabiru</w:t>
      </w:r>
      <w:r w:rsidR="0073101C" w:rsidRPr="00A01655">
        <w:t xml:space="preserve"> – </w:t>
      </w:r>
      <w:r w:rsidR="009906B8" w:rsidRPr="00A01655">
        <w:t xml:space="preserve">renowned for manufacture of light sport </w:t>
      </w:r>
      <w:r w:rsidR="002439CF">
        <w:t>aircraft</w:t>
      </w:r>
      <w:r w:rsidR="009906B8" w:rsidRPr="00A01655">
        <w:t xml:space="preserve"> as well as aircraft</w:t>
      </w:r>
      <w:r w:rsidR="0073101C" w:rsidRPr="00A01655">
        <w:t xml:space="preserve"> engines</w:t>
      </w:r>
      <w:r w:rsidR="009906B8" w:rsidRPr="00A01655">
        <w:t xml:space="preserve">, </w:t>
      </w:r>
      <w:r w:rsidR="00AA24B4" w:rsidRPr="00A01655">
        <w:t>propellers</w:t>
      </w:r>
      <w:r w:rsidR="009906B8" w:rsidRPr="00A01655">
        <w:t xml:space="preserve">. It has a strong international presence with customers including recreational flyers and flight training facilities. </w:t>
      </w:r>
    </w:p>
    <w:p w14:paraId="059B2E85" w14:textId="77777777" w:rsidR="00490D8F" w:rsidRPr="00A01655" w:rsidRDefault="0073101C" w:rsidP="00D22F1A">
      <w:pPr>
        <w:pStyle w:val="Bullet1stlevel"/>
      </w:pPr>
      <w:r w:rsidRPr="00A01655">
        <w:t>Airborne</w:t>
      </w:r>
      <w:r w:rsidR="007369C8">
        <w:t xml:space="preserve"> </w:t>
      </w:r>
      <w:r w:rsidR="007369C8" w:rsidRPr="00A01655">
        <w:t>–</w:t>
      </w:r>
      <w:r w:rsidRPr="00A01655">
        <w:t xml:space="preserve"> </w:t>
      </w:r>
      <w:r w:rsidR="001254CA" w:rsidRPr="00A01655">
        <w:t xml:space="preserve">specialise in the manufacture of ultralight </w:t>
      </w:r>
      <w:r w:rsidR="002439CF">
        <w:t>aircraft</w:t>
      </w:r>
      <w:r w:rsidR="001254CA" w:rsidRPr="00A01655">
        <w:t xml:space="preserve">, hang </w:t>
      </w:r>
      <w:r w:rsidRPr="00A01655">
        <w:t>gli</w:t>
      </w:r>
      <w:r w:rsidR="001254CA" w:rsidRPr="00A01655">
        <w:t xml:space="preserve">ders and sport planes. Its CASA approved </w:t>
      </w:r>
      <w:r w:rsidR="00AA24B4" w:rsidRPr="00A01655">
        <w:t>micro lights</w:t>
      </w:r>
      <w:r w:rsidR="001254CA" w:rsidRPr="00A01655">
        <w:t xml:space="preserve"> are exported to various countries for use in general aviation as well as the commercial sector. </w:t>
      </w:r>
    </w:p>
    <w:p w14:paraId="2D545625" w14:textId="77777777" w:rsidR="004523D7" w:rsidRDefault="00D1251F" w:rsidP="0011521D">
      <w:pPr>
        <w:pStyle w:val="Heading3"/>
      </w:pPr>
      <w:bookmarkStart w:id="145" w:name="_Toc26537889"/>
      <w:r>
        <w:t xml:space="preserve">Growth opportunities and </w:t>
      </w:r>
      <w:r w:rsidR="004523D7">
        <w:t>barrier</w:t>
      </w:r>
      <w:r w:rsidR="009E5043">
        <w:t>s</w:t>
      </w:r>
      <w:bookmarkEnd w:id="145"/>
    </w:p>
    <w:p w14:paraId="17799B44" w14:textId="3FDC3F48" w:rsidR="0012049E" w:rsidRDefault="001F5D74" w:rsidP="0012049E">
      <w:pPr>
        <w:spacing w:after="0"/>
        <w:rPr>
          <w:rFonts w:ascii="KPMG Extralight" w:eastAsiaTheme="majorEastAsia" w:hAnsi="KPMG Extralight" w:cstheme="majorBidi"/>
          <w:color w:val="00338D" w:themeColor="background2"/>
          <w:sz w:val="92"/>
          <w:szCs w:val="56"/>
          <w:highlight w:val="yellow"/>
          <w14:scene3d>
            <w14:camera w14:prst="orthographicFront"/>
            <w14:lightRig w14:rig="threePt" w14:dir="t">
              <w14:rot w14:lat="0" w14:lon="0" w14:rev="0"/>
            </w14:lightRig>
          </w14:scene3d>
        </w:rPr>
      </w:pPr>
      <w:r>
        <w:rPr>
          <w:rFonts w:cstheme="minorHAnsi"/>
          <w:lang w:val="en-US"/>
        </w:rPr>
        <w:t xml:space="preserve">The Australian Aircraft Manufacturing and Repair industry has unique capabilities, yet </w:t>
      </w:r>
      <w:r w:rsidR="0012049E">
        <w:rPr>
          <w:rFonts w:cstheme="minorHAnsi"/>
          <w:lang w:val="en-US"/>
        </w:rPr>
        <w:t xml:space="preserve">lacks </w:t>
      </w:r>
      <w:r>
        <w:rPr>
          <w:rFonts w:cstheme="minorHAnsi"/>
          <w:lang w:val="en-US"/>
        </w:rPr>
        <w:t>a strong global foothold, with s</w:t>
      </w:r>
      <w:r w:rsidRPr="0012049E">
        <w:rPr>
          <w:rFonts w:cstheme="minorHAnsi"/>
          <w:lang w:val="en-US"/>
        </w:rPr>
        <w:t>ome key perceived challenges raised by industry representatives and survey respondents alike.</w:t>
      </w:r>
      <w:r w:rsidR="0012049E" w:rsidRPr="0012049E">
        <w:rPr>
          <w:rFonts w:cstheme="minorHAnsi"/>
          <w:lang w:val="en-US"/>
        </w:rPr>
        <w:t xml:space="preserve"> Nevertheless, </w:t>
      </w:r>
      <w:r w:rsidR="00EA73A0">
        <w:rPr>
          <w:rFonts w:cstheme="minorHAnsi"/>
          <w:lang w:val="en-US"/>
        </w:rPr>
        <w:t>with a</w:t>
      </w:r>
      <w:r w:rsidR="0012049E" w:rsidRPr="00473B24">
        <w:rPr>
          <w:rFonts w:cstheme="minorHAnsi"/>
          <w:lang w:val="en-US"/>
        </w:rPr>
        <w:t xml:space="preserve"> competitive Australian dollar at the moment and widespread recognition of the domestic potential to enter untapped markets like space sector and UAVs, business and industry representatives generally see opportunities and a positive outlook for the industry.</w:t>
      </w:r>
    </w:p>
    <w:p w14:paraId="2F4640AB" w14:textId="77777777" w:rsidR="001F5D74" w:rsidRPr="00AC042A" w:rsidRDefault="001F5D74" w:rsidP="00AF04CA">
      <w:pPr>
        <w:pStyle w:val="Heading4"/>
      </w:pPr>
      <w:r w:rsidRPr="00AC042A">
        <w:t>Industry challenges</w:t>
      </w:r>
    </w:p>
    <w:bookmarkEnd w:id="120"/>
    <w:p w14:paraId="352BA61B" w14:textId="77777777" w:rsidR="00F04FDC" w:rsidRDefault="00F04FDC" w:rsidP="00473B24">
      <w:pPr>
        <w:rPr>
          <w:rFonts w:cstheme="minorHAnsi"/>
          <w:lang w:val="en-US"/>
        </w:rPr>
      </w:pPr>
      <w:r w:rsidRPr="00442C03">
        <w:rPr>
          <w:rFonts w:cstheme="minorHAnsi"/>
          <w:lang w:val="en-US"/>
        </w:rPr>
        <w:t xml:space="preserve">The Australian regulatory framework </w:t>
      </w:r>
      <w:r>
        <w:rPr>
          <w:rFonts w:cstheme="minorHAnsi"/>
          <w:lang w:val="en-US"/>
        </w:rPr>
        <w:t xml:space="preserve">was identified </w:t>
      </w:r>
      <w:r w:rsidRPr="00442C03">
        <w:rPr>
          <w:rFonts w:cstheme="minorHAnsi"/>
          <w:lang w:val="en-US"/>
        </w:rPr>
        <w:t xml:space="preserve">as </w:t>
      </w:r>
      <w:r>
        <w:rPr>
          <w:rFonts w:cstheme="minorHAnsi"/>
          <w:lang w:val="en-US"/>
        </w:rPr>
        <w:t xml:space="preserve">one of </w:t>
      </w:r>
      <w:r w:rsidRPr="00442C03">
        <w:rPr>
          <w:rFonts w:cstheme="minorHAnsi"/>
          <w:lang w:val="en-US"/>
        </w:rPr>
        <w:t>the biggest challenge</w:t>
      </w:r>
      <w:r>
        <w:rPr>
          <w:rFonts w:cstheme="minorHAnsi"/>
          <w:lang w:val="en-US"/>
        </w:rPr>
        <w:t>s</w:t>
      </w:r>
      <w:r w:rsidRPr="00442C03">
        <w:rPr>
          <w:rFonts w:cstheme="minorHAnsi"/>
          <w:lang w:val="en-US"/>
        </w:rPr>
        <w:t xml:space="preserve"> to busi</w:t>
      </w:r>
      <w:r>
        <w:rPr>
          <w:rFonts w:cstheme="minorHAnsi"/>
          <w:lang w:val="en-US"/>
        </w:rPr>
        <w:t>nesses operating in the aerospace</w:t>
      </w:r>
      <w:r w:rsidRPr="00442C03">
        <w:rPr>
          <w:rFonts w:cstheme="minorHAnsi"/>
          <w:lang w:val="en-US"/>
        </w:rPr>
        <w:t xml:space="preserve"> industry. </w:t>
      </w:r>
      <w:r w:rsidR="00545E8E">
        <w:rPr>
          <w:rFonts w:cstheme="minorHAnsi"/>
          <w:lang w:val="en-US"/>
        </w:rPr>
        <w:t xml:space="preserve">Industry stakeholders qualified their comments around regulatory burdens by recognizing </w:t>
      </w:r>
      <w:r>
        <w:rPr>
          <w:rFonts w:cstheme="minorHAnsi"/>
          <w:lang w:val="en-US"/>
        </w:rPr>
        <w:t>that this challenge is multifold and exists from both the busin</w:t>
      </w:r>
      <w:r w:rsidR="00171D04">
        <w:rPr>
          <w:rFonts w:cstheme="minorHAnsi"/>
          <w:lang w:val="en-US"/>
        </w:rPr>
        <w:t>ess and regulation perspective</w:t>
      </w:r>
      <w:r>
        <w:rPr>
          <w:rFonts w:cstheme="minorHAnsi"/>
          <w:lang w:val="en-US"/>
        </w:rPr>
        <w:t xml:space="preserve">. </w:t>
      </w:r>
    </w:p>
    <w:p w14:paraId="6690264F" w14:textId="405F7D94" w:rsidR="00F04FDC" w:rsidRPr="001549EE" w:rsidRDefault="00F04FDC" w:rsidP="00D73819">
      <w:pPr>
        <w:pStyle w:val="Bullet1stlevel"/>
        <w:rPr>
          <w:lang w:val="en-US"/>
        </w:rPr>
      </w:pPr>
      <w:r w:rsidRPr="001549EE">
        <w:rPr>
          <w:lang w:val="en-US"/>
        </w:rPr>
        <w:t>The regulatory system established in 1998 is currently undergoing updates to better align with international frameworks. The need for change has been recognized</w:t>
      </w:r>
      <w:r>
        <w:rPr>
          <w:lang w:val="en-US"/>
        </w:rPr>
        <w:t>,</w:t>
      </w:r>
      <w:r w:rsidRPr="001549EE">
        <w:rPr>
          <w:lang w:val="en-US"/>
        </w:rPr>
        <w:t xml:space="preserve"> and the regulatory body is working to introduce appropriate changes while continuing to be mindful of ensuring aviation safety and economic balance for the industry. As this has meant a more drawn out process for change, this has added the challenge of keeping</w:t>
      </w:r>
      <w:r w:rsidR="00C855FD">
        <w:rPr>
          <w:lang w:val="en-US"/>
        </w:rPr>
        <w:t xml:space="preserve"> people engaged in the process.</w:t>
      </w:r>
    </w:p>
    <w:p w14:paraId="431A8FFF" w14:textId="20920A73" w:rsidR="00586058" w:rsidRDefault="00F04FDC" w:rsidP="00D73819">
      <w:pPr>
        <w:pStyle w:val="Bullet1stlevel"/>
        <w:rPr>
          <w:lang w:val="en-US"/>
        </w:rPr>
      </w:pPr>
      <w:r>
        <w:rPr>
          <w:lang w:val="en-US"/>
        </w:rPr>
        <w:t xml:space="preserve">While there has been </w:t>
      </w:r>
      <w:r w:rsidRPr="002F7FFE">
        <w:rPr>
          <w:lang w:val="en-US"/>
        </w:rPr>
        <w:t>increased efforts to harmonize legislations with best practices around the world, it</w:t>
      </w:r>
      <w:r>
        <w:rPr>
          <w:lang w:val="en-US"/>
        </w:rPr>
        <w:t xml:space="preserve"> i</w:t>
      </w:r>
      <w:r w:rsidRPr="002F7FFE">
        <w:rPr>
          <w:lang w:val="en-US"/>
        </w:rPr>
        <w:t xml:space="preserve">s </w:t>
      </w:r>
      <w:r>
        <w:rPr>
          <w:lang w:val="en-US"/>
        </w:rPr>
        <w:t xml:space="preserve">still </w:t>
      </w:r>
      <w:r w:rsidRPr="002F7FFE">
        <w:rPr>
          <w:lang w:val="en-US"/>
        </w:rPr>
        <w:t xml:space="preserve">not </w:t>
      </w:r>
      <w:r>
        <w:rPr>
          <w:lang w:val="en-US"/>
        </w:rPr>
        <w:t xml:space="preserve">seen as </w:t>
      </w:r>
      <w:r w:rsidRPr="002F7FFE">
        <w:rPr>
          <w:lang w:val="en-US"/>
        </w:rPr>
        <w:t>a l</w:t>
      </w:r>
      <w:r w:rsidR="00DF672B">
        <w:rPr>
          <w:lang w:val="en-US"/>
        </w:rPr>
        <w:t>evel playing field. I</w:t>
      </w:r>
      <w:r w:rsidRPr="002F7FFE">
        <w:rPr>
          <w:lang w:val="en-US"/>
        </w:rPr>
        <w:t>nternational certifications like the FAA in US and EASA in Europe are recogni</w:t>
      </w:r>
      <w:r>
        <w:rPr>
          <w:lang w:val="en-US"/>
        </w:rPr>
        <w:t>s</w:t>
      </w:r>
      <w:r w:rsidRPr="002F7FFE">
        <w:rPr>
          <w:lang w:val="en-US"/>
        </w:rPr>
        <w:t xml:space="preserve">ed in Australia, </w:t>
      </w:r>
      <w:r w:rsidR="00DF672B">
        <w:rPr>
          <w:lang w:val="en-US"/>
        </w:rPr>
        <w:t xml:space="preserve">but </w:t>
      </w:r>
      <w:r>
        <w:rPr>
          <w:lang w:val="en-US"/>
        </w:rPr>
        <w:t xml:space="preserve">Australian </w:t>
      </w:r>
      <w:r w:rsidRPr="002F7FFE">
        <w:rPr>
          <w:lang w:val="en-US"/>
        </w:rPr>
        <w:t xml:space="preserve">certifications are not given the same </w:t>
      </w:r>
      <w:r>
        <w:rPr>
          <w:lang w:val="en-US"/>
        </w:rPr>
        <w:t>recognition</w:t>
      </w:r>
      <w:r w:rsidRPr="002F7FFE">
        <w:rPr>
          <w:lang w:val="en-US"/>
        </w:rPr>
        <w:t xml:space="preserve"> globally (</w:t>
      </w:r>
      <w:r>
        <w:rPr>
          <w:lang w:val="en-US"/>
        </w:rPr>
        <w:t>aircraft</w:t>
      </w:r>
      <w:r w:rsidRPr="002F7FFE">
        <w:rPr>
          <w:lang w:val="en-US"/>
        </w:rPr>
        <w:t xml:space="preserve">, parts, and components). In the MRO space, </w:t>
      </w:r>
      <w:r w:rsidR="0043281E">
        <w:rPr>
          <w:lang w:val="en-US"/>
        </w:rPr>
        <w:t>b</w:t>
      </w:r>
      <w:r>
        <w:rPr>
          <w:lang w:val="en-US"/>
        </w:rPr>
        <w:t xml:space="preserve">usinesses have indicated that some </w:t>
      </w:r>
      <w:r w:rsidRPr="002F7FFE">
        <w:rPr>
          <w:lang w:val="en-US"/>
        </w:rPr>
        <w:t xml:space="preserve">primes </w:t>
      </w:r>
      <w:r>
        <w:rPr>
          <w:lang w:val="en-US"/>
        </w:rPr>
        <w:t>have put</w:t>
      </w:r>
      <w:r w:rsidRPr="002F7FFE">
        <w:rPr>
          <w:lang w:val="en-US"/>
        </w:rPr>
        <w:t xml:space="preserve"> in </w:t>
      </w:r>
      <w:r>
        <w:rPr>
          <w:lang w:val="en-US"/>
        </w:rPr>
        <w:t>“</w:t>
      </w:r>
      <w:r w:rsidRPr="002F7FFE">
        <w:rPr>
          <w:lang w:val="en-US"/>
        </w:rPr>
        <w:t>drive downs</w:t>
      </w:r>
      <w:r>
        <w:rPr>
          <w:lang w:val="en-US"/>
        </w:rPr>
        <w:t xml:space="preserve">”, requiring </w:t>
      </w:r>
      <w:r w:rsidRPr="002F7FFE">
        <w:rPr>
          <w:lang w:val="en-US"/>
        </w:rPr>
        <w:t xml:space="preserve">SMEs to be compliant with </w:t>
      </w:r>
      <w:r>
        <w:rPr>
          <w:lang w:val="en-US"/>
        </w:rPr>
        <w:t xml:space="preserve">international </w:t>
      </w:r>
      <w:r w:rsidRPr="002F7FFE">
        <w:rPr>
          <w:lang w:val="en-US"/>
        </w:rPr>
        <w:t xml:space="preserve">quality and security requirements. This presents a </w:t>
      </w:r>
      <w:r>
        <w:rPr>
          <w:lang w:val="en-US"/>
        </w:rPr>
        <w:t>lar</w:t>
      </w:r>
      <w:r w:rsidRPr="002F7FFE">
        <w:rPr>
          <w:lang w:val="en-US"/>
        </w:rPr>
        <w:t>ge challenge for the industry</w:t>
      </w:r>
      <w:r>
        <w:rPr>
          <w:lang w:val="en-US"/>
        </w:rPr>
        <w:t xml:space="preserve">.  </w:t>
      </w:r>
      <w:r w:rsidR="00586058">
        <w:rPr>
          <w:lang w:val="en-US"/>
        </w:rPr>
        <w:t>Without harmonisation, businesses see it as a significant challenge to conduct operations globally.</w:t>
      </w:r>
      <w:r w:rsidR="00586058" w:rsidRPr="002F26A2">
        <w:rPr>
          <w:lang w:val="en-US"/>
        </w:rPr>
        <w:t xml:space="preserve"> </w:t>
      </w:r>
      <w:r w:rsidR="00586058">
        <w:rPr>
          <w:lang w:val="en-US"/>
        </w:rPr>
        <w:t>For example, businesses indicated that obtaining the required accreditations to be a part of the global supply chain can be a 10-year journey, during which domestic players in aircraft manufacturing stand the risk of missing</w:t>
      </w:r>
      <w:r w:rsidR="00C855FD">
        <w:rPr>
          <w:lang w:val="en-US"/>
        </w:rPr>
        <w:t xml:space="preserve"> out on opportunities.</w:t>
      </w:r>
    </w:p>
    <w:p w14:paraId="6D1307AB" w14:textId="77777777" w:rsidR="00F04FDC" w:rsidRPr="00EE7D16" w:rsidRDefault="00F04FDC" w:rsidP="00D73819">
      <w:pPr>
        <w:pStyle w:val="Bullet1stlevel"/>
        <w:rPr>
          <w:lang w:val="en-US"/>
        </w:rPr>
      </w:pPr>
      <w:r>
        <w:rPr>
          <w:lang w:val="en-US"/>
        </w:rPr>
        <w:t xml:space="preserve">A key recommendation from most consultations was for more </w:t>
      </w:r>
      <w:r w:rsidRPr="002F7FFE">
        <w:rPr>
          <w:lang w:val="en-US"/>
        </w:rPr>
        <w:t>work to be done with other international</w:t>
      </w:r>
      <w:r w:rsidR="00586058">
        <w:rPr>
          <w:lang w:val="en-US"/>
        </w:rPr>
        <w:t xml:space="preserve"> aviation</w:t>
      </w:r>
      <w:r w:rsidRPr="002F7FFE">
        <w:rPr>
          <w:lang w:val="en-US"/>
        </w:rPr>
        <w:t xml:space="preserve"> authorities </w:t>
      </w:r>
      <w:r>
        <w:rPr>
          <w:lang w:val="en-US"/>
        </w:rPr>
        <w:t>to achieve</w:t>
      </w:r>
      <w:r w:rsidRPr="002F7FFE">
        <w:rPr>
          <w:lang w:val="en-US"/>
        </w:rPr>
        <w:t xml:space="preserve"> mutual recognition and uniformity in standards.</w:t>
      </w:r>
    </w:p>
    <w:p w14:paraId="6F504D7B" w14:textId="4BEC12B0" w:rsidR="008D4DDB" w:rsidRDefault="00C7456B" w:rsidP="007C068F">
      <w:pPr>
        <w:pStyle w:val="Bodyafterbullet"/>
        <w:rPr>
          <w:lang w:val="en-US"/>
        </w:rPr>
      </w:pPr>
      <w:r>
        <w:rPr>
          <w:lang w:val="en-US"/>
        </w:rPr>
        <w:t xml:space="preserve">Businesses feel that there is only modest government </w:t>
      </w:r>
      <w:r w:rsidRPr="00451D0A">
        <w:rPr>
          <w:lang w:val="en-US"/>
        </w:rPr>
        <w:t xml:space="preserve">support for the traditional sector and </w:t>
      </w:r>
      <w:r w:rsidR="00F41FD0">
        <w:rPr>
          <w:lang w:val="en-US"/>
        </w:rPr>
        <w:t xml:space="preserve">that </w:t>
      </w:r>
      <w:r w:rsidRPr="00451D0A">
        <w:rPr>
          <w:lang w:val="en-US"/>
        </w:rPr>
        <w:t>red tape f</w:t>
      </w:r>
      <w:r>
        <w:rPr>
          <w:lang w:val="en-US"/>
        </w:rPr>
        <w:t xml:space="preserve">rom local government </w:t>
      </w:r>
      <w:r w:rsidR="00F41FD0">
        <w:rPr>
          <w:lang w:val="en-US"/>
        </w:rPr>
        <w:t xml:space="preserve">can impact on </w:t>
      </w:r>
      <w:r w:rsidRPr="00451D0A">
        <w:rPr>
          <w:lang w:val="en-US"/>
        </w:rPr>
        <w:t>operators</w:t>
      </w:r>
      <w:r w:rsidR="00F41FD0">
        <w:rPr>
          <w:lang w:val="en-US"/>
        </w:rPr>
        <w:t>’</w:t>
      </w:r>
      <w:r w:rsidRPr="00451D0A">
        <w:rPr>
          <w:lang w:val="en-US"/>
        </w:rPr>
        <w:t xml:space="preserve"> </w:t>
      </w:r>
      <w:r w:rsidR="00F41FD0">
        <w:rPr>
          <w:lang w:val="en-US"/>
        </w:rPr>
        <w:t xml:space="preserve">ability to </w:t>
      </w:r>
      <w:r w:rsidRPr="00451D0A">
        <w:rPr>
          <w:lang w:val="en-US"/>
        </w:rPr>
        <w:t>expand into new premises</w:t>
      </w:r>
      <w:r>
        <w:rPr>
          <w:lang w:val="en-US"/>
        </w:rPr>
        <w:t>,</w:t>
      </w:r>
      <w:r w:rsidRPr="00451D0A">
        <w:rPr>
          <w:lang w:val="en-US"/>
        </w:rPr>
        <w:t xml:space="preserve"> if required. </w:t>
      </w:r>
      <w:r>
        <w:rPr>
          <w:lang w:val="en-US"/>
        </w:rPr>
        <w:t xml:space="preserve">Aircraft manufacturing developments, like </w:t>
      </w:r>
      <w:r w:rsidRPr="00EE7D16">
        <w:rPr>
          <w:i/>
          <w:lang w:val="en-US"/>
        </w:rPr>
        <w:t>Aerotropolis</w:t>
      </w:r>
      <w:r>
        <w:rPr>
          <w:lang w:val="en-US"/>
        </w:rPr>
        <w:t xml:space="preserve"> in Western Sydney, tend to </w:t>
      </w:r>
      <w:r w:rsidRPr="00451D0A">
        <w:rPr>
          <w:lang w:val="en-US"/>
        </w:rPr>
        <w:t xml:space="preserve">rely </w:t>
      </w:r>
      <w:r>
        <w:rPr>
          <w:lang w:val="en-US"/>
        </w:rPr>
        <w:t xml:space="preserve">heavily </w:t>
      </w:r>
      <w:r w:rsidRPr="00451D0A">
        <w:rPr>
          <w:lang w:val="en-US"/>
        </w:rPr>
        <w:t xml:space="preserve">on </w:t>
      </w:r>
      <w:r>
        <w:rPr>
          <w:lang w:val="en-US"/>
        </w:rPr>
        <w:t xml:space="preserve">big Primes to develop and maintain capability within Australia. </w:t>
      </w:r>
      <w:r w:rsidR="00F41FD0">
        <w:rPr>
          <w:lang w:val="en-US"/>
        </w:rPr>
        <w:t xml:space="preserve">An industry participant </w:t>
      </w:r>
      <w:r w:rsidR="00F41FD0">
        <w:t xml:space="preserve">indicated that they would like to see greater government </w:t>
      </w:r>
      <w:r w:rsidR="00F41FD0" w:rsidRPr="00451D0A">
        <w:rPr>
          <w:lang w:val="en-US"/>
        </w:rPr>
        <w:t xml:space="preserve">support in attracting higher volumes of work on-shore </w:t>
      </w:r>
      <w:r w:rsidR="00F41FD0">
        <w:rPr>
          <w:lang w:val="en-US"/>
        </w:rPr>
        <w:t>and enhancing</w:t>
      </w:r>
      <w:r w:rsidR="00F41FD0" w:rsidRPr="00451D0A">
        <w:rPr>
          <w:lang w:val="en-US"/>
        </w:rPr>
        <w:t xml:space="preserve"> visibility for businesses in the domestic and global market</w:t>
      </w:r>
      <w:r w:rsidR="00F41FD0">
        <w:rPr>
          <w:lang w:val="en-US"/>
        </w:rPr>
        <w:t xml:space="preserve">, </w:t>
      </w:r>
      <w:r w:rsidR="00F41FD0">
        <w:t>like the support observed in the U.S., New Zealand and Europe</w:t>
      </w:r>
    </w:p>
    <w:p w14:paraId="4199C3CC" w14:textId="7785B7D7" w:rsidR="008D4DDB" w:rsidRDefault="00586058" w:rsidP="00473B24">
      <w:r>
        <w:t xml:space="preserve">Our survey respondents </w:t>
      </w:r>
      <w:r w:rsidR="00E224B4">
        <w:t xml:space="preserve">also </w:t>
      </w:r>
      <w:r>
        <w:t xml:space="preserve">expressed concern over regulatory changes being </w:t>
      </w:r>
      <w:r w:rsidRPr="000D7BFB">
        <w:t>extremely expensive and time consuming</w:t>
      </w:r>
      <w:r>
        <w:t>.</w:t>
      </w:r>
      <w:r w:rsidR="00C90522">
        <w:t xml:space="preserve"> </w:t>
      </w:r>
      <w:r w:rsidR="009513BC">
        <w:t xml:space="preserve">The </w:t>
      </w:r>
      <w:r w:rsidR="000D7BFB">
        <w:t xml:space="preserve">sector that appears </w:t>
      </w:r>
      <w:r w:rsidR="00F41FD0">
        <w:t xml:space="preserve">sensitive to this </w:t>
      </w:r>
      <w:r w:rsidR="000D7BFB">
        <w:t>is Australia’s General Aviation</w:t>
      </w:r>
      <w:r w:rsidR="004D2AB2">
        <w:t xml:space="preserve"> (GA)</w:t>
      </w:r>
      <w:r w:rsidR="000D7BFB">
        <w:t xml:space="preserve"> sector</w:t>
      </w:r>
      <w:r w:rsidR="009513BC">
        <w:t>, which covers all flying activity in Australian-registered aircraft except commercial air transport</w:t>
      </w:r>
      <w:r w:rsidR="000D7BFB">
        <w:t xml:space="preserve">. </w:t>
      </w:r>
      <w:r>
        <w:t xml:space="preserve">In particular, a ‘one size fits all’ regulatory approach has caused </w:t>
      </w:r>
      <w:r w:rsidR="008D4DDB">
        <w:t>concern</w:t>
      </w:r>
      <w:r w:rsidR="00F41FD0">
        <w:t xml:space="preserve"> in this sector</w:t>
      </w:r>
      <w:r>
        <w:t xml:space="preserve">, as some of the changes applied to all aircraft are not </w:t>
      </w:r>
      <w:r w:rsidR="00820036">
        <w:t>believed</w:t>
      </w:r>
      <w:r>
        <w:t xml:space="preserve"> to be appro</w:t>
      </w:r>
      <w:r w:rsidR="00C855FD">
        <w:t>priate for smaller GA aircraft.</w:t>
      </w:r>
    </w:p>
    <w:p w14:paraId="0E1A29C1" w14:textId="024CAF93" w:rsidR="00A15A51" w:rsidRDefault="008D4DDB" w:rsidP="00473B24">
      <w:pPr>
        <w:rPr>
          <w:rFonts w:cstheme="minorHAnsi"/>
          <w:lang w:val="en-US"/>
        </w:rPr>
      </w:pPr>
      <w:r>
        <w:lastRenderedPageBreak/>
        <w:t xml:space="preserve">The GA sector is also facing </w:t>
      </w:r>
      <w:r w:rsidR="00586058">
        <w:t>increasing maintenance costs associated with an ageing VH-registered aircraft fleet, with an average age of 32.3</w:t>
      </w:r>
      <w:r>
        <w:t> </w:t>
      </w:r>
      <w:r w:rsidR="00586058">
        <w:t>years,</w:t>
      </w:r>
      <w:r w:rsidR="00586058">
        <w:rPr>
          <w:rStyle w:val="FootnoteReference"/>
        </w:rPr>
        <w:footnoteReference w:id="12"/>
      </w:r>
      <w:r w:rsidR="00586058">
        <w:t xml:space="preserve"> </w:t>
      </w:r>
      <w:r>
        <w:t xml:space="preserve">which </w:t>
      </w:r>
      <w:r w:rsidR="00586058">
        <w:t>is making it harder for businesses to sustain themselves. As t</w:t>
      </w:r>
      <w:r w:rsidR="00586058" w:rsidRPr="00637C03">
        <w:t>he GA sector of the industry is contracting</w:t>
      </w:r>
      <w:r w:rsidR="00586058">
        <w:t>, industry representatives warn of the flow-</w:t>
      </w:r>
      <w:r w:rsidR="00586058" w:rsidRPr="00637C03">
        <w:t>on effect</w:t>
      </w:r>
      <w:r w:rsidR="00586058">
        <w:t>s</w:t>
      </w:r>
      <w:r w:rsidR="00586058" w:rsidRPr="00637C03">
        <w:t xml:space="preserve"> of not addressing this issue</w:t>
      </w:r>
      <w:r w:rsidR="00586058">
        <w:t>.</w:t>
      </w:r>
      <w:r w:rsidR="00C7456B">
        <w:t xml:space="preserve"> </w:t>
      </w:r>
      <w:r w:rsidR="007D0F85">
        <w:rPr>
          <w:rFonts w:cstheme="minorHAnsi"/>
          <w:lang w:val="en-US"/>
        </w:rPr>
        <w:t>It is believed that government has a role to play in terms of working with P</w:t>
      </w:r>
      <w:r w:rsidR="007D0F85" w:rsidRPr="00451D0A">
        <w:rPr>
          <w:rFonts w:cstheme="minorHAnsi"/>
          <w:lang w:val="en-US"/>
        </w:rPr>
        <w:t xml:space="preserve">rimes </w:t>
      </w:r>
      <w:r w:rsidR="007D0F85">
        <w:rPr>
          <w:rFonts w:cstheme="minorHAnsi"/>
          <w:lang w:val="en-US"/>
        </w:rPr>
        <w:t xml:space="preserve">to forge long-term </w:t>
      </w:r>
      <w:r w:rsidR="007D0F85" w:rsidRPr="00451D0A">
        <w:rPr>
          <w:rFonts w:cstheme="minorHAnsi"/>
          <w:lang w:val="en-US"/>
        </w:rPr>
        <w:t>partnership</w:t>
      </w:r>
      <w:r w:rsidR="007D0F85">
        <w:rPr>
          <w:rFonts w:cstheme="minorHAnsi"/>
          <w:lang w:val="en-US"/>
        </w:rPr>
        <w:t>s and develop a genuine strategic approach to attract new</w:t>
      </w:r>
      <w:r w:rsidR="007D0F85" w:rsidRPr="00451D0A">
        <w:rPr>
          <w:rFonts w:cstheme="minorHAnsi"/>
          <w:lang w:val="en-US"/>
        </w:rPr>
        <w:t xml:space="preserve"> technologies</w:t>
      </w:r>
      <w:r w:rsidR="007D0F85">
        <w:rPr>
          <w:rFonts w:cstheme="minorHAnsi"/>
          <w:lang w:val="en-US"/>
        </w:rPr>
        <w:t xml:space="preserve"> and investment to support local businesses</w:t>
      </w:r>
      <w:r w:rsidR="007D0F85" w:rsidRPr="00451D0A">
        <w:rPr>
          <w:rFonts w:cstheme="minorHAnsi"/>
          <w:lang w:val="en-US"/>
        </w:rPr>
        <w:t>.</w:t>
      </w:r>
    </w:p>
    <w:p w14:paraId="1CC083B1" w14:textId="47588D31" w:rsidR="00A15A51" w:rsidRDefault="00A15A51" w:rsidP="00A15A51">
      <w:r>
        <w:t xml:space="preserve">Additionally, the Aircraft Manufacturing and Repair Services industry is grappling with a shortage of technical talent, expected to worsen in the future. Stakeholders indicate that it is getting increasingly difficult to attract and retain young apprentices in the (already limited) </w:t>
      </w:r>
      <w:r w:rsidRPr="000D7BFB">
        <w:t xml:space="preserve">training </w:t>
      </w:r>
      <w:r>
        <w:t xml:space="preserve">and apprenticeship programs. It is also believed that </w:t>
      </w:r>
      <w:r>
        <w:rPr>
          <w:rFonts w:cstheme="minorHAnsi"/>
          <w:lang w:val="en-US"/>
        </w:rPr>
        <w:t>current e</w:t>
      </w:r>
      <w:r w:rsidRPr="00442C03">
        <w:rPr>
          <w:rFonts w:cstheme="minorHAnsi"/>
          <w:lang w:val="en-US"/>
        </w:rPr>
        <w:t xml:space="preserve">ducation and training </w:t>
      </w:r>
      <w:r>
        <w:rPr>
          <w:rFonts w:cstheme="minorHAnsi"/>
          <w:lang w:val="en-US"/>
        </w:rPr>
        <w:t xml:space="preserve">for the new workforce </w:t>
      </w:r>
      <w:r w:rsidR="001E3100">
        <w:rPr>
          <w:rFonts w:cstheme="minorHAnsi"/>
          <w:lang w:val="en-US"/>
        </w:rPr>
        <w:t xml:space="preserve">could be better </w:t>
      </w:r>
      <w:r w:rsidRPr="00442C03">
        <w:rPr>
          <w:rFonts w:cstheme="minorHAnsi"/>
          <w:lang w:val="en-US"/>
        </w:rPr>
        <w:t xml:space="preserve">aligned to industry </w:t>
      </w:r>
      <w:r>
        <w:rPr>
          <w:rFonts w:cstheme="minorHAnsi"/>
          <w:lang w:val="en-US"/>
        </w:rPr>
        <w:t>needs.</w:t>
      </w:r>
      <w:r>
        <w:t xml:space="preserve"> A shortfall of skilled </w:t>
      </w:r>
      <w:r w:rsidRPr="00637C03">
        <w:t>engineers and mechanics</w:t>
      </w:r>
      <w:r w:rsidR="00EA73A0">
        <w:t xml:space="preserve"> is a </w:t>
      </w:r>
      <w:r w:rsidR="00C855FD">
        <w:t>challenge for businesses.</w:t>
      </w:r>
    </w:p>
    <w:p w14:paraId="2088E815" w14:textId="07ABCF67" w:rsidR="00033F17" w:rsidRDefault="00A15A51" w:rsidP="00473B24">
      <w:r>
        <w:t>Human capital is a valuable resource for an industry as specialized and technologically intensive as the aerospace industry, thus a double whammy of an ageing workforce and potential shortage of skilled personnel in Australia is raising alarms. Australia’s larger defence budget and an expected doubling of air traffic in the Asia-Pacific region over the next decade is anticipated to generate higher demand for carriers as well as maintenance services, thus building the pressure to deliver. Concerted efforts in p</w:t>
      </w:r>
      <w:r w:rsidRPr="00637C03">
        <w:t xml:space="preserve">roviding new and adequate facilities for </w:t>
      </w:r>
      <w:r>
        <w:t>s</w:t>
      </w:r>
      <w:r w:rsidRPr="00637C03">
        <w:t xml:space="preserve">kills </w:t>
      </w:r>
      <w:r>
        <w:t xml:space="preserve">training </w:t>
      </w:r>
      <w:r w:rsidRPr="00637C03">
        <w:t>and STEM programs</w:t>
      </w:r>
      <w:r>
        <w:t xml:space="preserve"> is imperative to sustain the industry in the long run. </w:t>
      </w:r>
      <w:r>
        <w:rPr>
          <w:rFonts w:cstheme="minorHAnsi"/>
          <w:lang w:val="en-US"/>
        </w:rPr>
        <w:t>Also, there is a need to harmonise training and adopt international training standards to ensure recognition of domestic qu</w:t>
      </w:r>
      <w:r w:rsidR="00C855FD">
        <w:rPr>
          <w:rFonts w:cstheme="minorHAnsi"/>
          <w:lang w:val="en-US"/>
        </w:rPr>
        <w:t>alifications for overseas work.</w:t>
      </w:r>
    </w:p>
    <w:p w14:paraId="3F3C2BBF" w14:textId="77777777" w:rsidR="001F5D74" w:rsidRPr="00B96461" w:rsidRDefault="00D1251F" w:rsidP="00AF04CA">
      <w:pPr>
        <w:pStyle w:val="Heading4"/>
      </w:pPr>
      <w:r>
        <w:t>Future prospects</w:t>
      </w:r>
    </w:p>
    <w:p w14:paraId="0267081F" w14:textId="6EC4B407" w:rsidR="00425411" w:rsidRDefault="001F5D74" w:rsidP="00487EE8">
      <w:pPr>
        <w:pStyle w:val="BodyText1"/>
        <w:rPr>
          <w:rFonts w:cstheme="minorHAnsi"/>
          <w:lang w:val="en-US"/>
        </w:rPr>
      </w:pPr>
      <w:r>
        <w:t xml:space="preserve">Whilst the aerospace industry is battling against some immediate challenges, </w:t>
      </w:r>
      <w:r>
        <w:rPr>
          <w:rFonts w:cstheme="minorHAnsi"/>
          <w:lang w:val="en-US"/>
        </w:rPr>
        <w:t>o</w:t>
      </w:r>
      <w:r w:rsidR="00425411" w:rsidRPr="00FB72C8">
        <w:rPr>
          <w:rFonts w:cstheme="minorHAnsi"/>
          <w:lang w:val="en-US"/>
        </w:rPr>
        <w:t>ur industry consultations highlight</w:t>
      </w:r>
      <w:r w:rsidR="002E3468">
        <w:rPr>
          <w:rFonts w:cstheme="minorHAnsi"/>
          <w:lang w:val="en-US"/>
        </w:rPr>
        <w:t xml:space="preserve"> that </w:t>
      </w:r>
      <w:r w:rsidR="00425411" w:rsidRPr="00FB72C8">
        <w:rPr>
          <w:rFonts w:cstheme="minorHAnsi"/>
          <w:lang w:val="en-US"/>
        </w:rPr>
        <w:t xml:space="preserve">saturation of some of the traditional sectors, like </w:t>
      </w:r>
      <w:r w:rsidR="008D4DDB">
        <w:rPr>
          <w:rFonts w:cstheme="minorHAnsi"/>
          <w:lang w:val="en-US"/>
        </w:rPr>
        <w:t>GA</w:t>
      </w:r>
      <w:r w:rsidR="001E3100">
        <w:rPr>
          <w:rFonts w:cstheme="minorHAnsi"/>
          <w:lang w:val="en-US"/>
        </w:rPr>
        <w:t>,</w:t>
      </w:r>
      <w:r w:rsidR="00425411" w:rsidRPr="00FB72C8">
        <w:rPr>
          <w:rFonts w:cstheme="minorHAnsi"/>
          <w:lang w:val="en-US"/>
        </w:rPr>
        <w:t xml:space="preserve"> has been a significant factor in the start of a generational process of change in terms </w:t>
      </w:r>
      <w:r w:rsidR="00C855FD">
        <w:rPr>
          <w:rFonts w:cstheme="minorHAnsi"/>
          <w:lang w:val="en-US"/>
        </w:rPr>
        <w:t>of exploring new opportunities.</w:t>
      </w:r>
    </w:p>
    <w:p w14:paraId="45AF368C" w14:textId="7F05A7B9" w:rsidR="002E3468" w:rsidRDefault="004D2AB2" w:rsidP="007367CC">
      <w:pPr>
        <w:rPr>
          <w:rFonts w:cstheme="minorHAnsi"/>
          <w:lang w:val="en-US"/>
        </w:rPr>
      </w:pPr>
      <w:r>
        <w:t xml:space="preserve">Ranked amongst the best in the world, Australian universities and organisations like CSIRO present </w:t>
      </w:r>
      <w:r w:rsidR="001E3100">
        <w:t xml:space="preserve">significant </w:t>
      </w:r>
      <w:r>
        <w:t xml:space="preserve">opportunities for translation of research output into </w:t>
      </w:r>
      <w:r w:rsidR="00971DAE">
        <w:t xml:space="preserve">useful </w:t>
      </w:r>
      <w:r>
        <w:t xml:space="preserve">industry </w:t>
      </w:r>
      <w:r w:rsidR="00971DAE">
        <w:t xml:space="preserve">tools. </w:t>
      </w:r>
      <w:r w:rsidR="002F38DC">
        <w:t xml:space="preserve">Owing to Australia’s </w:t>
      </w:r>
      <w:r w:rsidR="00192202">
        <w:t>niche capabilities, industry rep</w:t>
      </w:r>
      <w:r w:rsidR="00AF7826">
        <w:t>resentatives see potential</w:t>
      </w:r>
      <w:r w:rsidR="001F42E4">
        <w:t xml:space="preserve"> in </w:t>
      </w:r>
      <w:r w:rsidR="00D33F32">
        <w:t>diversify</w:t>
      </w:r>
      <w:r w:rsidR="001F42E4">
        <w:t>ing</w:t>
      </w:r>
      <w:r w:rsidR="00D33F32">
        <w:t xml:space="preserve"> away from traditional </w:t>
      </w:r>
      <w:r w:rsidR="001F42E4">
        <w:t xml:space="preserve">manufacturing </w:t>
      </w:r>
      <w:r w:rsidR="00D33F32">
        <w:t>into non-convention</w:t>
      </w:r>
      <w:r w:rsidR="001F42E4">
        <w:t>al sectors within the industry</w:t>
      </w:r>
      <w:r w:rsidR="00535E5B">
        <w:t>,</w:t>
      </w:r>
      <w:r w:rsidR="001F42E4">
        <w:t xml:space="preserve"> like the UAV s</w:t>
      </w:r>
      <w:r w:rsidR="005323BB">
        <w:t>egment</w:t>
      </w:r>
      <w:r w:rsidR="006A0507">
        <w:t xml:space="preserve"> and </w:t>
      </w:r>
      <w:r w:rsidR="00192202">
        <w:t>robotics</w:t>
      </w:r>
      <w:r w:rsidR="006A0507">
        <w:t>.</w:t>
      </w:r>
      <w:r w:rsidR="00807A6B">
        <w:t xml:space="preserve"> </w:t>
      </w:r>
      <w:r w:rsidR="002E3468" w:rsidRPr="00FB72C8">
        <w:rPr>
          <w:rFonts w:cstheme="minorHAnsi"/>
          <w:lang w:val="en-US"/>
        </w:rPr>
        <w:t xml:space="preserve">The Defence Industry Policy Statement and National Innovation and Science Agenda (NISA) reflect steps taken to embrace collaboration and innovation in the industry. </w:t>
      </w:r>
      <w:r w:rsidR="007C3E8C">
        <w:rPr>
          <w:rFonts w:cstheme="minorHAnsi"/>
          <w:lang w:val="en-US"/>
        </w:rPr>
        <w:t xml:space="preserve">The </w:t>
      </w:r>
      <w:r w:rsidR="007C3E8C">
        <w:t>AMGC promotes a collaborative model for Australia’s manufacturing sector, taking steps in bridging the gap between manufacturers and universi</w:t>
      </w:r>
      <w:r w:rsidR="00C855FD">
        <w:t>ties and facilitating dialogue.</w:t>
      </w:r>
    </w:p>
    <w:p w14:paraId="6DCC75EC" w14:textId="07515054" w:rsidR="002E3468" w:rsidRPr="007C068F" w:rsidRDefault="00807A6B" w:rsidP="002E3468">
      <w:pPr>
        <w:pStyle w:val="BodyText1"/>
      </w:pPr>
      <w:r>
        <w:t xml:space="preserve">Opportunities outlined in the 2016 Defence White Paper </w:t>
      </w:r>
      <w:r w:rsidR="008D4DDB">
        <w:t xml:space="preserve">are </w:t>
      </w:r>
      <w:r>
        <w:t xml:space="preserve">reaching fruition through the recently announced AIR 7003 program, a collaboration between </w:t>
      </w:r>
      <w:r w:rsidRPr="00A14F38">
        <w:t xml:space="preserve">General Atomics-Aeronautical Systems </w:t>
      </w:r>
      <w:r w:rsidR="00820036" w:rsidRPr="00A14F38">
        <w:t>Inc.</w:t>
      </w:r>
      <w:r>
        <w:t xml:space="preserve"> (</w:t>
      </w:r>
      <w:r w:rsidRPr="003D260B">
        <w:t>GA-ASI</w:t>
      </w:r>
      <w:r>
        <w:t>)</w:t>
      </w:r>
      <w:r w:rsidRPr="003D260B">
        <w:t xml:space="preserve"> and their Team Reaper Australia (TRA) </w:t>
      </w:r>
      <w:r>
        <w:t xml:space="preserve">to supply </w:t>
      </w:r>
      <w:r w:rsidRPr="003D260B">
        <w:t>Australia's future medium-altitude long-endurance (MALE) armed</w:t>
      </w:r>
      <w:r w:rsidR="00397FE2">
        <w:t xml:space="preserve"> </w:t>
      </w:r>
      <w:r w:rsidRPr="003D260B">
        <w:t>UAS</w:t>
      </w:r>
      <w:r>
        <w:t>. This joint venture has not only enhanced the ADF’s intelligence and surveillance capabilities</w:t>
      </w:r>
      <w:r w:rsidR="005323BB">
        <w:t xml:space="preserve"> – one of the priority areas identified in the 2016 Defence White Paper </w:t>
      </w:r>
      <w:r w:rsidR="008D4DDB">
        <w:t>–</w:t>
      </w:r>
      <w:r>
        <w:t xml:space="preserve"> but also </w:t>
      </w:r>
      <w:r w:rsidRPr="003D260B">
        <w:t xml:space="preserve">opened doors for </w:t>
      </w:r>
      <w:r>
        <w:t xml:space="preserve">the </w:t>
      </w:r>
      <w:r w:rsidRPr="003D260B">
        <w:t>defence industry to</w:t>
      </w:r>
      <w:r>
        <w:t xml:space="preserve"> provide logistics, </w:t>
      </w:r>
      <w:r w:rsidRPr="003D260B">
        <w:t xml:space="preserve">operational </w:t>
      </w:r>
      <w:r>
        <w:t xml:space="preserve">and maintenance </w:t>
      </w:r>
      <w:r w:rsidRPr="003D260B">
        <w:t xml:space="preserve">support </w:t>
      </w:r>
      <w:r>
        <w:t>for long-term sustainment</w:t>
      </w:r>
      <w:r w:rsidRPr="003D260B">
        <w:t xml:space="preserve"> </w:t>
      </w:r>
      <w:r>
        <w:t xml:space="preserve">of </w:t>
      </w:r>
      <w:r w:rsidRPr="003D260B">
        <w:t>airframes, weapons systems, communications infrastructure and ground stations</w:t>
      </w:r>
      <w:r w:rsidR="005323BB">
        <w:t xml:space="preserve">. </w:t>
      </w:r>
    </w:p>
    <w:p w14:paraId="57D4C024" w14:textId="05B6FADB" w:rsidR="001F5D74" w:rsidRDefault="00C82E2A" w:rsidP="001F5D74">
      <w:pPr>
        <w:pStyle w:val="BodyText1"/>
        <w:rPr>
          <w:rFonts w:cstheme="minorHAnsi"/>
          <w:lang w:val="en-US"/>
        </w:rPr>
      </w:pPr>
      <w:r w:rsidRPr="00FB72C8">
        <w:rPr>
          <w:rFonts w:cstheme="minorHAnsi"/>
          <w:lang w:val="en-US"/>
        </w:rPr>
        <w:t>With growth in Australia’s startup culture, there are increasing employment opportunities for the youth who are able to reach out to their university networks.</w:t>
      </w:r>
      <w:r>
        <w:rPr>
          <w:rFonts w:cstheme="minorHAnsi"/>
          <w:lang w:val="en-US"/>
        </w:rPr>
        <w:t xml:space="preserve"> However, a</w:t>
      </w:r>
      <w:r w:rsidR="001F5D74" w:rsidRPr="00FB72C8">
        <w:rPr>
          <w:rFonts w:cstheme="minorHAnsi"/>
          <w:lang w:val="en-US"/>
        </w:rPr>
        <w:t>erospace representatives expressed the need to develop more business-industry and industry-academia partnerships between</w:t>
      </w:r>
      <w:r w:rsidR="002E3468">
        <w:rPr>
          <w:rFonts w:cstheme="minorHAnsi"/>
          <w:lang w:val="en-US"/>
        </w:rPr>
        <w:t xml:space="preserve"> </w:t>
      </w:r>
      <w:r w:rsidR="001F5D74" w:rsidRPr="00FB72C8">
        <w:rPr>
          <w:rFonts w:cstheme="minorHAnsi"/>
          <w:lang w:val="en-US"/>
        </w:rPr>
        <w:t>universities, research organisations, private sector and government to be able to export our problem-solving cap</w:t>
      </w:r>
      <w:r w:rsidR="00C855FD">
        <w:rPr>
          <w:rFonts w:cstheme="minorHAnsi"/>
          <w:lang w:val="en-US"/>
        </w:rPr>
        <w:t>abilities in the global market.</w:t>
      </w:r>
    </w:p>
    <w:p w14:paraId="1CD36D20" w14:textId="77777777" w:rsidR="00C855FD" w:rsidRDefault="00C855FD" w:rsidP="00473B24">
      <w:pPr>
        <w:spacing w:after="0"/>
        <w:rPr>
          <w:rFonts w:cstheme="minorHAnsi"/>
          <w:lang w:val="en-US"/>
        </w:rPr>
      </w:pPr>
      <w:bookmarkStart w:id="146" w:name="_Ref473727192"/>
      <w:r>
        <w:rPr>
          <w:rFonts w:cstheme="minorHAnsi"/>
          <w:lang w:val="en-US"/>
        </w:rPr>
        <w:br w:type="page"/>
      </w:r>
    </w:p>
    <w:p w14:paraId="17DC0404" w14:textId="581E4895" w:rsidR="002E3468" w:rsidRPr="00FB72C8" w:rsidRDefault="00822CD7" w:rsidP="00473B24">
      <w:pPr>
        <w:spacing w:after="0"/>
        <w:rPr>
          <w:rFonts w:cstheme="minorHAnsi"/>
          <w:lang w:val="en-US"/>
        </w:rPr>
      </w:pPr>
      <w:r w:rsidRPr="00717C04">
        <w:rPr>
          <w:rFonts w:cstheme="minorHAnsi"/>
          <w:lang w:val="en-US"/>
        </w:rPr>
        <w:lastRenderedPageBreak/>
        <w:t>Australia is not a low cost provider of services</w:t>
      </w:r>
      <w:r>
        <w:rPr>
          <w:rFonts w:cstheme="minorHAnsi"/>
          <w:lang w:val="en-US"/>
        </w:rPr>
        <w:t>, attributed</w:t>
      </w:r>
      <w:r w:rsidRPr="00FB72C8">
        <w:rPr>
          <w:rFonts w:cstheme="minorHAnsi"/>
          <w:lang w:val="en-US"/>
        </w:rPr>
        <w:t xml:space="preserve"> in part to the high costs of labour in Australia</w:t>
      </w:r>
      <w:r>
        <w:rPr>
          <w:rFonts w:cstheme="minorHAnsi"/>
          <w:lang w:val="en-US"/>
        </w:rPr>
        <w:t xml:space="preserve">. This means that the Australian </w:t>
      </w:r>
      <w:r w:rsidRPr="00717C04">
        <w:rPr>
          <w:rFonts w:cstheme="minorHAnsi"/>
          <w:lang w:val="en-US"/>
        </w:rPr>
        <w:t xml:space="preserve">MRO </w:t>
      </w:r>
      <w:r>
        <w:rPr>
          <w:rFonts w:cstheme="minorHAnsi"/>
          <w:lang w:val="en-US"/>
        </w:rPr>
        <w:t>businesses tend to be localis</w:t>
      </w:r>
      <w:r w:rsidRPr="00717C04">
        <w:rPr>
          <w:rFonts w:cstheme="minorHAnsi"/>
          <w:lang w:val="en-US"/>
        </w:rPr>
        <w:t>ed, rather than export</w:t>
      </w:r>
      <w:r>
        <w:rPr>
          <w:rFonts w:cstheme="minorHAnsi"/>
          <w:lang w:val="en-US"/>
        </w:rPr>
        <w:t>ers</w:t>
      </w:r>
      <w:r w:rsidRPr="00717C04">
        <w:rPr>
          <w:rFonts w:cstheme="minorHAnsi"/>
          <w:lang w:val="en-US"/>
        </w:rPr>
        <w:t xml:space="preserve">. </w:t>
      </w:r>
      <w:r w:rsidR="002E3468">
        <w:t>A</w:t>
      </w:r>
      <w:r w:rsidR="002E3468" w:rsidRPr="00FB72C8">
        <w:rPr>
          <w:rFonts w:cstheme="minorHAnsi"/>
          <w:lang w:val="en-US"/>
        </w:rPr>
        <w:t>s modern aircraft have lower maintenance requirements, payback times on investment for domestic MRO companies is much longer</w:t>
      </w:r>
      <w:r w:rsidR="002E3468">
        <w:t xml:space="preserve">. </w:t>
      </w:r>
      <w:r w:rsidR="00655518">
        <w:t xml:space="preserve">At present, a significant proportion of Australia’s airline and aerospace maintenance work is outsourced on grounds of cost-saving. </w:t>
      </w:r>
      <w:r w:rsidR="002E3468" w:rsidRPr="00FB72C8">
        <w:rPr>
          <w:rFonts w:cstheme="minorHAnsi"/>
          <w:lang w:val="en-US"/>
        </w:rPr>
        <w:t xml:space="preserve">However, going forward, as the manufacturing and maintenance processes become more automated, the challenge associated with higher labour costs is expected to diminish. </w:t>
      </w:r>
      <w:r>
        <w:t>Competitive gains have been identified in building and capitalising Australia’s aircraft maintenance and training capabilities across general aviation, commercial airlines and the ADF.</w:t>
      </w:r>
    </w:p>
    <w:p w14:paraId="6E92C63F" w14:textId="02524321" w:rsidR="005E6617" w:rsidRPr="00EF5E5A" w:rsidRDefault="00F46177" w:rsidP="00473B24">
      <w:pPr>
        <w:spacing w:after="0"/>
      </w:pPr>
      <w:r>
        <w:t xml:space="preserve">Largescale </w:t>
      </w:r>
      <w:r w:rsidR="00C917F2">
        <w:t>MRO operations</w:t>
      </w:r>
      <w:r w:rsidR="00655518">
        <w:t xml:space="preserve"> in Australia </w:t>
      </w:r>
      <w:r>
        <w:t>including Boeing Australia Component Repairs (BACR)</w:t>
      </w:r>
      <w:r w:rsidR="00E20EE0">
        <w:t xml:space="preserve">, provision of MRO services to Tigerair by </w:t>
      </w:r>
      <w:r>
        <w:t>BAE System</w:t>
      </w:r>
      <w:r w:rsidR="00E20EE0">
        <w:t>s</w:t>
      </w:r>
      <w:r w:rsidR="007367CC">
        <w:t>,</w:t>
      </w:r>
      <w:r w:rsidR="00E20EE0">
        <w:t xml:space="preserve"> as well as valuable maintenance skills within Australia’s SME segment</w:t>
      </w:r>
      <w:r w:rsidR="007367CC">
        <w:t>,</w:t>
      </w:r>
      <w:r w:rsidR="00E20EE0">
        <w:t xml:space="preserve"> </w:t>
      </w:r>
      <w:r w:rsidR="00655518">
        <w:t xml:space="preserve">makes a good case for bringing back some of the maintenance work </w:t>
      </w:r>
      <w:r w:rsidR="00EC642D">
        <w:t xml:space="preserve">to Australia </w:t>
      </w:r>
      <w:r w:rsidR="00655518">
        <w:t xml:space="preserve">and </w:t>
      </w:r>
      <w:r w:rsidR="00EC642D">
        <w:t>meeting its domestic needs.</w:t>
      </w:r>
      <w:r w:rsidR="00657253">
        <w:t xml:space="preserve"> </w:t>
      </w:r>
      <w:r w:rsidR="00822CD7" w:rsidRPr="00717C04">
        <w:rPr>
          <w:rFonts w:cstheme="minorHAnsi"/>
          <w:lang w:val="en-US"/>
        </w:rPr>
        <w:t>There</w:t>
      </w:r>
      <w:r w:rsidR="00822CD7">
        <w:rPr>
          <w:rFonts w:cstheme="minorHAnsi"/>
          <w:lang w:val="en-US"/>
        </w:rPr>
        <w:t xml:space="preserve"> i</w:t>
      </w:r>
      <w:r w:rsidR="00822CD7" w:rsidRPr="00717C04">
        <w:rPr>
          <w:rFonts w:cstheme="minorHAnsi"/>
          <w:lang w:val="en-US"/>
        </w:rPr>
        <w:t xml:space="preserve">s competition for work at the regional level, including capability in Williamtown to support the Defence JFS program for other countries. </w:t>
      </w:r>
      <w:r w:rsidR="003F7DC2">
        <w:rPr>
          <w:rFonts w:cstheme="minorHAnsi"/>
          <w:lang w:val="en-US"/>
        </w:rPr>
        <w:t xml:space="preserve">Specialised </w:t>
      </w:r>
      <w:r w:rsidR="003F7DC2">
        <w:t xml:space="preserve">independent third-party MROs organisations like the Hawker Pacific MRO facility at Cairns International Airport demonstrates Australia’s </w:t>
      </w:r>
      <w:r w:rsidR="0085594F">
        <w:t xml:space="preserve">capabilities to service </w:t>
      </w:r>
      <w:r w:rsidR="00CC2B30">
        <w:t xml:space="preserve">single-aisle </w:t>
      </w:r>
      <w:r w:rsidR="00335728">
        <w:t>domestic carriers and small planes</w:t>
      </w:r>
      <w:r w:rsidR="006947C8">
        <w:t xml:space="preserve"> used for regional Regular Public </w:t>
      </w:r>
      <w:r w:rsidR="00820036">
        <w:t>Transport</w:t>
      </w:r>
      <w:r w:rsidR="00335728">
        <w:t xml:space="preserve"> </w:t>
      </w:r>
      <w:r w:rsidR="006947C8">
        <w:t>(</w:t>
      </w:r>
      <w:r w:rsidR="00335728">
        <w:t>RPT</w:t>
      </w:r>
      <w:r w:rsidR="006947C8">
        <w:t>)</w:t>
      </w:r>
      <w:r w:rsidR="00335728">
        <w:t xml:space="preserve"> </w:t>
      </w:r>
      <w:r w:rsidR="006947C8">
        <w:t xml:space="preserve">in Australia. </w:t>
      </w:r>
      <w:r w:rsidR="007367CC">
        <w:t xml:space="preserve">Industry also indicates that </w:t>
      </w:r>
      <w:r>
        <w:t>consider</w:t>
      </w:r>
      <w:r w:rsidR="007367CC">
        <w:t xml:space="preserve">ation should be given </w:t>
      </w:r>
      <w:r w:rsidR="0085594F">
        <w:t>to expand</w:t>
      </w:r>
      <w:r w:rsidR="007367CC">
        <w:t>ing</w:t>
      </w:r>
      <w:r w:rsidR="0085594F">
        <w:t xml:space="preserve"> these maintenance hubs </w:t>
      </w:r>
      <w:r w:rsidR="00CC2B30">
        <w:t xml:space="preserve">to service the </w:t>
      </w:r>
      <w:r w:rsidR="00DF7D23">
        <w:t>wide body</w:t>
      </w:r>
      <w:r w:rsidR="00CC2B30">
        <w:t xml:space="preserve"> segment, as </w:t>
      </w:r>
      <w:r w:rsidR="00DF7D23">
        <w:t>wide bodies</w:t>
      </w:r>
      <w:r w:rsidR="00CC2B30">
        <w:t xml:space="preserve"> continue to find increased presence on domestic routes. </w:t>
      </w:r>
      <w:r w:rsidR="00E67F5D">
        <w:t>State g</w:t>
      </w:r>
      <w:r w:rsidR="00CC2B30">
        <w:t>overnment</w:t>
      </w:r>
      <w:r w:rsidR="00E67F5D">
        <w:t>s have</w:t>
      </w:r>
      <w:r w:rsidR="001B5273">
        <w:t xml:space="preserve"> actively</w:t>
      </w:r>
      <w:r w:rsidR="00E67F5D">
        <w:t xml:space="preserve"> </w:t>
      </w:r>
      <w:r w:rsidR="001B5273">
        <w:t xml:space="preserve">promoted </w:t>
      </w:r>
      <w:r w:rsidR="00CC2B30">
        <w:t xml:space="preserve">regional MRO </w:t>
      </w:r>
      <w:r w:rsidR="00E67F5D">
        <w:t xml:space="preserve">activity </w:t>
      </w:r>
      <w:r w:rsidR="001B5273">
        <w:t xml:space="preserve">through establishment of maintenance clusters, for example the joint </w:t>
      </w:r>
      <w:r w:rsidR="002F14A5">
        <w:t>d</w:t>
      </w:r>
      <w:r w:rsidR="001B5273">
        <w:t xml:space="preserve">efence/civil facility at Townsville and a diverse aviation maintenance base at Cairns, providing aviation and avionics services to domestic, international and GA sectors. </w:t>
      </w:r>
      <w:r w:rsidR="0085594F">
        <w:t xml:space="preserve">There </w:t>
      </w:r>
      <w:r w:rsidR="00BC186A">
        <w:t xml:space="preserve">is </w:t>
      </w:r>
      <w:r w:rsidR="0085594F">
        <w:t>also t</w:t>
      </w:r>
      <w:r w:rsidR="006947C8" w:rsidRPr="00473B24">
        <w:t xml:space="preserve">he Australasian </w:t>
      </w:r>
      <w:r w:rsidR="001B5273">
        <w:t>Aviation Group – Cairns (AAG-C)</w:t>
      </w:r>
      <w:r w:rsidR="0085594F">
        <w:t>,</w:t>
      </w:r>
      <w:r w:rsidR="001B5273">
        <w:t xml:space="preserve"> </w:t>
      </w:r>
      <w:r w:rsidR="00BC186A">
        <w:t xml:space="preserve">which encompasses </w:t>
      </w:r>
      <w:r w:rsidR="001B5273">
        <w:t>an industry cluster of aircraft maintenance facilities, a training centre and specialist support services. In addition, t</w:t>
      </w:r>
      <w:r w:rsidR="000D4306">
        <w:t xml:space="preserve">he prospect of making </w:t>
      </w:r>
      <w:r w:rsidR="004C69B7" w:rsidRPr="004C69B7">
        <w:t>Australia a regional service training</w:t>
      </w:r>
      <w:r w:rsidR="006947C8">
        <w:t xml:space="preserve"> </w:t>
      </w:r>
      <w:r w:rsidR="004C69B7" w:rsidRPr="004C69B7">
        <w:t xml:space="preserve">hub for heavy maintenance and </w:t>
      </w:r>
      <w:r w:rsidR="006947C8">
        <w:t>aircraft on the ground (</w:t>
      </w:r>
      <w:r w:rsidR="004C69B7" w:rsidRPr="004C69B7">
        <w:t>AOG</w:t>
      </w:r>
      <w:r w:rsidR="006947C8">
        <w:t>)</w:t>
      </w:r>
      <w:r w:rsidR="004C69B7" w:rsidRPr="004C69B7">
        <w:t xml:space="preserve"> services </w:t>
      </w:r>
      <w:r w:rsidR="000D4306">
        <w:t xml:space="preserve">presents </w:t>
      </w:r>
      <w:r w:rsidR="00BC186A">
        <w:t xml:space="preserve">a possibility of further </w:t>
      </w:r>
      <w:r w:rsidR="000D4306">
        <w:t xml:space="preserve">economic gains </w:t>
      </w:r>
      <w:r w:rsidR="004C69B7" w:rsidRPr="004C69B7">
        <w:t>in the maturing helicopter, regional</w:t>
      </w:r>
      <w:r w:rsidR="006947C8">
        <w:t xml:space="preserve"> </w:t>
      </w:r>
      <w:r w:rsidR="004C69B7" w:rsidRPr="004C69B7">
        <w:t xml:space="preserve">jet and business jet markets. </w:t>
      </w:r>
      <w:r w:rsidR="00ED0D3D">
        <w:t xml:space="preserve">Given countries like China are </w:t>
      </w:r>
      <w:r w:rsidR="00DF7D23">
        <w:t>incipient</w:t>
      </w:r>
      <w:r w:rsidR="00ED0D3D">
        <w:t xml:space="preserve"> in the broader GA sector, </w:t>
      </w:r>
      <w:r w:rsidR="000D4306">
        <w:t xml:space="preserve">Australia could secure a </w:t>
      </w:r>
      <w:r w:rsidR="000D4306" w:rsidRPr="00447938">
        <w:t>first-mover advantage</w:t>
      </w:r>
      <w:r w:rsidR="000D4306">
        <w:t xml:space="preserve"> if it fitted out export services for </w:t>
      </w:r>
      <w:r w:rsidR="000D4306" w:rsidRPr="00447938">
        <w:t xml:space="preserve">ground maintenance and GA maintenance training. </w:t>
      </w:r>
      <w:r w:rsidR="0085594F">
        <w:t xml:space="preserve">Recognising </w:t>
      </w:r>
      <w:r w:rsidR="00486161">
        <w:t xml:space="preserve">gaps in </w:t>
      </w:r>
      <w:r w:rsidR="004A76E3">
        <w:t>Australia’s</w:t>
      </w:r>
      <w:r w:rsidR="00486161">
        <w:t xml:space="preserve"> current MRO offerings and a s</w:t>
      </w:r>
      <w:r w:rsidR="004A76E3">
        <w:t>pare capacity</w:t>
      </w:r>
      <w:r w:rsidR="00486161">
        <w:t xml:space="preserve">, </w:t>
      </w:r>
      <w:r w:rsidR="004A76E3">
        <w:t xml:space="preserve">Heston Aviation recently acquired Aircraft Maintenance Services Australia (AMSA) to develop an independent one-stop MRO company in Australia, expanding </w:t>
      </w:r>
      <w:r w:rsidR="0085594F">
        <w:t xml:space="preserve">its services </w:t>
      </w:r>
      <w:r w:rsidR="004A76E3">
        <w:t>beyond line maintenance to include component and engine solutions as well as heavy maintenance to a certain extent. It is beli</w:t>
      </w:r>
      <w:r w:rsidR="006A317E">
        <w:t>e</w:t>
      </w:r>
      <w:r w:rsidR="004A76E3">
        <w:t>ved to be well-positioned to support mid-sized to small and regional airlines.</w:t>
      </w:r>
      <w:r w:rsidR="005E6617" w:rsidRPr="00EF5E5A">
        <w:br w:type="page"/>
      </w:r>
    </w:p>
    <w:p w14:paraId="6BBB8CB7" w14:textId="42CFFBC7" w:rsidR="00C855FD" w:rsidRDefault="006D2486" w:rsidP="00D01A94">
      <w:pPr>
        <w:pStyle w:val="CaseStudy"/>
        <w:spacing w:after="720"/>
      </w:pPr>
      <w:bookmarkStart w:id="147" w:name="_Toc536113651"/>
      <w:bookmarkStart w:id="148" w:name="_Ref535933687"/>
      <w:bookmarkEnd w:id="147"/>
      <w:r w:rsidRPr="00E40562">
        <w:rPr>
          <w:noProof/>
          <w:lang w:eastAsia="en-AU"/>
        </w:rPr>
        <w:lastRenderedPageBreak/>
        <w:drawing>
          <wp:anchor distT="0" distB="0" distL="114300" distR="114300" simplePos="0" relativeHeight="251868160" behindDoc="1" locked="0" layoutInCell="1" allowOverlap="1" wp14:anchorId="74C110F5" wp14:editId="3FFADDD4">
            <wp:simplePos x="0" y="0"/>
            <wp:positionH relativeFrom="page">
              <wp:align>left</wp:align>
            </wp:positionH>
            <wp:positionV relativeFrom="paragraph">
              <wp:posOffset>-1260475</wp:posOffset>
            </wp:positionV>
            <wp:extent cx="7560000" cy="9728170"/>
            <wp:effectExtent l="0" t="0" r="3175" b="6985"/>
            <wp:wrapNone/>
            <wp:docPr id="26" name="Picture 26" descr="Case Study. Boeing" title="Cas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60000" cy="9728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5D2C">
        <w:t>Boeing</w:t>
      </w:r>
    </w:p>
    <w:p w14:paraId="18189C41" w14:textId="632CC171" w:rsidR="008E2E60" w:rsidRDefault="00A50123" w:rsidP="006028C6">
      <w:pPr>
        <w:pStyle w:val="CaseStudyIntro"/>
        <w:spacing w:after="120"/>
      </w:pPr>
      <w:r>
        <w:t xml:space="preserve">Establishing its largest offshore presence in Australia and being invested in </w:t>
      </w:r>
      <w:r w:rsidR="00105023">
        <w:t>matching export opportunities to domestic capabilities</w:t>
      </w:r>
      <w:r>
        <w:t>,</w:t>
      </w:r>
      <w:r w:rsidR="00105023">
        <w:t xml:space="preserve"> </w:t>
      </w:r>
      <w:r>
        <w:t>Boeing has</w:t>
      </w:r>
      <w:r w:rsidR="00105023">
        <w:t xml:space="preserve"> played a pivotal role in bringing competent Australian SMEs</w:t>
      </w:r>
      <w:r w:rsidR="008935A7">
        <w:t xml:space="preserve"> to the global forefront</w:t>
      </w:r>
      <w:r w:rsidR="00105023">
        <w:t>.</w:t>
      </w:r>
    </w:p>
    <w:p w14:paraId="1B65B818" w14:textId="309BB20E" w:rsidR="002D4398" w:rsidRPr="007367CC" w:rsidRDefault="00E20544">
      <w:pPr>
        <w:pStyle w:val="CaseStudyIntro"/>
        <w:spacing w:before="120" w:after="120"/>
        <w:rPr>
          <w:color w:val="auto"/>
          <w:sz w:val="20"/>
        </w:rPr>
      </w:pPr>
      <w:r w:rsidRPr="007367CC">
        <w:rPr>
          <w:color w:val="auto"/>
          <w:sz w:val="20"/>
        </w:rPr>
        <w:t>As the world’s largest aerospace enterprise, Boeing is an unprecedented brand in the global aerospace industry. With a heritage spanning more than 90 years in Australia, this region is home to the business’s largest operation outside of the US. More than 3,000 workers employed across 27 locations in Australia support the company’s broadest portfolio of products and services, including advanced composite components manufacturing, design and development of defence systems, research and development, platform support and training.</w:t>
      </w:r>
    </w:p>
    <w:p w14:paraId="285437E7" w14:textId="4C0C543E" w:rsidR="00D73819" w:rsidRPr="00D73819" w:rsidRDefault="00E20544" w:rsidP="00D73819">
      <w:pPr>
        <w:rPr>
          <w:b/>
        </w:rPr>
      </w:pPr>
      <w:r w:rsidRPr="00E20544">
        <w:t>In 2007, Boeing’s Office of Australian Industry Capability (OAIC) was opened in Washington, reflecting the company’s continued support for the Australian aerospace industry. The OAIC was established to increase the scope for Australian enterprises to bid for business opportunities within Boeing’s commercial and defence programs as well as supply chains of other tier one and tier two manufacturers.</w:t>
      </w:r>
    </w:p>
    <w:p w14:paraId="072ED83D" w14:textId="2B2A5149" w:rsidR="0046712D" w:rsidRDefault="0046712D" w:rsidP="007367CC">
      <w:pPr>
        <w:pStyle w:val="Casestudysubheading"/>
        <w:spacing w:before="120" w:after="60"/>
      </w:pPr>
      <w:r w:rsidRPr="00D73819">
        <w:t>Pushing Australia’s global capabilities</w:t>
      </w:r>
    </w:p>
    <w:p w14:paraId="48F69BD6" w14:textId="6A1B36C7" w:rsidR="00E20544" w:rsidRPr="00E20544" w:rsidRDefault="00E20544" w:rsidP="007367CC">
      <w:pPr>
        <w:pStyle w:val="Casestudysubheading"/>
        <w:spacing w:before="60" w:after="60"/>
        <w:rPr>
          <w:b w:val="0"/>
          <w:color w:val="auto"/>
        </w:rPr>
      </w:pPr>
      <w:r w:rsidRPr="00E20544">
        <w:rPr>
          <w:b w:val="0"/>
          <w:color w:val="auto"/>
        </w:rPr>
        <w:t xml:space="preserve">In response to Australia’s move away from providing industry offsets, the former Defence Materiel Organisation (now Capability Acquisition &amp; Sustainment Group) introduced the Global Supply Chain (GSC) program. This program has been designed to bring Australian businesses into international supply chains and to help build the domestic industry’s global profile. This government funded program helps introduce export opportunities to Australian small- and medium-sized enterprises (SMEs) that have a capability, product or service that could potentially meet commercial needs of </w:t>
      </w:r>
      <w:r w:rsidR="006B19D5">
        <w:rPr>
          <w:b w:val="0"/>
          <w:color w:val="auto"/>
        </w:rPr>
        <w:t>p</w:t>
      </w:r>
      <w:r w:rsidRPr="00E20544">
        <w:rPr>
          <w:b w:val="0"/>
          <w:color w:val="auto"/>
        </w:rPr>
        <w:t xml:space="preserve">rime defence contractors (“Primes”). Of the seven global defence multinationals that are currently contracted in to the GSC program, Boeing was the first one to sign up in 2009, with the OAIC playing a pivotal role of identifying competent Australian SMEs for the program. </w:t>
      </w:r>
    </w:p>
    <w:p w14:paraId="2A44CC68" w14:textId="41BF7F01" w:rsidR="00C855FD" w:rsidRPr="006D2486" w:rsidRDefault="00E20544" w:rsidP="00E20544">
      <w:pPr>
        <w:rPr>
          <w:b/>
        </w:rPr>
      </w:pPr>
      <w:r w:rsidRPr="00E20544">
        <w:t>The OAIC’s initial focus was on assessing technological capabilities in Australia by having Boeing personnel tour various Australian company sites and by facilitating visits by Australian businesses to the US to introduce these companies to Boeing and its sub-contractors. It also hosted capability conferences for Australian SMEs to demonstrate their technological expertise and skills in advanced composite manufacturing, metal sheeting, and modelling and simulation, and brought top executives to visit the production facilities of select Australian companies</w:t>
      </w:r>
      <w:r w:rsidR="00C855FD">
        <w:t>.</w:t>
      </w:r>
    </w:p>
    <w:p w14:paraId="2E64B931" w14:textId="10BED8AD" w:rsidR="00E20544" w:rsidRPr="00E20544" w:rsidRDefault="00E20544" w:rsidP="00E20544">
      <w:pPr>
        <w:rPr>
          <w:color w:val="000000" w:themeColor="text1"/>
        </w:rPr>
      </w:pPr>
      <w:r w:rsidRPr="00E20544">
        <w:rPr>
          <w:color w:val="000000" w:themeColor="text1"/>
        </w:rPr>
        <w:t>Training and development activities have been crucial elements in uplifting the global competitiveness of Australian SMEs. In particular, the OAIC provides marketing assistance to domestic suppliers by identifying export opportunities. It then helps Australian SMEs market themselves globally to the primes by refining their skills in presentations, proposal writing and effective communication. It also provides essential aerospace-focussed training and mentoring in areas such as Lean manufacturing, modelling simulation tooling, quality assurance and high speed machining skills. Additional training opportunities include Program Management courses that Boeing offers through the Boeing Leadership Centre complex located in the US, which is designed to help improve compliance with international quality standards.</w:t>
      </w:r>
    </w:p>
    <w:p w14:paraId="3EBF5208" w14:textId="28986B4D" w:rsidR="00E20544" w:rsidRDefault="00E20544" w:rsidP="00E20544">
      <w:pPr>
        <w:rPr>
          <w:color w:val="000000" w:themeColor="text1"/>
        </w:rPr>
      </w:pPr>
      <w:r w:rsidRPr="00E20544">
        <w:rPr>
          <w:color w:val="000000" w:themeColor="text1"/>
        </w:rPr>
        <w:t>The OAIC and Boeing’s Australian subsidiaries work hand in hand to identify opportunities with Australian SMEs and engage high-performing suppliers across both its Australian and global supply chains. Boeing’s local profile and engagement with industry enhances the opportunities available to Australian businesses within the Boeing ecosystem</w:t>
      </w:r>
      <w:r>
        <w:rPr>
          <w:color w:val="000000" w:themeColor="text1"/>
        </w:rPr>
        <w:t>.</w:t>
      </w:r>
    </w:p>
    <w:p w14:paraId="7C0E834D" w14:textId="77777777" w:rsidR="006D2486" w:rsidRDefault="006D2486" w:rsidP="007367CC">
      <w:pPr>
        <w:spacing w:before="60" w:after="60"/>
        <w:rPr>
          <w:color w:val="000000" w:themeColor="text1"/>
        </w:rPr>
      </w:pPr>
      <w:r>
        <w:rPr>
          <w:color w:val="000000" w:themeColor="text1"/>
        </w:rPr>
        <w:br w:type="page"/>
      </w:r>
    </w:p>
    <w:p w14:paraId="11C4597F" w14:textId="711DBD4B" w:rsidR="00D73819" w:rsidRDefault="002254C2" w:rsidP="007367CC">
      <w:pPr>
        <w:spacing w:before="60" w:after="60"/>
        <w:rPr>
          <w:color w:val="000000" w:themeColor="text1"/>
        </w:rPr>
      </w:pPr>
      <w:r w:rsidRPr="0046712D">
        <w:rPr>
          <w:noProof/>
          <w:lang w:eastAsia="en-AU"/>
        </w:rPr>
        <w:lastRenderedPageBreak/>
        <w:drawing>
          <wp:anchor distT="0" distB="0" distL="114300" distR="114300" simplePos="0" relativeHeight="251849728" behindDoc="1" locked="0" layoutInCell="1" allowOverlap="1" wp14:anchorId="06FF4869" wp14:editId="76F9A423">
            <wp:simplePos x="0" y="0"/>
            <wp:positionH relativeFrom="page">
              <wp:posOffset>0</wp:posOffset>
            </wp:positionH>
            <wp:positionV relativeFrom="page">
              <wp:posOffset>805399</wp:posOffset>
            </wp:positionV>
            <wp:extent cx="7559675" cy="8898890"/>
            <wp:effectExtent l="0" t="0" r="3175" b="0"/>
            <wp:wrapNone/>
            <wp:docPr id="232" name="Picture 232" descr="Case Study Continued. Boeing" title="Case Study Continued. Bo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59675" cy="889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E20544" w:rsidRPr="00E20544">
        <w:rPr>
          <w:color w:val="000000" w:themeColor="text1"/>
        </w:rPr>
        <w:t>In addition, Boeing has made significant investments in setting up a local state-of-the-art surface treatment processing facility. This facility allows for aerospace components to be chemically treated, tested and painted as part of the manufacturing process requirements. This means that Australian exporting companies no longer need to ship parts overseas (to California, for example) for processing, return the processed parts to Australia and then ship the end product. These local facilities not only provide significant savings in shipping costs, but also provide local supplies that meet Boeing standards.</w:t>
      </w:r>
    </w:p>
    <w:p w14:paraId="039C69E5" w14:textId="474046FD" w:rsidR="0046712D" w:rsidRDefault="0046712D" w:rsidP="007367CC">
      <w:pPr>
        <w:pStyle w:val="Casestudysubheading"/>
        <w:spacing w:before="120" w:after="60"/>
      </w:pPr>
      <w:r w:rsidRPr="00D73819">
        <w:t>Boeing’s engagement with Australian SMEs</w:t>
      </w:r>
    </w:p>
    <w:p w14:paraId="0E6870DD" w14:textId="5A1A9560" w:rsidR="002D4398" w:rsidRPr="001804A6" w:rsidRDefault="00E20544" w:rsidP="007367CC">
      <w:pPr>
        <w:spacing w:before="60" w:after="60"/>
        <w:rPr>
          <w:b/>
        </w:rPr>
      </w:pPr>
      <w:r w:rsidRPr="00E20544">
        <w:t>Boeing counts on its extensive supplier network to remain true to its reputation of delivering value products and services to its global customers. In support of Boeing’s aerospace products and services, suppliers are required to obtain an AS9100 certification before they can be contracted to manufacture parts or products. The investment required to obtain this international standard means that only those manufacturing organisations that meet the high standards required for aerospace applications find their way into Boeing’s supply chain. Nevertheless, Boeing encourages technologically proficient companies without certification to seek aerospace work opportunities with large domestic companies that have their own certification (and thus the restrictions may not apply as subcontractors)</w:t>
      </w:r>
      <w:r w:rsidR="00C855FD">
        <w:t>.</w:t>
      </w:r>
    </w:p>
    <w:p w14:paraId="502E7AF8" w14:textId="092E2326" w:rsidR="00E20544" w:rsidRDefault="00E20544" w:rsidP="00E20544">
      <w:r>
        <w:t>Boeing Defence Australia (BDA) provides sustainment services, training and capability upgrades to all Boeing military aerospace products in Australian service including the Wedgetail E-7, C-17 Globemasters, F/A-18F Super Hornets and CH-47 Chinooks. It is also the prime contractor for the design and delivery of the Helicopter Aircrew Training System (HATS), and is an Original Equipment Manufacturer for complex defence ground-based systems such as Vigilare, Currawong Battlespace Communication System and the Defence High Frequency Communication System. BDA engages an extensive network of SMEs in all related specialist fields and advises relevant SMEs on compliance with Defence security and regulatory requirements. Boeing credits Australian SMEs with being well placed to win long-term contracts. Such work engagements have proven beneficial for Boeing in terms of lowering its overall costs and lead times, and agility in working th</w:t>
      </w:r>
      <w:r w:rsidR="00C855FD">
        <w:t>rough fast design-build cycles.</w:t>
      </w:r>
    </w:p>
    <w:p w14:paraId="519023E7" w14:textId="0D10AA3A" w:rsidR="00C855FD" w:rsidRPr="006D2486" w:rsidRDefault="00E20544" w:rsidP="00E20544">
      <w:pPr>
        <w:rPr>
          <w:b/>
        </w:rPr>
      </w:pPr>
      <w:r>
        <w:t>Boeing Australia (including Boeing Aerostructures Australia, BDA, Boeing Research &amp; Technology – Australia, Insitu, Aviall, and Jeppesen) has a significant local presence, which provides more direct visibility of the Australian supply chain’s performance, and allows stronger collaboration in addressing supplier challenges in real time or taking advantage of opportunities as they arise. The knowledge of having readily available expert advice also provides Australian SMEs with the confidence to take calculated risks and to work with Boeing on international contracts. As an added advantage, the time difference between Australia and the US allows work to be done round the clock at both ends</w:t>
      </w:r>
      <w:r w:rsidR="00C855FD">
        <w:t>.</w:t>
      </w:r>
    </w:p>
    <w:p w14:paraId="63C83822" w14:textId="44963586" w:rsidR="00E20544" w:rsidRDefault="00E20544" w:rsidP="00E20544">
      <w:r>
        <w:t xml:space="preserve">In an effort to remain cost competitive, Australian businesses exporting their goods and services internationally have made efforts in honing their innovation, automation and streamline operations to reduce their logistical costs, resulting in some truly innovative and world-class local businesses. Their agility and their can-do, have-a-go attitude means the often really tough challenges can be overcome by engaging Australian SMEs. However, when it comes to aerospace applications, the limited number of businesses with AS9100 certification represents a constraint. </w:t>
      </w:r>
    </w:p>
    <w:p w14:paraId="290FDD45" w14:textId="023973D7" w:rsidR="00D73819" w:rsidRDefault="00E20544" w:rsidP="00D73819">
      <w:r>
        <w:t>As part of Australia’s innovative aerospace industry, SMEs are adept at reinventing existing technologies and processes to offer unique manufacturing capabilities. While these home-grown work strategies of domestic SMEs present high quality product/solutions to Boeing, the experience of this working environment also provides learning opportunities for Boeing.</w:t>
      </w:r>
      <w:r w:rsidR="002D4398" w:rsidRPr="00505386">
        <w:t xml:space="preserve"> </w:t>
      </w:r>
      <w:r w:rsidR="00D73819">
        <w:t xml:space="preserve"> </w:t>
      </w:r>
    </w:p>
    <w:p w14:paraId="116C1460" w14:textId="77777777" w:rsidR="006D2486" w:rsidRDefault="006D2486" w:rsidP="007367CC">
      <w:pPr>
        <w:pStyle w:val="Casestudysubheading"/>
        <w:spacing w:before="120" w:after="60"/>
      </w:pPr>
      <w:r>
        <w:br w:type="page"/>
      </w:r>
    </w:p>
    <w:p w14:paraId="673491B9" w14:textId="7A5661FD" w:rsidR="0046712D" w:rsidRDefault="006D2486" w:rsidP="007367CC">
      <w:pPr>
        <w:pStyle w:val="Casestudysubheading"/>
        <w:spacing w:before="120" w:after="60"/>
      </w:pPr>
      <w:r w:rsidRPr="0046712D">
        <w:rPr>
          <w:noProof/>
          <w:lang w:eastAsia="en-AU"/>
        </w:rPr>
        <w:lastRenderedPageBreak/>
        <w:drawing>
          <wp:anchor distT="0" distB="0" distL="114300" distR="114300" simplePos="0" relativeHeight="251872256" behindDoc="1" locked="0" layoutInCell="1" allowOverlap="1" wp14:anchorId="5EFA332D" wp14:editId="115359B4">
            <wp:simplePos x="0" y="0"/>
            <wp:positionH relativeFrom="page">
              <wp:posOffset>0</wp:posOffset>
            </wp:positionH>
            <wp:positionV relativeFrom="page">
              <wp:posOffset>793969</wp:posOffset>
            </wp:positionV>
            <wp:extent cx="7560000" cy="8899200"/>
            <wp:effectExtent l="0" t="0" r="3175" b="0"/>
            <wp:wrapNone/>
            <wp:docPr id="30" name="Picture 30" descr="Case Study Continued. Boeing" title="Case Study Continued. Bo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60000" cy="889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712D" w:rsidRPr="00D73819">
        <w:t xml:space="preserve">Tapping into Australia’s unparalleled research competence  </w:t>
      </w:r>
    </w:p>
    <w:p w14:paraId="62077478" w14:textId="5A32785A" w:rsidR="00E20544" w:rsidRPr="00E20544" w:rsidRDefault="00E20544" w:rsidP="007367CC">
      <w:pPr>
        <w:pStyle w:val="Casestudysubheading"/>
        <w:spacing w:before="60" w:after="60"/>
        <w:rPr>
          <w:b w:val="0"/>
          <w:color w:val="auto"/>
          <w:spacing w:val="-2"/>
        </w:rPr>
      </w:pPr>
      <w:r w:rsidRPr="00E20544">
        <w:rPr>
          <w:b w:val="0"/>
          <w:color w:val="auto"/>
          <w:spacing w:val="-2"/>
        </w:rPr>
        <w:t xml:space="preserve">Australia’s skilled workforce, including graduates from Australian universities such as Royal Melbourne Institute of Technology, Queensland University of Technology and University of Sydney, are well qualified and highly employable for aerospace industry jobs in areas including design, cybersecurity, </w:t>
      </w:r>
      <w:r w:rsidR="00DF7D23" w:rsidRPr="00E20544">
        <w:rPr>
          <w:b w:val="0"/>
          <w:color w:val="auto"/>
          <w:spacing w:val="-2"/>
        </w:rPr>
        <w:t>and composites</w:t>
      </w:r>
      <w:r w:rsidRPr="00E20544">
        <w:rPr>
          <w:b w:val="0"/>
          <w:color w:val="auto"/>
          <w:spacing w:val="-2"/>
        </w:rPr>
        <w:t xml:space="preserve"> and machining. Boeing’s continued engagement with Australian universities indicates a recognition and support for further development of domestic aerospace and Defence capabilities. </w:t>
      </w:r>
    </w:p>
    <w:p w14:paraId="696FFA1F" w14:textId="088C1F53" w:rsidR="002D4398" w:rsidRPr="0046712D" w:rsidRDefault="00E20544" w:rsidP="00D73819">
      <w:pPr>
        <w:spacing w:before="60" w:after="60"/>
        <w:rPr>
          <w:b/>
          <w:spacing w:val="-4"/>
        </w:rPr>
      </w:pPr>
      <w:r w:rsidRPr="00E20544">
        <w:rPr>
          <w:spacing w:val="-2"/>
        </w:rPr>
        <w:t>Following major investments in manufacturing upgrades at its facility in Melbourne, Boeing set up an Australian branch of Boeing Research &amp; Technology (BR&amp;T-A) in 2008. BR&amp;T-A has provided a focal point for collaboration with local research organisations including universities, private sector providers, the CSIRO  and the Defence Science and Technology Organisation. Access to Australia’s advanced technological practices and innovations has significantly boosted Boeing’s R&amp;D capabilities. At the same time, Boeing’s advanced development teams in the US are readily available to assess Australian capabilities in new avenues and assist with technological developments, for example, in areas of AI and robotics</w:t>
      </w:r>
      <w:r w:rsidR="002D4398" w:rsidRPr="0046712D">
        <w:rPr>
          <w:spacing w:val="-4"/>
        </w:rPr>
        <w:t xml:space="preserve">. </w:t>
      </w:r>
    </w:p>
    <w:p w14:paraId="0C186E3A" w14:textId="77777777" w:rsidR="00E20544" w:rsidRDefault="00E20544" w:rsidP="00E20544">
      <w:pPr>
        <w:spacing w:before="60" w:after="60"/>
      </w:pPr>
      <w:r>
        <w:t>BDA partnered with the government in South Australia in 2017 to extend its growing defence presence into the state. The state’s investment in cutting-edge technology aligns with BDA’s innovation culture, and a number of key Boeing SME partners have been headquartered there for many years. In addition, South Australia has had a healthy defence industry for a long time, with a highly skilled, defence-ready workforce. Thus, a local footprint allows BDA to be close to a wealth of talent and provide opportunities to better collaborate with their industry support network of SMEs and other defence primes.</w:t>
      </w:r>
    </w:p>
    <w:p w14:paraId="07DB54ED" w14:textId="7A8881C4" w:rsidR="00D73819" w:rsidRDefault="00E20544" w:rsidP="00E20544">
      <w:pPr>
        <w:spacing w:before="60" w:after="60"/>
      </w:pPr>
      <w:r>
        <w:t>Recognising Australia’s strong presence in the global UAV sector, Boeing also collaborated with the Queensland government in 2018 to set up its largest international autonomous systems development project. It recently completed successful testing of its Command and Control System on synchronised UAV flights at a Queensland airfield, issuing more than AU$2</w:t>
      </w:r>
      <w:r w:rsidR="006B19D5">
        <w:t> </w:t>
      </w:r>
      <w:r>
        <w:t>million in contracts with 14 local businesses.</w:t>
      </w:r>
    </w:p>
    <w:p w14:paraId="075D269A" w14:textId="77777777" w:rsidR="0046712D" w:rsidRDefault="0046712D" w:rsidP="007367CC">
      <w:pPr>
        <w:pStyle w:val="Casestudysubheading"/>
        <w:spacing w:before="120" w:after="60"/>
        <w:rPr>
          <w:szCs w:val="20"/>
        </w:rPr>
      </w:pPr>
      <w:r w:rsidRPr="00D73819">
        <w:t>Future opportunities for Australian SMEs</w:t>
      </w:r>
      <w:r w:rsidRPr="00D73819">
        <w:rPr>
          <w:szCs w:val="20"/>
        </w:rPr>
        <w:t xml:space="preserve"> </w:t>
      </w:r>
    </w:p>
    <w:p w14:paraId="5D26B9F2" w14:textId="2C3CC624" w:rsidR="00E20544" w:rsidRPr="00E20544" w:rsidRDefault="00E20544" w:rsidP="007367CC">
      <w:pPr>
        <w:pStyle w:val="Casestudysubheading"/>
        <w:spacing w:before="60" w:after="60"/>
        <w:rPr>
          <w:b w:val="0"/>
          <w:color w:val="auto"/>
          <w:spacing w:val="-2"/>
          <w:szCs w:val="20"/>
        </w:rPr>
      </w:pPr>
      <w:r w:rsidRPr="00E20544">
        <w:rPr>
          <w:b w:val="0"/>
          <w:color w:val="auto"/>
          <w:spacing w:val="-2"/>
          <w:szCs w:val="20"/>
        </w:rPr>
        <w:t>In terms of commercial manufacturing, Boeing Aerostructures Australia is one of Australia’s most significant designers and manufacturers of advanced composite aerostructure components and it continues to drive Boeing’s success in the SME space.</w:t>
      </w:r>
    </w:p>
    <w:p w14:paraId="1DF27D78" w14:textId="61E73715" w:rsidR="002D4398" w:rsidRPr="00505386" w:rsidRDefault="00E20544" w:rsidP="00C855FD">
      <w:pPr>
        <w:spacing w:before="60" w:after="60"/>
        <w:rPr>
          <w:rFonts w:asciiTheme="minorHAnsi" w:hAnsiTheme="minorHAnsi" w:cstheme="minorHAnsi"/>
          <w:b/>
          <w:sz w:val="22"/>
        </w:rPr>
      </w:pPr>
      <w:r w:rsidRPr="00E20544">
        <w:rPr>
          <w:spacing w:val="-2"/>
          <w:szCs w:val="20"/>
        </w:rPr>
        <w:t>As air traffic in the Asia-Pacific region is estimated to triple by 2030, it is believed that commercial and defence aerospace businesses in Australia are well-placed to help support the demand for equipment and support to meet this surge in demand. Boeing supports the growth of Australian SMEs beyond the ‘SME size’, allowing the industry to continue to develop as these “former SMEs”, in turn, start to support the local industry by building their own domestic supply chains</w:t>
      </w:r>
      <w:r w:rsidR="002D4398" w:rsidRPr="00505386">
        <w:t>.</w:t>
      </w:r>
    </w:p>
    <w:p w14:paraId="7AC4319E" w14:textId="77777777" w:rsidR="00E361BD" w:rsidRDefault="00E361BD" w:rsidP="0011521D">
      <w:pPr>
        <w:pStyle w:val="Heading2"/>
        <w:sectPr w:rsidR="00E361BD" w:rsidSect="00C855FD">
          <w:type w:val="continuous"/>
          <w:pgSz w:w="11906" w:h="16838" w:code="9"/>
          <w:pgMar w:top="1985" w:right="1440" w:bottom="1440" w:left="1440" w:header="709" w:footer="709" w:gutter="0"/>
          <w:cols w:space="708"/>
          <w:titlePg/>
          <w:docGrid w:linePitch="360"/>
        </w:sectPr>
      </w:pPr>
      <w:bookmarkStart w:id="149" w:name="_Ref536708881"/>
      <w:bookmarkStart w:id="150" w:name="_Ref536708894"/>
      <w:bookmarkStart w:id="151" w:name="_Ref536709196"/>
    </w:p>
    <w:p w14:paraId="53B0701C" w14:textId="2C4FB633" w:rsidR="00053627" w:rsidRPr="00C56565" w:rsidRDefault="007034C1" w:rsidP="0011521D">
      <w:pPr>
        <w:pStyle w:val="Heading2"/>
      </w:pPr>
      <w:bookmarkStart w:id="152" w:name="_Ref3469484"/>
      <w:bookmarkStart w:id="153" w:name="_Toc26537890"/>
      <w:r w:rsidRPr="00C56565">
        <w:lastRenderedPageBreak/>
        <w:t xml:space="preserve">Economic </w:t>
      </w:r>
      <w:r w:rsidR="007B43E6" w:rsidRPr="00C56565">
        <w:t xml:space="preserve">Profile </w:t>
      </w:r>
      <w:r w:rsidR="006808EB" w:rsidRPr="00C56565">
        <w:t xml:space="preserve">of </w:t>
      </w:r>
      <w:r w:rsidR="00FA05F5" w:rsidRPr="00C56565">
        <w:t xml:space="preserve">the </w:t>
      </w:r>
      <w:r w:rsidR="00DD5259" w:rsidRPr="00C56565">
        <w:t xml:space="preserve">Aircraft </w:t>
      </w:r>
      <w:r w:rsidRPr="00C56565">
        <w:t>M</w:t>
      </w:r>
      <w:r w:rsidR="00FA05F5" w:rsidRPr="00C56565">
        <w:t>anufacturing</w:t>
      </w:r>
      <w:bookmarkEnd w:id="146"/>
      <w:r w:rsidR="00DD5259" w:rsidRPr="00C56565">
        <w:t xml:space="preserve"> </w:t>
      </w:r>
      <w:r w:rsidR="00C13A4E" w:rsidRPr="00C56565">
        <w:t>Industry</w:t>
      </w:r>
      <w:bookmarkEnd w:id="148"/>
      <w:bookmarkEnd w:id="149"/>
      <w:bookmarkEnd w:id="150"/>
      <w:bookmarkEnd w:id="151"/>
      <w:bookmarkEnd w:id="152"/>
      <w:bookmarkEnd w:id="153"/>
    </w:p>
    <w:p w14:paraId="32C9C9CD" w14:textId="0FAE6695" w:rsidR="00C3551E" w:rsidRDefault="00654050" w:rsidP="00720136">
      <w:pPr>
        <w:pStyle w:val="BodyText1"/>
      </w:pPr>
      <w:r w:rsidRPr="00A53604">
        <w:t xml:space="preserve">The </w:t>
      </w:r>
      <w:r w:rsidR="00C3551E" w:rsidRPr="00A53604">
        <w:t xml:space="preserve">Australian </w:t>
      </w:r>
      <w:r w:rsidR="00555E98">
        <w:t>Aircraft Manufacturing and Repair Services</w:t>
      </w:r>
      <w:r w:rsidR="00AF1EDC">
        <w:t xml:space="preserve"> </w:t>
      </w:r>
      <w:r w:rsidR="00960EBD" w:rsidRPr="00A53604">
        <w:t xml:space="preserve">industry </w:t>
      </w:r>
      <w:r w:rsidRPr="00A53604">
        <w:t>contribut</w:t>
      </w:r>
      <w:r w:rsidR="00F367EE" w:rsidRPr="00A53604">
        <w:t>es</w:t>
      </w:r>
      <w:r w:rsidRPr="00A53604">
        <w:t xml:space="preserve"> to the </w:t>
      </w:r>
      <w:r w:rsidR="00D57D28" w:rsidRPr="00A53604">
        <w:t xml:space="preserve">Australian </w:t>
      </w:r>
      <w:r w:rsidRPr="00A53604">
        <w:t>economy</w:t>
      </w:r>
      <w:r w:rsidR="00D57D28" w:rsidRPr="00A53604">
        <w:t xml:space="preserve"> </w:t>
      </w:r>
      <w:r w:rsidR="00C3551E" w:rsidRPr="00A53604">
        <w:t xml:space="preserve">as both </w:t>
      </w:r>
      <w:r w:rsidR="000A7E02" w:rsidRPr="00A53604">
        <w:t xml:space="preserve">a </w:t>
      </w:r>
      <w:r w:rsidR="00C3551E" w:rsidRPr="00A53604">
        <w:t xml:space="preserve">major </w:t>
      </w:r>
      <w:r w:rsidR="00EB7350">
        <w:t xml:space="preserve">provider of </w:t>
      </w:r>
      <w:r w:rsidR="00C3551E" w:rsidRPr="00A53604">
        <w:t>goods and service</w:t>
      </w:r>
      <w:r w:rsidR="00EB7350">
        <w:t>s</w:t>
      </w:r>
      <w:r w:rsidR="00C3551E" w:rsidRPr="00A53604">
        <w:t xml:space="preserve"> to other industries</w:t>
      </w:r>
      <w:r w:rsidR="00EB7350">
        <w:t xml:space="preserve">, and as a consumer of </w:t>
      </w:r>
      <w:r w:rsidR="00C3551E" w:rsidRPr="00A53604">
        <w:t>goods and services from supplier industries</w:t>
      </w:r>
      <w:r w:rsidRPr="00A53604">
        <w:t>.</w:t>
      </w:r>
    </w:p>
    <w:p w14:paraId="024F78F8" w14:textId="517A2648" w:rsidR="00A71170" w:rsidRPr="007363AF" w:rsidRDefault="00C3551E" w:rsidP="00720136">
      <w:pPr>
        <w:pStyle w:val="BodyText1"/>
      </w:pPr>
      <w:r>
        <w:t>The economic contribution of a sector is</w:t>
      </w:r>
      <w:r w:rsidR="00654050" w:rsidRPr="007363AF">
        <w:t xml:space="preserve"> </w:t>
      </w:r>
      <w:r>
        <w:t>generally measured by</w:t>
      </w:r>
      <w:r w:rsidR="00A53604">
        <w:t xml:space="preserve"> its</w:t>
      </w:r>
      <w:r>
        <w:t xml:space="preserve"> </w:t>
      </w:r>
      <w:r w:rsidR="00395E60" w:rsidRPr="007363AF">
        <w:t xml:space="preserve">employment </w:t>
      </w:r>
      <w:r w:rsidR="00A53604">
        <w:t xml:space="preserve">levels and its industry share in terms of the revenue from sale of </w:t>
      </w:r>
      <w:r w:rsidR="00A53604" w:rsidRPr="007363AF">
        <w:t xml:space="preserve">final goods and services </w:t>
      </w:r>
      <w:r w:rsidR="00A53604">
        <w:t xml:space="preserve">as well as the </w:t>
      </w:r>
      <w:r w:rsidR="006B385F">
        <w:t>sector</w:t>
      </w:r>
      <w:r w:rsidR="000B299A">
        <w:t>’</w:t>
      </w:r>
      <w:r w:rsidR="006B385F">
        <w:t xml:space="preserve">s </w:t>
      </w:r>
      <w:r w:rsidR="00E35310" w:rsidRPr="007363AF">
        <w:t>value</w:t>
      </w:r>
      <w:r w:rsidR="00380B92">
        <w:t xml:space="preserve"> </w:t>
      </w:r>
      <w:r w:rsidR="006B385F">
        <w:t>add</w:t>
      </w:r>
      <w:r w:rsidR="00380B92">
        <w:t>ed</w:t>
      </w:r>
      <w:r w:rsidR="00A53604">
        <w:t xml:space="preserve"> </w:t>
      </w:r>
      <w:r w:rsidR="002A2CAC" w:rsidRPr="007363AF">
        <w:t>(output less inputs from other industries outside the sector)</w:t>
      </w:r>
      <w:r w:rsidR="00654050" w:rsidRPr="007363AF">
        <w:t>.</w:t>
      </w:r>
      <w:r w:rsidR="00633598">
        <w:t xml:space="preserve"> Over the period 2014-15 to 2016-17, the </w:t>
      </w:r>
      <w:r w:rsidR="00CA07EA">
        <w:t>A</w:t>
      </w:r>
      <w:r w:rsidR="00633598">
        <w:t xml:space="preserve">ircraft </w:t>
      </w:r>
      <w:r w:rsidR="00CA07EA">
        <w:t>M</w:t>
      </w:r>
      <w:r w:rsidR="00633598">
        <w:t xml:space="preserve">anufacturing and </w:t>
      </w:r>
      <w:r w:rsidR="00CA07EA">
        <w:t>R</w:t>
      </w:r>
      <w:r w:rsidR="00633598">
        <w:t xml:space="preserve">epair </w:t>
      </w:r>
      <w:r w:rsidR="00CA07EA">
        <w:t>S</w:t>
      </w:r>
      <w:r w:rsidR="00633598">
        <w:t>ervice industry’s value added grew by roughly 23</w:t>
      </w:r>
      <w:r w:rsidR="00F41FD0">
        <w:t> </w:t>
      </w:r>
      <w:r w:rsidR="00845BA7">
        <w:t>per cent</w:t>
      </w:r>
      <w:r w:rsidR="00633598">
        <w:t>.</w:t>
      </w:r>
      <w:r w:rsidR="001E3100">
        <w:rPr>
          <w:rStyle w:val="FootnoteReference"/>
        </w:rPr>
        <w:footnoteReference w:id="13"/>
      </w:r>
      <w:r w:rsidR="00633598">
        <w:t xml:space="preserve"> </w:t>
      </w:r>
    </w:p>
    <w:p w14:paraId="3DE07E1D" w14:textId="58C14356" w:rsidR="008D2EA9" w:rsidRPr="007363AF" w:rsidRDefault="00A71170" w:rsidP="00720136">
      <w:pPr>
        <w:pStyle w:val="BodyText1"/>
      </w:pPr>
      <w:r w:rsidRPr="007363AF">
        <w:t>This section provid</w:t>
      </w:r>
      <w:r w:rsidR="00B45151">
        <w:t xml:space="preserve">es </w:t>
      </w:r>
      <w:r w:rsidRPr="007363AF">
        <w:t xml:space="preserve">a general overview of the </w:t>
      </w:r>
      <w:r w:rsidR="00B45151">
        <w:t xml:space="preserve">entire </w:t>
      </w:r>
      <w:r w:rsidR="00555E98">
        <w:t>Aircraft Manufacturing and Repair Services</w:t>
      </w:r>
      <w:r w:rsidR="00AF1EDC">
        <w:t xml:space="preserve"> </w:t>
      </w:r>
      <w:r w:rsidR="00960EBD">
        <w:t>industry</w:t>
      </w:r>
      <w:r w:rsidR="00B45151">
        <w:t>,</w:t>
      </w:r>
      <w:r w:rsidR="00C0098A">
        <w:t xml:space="preserve"> </w:t>
      </w:r>
      <w:r w:rsidRPr="007363AF">
        <w:t xml:space="preserve">first in terms of </w:t>
      </w:r>
      <w:r w:rsidR="00C0098A">
        <w:t xml:space="preserve">capacity </w:t>
      </w:r>
      <w:r w:rsidR="0097170A">
        <w:t>(</w:t>
      </w:r>
      <w:r w:rsidR="00291C60" w:rsidRPr="007363AF">
        <w:t xml:space="preserve">the number of </w:t>
      </w:r>
      <w:r w:rsidR="008D2EA9" w:rsidRPr="007363AF">
        <w:t>businesses operating across states and territories in Australia</w:t>
      </w:r>
      <w:r w:rsidR="0097170A">
        <w:t xml:space="preserve">) </w:t>
      </w:r>
      <w:r w:rsidRPr="007363AF">
        <w:t xml:space="preserve">and then in terms of </w:t>
      </w:r>
      <w:r w:rsidR="00C0098A">
        <w:t xml:space="preserve">contribution </w:t>
      </w:r>
      <w:r w:rsidR="0097170A">
        <w:t>(</w:t>
      </w:r>
      <w:r w:rsidR="008D2EA9" w:rsidRPr="007363AF">
        <w:t xml:space="preserve">employment and </w:t>
      </w:r>
      <w:r w:rsidR="00CC7CE7" w:rsidRPr="007363AF">
        <w:t xml:space="preserve">operational activity </w:t>
      </w:r>
      <w:r w:rsidRPr="007363AF">
        <w:t>by the sector</w:t>
      </w:r>
      <w:r w:rsidR="0097170A">
        <w:t>)</w:t>
      </w:r>
      <w:r w:rsidRPr="007363AF">
        <w:t>.</w:t>
      </w:r>
      <w:r w:rsidR="00442A1F">
        <w:t xml:space="preserve"> </w:t>
      </w:r>
      <w:r w:rsidRPr="007363AF">
        <w:t xml:space="preserve">This </w:t>
      </w:r>
      <w:r w:rsidR="00B45151">
        <w:t xml:space="preserve">aims to </w:t>
      </w:r>
      <w:r w:rsidRPr="007363AF">
        <w:t>provide</w:t>
      </w:r>
      <w:r w:rsidR="00B45151">
        <w:t xml:space="preserve"> </w:t>
      </w:r>
      <w:r w:rsidR="006B385F">
        <w:t>an und</w:t>
      </w:r>
      <w:r w:rsidRPr="007363AF">
        <w:t>e</w:t>
      </w:r>
      <w:r w:rsidR="006B385F">
        <w:t xml:space="preserve">rstanding of the direct </w:t>
      </w:r>
      <w:r w:rsidRPr="007363AF">
        <w:t xml:space="preserve">contribution of the </w:t>
      </w:r>
      <w:r w:rsidR="00555E98">
        <w:t>Aircraft Manufacturing and Repair Services</w:t>
      </w:r>
      <w:r w:rsidR="00AF1EDC">
        <w:t xml:space="preserve"> </w:t>
      </w:r>
      <w:r w:rsidR="00960EBD">
        <w:t>industry</w:t>
      </w:r>
      <w:r w:rsidR="00960EBD" w:rsidRPr="007363AF">
        <w:t xml:space="preserve"> </w:t>
      </w:r>
      <w:r w:rsidRPr="007363AF">
        <w:t xml:space="preserve">to the Australian economy </w:t>
      </w:r>
      <w:r w:rsidR="006B385F">
        <w:t xml:space="preserve">that is </w:t>
      </w:r>
      <w:r w:rsidRPr="007363AF">
        <w:t>based on the latest available</w:t>
      </w:r>
      <w:r w:rsidR="00F367EE">
        <w:t xml:space="preserve"> ABS</w:t>
      </w:r>
      <w:r w:rsidRPr="007363AF">
        <w:t xml:space="preserve"> data</w:t>
      </w:r>
      <w:r w:rsidR="00F367EE">
        <w:t xml:space="preserve"> </w:t>
      </w:r>
      <w:r w:rsidR="006B385F">
        <w:t xml:space="preserve">– in particular, the </w:t>
      </w:r>
      <w:r w:rsidR="00D725AE" w:rsidRPr="007363AF">
        <w:t xml:space="preserve">manufacturing industry </w:t>
      </w:r>
      <w:r w:rsidR="006B385F">
        <w:t xml:space="preserve">statistics </w:t>
      </w:r>
      <w:r w:rsidR="00D725AE" w:rsidRPr="007363AF">
        <w:t>(</w:t>
      </w:r>
      <w:r w:rsidRPr="007363AF">
        <w:t>201</w:t>
      </w:r>
      <w:r w:rsidR="000A7E02">
        <w:t>6</w:t>
      </w:r>
      <w:r w:rsidR="00380B92" w:rsidRPr="00380B92">
        <w:t>–</w:t>
      </w:r>
      <w:r w:rsidR="000A7E02">
        <w:t>17</w:t>
      </w:r>
      <w:r w:rsidR="00D725AE" w:rsidRPr="007363AF">
        <w:t>)</w:t>
      </w:r>
      <w:r w:rsidR="006C0572">
        <w:t>,</w:t>
      </w:r>
      <w:r w:rsidR="00D725AE" w:rsidRPr="007363AF">
        <w:t xml:space="preserve"> </w:t>
      </w:r>
      <w:r w:rsidR="00F72176" w:rsidRPr="007363AF">
        <w:t xml:space="preserve">the national </w:t>
      </w:r>
      <w:r w:rsidR="00D725AE" w:rsidRPr="007363AF">
        <w:t>input</w:t>
      </w:r>
      <w:r w:rsidR="00680EE4">
        <w:t>-</w:t>
      </w:r>
      <w:r w:rsidR="00D725AE" w:rsidRPr="007363AF">
        <w:t>output table</w:t>
      </w:r>
      <w:r w:rsidR="006B385F">
        <w:t>s (</w:t>
      </w:r>
      <w:r w:rsidR="000A7E02">
        <w:t>2015</w:t>
      </w:r>
      <w:r w:rsidR="00380B92" w:rsidRPr="00380B92">
        <w:t>–</w:t>
      </w:r>
      <w:r w:rsidR="000A7E02">
        <w:t>16</w:t>
      </w:r>
      <w:r w:rsidR="006B385F">
        <w:t xml:space="preserve">), </w:t>
      </w:r>
      <w:r w:rsidR="006B385F" w:rsidRPr="00CB1CC9">
        <w:t xml:space="preserve">the Labour </w:t>
      </w:r>
      <w:r w:rsidR="000B299A" w:rsidRPr="00CB1CC9">
        <w:t>F</w:t>
      </w:r>
      <w:r w:rsidR="006B385F" w:rsidRPr="00CB1CC9">
        <w:t xml:space="preserve">orce Survey </w:t>
      </w:r>
      <w:r w:rsidR="009C1AAC" w:rsidRPr="00CB1CC9">
        <w:t>2018</w:t>
      </w:r>
      <w:r w:rsidR="00F41FD0">
        <w:t>, the 201</w:t>
      </w:r>
      <w:r w:rsidR="0097170A">
        <w:t>6</w:t>
      </w:r>
      <w:r w:rsidR="00F41FD0">
        <w:t xml:space="preserve"> ABS census</w:t>
      </w:r>
      <w:r w:rsidR="0097170A">
        <w:t xml:space="preserve"> – </w:t>
      </w:r>
      <w:r w:rsidR="006C0572">
        <w:t>and other public data sources</w:t>
      </w:r>
      <w:r w:rsidR="00C855FD">
        <w:t>.</w:t>
      </w:r>
    </w:p>
    <w:p w14:paraId="6852E4F8" w14:textId="22F6A0EC" w:rsidR="00A71170" w:rsidRPr="007363AF" w:rsidRDefault="006B385F" w:rsidP="00720136">
      <w:pPr>
        <w:pStyle w:val="BodyText1"/>
      </w:pPr>
      <w:r>
        <w:t>While this section discusses the impact of the sector both upstream (suppliers) and downstream (customers)</w:t>
      </w:r>
      <w:r w:rsidR="00F367EE">
        <w:t>,</w:t>
      </w:r>
      <w:r>
        <w:t xml:space="preserve"> it </w:t>
      </w:r>
      <w:r w:rsidR="00F41FD0">
        <w:t xml:space="preserve">is in Section 4 where we </w:t>
      </w:r>
      <w:r>
        <w:t xml:space="preserve">estimate the flow-on impacts of the sector across </w:t>
      </w:r>
      <w:r w:rsidR="00F41FD0">
        <w:t>Australia</w:t>
      </w:r>
      <w:r w:rsidR="00C855FD">
        <w:t>.</w:t>
      </w:r>
    </w:p>
    <w:p w14:paraId="4F26E50B" w14:textId="77777777" w:rsidR="008D2EA9" w:rsidRPr="00064DA7" w:rsidRDefault="00964686" w:rsidP="0011521D">
      <w:pPr>
        <w:pStyle w:val="Heading3"/>
      </w:pPr>
      <w:bookmarkStart w:id="154" w:name="_Toc536634763"/>
      <w:bookmarkStart w:id="155" w:name="_Toc536696261"/>
      <w:bookmarkStart w:id="156" w:name="_Toc26537891"/>
      <w:bookmarkEnd w:id="154"/>
      <w:bookmarkEnd w:id="155"/>
      <w:r>
        <w:t>B</w:t>
      </w:r>
      <w:r w:rsidR="008D2EA9" w:rsidRPr="006D466B">
        <w:t>u</w:t>
      </w:r>
      <w:r w:rsidR="00DC59F7">
        <w:t>sines</w:t>
      </w:r>
      <w:r w:rsidR="008D2EA9" w:rsidRPr="006D466B">
        <w:t>s</w:t>
      </w:r>
      <w:r>
        <w:t xml:space="preserve"> locations</w:t>
      </w:r>
      <w:bookmarkEnd w:id="156"/>
    </w:p>
    <w:p w14:paraId="222DC6DE" w14:textId="0BC152F8" w:rsidR="006E3628" w:rsidRDefault="00DC59F7" w:rsidP="00720136">
      <w:pPr>
        <w:pStyle w:val="BodyText1"/>
      </w:pPr>
      <w:r>
        <w:t xml:space="preserve">While there are aircraft manufacturing and </w:t>
      </w:r>
      <w:r w:rsidR="00AA24B4">
        <w:t>repair</w:t>
      </w:r>
      <w:r>
        <w:t xml:space="preserve"> services businesses in every state and territory in Australia, the </w:t>
      </w:r>
      <w:r w:rsidR="001951B6">
        <w:t>majority of the</w:t>
      </w:r>
      <w:r>
        <w:t>se</w:t>
      </w:r>
      <w:r w:rsidR="00EA2077">
        <w:t xml:space="preserve"> industry enterprises </w:t>
      </w:r>
      <w:r w:rsidR="001951B6">
        <w:t xml:space="preserve">are </w:t>
      </w:r>
      <w:r w:rsidR="008D2EA9" w:rsidRPr="007363AF">
        <w:t xml:space="preserve">located in </w:t>
      </w:r>
      <w:r w:rsidR="001951B6">
        <w:t xml:space="preserve">the three largest states of </w:t>
      </w:r>
      <w:r w:rsidR="001951B6" w:rsidRPr="007363AF">
        <w:t>New South Wales (</w:t>
      </w:r>
      <w:r w:rsidR="001951B6">
        <w:t>3</w:t>
      </w:r>
      <w:r w:rsidR="009D6B4E">
        <w:t>2</w:t>
      </w:r>
      <w:r w:rsidR="001951B6" w:rsidRPr="007363AF">
        <w:t>%)</w:t>
      </w:r>
      <w:r w:rsidR="001951B6">
        <w:t xml:space="preserve">, </w:t>
      </w:r>
      <w:r w:rsidR="000A7E02">
        <w:t>Queensland (30</w:t>
      </w:r>
      <w:r w:rsidR="00F3486B" w:rsidRPr="007363AF">
        <w:t xml:space="preserve">%), </w:t>
      </w:r>
      <w:r w:rsidR="008D2EA9" w:rsidRPr="007363AF">
        <w:t xml:space="preserve">and </w:t>
      </w:r>
      <w:r w:rsidR="000A7E02">
        <w:t>Victoria (</w:t>
      </w:r>
      <w:r w:rsidR="009D6B4E">
        <w:t>19</w:t>
      </w:r>
      <w:r w:rsidR="00F3486B" w:rsidRPr="007363AF">
        <w:t>%)</w:t>
      </w:r>
      <w:r w:rsidR="001951B6">
        <w:t>.</w:t>
      </w:r>
      <w:r w:rsidR="00AA204B">
        <w:t xml:space="preserve"> </w:t>
      </w:r>
      <w:r w:rsidR="00231847">
        <w:t xml:space="preserve">Queensland’s large share of aviation businesses can be attributed to the vastness of the state and a </w:t>
      </w:r>
      <w:r w:rsidR="00AA24B4">
        <w:t>significant</w:t>
      </w:r>
      <w:r w:rsidR="00231847">
        <w:t xml:space="preserve"> population of remote workers, driving demand for air transportation and consequently, maintenance and repair work.</w:t>
      </w:r>
      <w:r w:rsidR="003333ED">
        <w:rPr>
          <w:rStyle w:val="FootnoteReference"/>
        </w:rPr>
        <w:footnoteReference w:id="14"/>
      </w:r>
      <w:r w:rsidR="00231847">
        <w:t xml:space="preserve"> </w:t>
      </w:r>
      <w:r w:rsidR="00EA2077">
        <w:t>All the o</w:t>
      </w:r>
      <w:r w:rsidR="00AA204B">
        <w:t>ther states and territories account for the remaining 20</w:t>
      </w:r>
      <w:r w:rsidR="00845BA7">
        <w:t xml:space="preserve"> per cent</w:t>
      </w:r>
      <w:r w:rsidR="00AA204B">
        <w:t xml:space="preserve"> of the aerospace </w:t>
      </w:r>
      <w:r w:rsidR="00C855FD">
        <w:t>business presence in Australia.</w:t>
      </w:r>
    </w:p>
    <w:p w14:paraId="29C9FEC1" w14:textId="3D521157" w:rsidR="006F218A" w:rsidRDefault="00C3192F" w:rsidP="000A7E02">
      <w:pPr>
        <w:spacing w:before="0" w:after="0"/>
        <w:jc w:val="center"/>
        <w:rPr>
          <w:color w:val="00338D"/>
          <w:sz w:val="18"/>
          <w:szCs w:val="20"/>
        </w:rPr>
      </w:pPr>
      <w:r w:rsidRPr="00C3192F">
        <w:rPr>
          <w:noProof/>
          <w:lang w:eastAsia="en-AU"/>
        </w:rPr>
        <w:drawing>
          <wp:inline distT="0" distB="0" distL="0" distR="0" wp14:anchorId="54239F64" wp14:editId="33F99C20">
            <wp:extent cx="5731510" cy="291971"/>
            <wp:effectExtent l="0" t="0" r="0" b="0"/>
            <wp:docPr id="291" name="Picture 291" descr="State distribution of Aircraft Manufacturing and Repair Services businesses (business count, 2017-18)"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291971"/>
                    </a:xfrm>
                    <a:prstGeom prst="rect">
                      <a:avLst/>
                    </a:prstGeom>
                    <a:noFill/>
                    <a:ln>
                      <a:noFill/>
                    </a:ln>
                  </pic:spPr>
                </pic:pic>
              </a:graphicData>
            </a:graphic>
          </wp:inline>
        </w:drawing>
      </w:r>
      <w:r w:rsidR="009D6B4E">
        <w:rPr>
          <w:noProof/>
          <w:lang w:eastAsia="en-AU"/>
        </w:rPr>
        <w:drawing>
          <wp:inline distT="0" distB="0" distL="0" distR="0" wp14:anchorId="0AAEB86E" wp14:editId="19E7BD00">
            <wp:extent cx="4968875" cy="1569720"/>
            <wp:effectExtent l="0" t="0" r="3175" b="0"/>
            <wp:docPr id="377" name="Chart 377" descr="Figure 10: State distribution of Aircraft Manufacturing and Repair Services businesses (business count, 2017-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C3F1DE5" w14:textId="1C330AE9" w:rsidR="003A17C0" w:rsidRDefault="00C3192F" w:rsidP="00473B24">
      <w:pPr>
        <w:pStyle w:val="BodyText1"/>
      </w:pPr>
      <w:r w:rsidRPr="00C3192F">
        <w:rPr>
          <w:noProof/>
          <w:lang w:eastAsia="en-AU"/>
        </w:rPr>
        <w:lastRenderedPageBreak/>
        <w:drawing>
          <wp:inline distT="0" distB="0" distL="0" distR="0" wp14:anchorId="1C587B1A" wp14:editId="2C35D5D7">
            <wp:extent cx="5731510" cy="272929"/>
            <wp:effectExtent l="0" t="0" r="0" b="0"/>
            <wp:docPr id="293" name="Picture 293" descr="Source: ABS 8165.0" titl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1510" cy="272929"/>
                    </a:xfrm>
                    <a:prstGeom prst="rect">
                      <a:avLst/>
                    </a:prstGeom>
                    <a:noFill/>
                    <a:ln>
                      <a:noFill/>
                    </a:ln>
                  </pic:spPr>
                </pic:pic>
              </a:graphicData>
            </a:graphic>
          </wp:inline>
        </w:drawing>
      </w:r>
      <w:r w:rsidR="00431A69">
        <w:t>Victoria</w:t>
      </w:r>
      <w:r w:rsidR="007445BA">
        <w:t xml:space="preserve"> leads the way for Australia’s </w:t>
      </w:r>
      <w:r w:rsidR="00CB2FF3">
        <w:t xml:space="preserve">defence </w:t>
      </w:r>
      <w:r w:rsidR="00AB38D7">
        <w:t>sector, with</w:t>
      </w:r>
      <w:r w:rsidR="00431A69">
        <w:t xml:space="preserve"> </w:t>
      </w:r>
      <w:r w:rsidR="00CB2FF3">
        <w:t xml:space="preserve">aerospace </w:t>
      </w:r>
      <w:r w:rsidR="00431A69">
        <w:t>design and advanced manufacturing</w:t>
      </w:r>
      <w:r w:rsidR="007445BA">
        <w:t xml:space="preserve"> capabilities.</w:t>
      </w:r>
      <w:r w:rsidR="00EE1EF4">
        <w:t xml:space="preserve"> Australia</w:t>
      </w:r>
      <w:r w:rsidR="009D6B4E">
        <w:t xml:space="preserve"> </w:t>
      </w:r>
      <w:r w:rsidR="0097170A">
        <w:t xml:space="preserve">is </w:t>
      </w:r>
      <w:r w:rsidR="00046146">
        <w:t>provid</w:t>
      </w:r>
      <w:r w:rsidR="0097170A">
        <w:t>ing the</w:t>
      </w:r>
      <w:r w:rsidR="00046146">
        <w:t xml:space="preserve"> MRO and upgrade services</w:t>
      </w:r>
      <w:r w:rsidR="009D6B4E">
        <w:t>,</w:t>
      </w:r>
      <w:r w:rsidR="00046146">
        <w:t xml:space="preserve"> as well as manufacturing critical components</w:t>
      </w:r>
      <w:r w:rsidR="009D6B4E">
        <w:t>,</w:t>
      </w:r>
      <w:r w:rsidR="00046146">
        <w:t xml:space="preserve"> for the F</w:t>
      </w:r>
      <w:r w:rsidR="0097170A">
        <w:t>-</w:t>
      </w:r>
      <w:r w:rsidR="00EE1EF4">
        <w:t xml:space="preserve">35 </w:t>
      </w:r>
      <w:r w:rsidR="00CB2FF3">
        <w:t>Joint Strike Fighter (</w:t>
      </w:r>
      <w:r w:rsidR="00EE1EF4">
        <w:t>JSF</w:t>
      </w:r>
      <w:r w:rsidR="00CB2FF3">
        <w:t>)</w:t>
      </w:r>
      <w:r w:rsidR="00EE1EF4">
        <w:t xml:space="preserve"> fleet</w:t>
      </w:r>
      <w:r w:rsidR="0097170A">
        <w:t xml:space="preserve">.  This </w:t>
      </w:r>
      <w:r w:rsidR="00046146">
        <w:t>has brought the state’s capabilities to the forefront</w:t>
      </w:r>
      <w:r w:rsidR="0097170A">
        <w:t xml:space="preserve">, </w:t>
      </w:r>
      <w:r w:rsidR="009D6B4E">
        <w:t xml:space="preserve">as </w:t>
      </w:r>
      <w:r w:rsidR="00046146">
        <w:t>showcased at the 2019 Avalon Airshow</w:t>
      </w:r>
      <w:r w:rsidR="00CB2FF3">
        <w:t>.</w:t>
      </w:r>
      <w:r w:rsidR="007445BA">
        <w:t xml:space="preserve"> </w:t>
      </w:r>
      <w:r w:rsidR="00D642CA">
        <w:t xml:space="preserve">In the past decade, </w:t>
      </w:r>
      <w:r w:rsidR="007445BA">
        <w:t xml:space="preserve">Victorian </w:t>
      </w:r>
      <w:r w:rsidR="00CB2FF3">
        <w:t xml:space="preserve">defence suppliers </w:t>
      </w:r>
      <w:r w:rsidR="007445BA">
        <w:t xml:space="preserve">have </w:t>
      </w:r>
      <w:r w:rsidR="00D642CA">
        <w:t xml:space="preserve">secured the majority of the F-35 JSF </w:t>
      </w:r>
      <w:r w:rsidR="00CB2FF3">
        <w:t>c</w:t>
      </w:r>
      <w:r w:rsidR="00D642CA">
        <w:t>ontracts, accounting for 65</w:t>
      </w:r>
      <w:r w:rsidR="0097170A">
        <w:t> </w:t>
      </w:r>
      <w:r w:rsidR="00845BA7">
        <w:t>per cent</w:t>
      </w:r>
      <w:r w:rsidR="00D642CA">
        <w:t xml:space="preserve"> of the total </w:t>
      </w:r>
      <w:r w:rsidR="006C1B7A">
        <w:t xml:space="preserve">project value </w:t>
      </w:r>
      <w:r w:rsidR="00D642CA">
        <w:t>to Australia.</w:t>
      </w:r>
      <w:r w:rsidR="00D642CA">
        <w:rPr>
          <w:rStyle w:val="FootnoteReference"/>
        </w:rPr>
        <w:footnoteReference w:id="15"/>
      </w:r>
    </w:p>
    <w:p w14:paraId="3C6AA99E" w14:textId="3A2B21DC" w:rsidR="00766F52" w:rsidRDefault="00F93710">
      <w:pPr>
        <w:pStyle w:val="BodyText1"/>
      </w:pPr>
      <w:r>
        <w:t xml:space="preserve">Being home to one-third of the continent’s aerospace companies and four international airports, spanning across metropolitan and regional locations, Queensland is </w:t>
      </w:r>
      <w:r w:rsidR="00094898">
        <w:t xml:space="preserve">becoming increasingly prominent </w:t>
      </w:r>
      <w:r>
        <w:t>in Asia-Pacific’s aviation sector</w:t>
      </w:r>
      <w:r w:rsidR="00094898">
        <w:t>.</w:t>
      </w:r>
      <w:r w:rsidR="00D164E2">
        <w:t xml:space="preserve"> </w:t>
      </w:r>
      <w:r w:rsidR="00766F52">
        <w:t xml:space="preserve">As a testament to this, Brisbane is set to host MRO Australasia 2020 event, a </w:t>
      </w:r>
      <w:r w:rsidR="00E96087">
        <w:t xml:space="preserve">significant </w:t>
      </w:r>
      <w:r w:rsidR="00820036">
        <w:t>opportunity</w:t>
      </w:r>
      <w:r w:rsidR="00766F52">
        <w:t xml:space="preserve"> for businesses in the aviation maintenance industry. In addition, </w:t>
      </w:r>
      <w:r w:rsidR="00A217EB">
        <w:t xml:space="preserve">the presence of Hawker Pacific, </w:t>
      </w:r>
      <w:r w:rsidR="00766F52">
        <w:t>a</w:t>
      </w:r>
      <w:r w:rsidR="00094898">
        <w:t xml:space="preserve">n aircraft maintenance specialist and </w:t>
      </w:r>
      <w:r w:rsidR="00D164E2">
        <w:t xml:space="preserve">the only </w:t>
      </w:r>
      <w:r w:rsidR="00820036">
        <w:t>Bombardier</w:t>
      </w:r>
      <w:r w:rsidR="00D164E2">
        <w:t xml:space="preserve">-accredited facility in the southern hemisphere, </w:t>
      </w:r>
      <w:r w:rsidR="00A217EB">
        <w:t xml:space="preserve">and its </w:t>
      </w:r>
      <w:r w:rsidR="002E1191">
        <w:t>recent expansion of hangar capacity in Cairns</w:t>
      </w:r>
      <w:r w:rsidR="0097170A">
        <w:t>,</w:t>
      </w:r>
      <w:r w:rsidR="002E1191">
        <w:t xml:space="preserve"> </w:t>
      </w:r>
      <w:r w:rsidR="00657253">
        <w:t xml:space="preserve">has </w:t>
      </w:r>
      <w:r w:rsidR="002E1191">
        <w:t xml:space="preserve">further </w:t>
      </w:r>
      <w:r w:rsidR="00DF7D23">
        <w:t>augmented</w:t>
      </w:r>
      <w:r w:rsidR="00657253">
        <w:t xml:space="preserve"> </w:t>
      </w:r>
      <w:r w:rsidR="00766F52">
        <w:t>Q</w:t>
      </w:r>
      <w:r w:rsidR="002E1191">
        <w:t xml:space="preserve">ueensland’s </w:t>
      </w:r>
      <w:r w:rsidR="00723119">
        <w:t xml:space="preserve">heavy maintenance </w:t>
      </w:r>
      <w:r w:rsidR="002E1191">
        <w:t>capabilities</w:t>
      </w:r>
      <w:r w:rsidR="00657253">
        <w:t xml:space="preserve"> and bolstered regional services</w:t>
      </w:r>
      <w:r w:rsidR="002E1191">
        <w:t>.</w:t>
      </w:r>
    </w:p>
    <w:p w14:paraId="62F9DA8D" w14:textId="729F42AC" w:rsidR="007601FE" w:rsidRPr="00CF5F96" w:rsidRDefault="007601FE">
      <w:pPr>
        <w:pStyle w:val="BodyText1"/>
      </w:pPr>
      <w:r w:rsidRPr="00CF5F96">
        <w:t>In 201</w:t>
      </w:r>
      <w:r w:rsidR="00E96087">
        <w:t>7-18</w:t>
      </w:r>
      <w:r w:rsidRPr="00CF5F96">
        <w:t xml:space="preserve">, the </w:t>
      </w:r>
      <w:r w:rsidR="00E96087" w:rsidRPr="00CF5F96">
        <w:t>9</w:t>
      </w:r>
      <w:r w:rsidR="00E96087">
        <w:t>37</w:t>
      </w:r>
      <w:r w:rsidR="00E96087" w:rsidRPr="00CF5F96">
        <w:t xml:space="preserve"> </w:t>
      </w:r>
      <w:r w:rsidR="00AA24B4" w:rsidRPr="00CF5F96">
        <w:t>businesses</w:t>
      </w:r>
      <w:r w:rsidRPr="00CF5F96">
        <w:t xml:space="preserve"> in operation mainly comprised of either non-employing or </w:t>
      </w:r>
      <w:r w:rsidR="0005677A" w:rsidRPr="00CF5F96">
        <w:t>small-sized businesses</w:t>
      </w:r>
      <w:r w:rsidRPr="00CF5F96">
        <w:t xml:space="preserve"> </w:t>
      </w:r>
      <w:r w:rsidR="0005677A" w:rsidRPr="00CF5F96">
        <w:t xml:space="preserve">(1-19 employees). </w:t>
      </w:r>
      <w:r w:rsidR="0005677A" w:rsidRPr="00CF5F96">
        <w:fldChar w:fldCharType="begin"/>
      </w:r>
      <w:r w:rsidR="0005677A" w:rsidRPr="00CF5F96">
        <w:instrText xml:space="preserve"> REF _Ref534620012 \h  \* MERGEFORMAT </w:instrText>
      </w:r>
      <w:r w:rsidR="0005677A" w:rsidRPr="00CF5F96">
        <w:fldChar w:fldCharType="separate"/>
      </w:r>
      <w:r w:rsidR="00980A78">
        <w:t>Figure 11</w:t>
      </w:r>
      <w:r w:rsidR="0005677A" w:rsidRPr="00CF5F96">
        <w:fldChar w:fldCharType="end"/>
      </w:r>
      <w:r w:rsidR="0005677A" w:rsidRPr="00CF5F96">
        <w:t xml:space="preserve"> shows that there</w:t>
      </w:r>
      <w:r w:rsidR="00E96087">
        <w:t xml:space="preserve"> i</w:t>
      </w:r>
      <w:r w:rsidR="0005677A" w:rsidRPr="00CF5F96">
        <w:t>s a relatively similar share of non-employing and small businesses</w:t>
      </w:r>
      <w:r w:rsidR="00231847" w:rsidRPr="00CF5F96">
        <w:t xml:space="preserve"> within most </w:t>
      </w:r>
      <w:r w:rsidR="00EC36D8" w:rsidRPr="00CF5F96">
        <w:t>states</w:t>
      </w:r>
      <w:r w:rsidR="009C1AAC" w:rsidRPr="00CF5F96">
        <w:t xml:space="preserve"> and territories</w:t>
      </w:r>
      <w:r w:rsidR="00EC36D8" w:rsidRPr="00CF5F96">
        <w:t>. I</w:t>
      </w:r>
      <w:r w:rsidR="0005677A" w:rsidRPr="00CF5F96">
        <w:t xml:space="preserve">n addition, </w:t>
      </w:r>
      <w:r w:rsidR="00EC36D8" w:rsidRPr="00CF5F96">
        <w:t>the</w:t>
      </w:r>
      <w:r w:rsidR="00BF66B2" w:rsidRPr="00CF5F96">
        <w:t>re are</w:t>
      </w:r>
      <w:r w:rsidR="00EC36D8" w:rsidRPr="00CF5F96">
        <w:t xml:space="preserve"> </w:t>
      </w:r>
      <w:r w:rsidR="0005677A" w:rsidRPr="00CF5F96">
        <w:t>3</w:t>
      </w:r>
      <w:r w:rsidR="00E96087">
        <w:t>3</w:t>
      </w:r>
      <w:r w:rsidR="0005677A" w:rsidRPr="00CF5F96">
        <w:t xml:space="preserve"> </w:t>
      </w:r>
      <w:r w:rsidR="00AA24B4" w:rsidRPr="00CF5F96">
        <w:t>medium</w:t>
      </w:r>
      <w:r w:rsidR="0005677A" w:rsidRPr="00CF5F96">
        <w:t>-size</w:t>
      </w:r>
      <w:r w:rsidR="00231847" w:rsidRPr="00CF5F96">
        <w:t xml:space="preserve">d businesses (20-199 employees), </w:t>
      </w:r>
      <w:r w:rsidR="00E96087">
        <w:t>predominately</w:t>
      </w:r>
      <w:r w:rsidR="00E96087" w:rsidRPr="00CF5F96">
        <w:t xml:space="preserve"> </w:t>
      </w:r>
      <w:r w:rsidR="00EC36D8" w:rsidRPr="00CF5F96">
        <w:t xml:space="preserve">based out of NSW and Queensland, </w:t>
      </w:r>
      <w:r w:rsidR="00231847" w:rsidRPr="00CF5F96">
        <w:t xml:space="preserve">and </w:t>
      </w:r>
      <w:r w:rsidR="006D5B10" w:rsidRPr="00CF5F96">
        <w:t xml:space="preserve">only </w:t>
      </w:r>
      <w:r w:rsidR="00E96087">
        <w:t>3</w:t>
      </w:r>
      <w:r w:rsidR="0005677A" w:rsidRPr="00CF5F96">
        <w:t xml:space="preserve"> </w:t>
      </w:r>
      <w:r w:rsidR="00EC36D8" w:rsidRPr="00CF5F96">
        <w:t>large businesses</w:t>
      </w:r>
      <w:r w:rsidR="00231847" w:rsidRPr="00CF5F96">
        <w:t>, which</w:t>
      </w:r>
      <w:r w:rsidR="00EC36D8" w:rsidRPr="00CF5F96">
        <w:t xml:space="preserve"> are </w:t>
      </w:r>
      <w:r w:rsidR="00E96087">
        <w:t>situated in NSW</w:t>
      </w:r>
      <w:r w:rsidR="00EC36D8" w:rsidRPr="00CF5F96">
        <w:t xml:space="preserve">. </w:t>
      </w:r>
      <w:r w:rsidR="00B20773" w:rsidRPr="00CF5F96">
        <w:t>Some of the big businesses that operate in Australia include international players like Airbus Australia Pacific, Boeing Australia, Raytheon Australia</w:t>
      </w:r>
      <w:r w:rsidR="00BA4AAC" w:rsidRPr="00CF5F96">
        <w:t xml:space="preserve">, with </w:t>
      </w:r>
      <w:r w:rsidR="00AA24B4" w:rsidRPr="00CF5F96">
        <w:t>significant</w:t>
      </w:r>
      <w:r w:rsidR="00BA4AAC" w:rsidRPr="00CF5F96">
        <w:t xml:space="preserve"> operations across the big states and headquarters in Queensland. </w:t>
      </w:r>
      <w:r w:rsidR="00B20773" w:rsidRPr="00CF5F96">
        <w:t xml:space="preserve">BAE Systems Australia is headquartered in South Australia, while Lockheed Martin recently moved </w:t>
      </w:r>
      <w:r w:rsidR="00E4752A">
        <w:t>its head operations to the ACT.</w:t>
      </w:r>
    </w:p>
    <w:p w14:paraId="59117392" w14:textId="614CC193" w:rsidR="007601FE" w:rsidRPr="00CB1CC9" w:rsidRDefault="00C3192F" w:rsidP="00DF7D23">
      <w:pPr>
        <w:pStyle w:val="Footnote"/>
      </w:pPr>
      <w:r w:rsidRPr="00C3192F">
        <w:drawing>
          <wp:inline distT="0" distB="0" distL="0" distR="0" wp14:anchorId="273F79AE" wp14:editId="6B2E5A6F">
            <wp:extent cx="5731510" cy="425262"/>
            <wp:effectExtent l="0" t="0" r="0" b="0"/>
            <wp:docPr id="294" name="Picture 294" descr="strength distribution of Aircraft Manufacturing and Reapir Services businesses(employee strength. 2017-18)"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425262"/>
                    </a:xfrm>
                    <a:prstGeom prst="rect">
                      <a:avLst/>
                    </a:prstGeom>
                    <a:noFill/>
                    <a:ln>
                      <a:noFill/>
                    </a:ln>
                  </pic:spPr>
                </pic:pic>
              </a:graphicData>
            </a:graphic>
          </wp:inline>
        </w:drawing>
      </w:r>
      <w:r w:rsidR="00E96087">
        <w:drawing>
          <wp:inline distT="0" distB="0" distL="0" distR="0" wp14:anchorId="266C1729" wp14:editId="6A4A7354">
            <wp:extent cx="5394960" cy="2674620"/>
            <wp:effectExtent l="0" t="0" r="0" b="0"/>
            <wp:docPr id="378" name="Chart 378" descr="Figure 11: State distribution of Aircraft Manufacturing and Repair Services businesses (employee strength, 2017-18)&#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E442C6B" w14:textId="02E22E68" w:rsidR="007350E6" w:rsidRDefault="00C3192F" w:rsidP="007C068F">
      <w:pPr>
        <w:pStyle w:val="Bodyafterbullet"/>
      </w:pPr>
      <w:r w:rsidRPr="00C3192F">
        <w:rPr>
          <w:noProof/>
          <w:lang w:eastAsia="en-AU"/>
        </w:rPr>
        <w:drawing>
          <wp:inline distT="0" distB="0" distL="0" distR="0" wp14:anchorId="16627E60" wp14:editId="4F7CFE91">
            <wp:extent cx="5731510" cy="272929"/>
            <wp:effectExtent l="0" t="0" r="0" b="0"/>
            <wp:docPr id="295" name="Picture 295" descr="Source: ABS 8165.0" titl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272929"/>
                    </a:xfrm>
                    <a:prstGeom prst="rect">
                      <a:avLst/>
                    </a:prstGeom>
                    <a:noFill/>
                    <a:ln>
                      <a:noFill/>
                    </a:ln>
                  </pic:spPr>
                </pic:pic>
              </a:graphicData>
            </a:graphic>
          </wp:inline>
        </w:drawing>
      </w:r>
      <w:r w:rsidR="00D45201" w:rsidRPr="00CF5F96">
        <w:rPr>
          <w:noProof/>
        </w:rPr>
        <w:t>T</w:t>
      </w:r>
      <w:r w:rsidR="002C1CA1" w:rsidRPr="00CF5F96">
        <w:rPr>
          <w:noProof/>
        </w:rPr>
        <w:t xml:space="preserve">he regional distribution of </w:t>
      </w:r>
      <w:r w:rsidR="00555E98">
        <w:rPr>
          <w:noProof/>
        </w:rPr>
        <w:t>Aircraft Manufacturing and Repair Services</w:t>
      </w:r>
      <w:r w:rsidR="00D45201" w:rsidRPr="00CF5F96">
        <w:rPr>
          <w:noProof/>
        </w:rPr>
        <w:t xml:space="preserve"> businesses can be seen in </w:t>
      </w:r>
      <w:r w:rsidR="00D45201" w:rsidRPr="00CF5F96">
        <w:rPr>
          <w:noProof/>
        </w:rPr>
        <w:fldChar w:fldCharType="begin"/>
      </w:r>
      <w:r w:rsidR="00D45201" w:rsidRPr="00CF5F96">
        <w:rPr>
          <w:noProof/>
        </w:rPr>
        <w:instrText xml:space="preserve"> REF _Ref536548031 \h  \* MERGEFORMAT </w:instrText>
      </w:r>
      <w:r w:rsidR="00D45201" w:rsidRPr="00CF5F96">
        <w:rPr>
          <w:noProof/>
        </w:rPr>
      </w:r>
      <w:r w:rsidR="00D45201" w:rsidRPr="00CF5F96">
        <w:rPr>
          <w:noProof/>
        </w:rPr>
        <w:fldChar w:fldCharType="separate"/>
      </w:r>
      <w:r w:rsidR="00980A78">
        <w:rPr>
          <w:noProof/>
        </w:rPr>
        <w:t>Figure 12</w:t>
      </w:r>
      <w:r w:rsidR="00D45201" w:rsidRPr="00CF5F96">
        <w:rPr>
          <w:noProof/>
        </w:rPr>
        <w:fldChar w:fldCharType="end"/>
      </w:r>
      <w:r w:rsidR="00431A69">
        <w:rPr>
          <w:noProof/>
        </w:rPr>
        <w:t>,</w:t>
      </w:r>
      <w:r w:rsidR="00D45201" w:rsidRPr="00CF5F96">
        <w:rPr>
          <w:noProof/>
        </w:rPr>
        <w:t xml:space="preserve"> based on location of employment in the industry</w:t>
      </w:r>
      <w:r w:rsidR="007350E6" w:rsidRPr="00CF5F96">
        <w:rPr>
          <w:noProof/>
        </w:rPr>
        <w:t xml:space="preserve">. </w:t>
      </w:r>
      <w:r w:rsidR="00211FCB">
        <w:rPr>
          <w:noProof/>
        </w:rPr>
        <w:t>While the industry has business presence in every state and territory, t</w:t>
      </w:r>
      <w:r w:rsidR="007350E6" w:rsidRPr="00CF5F96">
        <w:rPr>
          <w:noProof/>
        </w:rPr>
        <w:t xml:space="preserve">he </w:t>
      </w:r>
      <w:r w:rsidR="00861B7F">
        <w:rPr>
          <w:noProof/>
        </w:rPr>
        <w:t xml:space="preserve">majority of </w:t>
      </w:r>
      <w:r w:rsidR="00211FCB">
        <w:rPr>
          <w:noProof/>
        </w:rPr>
        <w:t xml:space="preserve">the </w:t>
      </w:r>
      <w:r w:rsidR="007350E6" w:rsidRPr="00CF5F96">
        <w:rPr>
          <w:noProof/>
        </w:rPr>
        <w:t xml:space="preserve">activities are </w:t>
      </w:r>
      <w:r w:rsidR="00861B7F">
        <w:rPr>
          <w:noProof/>
        </w:rPr>
        <w:t>concentrated</w:t>
      </w:r>
      <w:r w:rsidR="00211FCB">
        <w:rPr>
          <w:noProof/>
        </w:rPr>
        <w:t xml:space="preserve"> on the </w:t>
      </w:r>
      <w:r w:rsidR="00861B7F">
        <w:rPr>
          <w:noProof/>
        </w:rPr>
        <w:t xml:space="preserve">eastern </w:t>
      </w:r>
      <w:r w:rsidR="005B25CA">
        <w:rPr>
          <w:noProof/>
        </w:rPr>
        <w:t xml:space="preserve">coast </w:t>
      </w:r>
      <w:r w:rsidR="00211FCB">
        <w:rPr>
          <w:noProof/>
        </w:rPr>
        <w:t xml:space="preserve">of </w:t>
      </w:r>
      <w:r w:rsidR="00861B7F">
        <w:rPr>
          <w:noProof/>
        </w:rPr>
        <w:t>Australia</w:t>
      </w:r>
      <w:r w:rsidR="00211FCB">
        <w:rPr>
          <w:noProof/>
        </w:rPr>
        <w:t xml:space="preserve">. </w:t>
      </w:r>
      <w:r w:rsidR="007350E6">
        <w:rPr>
          <w:noProof/>
        </w:rPr>
        <w:t xml:space="preserve">Inner Melbourne and North Brisbane are hubs of </w:t>
      </w:r>
      <w:r w:rsidR="00555E98">
        <w:rPr>
          <w:noProof/>
        </w:rPr>
        <w:t>Aircraft Manufacturing and Repair Services</w:t>
      </w:r>
      <w:r w:rsidR="007350E6">
        <w:rPr>
          <w:noProof/>
        </w:rPr>
        <w:t xml:space="preserve"> activity, together accounting for a quarter of the industry concentration. A vast majority of </w:t>
      </w:r>
      <w:r w:rsidR="007350E6">
        <w:rPr>
          <w:noProof/>
        </w:rPr>
        <w:lastRenderedPageBreak/>
        <w:t xml:space="preserve">the big multinationals and SMEs operate out of </w:t>
      </w:r>
      <w:r w:rsidR="00861B7F">
        <w:rPr>
          <w:noProof/>
        </w:rPr>
        <w:t xml:space="preserve">these two locations. </w:t>
      </w:r>
      <w:r w:rsidR="00211FCB">
        <w:rPr>
          <w:noProof/>
        </w:rPr>
        <w:t xml:space="preserve">Greater </w:t>
      </w:r>
      <w:r w:rsidR="00861B7F">
        <w:rPr>
          <w:noProof/>
        </w:rPr>
        <w:t>Sydney, North West Melbourne, Cairns and Ipswich contribute another quarter of the indu</w:t>
      </w:r>
      <w:r w:rsidR="00E4752A">
        <w:rPr>
          <w:noProof/>
        </w:rPr>
        <w:t>stry’s empoyment in Australia.</w:t>
      </w:r>
    </w:p>
    <w:p w14:paraId="5868C78E" w14:textId="77777777" w:rsidR="00861B7F" w:rsidRPr="00C40588" w:rsidRDefault="00861B7F" w:rsidP="00861B7F">
      <w:pPr>
        <w:pStyle w:val="BodyText1"/>
      </w:pPr>
      <w:r w:rsidRPr="00C40588">
        <w:t>Looking at the location of the remainder of industry activity:</w:t>
      </w:r>
    </w:p>
    <w:p w14:paraId="46BC85C0" w14:textId="3726DB4A" w:rsidR="00861B7F" w:rsidRPr="00C40588" w:rsidRDefault="00861B7F" w:rsidP="00861B7F">
      <w:pPr>
        <w:pStyle w:val="Bullet1stlevel"/>
      </w:pPr>
      <w:r w:rsidRPr="00C40588">
        <w:t xml:space="preserve">Elsewhere in Queensland – </w:t>
      </w:r>
      <w:r w:rsidR="00211FCB" w:rsidRPr="00CF5F96">
        <w:t xml:space="preserve">other parts of Brisbane, Gold Coast, Sunshine Coast, </w:t>
      </w:r>
      <w:r w:rsidR="00820036" w:rsidRPr="00CF5F96">
        <w:t>and Townsville</w:t>
      </w:r>
      <w:r w:rsidR="00211FCB" w:rsidRPr="00CF5F96">
        <w:t xml:space="preserve"> have a moderate amount of business activity</w:t>
      </w:r>
      <w:r w:rsidR="004B4D4E">
        <w:t>.</w:t>
      </w:r>
    </w:p>
    <w:p w14:paraId="4963F78F" w14:textId="77777777" w:rsidR="00861B7F" w:rsidRPr="00CF5F96" w:rsidRDefault="00861B7F" w:rsidP="00CF5F96">
      <w:pPr>
        <w:pStyle w:val="Bullet1stlevel"/>
      </w:pPr>
      <w:r w:rsidRPr="00CF5F96">
        <w:t>Beyond the Greater Sydney region – a moderate amount of industry activity is located</w:t>
      </w:r>
      <w:r w:rsidR="00211FCB" w:rsidRPr="00CF5F96">
        <w:t xml:space="preserve"> in</w:t>
      </w:r>
      <w:r w:rsidRPr="00CF5F96">
        <w:t xml:space="preserve"> Hunter Valley</w:t>
      </w:r>
      <w:r w:rsidR="00211FCB" w:rsidRPr="00CF5F96">
        <w:t xml:space="preserve"> excluding Newcastle</w:t>
      </w:r>
      <w:r w:rsidRPr="00CF5F96">
        <w:t xml:space="preserve">, </w:t>
      </w:r>
      <w:r w:rsidR="00211FCB" w:rsidRPr="00CF5F96">
        <w:t xml:space="preserve">Southern Highlands and Shoalhaven and there’s </w:t>
      </w:r>
      <w:r w:rsidR="00C40588" w:rsidRPr="00CF5F96">
        <w:t xml:space="preserve">a small industry presence in the Riverina, Murray and Illawarra regions of NSW. </w:t>
      </w:r>
    </w:p>
    <w:p w14:paraId="1B1CF681" w14:textId="77777777" w:rsidR="007350E6" w:rsidRPr="00CF5F96" w:rsidRDefault="00861B7F" w:rsidP="00CF5F96">
      <w:pPr>
        <w:pStyle w:val="Bullet1stlevel"/>
      </w:pPr>
      <w:r w:rsidRPr="00CF5F96">
        <w:t xml:space="preserve">A moderate amount </w:t>
      </w:r>
      <w:r w:rsidR="00C40588" w:rsidRPr="00CF5F96">
        <w:t>of activity is located in Adelaide, the Latrobe-Gippsland region of Victoria, Perth and ACT</w:t>
      </w:r>
      <w:r w:rsidRPr="00CF5F96">
        <w:t xml:space="preserve">, with </w:t>
      </w:r>
      <w:r w:rsidR="00C40588" w:rsidRPr="00CF5F96">
        <w:t xml:space="preserve">businesses few and far between in other regions of Western Australia and Tasmania. </w:t>
      </w:r>
    </w:p>
    <w:p w14:paraId="41296644" w14:textId="38207D95" w:rsidR="0092225F" w:rsidRDefault="0092225F" w:rsidP="00DF7D23">
      <w:pPr>
        <w:pStyle w:val="Caption"/>
      </w:pPr>
      <w:bookmarkStart w:id="157" w:name="_Ref536548031"/>
      <w:r>
        <w:t xml:space="preserve">Figure </w:t>
      </w:r>
      <w:r>
        <w:fldChar w:fldCharType="begin"/>
      </w:r>
      <w:r>
        <w:instrText xml:space="preserve"> SEQ Figure \* ARABIC </w:instrText>
      </w:r>
      <w:r>
        <w:fldChar w:fldCharType="separate"/>
      </w:r>
      <w:r w:rsidR="00980A78">
        <w:t>12</w:t>
      </w:r>
      <w:r>
        <w:fldChar w:fldCharType="end"/>
      </w:r>
      <w:bookmarkEnd w:id="157"/>
      <w:r>
        <w:t xml:space="preserve">: Regional </w:t>
      </w:r>
      <w:r w:rsidRPr="0049536D">
        <w:t xml:space="preserve">distribution of </w:t>
      </w:r>
      <w:r w:rsidR="00555E98">
        <w:t>Aircraft Manufacturing and Repair Services</w:t>
      </w:r>
      <w:r w:rsidR="004A52D8">
        <w:t xml:space="preserve"> activity (by employment, 2016)</w:t>
      </w:r>
    </w:p>
    <w:p w14:paraId="6C450967" w14:textId="34718660" w:rsidR="0092225F" w:rsidRDefault="003448BC" w:rsidP="00E4752A">
      <w:pPr>
        <w:pStyle w:val="Footnote"/>
        <w:spacing w:before="360"/>
      </w:pPr>
      <w:r w:rsidRPr="003448BC">
        <w:drawing>
          <wp:inline distT="0" distB="0" distL="0" distR="0" wp14:anchorId="593D1D61" wp14:editId="45373E8C">
            <wp:extent cx="5684520" cy="5151120"/>
            <wp:effectExtent l="0" t="0" r="0" b="0"/>
            <wp:docPr id="314" name="Picture 314" descr="Figure 12: Regional distribution of Aircraft Manufacturing and Repair Services activity (by employment,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84520" cy="5151120"/>
                    </a:xfrm>
                    <a:prstGeom prst="rect">
                      <a:avLst/>
                    </a:prstGeom>
                    <a:noFill/>
                    <a:ln>
                      <a:noFill/>
                    </a:ln>
                  </pic:spPr>
                </pic:pic>
              </a:graphicData>
            </a:graphic>
          </wp:inline>
        </w:drawing>
      </w:r>
      <w:r w:rsidRPr="003448BC" w:rsidDel="003448BC">
        <w:t xml:space="preserve"> </w:t>
      </w:r>
    </w:p>
    <w:p w14:paraId="2F86B84B" w14:textId="77777777" w:rsidR="00D45201" w:rsidRDefault="00D45201" w:rsidP="00DF7D23">
      <w:pPr>
        <w:pStyle w:val="Source"/>
      </w:pPr>
    </w:p>
    <w:p w14:paraId="5E58E318" w14:textId="162E5AA5" w:rsidR="0092225F" w:rsidRDefault="00D45201" w:rsidP="00DF7D23">
      <w:pPr>
        <w:pStyle w:val="Source"/>
      </w:pPr>
      <w:r w:rsidRPr="00C707E9">
        <w:t xml:space="preserve">Source: ABS </w:t>
      </w:r>
      <w:r w:rsidR="00680EE4">
        <w:t xml:space="preserve">2016 </w:t>
      </w:r>
      <w:r>
        <w:t xml:space="preserve">Census </w:t>
      </w:r>
      <w:r>
        <w:br/>
        <w:t>Notes: Industry concentration is based on share of regional employment. Regions are mapped at the Greater Capital City boundary and Statistical Area level 4.</w:t>
      </w:r>
    </w:p>
    <w:p w14:paraId="130D055C" w14:textId="77777777" w:rsidR="00DB5007" w:rsidRDefault="00DB5007">
      <w:pPr>
        <w:spacing w:before="0" w:after="160" w:line="259" w:lineRule="auto"/>
        <w:rPr>
          <w:rFonts w:eastAsiaTheme="majorEastAsia" w:cstheme="majorBidi"/>
          <w:color w:val="0091DA" w:themeColor="accent2"/>
          <w:sz w:val="36"/>
          <w:szCs w:val="40"/>
          <w14:scene3d>
            <w14:camera w14:prst="orthographicFront"/>
            <w14:lightRig w14:rig="threePt" w14:dir="t">
              <w14:rot w14:lat="0" w14:lon="0" w14:rev="0"/>
            </w14:lightRig>
          </w14:scene3d>
        </w:rPr>
      </w:pPr>
      <w:r>
        <w:br w:type="page"/>
      </w:r>
    </w:p>
    <w:p w14:paraId="759354A3" w14:textId="77777777" w:rsidR="008401A0" w:rsidRDefault="008872DE" w:rsidP="0011521D">
      <w:pPr>
        <w:pStyle w:val="Heading3"/>
      </w:pPr>
      <w:bookmarkStart w:id="158" w:name="_Toc26537892"/>
      <w:r w:rsidRPr="0030120F">
        <w:lastRenderedPageBreak/>
        <w:t xml:space="preserve">Direct </w:t>
      </w:r>
      <w:r w:rsidR="00675E10">
        <w:t>e</w:t>
      </w:r>
      <w:r w:rsidRPr="0030120F">
        <w:t>mployment</w:t>
      </w:r>
      <w:bookmarkEnd w:id="158"/>
    </w:p>
    <w:p w14:paraId="3022F697" w14:textId="6D879860" w:rsidR="007B02E1" w:rsidRDefault="00B32940" w:rsidP="00473B24">
      <w:pPr>
        <w:pStyle w:val="BodyText1"/>
      </w:pPr>
      <w:r w:rsidRPr="007363AF">
        <w:t>T</w:t>
      </w:r>
      <w:r w:rsidR="00D049D4">
        <w:t>he latest data on t</w:t>
      </w:r>
      <w:r w:rsidRPr="007363AF">
        <w:t xml:space="preserve">otal employment </w:t>
      </w:r>
      <w:r w:rsidR="00263D12">
        <w:t>in</w:t>
      </w:r>
      <w:r w:rsidR="00263D12" w:rsidRPr="007363AF">
        <w:t xml:space="preserve"> </w:t>
      </w:r>
      <w:r w:rsidR="00D84733" w:rsidRPr="007363AF">
        <w:t xml:space="preserve">the </w:t>
      </w:r>
      <w:r w:rsidR="00DD7FB6">
        <w:t xml:space="preserve">Manufacturing </w:t>
      </w:r>
      <w:r w:rsidR="00960EBD">
        <w:t>industry</w:t>
      </w:r>
      <w:r w:rsidR="00960EBD" w:rsidRPr="007363AF">
        <w:t xml:space="preserve"> </w:t>
      </w:r>
      <w:r w:rsidR="00D84733" w:rsidRPr="007363AF">
        <w:t>across Australia</w:t>
      </w:r>
      <w:r w:rsidR="006D5B10">
        <w:t xml:space="preserve"> </w:t>
      </w:r>
      <w:r w:rsidR="00D84733" w:rsidRPr="007363AF">
        <w:t xml:space="preserve">indicates that </w:t>
      </w:r>
      <w:r w:rsidR="00AD51A1" w:rsidRPr="007363AF">
        <w:t xml:space="preserve">an estimated </w:t>
      </w:r>
      <w:r w:rsidR="00293970">
        <w:t>13,</w:t>
      </w:r>
      <w:r w:rsidR="00FB1880">
        <w:t>396</w:t>
      </w:r>
      <w:r w:rsidR="00D049D4">
        <w:t> </w:t>
      </w:r>
      <w:r w:rsidR="00AD51A1" w:rsidRPr="007363AF">
        <w:t xml:space="preserve">people were employed directly in </w:t>
      </w:r>
      <w:r w:rsidR="00FC41D8">
        <w:t xml:space="preserve">the </w:t>
      </w:r>
      <w:r w:rsidR="00555E98">
        <w:t>Aircraft Manufacturing and Repair Services</w:t>
      </w:r>
      <w:r w:rsidR="00AF1EDC">
        <w:t xml:space="preserve"> </w:t>
      </w:r>
      <w:r w:rsidR="00670F9E">
        <w:t>industry</w:t>
      </w:r>
      <w:r w:rsidR="00670F9E" w:rsidRPr="007363AF">
        <w:t xml:space="preserve"> </w:t>
      </w:r>
      <w:r w:rsidR="000D14A3" w:rsidRPr="007363AF">
        <w:t xml:space="preserve">at the end of </w:t>
      </w:r>
      <w:r w:rsidR="003B1A24" w:rsidRPr="007363AF">
        <w:t>financial year</w:t>
      </w:r>
      <w:r w:rsidR="000D14A3" w:rsidRPr="007363AF">
        <w:t xml:space="preserve"> </w:t>
      </w:r>
      <w:r w:rsidR="00293970">
        <w:t>2016</w:t>
      </w:r>
      <w:r w:rsidR="00CF051A">
        <w:t>-</w:t>
      </w:r>
      <w:r w:rsidR="00293970">
        <w:t>17</w:t>
      </w:r>
      <w:r w:rsidR="0084774C" w:rsidRPr="007363AF">
        <w:t>.</w:t>
      </w:r>
      <w:r w:rsidR="006D5B10">
        <w:rPr>
          <w:rStyle w:val="FootnoteReference"/>
        </w:rPr>
        <w:footnoteReference w:id="16"/>
      </w:r>
      <w:r w:rsidR="0084774C" w:rsidRPr="007363AF">
        <w:t xml:space="preserve"> </w:t>
      </w:r>
      <w:r w:rsidR="007B02E1">
        <w:t>As indicated in</w:t>
      </w:r>
      <w:r w:rsidR="0017688F">
        <w:t xml:space="preserve"> </w:t>
      </w:r>
      <w:r w:rsidR="0017688F">
        <w:fldChar w:fldCharType="begin"/>
      </w:r>
      <w:r w:rsidR="0017688F">
        <w:instrText xml:space="preserve"> REF _Ref534703929 \h </w:instrText>
      </w:r>
      <w:r w:rsidR="002B1703">
        <w:instrText xml:space="preserve"> \* MERGEFORMAT </w:instrText>
      </w:r>
      <w:r w:rsidR="0017688F">
        <w:fldChar w:fldCharType="separate"/>
      </w:r>
      <w:r w:rsidR="00980A78">
        <w:t xml:space="preserve">Figure </w:t>
      </w:r>
      <w:r w:rsidR="00980A78">
        <w:rPr>
          <w:noProof/>
        </w:rPr>
        <w:t>13</w:t>
      </w:r>
      <w:r w:rsidR="0017688F">
        <w:fldChar w:fldCharType="end"/>
      </w:r>
      <w:r w:rsidR="007B02E1">
        <w:t xml:space="preserve">, </w:t>
      </w:r>
      <w:r w:rsidR="00EB3C4A">
        <w:t>there was a</w:t>
      </w:r>
      <w:r w:rsidR="006D5B10">
        <w:t xml:space="preserve"> modest </w:t>
      </w:r>
      <w:r w:rsidR="00EB3C4A">
        <w:t xml:space="preserve">increase in employment levels </w:t>
      </w:r>
      <w:r w:rsidR="00B60275">
        <w:t xml:space="preserve">between </w:t>
      </w:r>
      <w:r w:rsidR="00EB3C4A">
        <w:t xml:space="preserve">2014-15 and </w:t>
      </w:r>
      <w:r w:rsidR="00B60275">
        <w:t xml:space="preserve">2015-16, with </w:t>
      </w:r>
      <w:r w:rsidR="006D5B10">
        <w:t xml:space="preserve">employment </w:t>
      </w:r>
      <w:r w:rsidR="00B60275">
        <w:t>dropping back slightly over the following year</w:t>
      </w:r>
      <w:r w:rsidR="00EB3C4A">
        <w:t xml:space="preserve">. </w:t>
      </w:r>
      <w:r w:rsidR="00A33340">
        <w:t xml:space="preserve">Conversations with industry stakeholders indicate that while </w:t>
      </w:r>
      <w:r w:rsidR="00EB3C4A">
        <w:t xml:space="preserve">the wave of </w:t>
      </w:r>
      <w:r w:rsidR="00AA24B4">
        <w:t>start-up</w:t>
      </w:r>
      <w:r w:rsidR="00EB3C4A">
        <w:t xml:space="preserve"> organisations is </w:t>
      </w:r>
      <w:r w:rsidR="00E20EE0">
        <w:t xml:space="preserve">seeing </w:t>
      </w:r>
      <w:r w:rsidR="00EB3C4A">
        <w:t>young talent from universities</w:t>
      </w:r>
      <w:r w:rsidR="00E20EE0">
        <w:t xml:space="preserve"> getting involved in the aerospace sector</w:t>
      </w:r>
      <w:r w:rsidR="00A33340">
        <w:t xml:space="preserve">, the overall employment numbers are being hit by relatively reduced labour supply in the Australian </w:t>
      </w:r>
      <w:r w:rsidR="00555E98">
        <w:t>Aircraft Manufacturing and Repair Services</w:t>
      </w:r>
      <w:r w:rsidR="00A33340">
        <w:t xml:space="preserve"> industry.</w:t>
      </w:r>
      <w:r w:rsidR="00E909C6">
        <w:t xml:space="preserve"> </w:t>
      </w:r>
      <w:r w:rsidR="00D40F81">
        <w:t>A global shortfall in licensed pilots and engineers</w:t>
      </w:r>
      <w:r w:rsidR="00240849">
        <w:t>, modest uptake of STEM branches in higher education</w:t>
      </w:r>
      <w:r w:rsidR="006B19D5">
        <w:t>,</w:t>
      </w:r>
      <w:r w:rsidR="00240849">
        <w:t xml:space="preserve"> as well as </w:t>
      </w:r>
      <w:r w:rsidR="00603D30" w:rsidRPr="00240849">
        <w:t xml:space="preserve">relatively low </w:t>
      </w:r>
      <w:r w:rsidR="00240849" w:rsidRPr="00D913DA">
        <w:t xml:space="preserve">penetration rates </w:t>
      </w:r>
      <w:r w:rsidR="00603D30" w:rsidRPr="00240849">
        <w:t xml:space="preserve">of advanced Industry 4.0 processes in this industry </w:t>
      </w:r>
      <w:r w:rsidR="00240849" w:rsidRPr="00D913DA">
        <w:t>a</w:t>
      </w:r>
      <w:r w:rsidR="006B19D5">
        <w:t xml:space="preserve">ppear to be </w:t>
      </w:r>
      <w:r w:rsidR="00240849" w:rsidRPr="00D913DA">
        <w:t xml:space="preserve">resulting in </w:t>
      </w:r>
      <w:r w:rsidR="006B19D5">
        <w:t xml:space="preserve">an overall </w:t>
      </w:r>
      <w:r w:rsidR="00240849" w:rsidRPr="00D913DA">
        <w:t>declining pool of human skilled resources</w:t>
      </w:r>
      <w:r w:rsidR="006B19D5">
        <w:t xml:space="preserve"> for this industry</w:t>
      </w:r>
      <w:r w:rsidR="00240849" w:rsidRPr="006B19D5">
        <w:t xml:space="preserve">, </w:t>
      </w:r>
      <w:r w:rsidR="00E909C6" w:rsidRPr="00240849">
        <w:t xml:space="preserve">when compared with other </w:t>
      </w:r>
      <w:r w:rsidR="006B19D5">
        <w:t xml:space="preserve">domestic </w:t>
      </w:r>
      <w:r w:rsidR="00240849">
        <w:t>technolog</w:t>
      </w:r>
      <w:r w:rsidR="006B19D5">
        <w:t xml:space="preserve">y-based </w:t>
      </w:r>
      <w:r w:rsidR="00E909C6" w:rsidRPr="00240849">
        <w:t>industries and the overseas aviation market.</w:t>
      </w:r>
      <w:r w:rsidR="00E909C6">
        <w:t xml:space="preserve"> </w:t>
      </w:r>
    </w:p>
    <w:p w14:paraId="485ABE9F" w14:textId="5FDC49B5" w:rsidR="00F14922" w:rsidRDefault="00F14922" w:rsidP="00DF7D23">
      <w:pPr>
        <w:pStyle w:val="Caption"/>
      </w:pPr>
      <w:bookmarkStart w:id="159" w:name="_Ref534703929"/>
      <w:r>
        <w:t xml:space="preserve">Figure </w:t>
      </w:r>
      <w:r>
        <w:fldChar w:fldCharType="begin"/>
      </w:r>
      <w:r>
        <w:instrText xml:space="preserve"> SEQ Figure \* ARABIC </w:instrText>
      </w:r>
      <w:r>
        <w:fldChar w:fldCharType="separate"/>
      </w:r>
      <w:r w:rsidR="00980A78">
        <w:t>13</w:t>
      </w:r>
      <w:r>
        <w:fldChar w:fldCharType="end"/>
      </w:r>
      <w:bookmarkEnd w:id="159"/>
      <w:r>
        <w:t xml:space="preserve">: </w:t>
      </w:r>
      <w:r w:rsidRPr="00FE24A5">
        <w:t xml:space="preserve">Total employment in </w:t>
      </w:r>
      <w:r w:rsidR="00555E98">
        <w:t>Aircraft Manufacturing and Repair Services</w:t>
      </w:r>
      <w:r w:rsidR="00AF1EDC">
        <w:t xml:space="preserve"> </w:t>
      </w:r>
      <w:r w:rsidR="00670F9E">
        <w:t>industry</w:t>
      </w:r>
      <w:r w:rsidR="00EA6108">
        <w:t xml:space="preserve"> (</w:t>
      </w:r>
      <w:r>
        <w:t>2016-17</w:t>
      </w:r>
      <w:r w:rsidR="00EA6108">
        <w:t>)</w:t>
      </w:r>
    </w:p>
    <w:p w14:paraId="5C4FA357" w14:textId="77777777" w:rsidR="00F14922" w:rsidRDefault="00F14922" w:rsidP="00F14922">
      <w:pPr>
        <w:spacing w:before="0"/>
        <w:jc w:val="center"/>
      </w:pPr>
      <w:r w:rsidRPr="00293970">
        <w:rPr>
          <w:noProof/>
          <w:lang w:eastAsia="en-AU"/>
        </w:rPr>
        <w:drawing>
          <wp:inline distT="0" distB="0" distL="0" distR="0" wp14:anchorId="0BE432AC" wp14:editId="48ADDD35">
            <wp:extent cx="4495800" cy="2468880"/>
            <wp:effectExtent l="0" t="0" r="0" b="0"/>
            <wp:docPr id="29" name="Chart 29" descr="Figure 13 represents employment levels from 2014 to 2017. It can be seen that from 2014-15 to 2015-16, employment levels increased from 12.8 thousand to 13.6 thousand. From 2015-16 to 2016-17, employment levels, however, decreased to 13.4 thousand.  " title="Figure 13: Total employment in Aircraft Manufacturing and Repair Services industry (201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63A28AE" w14:textId="77777777" w:rsidR="00F14922" w:rsidRDefault="00F14922" w:rsidP="00DF7D23">
      <w:pPr>
        <w:pStyle w:val="Source"/>
      </w:pPr>
      <w:r w:rsidRPr="00586FCA">
        <w:t>Source: ABS 8155</w:t>
      </w:r>
      <w:r w:rsidR="00DF30AB">
        <w:t>.</w:t>
      </w:r>
      <w:r w:rsidRPr="00586FCA">
        <w:t>0</w:t>
      </w:r>
    </w:p>
    <w:p w14:paraId="30378084" w14:textId="77777777" w:rsidR="007B02E1" w:rsidRDefault="00F14922" w:rsidP="007C068F">
      <w:pPr>
        <w:pStyle w:val="Bodyafterbullet"/>
      </w:pPr>
      <w:r>
        <w:t xml:space="preserve">In 2016-17, </w:t>
      </w:r>
      <w:r w:rsidR="001A0DD5">
        <w:t xml:space="preserve">the </w:t>
      </w:r>
      <w:r w:rsidR="00CA07EA">
        <w:t>A</w:t>
      </w:r>
      <w:r w:rsidR="00B60275">
        <w:t xml:space="preserve">ircraft </w:t>
      </w:r>
      <w:r w:rsidR="00CA07EA">
        <w:t>M</w:t>
      </w:r>
      <w:r w:rsidR="00B60275">
        <w:t xml:space="preserve">anufacturing </w:t>
      </w:r>
      <w:r w:rsidR="00AF1EDC">
        <w:t xml:space="preserve">and </w:t>
      </w:r>
      <w:r w:rsidR="00CA07EA">
        <w:t>R</w:t>
      </w:r>
      <w:r w:rsidR="00B60275">
        <w:t xml:space="preserve">epair </w:t>
      </w:r>
      <w:r w:rsidR="00CA07EA">
        <w:t>S</w:t>
      </w:r>
      <w:r w:rsidR="00B60275">
        <w:t xml:space="preserve">ervices </w:t>
      </w:r>
      <w:r w:rsidR="00960EBD">
        <w:t xml:space="preserve">industry </w:t>
      </w:r>
      <w:r w:rsidR="005D06DD">
        <w:t>accounted for nearly 1.5</w:t>
      </w:r>
      <w:r w:rsidR="00845BA7">
        <w:t xml:space="preserve"> per cent</w:t>
      </w:r>
      <w:r w:rsidR="005D06DD">
        <w:t xml:space="preserve"> of the total </w:t>
      </w:r>
      <w:r w:rsidR="00460813" w:rsidRPr="00CB1CC9">
        <w:t xml:space="preserve">employment </w:t>
      </w:r>
      <w:r w:rsidR="005D06DD" w:rsidRPr="00CB1CC9">
        <w:t xml:space="preserve">within </w:t>
      </w:r>
      <w:r w:rsidR="00460813" w:rsidRPr="00CB1CC9">
        <w:t>the manufacturing sector</w:t>
      </w:r>
      <w:r w:rsidR="005D06DD" w:rsidRPr="00CB1CC9">
        <w:t xml:space="preserve"> in Australia</w:t>
      </w:r>
      <w:r w:rsidR="007B02E1">
        <w:t xml:space="preserve">, as shown in </w:t>
      </w:r>
      <w:r w:rsidR="007B02E1">
        <w:fldChar w:fldCharType="begin"/>
      </w:r>
      <w:r w:rsidR="007B02E1">
        <w:instrText xml:space="preserve"> REF _Ref534643229 \h </w:instrText>
      </w:r>
      <w:r w:rsidR="002B1703">
        <w:instrText xml:space="preserve"> \* MERGEFORMAT </w:instrText>
      </w:r>
      <w:r w:rsidR="007B02E1">
        <w:fldChar w:fldCharType="separate"/>
      </w:r>
      <w:r w:rsidR="00980A78">
        <w:t xml:space="preserve">Figure </w:t>
      </w:r>
      <w:r w:rsidR="00980A78">
        <w:rPr>
          <w:noProof/>
        </w:rPr>
        <w:t>14</w:t>
      </w:r>
      <w:r w:rsidR="007B02E1">
        <w:fldChar w:fldCharType="end"/>
      </w:r>
      <w:r w:rsidR="007B02E1">
        <w:t xml:space="preserve"> below</w:t>
      </w:r>
      <w:r w:rsidR="00460813" w:rsidRPr="00CB1CC9">
        <w:t xml:space="preserve">. This </w:t>
      </w:r>
      <w:r w:rsidR="005D06DD" w:rsidRPr="00CB1CC9">
        <w:t>wa</w:t>
      </w:r>
      <w:r w:rsidR="00460813" w:rsidRPr="00CB1CC9">
        <w:t xml:space="preserve">s </w:t>
      </w:r>
      <w:r w:rsidR="001F4E62">
        <w:t xml:space="preserve">similar to the contribution from other manufacturing industries such as textile products, basic non-ferrous metals, and electrical equipment, and </w:t>
      </w:r>
      <w:r w:rsidR="005D06DD" w:rsidRPr="00CB1CC9">
        <w:t>higher than the employment</w:t>
      </w:r>
      <w:r w:rsidR="00321675" w:rsidRPr="00CB1CC9">
        <w:t xml:space="preserve"> share of other transport equipment manufacturing sectors, including ship and boat building a</w:t>
      </w:r>
      <w:r w:rsidR="007B02E1" w:rsidRPr="007B02E1">
        <w:t>nd motor vehicle manufacturing.</w:t>
      </w:r>
    </w:p>
    <w:p w14:paraId="2092565B" w14:textId="4678DE25" w:rsidR="006D3F98" w:rsidRDefault="00C3192F" w:rsidP="007C068F">
      <w:pPr>
        <w:jc w:val="center"/>
      </w:pPr>
      <w:r w:rsidRPr="00C3192F">
        <w:rPr>
          <w:noProof/>
          <w:lang w:eastAsia="en-AU"/>
        </w:rPr>
        <w:lastRenderedPageBreak/>
        <w:drawing>
          <wp:inline distT="0" distB="0" distL="0" distR="0" wp14:anchorId="468CC26A" wp14:editId="74426D17">
            <wp:extent cx="5731510" cy="291971"/>
            <wp:effectExtent l="0" t="0" r="0" b="0"/>
            <wp:docPr id="296" name="Picture 296" descr="share of total employment in the manufacturing sector (2016-17)"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291971"/>
                    </a:xfrm>
                    <a:prstGeom prst="rect">
                      <a:avLst/>
                    </a:prstGeom>
                    <a:noFill/>
                    <a:ln>
                      <a:noFill/>
                    </a:ln>
                  </pic:spPr>
                </pic:pic>
              </a:graphicData>
            </a:graphic>
          </wp:inline>
        </w:drawing>
      </w:r>
      <w:r w:rsidR="001F4E62">
        <w:rPr>
          <w:noProof/>
          <w:lang w:eastAsia="en-AU"/>
        </w:rPr>
        <w:drawing>
          <wp:inline distT="0" distB="0" distL="0" distR="0" wp14:anchorId="4DA989D8" wp14:editId="6059E7D3">
            <wp:extent cx="4693920" cy="2720340"/>
            <wp:effectExtent l="0" t="0" r="0" b="3810"/>
            <wp:docPr id="9" name="Chart 9" descr="Figure 14: Share of total employment in the manufacturing sector (2016-17)" title="Figure 14: Share of total employment in the manufacturing sector (201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3F3D0C5" w14:textId="19F8D2C1" w:rsidR="00263D12" w:rsidRDefault="00C3192F" w:rsidP="007C068F">
      <w:pPr>
        <w:pStyle w:val="Bodyafterbullet"/>
      </w:pPr>
      <w:r w:rsidRPr="00C3192F">
        <w:rPr>
          <w:noProof/>
          <w:lang w:eastAsia="en-AU"/>
        </w:rPr>
        <w:drawing>
          <wp:inline distT="0" distB="0" distL="0" distR="0" wp14:anchorId="164633A5" wp14:editId="70F3BA73">
            <wp:extent cx="5731510" cy="272929"/>
            <wp:effectExtent l="0" t="0" r="0" b="0"/>
            <wp:docPr id="297" name="Picture 297" descr="ABS 8155.0 and Labour Force Survey" titl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272929"/>
                    </a:xfrm>
                    <a:prstGeom prst="rect">
                      <a:avLst/>
                    </a:prstGeom>
                    <a:noFill/>
                    <a:ln>
                      <a:noFill/>
                    </a:ln>
                  </pic:spPr>
                </pic:pic>
              </a:graphicData>
            </a:graphic>
          </wp:inline>
        </w:drawing>
      </w:r>
      <w:r w:rsidR="00F14922">
        <w:fldChar w:fldCharType="begin"/>
      </w:r>
      <w:r w:rsidR="00F14922">
        <w:instrText xml:space="preserve"> REF _Ref534643660 \h </w:instrText>
      </w:r>
      <w:r w:rsidR="002B1703">
        <w:instrText xml:space="preserve"> \* MERGEFORMAT </w:instrText>
      </w:r>
      <w:r w:rsidR="00F14922">
        <w:fldChar w:fldCharType="separate"/>
      </w:r>
      <w:r w:rsidR="00980A78">
        <w:t xml:space="preserve">Figure </w:t>
      </w:r>
      <w:r w:rsidR="00980A78">
        <w:rPr>
          <w:noProof/>
        </w:rPr>
        <w:t>15</w:t>
      </w:r>
      <w:r w:rsidR="00F14922">
        <w:fldChar w:fldCharType="end"/>
      </w:r>
      <w:bookmarkStart w:id="160" w:name="_Ref479164584"/>
      <w:bookmarkStart w:id="161" w:name="_Ref471833893"/>
      <w:r w:rsidR="00CD7AB3">
        <w:t xml:space="preserve"> </w:t>
      </w:r>
      <w:r w:rsidR="001F4E62">
        <w:t xml:space="preserve">shows that the </w:t>
      </w:r>
      <w:r w:rsidR="00263D12" w:rsidRPr="007363AF">
        <w:t xml:space="preserve">total wages and salaries paid in </w:t>
      </w:r>
      <w:r w:rsidR="00293970">
        <w:t xml:space="preserve">the </w:t>
      </w:r>
      <w:r w:rsidR="00CA07EA">
        <w:t>A</w:t>
      </w:r>
      <w:r w:rsidR="001F4E62">
        <w:t xml:space="preserve">ircraft </w:t>
      </w:r>
      <w:r w:rsidR="00CA07EA">
        <w:t>M</w:t>
      </w:r>
      <w:r w:rsidR="001F4E62">
        <w:t xml:space="preserve">anufacturing </w:t>
      </w:r>
      <w:r w:rsidR="00AF1EDC">
        <w:t xml:space="preserve">and </w:t>
      </w:r>
      <w:r w:rsidR="00CA07EA">
        <w:t>R</w:t>
      </w:r>
      <w:r w:rsidR="001F4E62">
        <w:t xml:space="preserve">epair </w:t>
      </w:r>
      <w:r w:rsidR="00CA07EA">
        <w:t>S</w:t>
      </w:r>
      <w:r w:rsidR="001F4E62">
        <w:t xml:space="preserve">ervices </w:t>
      </w:r>
      <w:r w:rsidR="00670F9E">
        <w:t xml:space="preserve">industry </w:t>
      </w:r>
      <w:r w:rsidR="00263D12" w:rsidRPr="007363AF">
        <w:t>in Australia</w:t>
      </w:r>
      <w:r w:rsidR="001F4E62">
        <w:t xml:space="preserve"> were </w:t>
      </w:r>
      <w:r w:rsidR="00263D12" w:rsidRPr="007363AF">
        <w:t xml:space="preserve">estimated to be </w:t>
      </w:r>
      <w:r w:rsidR="001F4E62">
        <w:t xml:space="preserve">just under </w:t>
      </w:r>
      <w:r w:rsidR="00263D12">
        <w:t>$</w:t>
      </w:r>
      <w:r w:rsidR="00263D12" w:rsidRPr="007363AF">
        <w:t>1.</w:t>
      </w:r>
      <w:r w:rsidR="001F4E62">
        <w:t>4</w:t>
      </w:r>
      <w:r w:rsidR="00263D12" w:rsidRPr="007363AF">
        <w:t xml:space="preserve"> billion a</w:t>
      </w:r>
      <w:r w:rsidR="00293970">
        <w:t>t the end of financial year 2016</w:t>
      </w:r>
      <w:r w:rsidR="00380B92" w:rsidRPr="00380B92">
        <w:t>–</w:t>
      </w:r>
      <w:r w:rsidR="00293970">
        <w:t>17</w:t>
      </w:r>
      <w:r w:rsidR="00263D12" w:rsidRPr="007363AF">
        <w:t xml:space="preserve">. </w:t>
      </w:r>
      <w:r w:rsidR="001F4E62">
        <w:t>T</w:t>
      </w:r>
      <w:r w:rsidR="00293970">
        <w:t xml:space="preserve">otal wages </w:t>
      </w:r>
      <w:r w:rsidR="001F4E62">
        <w:t>in this industry increased modestly</w:t>
      </w:r>
      <w:r w:rsidR="00293970">
        <w:t xml:space="preserve"> from 2014-15 to 2015-16</w:t>
      </w:r>
      <w:r w:rsidR="001F4E62">
        <w:t xml:space="preserve">, before falling slightly </w:t>
      </w:r>
      <w:r w:rsidR="00293970">
        <w:t>in 2016-17</w:t>
      </w:r>
      <w:r w:rsidR="00263D12" w:rsidRPr="007363AF">
        <w:t xml:space="preserve">. </w:t>
      </w:r>
      <w:r w:rsidR="0017688F">
        <w:t xml:space="preserve">This is similar to the trend observed in employment levels within this sector. </w:t>
      </w:r>
    </w:p>
    <w:bookmarkEnd w:id="160"/>
    <w:bookmarkEnd w:id="161"/>
    <w:p w14:paraId="2B7FDE26" w14:textId="38BB9A01" w:rsidR="00962D17" w:rsidRDefault="00C3192F" w:rsidP="0080571F">
      <w:pPr>
        <w:spacing w:before="0"/>
        <w:jc w:val="center"/>
      </w:pPr>
      <w:r w:rsidRPr="00C3192F">
        <w:rPr>
          <w:noProof/>
          <w:lang w:eastAsia="en-AU"/>
        </w:rPr>
        <w:drawing>
          <wp:inline distT="0" distB="0" distL="0" distR="0" wp14:anchorId="7574AB54" wp14:editId="585FC928">
            <wp:extent cx="5731510" cy="291971"/>
            <wp:effectExtent l="0" t="0" r="0" b="0"/>
            <wp:docPr id="298" name="Picture 298" descr="Total wages and salaries paid in the Aircraft Manufacturing and Repair services ( $million, 2016-17)"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291971"/>
                    </a:xfrm>
                    <a:prstGeom prst="rect">
                      <a:avLst/>
                    </a:prstGeom>
                    <a:noFill/>
                    <a:ln>
                      <a:noFill/>
                    </a:ln>
                  </pic:spPr>
                </pic:pic>
              </a:graphicData>
            </a:graphic>
          </wp:inline>
        </w:drawing>
      </w:r>
      <w:r w:rsidR="00293970" w:rsidRPr="00293970">
        <w:rPr>
          <w:noProof/>
          <w:lang w:eastAsia="en-AU"/>
        </w:rPr>
        <w:drawing>
          <wp:inline distT="0" distB="0" distL="0" distR="0" wp14:anchorId="0F5EEB9C" wp14:editId="741F7BEA">
            <wp:extent cx="4442460" cy="2827020"/>
            <wp:effectExtent l="0" t="0" r="0" b="0"/>
            <wp:docPr id="23" name="Chart 23" descr="Figure 15: Total wages and salaries paid in Aircraft Manufacturing and Repair Services ($million, 2016-17)" title="Figure 15: Total wages and salaries paid in Aircraft Manufacturing and Repair Services ($million, 201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FB8B0AB" w14:textId="5B533230" w:rsidR="009536D4" w:rsidRDefault="00C3192F" w:rsidP="007C068F">
      <w:pPr>
        <w:pStyle w:val="Bodyafterbullet"/>
      </w:pPr>
      <w:bookmarkStart w:id="162" w:name="_Ref479078534"/>
      <w:r w:rsidRPr="00C3192F">
        <w:rPr>
          <w:noProof/>
          <w:lang w:eastAsia="en-AU"/>
        </w:rPr>
        <w:drawing>
          <wp:inline distT="0" distB="0" distL="0" distR="0" wp14:anchorId="45B95CCD" wp14:editId="60C3FE3D">
            <wp:extent cx="5731510" cy="272929"/>
            <wp:effectExtent l="0" t="0" r="0" b="0"/>
            <wp:docPr id="299" name="Picture 299" descr="Source: ABS 8155.0" titl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1510" cy="272929"/>
                    </a:xfrm>
                    <a:prstGeom prst="rect">
                      <a:avLst/>
                    </a:prstGeom>
                    <a:noFill/>
                    <a:ln>
                      <a:noFill/>
                    </a:ln>
                  </pic:spPr>
                </pic:pic>
              </a:graphicData>
            </a:graphic>
          </wp:inline>
        </w:drawing>
      </w:r>
      <w:r w:rsidR="009536D4">
        <w:t>I</w:t>
      </w:r>
      <w:r w:rsidR="009536D4" w:rsidRPr="006074EC">
        <w:t xml:space="preserve">ndustry stakeholders spoke </w:t>
      </w:r>
      <w:r w:rsidR="009536D4" w:rsidRPr="001851D5">
        <w:t>highly of</w:t>
      </w:r>
      <w:r w:rsidR="009536D4">
        <w:t xml:space="preserve"> the engineering talent in Australia and regarded the pool of graduates as being highly employable. However, it was noted that the aerospace sector is facing a significant shortage of skilled personnel</w:t>
      </w:r>
      <w:r w:rsidR="009536D4" w:rsidRPr="00FD7373">
        <w:t>,</w:t>
      </w:r>
      <w:r w:rsidR="009536D4" w:rsidRPr="00CF5F96">
        <w:t xml:space="preserve"> due to an aging workforce and migration of some of the experienced staff towards more rewarding </w:t>
      </w:r>
      <w:r w:rsidR="00E4752A">
        <w:t>and less demanding professions.</w:t>
      </w:r>
    </w:p>
    <w:p w14:paraId="5531F101" w14:textId="77777777" w:rsidR="00E4752A" w:rsidRDefault="00E4752A" w:rsidP="00473B24">
      <w:pPr>
        <w:pStyle w:val="BodyText1"/>
      </w:pPr>
      <w:r>
        <w:br w:type="page"/>
      </w:r>
    </w:p>
    <w:p w14:paraId="4B5E68C3" w14:textId="24511226" w:rsidR="008D4887" w:rsidRDefault="00EC45B9" w:rsidP="00473B24">
      <w:pPr>
        <w:pStyle w:val="BodyText1"/>
        <w:rPr>
          <w:rFonts w:asciiTheme="minorHAnsi" w:hAnsiTheme="minorHAnsi"/>
          <w:i/>
          <w:iCs/>
          <w:noProof/>
          <w:color w:val="44546A" w:themeColor="text2"/>
          <w:sz w:val="18"/>
          <w:szCs w:val="18"/>
          <w:lang w:eastAsia="en-AU"/>
        </w:rPr>
      </w:pPr>
      <w:r>
        <w:lastRenderedPageBreak/>
        <w:fldChar w:fldCharType="begin"/>
      </w:r>
      <w:r>
        <w:instrText xml:space="preserve"> REF _Ref536093693 \h </w:instrText>
      </w:r>
      <w:r w:rsidR="002B1703">
        <w:instrText xml:space="preserve"> \* MERGEFORMAT </w:instrText>
      </w:r>
      <w:r>
        <w:fldChar w:fldCharType="separate"/>
      </w:r>
      <w:r w:rsidR="00980A78">
        <w:t xml:space="preserve">Figure </w:t>
      </w:r>
      <w:r w:rsidR="00980A78">
        <w:rPr>
          <w:noProof/>
        </w:rPr>
        <w:t>16</w:t>
      </w:r>
      <w:r>
        <w:fldChar w:fldCharType="end"/>
      </w:r>
      <w:r>
        <w:t xml:space="preserve"> summarises the key occupations employed by the </w:t>
      </w:r>
      <w:r w:rsidR="004B6FD9">
        <w:t>A</w:t>
      </w:r>
      <w:r>
        <w:t xml:space="preserve">ircraft </w:t>
      </w:r>
      <w:r w:rsidR="004B6FD9">
        <w:t>M</w:t>
      </w:r>
      <w:r>
        <w:t xml:space="preserve">anufacturing and </w:t>
      </w:r>
      <w:r w:rsidR="004B6FD9">
        <w:t>R</w:t>
      </w:r>
      <w:r>
        <w:t xml:space="preserve">epair </w:t>
      </w:r>
      <w:r w:rsidR="004B6FD9">
        <w:t>S</w:t>
      </w:r>
      <w:r>
        <w:t>ervices industry. Aircraft maintenance engineers is the single largest occupational group in this industry, accounting for 43</w:t>
      </w:r>
      <w:r w:rsidR="00B1780E">
        <w:t xml:space="preserve"> per cent </w:t>
      </w:r>
      <w:r>
        <w:t xml:space="preserve">of the total industry employment in 2016. </w:t>
      </w:r>
      <w:r w:rsidR="002B1703">
        <w:t xml:space="preserve">These workers are responsible for maintaining high safety standards of Australia’s private and commercial aircraft fleet. </w:t>
      </w:r>
      <w:r>
        <w:t>Other engineering professionals f</w:t>
      </w:r>
      <w:r w:rsidR="00D0076A">
        <w:t>ormed nearly 3.4</w:t>
      </w:r>
      <w:r w:rsidR="00B1780E">
        <w:t xml:space="preserve"> per cent </w:t>
      </w:r>
      <w:r>
        <w:t xml:space="preserve">of the pool of employed workers in the industry, while all other engineers, technicians, project administrators, clerks </w:t>
      </w:r>
      <w:r w:rsidR="00AA24B4">
        <w:t>etc.</w:t>
      </w:r>
      <w:r>
        <w:t xml:space="preserve"> made up less than 2</w:t>
      </w:r>
      <w:r w:rsidR="00B1780E">
        <w:t xml:space="preserve"> per cent </w:t>
      </w:r>
      <w:r>
        <w:t xml:space="preserve">each of the employment pool. At the broad occupational level, </w:t>
      </w:r>
      <w:r w:rsidR="00AA24B4">
        <w:t>technicians</w:t>
      </w:r>
      <w:r>
        <w:t xml:space="preserve"> and trades workers</w:t>
      </w:r>
      <w:r w:rsidR="00593D52">
        <w:t xml:space="preserve"> (</w:t>
      </w:r>
      <w:r>
        <w:t xml:space="preserve">specifically automotive and engineering </w:t>
      </w:r>
      <w:r w:rsidR="00820036">
        <w:t>trade’s</w:t>
      </w:r>
      <w:r>
        <w:t xml:space="preserve"> workers</w:t>
      </w:r>
      <w:r w:rsidR="00593D52">
        <w:t>)</w:t>
      </w:r>
      <w:r>
        <w:t xml:space="preserve"> form half the jobs in the </w:t>
      </w:r>
      <w:r w:rsidR="00555E98">
        <w:t>Aircraft Manufacturing and Repair Services</w:t>
      </w:r>
      <w:bookmarkStart w:id="163" w:name="_Ref534704040"/>
      <w:r w:rsidR="004B6FD9">
        <w:t xml:space="preserve"> industry.</w:t>
      </w:r>
    </w:p>
    <w:p w14:paraId="7FE5D61B" w14:textId="305D3B29" w:rsidR="00A31469" w:rsidRDefault="00A31469" w:rsidP="00DF7D23">
      <w:pPr>
        <w:pStyle w:val="Caption"/>
      </w:pPr>
      <w:bookmarkStart w:id="164" w:name="_Ref536093693"/>
      <w:r>
        <w:t>Figure</w:t>
      </w:r>
      <w:bookmarkEnd w:id="162"/>
      <w:bookmarkEnd w:id="163"/>
      <w:bookmarkEnd w:id="164"/>
      <w:r w:rsidR="00C3192F">
        <w:t xml:space="preserve"> 16</w:t>
      </w:r>
      <w:r>
        <w:t>: Main occupations with</w:t>
      </w:r>
      <w:r w:rsidR="00AB0C7C">
        <w:t>in</w:t>
      </w:r>
      <w:r w:rsidR="00C0578F">
        <w:t xml:space="preserve"> the</w:t>
      </w:r>
      <w:r w:rsidR="00AB0C7C">
        <w:t xml:space="preserve"> </w:t>
      </w:r>
      <w:r w:rsidR="00555E98">
        <w:t>Aircraft Manufacturing and Repair Services</w:t>
      </w:r>
      <w:r w:rsidR="00C0578F">
        <w:t xml:space="preserve"> industry</w:t>
      </w:r>
    </w:p>
    <w:tbl>
      <w:tblPr>
        <w:tblStyle w:val="ListTable3-Accent2"/>
        <w:tblW w:w="5000" w:type="pct"/>
        <w:tblBorders>
          <w:top w:val="none" w:sz="0" w:space="0" w:color="auto"/>
          <w:left w:val="none" w:sz="0" w:space="0" w:color="auto"/>
          <w:bottom w:val="none" w:sz="0" w:space="0" w:color="auto"/>
          <w:right w:val="none" w:sz="0" w:space="0" w:color="auto"/>
          <w:insideH w:val="single" w:sz="2" w:space="0" w:color="BFBFBF" w:themeColor="background1" w:themeShade="BF"/>
        </w:tblBorders>
        <w:tblCellMar>
          <w:top w:w="28" w:type="dxa"/>
          <w:bottom w:w="28" w:type="dxa"/>
          <w:right w:w="454" w:type="dxa"/>
        </w:tblCellMar>
        <w:tblLook w:val="04A0" w:firstRow="1" w:lastRow="0" w:firstColumn="1" w:lastColumn="0" w:noHBand="0" w:noVBand="1"/>
        <w:tblCaption w:val="Main occupations within the Aircraft Manufacturing and Repair Services industry"/>
        <w:tblDescription w:val="Main occupations within the Aircraft Manufacturing and Repair Services industry"/>
      </w:tblPr>
      <w:tblGrid>
        <w:gridCol w:w="5863"/>
        <w:gridCol w:w="3163"/>
      </w:tblGrid>
      <w:tr w:rsidR="008D4887" w:rsidRPr="00FB115E" w14:paraId="04C03481" w14:textId="77777777" w:rsidTr="008C2567">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100" w:firstRow="0" w:lastRow="0" w:firstColumn="1" w:lastColumn="0" w:oddVBand="0" w:evenVBand="0" w:oddHBand="0" w:evenHBand="0" w:firstRowFirstColumn="1" w:firstRowLastColumn="0" w:lastRowFirstColumn="0" w:lastRowLastColumn="0"/>
            <w:tcW w:w="3248" w:type="pct"/>
            <w:tcBorders>
              <w:bottom w:val="none" w:sz="0" w:space="0" w:color="auto"/>
              <w:right w:val="none" w:sz="0" w:space="0" w:color="auto"/>
            </w:tcBorders>
            <w:noWrap/>
            <w:vAlign w:val="bottom"/>
            <w:hideMark/>
          </w:tcPr>
          <w:p w14:paraId="2F53BEC6" w14:textId="77777777" w:rsidR="008D4887" w:rsidRPr="00CF5F96" w:rsidRDefault="008D4887" w:rsidP="00B17A4E">
            <w:pPr>
              <w:spacing w:before="0" w:after="0"/>
              <w:rPr>
                <w:rFonts w:eastAsia="Times New Roman" w:cs="Calibri"/>
                <w:bCs w:val="0"/>
                <w:color w:val="FFFFFF"/>
                <w:sz w:val="18"/>
                <w:lang w:eastAsia="en-AU"/>
              </w:rPr>
            </w:pPr>
            <w:r w:rsidRPr="004A40D1">
              <w:rPr>
                <w:rFonts w:eastAsia="Times New Roman" w:cs="Calibri"/>
                <w:color w:val="FFFFFF"/>
                <w:sz w:val="18"/>
                <w:lang w:eastAsia="en-AU"/>
              </w:rPr>
              <w:t>Occupation</w:t>
            </w:r>
          </w:p>
        </w:tc>
        <w:tc>
          <w:tcPr>
            <w:tcW w:w="1752" w:type="pct"/>
            <w:vAlign w:val="bottom"/>
            <w:hideMark/>
          </w:tcPr>
          <w:p w14:paraId="3ACA7A3C" w14:textId="77777777" w:rsidR="008D4887" w:rsidRPr="00CF5F96" w:rsidRDefault="00555E98" w:rsidP="00B17A4E">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Calibri"/>
                <w:bCs w:val="0"/>
                <w:color w:val="FFFFFF"/>
                <w:sz w:val="18"/>
                <w:lang w:eastAsia="en-AU"/>
              </w:rPr>
            </w:pPr>
            <w:r>
              <w:rPr>
                <w:rFonts w:eastAsia="Times New Roman" w:cs="Calibri"/>
                <w:color w:val="FFFFFF"/>
                <w:sz w:val="18"/>
                <w:lang w:eastAsia="en-AU"/>
              </w:rPr>
              <w:t>Aircraft Manufacturing and Repair Services</w:t>
            </w:r>
          </w:p>
        </w:tc>
      </w:tr>
      <w:tr w:rsidR="008D4887" w:rsidRPr="00FB115E" w14:paraId="6207D12F" w14:textId="77777777" w:rsidTr="004906A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48" w:type="pct"/>
            <w:tcBorders>
              <w:top w:val="none" w:sz="0" w:space="0" w:color="auto"/>
              <w:bottom w:val="none" w:sz="0" w:space="0" w:color="auto"/>
              <w:right w:val="none" w:sz="0" w:space="0" w:color="auto"/>
            </w:tcBorders>
            <w:shd w:val="clear" w:color="auto" w:fill="auto"/>
            <w:noWrap/>
            <w:hideMark/>
          </w:tcPr>
          <w:p w14:paraId="5CAAF122" w14:textId="77777777" w:rsidR="008D4887" w:rsidRPr="00CF5F96" w:rsidRDefault="008D4887">
            <w:pPr>
              <w:spacing w:before="0" w:after="0"/>
              <w:rPr>
                <w:rFonts w:eastAsia="Times New Roman" w:cs="Calibri"/>
                <w:b w:val="0"/>
                <w:color w:val="000000"/>
                <w:sz w:val="18"/>
                <w:lang w:eastAsia="en-AU"/>
              </w:rPr>
            </w:pPr>
            <w:r w:rsidRPr="00CF5F96">
              <w:rPr>
                <w:rFonts w:eastAsia="Times New Roman" w:cs="Calibri"/>
                <w:b w:val="0"/>
                <w:color w:val="000000"/>
                <w:sz w:val="18"/>
                <w:lang w:eastAsia="en-AU"/>
              </w:rPr>
              <w:t>Aircraft Maintenance Engineers</w:t>
            </w:r>
          </w:p>
        </w:tc>
        <w:tc>
          <w:tcPr>
            <w:tcW w:w="1752" w:type="pct"/>
            <w:tcBorders>
              <w:top w:val="none" w:sz="0" w:space="0" w:color="auto"/>
              <w:bottom w:val="none" w:sz="0" w:space="0" w:color="auto"/>
            </w:tcBorders>
            <w:noWrap/>
            <w:hideMark/>
          </w:tcPr>
          <w:p w14:paraId="24F18F01" w14:textId="77777777" w:rsidR="008D4887" w:rsidRPr="00CB1CC9" w:rsidRDefault="008D4887" w:rsidP="00CF5F96">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lang w:eastAsia="en-AU"/>
              </w:rPr>
            </w:pPr>
            <w:r w:rsidRPr="00CB1CC9">
              <w:rPr>
                <w:rFonts w:eastAsia="Times New Roman" w:cs="Calibri"/>
                <w:color w:val="000000"/>
                <w:sz w:val="18"/>
                <w:lang w:eastAsia="en-AU"/>
              </w:rPr>
              <w:t>43.</w:t>
            </w:r>
            <w:r w:rsidR="00B1780E">
              <w:rPr>
                <w:rFonts w:eastAsia="Times New Roman" w:cs="Calibri"/>
                <w:color w:val="000000"/>
                <w:sz w:val="18"/>
                <w:lang w:eastAsia="en-AU"/>
              </w:rPr>
              <w:t>2</w:t>
            </w:r>
            <w:r w:rsidRPr="00CB1CC9">
              <w:rPr>
                <w:rFonts w:eastAsia="Times New Roman" w:cs="Calibri"/>
                <w:color w:val="000000"/>
                <w:sz w:val="18"/>
                <w:lang w:eastAsia="en-AU"/>
              </w:rPr>
              <w:t>%</w:t>
            </w:r>
          </w:p>
        </w:tc>
      </w:tr>
      <w:tr w:rsidR="008D4887" w:rsidRPr="00FB115E" w14:paraId="00DB5F90" w14:textId="77777777" w:rsidTr="004906AA">
        <w:trPr>
          <w:trHeight w:val="255"/>
        </w:trPr>
        <w:tc>
          <w:tcPr>
            <w:cnfStyle w:val="001000000000" w:firstRow="0" w:lastRow="0" w:firstColumn="1" w:lastColumn="0" w:oddVBand="0" w:evenVBand="0" w:oddHBand="0" w:evenHBand="0" w:firstRowFirstColumn="0" w:firstRowLastColumn="0" w:lastRowFirstColumn="0" w:lastRowLastColumn="0"/>
            <w:tcW w:w="3248" w:type="pct"/>
            <w:tcBorders>
              <w:right w:val="none" w:sz="0" w:space="0" w:color="auto"/>
            </w:tcBorders>
            <w:shd w:val="clear" w:color="auto" w:fill="auto"/>
            <w:noWrap/>
            <w:hideMark/>
          </w:tcPr>
          <w:p w14:paraId="60F0DE46" w14:textId="77777777" w:rsidR="008D4887" w:rsidRPr="00CF5F96" w:rsidRDefault="008D4887">
            <w:pPr>
              <w:spacing w:before="0" w:after="0"/>
              <w:rPr>
                <w:rFonts w:eastAsia="Times New Roman" w:cs="Calibri"/>
                <w:b w:val="0"/>
                <w:color w:val="000000"/>
                <w:sz w:val="18"/>
                <w:lang w:eastAsia="en-AU"/>
              </w:rPr>
            </w:pPr>
            <w:r w:rsidRPr="00CF5F96">
              <w:rPr>
                <w:rFonts w:eastAsia="Times New Roman" w:cs="Calibri"/>
                <w:b w:val="0"/>
                <w:color w:val="000000"/>
                <w:sz w:val="18"/>
                <w:lang w:eastAsia="en-AU"/>
              </w:rPr>
              <w:t>Other Engineering Professionals</w:t>
            </w:r>
          </w:p>
        </w:tc>
        <w:tc>
          <w:tcPr>
            <w:tcW w:w="1752" w:type="pct"/>
            <w:noWrap/>
            <w:hideMark/>
          </w:tcPr>
          <w:p w14:paraId="138C1A58" w14:textId="77777777" w:rsidR="008D4887" w:rsidRPr="00CB1CC9" w:rsidRDefault="008D4887" w:rsidP="00CF5F9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AU"/>
              </w:rPr>
            </w:pPr>
            <w:r w:rsidRPr="00CB1CC9">
              <w:rPr>
                <w:rFonts w:eastAsia="Times New Roman" w:cs="Calibri"/>
                <w:color w:val="000000"/>
                <w:sz w:val="18"/>
                <w:lang w:eastAsia="en-AU"/>
              </w:rPr>
              <w:t>3.</w:t>
            </w:r>
            <w:r w:rsidR="00B1780E">
              <w:rPr>
                <w:rFonts w:eastAsia="Times New Roman" w:cs="Calibri"/>
                <w:color w:val="000000"/>
                <w:sz w:val="18"/>
                <w:lang w:eastAsia="en-AU"/>
              </w:rPr>
              <w:t>4</w:t>
            </w:r>
            <w:r w:rsidRPr="00CB1CC9">
              <w:rPr>
                <w:rFonts w:eastAsia="Times New Roman" w:cs="Calibri"/>
                <w:color w:val="000000"/>
                <w:sz w:val="18"/>
                <w:lang w:eastAsia="en-AU"/>
              </w:rPr>
              <w:t>%</w:t>
            </w:r>
          </w:p>
        </w:tc>
      </w:tr>
      <w:tr w:rsidR="008D4887" w:rsidRPr="00FB115E" w14:paraId="376B4DBD" w14:textId="77777777" w:rsidTr="004906A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48" w:type="pct"/>
            <w:tcBorders>
              <w:top w:val="none" w:sz="0" w:space="0" w:color="auto"/>
              <w:bottom w:val="none" w:sz="0" w:space="0" w:color="auto"/>
              <w:right w:val="none" w:sz="0" w:space="0" w:color="auto"/>
            </w:tcBorders>
            <w:shd w:val="clear" w:color="auto" w:fill="auto"/>
            <w:noWrap/>
            <w:hideMark/>
          </w:tcPr>
          <w:p w14:paraId="7AEDD6A0" w14:textId="77777777" w:rsidR="008D4887" w:rsidRPr="00CF5F96" w:rsidRDefault="008D4887">
            <w:pPr>
              <w:spacing w:before="0" w:after="0"/>
              <w:rPr>
                <w:rFonts w:eastAsia="Times New Roman" w:cs="Calibri"/>
                <w:b w:val="0"/>
                <w:color w:val="000000"/>
                <w:sz w:val="18"/>
                <w:lang w:eastAsia="en-AU"/>
              </w:rPr>
            </w:pPr>
            <w:r w:rsidRPr="00CF5F96">
              <w:rPr>
                <w:rFonts w:eastAsia="Times New Roman" w:cs="Calibri"/>
                <w:b w:val="0"/>
                <w:color w:val="000000"/>
                <w:sz w:val="18"/>
                <w:lang w:eastAsia="en-AU"/>
              </w:rPr>
              <w:t>Other Building and Engineering Technicians</w:t>
            </w:r>
          </w:p>
        </w:tc>
        <w:tc>
          <w:tcPr>
            <w:tcW w:w="1752" w:type="pct"/>
            <w:tcBorders>
              <w:top w:val="none" w:sz="0" w:space="0" w:color="auto"/>
              <w:bottom w:val="none" w:sz="0" w:space="0" w:color="auto"/>
            </w:tcBorders>
            <w:noWrap/>
            <w:hideMark/>
          </w:tcPr>
          <w:p w14:paraId="114FA4A0" w14:textId="77777777" w:rsidR="008D4887" w:rsidRPr="00CB1CC9" w:rsidRDefault="008D4887" w:rsidP="00CF5F96">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lang w:eastAsia="en-AU"/>
              </w:rPr>
            </w:pPr>
            <w:r w:rsidRPr="00CB1CC9">
              <w:rPr>
                <w:rFonts w:eastAsia="Times New Roman" w:cs="Calibri"/>
                <w:color w:val="000000"/>
                <w:sz w:val="18"/>
                <w:lang w:eastAsia="en-AU"/>
              </w:rPr>
              <w:t>2.0%</w:t>
            </w:r>
          </w:p>
        </w:tc>
      </w:tr>
      <w:tr w:rsidR="008D4887" w:rsidRPr="00FB115E" w14:paraId="16BE9475" w14:textId="77777777" w:rsidTr="004906AA">
        <w:trPr>
          <w:trHeight w:val="255"/>
        </w:trPr>
        <w:tc>
          <w:tcPr>
            <w:cnfStyle w:val="001000000000" w:firstRow="0" w:lastRow="0" w:firstColumn="1" w:lastColumn="0" w:oddVBand="0" w:evenVBand="0" w:oddHBand="0" w:evenHBand="0" w:firstRowFirstColumn="0" w:firstRowLastColumn="0" w:lastRowFirstColumn="0" w:lastRowLastColumn="0"/>
            <w:tcW w:w="3248" w:type="pct"/>
            <w:tcBorders>
              <w:right w:val="none" w:sz="0" w:space="0" w:color="auto"/>
            </w:tcBorders>
            <w:shd w:val="clear" w:color="auto" w:fill="auto"/>
            <w:noWrap/>
            <w:hideMark/>
          </w:tcPr>
          <w:p w14:paraId="2A922DAB" w14:textId="77777777" w:rsidR="008D4887" w:rsidRPr="00CF5F96" w:rsidRDefault="008D4887">
            <w:pPr>
              <w:spacing w:before="0" w:after="0"/>
              <w:rPr>
                <w:rFonts w:eastAsia="Times New Roman" w:cs="Calibri"/>
                <w:b w:val="0"/>
                <w:color w:val="000000"/>
                <w:sz w:val="18"/>
                <w:lang w:eastAsia="en-AU"/>
              </w:rPr>
            </w:pPr>
            <w:r w:rsidRPr="00CF5F96">
              <w:rPr>
                <w:rFonts w:eastAsia="Times New Roman" w:cs="Calibri"/>
                <w:b w:val="0"/>
                <w:color w:val="000000"/>
                <w:sz w:val="18"/>
                <w:lang w:eastAsia="en-AU"/>
              </w:rPr>
              <w:t>Industrial, Mechanical and Production Engineers</w:t>
            </w:r>
          </w:p>
        </w:tc>
        <w:tc>
          <w:tcPr>
            <w:tcW w:w="1752" w:type="pct"/>
            <w:noWrap/>
            <w:hideMark/>
          </w:tcPr>
          <w:p w14:paraId="44EEC313" w14:textId="77777777" w:rsidR="008D4887" w:rsidRPr="00CB1CC9" w:rsidRDefault="00B1780E" w:rsidP="00CF5F9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AU"/>
              </w:rPr>
            </w:pPr>
            <w:r>
              <w:rPr>
                <w:rFonts w:eastAsia="Times New Roman" w:cs="Calibri"/>
                <w:color w:val="000000"/>
                <w:sz w:val="18"/>
                <w:lang w:eastAsia="en-AU"/>
              </w:rPr>
              <w:t>2.0</w:t>
            </w:r>
            <w:r w:rsidR="008D4887" w:rsidRPr="00CB1CC9">
              <w:rPr>
                <w:rFonts w:eastAsia="Times New Roman" w:cs="Calibri"/>
                <w:color w:val="000000"/>
                <w:sz w:val="18"/>
                <w:lang w:eastAsia="en-AU"/>
              </w:rPr>
              <w:t>%</w:t>
            </w:r>
          </w:p>
        </w:tc>
      </w:tr>
      <w:tr w:rsidR="008D4887" w:rsidRPr="00FB115E" w14:paraId="6ABD294E" w14:textId="77777777" w:rsidTr="004906A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48" w:type="pct"/>
            <w:tcBorders>
              <w:top w:val="none" w:sz="0" w:space="0" w:color="auto"/>
              <w:bottom w:val="none" w:sz="0" w:space="0" w:color="auto"/>
              <w:right w:val="none" w:sz="0" w:space="0" w:color="auto"/>
            </w:tcBorders>
            <w:shd w:val="clear" w:color="auto" w:fill="auto"/>
            <w:noWrap/>
            <w:hideMark/>
          </w:tcPr>
          <w:p w14:paraId="28521D34" w14:textId="77777777" w:rsidR="008D4887" w:rsidRPr="00CF5F96" w:rsidRDefault="008D4887">
            <w:pPr>
              <w:spacing w:before="0" w:after="0"/>
              <w:rPr>
                <w:rFonts w:eastAsia="Times New Roman" w:cs="Calibri"/>
                <w:b w:val="0"/>
                <w:color w:val="000000"/>
                <w:sz w:val="18"/>
                <w:lang w:eastAsia="en-AU"/>
              </w:rPr>
            </w:pPr>
            <w:r w:rsidRPr="00CF5F96">
              <w:rPr>
                <w:rFonts w:eastAsia="Times New Roman" w:cs="Calibri"/>
                <w:b w:val="0"/>
                <w:color w:val="000000"/>
                <w:sz w:val="18"/>
                <w:lang w:eastAsia="en-AU"/>
              </w:rPr>
              <w:t>Contract, Program and Project Administrators</w:t>
            </w:r>
          </w:p>
        </w:tc>
        <w:tc>
          <w:tcPr>
            <w:tcW w:w="1752" w:type="pct"/>
            <w:tcBorders>
              <w:top w:val="none" w:sz="0" w:space="0" w:color="auto"/>
              <w:bottom w:val="none" w:sz="0" w:space="0" w:color="auto"/>
            </w:tcBorders>
            <w:noWrap/>
            <w:hideMark/>
          </w:tcPr>
          <w:p w14:paraId="71371F6A" w14:textId="77777777" w:rsidR="008D4887" w:rsidRPr="00CB1CC9" w:rsidRDefault="008D4887" w:rsidP="00CF5F96">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lang w:eastAsia="en-AU"/>
              </w:rPr>
            </w:pPr>
            <w:r w:rsidRPr="00CB1CC9">
              <w:rPr>
                <w:rFonts w:eastAsia="Times New Roman" w:cs="Calibri"/>
                <w:color w:val="000000"/>
                <w:sz w:val="18"/>
                <w:lang w:eastAsia="en-AU"/>
              </w:rPr>
              <w:t>1.8%</w:t>
            </w:r>
          </w:p>
        </w:tc>
      </w:tr>
      <w:tr w:rsidR="008D4887" w:rsidRPr="00FB115E" w14:paraId="5AEC9BED" w14:textId="77777777" w:rsidTr="004906AA">
        <w:trPr>
          <w:trHeight w:val="255"/>
        </w:trPr>
        <w:tc>
          <w:tcPr>
            <w:cnfStyle w:val="001000000000" w:firstRow="0" w:lastRow="0" w:firstColumn="1" w:lastColumn="0" w:oddVBand="0" w:evenVBand="0" w:oddHBand="0" w:evenHBand="0" w:firstRowFirstColumn="0" w:firstRowLastColumn="0" w:lastRowFirstColumn="0" w:lastRowLastColumn="0"/>
            <w:tcW w:w="3248" w:type="pct"/>
            <w:tcBorders>
              <w:right w:val="none" w:sz="0" w:space="0" w:color="auto"/>
            </w:tcBorders>
            <w:shd w:val="clear" w:color="auto" w:fill="auto"/>
            <w:noWrap/>
            <w:hideMark/>
          </w:tcPr>
          <w:p w14:paraId="75E682A7" w14:textId="77777777" w:rsidR="008D4887" w:rsidRPr="00CF5F96" w:rsidRDefault="008D4887">
            <w:pPr>
              <w:spacing w:before="0" w:after="0"/>
              <w:rPr>
                <w:rFonts w:eastAsia="Times New Roman" w:cs="Calibri"/>
                <w:b w:val="0"/>
                <w:color w:val="000000"/>
                <w:sz w:val="18"/>
                <w:lang w:eastAsia="en-AU"/>
              </w:rPr>
            </w:pPr>
            <w:r w:rsidRPr="00CF5F96">
              <w:rPr>
                <w:rFonts w:eastAsia="Times New Roman" w:cs="Calibri"/>
                <w:b w:val="0"/>
                <w:color w:val="000000"/>
                <w:sz w:val="18"/>
                <w:lang w:eastAsia="en-AU"/>
              </w:rPr>
              <w:t>Storepersons</w:t>
            </w:r>
          </w:p>
        </w:tc>
        <w:tc>
          <w:tcPr>
            <w:tcW w:w="1752" w:type="pct"/>
            <w:noWrap/>
            <w:hideMark/>
          </w:tcPr>
          <w:p w14:paraId="272F4166" w14:textId="77777777" w:rsidR="008D4887" w:rsidRPr="00CB1CC9" w:rsidRDefault="008D4887" w:rsidP="00CF5F9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AU"/>
              </w:rPr>
            </w:pPr>
            <w:r w:rsidRPr="00CB1CC9">
              <w:rPr>
                <w:rFonts w:eastAsia="Times New Roman" w:cs="Calibri"/>
                <w:color w:val="000000"/>
                <w:sz w:val="18"/>
                <w:lang w:eastAsia="en-AU"/>
              </w:rPr>
              <w:t>1.7%</w:t>
            </w:r>
          </w:p>
        </w:tc>
      </w:tr>
      <w:tr w:rsidR="008D4887" w:rsidRPr="00FB115E" w14:paraId="496081BF" w14:textId="77777777" w:rsidTr="004906A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48" w:type="pct"/>
            <w:tcBorders>
              <w:top w:val="none" w:sz="0" w:space="0" w:color="auto"/>
              <w:bottom w:val="none" w:sz="0" w:space="0" w:color="auto"/>
              <w:right w:val="none" w:sz="0" w:space="0" w:color="auto"/>
            </w:tcBorders>
            <w:shd w:val="clear" w:color="auto" w:fill="auto"/>
            <w:noWrap/>
            <w:hideMark/>
          </w:tcPr>
          <w:p w14:paraId="4226C3F1" w14:textId="77777777" w:rsidR="008D4887" w:rsidRPr="00CF5F96" w:rsidRDefault="008D4887">
            <w:pPr>
              <w:spacing w:before="0" w:after="0"/>
              <w:rPr>
                <w:rFonts w:eastAsia="Times New Roman" w:cs="Calibri"/>
                <w:b w:val="0"/>
                <w:color w:val="000000"/>
                <w:sz w:val="18"/>
                <w:lang w:eastAsia="en-AU"/>
              </w:rPr>
            </w:pPr>
            <w:r w:rsidRPr="00CF5F96">
              <w:rPr>
                <w:rFonts w:eastAsia="Times New Roman" w:cs="Calibri"/>
                <w:b w:val="0"/>
                <w:color w:val="000000"/>
                <w:sz w:val="18"/>
                <w:lang w:eastAsia="en-AU"/>
              </w:rPr>
              <w:t>Other Specialist Managers</w:t>
            </w:r>
          </w:p>
        </w:tc>
        <w:tc>
          <w:tcPr>
            <w:tcW w:w="1752" w:type="pct"/>
            <w:tcBorders>
              <w:top w:val="none" w:sz="0" w:space="0" w:color="auto"/>
              <w:bottom w:val="none" w:sz="0" w:space="0" w:color="auto"/>
            </w:tcBorders>
            <w:noWrap/>
            <w:hideMark/>
          </w:tcPr>
          <w:p w14:paraId="6437BD28" w14:textId="77777777" w:rsidR="008D4887" w:rsidRPr="00CB1CC9" w:rsidRDefault="008D4887" w:rsidP="00CF5F96">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lang w:eastAsia="en-AU"/>
              </w:rPr>
            </w:pPr>
            <w:r w:rsidRPr="00CB1CC9">
              <w:rPr>
                <w:rFonts w:eastAsia="Times New Roman" w:cs="Calibri"/>
                <w:color w:val="000000"/>
                <w:sz w:val="18"/>
                <w:lang w:eastAsia="en-AU"/>
              </w:rPr>
              <w:t>1.7%</w:t>
            </w:r>
          </w:p>
        </w:tc>
      </w:tr>
      <w:tr w:rsidR="008D4887" w:rsidRPr="00FB115E" w14:paraId="4FEC8B78" w14:textId="77777777" w:rsidTr="004906AA">
        <w:trPr>
          <w:trHeight w:val="255"/>
        </w:trPr>
        <w:tc>
          <w:tcPr>
            <w:cnfStyle w:val="001000000000" w:firstRow="0" w:lastRow="0" w:firstColumn="1" w:lastColumn="0" w:oddVBand="0" w:evenVBand="0" w:oddHBand="0" w:evenHBand="0" w:firstRowFirstColumn="0" w:firstRowLastColumn="0" w:lastRowFirstColumn="0" w:lastRowLastColumn="0"/>
            <w:tcW w:w="3248" w:type="pct"/>
            <w:tcBorders>
              <w:right w:val="none" w:sz="0" w:space="0" w:color="auto"/>
            </w:tcBorders>
            <w:shd w:val="clear" w:color="auto" w:fill="auto"/>
            <w:noWrap/>
            <w:hideMark/>
          </w:tcPr>
          <w:p w14:paraId="165E4A8A" w14:textId="77777777" w:rsidR="008D4887" w:rsidRPr="00CF5F96" w:rsidRDefault="008D4887">
            <w:pPr>
              <w:spacing w:before="0" w:after="0"/>
              <w:rPr>
                <w:rFonts w:eastAsia="Times New Roman" w:cs="Calibri"/>
                <w:b w:val="0"/>
                <w:color w:val="000000"/>
                <w:sz w:val="18"/>
                <w:lang w:eastAsia="en-AU"/>
              </w:rPr>
            </w:pPr>
            <w:r w:rsidRPr="00CF5F96">
              <w:rPr>
                <w:rFonts w:eastAsia="Times New Roman" w:cs="Calibri"/>
                <w:b w:val="0"/>
                <w:color w:val="000000"/>
                <w:sz w:val="18"/>
                <w:lang w:eastAsia="en-AU"/>
              </w:rPr>
              <w:t>Purchasing and Supply Logistics Clerks</w:t>
            </w:r>
          </w:p>
        </w:tc>
        <w:tc>
          <w:tcPr>
            <w:tcW w:w="1752" w:type="pct"/>
            <w:noWrap/>
            <w:hideMark/>
          </w:tcPr>
          <w:p w14:paraId="3A5E54EB" w14:textId="77777777" w:rsidR="008D4887" w:rsidRPr="00CB1CC9" w:rsidRDefault="008D4887" w:rsidP="00CF5F9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AU"/>
              </w:rPr>
            </w:pPr>
            <w:r w:rsidRPr="00CB1CC9">
              <w:rPr>
                <w:rFonts w:eastAsia="Times New Roman" w:cs="Calibri"/>
                <w:color w:val="000000"/>
                <w:sz w:val="18"/>
                <w:lang w:eastAsia="en-AU"/>
              </w:rPr>
              <w:t>1.7%</w:t>
            </w:r>
          </w:p>
        </w:tc>
      </w:tr>
      <w:tr w:rsidR="008D4887" w:rsidRPr="00FB115E" w14:paraId="111F9B4C" w14:textId="77777777" w:rsidTr="004906A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48" w:type="pct"/>
            <w:tcBorders>
              <w:top w:val="none" w:sz="0" w:space="0" w:color="auto"/>
              <w:bottom w:val="none" w:sz="0" w:space="0" w:color="auto"/>
              <w:right w:val="none" w:sz="0" w:space="0" w:color="auto"/>
            </w:tcBorders>
            <w:shd w:val="clear" w:color="auto" w:fill="auto"/>
            <w:noWrap/>
            <w:hideMark/>
          </w:tcPr>
          <w:p w14:paraId="40AF5B1A" w14:textId="77777777" w:rsidR="008D4887" w:rsidRPr="00CF5F96" w:rsidRDefault="008D4887">
            <w:pPr>
              <w:spacing w:before="0" w:after="0"/>
              <w:rPr>
                <w:rFonts w:eastAsia="Times New Roman" w:cs="Calibri"/>
                <w:b w:val="0"/>
                <w:color w:val="000000"/>
                <w:sz w:val="18"/>
                <w:lang w:eastAsia="en-AU"/>
              </w:rPr>
            </w:pPr>
            <w:r w:rsidRPr="00CF5F96">
              <w:rPr>
                <w:rFonts w:eastAsia="Times New Roman" w:cs="Calibri"/>
                <w:b w:val="0"/>
                <w:color w:val="000000"/>
                <w:sz w:val="18"/>
                <w:lang w:eastAsia="en-AU"/>
              </w:rPr>
              <w:t>Product Assemblers</w:t>
            </w:r>
          </w:p>
        </w:tc>
        <w:tc>
          <w:tcPr>
            <w:tcW w:w="1752" w:type="pct"/>
            <w:tcBorders>
              <w:top w:val="none" w:sz="0" w:space="0" w:color="auto"/>
              <w:bottom w:val="none" w:sz="0" w:space="0" w:color="auto"/>
            </w:tcBorders>
            <w:noWrap/>
            <w:hideMark/>
          </w:tcPr>
          <w:p w14:paraId="2246CC7D" w14:textId="77777777" w:rsidR="008D4887" w:rsidRPr="00CB1CC9" w:rsidRDefault="008D4887" w:rsidP="00CF5F96">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lang w:eastAsia="en-AU"/>
              </w:rPr>
            </w:pPr>
            <w:r w:rsidRPr="00CB1CC9">
              <w:rPr>
                <w:rFonts w:eastAsia="Times New Roman" w:cs="Calibri"/>
                <w:color w:val="000000"/>
                <w:sz w:val="18"/>
                <w:lang w:eastAsia="en-AU"/>
              </w:rPr>
              <w:t>1.6%</w:t>
            </w:r>
          </w:p>
        </w:tc>
      </w:tr>
      <w:tr w:rsidR="008D4887" w:rsidRPr="00FB115E" w14:paraId="3FADE671" w14:textId="77777777" w:rsidTr="004906AA">
        <w:trPr>
          <w:trHeight w:val="255"/>
        </w:trPr>
        <w:tc>
          <w:tcPr>
            <w:cnfStyle w:val="001000000000" w:firstRow="0" w:lastRow="0" w:firstColumn="1" w:lastColumn="0" w:oddVBand="0" w:evenVBand="0" w:oddHBand="0" w:evenHBand="0" w:firstRowFirstColumn="0" w:firstRowLastColumn="0" w:lastRowFirstColumn="0" w:lastRowLastColumn="0"/>
            <w:tcW w:w="3248" w:type="pct"/>
            <w:tcBorders>
              <w:right w:val="none" w:sz="0" w:space="0" w:color="auto"/>
            </w:tcBorders>
            <w:shd w:val="clear" w:color="auto" w:fill="auto"/>
            <w:noWrap/>
            <w:hideMark/>
          </w:tcPr>
          <w:p w14:paraId="04957BD1" w14:textId="77777777" w:rsidR="008D4887" w:rsidRPr="00CF5F96" w:rsidRDefault="008D4887">
            <w:pPr>
              <w:spacing w:before="0" w:after="0"/>
              <w:rPr>
                <w:rFonts w:eastAsia="Times New Roman" w:cs="Calibri"/>
                <w:b w:val="0"/>
                <w:color w:val="000000"/>
                <w:sz w:val="18"/>
                <w:lang w:eastAsia="en-AU"/>
              </w:rPr>
            </w:pPr>
            <w:r w:rsidRPr="00CF5F96">
              <w:rPr>
                <w:rFonts w:eastAsia="Times New Roman" w:cs="Calibri"/>
                <w:b w:val="0"/>
                <w:color w:val="000000"/>
                <w:sz w:val="18"/>
                <w:lang w:eastAsia="en-AU"/>
              </w:rPr>
              <w:t>Metal Fitters and Machinists</w:t>
            </w:r>
          </w:p>
        </w:tc>
        <w:tc>
          <w:tcPr>
            <w:tcW w:w="1752" w:type="pct"/>
            <w:noWrap/>
            <w:hideMark/>
          </w:tcPr>
          <w:p w14:paraId="75BBC628" w14:textId="77777777" w:rsidR="008D4887" w:rsidRPr="00CB1CC9" w:rsidRDefault="008D4887" w:rsidP="00CF5F9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AU"/>
              </w:rPr>
            </w:pPr>
            <w:r w:rsidRPr="00CB1CC9">
              <w:rPr>
                <w:rFonts w:eastAsia="Times New Roman" w:cs="Calibri"/>
                <w:color w:val="000000"/>
                <w:sz w:val="18"/>
                <w:lang w:eastAsia="en-AU"/>
              </w:rPr>
              <w:t>1.</w:t>
            </w:r>
            <w:r w:rsidR="00B1780E">
              <w:rPr>
                <w:rFonts w:eastAsia="Times New Roman" w:cs="Calibri"/>
                <w:color w:val="000000"/>
                <w:sz w:val="18"/>
                <w:lang w:eastAsia="en-AU"/>
              </w:rPr>
              <w:t>6</w:t>
            </w:r>
            <w:r w:rsidRPr="00CB1CC9">
              <w:rPr>
                <w:rFonts w:eastAsia="Times New Roman" w:cs="Calibri"/>
                <w:color w:val="000000"/>
                <w:sz w:val="18"/>
                <w:lang w:eastAsia="en-AU"/>
              </w:rPr>
              <w:t>%</w:t>
            </w:r>
          </w:p>
        </w:tc>
      </w:tr>
      <w:tr w:rsidR="008D4887" w:rsidRPr="00FB115E" w14:paraId="3DB5D421" w14:textId="77777777" w:rsidTr="004906A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48" w:type="pct"/>
            <w:tcBorders>
              <w:top w:val="none" w:sz="0" w:space="0" w:color="auto"/>
              <w:bottom w:val="none" w:sz="0" w:space="0" w:color="auto"/>
              <w:right w:val="none" w:sz="0" w:space="0" w:color="auto"/>
            </w:tcBorders>
            <w:shd w:val="clear" w:color="auto" w:fill="auto"/>
            <w:noWrap/>
            <w:hideMark/>
          </w:tcPr>
          <w:p w14:paraId="0D6E44E9" w14:textId="77777777" w:rsidR="008D4887" w:rsidRPr="00CF5F96" w:rsidRDefault="008D4887">
            <w:pPr>
              <w:spacing w:before="0" w:after="0"/>
              <w:rPr>
                <w:rFonts w:eastAsia="Times New Roman" w:cs="Calibri"/>
                <w:b w:val="0"/>
                <w:color w:val="000000"/>
                <w:sz w:val="18"/>
                <w:lang w:eastAsia="en-AU"/>
              </w:rPr>
            </w:pPr>
            <w:r w:rsidRPr="00CF5F96">
              <w:rPr>
                <w:rFonts w:eastAsia="Times New Roman" w:cs="Calibri"/>
                <w:b w:val="0"/>
                <w:color w:val="000000"/>
                <w:sz w:val="18"/>
                <w:lang w:eastAsia="en-AU"/>
              </w:rPr>
              <w:t>Engineering Managers</w:t>
            </w:r>
          </w:p>
        </w:tc>
        <w:tc>
          <w:tcPr>
            <w:tcW w:w="1752" w:type="pct"/>
            <w:tcBorders>
              <w:top w:val="none" w:sz="0" w:space="0" w:color="auto"/>
              <w:bottom w:val="none" w:sz="0" w:space="0" w:color="auto"/>
            </w:tcBorders>
            <w:noWrap/>
            <w:hideMark/>
          </w:tcPr>
          <w:p w14:paraId="5A565989" w14:textId="77777777" w:rsidR="008D4887" w:rsidRPr="00CB1CC9" w:rsidRDefault="008D4887" w:rsidP="00CF5F96">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lang w:eastAsia="en-AU"/>
              </w:rPr>
            </w:pPr>
            <w:r w:rsidRPr="00CB1CC9">
              <w:rPr>
                <w:rFonts w:eastAsia="Times New Roman" w:cs="Calibri"/>
                <w:color w:val="000000"/>
                <w:sz w:val="18"/>
                <w:lang w:eastAsia="en-AU"/>
              </w:rPr>
              <w:t>1.4%</w:t>
            </w:r>
          </w:p>
        </w:tc>
      </w:tr>
      <w:tr w:rsidR="008D4887" w:rsidRPr="00FB115E" w14:paraId="676B1C89" w14:textId="77777777" w:rsidTr="004906AA">
        <w:trPr>
          <w:trHeight w:val="255"/>
        </w:trPr>
        <w:tc>
          <w:tcPr>
            <w:cnfStyle w:val="001000000000" w:firstRow="0" w:lastRow="0" w:firstColumn="1" w:lastColumn="0" w:oddVBand="0" w:evenVBand="0" w:oddHBand="0" w:evenHBand="0" w:firstRowFirstColumn="0" w:firstRowLastColumn="0" w:lastRowFirstColumn="0" w:lastRowLastColumn="0"/>
            <w:tcW w:w="3248" w:type="pct"/>
            <w:tcBorders>
              <w:right w:val="none" w:sz="0" w:space="0" w:color="auto"/>
            </w:tcBorders>
            <w:shd w:val="clear" w:color="auto" w:fill="auto"/>
            <w:noWrap/>
            <w:hideMark/>
          </w:tcPr>
          <w:p w14:paraId="0397DD65" w14:textId="77777777" w:rsidR="008D4887" w:rsidRPr="00CF5F96" w:rsidRDefault="008D4887">
            <w:pPr>
              <w:spacing w:before="0" w:after="0"/>
              <w:rPr>
                <w:rFonts w:eastAsia="Times New Roman" w:cs="Calibri"/>
                <w:b w:val="0"/>
                <w:color w:val="000000"/>
                <w:sz w:val="18"/>
                <w:lang w:eastAsia="en-AU"/>
              </w:rPr>
            </w:pPr>
            <w:r w:rsidRPr="00CF5F96">
              <w:rPr>
                <w:rFonts w:eastAsia="Times New Roman" w:cs="Calibri"/>
                <w:b w:val="0"/>
                <w:color w:val="000000"/>
                <w:sz w:val="18"/>
                <w:lang w:eastAsia="en-AU"/>
              </w:rPr>
              <w:t>General Clerks</w:t>
            </w:r>
          </w:p>
        </w:tc>
        <w:tc>
          <w:tcPr>
            <w:tcW w:w="1752" w:type="pct"/>
            <w:noWrap/>
            <w:hideMark/>
          </w:tcPr>
          <w:p w14:paraId="74151247" w14:textId="77777777" w:rsidR="008D4887" w:rsidRPr="00CB1CC9" w:rsidRDefault="008D4887" w:rsidP="00CF5F9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AU"/>
              </w:rPr>
            </w:pPr>
            <w:r w:rsidRPr="00CB1CC9">
              <w:rPr>
                <w:rFonts w:eastAsia="Times New Roman" w:cs="Calibri"/>
                <w:color w:val="000000"/>
                <w:sz w:val="18"/>
                <w:lang w:eastAsia="en-AU"/>
              </w:rPr>
              <w:t>1.</w:t>
            </w:r>
            <w:r w:rsidR="00B1780E">
              <w:rPr>
                <w:rFonts w:eastAsia="Times New Roman" w:cs="Calibri"/>
                <w:color w:val="000000"/>
                <w:sz w:val="18"/>
                <w:lang w:eastAsia="en-AU"/>
              </w:rPr>
              <w:t>3</w:t>
            </w:r>
            <w:r w:rsidRPr="00CB1CC9">
              <w:rPr>
                <w:rFonts w:eastAsia="Times New Roman" w:cs="Calibri"/>
                <w:color w:val="000000"/>
                <w:sz w:val="18"/>
                <w:lang w:eastAsia="en-AU"/>
              </w:rPr>
              <w:t>%</w:t>
            </w:r>
          </w:p>
        </w:tc>
      </w:tr>
      <w:tr w:rsidR="008D4887" w:rsidRPr="00FB115E" w14:paraId="50792E1E" w14:textId="77777777" w:rsidTr="004906A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48" w:type="pct"/>
            <w:tcBorders>
              <w:top w:val="none" w:sz="0" w:space="0" w:color="auto"/>
              <w:bottom w:val="none" w:sz="0" w:space="0" w:color="auto"/>
              <w:right w:val="none" w:sz="0" w:space="0" w:color="auto"/>
            </w:tcBorders>
            <w:shd w:val="clear" w:color="auto" w:fill="auto"/>
            <w:noWrap/>
            <w:hideMark/>
          </w:tcPr>
          <w:p w14:paraId="13329F98" w14:textId="77777777" w:rsidR="008D4887" w:rsidRPr="00CF5F96" w:rsidRDefault="008D4887">
            <w:pPr>
              <w:spacing w:before="0" w:after="0"/>
              <w:rPr>
                <w:rFonts w:eastAsia="Times New Roman" w:cs="Calibri"/>
                <w:b w:val="0"/>
                <w:color w:val="000000"/>
                <w:sz w:val="18"/>
                <w:lang w:eastAsia="en-AU"/>
              </w:rPr>
            </w:pPr>
            <w:r w:rsidRPr="00CF5F96">
              <w:rPr>
                <w:rFonts w:eastAsia="Times New Roman" w:cs="Calibri"/>
                <w:b w:val="0"/>
                <w:color w:val="000000"/>
                <w:sz w:val="18"/>
                <w:lang w:eastAsia="en-AU"/>
              </w:rPr>
              <w:t>Other Mobile Plant Operators</w:t>
            </w:r>
          </w:p>
        </w:tc>
        <w:tc>
          <w:tcPr>
            <w:tcW w:w="1752" w:type="pct"/>
            <w:tcBorders>
              <w:top w:val="none" w:sz="0" w:space="0" w:color="auto"/>
              <w:bottom w:val="none" w:sz="0" w:space="0" w:color="auto"/>
            </w:tcBorders>
            <w:noWrap/>
            <w:hideMark/>
          </w:tcPr>
          <w:p w14:paraId="18214C4F" w14:textId="77777777" w:rsidR="008D4887" w:rsidRPr="00CB1CC9" w:rsidRDefault="008D4887" w:rsidP="00CF5F96">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lang w:eastAsia="en-AU"/>
              </w:rPr>
            </w:pPr>
            <w:r w:rsidRPr="00CB1CC9">
              <w:rPr>
                <w:rFonts w:eastAsia="Times New Roman" w:cs="Calibri"/>
                <w:color w:val="000000"/>
                <w:sz w:val="18"/>
                <w:lang w:eastAsia="en-AU"/>
              </w:rPr>
              <w:t>1.2%</w:t>
            </w:r>
          </w:p>
        </w:tc>
      </w:tr>
      <w:tr w:rsidR="008D4887" w:rsidRPr="00FB115E" w14:paraId="7F0E57F8" w14:textId="77777777" w:rsidTr="004906AA">
        <w:trPr>
          <w:trHeight w:val="255"/>
        </w:trPr>
        <w:tc>
          <w:tcPr>
            <w:cnfStyle w:val="001000000000" w:firstRow="0" w:lastRow="0" w:firstColumn="1" w:lastColumn="0" w:oddVBand="0" w:evenVBand="0" w:oddHBand="0" w:evenHBand="0" w:firstRowFirstColumn="0" w:firstRowLastColumn="0" w:lastRowFirstColumn="0" w:lastRowLastColumn="0"/>
            <w:tcW w:w="3248" w:type="pct"/>
            <w:tcBorders>
              <w:right w:val="none" w:sz="0" w:space="0" w:color="auto"/>
            </w:tcBorders>
            <w:shd w:val="clear" w:color="auto" w:fill="auto"/>
            <w:noWrap/>
            <w:hideMark/>
          </w:tcPr>
          <w:p w14:paraId="53EB104F" w14:textId="77777777" w:rsidR="008D4887" w:rsidRPr="00CF5F96" w:rsidRDefault="008D4887">
            <w:pPr>
              <w:spacing w:before="0" w:after="0"/>
              <w:rPr>
                <w:rFonts w:eastAsia="Times New Roman" w:cs="Calibri"/>
                <w:b w:val="0"/>
                <w:color w:val="000000"/>
                <w:sz w:val="18"/>
                <w:lang w:eastAsia="en-AU"/>
              </w:rPr>
            </w:pPr>
            <w:r w:rsidRPr="00CF5F96">
              <w:rPr>
                <w:rFonts w:eastAsia="Times New Roman" w:cs="Calibri"/>
                <w:b w:val="0"/>
                <w:color w:val="000000"/>
                <w:sz w:val="18"/>
                <w:lang w:eastAsia="en-AU"/>
              </w:rPr>
              <w:t>Vehicle Painters</w:t>
            </w:r>
          </w:p>
        </w:tc>
        <w:tc>
          <w:tcPr>
            <w:tcW w:w="1752" w:type="pct"/>
            <w:noWrap/>
            <w:hideMark/>
          </w:tcPr>
          <w:p w14:paraId="7BDD979D" w14:textId="77777777" w:rsidR="008D4887" w:rsidRPr="00CB1CC9" w:rsidRDefault="008D4887" w:rsidP="00CF5F9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AU"/>
              </w:rPr>
            </w:pPr>
            <w:r w:rsidRPr="00CB1CC9">
              <w:rPr>
                <w:rFonts w:eastAsia="Times New Roman" w:cs="Calibri"/>
                <w:color w:val="000000"/>
                <w:sz w:val="18"/>
                <w:lang w:eastAsia="en-AU"/>
              </w:rPr>
              <w:t>1.2%</w:t>
            </w:r>
          </w:p>
        </w:tc>
      </w:tr>
      <w:tr w:rsidR="008D4887" w:rsidRPr="00FB115E" w14:paraId="7B3496A9" w14:textId="77777777" w:rsidTr="004906A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48" w:type="pct"/>
            <w:tcBorders>
              <w:top w:val="none" w:sz="0" w:space="0" w:color="auto"/>
              <w:bottom w:val="none" w:sz="0" w:space="0" w:color="auto"/>
              <w:right w:val="none" w:sz="0" w:space="0" w:color="auto"/>
            </w:tcBorders>
            <w:shd w:val="clear" w:color="auto" w:fill="auto"/>
            <w:noWrap/>
            <w:hideMark/>
          </w:tcPr>
          <w:p w14:paraId="6451C1B3" w14:textId="77777777" w:rsidR="008D4887" w:rsidRPr="00CF5F96" w:rsidRDefault="008D4887">
            <w:pPr>
              <w:spacing w:before="0" w:after="0"/>
              <w:rPr>
                <w:rFonts w:eastAsia="Times New Roman" w:cs="Calibri"/>
                <w:b w:val="0"/>
                <w:color w:val="000000"/>
                <w:sz w:val="18"/>
                <w:lang w:eastAsia="en-AU"/>
              </w:rPr>
            </w:pPr>
            <w:r w:rsidRPr="00CF5F96">
              <w:rPr>
                <w:rFonts w:eastAsia="Times New Roman" w:cs="Calibri"/>
                <w:b w:val="0"/>
                <w:color w:val="000000"/>
                <w:sz w:val="18"/>
                <w:lang w:eastAsia="en-AU"/>
              </w:rPr>
              <w:t>Metal Engineering Process Workers</w:t>
            </w:r>
          </w:p>
        </w:tc>
        <w:tc>
          <w:tcPr>
            <w:tcW w:w="1752" w:type="pct"/>
            <w:tcBorders>
              <w:top w:val="none" w:sz="0" w:space="0" w:color="auto"/>
              <w:bottom w:val="none" w:sz="0" w:space="0" w:color="auto"/>
            </w:tcBorders>
            <w:noWrap/>
            <w:hideMark/>
          </w:tcPr>
          <w:p w14:paraId="2F80CC91" w14:textId="77777777" w:rsidR="008D4887" w:rsidRPr="00CB1CC9" w:rsidRDefault="008D4887" w:rsidP="00CF5F96">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lang w:eastAsia="en-AU"/>
              </w:rPr>
            </w:pPr>
            <w:r w:rsidRPr="00CB1CC9">
              <w:rPr>
                <w:rFonts w:eastAsia="Times New Roman" w:cs="Calibri"/>
                <w:color w:val="000000"/>
                <w:sz w:val="18"/>
                <w:lang w:eastAsia="en-AU"/>
              </w:rPr>
              <w:t>1.2%</w:t>
            </w:r>
          </w:p>
        </w:tc>
      </w:tr>
      <w:tr w:rsidR="008D4887" w:rsidRPr="00FB115E" w14:paraId="23129819" w14:textId="77777777" w:rsidTr="004906AA">
        <w:trPr>
          <w:trHeight w:val="255"/>
        </w:trPr>
        <w:tc>
          <w:tcPr>
            <w:cnfStyle w:val="001000000000" w:firstRow="0" w:lastRow="0" w:firstColumn="1" w:lastColumn="0" w:oddVBand="0" w:evenVBand="0" w:oddHBand="0" w:evenHBand="0" w:firstRowFirstColumn="0" w:firstRowLastColumn="0" w:lastRowFirstColumn="0" w:lastRowLastColumn="0"/>
            <w:tcW w:w="3248" w:type="pct"/>
            <w:tcBorders>
              <w:right w:val="none" w:sz="0" w:space="0" w:color="auto"/>
            </w:tcBorders>
            <w:shd w:val="clear" w:color="auto" w:fill="auto"/>
            <w:noWrap/>
            <w:hideMark/>
          </w:tcPr>
          <w:p w14:paraId="2B84D63E" w14:textId="77777777" w:rsidR="008D4887" w:rsidRPr="00CF5F96" w:rsidRDefault="008D4887">
            <w:pPr>
              <w:spacing w:before="0" w:after="0"/>
              <w:rPr>
                <w:rFonts w:eastAsia="Times New Roman" w:cs="Calibri"/>
                <w:b w:val="0"/>
                <w:color w:val="000000"/>
                <w:sz w:val="18"/>
                <w:lang w:eastAsia="en-AU"/>
              </w:rPr>
            </w:pPr>
            <w:r w:rsidRPr="00CF5F96">
              <w:rPr>
                <w:rFonts w:eastAsia="Times New Roman" w:cs="Calibri"/>
                <w:b w:val="0"/>
                <w:color w:val="000000"/>
                <w:sz w:val="18"/>
                <w:lang w:eastAsia="en-AU"/>
              </w:rPr>
              <w:t>Software and Applications Programmers</w:t>
            </w:r>
          </w:p>
        </w:tc>
        <w:tc>
          <w:tcPr>
            <w:tcW w:w="1752" w:type="pct"/>
            <w:noWrap/>
            <w:hideMark/>
          </w:tcPr>
          <w:p w14:paraId="221BE450" w14:textId="77777777" w:rsidR="008D4887" w:rsidRPr="00CB1CC9" w:rsidRDefault="008D4887" w:rsidP="00CF5F9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AU"/>
              </w:rPr>
            </w:pPr>
            <w:r w:rsidRPr="00CB1CC9">
              <w:rPr>
                <w:rFonts w:eastAsia="Times New Roman" w:cs="Calibri"/>
                <w:color w:val="000000"/>
                <w:sz w:val="18"/>
                <w:lang w:eastAsia="en-AU"/>
              </w:rPr>
              <w:t>1.</w:t>
            </w:r>
            <w:r w:rsidR="00B1780E">
              <w:rPr>
                <w:rFonts w:eastAsia="Times New Roman" w:cs="Calibri"/>
                <w:color w:val="000000"/>
                <w:sz w:val="18"/>
                <w:lang w:eastAsia="en-AU"/>
              </w:rPr>
              <w:t>2</w:t>
            </w:r>
            <w:r w:rsidRPr="00CB1CC9">
              <w:rPr>
                <w:rFonts w:eastAsia="Times New Roman" w:cs="Calibri"/>
                <w:color w:val="000000"/>
                <w:sz w:val="18"/>
                <w:lang w:eastAsia="en-AU"/>
              </w:rPr>
              <w:t>%</w:t>
            </w:r>
          </w:p>
        </w:tc>
      </w:tr>
      <w:tr w:rsidR="008D4887" w:rsidRPr="00FB115E" w14:paraId="0FA16739" w14:textId="77777777" w:rsidTr="004906A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48" w:type="pct"/>
            <w:tcBorders>
              <w:top w:val="none" w:sz="0" w:space="0" w:color="auto"/>
              <w:bottom w:val="none" w:sz="0" w:space="0" w:color="auto"/>
              <w:right w:val="none" w:sz="0" w:space="0" w:color="auto"/>
            </w:tcBorders>
            <w:shd w:val="clear" w:color="auto" w:fill="auto"/>
            <w:noWrap/>
            <w:hideMark/>
          </w:tcPr>
          <w:p w14:paraId="1B61B20E" w14:textId="77777777" w:rsidR="008D4887" w:rsidRPr="00CF5F96" w:rsidRDefault="008D4887">
            <w:pPr>
              <w:spacing w:before="0" w:after="0"/>
              <w:rPr>
                <w:rFonts w:eastAsia="Times New Roman" w:cs="Calibri"/>
                <w:b w:val="0"/>
                <w:color w:val="000000"/>
                <w:sz w:val="18"/>
                <w:lang w:eastAsia="en-AU"/>
              </w:rPr>
            </w:pPr>
            <w:r w:rsidRPr="00CF5F96">
              <w:rPr>
                <w:rFonts w:eastAsia="Times New Roman" w:cs="Calibri"/>
                <w:b w:val="0"/>
                <w:color w:val="000000"/>
                <w:sz w:val="18"/>
                <w:lang w:eastAsia="en-AU"/>
              </w:rPr>
              <w:t>Office Managers</w:t>
            </w:r>
          </w:p>
        </w:tc>
        <w:tc>
          <w:tcPr>
            <w:tcW w:w="1752" w:type="pct"/>
            <w:tcBorders>
              <w:top w:val="none" w:sz="0" w:space="0" w:color="auto"/>
              <w:bottom w:val="none" w:sz="0" w:space="0" w:color="auto"/>
            </w:tcBorders>
            <w:noWrap/>
            <w:hideMark/>
          </w:tcPr>
          <w:p w14:paraId="0DF874B1" w14:textId="77777777" w:rsidR="008D4887" w:rsidRPr="00CB1CC9" w:rsidRDefault="008D4887" w:rsidP="00CF5F96">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lang w:eastAsia="en-AU"/>
              </w:rPr>
            </w:pPr>
            <w:r w:rsidRPr="00CB1CC9">
              <w:rPr>
                <w:rFonts w:eastAsia="Times New Roman" w:cs="Calibri"/>
                <w:color w:val="000000"/>
                <w:sz w:val="18"/>
                <w:lang w:eastAsia="en-AU"/>
              </w:rPr>
              <w:t>1.</w:t>
            </w:r>
            <w:r w:rsidR="00B1780E">
              <w:rPr>
                <w:rFonts w:eastAsia="Times New Roman" w:cs="Calibri"/>
                <w:color w:val="000000"/>
                <w:sz w:val="18"/>
                <w:lang w:eastAsia="en-AU"/>
              </w:rPr>
              <w:t>2</w:t>
            </w:r>
            <w:r w:rsidRPr="00CB1CC9">
              <w:rPr>
                <w:rFonts w:eastAsia="Times New Roman" w:cs="Calibri"/>
                <w:color w:val="000000"/>
                <w:sz w:val="18"/>
                <w:lang w:eastAsia="en-AU"/>
              </w:rPr>
              <w:t>%</w:t>
            </w:r>
          </w:p>
        </w:tc>
      </w:tr>
      <w:tr w:rsidR="008D4887" w:rsidRPr="00FB115E" w14:paraId="742C0208" w14:textId="77777777" w:rsidTr="004906AA">
        <w:trPr>
          <w:trHeight w:val="255"/>
        </w:trPr>
        <w:tc>
          <w:tcPr>
            <w:cnfStyle w:val="001000000000" w:firstRow="0" w:lastRow="0" w:firstColumn="1" w:lastColumn="0" w:oddVBand="0" w:evenVBand="0" w:oddHBand="0" w:evenHBand="0" w:firstRowFirstColumn="0" w:firstRowLastColumn="0" w:lastRowFirstColumn="0" w:lastRowLastColumn="0"/>
            <w:tcW w:w="3248" w:type="pct"/>
            <w:tcBorders>
              <w:right w:val="none" w:sz="0" w:space="0" w:color="auto"/>
            </w:tcBorders>
            <w:shd w:val="clear" w:color="auto" w:fill="auto"/>
            <w:noWrap/>
            <w:hideMark/>
          </w:tcPr>
          <w:p w14:paraId="3E019CAC" w14:textId="77777777" w:rsidR="008D4887" w:rsidRPr="00CF5F96" w:rsidRDefault="008D4887">
            <w:pPr>
              <w:spacing w:before="0" w:after="0"/>
              <w:rPr>
                <w:rFonts w:eastAsia="Times New Roman" w:cs="Calibri"/>
                <w:b w:val="0"/>
                <w:color w:val="000000"/>
                <w:sz w:val="18"/>
                <w:lang w:eastAsia="en-AU"/>
              </w:rPr>
            </w:pPr>
            <w:r w:rsidRPr="00CF5F96">
              <w:rPr>
                <w:rFonts w:eastAsia="Times New Roman" w:cs="Calibri"/>
                <w:b w:val="0"/>
                <w:color w:val="000000"/>
                <w:sz w:val="18"/>
                <w:lang w:eastAsia="en-AU"/>
              </w:rPr>
              <w:t>Production Managers</w:t>
            </w:r>
          </w:p>
        </w:tc>
        <w:tc>
          <w:tcPr>
            <w:tcW w:w="1752" w:type="pct"/>
            <w:noWrap/>
            <w:hideMark/>
          </w:tcPr>
          <w:p w14:paraId="5EE43758" w14:textId="77777777" w:rsidR="008D4887" w:rsidRPr="00CB1CC9" w:rsidRDefault="008D4887" w:rsidP="00CF5F9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AU"/>
              </w:rPr>
            </w:pPr>
            <w:r w:rsidRPr="00CB1CC9">
              <w:rPr>
                <w:rFonts w:eastAsia="Times New Roman" w:cs="Calibri"/>
                <w:color w:val="000000"/>
                <w:sz w:val="18"/>
                <w:lang w:eastAsia="en-AU"/>
              </w:rPr>
              <w:t>1.1%</w:t>
            </w:r>
          </w:p>
        </w:tc>
      </w:tr>
      <w:tr w:rsidR="008D4887" w:rsidRPr="00FB115E" w14:paraId="2F635403" w14:textId="77777777" w:rsidTr="004906A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48" w:type="pct"/>
            <w:tcBorders>
              <w:top w:val="none" w:sz="0" w:space="0" w:color="auto"/>
              <w:bottom w:val="none" w:sz="0" w:space="0" w:color="auto"/>
              <w:right w:val="none" w:sz="0" w:space="0" w:color="auto"/>
            </w:tcBorders>
            <w:shd w:val="clear" w:color="auto" w:fill="auto"/>
            <w:noWrap/>
            <w:hideMark/>
          </w:tcPr>
          <w:p w14:paraId="5756EFA8" w14:textId="77777777" w:rsidR="008D4887" w:rsidRPr="00CF5F96" w:rsidRDefault="008D4887">
            <w:pPr>
              <w:spacing w:before="0" w:after="0"/>
              <w:rPr>
                <w:rFonts w:eastAsia="Times New Roman" w:cs="Calibri"/>
                <w:b w:val="0"/>
                <w:color w:val="000000"/>
                <w:sz w:val="18"/>
                <w:lang w:eastAsia="en-AU"/>
              </w:rPr>
            </w:pPr>
            <w:r w:rsidRPr="00CF5F96">
              <w:rPr>
                <w:rFonts w:eastAsia="Times New Roman" w:cs="Calibri"/>
                <w:b w:val="0"/>
                <w:color w:val="000000"/>
                <w:sz w:val="18"/>
                <w:lang w:eastAsia="en-AU"/>
              </w:rPr>
              <w:t>Engineering Professionals, nfd</w:t>
            </w:r>
          </w:p>
        </w:tc>
        <w:tc>
          <w:tcPr>
            <w:tcW w:w="1752" w:type="pct"/>
            <w:tcBorders>
              <w:top w:val="none" w:sz="0" w:space="0" w:color="auto"/>
              <w:bottom w:val="none" w:sz="0" w:space="0" w:color="auto"/>
            </w:tcBorders>
            <w:noWrap/>
            <w:hideMark/>
          </w:tcPr>
          <w:p w14:paraId="3D34D886" w14:textId="77777777" w:rsidR="008D4887" w:rsidRPr="00CB1CC9" w:rsidRDefault="008D4887" w:rsidP="00CF5F96">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lang w:eastAsia="en-AU"/>
              </w:rPr>
            </w:pPr>
            <w:r w:rsidRPr="00CB1CC9">
              <w:rPr>
                <w:rFonts w:eastAsia="Times New Roman" w:cs="Calibri"/>
                <w:color w:val="000000"/>
                <w:sz w:val="18"/>
                <w:lang w:eastAsia="en-AU"/>
              </w:rPr>
              <w:t>1.</w:t>
            </w:r>
            <w:r w:rsidR="00B1780E">
              <w:rPr>
                <w:rFonts w:eastAsia="Times New Roman" w:cs="Calibri"/>
                <w:color w:val="000000"/>
                <w:sz w:val="18"/>
                <w:lang w:eastAsia="en-AU"/>
              </w:rPr>
              <w:t>1</w:t>
            </w:r>
            <w:r w:rsidRPr="00CB1CC9">
              <w:rPr>
                <w:rFonts w:eastAsia="Times New Roman" w:cs="Calibri"/>
                <w:color w:val="000000"/>
                <w:sz w:val="18"/>
                <w:lang w:eastAsia="en-AU"/>
              </w:rPr>
              <w:t>%</w:t>
            </w:r>
          </w:p>
        </w:tc>
      </w:tr>
      <w:tr w:rsidR="008D4887" w:rsidRPr="00FB115E" w14:paraId="7833C21D" w14:textId="77777777" w:rsidTr="004906AA">
        <w:trPr>
          <w:trHeight w:val="255"/>
        </w:trPr>
        <w:tc>
          <w:tcPr>
            <w:cnfStyle w:val="001000000000" w:firstRow="0" w:lastRow="0" w:firstColumn="1" w:lastColumn="0" w:oddVBand="0" w:evenVBand="0" w:oddHBand="0" w:evenHBand="0" w:firstRowFirstColumn="0" w:firstRowLastColumn="0" w:lastRowFirstColumn="0" w:lastRowLastColumn="0"/>
            <w:tcW w:w="3248" w:type="pct"/>
            <w:tcBorders>
              <w:right w:val="none" w:sz="0" w:space="0" w:color="auto"/>
            </w:tcBorders>
            <w:shd w:val="clear" w:color="auto" w:fill="auto"/>
            <w:noWrap/>
            <w:hideMark/>
          </w:tcPr>
          <w:p w14:paraId="109ACDEF" w14:textId="77777777" w:rsidR="008D4887" w:rsidRPr="00CF5F96" w:rsidRDefault="008D4887">
            <w:pPr>
              <w:spacing w:before="0" w:after="0"/>
              <w:rPr>
                <w:rFonts w:eastAsia="Times New Roman" w:cs="Calibri"/>
                <w:b w:val="0"/>
                <w:color w:val="000000"/>
                <w:sz w:val="18"/>
                <w:lang w:eastAsia="en-AU"/>
              </w:rPr>
            </w:pPr>
            <w:r w:rsidRPr="00CF5F96">
              <w:rPr>
                <w:rFonts w:eastAsia="Times New Roman" w:cs="Calibri"/>
                <w:b w:val="0"/>
                <w:color w:val="000000"/>
                <w:sz w:val="18"/>
                <w:lang w:eastAsia="en-AU"/>
              </w:rPr>
              <w:t>Accounting Clerks</w:t>
            </w:r>
          </w:p>
        </w:tc>
        <w:tc>
          <w:tcPr>
            <w:tcW w:w="1752" w:type="pct"/>
            <w:noWrap/>
            <w:hideMark/>
          </w:tcPr>
          <w:p w14:paraId="1DDB114F" w14:textId="77777777" w:rsidR="008D4887" w:rsidRPr="00CB1CC9" w:rsidRDefault="008D4887" w:rsidP="00CF5F96">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lang w:eastAsia="en-AU"/>
              </w:rPr>
            </w:pPr>
            <w:r w:rsidRPr="00CB1CC9">
              <w:rPr>
                <w:rFonts w:eastAsia="Times New Roman" w:cs="Calibri"/>
                <w:color w:val="000000"/>
                <w:sz w:val="18"/>
                <w:lang w:eastAsia="en-AU"/>
              </w:rPr>
              <w:t>1.0%</w:t>
            </w:r>
          </w:p>
        </w:tc>
      </w:tr>
      <w:tr w:rsidR="0082785A" w:rsidRPr="00FB115E" w14:paraId="0DE7B529" w14:textId="77777777" w:rsidTr="004906A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248" w:type="pct"/>
            <w:tcBorders>
              <w:top w:val="none" w:sz="0" w:space="0" w:color="auto"/>
              <w:bottom w:val="none" w:sz="0" w:space="0" w:color="auto"/>
              <w:right w:val="none" w:sz="0" w:space="0" w:color="auto"/>
            </w:tcBorders>
            <w:shd w:val="clear" w:color="auto" w:fill="auto"/>
            <w:noWrap/>
          </w:tcPr>
          <w:p w14:paraId="74AAB823" w14:textId="77777777" w:rsidR="0082785A" w:rsidRPr="00CF5F96" w:rsidRDefault="0082785A">
            <w:pPr>
              <w:spacing w:before="0" w:after="0"/>
              <w:rPr>
                <w:rFonts w:eastAsia="Times New Roman" w:cs="Calibri"/>
                <w:b w:val="0"/>
                <w:color w:val="000000"/>
                <w:sz w:val="18"/>
                <w:lang w:eastAsia="en-AU"/>
              </w:rPr>
            </w:pPr>
            <w:r w:rsidRPr="00CF5F96">
              <w:rPr>
                <w:rFonts w:eastAsia="Times New Roman" w:cs="Calibri"/>
                <w:b w:val="0"/>
                <w:color w:val="000000"/>
                <w:sz w:val="18"/>
                <w:lang w:eastAsia="en-AU"/>
              </w:rPr>
              <w:t xml:space="preserve">Other occupations </w:t>
            </w:r>
          </w:p>
        </w:tc>
        <w:tc>
          <w:tcPr>
            <w:tcW w:w="1752" w:type="pct"/>
            <w:tcBorders>
              <w:top w:val="none" w:sz="0" w:space="0" w:color="auto"/>
              <w:bottom w:val="none" w:sz="0" w:space="0" w:color="auto"/>
            </w:tcBorders>
            <w:noWrap/>
          </w:tcPr>
          <w:p w14:paraId="5466FC3E" w14:textId="77777777" w:rsidR="0082785A" w:rsidRPr="00CB1CC9" w:rsidRDefault="0082785A">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lang w:eastAsia="en-AU"/>
              </w:rPr>
            </w:pPr>
            <w:r>
              <w:rPr>
                <w:rFonts w:eastAsia="Times New Roman" w:cs="Calibri"/>
                <w:color w:val="000000"/>
                <w:sz w:val="18"/>
                <w:lang w:eastAsia="en-AU"/>
              </w:rPr>
              <w:t>26.8%</w:t>
            </w:r>
          </w:p>
        </w:tc>
      </w:tr>
      <w:tr w:rsidR="0082785A" w:rsidRPr="00FB115E" w14:paraId="29376265" w14:textId="77777777" w:rsidTr="004906AA">
        <w:trPr>
          <w:trHeight w:val="255"/>
        </w:trPr>
        <w:tc>
          <w:tcPr>
            <w:cnfStyle w:val="001000000000" w:firstRow="0" w:lastRow="0" w:firstColumn="1" w:lastColumn="0" w:oddVBand="0" w:evenVBand="0" w:oddHBand="0" w:evenHBand="0" w:firstRowFirstColumn="0" w:firstRowLastColumn="0" w:lastRowFirstColumn="0" w:lastRowLastColumn="0"/>
            <w:tcW w:w="3248" w:type="pct"/>
            <w:tcBorders>
              <w:right w:val="none" w:sz="0" w:space="0" w:color="auto"/>
            </w:tcBorders>
            <w:shd w:val="clear" w:color="auto" w:fill="auto"/>
            <w:noWrap/>
          </w:tcPr>
          <w:p w14:paraId="0D1DA92F" w14:textId="77777777" w:rsidR="0082785A" w:rsidRPr="0082785A" w:rsidRDefault="0082785A">
            <w:pPr>
              <w:spacing w:before="0" w:after="0"/>
              <w:rPr>
                <w:rFonts w:eastAsia="Times New Roman" w:cs="Calibri"/>
                <w:color w:val="000000"/>
                <w:sz w:val="18"/>
                <w:lang w:eastAsia="en-AU"/>
              </w:rPr>
            </w:pPr>
            <w:r w:rsidRPr="0082785A">
              <w:rPr>
                <w:rFonts w:eastAsia="Times New Roman" w:cs="Calibri"/>
                <w:color w:val="000000"/>
                <w:sz w:val="18"/>
                <w:lang w:eastAsia="en-AU"/>
              </w:rPr>
              <w:t>Total</w:t>
            </w:r>
          </w:p>
        </w:tc>
        <w:tc>
          <w:tcPr>
            <w:tcW w:w="1752" w:type="pct"/>
            <w:noWrap/>
          </w:tcPr>
          <w:p w14:paraId="45F027E5" w14:textId="77777777" w:rsidR="0082785A" w:rsidRPr="00CF5F96" w:rsidRDefault="0082785A">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Calibri"/>
                <w:b/>
                <w:color w:val="000000"/>
                <w:sz w:val="18"/>
                <w:lang w:eastAsia="en-AU"/>
              </w:rPr>
            </w:pPr>
            <w:r w:rsidRPr="00CF5F96">
              <w:rPr>
                <w:rFonts w:eastAsia="Times New Roman" w:cs="Calibri"/>
                <w:b/>
                <w:color w:val="000000"/>
                <w:sz w:val="18"/>
                <w:lang w:eastAsia="en-AU"/>
              </w:rPr>
              <w:t>100%</w:t>
            </w:r>
          </w:p>
        </w:tc>
      </w:tr>
    </w:tbl>
    <w:p w14:paraId="4CC68D3D" w14:textId="27216316" w:rsidR="004E3A1B" w:rsidRDefault="008D4887" w:rsidP="00DF7D23">
      <w:pPr>
        <w:pStyle w:val="Source"/>
      </w:pPr>
      <w:r>
        <w:t xml:space="preserve">  </w:t>
      </w:r>
      <w:r w:rsidR="00A31469" w:rsidRPr="004E3A1B">
        <w:t xml:space="preserve">Source: ABS </w:t>
      </w:r>
      <w:r w:rsidR="00680EE4">
        <w:t xml:space="preserve">2016 </w:t>
      </w:r>
      <w:r w:rsidR="00A31469" w:rsidRPr="004E3A1B">
        <w:t>Census</w:t>
      </w:r>
    </w:p>
    <w:p w14:paraId="3FB186AA" w14:textId="77777777" w:rsidR="00E4752A" w:rsidRDefault="005C24D4" w:rsidP="007C068F">
      <w:pPr>
        <w:pStyle w:val="Bodyafterbullet"/>
      </w:pPr>
      <w:r>
        <w:t>While an indispensable part of the Aircraft Manufacturing and Repair Services industry’s workforce, n</w:t>
      </w:r>
      <w:r w:rsidR="006302E8">
        <w:t>early 60</w:t>
      </w:r>
      <w:r w:rsidR="00593D52">
        <w:t xml:space="preserve"> per cent</w:t>
      </w:r>
      <w:r w:rsidR="006302E8">
        <w:t xml:space="preserve"> </w:t>
      </w:r>
      <w:r>
        <w:t xml:space="preserve">of the total </w:t>
      </w:r>
      <w:r w:rsidR="006302E8">
        <w:t xml:space="preserve">share of </w:t>
      </w:r>
      <w:r w:rsidR="00593D52">
        <w:t xml:space="preserve">the </w:t>
      </w:r>
      <w:r w:rsidR="006302E8">
        <w:t>skilled</w:t>
      </w:r>
      <w:r w:rsidR="00593D52">
        <w:t xml:space="preserve"> (</w:t>
      </w:r>
      <w:r w:rsidR="006302E8">
        <w:t>albeit declining</w:t>
      </w:r>
      <w:r w:rsidR="00593D52">
        <w:t>)</w:t>
      </w:r>
      <w:r w:rsidR="006302E8">
        <w:t xml:space="preserve"> pool of aircraft maintenance engineers are picked up by the Air and Space Transport and Defence industries</w:t>
      </w:r>
      <w:r>
        <w:t xml:space="preserve">. These include </w:t>
      </w:r>
      <w:r w:rsidR="00593D52">
        <w:t xml:space="preserve">workers </w:t>
      </w:r>
      <w:r>
        <w:t xml:space="preserve">servicing a wide array of </w:t>
      </w:r>
      <w:r w:rsidR="002F14A5">
        <w:t>d</w:t>
      </w:r>
      <w:r>
        <w:t xml:space="preserve">efence contracts as well as the aircraft charter, air freight and air passenger transport sectors. </w:t>
      </w:r>
      <w:r w:rsidR="002B1703">
        <w:t xml:space="preserve">As shown in </w:t>
      </w:r>
      <w:r w:rsidR="002B1703">
        <w:fldChar w:fldCharType="begin"/>
      </w:r>
      <w:r w:rsidR="002B1703">
        <w:instrText xml:space="preserve"> REF _Ref1482043 \h </w:instrText>
      </w:r>
      <w:r w:rsidR="002B1703">
        <w:fldChar w:fldCharType="separate"/>
      </w:r>
      <w:r w:rsidR="00980A78">
        <w:t xml:space="preserve">Figure </w:t>
      </w:r>
      <w:r w:rsidR="00980A78">
        <w:rPr>
          <w:noProof/>
        </w:rPr>
        <w:t>17</w:t>
      </w:r>
      <w:r w:rsidR="002B1703">
        <w:fldChar w:fldCharType="end"/>
      </w:r>
      <w:r w:rsidR="002B1703">
        <w:t xml:space="preserve">, </w:t>
      </w:r>
      <w:r w:rsidR="00A3457C">
        <w:t>t</w:t>
      </w:r>
      <w:r w:rsidR="002B1703" w:rsidRPr="00866217">
        <w:t xml:space="preserve">he number </w:t>
      </w:r>
      <w:r w:rsidR="002B1703">
        <w:t>of workers employed as Aircraft Maintenance Engineers has seen some variation across the years between 2010 and 2018, with an overall downward trend. In 2017, the employment level for this occupation reached its lowest level in a decade (at about 8,600 employees) before recovering in 2018 to 11,475 aircraft maintenance engineers. CASA’s records for this period indicate approximately 8,700 licensed aircraft maintenance engineers in Australia</w:t>
      </w:r>
      <w:r w:rsidR="00323D54">
        <w:t xml:space="preserve">, which </w:t>
      </w:r>
      <w:r w:rsidR="00323D54" w:rsidRPr="00323D54">
        <w:t xml:space="preserve">may include </w:t>
      </w:r>
      <w:r w:rsidR="00323D54">
        <w:t xml:space="preserve">some retired </w:t>
      </w:r>
      <w:r w:rsidR="00323D54" w:rsidRPr="00323D54">
        <w:t>licence holders as the licence is perpetual</w:t>
      </w:r>
      <w:r w:rsidR="00323D54">
        <w:t xml:space="preserve">. </w:t>
      </w:r>
      <w:r w:rsidR="00E4752A">
        <w:br w:type="page"/>
      </w:r>
    </w:p>
    <w:p w14:paraId="483FDB36" w14:textId="34D08CAD" w:rsidR="003B1A84" w:rsidRDefault="00323D54" w:rsidP="007C068F">
      <w:pPr>
        <w:pStyle w:val="Bodyafterbullet"/>
      </w:pPr>
      <w:r>
        <w:lastRenderedPageBreak/>
        <w:t xml:space="preserve">The remaining number likely represents those workers who are either less than 21 years of age or </w:t>
      </w:r>
      <w:r w:rsidR="00A3457C">
        <w:t xml:space="preserve">completing the minimum stipulated years of work </w:t>
      </w:r>
      <w:r>
        <w:t xml:space="preserve">experience </w:t>
      </w:r>
      <w:r w:rsidR="00A32703">
        <w:t xml:space="preserve">and examinations </w:t>
      </w:r>
      <w:r w:rsidR="00A3457C">
        <w:t>before they are eligible to obtain a license.</w:t>
      </w:r>
      <w:r w:rsidR="002B1703">
        <w:t xml:space="preserve"> Over the next five years to 2023, a slight decrease in employment is projected for this occupation.</w:t>
      </w:r>
      <w:r w:rsidR="002B1703">
        <w:rPr>
          <w:rStyle w:val="FootnoteReference"/>
        </w:rPr>
        <w:footnoteReference w:id="17"/>
      </w:r>
    </w:p>
    <w:p w14:paraId="54C99330" w14:textId="77777777" w:rsidR="00782A3D" w:rsidRDefault="00782A3D" w:rsidP="00DF7D23">
      <w:pPr>
        <w:pStyle w:val="Caption"/>
      </w:pPr>
      <w:bookmarkStart w:id="165" w:name="_Ref1482043"/>
      <w:r>
        <w:t xml:space="preserve">Figure </w:t>
      </w:r>
      <w:r>
        <w:fldChar w:fldCharType="begin"/>
      </w:r>
      <w:r>
        <w:instrText xml:space="preserve"> SEQ Figure \* ARABIC </w:instrText>
      </w:r>
      <w:r>
        <w:fldChar w:fldCharType="separate"/>
      </w:r>
      <w:r w:rsidR="00980A78">
        <w:t>17</w:t>
      </w:r>
      <w:r>
        <w:fldChar w:fldCharType="end"/>
      </w:r>
      <w:bookmarkEnd w:id="165"/>
      <w:r>
        <w:t xml:space="preserve">: Employment trend for Aircraft Maintenance Engineers </w:t>
      </w:r>
    </w:p>
    <w:p w14:paraId="542079D8" w14:textId="77777777" w:rsidR="00782A3D" w:rsidRPr="00CB1CC9" w:rsidRDefault="00BF3309" w:rsidP="00E4752A">
      <w:pPr>
        <w:spacing w:before="240" w:after="0"/>
        <w:jc w:val="center"/>
        <w:rPr>
          <w:lang w:eastAsia="en-AU"/>
        </w:rPr>
      </w:pPr>
      <w:r>
        <w:rPr>
          <w:noProof/>
          <w:lang w:eastAsia="en-AU"/>
        </w:rPr>
        <w:drawing>
          <wp:inline distT="0" distB="0" distL="0" distR="0" wp14:anchorId="4FC32117" wp14:editId="097EC336">
            <wp:extent cx="4679950" cy="2240280"/>
            <wp:effectExtent l="0" t="0" r="6350" b="7620"/>
            <wp:docPr id="16" name="Chart 16" descr="Figure 17: Employment trend for Aircraft Maintenance Engineers " title="Figur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CEF3266" w14:textId="77777777" w:rsidR="00436494" w:rsidRDefault="00571021" w:rsidP="00DF7D23">
      <w:pPr>
        <w:pStyle w:val="Source"/>
      </w:pPr>
      <w:r w:rsidRPr="00CB1CC9">
        <w:t>Source: ABS 6</w:t>
      </w:r>
      <w:r w:rsidR="00191F0A">
        <w:t>2</w:t>
      </w:r>
      <w:r w:rsidRPr="00CB1CC9">
        <w:t>9</w:t>
      </w:r>
      <w:r w:rsidR="00191F0A">
        <w:t xml:space="preserve">1.0.55.003 </w:t>
      </w:r>
      <w:r w:rsidRPr="00383441">
        <w:t xml:space="preserve">and </w:t>
      </w:r>
      <w:r w:rsidRPr="00CB1CC9">
        <w:t>Labour Market Information Portal</w:t>
      </w:r>
    </w:p>
    <w:p w14:paraId="25B7939E" w14:textId="33DA85F4" w:rsidR="00A331AD" w:rsidRDefault="00602B95" w:rsidP="007C068F">
      <w:pPr>
        <w:pStyle w:val="Bodyafterbullet"/>
      </w:pPr>
      <w:r>
        <w:t xml:space="preserve">While everyday activities like line maintenance work well in Australia, labour intensive </w:t>
      </w:r>
      <w:r w:rsidR="003538A4">
        <w:t xml:space="preserve">periodic </w:t>
      </w:r>
      <w:r>
        <w:t xml:space="preserve">services like heavy engineering pose </w:t>
      </w:r>
      <w:r w:rsidR="00C47110">
        <w:t xml:space="preserve">large </w:t>
      </w:r>
      <w:r>
        <w:t xml:space="preserve">feasibility </w:t>
      </w:r>
      <w:r w:rsidR="00594EDB">
        <w:t>constraints</w:t>
      </w:r>
      <w:r w:rsidR="000A12A2">
        <w:t>,</w:t>
      </w:r>
      <w:r>
        <w:t xml:space="preserve"> owing to Australia’s low labour cost competitiveness. This has made outsourcing of </w:t>
      </w:r>
      <w:r w:rsidR="000A12A2">
        <w:t xml:space="preserve">airline </w:t>
      </w:r>
      <w:r>
        <w:t xml:space="preserve">heavy maintenance operations </w:t>
      </w:r>
      <w:r w:rsidR="000A12A2">
        <w:t>to Asia</w:t>
      </w:r>
      <w:r>
        <w:t xml:space="preserve"> a regular feature</w:t>
      </w:r>
      <w:r w:rsidR="00A331AD">
        <w:t>, causing</w:t>
      </w:r>
      <w:r w:rsidR="00594EDB">
        <w:t xml:space="preserve"> significant job losses and</w:t>
      </w:r>
      <w:r w:rsidR="00A331AD">
        <w:t xml:space="preserve"> a </w:t>
      </w:r>
      <w:r w:rsidR="00594EDB">
        <w:t xml:space="preserve">subsequent </w:t>
      </w:r>
      <w:r w:rsidR="00A331AD">
        <w:t>contraction in Australia’s aircraft maintenance labour market</w:t>
      </w:r>
      <w:r>
        <w:t xml:space="preserve">. </w:t>
      </w:r>
      <w:r w:rsidR="000A12A2">
        <w:t xml:space="preserve">Tigerair Australia outsourced the heavy maintenance for its Airbus A320 fleet in 2016. </w:t>
      </w:r>
      <w:r>
        <w:t xml:space="preserve">Operational </w:t>
      </w:r>
      <w:r w:rsidR="00142CDE">
        <w:t xml:space="preserve">restructuring </w:t>
      </w:r>
      <w:r>
        <w:t xml:space="preserve">by Qantas </w:t>
      </w:r>
      <w:r w:rsidR="00142CDE">
        <w:t xml:space="preserve">post 2010 saw </w:t>
      </w:r>
      <w:r w:rsidR="00C47110">
        <w:t xml:space="preserve">the </w:t>
      </w:r>
      <w:r w:rsidR="00142CDE">
        <w:t>closing down of two heavy maintenance bases in Victoria</w:t>
      </w:r>
      <w:r w:rsidR="00C47110">
        <w:t xml:space="preserve"> with </w:t>
      </w:r>
      <w:r w:rsidR="00E1535D">
        <w:t xml:space="preserve">the </w:t>
      </w:r>
      <w:r w:rsidR="00803C57">
        <w:t>Brisbane facility</w:t>
      </w:r>
      <w:r w:rsidR="00E1535D">
        <w:t xml:space="preserve">’s expansion </w:t>
      </w:r>
      <w:r w:rsidR="00C47110">
        <w:t xml:space="preserve">now </w:t>
      </w:r>
      <w:r w:rsidR="00803C57">
        <w:t xml:space="preserve">to be the </w:t>
      </w:r>
      <w:r w:rsidR="00E1535D">
        <w:t xml:space="preserve">airline’s </w:t>
      </w:r>
      <w:r w:rsidR="00803C57">
        <w:t xml:space="preserve">only heavy maintenance operation in Australia, </w:t>
      </w:r>
      <w:r w:rsidR="00CB1C55">
        <w:t xml:space="preserve">handling work on </w:t>
      </w:r>
      <w:r w:rsidR="00E1535D">
        <w:t xml:space="preserve">its </w:t>
      </w:r>
      <w:r w:rsidR="00CB1C55">
        <w:t xml:space="preserve">A330 and 737 fleet. </w:t>
      </w:r>
      <w:r>
        <w:t xml:space="preserve">In addition to contracting out </w:t>
      </w:r>
      <w:r w:rsidR="00CB1C55">
        <w:t>heavy che</w:t>
      </w:r>
      <w:r w:rsidR="007B0B3F">
        <w:t xml:space="preserve">cks </w:t>
      </w:r>
      <w:r w:rsidR="00E1535D">
        <w:t xml:space="preserve">on </w:t>
      </w:r>
      <w:r>
        <w:t xml:space="preserve">its </w:t>
      </w:r>
      <w:r w:rsidR="00142CDE">
        <w:t xml:space="preserve">smaller fleets </w:t>
      </w:r>
      <w:r>
        <w:t xml:space="preserve">of </w:t>
      </w:r>
      <w:r w:rsidR="00142CDE">
        <w:t xml:space="preserve">the </w:t>
      </w:r>
      <w:r w:rsidR="007B0B3F">
        <w:t>747</w:t>
      </w:r>
      <w:r>
        <w:t>s</w:t>
      </w:r>
      <w:r w:rsidR="007B0B3F">
        <w:t xml:space="preserve"> and </w:t>
      </w:r>
      <w:r w:rsidR="00142CDE">
        <w:t xml:space="preserve">the Airbus </w:t>
      </w:r>
      <w:r w:rsidR="007B0B3F">
        <w:t>A380</w:t>
      </w:r>
      <w:r>
        <w:t xml:space="preserve">s, </w:t>
      </w:r>
      <w:r w:rsidR="007B0B3F">
        <w:t xml:space="preserve">maintenance work on QantasLink’s Boeing 717s has </w:t>
      </w:r>
      <w:r w:rsidR="00E1535D">
        <w:t xml:space="preserve">also </w:t>
      </w:r>
      <w:r w:rsidR="007B0B3F">
        <w:t>been outsourced to Singapore</w:t>
      </w:r>
      <w:r w:rsidR="00E1535D">
        <w:t xml:space="preserve"> from July 2019</w:t>
      </w:r>
      <w:r w:rsidR="007B0B3F">
        <w:t>,</w:t>
      </w:r>
      <w:r w:rsidR="00E1535D">
        <w:t xml:space="preserve"> </w:t>
      </w:r>
      <w:r w:rsidR="007B0B3F">
        <w:t>after a four year stint at a maintenance base in Canberra</w:t>
      </w:r>
      <w:r w:rsidR="00DB5007">
        <w:t xml:space="preserve"> proved unsustainable</w:t>
      </w:r>
      <w:r w:rsidR="00E4752A">
        <w:t>.</w:t>
      </w:r>
    </w:p>
    <w:p w14:paraId="68176463" w14:textId="77777777" w:rsidR="00DD629F" w:rsidRDefault="00DD629F">
      <w:pPr>
        <w:spacing w:before="0" w:after="160" w:line="259" w:lineRule="auto"/>
        <w:rPr>
          <w:rFonts w:eastAsiaTheme="majorEastAsia" w:cstheme="majorBidi"/>
          <w:color w:val="0091DA" w:themeColor="accent2"/>
          <w:sz w:val="36"/>
          <w:szCs w:val="40"/>
          <w14:scene3d>
            <w14:camera w14:prst="orthographicFront"/>
            <w14:lightRig w14:rig="threePt" w14:dir="t">
              <w14:rot w14:lat="0" w14:lon="0" w14:rev="0"/>
            </w14:lightRig>
          </w14:scene3d>
        </w:rPr>
      </w:pPr>
      <w:r>
        <w:br w:type="page"/>
      </w:r>
    </w:p>
    <w:p w14:paraId="0EA6E3C0" w14:textId="1DEB548D" w:rsidR="00752B8F" w:rsidRPr="0029734F" w:rsidRDefault="00752B8F" w:rsidP="0011521D">
      <w:pPr>
        <w:pStyle w:val="Heading3"/>
      </w:pPr>
      <w:bookmarkStart w:id="166" w:name="_Toc26537893"/>
      <w:r>
        <w:lastRenderedPageBreak/>
        <w:t>Value added</w:t>
      </w:r>
      <w:bookmarkEnd w:id="166"/>
      <w:r>
        <w:t xml:space="preserve"> </w:t>
      </w:r>
    </w:p>
    <w:p w14:paraId="337BFDF0" w14:textId="77777777" w:rsidR="00752B8F" w:rsidRDefault="00752B8F" w:rsidP="00752B8F">
      <w:pPr>
        <w:pStyle w:val="BodyText1"/>
      </w:pPr>
      <w:r w:rsidRPr="00E304C6">
        <w:t xml:space="preserve">The </w:t>
      </w:r>
      <w:r w:rsidR="00B1780E">
        <w:t xml:space="preserve">direct </w:t>
      </w:r>
      <w:r w:rsidR="00FB115E">
        <w:t xml:space="preserve">economic </w:t>
      </w:r>
      <w:r>
        <w:t xml:space="preserve">contribution of the </w:t>
      </w:r>
      <w:r w:rsidR="00CA07EA">
        <w:t>A</w:t>
      </w:r>
      <w:r w:rsidR="00B1780E">
        <w:t xml:space="preserve">ircraft </w:t>
      </w:r>
      <w:r w:rsidR="00CA07EA">
        <w:t>M</w:t>
      </w:r>
      <w:r w:rsidR="00B1780E">
        <w:t xml:space="preserve">anufacturing </w:t>
      </w:r>
      <w:r w:rsidR="00AF1EDC">
        <w:t xml:space="preserve">and </w:t>
      </w:r>
      <w:r w:rsidR="00CA07EA">
        <w:t>R</w:t>
      </w:r>
      <w:r w:rsidR="00B1780E">
        <w:t xml:space="preserve">epair </w:t>
      </w:r>
      <w:r w:rsidR="00CA07EA">
        <w:t>S</w:t>
      </w:r>
      <w:r w:rsidR="00B1780E">
        <w:t xml:space="preserve">ervices </w:t>
      </w:r>
      <w:r w:rsidR="00670F9E">
        <w:t>industry</w:t>
      </w:r>
      <w:r w:rsidR="00670F9E" w:rsidRPr="00E304C6">
        <w:t xml:space="preserve"> </w:t>
      </w:r>
      <w:r w:rsidRPr="00E304C6">
        <w:t xml:space="preserve">in Australia is </w:t>
      </w:r>
      <w:r w:rsidR="00B1780E">
        <w:t xml:space="preserve">sometimes </w:t>
      </w:r>
      <w:r w:rsidRPr="00E304C6">
        <w:t xml:space="preserve">measured in terms of the value of final goods and services </w:t>
      </w:r>
      <w:r w:rsidR="00DF6A5B">
        <w:t xml:space="preserve">(or gross outputs) </w:t>
      </w:r>
      <w:r w:rsidRPr="00E304C6">
        <w:t xml:space="preserve">produced by the sector. </w:t>
      </w:r>
      <w:r w:rsidR="00B1780E">
        <w:t>However, i</w:t>
      </w:r>
      <w:r w:rsidRPr="00E304C6">
        <w:t xml:space="preserve">ndustry value added is a more </w:t>
      </w:r>
      <w:r w:rsidR="00DF6A5B">
        <w:t xml:space="preserve">appropriate </w:t>
      </w:r>
      <w:r w:rsidRPr="00E304C6">
        <w:t xml:space="preserve">measure of </w:t>
      </w:r>
      <w:r>
        <w:t>a sector</w:t>
      </w:r>
      <w:r w:rsidR="000B299A">
        <w:t>’</w:t>
      </w:r>
      <w:r>
        <w:t xml:space="preserve">s direct </w:t>
      </w:r>
      <w:r w:rsidRPr="00E304C6">
        <w:t xml:space="preserve">contribution to </w:t>
      </w:r>
      <w:r>
        <w:t>a country’s Gross Domestic Product (</w:t>
      </w:r>
      <w:r w:rsidRPr="00E304C6">
        <w:t>GDP</w:t>
      </w:r>
      <w:r>
        <w:t xml:space="preserve">).  </w:t>
      </w:r>
    </w:p>
    <w:p w14:paraId="36C9BB14" w14:textId="77777777" w:rsidR="00E04DB9" w:rsidRPr="00E304C6" w:rsidRDefault="00752B8F" w:rsidP="00473B24">
      <w:r>
        <w:t>Value</w:t>
      </w:r>
      <w:r w:rsidR="00E55DE3">
        <w:t xml:space="preserve"> </w:t>
      </w:r>
      <w:r>
        <w:t xml:space="preserve">added </w:t>
      </w:r>
      <w:r w:rsidRPr="00E304C6">
        <w:t>captures the return to an industry’s labour and capital and other fixed factors.</w:t>
      </w:r>
      <w:r>
        <w:t xml:space="preserve"> </w:t>
      </w:r>
      <w:r w:rsidRPr="00E304C6">
        <w:t>It is calculated as the</w:t>
      </w:r>
      <w:r w:rsidR="00FB115E">
        <w:t xml:space="preserve"> gross</w:t>
      </w:r>
      <w:r w:rsidRPr="00E304C6">
        <w:t xml:space="preserve"> outputs of the industry less goods and services </w:t>
      </w:r>
      <w:r w:rsidR="00FB115E">
        <w:t xml:space="preserve">purchased </w:t>
      </w:r>
      <w:r w:rsidRPr="00E304C6">
        <w:t>from other industries including imports, and is therefore the industry</w:t>
      </w:r>
      <w:r>
        <w:t>’s direct</w:t>
      </w:r>
      <w:r w:rsidRPr="00E304C6">
        <w:t xml:space="preserve"> contribution to GDP (except for indirect tax payments). By excluding goods and services inputs from other industries and imports, ‘value</w:t>
      </w:r>
      <w:r w:rsidR="00E55DE3">
        <w:t xml:space="preserve"> </w:t>
      </w:r>
      <w:r w:rsidRPr="00E304C6">
        <w:t>added’ avoids double counting as it does not include the value</w:t>
      </w:r>
      <w:r w:rsidR="00E55DE3">
        <w:t xml:space="preserve"> </w:t>
      </w:r>
      <w:r w:rsidRPr="00E304C6">
        <w:t xml:space="preserve">added from other industries. </w:t>
      </w:r>
    </w:p>
    <w:p w14:paraId="741AAE67" w14:textId="77777777" w:rsidR="00DF6A5B" w:rsidRDefault="00E04DB9" w:rsidP="00473B24">
      <w:r>
        <w:t xml:space="preserve">Economic activity in the </w:t>
      </w:r>
      <w:r w:rsidR="00CA07EA">
        <w:t>Aircraft Manufacturing and Repair Services</w:t>
      </w:r>
      <w:r w:rsidR="00DF6A5B">
        <w:t xml:space="preserve"> </w:t>
      </w:r>
      <w:r w:rsidR="00960EBD">
        <w:t>industry</w:t>
      </w:r>
      <w:r>
        <w:t xml:space="preserve"> </w:t>
      </w:r>
      <w:r w:rsidR="00292B4C">
        <w:t xml:space="preserve">directly </w:t>
      </w:r>
      <w:r w:rsidR="00752B8F" w:rsidRPr="00E304C6">
        <w:t>adds value to Australia’s economy</w:t>
      </w:r>
      <w:r>
        <w:t xml:space="preserve"> and is higher than the contribution of </w:t>
      </w:r>
      <w:r w:rsidR="00DF6A5B">
        <w:t xml:space="preserve">many of the </w:t>
      </w:r>
      <w:r>
        <w:t>other transport (non-motor) manufacturing sectors such as ships and boat manufacturing and railway rolling stock manufacturing</w:t>
      </w:r>
      <w:r w:rsidR="00752B8F" w:rsidRPr="00E304C6">
        <w:t>.</w:t>
      </w:r>
      <w:r>
        <w:rPr>
          <w:rStyle w:val="FootnoteReference"/>
        </w:rPr>
        <w:footnoteReference w:id="18"/>
      </w:r>
      <w:r w:rsidR="00752B8F" w:rsidRPr="00E304C6">
        <w:t xml:space="preserve"> </w:t>
      </w:r>
    </w:p>
    <w:p w14:paraId="3EA191D7" w14:textId="1A792831" w:rsidR="00752B8F" w:rsidRDefault="00752B8F" w:rsidP="007C068F">
      <w:pPr>
        <w:spacing w:before="0" w:after="160" w:line="259" w:lineRule="auto"/>
      </w:pPr>
      <w:r w:rsidRPr="00E304C6">
        <w:t xml:space="preserve">As shown in </w:t>
      </w:r>
      <w:r w:rsidR="00E04DB9">
        <w:fldChar w:fldCharType="begin"/>
      </w:r>
      <w:r w:rsidR="00E04DB9">
        <w:instrText xml:space="preserve"> REF _Ref534713847 \h </w:instrText>
      </w:r>
      <w:r w:rsidR="002B1703">
        <w:instrText xml:space="preserve"> \* MERGEFORMAT </w:instrText>
      </w:r>
      <w:r w:rsidR="00E04DB9">
        <w:fldChar w:fldCharType="separate"/>
      </w:r>
      <w:r w:rsidR="00980A78">
        <w:t xml:space="preserve">Figure </w:t>
      </w:r>
      <w:r w:rsidR="00980A78">
        <w:rPr>
          <w:noProof/>
        </w:rPr>
        <w:t>18</w:t>
      </w:r>
      <w:r w:rsidR="00E04DB9">
        <w:fldChar w:fldCharType="end"/>
      </w:r>
      <w:r w:rsidRPr="00E304C6">
        <w:t>, the</w:t>
      </w:r>
      <w:r w:rsidR="00292B4C">
        <w:t xml:space="preserve"> </w:t>
      </w:r>
      <w:r w:rsidRPr="00E304C6">
        <w:t xml:space="preserve">sector </w:t>
      </w:r>
      <w:r w:rsidR="00DF6831">
        <w:t xml:space="preserve">directly </w:t>
      </w:r>
      <w:r w:rsidRPr="00E304C6">
        <w:t xml:space="preserve">contributed </w:t>
      </w:r>
      <w:r w:rsidR="004C089E">
        <w:t>over</w:t>
      </w:r>
      <w:r w:rsidRPr="00E304C6">
        <w:t xml:space="preserve"> $</w:t>
      </w:r>
      <w:r w:rsidR="004C089E">
        <w:t>2</w:t>
      </w:r>
      <w:r w:rsidR="00292B4C">
        <w:t> </w:t>
      </w:r>
      <w:r w:rsidRPr="00E304C6">
        <w:t>billion in gross value added to Australia’s GDP in 201</w:t>
      </w:r>
      <w:r w:rsidR="00DF6831">
        <w:t>6-17</w:t>
      </w:r>
      <w:r w:rsidR="00E04DB9">
        <w:t xml:space="preserve">, </w:t>
      </w:r>
      <w:r w:rsidRPr="00E304C6">
        <w:t>with</w:t>
      </w:r>
      <w:r w:rsidR="00E04DB9">
        <w:t xml:space="preserve"> almost</w:t>
      </w:r>
      <w:r w:rsidRPr="00E304C6">
        <w:t xml:space="preserve"> $1.</w:t>
      </w:r>
      <w:r w:rsidR="00DF6831">
        <w:t>4</w:t>
      </w:r>
      <w:r w:rsidRPr="00E304C6">
        <w:t xml:space="preserve"> billion in wage payments to employees and $</w:t>
      </w:r>
      <w:r w:rsidR="00DF6831">
        <w:t>672</w:t>
      </w:r>
      <w:r w:rsidR="00DF6831" w:rsidRPr="00E304C6">
        <w:t xml:space="preserve"> </w:t>
      </w:r>
      <w:r w:rsidRPr="00E304C6">
        <w:t xml:space="preserve">million in </w:t>
      </w:r>
      <w:r w:rsidR="00DF6A5B">
        <w:t>g</w:t>
      </w:r>
      <w:r w:rsidR="00DF6A5B" w:rsidRPr="00E304C6">
        <w:t xml:space="preserve">ross </w:t>
      </w:r>
      <w:r w:rsidR="00DF6A5B">
        <w:t>o</w:t>
      </w:r>
      <w:r w:rsidR="00DF6A5B" w:rsidRPr="00E304C6">
        <w:t xml:space="preserve">perating </w:t>
      </w:r>
      <w:r w:rsidR="00DF6A5B">
        <w:t>s</w:t>
      </w:r>
      <w:r w:rsidR="00DF6A5B" w:rsidRPr="00E304C6">
        <w:t>urplus</w:t>
      </w:r>
      <w:r w:rsidR="00DF6A5B">
        <w:t xml:space="preserve"> </w:t>
      </w:r>
      <w:r w:rsidR="00292B4C">
        <w:t>(a return on capital)</w:t>
      </w:r>
      <w:r w:rsidRPr="00E304C6">
        <w:t xml:space="preserve">. Australia’s </w:t>
      </w:r>
      <w:r w:rsidR="000967AF">
        <w:t xml:space="preserve">GDP was </w:t>
      </w:r>
      <w:r w:rsidR="00E04DB9">
        <w:t xml:space="preserve">almost </w:t>
      </w:r>
      <w:r w:rsidR="000967AF">
        <w:t>$1,</w:t>
      </w:r>
      <w:r w:rsidR="00C47110">
        <w:t>765</w:t>
      </w:r>
      <w:r w:rsidR="00C47110" w:rsidRPr="00E304C6">
        <w:t xml:space="preserve"> </w:t>
      </w:r>
      <w:r w:rsidRPr="00E304C6">
        <w:t>billion in 201</w:t>
      </w:r>
      <w:r w:rsidR="00C47110">
        <w:t>6-17</w:t>
      </w:r>
      <w:r w:rsidR="00DF6A5B">
        <w:t>. Thus</w:t>
      </w:r>
      <w:r w:rsidRPr="00E304C6">
        <w:t xml:space="preserve">, </w:t>
      </w:r>
      <w:r w:rsidR="00AA33AC">
        <w:t xml:space="preserve">the </w:t>
      </w:r>
      <w:r w:rsidR="00CA07EA">
        <w:t xml:space="preserve">Aircraft Manufacturing and Repair Services industry </w:t>
      </w:r>
      <w:r w:rsidR="00DF6A5B">
        <w:t>contributed approximately 0.12</w:t>
      </w:r>
      <w:r w:rsidR="00845BA7">
        <w:t xml:space="preserve"> per cent</w:t>
      </w:r>
      <w:r w:rsidR="00DF6A5B">
        <w:t xml:space="preserve"> of GDP </w:t>
      </w:r>
      <w:r w:rsidR="00AA33AC">
        <w:t xml:space="preserve">to the Australian economy </w:t>
      </w:r>
      <w:r w:rsidR="000967AF">
        <w:t>in that year.</w:t>
      </w:r>
    </w:p>
    <w:p w14:paraId="5764B8A6" w14:textId="18F37F77" w:rsidR="008D4887" w:rsidRDefault="00752B8F" w:rsidP="00DF7D23">
      <w:pPr>
        <w:pStyle w:val="Caption"/>
      </w:pPr>
      <w:bookmarkStart w:id="167" w:name="_Ref534713847"/>
      <w:r>
        <w:t xml:space="preserve">Figure </w:t>
      </w:r>
      <w:r w:rsidR="00BC06EE">
        <w:fldChar w:fldCharType="begin"/>
      </w:r>
      <w:r w:rsidR="00BC06EE">
        <w:instrText xml:space="preserve"> SEQ Figure \* ARABIC </w:instrText>
      </w:r>
      <w:r w:rsidR="00BC06EE">
        <w:fldChar w:fldCharType="separate"/>
      </w:r>
      <w:r w:rsidR="00980A78">
        <w:t>18</w:t>
      </w:r>
      <w:r w:rsidR="00BC06EE">
        <w:fldChar w:fldCharType="end"/>
      </w:r>
      <w:bookmarkEnd w:id="167"/>
      <w:r>
        <w:t xml:space="preserve">: </w:t>
      </w:r>
      <w:r w:rsidR="00555E98">
        <w:t>Aircraft Manufacturing and Repair Services</w:t>
      </w:r>
      <w:r w:rsidR="00AF1EDC">
        <w:t xml:space="preserve"> </w:t>
      </w:r>
      <w:r w:rsidR="00670F9E">
        <w:t>industry’s</w:t>
      </w:r>
      <w:r w:rsidR="00670F9E" w:rsidRPr="001B3928">
        <w:t xml:space="preserve"> </w:t>
      </w:r>
      <w:r w:rsidRPr="001B3928">
        <w:t>gross value added</w:t>
      </w:r>
      <w:r w:rsidR="000C7346">
        <w:t xml:space="preserve"> (</w:t>
      </w:r>
      <w:r w:rsidRPr="001B3928">
        <w:t>201</w:t>
      </w:r>
      <w:r w:rsidR="005C0283">
        <w:t>6</w:t>
      </w:r>
      <w:r w:rsidR="009F6CBF" w:rsidRPr="009F6CBF">
        <w:t>–</w:t>
      </w:r>
      <w:r w:rsidRPr="001B3928">
        <w:t>1</w:t>
      </w:r>
      <w:r w:rsidR="005C0283">
        <w:t>7)</w:t>
      </w:r>
    </w:p>
    <w:tbl>
      <w:tblPr>
        <w:tblStyle w:val="ListTable3-Accent2"/>
        <w:tblW w:w="5000" w:type="pct"/>
        <w:tblBorders>
          <w:top w:val="none" w:sz="0" w:space="0" w:color="auto"/>
          <w:left w:val="none" w:sz="0" w:space="0" w:color="auto"/>
          <w:bottom w:val="none" w:sz="0" w:space="0" w:color="auto"/>
          <w:right w:val="none" w:sz="0" w:space="0" w:color="auto"/>
          <w:insideH w:val="single" w:sz="2" w:space="0" w:color="BFBFBF" w:themeColor="background1" w:themeShade="BF"/>
        </w:tblBorders>
        <w:tblCellMar>
          <w:top w:w="28" w:type="dxa"/>
          <w:bottom w:w="28" w:type="dxa"/>
        </w:tblCellMar>
        <w:tblLook w:val="04A0" w:firstRow="1" w:lastRow="0" w:firstColumn="1" w:lastColumn="0" w:noHBand="0" w:noVBand="1"/>
        <w:tblCaption w:val="Aircraft Manufacturing and Repair Services industry’s gross value added (2016–17)"/>
        <w:tblDescription w:val="Aircraft Manufacturing and Repair Services industry’s gross value added (2016–17)"/>
      </w:tblPr>
      <w:tblGrid>
        <w:gridCol w:w="6650"/>
        <w:gridCol w:w="2376"/>
      </w:tblGrid>
      <w:tr w:rsidR="00506145" w:rsidRPr="00506145" w14:paraId="64BDB54B" w14:textId="77777777" w:rsidTr="008C2567">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100" w:firstRow="0" w:lastRow="0" w:firstColumn="1" w:lastColumn="0" w:oddVBand="0" w:evenVBand="0" w:oddHBand="0" w:evenHBand="0" w:firstRowFirstColumn="1" w:firstRowLastColumn="0" w:lastRowFirstColumn="0" w:lastRowLastColumn="0"/>
            <w:tcW w:w="3684" w:type="pct"/>
            <w:tcBorders>
              <w:bottom w:val="none" w:sz="0" w:space="0" w:color="auto"/>
              <w:right w:val="none" w:sz="0" w:space="0" w:color="auto"/>
            </w:tcBorders>
            <w:noWrap/>
            <w:hideMark/>
          </w:tcPr>
          <w:p w14:paraId="4E0CA673" w14:textId="77777777" w:rsidR="008D4887" w:rsidRPr="00CB1CC9" w:rsidRDefault="008D4887" w:rsidP="008D4887">
            <w:pPr>
              <w:spacing w:before="0" w:after="0"/>
              <w:rPr>
                <w:rFonts w:eastAsia="Times New Roman" w:cs="Arial"/>
                <w:b w:val="0"/>
                <w:bCs w:val="0"/>
                <w:color w:val="FFFFFF"/>
                <w:sz w:val="18"/>
                <w:szCs w:val="18"/>
                <w:lang w:eastAsia="en-AU"/>
              </w:rPr>
            </w:pPr>
            <w:r w:rsidRPr="00CB1CC9">
              <w:rPr>
                <w:rFonts w:eastAsia="Times New Roman" w:cs="Arial"/>
                <w:b w:val="0"/>
                <w:bCs w:val="0"/>
                <w:color w:val="FFFFFF"/>
                <w:sz w:val="18"/>
                <w:szCs w:val="18"/>
                <w:lang w:eastAsia="en-AU"/>
              </w:rPr>
              <w:t xml:space="preserve">  </w:t>
            </w:r>
          </w:p>
        </w:tc>
        <w:tc>
          <w:tcPr>
            <w:tcW w:w="1316" w:type="pct"/>
            <w:noWrap/>
            <w:hideMark/>
          </w:tcPr>
          <w:p w14:paraId="565A6411" w14:textId="6C800DFD" w:rsidR="008D4887" w:rsidRPr="00CF5F96" w:rsidRDefault="00FB115E" w:rsidP="00BE4DE4">
            <w:pPr>
              <w:spacing w:before="0" w:after="0"/>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FFFFFF"/>
                <w:sz w:val="18"/>
                <w:szCs w:val="18"/>
                <w:lang w:eastAsia="en-AU"/>
              </w:rPr>
            </w:pPr>
            <w:r w:rsidRPr="0084047A">
              <w:rPr>
                <w:rFonts w:eastAsia="Times New Roman" w:cs="Arial"/>
                <w:color w:val="FFFFFF"/>
                <w:sz w:val="18"/>
                <w:szCs w:val="18"/>
                <w:lang w:eastAsia="en-AU"/>
              </w:rPr>
              <w:t>201</w:t>
            </w:r>
            <w:r w:rsidR="005C0283">
              <w:rPr>
                <w:rFonts w:eastAsia="Times New Roman" w:cs="Arial"/>
                <w:color w:val="FFFFFF"/>
                <w:sz w:val="18"/>
                <w:szCs w:val="18"/>
                <w:lang w:eastAsia="en-AU"/>
              </w:rPr>
              <w:t>6</w:t>
            </w:r>
            <w:r w:rsidRPr="0084047A">
              <w:rPr>
                <w:rFonts w:eastAsia="Times New Roman" w:cs="Arial"/>
                <w:color w:val="FFFFFF"/>
                <w:sz w:val="18"/>
                <w:szCs w:val="18"/>
                <w:lang w:eastAsia="en-AU"/>
              </w:rPr>
              <w:t>-1</w:t>
            </w:r>
            <w:r w:rsidR="005C0283">
              <w:rPr>
                <w:rFonts w:eastAsia="Times New Roman" w:cs="Arial"/>
                <w:color w:val="FFFFFF"/>
                <w:sz w:val="18"/>
                <w:szCs w:val="18"/>
                <w:lang w:eastAsia="en-AU"/>
              </w:rPr>
              <w:t>7</w:t>
            </w:r>
            <w:r w:rsidR="00506145" w:rsidRPr="0084047A">
              <w:rPr>
                <w:rFonts w:eastAsia="Times New Roman" w:cs="Arial"/>
                <w:color w:val="FFFFFF"/>
                <w:sz w:val="18"/>
                <w:szCs w:val="18"/>
                <w:lang w:eastAsia="en-AU"/>
              </w:rPr>
              <w:t xml:space="preserve"> </w:t>
            </w:r>
            <w:r w:rsidRPr="0084047A">
              <w:rPr>
                <w:rFonts w:eastAsia="Times New Roman" w:cs="Arial"/>
                <w:color w:val="FFFFFF"/>
                <w:sz w:val="18"/>
                <w:szCs w:val="18"/>
                <w:lang w:eastAsia="en-AU"/>
              </w:rPr>
              <w:t>(</w:t>
            </w:r>
            <w:r w:rsidR="008D4887" w:rsidRPr="0084047A">
              <w:rPr>
                <w:rFonts w:eastAsia="Times New Roman" w:cs="Arial"/>
                <w:color w:val="FFFFFF"/>
                <w:sz w:val="18"/>
                <w:szCs w:val="18"/>
                <w:lang w:eastAsia="en-AU"/>
              </w:rPr>
              <w:t>$ million</w:t>
            </w:r>
            <w:r w:rsidRPr="0084047A">
              <w:rPr>
                <w:rFonts w:eastAsia="Times New Roman" w:cs="Arial"/>
                <w:color w:val="FFFFFF"/>
                <w:sz w:val="18"/>
                <w:szCs w:val="18"/>
                <w:lang w:eastAsia="en-AU"/>
              </w:rPr>
              <w:t>)</w:t>
            </w:r>
          </w:p>
        </w:tc>
      </w:tr>
      <w:tr w:rsidR="00506145" w:rsidRPr="00506145" w14:paraId="38B940E8" w14:textId="77777777" w:rsidTr="00B17A4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84" w:type="pct"/>
            <w:tcBorders>
              <w:top w:val="none" w:sz="0" w:space="0" w:color="auto"/>
              <w:bottom w:val="none" w:sz="0" w:space="0" w:color="auto"/>
              <w:right w:val="none" w:sz="0" w:space="0" w:color="auto"/>
            </w:tcBorders>
            <w:noWrap/>
            <w:hideMark/>
          </w:tcPr>
          <w:p w14:paraId="5CE0E545" w14:textId="77777777" w:rsidR="008D4887" w:rsidRPr="00CF5F96" w:rsidRDefault="008D4887" w:rsidP="008D4887">
            <w:pPr>
              <w:spacing w:before="0" w:after="0"/>
              <w:rPr>
                <w:rFonts w:eastAsia="Times New Roman" w:cs="Arial"/>
                <w:b w:val="0"/>
                <w:color w:val="000000"/>
                <w:sz w:val="18"/>
                <w:szCs w:val="18"/>
                <w:lang w:eastAsia="en-AU"/>
              </w:rPr>
            </w:pPr>
            <w:r w:rsidRPr="00CF5F96">
              <w:rPr>
                <w:rFonts w:eastAsia="Times New Roman" w:cs="Arial"/>
                <w:b w:val="0"/>
                <w:color w:val="000000"/>
                <w:sz w:val="18"/>
                <w:szCs w:val="18"/>
                <w:lang w:eastAsia="en-AU"/>
              </w:rPr>
              <w:t xml:space="preserve">Gross output </w:t>
            </w:r>
          </w:p>
        </w:tc>
        <w:tc>
          <w:tcPr>
            <w:tcW w:w="1316" w:type="pct"/>
            <w:tcBorders>
              <w:top w:val="none" w:sz="0" w:space="0" w:color="auto"/>
              <w:bottom w:val="none" w:sz="0" w:space="0" w:color="auto"/>
            </w:tcBorders>
            <w:noWrap/>
            <w:hideMark/>
          </w:tcPr>
          <w:p w14:paraId="3AC87EE7" w14:textId="420A552D" w:rsidR="008D4887" w:rsidRPr="00CB1CC9" w:rsidRDefault="008D4887" w:rsidP="00BE4DE4">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B1CC9">
              <w:rPr>
                <w:rFonts w:eastAsia="Times New Roman" w:cs="Arial"/>
                <w:color w:val="000000"/>
                <w:sz w:val="18"/>
                <w:szCs w:val="18"/>
                <w:lang w:eastAsia="en-AU"/>
              </w:rPr>
              <w:t xml:space="preserve">4,673 </w:t>
            </w:r>
          </w:p>
        </w:tc>
      </w:tr>
      <w:tr w:rsidR="00506145" w:rsidRPr="00506145" w14:paraId="337628E8" w14:textId="77777777" w:rsidTr="00B17A4E">
        <w:trPr>
          <w:trHeight w:val="255"/>
        </w:trPr>
        <w:tc>
          <w:tcPr>
            <w:cnfStyle w:val="001000000000" w:firstRow="0" w:lastRow="0" w:firstColumn="1" w:lastColumn="0" w:oddVBand="0" w:evenVBand="0" w:oddHBand="0" w:evenHBand="0" w:firstRowFirstColumn="0" w:firstRowLastColumn="0" w:lastRowFirstColumn="0" w:lastRowLastColumn="0"/>
            <w:tcW w:w="3684" w:type="pct"/>
            <w:tcBorders>
              <w:right w:val="none" w:sz="0" w:space="0" w:color="auto"/>
            </w:tcBorders>
            <w:noWrap/>
            <w:hideMark/>
          </w:tcPr>
          <w:p w14:paraId="35FBC7B8" w14:textId="77777777" w:rsidR="008D4887" w:rsidRPr="00CF5F96" w:rsidRDefault="008D4887" w:rsidP="008D4887">
            <w:pPr>
              <w:spacing w:before="0" w:after="0"/>
              <w:rPr>
                <w:rFonts w:eastAsia="Times New Roman" w:cs="Arial"/>
                <w:b w:val="0"/>
                <w:color w:val="000000"/>
                <w:sz w:val="18"/>
                <w:szCs w:val="18"/>
                <w:lang w:eastAsia="en-AU"/>
              </w:rPr>
            </w:pPr>
            <w:r w:rsidRPr="00CF5F96">
              <w:rPr>
                <w:rFonts w:eastAsia="Times New Roman" w:cs="Arial"/>
                <w:b w:val="0"/>
                <w:color w:val="000000"/>
                <w:sz w:val="18"/>
                <w:szCs w:val="18"/>
                <w:lang w:eastAsia="en-AU"/>
              </w:rPr>
              <w:t xml:space="preserve">Purchased goods and services </w:t>
            </w:r>
          </w:p>
        </w:tc>
        <w:tc>
          <w:tcPr>
            <w:tcW w:w="1316" w:type="pct"/>
            <w:noWrap/>
            <w:hideMark/>
          </w:tcPr>
          <w:p w14:paraId="1729A39B" w14:textId="173690F2" w:rsidR="008D4887" w:rsidRPr="00CB1CC9" w:rsidRDefault="008D4887" w:rsidP="00BE4DE4">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B1CC9">
              <w:rPr>
                <w:rFonts w:eastAsia="Times New Roman" w:cs="Arial"/>
                <w:color w:val="000000"/>
                <w:sz w:val="18"/>
                <w:szCs w:val="18"/>
                <w:lang w:eastAsia="en-AU"/>
              </w:rPr>
              <w:t>2,</w:t>
            </w:r>
            <w:r w:rsidR="005C0283">
              <w:rPr>
                <w:rFonts w:eastAsia="Times New Roman" w:cs="Arial"/>
                <w:color w:val="000000"/>
                <w:sz w:val="18"/>
                <w:szCs w:val="18"/>
                <w:lang w:eastAsia="en-AU"/>
              </w:rPr>
              <w:t>574</w:t>
            </w:r>
            <w:r w:rsidR="005C0283" w:rsidRPr="00CB1CC9">
              <w:rPr>
                <w:rFonts w:eastAsia="Times New Roman" w:cs="Arial"/>
                <w:color w:val="000000"/>
                <w:sz w:val="18"/>
                <w:szCs w:val="18"/>
                <w:lang w:eastAsia="en-AU"/>
              </w:rPr>
              <w:t xml:space="preserve"> </w:t>
            </w:r>
          </w:p>
        </w:tc>
      </w:tr>
      <w:tr w:rsidR="00506145" w:rsidRPr="00506145" w14:paraId="174936AE" w14:textId="77777777" w:rsidTr="00B17A4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84" w:type="pct"/>
            <w:tcBorders>
              <w:top w:val="none" w:sz="0" w:space="0" w:color="auto"/>
              <w:bottom w:val="none" w:sz="0" w:space="0" w:color="auto"/>
              <w:right w:val="none" w:sz="0" w:space="0" w:color="auto"/>
            </w:tcBorders>
            <w:noWrap/>
            <w:hideMark/>
          </w:tcPr>
          <w:p w14:paraId="570C1D94" w14:textId="77777777" w:rsidR="008D4887" w:rsidRPr="00CF5F96" w:rsidRDefault="008D4887" w:rsidP="008D4887">
            <w:pPr>
              <w:spacing w:before="0" w:after="0"/>
              <w:rPr>
                <w:rFonts w:eastAsia="Times New Roman" w:cs="Arial"/>
                <w:bCs w:val="0"/>
                <w:color w:val="000000"/>
                <w:sz w:val="18"/>
                <w:szCs w:val="18"/>
                <w:lang w:eastAsia="en-AU"/>
              </w:rPr>
            </w:pPr>
            <w:r w:rsidRPr="00C54DBF">
              <w:rPr>
                <w:rFonts w:eastAsia="Times New Roman" w:cs="Arial"/>
                <w:color w:val="000000"/>
                <w:sz w:val="18"/>
                <w:szCs w:val="18"/>
                <w:lang w:eastAsia="en-AU"/>
              </w:rPr>
              <w:t>Gross Value Added</w:t>
            </w:r>
          </w:p>
        </w:tc>
        <w:tc>
          <w:tcPr>
            <w:tcW w:w="1316" w:type="pct"/>
            <w:tcBorders>
              <w:top w:val="none" w:sz="0" w:space="0" w:color="auto"/>
              <w:bottom w:val="none" w:sz="0" w:space="0" w:color="auto"/>
            </w:tcBorders>
            <w:noWrap/>
            <w:hideMark/>
          </w:tcPr>
          <w:p w14:paraId="06D793AE" w14:textId="1CAA87D8" w:rsidR="008D4887" w:rsidRPr="00CB1CC9" w:rsidRDefault="008D4887" w:rsidP="00BE4DE4">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18"/>
                <w:szCs w:val="18"/>
                <w:lang w:eastAsia="en-AU"/>
              </w:rPr>
            </w:pPr>
            <w:r w:rsidRPr="00CB1CC9">
              <w:rPr>
                <w:rFonts w:eastAsia="Times New Roman" w:cs="Arial"/>
                <w:b/>
                <w:bCs/>
                <w:color w:val="000000"/>
                <w:sz w:val="18"/>
                <w:szCs w:val="18"/>
                <w:lang w:eastAsia="en-AU"/>
              </w:rPr>
              <w:t>2,</w:t>
            </w:r>
            <w:r w:rsidR="005C0283" w:rsidRPr="00CB1CC9">
              <w:rPr>
                <w:rFonts w:eastAsia="Times New Roman" w:cs="Arial"/>
                <w:b/>
                <w:bCs/>
                <w:color w:val="000000"/>
                <w:sz w:val="18"/>
                <w:szCs w:val="18"/>
                <w:lang w:eastAsia="en-AU"/>
              </w:rPr>
              <w:t>0</w:t>
            </w:r>
            <w:r w:rsidR="005C0283">
              <w:rPr>
                <w:rFonts w:eastAsia="Times New Roman" w:cs="Arial"/>
                <w:b/>
                <w:bCs/>
                <w:color w:val="000000"/>
                <w:sz w:val="18"/>
                <w:szCs w:val="18"/>
                <w:lang w:eastAsia="en-AU"/>
              </w:rPr>
              <w:t>99</w:t>
            </w:r>
            <w:r w:rsidR="005C0283" w:rsidRPr="00CB1CC9">
              <w:rPr>
                <w:rFonts w:eastAsia="Times New Roman" w:cs="Arial"/>
                <w:b/>
                <w:bCs/>
                <w:color w:val="000000"/>
                <w:sz w:val="18"/>
                <w:szCs w:val="18"/>
                <w:lang w:eastAsia="en-AU"/>
              </w:rPr>
              <w:t xml:space="preserve"> </w:t>
            </w:r>
          </w:p>
        </w:tc>
      </w:tr>
      <w:tr w:rsidR="00506145" w:rsidRPr="00506145" w14:paraId="6A223871" w14:textId="77777777" w:rsidTr="00B17A4E">
        <w:trPr>
          <w:trHeight w:val="255"/>
        </w:trPr>
        <w:tc>
          <w:tcPr>
            <w:cnfStyle w:val="001000000000" w:firstRow="0" w:lastRow="0" w:firstColumn="1" w:lastColumn="0" w:oddVBand="0" w:evenVBand="0" w:oddHBand="0" w:evenHBand="0" w:firstRowFirstColumn="0" w:firstRowLastColumn="0" w:lastRowFirstColumn="0" w:lastRowLastColumn="0"/>
            <w:tcW w:w="3684" w:type="pct"/>
            <w:tcBorders>
              <w:right w:val="none" w:sz="0" w:space="0" w:color="auto"/>
            </w:tcBorders>
            <w:noWrap/>
            <w:hideMark/>
          </w:tcPr>
          <w:p w14:paraId="6EC37B16" w14:textId="77777777" w:rsidR="008D4887" w:rsidRPr="00CF5F96" w:rsidRDefault="008D4887" w:rsidP="008D4887">
            <w:pPr>
              <w:spacing w:before="0" w:after="0"/>
              <w:rPr>
                <w:rFonts w:eastAsia="Times New Roman" w:cs="Arial"/>
                <w:b w:val="0"/>
                <w:color w:val="000000"/>
                <w:sz w:val="18"/>
                <w:szCs w:val="18"/>
                <w:lang w:eastAsia="en-AU"/>
              </w:rPr>
            </w:pPr>
            <w:r w:rsidRPr="00CF5F96">
              <w:rPr>
                <w:rFonts w:eastAsia="Times New Roman" w:cs="Arial"/>
                <w:b w:val="0"/>
                <w:color w:val="000000"/>
                <w:sz w:val="18"/>
                <w:szCs w:val="18"/>
                <w:lang w:eastAsia="en-AU"/>
              </w:rPr>
              <w:t xml:space="preserve">Expenditure </w:t>
            </w:r>
          </w:p>
        </w:tc>
        <w:tc>
          <w:tcPr>
            <w:tcW w:w="1316" w:type="pct"/>
            <w:noWrap/>
            <w:hideMark/>
          </w:tcPr>
          <w:p w14:paraId="5C55FEF1" w14:textId="2475E6FD" w:rsidR="008D4887" w:rsidRPr="00CB1CC9" w:rsidRDefault="008D4887" w:rsidP="00BE4DE4">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B1CC9">
              <w:rPr>
                <w:rFonts w:eastAsia="Times New Roman" w:cs="Arial"/>
                <w:color w:val="000000"/>
                <w:sz w:val="18"/>
                <w:szCs w:val="18"/>
                <w:lang w:eastAsia="en-AU"/>
              </w:rPr>
              <w:t>1,</w:t>
            </w:r>
            <w:r w:rsidR="001C7DE8">
              <w:rPr>
                <w:rFonts w:eastAsia="Times New Roman" w:cs="Arial"/>
                <w:color w:val="000000"/>
                <w:sz w:val="18"/>
                <w:szCs w:val="18"/>
                <w:lang w:eastAsia="en-AU"/>
              </w:rPr>
              <w:t>427</w:t>
            </w:r>
          </w:p>
        </w:tc>
      </w:tr>
      <w:tr w:rsidR="00506145" w:rsidRPr="00506145" w14:paraId="188DE12C" w14:textId="77777777" w:rsidTr="00B17A4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84" w:type="pct"/>
            <w:tcBorders>
              <w:top w:val="none" w:sz="0" w:space="0" w:color="auto"/>
              <w:bottom w:val="none" w:sz="0" w:space="0" w:color="auto"/>
              <w:right w:val="none" w:sz="0" w:space="0" w:color="auto"/>
            </w:tcBorders>
            <w:noWrap/>
            <w:hideMark/>
          </w:tcPr>
          <w:p w14:paraId="3DDC3F89" w14:textId="1E1EF0E2" w:rsidR="008D4887" w:rsidRPr="00CF5F96" w:rsidRDefault="008D4887" w:rsidP="008D4887">
            <w:pPr>
              <w:spacing w:before="0" w:after="0"/>
              <w:rPr>
                <w:rFonts w:eastAsia="Times New Roman" w:cs="Arial"/>
                <w:b w:val="0"/>
                <w:color w:val="000000"/>
                <w:sz w:val="18"/>
                <w:szCs w:val="18"/>
                <w:lang w:eastAsia="en-AU"/>
              </w:rPr>
            </w:pPr>
            <w:r w:rsidRPr="00CF5F96">
              <w:rPr>
                <w:rFonts w:eastAsia="Times New Roman" w:cs="Arial"/>
                <w:b w:val="0"/>
                <w:color w:val="000000"/>
                <w:sz w:val="18"/>
                <w:szCs w:val="18"/>
                <w:lang w:eastAsia="en-AU"/>
              </w:rPr>
              <w:t xml:space="preserve">• Wages </w:t>
            </w:r>
          </w:p>
        </w:tc>
        <w:tc>
          <w:tcPr>
            <w:tcW w:w="1316" w:type="pct"/>
            <w:tcBorders>
              <w:top w:val="none" w:sz="0" w:space="0" w:color="auto"/>
              <w:bottom w:val="none" w:sz="0" w:space="0" w:color="auto"/>
            </w:tcBorders>
            <w:noWrap/>
            <w:hideMark/>
          </w:tcPr>
          <w:p w14:paraId="457E479B" w14:textId="0667D5FA" w:rsidR="008D4887" w:rsidRPr="00CB1CC9" w:rsidRDefault="008D4887" w:rsidP="00BE4DE4">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B1CC9">
              <w:rPr>
                <w:rFonts w:eastAsia="Times New Roman" w:cs="Arial"/>
                <w:color w:val="000000"/>
                <w:sz w:val="18"/>
                <w:szCs w:val="18"/>
                <w:lang w:eastAsia="en-AU"/>
              </w:rPr>
              <w:t>1</w:t>
            </w:r>
            <w:r w:rsidR="005C0283">
              <w:rPr>
                <w:rFonts w:eastAsia="Times New Roman" w:cs="Arial"/>
                <w:color w:val="000000"/>
                <w:sz w:val="18"/>
                <w:szCs w:val="18"/>
                <w:lang w:eastAsia="en-AU"/>
              </w:rPr>
              <w:t>,358</w:t>
            </w:r>
            <w:r w:rsidRPr="00CB1CC9">
              <w:rPr>
                <w:rFonts w:eastAsia="Times New Roman" w:cs="Arial"/>
                <w:color w:val="000000"/>
                <w:sz w:val="18"/>
                <w:szCs w:val="18"/>
                <w:lang w:eastAsia="en-AU"/>
              </w:rPr>
              <w:t xml:space="preserve"> </w:t>
            </w:r>
          </w:p>
        </w:tc>
      </w:tr>
      <w:tr w:rsidR="00506145" w:rsidRPr="00506145" w14:paraId="34A6BCD1" w14:textId="77777777" w:rsidTr="00B17A4E">
        <w:trPr>
          <w:trHeight w:val="255"/>
        </w:trPr>
        <w:tc>
          <w:tcPr>
            <w:cnfStyle w:val="001000000000" w:firstRow="0" w:lastRow="0" w:firstColumn="1" w:lastColumn="0" w:oddVBand="0" w:evenVBand="0" w:oddHBand="0" w:evenHBand="0" w:firstRowFirstColumn="0" w:firstRowLastColumn="0" w:lastRowFirstColumn="0" w:lastRowLastColumn="0"/>
            <w:tcW w:w="3684" w:type="pct"/>
            <w:tcBorders>
              <w:right w:val="none" w:sz="0" w:space="0" w:color="auto"/>
            </w:tcBorders>
            <w:noWrap/>
            <w:hideMark/>
          </w:tcPr>
          <w:p w14:paraId="160422FD" w14:textId="6291BB36" w:rsidR="008D4887" w:rsidRPr="00CF5F96" w:rsidRDefault="008D4887" w:rsidP="008D4887">
            <w:pPr>
              <w:spacing w:before="0" w:after="0"/>
              <w:rPr>
                <w:rFonts w:eastAsia="Times New Roman" w:cs="Arial"/>
                <w:b w:val="0"/>
                <w:color w:val="000000"/>
                <w:sz w:val="18"/>
                <w:szCs w:val="18"/>
                <w:lang w:eastAsia="en-AU"/>
              </w:rPr>
            </w:pPr>
            <w:r w:rsidRPr="00CF5F96">
              <w:rPr>
                <w:rFonts w:eastAsia="Times New Roman" w:cs="Arial"/>
                <w:b w:val="0"/>
                <w:color w:val="000000"/>
                <w:sz w:val="18"/>
                <w:szCs w:val="18"/>
                <w:lang w:eastAsia="en-AU"/>
              </w:rPr>
              <w:t>• Taxes less subsidies on products</w:t>
            </w:r>
          </w:p>
        </w:tc>
        <w:tc>
          <w:tcPr>
            <w:tcW w:w="1316" w:type="pct"/>
            <w:noWrap/>
            <w:hideMark/>
          </w:tcPr>
          <w:p w14:paraId="37BEFAC2" w14:textId="241DE490" w:rsidR="008D4887" w:rsidRPr="00CB1CC9" w:rsidRDefault="008D4887" w:rsidP="00BE4DE4">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B1CC9">
              <w:rPr>
                <w:rFonts w:eastAsia="Times New Roman" w:cs="Arial"/>
                <w:color w:val="000000"/>
                <w:sz w:val="18"/>
                <w:szCs w:val="18"/>
                <w:lang w:eastAsia="en-AU"/>
              </w:rPr>
              <w:t>1</w:t>
            </w:r>
            <w:r w:rsidR="001C7DE8">
              <w:rPr>
                <w:rFonts w:eastAsia="Times New Roman" w:cs="Arial"/>
                <w:color w:val="000000"/>
                <w:sz w:val="18"/>
                <w:szCs w:val="18"/>
                <w:lang w:eastAsia="en-AU"/>
              </w:rPr>
              <w:t>2</w:t>
            </w:r>
          </w:p>
        </w:tc>
      </w:tr>
      <w:tr w:rsidR="00506145" w:rsidRPr="00506145" w14:paraId="08EAF735" w14:textId="77777777" w:rsidTr="004906A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84" w:type="pct"/>
            <w:tcBorders>
              <w:top w:val="none" w:sz="0" w:space="0" w:color="auto"/>
              <w:bottom w:val="single" w:sz="2" w:space="0" w:color="BFBFBF" w:themeColor="background1" w:themeShade="BF"/>
              <w:right w:val="none" w:sz="0" w:space="0" w:color="auto"/>
            </w:tcBorders>
            <w:noWrap/>
            <w:hideMark/>
          </w:tcPr>
          <w:p w14:paraId="7BA67DAE" w14:textId="4E116985" w:rsidR="008D4887" w:rsidRPr="00CF5F96" w:rsidRDefault="008D4887" w:rsidP="008D4887">
            <w:pPr>
              <w:spacing w:before="0" w:after="0"/>
              <w:rPr>
                <w:rFonts w:eastAsia="Times New Roman" w:cs="Arial"/>
                <w:b w:val="0"/>
                <w:color w:val="000000"/>
                <w:sz w:val="18"/>
                <w:szCs w:val="18"/>
                <w:lang w:eastAsia="en-AU"/>
              </w:rPr>
            </w:pPr>
            <w:r w:rsidRPr="00CF5F96">
              <w:rPr>
                <w:rFonts w:eastAsia="Times New Roman" w:cs="Arial"/>
                <w:b w:val="0"/>
                <w:color w:val="000000"/>
                <w:sz w:val="18"/>
                <w:szCs w:val="18"/>
                <w:lang w:eastAsia="en-AU"/>
              </w:rPr>
              <w:t xml:space="preserve">• Other taxes less subsidies on production </w:t>
            </w:r>
          </w:p>
        </w:tc>
        <w:tc>
          <w:tcPr>
            <w:tcW w:w="1316" w:type="pct"/>
            <w:tcBorders>
              <w:top w:val="none" w:sz="0" w:space="0" w:color="auto"/>
              <w:bottom w:val="single" w:sz="2" w:space="0" w:color="BFBFBF" w:themeColor="background1" w:themeShade="BF"/>
            </w:tcBorders>
            <w:noWrap/>
            <w:hideMark/>
          </w:tcPr>
          <w:p w14:paraId="3D3081A9" w14:textId="3BB339A2" w:rsidR="008D4887" w:rsidRPr="00CB1CC9" w:rsidRDefault="008D4887" w:rsidP="00BE4DE4">
            <w:pPr>
              <w:spacing w:before="0" w:after="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B1CC9">
              <w:rPr>
                <w:rFonts w:eastAsia="Times New Roman" w:cs="Arial"/>
                <w:color w:val="000000"/>
                <w:sz w:val="18"/>
                <w:szCs w:val="18"/>
                <w:lang w:eastAsia="en-AU"/>
              </w:rPr>
              <w:t>5</w:t>
            </w:r>
            <w:r w:rsidR="001C7DE8">
              <w:rPr>
                <w:rFonts w:eastAsia="Times New Roman" w:cs="Arial"/>
                <w:color w:val="000000"/>
                <w:sz w:val="18"/>
                <w:szCs w:val="18"/>
                <w:lang w:eastAsia="en-AU"/>
              </w:rPr>
              <w:t>7</w:t>
            </w:r>
            <w:r w:rsidRPr="00CB1CC9">
              <w:rPr>
                <w:rFonts w:eastAsia="Times New Roman" w:cs="Arial"/>
                <w:color w:val="000000"/>
                <w:sz w:val="18"/>
                <w:szCs w:val="18"/>
                <w:lang w:eastAsia="en-AU"/>
              </w:rPr>
              <w:t xml:space="preserve"> </w:t>
            </w:r>
          </w:p>
        </w:tc>
      </w:tr>
      <w:tr w:rsidR="00506145" w:rsidRPr="00506145" w14:paraId="1C7FBB46" w14:textId="77777777" w:rsidTr="004906AA">
        <w:trPr>
          <w:trHeight w:val="255"/>
        </w:trPr>
        <w:tc>
          <w:tcPr>
            <w:cnfStyle w:val="001000000000" w:firstRow="0" w:lastRow="0" w:firstColumn="1" w:lastColumn="0" w:oddVBand="0" w:evenVBand="0" w:oddHBand="0" w:evenHBand="0" w:firstRowFirstColumn="0" w:firstRowLastColumn="0" w:lastRowFirstColumn="0" w:lastRowLastColumn="0"/>
            <w:tcW w:w="3684" w:type="pct"/>
            <w:tcBorders>
              <w:top w:val="single" w:sz="2" w:space="0" w:color="BFBFBF" w:themeColor="background1" w:themeShade="BF"/>
              <w:bottom w:val="single" w:sz="2" w:space="0" w:color="D9D9D9" w:themeColor="background1" w:themeShade="D9"/>
              <w:right w:val="none" w:sz="0" w:space="0" w:color="auto"/>
            </w:tcBorders>
            <w:noWrap/>
            <w:hideMark/>
          </w:tcPr>
          <w:p w14:paraId="391A5251" w14:textId="77777777" w:rsidR="008D4887" w:rsidRPr="00CF5F96" w:rsidRDefault="008D4887" w:rsidP="008D4887">
            <w:pPr>
              <w:spacing w:before="0" w:after="0"/>
              <w:rPr>
                <w:rFonts w:eastAsia="Times New Roman" w:cs="Arial"/>
                <w:b w:val="0"/>
                <w:color w:val="000000"/>
                <w:sz w:val="18"/>
                <w:szCs w:val="18"/>
                <w:lang w:eastAsia="en-AU"/>
              </w:rPr>
            </w:pPr>
            <w:r w:rsidRPr="00CF5F96">
              <w:rPr>
                <w:rFonts w:eastAsia="Times New Roman" w:cs="Arial"/>
                <w:b w:val="0"/>
                <w:color w:val="000000"/>
                <w:sz w:val="18"/>
                <w:szCs w:val="18"/>
                <w:lang w:eastAsia="en-AU"/>
              </w:rPr>
              <w:t>Gross Operating Surplus</w:t>
            </w:r>
          </w:p>
        </w:tc>
        <w:tc>
          <w:tcPr>
            <w:tcW w:w="1316" w:type="pct"/>
            <w:tcBorders>
              <w:top w:val="single" w:sz="2" w:space="0" w:color="BFBFBF" w:themeColor="background1" w:themeShade="BF"/>
              <w:bottom w:val="single" w:sz="2" w:space="0" w:color="D9D9D9" w:themeColor="background1" w:themeShade="D9"/>
            </w:tcBorders>
            <w:noWrap/>
            <w:hideMark/>
          </w:tcPr>
          <w:p w14:paraId="41D4D1C1" w14:textId="33FF8437" w:rsidR="008D4887" w:rsidRPr="00CB1CC9" w:rsidRDefault="008D4887" w:rsidP="00BE4DE4">
            <w:pPr>
              <w:spacing w:before="0" w:after="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B1CC9">
              <w:rPr>
                <w:rFonts w:eastAsia="Times New Roman" w:cs="Arial"/>
                <w:color w:val="000000"/>
                <w:sz w:val="18"/>
                <w:szCs w:val="18"/>
                <w:lang w:eastAsia="en-AU"/>
              </w:rPr>
              <w:t>6</w:t>
            </w:r>
            <w:r w:rsidR="001C7DE8">
              <w:rPr>
                <w:rFonts w:eastAsia="Times New Roman" w:cs="Arial"/>
                <w:color w:val="000000"/>
                <w:sz w:val="18"/>
                <w:szCs w:val="18"/>
                <w:lang w:eastAsia="en-AU"/>
              </w:rPr>
              <w:t>72</w:t>
            </w:r>
            <w:r w:rsidRPr="00CB1CC9">
              <w:rPr>
                <w:rFonts w:eastAsia="Times New Roman" w:cs="Arial"/>
                <w:color w:val="000000"/>
                <w:sz w:val="18"/>
                <w:szCs w:val="18"/>
                <w:lang w:eastAsia="en-AU"/>
              </w:rPr>
              <w:t xml:space="preserve"> </w:t>
            </w:r>
          </w:p>
        </w:tc>
      </w:tr>
    </w:tbl>
    <w:p w14:paraId="05AD20E0" w14:textId="4D27512A" w:rsidR="004906AA" w:rsidRDefault="00AA33AC" w:rsidP="00DF7D23">
      <w:pPr>
        <w:pStyle w:val="Source"/>
      </w:pPr>
      <w:r>
        <w:t xml:space="preserve">  </w:t>
      </w:r>
      <w:r w:rsidR="00752B8F" w:rsidRPr="00506145">
        <w:t xml:space="preserve">Source: </w:t>
      </w:r>
      <w:r w:rsidR="005C0283">
        <w:t xml:space="preserve">Estimates based on </w:t>
      </w:r>
      <w:r w:rsidR="00EA6108">
        <w:t xml:space="preserve">ABS </w:t>
      </w:r>
      <w:r w:rsidR="005C0283">
        <w:t>8155</w:t>
      </w:r>
      <w:r w:rsidR="00DD629F">
        <w:t>.0</w:t>
      </w:r>
      <w:r w:rsidR="005C0283">
        <w:t xml:space="preserve"> and ABS </w:t>
      </w:r>
      <w:r w:rsidR="00EA6108">
        <w:t>5209.0.55.001</w:t>
      </w:r>
      <w:bookmarkStart w:id="168" w:name="_Ref479073301"/>
    </w:p>
    <w:p w14:paraId="42F85821" w14:textId="77777777" w:rsidR="00DD629F" w:rsidRDefault="00DD629F">
      <w:pPr>
        <w:spacing w:before="0" w:after="160" w:line="259" w:lineRule="auto"/>
        <w:rPr>
          <w:rFonts w:eastAsiaTheme="majorEastAsia" w:cstheme="majorBidi"/>
          <w:color w:val="0091DA" w:themeColor="accent2"/>
          <w:sz w:val="36"/>
          <w:szCs w:val="40"/>
          <w14:scene3d>
            <w14:camera w14:prst="orthographicFront"/>
            <w14:lightRig w14:rig="threePt" w14:dir="t">
              <w14:rot w14:lat="0" w14:lon="0" w14:rev="0"/>
            </w14:lightRig>
          </w14:scene3d>
        </w:rPr>
      </w:pPr>
      <w:r>
        <w:br w:type="page"/>
      </w:r>
    </w:p>
    <w:p w14:paraId="5DD2F5DC" w14:textId="3AFE25AE" w:rsidR="008748CF" w:rsidRPr="008748CF" w:rsidRDefault="008748CF" w:rsidP="0011521D">
      <w:pPr>
        <w:pStyle w:val="Heading3"/>
      </w:pPr>
      <w:bookmarkStart w:id="169" w:name="_Toc26537894"/>
      <w:r>
        <w:lastRenderedPageBreak/>
        <w:t>Expenditure</w:t>
      </w:r>
      <w:bookmarkEnd w:id="168"/>
      <w:bookmarkEnd w:id="169"/>
      <w:r w:rsidRPr="008748CF">
        <w:t xml:space="preserve"> </w:t>
      </w:r>
    </w:p>
    <w:p w14:paraId="012ED384" w14:textId="77777777" w:rsidR="00225897" w:rsidRDefault="00225897" w:rsidP="00720136">
      <w:pPr>
        <w:pStyle w:val="BodyText1"/>
      </w:pPr>
      <w:r>
        <w:t>I</w:t>
      </w:r>
      <w:r w:rsidR="00EA6A3D" w:rsidRPr="00E304C6">
        <w:t xml:space="preserve">n </w:t>
      </w:r>
      <w:r>
        <w:t xml:space="preserve">addition to </w:t>
      </w:r>
      <w:r w:rsidR="008B1DF5">
        <w:t xml:space="preserve">adding value to the domestic economy and </w:t>
      </w:r>
      <w:r>
        <w:t xml:space="preserve">contributing to the income of Australians, the </w:t>
      </w:r>
      <w:r w:rsidR="00CA07EA">
        <w:t>Aircraft Manufacturing and Repair Services</w:t>
      </w:r>
      <w:r w:rsidR="00DF6A5B">
        <w:t xml:space="preserve"> </w:t>
      </w:r>
      <w:r w:rsidR="00670F9E">
        <w:t>industry</w:t>
      </w:r>
      <w:r w:rsidR="00670F9E" w:rsidRPr="00E304C6">
        <w:t xml:space="preserve"> </w:t>
      </w:r>
      <w:r>
        <w:t xml:space="preserve">also </w:t>
      </w:r>
      <w:r w:rsidR="00E451A3">
        <w:t>contributes</w:t>
      </w:r>
      <w:r>
        <w:t xml:space="preserve"> to the economy through its </w:t>
      </w:r>
      <w:r w:rsidR="008B1DF5">
        <w:t xml:space="preserve">purchase of </w:t>
      </w:r>
      <w:r w:rsidR="004C2998" w:rsidRPr="00E304C6">
        <w:t xml:space="preserve">goods and services </w:t>
      </w:r>
      <w:r w:rsidR="00C65C51" w:rsidRPr="00E304C6">
        <w:t>from other industries</w:t>
      </w:r>
      <w:r w:rsidR="004C2998" w:rsidRPr="00E304C6">
        <w:t xml:space="preserve">. </w:t>
      </w:r>
      <w:r w:rsidR="008B1DF5">
        <w:t xml:space="preserve">In 2015-16, the industry </w:t>
      </w:r>
      <w:r w:rsidR="00DF6A5B">
        <w:t xml:space="preserve">spent </w:t>
      </w:r>
      <w:r w:rsidR="008B1DF5">
        <w:t xml:space="preserve">over $2.6 billion </w:t>
      </w:r>
      <w:r w:rsidR="00DF6A5B">
        <w:t xml:space="preserve">on </w:t>
      </w:r>
      <w:r w:rsidR="008B1DF5">
        <w:t>inputs from other industries</w:t>
      </w:r>
      <w:r w:rsidR="00D1543B">
        <w:t xml:space="preserve">, which includes both domestic production as well as imports. </w:t>
      </w:r>
    </w:p>
    <w:p w14:paraId="35AC1150" w14:textId="77777777" w:rsidR="00E4752A" w:rsidRDefault="006C0572" w:rsidP="00E4752A">
      <w:pPr>
        <w:pStyle w:val="Caption"/>
      </w:pPr>
      <w:bookmarkStart w:id="170" w:name="_Ref474222560"/>
      <w:r>
        <w:t xml:space="preserve">Figure </w:t>
      </w:r>
      <w:r w:rsidR="00BC06EE">
        <w:fldChar w:fldCharType="begin"/>
      </w:r>
      <w:r w:rsidR="00BC06EE">
        <w:instrText xml:space="preserve"> SEQ Figure \* ARABIC </w:instrText>
      </w:r>
      <w:r w:rsidR="00BC06EE">
        <w:fldChar w:fldCharType="separate"/>
      </w:r>
      <w:r w:rsidR="00980A78">
        <w:t>19</w:t>
      </w:r>
      <w:r w:rsidR="00BC06EE">
        <w:fldChar w:fldCharType="end"/>
      </w:r>
      <w:bookmarkEnd w:id="170"/>
      <w:r>
        <w:t xml:space="preserve">: </w:t>
      </w:r>
      <w:r w:rsidR="00DF6A5B">
        <w:t xml:space="preserve">Aircraft </w:t>
      </w:r>
      <w:r w:rsidRPr="009A79DE">
        <w:t xml:space="preserve">manufacturing </w:t>
      </w:r>
      <w:r w:rsidR="00DF6A5B">
        <w:t>and repair services industry</w:t>
      </w:r>
      <w:r w:rsidR="00DF6A5B" w:rsidRPr="009A79DE">
        <w:t xml:space="preserve">’s </w:t>
      </w:r>
      <w:r w:rsidRPr="009A79DE">
        <w:t>direct expendi</w:t>
      </w:r>
      <w:r w:rsidR="004B7121">
        <w:t xml:space="preserve">ture on goods and services </w:t>
      </w:r>
      <w:r w:rsidR="00DF6831">
        <w:br/>
      </w:r>
      <w:r w:rsidR="00F935ED">
        <w:t>(</w:t>
      </w:r>
      <w:r w:rsidR="004B7121">
        <w:t>2015</w:t>
      </w:r>
      <w:r w:rsidR="009F6CBF" w:rsidRPr="009F6CBF">
        <w:t>–</w:t>
      </w:r>
      <w:r w:rsidR="004B7121">
        <w:t>16</w:t>
      </w:r>
      <w:r w:rsidR="00F935ED">
        <w:t>)</w:t>
      </w:r>
      <w:r w:rsidR="00E4752A" w:rsidRPr="00E4752A">
        <w:t xml:space="preserve"> </w:t>
      </w:r>
    </w:p>
    <w:p w14:paraId="326F21E3" w14:textId="7E0CED2F" w:rsidR="00A44B5B" w:rsidRPr="00CF5F96" w:rsidRDefault="00E4752A" w:rsidP="00E4752A">
      <w:pPr>
        <w:pStyle w:val="Caption"/>
        <w:spacing w:after="0"/>
        <w:jc w:val="center"/>
      </w:pPr>
      <w:r>
        <w:drawing>
          <wp:inline distT="0" distB="0" distL="0" distR="0" wp14:anchorId="1CE06BF0" wp14:editId="4D9A8929">
            <wp:extent cx="5731510" cy="3901440"/>
            <wp:effectExtent l="0" t="0" r="2540" b="3810"/>
            <wp:docPr id="3" name="Chart 3" descr="Figure 19: Aircraft manufacturing and repair services industry’s direct expenditure on goods and services (2015–16) "/>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C73DF0C" w14:textId="77777777" w:rsidR="00EA6108" w:rsidRDefault="00926CBB" w:rsidP="00DF7D23">
      <w:pPr>
        <w:pStyle w:val="Source"/>
      </w:pPr>
      <w:r>
        <w:t xml:space="preserve">  </w:t>
      </w:r>
      <w:r w:rsidR="007261F8" w:rsidRPr="008748CF">
        <w:t xml:space="preserve">Source: </w:t>
      </w:r>
      <w:r w:rsidR="00EA6108">
        <w:t>ABS 5209.0.55.001</w:t>
      </w:r>
    </w:p>
    <w:p w14:paraId="34A701A6" w14:textId="3CF8658B" w:rsidR="004B5128" w:rsidRPr="004B5128" w:rsidRDefault="004B5128" w:rsidP="00BE4DE4">
      <w:pPr>
        <w:pStyle w:val="Source"/>
      </w:pPr>
      <w:r w:rsidRPr="004B5128">
        <w:t xml:space="preserve">Notes: </w:t>
      </w:r>
      <w:r w:rsidR="007003D0" w:rsidRPr="004B5128">
        <w:t>* Electricity includes generation as well as transmission, distribution, on selling and market operation</w:t>
      </w:r>
      <w:r w:rsidR="00BE4DE4">
        <w:br/>
      </w:r>
      <w:r w:rsidR="007003D0">
        <w:t xml:space="preserve">* </w:t>
      </w:r>
      <w:r w:rsidRPr="004B5128">
        <w:t xml:space="preserve">Other Product Manufacturing includes Natural rubber product, Other fabricated metal product, </w:t>
      </w:r>
      <w:r w:rsidR="00C47110">
        <w:br/>
      </w:r>
      <w:r w:rsidR="00BE4DE4">
        <w:t xml:space="preserve">Textile product and </w:t>
      </w:r>
      <w:r w:rsidRPr="004B5128">
        <w:t>Other wood product manufacturing</w:t>
      </w:r>
    </w:p>
    <w:p w14:paraId="05F71E44" w14:textId="5EF6100F" w:rsidR="00F54C2C" w:rsidRDefault="00D1543B">
      <w:pPr>
        <w:pStyle w:val="Bodyafterbullet"/>
      </w:pPr>
      <w:r>
        <w:fldChar w:fldCharType="begin"/>
      </w:r>
      <w:r>
        <w:rPr>
          <w:i/>
        </w:rPr>
        <w:instrText xml:space="preserve"> REF _Ref474222560 \h </w:instrText>
      </w:r>
      <w:r w:rsidR="00DF6831">
        <w:instrText xml:space="preserve"> \* MERGEFORMAT </w:instrText>
      </w:r>
      <w:r>
        <w:fldChar w:fldCharType="separate"/>
      </w:r>
      <w:r w:rsidR="00980A78">
        <w:t xml:space="preserve">Figure </w:t>
      </w:r>
      <w:r w:rsidR="00980A78">
        <w:rPr>
          <w:noProof/>
        </w:rPr>
        <w:t>19</w:t>
      </w:r>
      <w:r>
        <w:fldChar w:fldCharType="end"/>
      </w:r>
      <w:r>
        <w:t xml:space="preserve"> shows the industries from which inputs are purchased by the </w:t>
      </w:r>
      <w:r w:rsidR="00555E98">
        <w:t>Aircraft Manufacturing and Repair Services</w:t>
      </w:r>
      <w:r>
        <w:t xml:space="preserve"> industry and the import share of those inputs. </w:t>
      </w:r>
      <w:r w:rsidR="004B7121" w:rsidRPr="00CF5F96">
        <w:rPr>
          <w:rStyle w:val="BodyafterbulletChar"/>
        </w:rPr>
        <w:t xml:space="preserve">The largest input into </w:t>
      </w:r>
      <w:r w:rsidR="008B1DF5" w:rsidRPr="00CF5F96">
        <w:rPr>
          <w:rStyle w:val="BodyafterbulletChar"/>
        </w:rPr>
        <w:t xml:space="preserve">the industry </w:t>
      </w:r>
      <w:r w:rsidR="004B7121" w:rsidRPr="00CF5F96">
        <w:rPr>
          <w:rStyle w:val="BodyafterbulletChar"/>
        </w:rPr>
        <w:t xml:space="preserve">is </w:t>
      </w:r>
      <w:r>
        <w:rPr>
          <w:rStyle w:val="BodyafterbulletChar"/>
        </w:rPr>
        <w:t xml:space="preserve">from the </w:t>
      </w:r>
      <w:r w:rsidR="004B7121" w:rsidRPr="00CF5F96">
        <w:rPr>
          <w:rStyle w:val="BodyafterbulletChar"/>
        </w:rPr>
        <w:t>Professional,</w:t>
      </w:r>
      <w:r w:rsidR="004B7121" w:rsidRPr="004B7121">
        <w:t xml:space="preserve"> Scientific and Technical Services</w:t>
      </w:r>
      <w:r>
        <w:t xml:space="preserve"> sector</w:t>
      </w:r>
      <w:r w:rsidR="008B1DF5">
        <w:t>,</w:t>
      </w:r>
      <w:r w:rsidR="004B7121" w:rsidRPr="004B7121">
        <w:t xml:space="preserve"> accounting for around 22</w:t>
      </w:r>
      <w:r w:rsidR="00DF6A5B">
        <w:t xml:space="preserve"> per cent</w:t>
      </w:r>
      <w:r w:rsidR="004B7121" w:rsidRPr="004B7121">
        <w:t xml:space="preserve"> of </w:t>
      </w:r>
      <w:r w:rsidR="008B1DF5">
        <w:t xml:space="preserve">the total expenditure on </w:t>
      </w:r>
      <w:r w:rsidR="004B7121" w:rsidRPr="004B7121">
        <w:t xml:space="preserve">intermediate (non-capital) inputs. </w:t>
      </w:r>
      <w:r w:rsidR="00EF376B">
        <w:t xml:space="preserve">Other main inputs into the </w:t>
      </w:r>
      <w:r w:rsidR="00555E98">
        <w:t>Aircraft Manufacturing and Repair Services</w:t>
      </w:r>
      <w:r w:rsidR="00EF376B">
        <w:t xml:space="preserve"> industry were purchased from </w:t>
      </w:r>
      <w:r w:rsidR="008B1DF5">
        <w:t>Wholesale trade</w:t>
      </w:r>
      <w:r w:rsidR="00EF376B">
        <w:t>, Polymer Product and non-ferrous Metal Manufacturing, Finance and Other Aircraft Manufacturing businesses. Nearly 40</w:t>
      </w:r>
      <w:r w:rsidR="00845BA7">
        <w:t xml:space="preserve"> per cent</w:t>
      </w:r>
      <w:r w:rsidR="00EF376B">
        <w:t xml:space="preserve"> of the inputs from these industries were imported, with </w:t>
      </w:r>
      <w:r w:rsidR="00C47110">
        <w:t>P</w:t>
      </w:r>
      <w:r w:rsidR="00EF376B">
        <w:t xml:space="preserve">olymer </w:t>
      </w:r>
      <w:r w:rsidR="00C47110">
        <w:t>P</w:t>
      </w:r>
      <w:r w:rsidR="00EF376B">
        <w:t xml:space="preserve">roduct, </w:t>
      </w:r>
      <w:r w:rsidR="00C47110">
        <w:t>N</w:t>
      </w:r>
      <w:r w:rsidR="00EF376B">
        <w:t xml:space="preserve">on-ferrous </w:t>
      </w:r>
      <w:r w:rsidR="00C47110">
        <w:t>M</w:t>
      </w:r>
      <w:r w:rsidR="00EF376B">
        <w:t xml:space="preserve">etal and </w:t>
      </w:r>
      <w:r w:rsidR="00C47110">
        <w:t>A</w:t>
      </w:r>
      <w:r w:rsidR="00EF376B">
        <w:t xml:space="preserve">ircraft </w:t>
      </w:r>
      <w:r w:rsidR="00C47110">
        <w:t>M</w:t>
      </w:r>
      <w:r w:rsidR="00EF376B">
        <w:t>anufactur</w:t>
      </w:r>
      <w:r w:rsidR="00C47110">
        <w:t>ing</w:t>
      </w:r>
      <w:r w:rsidR="00EF376B">
        <w:t xml:space="preserve"> making up </w:t>
      </w:r>
      <w:r w:rsidR="00C47110">
        <w:t xml:space="preserve">the </w:t>
      </w:r>
      <w:r w:rsidR="00EF376B">
        <w:t>majority of the imports.</w:t>
      </w:r>
    </w:p>
    <w:p w14:paraId="7450CBD3" w14:textId="59AAE6C1" w:rsidR="004B7121" w:rsidRDefault="00F54C2C" w:rsidP="00CF5F96">
      <w:pPr>
        <w:pStyle w:val="Bodyafterbullet"/>
      </w:pPr>
      <w:r>
        <w:t xml:space="preserve">KPMG conducted an industry survey of businesses in the </w:t>
      </w:r>
      <w:r w:rsidR="00555E98">
        <w:t>Aircraft Manufacturing and Repair Services</w:t>
      </w:r>
      <w:r>
        <w:t xml:space="preserve"> industry. The survey responses indicate a similar mix of total operating expenditure across</w:t>
      </w:r>
      <w:r w:rsidR="00842C04">
        <w:t xml:space="preserve"> imported </w:t>
      </w:r>
      <w:r>
        <w:t>products and services</w:t>
      </w:r>
      <w:r w:rsidR="00842C04">
        <w:t xml:space="preserve"> of different industries. In particular, ai</w:t>
      </w:r>
      <w:r w:rsidR="00495592">
        <w:t xml:space="preserve">rcraft parts accounted for a </w:t>
      </w:r>
      <w:r w:rsidR="00AA24B4">
        <w:t>large</w:t>
      </w:r>
      <w:r w:rsidR="00495592">
        <w:t xml:space="preserve"> share of imports out of the total business </w:t>
      </w:r>
      <w:r w:rsidR="00495592" w:rsidRPr="00CF5F96">
        <w:t>expenditure</w:t>
      </w:r>
      <w:r w:rsidR="00842C04">
        <w:t>, and o</w:t>
      </w:r>
      <w:r w:rsidR="00495592" w:rsidRPr="00CF5F96">
        <w:t>ther imports included</w:t>
      </w:r>
      <w:r w:rsidR="00495592" w:rsidRPr="00495592">
        <w:t xml:space="preserve"> metal products (non-ferrous and iron and steel) and a small proportion of professional, scientific, technical </w:t>
      </w:r>
      <w:r w:rsidR="00C85A7D">
        <w:t>a</w:t>
      </w:r>
      <w:r w:rsidR="00495592" w:rsidRPr="00495592">
        <w:t>nd financial services</w:t>
      </w:r>
      <w:r w:rsidR="00842C04">
        <w:t xml:space="preserve">. </w:t>
      </w:r>
      <w:r w:rsidR="00842C04">
        <w:lastRenderedPageBreak/>
        <w:t>These results align with the ABS 2015-16 input output data, thus indicating no major changes in the industry struc</w:t>
      </w:r>
      <w:r w:rsidR="00E4752A">
        <w:t>ture and business expenditures.</w:t>
      </w:r>
    </w:p>
    <w:p w14:paraId="5AA85589" w14:textId="77777777" w:rsidR="008748CF" w:rsidRPr="008748CF" w:rsidRDefault="008748CF" w:rsidP="0011521D">
      <w:pPr>
        <w:pStyle w:val="Heading3"/>
      </w:pPr>
      <w:bookmarkStart w:id="171" w:name="_Ref479073305"/>
      <w:bookmarkStart w:id="172" w:name="_Toc26537895"/>
      <w:r>
        <w:t>Sales</w:t>
      </w:r>
      <w:bookmarkEnd w:id="171"/>
      <w:bookmarkEnd w:id="172"/>
    </w:p>
    <w:p w14:paraId="06E65A97" w14:textId="06735CD5" w:rsidR="00FF73A9" w:rsidRDefault="002D3AEE" w:rsidP="00960EBD">
      <w:pPr>
        <w:pStyle w:val="BodyText1"/>
      </w:pPr>
      <w:r>
        <w:t xml:space="preserve">Australia’s </w:t>
      </w:r>
      <w:r w:rsidR="00CA07EA">
        <w:t xml:space="preserve">Aircraft Manufacturing and Repair Services </w:t>
      </w:r>
      <w:r w:rsidR="00EB5C4C">
        <w:t xml:space="preserve">industry </w:t>
      </w:r>
      <w:r>
        <w:t xml:space="preserve">involves </w:t>
      </w:r>
      <w:r w:rsidR="00C47110">
        <w:t xml:space="preserve">a variety of activities.  It includes </w:t>
      </w:r>
      <w:r>
        <w:t>production of light metal (titanium and aluminium) and composite aero structure compon</w:t>
      </w:r>
      <w:r w:rsidR="00FF73A9">
        <w:t>ents</w:t>
      </w:r>
      <w:r>
        <w:t xml:space="preserve">. It also includes manufacture of helicopters and light aircraft for recreational, agricultural and training purposes. On the </w:t>
      </w:r>
      <w:r w:rsidR="0075227B">
        <w:t xml:space="preserve">maintenance and </w:t>
      </w:r>
      <w:r>
        <w:t xml:space="preserve">repair side, Australian businesses have </w:t>
      </w:r>
      <w:r w:rsidR="0075227B">
        <w:t>capabilities in</w:t>
      </w:r>
      <w:r>
        <w:t xml:space="preserve"> </w:t>
      </w:r>
      <w:r w:rsidR="0075227B">
        <w:t>line maintenance and a sizeable portion of heavy maintenance for international and domestic airline carriers as well as maintenance of engines, components and small planes.</w:t>
      </w:r>
    </w:p>
    <w:p w14:paraId="4E2E02F5" w14:textId="1A1AE8DA" w:rsidR="00E451A3" w:rsidRPr="00960EBD" w:rsidRDefault="00E451A3" w:rsidP="00960EBD">
      <w:pPr>
        <w:pStyle w:val="BodyText1"/>
      </w:pPr>
      <w:r w:rsidRPr="00960EBD">
        <w:t xml:space="preserve">The </w:t>
      </w:r>
      <w:r w:rsidR="00E1218A">
        <w:t xml:space="preserve">output produced by the </w:t>
      </w:r>
      <w:r w:rsidR="00CA07EA">
        <w:t xml:space="preserve">Aircraft Manufacturing and Repair Services </w:t>
      </w:r>
      <w:r w:rsidR="00960EBD">
        <w:t>industry</w:t>
      </w:r>
      <w:r w:rsidR="001A795F" w:rsidRPr="00960EBD">
        <w:t xml:space="preserve"> </w:t>
      </w:r>
      <w:r w:rsidR="00E1218A">
        <w:t xml:space="preserve">is used by </w:t>
      </w:r>
      <w:r w:rsidR="00587661">
        <w:t xml:space="preserve">other industries as intermediate inputs into </w:t>
      </w:r>
      <w:r w:rsidR="00587661" w:rsidRPr="00960EBD">
        <w:t xml:space="preserve">their business activities </w:t>
      </w:r>
      <w:r w:rsidR="00587661">
        <w:t xml:space="preserve">and as a final product by </w:t>
      </w:r>
      <w:r w:rsidR="00E1218A" w:rsidRPr="00960EBD">
        <w:t xml:space="preserve">private, </w:t>
      </w:r>
      <w:r w:rsidR="00E1218A">
        <w:t xml:space="preserve">commercial and government </w:t>
      </w:r>
      <w:r w:rsidR="00745250">
        <w:t>sectors</w:t>
      </w:r>
      <w:r w:rsidR="00587661">
        <w:t xml:space="preserve">. </w:t>
      </w:r>
      <w:r w:rsidR="00496E48">
        <w:t xml:space="preserve">In 2015-16, the </w:t>
      </w:r>
      <w:r w:rsidR="00CA07EA">
        <w:t>Aircraft Manufacturing and Repair Services</w:t>
      </w:r>
      <w:r w:rsidR="00EB5C4C">
        <w:t xml:space="preserve"> </w:t>
      </w:r>
      <w:r w:rsidR="00670F9E">
        <w:t>industry</w:t>
      </w:r>
      <w:r w:rsidR="00670F9E" w:rsidRPr="00960EBD" w:rsidDel="00496E48">
        <w:t xml:space="preserve"> </w:t>
      </w:r>
      <w:r w:rsidR="00496E48">
        <w:t>suppl</w:t>
      </w:r>
      <w:r w:rsidR="006B0A5F">
        <w:t>i</w:t>
      </w:r>
      <w:r w:rsidR="00496E48">
        <w:t>ed a</w:t>
      </w:r>
      <w:r w:rsidR="003F2E4F">
        <w:t>n estimated</w:t>
      </w:r>
      <w:r w:rsidR="00496E48">
        <w:t xml:space="preserve"> total of </w:t>
      </w:r>
      <w:r w:rsidR="006B0A5A">
        <w:t xml:space="preserve">nearly </w:t>
      </w:r>
      <w:r w:rsidR="006B0A5F">
        <w:t>$</w:t>
      </w:r>
      <w:r w:rsidR="006B0A5A">
        <w:t>4</w:t>
      </w:r>
      <w:r w:rsidR="00810E7E">
        <w:t>,</w:t>
      </w:r>
      <w:r w:rsidR="00795904">
        <w:t>073</w:t>
      </w:r>
      <w:r w:rsidR="006B0A5A">
        <w:t xml:space="preserve"> </w:t>
      </w:r>
      <w:r w:rsidR="00795904">
        <w:t>m</w:t>
      </w:r>
      <w:r w:rsidR="00496E48" w:rsidRPr="00FC78C5">
        <w:t xml:space="preserve">illion </w:t>
      </w:r>
      <w:r w:rsidR="00496E48">
        <w:t xml:space="preserve">worth </w:t>
      </w:r>
      <w:r w:rsidR="00496E48" w:rsidRPr="00FC78C5">
        <w:t xml:space="preserve">of </w:t>
      </w:r>
      <w:r w:rsidR="00795904">
        <w:t xml:space="preserve">domestically produced </w:t>
      </w:r>
      <w:r w:rsidR="006B0A5A">
        <w:t xml:space="preserve">goods and services to industries as well as final product users. </w:t>
      </w:r>
      <w:r w:rsidR="00795904">
        <w:t>Imports to the industry included an additional</w:t>
      </w:r>
      <w:r w:rsidR="006B0A5A">
        <w:t xml:space="preserve"> </w:t>
      </w:r>
      <w:r w:rsidR="00795904">
        <w:t xml:space="preserve">$4,610 million worth of </w:t>
      </w:r>
      <w:r w:rsidR="009731BB">
        <w:t xml:space="preserve">aircraft </w:t>
      </w:r>
      <w:r w:rsidR="00795904">
        <w:t xml:space="preserve">products and services. </w:t>
      </w:r>
    </w:p>
    <w:p w14:paraId="5634625F" w14:textId="25BBF48F" w:rsidR="00745250" w:rsidRDefault="00AB076B" w:rsidP="00CF5F96">
      <w:pPr>
        <w:spacing w:before="0" w:after="160" w:line="259" w:lineRule="auto"/>
      </w:pPr>
      <w:r>
        <w:t xml:space="preserve">First, we look at the industries to which </w:t>
      </w:r>
      <w:r w:rsidR="00555E98">
        <w:t>Aircraft Manufacturing and Repair Services</w:t>
      </w:r>
      <w:r>
        <w:t xml:space="preserve"> are sold for their intermediate use. </w:t>
      </w:r>
      <w:r w:rsidR="00B514FE" w:rsidRPr="00960EBD">
        <w:t xml:space="preserve">The </w:t>
      </w:r>
      <w:r w:rsidR="00031BC3" w:rsidRPr="00960EBD">
        <w:t>latest</w:t>
      </w:r>
      <w:r w:rsidR="00B514FE" w:rsidRPr="00960EBD">
        <w:t xml:space="preserve"> ABS input</w:t>
      </w:r>
      <w:r w:rsidR="00766ECE" w:rsidRPr="00766ECE">
        <w:t>–</w:t>
      </w:r>
      <w:r w:rsidR="00B514FE" w:rsidRPr="00960EBD">
        <w:t xml:space="preserve">output table </w:t>
      </w:r>
      <w:r w:rsidR="00CF0F7E" w:rsidRPr="00960EBD">
        <w:t>shows</w:t>
      </w:r>
      <w:r w:rsidR="00273362" w:rsidRPr="00960EBD">
        <w:t xml:space="preserve"> that</w:t>
      </w:r>
      <w:r w:rsidR="00CF0F7E" w:rsidRPr="00960EBD">
        <w:t xml:space="preserve"> </w:t>
      </w:r>
      <w:bookmarkStart w:id="173" w:name="_Ref479087974"/>
      <w:bookmarkStart w:id="174" w:name="_Ref472584380"/>
      <w:r w:rsidR="00FC78C5">
        <w:t>o</w:t>
      </w:r>
      <w:r w:rsidR="00FC78C5" w:rsidRPr="00FC78C5">
        <w:t>f the total products and services supplied</w:t>
      </w:r>
      <w:r w:rsidR="000E0FEC">
        <w:t xml:space="preserve"> (including imports)</w:t>
      </w:r>
      <w:r w:rsidR="00FC78C5" w:rsidRPr="00FC78C5">
        <w:t xml:space="preserve">, </w:t>
      </w:r>
      <w:r w:rsidR="00745250" w:rsidRPr="00FC78C5">
        <w:t>$2.86</w:t>
      </w:r>
      <w:r w:rsidR="000E0FEC">
        <w:t> </w:t>
      </w:r>
      <w:r w:rsidR="00745250" w:rsidRPr="00FC78C5">
        <w:t xml:space="preserve">billion </w:t>
      </w:r>
      <w:r w:rsidR="00745250">
        <w:t xml:space="preserve">worth of </w:t>
      </w:r>
      <w:r w:rsidR="00745250" w:rsidRPr="00FC78C5">
        <w:t>parts and maintenance services</w:t>
      </w:r>
      <w:r w:rsidR="00745250">
        <w:t xml:space="preserve"> </w:t>
      </w:r>
      <w:r w:rsidR="00810E7E">
        <w:t>were</w:t>
      </w:r>
      <w:r w:rsidR="00810E7E" w:rsidRPr="00FC78C5">
        <w:t xml:space="preserve"> </w:t>
      </w:r>
      <w:r w:rsidR="00745250" w:rsidRPr="00FC78C5">
        <w:t xml:space="preserve">used </w:t>
      </w:r>
      <w:r w:rsidR="00745250">
        <w:t>as intermediate input</w:t>
      </w:r>
      <w:r w:rsidR="00810E7E">
        <w:t>s</w:t>
      </w:r>
      <w:r w:rsidR="00745250">
        <w:t xml:space="preserve"> </w:t>
      </w:r>
      <w:r w:rsidR="00745250" w:rsidRPr="00FC78C5">
        <w:t>by other industries</w:t>
      </w:r>
      <w:r w:rsidR="00745250">
        <w:t xml:space="preserve"> in 2015-16</w:t>
      </w:r>
      <w:r>
        <w:t xml:space="preserve">. </w:t>
      </w:r>
      <w:r w:rsidR="00C8045D">
        <w:t xml:space="preserve">In particular, the maintenance, repair and servicing of </w:t>
      </w:r>
      <w:r w:rsidR="002439CF">
        <w:t>aircraft</w:t>
      </w:r>
      <w:r w:rsidR="00C8045D">
        <w:t xml:space="preserve"> accounted for 90 per cent of the intermediate usage by industries, while the remaining small proportion comprised the use of </w:t>
      </w:r>
      <w:r w:rsidR="002439CF">
        <w:t>aircraft</w:t>
      </w:r>
      <w:r w:rsidR="00C8045D">
        <w:t xml:space="preserve"> or part manufactures.</w:t>
      </w:r>
      <w:r w:rsidR="00C8045D">
        <w:rPr>
          <w:rStyle w:val="FootnoteReference"/>
        </w:rPr>
        <w:footnoteReference w:id="19"/>
      </w:r>
      <w:r w:rsidR="00C8045D">
        <w:t xml:space="preserve"> </w:t>
      </w:r>
      <w:r w:rsidR="00745250">
        <w:t xml:space="preserve">It can be seen from </w:t>
      </w:r>
      <w:r w:rsidR="00745250">
        <w:fldChar w:fldCharType="begin"/>
      </w:r>
      <w:r w:rsidR="00745250">
        <w:instrText xml:space="preserve"> REF _Ref534892508 \h </w:instrText>
      </w:r>
      <w:r w:rsidR="00745250">
        <w:fldChar w:fldCharType="separate"/>
      </w:r>
      <w:r w:rsidR="00980A78">
        <w:t xml:space="preserve">Figure </w:t>
      </w:r>
      <w:r w:rsidR="00980A78">
        <w:rPr>
          <w:noProof/>
        </w:rPr>
        <w:t>20</w:t>
      </w:r>
      <w:r w:rsidR="00745250">
        <w:fldChar w:fldCharType="end"/>
      </w:r>
      <w:r w:rsidR="00745250">
        <w:t xml:space="preserve"> that</w:t>
      </w:r>
      <w:r w:rsidR="00C8045D">
        <w:t xml:space="preserve"> </w:t>
      </w:r>
      <w:r w:rsidR="00745250" w:rsidRPr="00FC78C5">
        <w:t>Air and Space Transport industry was the single largest user of these products and services (81</w:t>
      </w:r>
      <w:r w:rsidR="00820C09">
        <w:t> </w:t>
      </w:r>
      <w:r w:rsidR="000E0FEC">
        <w:t>per cent</w:t>
      </w:r>
      <w:r w:rsidR="00745250" w:rsidRPr="00FC78C5">
        <w:t>), followed by</w:t>
      </w:r>
      <w:r w:rsidR="00745250">
        <w:t xml:space="preserve"> </w:t>
      </w:r>
      <w:r w:rsidR="00745250" w:rsidRPr="00FC78C5">
        <w:t>Defence (6</w:t>
      </w:r>
      <w:r w:rsidR="000E0FEC">
        <w:t xml:space="preserve"> per cent</w:t>
      </w:r>
      <w:r w:rsidR="00745250" w:rsidRPr="00FC78C5">
        <w:t>)</w:t>
      </w:r>
      <w:r w:rsidR="00745250">
        <w:t xml:space="preserve"> and </w:t>
      </w:r>
      <w:r w:rsidR="00810E7E">
        <w:t xml:space="preserve">the </w:t>
      </w:r>
      <w:r w:rsidR="00555E98">
        <w:t>Aircraft Manufacturing and Repair Services</w:t>
      </w:r>
      <w:r w:rsidR="000E0FEC">
        <w:t xml:space="preserve"> </w:t>
      </w:r>
      <w:r w:rsidR="00745250">
        <w:t>(5</w:t>
      </w:r>
      <w:r w:rsidR="00820C09">
        <w:t> per </w:t>
      </w:r>
      <w:r w:rsidR="000E0FEC">
        <w:t>cent</w:t>
      </w:r>
      <w:r w:rsidR="00745250">
        <w:t>) sector</w:t>
      </w:r>
      <w:r w:rsidR="00810E7E">
        <w:t xml:space="preserve"> itself</w:t>
      </w:r>
      <w:r w:rsidR="00745250">
        <w:t xml:space="preserve">. </w:t>
      </w:r>
    </w:p>
    <w:p w14:paraId="32AEA989" w14:textId="179F808C" w:rsidR="00E304C6" w:rsidRDefault="00E304C6" w:rsidP="00DF7D23">
      <w:pPr>
        <w:pStyle w:val="Caption"/>
      </w:pPr>
      <w:bookmarkStart w:id="175" w:name="_Ref534892508"/>
      <w:r>
        <w:t xml:space="preserve">Figure </w:t>
      </w:r>
      <w:r w:rsidR="00BC06EE">
        <w:fldChar w:fldCharType="begin"/>
      </w:r>
      <w:r w:rsidR="00BC06EE">
        <w:instrText xml:space="preserve"> SEQ Figure \* ARABIC </w:instrText>
      </w:r>
      <w:r w:rsidR="00BC06EE">
        <w:fldChar w:fldCharType="separate"/>
      </w:r>
      <w:r w:rsidR="00980A78">
        <w:t>20</w:t>
      </w:r>
      <w:r w:rsidR="00BC06EE">
        <w:fldChar w:fldCharType="end"/>
      </w:r>
      <w:bookmarkEnd w:id="173"/>
      <w:bookmarkEnd w:id="174"/>
      <w:bookmarkEnd w:id="175"/>
      <w:r>
        <w:t xml:space="preserve">: </w:t>
      </w:r>
      <w:r w:rsidR="00C45B3B">
        <w:t xml:space="preserve">Industry </w:t>
      </w:r>
      <w:r w:rsidR="00FC78C5" w:rsidRPr="00FC78C5">
        <w:t xml:space="preserve">Users of </w:t>
      </w:r>
      <w:r w:rsidR="00555E98">
        <w:t>Aircraft Manufacturing and Repair Services</w:t>
      </w:r>
      <w:r w:rsidR="00AF1EDC">
        <w:t xml:space="preserve"> </w:t>
      </w:r>
      <w:r w:rsidR="00F935ED">
        <w:t>output</w:t>
      </w:r>
      <w:r w:rsidR="00FC78C5" w:rsidRPr="00FC78C5">
        <w:t xml:space="preserve"> </w:t>
      </w:r>
      <w:r w:rsidR="00F935ED">
        <w:t xml:space="preserve">(percentage share, </w:t>
      </w:r>
      <w:r w:rsidR="00FC78C5" w:rsidRPr="00FC78C5">
        <w:t>2015-16</w:t>
      </w:r>
      <w:r w:rsidR="00F935ED">
        <w:t xml:space="preserve">) </w:t>
      </w:r>
    </w:p>
    <w:p w14:paraId="71AAAA22" w14:textId="77777777" w:rsidR="00837E18" w:rsidRPr="008D6E2F" w:rsidRDefault="0082785A" w:rsidP="00E4752A">
      <w:pPr>
        <w:spacing w:before="240" w:after="0"/>
        <w:jc w:val="center"/>
      </w:pPr>
      <w:r w:rsidRPr="0082785A">
        <w:rPr>
          <w:noProof/>
          <w:lang w:eastAsia="en-AU"/>
        </w:rPr>
        <w:t xml:space="preserve"> </w:t>
      </w:r>
      <w:r>
        <w:rPr>
          <w:noProof/>
          <w:lang w:eastAsia="en-AU"/>
        </w:rPr>
        <w:drawing>
          <wp:inline distT="0" distB="0" distL="0" distR="0" wp14:anchorId="0A6B1940" wp14:editId="35B3B3DB">
            <wp:extent cx="4728845" cy="2887133"/>
            <wp:effectExtent l="0" t="0" r="0" b="8890"/>
            <wp:docPr id="241" name="Chart 241" descr="Figure 20: Industry Users of Aircraft Manufacturing and Repair Services output (percentage share, 2015-16) "/>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B4DD17D" w14:textId="77777777" w:rsidR="009731BB" w:rsidRDefault="009731BB" w:rsidP="00DF7D23">
      <w:pPr>
        <w:pStyle w:val="Source"/>
      </w:pPr>
    </w:p>
    <w:p w14:paraId="4B1DECCF" w14:textId="506E2F55" w:rsidR="00E4752A" w:rsidRDefault="00596D31" w:rsidP="00414A3D">
      <w:pPr>
        <w:pStyle w:val="Source"/>
      </w:pPr>
      <w:r w:rsidRPr="00C707E9">
        <w:t xml:space="preserve">Source: </w:t>
      </w:r>
      <w:r w:rsidR="00EA6108">
        <w:t xml:space="preserve">ABS 5209.0.55.001 </w:t>
      </w:r>
      <w:r w:rsidR="00FC78C5">
        <w:t>and KPMG analysis</w:t>
      </w:r>
      <w:r w:rsidR="005E5BED">
        <w:t xml:space="preserve"> </w:t>
      </w:r>
      <w:r w:rsidR="00E4752A">
        <w:br w:type="page"/>
      </w:r>
    </w:p>
    <w:p w14:paraId="16FFAF57" w14:textId="745DCA4D" w:rsidR="00061B7B" w:rsidRDefault="00E451A3" w:rsidP="007C068F">
      <w:r w:rsidRPr="00CB1CC9">
        <w:lastRenderedPageBreak/>
        <w:t xml:space="preserve">In addition to </w:t>
      </w:r>
      <w:r w:rsidR="00723FED">
        <w:t xml:space="preserve">its use as an intermediate </w:t>
      </w:r>
      <w:r w:rsidRPr="00CB1CC9">
        <w:t>input</w:t>
      </w:r>
      <w:r w:rsidR="00723FED">
        <w:t xml:space="preserve"> in</w:t>
      </w:r>
      <w:r w:rsidRPr="00CB1CC9">
        <w:t>to other industries, the</w:t>
      </w:r>
      <w:r w:rsidR="001A795F" w:rsidRPr="00CB1CC9">
        <w:t xml:space="preserve"> Australian </w:t>
      </w:r>
      <w:r w:rsidR="00555E98">
        <w:t>Aircraft Manufacturing and Repair Services</w:t>
      </w:r>
      <w:r w:rsidR="00723FED">
        <w:t xml:space="preserve"> are used as final product</w:t>
      </w:r>
      <w:r w:rsidR="00810E7E">
        <w:t>s</w:t>
      </w:r>
      <w:r w:rsidR="00723FED">
        <w:t xml:space="preserve"> by different entities in the economy</w:t>
      </w:r>
      <w:r w:rsidR="00810E7E">
        <w:t xml:space="preserve"> across private users and both the civil and defence sectors</w:t>
      </w:r>
      <w:r w:rsidR="00723FED">
        <w:t xml:space="preserve">. </w:t>
      </w:r>
      <w:r w:rsidR="00061B7B" w:rsidRPr="008A4472">
        <w:t xml:space="preserve">Industry consultations with stakeholders indicate </w:t>
      </w:r>
      <w:r w:rsidR="00061B7B">
        <w:t>different views across the industry around the ease and benefits of working in civil and</w:t>
      </w:r>
      <w:r w:rsidR="00E4752A">
        <w:t xml:space="preserve"> defence parts of the industry.</w:t>
      </w:r>
    </w:p>
    <w:p w14:paraId="69F65B9E" w14:textId="4D26D506" w:rsidR="00061B7B" w:rsidRDefault="00061B7B" w:rsidP="00B17A4E">
      <w:pPr>
        <w:pStyle w:val="Bullet1stlevel"/>
      </w:pPr>
      <w:r>
        <w:t xml:space="preserve">Some businesses believe that, for smaller businesses, </w:t>
      </w:r>
      <w:r w:rsidRPr="007408F0">
        <w:rPr>
          <w:b/>
        </w:rPr>
        <w:t>civil aviation</w:t>
      </w:r>
      <w:r w:rsidRPr="009E4021">
        <w:t xml:space="preserve"> tends to provide better consistency in providing work packages even though the margins of profit may be less than </w:t>
      </w:r>
      <w:r w:rsidR="002F14A5">
        <w:t>d</w:t>
      </w:r>
      <w:r w:rsidRPr="009E4021">
        <w:t>efence related work</w:t>
      </w:r>
      <w:r>
        <w:t>. This is largely because they believe that obtaining contracts with Defence is a difficult and bureaucratic process, and they have found it easier to take</w:t>
      </w:r>
      <w:r w:rsidRPr="009E4021">
        <w:t xml:space="preserve"> on increasing amounts of work from companies overseas.</w:t>
      </w:r>
    </w:p>
    <w:p w14:paraId="2B25B363" w14:textId="05ED7DA2" w:rsidR="00061B7B" w:rsidRDefault="00061B7B" w:rsidP="00B17A4E">
      <w:pPr>
        <w:pStyle w:val="Bullet1stlevel"/>
      </w:pPr>
      <w:r>
        <w:t xml:space="preserve">Others believe that businesses, particularly small manufacturing and repair service providers, could continue to benefit from greater support and opportunities from </w:t>
      </w:r>
      <w:r w:rsidRPr="007408F0">
        <w:rPr>
          <w:b/>
        </w:rPr>
        <w:t>Defence</w:t>
      </w:r>
      <w:r>
        <w:t>, as this market provides consistent high volumes of work as well as exposure to ongoing technology and equipment developments.</w:t>
      </w:r>
      <w:r w:rsidRPr="008D4E34">
        <w:t xml:space="preserve"> </w:t>
      </w:r>
      <w:r w:rsidRPr="007408F0">
        <w:t>It was also noted that although Defence policy encourages supply chain participation</w:t>
      </w:r>
      <w:r w:rsidR="00283134">
        <w:rPr>
          <w:rStyle w:val="FootnoteReference"/>
        </w:rPr>
        <w:footnoteReference w:id="20"/>
      </w:r>
      <w:r w:rsidRPr="007408F0">
        <w:t>, it often relies</w:t>
      </w:r>
      <w:r>
        <w:t xml:space="preserve"> on </w:t>
      </w:r>
      <w:r w:rsidR="00B51D24">
        <w:t>a</w:t>
      </w:r>
      <w:r w:rsidR="00C42F4C">
        <w:t xml:space="preserve"> certain</w:t>
      </w:r>
      <w:r w:rsidR="00B51D24">
        <w:t xml:space="preserve"> number of </w:t>
      </w:r>
      <w:r>
        <w:t xml:space="preserve">individual companies </w:t>
      </w:r>
      <w:r w:rsidR="00B51D24">
        <w:t xml:space="preserve">for </w:t>
      </w:r>
      <w:r>
        <w:t xml:space="preserve">different parts </w:t>
      </w:r>
      <w:r w:rsidR="00B51D24">
        <w:t xml:space="preserve">and subassemblies, owing to a niche nature of work. </w:t>
      </w:r>
      <w:r>
        <w:t>It was suggested that it could be highly beneficial if Defence took a strategic approach to developing aerospace clusters in Australia, both physical as well as digital</w:t>
      </w:r>
      <w:r w:rsidR="00895118">
        <w:t>, to mitigate supply disruption risks</w:t>
      </w:r>
      <w:r>
        <w:t xml:space="preserve">. </w:t>
      </w:r>
    </w:p>
    <w:p w14:paraId="605FA186" w14:textId="77777777" w:rsidR="00061B7B" w:rsidRDefault="00061B7B" w:rsidP="00B17A4E">
      <w:pPr>
        <w:pStyle w:val="Bullet1stlevel"/>
      </w:pPr>
      <w:r>
        <w:t xml:space="preserve">Our industry consultations indicate that </w:t>
      </w:r>
      <w:r w:rsidRPr="009E4021">
        <w:t>com</w:t>
      </w:r>
      <w:r>
        <w:t>panies are happy to move across the two sectors, if given the opportunity and also do more work domestically if the regulatory/accreditation system was simplified.</w:t>
      </w:r>
    </w:p>
    <w:p w14:paraId="4FC4733C" w14:textId="64E8B82E" w:rsidR="001D0CBC" w:rsidRPr="00834A1D" w:rsidRDefault="00723FED" w:rsidP="007C068F">
      <w:pPr>
        <w:pStyle w:val="Bodyafterbullet"/>
      </w:pPr>
      <w:r w:rsidRPr="005946E0">
        <w:t xml:space="preserve">In 2017-18, the </w:t>
      </w:r>
      <w:r w:rsidR="00555E98">
        <w:t>Aircraft Manufacturing and Repair Services</w:t>
      </w:r>
      <w:r>
        <w:t xml:space="preserve"> </w:t>
      </w:r>
      <w:r w:rsidRPr="005946E0">
        <w:t>industry made sales revenue of $4.8</w:t>
      </w:r>
      <w:r w:rsidR="001C7DE8">
        <w:t> </w:t>
      </w:r>
      <w:r w:rsidRPr="005946E0">
        <w:t xml:space="preserve">billion. </w:t>
      </w:r>
      <w:r w:rsidR="001D0CBC" w:rsidRPr="005946E0">
        <w:t>The industry’s</w:t>
      </w:r>
      <w:r w:rsidR="001D0CBC">
        <w:t xml:space="preserve"> users can be </w:t>
      </w:r>
      <w:r w:rsidR="001D0CBC" w:rsidRPr="007970AD">
        <w:t xml:space="preserve">categorised into the following </w:t>
      </w:r>
      <w:r w:rsidR="001D0CBC">
        <w:t xml:space="preserve">four </w:t>
      </w:r>
      <w:r w:rsidR="001D0CBC" w:rsidRPr="007970AD">
        <w:t>broad categories listed below and then individually described in more detail.</w:t>
      </w:r>
    </w:p>
    <w:tbl>
      <w:tblPr>
        <w:tblW w:w="5000" w:type="pct"/>
        <w:tblBorders>
          <w:insideH w:val="single" w:sz="2" w:space="0" w:color="BFBFBF" w:themeColor="background1" w:themeShade="BF"/>
        </w:tblBorders>
        <w:tblLook w:val="04A0" w:firstRow="1" w:lastRow="0" w:firstColumn="1" w:lastColumn="0" w:noHBand="0" w:noVBand="1"/>
        <w:tblCaption w:val="Figure 21 looks at the categories of Aircraft Manufacturing and Repair services (2017-18) users. "/>
        <w:tblDescription w:val="Figure 21 looks at the revenues generated in 2017-18. Commercial Airlines revenue accounted for $1,180 million, Australian Defence force for $1,117 million. Private and other government/businesses had a sales revenue of $58 million and export markets  brought $2,461 million worth of revenue. In total, Aircraft manufacturing and Repair services industry made sales revenue of $4.8 billion. "/>
      </w:tblPr>
      <w:tblGrid>
        <w:gridCol w:w="4707"/>
        <w:gridCol w:w="1348"/>
        <w:gridCol w:w="2971"/>
      </w:tblGrid>
      <w:tr w:rsidR="00826F1D" w:rsidRPr="00834A1D" w14:paraId="6FB4167F" w14:textId="77777777" w:rsidTr="00826F1D">
        <w:trPr>
          <w:trHeight w:val="20"/>
        </w:trPr>
        <w:tc>
          <w:tcPr>
            <w:tcW w:w="2607" w:type="pct"/>
            <w:shd w:val="clear" w:color="auto" w:fill="0091DA" w:themeFill="accent2"/>
            <w:vAlign w:val="bottom"/>
            <w:hideMark/>
          </w:tcPr>
          <w:p w14:paraId="29FDC40A" w14:textId="4EEEA203" w:rsidR="001D0CBC" w:rsidRPr="00834A1D" w:rsidRDefault="001C7DE8">
            <w:pPr>
              <w:pStyle w:val="Tableheading"/>
              <w:rPr>
                <w:lang w:eastAsia="en-AU"/>
              </w:rPr>
            </w:pPr>
            <w:r w:rsidRPr="00F03CCE">
              <w:t xml:space="preserve">Figure </w:t>
            </w:r>
            <w:r w:rsidR="005B59CD">
              <w:rPr>
                <w:noProof/>
              </w:rPr>
              <w:fldChar w:fldCharType="begin"/>
            </w:r>
            <w:r w:rsidR="005B59CD">
              <w:rPr>
                <w:noProof/>
              </w:rPr>
              <w:instrText xml:space="preserve"> SEQ Figure \* ARABIC </w:instrText>
            </w:r>
            <w:r w:rsidR="005B59CD">
              <w:rPr>
                <w:noProof/>
              </w:rPr>
              <w:fldChar w:fldCharType="separate"/>
            </w:r>
            <w:r w:rsidR="00980A78">
              <w:rPr>
                <w:noProof/>
              </w:rPr>
              <w:t>21</w:t>
            </w:r>
            <w:r w:rsidR="005B59CD">
              <w:rPr>
                <w:noProof/>
              </w:rPr>
              <w:fldChar w:fldCharType="end"/>
            </w:r>
            <w:r w:rsidRPr="007C068F">
              <w:t xml:space="preserve">: </w:t>
            </w:r>
            <w:r w:rsidR="00C45B3B" w:rsidRPr="007C068F">
              <w:t xml:space="preserve">Categories of </w:t>
            </w:r>
            <w:r w:rsidRPr="007C068F">
              <w:t>Users of Aircraft Manufacturing and Repair Services</w:t>
            </w:r>
            <w:r w:rsidR="00C45B3B" w:rsidRPr="007C068F">
              <w:t xml:space="preserve"> (2017-18)</w:t>
            </w:r>
            <w:r w:rsidR="001D0CBC" w:rsidRPr="00834A1D">
              <w:rPr>
                <w:lang w:eastAsia="en-AU"/>
              </w:rPr>
              <w:t>Users</w:t>
            </w:r>
          </w:p>
        </w:tc>
        <w:tc>
          <w:tcPr>
            <w:tcW w:w="747" w:type="pct"/>
            <w:shd w:val="clear" w:color="auto" w:fill="0091DA" w:themeFill="accent2"/>
            <w:vAlign w:val="bottom"/>
          </w:tcPr>
          <w:p w14:paraId="07568216" w14:textId="77777777" w:rsidR="001D0CBC" w:rsidRPr="00834A1D" w:rsidRDefault="001D0CBC" w:rsidP="00826F1D">
            <w:pPr>
              <w:pStyle w:val="Tableheading"/>
              <w:rPr>
                <w:lang w:eastAsia="en-AU"/>
              </w:rPr>
            </w:pPr>
            <w:r w:rsidRPr="00834A1D">
              <w:rPr>
                <w:lang w:eastAsia="en-AU"/>
              </w:rPr>
              <w:t>201</w:t>
            </w:r>
            <w:r>
              <w:rPr>
                <w:lang w:eastAsia="en-AU"/>
              </w:rPr>
              <w:t>7–18</w:t>
            </w:r>
            <w:r w:rsidRPr="00834A1D">
              <w:rPr>
                <w:lang w:eastAsia="en-AU"/>
              </w:rPr>
              <w:t xml:space="preserve"> sales</w:t>
            </w:r>
          </w:p>
        </w:tc>
        <w:tc>
          <w:tcPr>
            <w:tcW w:w="1646" w:type="pct"/>
            <w:tcBorders>
              <w:bottom w:val="single" w:sz="2" w:space="0" w:color="BFBFBF" w:themeColor="background1" w:themeShade="BF"/>
            </w:tcBorders>
            <w:shd w:val="clear" w:color="auto" w:fill="0091DA" w:themeFill="accent2"/>
            <w:vAlign w:val="bottom"/>
          </w:tcPr>
          <w:p w14:paraId="1CC9404A" w14:textId="77777777" w:rsidR="001D0CBC" w:rsidRPr="00834A1D" w:rsidRDefault="00555E98" w:rsidP="00826F1D">
            <w:pPr>
              <w:pStyle w:val="Tableheading"/>
              <w:rPr>
                <w:lang w:eastAsia="en-AU"/>
              </w:rPr>
            </w:pPr>
            <w:r>
              <w:rPr>
                <w:lang w:eastAsia="en-AU"/>
              </w:rPr>
              <w:t>Aircraft Manufacturing and Repair Services</w:t>
            </w:r>
            <w:r w:rsidR="001D0CBC">
              <w:rPr>
                <w:lang w:eastAsia="en-AU"/>
              </w:rPr>
              <w:t xml:space="preserve"> </w:t>
            </w:r>
            <w:r w:rsidR="001D0CBC" w:rsidRPr="00834A1D">
              <w:rPr>
                <w:lang w:eastAsia="en-AU"/>
              </w:rPr>
              <w:t>industry</w:t>
            </w:r>
          </w:p>
        </w:tc>
      </w:tr>
      <w:tr w:rsidR="00826F1D" w:rsidRPr="00834A1D" w14:paraId="0DC6F175" w14:textId="77777777" w:rsidTr="00826F1D">
        <w:trPr>
          <w:trHeight w:val="401"/>
        </w:trPr>
        <w:tc>
          <w:tcPr>
            <w:tcW w:w="2607" w:type="pct"/>
            <w:shd w:val="clear" w:color="auto" w:fill="auto"/>
            <w:noWrap/>
            <w:vAlign w:val="center"/>
            <w:hideMark/>
          </w:tcPr>
          <w:p w14:paraId="6ACFE824" w14:textId="77777777" w:rsidR="001D0CBC" w:rsidRPr="00834A1D" w:rsidRDefault="001D0CBC" w:rsidP="00CF5F96">
            <w:pPr>
              <w:spacing w:before="0" w:after="0"/>
              <w:rPr>
                <w:rFonts w:eastAsia="Times New Roman" w:cs="Arial"/>
                <w:color w:val="000000"/>
                <w:sz w:val="18"/>
                <w:szCs w:val="18"/>
                <w:lang w:eastAsia="en-AU"/>
              </w:rPr>
            </w:pPr>
            <w:r w:rsidRPr="00834A1D">
              <w:rPr>
                <w:rFonts w:eastAsia="Times New Roman" w:cs="Arial"/>
                <w:color w:val="000000"/>
                <w:sz w:val="18"/>
                <w:szCs w:val="18"/>
                <w:lang w:eastAsia="en-AU"/>
              </w:rPr>
              <w:t>Commercial</w:t>
            </w:r>
            <w:r>
              <w:rPr>
                <w:rFonts w:eastAsia="Times New Roman" w:cs="Arial"/>
                <w:color w:val="000000"/>
                <w:sz w:val="18"/>
                <w:szCs w:val="18"/>
                <w:lang w:eastAsia="en-AU"/>
              </w:rPr>
              <w:t xml:space="preserve"> Airlines</w:t>
            </w:r>
          </w:p>
        </w:tc>
        <w:tc>
          <w:tcPr>
            <w:tcW w:w="747" w:type="pct"/>
            <w:shd w:val="clear" w:color="auto" w:fill="auto"/>
            <w:noWrap/>
            <w:vAlign w:val="center"/>
            <w:hideMark/>
          </w:tcPr>
          <w:p w14:paraId="45099D65" w14:textId="77777777" w:rsidR="001D0CBC" w:rsidRPr="00834A1D" w:rsidRDefault="001D0CBC" w:rsidP="002673CC">
            <w:pPr>
              <w:spacing w:before="0" w:after="0"/>
              <w:jc w:val="center"/>
              <w:rPr>
                <w:rFonts w:eastAsia="Times New Roman" w:cs="Arial"/>
                <w:color w:val="000000"/>
                <w:sz w:val="18"/>
                <w:szCs w:val="18"/>
                <w:lang w:eastAsia="en-AU"/>
              </w:rPr>
            </w:pPr>
            <w:r>
              <w:rPr>
                <w:rFonts w:eastAsia="Times New Roman" w:cs="Arial"/>
                <w:color w:val="000000"/>
                <w:sz w:val="18"/>
                <w:szCs w:val="18"/>
                <w:lang w:eastAsia="en-AU"/>
              </w:rPr>
              <w:t>$1,180</w:t>
            </w:r>
            <w:r w:rsidRPr="00834A1D">
              <w:rPr>
                <w:rFonts w:eastAsia="Times New Roman" w:cs="Arial"/>
                <w:color w:val="000000"/>
                <w:sz w:val="18"/>
                <w:szCs w:val="18"/>
                <w:lang w:eastAsia="en-AU"/>
              </w:rPr>
              <w:t xml:space="preserve"> million</w:t>
            </w:r>
          </w:p>
        </w:tc>
        <w:tc>
          <w:tcPr>
            <w:tcW w:w="1646" w:type="pct"/>
            <w:vMerge w:val="restart"/>
            <w:tcBorders>
              <w:top w:val="single" w:sz="2" w:space="0" w:color="BFBFBF" w:themeColor="background1" w:themeShade="BF"/>
              <w:bottom w:val="single" w:sz="2" w:space="0" w:color="0091DA" w:themeColor="accent2"/>
            </w:tcBorders>
            <w:shd w:val="clear" w:color="auto" w:fill="F2F2F2" w:themeFill="background1" w:themeFillShade="F2"/>
            <w:vAlign w:val="center"/>
          </w:tcPr>
          <w:p w14:paraId="1CE81053" w14:textId="77777777" w:rsidR="001D0CBC" w:rsidRPr="00834A1D" w:rsidRDefault="001D0CBC" w:rsidP="002673CC">
            <w:pPr>
              <w:spacing w:before="0" w:after="0"/>
              <w:jc w:val="center"/>
              <w:rPr>
                <w:rFonts w:eastAsia="Times New Roman" w:cs="Arial"/>
                <w:b/>
                <w:color w:val="FFFFFF" w:themeColor="background1"/>
                <w:sz w:val="24"/>
                <w:szCs w:val="18"/>
                <w:lang w:eastAsia="en-AU"/>
              </w:rPr>
            </w:pPr>
            <w:r w:rsidRPr="00B17A4E">
              <w:rPr>
                <w:rFonts w:eastAsia="Times New Roman" w:cs="Arial"/>
                <w:b/>
                <w:color w:val="0091DA" w:themeColor="accent2"/>
                <w:sz w:val="22"/>
                <w:szCs w:val="18"/>
                <w:lang w:eastAsia="en-AU"/>
              </w:rPr>
              <w:t>$4.8 billion</w:t>
            </w:r>
          </w:p>
        </w:tc>
      </w:tr>
      <w:tr w:rsidR="00826F1D" w:rsidRPr="00834A1D" w14:paraId="082E9684" w14:textId="77777777" w:rsidTr="00826F1D">
        <w:trPr>
          <w:trHeight w:val="419"/>
        </w:trPr>
        <w:tc>
          <w:tcPr>
            <w:tcW w:w="2607" w:type="pct"/>
            <w:shd w:val="clear" w:color="auto" w:fill="auto"/>
            <w:noWrap/>
            <w:vAlign w:val="center"/>
          </w:tcPr>
          <w:p w14:paraId="2429DCEA" w14:textId="77777777" w:rsidR="001D0CBC" w:rsidRPr="00834A1D" w:rsidRDefault="001D0CBC" w:rsidP="00CF5F96">
            <w:pPr>
              <w:spacing w:before="0" w:after="0"/>
              <w:rPr>
                <w:rFonts w:eastAsia="Times New Roman" w:cs="Arial"/>
                <w:color w:val="000000"/>
                <w:sz w:val="18"/>
                <w:szCs w:val="18"/>
                <w:lang w:eastAsia="en-AU"/>
              </w:rPr>
            </w:pPr>
            <w:r>
              <w:rPr>
                <w:rFonts w:eastAsia="Times New Roman" w:cs="Arial"/>
                <w:color w:val="000000"/>
                <w:sz w:val="18"/>
                <w:szCs w:val="18"/>
                <w:lang w:eastAsia="en-AU"/>
              </w:rPr>
              <w:t>Australian Defence Force</w:t>
            </w:r>
          </w:p>
        </w:tc>
        <w:tc>
          <w:tcPr>
            <w:tcW w:w="747" w:type="pct"/>
            <w:shd w:val="clear" w:color="auto" w:fill="auto"/>
            <w:noWrap/>
            <w:vAlign w:val="center"/>
          </w:tcPr>
          <w:p w14:paraId="750CB474" w14:textId="77777777" w:rsidR="001D0CBC" w:rsidRPr="00834A1D" w:rsidRDefault="001D0CBC" w:rsidP="002673CC">
            <w:pPr>
              <w:spacing w:before="0" w:after="0"/>
              <w:jc w:val="center"/>
              <w:rPr>
                <w:rFonts w:eastAsia="Times New Roman" w:cs="Arial"/>
                <w:color w:val="000000"/>
                <w:sz w:val="18"/>
                <w:szCs w:val="18"/>
                <w:lang w:eastAsia="en-AU"/>
              </w:rPr>
            </w:pPr>
            <w:r>
              <w:rPr>
                <w:rFonts w:eastAsia="Times New Roman" w:cs="Arial"/>
                <w:color w:val="000000"/>
                <w:sz w:val="18"/>
                <w:szCs w:val="18"/>
                <w:lang w:eastAsia="en-AU"/>
              </w:rPr>
              <w:t>$1,117</w:t>
            </w:r>
            <w:r w:rsidRPr="00834A1D">
              <w:rPr>
                <w:rFonts w:eastAsia="Times New Roman" w:cs="Arial"/>
                <w:color w:val="000000"/>
                <w:sz w:val="18"/>
                <w:szCs w:val="18"/>
                <w:lang w:eastAsia="en-AU"/>
              </w:rPr>
              <w:t xml:space="preserve"> million</w:t>
            </w:r>
          </w:p>
        </w:tc>
        <w:tc>
          <w:tcPr>
            <w:tcW w:w="1646" w:type="pct"/>
            <w:vMerge/>
            <w:tcBorders>
              <w:top w:val="single" w:sz="2" w:space="0" w:color="BFBFBF" w:themeColor="background1" w:themeShade="BF"/>
              <w:bottom w:val="single" w:sz="2" w:space="0" w:color="0091DA" w:themeColor="accent2"/>
            </w:tcBorders>
            <w:shd w:val="clear" w:color="auto" w:fill="F2F2F2" w:themeFill="background1" w:themeFillShade="F2"/>
            <w:vAlign w:val="center"/>
          </w:tcPr>
          <w:p w14:paraId="0373AFDE" w14:textId="77777777" w:rsidR="001D0CBC" w:rsidRPr="00834A1D" w:rsidRDefault="001D0CBC" w:rsidP="002673CC">
            <w:pPr>
              <w:spacing w:before="0" w:after="0"/>
              <w:rPr>
                <w:rFonts w:eastAsia="Times New Roman" w:cs="Arial"/>
                <w:color w:val="000000"/>
                <w:sz w:val="18"/>
                <w:szCs w:val="18"/>
                <w:lang w:eastAsia="en-AU"/>
              </w:rPr>
            </w:pPr>
          </w:p>
        </w:tc>
      </w:tr>
      <w:tr w:rsidR="00826F1D" w:rsidRPr="00834A1D" w14:paraId="6BD083C7" w14:textId="77777777" w:rsidTr="00826F1D">
        <w:trPr>
          <w:trHeight w:val="419"/>
        </w:trPr>
        <w:tc>
          <w:tcPr>
            <w:tcW w:w="2607" w:type="pct"/>
            <w:tcBorders>
              <w:bottom w:val="single" w:sz="2" w:space="0" w:color="BFBFBF" w:themeColor="background1" w:themeShade="BF"/>
            </w:tcBorders>
            <w:shd w:val="clear" w:color="auto" w:fill="auto"/>
            <w:noWrap/>
            <w:vAlign w:val="center"/>
          </w:tcPr>
          <w:p w14:paraId="7E5108A3" w14:textId="77777777" w:rsidR="001D0CBC" w:rsidRPr="00834A1D" w:rsidRDefault="001D0CBC" w:rsidP="00CF5F96">
            <w:pPr>
              <w:spacing w:before="0" w:after="0"/>
              <w:rPr>
                <w:rFonts w:eastAsia="Times New Roman" w:cs="Arial"/>
                <w:color w:val="000000"/>
                <w:sz w:val="18"/>
                <w:szCs w:val="18"/>
                <w:lang w:eastAsia="en-AU"/>
              </w:rPr>
            </w:pPr>
            <w:r>
              <w:rPr>
                <w:rFonts w:eastAsia="Times New Roman" w:cs="Arial"/>
                <w:color w:val="000000"/>
                <w:sz w:val="18"/>
                <w:szCs w:val="18"/>
                <w:lang w:eastAsia="en-AU"/>
              </w:rPr>
              <w:t>Other (includes private and other government/business)</w:t>
            </w:r>
          </w:p>
        </w:tc>
        <w:tc>
          <w:tcPr>
            <w:tcW w:w="747" w:type="pct"/>
            <w:tcBorders>
              <w:bottom w:val="single" w:sz="2" w:space="0" w:color="BFBFBF" w:themeColor="background1" w:themeShade="BF"/>
            </w:tcBorders>
            <w:shd w:val="clear" w:color="auto" w:fill="auto"/>
            <w:noWrap/>
            <w:vAlign w:val="center"/>
          </w:tcPr>
          <w:p w14:paraId="05C54862" w14:textId="77777777" w:rsidR="001D0CBC" w:rsidRPr="00834A1D" w:rsidRDefault="001D0CBC" w:rsidP="002673CC">
            <w:pPr>
              <w:spacing w:before="0" w:after="0"/>
              <w:jc w:val="center"/>
              <w:rPr>
                <w:rFonts w:eastAsia="Times New Roman" w:cs="Arial"/>
                <w:color w:val="000000"/>
                <w:sz w:val="18"/>
                <w:szCs w:val="18"/>
                <w:lang w:eastAsia="en-AU"/>
              </w:rPr>
            </w:pPr>
            <w:r>
              <w:rPr>
                <w:rFonts w:eastAsia="Times New Roman" w:cs="Arial"/>
                <w:color w:val="000000"/>
                <w:sz w:val="18"/>
                <w:szCs w:val="18"/>
                <w:lang w:eastAsia="en-AU"/>
              </w:rPr>
              <w:t>$58 million</w:t>
            </w:r>
          </w:p>
        </w:tc>
        <w:tc>
          <w:tcPr>
            <w:tcW w:w="1646" w:type="pct"/>
            <w:vMerge/>
            <w:tcBorders>
              <w:top w:val="single" w:sz="2" w:space="0" w:color="BFBFBF" w:themeColor="background1" w:themeShade="BF"/>
              <w:bottom w:val="single" w:sz="2" w:space="0" w:color="0091DA" w:themeColor="accent2"/>
            </w:tcBorders>
            <w:shd w:val="clear" w:color="auto" w:fill="F2F2F2" w:themeFill="background1" w:themeFillShade="F2"/>
            <w:vAlign w:val="center"/>
          </w:tcPr>
          <w:p w14:paraId="7C76921E" w14:textId="77777777" w:rsidR="001D0CBC" w:rsidRPr="00834A1D" w:rsidRDefault="001D0CBC" w:rsidP="002673CC">
            <w:pPr>
              <w:spacing w:before="0" w:after="0"/>
              <w:rPr>
                <w:rFonts w:eastAsia="Times New Roman" w:cs="Arial"/>
                <w:color w:val="000000"/>
                <w:sz w:val="18"/>
                <w:szCs w:val="18"/>
                <w:lang w:eastAsia="en-AU"/>
              </w:rPr>
            </w:pPr>
          </w:p>
        </w:tc>
      </w:tr>
      <w:tr w:rsidR="00826F1D" w:rsidRPr="00834A1D" w14:paraId="44A8619E" w14:textId="77777777" w:rsidTr="00826F1D">
        <w:trPr>
          <w:trHeight w:val="353"/>
        </w:trPr>
        <w:tc>
          <w:tcPr>
            <w:tcW w:w="2607" w:type="pct"/>
            <w:tcBorders>
              <w:top w:val="single" w:sz="2" w:space="0" w:color="BFBFBF" w:themeColor="background1" w:themeShade="BF"/>
              <w:bottom w:val="single" w:sz="2" w:space="0" w:color="0091DA" w:themeColor="accent2"/>
            </w:tcBorders>
            <w:shd w:val="clear" w:color="auto" w:fill="auto"/>
            <w:noWrap/>
            <w:vAlign w:val="center"/>
          </w:tcPr>
          <w:p w14:paraId="395C654D" w14:textId="77777777" w:rsidR="001D0CBC" w:rsidDel="001D49EF" w:rsidRDefault="001D0CBC" w:rsidP="00CF5F96">
            <w:pPr>
              <w:spacing w:before="0" w:after="0"/>
              <w:rPr>
                <w:rFonts w:eastAsia="Times New Roman" w:cs="Arial"/>
                <w:color w:val="000000"/>
                <w:sz w:val="18"/>
                <w:szCs w:val="18"/>
                <w:lang w:eastAsia="en-AU"/>
              </w:rPr>
            </w:pPr>
            <w:r>
              <w:rPr>
                <w:rFonts w:eastAsia="Times New Roman" w:cs="Arial"/>
                <w:color w:val="000000"/>
                <w:sz w:val="18"/>
                <w:szCs w:val="18"/>
                <w:lang w:eastAsia="en-AU"/>
              </w:rPr>
              <w:t>Export Markets</w:t>
            </w:r>
          </w:p>
        </w:tc>
        <w:tc>
          <w:tcPr>
            <w:tcW w:w="747" w:type="pct"/>
            <w:tcBorders>
              <w:top w:val="single" w:sz="2" w:space="0" w:color="BFBFBF" w:themeColor="background1" w:themeShade="BF"/>
              <w:bottom w:val="single" w:sz="2" w:space="0" w:color="0091DA" w:themeColor="accent2"/>
            </w:tcBorders>
            <w:shd w:val="clear" w:color="auto" w:fill="auto"/>
            <w:noWrap/>
            <w:vAlign w:val="center"/>
          </w:tcPr>
          <w:p w14:paraId="28A70621" w14:textId="77777777" w:rsidR="001D0CBC" w:rsidRDefault="001D0CBC" w:rsidP="002673CC">
            <w:pPr>
              <w:spacing w:before="0" w:after="0"/>
              <w:jc w:val="center"/>
              <w:rPr>
                <w:rFonts w:eastAsia="Times New Roman" w:cs="Arial"/>
                <w:color w:val="000000"/>
                <w:sz w:val="18"/>
                <w:szCs w:val="18"/>
                <w:lang w:eastAsia="en-AU"/>
              </w:rPr>
            </w:pPr>
            <w:r>
              <w:rPr>
                <w:rFonts w:eastAsia="Times New Roman" w:cs="Arial"/>
                <w:color w:val="000000"/>
                <w:sz w:val="18"/>
                <w:szCs w:val="18"/>
                <w:lang w:eastAsia="en-AU"/>
              </w:rPr>
              <w:t>$2,461 million</w:t>
            </w:r>
          </w:p>
        </w:tc>
        <w:tc>
          <w:tcPr>
            <w:tcW w:w="1646" w:type="pct"/>
            <w:vMerge/>
            <w:tcBorders>
              <w:top w:val="single" w:sz="2" w:space="0" w:color="BFBFBF" w:themeColor="background1" w:themeShade="BF"/>
              <w:bottom w:val="single" w:sz="2" w:space="0" w:color="0091DA" w:themeColor="accent2"/>
            </w:tcBorders>
            <w:shd w:val="clear" w:color="auto" w:fill="F2F2F2" w:themeFill="background1" w:themeFillShade="F2"/>
            <w:vAlign w:val="center"/>
          </w:tcPr>
          <w:p w14:paraId="2AA2DA95" w14:textId="77777777" w:rsidR="001D0CBC" w:rsidRPr="00834A1D" w:rsidRDefault="001D0CBC" w:rsidP="002673CC">
            <w:pPr>
              <w:spacing w:before="0" w:after="0"/>
              <w:rPr>
                <w:rFonts w:eastAsia="Times New Roman" w:cs="Arial"/>
                <w:color w:val="000000"/>
                <w:sz w:val="18"/>
                <w:szCs w:val="18"/>
                <w:lang w:eastAsia="en-AU"/>
              </w:rPr>
            </w:pPr>
          </w:p>
        </w:tc>
      </w:tr>
    </w:tbl>
    <w:p w14:paraId="0AB5BBED" w14:textId="77777777" w:rsidR="001D0CBC" w:rsidRPr="00834A1D" w:rsidRDefault="001D0CBC" w:rsidP="00DF7D23">
      <w:pPr>
        <w:pStyle w:val="Source"/>
      </w:pPr>
      <w:r>
        <w:t>Source: IBIS World. KPMG analysis</w:t>
      </w:r>
    </w:p>
    <w:p w14:paraId="78F7182F" w14:textId="77777777" w:rsidR="001D0CBC" w:rsidRPr="0011521D" w:rsidRDefault="001D0CBC" w:rsidP="00AF04CA">
      <w:pPr>
        <w:pStyle w:val="Heading4"/>
      </w:pPr>
      <w:r w:rsidRPr="0011521D">
        <w:t>Commercial Airlines</w:t>
      </w:r>
    </w:p>
    <w:p w14:paraId="3A67BFE8" w14:textId="77777777" w:rsidR="001D0CBC" w:rsidRPr="007970AD" w:rsidRDefault="001D0CBC" w:rsidP="001D0CBC">
      <w:pPr>
        <w:pStyle w:val="BodyText1"/>
      </w:pPr>
      <w:r>
        <w:t xml:space="preserve">It is estimated that commercial airlines accounted for $1,180 million worth of the Australian </w:t>
      </w:r>
      <w:r w:rsidR="00555E98">
        <w:t>Aircraft Manufacturing and Repair Services</w:t>
      </w:r>
      <w:r>
        <w:t xml:space="preserve"> industry’s sales revenue in 2017-18. This segment is dominated by maintenance, repair and overhaul services contracted by major airlines and aircraft manufacturers.  This category also includes a (albeit much smaller) component of sales in aircraft parts. </w:t>
      </w:r>
    </w:p>
    <w:p w14:paraId="3939F26F" w14:textId="77777777" w:rsidR="001D0CBC" w:rsidRPr="003C6A54" w:rsidRDefault="001D0CBC" w:rsidP="003C6A54">
      <w:pPr>
        <w:pStyle w:val="Heading5"/>
      </w:pPr>
      <w:r w:rsidRPr="003C6A54">
        <w:t xml:space="preserve">Australian Defence Force </w:t>
      </w:r>
    </w:p>
    <w:p w14:paraId="7F166D47" w14:textId="6BABA780" w:rsidR="001D0CBC" w:rsidRDefault="00D913DA" w:rsidP="001D0CBC">
      <w:pPr>
        <w:pStyle w:val="BodyText1"/>
      </w:pPr>
      <w:r>
        <w:t xml:space="preserve">The </w:t>
      </w:r>
      <w:r w:rsidR="001D0CBC">
        <w:t>ADF</w:t>
      </w:r>
      <w:r w:rsidR="00397FE2">
        <w:t xml:space="preserve"> </w:t>
      </w:r>
      <w:r w:rsidR="001D0CBC">
        <w:t xml:space="preserve">is the government’s largest purchaser of </w:t>
      </w:r>
      <w:r w:rsidR="002439CF">
        <w:t>aircraft</w:t>
      </w:r>
      <w:r w:rsidR="001D0CBC">
        <w:t xml:space="preserve">, contributing roughly $1,117 million in revenues to the </w:t>
      </w:r>
      <w:r w:rsidR="00555E98">
        <w:t>Aircraft Manufacturing and Repair Services</w:t>
      </w:r>
      <w:r w:rsidR="00820C09">
        <w:t xml:space="preserve"> industry in 2017</w:t>
      </w:r>
      <w:r w:rsidR="00820C09">
        <w:noBreakHyphen/>
      </w:r>
      <w:r w:rsidR="001D0CBC">
        <w:t>18</w:t>
      </w:r>
      <w:r w:rsidR="001D0CBC" w:rsidRPr="005952D4">
        <w:t xml:space="preserve">. The ADF maintains a fleet of </w:t>
      </w:r>
      <w:r w:rsidR="002439CF">
        <w:t>aircraft</w:t>
      </w:r>
      <w:r w:rsidR="001D0CBC" w:rsidRPr="005952D4">
        <w:t xml:space="preserve"> for through-life support and logistics support analysis. </w:t>
      </w:r>
    </w:p>
    <w:p w14:paraId="1A6B3EA5" w14:textId="5B06D896" w:rsidR="001D0CBC" w:rsidRPr="001F1457" w:rsidRDefault="001D0CBC" w:rsidP="001D0CBC">
      <w:pPr>
        <w:pStyle w:val="BodyText1"/>
      </w:pPr>
      <w:r>
        <w:lastRenderedPageBreak/>
        <w:t>In 2017-18, Defence’s budget for major acquisition projects in the a</w:t>
      </w:r>
      <w:r w:rsidR="00820C09">
        <w:t>ir domain was an estimated $3.4 </w:t>
      </w:r>
      <w:r>
        <w:t>billion.</w:t>
      </w:r>
      <w:r w:rsidR="00C45B3B">
        <w:rPr>
          <w:rStyle w:val="FootnoteReference"/>
        </w:rPr>
        <w:footnoteReference w:id="21"/>
      </w:r>
      <w:r>
        <w:t xml:space="preserve"> A third of this budget was earmarked for Defence’s New Air Combat Capability, which includes the acquisition of 72 F-35A </w:t>
      </w:r>
      <w:r w:rsidR="002439CF">
        <w:t>aircraft</w:t>
      </w:r>
      <w:r>
        <w:t xml:space="preserve"> for operational and training purposes, based out of RAAF Williamtown</w:t>
      </w:r>
      <w:r w:rsidR="00B927B0">
        <w:t xml:space="preserve"> in Newcastle, New South Wales</w:t>
      </w:r>
      <w:r>
        <w:t>.</w:t>
      </w:r>
      <w:r>
        <w:rPr>
          <w:rStyle w:val="FootnoteReference"/>
        </w:rPr>
        <w:footnoteReference w:id="22"/>
      </w:r>
      <w:r>
        <w:t xml:space="preserve">  </w:t>
      </w:r>
    </w:p>
    <w:p w14:paraId="1F4F118A" w14:textId="77777777" w:rsidR="001D0CBC" w:rsidRPr="00AC042A" w:rsidRDefault="001D0CBC" w:rsidP="003C6A54">
      <w:pPr>
        <w:pStyle w:val="Heading5"/>
      </w:pPr>
      <w:r w:rsidRPr="00AC042A">
        <w:t>Other Users (private, other government and business)</w:t>
      </w:r>
    </w:p>
    <w:p w14:paraId="3760AD8E" w14:textId="4814460A" w:rsidR="001D0CBC" w:rsidRPr="007970AD" w:rsidRDefault="001D0CBC" w:rsidP="001D0CBC">
      <w:pPr>
        <w:pStyle w:val="BodyText1"/>
      </w:pPr>
      <w:r>
        <w:t>In 2017-18, t</w:t>
      </w:r>
      <w:r w:rsidRPr="007970AD">
        <w:t xml:space="preserve">he Australian </w:t>
      </w:r>
      <w:r w:rsidR="00CA07EA">
        <w:t>Aircraft Manufacturing and Repairs industry</w:t>
      </w:r>
      <w:r>
        <w:t xml:space="preserve"> made around $58</w:t>
      </w:r>
      <w:r w:rsidRPr="007970AD">
        <w:t xml:space="preserve"> million in sales to </w:t>
      </w:r>
      <w:r>
        <w:t>other</w:t>
      </w:r>
      <w:r w:rsidRPr="007970AD">
        <w:t xml:space="preserve"> users. </w:t>
      </w:r>
      <w:r>
        <w:t xml:space="preserve">This segment includes private and recreational aircraft use by households or businesses, such as corporate jets, light sport </w:t>
      </w:r>
      <w:r w:rsidR="002439CF">
        <w:t>aircraft</w:t>
      </w:r>
      <w:r w:rsidR="00C85A7D">
        <w:t xml:space="preserve">, powered parachutes, and </w:t>
      </w:r>
      <w:r>
        <w:t xml:space="preserve">UAVs </w:t>
      </w:r>
      <w:r w:rsidR="00397FE2">
        <w:t>(</w:t>
      </w:r>
      <w:r>
        <w:t xml:space="preserve">or drones). It also includes aircraft used for business purposes such as tour operations, crop spraying, </w:t>
      </w:r>
      <w:r w:rsidR="00DF7D23">
        <w:t>and business</w:t>
      </w:r>
      <w:r>
        <w:t xml:space="preserve"> jet hire.  This market has a very small and declining market share due to limited domestic demand and strong growth of the export market (for example, see Jabiru case study). </w:t>
      </w:r>
    </w:p>
    <w:p w14:paraId="12EEF2EF" w14:textId="77777777" w:rsidR="001D0CBC" w:rsidRPr="00AC042A" w:rsidRDefault="001D0CBC" w:rsidP="003C6A54">
      <w:pPr>
        <w:pStyle w:val="Heading5"/>
      </w:pPr>
      <w:r w:rsidRPr="00AC042A">
        <w:t>Export Markets</w:t>
      </w:r>
    </w:p>
    <w:p w14:paraId="73EA8633" w14:textId="77777777" w:rsidR="001D0CBC" w:rsidRDefault="001D0CBC" w:rsidP="001D0CBC">
      <w:r>
        <w:t xml:space="preserve">The export markets account for half the revenue share of the </w:t>
      </w:r>
      <w:r w:rsidR="00555E98">
        <w:t>Aircraft Manufacturing and Repair Services</w:t>
      </w:r>
      <w:r>
        <w:t xml:space="preserve"> industry. </w:t>
      </w:r>
      <w:r w:rsidRPr="00850219">
        <w:t xml:space="preserve">Australia has a </w:t>
      </w:r>
      <w:r w:rsidR="00C85A7D" w:rsidRPr="00850219">
        <w:t>number</w:t>
      </w:r>
      <w:r w:rsidRPr="00850219">
        <w:t xml:space="preserve"> of smaller players with technical expertise in the production of aircraft parts, engines, components etc., which are contracted to ship parts and components to major commercial as well as military aircraft manufacturers based </w:t>
      </w:r>
      <w:r w:rsidRPr="00A46DFD">
        <w:t xml:space="preserve">overseas. </w:t>
      </w:r>
    </w:p>
    <w:p w14:paraId="072B4865" w14:textId="5C87668B" w:rsidR="001D0CBC" w:rsidRDefault="001D0CBC" w:rsidP="00CF5F96">
      <w:r>
        <w:t>In addition, military aircra</w:t>
      </w:r>
      <w:r w:rsidR="00AB38D7">
        <w:t>ft support features</w:t>
      </w:r>
      <w:r>
        <w:t xml:space="preserve"> in the export market, with its future share expected to increase, owing in part to the industry’s participation in </w:t>
      </w:r>
      <w:r w:rsidRPr="008F4974">
        <w:t xml:space="preserve">export strategies </w:t>
      </w:r>
      <w:r>
        <w:t>like the F-35 Joint Strike Fighter (JSF) Programme. As part of the program, the industry has been able to secure more than $1 billion of F-35 production contracts, engaging with over 50 Australian businesses at various stages of design and production.</w:t>
      </w:r>
      <w:r w:rsidRPr="004E6662">
        <w:rPr>
          <w:rStyle w:val="FootnoteReference"/>
        </w:rPr>
        <w:t xml:space="preserve"> </w:t>
      </w:r>
      <w:r>
        <w:rPr>
          <w:rStyle w:val="FootnoteReference"/>
        </w:rPr>
        <w:footnoteReference w:id="23"/>
      </w:r>
      <w:r>
        <w:t xml:space="preserve"> Going forward, Australia’s involvement in the JSF programme is expected to attract more than $7 billion in F-35 production contracts out to 2038. Over one-third of these production contracts are expected to be fulfilled by the Australian </w:t>
      </w:r>
      <w:r w:rsidR="00555E98">
        <w:t>Aircraft Manufacturing and Repair Services</w:t>
      </w:r>
      <w:r>
        <w:t xml:space="preserve"> industry.</w:t>
      </w:r>
      <w:r>
        <w:rPr>
          <w:rStyle w:val="FootnoteReference"/>
        </w:rPr>
        <w:footnoteReference w:id="24"/>
      </w:r>
      <w:r>
        <w:t xml:space="preserve"> </w:t>
      </w:r>
    </w:p>
    <w:p w14:paraId="60067C0E" w14:textId="77777777" w:rsidR="00780464" w:rsidRDefault="00780464">
      <w:pPr>
        <w:spacing w:before="0" w:after="160" w:line="259" w:lineRule="auto"/>
        <w:rPr>
          <w:rFonts w:eastAsiaTheme="majorEastAsia" w:cstheme="majorBidi"/>
          <w:color w:val="0091DA" w:themeColor="accent2"/>
          <w:sz w:val="36"/>
          <w:szCs w:val="40"/>
          <w14:scene3d>
            <w14:camera w14:prst="orthographicFront"/>
            <w14:lightRig w14:rig="threePt" w14:dir="t">
              <w14:rot w14:lat="0" w14:lon="0" w14:rev="0"/>
            </w14:lightRig>
          </w14:scene3d>
        </w:rPr>
      </w:pPr>
      <w:bookmarkStart w:id="176" w:name="_Toc1401856"/>
      <w:bookmarkStart w:id="177" w:name="_Toc2066657"/>
      <w:bookmarkStart w:id="178" w:name="_Toc2066768"/>
      <w:bookmarkStart w:id="179" w:name="_Toc2066837"/>
      <w:bookmarkEnd w:id="176"/>
      <w:bookmarkEnd w:id="177"/>
      <w:bookmarkEnd w:id="178"/>
      <w:bookmarkEnd w:id="179"/>
      <w:r>
        <w:br w:type="page"/>
      </w:r>
    </w:p>
    <w:p w14:paraId="2284F388" w14:textId="24DD7CB9" w:rsidR="00400FA3" w:rsidRDefault="00400FA3" w:rsidP="0011521D">
      <w:pPr>
        <w:pStyle w:val="Heading3"/>
      </w:pPr>
      <w:bookmarkStart w:id="180" w:name="_Toc26537896"/>
      <w:r w:rsidRPr="00400FA3">
        <w:lastRenderedPageBreak/>
        <w:t>Exports</w:t>
      </w:r>
      <w:bookmarkEnd w:id="180"/>
    </w:p>
    <w:p w14:paraId="617F5BA8" w14:textId="77777777" w:rsidR="00DB3C5F" w:rsidRDefault="00201764" w:rsidP="00473B24">
      <w:pPr>
        <w:spacing w:after="0"/>
      </w:pPr>
      <w:r w:rsidRPr="00717C04">
        <w:rPr>
          <w:rFonts w:cstheme="minorHAnsi"/>
          <w:lang w:val="en-US"/>
        </w:rPr>
        <w:t xml:space="preserve">The Australian </w:t>
      </w:r>
      <w:r>
        <w:rPr>
          <w:rFonts w:cstheme="minorHAnsi"/>
          <w:lang w:val="en-US"/>
        </w:rPr>
        <w:t xml:space="preserve">Aircraft Manufacturing and Repair Services </w:t>
      </w:r>
      <w:r w:rsidRPr="00717C04">
        <w:rPr>
          <w:rFonts w:cstheme="minorHAnsi"/>
          <w:lang w:val="en-US"/>
        </w:rPr>
        <w:t xml:space="preserve">industry has a strong brand reputation in the global market, enabling it to compete </w:t>
      </w:r>
      <w:r>
        <w:rPr>
          <w:rFonts w:cstheme="minorHAnsi"/>
          <w:lang w:val="en-US"/>
        </w:rPr>
        <w:t>through</w:t>
      </w:r>
      <w:r w:rsidRPr="00717C04">
        <w:rPr>
          <w:rFonts w:cstheme="minorHAnsi"/>
          <w:lang w:val="en-US"/>
        </w:rPr>
        <w:t xml:space="preserve"> value rather than costs. This has fuelled the export of quality products produced and services provided by domestic aviation businesses</w:t>
      </w:r>
      <w:r>
        <w:rPr>
          <w:rFonts w:cstheme="minorHAnsi"/>
          <w:lang w:val="en-US"/>
        </w:rPr>
        <w:t>,</w:t>
      </w:r>
      <w:r w:rsidR="002A19FB">
        <w:t xml:space="preserve"> attracting significant revenue and opportunities for</w:t>
      </w:r>
      <w:r w:rsidR="00DB3C5F">
        <w:t xml:space="preserve"> the Australian economy</w:t>
      </w:r>
      <w:r w:rsidR="002A19FB">
        <w:t>.</w:t>
      </w:r>
      <w:r w:rsidR="00DB3C5F" w:rsidRPr="00E304C6">
        <w:t xml:space="preserve"> </w:t>
      </w:r>
      <w:r w:rsidR="009F188E">
        <w:t>In 20</w:t>
      </w:r>
      <w:r w:rsidR="003D7BFC">
        <w:t>1</w:t>
      </w:r>
      <w:r w:rsidR="00594B8A">
        <w:t>7</w:t>
      </w:r>
      <w:r w:rsidR="009F6CBF" w:rsidRPr="009F6CBF">
        <w:t>–</w:t>
      </w:r>
      <w:r w:rsidR="003D7BFC">
        <w:t>1</w:t>
      </w:r>
      <w:r w:rsidR="00594B8A">
        <w:t>8</w:t>
      </w:r>
      <w:r w:rsidR="009F188E">
        <w:t xml:space="preserve">, </w:t>
      </w:r>
      <w:r w:rsidR="003D7BFC">
        <w:t xml:space="preserve">merchandise exports by the </w:t>
      </w:r>
      <w:r w:rsidR="009F188E">
        <w:t xml:space="preserve">industry contributed </w:t>
      </w:r>
      <w:r w:rsidR="003D7BFC">
        <w:t xml:space="preserve">approximately </w:t>
      </w:r>
      <w:r w:rsidR="009F188E">
        <w:t>$</w:t>
      </w:r>
      <w:r w:rsidR="00594B8A">
        <w:t xml:space="preserve">2,043 </w:t>
      </w:r>
      <w:r w:rsidR="009F188E">
        <w:t xml:space="preserve">million or </w:t>
      </w:r>
      <w:r w:rsidR="00EC2002">
        <w:t xml:space="preserve">approximately </w:t>
      </w:r>
      <w:r w:rsidR="003E1D29">
        <w:t>1</w:t>
      </w:r>
      <w:r w:rsidR="00EC2002">
        <w:t>4</w:t>
      </w:r>
      <w:r w:rsidR="005B5C27">
        <w:t xml:space="preserve"> per cent </w:t>
      </w:r>
      <w:r w:rsidR="00EC2002">
        <w:t>of</w:t>
      </w:r>
      <w:r w:rsidR="009F188E">
        <w:t xml:space="preserve"> Australia</w:t>
      </w:r>
      <w:r w:rsidR="00EC2002">
        <w:t>’s</w:t>
      </w:r>
      <w:r w:rsidR="009F188E">
        <w:t xml:space="preserve"> </w:t>
      </w:r>
      <w:r w:rsidR="00EC2002">
        <w:t xml:space="preserve">total machinery and transport equipment </w:t>
      </w:r>
      <w:r w:rsidR="009F188E">
        <w:t>exports.</w:t>
      </w:r>
    </w:p>
    <w:p w14:paraId="6DEC1F29" w14:textId="7353310B" w:rsidR="006C203B" w:rsidRDefault="004847E6" w:rsidP="00720136">
      <w:pPr>
        <w:pStyle w:val="BodyText1"/>
      </w:pPr>
      <w:r>
        <w:t xml:space="preserve">The Australian </w:t>
      </w:r>
      <w:r w:rsidR="00CA07EA">
        <w:t>Aircraft Manufacturing and Repair Services</w:t>
      </w:r>
      <w:r w:rsidR="00A50B09">
        <w:t xml:space="preserve"> </w:t>
      </w:r>
      <w:r w:rsidR="00670F9E">
        <w:t xml:space="preserve">industry </w:t>
      </w:r>
      <w:r>
        <w:t xml:space="preserve">is a mix of </w:t>
      </w:r>
      <w:r w:rsidR="00396AC1">
        <w:t xml:space="preserve">majorly non-employing and </w:t>
      </w:r>
      <w:r>
        <w:t xml:space="preserve">small-sized </w:t>
      </w:r>
      <w:r w:rsidR="00396AC1">
        <w:t xml:space="preserve">enterprises, </w:t>
      </w:r>
      <w:r>
        <w:t>which specialize in maintenance and repair, engine manufacturing,</w:t>
      </w:r>
      <w:r w:rsidR="00396AC1">
        <w:t xml:space="preserve"> </w:t>
      </w:r>
      <w:r>
        <w:t>aircraft components and parts manufacturing. Bi</w:t>
      </w:r>
      <w:r w:rsidR="004B1E83">
        <w:t>g</w:t>
      </w:r>
      <w:r>
        <w:t xml:space="preserve"> OEM’s</w:t>
      </w:r>
      <w:r w:rsidR="00A50B09">
        <w:t>,</w:t>
      </w:r>
      <w:r>
        <w:t xml:space="preserve"> </w:t>
      </w:r>
      <w:r w:rsidR="00A50B09">
        <w:t xml:space="preserve">such as </w:t>
      </w:r>
      <w:r>
        <w:t xml:space="preserve">Boeing </w:t>
      </w:r>
      <w:r w:rsidR="00A50B09">
        <w:t xml:space="preserve">and </w:t>
      </w:r>
      <w:r>
        <w:t>Airbus</w:t>
      </w:r>
      <w:r w:rsidR="00810E7E">
        <w:t>,</w:t>
      </w:r>
      <w:r w:rsidR="00A50B09">
        <w:t xml:space="preserve"> </w:t>
      </w:r>
      <w:r>
        <w:t xml:space="preserve">export Australian manufactured parts back to the US for assembly. This feature of the Australian aerospace market is reflected in </w:t>
      </w:r>
      <w:r>
        <w:fldChar w:fldCharType="begin"/>
      </w:r>
      <w:r>
        <w:instrText xml:space="preserve"> REF _Ref479168942 \h </w:instrText>
      </w:r>
      <w:r>
        <w:fldChar w:fldCharType="separate"/>
      </w:r>
      <w:r w:rsidR="00980A78">
        <w:t xml:space="preserve">Figure </w:t>
      </w:r>
      <w:r w:rsidR="00980A78">
        <w:rPr>
          <w:noProof/>
        </w:rPr>
        <w:t>22</w:t>
      </w:r>
      <w:r>
        <w:fldChar w:fldCharType="end"/>
      </w:r>
      <w:r w:rsidR="004B1E83">
        <w:t xml:space="preserve"> below, which shows a three-fold </w:t>
      </w:r>
      <w:r>
        <w:t>increase in the export of aircraft parts (both powered and non-powered) over the past decade.</w:t>
      </w:r>
      <w:r w:rsidR="004B1E83">
        <w:t xml:space="preserve"> Over the same period, export of powered </w:t>
      </w:r>
      <w:r w:rsidR="002439CF">
        <w:t>aircraft</w:t>
      </w:r>
      <w:r w:rsidR="004B1E83">
        <w:t xml:space="preserve"> and </w:t>
      </w:r>
      <w:r w:rsidR="00C85A7D">
        <w:t>spacecraft</w:t>
      </w:r>
      <w:r w:rsidR="004B1E83">
        <w:t xml:space="preserve"> has been extremely volatile, with a decline in numbers recorded in the last two financial years. </w:t>
      </w:r>
    </w:p>
    <w:p w14:paraId="16744DA6" w14:textId="67897A32" w:rsidR="00201764" w:rsidRDefault="004B1E83" w:rsidP="00201764">
      <w:pPr>
        <w:spacing w:after="0"/>
        <w:rPr>
          <w:rFonts w:cstheme="minorHAnsi"/>
          <w:lang w:val="en-US"/>
        </w:rPr>
      </w:pPr>
      <w:r w:rsidRPr="00DE5518">
        <w:t xml:space="preserve">These findings are supported by our industry consultations, in which stakeholders made note of a dwindling general aviation sector in Australia </w:t>
      </w:r>
      <w:r w:rsidR="004D0642" w:rsidRPr="00DE5518">
        <w:t xml:space="preserve">and a cost disadvantage of manufacturing </w:t>
      </w:r>
      <w:r w:rsidR="002439CF" w:rsidRPr="00DE5518">
        <w:t>aircraft</w:t>
      </w:r>
      <w:r w:rsidR="00A50B09" w:rsidRPr="00DE5518">
        <w:t>,</w:t>
      </w:r>
      <w:r w:rsidR="00C042F8" w:rsidRPr="00DE5518">
        <w:t xml:space="preserve"> due </w:t>
      </w:r>
      <w:r w:rsidR="00A50B09" w:rsidRPr="00DE5518">
        <w:t xml:space="preserve">in part </w:t>
      </w:r>
      <w:r w:rsidR="00C042F8" w:rsidRPr="00DE5518">
        <w:t>to Australia’s high minimum wage rates. However</w:t>
      </w:r>
      <w:r w:rsidR="00C042F8">
        <w:t xml:space="preserve">, recognition of Australia’s technological capabilities and innovation has </w:t>
      </w:r>
      <w:r w:rsidR="00201764">
        <w:t xml:space="preserve">seen steps being taken </w:t>
      </w:r>
      <w:r w:rsidR="00201764" w:rsidRPr="00717C04">
        <w:rPr>
          <w:rFonts w:cstheme="minorHAnsi"/>
          <w:lang w:val="en-US"/>
        </w:rPr>
        <w:t>to strengthen the relationship between Australian industry and Defence</w:t>
      </w:r>
      <w:r w:rsidR="00201764">
        <w:rPr>
          <w:rFonts w:cstheme="minorHAnsi"/>
          <w:lang w:val="en-US"/>
        </w:rPr>
        <w:t>,</w:t>
      </w:r>
      <w:r w:rsidR="00201764" w:rsidRPr="00717C04">
        <w:rPr>
          <w:rFonts w:cstheme="minorHAnsi"/>
          <w:lang w:val="en-US"/>
        </w:rPr>
        <w:t xml:space="preserve"> as well as </w:t>
      </w:r>
      <w:r w:rsidR="00201764">
        <w:rPr>
          <w:rFonts w:cstheme="minorHAnsi"/>
          <w:lang w:val="en-US"/>
        </w:rPr>
        <w:t xml:space="preserve">to </w:t>
      </w:r>
      <w:r w:rsidR="00201764" w:rsidRPr="00717C04">
        <w:rPr>
          <w:rFonts w:cstheme="minorHAnsi"/>
          <w:lang w:val="en-US"/>
        </w:rPr>
        <w:t>promote domestic capabilities in the export market. Industr</w:t>
      </w:r>
      <w:r w:rsidR="00595B8B">
        <w:rPr>
          <w:rFonts w:cstheme="minorHAnsi"/>
          <w:lang w:val="en-US"/>
        </w:rPr>
        <w:t>y strategies and programs like t</w:t>
      </w:r>
      <w:r w:rsidR="00201764" w:rsidRPr="00717C04">
        <w:rPr>
          <w:rFonts w:cstheme="minorHAnsi"/>
          <w:lang w:val="en-US"/>
        </w:rPr>
        <w:t>he Global Supply Chain program</w:t>
      </w:r>
      <w:r w:rsidR="00201764">
        <w:rPr>
          <w:rFonts w:cstheme="minorHAnsi"/>
          <w:lang w:val="en-US"/>
        </w:rPr>
        <w:t xml:space="preserve"> (discussed in the Boeing case study)</w:t>
      </w:r>
      <w:r w:rsidR="00201764" w:rsidRPr="00717C04">
        <w:rPr>
          <w:rFonts w:cstheme="minorHAnsi"/>
          <w:lang w:val="en-US"/>
        </w:rPr>
        <w:t xml:space="preserve"> and </w:t>
      </w:r>
      <w:r w:rsidR="00201764">
        <w:rPr>
          <w:rFonts w:cstheme="minorHAnsi"/>
          <w:lang w:val="en-US"/>
        </w:rPr>
        <w:t xml:space="preserve">the </w:t>
      </w:r>
      <w:r w:rsidR="00201764" w:rsidRPr="00717C04">
        <w:rPr>
          <w:rFonts w:cstheme="minorHAnsi"/>
          <w:lang w:val="en-US"/>
        </w:rPr>
        <w:t xml:space="preserve">Australian Industry Capability program encourages the involvement of businesses in supply chains to support </w:t>
      </w:r>
      <w:r w:rsidR="00820036" w:rsidRPr="00717C04">
        <w:rPr>
          <w:rFonts w:cstheme="minorHAnsi"/>
          <w:lang w:val="en-US"/>
        </w:rPr>
        <w:t>Defence</w:t>
      </w:r>
      <w:r w:rsidR="00201764" w:rsidRPr="00717C04">
        <w:rPr>
          <w:rFonts w:cstheme="minorHAnsi"/>
          <w:lang w:val="en-US"/>
        </w:rPr>
        <w:t xml:space="preserve"> contracts. </w:t>
      </w:r>
    </w:p>
    <w:p w14:paraId="06D3A68F" w14:textId="698C1F43" w:rsidR="00201764" w:rsidRPr="000B0223" w:rsidRDefault="00201764" w:rsidP="00201764">
      <w:pPr>
        <w:pStyle w:val="BodyText1"/>
      </w:pPr>
      <w:r w:rsidRPr="00717C04">
        <w:rPr>
          <w:rFonts w:cstheme="minorHAnsi"/>
          <w:lang w:val="en-US"/>
        </w:rPr>
        <w:t>This strategic approach is harder to achieve on the civil side</w:t>
      </w:r>
      <w:r w:rsidR="008C694E">
        <w:rPr>
          <w:rFonts w:cstheme="minorHAnsi"/>
          <w:lang w:val="en-US"/>
        </w:rPr>
        <w:t>,</w:t>
      </w:r>
      <w:r w:rsidRPr="00717C04">
        <w:rPr>
          <w:rFonts w:cstheme="minorHAnsi"/>
          <w:lang w:val="en-US"/>
        </w:rPr>
        <w:t xml:space="preserve"> as the sector is more diffused and fragmented, without having one single entity to promote sector interests. </w:t>
      </w:r>
      <w:r w:rsidR="00A30597">
        <w:rPr>
          <w:rFonts w:cstheme="minorHAnsi"/>
          <w:lang w:val="en-US"/>
        </w:rPr>
        <w:t xml:space="preserve">The Small and Medium Enterprises (SME) Export Hubs initiative, </w:t>
      </w:r>
      <w:r>
        <w:rPr>
          <w:rFonts w:cstheme="minorHAnsi"/>
        </w:rPr>
        <w:t xml:space="preserve">announced in the 2018-19 budget, </w:t>
      </w:r>
      <w:r w:rsidR="00A30597">
        <w:rPr>
          <w:rFonts w:cstheme="minorHAnsi"/>
        </w:rPr>
        <w:t xml:space="preserve">is </w:t>
      </w:r>
      <w:r w:rsidR="005B0921">
        <w:rPr>
          <w:rFonts w:cstheme="minorHAnsi"/>
        </w:rPr>
        <w:t xml:space="preserve">designed to grant </w:t>
      </w:r>
      <w:r w:rsidR="005B0921">
        <w:t xml:space="preserve">$150,000 to $1.5 million for up to four years from 2018-19 to 2020-21 to SMEs for setting up </w:t>
      </w:r>
      <w:r w:rsidR="005B0921">
        <w:rPr>
          <w:rFonts w:cstheme="minorHAnsi"/>
        </w:rPr>
        <w:t xml:space="preserve">local and regional export hubs in priority Growth Centre sectors like </w:t>
      </w:r>
      <w:r w:rsidR="005B0921">
        <w:t xml:space="preserve">Advanced Manufacturing. </w:t>
      </w:r>
      <w:r w:rsidR="000F7E2E">
        <w:t xml:space="preserve">Through collaboration with Growth Centres, this program is </w:t>
      </w:r>
      <w:r w:rsidR="00A30597">
        <w:rPr>
          <w:rFonts w:cstheme="minorHAnsi"/>
        </w:rPr>
        <w:t xml:space="preserve">slated to </w:t>
      </w:r>
      <w:r w:rsidR="000F7E2E">
        <w:rPr>
          <w:rFonts w:cstheme="minorHAnsi"/>
        </w:rPr>
        <w:t xml:space="preserve">attract </w:t>
      </w:r>
      <w:r w:rsidR="00A30597">
        <w:rPr>
          <w:rFonts w:cstheme="minorHAnsi"/>
        </w:rPr>
        <w:t>export opportunities to local firms</w:t>
      </w:r>
      <w:r w:rsidR="000F7E2E">
        <w:rPr>
          <w:rFonts w:cstheme="minorHAnsi"/>
        </w:rPr>
        <w:t xml:space="preserve">, thus driving </w:t>
      </w:r>
      <w:r w:rsidR="00F95BC5">
        <w:t xml:space="preserve">SME business growth and regional employment. </w:t>
      </w:r>
    </w:p>
    <w:p w14:paraId="00B4084C" w14:textId="09D81A98" w:rsidR="000B0223" w:rsidRDefault="000B0223" w:rsidP="0088346E">
      <w:pPr>
        <w:pStyle w:val="Caption"/>
      </w:pPr>
      <w:bookmarkStart w:id="181" w:name="_Ref479168942"/>
      <w:bookmarkStart w:id="182" w:name="_Ref471897533"/>
      <w:r>
        <w:t xml:space="preserve">Figure </w:t>
      </w:r>
      <w:r w:rsidR="00D7199C">
        <w:fldChar w:fldCharType="begin"/>
      </w:r>
      <w:r w:rsidR="00D7199C">
        <w:instrText xml:space="preserve"> SEQ Figure \* ARABIC </w:instrText>
      </w:r>
      <w:r w:rsidR="00D7199C">
        <w:fldChar w:fldCharType="separate"/>
      </w:r>
      <w:r w:rsidR="00980A78">
        <w:t>22</w:t>
      </w:r>
      <w:r w:rsidR="00D7199C">
        <w:fldChar w:fldCharType="end"/>
      </w:r>
      <w:bookmarkEnd w:id="181"/>
      <w:bookmarkEnd w:id="182"/>
      <w:r>
        <w:t xml:space="preserve">: </w:t>
      </w:r>
      <w:r w:rsidRPr="000B0223">
        <w:t>A</w:t>
      </w:r>
      <w:r w:rsidR="00AA7B6E">
        <w:t xml:space="preserve">ircraft Manufacturing and Repair Services industry’s </w:t>
      </w:r>
      <w:r w:rsidR="00F570C1">
        <w:t>export</w:t>
      </w:r>
      <w:r w:rsidR="00AA7B6E">
        <w:t xml:space="preserve">s </w:t>
      </w:r>
    </w:p>
    <w:p w14:paraId="15AF0143" w14:textId="6B545FCB" w:rsidR="000B0223" w:rsidRDefault="00F570C1" w:rsidP="007C068F">
      <w:pPr>
        <w:jc w:val="center"/>
        <w:rPr>
          <w:noProof/>
          <w:lang w:eastAsia="en-AU"/>
        </w:rPr>
      </w:pPr>
      <w:r>
        <w:rPr>
          <w:noProof/>
          <w:lang w:eastAsia="en-AU"/>
        </w:rPr>
        <w:drawing>
          <wp:inline distT="0" distB="0" distL="0" distR="0" wp14:anchorId="26AF80EB" wp14:editId="7E915CBA">
            <wp:extent cx="5021580" cy="2772000"/>
            <wp:effectExtent l="0" t="0" r="7620" b="0"/>
            <wp:docPr id="24" name="Chart 24" descr="Figure 22: Aircraft Manufacturing and Repair Services industry’s exports "/>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5D02869" w14:textId="77777777" w:rsidR="000B0223" w:rsidRPr="006600F3" w:rsidRDefault="00921C42" w:rsidP="00DF7D23">
      <w:pPr>
        <w:pStyle w:val="Source"/>
      </w:pPr>
      <w:r w:rsidRPr="006600F3">
        <w:t>Source: ABS 5368.0, International merchandise exports</w:t>
      </w:r>
    </w:p>
    <w:p w14:paraId="4DAB371F" w14:textId="77777777" w:rsidR="00C23D7D" w:rsidRDefault="005B49E0" w:rsidP="00DF7D23">
      <w:pPr>
        <w:pStyle w:val="Source"/>
      </w:pPr>
      <w:r w:rsidRPr="006600F3">
        <w:t>Note: 201</w:t>
      </w:r>
      <w:r w:rsidR="00A50B09" w:rsidRPr="006600F3">
        <w:t>7-18</w:t>
      </w:r>
      <w:r w:rsidRPr="006600F3">
        <w:t xml:space="preserve"> values are preliminary published data.</w:t>
      </w:r>
      <w:r>
        <w:t xml:space="preserve"> </w:t>
      </w:r>
    </w:p>
    <w:p w14:paraId="0F69F3EB" w14:textId="77B70984" w:rsidR="0046712D" w:rsidRDefault="00E40562" w:rsidP="007C7047">
      <w:pPr>
        <w:pStyle w:val="CaseStudy"/>
        <w:spacing w:after="720"/>
      </w:pPr>
      <w:bookmarkStart w:id="183" w:name="_Ref473727202"/>
      <w:r w:rsidRPr="00E40562">
        <w:rPr>
          <w:noProof/>
          <w:lang w:eastAsia="en-AU"/>
        </w:rPr>
        <w:lastRenderedPageBreak/>
        <w:drawing>
          <wp:anchor distT="0" distB="0" distL="114300" distR="114300" simplePos="0" relativeHeight="251859968" behindDoc="1" locked="0" layoutInCell="1" allowOverlap="1" wp14:anchorId="366B1D82" wp14:editId="299F360C">
            <wp:simplePos x="0" y="0"/>
            <wp:positionH relativeFrom="column">
              <wp:posOffset>-914400</wp:posOffset>
            </wp:positionH>
            <wp:positionV relativeFrom="paragraph">
              <wp:posOffset>-1260475</wp:posOffset>
            </wp:positionV>
            <wp:extent cx="7560000" cy="9728170"/>
            <wp:effectExtent l="0" t="0" r="3175" b="6985"/>
            <wp:wrapNone/>
            <wp:docPr id="12" name="Picture 12" descr="Case Study Jabiru" title="Case Study Ja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60000" cy="9728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712D">
        <w:t>Jabiru</w:t>
      </w:r>
    </w:p>
    <w:p w14:paraId="380C9956" w14:textId="0773FECA" w:rsidR="00192629" w:rsidRPr="00031EFE" w:rsidRDefault="003C7385" w:rsidP="007C7047">
      <w:pPr>
        <w:pStyle w:val="CaseStudyIntro"/>
        <w:spacing w:after="120"/>
        <w:ind w:right="95"/>
      </w:pPr>
      <w:r>
        <w:t xml:space="preserve">Undying </w:t>
      </w:r>
      <w:r w:rsidR="004C7389">
        <w:t xml:space="preserve">persistence </w:t>
      </w:r>
      <w:r w:rsidR="00C6189B">
        <w:t xml:space="preserve">and </w:t>
      </w:r>
      <w:r w:rsidR="004C7389">
        <w:t xml:space="preserve">multi-skilled staff </w:t>
      </w:r>
      <w:r w:rsidR="00C6189B">
        <w:t xml:space="preserve">retention </w:t>
      </w:r>
      <w:r w:rsidR="004C7389">
        <w:t xml:space="preserve">has seen this home-grown </w:t>
      </w:r>
      <w:r w:rsidR="00C6189B">
        <w:t>family business</w:t>
      </w:r>
      <w:r w:rsidR="00AB38D7">
        <w:t xml:space="preserve"> succeed</w:t>
      </w:r>
      <w:r w:rsidR="00C6189B">
        <w:t xml:space="preserve"> in</w:t>
      </w:r>
      <w:r w:rsidR="004C7389">
        <w:t xml:space="preserve"> Australia’s</w:t>
      </w:r>
      <w:r w:rsidR="00C6189B">
        <w:t xml:space="preserve"> recreational aircraft market</w:t>
      </w:r>
      <w:r w:rsidR="00AB38D7">
        <w:t xml:space="preserve">, in spite of </w:t>
      </w:r>
      <w:r w:rsidR="00C6189B">
        <w:t xml:space="preserve">regulatory </w:t>
      </w:r>
      <w:r w:rsidR="00AB38D7">
        <w:t xml:space="preserve">challenges </w:t>
      </w:r>
      <w:r w:rsidR="004D41CF">
        <w:t>and</w:t>
      </w:r>
      <w:r w:rsidR="004C7389">
        <w:t xml:space="preserve"> </w:t>
      </w:r>
      <w:r w:rsidR="00C6189B">
        <w:t xml:space="preserve">lack of mutual </w:t>
      </w:r>
      <w:r w:rsidR="00C6189B" w:rsidRPr="00031EFE">
        <w:t>recognition of Australian certifications globally</w:t>
      </w:r>
      <w:r w:rsidR="00C6189B">
        <w:t xml:space="preserve">. </w:t>
      </w:r>
      <w:r>
        <w:t>I</w:t>
      </w:r>
      <w:r w:rsidRPr="00031EFE">
        <w:t xml:space="preserve">n the face of </w:t>
      </w:r>
      <w:r>
        <w:t xml:space="preserve">a saturated </w:t>
      </w:r>
      <w:r w:rsidRPr="00031EFE">
        <w:t xml:space="preserve">domestic </w:t>
      </w:r>
      <w:r>
        <w:t xml:space="preserve">market and transforming aviation industry, </w:t>
      </w:r>
      <w:r w:rsidR="00C6189B">
        <w:t xml:space="preserve">Jabiru has ventured into the UAV and engine manufacturing and maintenance </w:t>
      </w:r>
      <w:r w:rsidR="004C7389">
        <w:t xml:space="preserve">sectors, while exploring opportunities </w:t>
      </w:r>
      <w:r w:rsidR="00E4752A">
        <w:t>with electric powered aircraft.</w:t>
      </w:r>
    </w:p>
    <w:p w14:paraId="566357ED" w14:textId="56D6AAC0" w:rsidR="000E0F9E" w:rsidRDefault="00192629" w:rsidP="000E0F9E">
      <w:r>
        <w:t xml:space="preserve">An Australia owned </w:t>
      </w:r>
      <w:r w:rsidRPr="004C0BF6">
        <w:t>family business</w:t>
      </w:r>
      <w:r>
        <w:t xml:space="preserve">, Jabiru is a pioneer </w:t>
      </w:r>
      <w:r w:rsidRPr="004C0BF6">
        <w:t>in the market for recreational aircraft manufacturing in Australia. Founded in 1988 in Bundaberg, Queensland,</w:t>
      </w:r>
      <w:r>
        <w:t xml:space="preserve"> it</w:t>
      </w:r>
      <w:r w:rsidRPr="004C0BF6">
        <w:t xml:space="preserve"> is </w:t>
      </w:r>
      <w:r>
        <w:t xml:space="preserve">a leading </w:t>
      </w:r>
      <w:r w:rsidRPr="004C0BF6">
        <w:t xml:space="preserve">manufacturer of </w:t>
      </w:r>
      <w:r>
        <w:t xml:space="preserve">kit and factory-built </w:t>
      </w:r>
      <w:r w:rsidRPr="004C0BF6">
        <w:t>light sport aircraft and aircraft engines.</w:t>
      </w:r>
    </w:p>
    <w:p w14:paraId="2AB0F991" w14:textId="6262EADE" w:rsidR="0046712D" w:rsidRPr="000E0F9E" w:rsidRDefault="0046712D" w:rsidP="00D913DA">
      <w:pPr>
        <w:pStyle w:val="Casestudysubheading"/>
        <w:spacing w:before="120" w:after="60"/>
      </w:pPr>
      <w:r w:rsidRPr="000E0F9E">
        <w:t>Regulatory headwinds</w:t>
      </w:r>
    </w:p>
    <w:p w14:paraId="42CDADD4" w14:textId="41FD0CEE" w:rsidR="00192629" w:rsidRDefault="00192629" w:rsidP="00D913DA">
      <w:pPr>
        <w:spacing w:before="60" w:after="60"/>
      </w:pPr>
      <w:r w:rsidRPr="00EF5E5A">
        <w:t>A well-established business now, Jabiru’s journey in the aviation sector over three decades has been anything but easy, with regulatory changes identified as a particular challenge</w:t>
      </w:r>
      <w:r w:rsidRPr="00CE7133">
        <w:t xml:space="preserve">. </w:t>
      </w:r>
      <w:r>
        <w:t xml:space="preserve">The movement to manufacturer self-certification of Light Sport Aircraft appears to have opened doors to international competition from low labour cost countries, especially in Eastern Europe. This regulatory change means that overseas companies selling into Australia have not had to attain CASA type certification like Australian firms had to, to enter the Australian market. Australian companies can now take advantage of self-certification too for future models of aircraft, but with the extra competition the portion of the pie is </w:t>
      </w:r>
      <w:r w:rsidR="008C694E">
        <w:t xml:space="preserve">unlikely to be </w:t>
      </w:r>
      <w:r>
        <w:t>enough to fund further development into Light Sport Aircraft.</w:t>
      </w:r>
    </w:p>
    <w:p w14:paraId="6792639F" w14:textId="23E5DDE7" w:rsidR="00192629" w:rsidRPr="00CE7133" w:rsidRDefault="00192629" w:rsidP="00192629">
      <w:r>
        <w:t>At the same time, there</w:t>
      </w:r>
      <w:r w:rsidR="008C694E">
        <w:t xml:space="preserve"> ha</w:t>
      </w:r>
      <w:r>
        <w:t>s been a domestic</w:t>
      </w:r>
      <w:r w:rsidRPr="00CE7133">
        <w:t xml:space="preserve"> decline in demand for </w:t>
      </w:r>
      <w:r>
        <w:t xml:space="preserve">these </w:t>
      </w:r>
      <w:r w:rsidRPr="00CE7133">
        <w:t xml:space="preserve">aircraft by aviators, </w:t>
      </w:r>
      <w:r>
        <w:t xml:space="preserve">in part </w:t>
      </w:r>
      <w:r w:rsidRPr="00CE7133">
        <w:t>due to saturation of hang</w:t>
      </w:r>
      <w:r>
        <w:t>a</w:t>
      </w:r>
      <w:r w:rsidRPr="00CE7133">
        <w:t xml:space="preserve">r space at airports. </w:t>
      </w:r>
      <w:r>
        <w:t>It is often difficult to get council</w:t>
      </w:r>
      <w:r w:rsidRPr="00EF5E5A">
        <w:t xml:space="preserve"> permission for the construction of new hangars, due to the noise associated with an airport</w:t>
      </w:r>
      <w:r w:rsidRPr="00CE7133">
        <w:t>. Fortunately for Jabiru, Bundaberg</w:t>
      </w:r>
      <w:r>
        <w:t xml:space="preserve"> council has been very supportive of their operations</w:t>
      </w:r>
      <w:r w:rsidRPr="00CE7133">
        <w:t xml:space="preserve">. </w:t>
      </w:r>
      <w:r>
        <w:t>There are also</w:t>
      </w:r>
      <w:r w:rsidRPr="00CE7133">
        <w:t xml:space="preserve"> </w:t>
      </w:r>
      <w:r>
        <w:t>constraints</w:t>
      </w:r>
      <w:r w:rsidRPr="00CE7133">
        <w:t xml:space="preserve"> regarding </w:t>
      </w:r>
      <w:r>
        <w:t xml:space="preserve">the </w:t>
      </w:r>
      <w:r w:rsidRPr="00CE7133">
        <w:t>restrict</w:t>
      </w:r>
      <w:r>
        <w:t>ion of</w:t>
      </w:r>
      <w:r w:rsidRPr="00CE7133">
        <w:t xml:space="preserve"> public access </w:t>
      </w:r>
      <w:r>
        <w:t>to</w:t>
      </w:r>
      <w:r w:rsidRPr="00CE7133">
        <w:t xml:space="preserve"> airports </w:t>
      </w:r>
      <w:r>
        <w:t>for</w:t>
      </w:r>
      <w:r w:rsidRPr="00CE7133">
        <w:t xml:space="preserve"> security reasons. </w:t>
      </w:r>
      <w:r>
        <w:t>Jabiru raised that to o</w:t>
      </w:r>
      <w:r w:rsidRPr="00CE7133">
        <w:t xml:space="preserve">btain </w:t>
      </w:r>
      <w:r>
        <w:t xml:space="preserve">an </w:t>
      </w:r>
      <w:r w:rsidRPr="00CE7133">
        <w:t>Aviation Security Identification Card is an expensive process</w:t>
      </w:r>
      <w:r>
        <w:t>,</w:t>
      </w:r>
      <w:r w:rsidRPr="00CE7133">
        <w:t xml:space="preserve"> and acts as a further deterrent to recreational flyers and new participants.</w:t>
      </w:r>
    </w:p>
    <w:p w14:paraId="0B0378D2" w14:textId="123767A6" w:rsidR="00E4752A" w:rsidRDefault="00192629" w:rsidP="00192629">
      <w:r>
        <w:t>Regulation remains a key concern for manufacturers in the industry, such as Jabiru. The regulatory burden of operating in the ae</w:t>
      </w:r>
      <w:r w:rsidR="004D41CF">
        <w:t>rospace industry is</w:t>
      </w:r>
      <w:r>
        <w:t xml:space="preserve"> high</w:t>
      </w:r>
      <w:r w:rsidR="004D41CF">
        <w:t>,</w:t>
      </w:r>
      <w:r>
        <w:t xml:space="preserve"> with concerns around safety and security being key drivers. However, some participants feel that the bodies charged with regulatory oversight can err on the side of risk-aversion and heavy-handedness, which can have the unintended consequence of stifling innovation and slowing down the accreditation process, causing a potential </w:t>
      </w:r>
      <w:r w:rsidR="00E40562">
        <w:t>loss of business opportunities.</w:t>
      </w:r>
    </w:p>
    <w:p w14:paraId="7604C125" w14:textId="48644B4B" w:rsidR="00192629" w:rsidRDefault="00192629" w:rsidP="00192629">
      <w:r>
        <w:t>This approach runs in concert with the struggles resulting from a lack of recognition of Australian certification internationally, which is a source of considerable frustration in the industry and has led Jabiru to acquire certification under ASTM standards</w:t>
      </w:r>
      <w:r w:rsidRPr="00FA58B4">
        <w:t xml:space="preserve"> </w:t>
      </w:r>
      <w:r>
        <w:t>to access international markets. Smaller manufacturers like Jabiru are also subject to the same regulatory burden as large manufacturers, which increases the pressure on those</w:t>
      </w:r>
      <w:r w:rsidR="00E4752A">
        <w:t xml:space="preserve"> smaller players in the market.</w:t>
      </w:r>
    </w:p>
    <w:p w14:paraId="2F72A858" w14:textId="56AFEA43" w:rsidR="0046712D" w:rsidRDefault="00192629" w:rsidP="000E0F9E">
      <w:r>
        <w:t xml:space="preserve">While the regulatory climate in Australia is seen as a challenge, there are many other features of the Australian market that are seen as beneficial to the industry. In particular, </w:t>
      </w:r>
      <w:r w:rsidRPr="009642C1">
        <w:t>Australia’s innovation gives it a competitive edge in the global market</w:t>
      </w:r>
      <w:r>
        <w:t>; there is</w:t>
      </w:r>
      <w:r w:rsidRPr="009642C1">
        <w:t xml:space="preserve"> regard for </w:t>
      </w:r>
      <w:r>
        <w:t xml:space="preserve">Australian </w:t>
      </w:r>
      <w:r w:rsidRPr="009642C1">
        <w:t>product quality</w:t>
      </w:r>
      <w:r>
        <w:t>; and Australia has the envious combination of a skilled workforce and a favourable business climate.  With these strengths, i</w:t>
      </w:r>
      <w:r w:rsidRPr="009642C1">
        <w:t xml:space="preserve">t is noted that a strong political will to strengthen bilateral agreements and bring in regulations that foster innovation </w:t>
      </w:r>
      <w:r>
        <w:t xml:space="preserve">is imperative to continue to support and further develop the domestic </w:t>
      </w:r>
      <w:r w:rsidR="00E4752A">
        <w:t>aerospace sector.</w:t>
      </w:r>
    </w:p>
    <w:p w14:paraId="0B1138E2" w14:textId="77777777" w:rsidR="00E40562" w:rsidRDefault="00E40562" w:rsidP="00D913DA">
      <w:pPr>
        <w:pStyle w:val="Casestudysubheading"/>
        <w:spacing w:before="120" w:after="60"/>
      </w:pPr>
      <w:r>
        <w:br w:type="page"/>
      </w:r>
    </w:p>
    <w:p w14:paraId="078B198C" w14:textId="63668C68" w:rsidR="0046712D" w:rsidRPr="000E0F9E" w:rsidRDefault="002254C2" w:rsidP="00D913DA">
      <w:pPr>
        <w:pStyle w:val="Casestudysubheading"/>
        <w:spacing w:before="120" w:after="60"/>
      </w:pPr>
      <w:r w:rsidRPr="0046712D">
        <w:rPr>
          <w:noProof/>
          <w:lang w:eastAsia="en-AU"/>
        </w:rPr>
        <w:lastRenderedPageBreak/>
        <w:drawing>
          <wp:anchor distT="0" distB="0" distL="114300" distR="114300" simplePos="0" relativeHeight="251824128" behindDoc="1" locked="0" layoutInCell="1" allowOverlap="1" wp14:anchorId="40F48288" wp14:editId="5D0CEA9C">
            <wp:simplePos x="0" y="0"/>
            <wp:positionH relativeFrom="page">
              <wp:posOffset>0</wp:posOffset>
            </wp:positionH>
            <wp:positionV relativeFrom="page">
              <wp:posOffset>773649</wp:posOffset>
            </wp:positionV>
            <wp:extent cx="7559675" cy="8905875"/>
            <wp:effectExtent l="0" t="0" r="3175" b="9525"/>
            <wp:wrapNone/>
            <wp:docPr id="303" name="Picture 303" descr="Case Study Continued. Jabiru" title="Case Study Continued. Ja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559675" cy="890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6712D" w:rsidRPr="000E0F9E">
        <w:t>Setting the business up for success</w:t>
      </w:r>
    </w:p>
    <w:p w14:paraId="743F97E6" w14:textId="5DC14885" w:rsidR="00192629" w:rsidRPr="00EF5E5A" w:rsidRDefault="00192629" w:rsidP="00D913DA">
      <w:pPr>
        <w:spacing w:before="60" w:after="60"/>
      </w:pPr>
      <w:r w:rsidRPr="00EF5E5A">
        <w:t>Jabiru founder Rodney Stiff’s incredible tenacity and determination, driven by passion, has seen the busines</w:t>
      </w:r>
      <w:r w:rsidR="004D41CF">
        <w:t>s sustain itself in this</w:t>
      </w:r>
      <w:r w:rsidR="00E4752A">
        <w:t xml:space="preserve"> industry.</w:t>
      </w:r>
    </w:p>
    <w:p w14:paraId="46B35322" w14:textId="0650C371" w:rsidR="00192629" w:rsidRPr="00EF5E5A" w:rsidRDefault="00192629" w:rsidP="00192629">
      <w:r w:rsidRPr="00EF5E5A">
        <w:t xml:space="preserve">Operating in a distinct market, Jabiru notes that manufacture and production methods associated with </w:t>
      </w:r>
      <w:r w:rsidRPr="004C0BF6">
        <w:t xml:space="preserve">recreational aircraft </w:t>
      </w:r>
      <w:r w:rsidRPr="00EF5E5A">
        <w:t>have to be based around low volume production with low setup costs and flexibility for rapid change in demand and technology. Jabiru’s industry success also rides on the long-time retention of its multi-skilled and flexible staff, all provided with hands-on trai</w:t>
      </w:r>
      <w:r w:rsidR="00E4752A">
        <w:t>ning at its Bundaberg facility.</w:t>
      </w:r>
    </w:p>
    <w:p w14:paraId="68890D80" w14:textId="70E87895" w:rsidR="00192629" w:rsidRPr="00EF5E5A" w:rsidRDefault="00192629" w:rsidP="00192629">
      <w:r w:rsidRPr="00EF5E5A">
        <w:t>Sourcing quality inputs at the right price and on time from both Australian and overseas suppliers is a constant challenge. The domestic inputs market is small compared to other industries, such as automotive, and local supp</w:t>
      </w:r>
      <w:r w:rsidR="00E4752A">
        <w:t>liers get swamped very quickly.</w:t>
      </w:r>
    </w:p>
    <w:p w14:paraId="6CD7D2A5" w14:textId="0257A3B8" w:rsidR="000E0F9E" w:rsidRDefault="00192629" w:rsidP="000E0F9E">
      <w:r w:rsidRPr="00EF5E5A">
        <w:t>There is also the economic challenge of finding funding for R&amp;D to remain competitive and to continue to develop new markets. While there are some R&amp;D incentives available, the benefits of these are only accessible if a company has a tax liability.  Further, for small businesses, the administrative burden associated with separately recording R&amp;D hours may actually prohibit smaller businesses from accessing these incentives. Nevertheless, Jabiru’s drive to innovate comes from its consumer demand for affordable, reliable and strong aircraft with low maintenance c</w:t>
      </w:r>
      <w:r w:rsidR="00E4752A">
        <w:t>osts.</w:t>
      </w:r>
    </w:p>
    <w:p w14:paraId="2BA2ABD6" w14:textId="06FCF6D3" w:rsidR="0046712D" w:rsidRDefault="0046712D" w:rsidP="00D913DA">
      <w:pPr>
        <w:pStyle w:val="Casestudysubheading"/>
        <w:spacing w:before="120" w:after="60"/>
      </w:pPr>
      <w:r w:rsidRPr="000E0F9E">
        <w:t>Current demand and an electric future</w:t>
      </w:r>
    </w:p>
    <w:p w14:paraId="6E043902" w14:textId="77777777" w:rsidR="00192629" w:rsidRDefault="00192629" w:rsidP="00D913DA">
      <w:pPr>
        <w:spacing w:before="60" w:after="60"/>
      </w:pPr>
      <w:r>
        <w:t>The Australian market is only so big</w:t>
      </w:r>
      <w:r w:rsidRPr="00F65F2D">
        <w:t>,</w:t>
      </w:r>
      <w:r>
        <w:t xml:space="preserve"> and</w:t>
      </w:r>
      <w:r w:rsidRPr="00F65F2D">
        <w:t xml:space="preserve"> Jabiru has begun to saturate the domestic aircraft market</w:t>
      </w:r>
      <w:r>
        <w:t xml:space="preserve">.  There are </w:t>
      </w:r>
      <w:r w:rsidRPr="00F65F2D">
        <w:t xml:space="preserve">over 1,000 Jabiru aircraft </w:t>
      </w:r>
      <w:r>
        <w:t xml:space="preserve">operating within </w:t>
      </w:r>
      <w:r w:rsidRPr="00F65F2D">
        <w:t>Australia</w:t>
      </w:r>
      <w:r>
        <w:t xml:space="preserve">. The business has seen sales decline over </w:t>
      </w:r>
      <w:r w:rsidRPr="00F65F2D">
        <w:t xml:space="preserve">the last 10 years. </w:t>
      </w:r>
      <w:r>
        <w:t xml:space="preserve">However, </w:t>
      </w:r>
      <w:r w:rsidRPr="00F65F2D">
        <w:t xml:space="preserve">Jabiru </w:t>
      </w:r>
      <w:r>
        <w:t xml:space="preserve">also </w:t>
      </w:r>
      <w:r w:rsidRPr="00F65F2D">
        <w:t>has a strong international presence, with exports accounting for two thirds of engine sales and</w:t>
      </w:r>
      <w:r>
        <w:t>,</w:t>
      </w:r>
      <w:r w:rsidRPr="00F65F2D">
        <w:t xml:space="preserve"> overall, 64</w:t>
      </w:r>
      <w:r>
        <w:t xml:space="preserve"> per cent</w:t>
      </w:r>
      <w:r w:rsidRPr="00F65F2D">
        <w:t xml:space="preserve"> of the business. Jabiru has around 1,000 more aircraft around the globe, with definite room to expand</w:t>
      </w:r>
      <w:r>
        <w:t xml:space="preserve"> further into the global market</w:t>
      </w:r>
      <w:r w:rsidRPr="00F65F2D">
        <w:t xml:space="preserve">, </w:t>
      </w:r>
      <w:r>
        <w:t>al</w:t>
      </w:r>
      <w:r w:rsidRPr="00F65F2D">
        <w:t xml:space="preserve">though competition is very strong. </w:t>
      </w:r>
      <w:r>
        <w:t>Recently, t</w:t>
      </w:r>
      <w:r w:rsidRPr="00F65F2D">
        <w:t>he relatively low</w:t>
      </w:r>
      <w:r>
        <w:t xml:space="preserve"> Australian dollar has helped</w:t>
      </w:r>
      <w:r w:rsidRPr="00F65F2D">
        <w:t xml:space="preserve"> bolster strong exports by allowing for competitive pricing against foreign competitors.</w:t>
      </w:r>
    </w:p>
    <w:p w14:paraId="330BE7DB" w14:textId="77777777" w:rsidR="00192629" w:rsidRPr="00F65F2D" w:rsidRDefault="00192629" w:rsidP="00192629">
      <w:r w:rsidRPr="00F65F2D">
        <w:t xml:space="preserve">As maintenance for </w:t>
      </w:r>
      <w:r>
        <w:t xml:space="preserve">the </w:t>
      </w:r>
      <w:r w:rsidRPr="00F65F2D">
        <w:t>existing Jabiru fleet is naturally increasing as it ages, there is a race towards electric powered aircraft and vertical take-off unmanned aircraft for many applications. Electric powered engines will greatly reduce the need for maintenance and hence running costs. High maintenance and fuel costs are also incentivising a pivot to battery technology</w:t>
      </w:r>
      <w:r>
        <w:t>. Battery powered aircraft are</w:t>
      </w:r>
      <w:r w:rsidRPr="00F65F2D">
        <w:t xml:space="preserve"> currently being utilised for flight training, with battery power </w:t>
      </w:r>
      <w:r>
        <w:t>well-suited to</w:t>
      </w:r>
      <w:r w:rsidRPr="00F65F2D">
        <w:t xml:space="preserve"> one hour sessions.</w:t>
      </w:r>
    </w:p>
    <w:p w14:paraId="70027621" w14:textId="7FFE12BD" w:rsidR="0046712D" w:rsidRDefault="00192629" w:rsidP="00192629">
      <w:pPr>
        <w:pStyle w:val="BodyText1"/>
        <w:sectPr w:rsidR="0046712D" w:rsidSect="00E4752A">
          <w:type w:val="continuous"/>
          <w:pgSz w:w="11906" w:h="16838"/>
          <w:pgMar w:top="1985" w:right="1440" w:bottom="1440" w:left="1440" w:header="709" w:footer="709" w:gutter="0"/>
          <w:cols w:space="708"/>
          <w:titlePg/>
          <w:docGrid w:linePitch="360"/>
        </w:sectPr>
      </w:pPr>
      <w:r w:rsidRPr="004C0BF6">
        <w:t>In the commercial sector, Jabiru’s customers include flight training schools</w:t>
      </w:r>
      <w:r>
        <w:t xml:space="preserve"> that </w:t>
      </w:r>
      <w:r w:rsidRPr="004C0BF6">
        <w:t>cater to primarily recreational and a few career pilots.</w:t>
      </w:r>
      <w:r>
        <w:t xml:space="preserve"> With the traditional aircraft sector taking a downturn, Jabiru’s </w:t>
      </w:r>
      <w:r w:rsidRPr="004C0BF6">
        <w:t xml:space="preserve">business in the domestic market is now primarily focussed on spare parts, maintenance and </w:t>
      </w:r>
      <w:r w:rsidRPr="00EF5E5A">
        <w:t xml:space="preserve">engine manufacture and supply. </w:t>
      </w:r>
      <w:r w:rsidRPr="004C0BF6">
        <w:t>Recognising the need to diversify</w:t>
      </w:r>
      <w:r>
        <w:t>,</w:t>
      </w:r>
      <w:r w:rsidRPr="004C0BF6">
        <w:t xml:space="preserve"> Jabiru has also entered the </w:t>
      </w:r>
      <w:r>
        <w:t>UAV</w:t>
      </w:r>
      <w:r w:rsidR="00397FE2">
        <w:t>s</w:t>
      </w:r>
      <w:r w:rsidRPr="004C0BF6">
        <w:t xml:space="preserve"> market, </w:t>
      </w:r>
      <w:r>
        <w:t>and de</w:t>
      </w:r>
      <w:r w:rsidRPr="004C0BF6">
        <w:t xml:space="preserve">spite </w:t>
      </w:r>
      <w:r>
        <w:t>the difficulties of dealing with some of the larger organisations in this space, Jabiru sees an opportunity to expand further into this market</w:t>
      </w:r>
      <w:r w:rsidR="00E40562">
        <w:t>.</w:t>
      </w:r>
    </w:p>
    <w:p w14:paraId="64F8F9D6" w14:textId="77777777" w:rsidR="00E40562" w:rsidRDefault="00E40562" w:rsidP="0011521D">
      <w:pPr>
        <w:pStyle w:val="CaseStudy"/>
        <w:sectPr w:rsidR="00E40562" w:rsidSect="00F22229">
          <w:headerReference w:type="first" r:id="rId71"/>
          <w:footerReference w:type="first" r:id="rId72"/>
          <w:type w:val="continuous"/>
          <w:pgSz w:w="11906" w:h="16838" w:code="9"/>
          <w:pgMar w:top="1985" w:right="1440" w:bottom="1440" w:left="1440" w:header="709" w:footer="709" w:gutter="0"/>
          <w:cols w:space="568"/>
          <w:titlePg/>
          <w:docGrid w:linePitch="360"/>
        </w:sectPr>
      </w:pPr>
    </w:p>
    <w:p w14:paraId="0BF1B080" w14:textId="19188040" w:rsidR="0046712D" w:rsidRDefault="00E40562" w:rsidP="007C7047">
      <w:pPr>
        <w:pStyle w:val="CaseStudy"/>
        <w:spacing w:after="720"/>
        <w:rPr>
          <w:noProof/>
          <w:lang w:eastAsia="en-AU"/>
        </w:rPr>
      </w:pPr>
      <w:r w:rsidRPr="00E40562">
        <w:rPr>
          <w:noProof/>
          <w:lang w:eastAsia="en-AU"/>
        </w:rPr>
        <w:lastRenderedPageBreak/>
        <w:drawing>
          <wp:anchor distT="0" distB="0" distL="114300" distR="114300" simplePos="0" relativeHeight="251860992" behindDoc="1" locked="0" layoutInCell="1" allowOverlap="1" wp14:anchorId="6B2FD3CA" wp14:editId="19D124EA">
            <wp:simplePos x="0" y="0"/>
            <wp:positionH relativeFrom="column">
              <wp:posOffset>-914400</wp:posOffset>
            </wp:positionH>
            <wp:positionV relativeFrom="paragraph">
              <wp:posOffset>-1260475</wp:posOffset>
            </wp:positionV>
            <wp:extent cx="7560000" cy="9728170"/>
            <wp:effectExtent l="0" t="0" r="3175" b="6985"/>
            <wp:wrapNone/>
            <wp:docPr id="13" name="Picture 13" descr="Case Study. Thomas Global Systems" title="Case Study. Thomas Global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560000" cy="9728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712D" w:rsidRPr="000E0F9E">
        <w:t>Thomas Global Systems</w:t>
      </w:r>
    </w:p>
    <w:p w14:paraId="26D61DEC" w14:textId="7C0C9EFF" w:rsidR="00873A1B" w:rsidRPr="004D4550" w:rsidRDefault="004B2EF6" w:rsidP="006028C6">
      <w:pPr>
        <w:pStyle w:val="CaseStudyIntro"/>
        <w:spacing w:after="120"/>
      </w:pPr>
      <w:r>
        <w:t xml:space="preserve">Thomas Global Systems </w:t>
      </w:r>
      <w:r w:rsidR="00873A1B">
        <w:t>delivers Aust</w:t>
      </w:r>
      <w:r w:rsidR="00E40562">
        <w:t xml:space="preserve">ralia’s world-renowned advanced </w:t>
      </w:r>
      <w:r w:rsidR="00873A1B">
        <w:t xml:space="preserve">manufacturing </w:t>
      </w:r>
      <w:r w:rsidR="00714914">
        <w:t xml:space="preserve">capabilities, </w:t>
      </w:r>
      <w:r w:rsidR="0071515B">
        <w:t xml:space="preserve">steered by practical innovation and </w:t>
      </w:r>
      <w:r w:rsidR="00714914">
        <w:t>a balanced business approach between defence and civil aerospace sectors</w:t>
      </w:r>
      <w:r>
        <w:t xml:space="preserve">. While </w:t>
      </w:r>
      <w:r w:rsidR="0071515B">
        <w:t>well-</w:t>
      </w:r>
      <w:r>
        <w:t>integrated into global supply chains, Thomas Global Systems echoes</w:t>
      </w:r>
      <w:r w:rsidR="00873A1B">
        <w:t xml:space="preserve"> industry wide sentiments </w:t>
      </w:r>
      <w:r w:rsidR="00714914">
        <w:t xml:space="preserve">of the need to </w:t>
      </w:r>
      <w:r w:rsidR="00A66BBC">
        <w:t>establish recognition of</w:t>
      </w:r>
      <w:r w:rsidR="001159B7">
        <w:t xml:space="preserve"> </w:t>
      </w:r>
      <w:r w:rsidR="005840FA">
        <w:t xml:space="preserve">Australian </w:t>
      </w:r>
      <w:r w:rsidR="001159B7">
        <w:t xml:space="preserve">certifications </w:t>
      </w:r>
      <w:r w:rsidR="005840FA">
        <w:t xml:space="preserve">by </w:t>
      </w:r>
      <w:r w:rsidR="00E4752A">
        <w:t>trading partners.</w:t>
      </w:r>
    </w:p>
    <w:p w14:paraId="7F46AFF0" w14:textId="1147AE36" w:rsidR="000E0F9E" w:rsidRDefault="008F2747" w:rsidP="00662A09">
      <w:pPr>
        <w:spacing w:after="60"/>
      </w:pPr>
      <w:r>
        <w:t xml:space="preserve">Thomas Global Systems is an industry leader in the design and production of electronic systems for aerospace and defence applications. The company’s journey over six decades from being the largest manufacturer of </w:t>
      </w:r>
      <w:r w:rsidRPr="004D4550">
        <w:t xml:space="preserve">cathode ray tubes </w:t>
      </w:r>
      <w:r>
        <w:t>for television sets, to an advanced manufacturer in the global civil and defence aviation sector is an Australia</w:t>
      </w:r>
      <w:r w:rsidR="00E4752A">
        <w:t>n manufacturing success story.</w:t>
      </w:r>
    </w:p>
    <w:p w14:paraId="3A45E26F" w14:textId="260C97E3" w:rsidR="00662A09" w:rsidRPr="000E0F9E" w:rsidRDefault="00662A09" w:rsidP="00D913DA">
      <w:pPr>
        <w:pStyle w:val="Casestudysubheading"/>
        <w:spacing w:before="120" w:after="60"/>
      </w:pPr>
      <w:r w:rsidRPr="000E0F9E">
        <w:t>Surviving the initial turbulence</w:t>
      </w:r>
    </w:p>
    <w:p w14:paraId="59FD4975" w14:textId="5A0CFE65" w:rsidR="000E0F9E" w:rsidRPr="00662A09" w:rsidRDefault="008F2747" w:rsidP="00D913DA">
      <w:pPr>
        <w:spacing w:before="60" w:after="60"/>
        <w:rPr>
          <w:spacing w:val="-2"/>
        </w:rPr>
      </w:pPr>
      <w:r w:rsidRPr="00662A09">
        <w:rPr>
          <w:spacing w:val="-2"/>
        </w:rPr>
        <w:t>As a new entrant in the aviation industry, Thomas Global Systems believe</w:t>
      </w:r>
      <w:r w:rsidR="00873A1B" w:rsidRPr="00662A09">
        <w:rPr>
          <w:spacing w:val="-2"/>
        </w:rPr>
        <w:t>s</w:t>
      </w:r>
      <w:r w:rsidRPr="00662A09">
        <w:rPr>
          <w:spacing w:val="-2"/>
        </w:rPr>
        <w:t xml:space="preserve"> it “stumbled through” the high quality systems and certification processes, before being able to adapt and refine its business processes. Unfortunately for Australia’s aviation sector, it does not appear to be a level playing field with regards to certifications. While Australia accepts products certified under different standards, like the United States’ Federal Aviation Administration (FAA) and Europe’s European Aviation Safety Agency (EASA), Australia’s Civil Aviation Safety Authority (CASA) certified products do not appear to have the same worldwide acceptance. For many SME’s, this has meant designing locally in Australia but undertaking most of the manufacturing overseas (like in the United States) so that they could access international certifications and, thus, an international market for their products. Having been around for a long time, Thomas Global Systems has witnessed the Australian aviation sector’s transformation in terms of expanded capabilities and increased skill levels, but notes the pressing need for harmonisation of regulations worldwide, which ultimately comes down to trade treaties, rather than work by any single regulatory body like CASA. The high standards expected in aviation </w:t>
      </w:r>
      <w:r w:rsidR="008C694E" w:rsidRPr="00662A09">
        <w:rPr>
          <w:spacing w:val="-2"/>
        </w:rPr>
        <w:t xml:space="preserve">does help businesses to </w:t>
      </w:r>
      <w:r w:rsidRPr="00662A09">
        <w:rPr>
          <w:spacing w:val="-2"/>
        </w:rPr>
        <w:t>work in other industries, and Thomas Global Systems is looking to successfully establish itself in the global aerospace ind</w:t>
      </w:r>
      <w:r w:rsidR="00E4752A">
        <w:rPr>
          <w:spacing w:val="-2"/>
        </w:rPr>
        <w:t>ustry.</w:t>
      </w:r>
    </w:p>
    <w:p w14:paraId="23B9267A" w14:textId="1105D4E3" w:rsidR="00662A09" w:rsidRPr="000E0F9E" w:rsidRDefault="00662A09" w:rsidP="00662A09">
      <w:pPr>
        <w:pStyle w:val="Casestudysubheading"/>
        <w:spacing w:before="120" w:after="60"/>
      </w:pPr>
      <w:r w:rsidRPr="000E0F9E">
        <w:t>Balanced Business Model with Innovative Solutions</w:t>
      </w:r>
    </w:p>
    <w:p w14:paraId="67207817" w14:textId="690E5158" w:rsidR="008F2747" w:rsidRPr="00EF5E5A" w:rsidRDefault="008F2747" w:rsidP="00D913DA">
      <w:pPr>
        <w:spacing w:before="60" w:after="60"/>
      </w:pPr>
      <w:r>
        <w:t xml:space="preserve">Thomas Global Systems </w:t>
      </w:r>
      <w:r w:rsidRPr="00EF5E5A">
        <w:t xml:space="preserve">adopts a unique balanced business model to leverage opportunities and mitigate risks between the </w:t>
      </w:r>
      <w:r>
        <w:t>Commercial aerospace and Defence sectors.</w:t>
      </w:r>
      <w:r w:rsidRPr="00EF5E5A">
        <w:t xml:space="preserve"> While Defence work tends to have long gestation periods with greater challenges in getting initial engagement, once contracted, Defence contracts tend to provide longer term sustainable work. Conversely, the commercial sector tends to be more dynamic with less</w:t>
      </w:r>
      <w:r w:rsidR="00DF7D23">
        <w:t xml:space="preserve"> </w:t>
      </w:r>
      <w:r w:rsidRPr="00EF5E5A">
        <w:t>barriers to entry, hence reasonably stable and prov</w:t>
      </w:r>
      <w:r w:rsidR="00E4752A">
        <w:t>iding a good base load of work.</w:t>
      </w:r>
    </w:p>
    <w:p w14:paraId="63AC01F0" w14:textId="56FB2D0A" w:rsidR="008F2747" w:rsidRPr="00EF5E5A" w:rsidRDefault="008F2747" w:rsidP="00662A09">
      <w:pPr>
        <w:spacing w:after="60"/>
      </w:pPr>
      <w:r w:rsidRPr="00EF5E5A">
        <w:t xml:space="preserve">The relationship between and across these two sectors has provided some beneficial outcomes as well as resource management challenges for the company. The two sectors have similar requirements with regards to certifications and skills sets, alongside a crossover of products. However, there can be capacity and finite engineering resource constraints as defence sales cycles tend to be much longer, while commercial aviation involves high volumes and quick engagements. </w:t>
      </w:r>
      <w:r>
        <w:t xml:space="preserve">Thomas Global Systems </w:t>
      </w:r>
      <w:r w:rsidRPr="00EF5E5A">
        <w:t xml:space="preserve">manages this work pipeline and the limited pool of resources by focussing on projects that meet the firm’s existing capacity and are complementary to </w:t>
      </w:r>
      <w:r w:rsidR="00E4752A">
        <w:t>its technology and skills sets.</w:t>
      </w:r>
    </w:p>
    <w:p w14:paraId="0EC0C1AA" w14:textId="77777777" w:rsidR="00E40562" w:rsidRDefault="00E40562" w:rsidP="00662A09">
      <w:pPr>
        <w:spacing w:after="60"/>
        <w:sectPr w:rsidR="00E40562" w:rsidSect="00E40562">
          <w:pgSz w:w="11906" w:h="16838" w:code="9"/>
          <w:pgMar w:top="1985" w:right="1440" w:bottom="1440" w:left="1440" w:header="709" w:footer="709" w:gutter="0"/>
          <w:cols w:space="568"/>
          <w:titlePg/>
          <w:docGrid w:linePitch="360"/>
        </w:sectPr>
      </w:pPr>
    </w:p>
    <w:p w14:paraId="58D3507E" w14:textId="7BE655FB" w:rsidR="008F2747" w:rsidRPr="00EF5E5A" w:rsidRDefault="00E40562" w:rsidP="00662A09">
      <w:pPr>
        <w:spacing w:after="60"/>
      </w:pPr>
      <w:r w:rsidRPr="0046712D">
        <w:rPr>
          <w:noProof/>
          <w:lang w:eastAsia="en-AU"/>
        </w:rPr>
        <w:lastRenderedPageBreak/>
        <w:drawing>
          <wp:anchor distT="0" distB="0" distL="114300" distR="114300" simplePos="0" relativeHeight="251863040" behindDoc="1" locked="0" layoutInCell="1" allowOverlap="1" wp14:anchorId="24473D13" wp14:editId="0781F58F">
            <wp:simplePos x="0" y="0"/>
            <wp:positionH relativeFrom="page">
              <wp:posOffset>-10795</wp:posOffset>
            </wp:positionH>
            <wp:positionV relativeFrom="page">
              <wp:posOffset>956401</wp:posOffset>
            </wp:positionV>
            <wp:extent cx="7560000" cy="8906400"/>
            <wp:effectExtent l="0" t="0" r="3175" b="9525"/>
            <wp:wrapNone/>
            <wp:docPr id="14" name="Picture 14" descr="Case Study Continued. Thomas Global Systems" title="Case Study Continued. Thomas Global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560000" cy="89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747" w:rsidRPr="00EF5E5A">
        <w:t xml:space="preserve">Working with critical and highly regulated items, </w:t>
      </w:r>
      <w:r w:rsidR="008F2747">
        <w:t>Thomas Global Systems</w:t>
      </w:r>
      <w:r w:rsidR="008F2747" w:rsidRPr="00EF5E5A">
        <w:t xml:space="preserve"> believes being compliant with safety standards defines its processes of delivering quality products and has helped </w:t>
      </w:r>
      <w:r w:rsidR="008F2747">
        <w:t>develop its</w:t>
      </w:r>
      <w:r w:rsidR="008F2747" w:rsidRPr="004D4550">
        <w:t xml:space="preserve"> outstanding reputation</w:t>
      </w:r>
      <w:r w:rsidR="008F2747">
        <w:t xml:space="preserve"> in the market</w:t>
      </w:r>
      <w:r w:rsidR="008F2747" w:rsidRPr="00EF5E5A">
        <w:t xml:space="preserve">. Historical performance figures and an expertise to inform engineering decisions has helped strike a balance between cost, performance and reliability. While automation of </w:t>
      </w:r>
      <w:r w:rsidR="008F2747" w:rsidRPr="003475EB">
        <w:t>manufacturing process</w:t>
      </w:r>
      <w:r w:rsidR="008F2747">
        <w:t>es</w:t>
      </w:r>
      <w:r w:rsidR="008F2747" w:rsidRPr="003475EB">
        <w:t xml:space="preserve"> </w:t>
      </w:r>
      <w:r w:rsidR="008F2747">
        <w:t>has reduced labour cost differentials, transacting in $US makes</w:t>
      </w:r>
      <w:r w:rsidR="008F2747" w:rsidRPr="003475EB">
        <w:t xml:space="preserve"> exchange rate fluctuations a crucial factor in determining Australia’s cost compet</w:t>
      </w:r>
      <w:r w:rsidR="008F2747">
        <w:t>itiveness in the export market</w:t>
      </w:r>
      <w:r w:rsidR="004B2EF6">
        <w:t xml:space="preserve"> base</w:t>
      </w:r>
    </w:p>
    <w:p w14:paraId="3DC3D8BA" w14:textId="2A9ECD00" w:rsidR="008F2747" w:rsidRDefault="008F2747" w:rsidP="00662A09">
      <w:pPr>
        <w:spacing w:after="60"/>
      </w:pPr>
      <w:r>
        <w:t xml:space="preserve">Thomas Global Systems has had an unwavering focus on </w:t>
      </w:r>
      <w:r w:rsidRPr="004D4550">
        <w:t>practical</w:t>
      </w:r>
      <w:r>
        <w:t xml:space="preserve"> innovation since its inception, corroborated by the recent launch of the </w:t>
      </w:r>
      <w:r w:rsidRPr="004D4550">
        <w:t>Electronic and Embedded Systems Innovation Hub (EESI-Hub) in New South Wales</w:t>
      </w:r>
      <w:r>
        <w:t xml:space="preserve">. </w:t>
      </w:r>
      <w:r w:rsidRPr="004D4550">
        <w:t>According to then Minister for Defence, Senator the Hon Marise Payne, “the Hub has been designed to optimise innovation, fully developing the technology concepts through to integration for applications in the commercial aerospace and defence markets</w:t>
      </w:r>
      <w:r w:rsidR="008C694E">
        <w:t>.</w:t>
      </w:r>
      <w:r w:rsidRPr="004D4550">
        <w:t>”</w:t>
      </w:r>
      <w:r w:rsidRPr="007C068F">
        <w:rPr>
          <w:rStyle w:val="SourceChar"/>
          <w:color w:val="auto"/>
          <w:vertAlign w:val="superscript"/>
        </w:rPr>
        <w:footnoteReference w:id="25"/>
      </w:r>
      <w:r w:rsidRPr="004D4550">
        <w:t xml:space="preserve"> </w:t>
      </w:r>
      <w:r>
        <w:t xml:space="preserve">Constantly evolving regulations in aviation to achieve higher safety standards are seen as extremely challenging by many, but Thomas Global Systems views this as an opportunity to innovate and </w:t>
      </w:r>
      <w:r w:rsidRPr="004D4550">
        <w:t xml:space="preserve">improve </w:t>
      </w:r>
      <w:r>
        <w:t xml:space="preserve">existing </w:t>
      </w:r>
      <w:r w:rsidRPr="004D4550">
        <w:t>product</w:t>
      </w:r>
      <w:r w:rsidR="00E4752A">
        <w:t>s.</w:t>
      </w:r>
    </w:p>
    <w:p w14:paraId="1D5E2114" w14:textId="292B426E" w:rsidR="000E0F9E" w:rsidRPr="00662A09" w:rsidRDefault="008F2747" w:rsidP="00662A09">
      <w:pPr>
        <w:spacing w:after="60"/>
        <w:rPr>
          <w:spacing w:val="-2"/>
        </w:rPr>
      </w:pPr>
      <w:r w:rsidRPr="00662A09">
        <w:rPr>
          <w:spacing w:val="-2"/>
        </w:rPr>
        <w:t>In addition, as cathode ray tubes slip into obsolescence, its use in over a third of the world’s aircraft is becoming problematic for airline operators. Recognising the need for operators to evaluate costs against performance figures, Thomas Global System’s has focussed on providing simple solutions to operators to allow them to replace these parts, rather than having to upgrade the whole system.</w:t>
      </w:r>
    </w:p>
    <w:p w14:paraId="6EBBA4DB" w14:textId="2FB04518" w:rsidR="00662A09" w:rsidRPr="000E0F9E" w:rsidRDefault="00662A09" w:rsidP="00662A09">
      <w:pPr>
        <w:pStyle w:val="Casestudysubheading"/>
        <w:spacing w:before="120" w:after="60"/>
      </w:pPr>
      <w:r w:rsidRPr="000E0F9E">
        <w:t>Regulatory Challenges</w:t>
      </w:r>
    </w:p>
    <w:p w14:paraId="562CEE72" w14:textId="77777777" w:rsidR="008F2747" w:rsidRPr="00662A09" w:rsidRDefault="008F2747" w:rsidP="00D913DA">
      <w:pPr>
        <w:spacing w:before="60" w:after="60"/>
        <w:rPr>
          <w:spacing w:val="-2"/>
        </w:rPr>
      </w:pPr>
      <w:r w:rsidRPr="00662A09">
        <w:rPr>
          <w:spacing w:val="-2"/>
        </w:rPr>
        <w:t>After successfully laying its foundation in the Australian market, Thomas Global Systems made the strategic decision to establish a presence in the United States. This was driven by a desire to capture some of the higher demand in the international commercial aviation marketplace and also by the ability to obtain US certifications due to a local presence. This setup has also enabled in consolidation of its work, with designing done in Australia and production done in close proximity to where there is demand. While Defence work is concentrated in Australia and the United States, the company has a global outreach in the commercial aviation sector, supplying its TFD-7000 Series flight displays to all Boeing 737, 757, 767 aircraft.</w:t>
      </w:r>
    </w:p>
    <w:p w14:paraId="14C47E22" w14:textId="502DBCA0" w:rsidR="008F2747" w:rsidRPr="00EF5E5A" w:rsidRDefault="008F2747" w:rsidP="00662A09">
      <w:pPr>
        <w:spacing w:after="60"/>
      </w:pPr>
      <w:r w:rsidRPr="00EF5E5A">
        <w:t xml:space="preserve">While US certification has provided Thomas Global Systems with easier access to the world market (including Australia), the company has </w:t>
      </w:r>
      <w:r>
        <w:t xml:space="preserve">expressed </w:t>
      </w:r>
      <w:r w:rsidRPr="00EF5E5A">
        <w:t>a willingness to participate more in the Australian market.  Thomas Global System’s experience with the local market – such as in sourcing quality materials and inputs locally – has been positive, with imports including only those items that are not manufactured in Australia (such as electronics, semi-conductors and LCD panels). The company indicated a desire to also certify products in Australia, if the issues surrounding mutual recognition with key international partners were to b</w:t>
      </w:r>
      <w:r w:rsidR="00E4752A">
        <w:t>e resolved.</w:t>
      </w:r>
    </w:p>
    <w:p w14:paraId="4A69F27E" w14:textId="4AD79116" w:rsidR="00E4752A" w:rsidRDefault="008F2747" w:rsidP="006D2486">
      <w:pPr>
        <w:spacing w:after="60"/>
      </w:pPr>
      <w:r>
        <w:t xml:space="preserve">In general, while Australia provides </w:t>
      </w:r>
      <w:r w:rsidR="004D41CF">
        <w:t xml:space="preserve">significant tax incentives and R&amp;D </w:t>
      </w:r>
      <w:r>
        <w:t>grants, the biggest challenge in commercial aviation lies with access to the world’s largest market – the US.  Australian companies have identified challenges, such as in the regulatory space, which makes it more difficult for Australia</w:t>
      </w:r>
      <w:r w:rsidR="00E4752A">
        <w:t>n-certified products to enter.</w:t>
      </w:r>
    </w:p>
    <w:p w14:paraId="23865B4B" w14:textId="7DE80DE4" w:rsidR="00662A09" w:rsidRPr="000E0F9E" w:rsidRDefault="00662A09" w:rsidP="00F22229">
      <w:pPr>
        <w:pStyle w:val="Casestudysubheading"/>
        <w:spacing w:before="120" w:after="60"/>
        <w:ind w:right="95"/>
      </w:pPr>
      <w:r w:rsidRPr="000E0F9E">
        <w:t>Global Connections</w:t>
      </w:r>
    </w:p>
    <w:p w14:paraId="4AF6CEBE" w14:textId="23D1E74A" w:rsidR="008F2747" w:rsidRDefault="008F2747" w:rsidP="00F22229">
      <w:pPr>
        <w:spacing w:before="60" w:after="60"/>
        <w:ind w:right="95"/>
      </w:pPr>
      <w:r>
        <w:t xml:space="preserve">Thomas Global System’s brand reputation and strong relationships with suppliers has earned it a place in the global supply chain network. While this position provides </w:t>
      </w:r>
      <w:r w:rsidRPr="004D4550">
        <w:t xml:space="preserve">access to </w:t>
      </w:r>
      <w:r>
        <w:t xml:space="preserve">demand for </w:t>
      </w:r>
      <w:r w:rsidRPr="004D4550">
        <w:t>large volumes of</w:t>
      </w:r>
      <w:r>
        <w:t xml:space="preserve"> products, there is a need </w:t>
      </w:r>
      <w:r w:rsidRPr="004D4550">
        <w:t xml:space="preserve">to </w:t>
      </w:r>
      <w:r>
        <w:t xml:space="preserve">maintain </w:t>
      </w:r>
      <w:r w:rsidRPr="004D4550">
        <w:t>global competitive</w:t>
      </w:r>
      <w:r>
        <w:t xml:space="preserve">ness, </w:t>
      </w:r>
      <w:r w:rsidRPr="004D4550">
        <w:t xml:space="preserve">especially against </w:t>
      </w:r>
      <w:r>
        <w:t xml:space="preserve">technologically advanced competitors in countries like </w:t>
      </w:r>
      <w:r w:rsidR="006066BB">
        <w:t>Germany.</w:t>
      </w:r>
    </w:p>
    <w:p w14:paraId="09B3AD36" w14:textId="77777777" w:rsidR="006D2486" w:rsidRDefault="006D2486" w:rsidP="00F22229">
      <w:pPr>
        <w:spacing w:after="60"/>
        <w:ind w:right="95"/>
      </w:pPr>
      <w:r>
        <w:br w:type="page"/>
      </w:r>
    </w:p>
    <w:p w14:paraId="79663718" w14:textId="4D08ACC9" w:rsidR="008F2747" w:rsidRDefault="006D2486" w:rsidP="00F22229">
      <w:pPr>
        <w:spacing w:after="60"/>
        <w:ind w:right="95"/>
      </w:pPr>
      <w:r w:rsidRPr="00662A09">
        <w:rPr>
          <w:noProof/>
          <w:lang w:eastAsia="en-AU"/>
        </w:rPr>
        <w:lastRenderedPageBreak/>
        <w:drawing>
          <wp:anchor distT="0" distB="0" distL="114300" distR="114300" simplePos="0" relativeHeight="251876352" behindDoc="1" locked="0" layoutInCell="1" allowOverlap="1" wp14:anchorId="60D96F63" wp14:editId="164BCC6A">
            <wp:simplePos x="0" y="0"/>
            <wp:positionH relativeFrom="page">
              <wp:posOffset>0</wp:posOffset>
            </wp:positionH>
            <wp:positionV relativeFrom="page">
              <wp:posOffset>911860</wp:posOffset>
            </wp:positionV>
            <wp:extent cx="7567200" cy="8902800"/>
            <wp:effectExtent l="0" t="0" r="0" b="0"/>
            <wp:wrapNone/>
            <wp:docPr id="227" name="Picture 227" descr="Case Study Continued. Thomas Global Systems" title="Case Study Continued. Thomas Global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4">
                      <a:extLst>
                        <a:ext uri="{28A0092B-C50C-407E-A947-70E740481C1C}">
                          <a14:useLocalDpi xmlns:a14="http://schemas.microsoft.com/office/drawing/2010/main" val="0"/>
                        </a:ext>
                      </a:extLst>
                    </a:blip>
                    <a:srcRect l="1" r="-115"/>
                    <a:stretch/>
                  </pic:blipFill>
                  <pic:spPr bwMode="auto">
                    <a:xfrm>
                      <a:off x="0" y="0"/>
                      <a:ext cx="7567200" cy="890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2747">
        <w:t>Australia’s geographic location makes the battle harder. Different time zones and t</w:t>
      </w:r>
      <w:r w:rsidR="008F2747" w:rsidRPr="004D4550">
        <w:t xml:space="preserve">he </w:t>
      </w:r>
      <w:r w:rsidR="008F2747">
        <w:t xml:space="preserve">physical </w:t>
      </w:r>
      <w:r w:rsidR="008F2747" w:rsidRPr="004D4550">
        <w:t>distance</w:t>
      </w:r>
      <w:r w:rsidR="008F2747">
        <w:t xml:space="preserve"> from bigger US and European markets puts Australian suppliers at a disadvantage. The inability to engage with Tier 1 suppliers personally</w:t>
      </w:r>
      <w:r w:rsidR="008F2747" w:rsidRPr="004D4550">
        <w:t xml:space="preserve"> </w:t>
      </w:r>
      <w:r w:rsidR="008F2747">
        <w:t>is viewed as a risk by big Original Equipment Manufacturers (OEMs), compounded by the unacceptanc</w:t>
      </w:r>
      <w:r w:rsidR="006066BB">
        <w:t>e of Australian certifications.</w:t>
      </w:r>
    </w:p>
    <w:p w14:paraId="615C9F62" w14:textId="714584D0" w:rsidR="008F2747" w:rsidRDefault="008F2747" w:rsidP="00F22229">
      <w:pPr>
        <w:spacing w:after="60"/>
        <w:ind w:right="95"/>
      </w:pPr>
      <w:r w:rsidRPr="004D4550">
        <w:t xml:space="preserve">These </w:t>
      </w:r>
      <w:r>
        <w:t xml:space="preserve">challenges </w:t>
      </w:r>
      <w:r w:rsidRPr="004D4550">
        <w:t xml:space="preserve">have not </w:t>
      </w:r>
      <w:r>
        <w:t xml:space="preserve">dampened </w:t>
      </w:r>
      <w:r w:rsidRPr="004D4550">
        <w:t>T</w:t>
      </w:r>
      <w:r>
        <w:t xml:space="preserve">homas </w:t>
      </w:r>
      <w:r w:rsidRPr="004D4550">
        <w:t>G</w:t>
      </w:r>
      <w:r>
        <w:t xml:space="preserve">lobal </w:t>
      </w:r>
      <w:r w:rsidRPr="004D4550">
        <w:t>S</w:t>
      </w:r>
      <w:r>
        <w:t xml:space="preserve">ystem’s spirits, having recently announced their </w:t>
      </w:r>
      <w:r w:rsidRPr="00EF5E5A">
        <w:t>partnership agreement with one of the largest aerospace and defence companies globally, Safran Electronics &amp; Defence.</w:t>
      </w:r>
      <w:r w:rsidRPr="007C068F">
        <w:rPr>
          <w:vertAlign w:val="superscript"/>
        </w:rPr>
        <w:footnoteReference w:id="26"/>
      </w:r>
      <w:r w:rsidRPr="004D4550">
        <w:t xml:space="preserve"> </w:t>
      </w:r>
      <w:r>
        <w:t>This strategic alliance will see Thomas Global Systems manufacture a range of Safran technologies in Australia, enhancing local capability as well as integration of supply chains to expand export opportunities. While the initial partnership centres on defence projects, there is scope to move into the com</w:t>
      </w:r>
      <w:r w:rsidR="006066BB">
        <w:t>mercial aviation space as well.</w:t>
      </w:r>
    </w:p>
    <w:p w14:paraId="395B629F" w14:textId="6CF1BEA9" w:rsidR="00E361BD" w:rsidRDefault="008F2747" w:rsidP="00F22229">
      <w:pPr>
        <w:spacing w:after="60"/>
        <w:ind w:right="95"/>
        <w:sectPr w:rsidR="00E361BD" w:rsidSect="00E40562">
          <w:pgSz w:w="11906" w:h="16838" w:code="9"/>
          <w:pgMar w:top="1985" w:right="1440" w:bottom="1440" w:left="1440" w:header="709" w:footer="709" w:gutter="0"/>
          <w:cols w:space="568"/>
          <w:titlePg/>
          <w:docGrid w:linePitch="360"/>
        </w:sectPr>
      </w:pPr>
      <w:r>
        <w:t>In the future, Thomas Global Systems wishes to see an industry shift, away from maintenance activities towards manufacturing work in commercial aviation. This is already taking shape as more companies are realising the need to be part of the global supply chain and engaging in manufacturing locally. As maintenance is becoming more centralised, there is additional pressure on Australian manufacturing capabilities to become part of the larger international companies supply chains. In the defence sector, Australia does not have capabilities to build, but as it acquires the F35s, there will be a need for domestic</w:t>
      </w:r>
      <w:r w:rsidRPr="002A03AF">
        <w:t xml:space="preserve"> maintenance </w:t>
      </w:r>
      <w:r>
        <w:t xml:space="preserve">capability.   </w:t>
      </w:r>
    </w:p>
    <w:p w14:paraId="660DBDD4" w14:textId="77777777" w:rsidR="00301B98" w:rsidRPr="00F10D07" w:rsidRDefault="00301B98" w:rsidP="0011521D">
      <w:pPr>
        <w:pStyle w:val="Heading2"/>
      </w:pPr>
      <w:bookmarkStart w:id="184" w:name="_Ref535933698"/>
      <w:bookmarkStart w:id="185" w:name="_Ref536709205"/>
      <w:bookmarkStart w:id="186" w:name="_Toc26537897"/>
      <w:r>
        <w:lastRenderedPageBreak/>
        <w:t>Economic contribution and linkages of the Aircraft Manufacturing Industry</w:t>
      </w:r>
      <w:bookmarkEnd w:id="184"/>
      <w:bookmarkEnd w:id="185"/>
      <w:bookmarkEnd w:id="186"/>
    </w:p>
    <w:p w14:paraId="38384A2B" w14:textId="77777777" w:rsidR="00301B98" w:rsidRDefault="00301B98" w:rsidP="00301B98">
      <w:pPr>
        <w:spacing w:before="0" w:after="160" w:line="259" w:lineRule="auto"/>
      </w:pPr>
      <w:r>
        <w:t xml:space="preserve">The previous section described the contribution of the </w:t>
      </w:r>
      <w:r w:rsidR="00CA07EA">
        <w:t>Aircraft Manufacturing and Repair Services</w:t>
      </w:r>
      <w:r w:rsidR="004D0916">
        <w:t xml:space="preserve"> </w:t>
      </w:r>
      <w:r>
        <w:t xml:space="preserve">industry to the Australian economy. A pure analysis of employment, expenditure and sales data provides a good understanding of the direct contribution of an industry to the </w:t>
      </w:r>
      <w:r w:rsidR="00DC7AED">
        <w:t xml:space="preserve">national </w:t>
      </w:r>
      <w:r>
        <w:t xml:space="preserve">economy, and provides some insights into how the industry supports other Australian businesses </w:t>
      </w:r>
      <w:r w:rsidRPr="009F6CBF">
        <w:t>–</w:t>
      </w:r>
      <w:r>
        <w:t xml:space="preserve"> by both providing quality products and services as inputs into other production processes, and/or by purchasing goods and services from Australian businesses.</w:t>
      </w:r>
    </w:p>
    <w:p w14:paraId="62822E35" w14:textId="77777777" w:rsidR="004D0916" w:rsidRDefault="004D0916" w:rsidP="004D0916">
      <w:pPr>
        <w:spacing w:before="0" w:after="160" w:line="259" w:lineRule="auto"/>
      </w:pPr>
      <w:r>
        <w:t xml:space="preserve">The </w:t>
      </w:r>
      <w:r w:rsidR="00555E98">
        <w:t>Aircraft Manufacturing and Repair Services</w:t>
      </w:r>
      <w:r>
        <w:t xml:space="preserve"> industry contributes to the Australian economy through direct activity such as employment and value-added</w:t>
      </w:r>
      <w:r w:rsidR="00DC1B47">
        <w:t xml:space="preserve"> (outlined in Section 3). </w:t>
      </w:r>
      <w:r>
        <w:t xml:space="preserve">These direct activities also stimulate further activity in the economy as </w:t>
      </w:r>
      <w:r w:rsidR="00555E98">
        <w:t>Aircraft Manufacturing and Repair Services</w:t>
      </w:r>
      <w:r>
        <w:t xml:space="preserve"> related businesses source their inputs from other parts of the economy, and provide their goods and services as inputs to other businesses.</w:t>
      </w:r>
    </w:p>
    <w:p w14:paraId="3733983F" w14:textId="77777777" w:rsidR="00301B98" w:rsidRDefault="004D0916" w:rsidP="004D0916">
      <w:pPr>
        <w:spacing w:before="0" w:after="160" w:line="259" w:lineRule="auto"/>
      </w:pPr>
      <w:r>
        <w:t xml:space="preserve">This means that the </w:t>
      </w:r>
      <w:r w:rsidR="00555E98">
        <w:t>Aircraft Manufacturing and Repair Services</w:t>
      </w:r>
      <w:r w:rsidR="00DC1B47">
        <w:t xml:space="preserve"> industry</w:t>
      </w:r>
      <w:r>
        <w:t xml:space="preserve"> impact</w:t>
      </w:r>
      <w:r w:rsidR="00DC1B47">
        <w:t>s</w:t>
      </w:r>
      <w:r>
        <w:t xml:space="preserve"> the </w:t>
      </w:r>
      <w:r w:rsidR="00DC1B47">
        <w:t xml:space="preserve">Australian </w:t>
      </w:r>
      <w:r>
        <w:t xml:space="preserve">economy beyond those direct </w:t>
      </w:r>
      <w:r w:rsidR="00DC1B47">
        <w:t>impacts discussed in Section</w:t>
      </w:r>
      <w:r>
        <w:t xml:space="preserve"> 3. These indirect </w:t>
      </w:r>
      <w:r w:rsidR="00555E98">
        <w:t>Aircraft Manufacturing and Repair Services</w:t>
      </w:r>
      <w:r w:rsidR="00DC1B47">
        <w:t xml:space="preserve"> industry</w:t>
      </w:r>
      <w:r>
        <w:t xml:space="preserve"> impacts </w:t>
      </w:r>
      <w:r w:rsidR="00DC1B47">
        <w:t xml:space="preserve">can </w:t>
      </w:r>
      <w:r>
        <w:t>extend across m</w:t>
      </w:r>
      <w:r w:rsidR="00DC1B47">
        <w:t xml:space="preserve">any </w:t>
      </w:r>
      <w:r>
        <w:t>industries in the economy – from manufacturing, transport, wholesale and retail trade, through to professional services, construction, and education.</w:t>
      </w:r>
    </w:p>
    <w:p w14:paraId="51647F6E" w14:textId="77777777" w:rsidR="00301B98" w:rsidRDefault="00301B98" w:rsidP="007C7047">
      <w:pPr>
        <w:pStyle w:val="Heading3"/>
        <w:spacing w:before="120" w:after="120"/>
      </w:pPr>
      <w:bookmarkStart w:id="187" w:name="_Toc536634772"/>
      <w:bookmarkStart w:id="188" w:name="_Toc536696270"/>
      <w:bookmarkStart w:id="189" w:name="_Ref535399504"/>
      <w:bookmarkStart w:id="190" w:name="_Toc26537898"/>
      <w:bookmarkEnd w:id="187"/>
      <w:bookmarkEnd w:id="188"/>
      <w:r>
        <w:t>Scenario design</w:t>
      </w:r>
      <w:bookmarkEnd w:id="189"/>
      <w:bookmarkEnd w:id="190"/>
    </w:p>
    <w:p w14:paraId="177970EF" w14:textId="4AAD994B" w:rsidR="00DC1B47" w:rsidRDefault="00DC1B47" w:rsidP="00DC1B47">
      <w:pPr>
        <w:spacing w:before="0" w:after="160" w:line="259" w:lineRule="auto"/>
      </w:pPr>
      <w:r>
        <w:t xml:space="preserve">To capture these flow-on or indirect impacts of the </w:t>
      </w:r>
      <w:r w:rsidR="00555E98">
        <w:t>Aircraft Manufacturing and Repair Services</w:t>
      </w:r>
      <w:r>
        <w:t xml:space="preserve"> industry on the economy, we investigated the impacts up and down the supply chain. To analyse these impacts, it is necessary to employ modelling techniques that can incorporate these economy-wide linkages. This study utilises an in-house Computable General Equilibrium (CGE) model to identify the linkages across the economy. A </w:t>
      </w:r>
      <w:r w:rsidR="00B01F43">
        <w:t xml:space="preserve">more </w:t>
      </w:r>
      <w:r>
        <w:t xml:space="preserve">detailed description of the modelling is available in </w:t>
      </w:r>
      <w:r w:rsidR="00191111">
        <w:t xml:space="preserve">the </w:t>
      </w:r>
      <w:r w:rsidR="002D2FAC">
        <w:t>Appendix</w:t>
      </w:r>
      <w:r w:rsidRPr="00CF5F96">
        <w:t>.</w:t>
      </w:r>
    </w:p>
    <w:p w14:paraId="28EE4FBA" w14:textId="77777777" w:rsidR="00301B98" w:rsidRDefault="00DC1B47" w:rsidP="00301B98">
      <w:pPr>
        <w:spacing w:before="0" w:after="160" w:line="259" w:lineRule="auto"/>
      </w:pPr>
      <w:r>
        <w:t xml:space="preserve">The analysis uses the direct impacts estimated in Section 3 as inputs into the modelling. </w:t>
      </w:r>
      <w:r w:rsidR="00301B98">
        <w:t>For this, the following scenarios were modelled:</w:t>
      </w:r>
    </w:p>
    <w:p w14:paraId="5975504F" w14:textId="77777777" w:rsidR="00301B98" w:rsidRDefault="00301B98" w:rsidP="00CF5F96">
      <w:pPr>
        <w:pStyle w:val="Bullet1stlevel"/>
      </w:pPr>
      <w:r>
        <w:rPr>
          <w:b/>
        </w:rPr>
        <w:t xml:space="preserve">Baseline scenario – </w:t>
      </w:r>
      <w:r>
        <w:t>The baseline for the CGE simulation is a representation of the current size and structure of the Australian economy.</w:t>
      </w:r>
    </w:p>
    <w:p w14:paraId="0496DA51" w14:textId="77B0AE5A" w:rsidR="00301B98" w:rsidRDefault="00301B98" w:rsidP="00CF5F96">
      <w:pPr>
        <w:pStyle w:val="Bullet1stlevel"/>
      </w:pPr>
      <w:r>
        <w:rPr>
          <w:b/>
        </w:rPr>
        <w:t xml:space="preserve">Industry scenario – </w:t>
      </w:r>
      <w:r>
        <w:t xml:space="preserve">This scenario </w:t>
      </w:r>
      <w:r w:rsidR="00DC1B47">
        <w:t xml:space="preserve">investigates a scenario where there is </w:t>
      </w:r>
      <w:r>
        <w:t xml:space="preserve">increased </w:t>
      </w:r>
      <w:r w:rsidR="00DC1B47">
        <w:t xml:space="preserve">activity in </w:t>
      </w:r>
      <w:r>
        <w:t xml:space="preserve">the </w:t>
      </w:r>
      <w:r w:rsidR="00CA07EA">
        <w:t>Aircraft Manufacturing and Repair Services</w:t>
      </w:r>
      <w:r w:rsidR="00AF1EDC">
        <w:t xml:space="preserve"> </w:t>
      </w:r>
      <w:r w:rsidR="006066BB">
        <w:t>industry.</w:t>
      </w:r>
    </w:p>
    <w:p w14:paraId="2A421351" w14:textId="1F67B334" w:rsidR="00301B98" w:rsidRPr="006324EB" w:rsidRDefault="00301B98" w:rsidP="00CF5F96">
      <w:pPr>
        <w:pStyle w:val="Bodyafterbullet"/>
      </w:pPr>
      <w:r>
        <w:t xml:space="preserve">The difference between the Industry Scenario and the Baseline Scenario </w:t>
      </w:r>
      <w:r w:rsidR="00B01F43">
        <w:t xml:space="preserve">can be extrapolated to </w:t>
      </w:r>
      <w:r>
        <w:t xml:space="preserve">estimate the </w:t>
      </w:r>
      <w:r w:rsidR="00B01F43">
        <w:t xml:space="preserve">current </w:t>
      </w:r>
      <w:r>
        <w:t xml:space="preserve">economic contribution of the </w:t>
      </w:r>
      <w:r w:rsidR="00CA07EA">
        <w:t>Aircraft Manufacturing and Repair Services</w:t>
      </w:r>
      <w:r w:rsidR="00AF1EDC">
        <w:t xml:space="preserve"> </w:t>
      </w:r>
      <w:r w:rsidR="006066BB">
        <w:t>industry.</w:t>
      </w:r>
    </w:p>
    <w:p w14:paraId="43EBE59D" w14:textId="77777777" w:rsidR="00301B98" w:rsidRDefault="00301B98" w:rsidP="00E361BD">
      <w:pPr>
        <w:pStyle w:val="BodyText1"/>
        <w:rPr>
          <w:rFonts w:eastAsiaTheme="majorEastAsia" w:cstheme="majorBidi"/>
          <w:color w:val="0091DA" w:themeColor="accent2"/>
          <w:sz w:val="36"/>
          <w:szCs w:val="40"/>
        </w:rPr>
      </w:pPr>
      <w:r w:rsidRPr="00F979B0">
        <w:t xml:space="preserve">The scenario is modelled at the national level, although in practice, </w:t>
      </w:r>
      <w:r w:rsidRPr="00A27873">
        <w:t>industry enterprises are concentrated in New South Wales, Queensland and Victoria</w:t>
      </w:r>
      <w:r w:rsidRPr="005C5D5E">
        <w:t>. Despite the geographic dispersion of</w:t>
      </w:r>
      <w:r w:rsidRPr="00A27873">
        <w:t xml:space="preserve"> industry enterprises</w:t>
      </w:r>
      <w:r w:rsidRPr="005C5D5E">
        <w:t xml:space="preserve">, modelling the </w:t>
      </w:r>
      <w:r w:rsidRPr="00A27873">
        <w:t>industry</w:t>
      </w:r>
      <w:r w:rsidRPr="00F979B0">
        <w:t xml:space="preserve"> at the national level adequately captures its </w:t>
      </w:r>
      <w:r w:rsidRPr="00A27873">
        <w:t>contribution to the nation</w:t>
      </w:r>
      <w:r w:rsidRPr="005C5D5E">
        <w:t xml:space="preserve"> as a whole.</w:t>
      </w:r>
      <w:r>
        <w:br w:type="page"/>
      </w:r>
    </w:p>
    <w:p w14:paraId="4BD4940C" w14:textId="77777777" w:rsidR="00301B98" w:rsidRPr="008B3D08" w:rsidRDefault="00301B98" w:rsidP="0011521D">
      <w:pPr>
        <w:pStyle w:val="Heading3"/>
      </w:pPr>
      <w:bookmarkStart w:id="191" w:name="_Toc26537899"/>
      <w:r>
        <w:lastRenderedPageBreak/>
        <w:t>Results</w:t>
      </w:r>
      <w:bookmarkEnd w:id="191"/>
    </w:p>
    <w:p w14:paraId="35406C4C" w14:textId="438DB965" w:rsidR="00301B98" w:rsidRDefault="00301B98" w:rsidP="00301B98">
      <w:pPr>
        <w:spacing w:before="0" w:after="160" w:line="259" w:lineRule="auto"/>
      </w:pPr>
      <w:r>
        <w:t xml:space="preserve">Set out below are the </w:t>
      </w:r>
      <w:r w:rsidR="00B01F43">
        <w:t xml:space="preserve">estimated </w:t>
      </w:r>
      <w:r>
        <w:t xml:space="preserve">economic impacts of the increased </w:t>
      </w:r>
      <w:r w:rsidR="00B01F43">
        <w:t xml:space="preserve">activity in </w:t>
      </w:r>
      <w:r>
        <w:t xml:space="preserve">the </w:t>
      </w:r>
      <w:r w:rsidR="00CA07EA">
        <w:t>Aircraft Manufacturing and Repair Services</w:t>
      </w:r>
      <w:r w:rsidR="00AF1EDC">
        <w:t xml:space="preserve"> </w:t>
      </w:r>
      <w:r>
        <w:t xml:space="preserve">industry, modelled using KPMG–CGE according to the scenario described </w:t>
      </w:r>
      <w:r w:rsidR="00B01F43">
        <w:t>above</w:t>
      </w:r>
      <w:r w:rsidR="006066BB">
        <w:t>.</w:t>
      </w:r>
    </w:p>
    <w:p w14:paraId="03877495" w14:textId="77777777" w:rsidR="00301B98" w:rsidRPr="0011521D" w:rsidRDefault="00301B98" w:rsidP="00AF04CA">
      <w:pPr>
        <w:pStyle w:val="Heading4"/>
      </w:pPr>
      <w:r w:rsidRPr="0011521D">
        <w:t>Macroeconomic impacts</w:t>
      </w:r>
    </w:p>
    <w:p w14:paraId="7E902ADA" w14:textId="77777777" w:rsidR="00002459" w:rsidRDefault="00002459" w:rsidP="00002459">
      <w:pPr>
        <w:spacing w:before="0" w:after="160" w:line="259" w:lineRule="auto"/>
      </w:pPr>
      <w:r>
        <w:t xml:space="preserve">The presence and activity of the </w:t>
      </w:r>
      <w:r w:rsidR="00555E98">
        <w:t>Aircraft Manufacturing and Repair Services</w:t>
      </w:r>
      <w:r>
        <w:t xml:space="preserve"> industry in Australia generates significant economic benefit for the economy. The impact of the industry’s activity on Australia GDP and employment is summarised in </w:t>
      </w:r>
      <w:r>
        <w:fldChar w:fldCharType="begin"/>
      </w:r>
      <w:r>
        <w:instrText xml:space="preserve"> REF _Ref535399618 \h </w:instrText>
      </w:r>
      <w:r>
        <w:fldChar w:fldCharType="separate"/>
      </w:r>
      <w:r w:rsidR="00980A78">
        <w:t xml:space="preserve">Figure </w:t>
      </w:r>
      <w:r w:rsidR="00980A78">
        <w:rPr>
          <w:noProof/>
        </w:rPr>
        <w:t>23</w:t>
      </w:r>
      <w:r>
        <w:fldChar w:fldCharType="end"/>
      </w:r>
      <w:r>
        <w:t xml:space="preserve">. Impacts are reported in 2017-18 </w:t>
      </w:r>
      <w:r w:rsidR="00C85A7D">
        <w:t>dollars</w:t>
      </w:r>
      <w:r>
        <w:t>.</w:t>
      </w:r>
    </w:p>
    <w:p w14:paraId="7BC8EC45" w14:textId="4DE567B5" w:rsidR="00002459" w:rsidRDefault="00002459" w:rsidP="00002459">
      <w:pPr>
        <w:spacing w:before="0" w:after="160" w:line="259" w:lineRule="auto"/>
      </w:pPr>
      <w:r>
        <w:t>The KPMG-CGE analysis indicates the industry currently contributes around $2.9 billion to real GDP.  Of this, there is $1.9 billion in household consumption and $2.1 billion in investment related to activities stimulated up and down the industry’s supply chain. By stimulating additional domestic activity, some resources are drawn away from trade exposed sectors (i.e., export oriented sectors of the economy and sectors that produce commodities that compete with imports). This means that net exports are $1.1 billion lower as a result of this industries activit</w:t>
      </w:r>
      <w:r w:rsidR="006066BB">
        <w:t>ies.</w:t>
      </w:r>
    </w:p>
    <w:p w14:paraId="661D15AA" w14:textId="77777777" w:rsidR="00301B98" w:rsidRDefault="00301B98" w:rsidP="00DF7D23">
      <w:pPr>
        <w:pStyle w:val="Caption"/>
      </w:pPr>
      <w:bookmarkStart w:id="192" w:name="_Ref535399618"/>
      <w:r>
        <w:t xml:space="preserve">Figure </w:t>
      </w:r>
      <w:r>
        <w:fldChar w:fldCharType="begin"/>
      </w:r>
      <w:r>
        <w:instrText xml:space="preserve"> SEQ Figure \* ARABIC </w:instrText>
      </w:r>
      <w:r>
        <w:fldChar w:fldCharType="separate"/>
      </w:r>
      <w:r w:rsidR="00980A78">
        <w:t>23</w:t>
      </w:r>
      <w:r>
        <w:fldChar w:fldCharType="end"/>
      </w:r>
      <w:bookmarkEnd w:id="192"/>
      <w:r>
        <w:t>: Macroeconomic impacts on the Australian economy</w:t>
      </w:r>
    </w:p>
    <w:p w14:paraId="04D50BAE" w14:textId="77777777" w:rsidR="00301B98" w:rsidRDefault="006B174E" w:rsidP="00301B98">
      <w:pPr>
        <w:spacing w:before="0" w:after="160" w:line="259" w:lineRule="auto"/>
        <w:jc w:val="center"/>
      </w:pPr>
      <w:r w:rsidRPr="006B174E">
        <w:rPr>
          <w:noProof/>
          <w:lang w:eastAsia="en-AU"/>
        </w:rPr>
        <w:t xml:space="preserve"> </w:t>
      </w:r>
      <w:r w:rsidR="00002459">
        <w:rPr>
          <w:noProof/>
          <w:lang w:eastAsia="en-AU"/>
        </w:rPr>
        <w:drawing>
          <wp:inline distT="0" distB="0" distL="0" distR="0" wp14:anchorId="5C613BFB" wp14:editId="2AD78FD0">
            <wp:extent cx="4658360" cy="2687320"/>
            <wp:effectExtent l="0" t="0" r="0" b="0"/>
            <wp:docPr id="240" name="Chart 240" descr="Figure 23: Macroeconomic impacts on the Australian economy"/>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00301B98" w:rsidRPr="00916F20" w:rsidDel="00293663">
        <w:t xml:space="preserve"> </w:t>
      </w:r>
    </w:p>
    <w:p w14:paraId="7C2DBB6B" w14:textId="77777777" w:rsidR="00301B98" w:rsidRDefault="00301B98" w:rsidP="00DF7D23">
      <w:pPr>
        <w:pStyle w:val="Source"/>
      </w:pPr>
      <w:r>
        <w:t>Source: KPMG</w:t>
      </w:r>
      <w:r w:rsidRPr="00570028">
        <w:t>–</w:t>
      </w:r>
      <w:r>
        <w:t>CGE simulation</w:t>
      </w:r>
    </w:p>
    <w:p w14:paraId="017BF455" w14:textId="77777777" w:rsidR="00002459" w:rsidRDefault="00002459" w:rsidP="007C068F">
      <w:pPr>
        <w:pStyle w:val="Bodyafterbullet"/>
      </w:pPr>
      <w:r>
        <w:t>Overall, each year, the industry contributes directly and indirectly around $2.9 billion to real GDP and supports 18,285 jobs.</w:t>
      </w:r>
    </w:p>
    <w:p w14:paraId="0B59091E" w14:textId="77777777" w:rsidR="00301B98" w:rsidRDefault="00301B98" w:rsidP="00DF7D23">
      <w:pPr>
        <w:pStyle w:val="Caption"/>
      </w:pPr>
      <w:r>
        <w:t xml:space="preserve">Table </w:t>
      </w:r>
      <w:r>
        <w:fldChar w:fldCharType="begin"/>
      </w:r>
      <w:r>
        <w:instrText xml:space="preserve"> SEQ Table \* ARABIC </w:instrText>
      </w:r>
      <w:r>
        <w:fldChar w:fldCharType="separate"/>
      </w:r>
      <w:r w:rsidR="00980A78">
        <w:t>1</w:t>
      </w:r>
      <w:r>
        <w:fldChar w:fldCharType="end"/>
      </w:r>
      <w:r w:rsidR="00C54DBF">
        <w:t xml:space="preserve">: </w:t>
      </w:r>
      <w:r>
        <w:t xml:space="preserve">Summary of economic impacts of the </w:t>
      </w:r>
      <w:r w:rsidR="00555E98">
        <w:t>Aircraft Manufacturing and Repair Services</w:t>
      </w:r>
      <w:r w:rsidR="00AF1EDC">
        <w:t xml:space="preserve"> </w:t>
      </w:r>
      <w:r>
        <w:t>industry on the Australian economy</w:t>
      </w:r>
    </w:p>
    <w:tbl>
      <w:tblPr>
        <w:tblStyle w:val="ListTable3-Accent2"/>
        <w:tblW w:w="5000" w:type="pct"/>
        <w:jc w:val="center"/>
        <w:tblBorders>
          <w:top w:val="none" w:sz="0" w:space="0" w:color="auto"/>
          <w:left w:val="none" w:sz="0" w:space="0" w:color="auto"/>
          <w:bottom w:val="none" w:sz="0" w:space="0" w:color="auto"/>
          <w:right w:val="none" w:sz="0" w:space="0" w:color="auto"/>
          <w:insideH w:val="single" w:sz="2" w:space="0" w:color="D9D9D9" w:themeColor="background1" w:themeShade="D9"/>
        </w:tblBorders>
        <w:tblLook w:val="04A0" w:firstRow="1" w:lastRow="0" w:firstColumn="1" w:lastColumn="0" w:noHBand="0" w:noVBand="1"/>
        <w:tblCaption w:val="Summary of economic impacts of the Aircraft Manufacturing and Repair Services industry on the Australian economy"/>
        <w:tblDescription w:val="Summary of economic impacts of the Aircraft Manufacturing and Repair Services industry on the Australian economy"/>
      </w:tblPr>
      <w:tblGrid>
        <w:gridCol w:w="6482"/>
        <w:gridCol w:w="2544"/>
      </w:tblGrid>
      <w:tr w:rsidR="00002459" w:rsidRPr="0085735F" w14:paraId="44D4F739" w14:textId="77777777" w:rsidTr="008C2567">
        <w:trPr>
          <w:cnfStyle w:val="100000000000" w:firstRow="1" w:lastRow="0" w:firstColumn="0" w:lastColumn="0" w:oddVBand="0" w:evenVBand="0" w:oddHBand="0" w:evenHBand="0" w:firstRowFirstColumn="0" w:firstRowLastColumn="0" w:lastRowFirstColumn="0" w:lastRowLastColumn="0"/>
          <w:trHeight w:val="341"/>
          <w:tblHeader/>
          <w:jc w:val="center"/>
        </w:trPr>
        <w:tc>
          <w:tcPr>
            <w:cnfStyle w:val="001000000100" w:firstRow="0" w:lastRow="0" w:firstColumn="1" w:lastColumn="0" w:oddVBand="0" w:evenVBand="0" w:oddHBand="0" w:evenHBand="0" w:firstRowFirstColumn="1" w:firstRowLastColumn="0" w:lastRowFirstColumn="0" w:lastRowLastColumn="0"/>
            <w:tcW w:w="3591" w:type="pct"/>
            <w:tcBorders>
              <w:bottom w:val="none" w:sz="0" w:space="0" w:color="auto"/>
              <w:right w:val="none" w:sz="0" w:space="0" w:color="auto"/>
            </w:tcBorders>
            <w:noWrap/>
            <w:vAlign w:val="center"/>
          </w:tcPr>
          <w:p w14:paraId="71BF8C21" w14:textId="77777777" w:rsidR="00002459" w:rsidRPr="0085735F" w:rsidRDefault="004F5E21" w:rsidP="00826F1D">
            <w:pPr>
              <w:spacing w:before="0" w:after="0"/>
              <w:rPr>
                <w:rFonts w:eastAsia="Times New Roman" w:cs="Arial"/>
                <w:bCs w:val="0"/>
                <w:sz w:val="18"/>
                <w:szCs w:val="16"/>
                <w:lang w:eastAsia="en-AU"/>
              </w:rPr>
            </w:pPr>
            <w:r w:rsidRPr="0085735F">
              <w:rPr>
                <w:rFonts w:eastAsia="Times New Roman" w:cs="Arial"/>
                <w:sz w:val="18"/>
                <w:szCs w:val="16"/>
                <w:lang w:eastAsia="en-AU"/>
              </w:rPr>
              <w:t>Economic measure</w:t>
            </w:r>
          </w:p>
        </w:tc>
        <w:tc>
          <w:tcPr>
            <w:tcW w:w="1409" w:type="pct"/>
            <w:noWrap/>
            <w:vAlign w:val="center"/>
          </w:tcPr>
          <w:p w14:paraId="5C6FB739" w14:textId="77777777" w:rsidR="00002459" w:rsidRPr="0085735F" w:rsidRDefault="00002459" w:rsidP="00826F1D">
            <w:pPr>
              <w:spacing w:before="0" w:after="0"/>
              <w:cnfStyle w:val="100000000000" w:firstRow="1" w:lastRow="0" w:firstColumn="0" w:lastColumn="0" w:oddVBand="0" w:evenVBand="0" w:oddHBand="0" w:evenHBand="0" w:firstRowFirstColumn="0" w:firstRowLastColumn="0" w:lastRowFirstColumn="0" w:lastRowLastColumn="0"/>
              <w:rPr>
                <w:rFonts w:eastAsia="Times New Roman" w:cs="Arial"/>
                <w:color w:val="000000"/>
                <w:sz w:val="18"/>
                <w:szCs w:val="16"/>
                <w:lang w:eastAsia="en-AU"/>
              </w:rPr>
            </w:pPr>
          </w:p>
        </w:tc>
      </w:tr>
      <w:tr w:rsidR="004F5E21" w:rsidRPr="0085735F" w14:paraId="5F91F968" w14:textId="77777777" w:rsidTr="00826F1D">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3591" w:type="pct"/>
            <w:tcBorders>
              <w:top w:val="none" w:sz="0" w:space="0" w:color="auto"/>
              <w:bottom w:val="single" w:sz="2" w:space="0" w:color="D9D9D9" w:themeColor="background1" w:themeShade="D9"/>
              <w:right w:val="none" w:sz="0" w:space="0" w:color="auto"/>
            </w:tcBorders>
            <w:noWrap/>
            <w:vAlign w:val="center"/>
          </w:tcPr>
          <w:p w14:paraId="391D26AA" w14:textId="77777777" w:rsidR="00B44486" w:rsidRPr="0085735F" w:rsidRDefault="004F5E21" w:rsidP="00826F1D">
            <w:pPr>
              <w:spacing w:before="0" w:after="0"/>
              <w:rPr>
                <w:rFonts w:eastAsia="Times New Roman" w:cs="Arial"/>
                <w:b w:val="0"/>
                <w:sz w:val="18"/>
                <w:szCs w:val="16"/>
                <w:lang w:eastAsia="en-AU"/>
              </w:rPr>
            </w:pPr>
            <w:r w:rsidRPr="0085735F">
              <w:rPr>
                <w:rFonts w:eastAsia="Times New Roman" w:cs="Arial"/>
                <w:b w:val="0"/>
                <w:sz w:val="18"/>
                <w:szCs w:val="16"/>
                <w:lang w:eastAsia="en-AU"/>
              </w:rPr>
              <w:t>Real GDP (millions of dollars</w:t>
            </w:r>
            <w:r w:rsidR="00B44486" w:rsidRPr="0085735F">
              <w:rPr>
                <w:rFonts w:eastAsia="Times New Roman" w:cs="Arial"/>
                <w:b w:val="0"/>
                <w:sz w:val="18"/>
                <w:szCs w:val="16"/>
                <w:lang w:eastAsia="en-AU"/>
              </w:rPr>
              <w:t>)</w:t>
            </w:r>
          </w:p>
        </w:tc>
        <w:tc>
          <w:tcPr>
            <w:tcW w:w="1409" w:type="pct"/>
            <w:tcBorders>
              <w:top w:val="none" w:sz="0" w:space="0" w:color="auto"/>
              <w:bottom w:val="single" w:sz="2" w:space="0" w:color="D9D9D9" w:themeColor="background1" w:themeShade="D9"/>
            </w:tcBorders>
            <w:noWrap/>
            <w:vAlign w:val="center"/>
          </w:tcPr>
          <w:p w14:paraId="2E61233F" w14:textId="77777777" w:rsidR="004F5E21" w:rsidRPr="0085735F" w:rsidRDefault="004F5E21" w:rsidP="00826F1D">
            <w:pPr>
              <w:spacing w:before="0" w:after="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6"/>
                <w:lang w:eastAsia="en-AU"/>
              </w:rPr>
            </w:pPr>
            <w:r w:rsidRPr="0085735F">
              <w:rPr>
                <w:rFonts w:eastAsia="Times New Roman" w:cs="Arial"/>
                <w:color w:val="000000"/>
                <w:sz w:val="18"/>
                <w:szCs w:val="16"/>
                <w:lang w:eastAsia="en-AU"/>
              </w:rPr>
              <w:t>$2.9 billion</w:t>
            </w:r>
          </w:p>
        </w:tc>
      </w:tr>
      <w:tr w:rsidR="004F5E21" w:rsidRPr="0085735F" w14:paraId="7B97CDDF" w14:textId="77777777" w:rsidTr="00826F1D">
        <w:trPr>
          <w:trHeight w:val="341"/>
          <w:jc w:val="center"/>
        </w:trPr>
        <w:tc>
          <w:tcPr>
            <w:cnfStyle w:val="001000000000" w:firstRow="0" w:lastRow="0" w:firstColumn="1" w:lastColumn="0" w:oddVBand="0" w:evenVBand="0" w:oddHBand="0" w:evenHBand="0" w:firstRowFirstColumn="0" w:firstRowLastColumn="0" w:lastRowFirstColumn="0" w:lastRowLastColumn="0"/>
            <w:tcW w:w="3591" w:type="pct"/>
            <w:tcBorders>
              <w:top w:val="single" w:sz="2" w:space="0" w:color="D9D9D9" w:themeColor="background1" w:themeShade="D9"/>
              <w:bottom w:val="single" w:sz="2" w:space="0" w:color="D9D9D9" w:themeColor="background1" w:themeShade="D9"/>
              <w:right w:val="none" w:sz="0" w:space="0" w:color="auto"/>
            </w:tcBorders>
            <w:noWrap/>
            <w:vAlign w:val="center"/>
            <w:hideMark/>
          </w:tcPr>
          <w:p w14:paraId="7E19FC98" w14:textId="77777777" w:rsidR="004F5E21" w:rsidRPr="0085735F" w:rsidRDefault="004F5E21" w:rsidP="00826F1D">
            <w:pPr>
              <w:spacing w:before="0" w:after="0"/>
              <w:rPr>
                <w:rFonts w:eastAsia="Times New Roman" w:cs="Arial"/>
                <w:b w:val="0"/>
                <w:bCs w:val="0"/>
                <w:sz w:val="18"/>
                <w:szCs w:val="16"/>
                <w:lang w:eastAsia="en-AU"/>
              </w:rPr>
            </w:pPr>
            <w:r w:rsidRPr="0085735F">
              <w:rPr>
                <w:rFonts w:eastAsia="Times New Roman" w:cs="Arial"/>
                <w:b w:val="0"/>
                <w:sz w:val="18"/>
                <w:szCs w:val="16"/>
                <w:lang w:eastAsia="en-AU"/>
              </w:rPr>
              <w:t>Employment (persons)</w:t>
            </w:r>
          </w:p>
        </w:tc>
        <w:tc>
          <w:tcPr>
            <w:tcW w:w="1409" w:type="pct"/>
            <w:tcBorders>
              <w:top w:val="single" w:sz="2" w:space="0" w:color="D9D9D9" w:themeColor="background1" w:themeShade="D9"/>
              <w:bottom w:val="single" w:sz="2" w:space="0" w:color="D9D9D9" w:themeColor="background1" w:themeShade="D9"/>
            </w:tcBorders>
            <w:noWrap/>
            <w:vAlign w:val="center"/>
            <w:hideMark/>
          </w:tcPr>
          <w:p w14:paraId="45FC500D" w14:textId="77777777" w:rsidR="004F5E21" w:rsidRPr="0085735F" w:rsidRDefault="004F5E21" w:rsidP="00826F1D">
            <w:pPr>
              <w:spacing w:before="0" w:after="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6"/>
                <w:lang w:eastAsia="en-AU"/>
              </w:rPr>
            </w:pPr>
            <w:r w:rsidRPr="0085735F">
              <w:rPr>
                <w:rFonts w:eastAsia="Times New Roman" w:cs="Arial"/>
                <w:color w:val="000000"/>
                <w:sz w:val="18"/>
                <w:szCs w:val="16"/>
                <w:lang w:eastAsia="en-AU"/>
              </w:rPr>
              <w:t>18,285</w:t>
            </w:r>
          </w:p>
        </w:tc>
      </w:tr>
    </w:tbl>
    <w:p w14:paraId="09C1EB56" w14:textId="77777777" w:rsidR="00301B98" w:rsidRDefault="00301B98" w:rsidP="00301B98">
      <w:pPr>
        <w:spacing w:before="0" w:after="160" w:line="259" w:lineRule="auto"/>
        <w:rPr>
          <w:b/>
          <w:color w:val="00338D"/>
          <w:sz w:val="24"/>
        </w:rPr>
      </w:pPr>
      <w:r>
        <w:t xml:space="preserve"> </w:t>
      </w:r>
      <w:r>
        <w:br w:type="page"/>
      </w:r>
    </w:p>
    <w:p w14:paraId="6F6DF783" w14:textId="77777777" w:rsidR="00301B98" w:rsidRPr="002624EB" w:rsidRDefault="00301B98" w:rsidP="00AF04CA">
      <w:pPr>
        <w:pStyle w:val="Heading4"/>
      </w:pPr>
      <w:r w:rsidRPr="002624EB">
        <w:lastRenderedPageBreak/>
        <w:t>Broader industry impacts</w:t>
      </w:r>
    </w:p>
    <w:p w14:paraId="68BD6269" w14:textId="77777777" w:rsidR="00301B98" w:rsidRDefault="00301B98" w:rsidP="00301B98">
      <w:pPr>
        <w:spacing w:before="0" w:after="160" w:line="259" w:lineRule="auto"/>
      </w:pPr>
      <w:r>
        <w:t xml:space="preserve">The </w:t>
      </w:r>
      <w:r w:rsidR="00555E98">
        <w:t>Aircraft Manufacturing and Repair Services</w:t>
      </w:r>
      <w:r w:rsidR="00AF1EDC">
        <w:t xml:space="preserve"> </w:t>
      </w:r>
      <w:r>
        <w:t xml:space="preserve">industry has varied impacts on upstream and downstream industries. </w:t>
      </w:r>
      <w:r w:rsidR="00CA1EDC">
        <w:fldChar w:fldCharType="begin"/>
      </w:r>
      <w:r w:rsidR="00CA1EDC">
        <w:instrText xml:space="preserve"> REF _Ref535399723 \h </w:instrText>
      </w:r>
      <w:r w:rsidR="00CA1EDC">
        <w:fldChar w:fldCharType="separate"/>
      </w:r>
      <w:r w:rsidR="00980A78">
        <w:t xml:space="preserve">Figure </w:t>
      </w:r>
      <w:r w:rsidR="00980A78">
        <w:rPr>
          <w:noProof/>
        </w:rPr>
        <w:t>24</w:t>
      </w:r>
      <w:r w:rsidR="00CA1EDC">
        <w:fldChar w:fldCharType="end"/>
      </w:r>
      <w:r w:rsidR="00E30526">
        <w:t xml:space="preserve"> </w:t>
      </w:r>
      <w:r>
        <w:t xml:space="preserve">shows the impacts across industry sectors as a deviation from the baseline economy. </w:t>
      </w:r>
    </w:p>
    <w:p w14:paraId="44753FDE" w14:textId="77777777" w:rsidR="00014541" w:rsidRDefault="00301B98" w:rsidP="00DF7D23">
      <w:pPr>
        <w:pStyle w:val="Caption"/>
      </w:pPr>
      <w:bookmarkStart w:id="193" w:name="_Ref535399723"/>
      <w:r>
        <w:t xml:space="preserve">Figure </w:t>
      </w:r>
      <w:r>
        <w:fldChar w:fldCharType="begin"/>
      </w:r>
      <w:r>
        <w:instrText xml:space="preserve"> SEQ Figure \* ARABIC </w:instrText>
      </w:r>
      <w:r>
        <w:fldChar w:fldCharType="separate"/>
      </w:r>
      <w:r w:rsidR="00980A78">
        <w:t>24</w:t>
      </w:r>
      <w:r>
        <w:fldChar w:fldCharType="end"/>
      </w:r>
      <w:bookmarkEnd w:id="193"/>
      <w:r>
        <w:t xml:space="preserve">: Annual industry value added impact </w:t>
      </w:r>
      <w:r w:rsidR="00014541">
        <w:t>($ million change from baseline)</w:t>
      </w:r>
    </w:p>
    <w:p w14:paraId="61200CCD" w14:textId="77777777" w:rsidR="000B14E1" w:rsidRPr="00CF5F96" w:rsidRDefault="00014541" w:rsidP="00CF5F96">
      <w:r w:rsidDel="00014541">
        <w:t xml:space="preserve"> </w:t>
      </w:r>
      <w:r w:rsidR="000B14E1">
        <w:rPr>
          <w:i/>
          <w:iCs/>
          <w:noProof/>
          <w:lang w:eastAsia="en-AU"/>
        </w:rPr>
        <w:drawing>
          <wp:inline distT="0" distB="0" distL="0" distR="0" wp14:anchorId="50777FE7" wp14:editId="2AB4E4B2">
            <wp:extent cx="5399405" cy="5464628"/>
            <wp:effectExtent l="0" t="0" r="0" b="3175"/>
            <wp:docPr id="244" name="Chart 244" descr="Figure 24: Annual industry value added impact ($ million change from baseline)"/>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597F68E" w14:textId="77777777" w:rsidR="00301B98" w:rsidRDefault="00301B98" w:rsidP="00DF7D23">
      <w:pPr>
        <w:pStyle w:val="Source"/>
      </w:pPr>
      <w:r>
        <w:t>Source: KPMG</w:t>
      </w:r>
      <w:r w:rsidRPr="00570028">
        <w:t>–</w:t>
      </w:r>
      <w:r>
        <w:t>CGE simulation</w:t>
      </w:r>
    </w:p>
    <w:p w14:paraId="51DA7682" w14:textId="291126AF" w:rsidR="00002459" w:rsidRDefault="00002459" w:rsidP="007C068F">
      <w:pPr>
        <w:pStyle w:val="Bodyafterbullet"/>
      </w:pPr>
      <w:r>
        <w:t xml:space="preserve">The dominant contribution in industry value added, as expected, is from manufacturing. There is a slight decline in the industries in sectors exposed to international competition, e.g., agricultural, mining, other manufacturing, and accommodation and food services. This reflects the shifting of resources from those sectors to the </w:t>
      </w:r>
      <w:r w:rsidR="00555E98">
        <w:t>Aircraft Manufacturing and Repair Services</w:t>
      </w:r>
      <w:r>
        <w:t xml:space="preserve"> industry, construction sectors and other key suppliers to the </w:t>
      </w:r>
      <w:r w:rsidR="00555E98">
        <w:t>Aircraft Manufacturing and Repair Services</w:t>
      </w:r>
      <w:r>
        <w:t xml:space="preserve"> industri</w:t>
      </w:r>
      <w:r w:rsidR="006066BB">
        <w:t>es supply chain and employees.</w:t>
      </w:r>
    </w:p>
    <w:p w14:paraId="450139A9" w14:textId="77777777" w:rsidR="004906AA" w:rsidRDefault="004906AA">
      <w:pPr>
        <w:spacing w:before="0" w:after="160" w:line="259" w:lineRule="auto"/>
      </w:pPr>
      <w:r>
        <w:br w:type="page"/>
      </w:r>
    </w:p>
    <w:p w14:paraId="5B0DD977" w14:textId="77777777" w:rsidR="00002459" w:rsidRDefault="00002459" w:rsidP="00002459">
      <w:pPr>
        <w:spacing w:before="0" w:after="160" w:line="259" w:lineRule="auto"/>
      </w:pPr>
      <w:r>
        <w:lastRenderedPageBreak/>
        <w:t>The industry’s contribution to employment by industry observes a similar but more pronounced pattern.</w:t>
      </w:r>
    </w:p>
    <w:p w14:paraId="245714C7" w14:textId="50FF530E" w:rsidR="00301B98" w:rsidRDefault="00301B98" w:rsidP="00DF7D23">
      <w:pPr>
        <w:pStyle w:val="Caption"/>
      </w:pPr>
      <w:r>
        <w:t xml:space="preserve">Figure </w:t>
      </w:r>
      <w:r>
        <w:fldChar w:fldCharType="begin"/>
      </w:r>
      <w:r>
        <w:instrText xml:space="preserve"> SEQ Figure \* ARABIC </w:instrText>
      </w:r>
      <w:r>
        <w:fldChar w:fldCharType="separate"/>
      </w:r>
      <w:r w:rsidR="00980A78">
        <w:t>25</w:t>
      </w:r>
      <w:r>
        <w:fldChar w:fldCharType="end"/>
      </w:r>
      <w:r>
        <w:t xml:space="preserve">: </w:t>
      </w:r>
      <w:r w:rsidRPr="00B57F3B">
        <w:t>Annual industry employment impact (person change from baseline)</w:t>
      </w:r>
    </w:p>
    <w:p w14:paraId="3BC4DF0D" w14:textId="77777777" w:rsidR="00301B98" w:rsidRDefault="000B14E1" w:rsidP="00301B98">
      <w:pPr>
        <w:keepNext/>
        <w:spacing w:before="0" w:after="160" w:line="259" w:lineRule="auto"/>
      </w:pPr>
      <w:r>
        <w:rPr>
          <w:noProof/>
          <w:lang w:eastAsia="en-AU"/>
        </w:rPr>
        <w:drawing>
          <wp:inline distT="0" distB="0" distL="0" distR="0" wp14:anchorId="2EECD30C" wp14:editId="7EEA2727">
            <wp:extent cx="5759450" cy="5138057"/>
            <wp:effectExtent l="0" t="0" r="0" b="5715"/>
            <wp:docPr id="245" name="Chart 245" descr="As shown in Figure 25, similar to its contribution to value-added, the aircraft manufacturing industry makes the largest contribution to manufacturing employment.  The sector’s activity also supports additional jobs in the construction, trade and professional services industries through activity up and down the supply ch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AADB783" w14:textId="77777777" w:rsidR="00D404B6" w:rsidRDefault="00D404B6" w:rsidP="00DF7D23">
      <w:pPr>
        <w:pStyle w:val="Source"/>
        <w:rPr>
          <w:rFonts w:eastAsiaTheme="majorEastAsia" w:cstheme="majorBidi"/>
          <w:color w:val="00338D" w:themeColor="background2"/>
          <w:sz w:val="36"/>
          <w:szCs w:val="40"/>
          <w14:scene3d>
            <w14:camera w14:prst="orthographicFront"/>
            <w14:lightRig w14:rig="threePt" w14:dir="t">
              <w14:rot w14:lat="0" w14:lon="0" w14:rev="0"/>
            </w14:lightRig>
          </w14:scene3d>
        </w:rPr>
      </w:pPr>
      <w:r>
        <w:t>Source: KPMG</w:t>
      </w:r>
      <w:r w:rsidRPr="00570028">
        <w:t>–</w:t>
      </w:r>
      <w:r>
        <w:t>CGE simulation</w:t>
      </w:r>
      <w:bookmarkStart w:id="194" w:name="_Toc471980043"/>
      <w:bookmarkStart w:id="195" w:name="_Toc471980239"/>
      <w:bookmarkStart w:id="196" w:name="_Toc471980433"/>
      <w:bookmarkStart w:id="197" w:name="_Toc471980053"/>
      <w:bookmarkStart w:id="198" w:name="_Toc471980249"/>
      <w:bookmarkStart w:id="199" w:name="_Toc471980443"/>
      <w:bookmarkStart w:id="200" w:name="_Toc471980058"/>
      <w:bookmarkStart w:id="201" w:name="_Toc471980254"/>
      <w:bookmarkStart w:id="202" w:name="_Toc471980448"/>
      <w:bookmarkStart w:id="203" w:name="_Toc471980063"/>
      <w:bookmarkStart w:id="204" w:name="_Toc471980259"/>
      <w:bookmarkStart w:id="205" w:name="_Toc471980453"/>
      <w:bookmarkStart w:id="206" w:name="_Toc471980068"/>
      <w:bookmarkStart w:id="207" w:name="_Toc471980264"/>
      <w:bookmarkStart w:id="208" w:name="_Toc471980458"/>
      <w:bookmarkStart w:id="209" w:name="_Toc471980073"/>
      <w:bookmarkStart w:id="210" w:name="_Toc471980269"/>
      <w:bookmarkStart w:id="211" w:name="_Toc471980463"/>
      <w:bookmarkStart w:id="212" w:name="_Toc471980078"/>
      <w:bookmarkStart w:id="213" w:name="_Toc471980274"/>
      <w:bookmarkStart w:id="214" w:name="_Toc471980468"/>
      <w:bookmarkStart w:id="215" w:name="_Toc471980083"/>
      <w:bookmarkStart w:id="216" w:name="_Toc471980279"/>
      <w:bookmarkStart w:id="217" w:name="_Toc471980473"/>
      <w:bookmarkStart w:id="218" w:name="_Toc471980088"/>
      <w:bookmarkStart w:id="219" w:name="_Toc471980284"/>
      <w:bookmarkStart w:id="220" w:name="_Toc471980478"/>
      <w:bookmarkStart w:id="221" w:name="_Toc471980093"/>
      <w:bookmarkStart w:id="222" w:name="_Toc471980289"/>
      <w:bookmarkStart w:id="223" w:name="_Toc471980483"/>
      <w:bookmarkStart w:id="224" w:name="_Toc471980098"/>
      <w:bookmarkStart w:id="225" w:name="_Toc471980294"/>
      <w:bookmarkStart w:id="226" w:name="_Toc471980488"/>
      <w:bookmarkStart w:id="227" w:name="_Toc471980103"/>
      <w:bookmarkStart w:id="228" w:name="_Toc471980299"/>
      <w:bookmarkStart w:id="229" w:name="_Toc471980493"/>
      <w:bookmarkStart w:id="230" w:name="_Toc471980108"/>
      <w:bookmarkStart w:id="231" w:name="_Toc471980304"/>
      <w:bookmarkStart w:id="232" w:name="_Toc471980498"/>
      <w:bookmarkStart w:id="233" w:name="_Toc471980113"/>
      <w:bookmarkStart w:id="234" w:name="_Toc471980309"/>
      <w:bookmarkStart w:id="235" w:name="_Toc471980503"/>
      <w:bookmarkStart w:id="236" w:name="_Toc471980118"/>
      <w:bookmarkStart w:id="237" w:name="_Toc471980314"/>
      <w:bookmarkStart w:id="238" w:name="_Toc471980508"/>
      <w:bookmarkStart w:id="239" w:name="_Toc471980123"/>
      <w:bookmarkStart w:id="240" w:name="_Toc471980319"/>
      <w:bookmarkStart w:id="241" w:name="_Toc471980513"/>
      <w:bookmarkStart w:id="242" w:name="_Toc471980128"/>
      <w:bookmarkStart w:id="243" w:name="_Toc471980324"/>
      <w:bookmarkStart w:id="244" w:name="_Toc471980518"/>
      <w:bookmarkStart w:id="245" w:name="_Toc471980133"/>
      <w:bookmarkStart w:id="246" w:name="_Toc471980329"/>
      <w:bookmarkStart w:id="247" w:name="_Toc471980523"/>
      <w:bookmarkStart w:id="248" w:name="_Toc471980138"/>
      <w:bookmarkStart w:id="249" w:name="_Toc471980334"/>
      <w:bookmarkStart w:id="250" w:name="_Toc471980528"/>
      <w:bookmarkStart w:id="251" w:name="_Toc471980143"/>
      <w:bookmarkStart w:id="252" w:name="_Toc471980339"/>
      <w:bookmarkStart w:id="253" w:name="_Toc471980533"/>
      <w:bookmarkStart w:id="254" w:name="_Toc471980148"/>
      <w:bookmarkStart w:id="255" w:name="_Toc471980344"/>
      <w:bookmarkStart w:id="256" w:name="_Toc471980538"/>
      <w:bookmarkStart w:id="257" w:name="_Toc471980153"/>
      <w:bookmarkStart w:id="258" w:name="_Toc471980349"/>
      <w:bookmarkStart w:id="259" w:name="_Toc471980543"/>
      <w:bookmarkStart w:id="260" w:name="_Toc471980158"/>
      <w:bookmarkStart w:id="261" w:name="_Toc471980354"/>
      <w:bookmarkStart w:id="262" w:name="_Toc471980548"/>
      <w:bookmarkStart w:id="263" w:name="_Toc471980163"/>
      <w:bookmarkStart w:id="264" w:name="_Toc471980359"/>
      <w:bookmarkStart w:id="265" w:name="_Toc471980553"/>
      <w:bookmarkStart w:id="266" w:name="_Toc471980168"/>
      <w:bookmarkStart w:id="267" w:name="_Toc471980364"/>
      <w:bookmarkStart w:id="268" w:name="_Toc471980558"/>
      <w:bookmarkStart w:id="269" w:name="_Toc471980173"/>
      <w:bookmarkStart w:id="270" w:name="_Toc471980369"/>
      <w:bookmarkStart w:id="271" w:name="_Toc471980563"/>
      <w:bookmarkStart w:id="272" w:name="_Toc471980178"/>
      <w:bookmarkStart w:id="273" w:name="_Toc471980374"/>
      <w:bookmarkStart w:id="274" w:name="_Toc471980568"/>
      <w:bookmarkStart w:id="275" w:name="_Toc471980183"/>
      <w:bookmarkStart w:id="276" w:name="_Toc471980379"/>
      <w:bookmarkStart w:id="277" w:name="_Toc471980573"/>
      <w:bookmarkEnd w:id="18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r>
        <w:br w:type="page"/>
      </w:r>
    </w:p>
    <w:p w14:paraId="46E196E0" w14:textId="2E59C2EE" w:rsidR="00D028FD" w:rsidRDefault="006D2486" w:rsidP="007C7047">
      <w:pPr>
        <w:pStyle w:val="CaseStudy"/>
        <w:spacing w:after="720"/>
      </w:pPr>
      <w:r w:rsidRPr="00E40562">
        <w:rPr>
          <w:noProof/>
          <w:lang w:eastAsia="en-AU"/>
        </w:rPr>
        <w:lastRenderedPageBreak/>
        <w:drawing>
          <wp:anchor distT="0" distB="0" distL="114300" distR="114300" simplePos="0" relativeHeight="251874304" behindDoc="1" locked="0" layoutInCell="1" allowOverlap="1" wp14:anchorId="240F7938" wp14:editId="06D1D781">
            <wp:simplePos x="0" y="0"/>
            <wp:positionH relativeFrom="column">
              <wp:posOffset>-914400</wp:posOffset>
            </wp:positionH>
            <wp:positionV relativeFrom="paragraph">
              <wp:posOffset>-1260475</wp:posOffset>
            </wp:positionV>
            <wp:extent cx="7560000" cy="9728170"/>
            <wp:effectExtent l="0" t="0" r="3175" b="6985"/>
            <wp:wrapNone/>
            <wp:docPr id="226" name="Picture 226" descr="Case Study. Fountx" title="Case Study. Foun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60000" cy="9728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8FD">
        <w:t>Fountx</w:t>
      </w:r>
    </w:p>
    <w:p w14:paraId="310FA5E4" w14:textId="11A529EC" w:rsidR="005E6617" w:rsidRPr="00473B24" w:rsidRDefault="00940CA5" w:rsidP="006028C6">
      <w:pPr>
        <w:pStyle w:val="CaseStudyIntro"/>
        <w:spacing w:after="120"/>
      </w:pPr>
      <w:r>
        <w:t>A brainchild of CSIRO</w:t>
      </w:r>
      <w:r w:rsidR="00253E0E">
        <w:t xml:space="preserve"> and</w:t>
      </w:r>
      <w:r>
        <w:t xml:space="preserve"> branded by TAE Aerospace, fountx_AsR epitomises </w:t>
      </w:r>
      <w:r w:rsidR="00253E0E">
        <w:t xml:space="preserve">how industry-academia partnerships can </w:t>
      </w:r>
      <w:r w:rsidR="00CC4A57">
        <w:t xml:space="preserve">translate </w:t>
      </w:r>
      <w:r>
        <w:t xml:space="preserve">Australia’s research excellence </w:t>
      </w:r>
      <w:r w:rsidR="00253E0E">
        <w:t>in</w:t>
      </w:r>
      <w:r>
        <w:t xml:space="preserve">to a </w:t>
      </w:r>
      <w:r w:rsidR="00820036">
        <w:t>practical</w:t>
      </w:r>
      <w:r>
        <w:t xml:space="preserve"> industry device</w:t>
      </w:r>
      <w:r w:rsidR="00253E0E">
        <w:t>.</w:t>
      </w:r>
      <w:r w:rsidR="00253E0E" w:rsidRPr="00473B24">
        <w:t xml:space="preserve"> </w:t>
      </w:r>
      <w:r w:rsidR="00616320">
        <w:t xml:space="preserve">Qualified by </w:t>
      </w:r>
      <w:r w:rsidR="00616320" w:rsidRPr="00F171AA">
        <w:t xml:space="preserve">regulatory and funding </w:t>
      </w:r>
      <w:r w:rsidR="00616320">
        <w:t xml:space="preserve">obstacles, this product bears potential to support remote MRO operations </w:t>
      </w:r>
      <w:r w:rsidR="006A24B9">
        <w:t xml:space="preserve">in commercial aviation and defence industries </w:t>
      </w:r>
      <w:r w:rsidR="006E36C3">
        <w:t>and facilitate knowledge transfer from an ageing workforce</w:t>
      </w:r>
      <w:r w:rsidR="00CC4A57">
        <w:t xml:space="preserve"> across distances.</w:t>
      </w:r>
      <w:r w:rsidR="006E36C3">
        <w:t xml:space="preserve"> </w:t>
      </w:r>
    </w:p>
    <w:p w14:paraId="405BD838" w14:textId="213C986A" w:rsidR="005E6617" w:rsidRPr="00E1665C" w:rsidRDefault="005E6617" w:rsidP="005E6617">
      <w:r w:rsidRPr="00E1665C">
        <w:t>Set up by TAE Aerospace as a start-up technology company</w:t>
      </w:r>
      <w:r>
        <w:t xml:space="preserve"> in 2017</w:t>
      </w:r>
      <w:r w:rsidRPr="00E1665C">
        <w:t>, Fountx, which stands for fountain of knowledge expert, is run independently in Queensland by a group of young engine</w:t>
      </w:r>
      <w:r w:rsidR="003F298A">
        <w:t>ers. Bringing together</w:t>
      </w:r>
      <w:r w:rsidRPr="00E1665C">
        <w:t xml:space="preserve"> research and technological prowess, </w:t>
      </w:r>
      <w:r>
        <w:t>f</w:t>
      </w:r>
      <w:r w:rsidRPr="00E1665C">
        <w:t>ountx</w:t>
      </w:r>
      <w:r>
        <w:t>_</w:t>
      </w:r>
      <w:r w:rsidRPr="00E1665C">
        <w:t>AsR (Assisted reality) is a collaborative effort b</w:t>
      </w:r>
      <w:r w:rsidR="006066BB">
        <w:t>etween CSIRO and TAE Aerospace.</w:t>
      </w:r>
    </w:p>
    <w:p w14:paraId="1E82C59F" w14:textId="4D5D36F7" w:rsidR="005E6617" w:rsidRPr="00E1665C" w:rsidRDefault="005E6617" w:rsidP="005E6617">
      <w:r w:rsidRPr="00E1665C">
        <w:t xml:space="preserve">The </w:t>
      </w:r>
      <w:r>
        <w:t>f</w:t>
      </w:r>
      <w:r w:rsidRPr="00E1665C">
        <w:t>ountx</w:t>
      </w:r>
      <w:r>
        <w:t>_</w:t>
      </w:r>
      <w:r w:rsidRPr="00E1665C">
        <w:t xml:space="preserve">AsR product </w:t>
      </w:r>
      <w:r>
        <w:t xml:space="preserve">is designed to facilitate </w:t>
      </w:r>
      <w:r w:rsidRPr="00E1665C">
        <w:t>real-time interaction between technicians on the ground and experts anywhere in the world</w:t>
      </w:r>
      <w:r>
        <w:t xml:space="preserve">. The product is a wearable </w:t>
      </w:r>
      <w:r w:rsidRPr="00E1665C">
        <w:t>headset</w:t>
      </w:r>
      <w:r>
        <w:t xml:space="preserve"> </w:t>
      </w:r>
      <w:r w:rsidRPr="00E1665C">
        <w:t xml:space="preserve">with a head-mounted computer and camera. </w:t>
      </w:r>
      <w:r>
        <w:t xml:space="preserve">By allowing technicians to work on equipment </w:t>
      </w:r>
      <w:r w:rsidRPr="00E1665C">
        <w:t xml:space="preserve">in front of them </w:t>
      </w:r>
      <w:r>
        <w:t xml:space="preserve">whilst </w:t>
      </w:r>
      <w:r w:rsidRPr="00E1665C">
        <w:t>receiv</w:t>
      </w:r>
      <w:r>
        <w:t>ing</w:t>
      </w:r>
      <w:r w:rsidRPr="00E1665C">
        <w:t xml:space="preserve"> guidance </w:t>
      </w:r>
      <w:r>
        <w:t xml:space="preserve">via </w:t>
      </w:r>
      <w:r w:rsidRPr="00E1665C">
        <w:t>an above-eye display</w:t>
      </w:r>
      <w:r>
        <w:t xml:space="preserve">, this can </w:t>
      </w:r>
      <w:r w:rsidRPr="009D14BF">
        <w:t>boost productivity and capability</w:t>
      </w:r>
      <w:r>
        <w:t xml:space="preserve"> while avoiding a common issue associated with augmented reality of reduced </w:t>
      </w:r>
      <w:r w:rsidRPr="00E1665C">
        <w:t>situational awarene</w:t>
      </w:r>
      <w:r w:rsidR="006066BB">
        <w:t>ss or increased cognitive load.</w:t>
      </w:r>
    </w:p>
    <w:p w14:paraId="19E4201C" w14:textId="5D1A3D6A" w:rsidR="000E0F9E" w:rsidRDefault="005E6617" w:rsidP="000E0F9E">
      <w:r>
        <w:t xml:space="preserve">With </w:t>
      </w:r>
      <w:r w:rsidRPr="00E1665C">
        <w:t xml:space="preserve">the </w:t>
      </w:r>
      <w:r>
        <w:t>growth of</w:t>
      </w:r>
      <w:r w:rsidRPr="00E1665C">
        <w:t xml:space="preserve"> bespoke manufacturing</w:t>
      </w:r>
      <w:r>
        <w:t xml:space="preserve"> in Australia</w:t>
      </w:r>
      <w:r w:rsidRPr="00E1665C">
        <w:t xml:space="preserve">, </w:t>
      </w:r>
      <w:r>
        <w:t>fountx_</w:t>
      </w:r>
      <w:r w:rsidRPr="00E1665C">
        <w:t xml:space="preserve">AsR </w:t>
      </w:r>
      <w:r>
        <w:t>is a value proposition, set to dramatically boost maintenance efficiencies in</w:t>
      </w:r>
      <w:r w:rsidRPr="006F09DF">
        <w:t xml:space="preserve"> the Aviation and Defence industries, with potential applications across a range of other sectors</w:t>
      </w:r>
      <w:r>
        <w:t>.</w:t>
      </w:r>
    </w:p>
    <w:p w14:paraId="69651F49" w14:textId="0DFDAFE9" w:rsidR="00D028FD" w:rsidRPr="000E0F9E" w:rsidRDefault="00D028FD" w:rsidP="00D913DA">
      <w:pPr>
        <w:pStyle w:val="Casestudysubheading"/>
        <w:spacing w:before="120" w:after="60"/>
      </w:pPr>
      <w:r w:rsidRPr="000E0F9E">
        <w:t>The first steps</w:t>
      </w:r>
    </w:p>
    <w:p w14:paraId="40B4B606" w14:textId="6C211A25" w:rsidR="006066BB" w:rsidRDefault="005E6617" w:rsidP="006D2486">
      <w:pPr>
        <w:spacing w:before="60" w:after="60"/>
      </w:pPr>
      <w:r w:rsidRPr="00EF5E5A">
        <w:t xml:space="preserve">A desire to minimize costs and resources involved, while meeting the highest safety standards, led to the translation of CSIRO’s research in augmented reality into a novel industry tool. </w:t>
      </w:r>
      <w:proofErr w:type="gramStart"/>
      <w:r w:rsidRPr="00EF5E5A">
        <w:t>fountx_AsR</w:t>
      </w:r>
      <w:proofErr w:type="gramEnd"/>
      <w:r w:rsidRPr="00EF5E5A">
        <w:t xml:space="preserve"> was wholly designed and predominantly manufactured in Australia, using a combination of the availability of skilled personnel and access to the technology’s intellectual property under TAE Aerospace’s licensing agreements with CSIRO. The product has been developed to not only save companies like TAE Aerospace the significant costs associated with providing ground support in different areas, but also helps mitigate risks in potentially hazardous areas by reducing the number </w:t>
      </w:r>
      <w:r w:rsidR="006066BB">
        <w:t>of people required onsite.</w:t>
      </w:r>
    </w:p>
    <w:p w14:paraId="1F64F93F" w14:textId="2C1FF89B" w:rsidR="005E6617" w:rsidRDefault="005E6617" w:rsidP="005E6617">
      <w:r w:rsidRPr="00C6019C">
        <w:t xml:space="preserve">Fountx encountered several hurdles getting the technology together and establishing a market for its product. </w:t>
      </w:r>
      <w:r>
        <w:t xml:space="preserve">For example, as </w:t>
      </w:r>
      <w:r w:rsidRPr="00C6019C">
        <w:t xml:space="preserve">the Australian market did not meet all input needs, </w:t>
      </w:r>
      <w:r>
        <w:t>some components needed to be sourced from international markets. One of the major hurdles was the requirement for Li-ion batteries to no longer be allowed to be airfreighted</w:t>
      </w:r>
      <w:r w:rsidRPr="00C6019C">
        <w:t xml:space="preserve">, </w:t>
      </w:r>
      <w:r>
        <w:t xml:space="preserve">which </w:t>
      </w:r>
      <w:r w:rsidRPr="00C6019C">
        <w:t xml:space="preserve">increased the US’s </w:t>
      </w:r>
      <w:r w:rsidR="00DF7D23" w:rsidRPr="00C6019C">
        <w:t xml:space="preserve">delivery </w:t>
      </w:r>
      <w:r w:rsidR="00DF7D23" w:rsidRPr="00D028FD">
        <w:t>times</w:t>
      </w:r>
      <w:r w:rsidRPr="00C6019C">
        <w:t xml:space="preserve"> of smart batteries from 5 weeks to 3 months</w:t>
      </w:r>
      <w:r>
        <w:t>, thus</w:t>
      </w:r>
      <w:r w:rsidR="006066BB">
        <w:t xml:space="preserve"> delaying product development.</w:t>
      </w:r>
    </w:p>
    <w:p w14:paraId="7FBAA2A6" w14:textId="5B7FF1E5" w:rsidR="004906AA" w:rsidRDefault="005E6617" w:rsidP="000E0F9E">
      <w:r>
        <w:t>F</w:t>
      </w:r>
      <w:r w:rsidRPr="00C6019C">
        <w:t>ountx</w:t>
      </w:r>
      <w:r>
        <w:t xml:space="preserve"> also met some </w:t>
      </w:r>
      <w:r w:rsidRPr="00C6019C">
        <w:t xml:space="preserve">resistance to change </w:t>
      </w:r>
      <w:r>
        <w:t xml:space="preserve">during </w:t>
      </w:r>
      <w:r w:rsidRPr="00C6019C">
        <w:t>initial product discussions</w:t>
      </w:r>
      <w:r>
        <w:t xml:space="preserve"> with different businesses. However, Fountx found that developing the product </w:t>
      </w:r>
      <w:r w:rsidRPr="00C6019C">
        <w:t>in consultation with industry users</w:t>
      </w:r>
      <w:r>
        <w:t>, combined with the financial benefits associated with its use, helped overcome these challenges</w:t>
      </w:r>
      <w:r w:rsidR="000E0F9E">
        <w:t>.</w:t>
      </w:r>
    </w:p>
    <w:p w14:paraId="7649AED7" w14:textId="236ECE81" w:rsidR="00D028FD" w:rsidRDefault="00D028FD" w:rsidP="00D913DA">
      <w:pPr>
        <w:pStyle w:val="Casestudysubheading"/>
        <w:spacing w:before="120" w:after="60"/>
      </w:pPr>
      <w:r w:rsidRPr="000E0F9E">
        <w:t>Incredible applications, but roadblocks on the way</w:t>
      </w:r>
    </w:p>
    <w:p w14:paraId="1FF5142A" w14:textId="22E87682" w:rsidR="005E6617" w:rsidRPr="00EF5E5A" w:rsidRDefault="005E6617" w:rsidP="00D913DA">
      <w:pPr>
        <w:spacing w:before="60" w:after="60"/>
      </w:pPr>
      <w:r w:rsidRPr="00EF5E5A">
        <w:t>Fountx_AsR was developed to initially support the Maintenance, Repair and Overhaul (MRO) activities of the aviation and defence industries. The prevalence of time-critical situations in areas with restricted access in the aviation industry presents the perfect opportunity to showcase this product’s utility in complex industrial environments. In addition, with the aviation industry’s aging workforce, fountx_AsR opens doors for transfer of knowledge and skills to the emerging workforce f</w:t>
      </w:r>
      <w:r w:rsidR="006066BB">
        <w:t>rom experts located miles away.</w:t>
      </w:r>
    </w:p>
    <w:p w14:paraId="181344FC" w14:textId="59FD915D" w:rsidR="005E6617" w:rsidRPr="00EF5E5A" w:rsidRDefault="005E6617" w:rsidP="005E6617">
      <w:r w:rsidRPr="00EF5E5A">
        <w:t xml:space="preserve">However, regulatory requirements pose potential challenges in entering the aerospace industry. For example, while opportunities exist for a product like fountx_AsR to be used by licensed engineers to </w:t>
      </w:r>
      <w:r w:rsidR="007C7047" w:rsidRPr="00662A09">
        <w:rPr>
          <w:noProof/>
          <w:lang w:eastAsia="en-AU"/>
        </w:rPr>
        <w:lastRenderedPageBreak/>
        <w:drawing>
          <wp:anchor distT="0" distB="0" distL="114300" distR="114300" simplePos="0" relativeHeight="251882496" behindDoc="1" locked="0" layoutInCell="1" allowOverlap="1" wp14:anchorId="634BC349" wp14:editId="61DFCD8E">
            <wp:simplePos x="0" y="0"/>
            <wp:positionH relativeFrom="page">
              <wp:posOffset>0</wp:posOffset>
            </wp:positionH>
            <wp:positionV relativeFrom="margin">
              <wp:posOffset>-440690</wp:posOffset>
            </wp:positionV>
            <wp:extent cx="7567200" cy="8902800"/>
            <wp:effectExtent l="0" t="0" r="0" b="0"/>
            <wp:wrapNone/>
            <wp:docPr id="228" name="Picture 228" descr="Case Study Continued. Fountx" title="Case Study Continued. Fount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4">
                      <a:extLst>
                        <a:ext uri="{28A0092B-C50C-407E-A947-70E740481C1C}">
                          <a14:useLocalDpi xmlns:a14="http://schemas.microsoft.com/office/drawing/2010/main" val="0"/>
                        </a:ext>
                      </a:extLst>
                    </a:blip>
                    <a:srcRect l="1" r="-115"/>
                    <a:stretch/>
                  </pic:blipFill>
                  <pic:spPr bwMode="auto">
                    <a:xfrm>
                      <a:off x="0" y="0"/>
                      <a:ext cx="7567200" cy="890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5E5A">
        <w:t xml:space="preserve">release </w:t>
      </w:r>
      <w:r w:rsidR="002439CF">
        <w:t>aircraft</w:t>
      </w:r>
      <w:r w:rsidRPr="00EF5E5A">
        <w:t xml:space="preserve"> remotely, domestic regulations stipulate that engineers have to be physically present. If an airline is still required by regulation to deploy personnel to sites for such tasks, this negates a number of the benefits associated with the Fountx technology. This, however, is not the case with European regulators, who </w:t>
      </w:r>
      <w:r w:rsidRPr="00857A53">
        <w:t xml:space="preserve">appear more open to embracing such developments, thus </w:t>
      </w:r>
      <w:r>
        <w:t>paving the way to i</w:t>
      </w:r>
      <w:r w:rsidR="006066BB">
        <w:t>nternational aerospace markets.</w:t>
      </w:r>
    </w:p>
    <w:p w14:paraId="364A3417" w14:textId="147E41B5" w:rsidR="000E0F9E" w:rsidRDefault="005E6617" w:rsidP="000E0F9E">
      <w:r w:rsidRPr="00EF5E5A">
        <w:t>Being based on a windows application, fountx_AsR is extremely easy to use, but s</w:t>
      </w:r>
      <w:r w:rsidRPr="00F27789">
        <w:t xml:space="preserve">tart-up supply constraints and potential software issues resulting from updates to the platform used (mobile phones, tablets) may be some of the initial obstacles for Fountx. Nevertheless, </w:t>
      </w:r>
      <w:r>
        <w:t>going</w:t>
      </w:r>
      <w:r w:rsidRPr="00EF5E5A">
        <w:t xml:space="preserve"> forward, this product has readily imaginable applications in a range of industries including manufacturing, m</w:t>
      </w:r>
      <w:r w:rsidR="006066BB">
        <w:t>ining, automotive and medical.</w:t>
      </w:r>
    </w:p>
    <w:p w14:paraId="332540FD" w14:textId="373AEC5F" w:rsidR="00D028FD" w:rsidRPr="000E0F9E" w:rsidRDefault="00D028FD" w:rsidP="00D913DA">
      <w:pPr>
        <w:pStyle w:val="Casestudysubheading"/>
        <w:keepNext/>
        <w:spacing w:before="120" w:after="60"/>
      </w:pPr>
      <w:r w:rsidRPr="000E0F9E">
        <w:t>Achieving the commercial reality</w:t>
      </w:r>
    </w:p>
    <w:p w14:paraId="2440AB41" w14:textId="4BC20777" w:rsidR="005E6617" w:rsidRPr="00EF5E5A" w:rsidRDefault="005E6617" w:rsidP="00D913DA">
      <w:pPr>
        <w:spacing w:before="60" w:after="60"/>
      </w:pPr>
      <w:r w:rsidRPr="00EF5E5A">
        <w:t xml:space="preserve">The potential time and money saved by adopting this technology has sparked strong interest from Defence as well as local government bodies. There has been large scale global outreach of the product, with major Original Equipment Manufacturers (OEMs) such as Panasonic, Mitsubishi and Boeing expressing interest. In Australia, Fountx notes the scope for application could extend into industries such as mining, oil and gas, and emergency services. The practical efficacy of fountx_AsR is currently being </w:t>
      </w:r>
      <w:r w:rsidR="00820036" w:rsidRPr="00EF5E5A">
        <w:t>trialled</w:t>
      </w:r>
      <w:r w:rsidRPr="00EF5E5A">
        <w:t xml:space="preserve"> with Boeing, Japan Air, Singapore Air, and Lion Nathan to name a few.</w:t>
      </w:r>
    </w:p>
    <w:p w14:paraId="5FF6A43E" w14:textId="3141EA7A" w:rsidR="005E6617" w:rsidRDefault="005E6617" w:rsidP="005E6617">
      <w:r w:rsidRPr="00E1665C">
        <w:t>While the</w:t>
      </w:r>
      <w:r w:rsidR="003F298A">
        <w:t>re has been a high</w:t>
      </w:r>
      <w:r w:rsidRPr="00E1665C">
        <w:t xml:space="preserve"> response</w:t>
      </w:r>
      <w:r w:rsidR="003F298A">
        <w:t xml:space="preserve"> from buyers</w:t>
      </w:r>
      <w:r w:rsidRPr="00E1665C">
        <w:t xml:space="preserve">, Fountx does recognise economic and government policy barriers on its path to commercialisation. Company policies </w:t>
      </w:r>
      <w:r>
        <w:t xml:space="preserve">that provide </w:t>
      </w:r>
      <w:r w:rsidRPr="00E1665C">
        <w:t xml:space="preserve">a small travel budget </w:t>
      </w:r>
      <w:r>
        <w:t>go a long way to help</w:t>
      </w:r>
      <w:r w:rsidRPr="00E1665C">
        <w:t xml:space="preserve"> sell a product like </w:t>
      </w:r>
      <w:r>
        <w:t>f</w:t>
      </w:r>
      <w:r w:rsidRPr="00E1665C">
        <w:t>ountx</w:t>
      </w:r>
      <w:r>
        <w:t>_</w:t>
      </w:r>
      <w:r w:rsidRPr="00E1665C">
        <w:t>AsR. However, the</w:t>
      </w:r>
      <w:r>
        <w:t xml:space="preserve">re may be some further regulatory hurdles, including unresolved </w:t>
      </w:r>
      <w:r w:rsidRPr="00E1665C">
        <w:t xml:space="preserve">questions around legal liability in case of an accident. There </w:t>
      </w:r>
      <w:r>
        <w:t>are</w:t>
      </w:r>
      <w:r w:rsidRPr="00E1665C">
        <w:t xml:space="preserve"> also </w:t>
      </w:r>
      <w:r>
        <w:t xml:space="preserve">the usual commercial challenges, such as </w:t>
      </w:r>
      <w:r w:rsidRPr="00E1665C">
        <w:t xml:space="preserve">maintaining cash flow until the product takes-off. Since </w:t>
      </w:r>
      <w:r>
        <w:t xml:space="preserve">the product’s </w:t>
      </w:r>
      <w:r w:rsidRPr="00E1665C">
        <w:t xml:space="preserve">introduction in 2016, </w:t>
      </w:r>
      <w:r>
        <w:t xml:space="preserve">there have been several rounds of product refinements and testing with different sized prototypes, to achieve the right balance between </w:t>
      </w:r>
      <w:r w:rsidRPr="00E1665C">
        <w:t xml:space="preserve">convenience to carry </w:t>
      </w:r>
      <w:r w:rsidR="006066BB">
        <w:t>and clear displays.</w:t>
      </w:r>
    </w:p>
    <w:p w14:paraId="1407D13E" w14:textId="77777777" w:rsidR="002047D5" w:rsidRDefault="005E6617" w:rsidP="005E6617">
      <w:pPr>
        <w:sectPr w:rsidR="002047D5" w:rsidSect="006066BB">
          <w:type w:val="continuous"/>
          <w:pgSz w:w="11906" w:h="16838"/>
          <w:pgMar w:top="1985" w:right="1440" w:bottom="1440" w:left="1440" w:header="709" w:footer="709" w:gutter="0"/>
          <w:cols w:space="708"/>
          <w:titlePg/>
          <w:docGrid w:linePitch="360"/>
        </w:sectPr>
      </w:pPr>
      <w:r w:rsidRPr="00B85876">
        <w:t xml:space="preserve">Fountx </w:t>
      </w:r>
      <w:r>
        <w:t>was</w:t>
      </w:r>
      <w:r w:rsidRPr="00B85876">
        <w:t xml:space="preserve"> </w:t>
      </w:r>
      <w:r>
        <w:t>a</w:t>
      </w:r>
      <w:r w:rsidRPr="00B85876">
        <w:t>n award-winner at the 2017 City of Ipswich Business Awards for Innovation</w:t>
      </w:r>
      <w:r>
        <w:t>,</w:t>
      </w:r>
      <w:r w:rsidRPr="00B85876">
        <w:t xml:space="preserve"> and </w:t>
      </w:r>
      <w:r>
        <w:t>with a</w:t>
      </w:r>
      <w:r w:rsidRPr="00B85876">
        <w:t xml:space="preserve"> recent partnership with Singapore’s ST Aerospace trialling the technology in its operations</w:t>
      </w:r>
      <w:r>
        <w:t>,</w:t>
      </w:r>
      <w:r w:rsidRPr="00B85876">
        <w:t xml:space="preserve"> </w:t>
      </w:r>
      <w:r>
        <w:t>f</w:t>
      </w:r>
      <w:r w:rsidRPr="00B85876">
        <w:t>ountx</w:t>
      </w:r>
      <w:r>
        <w:t>_</w:t>
      </w:r>
      <w:r w:rsidRPr="00B85876">
        <w:t xml:space="preserve">AsR </w:t>
      </w:r>
      <w:r>
        <w:t>is aiming to position itself</w:t>
      </w:r>
      <w:r w:rsidRPr="00B85876">
        <w:t xml:space="preserve"> globally</w:t>
      </w:r>
      <w:r>
        <w:t xml:space="preserve"> into the future</w:t>
      </w:r>
      <w:r w:rsidRPr="00B85876">
        <w:t>.</w:t>
      </w:r>
    </w:p>
    <w:p w14:paraId="24B54A98" w14:textId="77777777" w:rsidR="00964B1D" w:rsidRPr="00CF5F96" w:rsidRDefault="00964B1D" w:rsidP="0011521D">
      <w:pPr>
        <w:pStyle w:val="Heading2"/>
      </w:pPr>
      <w:bookmarkStart w:id="278" w:name="_Toc26537900"/>
      <w:r w:rsidRPr="00CF5F96">
        <w:lastRenderedPageBreak/>
        <w:t>Conclusion</w:t>
      </w:r>
      <w:bookmarkEnd w:id="278"/>
    </w:p>
    <w:p w14:paraId="59FB80BC" w14:textId="7E05AC30" w:rsidR="00C042F8" w:rsidRDefault="00C042F8" w:rsidP="00473B24">
      <w:pPr>
        <w:pStyle w:val="BodyText1"/>
      </w:pPr>
      <w:r>
        <w:t xml:space="preserve">This report examines the role of the </w:t>
      </w:r>
      <w:r w:rsidR="00555E98">
        <w:t>Aircraft Manufacturing and Repair Services</w:t>
      </w:r>
      <w:r>
        <w:t xml:space="preserve"> industry in the Australian economy. The economic profile of the industry reveals that there’s a large presence of small sized businesses, which are either non-employing or employ fewer than 20 workers. Businesses in this </w:t>
      </w:r>
      <w:r w:rsidR="005A66F7">
        <w:t xml:space="preserve">industry </w:t>
      </w:r>
      <w:r>
        <w:t xml:space="preserve">operate across the </w:t>
      </w:r>
      <w:r w:rsidR="005A66F7">
        <w:t xml:space="preserve">civil and defence sectors, </w:t>
      </w:r>
      <w:r w:rsidR="00C45B3B">
        <w:t xml:space="preserve">are </w:t>
      </w:r>
      <w:r w:rsidR="005A66F7">
        <w:t xml:space="preserve">involved in the </w:t>
      </w:r>
      <w:r w:rsidR="00C45B3B">
        <w:t xml:space="preserve">manufacture </w:t>
      </w:r>
      <w:r>
        <w:t xml:space="preserve">of small and light </w:t>
      </w:r>
      <w:r w:rsidR="002439CF">
        <w:t>aircraft</w:t>
      </w:r>
      <w:r>
        <w:t>, aircraft parts and components, engines, and</w:t>
      </w:r>
      <w:r w:rsidR="005A66F7">
        <w:t xml:space="preserve"> also</w:t>
      </w:r>
      <w:r>
        <w:t xml:space="preserve"> undertake maintenance and repair activities for domestic as well as international airlines. The</w:t>
      </w:r>
      <w:r w:rsidR="005A66F7">
        <w:t xml:space="preserve"> </w:t>
      </w:r>
      <w:r w:rsidR="00555E98">
        <w:t>Aircraft Manufacturing and Repair Services</w:t>
      </w:r>
      <w:r w:rsidR="005A66F7">
        <w:t xml:space="preserve"> industry</w:t>
      </w:r>
      <w:r>
        <w:t xml:space="preserve"> is majorly </w:t>
      </w:r>
      <w:r w:rsidR="005A66F7">
        <w:t xml:space="preserve">concentrated in </w:t>
      </w:r>
      <w:r>
        <w:t>NSW, Victoria and Queensland</w:t>
      </w:r>
      <w:r w:rsidR="005A66F7">
        <w:t xml:space="preserve">, </w:t>
      </w:r>
      <w:r>
        <w:t>due to the presence of manufacturing facilities and large scale commerci</w:t>
      </w:r>
      <w:r w:rsidR="006066BB">
        <w:t>al activities in these regions.</w:t>
      </w:r>
    </w:p>
    <w:p w14:paraId="20868C22" w14:textId="6A9FA88E" w:rsidR="00DE5518" w:rsidRDefault="00B41537" w:rsidP="00473B24">
      <w:pPr>
        <w:pStyle w:val="BodyText1"/>
        <w:rPr>
          <w:rFonts w:cstheme="minorHAnsi"/>
          <w:lang w:val="en-US"/>
        </w:rPr>
      </w:pPr>
      <w:r>
        <w:t>Australia is renowned globally for its expertise and engineering and technical capabilities. It is home to some of the best technological universities like the University of Sydney</w:t>
      </w:r>
      <w:r w:rsidR="00C45B3B">
        <w:t xml:space="preserve"> and the </w:t>
      </w:r>
      <w:r>
        <w:t>Royal Melbourne Institute of Technology</w:t>
      </w:r>
      <w:r w:rsidR="00C45B3B">
        <w:t>,</w:t>
      </w:r>
      <w:r>
        <w:t xml:space="preserve"> which produce graduates who are well-qualified and equipped with essential job skills. However, t</w:t>
      </w:r>
      <w:r w:rsidR="00C042F8">
        <w:t xml:space="preserve">here are challenges for the industry to maintain a competitive edge globally with a declining number of apprenticeships and trainees in the </w:t>
      </w:r>
      <w:r>
        <w:t>industry. Industries like Air and Space Transport</w:t>
      </w:r>
      <w:r w:rsidR="00C042F8">
        <w:t xml:space="preserve">, </w:t>
      </w:r>
      <w:r>
        <w:t>Metal Manufacturing and Mining compet</w:t>
      </w:r>
      <w:r w:rsidR="00C45B3B">
        <w:t xml:space="preserve">e with this industry </w:t>
      </w:r>
      <w:r>
        <w:t>to hire skilled engineers</w:t>
      </w:r>
      <w:r w:rsidR="00C45B3B">
        <w:t>,</w:t>
      </w:r>
      <w:r>
        <w:t xml:space="preserve"> and high attritions in the industry due to </w:t>
      </w:r>
      <w:r w:rsidR="00E071EE">
        <w:t xml:space="preserve">retirements or migration pose serious challenges for the industry in accessing a skilled workforce. </w:t>
      </w:r>
      <w:r w:rsidR="00DE5518">
        <w:rPr>
          <w:rFonts w:cstheme="minorHAnsi"/>
          <w:lang w:val="en-US"/>
        </w:rPr>
        <w:t xml:space="preserve">This calls for </w:t>
      </w:r>
      <w:r w:rsidR="00DE5518" w:rsidRPr="00442C03">
        <w:rPr>
          <w:rFonts w:cstheme="minorHAnsi"/>
          <w:lang w:val="en-US"/>
        </w:rPr>
        <w:t>increased efforts to</w:t>
      </w:r>
      <w:r w:rsidR="00DE5518">
        <w:rPr>
          <w:rFonts w:cstheme="minorHAnsi"/>
          <w:lang w:val="en-US"/>
        </w:rPr>
        <w:t xml:space="preserve"> pass down knowledge and</w:t>
      </w:r>
      <w:r w:rsidR="00DE5518" w:rsidRPr="00442C03">
        <w:rPr>
          <w:rFonts w:cstheme="minorHAnsi"/>
          <w:lang w:val="en-US"/>
        </w:rPr>
        <w:t xml:space="preserve"> </w:t>
      </w:r>
      <w:r w:rsidR="00DE5518">
        <w:rPr>
          <w:rFonts w:cstheme="minorHAnsi"/>
          <w:lang w:val="en-US"/>
        </w:rPr>
        <w:t xml:space="preserve">increase training to </w:t>
      </w:r>
      <w:r w:rsidR="00DE5518" w:rsidRPr="00442C03">
        <w:rPr>
          <w:rFonts w:cstheme="minorHAnsi"/>
          <w:lang w:val="en-US"/>
        </w:rPr>
        <w:t xml:space="preserve">address </w:t>
      </w:r>
      <w:r w:rsidR="00DE5518">
        <w:rPr>
          <w:rFonts w:cstheme="minorHAnsi"/>
          <w:lang w:val="en-US"/>
        </w:rPr>
        <w:t xml:space="preserve">an </w:t>
      </w:r>
      <w:r w:rsidR="00DE5518" w:rsidRPr="00442C03">
        <w:rPr>
          <w:rFonts w:cstheme="minorHAnsi"/>
          <w:lang w:val="en-US"/>
        </w:rPr>
        <w:t>imminent skill shortage in the industry.</w:t>
      </w:r>
    </w:p>
    <w:p w14:paraId="64BAB40A" w14:textId="66B883C1" w:rsidR="00704BA8" w:rsidRDefault="00DE5518" w:rsidP="00704BA8">
      <w:pPr>
        <w:pStyle w:val="BodyText1"/>
        <w:rPr>
          <w:rFonts w:cstheme="minorHAnsi"/>
          <w:lang w:val="en-US"/>
        </w:rPr>
      </w:pPr>
      <w:r>
        <w:rPr>
          <w:rFonts w:cstheme="minorHAnsi"/>
          <w:lang w:val="en-US"/>
        </w:rPr>
        <w:t xml:space="preserve">Moreover, </w:t>
      </w:r>
      <w:r>
        <w:t xml:space="preserve">the Aircraft Manufacturing and Repair Services industry is highly regulated, with extensive national and international regulatory requirements believed to be burdening the industry. </w:t>
      </w:r>
      <w:r w:rsidR="00704BA8" w:rsidRPr="00717C04">
        <w:rPr>
          <w:rFonts w:cstheme="minorHAnsi"/>
          <w:lang w:val="en-US"/>
        </w:rPr>
        <w:t xml:space="preserve">Industry representatives feel </w:t>
      </w:r>
      <w:r w:rsidR="00704BA8">
        <w:rPr>
          <w:rFonts w:cstheme="minorHAnsi"/>
          <w:lang w:val="en-US"/>
        </w:rPr>
        <w:t xml:space="preserve">there is a </w:t>
      </w:r>
      <w:r w:rsidR="00704BA8" w:rsidRPr="00717C04">
        <w:rPr>
          <w:rFonts w:cstheme="minorHAnsi"/>
          <w:lang w:val="en-US"/>
        </w:rPr>
        <w:t xml:space="preserve">need for increased government support in promoting the domestic Australian </w:t>
      </w:r>
      <w:r w:rsidR="00704BA8">
        <w:rPr>
          <w:rFonts w:cstheme="minorHAnsi"/>
          <w:lang w:val="en-US"/>
        </w:rPr>
        <w:t xml:space="preserve">Aircraft Manufacturing and Repair Services </w:t>
      </w:r>
      <w:r w:rsidR="00704BA8" w:rsidRPr="00717C04">
        <w:rPr>
          <w:rFonts w:cstheme="minorHAnsi"/>
          <w:lang w:val="en-US"/>
        </w:rPr>
        <w:t xml:space="preserve">industry in export markets and </w:t>
      </w:r>
      <w:r w:rsidR="00704BA8">
        <w:rPr>
          <w:rFonts w:cstheme="minorHAnsi"/>
          <w:lang w:val="en-US"/>
        </w:rPr>
        <w:t xml:space="preserve">to </w:t>
      </w:r>
      <w:r w:rsidR="00704BA8" w:rsidRPr="00717C04">
        <w:rPr>
          <w:rFonts w:cstheme="minorHAnsi"/>
          <w:lang w:val="en-US"/>
        </w:rPr>
        <w:t xml:space="preserve">take a strategic approach to securing more work and long term </w:t>
      </w:r>
      <w:r w:rsidR="00820036" w:rsidRPr="00717C04">
        <w:rPr>
          <w:rFonts w:cstheme="minorHAnsi"/>
          <w:lang w:val="en-US"/>
        </w:rPr>
        <w:t>Defence</w:t>
      </w:r>
      <w:r w:rsidR="00704BA8" w:rsidRPr="00717C04">
        <w:rPr>
          <w:rFonts w:cstheme="minorHAnsi"/>
          <w:lang w:val="en-US"/>
        </w:rPr>
        <w:t xml:space="preserve"> partne</w:t>
      </w:r>
      <w:r w:rsidR="006066BB">
        <w:rPr>
          <w:rFonts w:cstheme="minorHAnsi"/>
          <w:lang w:val="en-US"/>
        </w:rPr>
        <w:t>rships.</w:t>
      </w:r>
    </w:p>
    <w:p w14:paraId="6999CC9B" w14:textId="4D1D012D" w:rsidR="00432C9D" w:rsidRPr="00473B24" w:rsidRDefault="00432C9D" w:rsidP="00473B24">
      <w:pPr>
        <w:pStyle w:val="BodyText1"/>
      </w:pPr>
      <w:r w:rsidRPr="00473B24">
        <w:t xml:space="preserve">There is regard for Australia’s bright minds and the top-quality research work done in this industry. As traditional manufacturing is becoming harder to sustain in an expanding competitive global marketplace, the industry sees future Australian opportunities evolving in the newer sectors such as UAV’s, sports aviation and the space sector. It is believed that </w:t>
      </w:r>
      <w:r w:rsidR="00DE5518">
        <w:t xml:space="preserve">leveraging Australia’s research excellence and transforming it for </w:t>
      </w:r>
      <w:r w:rsidRPr="00473B24">
        <w:t xml:space="preserve">industry </w:t>
      </w:r>
      <w:r w:rsidR="00DE5518">
        <w:t xml:space="preserve">use </w:t>
      </w:r>
      <w:r w:rsidRPr="00473B24">
        <w:t xml:space="preserve">can simulate these new sectors and help Australia enter some niche untapped markets. Further, as the start-up culture in Australia is gaining momentum, collaborative partnerships between industry and research organizations (like universities and the CSIRO) </w:t>
      </w:r>
      <w:r w:rsidR="00C45B3B">
        <w:t>are</w:t>
      </w:r>
      <w:r w:rsidRPr="00473B24">
        <w:t xml:space="preserve"> starting to bear fruit, expanding the industry’s capabil</w:t>
      </w:r>
      <w:r w:rsidR="006066BB">
        <w:t>ities.</w:t>
      </w:r>
    </w:p>
    <w:p w14:paraId="4C4B4281" w14:textId="11220322" w:rsidR="00C042F8" w:rsidRDefault="00C042F8" w:rsidP="00473B24">
      <w:r>
        <w:t xml:space="preserve">R&amp;D activities are important to maintain the Australian industry’s relevance and competitiveness in the global aerospace market. Feedback from industry stakeholders has highlighted that </w:t>
      </w:r>
      <w:r w:rsidR="00DE5518">
        <w:t>R&amp;D investment is mostly</w:t>
      </w:r>
      <w:r w:rsidR="00DE5518" w:rsidRPr="00933D93">
        <w:t xml:space="preserve"> undertaken by larger businesses, </w:t>
      </w:r>
      <w:r w:rsidR="00C45B3B">
        <w:t xml:space="preserve">as these businesses generally have a </w:t>
      </w:r>
      <w:r w:rsidR="00DE5518" w:rsidRPr="00933D93">
        <w:t>broad technological base as well as enough resources to</w:t>
      </w:r>
      <w:r w:rsidR="00DE5518" w:rsidRPr="00201B81">
        <w:t xml:space="preserve"> sustain the</w:t>
      </w:r>
      <w:r w:rsidR="00C45B3B">
        <w:t xml:space="preserve"> business </w:t>
      </w:r>
      <w:r w:rsidR="00DE5518" w:rsidRPr="00201B81">
        <w:t xml:space="preserve">before a new product/service starts bearing a return on investment. Many SMEs </w:t>
      </w:r>
      <w:r w:rsidR="00F42EB2">
        <w:t xml:space="preserve">also </w:t>
      </w:r>
      <w:r w:rsidR="00DE5518" w:rsidRPr="00201B81">
        <w:t xml:space="preserve">have </w:t>
      </w:r>
      <w:r w:rsidR="00F42EB2">
        <w:t>strong</w:t>
      </w:r>
      <w:r w:rsidR="00DE5518" w:rsidRPr="00201B81">
        <w:t xml:space="preserve"> technological capabilities, but hit roadblocks on the path to commercialisation, mostly due to a lack of adequate funds.</w:t>
      </w:r>
      <w:r w:rsidR="00DE5518">
        <w:t xml:space="preserve"> </w:t>
      </w:r>
      <w:r w:rsidR="00085A3A">
        <w:t xml:space="preserve">While </w:t>
      </w:r>
      <w:r w:rsidR="00492EA6">
        <w:t xml:space="preserve">the level </w:t>
      </w:r>
      <w:r>
        <w:t>of</w:t>
      </w:r>
      <w:r w:rsidR="00085A3A">
        <w:t xml:space="preserve"> R&amp;D</w:t>
      </w:r>
      <w:r>
        <w:t xml:space="preserve"> investment </w:t>
      </w:r>
      <w:r w:rsidR="00492EA6">
        <w:t xml:space="preserve">made by Australia </w:t>
      </w:r>
      <w:r>
        <w:t xml:space="preserve">in </w:t>
      </w:r>
      <w:r w:rsidR="00085A3A">
        <w:t xml:space="preserve">the aerospace sector has been </w:t>
      </w:r>
      <w:r w:rsidR="00492EA6">
        <w:t xml:space="preserve">pared down since the early 2000s, </w:t>
      </w:r>
      <w:r w:rsidR="00085A3A">
        <w:t>the ‘R&amp;D intensity index’ classifies Australia as a high R&amp;D intensity industry based on average industry investments across OECD countries.</w:t>
      </w:r>
      <w:r w:rsidR="001B6AE2">
        <w:t xml:space="preserve"> Australia’s high technological standards and</w:t>
      </w:r>
      <w:r w:rsidR="00D35878">
        <w:t xml:space="preserve"> </w:t>
      </w:r>
      <w:r w:rsidR="001B6AE2">
        <w:t xml:space="preserve">innovation is highly regarded in the global aerospace market. Further, </w:t>
      </w:r>
      <w:r>
        <w:t>the industry’s increasing collaboration with Australian universities and other research organisations is paving paths for the Australian industry in newer segments</w:t>
      </w:r>
      <w:r w:rsidR="006066BB">
        <w:t xml:space="preserve"> within the aerospace practice.</w:t>
      </w:r>
    </w:p>
    <w:p w14:paraId="6520491D" w14:textId="77777777" w:rsidR="006066BB" w:rsidRDefault="006066BB" w:rsidP="00473B24">
      <w:pPr>
        <w:pStyle w:val="BodyText1"/>
        <w:sectPr w:rsidR="006066BB" w:rsidSect="00E361BD">
          <w:pgSz w:w="11906" w:h="16838"/>
          <w:pgMar w:top="1985" w:right="1440" w:bottom="1440" w:left="1440" w:header="709" w:footer="709" w:gutter="0"/>
          <w:cols w:space="708"/>
          <w:titlePg/>
          <w:docGrid w:linePitch="360"/>
        </w:sectPr>
      </w:pPr>
    </w:p>
    <w:p w14:paraId="7E4333CA" w14:textId="60DEF9C1" w:rsidR="00C042F8" w:rsidRDefault="00C042F8" w:rsidP="00473B24">
      <w:pPr>
        <w:pStyle w:val="BodyText1"/>
      </w:pPr>
      <w:r>
        <w:lastRenderedPageBreak/>
        <w:t xml:space="preserve">Analysis of the </w:t>
      </w:r>
      <w:r w:rsidR="00555E98">
        <w:t>Aircraft Manufacturing and Repair Services</w:t>
      </w:r>
      <w:r w:rsidR="001B6AE2">
        <w:t xml:space="preserve"> industry’s activities in the international market and in</w:t>
      </w:r>
      <w:r w:rsidR="00492EA6">
        <w:t xml:space="preserve">tegration </w:t>
      </w:r>
      <w:r w:rsidR="001B6AE2">
        <w:t xml:space="preserve">in global supply chains indicates a strong global position for the industry. While </w:t>
      </w:r>
      <w:r w:rsidR="00FA57EF">
        <w:t xml:space="preserve">a significant proportion of the </w:t>
      </w:r>
      <w:r w:rsidR="001B6AE2">
        <w:t>industry’s supply to the domestic market</w:t>
      </w:r>
      <w:r w:rsidR="00F42EB2">
        <w:t xml:space="preserve"> (</w:t>
      </w:r>
      <w:r w:rsidR="00FA57EF">
        <w:t xml:space="preserve">including commercial </w:t>
      </w:r>
      <w:r w:rsidR="002439CF">
        <w:t>aircraft</w:t>
      </w:r>
      <w:r w:rsidR="00FA57EF">
        <w:t xml:space="preserve"> as well as aircraft parts</w:t>
      </w:r>
      <w:r w:rsidR="00F42EB2">
        <w:t>)</w:t>
      </w:r>
      <w:r w:rsidR="001B6AE2">
        <w:t xml:space="preserve"> </w:t>
      </w:r>
      <w:r w:rsidR="00FA57EF">
        <w:t xml:space="preserve">is sourced from overseas, </w:t>
      </w:r>
      <w:r w:rsidR="001B6AE2">
        <w:t>there has been a spike in exports of aircraft components to both civil and defence sectors</w:t>
      </w:r>
      <w:r w:rsidR="00FA57EF">
        <w:t xml:space="preserve"> in the past decade</w:t>
      </w:r>
      <w:r w:rsidR="001B6AE2">
        <w:t xml:space="preserve">. </w:t>
      </w:r>
      <w:r w:rsidR="00FA57EF">
        <w:t xml:space="preserve">USA is our largest trading partner, accounting for nearly half of our imports </w:t>
      </w:r>
      <w:r w:rsidR="00F42EB2">
        <w:t>and</w:t>
      </w:r>
      <w:r w:rsidR="00FA57EF">
        <w:t xml:space="preserve"> exports</w:t>
      </w:r>
      <w:r w:rsidR="00F42EB2">
        <w:t xml:space="preserve"> in this sector</w:t>
      </w:r>
      <w:r w:rsidR="00FA57EF">
        <w:t xml:space="preserve">. </w:t>
      </w:r>
    </w:p>
    <w:p w14:paraId="7326BFEB" w14:textId="23D0FC4B" w:rsidR="00C042F8" w:rsidRDefault="00C3483C" w:rsidP="00473B24">
      <w:pPr>
        <w:pStyle w:val="BodyText1"/>
      </w:pPr>
      <w:r>
        <w:t>A further understanding of</w:t>
      </w:r>
      <w:r w:rsidR="00C042F8">
        <w:t xml:space="preserve"> the economic contribution of the </w:t>
      </w:r>
      <w:r w:rsidR="00555E98">
        <w:t>Aircraft Manufacturing and Repair Services</w:t>
      </w:r>
      <w:r w:rsidR="00C042F8">
        <w:t xml:space="preserve"> </w:t>
      </w:r>
      <w:r>
        <w:t xml:space="preserve">industry </w:t>
      </w:r>
      <w:r w:rsidR="00C042F8">
        <w:t>as well as its interactions with other industries</w:t>
      </w:r>
      <w:r>
        <w:t xml:space="preserve"> was provided through an </w:t>
      </w:r>
      <w:r w:rsidR="00C042F8">
        <w:t xml:space="preserve">economic modelling </w:t>
      </w:r>
      <w:r>
        <w:t xml:space="preserve">simulation. </w:t>
      </w:r>
      <w:r w:rsidR="00A5329A">
        <w:t xml:space="preserve">The simulation results indicate </w:t>
      </w:r>
      <w:r>
        <w:t xml:space="preserve">that </w:t>
      </w:r>
      <w:r w:rsidR="00F42EB2">
        <w:t>the industries contribution to the Australian economy extends beyond its direct impacts.  T</w:t>
      </w:r>
      <w:r w:rsidR="00A5329A" w:rsidRPr="006F7BAC">
        <w:t xml:space="preserve">he </w:t>
      </w:r>
      <w:r w:rsidR="00F42EB2">
        <w:t xml:space="preserve">industry’s </w:t>
      </w:r>
      <w:r w:rsidR="00A5329A" w:rsidRPr="006F7BAC">
        <w:t xml:space="preserve">annual </w:t>
      </w:r>
      <w:r w:rsidR="00F42EB2">
        <w:t xml:space="preserve">direct and indirect </w:t>
      </w:r>
      <w:r w:rsidR="00A5329A" w:rsidRPr="006F7BAC">
        <w:t>contribution to</w:t>
      </w:r>
      <w:r w:rsidR="00C042F8" w:rsidRPr="006F7BAC">
        <w:t xml:space="preserve"> GDP </w:t>
      </w:r>
      <w:r w:rsidR="00F42EB2">
        <w:t xml:space="preserve">is </w:t>
      </w:r>
      <w:r w:rsidR="00A5329A" w:rsidRPr="006F7BAC">
        <w:t xml:space="preserve">estimated to be nearly </w:t>
      </w:r>
      <w:r w:rsidR="00C042F8" w:rsidRPr="006F7BAC">
        <w:t>$</w:t>
      </w:r>
      <w:r w:rsidR="00F42EB2">
        <w:t>2.9 b</w:t>
      </w:r>
      <w:r w:rsidR="00C042F8" w:rsidRPr="006F7BAC">
        <w:t>illion on average</w:t>
      </w:r>
      <w:r w:rsidR="00A5329A" w:rsidRPr="006F7BAC">
        <w:t xml:space="preserve"> and </w:t>
      </w:r>
      <w:r w:rsidR="00F42EB2" w:rsidRPr="00F42EB2">
        <w:t>18,285</w:t>
      </w:r>
      <w:r w:rsidR="00A5329A" w:rsidRPr="006F7BAC">
        <w:t xml:space="preserve"> jobs across Australian industries. </w:t>
      </w:r>
    </w:p>
    <w:p w14:paraId="309D9E2C" w14:textId="77777777" w:rsidR="00E361BD" w:rsidRDefault="0020692B" w:rsidP="00473B24">
      <w:pPr>
        <w:pStyle w:val="BodyText1"/>
        <w:sectPr w:rsidR="00E361BD" w:rsidSect="00E361BD">
          <w:pgSz w:w="11906" w:h="16838"/>
          <w:pgMar w:top="1985" w:right="1440" w:bottom="1440" w:left="1440" w:header="709" w:footer="709" w:gutter="0"/>
          <w:cols w:space="708"/>
          <w:titlePg/>
          <w:docGrid w:linePitch="360"/>
        </w:sectPr>
      </w:pPr>
      <w:r w:rsidRPr="00492EA6">
        <w:t>Fundamentally</w:t>
      </w:r>
      <w:r w:rsidR="00492EA6" w:rsidRPr="00473B24">
        <w:t>, Australia’s Aircraft Manufacturing and Repair Services industry is driven by its business capabilities and technical expertise, rather than high volumes in the</w:t>
      </w:r>
      <w:r w:rsidR="00492EA6">
        <w:t xml:space="preserve"> global</w:t>
      </w:r>
      <w:r w:rsidR="00492EA6" w:rsidRPr="00473B24">
        <w:t xml:space="preserve"> aerospace </w:t>
      </w:r>
      <w:r w:rsidR="00492EA6">
        <w:t xml:space="preserve">market. </w:t>
      </w:r>
      <w:r w:rsidR="00492EA6" w:rsidRPr="00473B24">
        <w:t>Re</w:t>
      </w:r>
      <w:r w:rsidR="00492EA6">
        <w:t xml:space="preserve">forming </w:t>
      </w:r>
      <w:r w:rsidRPr="00492EA6">
        <w:t>the industry to meet changing demands</w:t>
      </w:r>
      <w:r w:rsidR="00492EA6">
        <w:t xml:space="preserve"> is</w:t>
      </w:r>
      <w:r w:rsidR="00492EA6" w:rsidRPr="00492EA6">
        <w:t xml:space="preserve"> vital for </w:t>
      </w:r>
      <w:r w:rsidR="00492EA6">
        <w:t>its sustena</w:t>
      </w:r>
      <w:r w:rsidR="00492EA6" w:rsidRPr="00492EA6">
        <w:t>nce.</w:t>
      </w:r>
      <w:r w:rsidR="00492EA6">
        <w:t xml:space="preserve"> </w:t>
      </w:r>
    </w:p>
    <w:p w14:paraId="3C952BEA" w14:textId="77777777" w:rsidR="004523D7" w:rsidRPr="008D6E2F" w:rsidRDefault="004523D7" w:rsidP="0011521D">
      <w:pPr>
        <w:pStyle w:val="Heading2"/>
      </w:pPr>
      <w:bookmarkStart w:id="279" w:name="_Toc26537901"/>
      <w:r>
        <w:lastRenderedPageBreak/>
        <w:t xml:space="preserve">Appendix: </w:t>
      </w:r>
      <w:r w:rsidR="00AD1592">
        <w:t>KPMG</w:t>
      </w:r>
      <w:r w:rsidR="00AD1592" w:rsidRPr="00570028">
        <w:t>–</w:t>
      </w:r>
      <w:r w:rsidR="00AD1592">
        <w:t xml:space="preserve">CGE </w:t>
      </w:r>
      <w:r w:rsidR="00AD1592" w:rsidRPr="00ED3D00">
        <w:t xml:space="preserve">Model </w:t>
      </w:r>
      <w:r w:rsidR="00AD1592">
        <w:t>D</w:t>
      </w:r>
      <w:r w:rsidR="00AD1592" w:rsidRPr="00ED3D00">
        <w:t>escription</w:t>
      </w:r>
      <w:bookmarkEnd w:id="279"/>
      <w:r w:rsidR="00AD1592" w:rsidRPr="008D6E2F">
        <w:t xml:space="preserve"> </w:t>
      </w:r>
    </w:p>
    <w:p w14:paraId="41C28C18" w14:textId="36E1C0F5" w:rsidR="00ED3D00" w:rsidRDefault="00ED3D00" w:rsidP="00474933">
      <w:pPr>
        <w:pStyle w:val="BodyText1"/>
      </w:pPr>
      <w:bookmarkStart w:id="280" w:name="_Toc536113672"/>
      <w:bookmarkStart w:id="281" w:name="_Toc536113682"/>
      <w:bookmarkStart w:id="282" w:name="_Toc536124765"/>
      <w:bookmarkStart w:id="283" w:name="_Toc536113687"/>
      <w:bookmarkStart w:id="284" w:name="_Toc536124769"/>
      <w:bookmarkStart w:id="285" w:name="_Toc536113692"/>
      <w:bookmarkStart w:id="286" w:name="_Toc536124773"/>
      <w:bookmarkStart w:id="287" w:name="_Toc536113697"/>
      <w:bookmarkStart w:id="288" w:name="_Toc536124777"/>
      <w:bookmarkStart w:id="289" w:name="_Toc536113702"/>
      <w:bookmarkStart w:id="290" w:name="_Toc536124781"/>
      <w:bookmarkStart w:id="291" w:name="_Toc536113707"/>
      <w:bookmarkStart w:id="292" w:name="_Toc536124785"/>
      <w:bookmarkStart w:id="293" w:name="_Toc536113712"/>
      <w:bookmarkStart w:id="294" w:name="_Toc536124789"/>
      <w:bookmarkStart w:id="295" w:name="_Toc536113717"/>
      <w:bookmarkStart w:id="296" w:name="_Toc536124793"/>
      <w:bookmarkStart w:id="297" w:name="_Toc536113722"/>
      <w:bookmarkStart w:id="298" w:name="_Toc536124797"/>
      <w:bookmarkStart w:id="299" w:name="_Toc536113727"/>
      <w:bookmarkStart w:id="300" w:name="_Toc536124801"/>
      <w:bookmarkStart w:id="301" w:name="_Toc536113732"/>
      <w:bookmarkStart w:id="302" w:name="_Toc536124805"/>
      <w:bookmarkStart w:id="303" w:name="_Toc536113737"/>
      <w:bookmarkStart w:id="304" w:name="_Toc536124809"/>
      <w:bookmarkStart w:id="305" w:name="_Toc536113742"/>
      <w:bookmarkStart w:id="306" w:name="_Toc536124813"/>
      <w:bookmarkStart w:id="307" w:name="_Toc536113747"/>
      <w:bookmarkStart w:id="308" w:name="_Toc536124817"/>
      <w:bookmarkStart w:id="309" w:name="_Toc536113752"/>
      <w:bookmarkStart w:id="310" w:name="_Toc536124821"/>
      <w:bookmarkStart w:id="311" w:name="_Toc536113757"/>
      <w:bookmarkStart w:id="312" w:name="_Toc536124825"/>
      <w:bookmarkStart w:id="313" w:name="_Toc536113762"/>
      <w:bookmarkStart w:id="314" w:name="_Toc536124829"/>
      <w:bookmarkStart w:id="315" w:name="_Toc536113767"/>
      <w:bookmarkStart w:id="316" w:name="_Toc536124833"/>
      <w:bookmarkStart w:id="317" w:name="_Toc536113772"/>
      <w:bookmarkStart w:id="318" w:name="_Toc536124837"/>
      <w:bookmarkStart w:id="319" w:name="_Toc536113777"/>
      <w:bookmarkStart w:id="320" w:name="_Toc536124841"/>
      <w:bookmarkStart w:id="321" w:name="_Toc536113782"/>
      <w:bookmarkStart w:id="322" w:name="_Toc536124845"/>
      <w:bookmarkStart w:id="323" w:name="_Toc536113787"/>
      <w:bookmarkStart w:id="324" w:name="_Toc536124849"/>
      <w:bookmarkStart w:id="325" w:name="_Toc536113792"/>
      <w:bookmarkStart w:id="326" w:name="_Toc536124853"/>
      <w:bookmarkStart w:id="327" w:name="_Toc536113797"/>
      <w:bookmarkStart w:id="328" w:name="_Toc536124857"/>
      <w:bookmarkStart w:id="329" w:name="_Toc536113802"/>
      <w:bookmarkStart w:id="330" w:name="_Toc536124861"/>
      <w:bookmarkStart w:id="331" w:name="_Toc536113807"/>
      <w:bookmarkStart w:id="332" w:name="_Toc536124865"/>
      <w:bookmarkStart w:id="333" w:name="_Toc536113812"/>
      <w:bookmarkStart w:id="334" w:name="_Toc536124869"/>
      <w:bookmarkStart w:id="335" w:name="_Toc536113818"/>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t>KPMG</w:t>
      </w:r>
      <w:r w:rsidR="00570028" w:rsidRPr="00570028">
        <w:t>–</w:t>
      </w:r>
      <w:r>
        <w:t>CGE is a computable general equilibrium (CGE) model that represents the Australian economy across produc</w:t>
      </w:r>
      <w:r w:rsidR="006066BB">
        <w:t>ers, households and government.</w:t>
      </w:r>
    </w:p>
    <w:p w14:paraId="5F85579F" w14:textId="77777777" w:rsidR="00ED3D00" w:rsidRPr="0011521D" w:rsidRDefault="00ED3D00" w:rsidP="0011521D">
      <w:pPr>
        <w:pStyle w:val="Heading3"/>
      </w:pPr>
      <w:bookmarkStart w:id="336" w:name="_Toc26537902"/>
      <w:r w:rsidRPr="0011521D">
        <w:t>Model theory</w:t>
      </w:r>
      <w:bookmarkEnd w:id="336"/>
    </w:p>
    <w:p w14:paraId="197F65FA" w14:textId="5A4917BC" w:rsidR="00ED3D00" w:rsidRPr="008471DA" w:rsidRDefault="00ED3D00" w:rsidP="00720136">
      <w:pPr>
        <w:pStyle w:val="BodyText1"/>
        <w:rPr>
          <w:lang w:val="en-GB"/>
        </w:rPr>
      </w:pPr>
      <w:r w:rsidRPr="008471DA">
        <w:rPr>
          <w:lang w:val="en-GB"/>
        </w:rPr>
        <w:t>KPMG</w:t>
      </w:r>
      <w:r w:rsidR="00570028" w:rsidRPr="00570028">
        <w:rPr>
          <w:lang w:val="en-GB"/>
        </w:rPr>
        <w:t>–</w:t>
      </w:r>
      <w:r>
        <w:rPr>
          <w:lang w:val="en-GB"/>
        </w:rPr>
        <w:t>CGE</w:t>
      </w:r>
      <w:r w:rsidRPr="008471DA">
        <w:rPr>
          <w:lang w:val="en-GB"/>
        </w:rPr>
        <w:t xml:space="preserve"> models the economy as a system of interrelated economic agents operating in competitive markets. Economic theory is used to specify the behaviour and market interactions of economic agents, including consumers, investors, producers and governments operating in domestic and foreign goods, capital and labour markets. Defining features of th</w:t>
      </w:r>
      <w:r>
        <w:rPr>
          <w:lang w:val="en-GB"/>
        </w:rPr>
        <w:t>e theoretical structure of KPMG</w:t>
      </w:r>
      <w:r w:rsidR="00570028" w:rsidRPr="00570028">
        <w:rPr>
          <w:lang w:val="en-GB"/>
        </w:rPr>
        <w:t>–</w:t>
      </w:r>
      <w:r>
        <w:rPr>
          <w:lang w:val="en-GB"/>
        </w:rPr>
        <w:t xml:space="preserve">CGE </w:t>
      </w:r>
      <w:r w:rsidR="006066BB">
        <w:rPr>
          <w:lang w:val="en-GB"/>
        </w:rPr>
        <w:t>include:</w:t>
      </w:r>
    </w:p>
    <w:p w14:paraId="4777DAEC" w14:textId="4120615C" w:rsidR="00ED3D00" w:rsidRPr="008471DA" w:rsidRDefault="00ED3D00" w:rsidP="00D22F1A">
      <w:pPr>
        <w:pStyle w:val="Bullet1stlevel"/>
        <w:rPr>
          <w:lang w:val="en-GB"/>
        </w:rPr>
      </w:pPr>
      <w:r w:rsidRPr="008471DA">
        <w:rPr>
          <w:lang w:val="en-GB"/>
        </w:rPr>
        <w:t>Optimising behaviour by households and businesses in the context of competitive markets with explicit resource con</w:t>
      </w:r>
      <w:r>
        <w:rPr>
          <w:lang w:val="en-GB"/>
        </w:rPr>
        <w:t>straints and budget constraints;</w:t>
      </w:r>
    </w:p>
    <w:p w14:paraId="5C1664ED" w14:textId="77777777" w:rsidR="00ED3D00" w:rsidRPr="008471DA" w:rsidRDefault="00ED3D00" w:rsidP="00D22F1A">
      <w:pPr>
        <w:pStyle w:val="Bullet1stlevel"/>
        <w:rPr>
          <w:lang w:val="en-GB"/>
        </w:rPr>
      </w:pPr>
      <w:r w:rsidRPr="008471DA">
        <w:rPr>
          <w:lang w:val="en-GB"/>
        </w:rPr>
        <w:t>The price mechanism operates to clear markets for goods and factors such as labour and capital (i.e. prices adjust so that supply equals demand)</w:t>
      </w:r>
      <w:r>
        <w:rPr>
          <w:lang w:val="en-GB"/>
        </w:rPr>
        <w:t>; and</w:t>
      </w:r>
    </w:p>
    <w:p w14:paraId="622AC617" w14:textId="52E7E607" w:rsidR="00ED3D00" w:rsidRPr="008471DA" w:rsidRDefault="00ED3D00" w:rsidP="00D22F1A">
      <w:pPr>
        <w:pStyle w:val="Bullet1stlevel"/>
        <w:rPr>
          <w:lang w:val="en-GB"/>
        </w:rPr>
      </w:pPr>
      <w:r w:rsidRPr="008471DA">
        <w:rPr>
          <w:lang w:val="en-GB"/>
        </w:rPr>
        <w:t>At the margin, costs are equal to reven</w:t>
      </w:r>
      <w:r w:rsidR="006066BB">
        <w:rPr>
          <w:lang w:val="en-GB"/>
        </w:rPr>
        <w:t>ues in all economic activities.</w:t>
      </w:r>
    </w:p>
    <w:p w14:paraId="1DFE5313" w14:textId="77777777" w:rsidR="00ED3D00" w:rsidRPr="0011521D" w:rsidRDefault="00ED3D00" w:rsidP="0011521D">
      <w:pPr>
        <w:pStyle w:val="Heading3"/>
      </w:pPr>
      <w:bookmarkStart w:id="337" w:name="_Toc26537903"/>
      <w:r w:rsidRPr="0011521D">
        <w:t>Model data</w:t>
      </w:r>
      <w:bookmarkEnd w:id="337"/>
    </w:p>
    <w:p w14:paraId="40C5B6E6" w14:textId="77777777" w:rsidR="00ED3D00" w:rsidRPr="008471DA" w:rsidRDefault="00ED3D00" w:rsidP="00720136">
      <w:pPr>
        <w:pStyle w:val="BodyText1"/>
        <w:rPr>
          <w:lang w:val="en-GB"/>
        </w:rPr>
      </w:pPr>
      <w:r w:rsidRPr="008471DA">
        <w:rPr>
          <w:lang w:val="en-GB"/>
        </w:rPr>
        <w:t>The key data input used by KPMG</w:t>
      </w:r>
      <w:r w:rsidR="00570028" w:rsidRPr="00570028">
        <w:rPr>
          <w:lang w:val="en-GB"/>
        </w:rPr>
        <w:t>–</w:t>
      </w:r>
      <w:r>
        <w:rPr>
          <w:lang w:val="en-GB"/>
        </w:rPr>
        <w:t>CGE</w:t>
      </w:r>
      <w:r w:rsidRPr="008471DA">
        <w:rPr>
          <w:lang w:val="en-GB"/>
        </w:rPr>
        <w:t xml:space="preserve"> is an input</w:t>
      </w:r>
      <w:r w:rsidR="00766ECE">
        <w:rPr>
          <w:lang w:val="en-GB"/>
        </w:rPr>
        <w:t>–</w:t>
      </w:r>
      <w:r w:rsidRPr="008471DA">
        <w:rPr>
          <w:lang w:val="en-GB"/>
        </w:rPr>
        <w:t xml:space="preserve">output table </w:t>
      </w:r>
      <w:r>
        <w:rPr>
          <w:lang w:val="en-GB"/>
        </w:rPr>
        <w:t>that</w:t>
      </w:r>
      <w:r w:rsidRPr="008471DA">
        <w:rPr>
          <w:lang w:val="en-GB"/>
        </w:rPr>
        <w:t xml:space="preserve"> quantifies the flows of goods and services between producers and various users (e.g., intermediate inputs to other producers, inputs to capital creators, households, governments and foreigners) and the flows associated with primary factor inputs (i.e., labour, capital, land and natural resources). In KPMG</w:t>
      </w:r>
      <w:r w:rsidR="00570028" w:rsidRPr="00570028">
        <w:rPr>
          <w:lang w:val="en-GB"/>
        </w:rPr>
        <w:t>–</w:t>
      </w:r>
      <w:r>
        <w:rPr>
          <w:lang w:val="en-GB"/>
        </w:rPr>
        <w:t>CGE</w:t>
      </w:r>
      <w:r w:rsidRPr="008471DA">
        <w:rPr>
          <w:lang w:val="en-GB"/>
        </w:rPr>
        <w:t xml:space="preserve"> the </w:t>
      </w:r>
      <w:r>
        <w:rPr>
          <w:lang w:val="en-GB"/>
        </w:rPr>
        <w:t>input</w:t>
      </w:r>
      <w:r w:rsidR="00766ECE">
        <w:rPr>
          <w:lang w:val="en-GB"/>
        </w:rPr>
        <w:t>–</w:t>
      </w:r>
      <w:r>
        <w:rPr>
          <w:lang w:val="en-GB"/>
        </w:rPr>
        <w:t>output</w:t>
      </w:r>
      <w:r w:rsidRPr="008471DA">
        <w:rPr>
          <w:lang w:val="en-GB"/>
        </w:rPr>
        <w:t xml:space="preserve"> database is combined with the model’s theoretical structure to quantify sophisticated economic behavioural responses, including to:</w:t>
      </w:r>
    </w:p>
    <w:p w14:paraId="7C067BD4" w14:textId="77777777" w:rsidR="00ED3D00" w:rsidRPr="008471DA" w:rsidRDefault="00ED3D00" w:rsidP="00D22F1A">
      <w:pPr>
        <w:pStyle w:val="Bullet1stlevel"/>
        <w:rPr>
          <w:lang w:val="en-GB"/>
        </w:rPr>
      </w:pPr>
      <w:r>
        <w:rPr>
          <w:lang w:val="en-GB"/>
        </w:rPr>
        <w:t>P</w:t>
      </w:r>
      <w:r w:rsidRPr="008471DA">
        <w:rPr>
          <w:lang w:val="en-GB"/>
        </w:rPr>
        <w:t>rice and wage adjustments driven by resource constraints</w:t>
      </w:r>
      <w:r>
        <w:rPr>
          <w:lang w:val="en-GB"/>
        </w:rPr>
        <w:t>;</w:t>
      </w:r>
    </w:p>
    <w:p w14:paraId="1FC971E6" w14:textId="77777777" w:rsidR="00ED3D00" w:rsidRPr="008471DA" w:rsidRDefault="00ED3D00" w:rsidP="00D22F1A">
      <w:pPr>
        <w:pStyle w:val="Bullet1stlevel"/>
        <w:rPr>
          <w:lang w:val="en-GB"/>
        </w:rPr>
      </w:pPr>
      <w:r>
        <w:rPr>
          <w:lang w:val="en-GB"/>
        </w:rPr>
        <w:t>P</w:t>
      </w:r>
      <w:r w:rsidRPr="008471DA">
        <w:rPr>
          <w:lang w:val="en-GB"/>
        </w:rPr>
        <w:t>rice and tax and/or government spending adjustments driven by budget constraints</w:t>
      </w:r>
      <w:r>
        <w:rPr>
          <w:lang w:val="en-GB"/>
        </w:rPr>
        <w:t>;</w:t>
      </w:r>
    </w:p>
    <w:p w14:paraId="0E233E07" w14:textId="77777777" w:rsidR="00ED3D00" w:rsidRPr="008471DA" w:rsidRDefault="00ED3D00" w:rsidP="00D22F1A">
      <w:pPr>
        <w:pStyle w:val="Bullet1stlevel"/>
        <w:rPr>
          <w:lang w:val="en-GB"/>
        </w:rPr>
      </w:pPr>
      <w:r>
        <w:rPr>
          <w:lang w:val="en-GB"/>
        </w:rPr>
        <w:t>A</w:t>
      </w:r>
      <w:r w:rsidRPr="008471DA">
        <w:rPr>
          <w:lang w:val="en-GB"/>
        </w:rPr>
        <w:t>llow for input substitution possibilities in production (e.g., allowing the combination of labour, capital, and other inputs required to produce a particular output to vary in response to relative price changes)</w:t>
      </w:r>
      <w:r>
        <w:rPr>
          <w:lang w:val="en-GB"/>
        </w:rPr>
        <w:t>;</w:t>
      </w:r>
    </w:p>
    <w:p w14:paraId="790F523B" w14:textId="77777777" w:rsidR="00ED3D00" w:rsidRPr="008471DA" w:rsidRDefault="00ED3D00" w:rsidP="00D22F1A">
      <w:pPr>
        <w:pStyle w:val="Bullet1stlevel"/>
        <w:rPr>
          <w:lang w:val="en-GB"/>
        </w:rPr>
      </w:pPr>
      <w:r>
        <w:rPr>
          <w:lang w:val="en-GB"/>
        </w:rPr>
        <w:t>C</w:t>
      </w:r>
      <w:r w:rsidRPr="008471DA">
        <w:rPr>
          <w:lang w:val="en-GB"/>
        </w:rPr>
        <w:t>apture a wide set of economic impacts driven by the responses of consumers, investors, foreigners and other agents to changes in prices, taxes, tec</w:t>
      </w:r>
      <w:r>
        <w:rPr>
          <w:lang w:val="en-GB"/>
        </w:rPr>
        <w:t>hnical change and taste changes; and</w:t>
      </w:r>
      <w:r w:rsidRPr="008471DA">
        <w:rPr>
          <w:lang w:val="en-GB"/>
        </w:rPr>
        <w:t xml:space="preserve"> </w:t>
      </w:r>
    </w:p>
    <w:p w14:paraId="5BD28A68" w14:textId="257069E5" w:rsidR="00ED3D00" w:rsidRPr="00354E67" w:rsidRDefault="00ED3D00" w:rsidP="00D22F1A">
      <w:pPr>
        <w:pStyle w:val="Bullet1stlevel"/>
        <w:rPr>
          <w:lang w:val="en-GB"/>
        </w:rPr>
      </w:pPr>
      <w:r>
        <w:rPr>
          <w:lang w:val="en-GB"/>
        </w:rPr>
        <w:t>D</w:t>
      </w:r>
      <w:r w:rsidRPr="00354E67">
        <w:rPr>
          <w:lang w:val="en-GB"/>
        </w:rPr>
        <w:t>etailed modelling of state and federal government fiscal accounts and balance sheets, including the accumulation of public assets and liabilities.</w:t>
      </w:r>
    </w:p>
    <w:p w14:paraId="3714A40E" w14:textId="77777777" w:rsidR="00ED3D00" w:rsidRPr="0011521D" w:rsidRDefault="00ED3D00" w:rsidP="0011521D">
      <w:pPr>
        <w:pStyle w:val="Heading3"/>
      </w:pPr>
      <w:bookmarkStart w:id="338" w:name="_Toc26537904"/>
      <w:r w:rsidRPr="0011521D">
        <w:t>Why use a CGE model?</w:t>
      </w:r>
      <w:bookmarkEnd w:id="338"/>
    </w:p>
    <w:p w14:paraId="2DE6729F" w14:textId="31A85F21" w:rsidR="00E361BD" w:rsidRDefault="00ED3D00" w:rsidP="00CF5F96">
      <w:pPr>
        <w:pStyle w:val="BodyText1"/>
        <w:sectPr w:rsidR="00E361BD" w:rsidSect="00E361BD">
          <w:pgSz w:w="11906" w:h="16838"/>
          <w:pgMar w:top="1985" w:right="1440" w:bottom="1440" w:left="1440" w:header="709" w:footer="709" w:gutter="0"/>
          <w:cols w:space="708"/>
          <w:titlePg/>
          <w:docGrid w:linePitch="360"/>
        </w:sectPr>
      </w:pPr>
      <w:r w:rsidRPr="00740313">
        <w:t xml:space="preserve">The theory described above is necessary to quantify impacts across the entire economy. Models without general equilibrium linkages can miss feedback effects that occur from economic agents. </w:t>
      </w:r>
      <w:r w:rsidR="00B01F43">
        <w:t>For example</w:t>
      </w:r>
      <w:r w:rsidRPr="00740313">
        <w:t>, input</w:t>
      </w:r>
      <w:r w:rsidR="00766ECE">
        <w:rPr>
          <w:lang w:val="en-GB"/>
        </w:rPr>
        <w:t>–</w:t>
      </w:r>
      <w:r w:rsidRPr="00740313">
        <w:t>output multipliers</w:t>
      </w:r>
      <w:r w:rsidR="00B01F43">
        <w:t xml:space="preserve"> (which are often used for these types of analysis)</w:t>
      </w:r>
      <w:r w:rsidRPr="00740313">
        <w:t xml:space="preserve"> over-estimate impacts by ignoring</w:t>
      </w:r>
      <w:r w:rsidR="006066BB">
        <w:t xml:space="preserve"> relevant economic constraints.</w:t>
      </w:r>
    </w:p>
    <w:p w14:paraId="7CC806D0" w14:textId="77777777" w:rsidR="00E361BD" w:rsidRPr="006066BB" w:rsidRDefault="00E361BD" w:rsidP="006066BB">
      <w:pPr>
        <w:pStyle w:val="Contactus"/>
        <w:spacing w:before="2000" w:after="720"/>
        <w:ind w:left="425" w:hanging="425"/>
        <w:rPr>
          <w:sz w:val="36"/>
        </w:rPr>
      </w:pPr>
      <w:r w:rsidRPr="006066BB">
        <w:rPr>
          <w:sz w:val="36"/>
        </w:rPr>
        <w:lastRenderedPageBreak/>
        <w:t>Contact us</w:t>
      </w:r>
    </w:p>
    <w:p w14:paraId="20BA5D97" w14:textId="573C9C63" w:rsidR="00E361BD" w:rsidRPr="006066BB" w:rsidRDefault="00B90F03" w:rsidP="00E361BD">
      <w:pPr>
        <w:pStyle w:val="BodyTextSingleSpacing"/>
        <w:rPr>
          <w:rStyle w:val="Strong"/>
          <w:color w:val="FFFFFF" w:themeColor="background1"/>
          <w:sz w:val="24"/>
        </w:rPr>
      </w:pPr>
      <w:r w:rsidRPr="006066BB">
        <w:rPr>
          <w:rStyle w:val="Strong"/>
          <w:color w:val="FFFFFF" w:themeColor="background1"/>
          <w:sz w:val="24"/>
        </w:rPr>
        <w:t>Brendan</w:t>
      </w:r>
      <w:r w:rsidR="00897F79" w:rsidRPr="006066BB">
        <w:rPr>
          <w:rStyle w:val="Strong"/>
          <w:color w:val="FFFFFF" w:themeColor="background1"/>
          <w:sz w:val="24"/>
        </w:rPr>
        <w:t xml:space="preserve"> Rynne </w:t>
      </w:r>
    </w:p>
    <w:p w14:paraId="28A51F6E" w14:textId="6E2F3048" w:rsidR="00E361BD" w:rsidRPr="00E361BD" w:rsidRDefault="00897F79" w:rsidP="00E361BD">
      <w:pPr>
        <w:pStyle w:val="BodyTextSingleSpacing"/>
        <w:rPr>
          <w:rStyle w:val="Strong"/>
          <w:color w:val="FFFFFF" w:themeColor="background1"/>
        </w:rPr>
      </w:pPr>
      <w:r>
        <w:rPr>
          <w:rStyle w:val="Strong"/>
          <w:color w:val="FFFFFF" w:themeColor="background1"/>
        </w:rPr>
        <w:t>Partner</w:t>
      </w:r>
    </w:p>
    <w:p w14:paraId="61B393EE" w14:textId="33E7CE31" w:rsidR="00E361BD" w:rsidRPr="00D913DA" w:rsidRDefault="00E361BD" w:rsidP="00E361BD">
      <w:pPr>
        <w:pStyle w:val="BodyTextSingleSpacing"/>
        <w:rPr>
          <w:color w:val="FFFFFF" w:themeColor="background1"/>
        </w:rPr>
      </w:pPr>
      <w:r w:rsidRPr="00D913DA">
        <w:rPr>
          <w:color w:val="FFFFFF" w:themeColor="background1"/>
        </w:rPr>
        <w:t>+ 61 (</w:t>
      </w:r>
      <w:r w:rsidR="00780464" w:rsidRPr="00D913DA">
        <w:rPr>
          <w:color w:val="FFFFFF" w:themeColor="background1"/>
        </w:rPr>
        <w:t>3</w:t>
      </w:r>
      <w:r w:rsidRPr="00D913DA">
        <w:rPr>
          <w:color w:val="FFFFFF" w:themeColor="background1"/>
        </w:rPr>
        <w:t xml:space="preserve">) </w:t>
      </w:r>
      <w:r w:rsidR="00780464" w:rsidRPr="00D913DA">
        <w:rPr>
          <w:color w:val="FFFFFF" w:themeColor="background1"/>
        </w:rPr>
        <w:t>928</w:t>
      </w:r>
      <w:r w:rsidR="00662DF5" w:rsidRPr="00D913DA">
        <w:rPr>
          <w:color w:val="FFFFFF" w:themeColor="background1"/>
        </w:rPr>
        <w:t xml:space="preserve">8 </w:t>
      </w:r>
      <w:r w:rsidR="00780464" w:rsidRPr="00D913DA">
        <w:rPr>
          <w:color w:val="FFFFFF" w:themeColor="background1"/>
        </w:rPr>
        <w:t>5780</w:t>
      </w:r>
      <w:r w:rsidR="00662DF5" w:rsidRPr="00D913DA">
        <w:rPr>
          <w:color w:val="FFFFFF" w:themeColor="background1"/>
        </w:rPr>
        <w:t xml:space="preserve"> </w:t>
      </w:r>
    </w:p>
    <w:p w14:paraId="413EEA8D" w14:textId="681733E6" w:rsidR="00E361BD" w:rsidRPr="00B14F93" w:rsidRDefault="00FD67F9" w:rsidP="00E361BD">
      <w:pPr>
        <w:pStyle w:val="BodyTextSingleSpacing"/>
        <w:rPr>
          <w:color w:val="FFFFFF" w:themeColor="background1"/>
        </w:rPr>
      </w:pPr>
      <w:hyperlink r:id="rId78" w:history="1">
        <w:r w:rsidR="00B14F93" w:rsidRPr="00B14F93">
          <w:rPr>
            <w:color w:val="FFFFFF" w:themeColor="background1"/>
          </w:rPr>
          <w:t>bjrynne@kpmg.com.au</w:t>
        </w:r>
      </w:hyperlink>
    </w:p>
    <w:p w14:paraId="01CC1C22" w14:textId="77777777" w:rsidR="00B14F93" w:rsidRPr="0075298F" w:rsidRDefault="00B14F93" w:rsidP="00E361BD">
      <w:pPr>
        <w:pStyle w:val="BodyTextSingleSpacing"/>
        <w:rPr>
          <w:color w:val="FFFFFF" w:themeColor="background1"/>
        </w:rPr>
      </w:pPr>
    </w:p>
    <w:p w14:paraId="23563521" w14:textId="77777777" w:rsidR="006066BB" w:rsidRPr="0075298F" w:rsidRDefault="006066BB" w:rsidP="00E361BD">
      <w:pPr>
        <w:pStyle w:val="BodyTextSingleSpacing"/>
        <w:rPr>
          <w:color w:val="FFFFFF" w:themeColor="background1"/>
        </w:rPr>
      </w:pPr>
    </w:p>
    <w:p w14:paraId="469F2F0B" w14:textId="136D1B1D" w:rsidR="00B14F93" w:rsidRPr="006066BB" w:rsidRDefault="00B14F93" w:rsidP="00B14F93">
      <w:pPr>
        <w:pStyle w:val="BodyTextSingleSpacing"/>
        <w:rPr>
          <w:rStyle w:val="Strong"/>
          <w:color w:val="FFFFFF" w:themeColor="background1"/>
          <w:sz w:val="24"/>
        </w:rPr>
      </w:pPr>
      <w:r w:rsidRPr="006066BB">
        <w:rPr>
          <w:rStyle w:val="Strong"/>
          <w:color w:val="FFFFFF" w:themeColor="background1"/>
          <w:sz w:val="24"/>
        </w:rPr>
        <w:t xml:space="preserve">Mike Kalms </w:t>
      </w:r>
    </w:p>
    <w:p w14:paraId="63DCA45E" w14:textId="77777777" w:rsidR="00B14F93" w:rsidRPr="00E361BD" w:rsidRDefault="00B14F93" w:rsidP="00B14F93">
      <w:pPr>
        <w:pStyle w:val="BodyTextSingleSpacing"/>
        <w:rPr>
          <w:rStyle w:val="Strong"/>
          <w:color w:val="FFFFFF" w:themeColor="background1"/>
        </w:rPr>
      </w:pPr>
      <w:r>
        <w:rPr>
          <w:rStyle w:val="Strong"/>
          <w:color w:val="FFFFFF" w:themeColor="background1"/>
        </w:rPr>
        <w:t>Partner</w:t>
      </w:r>
    </w:p>
    <w:p w14:paraId="229A8F27" w14:textId="6DA5CE26" w:rsidR="00B14F93" w:rsidRPr="00D913DA" w:rsidRDefault="00B14F93" w:rsidP="00B14F93">
      <w:pPr>
        <w:pStyle w:val="BodyTextSingleSpacing"/>
        <w:rPr>
          <w:color w:val="FFFFFF" w:themeColor="background1"/>
        </w:rPr>
      </w:pPr>
      <w:r w:rsidRPr="00D913DA">
        <w:rPr>
          <w:color w:val="FFFFFF" w:themeColor="background1"/>
        </w:rPr>
        <w:t xml:space="preserve">+ 61 (3) 9288 </w:t>
      </w:r>
      <w:r>
        <w:rPr>
          <w:color w:val="FFFFFF" w:themeColor="background1"/>
        </w:rPr>
        <w:t>6426</w:t>
      </w:r>
      <w:r w:rsidRPr="00D913DA">
        <w:rPr>
          <w:color w:val="FFFFFF" w:themeColor="background1"/>
        </w:rPr>
        <w:t xml:space="preserve"> </w:t>
      </w:r>
    </w:p>
    <w:p w14:paraId="5D2EFCA8" w14:textId="6A20987C" w:rsidR="00B14F93" w:rsidRPr="00B14F93" w:rsidRDefault="00FD67F9" w:rsidP="00B14F93">
      <w:pPr>
        <w:pStyle w:val="BodyTextSingleSpacing"/>
        <w:rPr>
          <w:color w:val="FFFFFF" w:themeColor="background1"/>
        </w:rPr>
      </w:pPr>
      <w:hyperlink r:id="rId79" w:history="1">
        <w:r w:rsidR="00B14F93" w:rsidRPr="00B14F93">
          <w:rPr>
            <w:color w:val="FFFFFF" w:themeColor="background1"/>
          </w:rPr>
          <w:t>mkalms@kpmg.com.au</w:t>
        </w:r>
      </w:hyperlink>
    </w:p>
    <w:p w14:paraId="2E56993B" w14:textId="77777777" w:rsidR="00B14F93" w:rsidRPr="0075298F" w:rsidRDefault="00B14F93" w:rsidP="00897F79">
      <w:pPr>
        <w:pStyle w:val="BodyTextSingleSpacing"/>
        <w:rPr>
          <w:rStyle w:val="Strong"/>
          <w:color w:val="FFFFFF" w:themeColor="background1"/>
        </w:rPr>
      </w:pPr>
    </w:p>
    <w:p w14:paraId="3D40F90C" w14:textId="77777777" w:rsidR="006066BB" w:rsidRPr="0075298F" w:rsidRDefault="006066BB" w:rsidP="00897F79">
      <w:pPr>
        <w:pStyle w:val="BodyTextSingleSpacing"/>
        <w:rPr>
          <w:rStyle w:val="Strong"/>
          <w:color w:val="FFFFFF" w:themeColor="background1"/>
        </w:rPr>
      </w:pPr>
    </w:p>
    <w:p w14:paraId="41744CA5" w14:textId="03B31477" w:rsidR="00897F79" w:rsidRPr="0075298F" w:rsidRDefault="00897F79" w:rsidP="00897F79">
      <w:pPr>
        <w:pStyle w:val="BodyTextSingleSpacing"/>
        <w:rPr>
          <w:rStyle w:val="Strong"/>
          <w:color w:val="FFFFFF" w:themeColor="background1"/>
          <w:sz w:val="24"/>
        </w:rPr>
      </w:pPr>
      <w:r w:rsidRPr="0075298F">
        <w:rPr>
          <w:rStyle w:val="Strong"/>
          <w:color w:val="FFFFFF" w:themeColor="background1"/>
          <w:sz w:val="24"/>
        </w:rPr>
        <w:t xml:space="preserve">Jodie Patron </w:t>
      </w:r>
    </w:p>
    <w:p w14:paraId="25AD3002" w14:textId="0824CF42" w:rsidR="00897F79" w:rsidRPr="00E361BD" w:rsidRDefault="00897F79" w:rsidP="00897F79">
      <w:pPr>
        <w:pStyle w:val="BodyTextSingleSpacing"/>
        <w:rPr>
          <w:rStyle w:val="Strong"/>
          <w:color w:val="FFFFFF" w:themeColor="background1"/>
        </w:rPr>
      </w:pPr>
      <w:r>
        <w:rPr>
          <w:rStyle w:val="Strong"/>
          <w:color w:val="FFFFFF" w:themeColor="background1"/>
        </w:rPr>
        <w:t xml:space="preserve">Director </w:t>
      </w:r>
    </w:p>
    <w:p w14:paraId="00177CF2" w14:textId="5F38DC03" w:rsidR="00897F79" w:rsidRPr="00E361BD" w:rsidRDefault="00897F79" w:rsidP="00897F79">
      <w:pPr>
        <w:pStyle w:val="BodyTextSingleSpacing"/>
        <w:rPr>
          <w:color w:val="FFFFFF" w:themeColor="background1"/>
        </w:rPr>
      </w:pPr>
      <w:r w:rsidRPr="00E361BD">
        <w:rPr>
          <w:color w:val="FFFFFF" w:themeColor="background1"/>
        </w:rPr>
        <w:t>+ 61 (</w:t>
      </w:r>
      <w:r>
        <w:rPr>
          <w:color w:val="FFFFFF" w:themeColor="background1"/>
        </w:rPr>
        <w:t>2</w:t>
      </w:r>
      <w:r w:rsidRPr="00E361BD">
        <w:rPr>
          <w:color w:val="FFFFFF" w:themeColor="background1"/>
        </w:rPr>
        <w:t xml:space="preserve">) </w:t>
      </w:r>
      <w:r>
        <w:rPr>
          <w:color w:val="FFFFFF" w:themeColor="background1"/>
        </w:rPr>
        <w:t xml:space="preserve">6248 1063 </w:t>
      </w:r>
    </w:p>
    <w:p w14:paraId="2020F694" w14:textId="235D4764" w:rsidR="00897F79" w:rsidRPr="00E361BD" w:rsidRDefault="00897F79" w:rsidP="00897F79">
      <w:pPr>
        <w:pStyle w:val="BodyTextSingleSpacing"/>
        <w:rPr>
          <w:color w:val="FFFFFF" w:themeColor="background1"/>
        </w:rPr>
      </w:pPr>
      <w:r>
        <w:rPr>
          <w:color w:val="FFFFFF" w:themeColor="background1"/>
        </w:rPr>
        <w:t>jpatron</w:t>
      </w:r>
      <w:r w:rsidRPr="00E361BD">
        <w:rPr>
          <w:color w:val="FFFFFF" w:themeColor="background1"/>
        </w:rPr>
        <w:t>@kpmg.com.au</w:t>
      </w:r>
    </w:p>
    <w:sectPr w:rsidR="00897F79" w:rsidRPr="00E361BD" w:rsidSect="00E361BD">
      <w:headerReference w:type="first" r:id="rId80"/>
      <w:footerReference w:type="first" r:id="rId81"/>
      <w:pgSz w:w="11906" w:h="16838"/>
      <w:pgMar w:top="1985"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920808" w14:textId="77777777" w:rsidR="00302D5E" w:rsidRDefault="00302D5E" w:rsidP="00C10504">
      <w:pPr>
        <w:spacing w:before="0" w:after="0"/>
      </w:pPr>
      <w:r>
        <w:separator/>
      </w:r>
    </w:p>
  </w:endnote>
  <w:endnote w:type="continuationSeparator" w:id="0">
    <w:p w14:paraId="236345B0" w14:textId="77777777" w:rsidR="00302D5E" w:rsidRDefault="00302D5E" w:rsidP="00C1050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9999999">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Univers 45 Light">
    <w:charset w:val="00"/>
    <w:family w:val="auto"/>
    <w:pitch w:val="variable"/>
    <w:sig w:usb0="8000002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KPMG Extralight">
    <w:charset w:val="00"/>
    <w:family w:val="swiss"/>
    <w:pitch w:val="variable"/>
    <w:sig w:usb0="00000007" w:usb1="00000000" w:usb2="00000000" w:usb3="00000000" w:csb0="00000093" w:csb1="00000000"/>
    <w:embedRegular r:id="rId1" w:fontKey="{3558B740-27E2-4741-99F2-0F355559172A}"/>
    <w:embedBold r:id="rId2" w:fontKey="{DD745124-E654-4E25-A863-1871E40587A5}"/>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Open Sans Light">
    <w:altName w:val="Segoe UI Semilight"/>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KPMG Light">
    <w:charset w:val="00"/>
    <w:family w:val="swiss"/>
    <w:pitch w:val="variable"/>
    <w:sig w:usb0="00000007" w:usb1="00000000" w:usb2="00000000" w:usb3="00000000" w:csb0="00000093"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92B48" w14:textId="77777777" w:rsidR="00302D5E" w:rsidRPr="00CA5AF4" w:rsidRDefault="00302D5E" w:rsidP="00291100">
    <w:pPr>
      <w:spacing w:before="0" w:after="0"/>
      <w:jc w:val="center"/>
      <w:rPr>
        <w:sz w:val="15"/>
        <w:szCs w:val="15"/>
      </w:rPr>
    </w:pPr>
    <w:r w:rsidRPr="00A53D3F">
      <w:rPr>
        <w:sz w:val="15"/>
        <w:szCs w:val="15"/>
      </w:rPr>
      <w:t>© 201</w:t>
    </w:r>
    <w:r>
      <w:rPr>
        <w:sz w:val="15"/>
        <w:szCs w:val="15"/>
      </w:rPr>
      <w:t>7</w:t>
    </w:r>
    <w:r w:rsidRPr="00A53D3F">
      <w:rPr>
        <w:sz w:val="15"/>
        <w:szCs w:val="15"/>
      </w:rPr>
      <w:t xml:space="preserve"> KPMG, an Australian partnership and a member firm of the KPMG network of independent member firms affiliated with KPMG International Cooperative (“KPMG In</w:t>
    </w:r>
    <w:r>
      <w:rPr>
        <w:sz w:val="15"/>
        <w:szCs w:val="15"/>
      </w:rPr>
      <w:t xml:space="preserve">ternational”), a Swiss entity. All rights reserved. </w:t>
    </w:r>
    <w:r w:rsidRPr="00A53D3F">
      <w:rPr>
        <w:sz w:val="15"/>
        <w:szCs w:val="15"/>
      </w:rPr>
      <w:t>KPMG and the KPMG logo are registered trademarks of K</w:t>
    </w:r>
    <w:r>
      <w:rPr>
        <w:sz w:val="15"/>
        <w:szCs w:val="15"/>
      </w:rPr>
      <w:t xml:space="preserve">PMG International. </w:t>
    </w:r>
    <w:r w:rsidRPr="00A53D3F">
      <w:rPr>
        <w:sz w:val="15"/>
        <w:szCs w:val="15"/>
      </w:rPr>
      <w:t>Liability limited by a scheme approved under Professional Standards Legislation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71934" w14:textId="77777777" w:rsidR="00302D5E" w:rsidRDefault="00302D5E" w:rsidP="00BD508C">
    <w:pPr>
      <w:spacing w:before="0" w:after="0"/>
      <w:rPr>
        <w:color w:val="FFFFFF" w:themeColor="background1"/>
        <w:sz w:val="15"/>
        <w:szCs w:val="15"/>
      </w:rPr>
    </w:pPr>
    <w:r w:rsidRPr="007943C5">
      <w:rPr>
        <w:color w:val="FFFFFF" w:themeColor="background1"/>
        <w:sz w:val="15"/>
        <w:szCs w:val="15"/>
      </w:rPr>
      <w:t xml:space="preserve">© 2017 KPMG, an Australian partnership and a member firm of the KPMG network of independent member firms affiliated with KPMG International Cooperative (“KPMG International”), a Swiss entity. All rights reserved. KPMG and the KPMG logo are registered </w:t>
    </w:r>
  </w:p>
  <w:p w14:paraId="0A5EE27F" w14:textId="77777777" w:rsidR="00302D5E" w:rsidRPr="00BD508C" w:rsidRDefault="00302D5E" w:rsidP="00BD508C">
    <w:pPr>
      <w:spacing w:before="0" w:after="0"/>
      <w:rPr>
        <w:color w:val="7F7F7F" w:themeColor="text1" w:themeTint="80"/>
        <w:sz w:val="14"/>
        <w:szCs w:val="14"/>
      </w:rPr>
    </w:pPr>
    <w:r w:rsidRPr="00BD508C">
      <w:rPr>
        <w:color w:val="7F7F7F" w:themeColor="text1" w:themeTint="80"/>
        <w:sz w:val="14"/>
        <w:szCs w:val="14"/>
      </w:rPr>
      <w:t xml:space="preserve">© 2019 KPMG, an Australian partnership and a member firm of the KPMG network of independent member firms affiliated with KPMG International Cooperative (“KPMG International”), a Swiss entity. All rights reserved. KPMG and the KPMG logo are registered </w:t>
    </w:r>
    <w:r w:rsidRPr="00BD508C">
      <w:rPr>
        <w:noProof/>
        <w:color w:val="7F7F7F" w:themeColor="text1" w:themeTint="80"/>
        <w:sz w:val="14"/>
        <w:szCs w:val="14"/>
        <w:lang w:eastAsia="en-AU"/>
      </w:rPr>
      <mc:AlternateContent>
        <mc:Choice Requires="wps">
          <w:drawing>
            <wp:anchor distT="0" distB="0" distL="114300" distR="114300" simplePos="0" relativeHeight="251871232" behindDoc="1" locked="0" layoutInCell="1" allowOverlap="1" wp14:anchorId="1B074A3C" wp14:editId="1254BC73">
              <wp:simplePos x="0" y="0"/>
              <wp:positionH relativeFrom="page">
                <wp:posOffset>-7620</wp:posOffset>
              </wp:positionH>
              <wp:positionV relativeFrom="page">
                <wp:posOffset>10827385</wp:posOffset>
              </wp:positionV>
              <wp:extent cx="7556400" cy="25153200"/>
              <wp:effectExtent l="0" t="0" r="26035" b="12065"/>
              <wp:wrapNone/>
              <wp:docPr id="224" name="Rectangle 224" descr="Blue highlight bar" title="Blue highlight bar"/>
              <wp:cNvGraphicFramePr/>
              <a:graphic xmlns:a="http://schemas.openxmlformats.org/drawingml/2006/main">
                <a:graphicData uri="http://schemas.microsoft.com/office/word/2010/wordprocessingShape">
                  <wps:wsp>
                    <wps:cNvSpPr/>
                    <wps:spPr>
                      <a:xfrm>
                        <a:off x="0" y="0"/>
                        <a:ext cx="7556400" cy="25153200"/>
                      </a:xfrm>
                      <a:prstGeom prst="rect">
                        <a:avLst/>
                      </a:prstGeom>
                      <a:solidFill>
                        <a:srgbClr val="00338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472B7" id="Rectangle 224" o:spid="_x0000_s1026" alt="Title: Blue highlight bar - Description: Blue highlight bar" style="position:absolute;margin-left:-.6pt;margin-top:852.55pt;width:595pt;height:1980.55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N24qQIAAKkFAAAOAAAAZHJzL2Uyb0RvYy54bWysVF9P2zAQf5+072D5fSQNLbCKFHUgpklo&#10;IGDi2XXsxpLj82y3affpd7bTUDG0h2mV6px9d7/7f5dXu06TrXBeganp5KSkRBgOjTLrmv54vv10&#10;QYkPzDRMgxE13QtPrxYfP1z2di4qaEE3whEEMX7e25q2Idh5UXjeio75E7DCIFOC61jAq1sXjWM9&#10;one6qMryrOjBNdYBF97j601m0kXCl1LwcC+lF4HomqJvIZ0unat4FotLNl87ZlvFBzfYP3jRMWXQ&#10;6Ah1wwIjG6f+gOoUd+BBhhMOXQFSKi5SDBjNpHwTzVPLrEixYHK8HdPk/x8s/759cEQ1Na2qKSWG&#10;dVikR0wbM2stSHpshOeYsi96I0ir1q3GfyAr5jCfKmhUeIeFie2tnyP+k31ww80jGbO0k66LX4yf&#10;7FIx9mMxxC4Qjo/ns9nZtMSaceRVs8nsFOsd61W86lvnw1cBHYlETR36narAtnc+ZNGDSDTnQavm&#10;VmmdLm69utaObFlsjfL09OJmQD8SK2IM2etEhb0WUVmbRyExbehnlSymhhUjHuNcmDDJrJY1IpuZ&#10;lfg7WIktHjVSRAkwIkt0b8QeAA6SGeSAneMb5KOqSP0+Kpd/cywrjxrJMpgwKnfKgHsPQGNUg+Us&#10;j+4fpSaSK2j22FQO8rR5y28V1ueO+fDAHI4XFhVXRrjHQ2roawoDRUkL7td771Eeux65lPQ4rjX1&#10;PzfMCUr0N4Pz8Hkyncb5Tpfp7LzCizvmrI45ZtNdA5Z9gsvJ8kRG+aAPpHTQveBmWUaryGKGo+2a&#10;8oBNny/XIa8R3E1cLJdJDGfasnBnniyP4DGrsf+edy/M2aFJAzb4dziMNpu/6dUsGzUNLDcBpEqN&#10;/JrXId+4D1LjDLsrLpzje5J63bCL3wAAAP//AwBQSwMEFAAGAAgAAAAhAPCS3E/fAAAADQEAAA8A&#10;AABkcnMvZG93bnJldi54bWxMj01ugzAQhfeVegdrKnWXGJAglGCiqmoWXXRRkgM4tgso9hhhE+jt&#10;O1m1y3nz6f3Uh9VZdjNTGDwKSLcJMIPK6wE7AefTcVMCC1GiltajEfBjAhyax4daVtov+GVubewY&#10;mWCopIA+xrHiPKjeOBm2fjRIv28/ORnpnDquJ7mQubM8S5KCOzkgJfRyNG+9Udd2dpT7ueP5i27f&#10;j4tdsDzNatUfSojnp/V1DyyaNf7BcK9P1aGhThc/ow7MCtikGZGk75I8BXYn0rKkNRcBeVEUGfCm&#10;5v9XNL8AAAD//wMAUEsBAi0AFAAGAAgAAAAhALaDOJL+AAAA4QEAABMAAAAAAAAAAAAAAAAAAAAA&#10;AFtDb250ZW50X1R5cGVzXS54bWxQSwECLQAUAAYACAAAACEAOP0h/9YAAACUAQAACwAAAAAAAAAA&#10;AAAAAAAvAQAAX3JlbHMvLnJlbHNQSwECLQAUAAYACAAAACEAsRDduKkCAACpBQAADgAAAAAAAAAA&#10;AAAAAAAuAgAAZHJzL2Uyb0RvYy54bWxQSwECLQAUAAYACAAAACEA8JLcT98AAAANAQAADwAAAAAA&#10;AAAAAAAAAAADBQAAZHJzL2Rvd25yZXYueG1sUEsFBgAAAAAEAAQA8wAAAA8GAAAAAA==&#10;" fillcolor="#00338d" strokecolor="#002e5b [1604]" strokeweight="1pt">
              <w10:wrap anchorx="page" anchory="page"/>
            </v:rect>
          </w:pict>
        </mc:Fallback>
      </mc:AlternateContent>
    </w:r>
    <w:r w:rsidRPr="00BD508C">
      <w:rPr>
        <w:color w:val="7F7F7F" w:themeColor="text1" w:themeTint="80"/>
        <w:sz w:val="14"/>
        <w:szCs w:val="14"/>
      </w:rPr>
      <w:t>trademarks of KPMG International. Liability limited by a scheme approved under Professional Standards Legislation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5FE61E" w14:textId="77777777" w:rsidR="00302D5E" w:rsidRPr="00E361BD" w:rsidRDefault="00302D5E" w:rsidP="00E361BD">
    <w:pPr>
      <w:spacing w:after="720"/>
      <w:rPr>
        <w:rStyle w:val="White"/>
        <w:b/>
      </w:rPr>
    </w:pPr>
    <w:r w:rsidRPr="00E361BD">
      <w:rPr>
        <w:rStyle w:val="White"/>
        <w:b/>
      </w:rPr>
      <w:t>www.kpmg.com.au</w:t>
    </w:r>
  </w:p>
  <w:p w14:paraId="717FBCBB" w14:textId="77777777" w:rsidR="00302D5E" w:rsidRPr="00BD508C" w:rsidRDefault="00302D5E" w:rsidP="00E361BD">
    <w:pPr>
      <w:pStyle w:val="Footer"/>
      <w:rPr>
        <w:rStyle w:val="White"/>
        <w:sz w:val="16"/>
        <w:szCs w:val="16"/>
      </w:rPr>
    </w:pPr>
    <w:r w:rsidRPr="00BD508C">
      <w:rPr>
        <w:rStyle w:val="White"/>
        <w:sz w:val="16"/>
        <w:szCs w:val="16"/>
      </w:rPr>
      <w:t xml:space="preserve">© </w:t>
    </w:r>
    <w:r w:rsidRPr="00BD508C">
      <w:rPr>
        <w:rStyle w:val="White"/>
        <w:sz w:val="16"/>
        <w:szCs w:val="16"/>
      </w:rPr>
      <w:fldChar w:fldCharType="begin"/>
    </w:r>
    <w:r w:rsidRPr="00BD508C">
      <w:rPr>
        <w:rStyle w:val="White"/>
        <w:sz w:val="16"/>
        <w:szCs w:val="16"/>
      </w:rPr>
      <w:instrText xml:space="preserve"> DATE  \@ "YYYY"  \* MERGEFORMAT </w:instrText>
    </w:r>
    <w:r w:rsidRPr="00BD508C">
      <w:rPr>
        <w:rStyle w:val="White"/>
        <w:sz w:val="16"/>
        <w:szCs w:val="16"/>
      </w:rPr>
      <w:fldChar w:fldCharType="separate"/>
    </w:r>
    <w:r w:rsidR="00FD67F9">
      <w:rPr>
        <w:rStyle w:val="White"/>
        <w:noProof/>
        <w:sz w:val="16"/>
        <w:szCs w:val="16"/>
      </w:rPr>
      <w:t>2019</w:t>
    </w:r>
    <w:r w:rsidRPr="00BD508C">
      <w:rPr>
        <w:rStyle w:val="White"/>
        <w:sz w:val="16"/>
        <w:szCs w:val="16"/>
      </w:rPr>
      <w:fldChar w:fldCharType="end"/>
    </w:r>
    <w:r w:rsidRPr="00BD508C">
      <w:rPr>
        <w:rStyle w:val="White"/>
        <w:sz w:val="16"/>
        <w:szCs w:val="16"/>
      </w:rPr>
      <w:t xml:space="preserve"> KPMG, an Australian partnership and a member firm of the KPMG network of independent member firms affiliated with KPMG International Cooperative (“KPMG International”), a Swiss entity. All rights reserved.</w:t>
    </w:r>
  </w:p>
  <w:p w14:paraId="4C785415" w14:textId="77777777" w:rsidR="00302D5E" w:rsidRPr="00BD508C" w:rsidRDefault="00302D5E" w:rsidP="00E361BD">
    <w:pPr>
      <w:pStyle w:val="Footer"/>
      <w:rPr>
        <w:rStyle w:val="White"/>
        <w:sz w:val="16"/>
        <w:szCs w:val="16"/>
      </w:rPr>
    </w:pPr>
    <w:r w:rsidRPr="00BD508C">
      <w:rPr>
        <w:rStyle w:val="White"/>
        <w:sz w:val="16"/>
        <w:szCs w:val="16"/>
      </w:rPr>
      <w:t>The KPMG name and logo are registered trademarks or trademarks of KPMG International. Liability limited by a scheme approved under Professional Standards Legislation.</w:t>
    </w:r>
  </w:p>
  <w:p w14:paraId="3F3E9719" w14:textId="77777777" w:rsidR="00302D5E" w:rsidRPr="00BD508C" w:rsidRDefault="00302D5E" w:rsidP="00E361BD">
    <w:pPr>
      <w:pStyle w:val="Footer"/>
      <w:rPr>
        <w:rStyle w:val="White"/>
        <w:sz w:val="16"/>
        <w:szCs w:val="16"/>
      </w:rPr>
    </w:pPr>
    <w:r w:rsidRPr="00BD508C">
      <w:rPr>
        <w:rStyle w:val="White"/>
        <w:sz w:val="16"/>
        <w:szCs w:val="16"/>
      </w:rPr>
      <w:t>Document Classification: KPMG Confidential</w:t>
    </w:r>
  </w:p>
  <w:p w14:paraId="5F378261" w14:textId="77777777" w:rsidR="00302D5E" w:rsidRPr="00BD508C" w:rsidRDefault="00302D5E" w:rsidP="00E361BD">
    <w:pPr>
      <w:pStyle w:val="Footer"/>
      <w:rPr>
        <w:rStyle w:val="White"/>
        <w:sz w:val="16"/>
        <w:szCs w:val="16"/>
      </w:rPr>
    </w:pPr>
    <w:r w:rsidRPr="00BD508C">
      <w:rPr>
        <w:rStyle w:val="White"/>
        <w:sz w:val="16"/>
        <w:szCs w:val="16"/>
      </w:rPr>
      <w:t>Designed by Australia Creative Services | ACS099195</w:t>
    </w:r>
  </w:p>
  <w:p w14:paraId="6F91BD72" w14:textId="77777777" w:rsidR="00302D5E" w:rsidRPr="007943C5" w:rsidRDefault="00302D5E" w:rsidP="00291100">
    <w:pPr>
      <w:spacing w:before="0" w:after="0"/>
      <w:jc w:val="center"/>
      <w:rPr>
        <w:color w:val="FFFFFF" w:themeColor="background1"/>
        <w:sz w:val="15"/>
        <w:szCs w:val="15"/>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4CE632" w14:textId="12377793" w:rsidR="00302D5E" w:rsidRPr="00BD508C" w:rsidRDefault="00302D5E" w:rsidP="00BD508C">
    <w:pPr>
      <w:spacing w:before="0" w:after="0"/>
      <w:rPr>
        <w:color w:val="7F7F7F" w:themeColor="text1" w:themeTint="80"/>
        <w:sz w:val="14"/>
        <w:szCs w:val="1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3631A" w14:textId="77777777" w:rsidR="00302D5E" w:rsidRPr="00CA5AF4" w:rsidRDefault="00302D5E" w:rsidP="00291100">
    <w:pPr>
      <w:spacing w:before="0" w:after="0"/>
      <w:jc w:val="center"/>
      <w:rPr>
        <w:sz w:val="15"/>
        <w:szCs w:val="15"/>
      </w:rPr>
    </w:pPr>
    <w:r w:rsidRPr="00A53D3F">
      <w:rPr>
        <w:sz w:val="15"/>
        <w:szCs w:val="15"/>
      </w:rPr>
      <w:t>© 201</w:t>
    </w:r>
    <w:r>
      <w:rPr>
        <w:sz w:val="15"/>
        <w:szCs w:val="15"/>
      </w:rPr>
      <w:t>9</w:t>
    </w:r>
    <w:r w:rsidRPr="00A53D3F">
      <w:rPr>
        <w:sz w:val="15"/>
        <w:szCs w:val="15"/>
      </w:rPr>
      <w:t xml:space="preserve"> KPMG, an Australian partnership and a member firm of the KPMG network of independent member firms affiliated with KPMG International Cooperative (“KPMG In</w:t>
    </w:r>
    <w:r>
      <w:rPr>
        <w:sz w:val="15"/>
        <w:szCs w:val="15"/>
      </w:rPr>
      <w:t xml:space="preserve">ternational”), a Swiss entity. All rights reserved. </w:t>
    </w:r>
    <w:r w:rsidRPr="00A53D3F">
      <w:rPr>
        <w:sz w:val="15"/>
        <w:szCs w:val="15"/>
      </w:rPr>
      <w:t>KPMG and the KPMG logo are registered trademarks of K</w:t>
    </w:r>
    <w:r>
      <w:rPr>
        <w:sz w:val="15"/>
        <w:szCs w:val="15"/>
      </w:rPr>
      <w:t xml:space="preserve">PMG International. </w:t>
    </w:r>
    <w:r w:rsidRPr="00A53D3F">
      <w:rPr>
        <w:sz w:val="15"/>
        <w:szCs w:val="15"/>
      </w:rPr>
      <w:t>Liability limited by a scheme approved under Professional Standards Legislation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FDD6F" w14:textId="00B1DF13" w:rsidR="00302D5E" w:rsidRPr="00617AC4" w:rsidRDefault="00302D5E" w:rsidP="00617AC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E7B69" w14:textId="17814702" w:rsidR="00302D5E" w:rsidRPr="00CA5AF4" w:rsidRDefault="00302D5E" w:rsidP="00291100">
    <w:pPr>
      <w:spacing w:before="0" w:after="0"/>
      <w:jc w:val="center"/>
      <w:rPr>
        <w:sz w:val="15"/>
        <w:szCs w:val="15"/>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2E6C6" w14:textId="35672B7F" w:rsidR="00302D5E" w:rsidRPr="00617AC4" w:rsidRDefault="00302D5E" w:rsidP="00617AC4">
    <w:pPr>
      <w:spacing w:before="0" w:after="0"/>
      <w:ind w:left="-284"/>
      <w:rPr>
        <w:color w:val="7F7F7F" w:themeColor="text1" w:themeTint="80"/>
        <w:sz w:val="14"/>
        <w:szCs w:val="14"/>
      </w:rPr>
    </w:pPr>
    <w:r w:rsidRPr="00BD508C">
      <w:rPr>
        <w:color w:val="7F7F7F" w:themeColor="text1" w:themeTint="80"/>
        <w:sz w:val="14"/>
        <w:szCs w:val="14"/>
      </w:rPr>
      <w:t>© 2019 KPMG, an Australian partnership and a member firm of the KPMG network of independent member firms affiliated with KPMG International Cooperative (“KPMG International”), a Swiss entity. All rights reserved. KPMG and the KPMG logo are registered trademarks of KPMG International. Liability limited by a scheme approved under Pro</w:t>
    </w:r>
    <w:r>
      <w:rPr>
        <w:color w:val="7F7F7F" w:themeColor="text1" w:themeTint="80"/>
        <w:sz w:val="14"/>
        <w:szCs w:val="14"/>
      </w:rPr>
      <w:t>fessional Standards Legislation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871C4" w14:textId="77777777" w:rsidR="00302D5E" w:rsidRPr="00BD508C" w:rsidRDefault="00302D5E" w:rsidP="00BD508C">
    <w:pPr>
      <w:spacing w:before="0" w:after="0"/>
      <w:rPr>
        <w:color w:val="7F7F7F" w:themeColor="text1" w:themeTint="80"/>
        <w:sz w:val="14"/>
        <w:szCs w:val="14"/>
      </w:rPr>
    </w:pPr>
    <w:r w:rsidRPr="00BD508C">
      <w:rPr>
        <w:color w:val="7F7F7F" w:themeColor="text1" w:themeTint="80"/>
        <w:sz w:val="14"/>
        <w:szCs w:val="14"/>
      </w:rPr>
      <w:t>© 2019 KPMG, an Australian partnership and a member firm of the KPMG network of independent member firms affiliated with KPMG International Cooperative (“KPMG International”), a Swiss entity. All rights reserved. KPMG and the KPMG logo are registered trademarks of KPMG International. Liability limited by a scheme approved under Professional Standards Legislation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41AD4" w14:textId="77777777" w:rsidR="00302D5E" w:rsidRPr="00BD508C" w:rsidRDefault="00302D5E" w:rsidP="00BD508C">
    <w:pPr>
      <w:spacing w:before="0" w:after="0"/>
      <w:rPr>
        <w:color w:val="7F7F7F" w:themeColor="text1" w:themeTint="80"/>
        <w:sz w:val="14"/>
        <w:szCs w:val="14"/>
      </w:rPr>
    </w:pPr>
    <w:r w:rsidRPr="00BD508C">
      <w:rPr>
        <w:color w:val="7F7F7F" w:themeColor="text1" w:themeTint="80"/>
        <w:sz w:val="14"/>
        <w:szCs w:val="14"/>
      </w:rPr>
      <w:t xml:space="preserve">© 2019 KPMG, an Australian partnership and a member firm of the KPMG network of independent member firms affiliated with KPMG International Cooperative (“KPMG International”), a Swiss entity. All rights reserved. KPMG and the KPMG logo are registered </w:t>
    </w:r>
    <w:r w:rsidRPr="00BD508C">
      <w:rPr>
        <w:noProof/>
        <w:color w:val="7F7F7F" w:themeColor="text1" w:themeTint="80"/>
        <w:sz w:val="14"/>
        <w:szCs w:val="14"/>
        <w:lang w:eastAsia="en-AU"/>
      </w:rPr>
      <mc:AlternateContent>
        <mc:Choice Requires="wps">
          <w:drawing>
            <wp:anchor distT="0" distB="0" distL="114300" distR="114300" simplePos="0" relativeHeight="251848704" behindDoc="1" locked="0" layoutInCell="1" allowOverlap="1" wp14:anchorId="4042C224" wp14:editId="415EDC26">
              <wp:simplePos x="0" y="0"/>
              <wp:positionH relativeFrom="page">
                <wp:posOffset>-7620</wp:posOffset>
              </wp:positionH>
              <wp:positionV relativeFrom="page">
                <wp:posOffset>10827385</wp:posOffset>
              </wp:positionV>
              <wp:extent cx="7556400" cy="25153200"/>
              <wp:effectExtent l="0" t="0" r="26035" b="12065"/>
              <wp:wrapNone/>
              <wp:docPr id="25" name="Rectangle 25" descr="Blue highlight bar"/>
              <wp:cNvGraphicFramePr/>
              <a:graphic xmlns:a="http://schemas.openxmlformats.org/drawingml/2006/main">
                <a:graphicData uri="http://schemas.microsoft.com/office/word/2010/wordprocessingShape">
                  <wps:wsp>
                    <wps:cNvSpPr/>
                    <wps:spPr>
                      <a:xfrm>
                        <a:off x="0" y="0"/>
                        <a:ext cx="7556400" cy="25153200"/>
                      </a:xfrm>
                      <a:prstGeom prst="rect">
                        <a:avLst/>
                      </a:prstGeom>
                      <a:solidFill>
                        <a:srgbClr val="00338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13C56" id="Rectangle 25" o:spid="_x0000_s1026" alt="Blue highlight bar" style="position:absolute;margin-left:-.6pt;margin-top:852.55pt;width:595pt;height:1980.55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6anwIAAIwFAAAOAAAAZHJzL2Uyb0RvYy54bWysVEtrGzEQvhf6H4Tuza4dbx4m6+AmpBRC&#10;YpKUnGWt5BVoJXUke+3++o60j5g09FBqsHakmfnmPVfX+0aTnQCvrCnp5CSnRBhuK2U2Jf3xcvfl&#10;ghIfmKmYtkaU9CA8vV58/nTVurmY2trqSgBBEOPnrStpHYKbZ5nntWiYP7FOGGRKCw0LeIVNVgFr&#10;Eb3R2TTPz7LWQuXAcuE9vt52TLpI+FIKHh6l9CIQXVL0LaQT0rmOZ7a4YvMNMFcr3rvB/sGLhimD&#10;RkeoWxYY2YL6A6pRHKy3Mpxw22RWSsVFigGjmeTvonmumRMpFkyOd2Oa/P+D5Q+7FRBVlXRaUGJY&#10;gzV6wqwxs9GCxLdKeI4J+6q3gtRqU2v8B7JmEHPXOj9HiGe3gv7mkYyJ2Eto4hdDJPuU78OYb7EP&#10;hOPjeVGczXIsC0fetJgUp1jSCJu96Tvw4ZuwDYlESQF9S4lmu3sfOtFBJJrzVqvqTmmdLrBZ32gg&#10;Oxarn5+eXtz26EdiWYyh8zpR4aBFVNbmSUjMDPo5TRZTT4oRj3EuTJh0rJpVojNT5PgbrMQujhop&#10;ogQYkSW6N2L3AINkBzJgd/H18lFVpJYelfO/OdYpjxrJsjVhVG6UsfARgMaoesudPLp/lJpIrm11&#10;wL4B2w2Ud/xOYX3umQ8rBjhBWFTcCuERD6ltW1LbU5TUFn599B7lsbGRS0mLE1lS/3PLQFCivxts&#10;+cvJbBZHOF1mxfkUL3DMWR9zzLa5sVj2Ce4fxxMZ5YMeSAm2ecXlsYxWkcUMR9sl5QGGy03oNgWu&#10;Hy6WyySGY+tYuDfPjkfwmNXYfy/7Vwaub9KADf5gh+ll83e92slGTWOX22ClSo38ltc+3zjyqXH6&#10;9RR3yvE9Sb0t0cVvAAAA//8DAFBLAwQUAAYACAAAACEA8JLcT98AAAANAQAADwAAAGRycy9kb3du&#10;cmV2LnhtbEyPTW6DMBCF95V6B2sqdZcYkCCUYKKqahZddFGSAzi2Cyj2GGET6O07WbXLefPp/dSH&#10;1Vl2M1MYPApItwkwg8rrATsB59NxUwILUaKW1qMR8GMCHJrHh1pW2i/4ZW5t7BiZYKikgD7GseI8&#10;qN44GbZ+NEi/bz85GemcOq4nuZC5szxLkoI7OSAl9HI0b71R13Z2lPu54/mLbt+Pi12wPM1q1R9K&#10;iOen9XUPLJo1/sFwr0/VoaFOFz+jDswK2KQZkaTvkjwFdifSsqQ1FwF5URQZ8Kbm/1c0vwAAAP//&#10;AwBQSwECLQAUAAYACAAAACEAtoM4kv4AAADhAQAAEwAAAAAAAAAAAAAAAAAAAAAAW0NvbnRlbnRf&#10;VHlwZXNdLnhtbFBLAQItABQABgAIAAAAIQA4/SH/1gAAAJQBAAALAAAAAAAAAAAAAAAAAC8BAABf&#10;cmVscy8ucmVsc1BLAQItABQABgAIAAAAIQB+626anwIAAIwFAAAOAAAAAAAAAAAAAAAAAC4CAABk&#10;cnMvZTJvRG9jLnhtbFBLAQItABQABgAIAAAAIQDwktxP3wAAAA0BAAAPAAAAAAAAAAAAAAAAAPkE&#10;AABkcnMvZG93bnJldi54bWxQSwUGAAAAAAQABADzAAAABQYAAAAA&#10;" fillcolor="#00338d" strokecolor="#002e5b [1604]" strokeweight="1pt">
              <w10:wrap anchorx="page" anchory="page"/>
            </v:rect>
          </w:pict>
        </mc:Fallback>
      </mc:AlternateContent>
    </w:r>
    <w:r w:rsidRPr="00BD508C">
      <w:rPr>
        <w:color w:val="7F7F7F" w:themeColor="text1" w:themeTint="80"/>
        <w:sz w:val="14"/>
        <w:szCs w:val="14"/>
      </w:rPr>
      <w:t>trademarks of KPMG International. Liability limited by a scheme approved under Professional Standards Legislation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AE5FF" w14:textId="77777777" w:rsidR="00302D5E" w:rsidRPr="00BD508C" w:rsidRDefault="00302D5E" w:rsidP="00BD508C">
    <w:pPr>
      <w:spacing w:before="0" w:after="0"/>
      <w:rPr>
        <w:color w:val="7F7F7F" w:themeColor="text1" w:themeTint="80"/>
        <w:sz w:val="14"/>
        <w:szCs w:val="14"/>
      </w:rPr>
    </w:pPr>
    <w:r w:rsidRPr="00BD508C">
      <w:rPr>
        <w:color w:val="7F7F7F" w:themeColor="text1" w:themeTint="80"/>
        <w:sz w:val="14"/>
        <w:szCs w:val="14"/>
      </w:rPr>
      <w:t>© 2019 KPMG, an Australian partnership and a member firm of the KPMG network of independent member firms affiliated with KPMG International Cooperative (“KPMG International”), a Swiss entity. All rights reserved. KPMG and the KPMG logo are registered trademarks of KPMG International. Liability limited by a scheme approved under Professional Standards Legislation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2F1406" w14:textId="77777777" w:rsidR="00302D5E" w:rsidRDefault="00302D5E" w:rsidP="00C10504">
      <w:pPr>
        <w:spacing w:before="0" w:after="0"/>
      </w:pPr>
      <w:r>
        <w:separator/>
      </w:r>
    </w:p>
  </w:footnote>
  <w:footnote w:type="continuationSeparator" w:id="0">
    <w:p w14:paraId="5536F6D5" w14:textId="77777777" w:rsidR="00302D5E" w:rsidRDefault="00302D5E" w:rsidP="00C10504">
      <w:pPr>
        <w:spacing w:before="0" w:after="0"/>
      </w:pPr>
      <w:r>
        <w:continuationSeparator/>
      </w:r>
    </w:p>
  </w:footnote>
  <w:footnote w:id="1">
    <w:p w14:paraId="3072B7AB" w14:textId="77777777" w:rsidR="00302D5E" w:rsidRDefault="00302D5E" w:rsidP="00DF7D23">
      <w:pPr>
        <w:pStyle w:val="Footnote"/>
      </w:pPr>
      <w:r>
        <w:rPr>
          <w:rStyle w:val="FootnoteReference"/>
        </w:rPr>
        <w:footnoteRef/>
      </w:r>
      <w:r>
        <w:t xml:space="preserve"> </w:t>
      </w:r>
      <w:r w:rsidRPr="00FA006A">
        <w:t xml:space="preserve">IBIS </w:t>
      </w:r>
      <w:r>
        <w:t>Aircraft Manufacturing and Repair Services</w:t>
      </w:r>
      <w:r w:rsidRPr="00CF5F96">
        <w:t xml:space="preserve"> Industry</w:t>
      </w:r>
      <w:r w:rsidRPr="00FA006A">
        <w:t xml:space="preserve"> report, 2018</w:t>
      </w:r>
    </w:p>
  </w:footnote>
  <w:footnote w:id="2">
    <w:p w14:paraId="7294BD1E" w14:textId="77777777" w:rsidR="00302D5E" w:rsidRPr="000452F8" w:rsidRDefault="00302D5E" w:rsidP="007D3F27">
      <w:pPr>
        <w:pStyle w:val="FootnoteText"/>
        <w:rPr>
          <w:sz w:val="18"/>
          <w:szCs w:val="18"/>
        </w:rPr>
      </w:pPr>
      <w:r w:rsidRPr="000452F8">
        <w:rPr>
          <w:rStyle w:val="FootnoteReference"/>
          <w:sz w:val="18"/>
          <w:szCs w:val="18"/>
        </w:rPr>
        <w:footnoteRef/>
      </w:r>
      <w:r w:rsidRPr="000452F8">
        <w:rPr>
          <w:sz w:val="18"/>
          <w:szCs w:val="18"/>
        </w:rPr>
        <w:t xml:space="preserve"> </w:t>
      </w:r>
      <w:r w:rsidRPr="00473B24">
        <w:rPr>
          <w:rStyle w:val="FootnoteChar"/>
        </w:rPr>
        <w:t>Australian Bureau of Statistics (2013), Australian and New Zealand Industrial Classification (ANZSIC), 2006 (Revision 2) (catalogue number 1292.0).</w:t>
      </w:r>
    </w:p>
  </w:footnote>
  <w:footnote w:id="3">
    <w:p w14:paraId="4F2811EC" w14:textId="652302D5" w:rsidR="00302D5E" w:rsidRPr="004906AA" w:rsidRDefault="00302D5E" w:rsidP="00DF7D23">
      <w:pPr>
        <w:pStyle w:val="Footnote"/>
      </w:pPr>
      <w:r w:rsidRPr="004906AA">
        <w:rPr>
          <w:rStyle w:val="FootnoteReference"/>
          <w:color w:val="0091DA" w:themeColor="accent2"/>
        </w:rPr>
        <w:footnoteRef/>
      </w:r>
      <w:r w:rsidRPr="004906AA">
        <w:t xml:space="preserve"> </w:t>
      </w:r>
      <w:hyperlink r:id="rId1" w:history="1">
        <w:r>
          <w:rPr>
            <w:rStyle w:val="Hyperlink"/>
            <w:color w:val="0091DA" w:themeColor="accent2"/>
          </w:rPr>
          <w:t>Seeing Machine Aviation Website</w:t>
        </w:r>
      </w:hyperlink>
      <w:r w:rsidRPr="004906AA">
        <w:t xml:space="preserve"> </w:t>
      </w:r>
    </w:p>
  </w:footnote>
  <w:footnote w:id="4">
    <w:p w14:paraId="0DF5AB87" w14:textId="41397DA8" w:rsidR="00302D5E" w:rsidRDefault="00302D5E" w:rsidP="00DF7D23">
      <w:pPr>
        <w:pStyle w:val="Footnote"/>
      </w:pPr>
      <w:r w:rsidRPr="004906AA">
        <w:rPr>
          <w:rStyle w:val="FootnoteReference"/>
          <w:color w:val="0091DA" w:themeColor="accent2"/>
        </w:rPr>
        <w:footnoteRef/>
      </w:r>
      <w:r w:rsidRPr="004906AA">
        <w:t xml:space="preserve"> </w:t>
      </w:r>
      <w:hyperlink r:id="rId2" w:history="1">
        <w:r>
          <w:rPr>
            <w:rStyle w:val="Hyperlink"/>
            <w:color w:val="0091DA" w:themeColor="accent2"/>
          </w:rPr>
          <w:t>Seeing Machines about</w:t>
        </w:r>
      </w:hyperlink>
    </w:p>
  </w:footnote>
  <w:footnote w:id="5">
    <w:p w14:paraId="24C201FB" w14:textId="20256622" w:rsidR="00302D5E" w:rsidRDefault="00302D5E" w:rsidP="00DF7D23">
      <w:pPr>
        <w:pStyle w:val="Footnote"/>
      </w:pPr>
      <w:r>
        <w:rPr>
          <w:rStyle w:val="FootnoteReference"/>
        </w:rPr>
        <w:footnoteRef/>
      </w:r>
      <w:r>
        <w:t xml:space="preserve"> </w:t>
      </w:r>
      <w:r w:rsidRPr="00EF4944">
        <w:t>Australian Bureau of Statistics (201</w:t>
      </w:r>
      <w:r>
        <w:t>9</w:t>
      </w:r>
      <w:r w:rsidRPr="00EF4944">
        <w:t>), Counts of Australian Businesses, including Entries and Exits, Jun</w:t>
      </w:r>
      <w:r>
        <w:t>e</w:t>
      </w:r>
      <w:r w:rsidRPr="00EF4944">
        <w:t xml:space="preserve"> 201</w:t>
      </w:r>
      <w:r>
        <w:t>4</w:t>
      </w:r>
      <w:r w:rsidRPr="00EF4944">
        <w:t xml:space="preserve"> to Jun</w:t>
      </w:r>
      <w:r>
        <w:t>e</w:t>
      </w:r>
      <w:r w:rsidRPr="00EF4944">
        <w:t xml:space="preserve"> 201</w:t>
      </w:r>
      <w:r>
        <w:t>8</w:t>
      </w:r>
      <w:r w:rsidRPr="00EF4944">
        <w:t xml:space="preserve"> (catalogue number 8165.0)</w:t>
      </w:r>
    </w:p>
  </w:footnote>
  <w:footnote w:id="6">
    <w:p w14:paraId="38DA7145" w14:textId="77777777" w:rsidR="00302D5E" w:rsidRDefault="00302D5E" w:rsidP="00DF7D23">
      <w:pPr>
        <w:pStyle w:val="Footnote"/>
      </w:pPr>
      <w:r>
        <w:rPr>
          <w:rStyle w:val="FootnoteReference"/>
        </w:rPr>
        <w:footnoteRef/>
      </w:r>
      <w:r w:rsidRPr="00473B24">
        <w:rPr>
          <w:rStyle w:val="SourceChar"/>
        </w:rPr>
        <w:t xml:space="preserve"> </w:t>
      </w:r>
      <w:r>
        <w:rPr>
          <w:rStyle w:val="FootnoteChar"/>
        </w:rPr>
        <w:t>Prime contractor</w:t>
      </w:r>
      <w:r w:rsidRPr="00473B24">
        <w:rPr>
          <w:rStyle w:val="FootnoteChar"/>
        </w:rPr>
        <w:t xml:space="preserve"> refers to large multinationals in the aerospace industry that manage contracts and integrate the work of many different businesses.</w:t>
      </w:r>
      <w:r>
        <w:t xml:space="preserve"> </w:t>
      </w:r>
    </w:p>
  </w:footnote>
  <w:footnote w:id="7">
    <w:p w14:paraId="2F383870" w14:textId="77777777" w:rsidR="00302D5E" w:rsidRDefault="00302D5E" w:rsidP="00DF7D23">
      <w:pPr>
        <w:pStyle w:val="Footnote"/>
      </w:pPr>
      <w:r w:rsidRPr="00933D93">
        <w:rPr>
          <w:rStyle w:val="FootnoteReference"/>
        </w:rPr>
        <w:footnoteRef/>
      </w:r>
      <w:r w:rsidRPr="00933D93">
        <w:t xml:space="preserve"> NCVER VOCSTATS</w:t>
      </w:r>
      <w:r>
        <w:t xml:space="preserve">; ABS Census </w:t>
      </w:r>
    </w:p>
  </w:footnote>
  <w:footnote w:id="8">
    <w:p w14:paraId="0D3E27FA" w14:textId="77777777" w:rsidR="00302D5E" w:rsidRPr="00CF5F96" w:rsidRDefault="00302D5E" w:rsidP="00DF7D23">
      <w:pPr>
        <w:pStyle w:val="Footnote"/>
      </w:pPr>
      <w:r>
        <w:rPr>
          <w:rStyle w:val="FootnoteReference"/>
        </w:rPr>
        <w:footnoteRef/>
      </w:r>
      <w:r w:rsidRPr="00213FE1">
        <w:rPr>
          <w:rStyle w:val="SourceChar"/>
        </w:rPr>
        <w:t xml:space="preserve"> </w:t>
      </w:r>
      <w:hyperlink r:id="rId3" w:history="1">
        <w:r w:rsidRPr="00FA006A">
          <w:t>Galindo-Rueda, F. and F. Verger (2016), “OECD Taxonomy of Economic Activities Based on R&amp;D Intensity”, OECD Science, Technology and Industry Working Papers, 2016/04, OECD Publishing, Paris</w:t>
        </w:r>
      </w:hyperlink>
    </w:p>
  </w:footnote>
  <w:footnote w:id="9">
    <w:p w14:paraId="24904C75" w14:textId="16C15796" w:rsidR="00302D5E" w:rsidRPr="000F44EC" w:rsidRDefault="00302D5E" w:rsidP="00DF7D23">
      <w:pPr>
        <w:pStyle w:val="Footnote"/>
      </w:pPr>
      <w:r w:rsidRPr="000F44EC">
        <w:rPr>
          <w:rStyle w:val="FootnoteReference"/>
        </w:rPr>
        <w:footnoteRef/>
      </w:r>
      <w:r w:rsidRPr="000F44EC">
        <w:t xml:space="preserve"> Galindo-Rueda, F. and F. Verger (2016), "OECD Taxonomy of Economic Activities Based on R&amp;D Intensity", OECD Science, Technology and Industry Working Papers, No. 2016/04, OECD Publishing, Paris. </w:t>
      </w:r>
      <w:hyperlink r:id="rId4" w:history="1">
        <w:r>
          <w:rPr>
            <w:rStyle w:val="Hyperlink"/>
            <w:color w:val="auto"/>
          </w:rPr>
          <w:t>OECD Taxonomy of Economic Activities Based on R&amp;D Intensity</w:t>
        </w:r>
      </w:hyperlink>
    </w:p>
  </w:footnote>
  <w:footnote w:id="10">
    <w:p w14:paraId="4ED1E58B" w14:textId="77777777" w:rsidR="00302D5E" w:rsidRPr="000F44EC" w:rsidRDefault="00302D5E" w:rsidP="00DF7D23">
      <w:pPr>
        <w:pStyle w:val="Footnote"/>
      </w:pPr>
      <w:r w:rsidRPr="000F44EC">
        <w:rPr>
          <w:rStyle w:val="FootnoteReference"/>
        </w:rPr>
        <w:footnoteRef/>
      </w:r>
      <w:r>
        <w:t xml:space="preserve"> </w:t>
      </w:r>
      <w:r w:rsidRPr="00473B24">
        <w:rPr>
          <w:rStyle w:val="SourceChar"/>
          <w:color w:val="auto"/>
        </w:rPr>
        <w:t>Ibid</w:t>
      </w:r>
    </w:p>
  </w:footnote>
  <w:footnote w:id="11">
    <w:p w14:paraId="655FD272" w14:textId="77777777" w:rsidR="00302D5E" w:rsidRPr="00473B24" w:rsidRDefault="00302D5E" w:rsidP="00C3551E">
      <w:pPr>
        <w:pStyle w:val="FootnoteText"/>
        <w:rPr>
          <w:rStyle w:val="FootnoteChar"/>
        </w:rPr>
      </w:pPr>
      <w:r w:rsidRPr="00487987">
        <w:rPr>
          <w:rStyle w:val="FootnoteReference"/>
          <w:sz w:val="18"/>
          <w:szCs w:val="18"/>
        </w:rPr>
        <w:footnoteRef/>
      </w:r>
      <w:r w:rsidRPr="00487987">
        <w:rPr>
          <w:sz w:val="18"/>
          <w:szCs w:val="18"/>
        </w:rPr>
        <w:t xml:space="preserve"> </w:t>
      </w:r>
      <w:r w:rsidRPr="00473B24">
        <w:rPr>
          <w:rStyle w:val="FootnoteChar"/>
        </w:rPr>
        <w:t>ABS 5438.0, International merchandise exports (2011-12 to 2015-16)</w:t>
      </w:r>
    </w:p>
  </w:footnote>
  <w:footnote w:id="12">
    <w:p w14:paraId="28194E29" w14:textId="77777777" w:rsidR="00302D5E" w:rsidRPr="00D9183C" w:rsidRDefault="00302D5E" w:rsidP="00586058">
      <w:pPr>
        <w:pStyle w:val="FootnoteText"/>
        <w:rPr>
          <w:rStyle w:val="FootnoteChar"/>
        </w:rPr>
      </w:pPr>
      <w:r>
        <w:rPr>
          <w:rStyle w:val="FootnoteReference"/>
        </w:rPr>
        <w:footnoteRef/>
      </w:r>
      <w:r>
        <w:t xml:space="preserve"> </w:t>
      </w:r>
      <w:r w:rsidRPr="00D9183C">
        <w:rPr>
          <w:rStyle w:val="FootnoteChar"/>
        </w:rPr>
        <w:t>Bureau of Infrastructure, Transport and Regional Economics (BITRE), 2017, General Aviation Study</w:t>
      </w:r>
    </w:p>
  </w:footnote>
  <w:footnote w:id="13">
    <w:p w14:paraId="3BCA2C61" w14:textId="660B8E72" w:rsidR="00302D5E" w:rsidRDefault="00302D5E">
      <w:pPr>
        <w:pStyle w:val="FootnoteText"/>
      </w:pPr>
      <w:r>
        <w:rPr>
          <w:rStyle w:val="FootnoteReference"/>
        </w:rPr>
        <w:footnoteRef/>
      </w:r>
      <w:r>
        <w:t xml:space="preserve"> </w:t>
      </w:r>
      <w:r w:rsidRPr="007C068F">
        <w:rPr>
          <w:sz w:val="18"/>
          <w:szCs w:val="18"/>
        </w:rPr>
        <w:t>ABS Australian Industry, catalogue number 8155</w:t>
      </w:r>
    </w:p>
  </w:footnote>
  <w:footnote w:id="14">
    <w:p w14:paraId="28248A71" w14:textId="77777777" w:rsidR="00302D5E" w:rsidRDefault="00302D5E" w:rsidP="00DF7D23">
      <w:pPr>
        <w:pStyle w:val="Footnote"/>
      </w:pPr>
      <w:r w:rsidRPr="00CF5F96">
        <w:rPr>
          <w:rStyle w:val="FootnoteReference"/>
        </w:rPr>
        <w:footnoteRef/>
      </w:r>
      <w:r w:rsidRPr="00FA006A">
        <w:t xml:space="preserve"> IBIS </w:t>
      </w:r>
      <w:r>
        <w:t>Aircraft Manufacturing and Repair Services</w:t>
      </w:r>
      <w:r w:rsidRPr="00CF5F96">
        <w:t xml:space="preserve"> Industry</w:t>
      </w:r>
      <w:r w:rsidRPr="00FA006A">
        <w:t xml:space="preserve"> report, 2018</w:t>
      </w:r>
    </w:p>
  </w:footnote>
  <w:footnote w:id="15">
    <w:p w14:paraId="1CDFEBB7" w14:textId="77777777" w:rsidR="00302D5E" w:rsidRDefault="00302D5E">
      <w:pPr>
        <w:pStyle w:val="FootnoteText"/>
      </w:pPr>
      <w:r>
        <w:rPr>
          <w:rStyle w:val="FootnoteReference"/>
        </w:rPr>
        <w:footnoteRef/>
      </w:r>
      <w:r>
        <w:t xml:space="preserve"> </w:t>
      </w:r>
      <w:r w:rsidRPr="00473B24">
        <w:rPr>
          <w:rStyle w:val="FootnoteChar"/>
        </w:rPr>
        <w:t>Victoria State government website</w:t>
      </w:r>
      <w:r>
        <w:t xml:space="preserve"> </w:t>
      </w:r>
    </w:p>
  </w:footnote>
  <w:footnote w:id="16">
    <w:p w14:paraId="55629D14" w14:textId="77777777" w:rsidR="00302D5E" w:rsidRPr="00473B24" w:rsidRDefault="00302D5E">
      <w:pPr>
        <w:pStyle w:val="FootnoteText"/>
        <w:rPr>
          <w:rStyle w:val="FootnoteChar"/>
        </w:rPr>
      </w:pPr>
      <w:r>
        <w:rPr>
          <w:rStyle w:val="FootnoteReference"/>
        </w:rPr>
        <w:footnoteRef/>
      </w:r>
      <w:r>
        <w:t xml:space="preserve"> </w:t>
      </w:r>
      <w:r w:rsidRPr="00473B24">
        <w:rPr>
          <w:rStyle w:val="FootnoteChar"/>
        </w:rPr>
        <w:t>Sourced from the latest ABS Australian Industry data (catalogue no. 8155).</w:t>
      </w:r>
    </w:p>
  </w:footnote>
  <w:footnote w:id="17">
    <w:p w14:paraId="4330DAB0" w14:textId="77777777" w:rsidR="00302D5E" w:rsidRDefault="00302D5E" w:rsidP="00DF7D23">
      <w:pPr>
        <w:pStyle w:val="Footnote"/>
      </w:pPr>
      <w:r>
        <w:rPr>
          <w:rStyle w:val="FootnoteReference"/>
        </w:rPr>
        <w:footnoteRef/>
      </w:r>
      <w:r>
        <w:t xml:space="preserve"> Labour Market Information Portal- Employment Projections </w:t>
      </w:r>
    </w:p>
  </w:footnote>
  <w:footnote w:id="18">
    <w:p w14:paraId="44426449" w14:textId="69D1D798" w:rsidR="00302D5E" w:rsidRDefault="00302D5E" w:rsidP="00DF7D23">
      <w:pPr>
        <w:pStyle w:val="Footnote"/>
      </w:pPr>
      <w:r>
        <w:rPr>
          <w:rStyle w:val="FootnoteReference"/>
        </w:rPr>
        <w:footnoteRef/>
      </w:r>
      <w:r>
        <w:t xml:space="preserve"> ABS Input-Output table 2015-16</w:t>
      </w:r>
    </w:p>
  </w:footnote>
  <w:footnote w:id="19">
    <w:p w14:paraId="420E0FE6" w14:textId="77777777" w:rsidR="00302D5E" w:rsidRPr="00FA006A" w:rsidRDefault="00302D5E">
      <w:pPr>
        <w:pStyle w:val="FootnoteText"/>
        <w:rPr>
          <w:sz w:val="18"/>
        </w:rPr>
      </w:pPr>
      <w:r>
        <w:rPr>
          <w:rStyle w:val="FootnoteReference"/>
        </w:rPr>
        <w:footnoteRef/>
      </w:r>
      <w:r w:rsidRPr="00FA006A">
        <w:rPr>
          <w:rStyle w:val="FootnoteChar"/>
          <w:color w:val="auto"/>
        </w:rPr>
        <w:t xml:space="preserve"> ABS catalogue number 5215.0.55.001</w:t>
      </w:r>
    </w:p>
  </w:footnote>
  <w:footnote w:id="20">
    <w:p w14:paraId="5D35D385" w14:textId="3D2C8F5F" w:rsidR="00302D5E" w:rsidRDefault="00302D5E" w:rsidP="00DF7D23">
      <w:pPr>
        <w:pStyle w:val="Footnote"/>
      </w:pPr>
      <w:r>
        <w:rPr>
          <w:rStyle w:val="FootnoteReference"/>
        </w:rPr>
        <w:footnoteRef/>
      </w:r>
      <w:r>
        <w:t xml:space="preserve"> </w:t>
      </w:r>
      <w:r w:rsidRPr="008E6B7D">
        <w:rPr>
          <w:lang w:val="en-US"/>
        </w:rPr>
        <w:t>For instance</w:t>
      </w:r>
      <w:r w:rsidRPr="00E63B21">
        <w:rPr>
          <w:lang w:val="en-US"/>
        </w:rPr>
        <w:t xml:space="preserve">, the Australian Industry Capability (AIC) Program requires </w:t>
      </w:r>
      <w:r w:rsidRPr="00E63B21">
        <w:t>primes wishing to bid for Defence projects over $20</w:t>
      </w:r>
      <w:r>
        <w:t xml:space="preserve"> </w:t>
      </w:r>
      <w:r w:rsidRPr="00E63B21">
        <w:t>m</w:t>
      </w:r>
      <w:r>
        <w:t>illion</w:t>
      </w:r>
      <w:r w:rsidRPr="00E63B21">
        <w:t xml:space="preserve"> to identify local suppliers to meet the needs of Defence contracts.</w:t>
      </w:r>
    </w:p>
  </w:footnote>
  <w:footnote w:id="21">
    <w:p w14:paraId="30AFD8EC" w14:textId="02DD31BC" w:rsidR="00302D5E" w:rsidRDefault="00302D5E" w:rsidP="00DF7D23">
      <w:pPr>
        <w:pStyle w:val="Footnote"/>
      </w:pPr>
      <w:r>
        <w:rPr>
          <w:rStyle w:val="FootnoteReference"/>
        </w:rPr>
        <w:footnoteRef/>
      </w:r>
      <w:r>
        <w:t xml:space="preserve"> </w:t>
      </w:r>
      <w:r w:rsidRPr="00C45B3B">
        <w:t>Air Domain includes through-life support to Air Force fixed wing aircraft, Army and Navy rotary wing aircraft, Unmanned Aerial Systems, and a number of advanced flight simulators and ground support equipment fleets</w:t>
      </w:r>
    </w:p>
  </w:footnote>
  <w:footnote w:id="22">
    <w:p w14:paraId="6EE27A35" w14:textId="3B3EE3B9" w:rsidR="00302D5E" w:rsidRPr="00FA006A" w:rsidRDefault="00302D5E" w:rsidP="00DF7D23">
      <w:pPr>
        <w:pStyle w:val="Footnote"/>
      </w:pPr>
      <w:r w:rsidRPr="00C8045D">
        <w:rPr>
          <w:rStyle w:val="FootnoteReference"/>
        </w:rPr>
        <w:footnoteRef/>
      </w:r>
      <w:r w:rsidRPr="00CF5F96">
        <w:t xml:space="preserve"> Defence Portfolio Budget statements 2017-1</w:t>
      </w:r>
      <w:r w:rsidRPr="00FA006A">
        <w:t xml:space="preserve">8. </w:t>
      </w:r>
    </w:p>
  </w:footnote>
  <w:footnote w:id="23">
    <w:p w14:paraId="01773C44" w14:textId="77777777" w:rsidR="00302D5E" w:rsidRPr="00473B24" w:rsidRDefault="00302D5E" w:rsidP="00DF7D23">
      <w:pPr>
        <w:pStyle w:val="Footnote"/>
      </w:pPr>
      <w:r>
        <w:rPr>
          <w:rStyle w:val="FootnoteReference"/>
        </w:rPr>
        <w:footnoteRef/>
      </w:r>
      <w:r>
        <w:t xml:space="preserve"> </w:t>
      </w:r>
      <w:r w:rsidRPr="00473B24">
        <w:rPr>
          <w:rStyle w:val="SourceChar"/>
          <w:color w:val="000000" w:themeColor="text1"/>
          <w:sz w:val="18"/>
          <w:szCs w:val="18"/>
        </w:rPr>
        <w:t>Department of Defence- F 35 Australian Industry Participation, The Journey to $1 billion</w:t>
      </w:r>
    </w:p>
  </w:footnote>
  <w:footnote w:id="24">
    <w:p w14:paraId="564FBDAA" w14:textId="77777777" w:rsidR="00302D5E" w:rsidRPr="00D913DA" w:rsidRDefault="00302D5E" w:rsidP="00DF7D23">
      <w:pPr>
        <w:pStyle w:val="Footnote"/>
      </w:pPr>
      <w:r w:rsidRPr="00C45B3B">
        <w:rPr>
          <w:rStyle w:val="FootnoteReference"/>
        </w:rPr>
        <w:footnoteRef/>
      </w:r>
      <w:r w:rsidRPr="00D913DA">
        <w:rPr>
          <w:vertAlign w:val="superscript"/>
        </w:rPr>
        <w:t xml:space="preserve"> </w:t>
      </w:r>
      <w:r w:rsidRPr="00D913DA">
        <w:rPr>
          <w:rStyle w:val="SourceChar"/>
          <w:color w:val="000000" w:themeColor="text1"/>
          <w:sz w:val="18"/>
          <w:szCs w:val="18"/>
        </w:rPr>
        <w:t>Ibid</w:t>
      </w:r>
    </w:p>
  </w:footnote>
  <w:footnote w:id="25">
    <w:p w14:paraId="4C2C0F1B" w14:textId="4831D27E" w:rsidR="00302D5E" w:rsidRPr="00D913DA" w:rsidRDefault="00302D5E" w:rsidP="00DF7D23">
      <w:pPr>
        <w:pStyle w:val="Footnote"/>
      </w:pPr>
      <w:r>
        <w:rPr>
          <w:rStyle w:val="FootnoteReference"/>
        </w:rPr>
        <w:footnoteRef/>
      </w:r>
      <w:hyperlink r:id="rId5" w:history="1">
        <w:r>
          <w:rPr>
            <w:rStyle w:val="Hyperlink"/>
            <w:color w:val="000000" w:themeColor="text1"/>
            <w:u w:val="none"/>
          </w:rPr>
          <w:t>Ministry of Defense opens thomas global new innovation web link</w:t>
        </w:r>
      </w:hyperlink>
      <w:r w:rsidRPr="00D913DA">
        <w:t xml:space="preserve"> </w:t>
      </w:r>
    </w:p>
  </w:footnote>
  <w:footnote w:id="26">
    <w:p w14:paraId="514C56C6" w14:textId="354883D8" w:rsidR="00302D5E" w:rsidRPr="00D913DA" w:rsidRDefault="00302D5E" w:rsidP="00DF7D23">
      <w:pPr>
        <w:pStyle w:val="Footnote"/>
      </w:pPr>
      <w:r w:rsidRPr="00F03CCE">
        <w:rPr>
          <w:rStyle w:val="FootnoteReference"/>
        </w:rPr>
        <w:footnoteRef/>
      </w:r>
      <w:hyperlink r:id="rId6" w:history="1">
        <w:r>
          <w:rPr>
            <w:rStyle w:val="Hyperlink"/>
            <w:color w:val="000000" w:themeColor="text1"/>
            <w:u w:val="none"/>
          </w:rPr>
          <w:t>Australian Defense - Thomas global to manufacture safran technologies locally</w:t>
        </w:r>
      </w:hyperlink>
      <w:r w:rsidRPr="00D913DA">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C0916" w14:textId="571DA38B" w:rsidR="00302D5E" w:rsidRDefault="00FD67F9" w:rsidP="001E6A7F">
    <w:pPr>
      <w:pStyle w:val="Header"/>
      <w:jc w:val="right"/>
    </w:pPr>
    <w:sdt>
      <w:sdtPr>
        <w:id w:val="516972740"/>
        <w:docPartObj>
          <w:docPartGallery w:val="Page Numbers (Top of Page)"/>
          <w:docPartUnique/>
        </w:docPartObj>
      </w:sdtPr>
      <w:sdtEndPr>
        <w:rPr>
          <w:noProof/>
        </w:rPr>
      </w:sdtEndPr>
      <w:sdtContent>
        <w:r w:rsidR="00302D5E">
          <w:rPr>
            <w:i/>
            <w:sz w:val="18"/>
          </w:rPr>
          <w:t>Civil Marine Industry Capability</w:t>
        </w:r>
      </w:sdtContent>
    </w:sdt>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97815" w14:textId="6428E836" w:rsidR="00302D5E" w:rsidRPr="00BA5403" w:rsidRDefault="00302D5E" w:rsidP="00E361BD">
    <w:pPr>
      <w:pStyle w:val="Header"/>
      <w:ind w:firstLine="284"/>
    </w:pPr>
    <w:r>
      <w:rPr>
        <w:noProof/>
        <w:lang w:eastAsia="en-AU"/>
      </w:rPr>
      <mc:AlternateContent>
        <mc:Choice Requires="wps">
          <w:drawing>
            <wp:anchor distT="0" distB="0" distL="114300" distR="114300" simplePos="0" relativeHeight="251863040" behindDoc="0" locked="0" layoutInCell="1" allowOverlap="1" wp14:anchorId="6EE7DEAD" wp14:editId="44B94339">
              <wp:simplePos x="0" y="0"/>
              <wp:positionH relativeFrom="column">
                <wp:posOffset>-9525</wp:posOffset>
              </wp:positionH>
              <wp:positionV relativeFrom="paragraph">
                <wp:posOffset>-467360</wp:posOffset>
              </wp:positionV>
              <wp:extent cx="36000" cy="756000"/>
              <wp:effectExtent l="0" t="0" r="2540" b="6350"/>
              <wp:wrapNone/>
              <wp:docPr id="252" name="Rectangle 252" descr="Blue highlight bar" title="Blue highlight bar"/>
              <wp:cNvGraphicFramePr/>
              <a:graphic xmlns:a="http://schemas.openxmlformats.org/drawingml/2006/main">
                <a:graphicData uri="http://schemas.microsoft.com/office/word/2010/wordprocessingShape">
                  <wps:wsp>
                    <wps:cNvSpPr/>
                    <wps:spPr>
                      <a:xfrm>
                        <a:off x="0" y="0"/>
                        <a:ext cx="36000" cy="75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1BF42" id="Rectangle 252" o:spid="_x0000_s1026" alt="Title: Blue highlight bar - Description: Blue highlight bar" style="position:absolute;margin-left:-.75pt;margin-top:-36.8pt;width:2.85pt;height:59.5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lUqgIAAMAFAAAOAAAAZHJzL2Uyb0RvYy54bWysVN1P2zAQf5+0/8Hy+0iaUdgqUtSBmCYh&#10;qICJZ9exG0uOz7Pdpt1fv7Odho6hPUx7aHrn+/7dx8XlrtNkK5xXYGo6OSkpEYZDo8y6pt+fbj58&#10;osQHZhqmwYia7oWnl/P37y56OxMVtKAb4Qg6MX7W25q2IdhZUXjeio75E7DCoFCC61hA1q2LxrEe&#10;vXe6qMryrOjBNdYBF97j63UW0nnyL6Xg4V5KLwLRNcXcQvq69F3FbzG/YLO1Y7ZVfEiD/UMWHVMG&#10;g46urllgZOPUH646xR14kOGEQ1eAlIqLVANWMylfVfPYMitSLQiOtyNM/v+55XfbpSOqqWk1rSgx&#10;rMMmPSBszKy1IOmxEZ4jZF/0RpBWrVuNv0BWzCGeKmg0eEOEwPbWz9D/o126gfNIRpR20nXxH+sn&#10;u9SM/dgMsQuE4+PHs7LEjnGUnE8TjU6KF1vrfPgqoCORqKnDnFMH2PbWh6x6UImhPGjV3CitExPH&#10;S1xpR7YMB4NxLkyo4jBggN80tYn6BqJlFseXIpaWi0lU2GsR9bR5EBLRxPSrlEya49eBJlnUskbk&#10;+FOsNI1ijH5ILeWSHEbPEuOPvgcHB83jIiZDEYN+NBVpDUbj8m+J5RJHixQZTBiNO2XAveVAhzFy&#10;1j+AlKGJKK2g2eOsOchL6C2/Udi6W+bDkjncOuw2XpJwjx+poa8pDBQlLbifb71HfVwGlFLS4xbX&#10;1P/YMCco0d8MrsnnyelpXPvEnE7PK2TcsWR1LDGb7gpwHiZ4syxPZNQP+kBKB90zHpxFjIoiZjjG&#10;rikPuAuZuQr5uuDJ4mKxSGq46paFW/NoeXQeUY2j+bR7Zs4O8xtw7u/gsPFs9mqMs260NLDYBJAq&#10;zfgLrgPeeCbS4AwnLd6hYz5pvRze+S8AAAD//wMAUEsDBBQABgAIAAAAIQC84Mrj2gAAAAcBAAAP&#10;AAAAZHJzL2Rvd25yZXYueG1sTI7BToNAEIbvJr7DZky8tUtRsCJLo8ZejBerDzCwI6DsLGG3FN/e&#10;8aSnP3/myz9fuVvcoGaaQu/ZwGadgCJuvO25NfD+tl9tQYWIbHHwTAa+KcCuOj8rsbD+xK80H2Kr&#10;ZIRDgQa6GMdC69B05DCs/Ugstw8/OYxSp1bbCU8y7gadJkmuHfYsHzoc6bGj5utwdAaenM9ePm9n&#10;t0/72ut8y/HhmY25vFju70BFWuIfDL/6og6VONX+yDaowcBqkwkpeXOVgxLgOgVVS2QZ6KrU//2r&#10;HwAAAP//AwBQSwECLQAUAAYACAAAACEAtoM4kv4AAADhAQAAEwAAAAAAAAAAAAAAAAAAAAAAW0Nv&#10;bnRlbnRfVHlwZXNdLnhtbFBLAQItABQABgAIAAAAIQA4/SH/1gAAAJQBAAALAAAAAAAAAAAAAAAA&#10;AC8BAABfcmVscy8ucmVsc1BLAQItABQABgAIAAAAIQDuaClUqgIAAMAFAAAOAAAAAAAAAAAAAAAA&#10;AC4CAABkcnMvZTJvRG9jLnhtbFBLAQItABQABgAIAAAAIQC84Mrj2gAAAAcBAAAPAAAAAAAAAAAA&#10;AAAAAAQFAABkcnMvZG93bnJldi54bWxQSwUGAAAAAAQABADzAAAACwYAAAAA&#10;" fillcolor="#0091da [3205]" stroked="f" strokeweight="1pt"/>
          </w:pict>
        </mc:Fallback>
      </mc:AlternateContent>
    </w:r>
    <w:sdt>
      <w:sdtPr>
        <w:id w:val="-1035885327"/>
        <w:docPartObj>
          <w:docPartGallery w:val="Page Numbers (Top of Page)"/>
          <w:docPartUnique/>
        </w:docPartObj>
      </w:sdtPr>
      <w:sdtEndPr>
        <w:rPr>
          <w:noProof/>
        </w:rPr>
      </w:sdtEndPr>
      <w:sdtContent>
        <w:sdt>
          <w:sdtPr>
            <w:id w:val="433103039"/>
            <w:docPartObj>
              <w:docPartGallery w:val="Page Numbers (Top of Page)"/>
              <w:docPartUnique/>
            </w:docPartObj>
          </w:sdtPr>
          <w:sdtEndPr>
            <w:rPr>
              <w:noProof/>
            </w:rPr>
          </w:sdtEndPr>
          <w:sdtContent>
            <w:r w:rsidRPr="004E16E2">
              <w:rPr>
                <w:color w:val="0091DA" w:themeColor="accent2"/>
              </w:rPr>
              <w:t>Page</w:t>
            </w:r>
            <w:r w:rsidRPr="004E16E2">
              <w:rPr>
                <w:i/>
                <w:color w:val="0091DA" w:themeColor="accent2"/>
                <w:sz w:val="18"/>
              </w:rPr>
              <w:t xml:space="preserve"> </w:t>
            </w:r>
            <w:r w:rsidRPr="004E16E2">
              <w:rPr>
                <w:b/>
                <w:color w:val="0091DA" w:themeColor="accent2"/>
              </w:rPr>
              <w:fldChar w:fldCharType="begin"/>
            </w:r>
            <w:r w:rsidRPr="004E16E2">
              <w:rPr>
                <w:b/>
                <w:color w:val="0091DA" w:themeColor="accent2"/>
              </w:rPr>
              <w:instrText xml:space="preserve"> PAGE   \* MERGEFORMAT </w:instrText>
            </w:r>
            <w:r w:rsidRPr="004E16E2">
              <w:rPr>
                <w:b/>
                <w:color w:val="0091DA" w:themeColor="accent2"/>
              </w:rPr>
              <w:fldChar w:fldCharType="separate"/>
            </w:r>
            <w:r w:rsidR="00FD67F9">
              <w:rPr>
                <w:b/>
                <w:noProof/>
                <w:color w:val="0091DA" w:themeColor="accent2"/>
              </w:rPr>
              <w:t>51</w:t>
            </w:r>
            <w:r w:rsidRPr="004E16E2">
              <w:rPr>
                <w:b/>
                <w:noProof/>
                <w:color w:val="0091DA" w:themeColor="accent2"/>
              </w:rPr>
              <w:fldChar w:fldCharType="end"/>
            </w:r>
          </w:sdtContent>
        </w:sdt>
        <w:r>
          <w:rPr>
            <w:noProof/>
            <w:lang w:eastAsia="en-AU"/>
          </w:rPr>
          <w:t xml:space="preserve">  | </w:t>
        </w:r>
        <w:r w:rsidRPr="004E16E2">
          <w:rPr>
            <w:sz w:val="18"/>
          </w:rPr>
          <w:t>Australia’s Aerospace Industry Capability</w:t>
        </w:r>
      </w:sdtContent>
    </w:sdt>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C5416" w14:textId="020402AF" w:rsidR="00302D5E" w:rsidRPr="00BA5403" w:rsidRDefault="00302D5E" w:rsidP="00E361BD">
    <w:pPr>
      <w:pStyle w:val="Header"/>
    </w:pPr>
    <w:r>
      <w:rPr>
        <w:noProof/>
        <w:lang w:eastAsia="en-AU"/>
      </w:rPr>
      <mc:AlternateContent>
        <mc:Choice Requires="wps">
          <w:drawing>
            <wp:anchor distT="0" distB="0" distL="114300" distR="114300" simplePos="0" relativeHeight="251869184" behindDoc="1" locked="0" layoutInCell="1" allowOverlap="1" wp14:anchorId="0CB646BF" wp14:editId="57CE39FA">
              <wp:simplePos x="0" y="0"/>
              <wp:positionH relativeFrom="margin">
                <wp:align>center</wp:align>
              </wp:positionH>
              <wp:positionV relativeFrom="paragraph">
                <wp:posOffset>-448945</wp:posOffset>
              </wp:positionV>
              <wp:extent cx="7704000" cy="10764000"/>
              <wp:effectExtent l="0" t="0" r="0" b="0"/>
              <wp:wrapNone/>
              <wp:docPr id="254" name="Rectangle 254" descr="Blue back cover of document" title="Blue back cover"/>
              <wp:cNvGraphicFramePr/>
              <a:graphic xmlns:a="http://schemas.openxmlformats.org/drawingml/2006/main">
                <a:graphicData uri="http://schemas.microsoft.com/office/word/2010/wordprocessingShape">
                  <wps:wsp>
                    <wps:cNvSpPr/>
                    <wps:spPr>
                      <a:xfrm>
                        <a:off x="0" y="0"/>
                        <a:ext cx="7704000" cy="10764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F4323" id="Rectangle 254" o:spid="_x0000_s1026" alt="Title: Blue back cover - Description: Blue back cover of document" style="position:absolute;margin-left:0;margin-top:-35.35pt;width:606.6pt;height:847.55pt;z-index:-251447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E8OsgIAAMoFAAAOAAAAZHJzL2Uyb0RvYy54bWysVEtvEzEQviPxHyzf6e5GaQNRN1VoVYRU&#10;tVFb1LPjtbMrbI+xnWzCr2fsfTSEigPisjvjeX/zuLzaa0V2wvkGTEmLs5wSYThUjdmU9Nvz7YeP&#10;lPjATMUUGFHSg/D0avH+3WVr52ICNahKOIJOjJ+3tqR1CHaeZZ7XQjN/BlYYFEpwmgVk3SarHGvR&#10;u1bZJM8vshZcZR1w4T2+3nRCukj+pRQ8PEjpRSCqpJhbSF+Xvuv4zRaXbL5xzNYN79Ng/5CFZo3B&#10;oKOrGxYY2brmD1e64Q48yHDGQWcgZcNFqgGrKfKTap5qZkWqBcHxdoTJ/z+3/H63cqSpSjo5n1Ji&#10;mMYmPSJszGyUIOmxEp4jZJ/VVpA1498JB+w4AUkq4FstTEBgm6DQ8kQnwttaP8coT3bles4jGbHa&#10;S6fjH1Eg+9SSw9gSsQ+E4+Nslk/zHDvHUVbks4vEoaPs1d46H74I0CQSJXWYfeoF29350KkOKjGc&#10;B9VUt41SiYmDJq6VIzuGI8I4x3ImMW8M8JumMlHfQLTsxPEli+V1BSUqHJSIeso8Com4YgmTlEya&#10;6NNARSeqWSW6+OdYaxrKGH1ILeWSHEbPEuOPvnsHg+ZxEUVfRK8fTUVaiNE4/1tiXYmjRYoMJozG&#10;ujHg3nKgwhi50x9A6qCJKK2hOuDUOejW0Vt+22Dr7pgPK+Zw/7DfOGHhAT9SQVvSOHCRoqQG9/Ot&#10;96iPa4FSSlrc55L6H1vmBCXqq8GF+VRMp/EAJGZ6Ppsg444l62OJ2eprwHko8HpZnsioH9RASgf6&#10;BU/PMkZFETMcY5eUBzcw16G7M3i8uFgukxouvWXhzjxZHp1HVONoPu9fmLP9/Aac/XsYdp/NT8a4&#10;042WBpbbALJJM/6Ka483How0OP1xixfpmE9aryd48QsAAP//AwBQSwMEFAAGAAgAAAAhADzQspbe&#10;AAAACgEAAA8AAABkcnMvZG93bnJldi54bWxMj8FOwzAQRO9I/IO1lbi1Tk1JS8imAkQvFRcKH+DE&#10;SxIar6PYTcPf1z3BbVazmnmTbyfbiZEG3zpGWC4SEMSVMy3XCF+fu/kGhA+aje4cE8IvedgWtze5&#10;zow78weNh1CLGMI+0whNCH0mpa8astovXE8cvW83WB3iOdTSDPocw20nVZKk0uqWY0Oje3ptqDoe&#10;ThbhzbqH95/H0e5UWzqZbji87BnxbjY9P4EINIW/Z7jiR3QoIlPpTmy86BDikIAwXydrEFdbLe8V&#10;iDKqVK1WIItc/p9QXAAAAP//AwBQSwECLQAUAAYACAAAACEAtoM4kv4AAADhAQAAEwAAAAAAAAAA&#10;AAAAAAAAAAAAW0NvbnRlbnRfVHlwZXNdLnhtbFBLAQItABQABgAIAAAAIQA4/SH/1gAAAJQBAAAL&#10;AAAAAAAAAAAAAAAAAC8BAABfcmVscy8ucmVsc1BLAQItABQABgAIAAAAIQD1HE8OsgIAAMoFAAAO&#10;AAAAAAAAAAAAAAAAAC4CAABkcnMvZTJvRG9jLnhtbFBLAQItABQABgAIAAAAIQA80LKW3gAAAAoB&#10;AAAPAAAAAAAAAAAAAAAAAAwFAABkcnMvZG93bnJldi54bWxQSwUGAAAAAAQABADzAAAAFwYAAAAA&#10;" fillcolor="#0091da [3205]" stroked="f" strokeweight="1pt">
              <w10:wrap anchorx="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DFA4F4" w14:textId="0E540398" w:rsidR="00302D5E" w:rsidRDefault="00302D5E" w:rsidP="00A64BB8">
    <w:pPr>
      <w:pStyle w:val="Header"/>
      <w:ind w:left="426"/>
    </w:pPr>
    <w:r>
      <w:rPr>
        <w:noProof/>
        <w:lang w:eastAsia="en-AU"/>
      </w:rPr>
      <w:drawing>
        <wp:anchor distT="0" distB="0" distL="114300" distR="114300" simplePos="0" relativeHeight="251882496" behindDoc="0" locked="0" layoutInCell="1" allowOverlap="1" wp14:anchorId="7E702DC1" wp14:editId="2228B69E">
          <wp:simplePos x="0" y="0"/>
          <wp:positionH relativeFrom="page">
            <wp:align>left</wp:align>
          </wp:positionH>
          <wp:positionV relativeFrom="page">
            <wp:posOffset>22225</wp:posOffset>
          </wp:positionV>
          <wp:extent cx="7584440" cy="10727690"/>
          <wp:effectExtent l="0" t="0" r="0" b="0"/>
          <wp:wrapNone/>
          <wp:docPr id="17" name="Picture 17" descr="Australia’s Aerospace Industry Capability: Research and Economic Modelling of the Aircraft Manufacturing and Repair Services Industry in Australia" title="Australia’s Aerospace Industry Capability: Research and Economic Modelling of the Aircraft Manufacturing and Repair Services Industry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ustralia’s Aerospace Industry Capability: Research and Economic Modelling of the Aircraft Manufacturing and Repair Services Industry in Australi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84440" cy="1072769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8A82E" w14:textId="237034BD" w:rsidR="00302D5E" w:rsidRPr="004E16E2" w:rsidRDefault="00302D5E" w:rsidP="004E16E2">
    <w:pPr>
      <w:pStyle w:val="Header"/>
      <w:ind w:firstLine="284"/>
      <w:rPr>
        <w:vanish/>
      </w:rPr>
    </w:pPr>
    <w:r>
      <w:rPr>
        <w:noProof/>
        <w:lang w:eastAsia="en-AU"/>
      </w:rPr>
      <mc:AlternateContent>
        <mc:Choice Requires="wps">
          <w:drawing>
            <wp:anchor distT="0" distB="0" distL="114300" distR="114300" simplePos="0" relativeHeight="251858944" behindDoc="0" locked="0" layoutInCell="1" allowOverlap="1" wp14:anchorId="39604EAA" wp14:editId="0ECA795D">
              <wp:simplePos x="0" y="0"/>
              <wp:positionH relativeFrom="column">
                <wp:posOffset>0</wp:posOffset>
              </wp:positionH>
              <wp:positionV relativeFrom="paragraph">
                <wp:posOffset>-493616</wp:posOffset>
              </wp:positionV>
              <wp:extent cx="36000" cy="756000"/>
              <wp:effectExtent l="0" t="0" r="2540" b="6350"/>
              <wp:wrapNone/>
              <wp:docPr id="236" name="Rectangle 236" descr="Blue highlight bar"/>
              <wp:cNvGraphicFramePr/>
              <a:graphic xmlns:a="http://schemas.openxmlformats.org/drawingml/2006/main">
                <a:graphicData uri="http://schemas.microsoft.com/office/word/2010/wordprocessingShape">
                  <wps:wsp>
                    <wps:cNvSpPr/>
                    <wps:spPr>
                      <a:xfrm>
                        <a:off x="0" y="0"/>
                        <a:ext cx="36000" cy="75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C32D8" id="Rectangle 236" o:spid="_x0000_s1026" alt="Blue highlight bar" style="position:absolute;margin-left:0;margin-top:-38.85pt;width:2.85pt;height:59.5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V/oQIAAKUFAAAOAAAAZHJzL2Uyb0RvYy54bWysVEtv2zAMvg/YfxB0X+2kry2oU2QtOgwo&#10;1qLt0LMiS7EAWdQo5bVfP0p+NOuKHYYd4lAi+ZH8RPLictdatlEYDLiKT45KzpSTUBu3qvj3p5sP&#10;HzkLUbhaWHCq4nsV+OX8/buLrZ+pKTRga4WMQFyYbX3Fmxj9rCiCbFQrwhF45UipAVsR6Yirokax&#10;JfTWFtOyPCu2gLVHkCoEur3ulHye8bVWMt5pHVRktuKUW8xfzN9l+hbzCzFbofCNkX0a4h+yaIVx&#10;FHSEuhZRsDWaP6BaIxEC6HgkoS1AayNVroGqmZSvqnlshFe5FiIn+JGm8P9g5bfNPTJTV3x6fMaZ&#10;Ey090gPRJtzKKpYvaxUkUfbZrhVrzKqx9ItsKTCxt/VhRiCP/h77UyAxUbHT2KZ/KpLtMuP7kXG1&#10;i0zS5fFZWdKzSNKcn2aZQIoXX48hflHQsiRUHCmxTLPY3IbYmQ4mKVQAa+obY20+pB5SVxbZRtDr&#10;CymVi9OUMwX4zdK6ZO8geXbqdFOk0rpishT3ViU76x6UJsoo/WlOJjfr60CTTtWIWnXxT6nS3G8p&#10;+pBaziUDJmRN8UfsHmCwPCxi0hfR2ydXlXt9dC7/llhX4uiRI4OLo3NrHOBbADaOkTv7gaSOmsTS&#10;Euo9NRRCN2nByxtDT3crQrwXSKNFr03rIt7RR1vYVhx6ibMG8Odb98meOp60nG1pVCsefqwFKs7s&#10;V0ez8GlycpJmOx9OTs+ndMBDzfJQ49btFVA/TGgxeZnFZB/tIGqE9pm2yiJFJZVwkmJXXEYcDlex&#10;WyG0l6RaLLIZzbMX8dY9epnAE6upNZ92zwJ937+R+v4bDGMtZq/auLNNng4W6wja5B5/4bXnm3ZB&#10;bpx+b6Vlc3jOVi/bdf4LAAD//wMAUEsDBBQABgAIAAAAIQCEcfjE2gAAAAUBAAAPAAAAZHJzL2Rv&#10;d25yZXYueG1sTI/BTsMwEETvSPyDtUjcWqdV25Q0mwoQvSAuFD7AibdJIF5HsZuGv2c50dNqNKOZ&#10;t/l+cp0aaQitZ4TFPAFFXHnbco3w+XGYbUGFaNiazjMh/FCAfXF7k5vM+gu/03iMtZISDplBaGLs&#10;M61D1ZAzYe57YvFOfnAmihxqbQdzkXLX6WWSbLQzLctCY3p6bqj6Pp4dwovz67evh9Edlm3p9WbL&#10;8emVEe/vpscdqEhT/A/DH76gQyFMpT+zDapDkEciwixNU1Bir+WUCKvFCnSR62v64hcAAP//AwBQ&#10;SwECLQAUAAYACAAAACEAtoM4kv4AAADhAQAAEwAAAAAAAAAAAAAAAAAAAAAAW0NvbnRlbnRfVHlw&#10;ZXNdLnhtbFBLAQItABQABgAIAAAAIQA4/SH/1gAAAJQBAAALAAAAAAAAAAAAAAAAAC8BAABfcmVs&#10;cy8ucmVsc1BLAQItABQABgAIAAAAIQCdumV/oQIAAKUFAAAOAAAAAAAAAAAAAAAAAC4CAABkcnMv&#10;ZTJvRG9jLnhtbFBLAQItABQABgAIAAAAIQCEcfjE2gAAAAUBAAAPAAAAAAAAAAAAAAAAAPsEAABk&#10;cnMvZG93bnJldi54bWxQSwUGAAAAAAQABADzAAAAAgYAAAAA&#10;" fillcolor="#0091da [3205]" stroked="f" strokeweight="1pt"/>
          </w:pict>
        </mc:Fallback>
      </mc:AlternateContent>
    </w:r>
    <w:r w:rsidRPr="004E16E2">
      <w:rPr>
        <w:sz w:val="18"/>
      </w:rPr>
      <w:t>Australia’s Aerospace Industry Capability</w:t>
    </w:r>
    <w:r>
      <w:rPr>
        <w:i/>
        <w:sz w:val="18"/>
      </w:rPr>
      <w:t xml:space="preserve">     </w:t>
    </w:r>
  </w:p>
  <w:p w14:paraId="5D18AD86" w14:textId="17657C13" w:rsidR="00302D5E" w:rsidRPr="004E16E2" w:rsidRDefault="00302D5E" w:rsidP="004E16E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82591" w14:textId="4438ADEB" w:rsidR="00302D5E" w:rsidRDefault="00302D5E" w:rsidP="00291100">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8519A" w14:textId="77777777" w:rsidR="00302D5E" w:rsidRPr="004E16E2" w:rsidRDefault="00FD67F9" w:rsidP="006C3FE3">
    <w:pPr>
      <w:pStyle w:val="Header"/>
      <w:ind w:firstLine="284"/>
      <w:rPr>
        <w:vanish/>
      </w:rPr>
    </w:pPr>
    <w:sdt>
      <w:sdtPr>
        <w:id w:val="1177695453"/>
        <w:docPartObj>
          <w:docPartGallery w:val="Page Numbers (Top of Page)"/>
          <w:docPartUnique/>
        </w:docPartObj>
      </w:sdtPr>
      <w:sdtEndPr>
        <w:rPr>
          <w:noProof/>
        </w:rPr>
      </w:sdtEndPr>
      <w:sdtContent>
        <w:r w:rsidR="00302D5E" w:rsidRPr="004E16E2">
          <w:rPr>
            <w:color w:val="0091DA" w:themeColor="accent2"/>
          </w:rPr>
          <w:t>Page</w:t>
        </w:r>
        <w:r w:rsidR="00302D5E" w:rsidRPr="004E16E2">
          <w:rPr>
            <w:i/>
            <w:color w:val="0091DA" w:themeColor="accent2"/>
            <w:sz w:val="18"/>
          </w:rPr>
          <w:t xml:space="preserve"> </w:t>
        </w:r>
        <w:r w:rsidR="00302D5E" w:rsidRPr="004E16E2">
          <w:rPr>
            <w:b/>
            <w:color w:val="0091DA" w:themeColor="accent2"/>
          </w:rPr>
          <w:fldChar w:fldCharType="begin"/>
        </w:r>
        <w:r w:rsidR="00302D5E" w:rsidRPr="004E16E2">
          <w:rPr>
            <w:b/>
            <w:color w:val="0091DA" w:themeColor="accent2"/>
          </w:rPr>
          <w:instrText xml:space="preserve"> PAGE   \* MERGEFORMAT </w:instrText>
        </w:r>
        <w:r w:rsidR="00302D5E" w:rsidRPr="004E16E2">
          <w:rPr>
            <w:b/>
            <w:color w:val="0091DA" w:themeColor="accent2"/>
          </w:rPr>
          <w:fldChar w:fldCharType="separate"/>
        </w:r>
        <w:r>
          <w:rPr>
            <w:b/>
            <w:noProof/>
            <w:color w:val="0091DA" w:themeColor="accent2"/>
          </w:rPr>
          <w:t>ii</w:t>
        </w:r>
        <w:r w:rsidR="00302D5E" w:rsidRPr="004E16E2">
          <w:rPr>
            <w:b/>
            <w:noProof/>
            <w:color w:val="0091DA" w:themeColor="accent2"/>
          </w:rPr>
          <w:fldChar w:fldCharType="end"/>
        </w:r>
      </w:sdtContent>
    </w:sdt>
    <w:r w:rsidR="00302D5E">
      <w:rPr>
        <w:noProof/>
        <w:lang w:eastAsia="en-AU"/>
      </w:rPr>
      <w:t xml:space="preserve">  |  </w:t>
    </w:r>
    <w:r w:rsidR="00302D5E">
      <w:rPr>
        <w:noProof/>
        <w:lang w:eastAsia="en-AU"/>
      </w:rPr>
      <mc:AlternateContent>
        <mc:Choice Requires="wps">
          <w:drawing>
            <wp:anchor distT="0" distB="0" distL="114300" distR="114300" simplePos="0" relativeHeight="251881472" behindDoc="0" locked="0" layoutInCell="1" allowOverlap="1" wp14:anchorId="41DF4EDF" wp14:editId="089E8EE6">
              <wp:simplePos x="0" y="0"/>
              <wp:positionH relativeFrom="column">
                <wp:posOffset>0</wp:posOffset>
              </wp:positionH>
              <wp:positionV relativeFrom="paragraph">
                <wp:posOffset>-491490</wp:posOffset>
              </wp:positionV>
              <wp:extent cx="36000" cy="756000"/>
              <wp:effectExtent l="0" t="0" r="2540" b="6350"/>
              <wp:wrapNone/>
              <wp:docPr id="8" name="Rectangle 8" descr="Blue highlight bar"/>
              <wp:cNvGraphicFramePr/>
              <a:graphic xmlns:a="http://schemas.openxmlformats.org/drawingml/2006/main">
                <a:graphicData uri="http://schemas.microsoft.com/office/word/2010/wordprocessingShape">
                  <wps:wsp>
                    <wps:cNvSpPr/>
                    <wps:spPr>
                      <a:xfrm>
                        <a:off x="0" y="0"/>
                        <a:ext cx="36000" cy="75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C038A" id="Rectangle 8" o:spid="_x0000_s1026" alt="Blue highlight bar" style="position:absolute;margin-left:0;margin-top:-38.7pt;width:2.85pt;height:59.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CXanwIAAKEFAAAOAAAAZHJzL2Uyb0RvYy54bWysVEtv2zAMvg/YfxB0X+1kfWxBnSJr0WFA&#10;0RZth54VWYoFyKJGKa/9+lHyo1lX7DDsEIcSyY/kJ5LnF7vWso3CYMBVfHJUcqachNq4VcW/P11/&#10;+MRZiMLVwoJTFd+rwC/m79+db/1MTaEBWytkBOLCbOsr3sToZ0URZKNaEY7AK0dKDdiKSEdcFTWK&#10;LaG3tpiW5WmxBaw9glQh0O1Vp+TzjK+1kvFO66AisxWn3GL+Yv4u07eYn4vZCoVvjOzTEP+QRSuM&#10;o6Aj1JWIgq3R/AHVGokQQMcjCW0BWhupcg1UzaR8Vc1jI7zKtRA5wY80hf8HK28398hMXXF6KCda&#10;eqIHIk24lVWMrmoVJNH1xa4Va8yqsfSLbCkwMbf1YUYAj/4e+1MgMdGw09imfyqQ7TLb+5FttYtM&#10;0uXH07KkJ5GkOTvJMoEUL74eQ/yqoGVJqDhSWplisbkJsTMdTFKoANbU18bafEj9oy4tso2glxdS&#10;KhenKWcK8JuldcneQfLs1OmmSKV1xWQp7q1KdtY9KE10UfrTnExu1NeBJp2qEbXq4p9QpbnXUvQh&#10;tZxLBkzImuKP2D3AYHlYxKQvordPrir3+ehc/i2xrsTRI0cGF0fn1jjAtwBsHCN39gNJHTWJpSXU&#10;e2omhG7KgpfXhp7uRoR4L5DGil6bVkW8o4+2sK049BJnDeDPt+6TPXU7aTnb0phWPPxYC1Sc2W+O&#10;5uDz5Pg4zXU+HJ+cTemAh5rlocat20ugfpjQUvIyi8k+2kHUCO0zbZRFikoq4STFrriMOBwuY7c+&#10;aCdJtVhkM5plL+KNe/QygSdWU2s+7Z4F+r5/I/X9LQwjLWav2rizTZ4OFusI2uQef+G155v2QG6c&#10;fmelRXN4zlYvm3X+CwAA//8DAFBLAwQUAAYACAAAACEAdwQoCtoAAAAFAQAADwAAAGRycy9kb3du&#10;cmV2LnhtbEyPwU7DMBBE70j8g7VI3FqnVduUNJsKEL0gLhQ+wIm3SSBeR7Gbhr9nOdHjaEYzb/L9&#10;5Do10hBazwiLeQKKuPK25Rrh8+Mw24IK0bA1nWdC+KEA++L2JjeZ9Rd+p/EYayUlHDKD0MTYZ1qH&#10;qiFnwtz3xOKd/OBMFDnU2g7mIuWu08sk2WhnWpaFxvT03FD1fTw7hBfn129fD6M7LNvS682W49Mr&#10;I97fTY87UJGm+B+GP3xBh0KYSn9mG1SHIEciwixNV6DEXqegSoTVIgVd5PqavvgFAAD//wMAUEsB&#10;Ai0AFAAGAAgAAAAhALaDOJL+AAAA4QEAABMAAAAAAAAAAAAAAAAAAAAAAFtDb250ZW50X1R5cGVz&#10;XS54bWxQSwECLQAUAAYACAAAACEAOP0h/9YAAACUAQAACwAAAAAAAAAAAAAAAAAvAQAAX3JlbHMv&#10;LnJlbHNQSwECLQAUAAYACAAAACEAZ+Ql2p8CAAChBQAADgAAAAAAAAAAAAAAAAAuAgAAZHJzL2Uy&#10;b0RvYy54bWxQSwECLQAUAAYACAAAACEAdwQoCtoAAAAFAQAADwAAAAAAAAAAAAAAAAD5BAAAZHJz&#10;L2Rvd25yZXYueG1sUEsFBgAAAAAEAAQA8wAAAAAGAAAAAA==&#10;" fillcolor="#0091da [3205]" stroked="f" strokeweight="1pt"/>
          </w:pict>
        </mc:Fallback>
      </mc:AlternateContent>
    </w:r>
    <w:r w:rsidR="00302D5E" w:rsidRPr="004E16E2">
      <w:rPr>
        <w:sz w:val="18"/>
      </w:rPr>
      <w:t>Australia’s Aerospace Industry Capability</w:t>
    </w:r>
    <w:r w:rsidR="00302D5E">
      <w:rPr>
        <w:i/>
        <w:sz w:val="18"/>
      </w:rPr>
      <w:t xml:space="preserve"> </w:t>
    </w:r>
  </w:p>
  <w:p w14:paraId="4987822C" w14:textId="4D74FC31" w:rsidR="00302D5E" w:rsidRPr="006C3FE3" w:rsidRDefault="00302D5E" w:rsidP="006C3FE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2284C" w14:textId="352B2A8B" w:rsidR="00302D5E" w:rsidRDefault="00302D5E" w:rsidP="00291100">
    <w:pPr>
      <w:pStyle w:val="Header"/>
      <w:jc w:val="right"/>
    </w:pPr>
    <w:r>
      <w:rPr>
        <w:noProof/>
        <w:lang w:eastAsia="en-AU"/>
      </w:rPr>
      <mc:AlternateContent>
        <mc:Choice Requires="wps">
          <w:drawing>
            <wp:anchor distT="0" distB="0" distL="114300" distR="114300" simplePos="0" relativeHeight="251874304" behindDoc="0" locked="0" layoutInCell="1" allowOverlap="1" wp14:anchorId="7EDB2515" wp14:editId="45DCC42D">
              <wp:simplePos x="0" y="0"/>
              <wp:positionH relativeFrom="column">
                <wp:posOffset>-926161</wp:posOffset>
              </wp:positionH>
              <wp:positionV relativeFrom="paragraph">
                <wp:posOffset>391160</wp:posOffset>
              </wp:positionV>
              <wp:extent cx="248920" cy="2195830"/>
              <wp:effectExtent l="0" t="0" r="0" b="0"/>
              <wp:wrapNone/>
              <wp:docPr id="288" name="Rectangle 288" descr="Blue highlight bar"/>
              <wp:cNvGraphicFramePr/>
              <a:graphic xmlns:a="http://schemas.openxmlformats.org/drawingml/2006/main">
                <a:graphicData uri="http://schemas.microsoft.com/office/word/2010/wordprocessingShape">
                  <wps:wsp>
                    <wps:cNvSpPr/>
                    <wps:spPr>
                      <a:xfrm>
                        <a:off x="0" y="0"/>
                        <a:ext cx="248920" cy="219583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1BEE3B" id="Rectangle 288" o:spid="_x0000_s1026" alt="Blue highlight bar" style="position:absolute;margin-left:-72.95pt;margin-top:30.8pt;width:19.6pt;height:172.9p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wfpQIAAKcFAAAOAAAAZHJzL2Uyb0RvYy54bWysVN9vGyEMfp+0/wHxvl7ulm5plEuVteo0&#10;qWqrtlOfCQc5JA4zILlkf/0M96NZVu1hWqRwgO3P9mfjxeW+0WQnnFdgSpqfTSgRhkOlzKak359v&#10;Pswo8YGZimkwoqQH4enl8v27RWvnooAadCUcQRDj560taR2CnWeZ57VomD8DKwwKJbiGBTy6TVY5&#10;1iJ6o7NiMvmUteAq64AL7/H2uhPSZcKXUvBwL6UXgeiSYmwhrS6t67hmywWbbxyzteJ9GOwfomiY&#10;Muh0hLpmgZGtU39ANYo78CDDGYcmAykVFykHzCafnGTzVDMrUi5IjrcjTf7/wfK73YMjqippMcNS&#10;GdZgkR6RNmY2WpB0WQnPkbIveitIrTa1xn8ga+Yie631cwR5sg+uP3ncRir20jXxi0mSfWL8MDIu&#10;9oFwvCyms4sC68JRVOQX57OPqSTZq7V1PnwV0JC4KanD0BLRbHfrA3pE1UElOvOgVXWjtE6H2EXi&#10;SjuyY1h/xrkwoYhRo9VvmtpEfQPRshPHmywm16WTduGgRdTT5lFIJC0mkIJJ7XrqKO9ENatE5/98&#10;gr/B+xBaiiUBRmSJ/kfsHmDQPE4i72F6/WgqUrePxpO/BdalOFokz2DCaNwoA+4tAB1Gz53+QFJH&#10;TWRpDdUBW8pB99a85TcKS3fLfHhgDh8XlhsHRrjHRWpoSwr9jpIa3M+37qM+9jxKKWnxsZbU/9gy&#10;JyjR3wy+hot8Oo2vOx2m559jS7ljyfpYYrbNFWA/5DiaLE/bqB/0sJUOmhecK6voFUXMcPRdUh7c&#10;cLgK3RDBycTFapXU8EVbFm7Nk+URPLIaW/N5/8Kc7fs3YOffwfCw2fykjTvdaGlgtQ0gVerxV157&#10;vnEapMbpJ1ccN8fnpPU6X5e/AAAA//8DAFBLAwQUAAYACAAAACEAZhpzW98AAAAMAQAADwAAAGRy&#10;cy9kb3ducmV2LnhtbEyPQU7DMBBF90jcwRokdqmdKk3bkEkFiG4QGwoHcOIhCcTjKHbTcHvMCpaj&#10;//T/m/Kw2EHMNPneMUK6UiCIG2d6bhHe347JDoQPmo0eHBPCN3k4VNdXpS6Mu/ArzafQiljCvtAI&#10;XQhjIaVvOrLar9xIHLMPN1kd4jm10kz6EsvtINdK5dLqnuNCp0d67Kj5Op0twpN1m5fP/WyP6752&#10;Mt9xeHhmxNub5f4ORKAl/MHwqx/VoYpOtTuz8WJASNJss48sQp7mICKRpCrfgqgRMrXNQFal/P9E&#10;9QMAAP//AwBQSwECLQAUAAYACAAAACEAtoM4kv4AAADhAQAAEwAAAAAAAAAAAAAAAAAAAAAAW0Nv&#10;bnRlbnRfVHlwZXNdLnhtbFBLAQItABQABgAIAAAAIQA4/SH/1gAAAJQBAAALAAAAAAAAAAAAAAAA&#10;AC8BAABfcmVscy8ucmVsc1BLAQItABQABgAIAAAAIQBzPVwfpQIAAKcFAAAOAAAAAAAAAAAAAAAA&#10;AC4CAABkcnMvZTJvRG9jLnhtbFBLAQItABQABgAIAAAAIQBmGnNb3wAAAAwBAAAPAAAAAAAAAAAA&#10;AAAAAP8EAABkcnMvZG93bnJldi54bWxQSwUGAAAAAAQABADzAAAACwYAAAAA&#10;" fillcolor="#0091da [3205]" stroked="f" strokeweight="1p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A7443" w14:textId="70495109" w:rsidR="00302D5E" w:rsidRPr="004E16E2" w:rsidRDefault="00FD67F9" w:rsidP="004E16E2">
    <w:pPr>
      <w:pStyle w:val="Header"/>
      <w:ind w:firstLine="284"/>
      <w:rPr>
        <w:vanish/>
      </w:rPr>
    </w:pPr>
    <w:sdt>
      <w:sdtPr>
        <w:id w:val="1224569575"/>
        <w:docPartObj>
          <w:docPartGallery w:val="Page Numbers (Top of Page)"/>
          <w:docPartUnique/>
        </w:docPartObj>
      </w:sdtPr>
      <w:sdtEndPr>
        <w:rPr>
          <w:noProof/>
        </w:rPr>
      </w:sdtEndPr>
      <w:sdtContent>
        <w:r w:rsidR="00302D5E" w:rsidRPr="004E16E2">
          <w:rPr>
            <w:color w:val="0091DA" w:themeColor="accent2"/>
          </w:rPr>
          <w:t>Page</w:t>
        </w:r>
        <w:r w:rsidR="00302D5E" w:rsidRPr="004E16E2">
          <w:rPr>
            <w:i/>
            <w:color w:val="0091DA" w:themeColor="accent2"/>
            <w:sz w:val="18"/>
          </w:rPr>
          <w:t xml:space="preserve"> </w:t>
        </w:r>
        <w:r w:rsidR="00302D5E" w:rsidRPr="004E16E2">
          <w:rPr>
            <w:b/>
            <w:color w:val="0091DA" w:themeColor="accent2"/>
          </w:rPr>
          <w:fldChar w:fldCharType="begin"/>
        </w:r>
        <w:r w:rsidR="00302D5E" w:rsidRPr="004E16E2">
          <w:rPr>
            <w:b/>
            <w:color w:val="0091DA" w:themeColor="accent2"/>
          </w:rPr>
          <w:instrText xml:space="preserve"> PAGE   \* MERGEFORMAT </w:instrText>
        </w:r>
        <w:r w:rsidR="00302D5E" w:rsidRPr="004E16E2">
          <w:rPr>
            <w:b/>
            <w:color w:val="0091DA" w:themeColor="accent2"/>
          </w:rPr>
          <w:fldChar w:fldCharType="separate"/>
        </w:r>
        <w:r w:rsidR="00302D5E">
          <w:rPr>
            <w:b/>
            <w:noProof/>
            <w:color w:val="0091DA" w:themeColor="accent2"/>
          </w:rPr>
          <w:t>0</w:t>
        </w:r>
        <w:r w:rsidR="00302D5E" w:rsidRPr="004E16E2">
          <w:rPr>
            <w:b/>
            <w:noProof/>
            <w:color w:val="0091DA" w:themeColor="accent2"/>
          </w:rPr>
          <w:fldChar w:fldCharType="end"/>
        </w:r>
      </w:sdtContent>
    </w:sdt>
    <w:r w:rsidR="00302D5E">
      <w:rPr>
        <w:noProof/>
        <w:lang w:eastAsia="en-AU"/>
      </w:rPr>
      <w:t xml:space="preserve">  |  </w:t>
    </w:r>
    <w:r w:rsidR="00302D5E">
      <w:rPr>
        <w:noProof/>
        <w:lang w:eastAsia="en-AU"/>
      </w:rPr>
      <mc:AlternateContent>
        <mc:Choice Requires="wps">
          <w:drawing>
            <wp:anchor distT="0" distB="0" distL="114300" distR="114300" simplePos="0" relativeHeight="251854848" behindDoc="0" locked="0" layoutInCell="1" allowOverlap="1" wp14:anchorId="1FFC9451" wp14:editId="6F30638F">
              <wp:simplePos x="0" y="0"/>
              <wp:positionH relativeFrom="column">
                <wp:posOffset>0</wp:posOffset>
              </wp:positionH>
              <wp:positionV relativeFrom="paragraph">
                <wp:posOffset>-491490</wp:posOffset>
              </wp:positionV>
              <wp:extent cx="36000" cy="756000"/>
              <wp:effectExtent l="0" t="0" r="2540" b="6350"/>
              <wp:wrapNone/>
              <wp:docPr id="31" name="Rectangle 31" descr="Blue highlight bar"/>
              <wp:cNvGraphicFramePr/>
              <a:graphic xmlns:a="http://schemas.openxmlformats.org/drawingml/2006/main">
                <a:graphicData uri="http://schemas.microsoft.com/office/word/2010/wordprocessingShape">
                  <wps:wsp>
                    <wps:cNvSpPr/>
                    <wps:spPr>
                      <a:xfrm>
                        <a:off x="0" y="0"/>
                        <a:ext cx="36000" cy="75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50418" id="Rectangle 31" o:spid="_x0000_s1026" alt="Blue highlight bar" style="position:absolute;margin-left:0;margin-top:-38.7pt;width:2.85pt;height:59.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g6ioAIAAKMFAAAOAAAAZHJzL2Uyb0RvYy54bWysVEtv2zAMvg/YfxB0X+2kry2oU2QtOgwo&#10;1qLt0LMiS7EAWdQk5bVfP1J+NOuKHYYd4lAi+ZH8RPLictdatlEhGnAVnxyVnCknoTZuVfHvTzcf&#10;PnIWk3C1sOBUxfcq8sv5+3cXWz9TU2jA1iowBHFxtvUVb1Lys6KIslGtiEfglUOlhtCKhMewKuog&#10;toje2mJalmfFFkLtA0gVI95ed0o+z/haK5nutI4qMVtxzC3lb8jfJX2L+YWYrYLwjZF9GuIfsmiF&#10;cRh0hLoWSbB1MH9AtUYGiKDTkYS2AK2NVLkGrGZSvqrmsRFe5VqQnOhHmuL/g5XfNveBmbrixxPO&#10;nGjxjR6QNeFWVjG6q1WUSNhnu1asMavG4i+xpQjE3dbHGUI8+vvQnyKKRMROh5b+sUS2y3zvR77V&#10;LjGJl8dnZYmPIlFzfpplBClefH2I6YuClpFQ8YB5ZZLF5jamznQwoVARrKlvjLX5QB2krmxgG4Fv&#10;L6RULk0pZwzwm6V1ZO+APDs13RRUWldMltLeKrKz7kFpJAzTn+Zkcqu+DjTpVI2oVRf/FCvN3UbR&#10;h9RyLhmQkDXGH7F7gMHysIhJX0RvT64qd/roXP4tsa7E0SNHBpdG59Y4CG8B2DRG7uwHkjpqiKUl&#10;1HtspwDdnEUvbww+3a2I6V4EHCx8bVwW6Q4/2sK24tBLnDUQfr51T/bY76jlbIuDWvH4Yy2C4sx+&#10;dTgJnyYnJzTZ+XByej7FQzjULA81bt1eAfYDNjZml0WyT3YQdYD2GXfKgqKiSjiJsSsuUxgOV6lb&#10;ILiVpFosshlOsxfp1j16SeDEKrXm0+5ZBN/3b8K+/wbDUIvZqzbubMnTwWKdQJvc4y+89nzjJsiN&#10;028tWjWH52z1slvnvwAAAP//AwBQSwMEFAAGAAgAAAAhAHcEKAraAAAABQEAAA8AAABkcnMvZG93&#10;bnJldi54bWxMj8FOwzAQRO9I/IO1SNxap1XblDSbChC9IC4UPsCJt0kgXkexm4a/ZznR42hGM2/y&#10;/eQ6NdIQWs8Ii3kCirjytuUa4fPjMNuCCtGwNZ1nQvihAPvi9iY3mfUXfqfxGGslJRwyg9DE2Gda&#10;h6ohZ8Lc98TinfzgTBQ51NoO5iLlrtPLJNloZ1qWhcb09NxQ9X08O4QX59dvXw+jOyzb0uvNluPT&#10;KyPe302PO1CRpvgfhj98QYdCmEp/ZhtUhyBHIsIsTVegxF6noEqE1SIFXeT6mr74BQAA//8DAFBL&#10;AQItABQABgAIAAAAIQC2gziS/gAAAOEBAAATAAAAAAAAAAAAAAAAAAAAAABbQ29udGVudF9UeXBl&#10;c10ueG1sUEsBAi0AFAAGAAgAAAAhADj9If/WAAAAlAEAAAsAAAAAAAAAAAAAAAAALwEAAF9yZWxz&#10;Ly5yZWxzUEsBAi0AFAAGAAgAAAAhAIOaDqKgAgAAowUAAA4AAAAAAAAAAAAAAAAALgIAAGRycy9l&#10;Mm9Eb2MueG1sUEsBAi0AFAAGAAgAAAAhAHcEKAraAAAABQEAAA8AAAAAAAAAAAAAAAAA+gQAAGRy&#10;cy9kb3ducmV2LnhtbFBLBQYAAAAABAAEAPMAAAABBgAAAAA=&#10;" fillcolor="#0091da [3205]" stroked="f" strokeweight="1pt"/>
          </w:pict>
        </mc:Fallback>
      </mc:AlternateContent>
    </w:r>
    <w:r w:rsidR="00302D5E" w:rsidRPr="004E16E2">
      <w:rPr>
        <w:sz w:val="18"/>
      </w:rPr>
      <w:t>Australia’s Aerospace Industry Capability</w:t>
    </w:r>
    <w:r w:rsidR="00302D5E">
      <w:rPr>
        <w:i/>
        <w:sz w:val="18"/>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8A20E" w14:textId="77777777" w:rsidR="00302D5E" w:rsidRPr="004E16E2" w:rsidRDefault="00FD67F9" w:rsidP="004E16E2">
    <w:pPr>
      <w:pStyle w:val="Header"/>
      <w:ind w:firstLine="284"/>
      <w:rPr>
        <w:vanish/>
      </w:rPr>
    </w:pPr>
    <w:sdt>
      <w:sdtPr>
        <w:id w:val="279317997"/>
        <w:docPartObj>
          <w:docPartGallery w:val="Page Numbers (Top of Page)"/>
          <w:docPartUnique/>
        </w:docPartObj>
      </w:sdtPr>
      <w:sdtEndPr>
        <w:rPr>
          <w:noProof/>
        </w:rPr>
      </w:sdtEndPr>
      <w:sdtContent>
        <w:r w:rsidR="00302D5E" w:rsidRPr="004E16E2">
          <w:rPr>
            <w:color w:val="0091DA" w:themeColor="accent2"/>
          </w:rPr>
          <w:t>Page</w:t>
        </w:r>
        <w:r w:rsidR="00302D5E" w:rsidRPr="004E16E2">
          <w:rPr>
            <w:i/>
            <w:color w:val="0091DA" w:themeColor="accent2"/>
            <w:sz w:val="18"/>
          </w:rPr>
          <w:t xml:space="preserve"> </w:t>
        </w:r>
        <w:r w:rsidR="00302D5E" w:rsidRPr="004E16E2">
          <w:rPr>
            <w:b/>
            <w:color w:val="0091DA" w:themeColor="accent2"/>
          </w:rPr>
          <w:fldChar w:fldCharType="begin"/>
        </w:r>
        <w:r w:rsidR="00302D5E" w:rsidRPr="004E16E2">
          <w:rPr>
            <w:b/>
            <w:color w:val="0091DA" w:themeColor="accent2"/>
          </w:rPr>
          <w:instrText xml:space="preserve"> PAGE   \* MERGEFORMAT </w:instrText>
        </w:r>
        <w:r w:rsidR="00302D5E" w:rsidRPr="004E16E2">
          <w:rPr>
            <w:b/>
            <w:color w:val="0091DA" w:themeColor="accent2"/>
          </w:rPr>
          <w:fldChar w:fldCharType="separate"/>
        </w:r>
        <w:r>
          <w:rPr>
            <w:b/>
            <w:noProof/>
            <w:color w:val="0091DA" w:themeColor="accent2"/>
          </w:rPr>
          <w:t>5</w:t>
        </w:r>
        <w:r w:rsidR="00302D5E" w:rsidRPr="004E16E2">
          <w:rPr>
            <w:b/>
            <w:noProof/>
            <w:color w:val="0091DA" w:themeColor="accent2"/>
          </w:rPr>
          <w:fldChar w:fldCharType="end"/>
        </w:r>
      </w:sdtContent>
    </w:sdt>
    <w:r w:rsidR="00302D5E">
      <w:rPr>
        <w:noProof/>
        <w:lang w:eastAsia="en-AU"/>
      </w:rPr>
      <w:t xml:space="preserve">  |  </w:t>
    </w:r>
    <w:r w:rsidR="00302D5E">
      <w:rPr>
        <w:noProof/>
        <w:lang w:eastAsia="en-AU"/>
      </w:rPr>
      <mc:AlternateContent>
        <mc:Choice Requires="wps">
          <w:drawing>
            <wp:anchor distT="0" distB="0" distL="114300" distR="114300" simplePos="0" relativeHeight="251879424" behindDoc="0" locked="0" layoutInCell="1" allowOverlap="1" wp14:anchorId="5A5DCCD9" wp14:editId="2E686946">
              <wp:simplePos x="0" y="0"/>
              <wp:positionH relativeFrom="column">
                <wp:posOffset>0</wp:posOffset>
              </wp:positionH>
              <wp:positionV relativeFrom="paragraph">
                <wp:posOffset>-491490</wp:posOffset>
              </wp:positionV>
              <wp:extent cx="36000" cy="756000"/>
              <wp:effectExtent l="0" t="0" r="2540" b="6350"/>
              <wp:wrapNone/>
              <wp:docPr id="4" name="Rectangle 4" descr="Blue highlight bar"/>
              <wp:cNvGraphicFramePr/>
              <a:graphic xmlns:a="http://schemas.openxmlformats.org/drawingml/2006/main">
                <a:graphicData uri="http://schemas.microsoft.com/office/word/2010/wordprocessingShape">
                  <wps:wsp>
                    <wps:cNvSpPr/>
                    <wps:spPr>
                      <a:xfrm>
                        <a:off x="0" y="0"/>
                        <a:ext cx="36000" cy="75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69BFC" id="Rectangle 4" o:spid="_x0000_s1026" alt="Blue highlight bar" style="position:absolute;margin-left:0;margin-top:-38.7pt;width:2.85pt;height:59.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QPJoAIAAKEFAAAOAAAAZHJzL2Uyb0RvYy54bWysVN9PGzEMfp+0/yHK+7hrV2CruKIOxDQJ&#10;QQVMPKe5pBcpibMk7bX76+fkftAxtIdpD706sf3Z/mL74nJvNNkJHxTYik5OSkqE5VAru6no96eb&#10;D58oCZHZmmmwoqIHEejl4v27i9bNxRQa0LXwBEFsmLeuok2Mbl4UgTfCsHACTlhUSvCGRTz6TVF7&#10;1iK60cW0LM+KFnztPHARAt5ed0q6yPhSCh7vpQwiEl1RzC3mr8/fdfoWiws233jmGsX7NNg/ZGGY&#10;shh0hLpmkZGtV39AGcU9BJDxhIMpQErFRa4Bq5mUr6p5bJgTuRYkJ7iRpvD/YPndbuWJqis6o8Qy&#10;g0/0gKQxu9GC4FUtAke6vuitII3aNBp/kayZT8y1LswR4NGtfH8KKCYa9tKb9I8Fkn1m+zCyLfaR&#10;cLz8eFaW+CQcNeenWUaQ4sXX+RC/CjAkCRX1mFammO1uQ+xMB5MUKoBW9Y3SOh9S/4gr7cmO4csz&#10;zoWN05QzBvjNUttkbyF5dup0U6TSumKyFA9aJDttH4REujD9aU4mN+rrQJNO1bBadPFPsdLcayn6&#10;kFrOJQMmZInxR+weYLA8LmLSF9HbJ1eR+3x0Lv+WWFfi6JEjg42js1EW/FsAOo6RO/uBpI6axNIa&#10;6gM2k4duyoLjNwqf7paFuGIexwpfG1dFvMeP1NBWFHqJkgb8z7fukz12O2opaXFMKxp+bJkXlOhv&#10;Fufg82Q2S3OdD7PT8yke/LFmfayxW3MF2A8TXEqOZzHZRz2I0oN5xo2yTFFRxSzH2BXl0Q+Hq9it&#10;D9xJXCyX2Qxn2bF4ax8dT+CJ1dSaT/tn5l3fvxH7/g6GkWbzV23c2SZPC8ttBKlyj7/w2vONeyA3&#10;Tr+z0qI5Pmerl826+AUAAP//AwBQSwMEFAAGAAgAAAAhAHcEKAraAAAABQEAAA8AAABkcnMvZG93&#10;bnJldi54bWxMj8FOwzAQRO9I/IO1SNxap1XblDSbChC9IC4UPsCJt0kgXkexm4a/ZznR42hGM2/y&#10;/eQ6NdIQWs8Ii3kCirjytuUa4fPjMNuCCtGwNZ1nQvihAPvi9iY3mfUXfqfxGGslJRwyg9DE2Gda&#10;h6ohZ8Lc98TinfzgTBQ51NoO5iLlrtPLJNloZ1qWhcb09NxQ9X08O4QX59dvXw+jOyzb0uvNluPT&#10;KyPe302PO1CRpvgfhj98QYdCmEp/ZhtUhyBHIsIsTVegxF6noEqE1SIFXeT6mr74BQAA//8DAFBL&#10;AQItABQABgAIAAAAIQC2gziS/gAAAOEBAAATAAAAAAAAAAAAAAAAAAAAAABbQ29udGVudF9UeXBl&#10;c10ueG1sUEsBAi0AFAAGAAgAAAAhADj9If/WAAAAlAEAAAsAAAAAAAAAAAAAAAAALwEAAF9yZWxz&#10;Ly5yZWxzUEsBAi0AFAAGAAgAAAAhALYpA8mgAgAAoQUAAA4AAAAAAAAAAAAAAAAALgIAAGRycy9l&#10;Mm9Eb2MueG1sUEsBAi0AFAAGAAgAAAAhAHcEKAraAAAABQEAAA8AAAAAAAAAAAAAAAAA+gQAAGRy&#10;cy9kb3ducmV2LnhtbFBLBQYAAAAABAAEAPMAAAABBgAAAAA=&#10;" fillcolor="#0091da [3205]" stroked="f" strokeweight="1pt"/>
          </w:pict>
        </mc:Fallback>
      </mc:AlternateContent>
    </w:r>
    <w:r w:rsidR="00302D5E" w:rsidRPr="004E16E2">
      <w:rPr>
        <w:sz w:val="18"/>
      </w:rPr>
      <w:t>Australia’s Aerospace Industry Capability</w:t>
    </w:r>
    <w:r w:rsidR="00302D5E">
      <w:rPr>
        <w:i/>
        <w:sz w:val="18"/>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AECE8" w14:textId="1492B908" w:rsidR="00302D5E" w:rsidRPr="004E16E2" w:rsidRDefault="00302D5E" w:rsidP="004E16E2">
    <w:pPr>
      <w:pStyle w:val="Header"/>
      <w:ind w:firstLine="284"/>
      <w:rPr>
        <w:vanish/>
      </w:rPr>
    </w:pPr>
    <w:r>
      <w:rPr>
        <w:noProof/>
        <w:lang w:eastAsia="en-AU"/>
      </w:rPr>
      <mc:AlternateContent>
        <mc:Choice Requires="wps">
          <w:drawing>
            <wp:anchor distT="0" distB="0" distL="114300" distR="114300" simplePos="0" relativeHeight="251877376" behindDoc="0" locked="0" layoutInCell="1" allowOverlap="1" wp14:anchorId="6CCEC980" wp14:editId="769B73E0">
              <wp:simplePos x="0" y="0"/>
              <wp:positionH relativeFrom="column">
                <wp:posOffset>0</wp:posOffset>
              </wp:positionH>
              <wp:positionV relativeFrom="paragraph">
                <wp:posOffset>-493616</wp:posOffset>
              </wp:positionV>
              <wp:extent cx="36000" cy="756000"/>
              <wp:effectExtent l="0" t="0" r="2540" b="6350"/>
              <wp:wrapNone/>
              <wp:docPr id="292" name="Rectangle 292" descr="Blue highlight bar"/>
              <wp:cNvGraphicFramePr/>
              <a:graphic xmlns:a="http://schemas.openxmlformats.org/drawingml/2006/main">
                <a:graphicData uri="http://schemas.microsoft.com/office/word/2010/wordprocessingShape">
                  <wps:wsp>
                    <wps:cNvSpPr/>
                    <wps:spPr>
                      <a:xfrm>
                        <a:off x="0" y="0"/>
                        <a:ext cx="36000" cy="756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AC6CA" id="Rectangle 292" o:spid="_x0000_s1026" alt="Blue highlight bar" style="position:absolute;margin-left:0;margin-top:-38.85pt;width:2.85pt;height:59.5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SKyogIAAKUFAAAOAAAAZHJzL2Uyb0RvYy54bWysVEtv2zAMvg/YfxB0X+14faxBnSJr0WFA&#10;sRZth54VWYoFSKImKXGyXz9KfjTrih2GHeJQIvmR/ETy4nJnNNkKHxTYms6OSkqE5dAou67p96eb&#10;D58oCZHZhmmwoqZ7Eejl4v27i87NRQUt6EZ4giA2zDtX0zZGNy+KwFthWDgCJywqJXjDIh79umg8&#10;6xDd6KIqy9OiA984D1yEgLfXvZIuMr6Ugsc7KYOIRNcUc4v56/N3lb7F4oLN1565VvEhDfYPWRim&#10;LAadoK5ZZGTj1R9QRnEPAWQ84mAKkFJxkWvAamblq2oeW+ZErgXJCW6iKfw/WP5te++JampanVeU&#10;WGbwkR6QNmbXWpB82YjAkbLPeiNIq9atxl8kK+YTe50LcwR5dPd+OAUUExU76U36xyLJLjO+nxgX&#10;u0g4Xn48LUt8Fo6as5MsI0jx4ut8iF8EGJKEmnpMLNPMtrch9qajSQoVQKvmRmmdD6mHxJX2ZMvw&#10;9RnnwsYq5YwBfrPUNtlbSJ69Ot0UqbS+mCzFvRbJTtsHIZEyTL/KyeRmfR1o1qta1og+/glWmvst&#10;RR9Ty7lkwIQsMf6EPQCMlodFzIYiBvvkKnKvT87l3xLrS5w8cmSwcXI2yoJ/C0DHKXJvP5LUU5NY&#10;WkGzx4by0E9acPxG4dPdshDvmcfRwtfGdRHv8CM1dDWFQaKkBf/zrftkjx2PWko6HNWahh8b5gUl&#10;+qvFWTifHR+n2c6H45OzCg/+ULM61NiNuQLshxkuJsezmOyjHkXpwTzjVlmmqKhilmPsmvLox8NV&#10;7FcI7iUulstshvPsWLy1j44n8MRqas2n3TPzbujfiH3/DcaxZvNXbdzbJk8Ly00EqXKPv/A68I27&#10;IDfOsLfSsjk8Z6uX7br4BQAA//8DAFBLAwQUAAYACAAAACEAhHH4xNoAAAAFAQAADwAAAGRycy9k&#10;b3ducmV2LnhtbEyPwU7DMBBE70j8g7VI3FqnVduUNJsKEL0gLhQ+wIm3SSBeR7Gbhr9nOdHTajSj&#10;mbf5fnKdGmkIrWeExTwBRVx523KN8PlxmG1BhWjYms4zIfxQgH1xe5ObzPoLv9N4jLWSEg6ZQWhi&#10;7DOtQ9WQM2Hue2LxTn5wJoocam0Hc5Fy1+llkmy0My3LQmN6em6o+j6eHcKL8+u3r4fRHZZt6fVm&#10;y/HplRHv76bHHahIU/wPwx++oEMhTKU/sw2qQ5BHIsIsTVNQYq/llAirxQp0ketr+uIXAAD//wMA&#10;UEsBAi0AFAAGAAgAAAAhALaDOJL+AAAA4QEAABMAAAAAAAAAAAAAAAAAAAAAAFtDb250ZW50X1R5&#10;cGVzXS54bWxQSwECLQAUAAYACAAAACEAOP0h/9YAAACUAQAACwAAAAAAAAAAAAAAAAAvAQAAX3Jl&#10;bHMvLnJlbHNQSwECLQAUAAYACAAAACEAtIEisqICAAClBQAADgAAAAAAAAAAAAAAAAAuAgAAZHJz&#10;L2Uyb0RvYy54bWxQSwECLQAUAAYACAAAACEAhHH4xNoAAAAFAQAADwAAAAAAAAAAAAAAAAD8BAAA&#10;ZHJzL2Rvd25yZXYueG1sUEsFBgAAAAAEAAQA8wAAAAMGAAAAAA==&#10;" fillcolor="#0091da [3205]" stroked="f" strokeweight="1pt"/>
          </w:pict>
        </mc:Fallback>
      </mc:AlternateContent>
    </w:r>
    <w:sdt>
      <w:sdtPr>
        <w:id w:val="1719703580"/>
        <w:docPartObj>
          <w:docPartGallery w:val="Page Numbers (Top of Page)"/>
          <w:docPartUnique/>
        </w:docPartObj>
      </w:sdtPr>
      <w:sdtEndPr>
        <w:rPr>
          <w:noProof/>
        </w:rPr>
      </w:sdtEndPr>
      <w:sdtContent>
        <w:r w:rsidRPr="004E16E2">
          <w:rPr>
            <w:color w:val="0091DA" w:themeColor="accent2"/>
          </w:rPr>
          <w:t>Page</w:t>
        </w:r>
        <w:r w:rsidRPr="004E16E2">
          <w:rPr>
            <w:i/>
            <w:color w:val="0091DA" w:themeColor="accent2"/>
            <w:sz w:val="18"/>
          </w:rPr>
          <w:t xml:space="preserve"> </w:t>
        </w:r>
        <w:r w:rsidRPr="004E16E2">
          <w:rPr>
            <w:b/>
            <w:color w:val="0091DA" w:themeColor="accent2"/>
          </w:rPr>
          <w:fldChar w:fldCharType="begin"/>
        </w:r>
        <w:r w:rsidRPr="004E16E2">
          <w:rPr>
            <w:b/>
            <w:color w:val="0091DA" w:themeColor="accent2"/>
          </w:rPr>
          <w:instrText xml:space="preserve"> PAGE   \* MERGEFORMAT </w:instrText>
        </w:r>
        <w:r w:rsidRPr="004E16E2">
          <w:rPr>
            <w:b/>
            <w:color w:val="0091DA" w:themeColor="accent2"/>
          </w:rPr>
          <w:fldChar w:fldCharType="separate"/>
        </w:r>
        <w:r w:rsidR="00FD67F9">
          <w:rPr>
            <w:b/>
            <w:noProof/>
            <w:color w:val="0091DA" w:themeColor="accent2"/>
          </w:rPr>
          <w:t>15</w:t>
        </w:r>
        <w:r w:rsidRPr="004E16E2">
          <w:rPr>
            <w:b/>
            <w:noProof/>
            <w:color w:val="0091DA" w:themeColor="accent2"/>
          </w:rPr>
          <w:fldChar w:fldCharType="end"/>
        </w:r>
      </w:sdtContent>
    </w:sdt>
    <w:r>
      <w:rPr>
        <w:noProof/>
        <w:lang w:eastAsia="en-AU"/>
      </w:rPr>
      <w:t xml:space="preserve">  </w:t>
    </w:r>
    <w:proofErr w:type="gramStart"/>
    <w:r>
      <w:rPr>
        <w:noProof/>
        <w:lang w:eastAsia="en-AU"/>
      </w:rPr>
      <w:t xml:space="preserve">|  </w:t>
    </w:r>
    <w:r w:rsidRPr="004E16E2">
      <w:rPr>
        <w:sz w:val="18"/>
      </w:rPr>
      <w:t>Australia’s</w:t>
    </w:r>
    <w:proofErr w:type="gramEnd"/>
    <w:r w:rsidRPr="004E16E2">
      <w:rPr>
        <w:sz w:val="18"/>
      </w:rPr>
      <w:t xml:space="preserve"> Aerospace Industry Capability</w:t>
    </w:r>
    <w:r>
      <w:rPr>
        <w:i/>
        <w:sz w:val="18"/>
      </w:rPr>
      <w:t xml:space="preserve"> </w:t>
    </w:r>
  </w:p>
  <w:p w14:paraId="4C3F4B22" w14:textId="0F785791" w:rsidR="00302D5E" w:rsidRPr="004E16E2" w:rsidRDefault="00302D5E" w:rsidP="004E16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B6569B0C"/>
    <w:lvl w:ilvl="0">
      <w:start w:val="1"/>
      <w:numFmt w:val="bullet"/>
      <w:pStyle w:val="ListBullet2"/>
      <w:lvlText w:val="-"/>
      <w:lvlJc w:val="left"/>
      <w:pPr>
        <w:tabs>
          <w:tab w:val="num" w:pos="697"/>
        </w:tabs>
        <w:ind w:left="697" w:hanging="340"/>
      </w:pPr>
      <w:rPr>
        <w:rFonts w:ascii="9999999" w:hAnsi="9999999" w:cs="Courier New" w:hint="default"/>
      </w:rPr>
    </w:lvl>
  </w:abstractNum>
  <w:abstractNum w:abstractNumId="1" w15:restartNumberingAfterBreak="0">
    <w:nsid w:val="FFFFFF89"/>
    <w:multiLevelType w:val="singleLevel"/>
    <w:tmpl w:val="C7D0ED7A"/>
    <w:lvl w:ilvl="0">
      <w:start w:val="1"/>
      <w:numFmt w:val="bullet"/>
      <w:pStyle w:val="ListBullet"/>
      <w:lvlText w:val=""/>
      <w:lvlJc w:val="left"/>
      <w:pPr>
        <w:tabs>
          <w:tab w:val="num" w:pos="340"/>
        </w:tabs>
        <w:ind w:left="340" w:hanging="340"/>
      </w:pPr>
      <w:rPr>
        <w:rFonts w:ascii="Symbol" w:hAnsi="Symbol" w:hint="default"/>
        <w:color w:val="auto"/>
        <w:sz w:val="22"/>
      </w:rPr>
    </w:lvl>
  </w:abstractNum>
  <w:abstractNum w:abstractNumId="2" w15:restartNumberingAfterBreak="0">
    <w:nsid w:val="0398055B"/>
    <w:multiLevelType w:val="hybridMultilevel"/>
    <w:tmpl w:val="7096B3D2"/>
    <w:lvl w:ilvl="0" w:tplc="D6F872A4">
      <w:start w:val="1"/>
      <w:numFmt w:val="bullet"/>
      <w:lvlText w:val="o"/>
      <w:lvlJc w:val="left"/>
      <w:pPr>
        <w:ind w:left="284" w:firstLine="0"/>
      </w:pPr>
      <w:rPr>
        <w:rFonts w:ascii="Courier New" w:hAnsi="Courier New" w:hint="default"/>
        <w:color w:val="auto"/>
        <w:sz w:val="22"/>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043A47B8"/>
    <w:multiLevelType w:val="singleLevel"/>
    <w:tmpl w:val="8F3095C4"/>
    <w:lvl w:ilvl="0">
      <w:start w:val="1"/>
      <w:numFmt w:val="bullet"/>
      <w:lvlText w:val=""/>
      <w:lvlJc w:val="left"/>
      <w:pPr>
        <w:tabs>
          <w:tab w:val="num" w:pos="340"/>
        </w:tabs>
        <w:ind w:left="340" w:hanging="340"/>
      </w:pPr>
      <w:rPr>
        <w:rFonts w:ascii="Symbol" w:hAnsi="Symbol" w:hint="default"/>
        <w:color w:val="auto"/>
        <w:sz w:val="22"/>
      </w:rPr>
    </w:lvl>
  </w:abstractNum>
  <w:abstractNum w:abstractNumId="4" w15:restartNumberingAfterBreak="0">
    <w:nsid w:val="06C31DCD"/>
    <w:multiLevelType w:val="hybridMultilevel"/>
    <w:tmpl w:val="0DD87B1E"/>
    <w:lvl w:ilvl="0" w:tplc="E6B67D9A">
      <w:start w:val="1"/>
      <w:numFmt w:val="lowerRoman"/>
      <w:lvlText w:val="%1."/>
      <w:lvlJc w:val="right"/>
      <w:pPr>
        <w:ind w:left="720" w:hanging="360"/>
      </w:pPr>
      <w:rPr>
        <w:rFonts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A4D6793"/>
    <w:multiLevelType w:val="singleLevel"/>
    <w:tmpl w:val="410AA07E"/>
    <w:lvl w:ilvl="0">
      <w:start w:val="1"/>
      <w:numFmt w:val="bullet"/>
      <w:pStyle w:val="Bullet1stlevel"/>
      <w:lvlText w:val=""/>
      <w:lvlJc w:val="left"/>
      <w:pPr>
        <w:ind w:left="360" w:hanging="360"/>
      </w:pPr>
      <w:rPr>
        <w:rFonts w:ascii="Symbol" w:hAnsi="Symbol" w:hint="default"/>
        <w:color w:val="0091DA" w:themeColor="accent2"/>
        <w:sz w:val="18"/>
      </w:rPr>
    </w:lvl>
  </w:abstractNum>
  <w:abstractNum w:abstractNumId="6" w15:restartNumberingAfterBreak="0">
    <w:nsid w:val="0B2E14A4"/>
    <w:multiLevelType w:val="multilevel"/>
    <w:tmpl w:val="D63A06A0"/>
    <w:lvl w:ilvl="0">
      <w:start w:val="1"/>
      <w:numFmt w:val="decimal"/>
      <w:lvlText w:val="%1."/>
      <w:lvlJc w:val="left"/>
      <w:pPr>
        <w:ind w:left="1080" w:hanging="720"/>
      </w:pPr>
      <w:rPr>
        <w:rFonts w:hint="default"/>
      </w:rPr>
    </w:lvl>
    <w:lvl w:ilvl="1">
      <w:start w:val="1"/>
      <w:numFmt w:val="decimal"/>
      <w:isLgl/>
      <w:lvlText w:val="%1.%2"/>
      <w:lvlJc w:val="left"/>
      <w:pPr>
        <w:ind w:left="2138" w:hanging="720"/>
      </w:pPr>
      <w:rPr>
        <w:rFonts w:hint="default"/>
      </w:rPr>
    </w:lvl>
    <w:lvl w:ilvl="2">
      <w:start w:val="1"/>
      <w:numFmt w:val="decimal"/>
      <w:isLgl/>
      <w:lvlText w:val="%1.%2.%3"/>
      <w:lvlJc w:val="left"/>
      <w:pPr>
        <w:ind w:left="3556" w:hanging="1080"/>
      </w:pPr>
      <w:rPr>
        <w:rFonts w:hint="default"/>
      </w:rPr>
    </w:lvl>
    <w:lvl w:ilvl="3">
      <w:start w:val="1"/>
      <w:numFmt w:val="decimal"/>
      <w:isLgl/>
      <w:lvlText w:val="%1.%2.%3.%4"/>
      <w:lvlJc w:val="left"/>
      <w:pPr>
        <w:ind w:left="4974" w:hanging="1440"/>
      </w:pPr>
      <w:rPr>
        <w:rFonts w:hint="default"/>
      </w:rPr>
    </w:lvl>
    <w:lvl w:ilvl="4">
      <w:start w:val="1"/>
      <w:numFmt w:val="decimal"/>
      <w:isLgl/>
      <w:lvlText w:val="%1.%2.%3.%4.%5"/>
      <w:lvlJc w:val="left"/>
      <w:pPr>
        <w:ind w:left="6032" w:hanging="1440"/>
      </w:pPr>
      <w:rPr>
        <w:rFonts w:hint="default"/>
      </w:rPr>
    </w:lvl>
    <w:lvl w:ilvl="5">
      <w:start w:val="1"/>
      <w:numFmt w:val="decimal"/>
      <w:isLgl/>
      <w:lvlText w:val="%1.%2.%3.%4.%5.%6"/>
      <w:lvlJc w:val="left"/>
      <w:pPr>
        <w:ind w:left="7450" w:hanging="1800"/>
      </w:pPr>
      <w:rPr>
        <w:rFonts w:hint="default"/>
      </w:rPr>
    </w:lvl>
    <w:lvl w:ilvl="6">
      <w:start w:val="1"/>
      <w:numFmt w:val="decimal"/>
      <w:isLgl/>
      <w:lvlText w:val="%1.%2.%3.%4.%5.%6.%7"/>
      <w:lvlJc w:val="left"/>
      <w:pPr>
        <w:ind w:left="8868" w:hanging="2160"/>
      </w:pPr>
      <w:rPr>
        <w:rFonts w:hint="default"/>
      </w:rPr>
    </w:lvl>
    <w:lvl w:ilvl="7">
      <w:start w:val="1"/>
      <w:numFmt w:val="decimal"/>
      <w:isLgl/>
      <w:lvlText w:val="%1.%2.%3.%4.%5.%6.%7.%8"/>
      <w:lvlJc w:val="left"/>
      <w:pPr>
        <w:ind w:left="10286" w:hanging="2520"/>
      </w:pPr>
      <w:rPr>
        <w:rFonts w:hint="default"/>
      </w:rPr>
    </w:lvl>
    <w:lvl w:ilvl="8">
      <w:start w:val="1"/>
      <w:numFmt w:val="decimal"/>
      <w:isLgl/>
      <w:lvlText w:val="%1.%2.%3.%4.%5.%6.%7.%8.%9"/>
      <w:lvlJc w:val="left"/>
      <w:pPr>
        <w:ind w:left="11704" w:hanging="2880"/>
      </w:pPr>
      <w:rPr>
        <w:rFonts w:hint="default"/>
      </w:rPr>
    </w:lvl>
  </w:abstractNum>
  <w:abstractNum w:abstractNumId="7" w15:restartNumberingAfterBreak="0">
    <w:nsid w:val="109F55B9"/>
    <w:multiLevelType w:val="singleLevel"/>
    <w:tmpl w:val="75B89FF6"/>
    <w:lvl w:ilvl="0">
      <w:start w:val="1"/>
      <w:numFmt w:val="bullet"/>
      <w:lvlText w:val=""/>
      <w:lvlJc w:val="left"/>
      <w:pPr>
        <w:tabs>
          <w:tab w:val="num" w:pos="340"/>
        </w:tabs>
        <w:ind w:left="340" w:hanging="340"/>
      </w:pPr>
      <w:rPr>
        <w:rFonts w:ascii="Symbol" w:hAnsi="Symbol" w:hint="default"/>
        <w:color w:val="auto"/>
        <w:sz w:val="22"/>
      </w:rPr>
    </w:lvl>
  </w:abstractNum>
  <w:abstractNum w:abstractNumId="8" w15:restartNumberingAfterBreak="0">
    <w:nsid w:val="11AF2C2D"/>
    <w:multiLevelType w:val="singleLevel"/>
    <w:tmpl w:val="5B1475F2"/>
    <w:lvl w:ilvl="0">
      <w:start w:val="1"/>
      <w:numFmt w:val="bullet"/>
      <w:lvlText w:val="–"/>
      <w:lvlJc w:val="left"/>
      <w:pPr>
        <w:tabs>
          <w:tab w:val="num" w:pos="340"/>
        </w:tabs>
        <w:ind w:left="340" w:hanging="340"/>
      </w:pPr>
      <w:rPr>
        <w:rFonts w:ascii="Univers 45 Light" w:hAnsi="Univers 45 Light" w:hint="default"/>
        <w:color w:val="auto"/>
        <w:sz w:val="22"/>
      </w:rPr>
    </w:lvl>
  </w:abstractNum>
  <w:abstractNum w:abstractNumId="9" w15:restartNumberingAfterBreak="0">
    <w:nsid w:val="154C4733"/>
    <w:multiLevelType w:val="hybridMultilevel"/>
    <w:tmpl w:val="EEF2425E"/>
    <w:lvl w:ilvl="0" w:tplc="AD9A863E">
      <w:start w:val="1"/>
      <w:numFmt w:val="bullet"/>
      <w:lvlText w:val=""/>
      <w:lvlJc w:val="left"/>
      <w:pPr>
        <w:ind w:left="284" w:hanging="284"/>
      </w:pPr>
      <w:rPr>
        <w:rFonts w:ascii="Symbol" w:hAnsi="Symbo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204C2A"/>
    <w:multiLevelType w:val="hybridMultilevel"/>
    <w:tmpl w:val="E08AB788"/>
    <w:lvl w:ilvl="0" w:tplc="5382214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CB168BD"/>
    <w:multiLevelType w:val="hybridMultilevel"/>
    <w:tmpl w:val="777673D0"/>
    <w:lvl w:ilvl="0" w:tplc="7AAED080">
      <w:start w:val="6"/>
      <w:numFmt w:val="bullet"/>
      <w:lvlText w:val="-"/>
      <w:lvlJc w:val="left"/>
      <w:pPr>
        <w:ind w:left="720" w:hanging="360"/>
      </w:pPr>
      <w:rPr>
        <w:rFonts w:ascii="Univers 45 Light" w:eastAsiaTheme="minorHAnsi" w:hAnsi="Univers 45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E50A45"/>
    <w:multiLevelType w:val="singleLevel"/>
    <w:tmpl w:val="9DB831AE"/>
    <w:lvl w:ilvl="0">
      <w:start w:val="1"/>
      <w:numFmt w:val="bullet"/>
      <w:lvlText w:val=""/>
      <w:lvlJc w:val="left"/>
      <w:pPr>
        <w:tabs>
          <w:tab w:val="num" w:pos="340"/>
        </w:tabs>
        <w:ind w:left="340" w:hanging="340"/>
      </w:pPr>
      <w:rPr>
        <w:rFonts w:ascii="Symbol" w:hAnsi="Symbol" w:hint="default"/>
        <w:color w:val="auto"/>
        <w:sz w:val="22"/>
      </w:rPr>
    </w:lvl>
  </w:abstractNum>
  <w:abstractNum w:abstractNumId="13" w15:restartNumberingAfterBreak="0">
    <w:nsid w:val="1E8B6FFC"/>
    <w:multiLevelType w:val="multilevel"/>
    <w:tmpl w:val="7A6E7526"/>
    <w:lvl w:ilvl="0">
      <w:start w:val="1"/>
      <w:numFmt w:val="decimal"/>
      <w:lvlText w:val="%1."/>
      <w:lvlJc w:val="left"/>
      <w:pPr>
        <w:ind w:left="0" w:firstLine="0"/>
      </w:pPr>
      <w:rPr>
        <w:rFonts w:hint="default"/>
      </w:rPr>
    </w:lvl>
    <w:lvl w:ilvl="1">
      <w:start w:val="1"/>
      <w:numFmt w:val="decimal"/>
      <w:pStyle w:val="BQHeading2"/>
      <w:lvlText w:val="%1.%2."/>
      <w:lvlJc w:val="left"/>
      <w:pPr>
        <w:ind w:left="0" w:firstLine="0"/>
      </w:pPr>
      <w:rPr>
        <w:rFonts w:hint="default"/>
        <w:b w:val="0"/>
      </w:rPr>
    </w:lvl>
    <w:lvl w:ilvl="2">
      <w:start w:val="1"/>
      <w:numFmt w:val="decimal"/>
      <w:pStyle w:val="BQHeading3"/>
      <w:lvlText w:val="%1.%2.%3."/>
      <w:lvlJc w:val="left"/>
      <w:pPr>
        <w:ind w:left="0" w:firstLine="0"/>
      </w:pPr>
      <w:rPr>
        <w:rFonts w:hint="default"/>
      </w:rPr>
    </w:lvl>
    <w:lvl w:ilvl="3">
      <w:start w:val="1"/>
      <w:numFmt w:val="decimal"/>
      <w:pStyle w:val="BQHeading4"/>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4" w15:restartNumberingAfterBreak="0">
    <w:nsid w:val="1FFC339A"/>
    <w:multiLevelType w:val="multilevel"/>
    <w:tmpl w:val="8EFE1B38"/>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0FA4005"/>
    <w:multiLevelType w:val="multilevel"/>
    <w:tmpl w:val="7728A26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2607E30"/>
    <w:multiLevelType w:val="multilevel"/>
    <w:tmpl w:val="0A0A8F94"/>
    <w:lvl w:ilvl="0">
      <w:start w:val="1"/>
      <w:numFmt w:val="decimal"/>
      <w:lvlText w:val="%1."/>
      <w:lvlJc w:val="left"/>
      <w:pPr>
        <w:ind w:left="360" w:hanging="360"/>
      </w:pPr>
      <w:rPr>
        <w:rFonts w:ascii="KPMG Extralight" w:eastAsiaTheme="majorEastAsia" w:hAnsi="KPMG Extralight" w:cstheme="majorBidi" w:hint="default"/>
      </w:rPr>
    </w:lvl>
    <w:lvl w:ilvl="1">
      <w:start w:val="1"/>
      <w:numFmt w:val="decimal"/>
      <w:lvlText w:val="%1.%2."/>
      <w:lvlJc w:val="left"/>
      <w:pPr>
        <w:ind w:left="1850"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5ED3FEE"/>
    <w:multiLevelType w:val="multilevel"/>
    <w:tmpl w:val="0F966CA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ACC7C1F"/>
    <w:multiLevelType w:val="hybridMultilevel"/>
    <w:tmpl w:val="D8D26CFC"/>
    <w:lvl w:ilvl="0" w:tplc="86B43A88">
      <w:start w:val="1"/>
      <w:numFmt w:val="bullet"/>
      <w:pStyle w:val="BQBullet"/>
      <w:lvlText w:val=""/>
      <w:lvlJc w:val="left"/>
      <w:pPr>
        <w:ind w:left="717" w:hanging="360"/>
      </w:pPr>
      <w:rPr>
        <w:rFonts w:ascii="Wingdings" w:hAnsi="Wingdings" w:hint="default"/>
      </w:rPr>
    </w:lvl>
    <w:lvl w:ilvl="1" w:tplc="C1AA5004">
      <w:start w:val="1"/>
      <w:numFmt w:val="bullet"/>
      <w:lvlText w:val="­"/>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C1AA5004">
      <w:start w:val="1"/>
      <w:numFmt w:val="bullet"/>
      <w:lvlText w:val="­"/>
      <w:lvlJc w:val="left"/>
      <w:pPr>
        <w:ind w:left="2880" w:hanging="360"/>
      </w:pPr>
      <w:rPr>
        <w:rFonts w:ascii="Courier New" w:hAnsi="Courier New" w:hint="default"/>
      </w:rPr>
    </w:lvl>
    <w:lvl w:ilvl="4" w:tplc="C1AA5004">
      <w:start w:val="1"/>
      <w:numFmt w:val="bullet"/>
      <w:lvlText w:val="­"/>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9911F9"/>
    <w:multiLevelType w:val="hybridMultilevel"/>
    <w:tmpl w:val="465EF5C4"/>
    <w:lvl w:ilvl="0" w:tplc="53D0D126">
      <w:start w:val="1"/>
      <w:numFmt w:val="bullet"/>
      <w:lvlText w:val=""/>
      <w:lvlJc w:val="left"/>
      <w:pPr>
        <w:ind w:left="340" w:hanging="340"/>
      </w:pPr>
      <w:rPr>
        <w:rFonts w:ascii="Symbol" w:hAnsi="Symbol" w:hint="default"/>
        <w:color w:val="auto"/>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D03DA2"/>
    <w:multiLevelType w:val="multilevel"/>
    <w:tmpl w:val="4ACE2352"/>
    <w:lvl w:ilvl="0">
      <w:start w:val="1"/>
      <w:numFmt w:val="decimal"/>
      <w:pStyle w:val="Numberbullet1stlevel"/>
      <w:lvlText w:val="%1)"/>
      <w:lvlJc w:val="left"/>
      <w:pPr>
        <w:tabs>
          <w:tab w:val="num" w:pos="340"/>
        </w:tabs>
        <w:ind w:left="340" w:hanging="340"/>
      </w:pPr>
      <w:rPr>
        <w:rFonts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21" w15:restartNumberingAfterBreak="0">
    <w:nsid w:val="32703342"/>
    <w:multiLevelType w:val="hybridMultilevel"/>
    <w:tmpl w:val="B21E95A4"/>
    <w:lvl w:ilvl="0" w:tplc="F33E240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8142361"/>
    <w:multiLevelType w:val="hybridMultilevel"/>
    <w:tmpl w:val="0568C014"/>
    <w:lvl w:ilvl="0" w:tplc="8B4A3C06">
      <w:numFmt w:val="bullet"/>
      <w:lvlText w:val="•"/>
      <w:lvlJc w:val="left"/>
      <w:pPr>
        <w:ind w:left="1080" w:hanging="720"/>
      </w:pPr>
      <w:rPr>
        <w:rFonts w:ascii="Univers 45 Light" w:eastAsiaTheme="minorHAnsi" w:hAnsi="Univers 45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2D01D5"/>
    <w:multiLevelType w:val="hybridMultilevel"/>
    <w:tmpl w:val="E22C7690"/>
    <w:lvl w:ilvl="0" w:tplc="BCAE096A">
      <w:start w:val="1"/>
      <w:numFmt w:val="bullet"/>
      <w:pStyle w:val="Bullet1stlevelCaseStudy"/>
      <w:lvlText w:val=""/>
      <w:lvlJc w:val="left"/>
      <w:pPr>
        <w:ind w:left="720" w:hanging="360"/>
      </w:pPr>
      <w:rPr>
        <w:rFonts w:ascii="Symbol" w:hAnsi="Symbol" w:hint="default"/>
        <w:color w:val="FFFFFF" w:themeColor="background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9E69D1"/>
    <w:multiLevelType w:val="singleLevel"/>
    <w:tmpl w:val="581475FA"/>
    <w:lvl w:ilvl="0">
      <w:start w:val="1"/>
      <w:numFmt w:val="bullet"/>
      <w:lvlText w:val=""/>
      <w:lvlJc w:val="left"/>
      <w:pPr>
        <w:tabs>
          <w:tab w:val="num" w:pos="340"/>
        </w:tabs>
        <w:ind w:left="340" w:hanging="340"/>
      </w:pPr>
      <w:rPr>
        <w:rFonts w:ascii="Symbol" w:hAnsi="Symbol" w:hint="default"/>
        <w:color w:val="auto"/>
        <w:sz w:val="22"/>
      </w:rPr>
    </w:lvl>
  </w:abstractNum>
  <w:abstractNum w:abstractNumId="25" w15:restartNumberingAfterBreak="0">
    <w:nsid w:val="3BD34954"/>
    <w:multiLevelType w:val="hybridMultilevel"/>
    <w:tmpl w:val="FFFAAB60"/>
    <w:lvl w:ilvl="0" w:tplc="196A4DD4">
      <w:start w:val="1"/>
      <w:numFmt w:val="bullet"/>
      <w:pStyle w:val="CVbullet2"/>
      <w:lvlText w:val="–"/>
      <w:lvlJc w:val="left"/>
      <w:pPr>
        <w:ind w:left="360" w:hanging="360"/>
      </w:pPr>
      <w:rPr>
        <w:rFonts w:ascii="Univers 45 Light" w:hAnsi="Univers 45 Light" w:hint="default"/>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FF71C5C"/>
    <w:multiLevelType w:val="hybridMultilevel"/>
    <w:tmpl w:val="3A9001F6"/>
    <w:lvl w:ilvl="0" w:tplc="44F84DC8">
      <w:start w:val="1"/>
      <w:numFmt w:val="decimal"/>
      <w:lvlText w:val="B.%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C79113F"/>
    <w:multiLevelType w:val="multilevel"/>
    <w:tmpl w:val="656C788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C830B73"/>
    <w:multiLevelType w:val="hybridMultilevel"/>
    <w:tmpl w:val="B5224CDA"/>
    <w:lvl w:ilvl="0" w:tplc="C33086E8">
      <w:start w:val="1"/>
      <w:numFmt w:val="decimal"/>
      <w:pStyle w:val="Numberbullet2ndleve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D254456"/>
    <w:multiLevelType w:val="singleLevel"/>
    <w:tmpl w:val="96EC5C3A"/>
    <w:lvl w:ilvl="0">
      <w:start w:val="1"/>
      <w:numFmt w:val="bullet"/>
      <w:lvlText w:val=""/>
      <w:lvlJc w:val="left"/>
      <w:pPr>
        <w:tabs>
          <w:tab w:val="num" w:pos="340"/>
        </w:tabs>
        <w:ind w:left="340" w:hanging="340"/>
      </w:pPr>
      <w:rPr>
        <w:rFonts w:ascii="Symbol" w:hAnsi="Symbol" w:hint="default"/>
        <w:color w:val="auto"/>
        <w:sz w:val="22"/>
      </w:rPr>
    </w:lvl>
  </w:abstractNum>
  <w:abstractNum w:abstractNumId="30" w15:restartNumberingAfterBreak="0">
    <w:nsid w:val="535D5F1C"/>
    <w:multiLevelType w:val="hybridMultilevel"/>
    <w:tmpl w:val="FB92D64E"/>
    <w:lvl w:ilvl="0" w:tplc="3F6A203C">
      <w:start w:val="1"/>
      <w:numFmt w:val="decimal"/>
      <w:lvlText w:val="A.%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8044824"/>
    <w:multiLevelType w:val="multilevel"/>
    <w:tmpl w:val="DE66680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A042708"/>
    <w:multiLevelType w:val="hybridMultilevel"/>
    <w:tmpl w:val="ECA2B3FE"/>
    <w:lvl w:ilvl="0" w:tplc="884A086A">
      <w:start w:val="1"/>
      <w:numFmt w:val="bullet"/>
      <w:pStyle w:val="CVbullet1"/>
      <w:lvlText w:val=""/>
      <w:lvlJc w:val="left"/>
      <w:pPr>
        <w:tabs>
          <w:tab w:val="num" w:pos="340"/>
        </w:tabs>
        <w:ind w:left="340" w:hanging="340"/>
      </w:pPr>
      <w:rPr>
        <w:rFonts w:ascii="Symbol" w:hAnsi="Symbol" w:hint="default"/>
        <w:color w:val="0091DA" w:themeColor="accent2"/>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A365BA"/>
    <w:multiLevelType w:val="hybridMultilevel"/>
    <w:tmpl w:val="61567BE2"/>
    <w:lvl w:ilvl="0" w:tplc="40BCDD4A">
      <w:start w:val="1"/>
      <w:numFmt w:val="bullet"/>
      <w:pStyle w:val="Bullet3rdlevel"/>
      <w:lvlText w:val="■"/>
      <w:lvlJc w:val="left"/>
      <w:pPr>
        <w:tabs>
          <w:tab w:val="num" w:pos="340"/>
        </w:tabs>
        <w:ind w:left="340" w:hanging="340"/>
      </w:pPr>
      <w:rPr>
        <w:rFonts w:ascii="Arial" w:hAnsi="Aria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B14B73"/>
    <w:multiLevelType w:val="hybridMultilevel"/>
    <w:tmpl w:val="7D9685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637B201B"/>
    <w:multiLevelType w:val="hybridMultilevel"/>
    <w:tmpl w:val="80F000A8"/>
    <w:lvl w:ilvl="0" w:tplc="AD9A863E">
      <w:start w:val="1"/>
      <w:numFmt w:val="bullet"/>
      <w:lvlText w:val=""/>
      <w:lvlJc w:val="left"/>
      <w:pPr>
        <w:ind w:left="284" w:hanging="284"/>
      </w:pPr>
      <w:rPr>
        <w:rFonts w:ascii="Symbol" w:hAnsi="Symbo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AB56EF2"/>
    <w:multiLevelType w:val="singleLevel"/>
    <w:tmpl w:val="3B62A5B0"/>
    <w:lvl w:ilvl="0">
      <w:start w:val="1"/>
      <w:numFmt w:val="bullet"/>
      <w:lvlText w:val=""/>
      <w:lvlJc w:val="left"/>
      <w:pPr>
        <w:tabs>
          <w:tab w:val="num" w:pos="340"/>
        </w:tabs>
        <w:ind w:left="340" w:hanging="340"/>
      </w:pPr>
      <w:rPr>
        <w:rFonts w:ascii="Symbol" w:hAnsi="Symbol" w:hint="default"/>
        <w:color w:val="auto"/>
        <w:sz w:val="22"/>
      </w:rPr>
    </w:lvl>
  </w:abstractNum>
  <w:abstractNum w:abstractNumId="37" w15:restartNumberingAfterBreak="0">
    <w:nsid w:val="6BC23C44"/>
    <w:multiLevelType w:val="hybridMultilevel"/>
    <w:tmpl w:val="84D66668"/>
    <w:lvl w:ilvl="0" w:tplc="85708BA2">
      <w:start w:val="1"/>
      <w:numFmt w:val="bullet"/>
      <w:lvlText w:val="o"/>
      <w:lvlJc w:val="left"/>
      <w:pPr>
        <w:ind w:left="720" w:hanging="360"/>
      </w:pPr>
      <w:rPr>
        <w:rFonts w:ascii="Courier New" w:hAnsi="Courier New" w:hint="default"/>
        <w:sz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21A24CC"/>
    <w:multiLevelType w:val="singleLevel"/>
    <w:tmpl w:val="A71441BA"/>
    <w:lvl w:ilvl="0">
      <w:start w:val="1"/>
      <w:numFmt w:val="bullet"/>
      <w:lvlText w:val=""/>
      <w:lvlJc w:val="left"/>
      <w:pPr>
        <w:tabs>
          <w:tab w:val="num" w:pos="340"/>
        </w:tabs>
        <w:ind w:left="340" w:hanging="340"/>
      </w:pPr>
      <w:rPr>
        <w:rFonts w:ascii="Symbol" w:hAnsi="Symbol" w:hint="default"/>
        <w:color w:val="auto"/>
        <w:sz w:val="22"/>
      </w:rPr>
    </w:lvl>
  </w:abstractNum>
  <w:abstractNum w:abstractNumId="39" w15:restartNumberingAfterBreak="0">
    <w:nsid w:val="75C83E68"/>
    <w:multiLevelType w:val="hybridMultilevel"/>
    <w:tmpl w:val="C1600128"/>
    <w:lvl w:ilvl="0" w:tplc="00D09934">
      <w:start w:val="1"/>
      <w:numFmt w:val="bullet"/>
      <w:pStyle w:val="Bullet2ndlevel"/>
      <w:lvlText w:val="-"/>
      <w:lvlJc w:val="left"/>
      <w:pPr>
        <w:ind w:left="720" w:hanging="360"/>
      </w:pPr>
      <w:rPr>
        <w:rFonts w:ascii="Open Sans Light" w:hAnsi="Open Sans Light"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8743AC3"/>
    <w:multiLevelType w:val="singleLevel"/>
    <w:tmpl w:val="3DEA95D0"/>
    <w:lvl w:ilvl="0">
      <w:start w:val="1"/>
      <w:numFmt w:val="bullet"/>
      <w:lvlText w:val=""/>
      <w:lvlJc w:val="left"/>
      <w:pPr>
        <w:tabs>
          <w:tab w:val="num" w:pos="340"/>
        </w:tabs>
        <w:ind w:left="340" w:hanging="340"/>
      </w:pPr>
      <w:rPr>
        <w:rFonts w:ascii="Symbol" w:hAnsi="Symbol" w:hint="default"/>
        <w:color w:val="auto"/>
        <w:sz w:val="22"/>
      </w:rPr>
    </w:lvl>
  </w:abstractNum>
  <w:abstractNum w:abstractNumId="41" w15:restartNumberingAfterBreak="0">
    <w:nsid w:val="7C0A5255"/>
    <w:multiLevelType w:val="singleLevel"/>
    <w:tmpl w:val="0164B9D6"/>
    <w:lvl w:ilvl="0">
      <w:start w:val="1"/>
      <w:numFmt w:val="bullet"/>
      <w:lvlText w:val=""/>
      <w:lvlJc w:val="left"/>
      <w:pPr>
        <w:tabs>
          <w:tab w:val="num" w:pos="340"/>
        </w:tabs>
        <w:ind w:left="340" w:hanging="340"/>
      </w:pPr>
      <w:rPr>
        <w:rFonts w:ascii="Symbol" w:hAnsi="Symbol" w:hint="default"/>
        <w:color w:val="auto"/>
        <w:sz w:val="22"/>
      </w:rPr>
    </w:lvl>
  </w:abstractNum>
  <w:abstractNum w:abstractNumId="42" w15:restartNumberingAfterBreak="0">
    <w:nsid w:val="7DAB5A44"/>
    <w:multiLevelType w:val="multilevel"/>
    <w:tmpl w:val="E3B8BE80"/>
    <w:lvl w:ilvl="0">
      <w:start w:val="1"/>
      <w:numFmt w:val="decimal"/>
      <w:lvlText w:val="%1."/>
      <w:lvlJc w:val="left"/>
      <w:pPr>
        <w:ind w:left="720" w:hanging="360"/>
      </w:pPr>
    </w:lvl>
    <w:lvl w:ilvl="1">
      <w:start w:val="1"/>
      <w:numFmt w:val="decimal"/>
      <w:pStyle w:val="HeadingLevel4NoNumber"/>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3" w15:restartNumberingAfterBreak="0">
    <w:nsid w:val="7F000399"/>
    <w:multiLevelType w:val="singleLevel"/>
    <w:tmpl w:val="2314064C"/>
    <w:lvl w:ilvl="0">
      <w:start w:val="1"/>
      <w:numFmt w:val="bullet"/>
      <w:lvlText w:val=""/>
      <w:lvlJc w:val="left"/>
      <w:pPr>
        <w:tabs>
          <w:tab w:val="num" w:pos="340"/>
        </w:tabs>
        <w:ind w:left="340" w:hanging="340"/>
      </w:pPr>
      <w:rPr>
        <w:rFonts w:ascii="Symbol" w:hAnsi="Symbol" w:hint="default"/>
        <w:color w:val="auto"/>
        <w:sz w:val="22"/>
      </w:rPr>
    </w:lvl>
  </w:abstractNum>
  <w:num w:numId="1">
    <w:abstractNumId w:val="5"/>
  </w:num>
  <w:num w:numId="2">
    <w:abstractNumId w:val="8"/>
  </w:num>
  <w:num w:numId="3">
    <w:abstractNumId w:val="33"/>
  </w:num>
  <w:num w:numId="4">
    <w:abstractNumId w:val="20"/>
  </w:num>
  <w:num w:numId="5">
    <w:abstractNumId w:val="28"/>
  </w:num>
  <w:num w:numId="6">
    <w:abstractNumId w:val="32"/>
  </w:num>
  <w:num w:numId="7">
    <w:abstractNumId w:val="25"/>
  </w:num>
  <w:num w:numId="8">
    <w:abstractNumId w:val="1"/>
  </w:num>
  <w:num w:numId="9">
    <w:abstractNumId w:val="0"/>
  </w:num>
  <w:num w:numId="10">
    <w:abstractNumId w:val="14"/>
  </w:num>
  <w:num w:numId="11">
    <w:abstractNumId w:val="42"/>
  </w:num>
  <w:num w:numId="12">
    <w:abstractNumId w:val="18"/>
  </w:num>
  <w:num w:numId="13">
    <w:abstractNumId w:val="13"/>
  </w:num>
  <w:num w:numId="14">
    <w:abstractNumId w:val="40"/>
  </w:num>
  <w:num w:numId="15">
    <w:abstractNumId w:val="37"/>
  </w:num>
  <w:num w:numId="16">
    <w:abstractNumId w:val="23"/>
  </w:num>
  <w:num w:numId="17">
    <w:abstractNumId w:val="30"/>
  </w:num>
  <w:num w:numId="18">
    <w:abstractNumId w:val="26"/>
  </w:num>
  <w:num w:numId="19">
    <w:abstractNumId w:val="34"/>
  </w:num>
  <w:num w:numId="20">
    <w:abstractNumId w:val="19"/>
  </w:num>
  <w:num w:numId="21">
    <w:abstractNumId w:val="9"/>
  </w:num>
  <w:num w:numId="22">
    <w:abstractNumId w:val="35"/>
  </w:num>
  <w:num w:numId="23">
    <w:abstractNumId w:val="2"/>
  </w:num>
  <w:num w:numId="24">
    <w:abstractNumId w:val="7"/>
  </w:num>
  <w:num w:numId="25">
    <w:abstractNumId w:val="41"/>
  </w:num>
  <w:num w:numId="26">
    <w:abstractNumId w:val="38"/>
  </w:num>
  <w:num w:numId="27">
    <w:abstractNumId w:val="4"/>
  </w:num>
  <w:num w:numId="28">
    <w:abstractNumId w:val="29"/>
  </w:num>
  <w:num w:numId="29">
    <w:abstractNumId w:val="14"/>
  </w:num>
  <w:num w:numId="30">
    <w:abstractNumId w:val="24"/>
  </w:num>
  <w:num w:numId="31">
    <w:abstractNumId w:val="36"/>
  </w:num>
  <w:num w:numId="32">
    <w:abstractNumId w:val="15"/>
  </w:num>
  <w:num w:numId="33">
    <w:abstractNumId w:val="15"/>
  </w:num>
  <w:num w:numId="34">
    <w:abstractNumId w:val="15"/>
  </w:num>
  <w:num w:numId="35">
    <w:abstractNumId w:val="14"/>
  </w:num>
  <w:num w:numId="36">
    <w:abstractNumId w:val="16"/>
  </w:num>
  <w:num w:numId="37">
    <w:abstractNumId w:val="16"/>
  </w:num>
  <w:num w:numId="38">
    <w:abstractNumId w:val="16"/>
  </w:num>
  <w:num w:numId="39">
    <w:abstractNumId w:val="15"/>
  </w:num>
  <w:num w:numId="40">
    <w:abstractNumId w:val="27"/>
  </w:num>
  <w:num w:numId="41">
    <w:abstractNumId w:val="15"/>
  </w:num>
  <w:num w:numId="42">
    <w:abstractNumId w:val="31"/>
  </w:num>
  <w:num w:numId="43">
    <w:abstractNumId w:val="17"/>
  </w:num>
  <w:num w:numId="44">
    <w:abstractNumId w:val="43"/>
  </w:num>
  <w:num w:numId="45">
    <w:abstractNumId w:val="12"/>
  </w:num>
  <w:num w:numId="46">
    <w:abstractNumId w:val="21"/>
  </w:num>
  <w:num w:numId="47">
    <w:abstractNumId w:val="22"/>
  </w:num>
  <w:num w:numId="48">
    <w:abstractNumId w:val="39"/>
  </w:num>
  <w:num w:numId="49">
    <w:abstractNumId w:val="10"/>
  </w:num>
  <w:num w:numId="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num>
  <w:num w:numId="52">
    <w:abstractNumId w:val="3"/>
  </w:num>
  <w:num w:numId="53">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saveSubsetFonts/>
  <w:hideGrammatical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raftWatermark" w:val="0"/>
  </w:docVars>
  <w:rsids>
    <w:rsidRoot w:val="00184255"/>
    <w:rsid w:val="00000DC1"/>
    <w:rsid w:val="00000FC5"/>
    <w:rsid w:val="00001489"/>
    <w:rsid w:val="000020A2"/>
    <w:rsid w:val="0000220C"/>
    <w:rsid w:val="00002459"/>
    <w:rsid w:val="00002A54"/>
    <w:rsid w:val="00003896"/>
    <w:rsid w:val="00003B8E"/>
    <w:rsid w:val="00003DE1"/>
    <w:rsid w:val="0000429F"/>
    <w:rsid w:val="00004EA6"/>
    <w:rsid w:val="0000528E"/>
    <w:rsid w:val="00006B84"/>
    <w:rsid w:val="00010A22"/>
    <w:rsid w:val="00010B72"/>
    <w:rsid w:val="00010E33"/>
    <w:rsid w:val="00012E77"/>
    <w:rsid w:val="00014225"/>
    <w:rsid w:val="00014541"/>
    <w:rsid w:val="0001551F"/>
    <w:rsid w:val="00015869"/>
    <w:rsid w:val="000163EE"/>
    <w:rsid w:val="00017EF6"/>
    <w:rsid w:val="00020686"/>
    <w:rsid w:val="00020C26"/>
    <w:rsid w:val="00021069"/>
    <w:rsid w:val="00022205"/>
    <w:rsid w:val="00023D76"/>
    <w:rsid w:val="000258D3"/>
    <w:rsid w:val="000275A7"/>
    <w:rsid w:val="00031BC3"/>
    <w:rsid w:val="00031E91"/>
    <w:rsid w:val="000327ED"/>
    <w:rsid w:val="00032C5F"/>
    <w:rsid w:val="00032DD9"/>
    <w:rsid w:val="000331AD"/>
    <w:rsid w:val="00033BA2"/>
    <w:rsid w:val="00033F17"/>
    <w:rsid w:val="0003442F"/>
    <w:rsid w:val="0003462D"/>
    <w:rsid w:val="00035127"/>
    <w:rsid w:val="00035190"/>
    <w:rsid w:val="000353C4"/>
    <w:rsid w:val="0003653D"/>
    <w:rsid w:val="00036E80"/>
    <w:rsid w:val="00040675"/>
    <w:rsid w:val="00041EFD"/>
    <w:rsid w:val="000425AF"/>
    <w:rsid w:val="00043E3B"/>
    <w:rsid w:val="000445CE"/>
    <w:rsid w:val="00044F71"/>
    <w:rsid w:val="000452F8"/>
    <w:rsid w:val="00046146"/>
    <w:rsid w:val="00046396"/>
    <w:rsid w:val="00046707"/>
    <w:rsid w:val="0004693C"/>
    <w:rsid w:val="00047A56"/>
    <w:rsid w:val="00047C0D"/>
    <w:rsid w:val="00050BAC"/>
    <w:rsid w:val="00050E4B"/>
    <w:rsid w:val="0005191C"/>
    <w:rsid w:val="00053627"/>
    <w:rsid w:val="000545FF"/>
    <w:rsid w:val="0005593E"/>
    <w:rsid w:val="00056049"/>
    <w:rsid w:val="00056698"/>
    <w:rsid w:val="0005677A"/>
    <w:rsid w:val="00057C5E"/>
    <w:rsid w:val="000603C0"/>
    <w:rsid w:val="00061B7B"/>
    <w:rsid w:val="000646DE"/>
    <w:rsid w:val="00064838"/>
    <w:rsid w:val="00064DA7"/>
    <w:rsid w:val="00065D1D"/>
    <w:rsid w:val="00066B44"/>
    <w:rsid w:val="00071C30"/>
    <w:rsid w:val="000722DD"/>
    <w:rsid w:val="000723EE"/>
    <w:rsid w:val="000725A5"/>
    <w:rsid w:val="000726E8"/>
    <w:rsid w:val="00074392"/>
    <w:rsid w:val="00074A6D"/>
    <w:rsid w:val="000769FC"/>
    <w:rsid w:val="00076CE1"/>
    <w:rsid w:val="000771B3"/>
    <w:rsid w:val="00077EB9"/>
    <w:rsid w:val="000809C2"/>
    <w:rsid w:val="00080E6B"/>
    <w:rsid w:val="00081C40"/>
    <w:rsid w:val="000833DA"/>
    <w:rsid w:val="000850CF"/>
    <w:rsid w:val="0008512D"/>
    <w:rsid w:val="00085A3A"/>
    <w:rsid w:val="000867CA"/>
    <w:rsid w:val="000871D3"/>
    <w:rsid w:val="0008750A"/>
    <w:rsid w:val="00091478"/>
    <w:rsid w:val="00092A10"/>
    <w:rsid w:val="000943E6"/>
    <w:rsid w:val="00094898"/>
    <w:rsid w:val="000965DC"/>
    <w:rsid w:val="000967AF"/>
    <w:rsid w:val="000A04D3"/>
    <w:rsid w:val="000A12A2"/>
    <w:rsid w:val="000A1B9E"/>
    <w:rsid w:val="000A1CEB"/>
    <w:rsid w:val="000A32CB"/>
    <w:rsid w:val="000A4A95"/>
    <w:rsid w:val="000A5BC4"/>
    <w:rsid w:val="000A66FC"/>
    <w:rsid w:val="000A6AB0"/>
    <w:rsid w:val="000A7872"/>
    <w:rsid w:val="000A7E02"/>
    <w:rsid w:val="000B0223"/>
    <w:rsid w:val="000B14E1"/>
    <w:rsid w:val="000B2518"/>
    <w:rsid w:val="000B299A"/>
    <w:rsid w:val="000B3834"/>
    <w:rsid w:val="000B4BDE"/>
    <w:rsid w:val="000B4EE1"/>
    <w:rsid w:val="000B52B0"/>
    <w:rsid w:val="000B5B16"/>
    <w:rsid w:val="000B5C75"/>
    <w:rsid w:val="000B7199"/>
    <w:rsid w:val="000B7340"/>
    <w:rsid w:val="000C0346"/>
    <w:rsid w:val="000C0553"/>
    <w:rsid w:val="000C25C4"/>
    <w:rsid w:val="000C41AD"/>
    <w:rsid w:val="000C450A"/>
    <w:rsid w:val="000C466C"/>
    <w:rsid w:val="000C4920"/>
    <w:rsid w:val="000C5D44"/>
    <w:rsid w:val="000C6DEE"/>
    <w:rsid w:val="000C7346"/>
    <w:rsid w:val="000D051F"/>
    <w:rsid w:val="000D118C"/>
    <w:rsid w:val="000D14A3"/>
    <w:rsid w:val="000D1CFC"/>
    <w:rsid w:val="000D1E62"/>
    <w:rsid w:val="000D28EE"/>
    <w:rsid w:val="000D2FF2"/>
    <w:rsid w:val="000D30F0"/>
    <w:rsid w:val="000D401A"/>
    <w:rsid w:val="000D4070"/>
    <w:rsid w:val="000D4306"/>
    <w:rsid w:val="000D4D0A"/>
    <w:rsid w:val="000D5302"/>
    <w:rsid w:val="000D5B7C"/>
    <w:rsid w:val="000D5FA6"/>
    <w:rsid w:val="000D72C8"/>
    <w:rsid w:val="000D74F6"/>
    <w:rsid w:val="000D77CA"/>
    <w:rsid w:val="000D7959"/>
    <w:rsid w:val="000D7BFB"/>
    <w:rsid w:val="000D7E3C"/>
    <w:rsid w:val="000E0F9E"/>
    <w:rsid w:val="000E0FEC"/>
    <w:rsid w:val="000E1CA8"/>
    <w:rsid w:val="000E1CB5"/>
    <w:rsid w:val="000E34B9"/>
    <w:rsid w:val="000E5090"/>
    <w:rsid w:val="000E6578"/>
    <w:rsid w:val="000E6662"/>
    <w:rsid w:val="000E748F"/>
    <w:rsid w:val="000F27FE"/>
    <w:rsid w:val="000F44EC"/>
    <w:rsid w:val="000F4E41"/>
    <w:rsid w:val="000F51FC"/>
    <w:rsid w:val="000F554F"/>
    <w:rsid w:val="000F68A7"/>
    <w:rsid w:val="000F69C0"/>
    <w:rsid w:val="000F6A91"/>
    <w:rsid w:val="000F74EF"/>
    <w:rsid w:val="000F7E2E"/>
    <w:rsid w:val="00100726"/>
    <w:rsid w:val="00101A04"/>
    <w:rsid w:val="00102466"/>
    <w:rsid w:val="00103843"/>
    <w:rsid w:val="00103E74"/>
    <w:rsid w:val="00105023"/>
    <w:rsid w:val="00105D78"/>
    <w:rsid w:val="00106302"/>
    <w:rsid w:val="0010689C"/>
    <w:rsid w:val="00107D2A"/>
    <w:rsid w:val="00110E54"/>
    <w:rsid w:val="00111EA1"/>
    <w:rsid w:val="00112209"/>
    <w:rsid w:val="0011331B"/>
    <w:rsid w:val="001136B3"/>
    <w:rsid w:val="0011521D"/>
    <w:rsid w:val="00115818"/>
    <w:rsid w:val="001159B7"/>
    <w:rsid w:val="0011749D"/>
    <w:rsid w:val="0012049E"/>
    <w:rsid w:val="00120792"/>
    <w:rsid w:val="0012252B"/>
    <w:rsid w:val="00123487"/>
    <w:rsid w:val="00123672"/>
    <w:rsid w:val="00123D97"/>
    <w:rsid w:val="00124030"/>
    <w:rsid w:val="0012449B"/>
    <w:rsid w:val="00124749"/>
    <w:rsid w:val="00124CB7"/>
    <w:rsid w:val="00124CF4"/>
    <w:rsid w:val="00125486"/>
    <w:rsid w:val="001254CA"/>
    <w:rsid w:val="00127F7A"/>
    <w:rsid w:val="00131B89"/>
    <w:rsid w:val="00132ED6"/>
    <w:rsid w:val="00133499"/>
    <w:rsid w:val="00133D96"/>
    <w:rsid w:val="001348B0"/>
    <w:rsid w:val="00134DE7"/>
    <w:rsid w:val="0013562F"/>
    <w:rsid w:val="00135A63"/>
    <w:rsid w:val="00136B26"/>
    <w:rsid w:val="0013776E"/>
    <w:rsid w:val="00137C07"/>
    <w:rsid w:val="00140D31"/>
    <w:rsid w:val="001416B0"/>
    <w:rsid w:val="001421D1"/>
    <w:rsid w:val="00142CDE"/>
    <w:rsid w:val="001444AD"/>
    <w:rsid w:val="00146145"/>
    <w:rsid w:val="00150A30"/>
    <w:rsid w:val="001511C0"/>
    <w:rsid w:val="00153201"/>
    <w:rsid w:val="00154864"/>
    <w:rsid w:val="001549EE"/>
    <w:rsid w:val="001550E7"/>
    <w:rsid w:val="00155571"/>
    <w:rsid w:val="001565D0"/>
    <w:rsid w:val="00157779"/>
    <w:rsid w:val="00157786"/>
    <w:rsid w:val="00157EED"/>
    <w:rsid w:val="0016016A"/>
    <w:rsid w:val="00162217"/>
    <w:rsid w:val="00162BBA"/>
    <w:rsid w:val="00162E39"/>
    <w:rsid w:val="00162E81"/>
    <w:rsid w:val="00163287"/>
    <w:rsid w:val="00163E1C"/>
    <w:rsid w:val="0016590F"/>
    <w:rsid w:val="001664D6"/>
    <w:rsid w:val="00166A0C"/>
    <w:rsid w:val="00166E56"/>
    <w:rsid w:val="00167D51"/>
    <w:rsid w:val="001704F6"/>
    <w:rsid w:val="001711FD"/>
    <w:rsid w:val="00171D04"/>
    <w:rsid w:val="00173783"/>
    <w:rsid w:val="00173E6E"/>
    <w:rsid w:val="00174028"/>
    <w:rsid w:val="0017523B"/>
    <w:rsid w:val="00175835"/>
    <w:rsid w:val="001764A5"/>
    <w:rsid w:val="001764A6"/>
    <w:rsid w:val="0017688F"/>
    <w:rsid w:val="001779AD"/>
    <w:rsid w:val="001809FB"/>
    <w:rsid w:val="00180E16"/>
    <w:rsid w:val="00180EB6"/>
    <w:rsid w:val="00181BF4"/>
    <w:rsid w:val="00182049"/>
    <w:rsid w:val="00182051"/>
    <w:rsid w:val="0018279A"/>
    <w:rsid w:val="00182A79"/>
    <w:rsid w:val="00184255"/>
    <w:rsid w:val="00184931"/>
    <w:rsid w:val="00185111"/>
    <w:rsid w:val="00185557"/>
    <w:rsid w:val="00186F47"/>
    <w:rsid w:val="001871E7"/>
    <w:rsid w:val="00190A41"/>
    <w:rsid w:val="00190D86"/>
    <w:rsid w:val="00191111"/>
    <w:rsid w:val="00191570"/>
    <w:rsid w:val="00191F0A"/>
    <w:rsid w:val="00192176"/>
    <w:rsid w:val="00192202"/>
    <w:rsid w:val="00192629"/>
    <w:rsid w:val="001927B2"/>
    <w:rsid w:val="00194240"/>
    <w:rsid w:val="00194389"/>
    <w:rsid w:val="00194703"/>
    <w:rsid w:val="00194DE6"/>
    <w:rsid w:val="001950B5"/>
    <w:rsid w:val="001951B6"/>
    <w:rsid w:val="001953F7"/>
    <w:rsid w:val="00195876"/>
    <w:rsid w:val="00195F90"/>
    <w:rsid w:val="001963CA"/>
    <w:rsid w:val="00196464"/>
    <w:rsid w:val="0019728D"/>
    <w:rsid w:val="00197CDE"/>
    <w:rsid w:val="001A0444"/>
    <w:rsid w:val="001A0DD5"/>
    <w:rsid w:val="001A1217"/>
    <w:rsid w:val="001A1CEB"/>
    <w:rsid w:val="001A2246"/>
    <w:rsid w:val="001A24AD"/>
    <w:rsid w:val="001A2DD9"/>
    <w:rsid w:val="001A3C08"/>
    <w:rsid w:val="001A4F41"/>
    <w:rsid w:val="001A60D4"/>
    <w:rsid w:val="001A60EA"/>
    <w:rsid w:val="001A762C"/>
    <w:rsid w:val="001A795F"/>
    <w:rsid w:val="001B1AD4"/>
    <w:rsid w:val="001B24F8"/>
    <w:rsid w:val="001B2DE9"/>
    <w:rsid w:val="001B3068"/>
    <w:rsid w:val="001B3E15"/>
    <w:rsid w:val="001B416F"/>
    <w:rsid w:val="001B445B"/>
    <w:rsid w:val="001B471D"/>
    <w:rsid w:val="001B4EE2"/>
    <w:rsid w:val="001B508D"/>
    <w:rsid w:val="001B5155"/>
    <w:rsid w:val="001B5273"/>
    <w:rsid w:val="001B6AE2"/>
    <w:rsid w:val="001C08E2"/>
    <w:rsid w:val="001C14A1"/>
    <w:rsid w:val="001C1AD2"/>
    <w:rsid w:val="001C2125"/>
    <w:rsid w:val="001C386A"/>
    <w:rsid w:val="001C3B2F"/>
    <w:rsid w:val="001C3F81"/>
    <w:rsid w:val="001C4E52"/>
    <w:rsid w:val="001C6DAD"/>
    <w:rsid w:val="001C7B3D"/>
    <w:rsid w:val="001C7DCE"/>
    <w:rsid w:val="001C7DE8"/>
    <w:rsid w:val="001D0CBC"/>
    <w:rsid w:val="001D0D1A"/>
    <w:rsid w:val="001D123E"/>
    <w:rsid w:val="001D49EF"/>
    <w:rsid w:val="001D4AA7"/>
    <w:rsid w:val="001D6083"/>
    <w:rsid w:val="001D6D5D"/>
    <w:rsid w:val="001D7C98"/>
    <w:rsid w:val="001D7FC4"/>
    <w:rsid w:val="001E0009"/>
    <w:rsid w:val="001E03A7"/>
    <w:rsid w:val="001E0C61"/>
    <w:rsid w:val="001E263A"/>
    <w:rsid w:val="001E3100"/>
    <w:rsid w:val="001E48D2"/>
    <w:rsid w:val="001E5856"/>
    <w:rsid w:val="001E6407"/>
    <w:rsid w:val="001E6A7F"/>
    <w:rsid w:val="001E6C6C"/>
    <w:rsid w:val="001E70BD"/>
    <w:rsid w:val="001E7989"/>
    <w:rsid w:val="001E7EAF"/>
    <w:rsid w:val="001F1457"/>
    <w:rsid w:val="001F156A"/>
    <w:rsid w:val="001F1AB8"/>
    <w:rsid w:val="001F2E9E"/>
    <w:rsid w:val="001F42E4"/>
    <w:rsid w:val="001F468A"/>
    <w:rsid w:val="001F4B70"/>
    <w:rsid w:val="001F4DDA"/>
    <w:rsid w:val="001F4E62"/>
    <w:rsid w:val="001F4F0E"/>
    <w:rsid w:val="001F5044"/>
    <w:rsid w:val="001F53CA"/>
    <w:rsid w:val="001F5D74"/>
    <w:rsid w:val="001F77AD"/>
    <w:rsid w:val="0020102C"/>
    <w:rsid w:val="00201764"/>
    <w:rsid w:val="0020195E"/>
    <w:rsid w:val="0020269B"/>
    <w:rsid w:val="0020374D"/>
    <w:rsid w:val="002047D5"/>
    <w:rsid w:val="00204B0C"/>
    <w:rsid w:val="0020692B"/>
    <w:rsid w:val="00206AF6"/>
    <w:rsid w:val="00206F29"/>
    <w:rsid w:val="00207F15"/>
    <w:rsid w:val="0021048B"/>
    <w:rsid w:val="00210E5C"/>
    <w:rsid w:val="002116E5"/>
    <w:rsid w:val="00211FCB"/>
    <w:rsid w:val="0021262D"/>
    <w:rsid w:val="00213FE1"/>
    <w:rsid w:val="00216C39"/>
    <w:rsid w:val="00216E73"/>
    <w:rsid w:val="00220CBC"/>
    <w:rsid w:val="00220DC6"/>
    <w:rsid w:val="002223DF"/>
    <w:rsid w:val="00223A56"/>
    <w:rsid w:val="00223F9A"/>
    <w:rsid w:val="0022495C"/>
    <w:rsid w:val="00224DD1"/>
    <w:rsid w:val="002254C2"/>
    <w:rsid w:val="00225897"/>
    <w:rsid w:val="002258B0"/>
    <w:rsid w:val="00225996"/>
    <w:rsid w:val="00225CE5"/>
    <w:rsid w:val="00226083"/>
    <w:rsid w:val="002261B8"/>
    <w:rsid w:val="00227585"/>
    <w:rsid w:val="00227D5E"/>
    <w:rsid w:val="00227DE0"/>
    <w:rsid w:val="00230367"/>
    <w:rsid w:val="00231841"/>
    <w:rsid w:val="00231847"/>
    <w:rsid w:val="00231FAC"/>
    <w:rsid w:val="002322BB"/>
    <w:rsid w:val="00232371"/>
    <w:rsid w:val="00233417"/>
    <w:rsid w:val="00233C71"/>
    <w:rsid w:val="00233D5E"/>
    <w:rsid w:val="002362AE"/>
    <w:rsid w:val="00236D85"/>
    <w:rsid w:val="00236EC0"/>
    <w:rsid w:val="00240849"/>
    <w:rsid w:val="002415EE"/>
    <w:rsid w:val="00241804"/>
    <w:rsid w:val="00242505"/>
    <w:rsid w:val="002427D7"/>
    <w:rsid w:val="002439CF"/>
    <w:rsid w:val="0024477E"/>
    <w:rsid w:val="00244F37"/>
    <w:rsid w:val="00246606"/>
    <w:rsid w:val="00247E24"/>
    <w:rsid w:val="0025084F"/>
    <w:rsid w:val="00252206"/>
    <w:rsid w:val="002527BD"/>
    <w:rsid w:val="002531DB"/>
    <w:rsid w:val="00253E0E"/>
    <w:rsid w:val="002542C6"/>
    <w:rsid w:val="002556DC"/>
    <w:rsid w:val="002564B5"/>
    <w:rsid w:val="00256930"/>
    <w:rsid w:val="002608F5"/>
    <w:rsid w:val="00260D07"/>
    <w:rsid w:val="00261481"/>
    <w:rsid w:val="00262264"/>
    <w:rsid w:val="002624EB"/>
    <w:rsid w:val="00262E02"/>
    <w:rsid w:val="00263D12"/>
    <w:rsid w:val="00263D63"/>
    <w:rsid w:val="0026452D"/>
    <w:rsid w:val="00265195"/>
    <w:rsid w:val="00265621"/>
    <w:rsid w:val="00265DCC"/>
    <w:rsid w:val="00266495"/>
    <w:rsid w:val="00266936"/>
    <w:rsid w:val="002673CC"/>
    <w:rsid w:val="00267A67"/>
    <w:rsid w:val="002704AE"/>
    <w:rsid w:val="00273362"/>
    <w:rsid w:val="00273DC9"/>
    <w:rsid w:val="00273E72"/>
    <w:rsid w:val="002742CB"/>
    <w:rsid w:val="00274648"/>
    <w:rsid w:val="00274F47"/>
    <w:rsid w:val="002756CF"/>
    <w:rsid w:val="002757AB"/>
    <w:rsid w:val="002760E7"/>
    <w:rsid w:val="002761B1"/>
    <w:rsid w:val="00277529"/>
    <w:rsid w:val="00277688"/>
    <w:rsid w:val="002776EA"/>
    <w:rsid w:val="0027770C"/>
    <w:rsid w:val="0028110D"/>
    <w:rsid w:val="00282079"/>
    <w:rsid w:val="00283134"/>
    <w:rsid w:val="002831E3"/>
    <w:rsid w:val="00283981"/>
    <w:rsid w:val="00284363"/>
    <w:rsid w:val="00286A2F"/>
    <w:rsid w:val="00286E1C"/>
    <w:rsid w:val="00287FEA"/>
    <w:rsid w:val="00291100"/>
    <w:rsid w:val="00291652"/>
    <w:rsid w:val="00291AE6"/>
    <w:rsid w:val="00291C60"/>
    <w:rsid w:val="00292B4C"/>
    <w:rsid w:val="002934FF"/>
    <w:rsid w:val="0029365E"/>
    <w:rsid w:val="00293663"/>
    <w:rsid w:val="00293970"/>
    <w:rsid w:val="0029457B"/>
    <w:rsid w:val="00294659"/>
    <w:rsid w:val="0029498E"/>
    <w:rsid w:val="0029511B"/>
    <w:rsid w:val="00296409"/>
    <w:rsid w:val="0029677B"/>
    <w:rsid w:val="00296AAC"/>
    <w:rsid w:val="002971DE"/>
    <w:rsid w:val="0029734F"/>
    <w:rsid w:val="002A1990"/>
    <w:rsid w:val="002A19FB"/>
    <w:rsid w:val="002A1B74"/>
    <w:rsid w:val="002A1E65"/>
    <w:rsid w:val="002A2CAC"/>
    <w:rsid w:val="002A37B3"/>
    <w:rsid w:val="002A3AFF"/>
    <w:rsid w:val="002A3E09"/>
    <w:rsid w:val="002A5DF8"/>
    <w:rsid w:val="002A5E65"/>
    <w:rsid w:val="002A6551"/>
    <w:rsid w:val="002A703F"/>
    <w:rsid w:val="002B1365"/>
    <w:rsid w:val="002B1571"/>
    <w:rsid w:val="002B1703"/>
    <w:rsid w:val="002B4B93"/>
    <w:rsid w:val="002B586D"/>
    <w:rsid w:val="002B5AC7"/>
    <w:rsid w:val="002B6CCA"/>
    <w:rsid w:val="002B749E"/>
    <w:rsid w:val="002B77A6"/>
    <w:rsid w:val="002C1CA1"/>
    <w:rsid w:val="002C295C"/>
    <w:rsid w:val="002C48EB"/>
    <w:rsid w:val="002C5776"/>
    <w:rsid w:val="002C5EAB"/>
    <w:rsid w:val="002C6D12"/>
    <w:rsid w:val="002C7E1A"/>
    <w:rsid w:val="002D087F"/>
    <w:rsid w:val="002D28F0"/>
    <w:rsid w:val="002D2FAC"/>
    <w:rsid w:val="002D3743"/>
    <w:rsid w:val="002D3AEE"/>
    <w:rsid w:val="002D3C40"/>
    <w:rsid w:val="002D4398"/>
    <w:rsid w:val="002D493D"/>
    <w:rsid w:val="002D533E"/>
    <w:rsid w:val="002D5D8E"/>
    <w:rsid w:val="002D695E"/>
    <w:rsid w:val="002D7504"/>
    <w:rsid w:val="002D766C"/>
    <w:rsid w:val="002E0729"/>
    <w:rsid w:val="002E08E1"/>
    <w:rsid w:val="002E0B0D"/>
    <w:rsid w:val="002E1191"/>
    <w:rsid w:val="002E3468"/>
    <w:rsid w:val="002E35B4"/>
    <w:rsid w:val="002E40B7"/>
    <w:rsid w:val="002E427D"/>
    <w:rsid w:val="002E4C20"/>
    <w:rsid w:val="002E5481"/>
    <w:rsid w:val="002E6F14"/>
    <w:rsid w:val="002E727F"/>
    <w:rsid w:val="002E79C0"/>
    <w:rsid w:val="002F0ADD"/>
    <w:rsid w:val="002F14A5"/>
    <w:rsid w:val="002F1B01"/>
    <w:rsid w:val="002F26A2"/>
    <w:rsid w:val="002F38DC"/>
    <w:rsid w:val="002F3AD1"/>
    <w:rsid w:val="002F3AE9"/>
    <w:rsid w:val="002F597D"/>
    <w:rsid w:val="002F5C86"/>
    <w:rsid w:val="002F5ED6"/>
    <w:rsid w:val="002F5EDA"/>
    <w:rsid w:val="002F5F07"/>
    <w:rsid w:val="002F62EF"/>
    <w:rsid w:val="002F6CF1"/>
    <w:rsid w:val="002F6DE2"/>
    <w:rsid w:val="002F7C77"/>
    <w:rsid w:val="002F7FFE"/>
    <w:rsid w:val="0030120F"/>
    <w:rsid w:val="00301B98"/>
    <w:rsid w:val="00302D5E"/>
    <w:rsid w:val="00303BBD"/>
    <w:rsid w:val="00303FD3"/>
    <w:rsid w:val="00305354"/>
    <w:rsid w:val="00305409"/>
    <w:rsid w:val="003058C4"/>
    <w:rsid w:val="00305BCF"/>
    <w:rsid w:val="0030661D"/>
    <w:rsid w:val="00306DBB"/>
    <w:rsid w:val="00307CAF"/>
    <w:rsid w:val="003103A0"/>
    <w:rsid w:val="003104CE"/>
    <w:rsid w:val="003120C6"/>
    <w:rsid w:val="00312505"/>
    <w:rsid w:val="003135C5"/>
    <w:rsid w:val="00314234"/>
    <w:rsid w:val="003144D2"/>
    <w:rsid w:val="0031460F"/>
    <w:rsid w:val="00316193"/>
    <w:rsid w:val="00317C90"/>
    <w:rsid w:val="003202BC"/>
    <w:rsid w:val="00320873"/>
    <w:rsid w:val="00320E02"/>
    <w:rsid w:val="003214DB"/>
    <w:rsid w:val="00321675"/>
    <w:rsid w:val="003218C1"/>
    <w:rsid w:val="00321B89"/>
    <w:rsid w:val="0032333C"/>
    <w:rsid w:val="00323ABC"/>
    <w:rsid w:val="00323D54"/>
    <w:rsid w:val="0032510E"/>
    <w:rsid w:val="00325A53"/>
    <w:rsid w:val="00330B11"/>
    <w:rsid w:val="00330E17"/>
    <w:rsid w:val="00331DB0"/>
    <w:rsid w:val="00331F81"/>
    <w:rsid w:val="003323EB"/>
    <w:rsid w:val="00332C50"/>
    <w:rsid w:val="003333ED"/>
    <w:rsid w:val="00333A13"/>
    <w:rsid w:val="00333A79"/>
    <w:rsid w:val="003341C7"/>
    <w:rsid w:val="00335728"/>
    <w:rsid w:val="0033620E"/>
    <w:rsid w:val="00343753"/>
    <w:rsid w:val="003448BC"/>
    <w:rsid w:val="003458E5"/>
    <w:rsid w:val="0034684D"/>
    <w:rsid w:val="0034700C"/>
    <w:rsid w:val="00347830"/>
    <w:rsid w:val="003510E8"/>
    <w:rsid w:val="003538A4"/>
    <w:rsid w:val="0035433C"/>
    <w:rsid w:val="00354E71"/>
    <w:rsid w:val="00355532"/>
    <w:rsid w:val="00355E44"/>
    <w:rsid w:val="00356584"/>
    <w:rsid w:val="003566D6"/>
    <w:rsid w:val="00356775"/>
    <w:rsid w:val="003605B2"/>
    <w:rsid w:val="003615A9"/>
    <w:rsid w:val="00362B9C"/>
    <w:rsid w:val="00366D69"/>
    <w:rsid w:val="003676FA"/>
    <w:rsid w:val="00367C7A"/>
    <w:rsid w:val="00367D83"/>
    <w:rsid w:val="00370182"/>
    <w:rsid w:val="0037059A"/>
    <w:rsid w:val="003715C1"/>
    <w:rsid w:val="003715D3"/>
    <w:rsid w:val="0037198E"/>
    <w:rsid w:val="0037220D"/>
    <w:rsid w:val="00372BFF"/>
    <w:rsid w:val="003747A3"/>
    <w:rsid w:val="00376235"/>
    <w:rsid w:val="003767FE"/>
    <w:rsid w:val="00377C9B"/>
    <w:rsid w:val="00377CCE"/>
    <w:rsid w:val="00377DEE"/>
    <w:rsid w:val="00380298"/>
    <w:rsid w:val="00380B92"/>
    <w:rsid w:val="00380F61"/>
    <w:rsid w:val="00381586"/>
    <w:rsid w:val="00381787"/>
    <w:rsid w:val="00381E09"/>
    <w:rsid w:val="00382901"/>
    <w:rsid w:val="00382DE8"/>
    <w:rsid w:val="00383441"/>
    <w:rsid w:val="00383A89"/>
    <w:rsid w:val="00384681"/>
    <w:rsid w:val="00385607"/>
    <w:rsid w:val="00387178"/>
    <w:rsid w:val="00390099"/>
    <w:rsid w:val="003919A5"/>
    <w:rsid w:val="00391AD7"/>
    <w:rsid w:val="00391DC4"/>
    <w:rsid w:val="00393171"/>
    <w:rsid w:val="00393646"/>
    <w:rsid w:val="00393E2E"/>
    <w:rsid w:val="00393F72"/>
    <w:rsid w:val="00394AAF"/>
    <w:rsid w:val="003953E5"/>
    <w:rsid w:val="00395456"/>
    <w:rsid w:val="003954B8"/>
    <w:rsid w:val="00395E60"/>
    <w:rsid w:val="00396AC1"/>
    <w:rsid w:val="00396EEF"/>
    <w:rsid w:val="00397292"/>
    <w:rsid w:val="00397FE2"/>
    <w:rsid w:val="003A1367"/>
    <w:rsid w:val="003A17C0"/>
    <w:rsid w:val="003A20AC"/>
    <w:rsid w:val="003A30A4"/>
    <w:rsid w:val="003A429A"/>
    <w:rsid w:val="003A4EA1"/>
    <w:rsid w:val="003A59C9"/>
    <w:rsid w:val="003A629D"/>
    <w:rsid w:val="003A7B22"/>
    <w:rsid w:val="003B0D2B"/>
    <w:rsid w:val="003B1A24"/>
    <w:rsid w:val="003B1A84"/>
    <w:rsid w:val="003B28E5"/>
    <w:rsid w:val="003B3338"/>
    <w:rsid w:val="003B44D5"/>
    <w:rsid w:val="003C073B"/>
    <w:rsid w:val="003C0E0B"/>
    <w:rsid w:val="003C1D39"/>
    <w:rsid w:val="003C1FF4"/>
    <w:rsid w:val="003C28D4"/>
    <w:rsid w:val="003C2F11"/>
    <w:rsid w:val="003C3980"/>
    <w:rsid w:val="003C4158"/>
    <w:rsid w:val="003C4C8A"/>
    <w:rsid w:val="003C56B5"/>
    <w:rsid w:val="003C61B9"/>
    <w:rsid w:val="003C6305"/>
    <w:rsid w:val="003C6A54"/>
    <w:rsid w:val="003C6D5D"/>
    <w:rsid w:val="003C7385"/>
    <w:rsid w:val="003C7DF7"/>
    <w:rsid w:val="003D0081"/>
    <w:rsid w:val="003D1CD8"/>
    <w:rsid w:val="003D260B"/>
    <w:rsid w:val="003D3237"/>
    <w:rsid w:val="003D42D4"/>
    <w:rsid w:val="003D5F5B"/>
    <w:rsid w:val="003D791C"/>
    <w:rsid w:val="003D7BFC"/>
    <w:rsid w:val="003D7EE6"/>
    <w:rsid w:val="003E0161"/>
    <w:rsid w:val="003E0AC6"/>
    <w:rsid w:val="003E1049"/>
    <w:rsid w:val="003E1D29"/>
    <w:rsid w:val="003E2684"/>
    <w:rsid w:val="003E27CA"/>
    <w:rsid w:val="003E4491"/>
    <w:rsid w:val="003E68B9"/>
    <w:rsid w:val="003E73CE"/>
    <w:rsid w:val="003F00CA"/>
    <w:rsid w:val="003F08CD"/>
    <w:rsid w:val="003F08D7"/>
    <w:rsid w:val="003F23DE"/>
    <w:rsid w:val="003F298A"/>
    <w:rsid w:val="003F2E4F"/>
    <w:rsid w:val="003F32BE"/>
    <w:rsid w:val="003F341A"/>
    <w:rsid w:val="003F3A04"/>
    <w:rsid w:val="003F541A"/>
    <w:rsid w:val="003F55A8"/>
    <w:rsid w:val="003F5D2A"/>
    <w:rsid w:val="003F720D"/>
    <w:rsid w:val="003F7DC2"/>
    <w:rsid w:val="00400B94"/>
    <w:rsid w:val="00400FA3"/>
    <w:rsid w:val="00402609"/>
    <w:rsid w:val="00405567"/>
    <w:rsid w:val="004078AE"/>
    <w:rsid w:val="00407F21"/>
    <w:rsid w:val="00410285"/>
    <w:rsid w:val="00410E13"/>
    <w:rsid w:val="0041401C"/>
    <w:rsid w:val="00414109"/>
    <w:rsid w:val="00414613"/>
    <w:rsid w:val="00414A3D"/>
    <w:rsid w:val="0041511C"/>
    <w:rsid w:val="004165D2"/>
    <w:rsid w:val="004171E0"/>
    <w:rsid w:val="00420B16"/>
    <w:rsid w:val="00421B09"/>
    <w:rsid w:val="004220FA"/>
    <w:rsid w:val="004228B1"/>
    <w:rsid w:val="0042414F"/>
    <w:rsid w:val="004242C7"/>
    <w:rsid w:val="004248ED"/>
    <w:rsid w:val="00425411"/>
    <w:rsid w:val="00426726"/>
    <w:rsid w:val="00426811"/>
    <w:rsid w:val="0043025A"/>
    <w:rsid w:val="00430283"/>
    <w:rsid w:val="00430CA6"/>
    <w:rsid w:val="0043163E"/>
    <w:rsid w:val="00431692"/>
    <w:rsid w:val="00431A69"/>
    <w:rsid w:val="004324AC"/>
    <w:rsid w:val="0043281E"/>
    <w:rsid w:val="00432C9D"/>
    <w:rsid w:val="004339A5"/>
    <w:rsid w:val="004344FA"/>
    <w:rsid w:val="0043487F"/>
    <w:rsid w:val="004352B2"/>
    <w:rsid w:val="0043571D"/>
    <w:rsid w:val="00435CA9"/>
    <w:rsid w:val="00436178"/>
    <w:rsid w:val="00436494"/>
    <w:rsid w:val="00437E7C"/>
    <w:rsid w:val="00440E3D"/>
    <w:rsid w:val="00441A53"/>
    <w:rsid w:val="00442567"/>
    <w:rsid w:val="00442743"/>
    <w:rsid w:val="00442A1F"/>
    <w:rsid w:val="00442BFB"/>
    <w:rsid w:val="00442C03"/>
    <w:rsid w:val="00442C2F"/>
    <w:rsid w:val="004432B1"/>
    <w:rsid w:val="00443BD2"/>
    <w:rsid w:val="00444A7C"/>
    <w:rsid w:val="00445920"/>
    <w:rsid w:val="004467D0"/>
    <w:rsid w:val="00451D0A"/>
    <w:rsid w:val="00452081"/>
    <w:rsid w:val="00452328"/>
    <w:rsid w:val="004523B7"/>
    <w:rsid w:val="004523D7"/>
    <w:rsid w:val="004526E3"/>
    <w:rsid w:val="00453B15"/>
    <w:rsid w:val="00454115"/>
    <w:rsid w:val="00455B8F"/>
    <w:rsid w:val="0045650C"/>
    <w:rsid w:val="0045658D"/>
    <w:rsid w:val="00457B8E"/>
    <w:rsid w:val="00460813"/>
    <w:rsid w:val="0046116B"/>
    <w:rsid w:val="0046190C"/>
    <w:rsid w:val="004624ED"/>
    <w:rsid w:val="0046267B"/>
    <w:rsid w:val="00462842"/>
    <w:rsid w:val="00463E7C"/>
    <w:rsid w:val="004641D5"/>
    <w:rsid w:val="00465140"/>
    <w:rsid w:val="00465A01"/>
    <w:rsid w:val="00466071"/>
    <w:rsid w:val="00466661"/>
    <w:rsid w:val="0046712D"/>
    <w:rsid w:val="00467A38"/>
    <w:rsid w:val="00467F84"/>
    <w:rsid w:val="004702C8"/>
    <w:rsid w:val="004710D2"/>
    <w:rsid w:val="00471E15"/>
    <w:rsid w:val="00472F92"/>
    <w:rsid w:val="00473348"/>
    <w:rsid w:val="004733D3"/>
    <w:rsid w:val="00473B24"/>
    <w:rsid w:val="00473CAC"/>
    <w:rsid w:val="00474886"/>
    <w:rsid w:val="00474933"/>
    <w:rsid w:val="00476965"/>
    <w:rsid w:val="0047768E"/>
    <w:rsid w:val="00480E75"/>
    <w:rsid w:val="00482B30"/>
    <w:rsid w:val="004846A0"/>
    <w:rsid w:val="004847E6"/>
    <w:rsid w:val="00486161"/>
    <w:rsid w:val="0048740F"/>
    <w:rsid w:val="00487691"/>
    <w:rsid w:val="00487987"/>
    <w:rsid w:val="00487EE8"/>
    <w:rsid w:val="004902EC"/>
    <w:rsid w:val="004906AA"/>
    <w:rsid w:val="00490D8F"/>
    <w:rsid w:val="004920CC"/>
    <w:rsid w:val="004920EB"/>
    <w:rsid w:val="004924A3"/>
    <w:rsid w:val="00492EA6"/>
    <w:rsid w:val="0049316C"/>
    <w:rsid w:val="00493E92"/>
    <w:rsid w:val="0049536D"/>
    <w:rsid w:val="00495592"/>
    <w:rsid w:val="00495707"/>
    <w:rsid w:val="0049590A"/>
    <w:rsid w:val="00495969"/>
    <w:rsid w:val="00495A65"/>
    <w:rsid w:val="00496E48"/>
    <w:rsid w:val="004A06F9"/>
    <w:rsid w:val="004A0754"/>
    <w:rsid w:val="004A266C"/>
    <w:rsid w:val="004A3343"/>
    <w:rsid w:val="004A3C48"/>
    <w:rsid w:val="004A3CEC"/>
    <w:rsid w:val="004A40D1"/>
    <w:rsid w:val="004A4BDB"/>
    <w:rsid w:val="004A4D1E"/>
    <w:rsid w:val="004A52D8"/>
    <w:rsid w:val="004A6081"/>
    <w:rsid w:val="004A76E3"/>
    <w:rsid w:val="004B07C7"/>
    <w:rsid w:val="004B1B42"/>
    <w:rsid w:val="004B1E83"/>
    <w:rsid w:val="004B1FF1"/>
    <w:rsid w:val="004B2B1A"/>
    <w:rsid w:val="004B2EF6"/>
    <w:rsid w:val="004B2F18"/>
    <w:rsid w:val="004B3004"/>
    <w:rsid w:val="004B3D6E"/>
    <w:rsid w:val="004B471C"/>
    <w:rsid w:val="004B4D06"/>
    <w:rsid w:val="004B4D4E"/>
    <w:rsid w:val="004B5128"/>
    <w:rsid w:val="004B5372"/>
    <w:rsid w:val="004B64CE"/>
    <w:rsid w:val="004B6FD9"/>
    <w:rsid w:val="004B7121"/>
    <w:rsid w:val="004B7841"/>
    <w:rsid w:val="004C03E8"/>
    <w:rsid w:val="004C089E"/>
    <w:rsid w:val="004C0DE3"/>
    <w:rsid w:val="004C1450"/>
    <w:rsid w:val="004C16AD"/>
    <w:rsid w:val="004C181D"/>
    <w:rsid w:val="004C1A7D"/>
    <w:rsid w:val="004C2998"/>
    <w:rsid w:val="004C2E27"/>
    <w:rsid w:val="004C3C0A"/>
    <w:rsid w:val="004C666D"/>
    <w:rsid w:val="004C6688"/>
    <w:rsid w:val="004C6868"/>
    <w:rsid w:val="004C69B7"/>
    <w:rsid w:val="004C6CF5"/>
    <w:rsid w:val="004C7389"/>
    <w:rsid w:val="004C7428"/>
    <w:rsid w:val="004D0642"/>
    <w:rsid w:val="004D0916"/>
    <w:rsid w:val="004D0CC5"/>
    <w:rsid w:val="004D1550"/>
    <w:rsid w:val="004D156B"/>
    <w:rsid w:val="004D19AC"/>
    <w:rsid w:val="004D1D79"/>
    <w:rsid w:val="004D2AB2"/>
    <w:rsid w:val="004D40E9"/>
    <w:rsid w:val="004D41CF"/>
    <w:rsid w:val="004D61BC"/>
    <w:rsid w:val="004D655A"/>
    <w:rsid w:val="004D65A4"/>
    <w:rsid w:val="004D7257"/>
    <w:rsid w:val="004D74B1"/>
    <w:rsid w:val="004D75E5"/>
    <w:rsid w:val="004D7658"/>
    <w:rsid w:val="004D778C"/>
    <w:rsid w:val="004E0A4C"/>
    <w:rsid w:val="004E16E2"/>
    <w:rsid w:val="004E1B28"/>
    <w:rsid w:val="004E1C57"/>
    <w:rsid w:val="004E1CDC"/>
    <w:rsid w:val="004E3330"/>
    <w:rsid w:val="004E3A1B"/>
    <w:rsid w:val="004E3B61"/>
    <w:rsid w:val="004E4C8E"/>
    <w:rsid w:val="004E5ADF"/>
    <w:rsid w:val="004E6662"/>
    <w:rsid w:val="004E69F3"/>
    <w:rsid w:val="004E7DD0"/>
    <w:rsid w:val="004F2525"/>
    <w:rsid w:val="004F3948"/>
    <w:rsid w:val="004F4321"/>
    <w:rsid w:val="004F4C15"/>
    <w:rsid w:val="004F5E21"/>
    <w:rsid w:val="004F61EC"/>
    <w:rsid w:val="004F74BD"/>
    <w:rsid w:val="004F7676"/>
    <w:rsid w:val="004F7B33"/>
    <w:rsid w:val="00501541"/>
    <w:rsid w:val="00501650"/>
    <w:rsid w:val="005025F0"/>
    <w:rsid w:val="005036AD"/>
    <w:rsid w:val="0050499C"/>
    <w:rsid w:val="00505763"/>
    <w:rsid w:val="00506145"/>
    <w:rsid w:val="0050702F"/>
    <w:rsid w:val="00507132"/>
    <w:rsid w:val="0051079F"/>
    <w:rsid w:val="00510A64"/>
    <w:rsid w:val="00510AD0"/>
    <w:rsid w:val="00510B8E"/>
    <w:rsid w:val="00510F0C"/>
    <w:rsid w:val="005126BF"/>
    <w:rsid w:val="005131B5"/>
    <w:rsid w:val="00513CBA"/>
    <w:rsid w:val="00513E92"/>
    <w:rsid w:val="00515B77"/>
    <w:rsid w:val="00517BE6"/>
    <w:rsid w:val="00517E2B"/>
    <w:rsid w:val="0052086E"/>
    <w:rsid w:val="00521A35"/>
    <w:rsid w:val="005220FC"/>
    <w:rsid w:val="0052251B"/>
    <w:rsid w:val="00522B9B"/>
    <w:rsid w:val="00523099"/>
    <w:rsid w:val="00524FFC"/>
    <w:rsid w:val="0052601F"/>
    <w:rsid w:val="005268C3"/>
    <w:rsid w:val="005273F4"/>
    <w:rsid w:val="00527ED5"/>
    <w:rsid w:val="0053088B"/>
    <w:rsid w:val="00530D33"/>
    <w:rsid w:val="00530EF8"/>
    <w:rsid w:val="00531EC7"/>
    <w:rsid w:val="005323BB"/>
    <w:rsid w:val="00534AD4"/>
    <w:rsid w:val="005351F1"/>
    <w:rsid w:val="00535E5B"/>
    <w:rsid w:val="00535E87"/>
    <w:rsid w:val="00536741"/>
    <w:rsid w:val="00540A91"/>
    <w:rsid w:val="00540E38"/>
    <w:rsid w:val="00540F4D"/>
    <w:rsid w:val="00541846"/>
    <w:rsid w:val="00541D6D"/>
    <w:rsid w:val="00542883"/>
    <w:rsid w:val="00542B46"/>
    <w:rsid w:val="00543522"/>
    <w:rsid w:val="00543A87"/>
    <w:rsid w:val="00543D24"/>
    <w:rsid w:val="005443D7"/>
    <w:rsid w:val="0054466C"/>
    <w:rsid w:val="00545E8E"/>
    <w:rsid w:val="00546A68"/>
    <w:rsid w:val="00546FE8"/>
    <w:rsid w:val="0055149E"/>
    <w:rsid w:val="00552716"/>
    <w:rsid w:val="00552DD6"/>
    <w:rsid w:val="00553460"/>
    <w:rsid w:val="00553660"/>
    <w:rsid w:val="00553AC1"/>
    <w:rsid w:val="00554E98"/>
    <w:rsid w:val="00555E98"/>
    <w:rsid w:val="0055672E"/>
    <w:rsid w:val="00556C75"/>
    <w:rsid w:val="0056112C"/>
    <w:rsid w:val="00561337"/>
    <w:rsid w:val="0056144B"/>
    <w:rsid w:val="0056272C"/>
    <w:rsid w:val="0056313F"/>
    <w:rsid w:val="00563EFC"/>
    <w:rsid w:val="00565BFF"/>
    <w:rsid w:val="00566475"/>
    <w:rsid w:val="00567F51"/>
    <w:rsid w:val="00570028"/>
    <w:rsid w:val="0057041C"/>
    <w:rsid w:val="00570A32"/>
    <w:rsid w:val="00570D3C"/>
    <w:rsid w:val="00570D60"/>
    <w:rsid w:val="00571021"/>
    <w:rsid w:val="005710EA"/>
    <w:rsid w:val="00572239"/>
    <w:rsid w:val="00572A14"/>
    <w:rsid w:val="005752F2"/>
    <w:rsid w:val="00575F04"/>
    <w:rsid w:val="005764C5"/>
    <w:rsid w:val="00577492"/>
    <w:rsid w:val="00577E4A"/>
    <w:rsid w:val="00580250"/>
    <w:rsid w:val="00581233"/>
    <w:rsid w:val="00581254"/>
    <w:rsid w:val="005815CE"/>
    <w:rsid w:val="00581CF3"/>
    <w:rsid w:val="0058281E"/>
    <w:rsid w:val="00582E14"/>
    <w:rsid w:val="0058309D"/>
    <w:rsid w:val="005833F1"/>
    <w:rsid w:val="005840FA"/>
    <w:rsid w:val="00584179"/>
    <w:rsid w:val="005841CB"/>
    <w:rsid w:val="00585F7B"/>
    <w:rsid w:val="00586058"/>
    <w:rsid w:val="005873A6"/>
    <w:rsid w:val="00587661"/>
    <w:rsid w:val="00592848"/>
    <w:rsid w:val="005934FB"/>
    <w:rsid w:val="00593642"/>
    <w:rsid w:val="00593A89"/>
    <w:rsid w:val="00593D52"/>
    <w:rsid w:val="00593EDB"/>
    <w:rsid w:val="005946E0"/>
    <w:rsid w:val="00594B8A"/>
    <w:rsid w:val="00594EDB"/>
    <w:rsid w:val="005952D4"/>
    <w:rsid w:val="00595B8B"/>
    <w:rsid w:val="0059628A"/>
    <w:rsid w:val="005965E1"/>
    <w:rsid w:val="00596972"/>
    <w:rsid w:val="0059697B"/>
    <w:rsid w:val="00596D31"/>
    <w:rsid w:val="00596EF4"/>
    <w:rsid w:val="00597043"/>
    <w:rsid w:val="005A130A"/>
    <w:rsid w:val="005A1EA4"/>
    <w:rsid w:val="005A21FE"/>
    <w:rsid w:val="005A2571"/>
    <w:rsid w:val="005A2D34"/>
    <w:rsid w:val="005A30C4"/>
    <w:rsid w:val="005A49EF"/>
    <w:rsid w:val="005A6322"/>
    <w:rsid w:val="005A66F7"/>
    <w:rsid w:val="005A67A4"/>
    <w:rsid w:val="005A68ED"/>
    <w:rsid w:val="005A70B3"/>
    <w:rsid w:val="005B0365"/>
    <w:rsid w:val="005B0921"/>
    <w:rsid w:val="005B0D96"/>
    <w:rsid w:val="005B1C4B"/>
    <w:rsid w:val="005B1D22"/>
    <w:rsid w:val="005B2386"/>
    <w:rsid w:val="005B25CA"/>
    <w:rsid w:val="005B2F4F"/>
    <w:rsid w:val="005B49E0"/>
    <w:rsid w:val="005B4A8D"/>
    <w:rsid w:val="005B59CD"/>
    <w:rsid w:val="005B5C27"/>
    <w:rsid w:val="005B7997"/>
    <w:rsid w:val="005C0283"/>
    <w:rsid w:val="005C13D9"/>
    <w:rsid w:val="005C2059"/>
    <w:rsid w:val="005C24D4"/>
    <w:rsid w:val="005C286C"/>
    <w:rsid w:val="005C358A"/>
    <w:rsid w:val="005C4781"/>
    <w:rsid w:val="005C4B98"/>
    <w:rsid w:val="005C4BDB"/>
    <w:rsid w:val="005C5668"/>
    <w:rsid w:val="005C6E92"/>
    <w:rsid w:val="005C77FB"/>
    <w:rsid w:val="005C7A73"/>
    <w:rsid w:val="005C7D35"/>
    <w:rsid w:val="005D06DD"/>
    <w:rsid w:val="005D0CFA"/>
    <w:rsid w:val="005D27CC"/>
    <w:rsid w:val="005D6C0A"/>
    <w:rsid w:val="005D6C67"/>
    <w:rsid w:val="005E2712"/>
    <w:rsid w:val="005E2C3B"/>
    <w:rsid w:val="005E3451"/>
    <w:rsid w:val="005E4014"/>
    <w:rsid w:val="005E4C07"/>
    <w:rsid w:val="005E4C2F"/>
    <w:rsid w:val="005E58B3"/>
    <w:rsid w:val="005E5BED"/>
    <w:rsid w:val="005E5C05"/>
    <w:rsid w:val="005E5DDC"/>
    <w:rsid w:val="005E5EB4"/>
    <w:rsid w:val="005E6150"/>
    <w:rsid w:val="005E64A9"/>
    <w:rsid w:val="005E6617"/>
    <w:rsid w:val="005E6A66"/>
    <w:rsid w:val="005F0405"/>
    <w:rsid w:val="005F177A"/>
    <w:rsid w:val="005F1FEA"/>
    <w:rsid w:val="005F2FE3"/>
    <w:rsid w:val="005F37BD"/>
    <w:rsid w:val="005F4340"/>
    <w:rsid w:val="005F6DE2"/>
    <w:rsid w:val="006005BE"/>
    <w:rsid w:val="00600DAA"/>
    <w:rsid w:val="00601742"/>
    <w:rsid w:val="00601BFA"/>
    <w:rsid w:val="006028C6"/>
    <w:rsid w:val="00602B95"/>
    <w:rsid w:val="00603D30"/>
    <w:rsid w:val="00604185"/>
    <w:rsid w:val="00605669"/>
    <w:rsid w:val="0060573D"/>
    <w:rsid w:val="00605ADD"/>
    <w:rsid w:val="00605BC2"/>
    <w:rsid w:val="006066BB"/>
    <w:rsid w:val="006110B4"/>
    <w:rsid w:val="00611315"/>
    <w:rsid w:val="0061152A"/>
    <w:rsid w:val="00611B2B"/>
    <w:rsid w:val="00611DBB"/>
    <w:rsid w:val="00613867"/>
    <w:rsid w:val="00613C0D"/>
    <w:rsid w:val="00613EDA"/>
    <w:rsid w:val="00615946"/>
    <w:rsid w:val="00616320"/>
    <w:rsid w:val="006163FE"/>
    <w:rsid w:val="00617AC4"/>
    <w:rsid w:val="00621807"/>
    <w:rsid w:val="00621C02"/>
    <w:rsid w:val="006225F1"/>
    <w:rsid w:val="006229D7"/>
    <w:rsid w:val="00622B03"/>
    <w:rsid w:val="006244E7"/>
    <w:rsid w:val="00626491"/>
    <w:rsid w:val="00626A3D"/>
    <w:rsid w:val="00627EFE"/>
    <w:rsid w:val="00627FE7"/>
    <w:rsid w:val="006302E8"/>
    <w:rsid w:val="00630E11"/>
    <w:rsid w:val="006316C2"/>
    <w:rsid w:val="006324EB"/>
    <w:rsid w:val="00632AED"/>
    <w:rsid w:val="00633598"/>
    <w:rsid w:val="00636087"/>
    <w:rsid w:val="00636A18"/>
    <w:rsid w:val="00637B84"/>
    <w:rsid w:val="00637C03"/>
    <w:rsid w:val="00640A3C"/>
    <w:rsid w:val="00641D4A"/>
    <w:rsid w:val="00641DAC"/>
    <w:rsid w:val="006428DB"/>
    <w:rsid w:val="00643BD8"/>
    <w:rsid w:val="00644D35"/>
    <w:rsid w:val="00645172"/>
    <w:rsid w:val="006459A7"/>
    <w:rsid w:val="00645D6A"/>
    <w:rsid w:val="0064747B"/>
    <w:rsid w:val="006507D5"/>
    <w:rsid w:val="006525BE"/>
    <w:rsid w:val="0065264E"/>
    <w:rsid w:val="00653831"/>
    <w:rsid w:val="00653B90"/>
    <w:rsid w:val="00654050"/>
    <w:rsid w:val="00655518"/>
    <w:rsid w:val="00655FB7"/>
    <w:rsid w:val="00656233"/>
    <w:rsid w:val="00657169"/>
    <w:rsid w:val="00657253"/>
    <w:rsid w:val="006576A8"/>
    <w:rsid w:val="006600F3"/>
    <w:rsid w:val="00661000"/>
    <w:rsid w:val="00662A09"/>
    <w:rsid w:val="00662BB3"/>
    <w:rsid w:val="00662DF5"/>
    <w:rsid w:val="00663545"/>
    <w:rsid w:val="0066393B"/>
    <w:rsid w:val="006647E7"/>
    <w:rsid w:val="00666457"/>
    <w:rsid w:val="006668A7"/>
    <w:rsid w:val="00667106"/>
    <w:rsid w:val="0066792E"/>
    <w:rsid w:val="00670F9E"/>
    <w:rsid w:val="006724C7"/>
    <w:rsid w:val="00675E10"/>
    <w:rsid w:val="00675E32"/>
    <w:rsid w:val="00676ABA"/>
    <w:rsid w:val="0068050B"/>
    <w:rsid w:val="006808EB"/>
    <w:rsid w:val="00680EE4"/>
    <w:rsid w:val="006810A9"/>
    <w:rsid w:val="006815BD"/>
    <w:rsid w:val="00681834"/>
    <w:rsid w:val="00682486"/>
    <w:rsid w:val="006839F1"/>
    <w:rsid w:val="00685742"/>
    <w:rsid w:val="00690954"/>
    <w:rsid w:val="00691260"/>
    <w:rsid w:val="00691CA9"/>
    <w:rsid w:val="006942C7"/>
    <w:rsid w:val="006947C8"/>
    <w:rsid w:val="00695B24"/>
    <w:rsid w:val="00696A29"/>
    <w:rsid w:val="00697626"/>
    <w:rsid w:val="006A039B"/>
    <w:rsid w:val="006A0507"/>
    <w:rsid w:val="006A0B7E"/>
    <w:rsid w:val="006A24B9"/>
    <w:rsid w:val="006A28A0"/>
    <w:rsid w:val="006A2C5A"/>
    <w:rsid w:val="006A317E"/>
    <w:rsid w:val="006A36F6"/>
    <w:rsid w:val="006A54C0"/>
    <w:rsid w:val="006A54D5"/>
    <w:rsid w:val="006A5AB4"/>
    <w:rsid w:val="006A74FA"/>
    <w:rsid w:val="006A7CAC"/>
    <w:rsid w:val="006B04BD"/>
    <w:rsid w:val="006B0A5A"/>
    <w:rsid w:val="006B0A5F"/>
    <w:rsid w:val="006B174E"/>
    <w:rsid w:val="006B19D5"/>
    <w:rsid w:val="006B385F"/>
    <w:rsid w:val="006B3E64"/>
    <w:rsid w:val="006B47F1"/>
    <w:rsid w:val="006B4ACE"/>
    <w:rsid w:val="006B6219"/>
    <w:rsid w:val="006B77EF"/>
    <w:rsid w:val="006B7A13"/>
    <w:rsid w:val="006C0572"/>
    <w:rsid w:val="006C0F0C"/>
    <w:rsid w:val="006C142C"/>
    <w:rsid w:val="006C16DA"/>
    <w:rsid w:val="006C1974"/>
    <w:rsid w:val="006C1B7A"/>
    <w:rsid w:val="006C203B"/>
    <w:rsid w:val="006C2D40"/>
    <w:rsid w:val="006C3490"/>
    <w:rsid w:val="006C3502"/>
    <w:rsid w:val="006C3FE3"/>
    <w:rsid w:val="006C5E8B"/>
    <w:rsid w:val="006C7103"/>
    <w:rsid w:val="006C72A0"/>
    <w:rsid w:val="006D05A7"/>
    <w:rsid w:val="006D08F8"/>
    <w:rsid w:val="006D104F"/>
    <w:rsid w:val="006D1723"/>
    <w:rsid w:val="006D1B17"/>
    <w:rsid w:val="006D2486"/>
    <w:rsid w:val="006D3B03"/>
    <w:rsid w:val="006D3B19"/>
    <w:rsid w:val="006D3F98"/>
    <w:rsid w:val="006D42AC"/>
    <w:rsid w:val="006D466B"/>
    <w:rsid w:val="006D4F0E"/>
    <w:rsid w:val="006D59C3"/>
    <w:rsid w:val="006D5B10"/>
    <w:rsid w:val="006D61CB"/>
    <w:rsid w:val="006D6437"/>
    <w:rsid w:val="006D7029"/>
    <w:rsid w:val="006D7BDD"/>
    <w:rsid w:val="006E0867"/>
    <w:rsid w:val="006E15A6"/>
    <w:rsid w:val="006E1925"/>
    <w:rsid w:val="006E27B8"/>
    <w:rsid w:val="006E3628"/>
    <w:rsid w:val="006E36C3"/>
    <w:rsid w:val="006E3DCE"/>
    <w:rsid w:val="006E558E"/>
    <w:rsid w:val="006E6F41"/>
    <w:rsid w:val="006E7324"/>
    <w:rsid w:val="006E743A"/>
    <w:rsid w:val="006E7487"/>
    <w:rsid w:val="006F08AD"/>
    <w:rsid w:val="006F1060"/>
    <w:rsid w:val="006F218A"/>
    <w:rsid w:val="006F2EEE"/>
    <w:rsid w:val="006F32A6"/>
    <w:rsid w:val="006F3941"/>
    <w:rsid w:val="006F39C0"/>
    <w:rsid w:val="006F542B"/>
    <w:rsid w:val="006F6C55"/>
    <w:rsid w:val="006F6FF5"/>
    <w:rsid w:val="006F7121"/>
    <w:rsid w:val="006F7BAC"/>
    <w:rsid w:val="006F7D12"/>
    <w:rsid w:val="007003D0"/>
    <w:rsid w:val="0070044E"/>
    <w:rsid w:val="0070109A"/>
    <w:rsid w:val="00701F99"/>
    <w:rsid w:val="00702A71"/>
    <w:rsid w:val="00703002"/>
    <w:rsid w:val="007034C1"/>
    <w:rsid w:val="00703E79"/>
    <w:rsid w:val="00703EF1"/>
    <w:rsid w:val="00703F2E"/>
    <w:rsid w:val="00704024"/>
    <w:rsid w:val="00704889"/>
    <w:rsid w:val="00704BA8"/>
    <w:rsid w:val="00705115"/>
    <w:rsid w:val="0070687A"/>
    <w:rsid w:val="007075EF"/>
    <w:rsid w:val="007079A0"/>
    <w:rsid w:val="00710C23"/>
    <w:rsid w:val="0071125D"/>
    <w:rsid w:val="00711AD3"/>
    <w:rsid w:val="0071205C"/>
    <w:rsid w:val="007120F1"/>
    <w:rsid w:val="00712C4F"/>
    <w:rsid w:val="007139A4"/>
    <w:rsid w:val="00713CC9"/>
    <w:rsid w:val="00714914"/>
    <w:rsid w:val="0071515B"/>
    <w:rsid w:val="007156EE"/>
    <w:rsid w:val="007161D0"/>
    <w:rsid w:val="00716783"/>
    <w:rsid w:val="007173A4"/>
    <w:rsid w:val="00717B5D"/>
    <w:rsid w:val="00717C04"/>
    <w:rsid w:val="00720136"/>
    <w:rsid w:val="007217D6"/>
    <w:rsid w:val="00721FB9"/>
    <w:rsid w:val="00723119"/>
    <w:rsid w:val="00723D4D"/>
    <w:rsid w:val="00723FED"/>
    <w:rsid w:val="00725FEF"/>
    <w:rsid w:val="007261F8"/>
    <w:rsid w:val="00727358"/>
    <w:rsid w:val="007275F1"/>
    <w:rsid w:val="0072799C"/>
    <w:rsid w:val="00727BF3"/>
    <w:rsid w:val="00727D5A"/>
    <w:rsid w:val="0073101C"/>
    <w:rsid w:val="00731227"/>
    <w:rsid w:val="007316AA"/>
    <w:rsid w:val="00731EE4"/>
    <w:rsid w:val="0073398C"/>
    <w:rsid w:val="00733D6F"/>
    <w:rsid w:val="00733FFC"/>
    <w:rsid w:val="007350E6"/>
    <w:rsid w:val="0073542B"/>
    <w:rsid w:val="007363AF"/>
    <w:rsid w:val="007367CC"/>
    <w:rsid w:val="007369C8"/>
    <w:rsid w:val="00737BAA"/>
    <w:rsid w:val="007408F0"/>
    <w:rsid w:val="00740FBF"/>
    <w:rsid w:val="007419AC"/>
    <w:rsid w:val="00742B5D"/>
    <w:rsid w:val="00742E38"/>
    <w:rsid w:val="00742F5E"/>
    <w:rsid w:val="007445BA"/>
    <w:rsid w:val="00745250"/>
    <w:rsid w:val="007453ED"/>
    <w:rsid w:val="00746ECC"/>
    <w:rsid w:val="0074719B"/>
    <w:rsid w:val="0074736A"/>
    <w:rsid w:val="00751474"/>
    <w:rsid w:val="00751B9C"/>
    <w:rsid w:val="0075227B"/>
    <w:rsid w:val="0075298F"/>
    <w:rsid w:val="00752B8F"/>
    <w:rsid w:val="007570AA"/>
    <w:rsid w:val="007601FE"/>
    <w:rsid w:val="00762203"/>
    <w:rsid w:val="0076311B"/>
    <w:rsid w:val="007639EB"/>
    <w:rsid w:val="00763E1F"/>
    <w:rsid w:val="00763F91"/>
    <w:rsid w:val="00763FF2"/>
    <w:rsid w:val="00764490"/>
    <w:rsid w:val="007656BF"/>
    <w:rsid w:val="00765CFA"/>
    <w:rsid w:val="00766ECE"/>
    <w:rsid w:val="00766F52"/>
    <w:rsid w:val="00767047"/>
    <w:rsid w:val="00767615"/>
    <w:rsid w:val="00770327"/>
    <w:rsid w:val="00772819"/>
    <w:rsid w:val="00773FD2"/>
    <w:rsid w:val="0077433D"/>
    <w:rsid w:val="00774524"/>
    <w:rsid w:val="007769C8"/>
    <w:rsid w:val="0077763E"/>
    <w:rsid w:val="0078007A"/>
    <w:rsid w:val="00780464"/>
    <w:rsid w:val="007818D5"/>
    <w:rsid w:val="00782A3D"/>
    <w:rsid w:val="0078366F"/>
    <w:rsid w:val="00784026"/>
    <w:rsid w:val="0078513D"/>
    <w:rsid w:val="00791090"/>
    <w:rsid w:val="00792770"/>
    <w:rsid w:val="007927AB"/>
    <w:rsid w:val="00793A8E"/>
    <w:rsid w:val="00793D44"/>
    <w:rsid w:val="007943C5"/>
    <w:rsid w:val="00794717"/>
    <w:rsid w:val="00794A41"/>
    <w:rsid w:val="00795904"/>
    <w:rsid w:val="00795A55"/>
    <w:rsid w:val="007964A5"/>
    <w:rsid w:val="00796F94"/>
    <w:rsid w:val="007970AD"/>
    <w:rsid w:val="00797C5A"/>
    <w:rsid w:val="007A1916"/>
    <w:rsid w:val="007A1966"/>
    <w:rsid w:val="007A1994"/>
    <w:rsid w:val="007A3E0C"/>
    <w:rsid w:val="007A4548"/>
    <w:rsid w:val="007A5AD5"/>
    <w:rsid w:val="007A6CA8"/>
    <w:rsid w:val="007B02E1"/>
    <w:rsid w:val="007B04E6"/>
    <w:rsid w:val="007B0B3F"/>
    <w:rsid w:val="007B0D8A"/>
    <w:rsid w:val="007B0F05"/>
    <w:rsid w:val="007B28F3"/>
    <w:rsid w:val="007B2939"/>
    <w:rsid w:val="007B2FAA"/>
    <w:rsid w:val="007B3707"/>
    <w:rsid w:val="007B3837"/>
    <w:rsid w:val="007B43E6"/>
    <w:rsid w:val="007B4461"/>
    <w:rsid w:val="007B55A1"/>
    <w:rsid w:val="007B59FF"/>
    <w:rsid w:val="007C0520"/>
    <w:rsid w:val="007C068F"/>
    <w:rsid w:val="007C0881"/>
    <w:rsid w:val="007C1314"/>
    <w:rsid w:val="007C1B69"/>
    <w:rsid w:val="007C1FC2"/>
    <w:rsid w:val="007C2305"/>
    <w:rsid w:val="007C36EA"/>
    <w:rsid w:val="007C3E8C"/>
    <w:rsid w:val="007C6D23"/>
    <w:rsid w:val="007C7047"/>
    <w:rsid w:val="007D0B83"/>
    <w:rsid w:val="007D0F85"/>
    <w:rsid w:val="007D3F27"/>
    <w:rsid w:val="007D45D4"/>
    <w:rsid w:val="007D63B3"/>
    <w:rsid w:val="007D6674"/>
    <w:rsid w:val="007E010A"/>
    <w:rsid w:val="007E1A08"/>
    <w:rsid w:val="007E2441"/>
    <w:rsid w:val="007E3D41"/>
    <w:rsid w:val="007E452C"/>
    <w:rsid w:val="007E4FFB"/>
    <w:rsid w:val="007E5417"/>
    <w:rsid w:val="007E5D03"/>
    <w:rsid w:val="007E6074"/>
    <w:rsid w:val="007E7DAF"/>
    <w:rsid w:val="007F0887"/>
    <w:rsid w:val="007F1CCB"/>
    <w:rsid w:val="007F20F8"/>
    <w:rsid w:val="007F293C"/>
    <w:rsid w:val="007F386A"/>
    <w:rsid w:val="007F3ECD"/>
    <w:rsid w:val="007F40F7"/>
    <w:rsid w:val="007F4526"/>
    <w:rsid w:val="007F49CC"/>
    <w:rsid w:val="007F4BF6"/>
    <w:rsid w:val="007F4D65"/>
    <w:rsid w:val="007F4E65"/>
    <w:rsid w:val="0080069E"/>
    <w:rsid w:val="00801CA2"/>
    <w:rsid w:val="008024BB"/>
    <w:rsid w:val="00803C57"/>
    <w:rsid w:val="00803E22"/>
    <w:rsid w:val="00804283"/>
    <w:rsid w:val="00805304"/>
    <w:rsid w:val="0080571F"/>
    <w:rsid w:val="00805FEB"/>
    <w:rsid w:val="0080691D"/>
    <w:rsid w:val="00807A6B"/>
    <w:rsid w:val="00810236"/>
    <w:rsid w:val="00810DBB"/>
    <w:rsid w:val="00810E7E"/>
    <w:rsid w:val="0081194B"/>
    <w:rsid w:val="0081196E"/>
    <w:rsid w:val="00811AE5"/>
    <w:rsid w:val="0081304F"/>
    <w:rsid w:val="008135F8"/>
    <w:rsid w:val="00813F91"/>
    <w:rsid w:val="00813FDD"/>
    <w:rsid w:val="00814FA7"/>
    <w:rsid w:val="00816A8A"/>
    <w:rsid w:val="00817448"/>
    <w:rsid w:val="00820036"/>
    <w:rsid w:val="00820C09"/>
    <w:rsid w:val="00821B69"/>
    <w:rsid w:val="00821BA3"/>
    <w:rsid w:val="008228CE"/>
    <w:rsid w:val="00822CC7"/>
    <w:rsid w:val="00822CD7"/>
    <w:rsid w:val="00822F16"/>
    <w:rsid w:val="008238E6"/>
    <w:rsid w:val="00824AE7"/>
    <w:rsid w:val="0082591D"/>
    <w:rsid w:val="008260BE"/>
    <w:rsid w:val="00826F1D"/>
    <w:rsid w:val="00826F48"/>
    <w:rsid w:val="0082785A"/>
    <w:rsid w:val="00830E5C"/>
    <w:rsid w:val="00832C6A"/>
    <w:rsid w:val="00833286"/>
    <w:rsid w:val="00834A1D"/>
    <w:rsid w:val="00834AB1"/>
    <w:rsid w:val="0083500E"/>
    <w:rsid w:val="00835592"/>
    <w:rsid w:val="0083601D"/>
    <w:rsid w:val="00836241"/>
    <w:rsid w:val="00836974"/>
    <w:rsid w:val="00836F8B"/>
    <w:rsid w:val="00837D26"/>
    <w:rsid w:val="00837E18"/>
    <w:rsid w:val="008401A0"/>
    <w:rsid w:val="0084047A"/>
    <w:rsid w:val="00840671"/>
    <w:rsid w:val="00840C5D"/>
    <w:rsid w:val="0084171D"/>
    <w:rsid w:val="00841C02"/>
    <w:rsid w:val="00841E9B"/>
    <w:rsid w:val="00842B3D"/>
    <w:rsid w:val="00842BD7"/>
    <w:rsid w:val="00842C04"/>
    <w:rsid w:val="00842C8B"/>
    <w:rsid w:val="008436F3"/>
    <w:rsid w:val="00843C15"/>
    <w:rsid w:val="0084448E"/>
    <w:rsid w:val="00844ABF"/>
    <w:rsid w:val="00845BA7"/>
    <w:rsid w:val="00846AB0"/>
    <w:rsid w:val="008471F8"/>
    <w:rsid w:val="0084774C"/>
    <w:rsid w:val="00847964"/>
    <w:rsid w:val="00850219"/>
    <w:rsid w:val="0085150D"/>
    <w:rsid w:val="00851F30"/>
    <w:rsid w:val="00851FF4"/>
    <w:rsid w:val="008531C1"/>
    <w:rsid w:val="0085594F"/>
    <w:rsid w:val="00856E34"/>
    <w:rsid w:val="0085735F"/>
    <w:rsid w:val="00857E8C"/>
    <w:rsid w:val="00860A83"/>
    <w:rsid w:val="0086164C"/>
    <w:rsid w:val="008616FD"/>
    <w:rsid w:val="00861B7F"/>
    <w:rsid w:val="00862246"/>
    <w:rsid w:val="0086262C"/>
    <w:rsid w:val="00863C73"/>
    <w:rsid w:val="00863F26"/>
    <w:rsid w:val="00864021"/>
    <w:rsid w:val="008656AC"/>
    <w:rsid w:val="00866217"/>
    <w:rsid w:val="008670C1"/>
    <w:rsid w:val="008671E3"/>
    <w:rsid w:val="00867C92"/>
    <w:rsid w:val="008700BD"/>
    <w:rsid w:val="00872666"/>
    <w:rsid w:val="00872E6F"/>
    <w:rsid w:val="00873A1B"/>
    <w:rsid w:val="008748CF"/>
    <w:rsid w:val="00875BE0"/>
    <w:rsid w:val="00876B22"/>
    <w:rsid w:val="00877145"/>
    <w:rsid w:val="008773C3"/>
    <w:rsid w:val="00880197"/>
    <w:rsid w:val="00882BB5"/>
    <w:rsid w:val="0088346E"/>
    <w:rsid w:val="008865F9"/>
    <w:rsid w:val="008872DE"/>
    <w:rsid w:val="00890B5D"/>
    <w:rsid w:val="00892322"/>
    <w:rsid w:val="0089235C"/>
    <w:rsid w:val="00892479"/>
    <w:rsid w:val="00892D76"/>
    <w:rsid w:val="008935A7"/>
    <w:rsid w:val="00893B57"/>
    <w:rsid w:val="00895118"/>
    <w:rsid w:val="00895BD9"/>
    <w:rsid w:val="00897098"/>
    <w:rsid w:val="0089759B"/>
    <w:rsid w:val="00897837"/>
    <w:rsid w:val="00897F79"/>
    <w:rsid w:val="008A1A81"/>
    <w:rsid w:val="008A1D1E"/>
    <w:rsid w:val="008A26B0"/>
    <w:rsid w:val="008A3401"/>
    <w:rsid w:val="008A4472"/>
    <w:rsid w:val="008A5378"/>
    <w:rsid w:val="008A5A34"/>
    <w:rsid w:val="008A613B"/>
    <w:rsid w:val="008A6B0A"/>
    <w:rsid w:val="008A6E33"/>
    <w:rsid w:val="008B0DCD"/>
    <w:rsid w:val="008B10BC"/>
    <w:rsid w:val="008B1DF5"/>
    <w:rsid w:val="008B3D08"/>
    <w:rsid w:val="008B3FEC"/>
    <w:rsid w:val="008B4080"/>
    <w:rsid w:val="008B4638"/>
    <w:rsid w:val="008B4FA4"/>
    <w:rsid w:val="008B5629"/>
    <w:rsid w:val="008B5DF4"/>
    <w:rsid w:val="008B648E"/>
    <w:rsid w:val="008B7472"/>
    <w:rsid w:val="008B798F"/>
    <w:rsid w:val="008B7B9C"/>
    <w:rsid w:val="008C003B"/>
    <w:rsid w:val="008C0B08"/>
    <w:rsid w:val="008C1239"/>
    <w:rsid w:val="008C1938"/>
    <w:rsid w:val="008C244B"/>
    <w:rsid w:val="008C2567"/>
    <w:rsid w:val="008C2D06"/>
    <w:rsid w:val="008C4CF7"/>
    <w:rsid w:val="008C5461"/>
    <w:rsid w:val="008C694E"/>
    <w:rsid w:val="008C7C66"/>
    <w:rsid w:val="008D19EC"/>
    <w:rsid w:val="008D2EA9"/>
    <w:rsid w:val="008D4007"/>
    <w:rsid w:val="008D4887"/>
    <w:rsid w:val="008D48F7"/>
    <w:rsid w:val="008D4DDB"/>
    <w:rsid w:val="008D4E34"/>
    <w:rsid w:val="008D5638"/>
    <w:rsid w:val="008D6081"/>
    <w:rsid w:val="008D6889"/>
    <w:rsid w:val="008D6E2F"/>
    <w:rsid w:val="008D6EB4"/>
    <w:rsid w:val="008D7399"/>
    <w:rsid w:val="008D7DA1"/>
    <w:rsid w:val="008E077B"/>
    <w:rsid w:val="008E15F4"/>
    <w:rsid w:val="008E19ED"/>
    <w:rsid w:val="008E21C0"/>
    <w:rsid w:val="008E27CA"/>
    <w:rsid w:val="008E290F"/>
    <w:rsid w:val="008E2E60"/>
    <w:rsid w:val="008E2E91"/>
    <w:rsid w:val="008E4D6A"/>
    <w:rsid w:val="008E54C5"/>
    <w:rsid w:val="008E6582"/>
    <w:rsid w:val="008E668C"/>
    <w:rsid w:val="008E7773"/>
    <w:rsid w:val="008F2073"/>
    <w:rsid w:val="008F2747"/>
    <w:rsid w:val="008F2BD9"/>
    <w:rsid w:val="008F3122"/>
    <w:rsid w:val="008F35D4"/>
    <w:rsid w:val="008F4D84"/>
    <w:rsid w:val="008F69D0"/>
    <w:rsid w:val="008F6E27"/>
    <w:rsid w:val="008F7B7E"/>
    <w:rsid w:val="00901EC8"/>
    <w:rsid w:val="009030F1"/>
    <w:rsid w:val="00904010"/>
    <w:rsid w:val="0090471F"/>
    <w:rsid w:val="0090504C"/>
    <w:rsid w:val="009050E6"/>
    <w:rsid w:val="00906C70"/>
    <w:rsid w:val="0090768C"/>
    <w:rsid w:val="00911688"/>
    <w:rsid w:val="009118EA"/>
    <w:rsid w:val="00911FEB"/>
    <w:rsid w:val="009122BB"/>
    <w:rsid w:val="0091298B"/>
    <w:rsid w:val="00912FE7"/>
    <w:rsid w:val="0091318B"/>
    <w:rsid w:val="00914F40"/>
    <w:rsid w:val="00915B64"/>
    <w:rsid w:val="00915D7C"/>
    <w:rsid w:val="00916593"/>
    <w:rsid w:val="009167F0"/>
    <w:rsid w:val="00916AAB"/>
    <w:rsid w:val="00916F20"/>
    <w:rsid w:val="00917C16"/>
    <w:rsid w:val="00920977"/>
    <w:rsid w:val="00920DBD"/>
    <w:rsid w:val="00921C42"/>
    <w:rsid w:val="0092225F"/>
    <w:rsid w:val="00922D9D"/>
    <w:rsid w:val="00922E25"/>
    <w:rsid w:val="00924218"/>
    <w:rsid w:val="00924236"/>
    <w:rsid w:val="00924431"/>
    <w:rsid w:val="00924C13"/>
    <w:rsid w:val="00926CBB"/>
    <w:rsid w:val="00926E64"/>
    <w:rsid w:val="0092710F"/>
    <w:rsid w:val="0092714F"/>
    <w:rsid w:val="009276F8"/>
    <w:rsid w:val="00927904"/>
    <w:rsid w:val="00927DB3"/>
    <w:rsid w:val="009303F2"/>
    <w:rsid w:val="009304DA"/>
    <w:rsid w:val="00930CAA"/>
    <w:rsid w:val="009323E2"/>
    <w:rsid w:val="00932999"/>
    <w:rsid w:val="009344E4"/>
    <w:rsid w:val="00934771"/>
    <w:rsid w:val="009347BD"/>
    <w:rsid w:val="00934A39"/>
    <w:rsid w:val="00934A75"/>
    <w:rsid w:val="00934C97"/>
    <w:rsid w:val="00934EE2"/>
    <w:rsid w:val="00935730"/>
    <w:rsid w:val="00937160"/>
    <w:rsid w:val="009379FA"/>
    <w:rsid w:val="00940CA5"/>
    <w:rsid w:val="0094108A"/>
    <w:rsid w:val="0094156D"/>
    <w:rsid w:val="009428B6"/>
    <w:rsid w:val="0094365A"/>
    <w:rsid w:val="009452CA"/>
    <w:rsid w:val="00945FA0"/>
    <w:rsid w:val="00947606"/>
    <w:rsid w:val="00950A37"/>
    <w:rsid w:val="009513BC"/>
    <w:rsid w:val="009528B4"/>
    <w:rsid w:val="0095318F"/>
    <w:rsid w:val="009536D4"/>
    <w:rsid w:val="00955238"/>
    <w:rsid w:val="009555A8"/>
    <w:rsid w:val="0095617C"/>
    <w:rsid w:val="00956254"/>
    <w:rsid w:val="009567DD"/>
    <w:rsid w:val="00956AE5"/>
    <w:rsid w:val="009606DE"/>
    <w:rsid w:val="00960E41"/>
    <w:rsid w:val="00960EBD"/>
    <w:rsid w:val="00960F74"/>
    <w:rsid w:val="00960FB9"/>
    <w:rsid w:val="009617D3"/>
    <w:rsid w:val="0096292D"/>
    <w:rsid w:val="00962D17"/>
    <w:rsid w:val="00962E81"/>
    <w:rsid w:val="009634F4"/>
    <w:rsid w:val="00964686"/>
    <w:rsid w:val="00964834"/>
    <w:rsid w:val="00964B1D"/>
    <w:rsid w:val="009652FE"/>
    <w:rsid w:val="00967B86"/>
    <w:rsid w:val="00967CD2"/>
    <w:rsid w:val="00970332"/>
    <w:rsid w:val="0097170A"/>
    <w:rsid w:val="00971DAE"/>
    <w:rsid w:val="00972C59"/>
    <w:rsid w:val="009731BB"/>
    <w:rsid w:val="00973C4B"/>
    <w:rsid w:val="009745F0"/>
    <w:rsid w:val="0097685E"/>
    <w:rsid w:val="00976A3A"/>
    <w:rsid w:val="00976F72"/>
    <w:rsid w:val="009772F7"/>
    <w:rsid w:val="00977839"/>
    <w:rsid w:val="0098073C"/>
    <w:rsid w:val="00980A78"/>
    <w:rsid w:val="0098229D"/>
    <w:rsid w:val="00982C0E"/>
    <w:rsid w:val="009843BD"/>
    <w:rsid w:val="00984880"/>
    <w:rsid w:val="00985D89"/>
    <w:rsid w:val="00986017"/>
    <w:rsid w:val="0098798F"/>
    <w:rsid w:val="009906B8"/>
    <w:rsid w:val="0099092A"/>
    <w:rsid w:val="00990DD7"/>
    <w:rsid w:val="0099160C"/>
    <w:rsid w:val="00993DD9"/>
    <w:rsid w:val="009957BB"/>
    <w:rsid w:val="0099580A"/>
    <w:rsid w:val="009A012C"/>
    <w:rsid w:val="009A08AB"/>
    <w:rsid w:val="009A0EE5"/>
    <w:rsid w:val="009A1ABD"/>
    <w:rsid w:val="009A1C4F"/>
    <w:rsid w:val="009A221B"/>
    <w:rsid w:val="009A2DE9"/>
    <w:rsid w:val="009A695C"/>
    <w:rsid w:val="009A72D8"/>
    <w:rsid w:val="009B0105"/>
    <w:rsid w:val="009B04AC"/>
    <w:rsid w:val="009B0CAA"/>
    <w:rsid w:val="009B0E97"/>
    <w:rsid w:val="009B1618"/>
    <w:rsid w:val="009B171C"/>
    <w:rsid w:val="009B3A8A"/>
    <w:rsid w:val="009B3AEE"/>
    <w:rsid w:val="009B4C22"/>
    <w:rsid w:val="009B54E9"/>
    <w:rsid w:val="009B57E2"/>
    <w:rsid w:val="009B6DC1"/>
    <w:rsid w:val="009B79E1"/>
    <w:rsid w:val="009C086E"/>
    <w:rsid w:val="009C09FE"/>
    <w:rsid w:val="009C0C5A"/>
    <w:rsid w:val="009C1001"/>
    <w:rsid w:val="009C1AAC"/>
    <w:rsid w:val="009C2A6F"/>
    <w:rsid w:val="009C3E7B"/>
    <w:rsid w:val="009C44E3"/>
    <w:rsid w:val="009C52EA"/>
    <w:rsid w:val="009C5C38"/>
    <w:rsid w:val="009C68B7"/>
    <w:rsid w:val="009C6F5C"/>
    <w:rsid w:val="009D0C67"/>
    <w:rsid w:val="009D0F42"/>
    <w:rsid w:val="009D0FF8"/>
    <w:rsid w:val="009D19DA"/>
    <w:rsid w:val="009D2770"/>
    <w:rsid w:val="009D335A"/>
    <w:rsid w:val="009D3955"/>
    <w:rsid w:val="009D3C3C"/>
    <w:rsid w:val="009D411F"/>
    <w:rsid w:val="009D4DE2"/>
    <w:rsid w:val="009D6B4E"/>
    <w:rsid w:val="009D6D39"/>
    <w:rsid w:val="009E07AC"/>
    <w:rsid w:val="009E1DD1"/>
    <w:rsid w:val="009E3411"/>
    <w:rsid w:val="009E3709"/>
    <w:rsid w:val="009E3C05"/>
    <w:rsid w:val="009E3C7E"/>
    <w:rsid w:val="009E4021"/>
    <w:rsid w:val="009E4991"/>
    <w:rsid w:val="009E5043"/>
    <w:rsid w:val="009E7959"/>
    <w:rsid w:val="009E7984"/>
    <w:rsid w:val="009F00A2"/>
    <w:rsid w:val="009F124E"/>
    <w:rsid w:val="009F1592"/>
    <w:rsid w:val="009F188E"/>
    <w:rsid w:val="009F1AE7"/>
    <w:rsid w:val="009F446D"/>
    <w:rsid w:val="009F6011"/>
    <w:rsid w:val="009F6CBF"/>
    <w:rsid w:val="00A005D4"/>
    <w:rsid w:val="00A00BD9"/>
    <w:rsid w:val="00A01655"/>
    <w:rsid w:val="00A01B02"/>
    <w:rsid w:val="00A01DAA"/>
    <w:rsid w:val="00A025EC"/>
    <w:rsid w:val="00A028BE"/>
    <w:rsid w:val="00A049AF"/>
    <w:rsid w:val="00A05A30"/>
    <w:rsid w:val="00A064CD"/>
    <w:rsid w:val="00A0669E"/>
    <w:rsid w:val="00A1041B"/>
    <w:rsid w:val="00A1257D"/>
    <w:rsid w:val="00A126F5"/>
    <w:rsid w:val="00A12D45"/>
    <w:rsid w:val="00A14F38"/>
    <w:rsid w:val="00A15534"/>
    <w:rsid w:val="00A15A51"/>
    <w:rsid w:val="00A17205"/>
    <w:rsid w:val="00A212AA"/>
    <w:rsid w:val="00A217EB"/>
    <w:rsid w:val="00A2264C"/>
    <w:rsid w:val="00A22FC8"/>
    <w:rsid w:val="00A255FA"/>
    <w:rsid w:val="00A256E4"/>
    <w:rsid w:val="00A25E99"/>
    <w:rsid w:val="00A275E3"/>
    <w:rsid w:val="00A30597"/>
    <w:rsid w:val="00A30C9A"/>
    <w:rsid w:val="00A31469"/>
    <w:rsid w:val="00A32703"/>
    <w:rsid w:val="00A331AD"/>
    <w:rsid w:val="00A33340"/>
    <w:rsid w:val="00A3339C"/>
    <w:rsid w:val="00A33B25"/>
    <w:rsid w:val="00A3439E"/>
    <w:rsid w:val="00A3457C"/>
    <w:rsid w:val="00A34CF3"/>
    <w:rsid w:val="00A34DEA"/>
    <w:rsid w:val="00A36430"/>
    <w:rsid w:val="00A36F98"/>
    <w:rsid w:val="00A40EA6"/>
    <w:rsid w:val="00A418D3"/>
    <w:rsid w:val="00A41CE5"/>
    <w:rsid w:val="00A42689"/>
    <w:rsid w:val="00A42D30"/>
    <w:rsid w:val="00A44B5B"/>
    <w:rsid w:val="00A44C35"/>
    <w:rsid w:val="00A45A66"/>
    <w:rsid w:val="00A45BB5"/>
    <w:rsid w:val="00A45D06"/>
    <w:rsid w:val="00A45E04"/>
    <w:rsid w:val="00A46DFD"/>
    <w:rsid w:val="00A47255"/>
    <w:rsid w:val="00A476F4"/>
    <w:rsid w:val="00A50123"/>
    <w:rsid w:val="00A501C7"/>
    <w:rsid w:val="00A50756"/>
    <w:rsid w:val="00A50B09"/>
    <w:rsid w:val="00A51129"/>
    <w:rsid w:val="00A5121F"/>
    <w:rsid w:val="00A51952"/>
    <w:rsid w:val="00A52AC8"/>
    <w:rsid w:val="00A52CD9"/>
    <w:rsid w:val="00A53286"/>
    <w:rsid w:val="00A5329A"/>
    <w:rsid w:val="00A53604"/>
    <w:rsid w:val="00A538CB"/>
    <w:rsid w:val="00A543D3"/>
    <w:rsid w:val="00A55204"/>
    <w:rsid w:val="00A553C0"/>
    <w:rsid w:val="00A553F1"/>
    <w:rsid w:val="00A55724"/>
    <w:rsid w:val="00A5697D"/>
    <w:rsid w:val="00A56D91"/>
    <w:rsid w:val="00A57470"/>
    <w:rsid w:val="00A574AA"/>
    <w:rsid w:val="00A578E1"/>
    <w:rsid w:val="00A57C97"/>
    <w:rsid w:val="00A6056D"/>
    <w:rsid w:val="00A621DC"/>
    <w:rsid w:val="00A62DF2"/>
    <w:rsid w:val="00A63107"/>
    <w:rsid w:val="00A63A22"/>
    <w:rsid w:val="00A6401D"/>
    <w:rsid w:val="00A64BB8"/>
    <w:rsid w:val="00A66BBC"/>
    <w:rsid w:val="00A67B49"/>
    <w:rsid w:val="00A701F1"/>
    <w:rsid w:val="00A70EB9"/>
    <w:rsid w:val="00A71170"/>
    <w:rsid w:val="00A72E74"/>
    <w:rsid w:val="00A7364B"/>
    <w:rsid w:val="00A742FA"/>
    <w:rsid w:val="00A779A2"/>
    <w:rsid w:val="00A77E29"/>
    <w:rsid w:val="00A77FB8"/>
    <w:rsid w:val="00A8077A"/>
    <w:rsid w:val="00A819B8"/>
    <w:rsid w:val="00A81CAD"/>
    <w:rsid w:val="00A81F16"/>
    <w:rsid w:val="00A81F66"/>
    <w:rsid w:val="00A83645"/>
    <w:rsid w:val="00A851C1"/>
    <w:rsid w:val="00A852DF"/>
    <w:rsid w:val="00A860C9"/>
    <w:rsid w:val="00A904F7"/>
    <w:rsid w:val="00A90DAF"/>
    <w:rsid w:val="00A92C22"/>
    <w:rsid w:val="00A9301B"/>
    <w:rsid w:val="00A930F7"/>
    <w:rsid w:val="00A94BF5"/>
    <w:rsid w:val="00A9588A"/>
    <w:rsid w:val="00A95AD5"/>
    <w:rsid w:val="00A96F39"/>
    <w:rsid w:val="00A9742E"/>
    <w:rsid w:val="00AA042F"/>
    <w:rsid w:val="00AA0B2E"/>
    <w:rsid w:val="00AA1A01"/>
    <w:rsid w:val="00AA204B"/>
    <w:rsid w:val="00AA24B4"/>
    <w:rsid w:val="00AA33AC"/>
    <w:rsid w:val="00AA39F7"/>
    <w:rsid w:val="00AA41E2"/>
    <w:rsid w:val="00AA7B6E"/>
    <w:rsid w:val="00AB031B"/>
    <w:rsid w:val="00AB076B"/>
    <w:rsid w:val="00AB0C7C"/>
    <w:rsid w:val="00AB0E08"/>
    <w:rsid w:val="00AB2995"/>
    <w:rsid w:val="00AB35AE"/>
    <w:rsid w:val="00AB38D7"/>
    <w:rsid w:val="00AB3E0A"/>
    <w:rsid w:val="00AB4BA2"/>
    <w:rsid w:val="00AB4CC1"/>
    <w:rsid w:val="00AB5180"/>
    <w:rsid w:val="00AB5548"/>
    <w:rsid w:val="00AB57B0"/>
    <w:rsid w:val="00AB6825"/>
    <w:rsid w:val="00AB6F4A"/>
    <w:rsid w:val="00AB7F68"/>
    <w:rsid w:val="00AC029F"/>
    <w:rsid w:val="00AC042A"/>
    <w:rsid w:val="00AC0755"/>
    <w:rsid w:val="00AC0E1F"/>
    <w:rsid w:val="00AC13C6"/>
    <w:rsid w:val="00AC2775"/>
    <w:rsid w:val="00AC4352"/>
    <w:rsid w:val="00AC4391"/>
    <w:rsid w:val="00AC5B82"/>
    <w:rsid w:val="00AC78A5"/>
    <w:rsid w:val="00AD0E78"/>
    <w:rsid w:val="00AD1592"/>
    <w:rsid w:val="00AD2A70"/>
    <w:rsid w:val="00AD4234"/>
    <w:rsid w:val="00AD4ED2"/>
    <w:rsid w:val="00AD51A1"/>
    <w:rsid w:val="00AD5731"/>
    <w:rsid w:val="00AD6632"/>
    <w:rsid w:val="00AD6FA7"/>
    <w:rsid w:val="00AD72A4"/>
    <w:rsid w:val="00AE1DDA"/>
    <w:rsid w:val="00AE3F65"/>
    <w:rsid w:val="00AE4AEA"/>
    <w:rsid w:val="00AE4D69"/>
    <w:rsid w:val="00AE5BF2"/>
    <w:rsid w:val="00AE608B"/>
    <w:rsid w:val="00AE6FFE"/>
    <w:rsid w:val="00AE7089"/>
    <w:rsid w:val="00AE774E"/>
    <w:rsid w:val="00AF04CA"/>
    <w:rsid w:val="00AF1D64"/>
    <w:rsid w:val="00AF1EDC"/>
    <w:rsid w:val="00AF23B5"/>
    <w:rsid w:val="00AF2DE9"/>
    <w:rsid w:val="00AF4A86"/>
    <w:rsid w:val="00AF4AB5"/>
    <w:rsid w:val="00AF6BE7"/>
    <w:rsid w:val="00AF7040"/>
    <w:rsid w:val="00AF7826"/>
    <w:rsid w:val="00AF7F8A"/>
    <w:rsid w:val="00B00FCE"/>
    <w:rsid w:val="00B01F43"/>
    <w:rsid w:val="00B02220"/>
    <w:rsid w:val="00B0446B"/>
    <w:rsid w:val="00B046A9"/>
    <w:rsid w:val="00B048CF"/>
    <w:rsid w:val="00B04D68"/>
    <w:rsid w:val="00B05421"/>
    <w:rsid w:val="00B0584D"/>
    <w:rsid w:val="00B06075"/>
    <w:rsid w:val="00B064EC"/>
    <w:rsid w:val="00B06A01"/>
    <w:rsid w:val="00B100BE"/>
    <w:rsid w:val="00B11AEA"/>
    <w:rsid w:val="00B1242E"/>
    <w:rsid w:val="00B1257D"/>
    <w:rsid w:val="00B126C5"/>
    <w:rsid w:val="00B13FC8"/>
    <w:rsid w:val="00B14295"/>
    <w:rsid w:val="00B147A9"/>
    <w:rsid w:val="00B14F93"/>
    <w:rsid w:val="00B15BE8"/>
    <w:rsid w:val="00B16445"/>
    <w:rsid w:val="00B16CBA"/>
    <w:rsid w:val="00B1721D"/>
    <w:rsid w:val="00B1780E"/>
    <w:rsid w:val="00B17A4E"/>
    <w:rsid w:val="00B20173"/>
    <w:rsid w:val="00B20321"/>
    <w:rsid w:val="00B203F4"/>
    <w:rsid w:val="00B20773"/>
    <w:rsid w:val="00B20B68"/>
    <w:rsid w:val="00B23DFE"/>
    <w:rsid w:val="00B23E2E"/>
    <w:rsid w:val="00B2494C"/>
    <w:rsid w:val="00B252F2"/>
    <w:rsid w:val="00B26F99"/>
    <w:rsid w:val="00B314AE"/>
    <w:rsid w:val="00B317B5"/>
    <w:rsid w:val="00B31D54"/>
    <w:rsid w:val="00B32508"/>
    <w:rsid w:val="00B32940"/>
    <w:rsid w:val="00B3295E"/>
    <w:rsid w:val="00B32BED"/>
    <w:rsid w:val="00B3369E"/>
    <w:rsid w:val="00B33EB5"/>
    <w:rsid w:val="00B344F4"/>
    <w:rsid w:val="00B3489E"/>
    <w:rsid w:val="00B3551B"/>
    <w:rsid w:val="00B3637E"/>
    <w:rsid w:val="00B36519"/>
    <w:rsid w:val="00B36AE9"/>
    <w:rsid w:val="00B41537"/>
    <w:rsid w:val="00B418AB"/>
    <w:rsid w:val="00B42B5F"/>
    <w:rsid w:val="00B42C4A"/>
    <w:rsid w:val="00B43662"/>
    <w:rsid w:val="00B43A93"/>
    <w:rsid w:val="00B44486"/>
    <w:rsid w:val="00B45151"/>
    <w:rsid w:val="00B45747"/>
    <w:rsid w:val="00B46CC8"/>
    <w:rsid w:val="00B47C88"/>
    <w:rsid w:val="00B5002E"/>
    <w:rsid w:val="00B5026C"/>
    <w:rsid w:val="00B514FE"/>
    <w:rsid w:val="00B51D24"/>
    <w:rsid w:val="00B52BAE"/>
    <w:rsid w:val="00B53F18"/>
    <w:rsid w:val="00B5452E"/>
    <w:rsid w:val="00B54E91"/>
    <w:rsid w:val="00B559B0"/>
    <w:rsid w:val="00B55F28"/>
    <w:rsid w:val="00B56447"/>
    <w:rsid w:val="00B5712E"/>
    <w:rsid w:val="00B575BB"/>
    <w:rsid w:val="00B57C95"/>
    <w:rsid w:val="00B60275"/>
    <w:rsid w:val="00B60868"/>
    <w:rsid w:val="00B611F3"/>
    <w:rsid w:val="00B62EBD"/>
    <w:rsid w:val="00B637D5"/>
    <w:rsid w:val="00B6497D"/>
    <w:rsid w:val="00B656D3"/>
    <w:rsid w:val="00B65988"/>
    <w:rsid w:val="00B66B59"/>
    <w:rsid w:val="00B6703F"/>
    <w:rsid w:val="00B70D74"/>
    <w:rsid w:val="00B714C0"/>
    <w:rsid w:val="00B71BD1"/>
    <w:rsid w:val="00B728A9"/>
    <w:rsid w:val="00B73C04"/>
    <w:rsid w:val="00B73C29"/>
    <w:rsid w:val="00B74DAC"/>
    <w:rsid w:val="00B75975"/>
    <w:rsid w:val="00B75D98"/>
    <w:rsid w:val="00B764DC"/>
    <w:rsid w:val="00B767C6"/>
    <w:rsid w:val="00B77860"/>
    <w:rsid w:val="00B77A09"/>
    <w:rsid w:val="00B77D97"/>
    <w:rsid w:val="00B804CF"/>
    <w:rsid w:val="00B809C0"/>
    <w:rsid w:val="00B8176F"/>
    <w:rsid w:val="00B83552"/>
    <w:rsid w:val="00B83562"/>
    <w:rsid w:val="00B85D86"/>
    <w:rsid w:val="00B86557"/>
    <w:rsid w:val="00B8767F"/>
    <w:rsid w:val="00B87D76"/>
    <w:rsid w:val="00B9086E"/>
    <w:rsid w:val="00B909DF"/>
    <w:rsid w:val="00B90B66"/>
    <w:rsid w:val="00B90F03"/>
    <w:rsid w:val="00B917B9"/>
    <w:rsid w:val="00B91CB1"/>
    <w:rsid w:val="00B92750"/>
    <w:rsid w:val="00B927B0"/>
    <w:rsid w:val="00B93DA5"/>
    <w:rsid w:val="00B953A4"/>
    <w:rsid w:val="00B95A31"/>
    <w:rsid w:val="00B95F0C"/>
    <w:rsid w:val="00B96208"/>
    <w:rsid w:val="00B96461"/>
    <w:rsid w:val="00B96C71"/>
    <w:rsid w:val="00B970AB"/>
    <w:rsid w:val="00B97F91"/>
    <w:rsid w:val="00BA1518"/>
    <w:rsid w:val="00BA19D6"/>
    <w:rsid w:val="00BA262E"/>
    <w:rsid w:val="00BA348F"/>
    <w:rsid w:val="00BA3643"/>
    <w:rsid w:val="00BA4AAC"/>
    <w:rsid w:val="00BA4B42"/>
    <w:rsid w:val="00BA537C"/>
    <w:rsid w:val="00BA5403"/>
    <w:rsid w:val="00BA5B86"/>
    <w:rsid w:val="00BA6037"/>
    <w:rsid w:val="00BA6374"/>
    <w:rsid w:val="00BA6BD0"/>
    <w:rsid w:val="00BA7356"/>
    <w:rsid w:val="00BA775E"/>
    <w:rsid w:val="00BB162E"/>
    <w:rsid w:val="00BB2109"/>
    <w:rsid w:val="00BB2DB9"/>
    <w:rsid w:val="00BB5DB8"/>
    <w:rsid w:val="00BB659F"/>
    <w:rsid w:val="00BB6951"/>
    <w:rsid w:val="00BB7636"/>
    <w:rsid w:val="00BB7CC7"/>
    <w:rsid w:val="00BB7E00"/>
    <w:rsid w:val="00BC06B5"/>
    <w:rsid w:val="00BC06EE"/>
    <w:rsid w:val="00BC14E6"/>
    <w:rsid w:val="00BC186A"/>
    <w:rsid w:val="00BC1B1F"/>
    <w:rsid w:val="00BC1DFF"/>
    <w:rsid w:val="00BC2936"/>
    <w:rsid w:val="00BC3B56"/>
    <w:rsid w:val="00BC3FDA"/>
    <w:rsid w:val="00BC433D"/>
    <w:rsid w:val="00BC43AF"/>
    <w:rsid w:val="00BC627F"/>
    <w:rsid w:val="00BC76A7"/>
    <w:rsid w:val="00BD3E16"/>
    <w:rsid w:val="00BD45F5"/>
    <w:rsid w:val="00BD4E32"/>
    <w:rsid w:val="00BD508C"/>
    <w:rsid w:val="00BD5D39"/>
    <w:rsid w:val="00BD7068"/>
    <w:rsid w:val="00BD79B5"/>
    <w:rsid w:val="00BE2144"/>
    <w:rsid w:val="00BE32E0"/>
    <w:rsid w:val="00BE4449"/>
    <w:rsid w:val="00BE4DE4"/>
    <w:rsid w:val="00BE65E9"/>
    <w:rsid w:val="00BE6A43"/>
    <w:rsid w:val="00BF09EA"/>
    <w:rsid w:val="00BF0ECE"/>
    <w:rsid w:val="00BF13E4"/>
    <w:rsid w:val="00BF1739"/>
    <w:rsid w:val="00BF1866"/>
    <w:rsid w:val="00BF1D2C"/>
    <w:rsid w:val="00BF2AE5"/>
    <w:rsid w:val="00BF2EFD"/>
    <w:rsid w:val="00BF3309"/>
    <w:rsid w:val="00BF3816"/>
    <w:rsid w:val="00BF389B"/>
    <w:rsid w:val="00BF39E7"/>
    <w:rsid w:val="00BF3D93"/>
    <w:rsid w:val="00BF4983"/>
    <w:rsid w:val="00BF4FB3"/>
    <w:rsid w:val="00BF5761"/>
    <w:rsid w:val="00BF66B2"/>
    <w:rsid w:val="00BF7E8A"/>
    <w:rsid w:val="00C0098A"/>
    <w:rsid w:val="00C02204"/>
    <w:rsid w:val="00C022DD"/>
    <w:rsid w:val="00C02EB0"/>
    <w:rsid w:val="00C037B9"/>
    <w:rsid w:val="00C042F8"/>
    <w:rsid w:val="00C04F6F"/>
    <w:rsid w:val="00C05736"/>
    <w:rsid w:val="00C0578F"/>
    <w:rsid w:val="00C068A6"/>
    <w:rsid w:val="00C079E8"/>
    <w:rsid w:val="00C10504"/>
    <w:rsid w:val="00C12B56"/>
    <w:rsid w:val="00C12F67"/>
    <w:rsid w:val="00C13A4E"/>
    <w:rsid w:val="00C13CFA"/>
    <w:rsid w:val="00C14855"/>
    <w:rsid w:val="00C153C7"/>
    <w:rsid w:val="00C1565A"/>
    <w:rsid w:val="00C15BFD"/>
    <w:rsid w:val="00C162BD"/>
    <w:rsid w:val="00C167FB"/>
    <w:rsid w:val="00C207C6"/>
    <w:rsid w:val="00C23D57"/>
    <w:rsid w:val="00C23D7D"/>
    <w:rsid w:val="00C25047"/>
    <w:rsid w:val="00C257A8"/>
    <w:rsid w:val="00C25CFD"/>
    <w:rsid w:val="00C25D08"/>
    <w:rsid w:val="00C25D2C"/>
    <w:rsid w:val="00C26594"/>
    <w:rsid w:val="00C2749A"/>
    <w:rsid w:val="00C275E7"/>
    <w:rsid w:val="00C27848"/>
    <w:rsid w:val="00C27FAF"/>
    <w:rsid w:val="00C30D7B"/>
    <w:rsid w:val="00C3156F"/>
    <w:rsid w:val="00C3192F"/>
    <w:rsid w:val="00C3197A"/>
    <w:rsid w:val="00C326B6"/>
    <w:rsid w:val="00C32D06"/>
    <w:rsid w:val="00C333B6"/>
    <w:rsid w:val="00C3405F"/>
    <w:rsid w:val="00C341F5"/>
    <w:rsid w:val="00C3483C"/>
    <w:rsid w:val="00C34908"/>
    <w:rsid w:val="00C3551E"/>
    <w:rsid w:val="00C3646A"/>
    <w:rsid w:val="00C3747C"/>
    <w:rsid w:val="00C378B5"/>
    <w:rsid w:val="00C40588"/>
    <w:rsid w:val="00C4073C"/>
    <w:rsid w:val="00C40E71"/>
    <w:rsid w:val="00C41F51"/>
    <w:rsid w:val="00C42248"/>
    <w:rsid w:val="00C42C5D"/>
    <w:rsid w:val="00C42F4C"/>
    <w:rsid w:val="00C43AAA"/>
    <w:rsid w:val="00C4458F"/>
    <w:rsid w:val="00C45B3B"/>
    <w:rsid w:val="00C46202"/>
    <w:rsid w:val="00C46667"/>
    <w:rsid w:val="00C47110"/>
    <w:rsid w:val="00C503F1"/>
    <w:rsid w:val="00C50C2B"/>
    <w:rsid w:val="00C50D5B"/>
    <w:rsid w:val="00C51B5D"/>
    <w:rsid w:val="00C539AC"/>
    <w:rsid w:val="00C53FBA"/>
    <w:rsid w:val="00C54587"/>
    <w:rsid w:val="00C54DBF"/>
    <w:rsid w:val="00C54F38"/>
    <w:rsid w:val="00C56565"/>
    <w:rsid w:val="00C6189B"/>
    <w:rsid w:val="00C61B22"/>
    <w:rsid w:val="00C6233D"/>
    <w:rsid w:val="00C62474"/>
    <w:rsid w:val="00C6256B"/>
    <w:rsid w:val="00C6299C"/>
    <w:rsid w:val="00C63949"/>
    <w:rsid w:val="00C6406D"/>
    <w:rsid w:val="00C65C51"/>
    <w:rsid w:val="00C65FD9"/>
    <w:rsid w:val="00C66966"/>
    <w:rsid w:val="00C67602"/>
    <w:rsid w:val="00C67D83"/>
    <w:rsid w:val="00C70145"/>
    <w:rsid w:val="00C712C6"/>
    <w:rsid w:val="00C71689"/>
    <w:rsid w:val="00C71703"/>
    <w:rsid w:val="00C73690"/>
    <w:rsid w:val="00C738F5"/>
    <w:rsid w:val="00C738F8"/>
    <w:rsid w:val="00C7456B"/>
    <w:rsid w:val="00C74B14"/>
    <w:rsid w:val="00C74E30"/>
    <w:rsid w:val="00C755FF"/>
    <w:rsid w:val="00C75E0B"/>
    <w:rsid w:val="00C77A53"/>
    <w:rsid w:val="00C77B32"/>
    <w:rsid w:val="00C8045D"/>
    <w:rsid w:val="00C80518"/>
    <w:rsid w:val="00C82D0F"/>
    <w:rsid w:val="00C82E2A"/>
    <w:rsid w:val="00C855FD"/>
    <w:rsid w:val="00C85A10"/>
    <w:rsid w:val="00C85A7D"/>
    <w:rsid w:val="00C86889"/>
    <w:rsid w:val="00C86AD5"/>
    <w:rsid w:val="00C87135"/>
    <w:rsid w:val="00C90522"/>
    <w:rsid w:val="00C917F2"/>
    <w:rsid w:val="00C91A7A"/>
    <w:rsid w:val="00C91FF4"/>
    <w:rsid w:val="00C92752"/>
    <w:rsid w:val="00C92E50"/>
    <w:rsid w:val="00C94AA1"/>
    <w:rsid w:val="00C9603D"/>
    <w:rsid w:val="00C967DF"/>
    <w:rsid w:val="00C96824"/>
    <w:rsid w:val="00C975D0"/>
    <w:rsid w:val="00C9785A"/>
    <w:rsid w:val="00C97933"/>
    <w:rsid w:val="00CA0161"/>
    <w:rsid w:val="00CA02BF"/>
    <w:rsid w:val="00CA07EA"/>
    <w:rsid w:val="00CA0F0F"/>
    <w:rsid w:val="00CA1466"/>
    <w:rsid w:val="00CA1579"/>
    <w:rsid w:val="00CA15F3"/>
    <w:rsid w:val="00CA1646"/>
    <w:rsid w:val="00CA1EDC"/>
    <w:rsid w:val="00CA2590"/>
    <w:rsid w:val="00CA27F0"/>
    <w:rsid w:val="00CA305F"/>
    <w:rsid w:val="00CA4495"/>
    <w:rsid w:val="00CA59F0"/>
    <w:rsid w:val="00CA5AF4"/>
    <w:rsid w:val="00CA6324"/>
    <w:rsid w:val="00CA64C9"/>
    <w:rsid w:val="00CA69FA"/>
    <w:rsid w:val="00CA6DA3"/>
    <w:rsid w:val="00CA6F18"/>
    <w:rsid w:val="00CA760F"/>
    <w:rsid w:val="00CA76AD"/>
    <w:rsid w:val="00CA7AA7"/>
    <w:rsid w:val="00CA7FBF"/>
    <w:rsid w:val="00CB04CF"/>
    <w:rsid w:val="00CB1C55"/>
    <w:rsid w:val="00CB1CC9"/>
    <w:rsid w:val="00CB22D4"/>
    <w:rsid w:val="00CB2FF3"/>
    <w:rsid w:val="00CB7C58"/>
    <w:rsid w:val="00CC041B"/>
    <w:rsid w:val="00CC056E"/>
    <w:rsid w:val="00CC11E4"/>
    <w:rsid w:val="00CC1A5C"/>
    <w:rsid w:val="00CC281F"/>
    <w:rsid w:val="00CC2B30"/>
    <w:rsid w:val="00CC2CEA"/>
    <w:rsid w:val="00CC2EDF"/>
    <w:rsid w:val="00CC3319"/>
    <w:rsid w:val="00CC3349"/>
    <w:rsid w:val="00CC3D0F"/>
    <w:rsid w:val="00CC4A57"/>
    <w:rsid w:val="00CC4A85"/>
    <w:rsid w:val="00CC5125"/>
    <w:rsid w:val="00CC6FF4"/>
    <w:rsid w:val="00CC7146"/>
    <w:rsid w:val="00CC7CE7"/>
    <w:rsid w:val="00CD1891"/>
    <w:rsid w:val="00CD2242"/>
    <w:rsid w:val="00CD2F63"/>
    <w:rsid w:val="00CD4212"/>
    <w:rsid w:val="00CD4DA9"/>
    <w:rsid w:val="00CD559D"/>
    <w:rsid w:val="00CD70D0"/>
    <w:rsid w:val="00CD7980"/>
    <w:rsid w:val="00CD7AB3"/>
    <w:rsid w:val="00CD7ED2"/>
    <w:rsid w:val="00CE168F"/>
    <w:rsid w:val="00CE1C20"/>
    <w:rsid w:val="00CE1E7E"/>
    <w:rsid w:val="00CE2785"/>
    <w:rsid w:val="00CE39B5"/>
    <w:rsid w:val="00CE3EBA"/>
    <w:rsid w:val="00CE5E34"/>
    <w:rsid w:val="00CE62E0"/>
    <w:rsid w:val="00CE75BA"/>
    <w:rsid w:val="00CE7FAB"/>
    <w:rsid w:val="00CF051A"/>
    <w:rsid w:val="00CF0D49"/>
    <w:rsid w:val="00CF0F7E"/>
    <w:rsid w:val="00CF31C8"/>
    <w:rsid w:val="00CF42D4"/>
    <w:rsid w:val="00CF5F96"/>
    <w:rsid w:val="00CF657E"/>
    <w:rsid w:val="00CF6745"/>
    <w:rsid w:val="00CF7C21"/>
    <w:rsid w:val="00D00152"/>
    <w:rsid w:val="00D0076A"/>
    <w:rsid w:val="00D007E5"/>
    <w:rsid w:val="00D00B8A"/>
    <w:rsid w:val="00D00F34"/>
    <w:rsid w:val="00D01313"/>
    <w:rsid w:val="00D01A94"/>
    <w:rsid w:val="00D01C30"/>
    <w:rsid w:val="00D024BB"/>
    <w:rsid w:val="00D028FD"/>
    <w:rsid w:val="00D0316B"/>
    <w:rsid w:val="00D049D4"/>
    <w:rsid w:val="00D06FA7"/>
    <w:rsid w:val="00D1251F"/>
    <w:rsid w:val="00D12946"/>
    <w:rsid w:val="00D131A3"/>
    <w:rsid w:val="00D1543B"/>
    <w:rsid w:val="00D15B11"/>
    <w:rsid w:val="00D15EC9"/>
    <w:rsid w:val="00D164E2"/>
    <w:rsid w:val="00D201F6"/>
    <w:rsid w:val="00D20D3E"/>
    <w:rsid w:val="00D21CE9"/>
    <w:rsid w:val="00D225C1"/>
    <w:rsid w:val="00D22C5C"/>
    <w:rsid w:val="00D22F1A"/>
    <w:rsid w:val="00D22FB5"/>
    <w:rsid w:val="00D24867"/>
    <w:rsid w:val="00D264A9"/>
    <w:rsid w:val="00D271B3"/>
    <w:rsid w:val="00D30390"/>
    <w:rsid w:val="00D31379"/>
    <w:rsid w:val="00D3146C"/>
    <w:rsid w:val="00D318DC"/>
    <w:rsid w:val="00D318E8"/>
    <w:rsid w:val="00D32900"/>
    <w:rsid w:val="00D32BF3"/>
    <w:rsid w:val="00D33321"/>
    <w:rsid w:val="00D3390E"/>
    <w:rsid w:val="00D33F32"/>
    <w:rsid w:val="00D344A9"/>
    <w:rsid w:val="00D34C89"/>
    <w:rsid w:val="00D3522D"/>
    <w:rsid w:val="00D35878"/>
    <w:rsid w:val="00D37650"/>
    <w:rsid w:val="00D37E8E"/>
    <w:rsid w:val="00D403F8"/>
    <w:rsid w:val="00D404B6"/>
    <w:rsid w:val="00D40F81"/>
    <w:rsid w:val="00D42614"/>
    <w:rsid w:val="00D43BE2"/>
    <w:rsid w:val="00D446DC"/>
    <w:rsid w:val="00D44B58"/>
    <w:rsid w:val="00D45201"/>
    <w:rsid w:val="00D4554B"/>
    <w:rsid w:val="00D455AE"/>
    <w:rsid w:val="00D46416"/>
    <w:rsid w:val="00D46745"/>
    <w:rsid w:val="00D500E6"/>
    <w:rsid w:val="00D50AD9"/>
    <w:rsid w:val="00D50CFE"/>
    <w:rsid w:val="00D51684"/>
    <w:rsid w:val="00D51702"/>
    <w:rsid w:val="00D5197F"/>
    <w:rsid w:val="00D52A1C"/>
    <w:rsid w:val="00D52CEF"/>
    <w:rsid w:val="00D53BEF"/>
    <w:rsid w:val="00D53D6B"/>
    <w:rsid w:val="00D54D51"/>
    <w:rsid w:val="00D557B9"/>
    <w:rsid w:val="00D55A2F"/>
    <w:rsid w:val="00D56082"/>
    <w:rsid w:val="00D56168"/>
    <w:rsid w:val="00D57124"/>
    <w:rsid w:val="00D57D13"/>
    <w:rsid w:val="00D57D28"/>
    <w:rsid w:val="00D607B6"/>
    <w:rsid w:val="00D6102A"/>
    <w:rsid w:val="00D618AD"/>
    <w:rsid w:val="00D61FAF"/>
    <w:rsid w:val="00D62226"/>
    <w:rsid w:val="00D62442"/>
    <w:rsid w:val="00D64095"/>
    <w:rsid w:val="00D642CA"/>
    <w:rsid w:val="00D64DD2"/>
    <w:rsid w:val="00D64FD6"/>
    <w:rsid w:val="00D65FE3"/>
    <w:rsid w:val="00D6699A"/>
    <w:rsid w:val="00D66BE4"/>
    <w:rsid w:val="00D673DE"/>
    <w:rsid w:val="00D7021D"/>
    <w:rsid w:val="00D70BF0"/>
    <w:rsid w:val="00D712CB"/>
    <w:rsid w:val="00D7199C"/>
    <w:rsid w:val="00D725AE"/>
    <w:rsid w:val="00D732D7"/>
    <w:rsid w:val="00D73819"/>
    <w:rsid w:val="00D73904"/>
    <w:rsid w:val="00D739E5"/>
    <w:rsid w:val="00D73BD5"/>
    <w:rsid w:val="00D74477"/>
    <w:rsid w:val="00D7716A"/>
    <w:rsid w:val="00D777F2"/>
    <w:rsid w:val="00D800AD"/>
    <w:rsid w:val="00D81D87"/>
    <w:rsid w:val="00D8266F"/>
    <w:rsid w:val="00D82819"/>
    <w:rsid w:val="00D83A7E"/>
    <w:rsid w:val="00D84031"/>
    <w:rsid w:val="00D8430F"/>
    <w:rsid w:val="00D84474"/>
    <w:rsid w:val="00D84733"/>
    <w:rsid w:val="00D860E0"/>
    <w:rsid w:val="00D8722D"/>
    <w:rsid w:val="00D87620"/>
    <w:rsid w:val="00D9019F"/>
    <w:rsid w:val="00D913DA"/>
    <w:rsid w:val="00D9185A"/>
    <w:rsid w:val="00D91DE2"/>
    <w:rsid w:val="00D9209E"/>
    <w:rsid w:val="00D930B6"/>
    <w:rsid w:val="00D94268"/>
    <w:rsid w:val="00D94550"/>
    <w:rsid w:val="00D960B8"/>
    <w:rsid w:val="00D974EB"/>
    <w:rsid w:val="00DA041D"/>
    <w:rsid w:val="00DA28BF"/>
    <w:rsid w:val="00DA39B9"/>
    <w:rsid w:val="00DA425E"/>
    <w:rsid w:val="00DA446F"/>
    <w:rsid w:val="00DA484F"/>
    <w:rsid w:val="00DA6C01"/>
    <w:rsid w:val="00DA6C95"/>
    <w:rsid w:val="00DA783E"/>
    <w:rsid w:val="00DA795F"/>
    <w:rsid w:val="00DB36AA"/>
    <w:rsid w:val="00DB3C5F"/>
    <w:rsid w:val="00DB3E29"/>
    <w:rsid w:val="00DB3FF5"/>
    <w:rsid w:val="00DB464F"/>
    <w:rsid w:val="00DB47FD"/>
    <w:rsid w:val="00DB5007"/>
    <w:rsid w:val="00DB7063"/>
    <w:rsid w:val="00DB761E"/>
    <w:rsid w:val="00DC05AD"/>
    <w:rsid w:val="00DC0B67"/>
    <w:rsid w:val="00DC1B47"/>
    <w:rsid w:val="00DC1F54"/>
    <w:rsid w:val="00DC23A6"/>
    <w:rsid w:val="00DC4D87"/>
    <w:rsid w:val="00DC59F7"/>
    <w:rsid w:val="00DC5E9D"/>
    <w:rsid w:val="00DC6143"/>
    <w:rsid w:val="00DC7AED"/>
    <w:rsid w:val="00DC7C06"/>
    <w:rsid w:val="00DC7E60"/>
    <w:rsid w:val="00DD0247"/>
    <w:rsid w:val="00DD0EDB"/>
    <w:rsid w:val="00DD2278"/>
    <w:rsid w:val="00DD2E98"/>
    <w:rsid w:val="00DD364D"/>
    <w:rsid w:val="00DD3E88"/>
    <w:rsid w:val="00DD40D6"/>
    <w:rsid w:val="00DD4339"/>
    <w:rsid w:val="00DD4A49"/>
    <w:rsid w:val="00DD4ADB"/>
    <w:rsid w:val="00DD4B13"/>
    <w:rsid w:val="00DD5259"/>
    <w:rsid w:val="00DD5309"/>
    <w:rsid w:val="00DD5652"/>
    <w:rsid w:val="00DD629F"/>
    <w:rsid w:val="00DD66FE"/>
    <w:rsid w:val="00DD758C"/>
    <w:rsid w:val="00DD7FB6"/>
    <w:rsid w:val="00DE067F"/>
    <w:rsid w:val="00DE1453"/>
    <w:rsid w:val="00DE1484"/>
    <w:rsid w:val="00DE223D"/>
    <w:rsid w:val="00DE458C"/>
    <w:rsid w:val="00DE48E2"/>
    <w:rsid w:val="00DE5312"/>
    <w:rsid w:val="00DE5518"/>
    <w:rsid w:val="00DE705C"/>
    <w:rsid w:val="00DF10C4"/>
    <w:rsid w:val="00DF14B2"/>
    <w:rsid w:val="00DF1B44"/>
    <w:rsid w:val="00DF21BD"/>
    <w:rsid w:val="00DF302E"/>
    <w:rsid w:val="00DF30AB"/>
    <w:rsid w:val="00DF313B"/>
    <w:rsid w:val="00DF4A48"/>
    <w:rsid w:val="00DF5864"/>
    <w:rsid w:val="00DF672B"/>
    <w:rsid w:val="00DF67A7"/>
    <w:rsid w:val="00DF6831"/>
    <w:rsid w:val="00DF6A5B"/>
    <w:rsid w:val="00DF6D22"/>
    <w:rsid w:val="00DF7510"/>
    <w:rsid w:val="00DF755F"/>
    <w:rsid w:val="00DF7665"/>
    <w:rsid w:val="00DF7D23"/>
    <w:rsid w:val="00DF7E65"/>
    <w:rsid w:val="00E00991"/>
    <w:rsid w:val="00E010A7"/>
    <w:rsid w:val="00E010C5"/>
    <w:rsid w:val="00E0118A"/>
    <w:rsid w:val="00E0172B"/>
    <w:rsid w:val="00E0254B"/>
    <w:rsid w:val="00E030EB"/>
    <w:rsid w:val="00E04254"/>
    <w:rsid w:val="00E04DB9"/>
    <w:rsid w:val="00E05611"/>
    <w:rsid w:val="00E06DAC"/>
    <w:rsid w:val="00E06F86"/>
    <w:rsid w:val="00E071EE"/>
    <w:rsid w:val="00E0751F"/>
    <w:rsid w:val="00E07852"/>
    <w:rsid w:val="00E079EF"/>
    <w:rsid w:val="00E10002"/>
    <w:rsid w:val="00E11EC3"/>
    <w:rsid w:val="00E1218A"/>
    <w:rsid w:val="00E12CF5"/>
    <w:rsid w:val="00E14AC3"/>
    <w:rsid w:val="00E1535D"/>
    <w:rsid w:val="00E157C0"/>
    <w:rsid w:val="00E20544"/>
    <w:rsid w:val="00E20EA9"/>
    <w:rsid w:val="00E20EE0"/>
    <w:rsid w:val="00E21F31"/>
    <w:rsid w:val="00E224B4"/>
    <w:rsid w:val="00E22F30"/>
    <w:rsid w:val="00E23E68"/>
    <w:rsid w:val="00E240BB"/>
    <w:rsid w:val="00E25DC8"/>
    <w:rsid w:val="00E262B6"/>
    <w:rsid w:val="00E275D9"/>
    <w:rsid w:val="00E304C6"/>
    <w:rsid w:val="00E30526"/>
    <w:rsid w:val="00E31328"/>
    <w:rsid w:val="00E32C34"/>
    <w:rsid w:val="00E34DAF"/>
    <w:rsid w:val="00E34DEE"/>
    <w:rsid w:val="00E35310"/>
    <w:rsid w:val="00E35EBF"/>
    <w:rsid w:val="00E361BD"/>
    <w:rsid w:val="00E40562"/>
    <w:rsid w:val="00E4064F"/>
    <w:rsid w:val="00E425FD"/>
    <w:rsid w:val="00E42992"/>
    <w:rsid w:val="00E42F64"/>
    <w:rsid w:val="00E434E0"/>
    <w:rsid w:val="00E435E7"/>
    <w:rsid w:val="00E451A3"/>
    <w:rsid w:val="00E45CAD"/>
    <w:rsid w:val="00E45DD7"/>
    <w:rsid w:val="00E4752A"/>
    <w:rsid w:val="00E50CCF"/>
    <w:rsid w:val="00E514B4"/>
    <w:rsid w:val="00E518D2"/>
    <w:rsid w:val="00E523AD"/>
    <w:rsid w:val="00E541DF"/>
    <w:rsid w:val="00E5519A"/>
    <w:rsid w:val="00E55DE3"/>
    <w:rsid w:val="00E5607A"/>
    <w:rsid w:val="00E5635D"/>
    <w:rsid w:val="00E56B46"/>
    <w:rsid w:val="00E577CA"/>
    <w:rsid w:val="00E60C70"/>
    <w:rsid w:val="00E610B0"/>
    <w:rsid w:val="00E61C25"/>
    <w:rsid w:val="00E6200A"/>
    <w:rsid w:val="00E6612F"/>
    <w:rsid w:val="00E66679"/>
    <w:rsid w:val="00E67800"/>
    <w:rsid w:val="00E67F5D"/>
    <w:rsid w:val="00E705CD"/>
    <w:rsid w:val="00E71138"/>
    <w:rsid w:val="00E71372"/>
    <w:rsid w:val="00E72228"/>
    <w:rsid w:val="00E72578"/>
    <w:rsid w:val="00E73003"/>
    <w:rsid w:val="00E732A1"/>
    <w:rsid w:val="00E75400"/>
    <w:rsid w:val="00E75F12"/>
    <w:rsid w:val="00E76E2A"/>
    <w:rsid w:val="00E76F08"/>
    <w:rsid w:val="00E77182"/>
    <w:rsid w:val="00E77913"/>
    <w:rsid w:val="00E8018D"/>
    <w:rsid w:val="00E80979"/>
    <w:rsid w:val="00E80AB7"/>
    <w:rsid w:val="00E81919"/>
    <w:rsid w:val="00E82EC4"/>
    <w:rsid w:val="00E8344B"/>
    <w:rsid w:val="00E84A2F"/>
    <w:rsid w:val="00E86AA4"/>
    <w:rsid w:val="00E86C54"/>
    <w:rsid w:val="00E902C2"/>
    <w:rsid w:val="00E909C6"/>
    <w:rsid w:val="00E91DAD"/>
    <w:rsid w:val="00E94493"/>
    <w:rsid w:val="00E94B85"/>
    <w:rsid w:val="00E96087"/>
    <w:rsid w:val="00E968A2"/>
    <w:rsid w:val="00E9786D"/>
    <w:rsid w:val="00EA04FA"/>
    <w:rsid w:val="00EA0E6C"/>
    <w:rsid w:val="00EA2077"/>
    <w:rsid w:val="00EA29A7"/>
    <w:rsid w:val="00EA46EF"/>
    <w:rsid w:val="00EA542E"/>
    <w:rsid w:val="00EA6108"/>
    <w:rsid w:val="00EA6162"/>
    <w:rsid w:val="00EA6A3D"/>
    <w:rsid w:val="00EA73A0"/>
    <w:rsid w:val="00EA7B8D"/>
    <w:rsid w:val="00EB0F5F"/>
    <w:rsid w:val="00EB1013"/>
    <w:rsid w:val="00EB1ABE"/>
    <w:rsid w:val="00EB2557"/>
    <w:rsid w:val="00EB2CA0"/>
    <w:rsid w:val="00EB32C9"/>
    <w:rsid w:val="00EB3C4A"/>
    <w:rsid w:val="00EB477D"/>
    <w:rsid w:val="00EB4BD9"/>
    <w:rsid w:val="00EB5C4C"/>
    <w:rsid w:val="00EB628D"/>
    <w:rsid w:val="00EB7350"/>
    <w:rsid w:val="00EB7532"/>
    <w:rsid w:val="00EB7565"/>
    <w:rsid w:val="00EC173F"/>
    <w:rsid w:val="00EC2002"/>
    <w:rsid w:val="00EC259A"/>
    <w:rsid w:val="00EC262F"/>
    <w:rsid w:val="00EC275B"/>
    <w:rsid w:val="00EC2E9B"/>
    <w:rsid w:val="00EC34A7"/>
    <w:rsid w:val="00EC36D8"/>
    <w:rsid w:val="00EC45B9"/>
    <w:rsid w:val="00EC642D"/>
    <w:rsid w:val="00EC6872"/>
    <w:rsid w:val="00EC6CDF"/>
    <w:rsid w:val="00EC7C69"/>
    <w:rsid w:val="00ED0762"/>
    <w:rsid w:val="00ED0C09"/>
    <w:rsid w:val="00ED0D3D"/>
    <w:rsid w:val="00ED2A3D"/>
    <w:rsid w:val="00ED3D00"/>
    <w:rsid w:val="00ED549B"/>
    <w:rsid w:val="00ED5849"/>
    <w:rsid w:val="00ED59AE"/>
    <w:rsid w:val="00ED6BC3"/>
    <w:rsid w:val="00ED6C94"/>
    <w:rsid w:val="00ED72CF"/>
    <w:rsid w:val="00EE1695"/>
    <w:rsid w:val="00EE1BF5"/>
    <w:rsid w:val="00EE1EF4"/>
    <w:rsid w:val="00EE1F5C"/>
    <w:rsid w:val="00EE2613"/>
    <w:rsid w:val="00EE2B55"/>
    <w:rsid w:val="00EE39AE"/>
    <w:rsid w:val="00EE3D58"/>
    <w:rsid w:val="00EE5628"/>
    <w:rsid w:val="00EE6500"/>
    <w:rsid w:val="00EE739F"/>
    <w:rsid w:val="00EE73F9"/>
    <w:rsid w:val="00EE742E"/>
    <w:rsid w:val="00EE7D16"/>
    <w:rsid w:val="00EF0929"/>
    <w:rsid w:val="00EF107C"/>
    <w:rsid w:val="00EF1176"/>
    <w:rsid w:val="00EF1673"/>
    <w:rsid w:val="00EF1ECF"/>
    <w:rsid w:val="00EF376B"/>
    <w:rsid w:val="00EF3B91"/>
    <w:rsid w:val="00EF442E"/>
    <w:rsid w:val="00EF482A"/>
    <w:rsid w:val="00EF5C45"/>
    <w:rsid w:val="00EF5E5A"/>
    <w:rsid w:val="00EF6394"/>
    <w:rsid w:val="00EF64E1"/>
    <w:rsid w:val="00EF6BE9"/>
    <w:rsid w:val="00EF7D5C"/>
    <w:rsid w:val="00F01E03"/>
    <w:rsid w:val="00F02498"/>
    <w:rsid w:val="00F03CCE"/>
    <w:rsid w:val="00F04193"/>
    <w:rsid w:val="00F041C4"/>
    <w:rsid w:val="00F04250"/>
    <w:rsid w:val="00F0438F"/>
    <w:rsid w:val="00F04FDC"/>
    <w:rsid w:val="00F0548F"/>
    <w:rsid w:val="00F059EA"/>
    <w:rsid w:val="00F077EF"/>
    <w:rsid w:val="00F10D07"/>
    <w:rsid w:val="00F134A6"/>
    <w:rsid w:val="00F14922"/>
    <w:rsid w:val="00F14C88"/>
    <w:rsid w:val="00F14F96"/>
    <w:rsid w:val="00F15D28"/>
    <w:rsid w:val="00F170CE"/>
    <w:rsid w:val="00F178A9"/>
    <w:rsid w:val="00F179D9"/>
    <w:rsid w:val="00F22229"/>
    <w:rsid w:val="00F22842"/>
    <w:rsid w:val="00F23CD1"/>
    <w:rsid w:val="00F25BD9"/>
    <w:rsid w:val="00F2695E"/>
    <w:rsid w:val="00F3022E"/>
    <w:rsid w:val="00F3046D"/>
    <w:rsid w:val="00F3052F"/>
    <w:rsid w:val="00F30650"/>
    <w:rsid w:val="00F312EC"/>
    <w:rsid w:val="00F3189A"/>
    <w:rsid w:val="00F329B8"/>
    <w:rsid w:val="00F32FFD"/>
    <w:rsid w:val="00F3486B"/>
    <w:rsid w:val="00F350A3"/>
    <w:rsid w:val="00F35BA8"/>
    <w:rsid w:val="00F367EE"/>
    <w:rsid w:val="00F371B9"/>
    <w:rsid w:val="00F378D6"/>
    <w:rsid w:val="00F4082E"/>
    <w:rsid w:val="00F41140"/>
    <w:rsid w:val="00F41705"/>
    <w:rsid w:val="00F41FD0"/>
    <w:rsid w:val="00F42EB2"/>
    <w:rsid w:val="00F43D70"/>
    <w:rsid w:val="00F44A19"/>
    <w:rsid w:val="00F44BAC"/>
    <w:rsid w:val="00F46090"/>
    <w:rsid w:val="00F46177"/>
    <w:rsid w:val="00F468BF"/>
    <w:rsid w:val="00F47801"/>
    <w:rsid w:val="00F50965"/>
    <w:rsid w:val="00F50ED8"/>
    <w:rsid w:val="00F51832"/>
    <w:rsid w:val="00F524CC"/>
    <w:rsid w:val="00F54467"/>
    <w:rsid w:val="00F54C2C"/>
    <w:rsid w:val="00F54C5D"/>
    <w:rsid w:val="00F55D95"/>
    <w:rsid w:val="00F5652C"/>
    <w:rsid w:val="00F570C1"/>
    <w:rsid w:val="00F60149"/>
    <w:rsid w:val="00F60851"/>
    <w:rsid w:val="00F60C82"/>
    <w:rsid w:val="00F61026"/>
    <w:rsid w:val="00F62E78"/>
    <w:rsid w:val="00F6388A"/>
    <w:rsid w:val="00F64E1D"/>
    <w:rsid w:val="00F658A3"/>
    <w:rsid w:val="00F65CCB"/>
    <w:rsid w:val="00F66548"/>
    <w:rsid w:val="00F66671"/>
    <w:rsid w:val="00F6691E"/>
    <w:rsid w:val="00F66E26"/>
    <w:rsid w:val="00F6798A"/>
    <w:rsid w:val="00F67A0F"/>
    <w:rsid w:val="00F70DC0"/>
    <w:rsid w:val="00F713D8"/>
    <w:rsid w:val="00F71E7C"/>
    <w:rsid w:val="00F72176"/>
    <w:rsid w:val="00F739FA"/>
    <w:rsid w:val="00F747DA"/>
    <w:rsid w:val="00F75953"/>
    <w:rsid w:val="00F76B9B"/>
    <w:rsid w:val="00F77217"/>
    <w:rsid w:val="00F808DF"/>
    <w:rsid w:val="00F81D69"/>
    <w:rsid w:val="00F82AB4"/>
    <w:rsid w:val="00F82C3B"/>
    <w:rsid w:val="00F83282"/>
    <w:rsid w:val="00F83749"/>
    <w:rsid w:val="00F84516"/>
    <w:rsid w:val="00F849CC"/>
    <w:rsid w:val="00F84F2A"/>
    <w:rsid w:val="00F85896"/>
    <w:rsid w:val="00F85FE7"/>
    <w:rsid w:val="00F864CC"/>
    <w:rsid w:val="00F90789"/>
    <w:rsid w:val="00F90B82"/>
    <w:rsid w:val="00F92606"/>
    <w:rsid w:val="00F92F7E"/>
    <w:rsid w:val="00F935ED"/>
    <w:rsid w:val="00F93710"/>
    <w:rsid w:val="00F947E9"/>
    <w:rsid w:val="00F94904"/>
    <w:rsid w:val="00F94F87"/>
    <w:rsid w:val="00F95BC5"/>
    <w:rsid w:val="00F966C8"/>
    <w:rsid w:val="00F976F3"/>
    <w:rsid w:val="00F97850"/>
    <w:rsid w:val="00F97CFE"/>
    <w:rsid w:val="00FA006A"/>
    <w:rsid w:val="00FA0376"/>
    <w:rsid w:val="00FA05F5"/>
    <w:rsid w:val="00FA0EAE"/>
    <w:rsid w:val="00FA3118"/>
    <w:rsid w:val="00FA57EF"/>
    <w:rsid w:val="00FA7A82"/>
    <w:rsid w:val="00FA7AB9"/>
    <w:rsid w:val="00FB0A67"/>
    <w:rsid w:val="00FB115E"/>
    <w:rsid w:val="00FB1880"/>
    <w:rsid w:val="00FB3546"/>
    <w:rsid w:val="00FB437F"/>
    <w:rsid w:val="00FB6002"/>
    <w:rsid w:val="00FB652B"/>
    <w:rsid w:val="00FB658F"/>
    <w:rsid w:val="00FB7806"/>
    <w:rsid w:val="00FC03C9"/>
    <w:rsid w:val="00FC09B9"/>
    <w:rsid w:val="00FC0F04"/>
    <w:rsid w:val="00FC139C"/>
    <w:rsid w:val="00FC3E38"/>
    <w:rsid w:val="00FC41D8"/>
    <w:rsid w:val="00FC78C5"/>
    <w:rsid w:val="00FC7926"/>
    <w:rsid w:val="00FC79D8"/>
    <w:rsid w:val="00FC7BD8"/>
    <w:rsid w:val="00FD0835"/>
    <w:rsid w:val="00FD1214"/>
    <w:rsid w:val="00FD3580"/>
    <w:rsid w:val="00FD48BD"/>
    <w:rsid w:val="00FD559E"/>
    <w:rsid w:val="00FD5D35"/>
    <w:rsid w:val="00FD67F9"/>
    <w:rsid w:val="00FD7373"/>
    <w:rsid w:val="00FE00AC"/>
    <w:rsid w:val="00FE0794"/>
    <w:rsid w:val="00FE0ED5"/>
    <w:rsid w:val="00FE40B1"/>
    <w:rsid w:val="00FE4BFD"/>
    <w:rsid w:val="00FE4EBD"/>
    <w:rsid w:val="00FE519A"/>
    <w:rsid w:val="00FE5AC8"/>
    <w:rsid w:val="00FE660B"/>
    <w:rsid w:val="00FE681C"/>
    <w:rsid w:val="00FE6C0A"/>
    <w:rsid w:val="00FF16E8"/>
    <w:rsid w:val="00FF1B28"/>
    <w:rsid w:val="00FF27A0"/>
    <w:rsid w:val="00FF38D6"/>
    <w:rsid w:val="00FF38D7"/>
    <w:rsid w:val="00FF43FC"/>
    <w:rsid w:val="00FF49C5"/>
    <w:rsid w:val="00FF5C23"/>
    <w:rsid w:val="00FF608F"/>
    <w:rsid w:val="00FF6774"/>
    <w:rsid w:val="00FF73A9"/>
    <w:rsid w:val="00FF763A"/>
    <w:rsid w:val="00FF7BFF"/>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5841"/>
    <o:shapelayout v:ext="edit">
      <o:idmap v:ext="edit" data="1"/>
    </o:shapelayout>
  </w:shapeDefaults>
  <w:decimalSymbol w:val="."/>
  <w:listSeparator w:val=","/>
  <w14:docId w14:val="23C7D41F"/>
  <w15:docId w15:val="{CD6C9924-BE19-4087-AEEA-FCD77C9A7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8"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12C"/>
    <w:pPr>
      <w:spacing w:before="120" w:after="120" w:line="240" w:lineRule="auto"/>
    </w:pPr>
    <w:rPr>
      <w:rFonts w:ascii="Univers 45 Light" w:hAnsi="Univers 45 Light"/>
      <w:sz w:val="20"/>
    </w:rPr>
  </w:style>
  <w:style w:type="paragraph" w:styleId="Heading1">
    <w:name w:val="heading 1"/>
    <w:next w:val="BodyText"/>
    <w:link w:val="Heading1Char"/>
    <w:uiPriority w:val="9"/>
    <w:qFormat/>
    <w:rsid w:val="004E16E2"/>
    <w:pPr>
      <w:keepNext/>
      <w:keepLines/>
      <w:spacing w:after="720" w:line="1800" w:lineRule="exact"/>
      <w:outlineLvl w:val="0"/>
    </w:pPr>
    <w:rPr>
      <w:rFonts w:ascii="KPMG Extralight" w:eastAsiaTheme="majorEastAsia" w:hAnsi="KPMG Extralight" w:cstheme="majorBidi"/>
      <w:color w:val="0091DA" w:themeColor="accent2"/>
      <w:sz w:val="216"/>
      <w:szCs w:val="32"/>
    </w:rPr>
  </w:style>
  <w:style w:type="paragraph" w:styleId="Heading2">
    <w:name w:val="heading 2"/>
    <w:basedOn w:val="HeadingLevel3NoNumber"/>
    <w:next w:val="Normal"/>
    <w:link w:val="Heading2Char"/>
    <w:autoRedefine/>
    <w:uiPriority w:val="9"/>
    <w:unhideWhenUsed/>
    <w:qFormat/>
    <w:rsid w:val="0011521D"/>
    <w:pPr>
      <w:spacing w:after="360" w:line="960" w:lineRule="exact"/>
      <w:ind w:right="-188"/>
      <w:outlineLvl w:val="1"/>
    </w:pPr>
    <w:rPr>
      <w:rFonts w:ascii="KPMG Extralight" w:hAnsi="KPMG Extralight"/>
      <w:sz w:val="92"/>
      <w:szCs w:val="56"/>
    </w:rPr>
  </w:style>
  <w:style w:type="paragraph" w:styleId="Heading3">
    <w:name w:val="heading 3"/>
    <w:basedOn w:val="Normal"/>
    <w:next w:val="Normal"/>
    <w:link w:val="Heading3Char"/>
    <w:autoRedefine/>
    <w:uiPriority w:val="9"/>
    <w:unhideWhenUsed/>
    <w:qFormat/>
    <w:rsid w:val="0011521D"/>
    <w:pPr>
      <w:keepNext/>
      <w:keepLines/>
      <w:spacing w:before="240" w:after="240"/>
      <w:outlineLvl w:val="2"/>
    </w:pPr>
    <w:rPr>
      <w:rFonts w:eastAsiaTheme="majorEastAsia" w:cstheme="majorBidi"/>
      <w:color w:val="0091DA" w:themeColor="accent2"/>
      <w:sz w:val="36"/>
      <w:szCs w:val="40"/>
      <w14:scene3d>
        <w14:camera w14:prst="orthographicFront"/>
        <w14:lightRig w14:rig="threePt" w14:dir="t">
          <w14:rot w14:lat="0" w14:lon="0" w14:rev="0"/>
        </w14:lightRig>
      </w14:scene3d>
    </w:rPr>
  </w:style>
  <w:style w:type="paragraph" w:styleId="Heading4">
    <w:name w:val="heading 4"/>
    <w:next w:val="Normal"/>
    <w:link w:val="Heading4Char"/>
    <w:uiPriority w:val="9"/>
    <w:unhideWhenUsed/>
    <w:qFormat/>
    <w:rsid w:val="00AF04CA"/>
    <w:pPr>
      <w:spacing w:before="240" w:after="120"/>
      <w:outlineLvl w:val="3"/>
    </w:pPr>
    <w:rPr>
      <w:rFonts w:ascii="Univers 45 Light" w:hAnsi="Univers 45 Light"/>
      <w:b/>
      <w:color w:val="00338D" w:themeColor="background2"/>
      <w:sz w:val="24"/>
    </w:rPr>
  </w:style>
  <w:style w:type="paragraph" w:styleId="Heading5">
    <w:name w:val="heading 5"/>
    <w:next w:val="BodyText"/>
    <w:link w:val="Heading5Char"/>
    <w:uiPriority w:val="9"/>
    <w:unhideWhenUsed/>
    <w:qFormat/>
    <w:rsid w:val="003C6A54"/>
    <w:pPr>
      <w:keepNext/>
      <w:spacing w:before="240"/>
      <w:outlineLvl w:val="4"/>
    </w:pPr>
    <w:rPr>
      <w:rFonts w:ascii="Univers 45 Light" w:hAnsi="Univers 45 Light"/>
      <w:b/>
      <w:color w:val="0091DA" w:themeColor="accent2"/>
      <w:sz w:val="20"/>
    </w:rPr>
  </w:style>
  <w:style w:type="paragraph" w:styleId="Heading6">
    <w:name w:val="heading 6"/>
    <w:basedOn w:val="BodyText1"/>
    <w:next w:val="Normal"/>
    <w:link w:val="Heading6Char"/>
    <w:uiPriority w:val="9"/>
    <w:unhideWhenUsed/>
    <w:qFormat/>
    <w:rsid w:val="00826F1D"/>
    <w:pPr>
      <w:outlineLvl w:val="5"/>
    </w:pPr>
    <w:rPr>
      <w:color w:val="0091DA" w:themeColor="accent2"/>
    </w:rPr>
  </w:style>
  <w:style w:type="paragraph" w:styleId="Heading7">
    <w:name w:val="heading 7"/>
    <w:basedOn w:val="Normal"/>
    <w:next w:val="Normal"/>
    <w:link w:val="Heading7Char"/>
    <w:uiPriority w:val="9"/>
    <w:semiHidden/>
    <w:unhideWhenUsed/>
    <w:qFormat/>
    <w:rsid w:val="00233C71"/>
    <w:pPr>
      <w:keepNext/>
      <w:keepLines/>
      <w:spacing w:before="40" w:after="0"/>
      <w:outlineLvl w:val="6"/>
    </w:pPr>
    <w:rPr>
      <w:rFonts w:asciiTheme="majorHAnsi" w:eastAsiaTheme="majorEastAsia" w:hAnsiTheme="majorHAnsi" w:cstheme="majorBidi"/>
      <w:i/>
      <w:iCs/>
      <w:color w:val="002E5B" w:themeColor="accent1" w:themeShade="7F"/>
      <w:sz w:val="22"/>
    </w:rPr>
  </w:style>
  <w:style w:type="paragraph" w:styleId="Heading8">
    <w:name w:val="heading 8"/>
    <w:basedOn w:val="Normal"/>
    <w:next w:val="Normal"/>
    <w:link w:val="Heading8Char"/>
    <w:uiPriority w:val="9"/>
    <w:semiHidden/>
    <w:unhideWhenUsed/>
    <w:qFormat/>
    <w:rsid w:val="00233C7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33C7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1100pt">
    <w:name w:val="Cover title 1_100pt"/>
    <w:qFormat/>
    <w:rsid w:val="00C30D7B"/>
    <w:pPr>
      <w:spacing w:after="360" w:line="1900" w:lineRule="exact"/>
      <w:ind w:left="425"/>
    </w:pPr>
    <w:rPr>
      <w:rFonts w:ascii="KPMG Extralight" w:hAnsi="KPMG Extralight"/>
      <w:noProof/>
      <w:color w:val="00338D" w:themeColor="background2"/>
      <w:sz w:val="216"/>
      <w:lang w:eastAsia="en-AU"/>
    </w:rPr>
  </w:style>
  <w:style w:type="paragraph" w:customStyle="1" w:styleId="Covertitle216ptB">
    <w:name w:val="Cover title 2_16pt_B"/>
    <w:qFormat/>
    <w:rsid w:val="00C30D7B"/>
    <w:pPr>
      <w:spacing w:after="1920" w:line="240" w:lineRule="auto"/>
      <w:ind w:left="426"/>
    </w:pPr>
    <w:rPr>
      <w:rFonts w:ascii="Univers 45 Light" w:hAnsi="Univers 45 Light"/>
      <w:color w:val="00338D" w:themeColor="background2"/>
      <w:sz w:val="32"/>
    </w:rPr>
  </w:style>
  <w:style w:type="paragraph" w:customStyle="1" w:styleId="Covertitle316ptNB">
    <w:name w:val="Cover title 3_16pt_NB"/>
    <w:qFormat/>
    <w:rsid w:val="00C30D7B"/>
    <w:pPr>
      <w:spacing w:before="120" w:after="120" w:line="240" w:lineRule="auto"/>
      <w:ind w:left="426"/>
    </w:pPr>
    <w:rPr>
      <w:rFonts w:ascii="Univers 45 Light" w:hAnsi="Univers 45 Light"/>
      <w:color w:val="00338D" w:themeColor="background2"/>
      <w:sz w:val="24"/>
    </w:rPr>
  </w:style>
  <w:style w:type="paragraph" w:customStyle="1" w:styleId="Covertitle412pt">
    <w:name w:val="Cover title 4_12pt"/>
    <w:qFormat/>
    <w:rsid w:val="00233C71"/>
    <w:pPr>
      <w:spacing w:before="3000" w:after="120" w:line="240" w:lineRule="auto"/>
    </w:pPr>
    <w:rPr>
      <w:rFonts w:ascii="Univers 45 Light" w:hAnsi="Univers 45 Light"/>
      <w:color w:val="FFFFFF" w:themeColor="background1"/>
      <w:sz w:val="24"/>
    </w:rPr>
  </w:style>
  <w:style w:type="paragraph" w:customStyle="1" w:styleId="Tableheading">
    <w:name w:val="Table heading"/>
    <w:qFormat/>
    <w:rsid w:val="00B17A4E"/>
    <w:pPr>
      <w:spacing w:before="120" w:after="40" w:line="240" w:lineRule="auto"/>
    </w:pPr>
    <w:rPr>
      <w:rFonts w:ascii="Univers 45 Light" w:hAnsi="Univers 45 Light"/>
      <w:b/>
      <w:color w:val="FFFFFF" w:themeColor="background1"/>
      <w:sz w:val="20"/>
      <w:szCs w:val="24"/>
    </w:rPr>
  </w:style>
  <w:style w:type="paragraph" w:customStyle="1" w:styleId="Tabletext">
    <w:name w:val="Table text"/>
    <w:qFormat/>
    <w:rsid w:val="00D64095"/>
    <w:pPr>
      <w:spacing w:before="40" w:after="40" w:line="240" w:lineRule="auto"/>
    </w:pPr>
    <w:rPr>
      <w:rFonts w:ascii="Univers 45 Light" w:hAnsi="Univers 45 Light"/>
      <w:sz w:val="18"/>
    </w:rPr>
  </w:style>
  <w:style w:type="paragraph" w:customStyle="1" w:styleId="BodyText1">
    <w:name w:val="Body Text1"/>
    <w:link w:val="BodyText1Char"/>
    <w:qFormat/>
    <w:rsid w:val="00720136"/>
    <w:pPr>
      <w:spacing w:before="120" w:after="120" w:line="240" w:lineRule="auto"/>
    </w:pPr>
    <w:rPr>
      <w:rFonts w:ascii="Univers 45 Light" w:hAnsi="Univers 45 Light"/>
      <w:sz w:val="20"/>
    </w:rPr>
  </w:style>
  <w:style w:type="paragraph" w:customStyle="1" w:styleId="Heading1Noshow">
    <w:name w:val="Heading 1_No show"/>
    <w:qFormat/>
    <w:rsid w:val="005A2D34"/>
    <w:pPr>
      <w:spacing w:after="960" w:line="192" w:lineRule="auto"/>
    </w:pPr>
    <w:rPr>
      <w:rFonts w:ascii="KPMG Extralight" w:eastAsiaTheme="majorEastAsia" w:hAnsi="KPMG Extralight" w:cstheme="majorBidi"/>
      <w:color w:val="0091DA" w:themeColor="accent2"/>
      <w:sz w:val="130"/>
      <w:szCs w:val="130"/>
    </w:rPr>
  </w:style>
  <w:style w:type="paragraph" w:customStyle="1" w:styleId="Casestudysubheading">
    <w:name w:val="Case study sub heading"/>
    <w:qFormat/>
    <w:rsid w:val="00C25D2C"/>
    <w:pPr>
      <w:spacing w:before="240" w:after="120" w:line="240" w:lineRule="auto"/>
    </w:pPr>
    <w:rPr>
      <w:rFonts w:ascii="Univers 45 Light" w:hAnsi="Univers 45 Light"/>
      <w:b/>
      <w:color w:val="0091DA" w:themeColor="accent2"/>
      <w:sz w:val="20"/>
    </w:rPr>
  </w:style>
  <w:style w:type="paragraph" w:customStyle="1" w:styleId="CVtitle">
    <w:name w:val="CV title"/>
    <w:qFormat/>
    <w:rsid w:val="00233C71"/>
    <w:pPr>
      <w:spacing w:line="240" w:lineRule="auto"/>
    </w:pPr>
    <w:rPr>
      <w:rFonts w:ascii="Univers 45 Light" w:hAnsi="Univers 45 Light"/>
      <w:color w:val="0091DA" w:themeColor="accent2"/>
      <w:sz w:val="24"/>
    </w:rPr>
  </w:style>
  <w:style w:type="paragraph" w:customStyle="1" w:styleId="CVdetail">
    <w:name w:val="CV detail"/>
    <w:qFormat/>
    <w:rsid w:val="00233C71"/>
    <w:pPr>
      <w:spacing w:before="120" w:after="0" w:line="240" w:lineRule="auto"/>
    </w:pPr>
    <w:rPr>
      <w:rFonts w:ascii="Univers 45 Light" w:hAnsi="Univers 45 Light"/>
      <w:color w:val="00338D"/>
      <w:sz w:val="20"/>
    </w:rPr>
  </w:style>
  <w:style w:type="paragraph" w:customStyle="1" w:styleId="CaseStudyIntro">
    <w:name w:val="Case Study Intro"/>
    <w:qFormat/>
    <w:rsid w:val="00581233"/>
    <w:pPr>
      <w:spacing w:before="240" w:after="240" w:line="240" w:lineRule="auto"/>
    </w:pPr>
    <w:rPr>
      <w:rFonts w:ascii="Univers 45 Light" w:hAnsi="Univers 45 Light"/>
      <w:color w:val="0091DA" w:themeColor="accent2"/>
      <w:sz w:val="24"/>
    </w:rPr>
  </w:style>
  <w:style w:type="paragraph" w:customStyle="1" w:styleId="CVtext">
    <w:name w:val="CV text"/>
    <w:qFormat/>
    <w:rsid w:val="00233C71"/>
    <w:pPr>
      <w:spacing w:before="120" w:after="120" w:line="280" w:lineRule="exact"/>
    </w:pPr>
    <w:rPr>
      <w:rFonts w:ascii="Univers 45 Light" w:hAnsi="Univers 45 Light"/>
      <w:sz w:val="20"/>
    </w:rPr>
  </w:style>
  <w:style w:type="paragraph" w:customStyle="1" w:styleId="Bullet1stlevel">
    <w:name w:val="Bullet 1st level"/>
    <w:basedOn w:val="BodyText1"/>
    <w:uiPriority w:val="1"/>
    <w:qFormat/>
    <w:rsid w:val="00B17A4E"/>
    <w:pPr>
      <w:numPr>
        <w:numId w:val="1"/>
      </w:numPr>
      <w:spacing w:before="60" w:after="20"/>
    </w:pPr>
  </w:style>
  <w:style w:type="paragraph" w:customStyle="1" w:styleId="Bullet2ndlevel">
    <w:name w:val="Bullet 2nd level"/>
    <w:basedOn w:val="Bullet1stlevel"/>
    <w:qFormat/>
    <w:rsid w:val="00BD508C"/>
    <w:pPr>
      <w:numPr>
        <w:numId w:val="48"/>
      </w:numPr>
    </w:pPr>
  </w:style>
  <w:style w:type="paragraph" w:customStyle="1" w:styleId="Bullet3rdlevel">
    <w:name w:val="Bullet 3rd level"/>
    <w:basedOn w:val="BodyText1"/>
    <w:qFormat/>
    <w:rsid w:val="00233C71"/>
    <w:pPr>
      <w:numPr>
        <w:numId w:val="3"/>
      </w:numPr>
      <w:spacing w:before="40"/>
    </w:pPr>
  </w:style>
  <w:style w:type="paragraph" w:customStyle="1" w:styleId="Numberbullet1stlevel">
    <w:name w:val="Number bullet 1st level"/>
    <w:basedOn w:val="BodyText1"/>
    <w:qFormat/>
    <w:rsid w:val="007F4D65"/>
    <w:pPr>
      <w:numPr>
        <w:numId w:val="4"/>
      </w:numPr>
      <w:spacing w:before="0" w:after="240"/>
      <w:contextualSpacing/>
    </w:pPr>
  </w:style>
  <w:style w:type="paragraph" w:customStyle="1" w:styleId="Numberbullet2ndlevel">
    <w:name w:val="Number bullet 2nd level"/>
    <w:basedOn w:val="BodyText1"/>
    <w:qFormat/>
    <w:rsid w:val="00233C71"/>
    <w:pPr>
      <w:numPr>
        <w:numId w:val="5"/>
      </w:numPr>
      <w:tabs>
        <w:tab w:val="left" w:pos="714"/>
      </w:tabs>
    </w:pPr>
  </w:style>
  <w:style w:type="paragraph" w:customStyle="1" w:styleId="CVbullet1">
    <w:name w:val="CV bullet 1"/>
    <w:basedOn w:val="BodyText1"/>
    <w:qFormat/>
    <w:rsid w:val="00233C71"/>
    <w:pPr>
      <w:numPr>
        <w:numId w:val="6"/>
      </w:numPr>
    </w:pPr>
  </w:style>
  <w:style w:type="paragraph" w:customStyle="1" w:styleId="CVbullet2">
    <w:name w:val="CV bullet 2"/>
    <w:basedOn w:val="BodyText1"/>
    <w:qFormat/>
    <w:rsid w:val="00233C71"/>
    <w:pPr>
      <w:numPr>
        <w:numId w:val="7"/>
      </w:numPr>
      <w:spacing w:before="40"/>
    </w:pPr>
  </w:style>
  <w:style w:type="paragraph" w:customStyle="1" w:styleId="Heading2option2">
    <w:name w:val="Heading 2_option 2"/>
    <w:basedOn w:val="Heading2"/>
    <w:qFormat/>
    <w:rsid w:val="00233C71"/>
  </w:style>
  <w:style w:type="character" w:customStyle="1" w:styleId="Heading2Char">
    <w:name w:val="Heading 2 Char"/>
    <w:basedOn w:val="DefaultParagraphFont"/>
    <w:link w:val="Heading2"/>
    <w:uiPriority w:val="9"/>
    <w:rsid w:val="0011521D"/>
    <w:rPr>
      <w:rFonts w:ascii="KPMG Extralight" w:eastAsiaTheme="majorEastAsia" w:hAnsi="KPMG Extralight" w:cstheme="majorBidi"/>
      <w:color w:val="0091DA" w:themeColor="accent2"/>
      <w:sz w:val="92"/>
      <w:szCs w:val="56"/>
      <w14:scene3d>
        <w14:camera w14:prst="orthographicFront"/>
        <w14:lightRig w14:rig="threePt" w14:dir="t">
          <w14:rot w14:lat="0" w14:lon="0" w14:rev="0"/>
        </w14:lightRig>
      </w14:scene3d>
    </w:rPr>
  </w:style>
  <w:style w:type="paragraph" w:customStyle="1" w:styleId="Heading1Option2">
    <w:name w:val="Heading 1_Option 2"/>
    <w:basedOn w:val="Heading1"/>
    <w:qFormat/>
    <w:rsid w:val="00233C71"/>
    <w:pPr>
      <w:spacing w:after="360"/>
    </w:pPr>
  </w:style>
  <w:style w:type="character" w:customStyle="1" w:styleId="Heading1Char">
    <w:name w:val="Heading 1 Char"/>
    <w:basedOn w:val="DefaultParagraphFont"/>
    <w:link w:val="Heading1"/>
    <w:uiPriority w:val="9"/>
    <w:rsid w:val="004E16E2"/>
    <w:rPr>
      <w:rFonts w:ascii="KPMG Extralight" w:eastAsiaTheme="majorEastAsia" w:hAnsi="KPMG Extralight" w:cstheme="majorBidi"/>
      <w:color w:val="0091DA" w:themeColor="accent2"/>
      <w:sz w:val="216"/>
      <w:szCs w:val="32"/>
    </w:rPr>
  </w:style>
  <w:style w:type="character" w:customStyle="1" w:styleId="White">
    <w:name w:val="White"/>
    <w:basedOn w:val="DefaultParagraphFont"/>
    <w:uiPriority w:val="22"/>
    <w:qFormat/>
    <w:rsid w:val="00233C71"/>
    <w:rPr>
      <w:color w:val="FFFFFF" w:themeColor="background1"/>
    </w:rPr>
  </w:style>
  <w:style w:type="paragraph" w:customStyle="1" w:styleId="Introduction">
    <w:name w:val="Introduction"/>
    <w:basedOn w:val="Quote"/>
    <w:qFormat/>
    <w:rsid w:val="00233C71"/>
  </w:style>
  <w:style w:type="paragraph" w:styleId="Quote">
    <w:name w:val="Quote"/>
    <w:basedOn w:val="Normal"/>
    <w:next w:val="Normal"/>
    <w:link w:val="QuoteChar"/>
    <w:uiPriority w:val="29"/>
    <w:qFormat/>
    <w:rsid w:val="00233C71"/>
    <w:pPr>
      <w:spacing w:after="360" w:line="520" w:lineRule="exact"/>
    </w:pPr>
    <w:rPr>
      <w:rFonts w:ascii="KPMG Light" w:hAnsi="KPMG Light"/>
      <w:iCs/>
      <w:color w:val="005EB8" w:themeColor="accent1"/>
      <w:sz w:val="44"/>
    </w:rPr>
  </w:style>
  <w:style w:type="character" w:customStyle="1" w:styleId="QuoteChar">
    <w:name w:val="Quote Char"/>
    <w:basedOn w:val="DefaultParagraphFont"/>
    <w:link w:val="Quote"/>
    <w:uiPriority w:val="29"/>
    <w:rsid w:val="00233C71"/>
    <w:rPr>
      <w:rFonts w:ascii="KPMG Light" w:hAnsi="KPMG Light"/>
      <w:iCs/>
      <w:color w:val="005EB8" w:themeColor="accent1"/>
      <w:sz w:val="44"/>
    </w:rPr>
  </w:style>
  <w:style w:type="paragraph" w:customStyle="1" w:styleId="Letterheadaddress">
    <w:name w:val="Letterhead address"/>
    <w:basedOn w:val="BodyText1"/>
    <w:qFormat/>
    <w:rsid w:val="00233C71"/>
    <w:pPr>
      <w:spacing w:before="20" w:after="20"/>
      <w:ind w:left="142"/>
    </w:pPr>
  </w:style>
  <w:style w:type="paragraph" w:customStyle="1" w:styleId="Contactus">
    <w:name w:val="Contact us"/>
    <w:basedOn w:val="BodyText1"/>
    <w:uiPriority w:val="96"/>
    <w:qFormat/>
    <w:rsid w:val="00233C71"/>
    <w:pPr>
      <w:ind w:left="426"/>
    </w:pPr>
    <w:rPr>
      <w:b/>
      <w:color w:val="FFFFFF" w:themeColor="background1"/>
      <w:sz w:val="24"/>
    </w:rPr>
  </w:style>
  <w:style w:type="paragraph" w:customStyle="1" w:styleId="backcoverdetails">
    <w:name w:val="back cover details"/>
    <w:basedOn w:val="BodyText1"/>
    <w:qFormat/>
    <w:rsid w:val="00233C71"/>
    <w:pPr>
      <w:spacing w:before="40" w:after="40"/>
      <w:ind w:left="425"/>
    </w:pPr>
    <w:rPr>
      <w:color w:val="FFFFFF" w:themeColor="background1"/>
    </w:rPr>
  </w:style>
  <w:style w:type="paragraph" w:customStyle="1" w:styleId="IntroPara">
    <w:name w:val="IntroPara"/>
    <w:basedOn w:val="BodyText1"/>
    <w:qFormat/>
    <w:rsid w:val="00E42F64"/>
    <w:pPr>
      <w:spacing w:before="360"/>
    </w:pPr>
    <w:rPr>
      <w:color w:val="0091DA" w:themeColor="accent2"/>
      <w:sz w:val="24"/>
      <w:szCs w:val="24"/>
    </w:rPr>
  </w:style>
  <w:style w:type="paragraph" w:customStyle="1" w:styleId="HeadingLevel1NoNumber">
    <w:name w:val="HeadingLevel1NoNumber"/>
    <w:basedOn w:val="Heading1"/>
    <w:next w:val="BodyText"/>
    <w:qFormat/>
    <w:rsid w:val="00D74477"/>
    <w:pPr>
      <w:spacing w:after="360"/>
    </w:pPr>
  </w:style>
  <w:style w:type="paragraph" w:styleId="BodyText">
    <w:name w:val="Body Text"/>
    <w:basedOn w:val="Normal"/>
    <w:link w:val="BodyTextChar"/>
    <w:uiPriority w:val="99"/>
    <w:semiHidden/>
    <w:unhideWhenUsed/>
    <w:rsid w:val="00233C71"/>
  </w:style>
  <w:style w:type="character" w:customStyle="1" w:styleId="BodyTextChar">
    <w:name w:val="Body Text Char"/>
    <w:basedOn w:val="DefaultParagraphFont"/>
    <w:link w:val="BodyText"/>
    <w:uiPriority w:val="99"/>
    <w:semiHidden/>
    <w:rsid w:val="00233C71"/>
  </w:style>
  <w:style w:type="paragraph" w:customStyle="1" w:styleId="HeadingLevel2NoNumber">
    <w:name w:val="HeadingLevel2NoNumber"/>
    <w:basedOn w:val="Heading2"/>
    <w:next w:val="BodyText"/>
    <w:qFormat/>
    <w:rsid w:val="00233C71"/>
  </w:style>
  <w:style w:type="paragraph" w:customStyle="1" w:styleId="HeadingLevel3NoNumber">
    <w:name w:val="HeadingLevel3NoNumber"/>
    <w:basedOn w:val="Heading3"/>
    <w:next w:val="BodyText"/>
    <w:qFormat/>
    <w:rsid w:val="004D156B"/>
    <w:pPr>
      <w:pageBreakBefore/>
    </w:pPr>
  </w:style>
  <w:style w:type="character" w:customStyle="1" w:styleId="Heading3Char">
    <w:name w:val="Heading 3 Char"/>
    <w:basedOn w:val="DefaultParagraphFont"/>
    <w:link w:val="Heading3"/>
    <w:uiPriority w:val="9"/>
    <w:rsid w:val="0011521D"/>
    <w:rPr>
      <w:rFonts w:ascii="Univers 45 Light" w:eastAsiaTheme="majorEastAsia" w:hAnsi="Univers 45 Light" w:cstheme="majorBidi"/>
      <w:color w:val="0091DA" w:themeColor="accent2"/>
      <w:sz w:val="36"/>
      <w:szCs w:val="40"/>
      <w14:scene3d>
        <w14:camera w14:prst="orthographicFront"/>
        <w14:lightRig w14:rig="threePt" w14:dir="t">
          <w14:rot w14:lat="0" w14:lon="0" w14:rev="0"/>
        </w14:lightRig>
      </w14:scene3d>
    </w:rPr>
  </w:style>
  <w:style w:type="paragraph" w:customStyle="1" w:styleId="HeadingLevel4NoNumber">
    <w:name w:val="HeadingLevel4NoNumber"/>
    <w:basedOn w:val="Heading4"/>
    <w:next w:val="BodyText"/>
    <w:qFormat/>
    <w:rsid w:val="003C3980"/>
    <w:pPr>
      <w:numPr>
        <w:ilvl w:val="1"/>
        <w:numId w:val="11"/>
      </w:numPr>
      <w:ind w:left="851" w:hanging="431"/>
    </w:pPr>
  </w:style>
  <w:style w:type="character" w:customStyle="1" w:styleId="Heading4Char">
    <w:name w:val="Heading 4 Char"/>
    <w:basedOn w:val="DefaultParagraphFont"/>
    <w:link w:val="Heading4"/>
    <w:uiPriority w:val="9"/>
    <w:rsid w:val="00AF04CA"/>
    <w:rPr>
      <w:rFonts w:ascii="Univers 45 Light" w:hAnsi="Univers 45 Light"/>
      <w:b/>
      <w:color w:val="00338D" w:themeColor="background2"/>
      <w:sz w:val="24"/>
    </w:rPr>
  </w:style>
  <w:style w:type="paragraph" w:customStyle="1" w:styleId="TableBullet1">
    <w:name w:val="TableBullet1"/>
    <w:basedOn w:val="ListBullet"/>
    <w:qFormat/>
    <w:rsid w:val="00C41F51"/>
    <w:pPr>
      <w:spacing w:before="60" w:after="60"/>
      <w:contextualSpacing w:val="0"/>
    </w:pPr>
    <w:rPr>
      <w:lang w:val="en-US"/>
    </w:rPr>
  </w:style>
  <w:style w:type="paragraph" w:styleId="ListBullet">
    <w:name w:val="List Bullet"/>
    <w:basedOn w:val="Normal"/>
    <w:uiPriority w:val="99"/>
    <w:unhideWhenUsed/>
    <w:rsid w:val="00233C71"/>
    <w:pPr>
      <w:numPr>
        <w:numId w:val="8"/>
      </w:numPr>
      <w:contextualSpacing/>
    </w:pPr>
  </w:style>
  <w:style w:type="paragraph" w:customStyle="1" w:styleId="Tablebullet2">
    <w:name w:val="Tablebullet2"/>
    <w:basedOn w:val="ListBullet2"/>
    <w:qFormat/>
    <w:rsid w:val="00233C71"/>
    <w:pPr>
      <w:tabs>
        <w:tab w:val="clear" w:pos="697"/>
        <w:tab w:val="left" w:pos="714"/>
      </w:tabs>
      <w:spacing w:before="40" w:after="40"/>
    </w:pPr>
  </w:style>
  <w:style w:type="paragraph" w:styleId="ListBullet2">
    <w:name w:val="List Bullet 2"/>
    <w:basedOn w:val="Normal"/>
    <w:uiPriority w:val="99"/>
    <w:semiHidden/>
    <w:unhideWhenUsed/>
    <w:rsid w:val="00233C71"/>
    <w:pPr>
      <w:numPr>
        <w:numId w:val="9"/>
      </w:numPr>
      <w:contextualSpacing/>
    </w:pPr>
  </w:style>
  <w:style w:type="paragraph" w:customStyle="1" w:styleId="Appendixheading">
    <w:name w:val="Appendix heading"/>
    <w:next w:val="Normal"/>
    <w:uiPriority w:val="2"/>
    <w:qFormat/>
    <w:rsid w:val="00233C71"/>
    <w:pPr>
      <w:keepNext/>
      <w:keepLines/>
      <w:pageBreakBefore/>
      <w:spacing w:before="240" w:after="120" w:line="240" w:lineRule="auto"/>
    </w:pPr>
    <w:rPr>
      <w:rFonts w:ascii="KPMG Extralight" w:eastAsia="Times New Roman" w:hAnsi="KPMG Extralight" w:cs="Times New Roman"/>
      <w:b/>
      <w:color w:val="00338D"/>
      <w:sz w:val="96"/>
      <w:szCs w:val="72"/>
    </w:rPr>
  </w:style>
  <w:style w:type="character" w:customStyle="1" w:styleId="Heading5Char">
    <w:name w:val="Heading 5 Char"/>
    <w:basedOn w:val="DefaultParagraphFont"/>
    <w:link w:val="Heading5"/>
    <w:uiPriority w:val="9"/>
    <w:rsid w:val="003C6A54"/>
    <w:rPr>
      <w:rFonts w:ascii="Univers 45 Light" w:hAnsi="Univers 45 Light"/>
      <w:b/>
      <w:color w:val="0091DA" w:themeColor="accent2"/>
      <w:sz w:val="20"/>
    </w:rPr>
  </w:style>
  <w:style w:type="character" w:customStyle="1" w:styleId="Heading6Char">
    <w:name w:val="Heading 6 Char"/>
    <w:basedOn w:val="DefaultParagraphFont"/>
    <w:link w:val="Heading6"/>
    <w:uiPriority w:val="9"/>
    <w:rsid w:val="00826F1D"/>
    <w:rPr>
      <w:rFonts w:ascii="Univers 45 Light" w:hAnsi="Univers 45 Light"/>
      <w:color w:val="0091DA" w:themeColor="accent2"/>
      <w:sz w:val="20"/>
    </w:rPr>
  </w:style>
  <w:style w:type="character" w:customStyle="1" w:styleId="Heading7Char">
    <w:name w:val="Heading 7 Char"/>
    <w:basedOn w:val="DefaultParagraphFont"/>
    <w:link w:val="Heading7"/>
    <w:uiPriority w:val="9"/>
    <w:semiHidden/>
    <w:rsid w:val="00233C71"/>
    <w:rPr>
      <w:rFonts w:asciiTheme="majorHAnsi" w:eastAsiaTheme="majorEastAsia" w:hAnsiTheme="majorHAnsi" w:cstheme="majorBidi"/>
      <w:i/>
      <w:iCs/>
      <w:color w:val="002E5B" w:themeColor="accent1" w:themeShade="7F"/>
    </w:rPr>
  </w:style>
  <w:style w:type="character" w:customStyle="1" w:styleId="Heading8Char">
    <w:name w:val="Heading 8 Char"/>
    <w:basedOn w:val="DefaultParagraphFont"/>
    <w:link w:val="Heading8"/>
    <w:uiPriority w:val="9"/>
    <w:semiHidden/>
    <w:rsid w:val="00233C7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33C71"/>
    <w:rPr>
      <w:rFonts w:asciiTheme="majorHAnsi" w:eastAsiaTheme="majorEastAsia" w:hAnsiTheme="majorHAnsi" w:cstheme="majorBidi"/>
      <w:i/>
      <w:iCs/>
      <w:color w:val="272727" w:themeColor="text1" w:themeTint="D8"/>
      <w:sz w:val="21"/>
      <w:szCs w:val="21"/>
    </w:rPr>
  </w:style>
  <w:style w:type="paragraph" w:styleId="IntenseQuote">
    <w:name w:val="Intense Quote"/>
    <w:basedOn w:val="Normal"/>
    <w:next w:val="Normal"/>
    <w:link w:val="IntenseQuoteChar"/>
    <w:uiPriority w:val="30"/>
    <w:qFormat/>
    <w:rsid w:val="00233C71"/>
    <w:pPr>
      <w:pBdr>
        <w:top w:val="single" w:sz="4" w:space="10" w:color="005EB8" w:themeColor="accent1"/>
        <w:bottom w:val="single" w:sz="4" w:space="10" w:color="005EB8" w:themeColor="accent1"/>
      </w:pBdr>
      <w:spacing w:before="360" w:after="360"/>
    </w:pPr>
    <w:rPr>
      <w:i/>
      <w:iCs/>
      <w:color w:val="005EB8" w:themeColor="accent1"/>
      <w:sz w:val="22"/>
    </w:rPr>
  </w:style>
  <w:style w:type="character" w:customStyle="1" w:styleId="IntenseQuoteChar">
    <w:name w:val="Intense Quote Char"/>
    <w:basedOn w:val="DefaultParagraphFont"/>
    <w:link w:val="IntenseQuote"/>
    <w:uiPriority w:val="30"/>
    <w:rsid w:val="00233C71"/>
    <w:rPr>
      <w:rFonts w:ascii="Univers 45 Light" w:hAnsi="Univers 45 Light"/>
      <w:i/>
      <w:iCs/>
      <w:color w:val="005EB8" w:themeColor="accent1"/>
    </w:rPr>
  </w:style>
  <w:style w:type="character" w:styleId="SubtleReference">
    <w:name w:val="Subtle Reference"/>
    <w:basedOn w:val="DefaultParagraphFont"/>
    <w:uiPriority w:val="31"/>
    <w:qFormat/>
    <w:rsid w:val="00233C71"/>
    <w:rPr>
      <w:rFonts w:ascii="KPMG Light" w:hAnsi="KPMG Light"/>
      <w:smallCaps/>
      <w:color w:val="5A5A5A" w:themeColor="text1" w:themeTint="A5"/>
      <w:sz w:val="44"/>
    </w:rPr>
  </w:style>
  <w:style w:type="character" w:styleId="IntenseReference">
    <w:name w:val="Intense Reference"/>
    <w:basedOn w:val="DefaultParagraphFont"/>
    <w:uiPriority w:val="32"/>
    <w:qFormat/>
    <w:rsid w:val="00233C71"/>
    <w:rPr>
      <w:rFonts w:ascii="KPMG Light" w:hAnsi="KPMG Light"/>
      <w:b/>
      <w:bCs/>
      <w:smallCaps/>
      <w:color w:val="005EB8" w:themeColor="accent1"/>
      <w:spacing w:val="5"/>
      <w:sz w:val="44"/>
    </w:rPr>
  </w:style>
  <w:style w:type="paragraph" w:styleId="Header">
    <w:name w:val="header"/>
    <w:basedOn w:val="Normal"/>
    <w:link w:val="HeaderChar"/>
    <w:uiPriority w:val="99"/>
    <w:unhideWhenUsed/>
    <w:rsid w:val="00C10504"/>
    <w:pPr>
      <w:tabs>
        <w:tab w:val="center" w:pos="4513"/>
        <w:tab w:val="right" w:pos="9026"/>
      </w:tabs>
      <w:spacing w:before="0" w:after="0"/>
    </w:pPr>
  </w:style>
  <w:style w:type="character" w:customStyle="1" w:styleId="HeaderChar">
    <w:name w:val="Header Char"/>
    <w:basedOn w:val="DefaultParagraphFont"/>
    <w:link w:val="Header"/>
    <w:uiPriority w:val="99"/>
    <w:rsid w:val="00C10504"/>
    <w:rPr>
      <w:rFonts w:ascii="Univers 45 Light" w:hAnsi="Univers 45 Light"/>
      <w:sz w:val="20"/>
    </w:rPr>
  </w:style>
  <w:style w:type="paragraph" w:styleId="Footer">
    <w:name w:val="footer"/>
    <w:basedOn w:val="Normal"/>
    <w:link w:val="FooterChar"/>
    <w:uiPriority w:val="98"/>
    <w:unhideWhenUsed/>
    <w:rsid w:val="00C10504"/>
    <w:pPr>
      <w:tabs>
        <w:tab w:val="center" w:pos="4513"/>
        <w:tab w:val="right" w:pos="9026"/>
      </w:tabs>
      <w:spacing w:before="0" w:after="0"/>
    </w:pPr>
  </w:style>
  <w:style w:type="character" w:customStyle="1" w:styleId="FooterChar">
    <w:name w:val="Footer Char"/>
    <w:basedOn w:val="DefaultParagraphFont"/>
    <w:link w:val="Footer"/>
    <w:uiPriority w:val="98"/>
    <w:rsid w:val="00C10504"/>
    <w:rPr>
      <w:rFonts w:ascii="Univers 45 Light" w:hAnsi="Univers 45 Light"/>
      <w:sz w:val="20"/>
    </w:rPr>
  </w:style>
  <w:style w:type="paragraph" w:styleId="FootnoteText">
    <w:name w:val="footnote text"/>
    <w:basedOn w:val="Normal"/>
    <w:link w:val="FootnoteTextChar"/>
    <w:uiPriority w:val="99"/>
    <w:unhideWhenUsed/>
    <w:rsid w:val="005C286C"/>
    <w:pPr>
      <w:spacing w:before="0" w:after="0"/>
    </w:pPr>
    <w:rPr>
      <w:szCs w:val="20"/>
    </w:rPr>
  </w:style>
  <w:style w:type="character" w:customStyle="1" w:styleId="FootnoteTextChar">
    <w:name w:val="Footnote Text Char"/>
    <w:basedOn w:val="DefaultParagraphFont"/>
    <w:link w:val="FootnoteText"/>
    <w:uiPriority w:val="99"/>
    <w:rsid w:val="005C286C"/>
    <w:rPr>
      <w:rFonts w:ascii="Univers 45 Light" w:hAnsi="Univers 45 Light"/>
      <w:sz w:val="20"/>
      <w:szCs w:val="20"/>
    </w:rPr>
  </w:style>
  <w:style w:type="character" w:styleId="FootnoteReference">
    <w:name w:val="footnote reference"/>
    <w:basedOn w:val="DefaultParagraphFont"/>
    <w:uiPriority w:val="99"/>
    <w:semiHidden/>
    <w:unhideWhenUsed/>
    <w:rsid w:val="005C286C"/>
    <w:rPr>
      <w:vertAlign w:val="superscript"/>
    </w:rPr>
  </w:style>
  <w:style w:type="paragraph" w:styleId="ListParagraph">
    <w:name w:val="List Paragraph"/>
    <w:aliases w:val="List Paragraph1,Recommendation,List Paragraph11,L"/>
    <w:basedOn w:val="Normal"/>
    <w:link w:val="ListParagraphChar"/>
    <w:uiPriority w:val="34"/>
    <w:qFormat/>
    <w:rsid w:val="00A212AA"/>
    <w:pPr>
      <w:spacing w:before="0" w:after="160" w:line="259" w:lineRule="auto"/>
      <w:ind w:left="720"/>
      <w:contextualSpacing/>
    </w:pPr>
    <w:rPr>
      <w:rFonts w:asciiTheme="minorHAnsi" w:hAnsiTheme="minorHAnsi"/>
      <w:sz w:val="22"/>
    </w:rPr>
  </w:style>
  <w:style w:type="paragraph" w:styleId="NormalWeb">
    <w:name w:val="Normal (Web)"/>
    <w:basedOn w:val="Normal"/>
    <w:uiPriority w:val="99"/>
    <w:unhideWhenUsed/>
    <w:rsid w:val="00626A3D"/>
    <w:pPr>
      <w:spacing w:before="100" w:beforeAutospacing="1" w:after="100" w:afterAutospacing="1"/>
    </w:pPr>
    <w:rPr>
      <w:rFonts w:ascii="Times New Roman" w:eastAsiaTheme="minorEastAsia" w:hAnsi="Times New Roman" w:cs="Times New Roman"/>
      <w:sz w:val="24"/>
      <w:szCs w:val="24"/>
      <w:lang w:eastAsia="en-AU"/>
    </w:rPr>
  </w:style>
  <w:style w:type="paragraph" w:styleId="BalloonText">
    <w:name w:val="Balloon Text"/>
    <w:basedOn w:val="Normal"/>
    <w:link w:val="BalloonTextChar"/>
    <w:uiPriority w:val="99"/>
    <w:semiHidden/>
    <w:unhideWhenUsed/>
    <w:rsid w:val="0046607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6071"/>
    <w:rPr>
      <w:rFonts w:ascii="Segoe UI" w:hAnsi="Segoe UI" w:cs="Segoe UI"/>
      <w:sz w:val="18"/>
      <w:szCs w:val="18"/>
    </w:rPr>
  </w:style>
  <w:style w:type="paragraph" w:styleId="TOCHeading">
    <w:name w:val="TOC Heading"/>
    <w:basedOn w:val="Heading1"/>
    <w:next w:val="Normal"/>
    <w:uiPriority w:val="39"/>
    <w:unhideWhenUsed/>
    <w:qFormat/>
    <w:rsid w:val="00E71138"/>
    <w:pPr>
      <w:spacing w:before="240" w:after="0" w:line="259" w:lineRule="auto"/>
      <w:outlineLvl w:val="9"/>
    </w:pPr>
    <w:rPr>
      <w:rFonts w:asciiTheme="majorHAnsi" w:hAnsiTheme="majorHAnsi"/>
      <w:color w:val="004689" w:themeColor="accent1" w:themeShade="BF"/>
      <w:sz w:val="32"/>
      <w:lang w:val="en-US"/>
    </w:rPr>
  </w:style>
  <w:style w:type="paragraph" w:styleId="TOC3">
    <w:name w:val="toc 3"/>
    <w:basedOn w:val="Normal"/>
    <w:next w:val="Normal"/>
    <w:autoRedefine/>
    <w:uiPriority w:val="39"/>
    <w:unhideWhenUsed/>
    <w:rsid w:val="009C6F5C"/>
    <w:pPr>
      <w:tabs>
        <w:tab w:val="left" w:pos="680"/>
        <w:tab w:val="right" w:leader="dot" w:pos="9016"/>
      </w:tabs>
      <w:spacing w:before="40" w:after="40"/>
      <w:ind w:left="198"/>
    </w:pPr>
  </w:style>
  <w:style w:type="paragraph" w:styleId="TOC2">
    <w:name w:val="toc 2"/>
    <w:basedOn w:val="Normal"/>
    <w:next w:val="Normal"/>
    <w:autoRedefine/>
    <w:uiPriority w:val="39"/>
    <w:unhideWhenUsed/>
    <w:rsid w:val="00F75953"/>
    <w:pPr>
      <w:tabs>
        <w:tab w:val="left" w:pos="567"/>
        <w:tab w:val="right" w:leader="dot" w:pos="9016"/>
      </w:tabs>
      <w:spacing w:before="80" w:after="80"/>
      <w:ind w:left="198"/>
    </w:pPr>
    <w:rPr>
      <w:b/>
    </w:rPr>
  </w:style>
  <w:style w:type="character" w:styleId="Hyperlink">
    <w:name w:val="Hyperlink"/>
    <w:basedOn w:val="DefaultParagraphFont"/>
    <w:uiPriority w:val="99"/>
    <w:unhideWhenUsed/>
    <w:rsid w:val="00E71138"/>
    <w:rPr>
      <w:color w:val="470A68" w:themeColor="hyperlink"/>
      <w:u w:val="single"/>
    </w:rPr>
  </w:style>
  <w:style w:type="table" w:styleId="TableGrid">
    <w:name w:val="Table Grid"/>
    <w:aliases w:val="KPMG"/>
    <w:basedOn w:val="TableNormal"/>
    <w:uiPriority w:val="39"/>
    <w:rsid w:val="00BF4F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DF7D23"/>
    <w:pPr>
      <w:keepNext/>
    </w:pPr>
    <w:rPr>
      <w:iCs/>
      <w:noProof/>
      <w:color w:val="808080" w:themeColor="background1" w:themeShade="80"/>
      <w:sz w:val="18"/>
      <w:szCs w:val="18"/>
      <w:lang w:eastAsia="en-AU"/>
    </w:rPr>
  </w:style>
  <w:style w:type="character" w:styleId="SubtleEmphasis">
    <w:name w:val="Subtle Emphasis"/>
    <w:basedOn w:val="DefaultParagraphFont"/>
    <w:uiPriority w:val="19"/>
    <w:qFormat/>
    <w:rsid w:val="00A33B25"/>
    <w:rPr>
      <w:i/>
      <w:iCs/>
      <w:color w:val="404040" w:themeColor="text1" w:themeTint="BF"/>
      <w:sz w:val="16"/>
      <w:szCs w:val="16"/>
    </w:rPr>
  </w:style>
  <w:style w:type="character" w:styleId="IntenseEmphasis">
    <w:name w:val="Intense Emphasis"/>
    <w:basedOn w:val="DefaultParagraphFont"/>
    <w:uiPriority w:val="21"/>
    <w:qFormat/>
    <w:rsid w:val="00C41F51"/>
    <w:rPr>
      <w:i/>
      <w:iCs/>
      <w:color w:val="005EB8" w:themeColor="accent1"/>
    </w:rPr>
  </w:style>
  <w:style w:type="character" w:styleId="Strong">
    <w:name w:val="Strong"/>
    <w:basedOn w:val="DefaultParagraphFont"/>
    <w:uiPriority w:val="22"/>
    <w:qFormat/>
    <w:rsid w:val="00A742FA"/>
    <w:rPr>
      <w:b/>
      <w:bCs/>
    </w:rPr>
  </w:style>
  <w:style w:type="paragraph" w:customStyle="1" w:styleId="BQHeading3">
    <w:name w:val="BQ Heading3"/>
    <w:next w:val="Normal"/>
    <w:qFormat/>
    <w:rsid w:val="004C6CF5"/>
    <w:pPr>
      <w:numPr>
        <w:ilvl w:val="2"/>
        <w:numId w:val="13"/>
      </w:numPr>
      <w:spacing w:before="120" w:after="120" w:line="240" w:lineRule="auto"/>
    </w:pPr>
    <w:rPr>
      <w:rFonts w:ascii="Calibri Light" w:eastAsiaTheme="minorEastAsia" w:hAnsi="Calibri Light"/>
      <w:color w:val="005EB8" w:themeColor="accent1"/>
      <w:sz w:val="24"/>
      <w:szCs w:val="28"/>
      <w:lang w:val="en-US"/>
    </w:rPr>
  </w:style>
  <w:style w:type="paragraph" w:customStyle="1" w:styleId="BQHeading2">
    <w:name w:val="BQ_Heading 2"/>
    <w:basedOn w:val="BQHeading3"/>
    <w:link w:val="BQHeading2Char"/>
    <w:qFormat/>
    <w:rsid w:val="004C6CF5"/>
    <w:pPr>
      <w:numPr>
        <w:ilvl w:val="1"/>
      </w:numPr>
      <w:spacing w:before="160"/>
      <w:outlineLvl w:val="1"/>
    </w:pPr>
    <w:rPr>
      <w:sz w:val="28"/>
      <w:lang w:val="en-AU"/>
    </w:rPr>
  </w:style>
  <w:style w:type="paragraph" w:customStyle="1" w:styleId="BQBody">
    <w:name w:val="BQ_Body"/>
    <w:basedOn w:val="Normal"/>
    <w:link w:val="BQBodyChar"/>
    <w:qFormat/>
    <w:rsid w:val="004C6CF5"/>
    <w:rPr>
      <w:rFonts w:ascii="Calibri Light" w:eastAsiaTheme="minorEastAsia" w:hAnsi="Calibri Light"/>
      <w:color w:val="413642"/>
      <w:sz w:val="22"/>
    </w:rPr>
  </w:style>
  <w:style w:type="character" w:customStyle="1" w:styleId="BQHeading2Char">
    <w:name w:val="BQ_Heading 2 Char"/>
    <w:basedOn w:val="DefaultParagraphFont"/>
    <w:link w:val="BQHeading2"/>
    <w:rsid w:val="004C6CF5"/>
    <w:rPr>
      <w:rFonts w:ascii="Calibri Light" w:eastAsiaTheme="minorEastAsia" w:hAnsi="Calibri Light"/>
      <w:color w:val="005EB8" w:themeColor="accent1"/>
      <w:sz w:val="28"/>
      <w:szCs w:val="28"/>
    </w:rPr>
  </w:style>
  <w:style w:type="character" w:customStyle="1" w:styleId="BQBodyChar">
    <w:name w:val="BQ_Body Char"/>
    <w:basedOn w:val="DefaultParagraphFont"/>
    <w:link w:val="BQBody"/>
    <w:rsid w:val="004C6CF5"/>
    <w:rPr>
      <w:rFonts w:ascii="Calibri Light" w:eastAsiaTheme="minorEastAsia" w:hAnsi="Calibri Light"/>
      <w:color w:val="413642"/>
    </w:rPr>
  </w:style>
  <w:style w:type="paragraph" w:customStyle="1" w:styleId="BQBullet">
    <w:name w:val="BQ_Bullet"/>
    <w:basedOn w:val="Normal"/>
    <w:link w:val="BQBulletChar"/>
    <w:qFormat/>
    <w:rsid w:val="004C6CF5"/>
    <w:pPr>
      <w:numPr>
        <w:numId w:val="12"/>
      </w:numPr>
    </w:pPr>
    <w:rPr>
      <w:rFonts w:ascii="Calibri Light" w:eastAsiaTheme="minorEastAsia" w:hAnsi="Calibri Light"/>
      <w:color w:val="413642"/>
      <w:sz w:val="22"/>
    </w:rPr>
  </w:style>
  <w:style w:type="character" w:customStyle="1" w:styleId="BQBulletChar">
    <w:name w:val="BQ_Bullet Char"/>
    <w:basedOn w:val="DefaultParagraphFont"/>
    <w:link w:val="BQBullet"/>
    <w:rsid w:val="004C6CF5"/>
    <w:rPr>
      <w:rFonts w:ascii="Calibri Light" w:eastAsiaTheme="minorEastAsia" w:hAnsi="Calibri Light"/>
      <w:color w:val="413642"/>
    </w:rPr>
  </w:style>
  <w:style w:type="character" w:styleId="CommentReference">
    <w:name w:val="annotation reference"/>
    <w:basedOn w:val="DefaultParagraphFont"/>
    <w:uiPriority w:val="99"/>
    <w:semiHidden/>
    <w:unhideWhenUsed/>
    <w:rsid w:val="004C6CF5"/>
    <w:rPr>
      <w:sz w:val="16"/>
      <w:szCs w:val="16"/>
    </w:rPr>
  </w:style>
  <w:style w:type="paragraph" w:styleId="CommentText">
    <w:name w:val="annotation text"/>
    <w:basedOn w:val="Normal"/>
    <w:link w:val="CommentTextChar"/>
    <w:uiPriority w:val="99"/>
    <w:semiHidden/>
    <w:unhideWhenUsed/>
    <w:rsid w:val="004C6CF5"/>
    <w:pPr>
      <w:spacing w:before="0" w:after="0"/>
    </w:pPr>
    <w:rPr>
      <w:rFonts w:asciiTheme="minorHAnsi" w:eastAsiaTheme="minorEastAsia" w:hAnsiTheme="minorHAnsi"/>
      <w:szCs w:val="20"/>
    </w:rPr>
  </w:style>
  <w:style w:type="character" w:customStyle="1" w:styleId="CommentTextChar">
    <w:name w:val="Comment Text Char"/>
    <w:basedOn w:val="DefaultParagraphFont"/>
    <w:link w:val="CommentText"/>
    <w:uiPriority w:val="99"/>
    <w:semiHidden/>
    <w:rsid w:val="004C6CF5"/>
    <w:rPr>
      <w:rFonts w:eastAsiaTheme="minorEastAsia"/>
      <w:sz w:val="20"/>
      <w:szCs w:val="20"/>
    </w:rPr>
  </w:style>
  <w:style w:type="paragraph" w:customStyle="1" w:styleId="BQHeading4">
    <w:name w:val="BQ_Heading4"/>
    <w:basedOn w:val="BQHeading3"/>
    <w:qFormat/>
    <w:rsid w:val="004C6CF5"/>
    <w:pPr>
      <w:numPr>
        <w:ilvl w:val="3"/>
      </w:numPr>
      <w:outlineLvl w:val="3"/>
    </w:pPr>
    <w:rPr>
      <w:sz w:val="22"/>
      <w:lang w:val="en-AU"/>
    </w:rPr>
  </w:style>
  <w:style w:type="paragraph" w:styleId="CommentSubject">
    <w:name w:val="annotation subject"/>
    <w:basedOn w:val="CommentText"/>
    <w:next w:val="CommentText"/>
    <w:link w:val="CommentSubjectChar"/>
    <w:uiPriority w:val="99"/>
    <w:semiHidden/>
    <w:unhideWhenUsed/>
    <w:rsid w:val="00480E75"/>
    <w:pPr>
      <w:spacing w:before="120" w:after="120"/>
    </w:pPr>
    <w:rPr>
      <w:rFonts w:ascii="Univers 45 Light" w:eastAsiaTheme="minorHAnsi" w:hAnsi="Univers 45 Light"/>
      <w:b/>
      <w:bCs/>
    </w:rPr>
  </w:style>
  <w:style w:type="character" w:customStyle="1" w:styleId="CommentSubjectChar">
    <w:name w:val="Comment Subject Char"/>
    <w:basedOn w:val="CommentTextChar"/>
    <w:link w:val="CommentSubject"/>
    <w:uiPriority w:val="99"/>
    <w:semiHidden/>
    <w:rsid w:val="00480E75"/>
    <w:rPr>
      <w:rFonts w:ascii="Univers 45 Light" w:eastAsiaTheme="minorEastAsia" w:hAnsi="Univers 45 Light"/>
      <w:b/>
      <w:bCs/>
      <w:sz w:val="20"/>
      <w:szCs w:val="20"/>
    </w:rPr>
  </w:style>
  <w:style w:type="table" w:customStyle="1" w:styleId="TableGrid1">
    <w:name w:val="Table Grid1"/>
    <w:basedOn w:val="TableNormal"/>
    <w:next w:val="TableGrid"/>
    <w:uiPriority w:val="39"/>
    <w:rsid w:val="008F4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Simple1"/>
    <w:uiPriority w:val="99"/>
    <w:rsid w:val="00EB7532"/>
    <w:pPr>
      <w:spacing w:after="0"/>
    </w:pP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EB7532"/>
    <w:pPr>
      <w:spacing w:before="120" w:after="120" w:line="24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TOC1">
    <w:name w:val="toc 1"/>
    <w:basedOn w:val="Normal"/>
    <w:next w:val="Normal"/>
    <w:autoRedefine/>
    <w:uiPriority w:val="39"/>
    <w:unhideWhenUsed/>
    <w:rsid w:val="000B4BDE"/>
    <w:pPr>
      <w:spacing w:before="80" w:after="80"/>
    </w:pPr>
    <w:rPr>
      <w:sz w:val="22"/>
    </w:rPr>
  </w:style>
  <w:style w:type="paragraph" w:customStyle="1" w:styleId="Source">
    <w:name w:val="Source"/>
    <w:basedOn w:val="Normal"/>
    <w:link w:val="SourceChar"/>
    <w:autoRedefine/>
    <w:qFormat/>
    <w:rsid w:val="00DF7D23"/>
    <w:pPr>
      <w:contextualSpacing/>
      <w:jc w:val="right"/>
    </w:pPr>
    <w:rPr>
      <w:noProof/>
      <w:color w:val="808080" w:themeColor="background1" w:themeShade="80"/>
      <w:sz w:val="16"/>
      <w:szCs w:val="20"/>
      <w:lang w:eastAsia="en-AU"/>
    </w:rPr>
  </w:style>
  <w:style w:type="character" w:customStyle="1" w:styleId="SourceChar">
    <w:name w:val="Source Char"/>
    <w:basedOn w:val="DefaultParagraphFont"/>
    <w:link w:val="Source"/>
    <w:rsid w:val="00DF7D23"/>
    <w:rPr>
      <w:rFonts w:ascii="Univers 45 Light" w:hAnsi="Univers 45 Light"/>
      <w:noProof/>
      <w:color w:val="808080" w:themeColor="background1" w:themeShade="80"/>
      <w:sz w:val="16"/>
      <w:szCs w:val="20"/>
      <w:lang w:eastAsia="en-AU"/>
    </w:rPr>
  </w:style>
  <w:style w:type="character" w:customStyle="1" w:styleId="BodyText1Char">
    <w:name w:val="Body Text1 Char"/>
    <w:basedOn w:val="DefaultParagraphFont"/>
    <w:link w:val="BodyText1"/>
    <w:rsid w:val="00720136"/>
    <w:rPr>
      <w:rFonts w:ascii="Univers 45 Light" w:hAnsi="Univers 45 Light"/>
      <w:sz w:val="20"/>
    </w:rPr>
  </w:style>
  <w:style w:type="character" w:styleId="FollowedHyperlink">
    <w:name w:val="FollowedHyperlink"/>
    <w:basedOn w:val="DefaultParagraphFont"/>
    <w:uiPriority w:val="99"/>
    <w:semiHidden/>
    <w:unhideWhenUsed/>
    <w:rsid w:val="00A57C97"/>
    <w:rPr>
      <w:color w:val="6D2077" w:themeColor="followedHyperlink"/>
      <w:u w:val="single"/>
    </w:rPr>
  </w:style>
  <w:style w:type="paragraph" w:customStyle="1" w:styleId="CaptionCaseStudy">
    <w:name w:val="Caption_Case Study"/>
    <w:basedOn w:val="Caption"/>
    <w:link w:val="CaptionCaseStudyChar"/>
    <w:qFormat/>
    <w:rsid w:val="00D22F1A"/>
    <w:pPr>
      <w:spacing w:before="360" w:after="0"/>
    </w:pPr>
    <w:rPr>
      <w:b/>
      <w:color w:val="44546A"/>
      <w:sz w:val="20"/>
      <w:szCs w:val="20"/>
    </w:rPr>
  </w:style>
  <w:style w:type="paragraph" w:customStyle="1" w:styleId="SourceCaseStudy">
    <w:name w:val="Source_Case Study"/>
    <w:basedOn w:val="Source"/>
    <w:qFormat/>
    <w:rsid w:val="000E1CA8"/>
    <w:rPr>
      <w:color w:val="FFFFFF" w:themeColor="background1"/>
    </w:rPr>
  </w:style>
  <w:style w:type="paragraph" w:customStyle="1" w:styleId="Heading5CaseStudy">
    <w:name w:val="Heading 5_Case Study"/>
    <w:basedOn w:val="Heading5"/>
    <w:qFormat/>
    <w:rsid w:val="0056112C"/>
    <w:rPr>
      <w:color w:val="FFFFFF" w:themeColor="background1"/>
    </w:rPr>
  </w:style>
  <w:style w:type="paragraph" w:customStyle="1" w:styleId="BodyText1CaseStudy">
    <w:name w:val="Body Text1_Case Study"/>
    <w:basedOn w:val="BodyText1"/>
    <w:link w:val="BodyText1CaseStudyChar"/>
    <w:qFormat/>
    <w:rsid w:val="00B75975"/>
    <w:pPr>
      <w:ind w:right="-377"/>
    </w:pPr>
    <w:rPr>
      <w:color w:val="FFFFFF" w:themeColor="background1"/>
    </w:rPr>
  </w:style>
  <w:style w:type="paragraph" w:customStyle="1" w:styleId="Bullet1stlevelCaseStudy">
    <w:name w:val="Bullet 1st level_Case Study"/>
    <w:basedOn w:val="Bullet1stlevel"/>
    <w:rsid w:val="00A1041B"/>
    <w:pPr>
      <w:numPr>
        <w:numId w:val="16"/>
      </w:numPr>
      <w:ind w:left="0" w:firstLine="0"/>
    </w:pPr>
    <w:rPr>
      <w:color w:val="FFFFFF" w:themeColor="background1"/>
    </w:rPr>
  </w:style>
  <w:style w:type="paragraph" w:styleId="Revision">
    <w:name w:val="Revision"/>
    <w:hidden/>
    <w:uiPriority w:val="99"/>
    <w:semiHidden/>
    <w:rsid w:val="00E82EC4"/>
    <w:pPr>
      <w:spacing w:after="0" w:line="240" w:lineRule="auto"/>
    </w:pPr>
    <w:rPr>
      <w:rFonts w:ascii="Univers 45 Light" w:hAnsi="Univers 45 Light"/>
      <w:sz w:val="20"/>
    </w:rPr>
  </w:style>
  <w:style w:type="paragraph" w:customStyle="1" w:styleId="CaseStudyHeader">
    <w:name w:val="Case Study Header"/>
    <w:basedOn w:val="BodyText1CaseStudy"/>
    <w:link w:val="CaseStudyHeaderChar"/>
    <w:qFormat/>
    <w:rsid w:val="00B75975"/>
    <w:pPr>
      <w:ind w:right="2647"/>
    </w:pPr>
  </w:style>
  <w:style w:type="paragraph" w:customStyle="1" w:styleId="caption-white">
    <w:name w:val="caption - white"/>
    <w:basedOn w:val="CaptionCaseStudy"/>
    <w:link w:val="caption-whiteChar"/>
    <w:qFormat/>
    <w:rsid w:val="00B75975"/>
    <w:rPr>
      <w:color w:val="FFFFFF" w:themeColor="background1"/>
    </w:rPr>
  </w:style>
  <w:style w:type="character" w:customStyle="1" w:styleId="BodyText1CaseStudyChar">
    <w:name w:val="Body Text1_Case Study Char"/>
    <w:basedOn w:val="BodyText1Char"/>
    <w:link w:val="BodyText1CaseStudy"/>
    <w:rsid w:val="00B75975"/>
    <w:rPr>
      <w:rFonts w:ascii="Univers 45 Light" w:hAnsi="Univers 45 Light"/>
      <w:color w:val="FFFFFF" w:themeColor="background1"/>
      <w:sz w:val="20"/>
    </w:rPr>
  </w:style>
  <w:style w:type="character" w:customStyle="1" w:styleId="CaseStudyHeaderChar">
    <w:name w:val="Case Study Header Char"/>
    <w:basedOn w:val="BodyText1CaseStudyChar"/>
    <w:link w:val="CaseStudyHeader"/>
    <w:rsid w:val="00B75975"/>
    <w:rPr>
      <w:rFonts w:ascii="Univers 45 Light" w:hAnsi="Univers 45 Light"/>
      <w:color w:val="FFFFFF" w:themeColor="background1"/>
      <w:sz w:val="20"/>
    </w:rPr>
  </w:style>
  <w:style w:type="character" w:customStyle="1" w:styleId="CaptionChar">
    <w:name w:val="Caption Char"/>
    <w:basedOn w:val="DefaultParagraphFont"/>
    <w:link w:val="Caption"/>
    <w:uiPriority w:val="35"/>
    <w:rsid w:val="00DF7D23"/>
    <w:rPr>
      <w:rFonts w:ascii="Univers 45 Light" w:hAnsi="Univers 45 Light"/>
      <w:iCs/>
      <w:noProof/>
      <w:color w:val="808080" w:themeColor="background1" w:themeShade="80"/>
      <w:sz w:val="18"/>
      <w:szCs w:val="18"/>
      <w:lang w:eastAsia="en-AU"/>
    </w:rPr>
  </w:style>
  <w:style w:type="character" w:customStyle="1" w:styleId="CaptionCaseStudyChar">
    <w:name w:val="Caption_Case Study Char"/>
    <w:basedOn w:val="CaptionChar"/>
    <w:link w:val="CaptionCaseStudy"/>
    <w:rsid w:val="00D22F1A"/>
    <w:rPr>
      <w:rFonts w:ascii="Univers 45 Light" w:hAnsi="Univers 45 Light"/>
      <w:b/>
      <w:i w:val="0"/>
      <w:iCs/>
      <w:noProof/>
      <w:color w:val="44546A"/>
      <w:sz w:val="20"/>
      <w:szCs w:val="20"/>
      <w:lang w:eastAsia="en-AU"/>
    </w:rPr>
  </w:style>
  <w:style w:type="character" w:customStyle="1" w:styleId="caption-whiteChar">
    <w:name w:val="caption - white Char"/>
    <w:basedOn w:val="CaptionCaseStudyChar"/>
    <w:link w:val="caption-white"/>
    <w:rsid w:val="00B75975"/>
    <w:rPr>
      <w:rFonts w:ascii="Univers 45 Light" w:hAnsi="Univers 45 Light"/>
      <w:b/>
      <w:i w:val="0"/>
      <w:iCs/>
      <w:noProof/>
      <w:color w:val="FFFFFF" w:themeColor="background1"/>
      <w:sz w:val="20"/>
      <w:szCs w:val="20"/>
      <w:lang w:eastAsia="en-AU"/>
    </w:rPr>
  </w:style>
  <w:style w:type="paragraph" w:customStyle="1" w:styleId="Bodyafterbullet">
    <w:name w:val="Body after bullet"/>
    <w:basedOn w:val="BodyText1"/>
    <w:link w:val="BodyafterbulletChar"/>
    <w:qFormat/>
    <w:rsid w:val="00A22FC8"/>
    <w:pPr>
      <w:spacing w:before="240"/>
    </w:pPr>
  </w:style>
  <w:style w:type="paragraph" w:customStyle="1" w:styleId="Footnote">
    <w:name w:val="Footnote"/>
    <w:basedOn w:val="Source"/>
    <w:link w:val="FootnoteChar"/>
    <w:autoRedefine/>
    <w:qFormat/>
    <w:rsid w:val="00C25D2C"/>
    <w:pPr>
      <w:spacing w:before="60" w:after="60"/>
      <w:jc w:val="left"/>
    </w:pPr>
    <w:rPr>
      <w:color w:val="000000" w:themeColor="text1"/>
      <w:sz w:val="18"/>
      <w:szCs w:val="18"/>
    </w:rPr>
  </w:style>
  <w:style w:type="character" w:customStyle="1" w:styleId="BodyafterbulletChar">
    <w:name w:val="Body after bullet Char"/>
    <w:basedOn w:val="BodyText1Char"/>
    <w:link w:val="Bodyafterbullet"/>
    <w:rsid w:val="00A22FC8"/>
    <w:rPr>
      <w:rFonts w:ascii="Univers 45 Light" w:hAnsi="Univers 45 Light"/>
      <w:sz w:val="20"/>
    </w:rPr>
  </w:style>
  <w:style w:type="paragraph" w:customStyle="1" w:styleId="CaseStudy">
    <w:name w:val="Case Study"/>
    <w:basedOn w:val="Heading3"/>
    <w:link w:val="CaseStudyChar"/>
    <w:qFormat/>
    <w:rsid w:val="00C25D2C"/>
    <w:pPr>
      <w:spacing w:before="0"/>
      <w:outlineLvl w:val="9"/>
    </w:pPr>
    <w:rPr>
      <w:b/>
      <w:sz w:val="28"/>
    </w:rPr>
  </w:style>
  <w:style w:type="character" w:customStyle="1" w:styleId="FootnoteChar">
    <w:name w:val="Footnote Char"/>
    <w:basedOn w:val="SourceChar"/>
    <w:link w:val="Footnote"/>
    <w:rsid w:val="00C25D2C"/>
    <w:rPr>
      <w:rFonts w:ascii="Univers 45 Light" w:hAnsi="Univers 45 Light"/>
      <w:noProof/>
      <w:color w:val="000000" w:themeColor="text1"/>
      <w:sz w:val="18"/>
      <w:szCs w:val="18"/>
      <w:lang w:eastAsia="en-AU"/>
    </w:rPr>
  </w:style>
  <w:style w:type="character" w:customStyle="1" w:styleId="CaseStudyChar">
    <w:name w:val="Case Study Char"/>
    <w:basedOn w:val="Heading3Char"/>
    <w:link w:val="CaseStudy"/>
    <w:rsid w:val="00C25D2C"/>
    <w:rPr>
      <w:rFonts w:ascii="Univers 45 Light" w:eastAsiaTheme="majorEastAsia" w:hAnsi="Univers 45 Light" w:cstheme="majorBidi"/>
      <w:b/>
      <w:color w:val="0091DA" w:themeColor="accent2"/>
      <w:sz w:val="28"/>
      <w:szCs w:val="40"/>
      <w14:scene3d>
        <w14:camera w14:prst="orthographicFront"/>
        <w14:lightRig w14:rig="threePt" w14:dir="t">
          <w14:rot w14:lat="0" w14:lon="0" w14:rev="0"/>
        </w14:lightRig>
      </w14:scene3d>
    </w:rPr>
  </w:style>
  <w:style w:type="table" w:styleId="ListTable6Colorful-Accent1">
    <w:name w:val="List Table 6 Colorful Accent 1"/>
    <w:basedOn w:val="TableNormal"/>
    <w:uiPriority w:val="51"/>
    <w:rsid w:val="008D4887"/>
    <w:pPr>
      <w:spacing w:after="0" w:line="240" w:lineRule="auto"/>
    </w:pPr>
    <w:rPr>
      <w:color w:val="004689" w:themeColor="accent1" w:themeShade="BF"/>
    </w:rPr>
    <w:tblPr>
      <w:tblStyleRowBandSize w:val="1"/>
      <w:tblStyleColBandSize w:val="1"/>
      <w:tblBorders>
        <w:top w:val="single" w:sz="4" w:space="0" w:color="005EB8" w:themeColor="accent1"/>
        <w:bottom w:val="single" w:sz="4" w:space="0" w:color="005EB8" w:themeColor="accent1"/>
      </w:tblBorders>
    </w:tblPr>
    <w:tblStylePr w:type="firstRow">
      <w:rPr>
        <w:b/>
        <w:bCs/>
      </w:rPr>
      <w:tblPr/>
      <w:tcPr>
        <w:tcBorders>
          <w:bottom w:val="single" w:sz="4" w:space="0" w:color="005EB8" w:themeColor="accent1"/>
        </w:tcBorders>
      </w:tcPr>
    </w:tblStylePr>
    <w:tblStylePr w:type="lastRow">
      <w:rPr>
        <w:b/>
        <w:bCs/>
      </w:rPr>
      <w:tblPr/>
      <w:tcPr>
        <w:tcBorders>
          <w:top w:val="double" w:sz="4" w:space="0" w:color="005EB8" w:themeColor="accent1"/>
        </w:tcBorders>
      </w:tcPr>
    </w:tblStylePr>
    <w:tblStylePr w:type="firstCol">
      <w:rPr>
        <w:b/>
        <w:bCs/>
      </w:rPr>
    </w:tblStylePr>
    <w:tblStylePr w:type="lastCol">
      <w:rPr>
        <w:b/>
        <w:bCs/>
      </w:rPr>
    </w:tblStylePr>
    <w:tblStylePr w:type="band1Vert">
      <w:tblPr/>
      <w:tcPr>
        <w:shd w:val="clear" w:color="auto" w:fill="BDDEFF" w:themeFill="accent1" w:themeFillTint="33"/>
      </w:tcPr>
    </w:tblStylePr>
    <w:tblStylePr w:type="band1Horz">
      <w:tblPr/>
      <w:tcPr>
        <w:shd w:val="clear" w:color="auto" w:fill="BDDEFF" w:themeFill="accent1" w:themeFillTint="33"/>
      </w:tcPr>
    </w:tblStylePr>
  </w:style>
  <w:style w:type="character" w:customStyle="1" w:styleId="ListParagraphChar">
    <w:name w:val="List Paragraph Char"/>
    <w:aliases w:val="List Paragraph1 Char,Recommendation Char,List Paragraph11 Char,L Char"/>
    <w:basedOn w:val="DefaultParagraphFont"/>
    <w:link w:val="ListParagraph"/>
    <w:uiPriority w:val="34"/>
    <w:rsid w:val="008F2747"/>
  </w:style>
  <w:style w:type="paragraph" w:styleId="NoSpacing">
    <w:name w:val="No Spacing"/>
    <w:link w:val="NoSpacingChar"/>
    <w:uiPriority w:val="1"/>
    <w:qFormat/>
    <w:rsid w:val="00830E5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30E5C"/>
    <w:rPr>
      <w:rFonts w:eastAsiaTheme="minorEastAsia"/>
      <w:lang w:val="en-US"/>
    </w:rPr>
  </w:style>
  <w:style w:type="paragraph" w:customStyle="1" w:styleId="BodyText0">
    <w:name w:val="_Body Text"/>
    <w:basedOn w:val="BodyText"/>
    <w:link w:val="BodyTextChar0"/>
    <w:autoRedefine/>
    <w:qFormat/>
    <w:rsid w:val="002D4398"/>
    <w:rPr>
      <w:rFonts w:eastAsia="Batang" w:cs="Times New Roman"/>
      <w:color w:val="00338D"/>
      <w:szCs w:val="18"/>
      <w:lang w:eastAsia="en-AU"/>
    </w:rPr>
  </w:style>
  <w:style w:type="character" w:customStyle="1" w:styleId="BodyTextChar0">
    <w:name w:val="_Body Text Char"/>
    <w:basedOn w:val="DefaultParagraphFont"/>
    <w:link w:val="BodyText0"/>
    <w:rsid w:val="002D4398"/>
    <w:rPr>
      <w:rFonts w:ascii="Univers 45 Light" w:eastAsia="Batang" w:hAnsi="Univers 45 Light" w:cs="Times New Roman"/>
      <w:color w:val="00338D"/>
      <w:sz w:val="20"/>
      <w:szCs w:val="18"/>
      <w:lang w:eastAsia="en-AU"/>
    </w:rPr>
  </w:style>
  <w:style w:type="paragraph" w:styleId="Title">
    <w:name w:val="Title"/>
    <w:basedOn w:val="Normal"/>
    <w:next w:val="Normal"/>
    <w:link w:val="TitleChar"/>
    <w:uiPriority w:val="10"/>
    <w:qFormat/>
    <w:rsid w:val="002D4398"/>
    <w:pPr>
      <w:spacing w:before="0" w:after="0"/>
      <w:contextualSpacing/>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2D4398"/>
    <w:rPr>
      <w:rFonts w:asciiTheme="majorHAnsi" w:eastAsiaTheme="majorEastAsia" w:hAnsiTheme="majorHAnsi" w:cstheme="majorBidi"/>
      <w:b/>
      <w:spacing w:val="-10"/>
      <w:kern w:val="28"/>
      <w:sz w:val="56"/>
      <w:szCs w:val="56"/>
    </w:rPr>
  </w:style>
  <w:style w:type="table" w:styleId="GridTable1Light-Accent1">
    <w:name w:val="Grid Table 1 Light Accent 1"/>
    <w:basedOn w:val="TableNormal"/>
    <w:uiPriority w:val="46"/>
    <w:rsid w:val="00B96208"/>
    <w:pPr>
      <w:spacing w:after="0" w:line="240" w:lineRule="auto"/>
    </w:pPr>
    <w:tblPr>
      <w:tblStyleRowBandSize w:val="1"/>
      <w:tblStyleColBandSize w:val="1"/>
      <w:tblBorders>
        <w:top w:val="single" w:sz="4" w:space="0" w:color="7CBEFF" w:themeColor="accent1" w:themeTint="66"/>
        <w:left w:val="single" w:sz="4" w:space="0" w:color="7CBEFF" w:themeColor="accent1" w:themeTint="66"/>
        <w:bottom w:val="single" w:sz="4" w:space="0" w:color="7CBEFF" w:themeColor="accent1" w:themeTint="66"/>
        <w:right w:val="single" w:sz="4" w:space="0" w:color="7CBEFF" w:themeColor="accent1" w:themeTint="66"/>
        <w:insideH w:val="single" w:sz="4" w:space="0" w:color="7CBEFF" w:themeColor="accent1" w:themeTint="66"/>
        <w:insideV w:val="single" w:sz="4" w:space="0" w:color="7CBEFF" w:themeColor="accent1" w:themeTint="66"/>
      </w:tblBorders>
    </w:tblPr>
    <w:tblStylePr w:type="firstRow">
      <w:rPr>
        <w:b/>
        <w:bCs/>
      </w:rPr>
      <w:tblPr/>
      <w:tcPr>
        <w:tcBorders>
          <w:bottom w:val="single" w:sz="12" w:space="0" w:color="3B9FFF" w:themeColor="accent1" w:themeTint="99"/>
        </w:tcBorders>
      </w:tcPr>
    </w:tblStylePr>
    <w:tblStylePr w:type="lastRow">
      <w:rPr>
        <w:b/>
        <w:bCs/>
      </w:rPr>
      <w:tblPr/>
      <w:tcPr>
        <w:tcBorders>
          <w:top w:val="double" w:sz="2" w:space="0" w:color="3B9FFF" w:themeColor="accen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B96208"/>
    <w:pPr>
      <w:spacing w:after="0" w:line="240" w:lineRule="auto"/>
    </w:pPr>
    <w:tblPr>
      <w:tblStyleRowBandSize w:val="1"/>
      <w:tblStyleColBandSize w:val="1"/>
      <w:tblBorders>
        <w:top w:val="single" w:sz="4" w:space="0" w:color="005EB8" w:themeColor="accent1"/>
        <w:left w:val="single" w:sz="4" w:space="0" w:color="005EB8" w:themeColor="accent1"/>
        <w:bottom w:val="single" w:sz="4" w:space="0" w:color="005EB8" w:themeColor="accent1"/>
        <w:right w:val="single" w:sz="4" w:space="0" w:color="005EB8" w:themeColor="accent1"/>
      </w:tblBorders>
    </w:tblPr>
    <w:tblStylePr w:type="firstRow">
      <w:rPr>
        <w:b/>
        <w:bCs/>
        <w:color w:val="FFFFFF" w:themeColor="background1"/>
      </w:rPr>
      <w:tblPr/>
      <w:tcPr>
        <w:shd w:val="clear" w:color="auto" w:fill="005EB8" w:themeFill="accent1"/>
      </w:tcPr>
    </w:tblStylePr>
    <w:tblStylePr w:type="lastRow">
      <w:rPr>
        <w:b/>
        <w:bCs/>
      </w:rPr>
      <w:tblPr/>
      <w:tcPr>
        <w:tcBorders>
          <w:top w:val="double" w:sz="4" w:space="0" w:color="005EB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EB8" w:themeColor="accent1"/>
          <w:right w:val="single" w:sz="4" w:space="0" w:color="005EB8" w:themeColor="accent1"/>
        </w:tcBorders>
      </w:tcPr>
    </w:tblStylePr>
    <w:tblStylePr w:type="band1Horz">
      <w:tblPr/>
      <w:tcPr>
        <w:tcBorders>
          <w:top w:val="single" w:sz="4" w:space="0" w:color="005EB8" w:themeColor="accent1"/>
          <w:bottom w:val="single" w:sz="4" w:space="0" w:color="005EB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EB8" w:themeColor="accent1"/>
          <w:left w:val="nil"/>
        </w:tcBorders>
      </w:tcPr>
    </w:tblStylePr>
    <w:tblStylePr w:type="swCell">
      <w:tblPr/>
      <w:tcPr>
        <w:tcBorders>
          <w:top w:val="double" w:sz="4" w:space="0" w:color="005EB8" w:themeColor="accent1"/>
          <w:right w:val="nil"/>
        </w:tcBorders>
      </w:tcPr>
    </w:tblStylePr>
  </w:style>
  <w:style w:type="table" w:styleId="ListTable3-Accent2">
    <w:name w:val="List Table 3 Accent 2"/>
    <w:basedOn w:val="TableNormal"/>
    <w:uiPriority w:val="48"/>
    <w:rsid w:val="00C54DBF"/>
    <w:pPr>
      <w:spacing w:after="0" w:line="240" w:lineRule="auto"/>
    </w:pPr>
    <w:tblPr>
      <w:tblStyleRowBandSize w:val="1"/>
      <w:tblStyleColBandSize w:val="1"/>
      <w:tblBorders>
        <w:top w:val="single" w:sz="4" w:space="0" w:color="0091DA" w:themeColor="accent2"/>
        <w:left w:val="single" w:sz="4" w:space="0" w:color="0091DA" w:themeColor="accent2"/>
        <w:bottom w:val="single" w:sz="4" w:space="0" w:color="0091DA" w:themeColor="accent2"/>
        <w:right w:val="single" w:sz="4" w:space="0" w:color="0091DA" w:themeColor="accent2"/>
      </w:tblBorders>
    </w:tblPr>
    <w:tblStylePr w:type="firstRow">
      <w:rPr>
        <w:b/>
        <w:bCs/>
        <w:color w:val="FFFFFF" w:themeColor="background1"/>
      </w:rPr>
      <w:tblPr/>
      <w:tcPr>
        <w:shd w:val="clear" w:color="auto" w:fill="0091DA" w:themeFill="accent2"/>
      </w:tcPr>
    </w:tblStylePr>
    <w:tblStylePr w:type="lastRow">
      <w:rPr>
        <w:b/>
        <w:bCs/>
      </w:rPr>
      <w:tblPr/>
      <w:tcPr>
        <w:tcBorders>
          <w:top w:val="double" w:sz="4" w:space="0" w:color="0091D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1DA" w:themeColor="accent2"/>
          <w:right w:val="single" w:sz="4" w:space="0" w:color="0091DA" w:themeColor="accent2"/>
        </w:tcBorders>
      </w:tcPr>
    </w:tblStylePr>
    <w:tblStylePr w:type="band1Horz">
      <w:tblPr/>
      <w:tcPr>
        <w:tcBorders>
          <w:top w:val="single" w:sz="4" w:space="0" w:color="0091DA" w:themeColor="accent2"/>
          <w:bottom w:val="single" w:sz="4" w:space="0" w:color="0091D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1DA" w:themeColor="accent2"/>
          <w:left w:val="nil"/>
        </w:tcBorders>
      </w:tcPr>
    </w:tblStylePr>
    <w:tblStylePr w:type="swCell">
      <w:tblPr/>
      <w:tcPr>
        <w:tcBorders>
          <w:top w:val="double" w:sz="4" w:space="0" w:color="0091DA" w:themeColor="accent2"/>
          <w:right w:val="nil"/>
        </w:tcBorders>
      </w:tcPr>
    </w:tblStylePr>
  </w:style>
  <w:style w:type="paragraph" w:customStyle="1" w:styleId="BodyTextSingleSpacing">
    <w:name w:val="Body Text Single Spacing"/>
    <w:basedOn w:val="BodyText"/>
    <w:uiPriority w:val="1"/>
    <w:rsid w:val="00E361BD"/>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69484">
      <w:bodyDiv w:val="1"/>
      <w:marLeft w:val="0"/>
      <w:marRight w:val="0"/>
      <w:marTop w:val="0"/>
      <w:marBottom w:val="0"/>
      <w:divBdr>
        <w:top w:val="none" w:sz="0" w:space="0" w:color="auto"/>
        <w:left w:val="none" w:sz="0" w:space="0" w:color="auto"/>
        <w:bottom w:val="none" w:sz="0" w:space="0" w:color="auto"/>
        <w:right w:val="none" w:sz="0" w:space="0" w:color="auto"/>
      </w:divBdr>
    </w:div>
    <w:div w:id="36010869">
      <w:bodyDiv w:val="1"/>
      <w:marLeft w:val="0"/>
      <w:marRight w:val="0"/>
      <w:marTop w:val="0"/>
      <w:marBottom w:val="0"/>
      <w:divBdr>
        <w:top w:val="none" w:sz="0" w:space="0" w:color="auto"/>
        <w:left w:val="none" w:sz="0" w:space="0" w:color="auto"/>
        <w:bottom w:val="none" w:sz="0" w:space="0" w:color="auto"/>
        <w:right w:val="none" w:sz="0" w:space="0" w:color="auto"/>
      </w:divBdr>
    </w:div>
    <w:div w:id="88549479">
      <w:bodyDiv w:val="1"/>
      <w:marLeft w:val="0"/>
      <w:marRight w:val="0"/>
      <w:marTop w:val="0"/>
      <w:marBottom w:val="0"/>
      <w:divBdr>
        <w:top w:val="none" w:sz="0" w:space="0" w:color="auto"/>
        <w:left w:val="none" w:sz="0" w:space="0" w:color="auto"/>
        <w:bottom w:val="none" w:sz="0" w:space="0" w:color="auto"/>
        <w:right w:val="none" w:sz="0" w:space="0" w:color="auto"/>
      </w:divBdr>
    </w:div>
    <w:div w:id="146170068">
      <w:bodyDiv w:val="1"/>
      <w:marLeft w:val="0"/>
      <w:marRight w:val="0"/>
      <w:marTop w:val="0"/>
      <w:marBottom w:val="0"/>
      <w:divBdr>
        <w:top w:val="none" w:sz="0" w:space="0" w:color="auto"/>
        <w:left w:val="none" w:sz="0" w:space="0" w:color="auto"/>
        <w:bottom w:val="none" w:sz="0" w:space="0" w:color="auto"/>
        <w:right w:val="none" w:sz="0" w:space="0" w:color="auto"/>
      </w:divBdr>
    </w:div>
    <w:div w:id="229389741">
      <w:bodyDiv w:val="1"/>
      <w:marLeft w:val="0"/>
      <w:marRight w:val="0"/>
      <w:marTop w:val="0"/>
      <w:marBottom w:val="0"/>
      <w:divBdr>
        <w:top w:val="none" w:sz="0" w:space="0" w:color="auto"/>
        <w:left w:val="none" w:sz="0" w:space="0" w:color="auto"/>
        <w:bottom w:val="none" w:sz="0" w:space="0" w:color="auto"/>
        <w:right w:val="none" w:sz="0" w:space="0" w:color="auto"/>
      </w:divBdr>
    </w:div>
    <w:div w:id="397482502">
      <w:bodyDiv w:val="1"/>
      <w:marLeft w:val="0"/>
      <w:marRight w:val="0"/>
      <w:marTop w:val="0"/>
      <w:marBottom w:val="0"/>
      <w:divBdr>
        <w:top w:val="none" w:sz="0" w:space="0" w:color="auto"/>
        <w:left w:val="none" w:sz="0" w:space="0" w:color="auto"/>
        <w:bottom w:val="none" w:sz="0" w:space="0" w:color="auto"/>
        <w:right w:val="none" w:sz="0" w:space="0" w:color="auto"/>
      </w:divBdr>
    </w:div>
    <w:div w:id="440564202">
      <w:bodyDiv w:val="1"/>
      <w:marLeft w:val="0"/>
      <w:marRight w:val="0"/>
      <w:marTop w:val="0"/>
      <w:marBottom w:val="0"/>
      <w:divBdr>
        <w:top w:val="none" w:sz="0" w:space="0" w:color="auto"/>
        <w:left w:val="none" w:sz="0" w:space="0" w:color="auto"/>
        <w:bottom w:val="none" w:sz="0" w:space="0" w:color="auto"/>
        <w:right w:val="none" w:sz="0" w:space="0" w:color="auto"/>
      </w:divBdr>
      <w:divsChild>
        <w:div w:id="707804258">
          <w:marLeft w:val="0"/>
          <w:marRight w:val="0"/>
          <w:marTop w:val="0"/>
          <w:marBottom w:val="0"/>
          <w:divBdr>
            <w:top w:val="none" w:sz="0" w:space="0" w:color="auto"/>
            <w:left w:val="none" w:sz="0" w:space="0" w:color="auto"/>
            <w:bottom w:val="none" w:sz="0" w:space="0" w:color="auto"/>
            <w:right w:val="none" w:sz="0" w:space="0" w:color="auto"/>
          </w:divBdr>
        </w:div>
      </w:divsChild>
    </w:div>
    <w:div w:id="463233612">
      <w:bodyDiv w:val="1"/>
      <w:marLeft w:val="0"/>
      <w:marRight w:val="0"/>
      <w:marTop w:val="0"/>
      <w:marBottom w:val="0"/>
      <w:divBdr>
        <w:top w:val="none" w:sz="0" w:space="0" w:color="auto"/>
        <w:left w:val="none" w:sz="0" w:space="0" w:color="auto"/>
        <w:bottom w:val="none" w:sz="0" w:space="0" w:color="auto"/>
        <w:right w:val="none" w:sz="0" w:space="0" w:color="auto"/>
      </w:divBdr>
    </w:div>
    <w:div w:id="514881860">
      <w:bodyDiv w:val="1"/>
      <w:marLeft w:val="0"/>
      <w:marRight w:val="0"/>
      <w:marTop w:val="0"/>
      <w:marBottom w:val="0"/>
      <w:divBdr>
        <w:top w:val="none" w:sz="0" w:space="0" w:color="auto"/>
        <w:left w:val="none" w:sz="0" w:space="0" w:color="auto"/>
        <w:bottom w:val="none" w:sz="0" w:space="0" w:color="auto"/>
        <w:right w:val="none" w:sz="0" w:space="0" w:color="auto"/>
      </w:divBdr>
    </w:div>
    <w:div w:id="685791645">
      <w:bodyDiv w:val="1"/>
      <w:marLeft w:val="0"/>
      <w:marRight w:val="0"/>
      <w:marTop w:val="0"/>
      <w:marBottom w:val="0"/>
      <w:divBdr>
        <w:top w:val="none" w:sz="0" w:space="0" w:color="auto"/>
        <w:left w:val="none" w:sz="0" w:space="0" w:color="auto"/>
        <w:bottom w:val="none" w:sz="0" w:space="0" w:color="auto"/>
        <w:right w:val="none" w:sz="0" w:space="0" w:color="auto"/>
      </w:divBdr>
    </w:div>
    <w:div w:id="782067569">
      <w:bodyDiv w:val="1"/>
      <w:marLeft w:val="0"/>
      <w:marRight w:val="0"/>
      <w:marTop w:val="0"/>
      <w:marBottom w:val="0"/>
      <w:divBdr>
        <w:top w:val="none" w:sz="0" w:space="0" w:color="auto"/>
        <w:left w:val="none" w:sz="0" w:space="0" w:color="auto"/>
        <w:bottom w:val="none" w:sz="0" w:space="0" w:color="auto"/>
        <w:right w:val="none" w:sz="0" w:space="0" w:color="auto"/>
      </w:divBdr>
      <w:divsChild>
        <w:div w:id="461194303">
          <w:marLeft w:val="274"/>
          <w:marRight w:val="0"/>
          <w:marTop w:val="0"/>
          <w:marBottom w:val="0"/>
          <w:divBdr>
            <w:top w:val="none" w:sz="0" w:space="0" w:color="auto"/>
            <w:left w:val="none" w:sz="0" w:space="0" w:color="auto"/>
            <w:bottom w:val="none" w:sz="0" w:space="0" w:color="auto"/>
            <w:right w:val="none" w:sz="0" w:space="0" w:color="auto"/>
          </w:divBdr>
        </w:div>
        <w:div w:id="666860188">
          <w:marLeft w:val="274"/>
          <w:marRight w:val="0"/>
          <w:marTop w:val="0"/>
          <w:marBottom w:val="0"/>
          <w:divBdr>
            <w:top w:val="none" w:sz="0" w:space="0" w:color="auto"/>
            <w:left w:val="none" w:sz="0" w:space="0" w:color="auto"/>
            <w:bottom w:val="none" w:sz="0" w:space="0" w:color="auto"/>
            <w:right w:val="none" w:sz="0" w:space="0" w:color="auto"/>
          </w:divBdr>
        </w:div>
        <w:div w:id="721100534">
          <w:marLeft w:val="274"/>
          <w:marRight w:val="0"/>
          <w:marTop w:val="0"/>
          <w:marBottom w:val="0"/>
          <w:divBdr>
            <w:top w:val="none" w:sz="0" w:space="0" w:color="auto"/>
            <w:left w:val="none" w:sz="0" w:space="0" w:color="auto"/>
            <w:bottom w:val="none" w:sz="0" w:space="0" w:color="auto"/>
            <w:right w:val="none" w:sz="0" w:space="0" w:color="auto"/>
          </w:divBdr>
        </w:div>
        <w:div w:id="922762268">
          <w:marLeft w:val="274"/>
          <w:marRight w:val="0"/>
          <w:marTop w:val="0"/>
          <w:marBottom w:val="0"/>
          <w:divBdr>
            <w:top w:val="none" w:sz="0" w:space="0" w:color="auto"/>
            <w:left w:val="none" w:sz="0" w:space="0" w:color="auto"/>
            <w:bottom w:val="none" w:sz="0" w:space="0" w:color="auto"/>
            <w:right w:val="none" w:sz="0" w:space="0" w:color="auto"/>
          </w:divBdr>
        </w:div>
        <w:div w:id="943685590">
          <w:marLeft w:val="274"/>
          <w:marRight w:val="0"/>
          <w:marTop w:val="0"/>
          <w:marBottom w:val="0"/>
          <w:divBdr>
            <w:top w:val="none" w:sz="0" w:space="0" w:color="auto"/>
            <w:left w:val="none" w:sz="0" w:space="0" w:color="auto"/>
            <w:bottom w:val="none" w:sz="0" w:space="0" w:color="auto"/>
            <w:right w:val="none" w:sz="0" w:space="0" w:color="auto"/>
          </w:divBdr>
        </w:div>
        <w:div w:id="1218395993">
          <w:marLeft w:val="274"/>
          <w:marRight w:val="0"/>
          <w:marTop w:val="0"/>
          <w:marBottom w:val="0"/>
          <w:divBdr>
            <w:top w:val="none" w:sz="0" w:space="0" w:color="auto"/>
            <w:left w:val="none" w:sz="0" w:space="0" w:color="auto"/>
            <w:bottom w:val="none" w:sz="0" w:space="0" w:color="auto"/>
            <w:right w:val="none" w:sz="0" w:space="0" w:color="auto"/>
          </w:divBdr>
        </w:div>
        <w:div w:id="1448502739">
          <w:marLeft w:val="274"/>
          <w:marRight w:val="0"/>
          <w:marTop w:val="0"/>
          <w:marBottom w:val="0"/>
          <w:divBdr>
            <w:top w:val="none" w:sz="0" w:space="0" w:color="auto"/>
            <w:left w:val="none" w:sz="0" w:space="0" w:color="auto"/>
            <w:bottom w:val="none" w:sz="0" w:space="0" w:color="auto"/>
            <w:right w:val="none" w:sz="0" w:space="0" w:color="auto"/>
          </w:divBdr>
        </w:div>
        <w:div w:id="1687755782">
          <w:marLeft w:val="274"/>
          <w:marRight w:val="0"/>
          <w:marTop w:val="0"/>
          <w:marBottom w:val="0"/>
          <w:divBdr>
            <w:top w:val="none" w:sz="0" w:space="0" w:color="auto"/>
            <w:left w:val="none" w:sz="0" w:space="0" w:color="auto"/>
            <w:bottom w:val="none" w:sz="0" w:space="0" w:color="auto"/>
            <w:right w:val="none" w:sz="0" w:space="0" w:color="auto"/>
          </w:divBdr>
        </w:div>
        <w:div w:id="1862434522">
          <w:marLeft w:val="274"/>
          <w:marRight w:val="0"/>
          <w:marTop w:val="0"/>
          <w:marBottom w:val="0"/>
          <w:divBdr>
            <w:top w:val="none" w:sz="0" w:space="0" w:color="auto"/>
            <w:left w:val="none" w:sz="0" w:space="0" w:color="auto"/>
            <w:bottom w:val="none" w:sz="0" w:space="0" w:color="auto"/>
            <w:right w:val="none" w:sz="0" w:space="0" w:color="auto"/>
          </w:divBdr>
        </w:div>
        <w:div w:id="2038313681">
          <w:marLeft w:val="274"/>
          <w:marRight w:val="0"/>
          <w:marTop w:val="0"/>
          <w:marBottom w:val="0"/>
          <w:divBdr>
            <w:top w:val="none" w:sz="0" w:space="0" w:color="auto"/>
            <w:left w:val="none" w:sz="0" w:space="0" w:color="auto"/>
            <w:bottom w:val="none" w:sz="0" w:space="0" w:color="auto"/>
            <w:right w:val="none" w:sz="0" w:space="0" w:color="auto"/>
          </w:divBdr>
        </w:div>
        <w:div w:id="2059350951">
          <w:marLeft w:val="274"/>
          <w:marRight w:val="0"/>
          <w:marTop w:val="0"/>
          <w:marBottom w:val="0"/>
          <w:divBdr>
            <w:top w:val="none" w:sz="0" w:space="0" w:color="auto"/>
            <w:left w:val="none" w:sz="0" w:space="0" w:color="auto"/>
            <w:bottom w:val="none" w:sz="0" w:space="0" w:color="auto"/>
            <w:right w:val="none" w:sz="0" w:space="0" w:color="auto"/>
          </w:divBdr>
        </w:div>
        <w:div w:id="2094037550">
          <w:marLeft w:val="274"/>
          <w:marRight w:val="0"/>
          <w:marTop w:val="0"/>
          <w:marBottom w:val="0"/>
          <w:divBdr>
            <w:top w:val="none" w:sz="0" w:space="0" w:color="auto"/>
            <w:left w:val="none" w:sz="0" w:space="0" w:color="auto"/>
            <w:bottom w:val="none" w:sz="0" w:space="0" w:color="auto"/>
            <w:right w:val="none" w:sz="0" w:space="0" w:color="auto"/>
          </w:divBdr>
        </w:div>
      </w:divsChild>
    </w:div>
    <w:div w:id="806897389">
      <w:bodyDiv w:val="1"/>
      <w:marLeft w:val="0"/>
      <w:marRight w:val="0"/>
      <w:marTop w:val="0"/>
      <w:marBottom w:val="0"/>
      <w:divBdr>
        <w:top w:val="none" w:sz="0" w:space="0" w:color="auto"/>
        <w:left w:val="none" w:sz="0" w:space="0" w:color="auto"/>
        <w:bottom w:val="none" w:sz="0" w:space="0" w:color="auto"/>
        <w:right w:val="none" w:sz="0" w:space="0" w:color="auto"/>
      </w:divBdr>
    </w:div>
    <w:div w:id="826937420">
      <w:bodyDiv w:val="1"/>
      <w:marLeft w:val="0"/>
      <w:marRight w:val="0"/>
      <w:marTop w:val="0"/>
      <w:marBottom w:val="0"/>
      <w:divBdr>
        <w:top w:val="none" w:sz="0" w:space="0" w:color="auto"/>
        <w:left w:val="none" w:sz="0" w:space="0" w:color="auto"/>
        <w:bottom w:val="none" w:sz="0" w:space="0" w:color="auto"/>
        <w:right w:val="none" w:sz="0" w:space="0" w:color="auto"/>
      </w:divBdr>
    </w:div>
    <w:div w:id="869489969">
      <w:bodyDiv w:val="1"/>
      <w:marLeft w:val="0"/>
      <w:marRight w:val="0"/>
      <w:marTop w:val="0"/>
      <w:marBottom w:val="0"/>
      <w:divBdr>
        <w:top w:val="none" w:sz="0" w:space="0" w:color="auto"/>
        <w:left w:val="none" w:sz="0" w:space="0" w:color="auto"/>
        <w:bottom w:val="none" w:sz="0" w:space="0" w:color="auto"/>
        <w:right w:val="none" w:sz="0" w:space="0" w:color="auto"/>
      </w:divBdr>
    </w:div>
    <w:div w:id="1001003695">
      <w:bodyDiv w:val="1"/>
      <w:marLeft w:val="0"/>
      <w:marRight w:val="0"/>
      <w:marTop w:val="0"/>
      <w:marBottom w:val="0"/>
      <w:divBdr>
        <w:top w:val="none" w:sz="0" w:space="0" w:color="auto"/>
        <w:left w:val="none" w:sz="0" w:space="0" w:color="auto"/>
        <w:bottom w:val="none" w:sz="0" w:space="0" w:color="auto"/>
        <w:right w:val="none" w:sz="0" w:space="0" w:color="auto"/>
      </w:divBdr>
    </w:div>
    <w:div w:id="1065838150">
      <w:bodyDiv w:val="1"/>
      <w:marLeft w:val="0"/>
      <w:marRight w:val="0"/>
      <w:marTop w:val="0"/>
      <w:marBottom w:val="0"/>
      <w:divBdr>
        <w:top w:val="none" w:sz="0" w:space="0" w:color="auto"/>
        <w:left w:val="none" w:sz="0" w:space="0" w:color="auto"/>
        <w:bottom w:val="none" w:sz="0" w:space="0" w:color="auto"/>
        <w:right w:val="none" w:sz="0" w:space="0" w:color="auto"/>
      </w:divBdr>
    </w:div>
    <w:div w:id="1095711874">
      <w:bodyDiv w:val="1"/>
      <w:marLeft w:val="0"/>
      <w:marRight w:val="0"/>
      <w:marTop w:val="0"/>
      <w:marBottom w:val="0"/>
      <w:divBdr>
        <w:top w:val="none" w:sz="0" w:space="0" w:color="auto"/>
        <w:left w:val="none" w:sz="0" w:space="0" w:color="auto"/>
        <w:bottom w:val="none" w:sz="0" w:space="0" w:color="auto"/>
        <w:right w:val="none" w:sz="0" w:space="0" w:color="auto"/>
      </w:divBdr>
    </w:div>
    <w:div w:id="1116682955">
      <w:bodyDiv w:val="1"/>
      <w:marLeft w:val="0"/>
      <w:marRight w:val="0"/>
      <w:marTop w:val="0"/>
      <w:marBottom w:val="0"/>
      <w:divBdr>
        <w:top w:val="none" w:sz="0" w:space="0" w:color="auto"/>
        <w:left w:val="none" w:sz="0" w:space="0" w:color="auto"/>
        <w:bottom w:val="none" w:sz="0" w:space="0" w:color="auto"/>
        <w:right w:val="none" w:sz="0" w:space="0" w:color="auto"/>
      </w:divBdr>
    </w:div>
    <w:div w:id="1165635444">
      <w:bodyDiv w:val="1"/>
      <w:marLeft w:val="0"/>
      <w:marRight w:val="0"/>
      <w:marTop w:val="0"/>
      <w:marBottom w:val="0"/>
      <w:divBdr>
        <w:top w:val="none" w:sz="0" w:space="0" w:color="auto"/>
        <w:left w:val="none" w:sz="0" w:space="0" w:color="auto"/>
        <w:bottom w:val="none" w:sz="0" w:space="0" w:color="auto"/>
        <w:right w:val="none" w:sz="0" w:space="0" w:color="auto"/>
      </w:divBdr>
    </w:div>
    <w:div w:id="1174808195">
      <w:bodyDiv w:val="1"/>
      <w:marLeft w:val="0"/>
      <w:marRight w:val="0"/>
      <w:marTop w:val="0"/>
      <w:marBottom w:val="0"/>
      <w:divBdr>
        <w:top w:val="none" w:sz="0" w:space="0" w:color="auto"/>
        <w:left w:val="none" w:sz="0" w:space="0" w:color="auto"/>
        <w:bottom w:val="none" w:sz="0" w:space="0" w:color="auto"/>
        <w:right w:val="none" w:sz="0" w:space="0" w:color="auto"/>
      </w:divBdr>
    </w:div>
    <w:div w:id="1203664884">
      <w:bodyDiv w:val="1"/>
      <w:marLeft w:val="0"/>
      <w:marRight w:val="0"/>
      <w:marTop w:val="0"/>
      <w:marBottom w:val="0"/>
      <w:divBdr>
        <w:top w:val="none" w:sz="0" w:space="0" w:color="auto"/>
        <w:left w:val="none" w:sz="0" w:space="0" w:color="auto"/>
        <w:bottom w:val="none" w:sz="0" w:space="0" w:color="auto"/>
        <w:right w:val="none" w:sz="0" w:space="0" w:color="auto"/>
      </w:divBdr>
    </w:div>
    <w:div w:id="1258059061">
      <w:bodyDiv w:val="1"/>
      <w:marLeft w:val="0"/>
      <w:marRight w:val="0"/>
      <w:marTop w:val="0"/>
      <w:marBottom w:val="0"/>
      <w:divBdr>
        <w:top w:val="none" w:sz="0" w:space="0" w:color="auto"/>
        <w:left w:val="none" w:sz="0" w:space="0" w:color="auto"/>
        <w:bottom w:val="none" w:sz="0" w:space="0" w:color="auto"/>
        <w:right w:val="none" w:sz="0" w:space="0" w:color="auto"/>
      </w:divBdr>
    </w:div>
    <w:div w:id="1356730327">
      <w:bodyDiv w:val="1"/>
      <w:marLeft w:val="0"/>
      <w:marRight w:val="0"/>
      <w:marTop w:val="0"/>
      <w:marBottom w:val="0"/>
      <w:divBdr>
        <w:top w:val="none" w:sz="0" w:space="0" w:color="auto"/>
        <w:left w:val="none" w:sz="0" w:space="0" w:color="auto"/>
        <w:bottom w:val="none" w:sz="0" w:space="0" w:color="auto"/>
        <w:right w:val="none" w:sz="0" w:space="0" w:color="auto"/>
      </w:divBdr>
    </w:div>
    <w:div w:id="1492404557">
      <w:bodyDiv w:val="1"/>
      <w:marLeft w:val="0"/>
      <w:marRight w:val="0"/>
      <w:marTop w:val="0"/>
      <w:marBottom w:val="0"/>
      <w:divBdr>
        <w:top w:val="none" w:sz="0" w:space="0" w:color="auto"/>
        <w:left w:val="none" w:sz="0" w:space="0" w:color="auto"/>
        <w:bottom w:val="none" w:sz="0" w:space="0" w:color="auto"/>
        <w:right w:val="none" w:sz="0" w:space="0" w:color="auto"/>
      </w:divBdr>
    </w:div>
    <w:div w:id="1508061716">
      <w:bodyDiv w:val="1"/>
      <w:marLeft w:val="0"/>
      <w:marRight w:val="0"/>
      <w:marTop w:val="0"/>
      <w:marBottom w:val="0"/>
      <w:divBdr>
        <w:top w:val="none" w:sz="0" w:space="0" w:color="auto"/>
        <w:left w:val="none" w:sz="0" w:space="0" w:color="auto"/>
        <w:bottom w:val="none" w:sz="0" w:space="0" w:color="auto"/>
        <w:right w:val="none" w:sz="0" w:space="0" w:color="auto"/>
      </w:divBdr>
    </w:div>
    <w:div w:id="1510289501">
      <w:bodyDiv w:val="1"/>
      <w:marLeft w:val="0"/>
      <w:marRight w:val="0"/>
      <w:marTop w:val="0"/>
      <w:marBottom w:val="0"/>
      <w:divBdr>
        <w:top w:val="none" w:sz="0" w:space="0" w:color="auto"/>
        <w:left w:val="none" w:sz="0" w:space="0" w:color="auto"/>
        <w:bottom w:val="none" w:sz="0" w:space="0" w:color="auto"/>
        <w:right w:val="none" w:sz="0" w:space="0" w:color="auto"/>
      </w:divBdr>
    </w:div>
    <w:div w:id="1551569312">
      <w:bodyDiv w:val="1"/>
      <w:marLeft w:val="0"/>
      <w:marRight w:val="0"/>
      <w:marTop w:val="0"/>
      <w:marBottom w:val="0"/>
      <w:divBdr>
        <w:top w:val="none" w:sz="0" w:space="0" w:color="auto"/>
        <w:left w:val="none" w:sz="0" w:space="0" w:color="auto"/>
        <w:bottom w:val="none" w:sz="0" w:space="0" w:color="auto"/>
        <w:right w:val="none" w:sz="0" w:space="0" w:color="auto"/>
      </w:divBdr>
    </w:div>
    <w:div w:id="1560743219">
      <w:bodyDiv w:val="1"/>
      <w:marLeft w:val="0"/>
      <w:marRight w:val="0"/>
      <w:marTop w:val="0"/>
      <w:marBottom w:val="0"/>
      <w:divBdr>
        <w:top w:val="none" w:sz="0" w:space="0" w:color="auto"/>
        <w:left w:val="none" w:sz="0" w:space="0" w:color="auto"/>
        <w:bottom w:val="none" w:sz="0" w:space="0" w:color="auto"/>
        <w:right w:val="none" w:sz="0" w:space="0" w:color="auto"/>
      </w:divBdr>
    </w:div>
    <w:div w:id="1641686588">
      <w:bodyDiv w:val="1"/>
      <w:marLeft w:val="0"/>
      <w:marRight w:val="0"/>
      <w:marTop w:val="0"/>
      <w:marBottom w:val="0"/>
      <w:divBdr>
        <w:top w:val="none" w:sz="0" w:space="0" w:color="auto"/>
        <w:left w:val="none" w:sz="0" w:space="0" w:color="auto"/>
        <w:bottom w:val="none" w:sz="0" w:space="0" w:color="auto"/>
        <w:right w:val="none" w:sz="0" w:space="0" w:color="auto"/>
      </w:divBdr>
    </w:div>
    <w:div w:id="1691642586">
      <w:bodyDiv w:val="1"/>
      <w:marLeft w:val="0"/>
      <w:marRight w:val="0"/>
      <w:marTop w:val="0"/>
      <w:marBottom w:val="0"/>
      <w:divBdr>
        <w:top w:val="none" w:sz="0" w:space="0" w:color="auto"/>
        <w:left w:val="none" w:sz="0" w:space="0" w:color="auto"/>
        <w:bottom w:val="none" w:sz="0" w:space="0" w:color="auto"/>
        <w:right w:val="none" w:sz="0" w:space="0" w:color="auto"/>
      </w:divBdr>
    </w:div>
    <w:div w:id="1703943673">
      <w:bodyDiv w:val="1"/>
      <w:marLeft w:val="0"/>
      <w:marRight w:val="0"/>
      <w:marTop w:val="0"/>
      <w:marBottom w:val="0"/>
      <w:divBdr>
        <w:top w:val="none" w:sz="0" w:space="0" w:color="auto"/>
        <w:left w:val="none" w:sz="0" w:space="0" w:color="auto"/>
        <w:bottom w:val="none" w:sz="0" w:space="0" w:color="auto"/>
        <w:right w:val="none" w:sz="0" w:space="0" w:color="auto"/>
      </w:divBdr>
    </w:div>
    <w:div w:id="1705057928">
      <w:bodyDiv w:val="1"/>
      <w:marLeft w:val="0"/>
      <w:marRight w:val="0"/>
      <w:marTop w:val="0"/>
      <w:marBottom w:val="0"/>
      <w:divBdr>
        <w:top w:val="none" w:sz="0" w:space="0" w:color="auto"/>
        <w:left w:val="none" w:sz="0" w:space="0" w:color="auto"/>
        <w:bottom w:val="none" w:sz="0" w:space="0" w:color="auto"/>
        <w:right w:val="none" w:sz="0" w:space="0" w:color="auto"/>
      </w:divBdr>
    </w:div>
    <w:div w:id="1747916699">
      <w:bodyDiv w:val="1"/>
      <w:marLeft w:val="0"/>
      <w:marRight w:val="0"/>
      <w:marTop w:val="0"/>
      <w:marBottom w:val="0"/>
      <w:divBdr>
        <w:top w:val="none" w:sz="0" w:space="0" w:color="auto"/>
        <w:left w:val="none" w:sz="0" w:space="0" w:color="auto"/>
        <w:bottom w:val="none" w:sz="0" w:space="0" w:color="auto"/>
        <w:right w:val="none" w:sz="0" w:space="0" w:color="auto"/>
      </w:divBdr>
    </w:div>
    <w:div w:id="1880168132">
      <w:bodyDiv w:val="1"/>
      <w:marLeft w:val="0"/>
      <w:marRight w:val="0"/>
      <w:marTop w:val="0"/>
      <w:marBottom w:val="0"/>
      <w:divBdr>
        <w:top w:val="none" w:sz="0" w:space="0" w:color="auto"/>
        <w:left w:val="none" w:sz="0" w:space="0" w:color="auto"/>
        <w:bottom w:val="none" w:sz="0" w:space="0" w:color="auto"/>
        <w:right w:val="none" w:sz="0" w:space="0" w:color="auto"/>
      </w:divBdr>
    </w:div>
    <w:div w:id="1900281912">
      <w:bodyDiv w:val="1"/>
      <w:marLeft w:val="0"/>
      <w:marRight w:val="0"/>
      <w:marTop w:val="0"/>
      <w:marBottom w:val="0"/>
      <w:divBdr>
        <w:top w:val="none" w:sz="0" w:space="0" w:color="auto"/>
        <w:left w:val="none" w:sz="0" w:space="0" w:color="auto"/>
        <w:bottom w:val="none" w:sz="0" w:space="0" w:color="auto"/>
        <w:right w:val="none" w:sz="0" w:space="0" w:color="auto"/>
      </w:divBdr>
    </w:div>
    <w:div w:id="1911765517">
      <w:bodyDiv w:val="1"/>
      <w:marLeft w:val="0"/>
      <w:marRight w:val="0"/>
      <w:marTop w:val="0"/>
      <w:marBottom w:val="0"/>
      <w:divBdr>
        <w:top w:val="none" w:sz="0" w:space="0" w:color="auto"/>
        <w:left w:val="none" w:sz="0" w:space="0" w:color="auto"/>
        <w:bottom w:val="none" w:sz="0" w:space="0" w:color="auto"/>
        <w:right w:val="none" w:sz="0" w:space="0" w:color="auto"/>
      </w:divBdr>
    </w:div>
    <w:div w:id="2034258445">
      <w:bodyDiv w:val="1"/>
      <w:marLeft w:val="0"/>
      <w:marRight w:val="0"/>
      <w:marTop w:val="0"/>
      <w:marBottom w:val="0"/>
      <w:divBdr>
        <w:top w:val="none" w:sz="0" w:space="0" w:color="auto"/>
        <w:left w:val="none" w:sz="0" w:space="0" w:color="auto"/>
        <w:bottom w:val="none" w:sz="0" w:space="0" w:color="auto"/>
        <w:right w:val="none" w:sz="0" w:space="0" w:color="auto"/>
      </w:divBdr>
    </w:div>
    <w:div w:id="2050371857">
      <w:bodyDiv w:val="1"/>
      <w:marLeft w:val="0"/>
      <w:marRight w:val="0"/>
      <w:marTop w:val="0"/>
      <w:marBottom w:val="0"/>
      <w:divBdr>
        <w:top w:val="none" w:sz="0" w:space="0" w:color="auto"/>
        <w:left w:val="none" w:sz="0" w:space="0" w:color="auto"/>
        <w:bottom w:val="none" w:sz="0" w:space="0" w:color="auto"/>
        <w:right w:val="none" w:sz="0" w:space="0" w:color="auto"/>
      </w:divBdr>
    </w:div>
    <w:div w:id="2061047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image" Target="media/image3.emf"/><Relationship Id="rId39" Type="http://schemas.openxmlformats.org/officeDocument/2006/relationships/image" Target="media/image13.emf"/><Relationship Id="rId21" Type="http://schemas.openxmlformats.org/officeDocument/2006/relationships/footer" Target="footer7.xml"/><Relationship Id="rId34" Type="http://schemas.openxmlformats.org/officeDocument/2006/relationships/image" Target="media/image9.emf"/><Relationship Id="rId42" Type="http://schemas.openxmlformats.org/officeDocument/2006/relationships/chart" Target="charts/chart4.xml"/><Relationship Id="rId47" Type="http://schemas.openxmlformats.org/officeDocument/2006/relationships/image" Target="media/image17.emf"/><Relationship Id="rId50" Type="http://schemas.openxmlformats.org/officeDocument/2006/relationships/image" Target="media/image18.emf"/><Relationship Id="rId55" Type="http://schemas.openxmlformats.org/officeDocument/2006/relationships/chart" Target="charts/chart10.xml"/><Relationship Id="rId63" Type="http://schemas.openxmlformats.org/officeDocument/2006/relationships/chart" Target="charts/chart13.xml"/><Relationship Id="rId68" Type="http://schemas.openxmlformats.org/officeDocument/2006/relationships/chart" Target="charts/chart17.xml"/><Relationship Id="rId76" Type="http://schemas.openxmlformats.org/officeDocument/2006/relationships/chart" Target="charts/chart19.xml"/><Relationship Id="rId7" Type="http://schemas.openxmlformats.org/officeDocument/2006/relationships/endnotes" Target="endnotes.xml"/><Relationship Id="rId71"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5.emf"/><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chart" Target="charts/chart1.xml"/><Relationship Id="rId37" Type="http://schemas.openxmlformats.org/officeDocument/2006/relationships/image" Target="media/image11.png"/><Relationship Id="rId40" Type="http://schemas.openxmlformats.org/officeDocument/2006/relationships/chart" Target="charts/chart3.xml"/><Relationship Id="rId45" Type="http://schemas.openxmlformats.org/officeDocument/2006/relationships/chart" Target="charts/chart5.xml"/><Relationship Id="rId53" Type="http://schemas.openxmlformats.org/officeDocument/2006/relationships/image" Target="media/image20.emf"/><Relationship Id="rId58" Type="http://schemas.openxmlformats.org/officeDocument/2006/relationships/chart" Target="charts/chart11.xml"/><Relationship Id="rId66" Type="http://schemas.openxmlformats.org/officeDocument/2006/relationships/chart" Target="charts/chart15.xml"/><Relationship Id="rId74" Type="http://schemas.openxmlformats.org/officeDocument/2006/relationships/image" Target="media/image31.emf"/><Relationship Id="rId79" Type="http://schemas.openxmlformats.org/officeDocument/2006/relationships/hyperlink" Target="mailto:mkalms@kpmg.com.au" TargetMode="External"/><Relationship Id="rId5" Type="http://schemas.openxmlformats.org/officeDocument/2006/relationships/webSettings" Target="webSettings.xml"/><Relationship Id="rId61" Type="http://schemas.openxmlformats.org/officeDocument/2006/relationships/image" Target="media/image25.emf"/><Relationship Id="rId82"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7.emf"/><Relationship Id="rId44" Type="http://schemas.openxmlformats.org/officeDocument/2006/relationships/image" Target="media/image16.emf"/><Relationship Id="rId52" Type="http://schemas.openxmlformats.org/officeDocument/2006/relationships/chart" Target="charts/chart9.xml"/><Relationship Id="rId60" Type="http://schemas.openxmlformats.org/officeDocument/2006/relationships/chart" Target="charts/chart12.xml"/><Relationship Id="rId65" Type="http://schemas.openxmlformats.org/officeDocument/2006/relationships/chart" Target="charts/chart14.xml"/><Relationship Id="rId73" Type="http://schemas.openxmlformats.org/officeDocument/2006/relationships/image" Target="media/image30.emf"/><Relationship Id="rId78" Type="http://schemas.openxmlformats.org/officeDocument/2006/relationships/hyperlink" Target="mailto:bjrynne@kpmg.com.au" TargetMode="External"/><Relationship Id="rId81"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image" Target="media/image4.png"/><Relationship Id="rId30" Type="http://schemas.openxmlformats.org/officeDocument/2006/relationships/image" Target="media/image6.emf"/><Relationship Id="rId35" Type="http://schemas.openxmlformats.org/officeDocument/2006/relationships/chart" Target="charts/chart2.xml"/><Relationship Id="rId43" Type="http://schemas.openxmlformats.org/officeDocument/2006/relationships/image" Target="media/image15.emf"/><Relationship Id="rId48" Type="http://schemas.openxmlformats.org/officeDocument/2006/relationships/chart" Target="charts/chart7.xml"/><Relationship Id="rId56" Type="http://schemas.openxmlformats.org/officeDocument/2006/relationships/image" Target="media/image22.emf"/><Relationship Id="rId64" Type="http://schemas.openxmlformats.org/officeDocument/2006/relationships/image" Target="media/image27.emf"/><Relationship Id="rId69" Type="http://schemas.openxmlformats.org/officeDocument/2006/relationships/image" Target="media/image28.emf"/><Relationship Id="rId77" Type="http://schemas.openxmlformats.org/officeDocument/2006/relationships/chart" Target="charts/chart20.xml"/><Relationship Id="rId8" Type="http://schemas.openxmlformats.org/officeDocument/2006/relationships/header" Target="header1.xml"/><Relationship Id="rId51" Type="http://schemas.openxmlformats.org/officeDocument/2006/relationships/image" Target="media/image19.emf"/><Relationship Id="rId72" Type="http://schemas.openxmlformats.org/officeDocument/2006/relationships/footer" Target="footer10.xml"/><Relationship Id="rId80" Type="http://schemas.openxmlformats.org/officeDocument/2006/relationships/header" Target="header1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image" Target="media/image8.emf"/><Relationship Id="rId38" Type="http://schemas.openxmlformats.org/officeDocument/2006/relationships/image" Target="media/image12.emf"/><Relationship Id="rId46" Type="http://schemas.openxmlformats.org/officeDocument/2006/relationships/chart" Target="charts/chart6.xml"/><Relationship Id="rId59" Type="http://schemas.openxmlformats.org/officeDocument/2006/relationships/image" Target="media/image24.emf"/><Relationship Id="rId67" Type="http://schemas.openxmlformats.org/officeDocument/2006/relationships/chart" Target="charts/chart16.xml"/><Relationship Id="rId20" Type="http://schemas.openxmlformats.org/officeDocument/2006/relationships/header" Target="header6.xml"/><Relationship Id="rId41" Type="http://schemas.openxmlformats.org/officeDocument/2006/relationships/image" Target="media/image14.emf"/><Relationship Id="rId54" Type="http://schemas.openxmlformats.org/officeDocument/2006/relationships/image" Target="media/image21.emf"/><Relationship Id="rId62" Type="http://schemas.openxmlformats.org/officeDocument/2006/relationships/image" Target="media/image26.emf"/><Relationship Id="rId70" Type="http://schemas.openxmlformats.org/officeDocument/2006/relationships/image" Target="media/image29.emf"/><Relationship Id="rId75" Type="http://schemas.openxmlformats.org/officeDocument/2006/relationships/chart" Target="charts/chart18.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image" Target="media/image10.emf"/><Relationship Id="rId49" Type="http://schemas.openxmlformats.org/officeDocument/2006/relationships/chart" Target="charts/chart8.xml"/><Relationship Id="rId57" Type="http://schemas.openxmlformats.org/officeDocument/2006/relationships/image" Target="media/image23.emf"/></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3" Type="http://schemas.openxmlformats.org/officeDocument/2006/relationships/hyperlink" Target="https://www.oecd-ilibrary.org/docserver/5jlv73sqqp8r-en.pdf?expires=1544142088&amp;id=id&amp;accname=guest&amp;checksum=924C5B2352ADC2840432C2CCA2233FED" TargetMode="External"/><Relationship Id="rId2" Type="http://schemas.openxmlformats.org/officeDocument/2006/relationships/hyperlink" Target="https://www.seeingmachines.com/about/" TargetMode="External"/><Relationship Id="rId1" Type="http://schemas.openxmlformats.org/officeDocument/2006/relationships/hyperlink" Target="https://www.seeingmachines.com/industry-applications/aviation/" TargetMode="External"/><Relationship Id="rId6" Type="http://schemas.openxmlformats.org/officeDocument/2006/relationships/hyperlink" Target="http://www.australiandefence.com.au/news/thomas-global-to-manufacture-safran-technologies-locally" TargetMode="External"/><Relationship Id="rId5" Type="http://schemas.openxmlformats.org/officeDocument/2006/relationships/hyperlink" Target="https://www.minister.defence.gov.au/minister/marise-payne/media-releases/minister-defence-minister-opens-thomas-globals-new-innovation" TargetMode="External"/><Relationship Id="rId4" Type="http://schemas.openxmlformats.org/officeDocument/2006/relationships/hyperlink" Target="http://dx.doi.org/10.1787/5jlv73sqqp8r-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1" Type="http://schemas.openxmlformats.org/officeDocument/2006/relationships/oleObject" Target="file:///\\aucanfsr01\_Advisory\GAS\Shared%20Excel%20Workbooks\EconModelling\Sales\4%20-%20Job\J%20-%20DIIS%20-%20Aerospace%20-%202018%20-%20341865\_Stage3-Deliver%20(9-14)\12_WorkingPapers\D_Draft%20reports\ReportCharts_final2.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aucanfsr01\_Advisory\GAS\Shared%20Excel%20Workbooks\EconModelling\Sales\4%20-%20Job\J%20-%20DIIS%20-%20Aerospace%20-%202018%20-%20341865\_Stage3-Deliver%20(9-14)\12_WorkingPapers\D_Draft%20reports\ReportCharts_final.xlsx" TargetMode="External"/><Relationship Id="rId2" Type="http://schemas.microsoft.com/office/2011/relationships/chartColorStyle" Target="colors2.xml"/><Relationship Id="rId1" Type="http://schemas.microsoft.com/office/2011/relationships/chartStyle" Target="style2.xml"/></Relationships>
</file>

<file path=word/charts/_rels/chart11.xml.rels><?xml version="1.0" encoding="UTF-8" standalone="yes"?>
<Relationships xmlns="http://schemas.openxmlformats.org/package/2006/relationships"><Relationship Id="rId2" Type="http://schemas.openxmlformats.org/officeDocument/2006/relationships/oleObject" Target="file:///\\aucanfsr01\_Advisory\GAS\Shared%20Excel%20Workbooks\EconModelling\Sales\4%20-%20Job\J%20-%20DIIS%20-%20Aerospace%20-%202018%20-%20341865\_Stage3-Deliver%20(9-14)\12_WorkingPapers\D_Draft%20reports\Charts_aerospace.xlsx" TargetMode="External"/><Relationship Id="rId1" Type="http://schemas.openxmlformats.org/officeDocument/2006/relationships/themeOverride" Target="../theme/themeOverride1.xml"/></Relationships>
</file>

<file path=word/charts/_rels/chart12.xml.rels><?xml version="1.0" encoding="UTF-8" standalone="yes"?>
<Relationships xmlns="http://schemas.openxmlformats.org/package/2006/relationships"><Relationship Id="rId1" Type="http://schemas.openxmlformats.org/officeDocument/2006/relationships/oleObject" Target="file:///\\aucanfsr01\_Advisory\GAS\Shared%20Excel%20Workbooks\EconModelling\Sales\4%20-%20Job\J%20-%20DIIS%20-%20Aerospace%20-%202018%20-%20341865\_Stage3-Deliver%20(9-14)\12_WorkingPapers\D_Draft%20reports\Charts_aerospace3.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aucanfsr01\_Advisory\GAS\Shared%20Excel%20Workbooks\EconModelling\Sales\4%20-%20Job\J%20-%20DIIS%20-%20Aerospace%20-%202018%20-%20341865\_Stage3-Deliver%20(9-14)\12_WorkingPapers\D_Draft%20reports\Charts_aerospace.xlsx" TargetMode="External"/><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3" Type="http://schemas.openxmlformats.org/officeDocument/2006/relationships/oleObject" Target="file:///\\aucanfsr01\_Advisory\GAS\Shared%20Excel%20Workbooks\EconModelling\Sales\4%20-%20Job\J%20-%20DIIS%20-%20Aerospace%20-%202018%20-%20341865\_Stage3-Deliver%20(9-14)\12_WorkingPapers\D_Draft%20reports\Charts_aerospace2.xlsx" TargetMode="External"/><Relationship Id="rId2" Type="http://schemas.microsoft.com/office/2011/relationships/chartColorStyle" Target="colors3.xml"/><Relationship Id="rId1" Type="http://schemas.microsoft.com/office/2011/relationships/chartStyle" Target="style3.xml"/></Relationships>
</file>

<file path=word/charts/_rels/chart15.xml.rels><?xml version="1.0" encoding="UTF-8" standalone="yes"?>
<Relationships xmlns="http://schemas.openxmlformats.org/package/2006/relationships"><Relationship Id="rId1" Type="http://schemas.openxmlformats.org/officeDocument/2006/relationships/oleObject" Target="file:///\\aucanfsr01\_Advisory\GAS\Shared%20Excel%20Workbooks\EconModelling\Sales\4%20-%20Job\J%20-%20DIIS%20-%20Aerospace%20-%202018%20-%20341865\_Stage3-Deliver%20(9-14)\12_WorkingPapers\D_Draft%20reports\ReportCharts_final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aucanfsr01\_Advisory\GAS\Shared%20Excel%20Workbooks\EconModelling\Sales\4%20-%20Job\J%20-%20DIIS%20-%20Aerospace%20-%202018%20-%20341865\_Stage3-Deliver%20(9-14)\12_WorkingPapers\D_Draft%20reports\Charts_aerospace3.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UDS\4\tshridhar\Desktop\Charts_aerospace2.xlsx"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file:///\\aucanfsr01\_Advisory\GAS\Shared%20Excel%20Workbooks\EconModelling\Sales\4%20-%20Job\J%20-%20DIIS%20-%20Aerospace%20-%202018%20-%20341865\_Stage3-Deliver%20(9-14)\12_WorkingPapers\D_Draft%20reports\CGE_results_x0ind_10b.xlsx" TargetMode="External"/><Relationship Id="rId2" Type="http://schemas.microsoft.com/office/2011/relationships/chartColorStyle" Target="colors4.xml"/><Relationship Id="rId1" Type="http://schemas.microsoft.com/office/2011/relationships/chartStyle" Target="style4.xml"/></Relationships>
</file>

<file path=word/charts/_rels/chart19.xml.rels><?xml version="1.0" encoding="UTF-8" standalone="yes"?>
<Relationships xmlns="http://schemas.openxmlformats.org/package/2006/relationships"><Relationship Id="rId3" Type="http://schemas.openxmlformats.org/officeDocument/2006/relationships/oleObject" Target="file:///\\aucanfsr01\_Advisory\GAS\Shared%20Excel%20Workbooks\EconModelling\Sales\4%20-%20Job\J%20-%20DIIS%20-%20Aerospace%20-%202018%20-%20341865\_Stage3-Deliver%20(9-14)\12_WorkingPapers\D_Draft%20reports\CGE_results_x0ind_10b.xlsx" TargetMode="External"/><Relationship Id="rId2" Type="http://schemas.microsoft.com/office/2011/relationships/chartColorStyle" Target="colors5.xml"/><Relationship Id="rId1" Type="http://schemas.microsoft.com/office/2011/relationships/chartStyle" Target="style5.xml"/></Relationships>
</file>

<file path=word/charts/_rels/chart2.xml.rels><?xml version="1.0" encoding="UTF-8" standalone="yes"?>
<Relationships xmlns="http://schemas.openxmlformats.org/package/2006/relationships"><Relationship Id="rId3" Type="http://schemas.openxmlformats.org/officeDocument/2006/relationships/oleObject" Target="file:///\\aucanfsr01\_Advisory\GAS\Shared%20Excel%20Workbooks\EconModelling\Sales\4%20-%20Job\J%20-%20DIIS%20-%20Aerospace%20-%202018%20-%20341865\_Stage3-Deliver%20(9-14)\12_WorkingPapers\D_Draft%20reports\Charts_aerospace3.xlsx" TargetMode="External"/><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oleObject" Target="file:///\\aucanfsr01\_Advisory\GAS\Shared%20Excel%20Workbooks\EconModelling\Sales\4%20-%20Job\J%20-%20DIIS%20-%20Aerospace%20-%202018%20-%20341865\_Stage3-Deliver%20(9-14)\12_WorkingPapers\D_Draft%20reports\CGE_results_x0ind_10b.xlsx" TargetMode="External"/><Relationship Id="rId2" Type="http://schemas.microsoft.com/office/2011/relationships/chartColorStyle" Target="colors6.xml"/><Relationship Id="rId1" Type="http://schemas.microsoft.com/office/2011/relationships/chartStyle" Target="style6.xml"/></Relationships>
</file>

<file path=word/charts/_rels/chart3.xml.rels><?xml version="1.0" encoding="UTF-8" standalone="yes"?>
<Relationships xmlns="http://schemas.openxmlformats.org/package/2006/relationships"><Relationship Id="rId1" Type="http://schemas.openxmlformats.org/officeDocument/2006/relationships/oleObject" Target="file:///\\aucanfsr01\_Advisory\GAS\Shared%20Excel%20Workbooks\EconModelling\Sales\4%20-%20Job\J%20-%20DIIS%20-%20Aerospace%20-%202018%20-%20341865\_Stage3-Deliver%20(9-14)\12_WorkingPapers\D_Draft%20reports\ReportCharts_final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ucanfsr01\_Advisory\GAS\Shared%20Excel%20Workbooks\EconModelling\Sales\4%20-%20Job\J%20-%20DIIS%20-%20Aerospace%20-%202018%20-%20341865\_Stage3-Deliver%20(9-14)\12_WorkingPapers\D_Draft%20reports\Charts_aerospace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ucanfsr01\_Advisory\GAS\Shared%20Excel%20Workbooks\EconModelling\Sales\4%20-%20Job\J%20-%20DIIS%20-%20Aerospace%20-%202018%20-%20341865\_Stage3-Deliver%20(9-14)\12_WorkingPapers\D_Draft%20reports\Charts_aerospace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ucanfsr01\_Advisory\GAS\Shared%20Excel%20Workbooks\EconModelling\Sales\4%20-%20Job\J%20-%20DIIS%20-%20Aerospace%20-%202018%20-%20341865\_Stage3-Deliver%20(9-14)\12_WorkingPapers\D_Draft%20reports\Charts_aerospace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ucanfsr01\_Advisory\GAS\Shared%20Excel%20Workbooks\EconModelling\Sales\4%20-%20Job\J%20-%20DIIS%20-%20Aerospace%20-%202018%20-%20341865\_Stage3-Deliver%20(9-14)\12_WorkingPapers\D_Draft%20reports\Charts_aerospace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aucanfsr01\_Advisory\GAS\Shared%20Excel%20Workbooks\EconModelling\Sales\4%20-%20Job\J%20-%20DIIS%20-%20Aerospace%20-%202018%20-%20341865\_Stage3-Deliver%20(9-14)\12_WorkingPapers\D_Draft%20reports\Charts_aerospace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aucanfsr01\_Advisory\GAS\Shared%20Excel%20Workbooks\EconModelling\Sales\4%20-%20Job\J%20-%20DIIS%20-%20Aerospace%20-%202018%20-%20341865\_Stage3-Deliver%20(9-14)\12_WorkingPapers\D_Draft%20reports\ReportCharts_fin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60946937355722"/>
          <c:y val="0.10617706440541086"/>
          <c:w val="0.84099093223286847"/>
          <c:h val="0.6487330910559258"/>
        </c:manualLayout>
      </c:layout>
      <c:barChart>
        <c:barDir val="bar"/>
        <c:grouping val="stacked"/>
        <c:varyColors val="0"/>
        <c:ser>
          <c:idx val="0"/>
          <c:order val="0"/>
          <c:tx>
            <c:strRef>
              <c:f>Ind_Businesses1718!$A$49</c:f>
              <c:strCache>
                <c:ptCount val="1"/>
                <c:pt idx="0">
                  <c:v>0 - $50k</c:v>
                </c:pt>
              </c:strCache>
            </c:strRef>
          </c:tx>
          <c:spPr>
            <a:solidFill>
              <a:srgbClr val="00338D"/>
            </a:solidFill>
            <a:ln w="3175">
              <a:solidFill>
                <a:srgbClr val="FFFFFF"/>
              </a:solidFill>
              <a:prstDash val="solid"/>
            </a:ln>
          </c:spPr>
          <c:invertIfNegative val="0"/>
          <c:dLbls>
            <c:dLbl>
              <c:idx val="0"/>
              <c:layout/>
              <c:tx>
                <c:rich>
                  <a:bodyPr/>
                  <a:lstStyle/>
                  <a:p>
                    <a:fld id="{5F7678B3-A63D-456A-883C-E219BFE891EF}" type="SERIESNAME">
                      <a:rPr lang="en-US"/>
                      <a:pPr/>
                      <a:t>[SERIES NAME]</a:t>
                    </a:fld>
                    <a:endParaRPr lang="en-AU"/>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tx>
                <c:rich>
                  <a:bodyPr/>
                  <a:lstStyle/>
                  <a:p>
                    <a:fld id="{AF810CA8-AC67-49B3-ACEE-033A113F088F}" type="CELLREF">
                      <a:rPr lang="en-US"/>
                      <a:pPr/>
                      <a:t>[CELLREF]</a:t>
                    </a:fld>
                    <a:endParaRPr lang="en-AU"/>
                  </a:p>
                </c:rich>
              </c:tx>
              <c:dLblPos val="ctr"/>
              <c:showLegendKey val="0"/>
              <c:showVal val="1"/>
              <c:showCatName val="0"/>
              <c:showSerName val="0"/>
              <c:showPercent val="0"/>
              <c:showBubbleSize val="0"/>
              <c:extLst>
                <c:ext xmlns:c15="http://schemas.microsoft.com/office/drawing/2012/chart" uri="{CE6537A1-D6FC-4f65-9D91-7224C49458BB}">
                  <c15:layout/>
                  <c15:dlblFieldTable>
                    <c15:dlblFTEntry>
                      <c15:txfldGUID>{AF810CA8-AC67-49B3-ACEE-033A113F088F}</c15:txfldGUID>
                      <c15:f>Ind_Businesses1718!$D$49</c15:f>
                      <c15:dlblFieldTableCache>
                        <c:ptCount val="1"/>
                        <c:pt idx="0">
                          <c:v>Non Employing</c:v>
                        </c:pt>
                      </c15:dlblFieldTableCache>
                    </c15:dlblFTEntry>
                  </c15:dlblFieldTable>
                  <c15:showDataLabelsRange val="0"/>
                </c:ext>
              </c:extLst>
            </c:dLbl>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Ind_Businesses1718!$B$48:$D$48</c:f>
              <c:strCache>
                <c:ptCount val="2"/>
                <c:pt idx="0">
                  <c:v>Revenue</c:v>
                </c:pt>
                <c:pt idx="1">
                  <c:v>Employees</c:v>
                </c:pt>
              </c:strCache>
            </c:strRef>
          </c:cat>
          <c:val>
            <c:numRef>
              <c:f>Ind_Businesses1718!$B$49:$D$49</c:f>
              <c:numCache>
                <c:formatCode>General</c:formatCode>
                <c:ptCount val="2"/>
                <c:pt idx="0">
                  <c:v>156</c:v>
                </c:pt>
                <c:pt idx="1">
                  <c:v>508</c:v>
                </c:pt>
              </c:numCache>
            </c:numRef>
          </c:val>
        </c:ser>
        <c:ser>
          <c:idx val="1"/>
          <c:order val="1"/>
          <c:tx>
            <c:strRef>
              <c:f>Ind_Businesses1718!$A$50</c:f>
              <c:strCache>
                <c:ptCount val="1"/>
                <c:pt idx="0">
                  <c:v>$50k - $200k</c:v>
                </c:pt>
              </c:strCache>
            </c:strRef>
          </c:tx>
          <c:spPr>
            <a:solidFill>
              <a:srgbClr val="0091DA"/>
            </a:solidFill>
            <a:ln w="3175">
              <a:solidFill>
                <a:srgbClr val="FFFFFF"/>
              </a:solidFill>
              <a:prstDash val="solid"/>
            </a:ln>
          </c:spPr>
          <c:invertIfNegative val="0"/>
          <c:dLbls>
            <c:dLbl>
              <c:idx val="0"/>
              <c:layout/>
              <c:tx>
                <c:rich>
                  <a:bodyPr/>
                  <a:lstStyle/>
                  <a:p>
                    <a:fld id="{1712AA25-0D15-48BE-8D86-912FEB36F2ED}" type="SERIESNAME">
                      <a:rPr lang="en-US"/>
                      <a:pPr/>
                      <a:t>[SERIES NAME]</a:t>
                    </a:fld>
                    <a:endParaRPr lang="en-AU"/>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tx>
                <c:rich>
                  <a:bodyPr/>
                  <a:lstStyle/>
                  <a:p>
                    <a:fld id="{1F0D2685-89FE-4523-B348-F2835EDB622C}" type="CELLREF">
                      <a:rPr lang="en-US"/>
                      <a:pPr/>
                      <a:t>[CELLREF]</a:t>
                    </a:fld>
                    <a:endParaRPr lang="en-AU"/>
                  </a:p>
                </c:rich>
              </c:tx>
              <c:dLblPos val="ctr"/>
              <c:showLegendKey val="0"/>
              <c:showVal val="1"/>
              <c:showCatName val="0"/>
              <c:showSerName val="0"/>
              <c:showPercent val="0"/>
              <c:showBubbleSize val="0"/>
              <c:extLst>
                <c:ext xmlns:c15="http://schemas.microsoft.com/office/drawing/2012/chart" uri="{CE6537A1-D6FC-4f65-9D91-7224C49458BB}">
                  <c15:layout/>
                  <c15:dlblFieldTable>
                    <c15:dlblFTEntry>
                      <c15:txfldGUID>{1F0D2685-89FE-4523-B348-F2835EDB622C}</c15:txfldGUID>
                      <c15:f>Ind_Businesses1718!$D$50</c15:f>
                      <c15:dlblFieldTableCache>
                        <c:ptCount val="1"/>
                        <c:pt idx="0">
                          <c:v>1-19 Employees</c:v>
                        </c:pt>
                      </c15:dlblFieldTableCache>
                    </c15:dlblFTEntry>
                  </c15:dlblFieldTable>
                  <c15:showDataLabelsRange val="0"/>
                </c:ext>
              </c:extLst>
            </c:dLbl>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Ind_Businesses1718!$B$48:$D$48</c:f>
              <c:strCache>
                <c:ptCount val="2"/>
                <c:pt idx="0">
                  <c:v>Revenue</c:v>
                </c:pt>
                <c:pt idx="1">
                  <c:v>Employees</c:v>
                </c:pt>
              </c:strCache>
            </c:strRef>
          </c:cat>
          <c:val>
            <c:numRef>
              <c:f>Ind_Businesses1718!$B$50:$D$50</c:f>
              <c:numCache>
                <c:formatCode>General</c:formatCode>
                <c:ptCount val="2"/>
                <c:pt idx="0">
                  <c:v>362</c:v>
                </c:pt>
                <c:pt idx="1">
                  <c:v>395</c:v>
                </c:pt>
              </c:numCache>
            </c:numRef>
          </c:val>
        </c:ser>
        <c:ser>
          <c:idx val="2"/>
          <c:order val="2"/>
          <c:tx>
            <c:strRef>
              <c:f>Ind_Businesses1718!$A$51</c:f>
              <c:strCache>
                <c:ptCount val="1"/>
                <c:pt idx="0">
                  <c:v>$200k - $2m</c:v>
                </c:pt>
              </c:strCache>
            </c:strRef>
          </c:tx>
          <c:spPr>
            <a:solidFill>
              <a:srgbClr val="6D2077"/>
            </a:solidFill>
            <a:ln w="3175">
              <a:solidFill>
                <a:srgbClr val="FFFFFF"/>
              </a:solidFill>
              <a:prstDash val="solid"/>
            </a:ln>
          </c:spPr>
          <c:invertIfNegative val="0"/>
          <c:dLbls>
            <c:dLbl>
              <c:idx val="0"/>
              <c:layout/>
              <c:tx>
                <c:rich>
                  <a:bodyPr/>
                  <a:lstStyle/>
                  <a:p>
                    <a:pPr>
                      <a:defRPr>
                        <a:solidFill>
                          <a:schemeClr val="bg1"/>
                        </a:solidFill>
                      </a:defRPr>
                    </a:pPr>
                    <a:fld id="{D9F33A71-6729-4CFA-BF7B-6F66EA401968}" type="SERIESNAME">
                      <a:rPr lang="en-US">
                        <a:solidFill>
                          <a:schemeClr val="bg1"/>
                        </a:solidFill>
                      </a:rPr>
                      <a:pPr>
                        <a:defRPr>
                          <a:solidFill>
                            <a:schemeClr val="bg1"/>
                          </a:solidFill>
                        </a:defRPr>
                      </a:pPr>
                      <a:t>[SERIES NAME]</a:t>
                    </a:fld>
                    <a:endParaRPr lang="en-AU"/>
                  </a:p>
                </c:rich>
              </c:tx>
              <c:spPr>
                <a:noFill/>
                <a:ln>
                  <a:noFill/>
                </a:ln>
                <a:effectLst/>
              </c:spPr>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manualLayout>
                  <c:x val="-0.15933717948717949"/>
                  <c:y val="-0.16223769841269842"/>
                </c:manualLayout>
              </c:layout>
              <c:tx>
                <c:rich>
                  <a:bodyPr/>
                  <a:lstStyle/>
                  <a:p>
                    <a:fld id="{C61042AE-7476-4A50-B5DE-478687057B37}" type="CELLREF">
                      <a:rPr lang="en-US"/>
                      <a:pPr/>
                      <a:t>[CELLREF]</a:t>
                    </a:fld>
                    <a:endParaRPr lang="en-AU"/>
                  </a:p>
                </c:rich>
              </c:tx>
              <c:dLblPos val="ctr"/>
              <c:showLegendKey val="0"/>
              <c:showVal val="1"/>
              <c:showCatName val="0"/>
              <c:showSerName val="0"/>
              <c:showPercent val="0"/>
              <c:showBubbleSize val="0"/>
              <c:extLst>
                <c:ext xmlns:c15="http://schemas.microsoft.com/office/drawing/2012/chart" uri="{CE6537A1-D6FC-4f65-9D91-7224C49458BB}">
                  <c15:layout/>
                  <c15:dlblFieldTable>
                    <c15:dlblFTEntry>
                      <c15:txfldGUID>{C61042AE-7476-4A50-B5DE-478687057B37}</c15:txfldGUID>
                      <c15:f>Ind_Businesses1718!$D$51</c15:f>
                      <c15:dlblFieldTableCache>
                        <c:ptCount val="1"/>
                        <c:pt idx="0">
                          <c:v>20-199 Employees</c:v>
                        </c:pt>
                      </c15:dlblFieldTableCache>
                    </c15:dlblFTEntry>
                  </c15:dlblFieldTable>
                  <c15:showDataLabelsRange val="0"/>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Ind_Businesses1718!$B$48:$D$48</c:f>
              <c:strCache>
                <c:ptCount val="2"/>
                <c:pt idx="0">
                  <c:v>Revenue</c:v>
                </c:pt>
                <c:pt idx="1">
                  <c:v>Employees</c:v>
                </c:pt>
              </c:strCache>
            </c:strRef>
          </c:cat>
          <c:val>
            <c:numRef>
              <c:f>Ind_Businesses1718!$B$51:$D$51</c:f>
              <c:numCache>
                <c:formatCode>General</c:formatCode>
                <c:ptCount val="2"/>
                <c:pt idx="0">
                  <c:v>308</c:v>
                </c:pt>
                <c:pt idx="1">
                  <c:v>31</c:v>
                </c:pt>
              </c:numCache>
            </c:numRef>
          </c:val>
        </c:ser>
        <c:ser>
          <c:idx val="3"/>
          <c:order val="3"/>
          <c:tx>
            <c:strRef>
              <c:f>Ind_Businesses1718!$A$52</c:f>
              <c:strCache>
                <c:ptCount val="1"/>
                <c:pt idx="0">
                  <c:v>$2m - $5m</c:v>
                </c:pt>
              </c:strCache>
            </c:strRef>
          </c:tx>
          <c:spPr>
            <a:solidFill>
              <a:srgbClr val="005EB8"/>
            </a:solidFill>
            <a:ln w="3175">
              <a:solidFill>
                <a:srgbClr val="FFFFFF"/>
              </a:solidFill>
              <a:prstDash val="solid"/>
            </a:ln>
          </c:spPr>
          <c:invertIfNegative val="0"/>
          <c:dLbls>
            <c:dLbl>
              <c:idx val="0"/>
              <c:layout>
                <c:manualLayout>
                  <c:x val="-8.0894871794871898E-2"/>
                  <c:y val="-0.16227658730158731"/>
                </c:manualLayout>
              </c:layout>
              <c:tx>
                <c:rich>
                  <a:bodyPr/>
                  <a:lstStyle/>
                  <a:p>
                    <a:fld id="{5BEA98AA-4F7B-4C44-8320-D60570A52F03}" type="SERIESNAME">
                      <a:rPr lang="en-US"/>
                      <a:pPr/>
                      <a:t>[SERIES NAME]</a:t>
                    </a:fld>
                    <a:endParaRPr lang="en-AU"/>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dLbl>
              <c:idx val="1"/>
              <c:layout>
                <c:manualLayout>
                  <c:x val="1.9030555555555554E-2"/>
                  <c:y val="-0.19957936507936508"/>
                </c:manualLayout>
              </c:layout>
              <c:tx>
                <c:rich>
                  <a:bodyPr/>
                  <a:lstStyle/>
                  <a:p>
                    <a:r>
                      <a:rPr lang="en-US"/>
                      <a:t>200+ Employees</a:t>
                    </a:r>
                  </a:p>
                </c:rich>
              </c:tx>
              <c:dLblPos val="ct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Ind_Businesses1718!$B$48:$D$48</c:f>
              <c:strCache>
                <c:ptCount val="2"/>
                <c:pt idx="0">
                  <c:v>Revenue</c:v>
                </c:pt>
                <c:pt idx="1">
                  <c:v>Employees</c:v>
                </c:pt>
              </c:strCache>
            </c:strRef>
          </c:cat>
          <c:val>
            <c:numRef>
              <c:f>Ind_Businesses1718!$B$52:$D$52</c:f>
              <c:numCache>
                <c:formatCode>General</c:formatCode>
                <c:ptCount val="2"/>
                <c:pt idx="0">
                  <c:v>53</c:v>
                </c:pt>
                <c:pt idx="1">
                  <c:v>3</c:v>
                </c:pt>
              </c:numCache>
            </c:numRef>
          </c:val>
        </c:ser>
        <c:ser>
          <c:idx val="4"/>
          <c:order val="4"/>
          <c:tx>
            <c:strRef>
              <c:f>Ind_Businesses1718!$A$53</c:f>
              <c:strCache>
                <c:ptCount val="1"/>
                <c:pt idx="0">
                  <c:v>$5m - $10m</c:v>
                </c:pt>
              </c:strCache>
            </c:strRef>
          </c:tx>
          <c:spPr>
            <a:solidFill>
              <a:srgbClr val="00A3A1"/>
            </a:solidFill>
            <a:ln w="3175">
              <a:solidFill>
                <a:srgbClr val="FFFFFF"/>
              </a:solidFill>
              <a:prstDash val="solid"/>
            </a:ln>
          </c:spPr>
          <c:invertIfNegative val="0"/>
          <c:dLbls>
            <c:dLbl>
              <c:idx val="0"/>
              <c:layout>
                <c:manualLayout>
                  <c:x val="7.9682264957264951E-2"/>
                  <c:y val="-0.16768928571428571"/>
                </c:manualLayout>
              </c:layout>
              <c:tx>
                <c:rich>
                  <a:bodyPr/>
                  <a:lstStyle/>
                  <a:p>
                    <a:fld id="{80D2EA71-FB6C-48FC-990E-1FA84E98ED7D}" type="SERIESNAME">
                      <a:rPr lang="en-US"/>
                      <a:pPr/>
                      <a:t>[SERIES NAME]</a:t>
                    </a:fld>
                    <a:endParaRPr lang="en-AU"/>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Ind_Businesses1718!$B$48:$D$48</c:f>
              <c:strCache>
                <c:ptCount val="2"/>
                <c:pt idx="0">
                  <c:v>Revenue</c:v>
                </c:pt>
                <c:pt idx="1">
                  <c:v>Employees</c:v>
                </c:pt>
              </c:strCache>
            </c:strRef>
          </c:cat>
          <c:val>
            <c:numRef>
              <c:f>Ind_Businesses1718!$B$53:$D$53</c:f>
              <c:numCache>
                <c:formatCode>General</c:formatCode>
                <c:ptCount val="2"/>
                <c:pt idx="0">
                  <c:v>30</c:v>
                </c:pt>
              </c:numCache>
            </c:numRef>
          </c:val>
        </c:ser>
        <c:ser>
          <c:idx val="5"/>
          <c:order val="5"/>
          <c:tx>
            <c:strRef>
              <c:f>Ind_Businesses1718!$A$54</c:f>
              <c:strCache>
                <c:ptCount val="1"/>
                <c:pt idx="0">
                  <c:v>$10m+ </c:v>
                </c:pt>
              </c:strCache>
            </c:strRef>
          </c:tx>
          <c:spPr>
            <a:solidFill>
              <a:srgbClr val="EAAA00"/>
            </a:solidFill>
            <a:ln w="3175">
              <a:solidFill>
                <a:srgbClr val="FFFFFF"/>
              </a:solidFill>
              <a:prstDash val="solid"/>
            </a:ln>
          </c:spPr>
          <c:invertIfNegative val="0"/>
          <c:dLbls>
            <c:dLbl>
              <c:idx val="0"/>
              <c:layout>
                <c:manualLayout>
                  <c:x val="0.08"/>
                  <c:y val="-4.2489285714285806E-2"/>
                </c:manualLayout>
              </c:layout>
              <c:tx>
                <c:rich>
                  <a:bodyPr/>
                  <a:lstStyle/>
                  <a:p>
                    <a:fld id="{208CBFD5-48BD-4296-91BC-ACA6A6812DF4}" type="SERIESNAME">
                      <a:rPr lang="en-US"/>
                      <a:pPr/>
                      <a:t>[SERIES NAME]</a:t>
                    </a:fld>
                    <a:endParaRPr lang="en-AU"/>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Ind_Businesses1718!$B$48:$D$48</c:f>
              <c:strCache>
                <c:ptCount val="2"/>
                <c:pt idx="0">
                  <c:v>Revenue</c:v>
                </c:pt>
                <c:pt idx="1">
                  <c:v>Employees</c:v>
                </c:pt>
              </c:strCache>
            </c:strRef>
          </c:cat>
          <c:val>
            <c:numRef>
              <c:f>Ind_Businesses1718!$B$54:$D$54</c:f>
              <c:numCache>
                <c:formatCode>General</c:formatCode>
                <c:ptCount val="2"/>
                <c:pt idx="0">
                  <c:v>34</c:v>
                </c:pt>
              </c:numCache>
            </c:numRef>
          </c:val>
        </c:ser>
        <c:dLbls>
          <c:dLblPos val="ctr"/>
          <c:showLegendKey val="0"/>
          <c:showVal val="1"/>
          <c:showCatName val="0"/>
          <c:showSerName val="0"/>
          <c:showPercent val="0"/>
          <c:showBubbleSize val="0"/>
        </c:dLbls>
        <c:gapWidth val="40"/>
        <c:overlap val="100"/>
        <c:axId val="551446496"/>
        <c:axId val="551446888"/>
      </c:barChart>
      <c:catAx>
        <c:axId val="551446496"/>
        <c:scaling>
          <c:orientation val="minMax"/>
        </c:scaling>
        <c:delete val="0"/>
        <c:axPos val="l"/>
        <c:numFmt formatCode="General" sourceLinked="1"/>
        <c:majorTickMark val="out"/>
        <c:minorTickMark val="none"/>
        <c:tickLblPos val="low"/>
        <c:spPr>
          <a:ln w="3175">
            <a:solidFill>
              <a:srgbClr val="000000"/>
            </a:solidFill>
            <a:prstDash val="solid"/>
          </a:ln>
        </c:spPr>
        <c:crossAx val="551446888"/>
        <c:crosses val="autoZero"/>
        <c:auto val="1"/>
        <c:lblAlgn val="ctr"/>
        <c:lblOffset val="100"/>
        <c:noMultiLvlLbl val="0"/>
      </c:catAx>
      <c:valAx>
        <c:axId val="551446888"/>
        <c:scaling>
          <c:orientation val="minMax"/>
        </c:scaling>
        <c:delete val="0"/>
        <c:axPos val="b"/>
        <c:title>
          <c:tx>
            <c:rich>
              <a:bodyPr/>
              <a:lstStyle/>
              <a:p>
                <a:pPr>
                  <a:defRPr/>
                </a:pPr>
                <a:r>
                  <a:rPr lang="en-AU"/>
                  <a:t>Number of businesses</a:t>
                </a:r>
              </a:p>
            </c:rich>
          </c:tx>
          <c:layout>
            <c:manualLayout>
              <c:xMode val="edge"/>
              <c:yMode val="edge"/>
              <c:x val="0.39187243589743592"/>
              <c:y val="0.87627579365079367"/>
            </c:manualLayout>
          </c:layout>
          <c:overlay val="0"/>
        </c:title>
        <c:numFmt formatCode="General" sourceLinked="1"/>
        <c:majorTickMark val="out"/>
        <c:minorTickMark val="none"/>
        <c:tickLblPos val="nextTo"/>
        <c:spPr>
          <a:ln w="3175">
            <a:solidFill>
              <a:srgbClr val="000000"/>
            </a:solidFill>
            <a:prstDash val="solid"/>
          </a:ln>
        </c:spPr>
        <c:crossAx val="551446496"/>
        <c:crosses val="autoZero"/>
        <c:crossBetween val="between"/>
      </c:valAx>
      <c:spPr>
        <a:noFill/>
        <a:ln w="25400">
          <a:noFill/>
        </a:ln>
      </c:spPr>
    </c:plotArea>
    <c:plotVisOnly val="1"/>
    <c:dispBlanksAs val="gap"/>
    <c:showDLblsOverMax val="0"/>
  </c:chart>
  <c:spPr>
    <a:solidFill>
      <a:schemeClr val="bg1"/>
    </a:solidFill>
    <a:ln w="6350">
      <a:noFill/>
    </a:ln>
  </c:spPr>
  <c:txPr>
    <a:bodyPr/>
    <a:lstStyle/>
    <a:p>
      <a:pPr>
        <a:defRPr sz="800" b="0" i="0">
          <a:solidFill>
            <a:srgbClr val="000000"/>
          </a:solidFill>
          <a:latin typeface="Univers 45 Light" pitchFamily="2" charset="0"/>
          <a:ea typeface="Arial"/>
          <a:cs typeface="Arial"/>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18912037037037"/>
          <c:y val="4.3034001431639241E-2"/>
          <c:w val="0.85281805555555557"/>
          <c:h val="0.6735128728567048"/>
        </c:manualLayout>
      </c:layout>
      <c:barChart>
        <c:barDir val="col"/>
        <c:grouping val="stacked"/>
        <c:varyColors val="0"/>
        <c:ser>
          <c:idx val="0"/>
          <c:order val="0"/>
          <c:tx>
            <c:strRef>
              <c:f>Ind_Businesses1718!$B$8</c:f>
              <c:strCache>
                <c:ptCount val="1"/>
                <c:pt idx="0">
                  <c:v>Non Employing</c:v>
                </c:pt>
              </c:strCache>
            </c:strRef>
          </c:tx>
          <c:spPr>
            <a:solidFill>
              <a:srgbClr val="00338D"/>
            </a:solidFill>
            <a:ln w="3175">
              <a:solidFill>
                <a:srgbClr val="FFFFFF"/>
              </a:solidFill>
              <a:prstDash val="solid"/>
            </a:ln>
            <a:effectLst/>
          </c:spPr>
          <c:invertIfNegative val="0"/>
          <c:cat>
            <c:strRef>
              <c:f>Ind_Businesses1718!$A$9:$A$16</c:f>
              <c:strCache>
                <c:ptCount val="8"/>
                <c:pt idx="0">
                  <c:v>New South Wales</c:v>
                </c:pt>
                <c:pt idx="1">
                  <c:v>Victoria</c:v>
                </c:pt>
                <c:pt idx="2">
                  <c:v>Queensland</c:v>
                </c:pt>
                <c:pt idx="3">
                  <c:v>South Australia</c:v>
                </c:pt>
                <c:pt idx="4">
                  <c:v>Western Australia</c:v>
                </c:pt>
                <c:pt idx="5">
                  <c:v>Tasmania</c:v>
                </c:pt>
                <c:pt idx="6">
                  <c:v>Northern Territory</c:v>
                </c:pt>
                <c:pt idx="7">
                  <c:v>ACT</c:v>
                </c:pt>
              </c:strCache>
            </c:strRef>
          </c:cat>
          <c:val>
            <c:numRef>
              <c:f>Ind_Businesses1718!$B$9:$B$16</c:f>
              <c:numCache>
                <c:formatCode>#,##0</c:formatCode>
                <c:ptCount val="8"/>
                <c:pt idx="0">
                  <c:v>151</c:v>
                </c:pt>
                <c:pt idx="1">
                  <c:v>100</c:v>
                </c:pt>
                <c:pt idx="2">
                  <c:v>163</c:v>
                </c:pt>
                <c:pt idx="3">
                  <c:v>18</c:v>
                </c:pt>
                <c:pt idx="4">
                  <c:v>43</c:v>
                </c:pt>
                <c:pt idx="5">
                  <c:v>10</c:v>
                </c:pt>
                <c:pt idx="6">
                  <c:v>12</c:v>
                </c:pt>
                <c:pt idx="7">
                  <c:v>3</c:v>
                </c:pt>
              </c:numCache>
            </c:numRef>
          </c:val>
        </c:ser>
        <c:ser>
          <c:idx val="1"/>
          <c:order val="1"/>
          <c:tx>
            <c:strRef>
              <c:f>Ind_Businesses1718!$C$8</c:f>
              <c:strCache>
                <c:ptCount val="1"/>
                <c:pt idx="0">
                  <c:v>1-19 Employees</c:v>
                </c:pt>
              </c:strCache>
            </c:strRef>
          </c:tx>
          <c:spPr>
            <a:solidFill>
              <a:srgbClr val="0091DA"/>
            </a:solidFill>
            <a:ln w="3175">
              <a:solidFill>
                <a:srgbClr val="FFFFFF"/>
              </a:solidFill>
              <a:prstDash val="solid"/>
            </a:ln>
            <a:effectLst/>
          </c:spPr>
          <c:invertIfNegative val="0"/>
          <c:cat>
            <c:strRef>
              <c:f>Ind_Businesses1718!$A$9:$A$16</c:f>
              <c:strCache>
                <c:ptCount val="8"/>
                <c:pt idx="0">
                  <c:v>New South Wales</c:v>
                </c:pt>
                <c:pt idx="1">
                  <c:v>Victoria</c:v>
                </c:pt>
                <c:pt idx="2">
                  <c:v>Queensland</c:v>
                </c:pt>
                <c:pt idx="3">
                  <c:v>South Australia</c:v>
                </c:pt>
                <c:pt idx="4">
                  <c:v>Western Australia</c:v>
                </c:pt>
                <c:pt idx="5">
                  <c:v>Tasmania</c:v>
                </c:pt>
                <c:pt idx="6">
                  <c:v>Northern Territory</c:v>
                </c:pt>
                <c:pt idx="7">
                  <c:v>ACT</c:v>
                </c:pt>
              </c:strCache>
            </c:strRef>
          </c:cat>
          <c:val>
            <c:numRef>
              <c:f>Ind_Businesses1718!$C$9:$C$16</c:f>
              <c:numCache>
                <c:formatCode>#,##0</c:formatCode>
                <c:ptCount val="8"/>
                <c:pt idx="0">
                  <c:v>130</c:v>
                </c:pt>
                <c:pt idx="1">
                  <c:v>73</c:v>
                </c:pt>
                <c:pt idx="2">
                  <c:v>110</c:v>
                </c:pt>
                <c:pt idx="3">
                  <c:v>21</c:v>
                </c:pt>
                <c:pt idx="4">
                  <c:v>37</c:v>
                </c:pt>
                <c:pt idx="5">
                  <c:v>0</c:v>
                </c:pt>
                <c:pt idx="6">
                  <c:v>13</c:v>
                </c:pt>
                <c:pt idx="7">
                  <c:v>0</c:v>
                </c:pt>
              </c:numCache>
            </c:numRef>
          </c:val>
        </c:ser>
        <c:ser>
          <c:idx val="2"/>
          <c:order val="2"/>
          <c:tx>
            <c:strRef>
              <c:f>Ind_Businesses1718!$D$8</c:f>
              <c:strCache>
                <c:ptCount val="1"/>
                <c:pt idx="0">
                  <c:v>20-199 Employees</c:v>
                </c:pt>
              </c:strCache>
            </c:strRef>
          </c:tx>
          <c:spPr>
            <a:solidFill>
              <a:srgbClr val="6D2077"/>
            </a:solidFill>
            <a:ln w="3175">
              <a:solidFill>
                <a:srgbClr val="FFFFFF"/>
              </a:solidFill>
              <a:prstDash val="solid"/>
            </a:ln>
            <a:effectLst/>
          </c:spPr>
          <c:invertIfNegative val="0"/>
          <c:cat>
            <c:strRef>
              <c:f>Ind_Businesses1718!$A$9:$A$16</c:f>
              <c:strCache>
                <c:ptCount val="8"/>
                <c:pt idx="0">
                  <c:v>New South Wales</c:v>
                </c:pt>
                <c:pt idx="1">
                  <c:v>Victoria</c:v>
                </c:pt>
                <c:pt idx="2">
                  <c:v>Queensland</c:v>
                </c:pt>
                <c:pt idx="3">
                  <c:v>South Australia</c:v>
                </c:pt>
                <c:pt idx="4">
                  <c:v>Western Australia</c:v>
                </c:pt>
                <c:pt idx="5">
                  <c:v>Tasmania</c:v>
                </c:pt>
                <c:pt idx="6">
                  <c:v>Northern Territory</c:v>
                </c:pt>
                <c:pt idx="7">
                  <c:v>ACT</c:v>
                </c:pt>
              </c:strCache>
            </c:strRef>
          </c:cat>
          <c:val>
            <c:numRef>
              <c:f>Ind_Businesses1718!$D$9:$D$16</c:f>
              <c:numCache>
                <c:formatCode>#,##0</c:formatCode>
                <c:ptCount val="8"/>
                <c:pt idx="0">
                  <c:v>15</c:v>
                </c:pt>
                <c:pt idx="1">
                  <c:v>3</c:v>
                </c:pt>
                <c:pt idx="2">
                  <c:v>9</c:v>
                </c:pt>
                <c:pt idx="3">
                  <c:v>3</c:v>
                </c:pt>
                <c:pt idx="4">
                  <c:v>3</c:v>
                </c:pt>
                <c:pt idx="5">
                  <c:v>0</c:v>
                </c:pt>
                <c:pt idx="6">
                  <c:v>0</c:v>
                </c:pt>
                <c:pt idx="7">
                  <c:v>0</c:v>
                </c:pt>
              </c:numCache>
            </c:numRef>
          </c:val>
        </c:ser>
        <c:ser>
          <c:idx val="3"/>
          <c:order val="3"/>
          <c:tx>
            <c:strRef>
              <c:f>Ind_Businesses1718!$E$8</c:f>
              <c:strCache>
                <c:ptCount val="1"/>
                <c:pt idx="0">
                  <c:v>200+ Employees</c:v>
                </c:pt>
              </c:strCache>
            </c:strRef>
          </c:tx>
          <c:spPr>
            <a:solidFill>
              <a:srgbClr val="00A3A1"/>
            </a:solidFill>
            <a:ln w="3175">
              <a:solidFill>
                <a:srgbClr val="FFFFFF"/>
              </a:solidFill>
              <a:prstDash val="solid"/>
            </a:ln>
            <a:effectLst/>
          </c:spPr>
          <c:invertIfNegative val="0"/>
          <c:cat>
            <c:strRef>
              <c:f>Ind_Businesses1718!$A$9:$A$16</c:f>
              <c:strCache>
                <c:ptCount val="8"/>
                <c:pt idx="0">
                  <c:v>New South Wales</c:v>
                </c:pt>
                <c:pt idx="1">
                  <c:v>Victoria</c:v>
                </c:pt>
                <c:pt idx="2">
                  <c:v>Queensland</c:v>
                </c:pt>
                <c:pt idx="3">
                  <c:v>South Australia</c:v>
                </c:pt>
                <c:pt idx="4">
                  <c:v>Western Australia</c:v>
                </c:pt>
                <c:pt idx="5">
                  <c:v>Tasmania</c:v>
                </c:pt>
                <c:pt idx="6">
                  <c:v>Northern Territory</c:v>
                </c:pt>
                <c:pt idx="7">
                  <c:v>ACT</c:v>
                </c:pt>
              </c:strCache>
            </c:strRef>
          </c:cat>
          <c:val>
            <c:numRef>
              <c:f>Ind_Businesses1718!$E$9:$E$16</c:f>
              <c:numCache>
                <c:formatCode>#,##0</c:formatCode>
                <c:ptCount val="8"/>
                <c:pt idx="0">
                  <c:v>3</c:v>
                </c:pt>
                <c:pt idx="1">
                  <c:v>0</c:v>
                </c:pt>
                <c:pt idx="2">
                  <c:v>0</c:v>
                </c:pt>
                <c:pt idx="3">
                  <c:v>0</c:v>
                </c:pt>
                <c:pt idx="4">
                  <c:v>0</c:v>
                </c:pt>
                <c:pt idx="5">
                  <c:v>0</c:v>
                </c:pt>
                <c:pt idx="6">
                  <c:v>0</c:v>
                </c:pt>
                <c:pt idx="7">
                  <c:v>0</c:v>
                </c:pt>
              </c:numCache>
            </c:numRef>
          </c:val>
        </c:ser>
        <c:dLbls>
          <c:showLegendKey val="0"/>
          <c:showVal val="0"/>
          <c:showCatName val="0"/>
          <c:showSerName val="0"/>
          <c:showPercent val="0"/>
          <c:showBubbleSize val="0"/>
        </c:dLbls>
        <c:gapWidth val="40"/>
        <c:overlap val="100"/>
        <c:axId val="623231080"/>
        <c:axId val="623231864"/>
      </c:barChart>
      <c:catAx>
        <c:axId val="623231080"/>
        <c:scaling>
          <c:orientation val="minMax"/>
        </c:scaling>
        <c:delete val="0"/>
        <c:axPos val="b"/>
        <c:numFmt formatCode="General" sourceLinked="1"/>
        <c:majorTickMark val="out"/>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Univers 45 Light" pitchFamily="2" charset="0"/>
                <a:ea typeface="Arial"/>
                <a:cs typeface="Arial"/>
              </a:defRPr>
            </a:pPr>
            <a:endParaRPr lang="en-US"/>
          </a:p>
        </c:txPr>
        <c:crossAx val="623231864"/>
        <c:crosses val="autoZero"/>
        <c:auto val="1"/>
        <c:lblAlgn val="ctr"/>
        <c:lblOffset val="100"/>
        <c:noMultiLvlLbl val="0"/>
      </c:catAx>
      <c:valAx>
        <c:axId val="623231864"/>
        <c:scaling>
          <c:orientation val="minMax"/>
          <c:max val="300"/>
        </c:scaling>
        <c:delete val="0"/>
        <c:axPos val="l"/>
        <c:title>
          <c:tx>
            <c:rich>
              <a:bodyPr rot="-5400000" spcFirstLastPara="1" vertOverflow="ellipsis" vert="horz" wrap="square" anchor="ctr" anchorCtr="1"/>
              <a:lstStyle/>
              <a:p>
                <a:pPr>
                  <a:defRPr sz="800" b="0" i="0" u="none" strike="noStrike" kern="1200" baseline="0">
                    <a:solidFill>
                      <a:srgbClr val="000000"/>
                    </a:solidFill>
                    <a:latin typeface="Univers 45 Light" pitchFamily="2" charset="0"/>
                    <a:ea typeface="Arial"/>
                    <a:cs typeface="Arial"/>
                  </a:defRPr>
                </a:pPr>
                <a:r>
                  <a:rPr lang="en-AU"/>
                  <a:t>Number of businesses</a:t>
                </a:r>
              </a:p>
            </c:rich>
          </c:tx>
          <c:layout>
            <c:manualLayout>
              <c:xMode val="edge"/>
              <c:yMode val="edge"/>
              <c:x val="1.9834722222222226E-2"/>
              <c:y val="9.2705902777777793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Univers 45 Light" pitchFamily="2" charset="0"/>
                  <a:ea typeface="Arial"/>
                  <a:cs typeface="Arial"/>
                </a:defRPr>
              </a:pPr>
              <a:endParaRPr lang="en-US"/>
            </a:p>
          </c:txPr>
        </c:title>
        <c:numFmt formatCode="#,##0" sourceLinked="1"/>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Univers 45 Light" pitchFamily="2" charset="0"/>
                <a:ea typeface="Arial"/>
                <a:cs typeface="Arial"/>
              </a:defRPr>
            </a:pPr>
            <a:endParaRPr lang="en-US"/>
          </a:p>
        </c:txPr>
        <c:crossAx val="623231080"/>
        <c:crosses val="autoZero"/>
        <c:crossBetween val="between"/>
      </c:valAx>
      <c:spPr>
        <a:noFill/>
        <a:ln w="25400">
          <a:noFill/>
        </a:ln>
        <a:effectLst/>
      </c:spPr>
    </c:plotArea>
    <c:legend>
      <c:legendPos val="b"/>
      <c:layout>
        <c:manualLayout>
          <c:xMode val="edge"/>
          <c:yMode val="edge"/>
          <c:x val="0.11777937185817874"/>
          <c:y val="0.88403436749893438"/>
          <c:w val="0.84547979797979811"/>
          <c:h val="9.6332986111111116E-2"/>
        </c:manualLayout>
      </c:layout>
      <c:overlay val="0"/>
      <c:spPr>
        <a:noFill/>
        <a:ln w="25400">
          <a:noFill/>
        </a:ln>
        <a:effectLst/>
      </c:spPr>
      <c:txPr>
        <a:bodyPr rot="0" spcFirstLastPara="1" vertOverflow="ellipsis" vert="horz" wrap="square" anchor="ctr" anchorCtr="1"/>
        <a:lstStyle/>
        <a:p>
          <a:pPr>
            <a:defRPr sz="800" b="0" i="0" u="none" strike="noStrike" kern="1200" baseline="0">
              <a:solidFill>
                <a:srgbClr val="000000"/>
              </a:solidFill>
              <a:latin typeface="Univers 45 Light" pitchFamily="2" charset="0"/>
              <a:ea typeface="Arial"/>
              <a:cs typeface="Arial"/>
            </a:defRPr>
          </a:pPr>
          <a:endParaRPr lang="en-US"/>
        </a:p>
      </c:txPr>
    </c:legend>
    <c:plotVisOnly val="1"/>
    <c:dispBlanksAs val="gap"/>
    <c:showDLblsOverMax val="0"/>
  </c:chart>
  <c:spPr>
    <a:solidFill>
      <a:sysClr val="window" lastClr="FFFFFF"/>
    </a:solidFill>
    <a:ln w="25400" cap="flat" cmpd="sng" algn="ctr">
      <a:noFill/>
      <a:round/>
    </a:ln>
    <a:effectLst/>
  </c:spPr>
  <c:txPr>
    <a:bodyPr/>
    <a:lstStyle/>
    <a:p>
      <a:pPr>
        <a:defRPr sz="800" b="0" i="0">
          <a:solidFill>
            <a:srgbClr val="000000"/>
          </a:solidFill>
          <a:latin typeface="Univers 45 Light" pitchFamily="2" charset="0"/>
          <a:ea typeface="Arial"/>
          <a:cs typeface="Aria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562114614687748"/>
          <c:y val="3.8039106058488259E-2"/>
          <c:w val="0.78448814985826587"/>
          <c:h val="0.85428139899672306"/>
        </c:manualLayout>
      </c:layout>
      <c:barChart>
        <c:barDir val="col"/>
        <c:grouping val="clustered"/>
        <c:varyColors val="0"/>
        <c:ser>
          <c:idx val="0"/>
          <c:order val="0"/>
          <c:spPr>
            <a:solidFill>
              <a:srgbClr val="0091DA"/>
            </a:solidFill>
          </c:spPr>
          <c:invertIfNegative val="0"/>
          <c:cat>
            <c:strRef>
              <c:f>'Ind_Emp&amp;Wages'!$B$11:$D$11</c:f>
              <c:strCache>
                <c:ptCount val="3"/>
                <c:pt idx="0">
                  <c:v>2014-15</c:v>
                </c:pt>
                <c:pt idx="1">
                  <c:v>2015-16</c:v>
                </c:pt>
                <c:pt idx="2">
                  <c:v>2016-17</c:v>
                </c:pt>
              </c:strCache>
            </c:strRef>
          </c:cat>
          <c:val>
            <c:numRef>
              <c:f>'Ind_Emp&amp;Wages'!$B$12:$D$12</c:f>
              <c:numCache>
                <c:formatCode>_-* #,##0_-;\-* #,##0_-;_-* "-"??_-;_-@_-</c:formatCode>
                <c:ptCount val="3"/>
                <c:pt idx="0">
                  <c:v>12843</c:v>
                </c:pt>
                <c:pt idx="1">
                  <c:v>13604</c:v>
                </c:pt>
                <c:pt idx="2">
                  <c:v>13396</c:v>
                </c:pt>
              </c:numCache>
            </c:numRef>
          </c:val>
        </c:ser>
        <c:dLbls>
          <c:showLegendKey val="0"/>
          <c:showVal val="0"/>
          <c:showCatName val="0"/>
          <c:showSerName val="0"/>
          <c:showPercent val="0"/>
          <c:showBubbleSize val="0"/>
        </c:dLbls>
        <c:gapWidth val="100"/>
        <c:axId val="623234608"/>
        <c:axId val="623232648"/>
      </c:barChart>
      <c:catAx>
        <c:axId val="623234608"/>
        <c:scaling>
          <c:orientation val="minMax"/>
        </c:scaling>
        <c:delete val="0"/>
        <c:axPos val="b"/>
        <c:numFmt formatCode="General" sourceLinked="1"/>
        <c:majorTickMark val="out"/>
        <c:minorTickMark val="none"/>
        <c:tickLblPos val="low"/>
        <c:spPr>
          <a:ln w="3175">
            <a:solidFill>
              <a:srgbClr val="000000"/>
            </a:solidFill>
            <a:prstDash val="solid"/>
          </a:ln>
        </c:spPr>
        <c:crossAx val="623232648"/>
        <c:crossesAt val="0"/>
        <c:auto val="1"/>
        <c:lblAlgn val="ctr"/>
        <c:lblOffset val="100"/>
        <c:noMultiLvlLbl val="0"/>
      </c:catAx>
      <c:valAx>
        <c:axId val="623232648"/>
        <c:scaling>
          <c:orientation val="minMax"/>
          <c:max val="14000"/>
          <c:min val="0"/>
        </c:scaling>
        <c:delete val="0"/>
        <c:axPos val="l"/>
        <c:title>
          <c:tx>
            <c:rich>
              <a:bodyPr rot="-5400000" vert="horz"/>
              <a:lstStyle/>
              <a:p>
                <a:pPr>
                  <a:defRPr/>
                </a:pPr>
                <a:r>
                  <a:rPr lang="en-AU"/>
                  <a:t>Employment number</a:t>
                </a:r>
              </a:p>
            </c:rich>
          </c:tx>
          <c:layout>
            <c:manualLayout>
              <c:xMode val="edge"/>
              <c:yMode val="edge"/>
              <c:x val="1.9586855411455922E-2"/>
              <c:y val="0.15013204618772499"/>
            </c:manualLayout>
          </c:layout>
          <c:overlay val="0"/>
        </c:title>
        <c:numFmt formatCode="#,##0" sourceLinked="0"/>
        <c:majorTickMark val="out"/>
        <c:minorTickMark val="none"/>
        <c:tickLblPos val="nextTo"/>
        <c:spPr>
          <a:ln w="3175">
            <a:solidFill>
              <a:srgbClr val="000000"/>
            </a:solidFill>
            <a:prstDash val="solid"/>
          </a:ln>
        </c:spPr>
        <c:crossAx val="623234608"/>
        <c:crosses val="autoZero"/>
        <c:crossBetween val="between"/>
      </c:valAx>
      <c:spPr>
        <a:noFill/>
        <a:ln w="25400">
          <a:noFill/>
        </a:ln>
      </c:spPr>
    </c:plotArea>
    <c:plotVisOnly val="1"/>
    <c:dispBlanksAs val="gap"/>
    <c:showDLblsOverMax val="0"/>
  </c:chart>
  <c:spPr>
    <a:noFill/>
    <a:ln w="6350">
      <a:noFill/>
    </a:ln>
  </c:spPr>
  <c:txPr>
    <a:bodyPr/>
    <a:lstStyle/>
    <a:p>
      <a:pPr>
        <a:defRPr sz="800" b="0" i="0">
          <a:solidFill>
            <a:srgbClr val="000000"/>
          </a:solidFill>
          <a:latin typeface="Univers 45 Light" pitchFamily="2" charset="0"/>
          <a:ea typeface="Arial"/>
          <a:cs typeface="Arial"/>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34533183352083"/>
          <c:y val="1.8265608638298448E-2"/>
          <c:w val="0.82394038245219348"/>
          <c:h val="0.77710041749962599"/>
        </c:manualLayout>
      </c:layout>
      <c:barChart>
        <c:barDir val="bar"/>
        <c:grouping val="clustered"/>
        <c:varyColors val="0"/>
        <c:ser>
          <c:idx val="0"/>
          <c:order val="0"/>
          <c:spPr>
            <a:solidFill>
              <a:srgbClr val="00338D"/>
            </a:solidFill>
            <a:ln w="3175">
              <a:solidFill>
                <a:srgbClr val="FFFFFF"/>
              </a:solidFill>
              <a:prstDash val="solid"/>
            </a:ln>
          </c:spPr>
          <c:invertIfNegative val="0"/>
          <c:dPt>
            <c:idx val="1"/>
            <c:invertIfNegative val="0"/>
            <c:bubble3D val="0"/>
            <c:spPr>
              <a:solidFill>
                <a:schemeClr val="accent2"/>
              </a:solidFill>
              <a:ln w="3175">
                <a:solidFill>
                  <a:srgbClr val="FFFFFF"/>
                </a:solidFill>
                <a:prstDash val="solid"/>
              </a:ln>
            </c:spPr>
          </c:dPt>
          <c:dPt>
            <c:idx val="3"/>
            <c:invertIfNegative val="0"/>
            <c:bubble3D val="0"/>
            <c:spPr>
              <a:solidFill>
                <a:srgbClr val="00A3A1"/>
              </a:solidFill>
              <a:ln w="3175">
                <a:solidFill>
                  <a:srgbClr val="FFFFFF"/>
                </a:solidFill>
                <a:prstDash val="solid"/>
              </a:ln>
            </c:spPr>
          </c:dPt>
          <c:dPt>
            <c:idx val="4"/>
            <c:invertIfNegative val="0"/>
            <c:bubble3D val="0"/>
            <c:spPr>
              <a:solidFill>
                <a:srgbClr val="00A3A1"/>
              </a:solidFill>
              <a:ln w="3175">
                <a:solidFill>
                  <a:srgbClr val="FFFFFF"/>
                </a:solidFill>
                <a:prstDash val="solid"/>
              </a:ln>
            </c:spPr>
          </c:dPt>
          <c:dPt>
            <c:idx val="5"/>
            <c:invertIfNegative val="0"/>
            <c:bubble3D val="0"/>
            <c:spPr>
              <a:solidFill>
                <a:srgbClr val="00A3A1"/>
              </a:solidFill>
              <a:ln w="3175">
                <a:solidFill>
                  <a:srgbClr val="FFFFFF"/>
                </a:solidFill>
                <a:prstDash val="solid"/>
              </a:ln>
            </c:spPr>
          </c:dPt>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'Ind_Emp&amp;Wages'!$A$30:$A$36</c:f>
              <c:strCache>
                <c:ptCount val="7"/>
                <c:pt idx="0">
                  <c:v>Ship and Boat Manufacturing</c:v>
                </c:pt>
                <c:pt idx="1">
                  <c:v>Aircraft Manufacturing</c:v>
                </c:pt>
                <c:pt idx="2">
                  <c:v>Motor Vehicle Manufacturing</c:v>
                </c:pt>
                <c:pt idx="3">
                  <c:v>Textile product manufacturing</c:v>
                </c:pt>
                <c:pt idx="4">
                  <c:v>Basic non-ferrous metal manufacturing</c:v>
                </c:pt>
                <c:pt idx="5">
                  <c:v>Electrical equipment manufacturing</c:v>
                </c:pt>
                <c:pt idx="6">
                  <c:v>Iron smelting and steel manufacturing</c:v>
                </c:pt>
              </c:strCache>
            </c:strRef>
          </c:cat>
          <c:val>
            <c:numRef>
              <c:f>'Ind_Emp&amp;Wages'!$B$30:$B$35</c:f>
              <c:numCache>
                <c:formatCode>0.00%</c:formatCode>
                <c:ptCount val="6"/>
                <c:pt idx="0">
                  <c:v>8.9523538514311406E-3</c:v>
                </c:pt>
                <c:pt idx="1">
                  <c:v>1.474557139970141E-2</c:v>
                </c:pt>
                <c:pt idx="2">
                  <c:v>1.0600168153114703E-2</c:v>
                </c:pt>
                <c:pt idx="3">
                  <c:v>1.4802810106239515E-2</c:v>
                </c:pt>
                <c:pt idx="4">
                  <c:v>1.4379023528986228E-2</c:v>
                </c:pt>
                <c:pt idx="5">
                  <c:v>1.433719524343915E-2</c:v>
                </c:pt>
              </c:numCache>
            </c:numRef>
          </c:val>
        </c:ser>
        <c:dLbls>
          <c:showLegendKey val="0"/>
          <c:showVal val="0"/>
          <c:showCatName val="0"/>
          <c:showSerName val="0"/>
          <c:showPercent val="0"/>
          <c:showBubbleSize val="0"/>
        </c:dLbls>
        <c:gapWidth val="40"/>
        <c:axId val="624297168"/>
        <c:axId val="624295600"/>
      </c:barChart>
      <c:catAx>
        <c:axId val="624297168"/>
        <c:scaling>
          <c:orientation val="maxMin"/>
        </c:scaling>
        <c:delete val="0"/>
        <c:axPos val="l"/>
        <c:numFmt formatCode="General" sourceLinked="1"/>
        <c:majorTickMark val="out"/>
        <c:minorTickMark val="none"/>
        <c:tickLblPos val="nextTo"/>
        <c:spPr>
          <a:ln w="3175">
            <a:solidFill>
              <a:srgbClr val="000000"/>
            </a:solidFill>
            <a:prstDash val="solid"/>
          </a:ln>
        </c:spPr>
        <c:crossAx val="624295600"/>
        <c:crosses val="autoZero"/>
        <c:auto val="1"/>
        <c:lblAlgn val="ctr"/>
        <c:lblOffset val="100"/>
        <c:noMultiLvlLbl val="0"/>
      </c:catAx>
      <c:valAx>
        <c:axId val="624295600"/>
        <c:scaling>
          <c:orientation val="minMax"/>
          <c:max val="2.0000000000000004E-2"/>
        </c:scaling>
        <c:delete val="0"/>
        <c:axPos val="b"/>
        <c:title>
          <c:tx>
            <c:rich>
              <a:bodyPr rot="0" vert="horz"/>
              <a:lstStyle/>
              <a:p>
                <a:pPr>
                  <a:defRPr/>
                </a:pPr>
                <a:r>
                  <a:rPr lang="en-AU"/>
                  <a:t>Share of total manufacturing employment</a:t>
                </a:r>
              </a:p>
            </c:rich>
          </c:tx>
          <c:layout>
            <c:manualLayout>
              <c:xMode val="edge"/>
              <c:yMode val="edge"/>
              <c:x val="0.45714285714285713"/>
              <c:y val="0.88848854688618473"/>
            </c:manualLayout>
          </c:layout>
          <c:overlay val="0"/>
        </c:title>
        <c:numFmt formatCode="0.0%" sourceLinked="0"/>
        <c:majorTickMark val="out"/>
        <c:minorTickMark val="none"/>
        <c:tickLblPos val="nextTo"/>
        <c:spPr>
          <a:ln w="3175">
            <a:solidFill>
              <a:srgbClr val="000000"/>
            </a:solidFill>
            <a:prstDash val="solid"/>
          </a:ln>
        </c:spPr>
        <c:crossAx val="624297168"/>
        <c:crosses val="max"/>
        <c:crossBetween val="between"/>
      </c:valAx>
      <c:spPr>
        <a:noFill/>
        <a:ln w="25400">
          <a:noFill/>
        </a:ln>
      </c:spPr>
    </c:plotArea>
    <c:plotVisOnly val="1"/>
    <c:dispBlanksAs val="gap"/>
    <c:showDLblsOverMax val="0"/>
  </c:chart>
  <c:spPr>
    <a:solidFill>
      <a:sysClr val="window" lastClr="FFFFFF"/>
    </a:solidFill>
    <a:ln w="6350">
      <a:noFill/>
    </a:ln>
  </c:spPr>
  <c:txPr>
    <a:bodyPr/>
    <a:lstStyle/>
    <a:p>
      <a:pPr>
        <a:defRPr sz="800" b="0" i="0">
          <a:solidFill>
            <a:srgbClr val="000000"/>
          </a:solidFill>
          <a:latin typeface="Univers 45 Light" pitchFamily="2" charset="0"/>
          <a:ea typeface="Arial"/>
          <a:cs typeface="Arial"/>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680373286672499"/>
          <c:y val="4.507807286801014E-2"/>
          <c:w val="0.77865653399552881"/>
          <c:h val="0.82045444444444449"/>
        </c:manualLayout>
      </c:layout>
      <c:barChart>
        <c:barDir val="col"/>
        <c:grouping val="clustered"/>
        <c:varyColors val="0"/>
        <c:ser>
          <c:idx val="1"/>
          <c:order val="1"/>
          <c:spPr>
            <a:solidFill>
              <a:srgbClr val="0091DA"/>
            </a:solidFill>
            <a:ln w="3175">
              <a:solidFill>
                <a:srgbClr val="FFFFFF"/>
              </a:solidFill>
              <a:prstDash val="solid"/>
            </a:ln>
          </c:spPr>
          <c:invertIfNegative val="0"/>
          <c:cat>
            <c:strRef>
              <c:f>'Ind_Emp&amp;Wages'!$B$11:$D$11</c:f>
              <c:strCache>
                <c:ptCount val="3"/>
                <c:pt idx="0">
                  <c:v>2014-15</c:v>
                </c:pt>
                <c:pt idx="1">
                  <c:v>2015-16</c:v>
                </c:pt>
                <c:pt idx="2">
                  <c:v>2016-17</c:v>
                </c:pt>
              </c:strCache>
            </c:strRef>
          </c:cat>
          <c:val>
            <c:numRef>
              <c:f>'Ind_Emp&amp;Wages'!$B$13:$D$13</c:f>
              <c:numCache>
                <c:formatCode>_-* #,##0_-;\-* #,##0_-;_-* "-"??_-;_-@_-</c:formatCode>
                <c:ptCount val="3"/>
                <c:pt idx="0">
                  <c:v>1269</c:v>
                </c:pt>
                <c:pt idx="1">
                  <c:v>1367</c:v>
                </c:pt>
                <c:pt idx="2">
                  <c:v>1358</c:v>
                </c:pt>
              </c:numCache>
            </c:numRef>
          </c:val>
        </c:ser>
        <c:dLbls>
          <c:showLegendKey val="0"/>
          <c:showVal val="0"/>
          <c:showCatName val="0"/>
          <c:showSerName val="0"/>
          <c:showPercent val="0"/>
          <c:showBubbleSize val="0"/>
        </c:dLbls>
        <c:gapWidth val="100"/>
        <c:axId val="624297560"/>
        <c:axId val="624298344"/>
        <c:extLst>
          <c:ext xmlns:c15="http://schemas.microsoft.com/office/drawing/2012/chart" uri="{02D57815-91ED-43cb-92C2-25804820EDAC}">
            <c15:filteredBarSeries>
              <c15:ser>
                <c:idx val="0"/>
                <c:order val="0"/>
                <c:invertIfNegative val="0"/>
                <c:cat>
                  <c:strRef>
                    <c:extLst>
                      <c:ext uri="{02D57815-91ED-43cb-92C2-25804820EDAC}">
                        <c15:formulaRef>
                          <c15:sqref>'Ind_Emp&amp;Wages'!$B$11:$D$11</c15:sqref>
                        </c15:formulaRef>
                      </c:ext>
                    </c:extLst>
                    <c:strCache>
                      <c:ptCount val="3"/>
                      <c:pt idx="0">
                        <c:v>2014-15</c:v>
                      </c:pt>
                      <c:pt idx="1">
                        <c:v>2015-16</c:v>
                      </c:pt>
                      <c:pt idx="2">
                        <c:v>2016-17</c:v>
                      </c:pt>
                    </c:strCache>
                  </c:strRef>
                </c:cat>
                <c:val>
                  <c:numRef>
                    <c:extLst>
                      <c:ext uri="{02D57815-91ED-43cb-92C2-25804820EDAC}">
                        <c15:formulaRef>
                          <c15:sqref>'Ind_Emp&amp;Wages'!$B$12:$D$12</c15:sqref>
                        </c15:formulaRef>
                      </c:ext>
                    </c:extLst>
                    <c:numCache>
                      <c:formatCode>_-* #,##0_-;\-* #,##0_-;_-* "-"??_-;_-@_-</c:formatCode>
                      <c:ptCount val="3"/>
                      <c:pt idx="0">
                        <c:v>12843</c:v>
                      </c:pt>
                      <c:pt idx="1">
                        <c:v>13604</c:v>
                      </c:pt>
                      <c:pt idx="2">
                        <c:v>13396</c:v>
                      </c:pt>
                    </c:numCache>
                  </c:numRef>
                </c:val>
              </c15:ser>
            </c15:filteredBarSeries>
          </c:ext>
        </c:extLst>
      </c:barChart>
      <c:catAx>
        <c:axId val="624297560"/>
        <c:scaling>
          <c:orientation val="minMax"/>
        </c:scaling>
        <c:delete val="0"/>
        <c:axPos val="b"/>
        <c:numFmt formatCode="General" sourceLinked="1"/>
        <c:majorTickMark val="out"/>
        <c:minorTickMark val="none"/>
        <c:tickLblPos val="low"/>
        <c:spPr>
          <a:ln w="3175">
            <a:solidFill>
              <a:srgbClr val="000000"/>
            </a:solidFill>
            <a:prstDash val="solid"/>
          </a:ln>
        </c:spPr>
        <c:crossAx val="624298344"/>
        <c:crossesAt val="0"/>
        <c:auto val="1"/>
        <c:lblAlgn val="ctr"/>
        <c:lblOffset val="100"/>
        <c:noMultiLvlLbl val="0"/>
      </c:catAx>
      <c:valAx>
        <c:axId val="624298344"/>
        <c:scaling>
          <c:orientation val="minMax"/>
          <c:max val="1400"/>
          <c:min val="0"/>
        </c:scaling>
        <c:delete val="0"/>
        <c:axPos val="l"/>
        <c:title>
          <c:tx>
            <c:rich>
              <a:bodyPr rot="-5400000" vert="horz"/>
              <a:lstStyle/>
              <a:p>
                <a:pPr>
                  <a:defRPr/>
                </a:pPr>
                <a:r>
                  <a:rPr lang="en-AU" dirty="0"/>
                  <a:t>Wages and salaries </a:t>
                </a:r>
                <a:r>
                  <a:rPr lang="en-AU" dirty="0" smtClean="0"/>
                  <a:t> (</a:t>
                </a:r>
                <a:r>
                  <a:rPr lang="en-AU" dirty="0"/>
                  <a:t>$ millions)</a:t>
                </a:r>
              </a:p>
            </c:rich>
          </c:tx>
          <c:layout>
            <c:manualLayout>
              <c:xMode val="edge"/>
              <c:yMode val="edge"/>
              <c:x val="2.0216606498194945E-2"/>
              <c:y val="7.7094621646870393E-2"/>
            </c:manualLayout>
          </c:layout>
          <c:overlay val="0"/>
        </c:title>
        <c:numFmt formatCode="#,##0" sourceLinked="0"/>
        <c:majorTickMark val="out"/>
        <c:minorTickMark val="none"/>
        <c:tickLblPos val="nextTo"/>
        <c:spPr>
          <a:ln w="3175">
            <a:solidFill>
              <a:srgbClr val="000000"/>
            </a:solidFill>
            <a:prstDash val="solid"/>
          </a:ln>
        </c:spPr>
        <c:crossAx val="624297560"/>
        <c:crosses val="autoZero"/>
        <c:crossBetween val="between"/>
        <c:majorUnit val="200"/>
      </c:valAx>
      <c:spPr>
        <a:noFill/>
        <a:ln w="25400">
          <a:noFill/>
        </a:ln>
      </c:spPr>
    </c:plotArea>
    <c:plotVisOnly val="1"/>
    <c:dispBlanksAs val="gap"/>
    <c:showDLblsOverMax val="0"/>
  </c:chart>
  <c:spPr>
    <a:noFill/>
    <a:ln w="6350">
      <a:noFill/>
    </a:ln>
  </c:spPr>
  <c:txPr>
    <a:bodyPr/>
    <a:lstStyle/>
    <a:p>
      <a:pPr>
        <a:defRPr sz="800" b="0" i="0">
          <a:solidFill>
            <a:srgbClr val="000000"/>
          </a:solidFill>
          <a:latin typeface="Univers 45 Light" pitchFamily="2" charset="0"/>
          <a:ea typeface="Arial"/>
          <a:cs typeface="Arial"/>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78968042845996"/>
          <c:y val="5.0925925925925923E-2"/>
          <c:w val="0.82486898808257081"/>
          <c:h val="0.81072376636681098"/>
        </c:manualLayout>
      </c:layout>
      <c:lineChart>
        <c:grouping val="standard"/>
        <c:varyColors val="0"/>
        <c:ser>
          <c:idx val="1"/>
          <c:order val="0"/>
          <c:tx>
            <c:strRef>
              <c:f>'Ind_Emp&amp;Wages'!$A$51</c:f>
              <c:strCache>
                <c:ptCount val="1"/>
                <c:pt idx="0">
                  <c:v>Aircraft maintenance engineers</c:v>
                </c:pt>
              </c:strCache>
            </c:strRef>
          </c:tx>
          <c:spPr>
            <a:ln w="25400" cap="rnd">
              <a:solidFill>
                <a:srgbClr val="6D2077"/>
              </a:solidFill>
              <a:round/>
            </a:ln>
            <a:effectLst/>
          </c:spPr>
          <c:marker>
            <c:symbol val="circle"/>
            <c:size val="5"/>
            <c:spPr>
              <a:solidFill>
                <a:schemeClr val="accent2"/>
              </a:solidFill>
              <a:ln w="9525">
                <a:solidFill>
                  <a:schemeClr val="accent2"/>
                </a:solidFill>
              </a:ln>
              <a:effectLst/>
            </c:spPr>
          </c:marker>
          <c:dPt>
            <c:idx val="9"/>
            <c:marker>
              <c:symbol val="circle"/>
              <c:size val="5"/>
              <c:spPr>
                <a:solidFill>
                  <a:schemeClr val="accent2"/>
                </a:solidFill>
                <a:ln w="9525">
                  <a:solidFill>
                    <a:schemeClr val="accent2"/>
                  </a:solidFill>
                </a:ln>
                <a:effectLst/>
              </c:spPr>
            </c:marker>
            <c:bubble3D val="0"/>
            <c:spPr>
              <a:ln w="25400" cap="rnd">
                <a:solidFill>
                  <a:srgbClr val="6D2077"/>
                </a:solidFill>
                <a:round/>
              </a:ln>
              <a:effectLst>
                <a:outerShdw blurRad="50800" dist="50800" dir="5400000" algn="ctr" rotWithShape="0">
                  <a:schemeClr val="accent1"/>
                </a:outerShdw>
              </a:effectLst>
            </c:spPr>
          </c:dPt>
          <c:cat>
            <c:strRef>
              <c:f>'Ind_Emp&amp;Wages'!$B$50:$K$50</c:f>
              <c:strCache>
                <c:ptCount val="10"/>
                <c:pt idx="0">
                  <c:v>2010</c:v>
                </c:pt>
                <c:pt idx="1">
                  <c:v>2011</c:v>
                </c:pt>
                <c:pt idx="2">
                  <c:v>2012</c:v>
                </c:pt>
                <c:pt idx="3">
                  <c:v>2013</c:v>
                </c:pt>
                <c:pt idx="4">
                  <c:v>2014</c:v>
                </c:pt>
                <c:pt idx="5">
                  <c:v>2015</c:v>
                </c:pt>
                <c:pt idx="6">
                  <c:v>2016</c:v>
                </c:pt>
                <c:pt idx="7">
                  <c:v>2017</c:v>
                </c:pt>
                <c:pt idx="8">
                  <c:v>2018</c:v>
                </c:pt>
                <c:pt idx="9">
                  <c:v>….2023</c:v>
                </c:pt>
              </c:strCache>
            </c:strRef>
          </c:cat>
          <c:val>
            <c:numRef>
              <c:f>'Ind_Emp&amp;Wages'!$B$51:$K$51</c:f>
              <c:numCache>
                <c:formatCode>0.0000</c:formatCode>
                <c:ptCount val="10"/>
                <c:pt idx="0">
                  <c:v>15.612877682499999</c:v>
                </c:pt>
                <c:pt idx="1">
                  <c:v>13.509990629999999</c:v>
                </c:pt>
                <c:pt idx="2">
                  <c:v>10.724786314999999</c:v>
                </c:pt>
                <c:pt idx="3">
                  <c:v>11.152356147500001</c:v>
                </c:pt>
                <c:pt idx="4">
                  <c:v>12.0011818875</c:v>
                </c:pt>
                <c:pt idx="5">
                  <c:v>10.29061295</c:v>
                </c:pt>
                <c:pt idx="6">
                  <c:v>10.044816445</c:v>
                </c:pt>
                <c:pt idx="7">
                  <c:v>8.6633194275000012</c:v>
                </c:pt>
                <c:pt idx="8">
                  <c:v>11.4757995125</c:v>
                </c:pt>
                <c:pt idx="9">
                  <c:v>10.974629070903497</c:v>
                </c:pt>
              </c:numCache>
            </c:numRef>
          </c:val>
          <c:smooth val="0"/>
        </c:ser>
        <c:ser>
          <c:idx val="0"/>
          <c:order val="1"/>
          <c:tx>
            <c:strRef>
              <c:f>'Ind_Emp&amp;Wages'!$A$51</c:f>
              <c:strCache>
                <c:ptCount val="1"/>
                <c:pt idx="0">
                  <c:v>Aircraft maintenance engineers</c:v>
                </c:pt>
              </c:strCache>
            </c:strRef>
          </c:tx>
          <c:spPr>
            <a:ln w="25400" cap="rnd">
              <a:solidFill>
                <a:schemeClr val="accent2"/>
              </a:solidFill>
              <a:round/>
            </a:ln>
            <a:effectLst/>
          </c:spPr>
          <c:marker>
            <c:symbol val="diamond"/>
            <c:size val="6"/>
            <c:spPr>
              <a:solidFill>
                <a:schemeClr val="accent2"/>
              </a:solidFill>
              <a:ln w="9525">
                <a:solidFill>
                  <a:schemeClr val="accent2"/>
                </a:solidFill>
              </a:ln>
              <a:effectLst/>
            </c:spPr>
          </c:marker>
          <c:dPt>
            <c:idx val="9"/>
            <c:marker>
              <c:symbol val="diamond"/>
              <c:size val="6"/>
              <c:spPr>
                <a:solidFill>
                  <a:schemeClr val="accent2"/>
                </a:solidFill>
                <a:ln w="9525">
                  <a:solidFill>
                    <a:schemeClr val="accent2"/>
                  </a:solidFill>
                </a:ln>
                <a:effectLst>
                  <a:outerShdw blurRad="50800" dist="50800" dir="5400000" algn="ctr" rotWithShape="0">
                    <a:schemeClr val="accent1"/>
                  </a:outerShdw>
                </a:effectLst>
              </c:spPr>
            </c:marker>
            <c:bubble3D val="0"/>
            <c:spPr>
              <a:ln w="25400" cap="rnd">
                <a:solidFill>
                  <a:schemeClr val="accent2"/>
                </a:solidFill>
                <a:round/>
              </a:ln>
              <a:effectLst>
                <a:outerShdw blurRad="50800" dist="50800" dir="5400000" algn="ctr" rotWithShape="0">
                  <a:schemeClr val="accent1"/>
                </a:outerShdw>
              </a:effectLst>
            </c:spPr>
          </c:dPt>
          <c:cat>
            <c:strRef>
              <c:f>'Ind_Emp&amp;Wages'!$B$50:$K$50</c:f>
              <c:strCache>
                <c:ptCount val="10"/>
                <c:pt idx="0">
                  <c:v>2010</c:v>
                </c:pt>
                <c:pt idx="1">
                  <c:v>2011</c:v>
                </c:pt>
                <c:pt idx="2">
                  <c:v>2012</c:v>
                </c:pt>
                <c:pt idx="3">
                  <c:v>2013</c:v>
                </c:pt>
                <c:pt idx="4">
                  <c:v>2014</c:v>
                </c:pt>
                <c:pt idx="5">
                  <c:v>2015</c:v>
                </c:pt>
                <c:pt idx="6">
                  <c:v>2016</c:v>
                </c:pt>
                <c:pt idx="7">
                  <c:v>2017</c:v>
                </c:pt>
                <c:pt idx="8">
                  <c:v>2018</c:v>
                </c:pt>
                <c:pt idx="9">
                  <c:v>….2023</c:v>
                </c:pt>
              </c:strCache>
            </c:strRef>
          </c:cat>
          <c:val>
            <c:numRef>
              <c:f>'Ind_Emp&amp;Wages'!$B$51:$K$51</c:f>
              <c:numCache>
                <c:formatCode>0.0000</c:formatCode>
                <c:ptCount val="10"/>
                <c:pt idx="0">
                  <c:v>15.612877682499999</c:v>
                </c:pt>
                <c:pt idx="1">
                  <c:v>13.509990629999999</c:v>
                </c:pt>
                <c:pt idx="2">
                  <c:v>10.724786314999999</c:v>
                </c:pt>
                <c:pt idx="3">
                  <c:v>11.152356147500001</c:v>
                </c:pt>
                <c:pt idx="4">
                  <c:v>12.0011818875</c:v>
                </c:pt>
                <c:pt idx="5">
                  <c:v>10.29061295</c:v>
                </c:pt>
                <c:pt idx="6">
                  <c:v>10.044816445</c:v>
                </c:pt>
                <c:pt idx="7">
                  <c:v>8.6633194275000012</c:v>
                </c:pt>
                <c:pt idx="8">
                  <c:v>11.4757995125</c:v>
                </c:pt>
                <c:pt idx="9">
                  <c:v>10.974629070903497</c:v>
                </c:pt>
              </c:numCache>
            </c:numRef>
          </c:val>
          <c:smooth val="0"/>
        </c:ser>
        <c:dLbls>
          <c:showLegendKey val="0"/>
          <c:showVal val="0"/>
          <c:showCatName val="0"/>
          <c:showSerName val="0"/>
          <c:showPercent val="0"/>
          <c:showBubbleSize val="0"/>
        </c:dLbls>
        <c:marker val="1"/>
        <c:smooth val="0"/>
        <c:axId val="624295208"/>
        <c:axId val="624296384"/>
      </c:lineChart>
      <c:catAx>
        <c:axId val="624295208"/>
        <c:scaling>
          <c:orientation val="minMax"/>
        </c:scaling>
        <c:delete val="0"/>
        <c:axPos val="b"/>
        <c:title>
          <c:tx>
            <c:rich>
              <a:bodyPr rot="0" spcFirstLastPara="1" vertOverflow="ellipsis" vert="horz" wrap="square" anchor="ctr" anchorCtr="1"/>
              <a:lstStyle/>
              <a:p>
                <a:pPr>
                  <a:defRPr sz="800" b="0" i="0" u="none" strike="noStrike" kern="1200" baseline="0">
                    <a:solidFill>
                      <a:srgbClr val="0070C0"/>
                    </a:solidFill>
                    <a:latin typeface="Univers 45 Light" pitchFamily="2" charset="0"/>
                    <a:ea typeface="+mn-ea"/>
                    <a:cs typeface="+mn-cs"/>
                  </a:defRPr>
                </a:pPr>
                <a:r>
                  <a:rPr lang="en-AU">
                    <a:solidFill>
                      <a:srgbClr val="0070C0"/>
                    </a:solidFill>
                  </a:rPr>
                  <a:t>Employment Projection </a:t>
                </a:r>
              </a:p>
            </c:rich>
          </c:tx>
          <c:layout>
            <c:manualLayout>
              <c:xMode val="edge"/>
              <c:yMode val="edge"/>
              <c:x val="0.74631502473317035"/>
              <c:y val="0.92719788231599254"/>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70C0"/>
                  </a:solidFill>
                  <a:latin typeface="Univers 45 Light" pitchFamily="2" charset="0"/>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Univers 45 Light" pitchFamily="2" charset="0"/>
                <a:ea typeface="+mn-ea"/>
                <a:cs typeface="+mn-cs"/>
              </a:defRPr>
            </a:pPr>
            <a:endParaRPr lang="en-US"/>
          </a:p>
        </c:txPr>
        <c:crossAx val="624296384"/>
        <c:crosses val="autoZero"/>
        <c:auto val="1"/>
        <c:lblAlgn val="ctr"/>
        <c:lblOffset val="100"/>
        <c:noMultiLvlLbl val="0"/>
      </c:catAx>
      <c:valAx>
        <c:axId val="624296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Univers 45 Light" pitchFamily="2" charset="0"/>
                    <a:ea typeface="+mn-ea"/>
                    <a:cs typeface="+mn-cs"/>
                  </a:defRPr>
                </a:pPr>
                <a:r>
                  <a:rPr lang="en-AU"/>
                  <a:t>Employment level ('000)</a:t>
                </a:r>
              </a:p>
            </c:rich>
          </c:tx>
          <c:layout>
            <c:manualLayout>
              <c:xMode val="edge"/>
              <c:yMode val="edge"/>
              <c:x val="1.6666666666666666E-2"/>
              <c:y val="0.24758493729950423"/>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Univers 45 Light" pitchFamily="2" charset="0"/>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Univers 45 Light" pitchFamily="2" charset="0"/>
                <a:ea typeface="+mn-ea"/>
                <a:cs typeface="+mn-cs"/>
              </a:defRPr>
            </a:pPr>
            <a:endParaRPr lang="en-US"/>
          </a:p>
        </c:txPr>
        <c:crossAx val="624295208"/>
        <c:crosses val="autoZero"/>
        <c:crossBetween val="midCat"/>
      </c:valAx>
      <c:spPr>
        <a:noFill/>
        <a:ln>
          <a:noFill/>
        </a:ln>
        <a:effectLst/>
      </c:spPr>
    </c:plotArea>
    <c:legend>
      <c:legendPos val="r"/>
      <c:legendEntry>
        <c:idx val="0"/>
        <c:delete val="1"/>
      </c:legendEntry>
      <c:layout>
        <c:manualLayout>
          <c:xMode val="edge"/>
          <c:yMode val="edge"/>
          <c:x val="0.55294100695183368"/>
          <c:y val="5.2847904321238176E-2"/>
          <c:w val="0.39356800205717535"/>
          <c:h val="9.921395134886490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Univers 45 Light" pitchFamily="2" charset="0"/>
              <a:ea typeface="+mn-ea"/>
              <a:cs typeface="+mn-cs"/>
            </a:defRPr>
          </a:pPr>
          <a:endParaRPr lang="en-US"/>
        </a:p>
      </c:txPr>
    </c:legend>
    <c:plotVisOnly val="1"/>
    <c:dispBlanksAs val="gap"/>
    <c:showDLblsOverMax val="0"/>
  </c:chart>
  <c:spPr>
    <a:solidFill>
      <a:sysClr val="window" lastClr="FFFFFF"/>
    </a:solidFill>
    <a:ln w="9525" cap="flat" cmpd="sng" algn="ctr">
      <a:noFill/>
      <a:round/>
    </a:ln>
    <a:effectLst/>
  </c:spPr>
  <c:txPr>
    <a:bodyPr/>
    <a:lstStyle/>
    <a:p>
      <a:pPr>
        <a:defRPr sz="800">
          <a:latin typeface="Univers 45 Light" pitchFamily="2"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300034722222225"/>
          <c:y val="1.7168939393939393E-2"/>
          <c:w val="0.47905312500000002"/>
          <c:h val="0.8481517676767677"/>
        </c:manualLayout>
      </c:layout>
      <c:barChart>
        <c:barDir val="bar"/>
        <c:grouping val="stacked"/>
        <c:varyColors val="0"/>
        <c:ser>
          <c:idx val="1"/>
          <c:order val="1"/>
          <c:tx>
            <c:strRef>
              <c:f>'Inputs to ind'!$G$2</c:f>
              <c:strCache>
                <c:ptCount val="1"/>
                <c:pt idx="0">
                  <c:v>Domestic</c:v>
                </c:pt>
              </c:strCache>
            </c:strRef>
          </c:tx>
          <c:spPr>
            <a:solidFill>
              <a:srgbClr val="00338D"/>
            </a:solidFill>
          </c:spPr>
          <c:invertIfNegative val="0"/>
          <c:cat>
            <c:strRef>
              <c:f>'Inputs to ind'!$E$3:$E$29</c:f>
              <c:strCache>
                <c:ptCount val="21"/>
                <c:pt idx="0">
                  <c:v>Professional, Scientific &amp; Technical Services</c:v>
                </c:pt>
                <c:pt idx="1">
                  <c:v>Wholesale Trade</c:v>
                </c:pt>
                <c:pt idx="2">
                  <c:v>Polymer Product Manufacturing</c:v>
                </c:pt>
                <c:pt idx="3">
                  <c:v>Basic Non-Ferrous Metal Manufacturing</c:v>
                </c:pt>
                <c:pt idx="4">
                  <c:v>Finance</c:v>
                </c:pt>
                <c:pt idx="5">
                  <c:v>Aircraft Manufacturing</c:v>
                </c:pt>
                <c:pt idx="6">
                  <c:v>Iron and Steel Manufacturing</c:v>
                </c:pt>
                <c:pt idx="7">
                  <c:v>Non-Residential Property Operators &amp; Real Estate Services</c:v>
                </c:pt>
                <c:pt idx="8">
                  <c:v>Specialised, other Machinery &amp; Equipment Manufacturing</c:v>
                </c:pt>
                <c:pt idx="9">
                  <c:v>Professional, Scientific &amp; Electronic Equipment Manufacturing</c:v>
                </c:pt>
                <c:pt idx="10">
                  <c:v>Other Repair &amp; Maintenance</c:v>
                </c:pt>
                <c:pt idx="11">
                  <c:v>Basic Chemical Manufacturing</c:v>
                </c:pt>
                <c:pt idx="12">
                  <c:v>Employment, Travel Agency &amp; Other Administrative Services</c:v>
                </c:pt>
                <c:pt idx="13">
                  <c:v>Broadcasting (except Internet)</c:v>
                </c:pt>
                <c:pt idx="14">
                  <c:v>Electrical Equipment Manufacturing</c:v>
                </c:pt>
                <c:pt idx="15">
                  <c:v>Waste Collection, Treatment &amp; Disposal Services</c:v>
                </c:pt>
                <c:pt idx="16">
                  <c:v>Road Transport</c:v>
                </c:pt>
                <c:pt idx="17">
                  <c:v>Glass &amp; Glass Product Manufacturing</c:v>
                </c:pt>
                <c:pt idx="18">
                  <c:v>Electricity* </c:v>
                </c:pt>
                <c:pt idx="19">
                  <c:v>Other Product Manufacturing*</c:v>
                </c:pt>
                <c:pt idx="20">
                  <c:v>Other</c:v>
                </c:pt>
              </c:strCache>
              <c:extLst/>
            </c:strRef>
          </c:cat>
          <c:val>
            <c:numRef>
              <c:f>'Inputs to ind'!$G$3:$G$29</c:f>
              <c:numCache>
                <c:formatCode>0.0</c:formatCode>
                <c:ptCount val="21"/>
                <c:pt idx="0">
                  <c:v>549.08399999999995</c:v>
                </c:pt>
                <c:pt idx="1">
                  <c:v>239.29</c:v>
                </c:pt>
                <c:pt idx="2">
                  <c:v>15.853999999999985</c:v>
                </c:pt>
                <c:pt idx="3">
                  <c:v>50.010000000000005</c:v>
                </c:pt>
                <c:pt idx="4">
                  <c:v>164.95400000000001</c:v>
                </c:pt>
                <c:pt idx="5">
                  <c:v>39.780000000000015</c:v>
                </c:pt>
                <c:pt idx="6">
                  <c:v>132.119</c:v>
                </c:pt>
                <c:pt idx="7">
                  <c:v>110.077</c:v>
                </c:pt>
                <c:pt idx="8">
                  <c:v>20.140999999999991</c:v>
                </c:pt>
                <c:pt idx="9">
                  <c:v>17.721000000000004</c:v>
                </c:pt>
                <c:pt idx="10">
                  <c:v>68.417000000000002</c:v>
                </c:pt>
                <c:pt idx="11">
                  <c:v>19.485999999999997</c:v>
                </c:pt>
                <c:pt idx="12">
                  <c:v>58.147999999999996</c:v>
                </c:pt>
                <c:pt idx="13">
                  <c:v>52.851999999999997</c:v>
                </c:pt>
                <c:pt idx="14">
                  <c:v>2.1499999999999986</c:v>
                </c:pt>
                <c:pt idx="15">
                  <c:v>43.185000000000002</c:v>
                </c:pt>
                <c:pt idx="16">
                  <c:v>40.640999999999998</c:v>
                </c:pt>
                <c:pt idx="17">
                  <c:v>10.194000000000003</c:v>
                </c:pt>
                <c:pt idx="18">
                  <c:v>72.427999999999997</c:v>
                </c:pt>
                <c:pt idx="19">
                  <c:v>38.085999999999999</c:v>
                </c:pt>
                <c:pt idx="20">
                  <c:v>60.180999999999976</c:v>
                </c:pt>
              </c:numCache>
              <c:extLst/>
            </c:numRef>
          </c:val>
        </c:ser>
        <c:ser>
          <c:idx val="2"/>
          <c:order val="2"/>
          <c:tx>
            <c:strRef>
              <c:f>'Inputs to ind'!$H$2</c:f>
              <c:strCache>
                <c:ptCount val="1"/>
                <c:pt idx="0">
                  <c:v>Imports </c:v>
                </c:pt>
              </c:strCache>
            </c:strRef>
          </c:tx>
          <c:spPr>
            <a:solidFill>
              <a:srgbClr val="00A3A1"/>
            </a:solidFill>
          </c:spPr>
          <c:invertIfNegative val="0"/>
          <c:dLbls>
            <c:dLbl>
              <c:idx val="0"/>
              <c:layout>
                <c:manualLayout>
                  <c:x val="3.6784895833333331E-2"/>
                  <c:y val="7.5757575757575762E-7"/>
                </c:manualLayout>
              </c:layout>
              <c:tx>
                <c:rich>
                  <a:bodyPr/>
                  <a:lstStyle/>
                  <a:p>
                    <a:fld id="{2504EE4F-3A86-4403-BDEA-DA8C4776F6C7}" type="CELLRANGE">
                      <a:rPr lang="en-US"/>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
              <c:delete val="1"/>
              <c:extLst>
                <c:ext xmlns:c15="http://schemas.microsoft.com/office/drawing/2012/chart" uri="{CE6537A1-D6FC-4f65-9D91-7224C49458BB}"/>
              </c:extLst>
            </c:dLbl>
            <c:dLbl>
              <c:idx val="2"/>
              <c:layout>
                <c:manualLayout>
                  <c:x val="0.10446979166666667"/>
                  <c:y val="-1.6025252525252525E-3"/>
                </c:manualLayout>
              </c:layout>
              <c:tx>
                <c:rich>
                  <a:bodyPr/>
                  <a:lstStyle/>
                  <a:p>
                    <a:fld id="{7CE9AE13-DDE4-4827-B889-FE8DC1462EE9}" type="CELLRANGE">
                      <a:rPr lang="en-US"/>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layout>
                    <c:manualLayout>
                      <c:w val="5.5154513888888888E-2"/>
                      <c:h val="4.231742424242424E-2"/>
                    </c:manualLayout>
                  </c15:layout>
                  <c15:dlblFieldTable/>
                  <c15:showDataLabelsRange val="1"/>
                </c:ext>
              </c:extLst>
            </c:dLbl>
            <c:dLbl>
              <c:idx val="3"/>
              <c:layout>
                <c:manualLayout>
                  <c:x val="8.4740972222222224E-2"/>
                  <c:y val="5.0505050507990281E-7"/>
                </c:manualLayout>
              </c:layout>
              <c:tx>
                <c:rich>
                  <a:bodyPr/>
                  <a:lstStyle/>
                  <a:p>
                    <a:fld id="{5A915793-7588-462B-BFFF-30B08B485839}" type="CELLRANGE">
                      <a:rPr lang="en-US"/>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4"/>
              <c:layout>
                <c:manualLayout>
                  <c:x val="3.2082812500000002E-2"/>
                  <c:y val="0"/>
                </c:manualLayout>
              </c:layout>
              <c:tx>
                <c:rich>
                  <a:bodyPr/>
                  <a:lstStyle/>
                  <a:p>
                    <a:fld id="{B010DC4B-1544-4240-BD61-00B69A23BFF0}" type="CELLRANGE">
                      <a:rPr lang="en-US"/>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5"/>
              <c:layout>
                <c:manualLayout>
                  <c:x val="8.4815625000000006E-2"/>
                  <c:y val="1.0101010101304079E-6"/>
                </c:manualLayout>
              </c:layout>
              <c:tx>
                <c:rich>
                  <a:bodyPr/>
                  <a:lstStyle/>
                  <a:p>
                    <a:fld id="{D5B8C297-8C97-4936-8461-928980A1A3EE}" type="CELLRANGE">
                      <a:rPr lang="en-US"/>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6"/>
              <c:layout>
                <c:manualLayout>
                  <c:x val="3.8831249999999998E-2"/>
                  <c:y val="5.0505050507990281E-7"/>
                </c:manualLayout>
              </c:layout>
              <c:tx>
                <c:rich>
                  <a:bodyPr/>
                  <a:lstStyle/>
                  <a:p>
                    <a:fld id="{13430D94-E55C-43DB-8C0E-73025297E1C1}" type="CELLRANGE">
                      <a:rPr lang="en-US"/>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7"/>
              <c:delete val="1"/>
              <c:extLst>
                <c:ext xmlns:c15="http://schemas.microsoft.com/office/drawing/2012/chart" uri="{CE6537A1-D6FC-4f65-9D91-7224C49458BB}"/>
              </c:extLst>
            </c:dLbl>
            <c:dLbl>
              <c:idx val="8"/>
              <c:layout>
                <c:manualLayout>
                  <c:x val="7.1299826388888807E-2"/>
                  <c:y val="1.0101010101010101E-6"/>
                </c:manualLayout>
              </c:layout>
              <c:tx>
                <c:rich>
                  <a:bodyPr/>
                  <a:lstStyle/>
                  <a:p>
                    <a:fld id="{069EAE4B-A083-41E2-962F-90A7156BD62B}" type="CELLRANGE">
                      <a:rPr lang="en-US"/>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9"/>
              <c:layout>
                <c:manualLayout>
                  <c:x val="6.6373784722222148E-2"/>
                  <c:y val="2.5252525252525252E-7"/>
                </c:manualLayout>
              </c:layout>
              <c:tx>
                <c:rich>
                  <a:bodyPr/>
                  <a:lstStyle/>
                  <a:p>
                    <a:fld id="{D3B88457-ED57-49B8-9AEB-5687F710205F}" type="CELLRANGE">
                      <a:rPr lang="en-US"/>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0"/>
              <c:delete val="1"/>
              <c:extLst>
                <c:ext xmlns:c15="http://schemas.microsoft.com/office/drawing/2012/chart" uri="{CE6537A1-D6FC-4f65-9D91-7224C49458BB}"/>
              </c:extLst>
            </c:dLbl>
            <c:dLbl>
              <c:idx val="11"/>
              <c:layout>
                <c:manualLayout>
                  <c:x val="5.2490624999999916E-2"/>
                  <c:y val="7.5757575757575762E-7"/>
                </c:manualLayout>
              </c:layout>
              <c:tx>
                <c:rich>
                  <a:bodyPr/>
                  <a:lstStyle/>
                  <a:p>
                    <a:fld id="{FC0CCC3E-BEA5-4718-B8DF-5E4E5A4CDA9B}" type="CELLRANGE">
                      <a:rPr lang="en-US"/>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layout>
                <c:manualLayout>
                  <c:x val="5.4188194444444365E-2"/>
                  <c:y val="1.1759123416862102E-16"/>
                </c:manualLayout>
              </c:layout>
              <c:tx>
                <c:rich>
                  <a:bodyPr/>
                  <a:lstStyle/>
                  <a:p>
                    <a:fld id="{04B203B1-8692-4BE0-A9E2-FC82972B65EB}" type="CELLRANGE">
                      <a:rPr lang="en-US"/>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layout>
                <c:manualLayout>
                  <c:x val="4.7697916666666583E-2"/>
                  <c:y val="0"/>
                </c:manualLayout>
              </c:layout>
              <c:tx>
                <c:rich>
                  <a:bodyPr/>
                  <a:lstStyle/>
                  <a:p>
                    <a:r>
                      <a:rPr lang="en-US"/>
                      <a:t>74%</a:t>
                    </a:r>
                  </a:p>
                </c:rich>
              </c:tx>
              <c:dLblPos val="ctr"/>
              <c:showLegendKey val="0"/>
              <c:showVal val="0"/>
              <c:showCatName val="0"/>
              <c:showSerName val="0"/>
              <c:showPercent val="0"/>
              <c:showBubbleSize val="0"/>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layout>
                <c:manualLayout>
                  <c:x val="6.443524305555548E-2"/>
                  <c:y val="5.0505050505050505E-7"/>
                </c:manualLayout>
              </c:layout>
              <c:tx>
                <c:rich>
                  <a:bodyPr/>
                  <a:lstStyle/>
                  <a:p>
                    <a:r>
                      <a:rPr lang="en-US"/>
                      <a:t>63%</a:t>
                    </a:r>
                  </a:p>
                </c:rich>
              </c:tx>
              <c:dLblPos val="ctr"/>
              <c:showLegendKey val="0"/>
              <c:showVal val="0"/>
              <c:showCatName val="0"/>
              <c:showSerName val="0"/>
              <c:showPercent val="0"/>
              <c:showBubbleSize val="0"/>
              <c:extLst>
                <c:ext xmlns:c15="http://schemas.microsoft.com/office/drawing/2012/chart" uri="{CE6537A1-D6FC-4f65-9D91-7224C49458BB}"/>
              </c:extLst>
            </c:dLbl>
            <c:dLbl>
              <c:idx val="20"/>
              <c:layout>
                <c:manualLayout>
                  <c:x val="5.5701562500000003E-2"/>
                  <c:y val="2.5252525264284378E-7"/>
                </c:manualLayout>
              </c:layout>
              <c:tx>
                <c:rich>
                  <a:bodyPr/>
                  <a:lstStyle/>
                  <a:p>
                    <a:fld id="{481C1A21-75CF-41BA-80C7-D36314A14699}" type="CELLRANGE">
                      <a:rPr lang="en-US"/>
                      <a:pPr/>
                      <a:t>[CELLRANGE]</a:t>
                    </a:fld>
                    <a:endParaRPr lang="en-AU"/>
                  </a:p>
                </c:rich>
              </c:tx>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Lst>
            </c:dLbl>
            <c:spPr>
              <a:noFill/>
              <a:ln>
                <a:noFill/>
              </a:ln>
              <a:effectLst/>
            </c:spPr>
            <c:dLblPos val="inBase"/>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cat>
            <c:strRef>
              <c:f>'Inputs to ind'!$E$3:$E$29</c:f>
              <c:strCache>
                <c:ptCount val="21"/>
                <c:pt idx="0">
                  <c:v>Professional, Scientific &amp; Technical Services</c:v>
                </c:pt>
                <c:pt idx="1">
                  <c:v>Wholesale Trade</c:v>
                </c:pt>
                <c:pt idx="2">
                  <c:v>Polymer Product Manufacturing</c:v>
                </c:pt>
                <c:pt idx="3">
                  <c:v>Basic Non-Ferrous Metal Manufacturing</c:v>
                </c:pt>
                <c:pt idx="4">
                  <c:v>Finance</c:v>
                </c:pt>
                <c:pt idx="5">
                  <c:v>Aircraft Manufacturing</c:v>
                </c:pt>
                <c:pt idx="6">
                  <c:v>Iron and Steel Manufacturing</c:v>
                </c:pt>
                <c:pt idx="7">
                  <c:v>Non-Residential Property Operators &amp; Real Estate Services</c:v>
                </c:pt>
                <c:pt idx="8">
                  <c:v>Specialised, other Machinery &amp; Equipment Manufacturing</c:v>
                </c:pt>
                <c:pt idx="9">
                  <c:v>Professional, Scientific &amp; Electronic Equipment Manufacturing</c:v>
                </c:pt>
                <c:pt idx="10">
                  <c:v>Other Repair &amp; Maintenance</c:v>
                </c:pt>
                <c:pt idx="11">
                  <c:v>Basic Chemical Manufacturing</c:v>
                </c:pt>
                <c:pt idx="12">
                  <c:v>Employment, Travel Agency &amp; Other Administrative Services</c:v>
                </c:pt>
                <c:pt idx="13">
                  <c:v>Broadcasting (except Internet)</c:v>
                </c:pt>
                <c:pt idx="14">
                  <c:v>Electrical Equipment Manufacturing</c:v>
                </c:pt>
                <c:pt idx="15">
                  <c:v>Waste Collection, Treatment &amp; Disposal Services</c:v>
                </c:pt>
                <c:pt idx="16">
                  <c:v>Road Transport</c:v>
                </c:pt>
                <c:pt idx="17">
                  <c:v>Glass &amp; Glass Product Manufacturing</c:v>
                </c:pt>
                <c:pt idx="18">
                  <c:v>Electricity* </c:v>
                </c:pt>
                <c:pt idx="19">
                  <c:v>Other Product Manufacturing*</c:v>
                </c:pt>
                <c:pt idx="20">
                  <c:v>Other</c:v>
                </c:pt>
              </c:strCache>
              <c:extLst/>
            </c:strRef>
          </c:cat>
          <c:val>
            <c:numRef>
              <c:f>'Inputs to ind'!$H$3:$H$29</c:f>
              <c:numCache>
                <c:formatCode>0.0</c:formatCode>
                <c:ptCount val="21"/>
                <c:pt idx="0">
                  <c:v>28.161999999999999</c:v>
                </c:pt>
                <c:pt idx="1">
                  <c:v>0</c:v>
                </c:pt>
                <c:pt idx="2">
                  <c:v>160.864</c:v>
                </c:pt>
                <c:pt idx="3">
                  <c:v>119.15300000000001</c:v>
                </c:pt>
                <c:pt idx="4">
                  <c:v>1.2789999999999999</c:v>
                </c:pt>
                <c:pt idx="5">
                  <c:v>118.96599999999999</c:v>
                </c:pt>
                <c:pt idx="6">
                  <c:v>11.99</c:v>
                </c:pt>
                <c:pt idx="7">
                  <c:v>0.25</c:v>
                </c:pt>
                <c:pt idx="8">
                  <c:v>86.546000000000006</c:v>
                </c:pt>
                <c:pt idx="9">
                  <c:v>71.27</c:v>
                </c:pt>
                <c:pt idx="10">
                  <c:v>0</c:v>
                </c:pt>
                <c:pt idx="11">
                  <c:v>39.770000000000003</c:v>
                </c:pt>
                <c:pt idx="12">
                  <c:v>7.8E-2</c:v>
                </c:pt>
                <c:pt idx="13">
                  <c:v>0</c:v>
                </c:pt>
                <c:pt idx="14">
                  <c:v>46.564</c:v>
                </c:pt>
                <c:pt idx="15">
                  <c:v>0</c:v>
                </c:pt>
                <c:pt idx="16">
                  <c:v>0</c:v>
                </c:pt>
                <c:pt idx="17">
                  <c:v>29.683</c:v>
                </c:pt>
                <c:pt idx="18">
                  <c:v>4.1000000000000002E-2</c:v>
                </c:pt>
                <c:pt idx="19">
                  <c:v>65.08</c:v>
                </c:pt>
                <c:pt idx="20">
                  <c:v>48.296000000000014</c:v>
                </c:pt>
              </c:numCache>
              <c:extLst/>
            </c:numRef>
          </c:val>
          <c:extLst>
            <c:ext xmlns:c15="http://schemas.microsoft.com/office/drawing/2012/chart" uri="{02D57815-91ED-43cb-92C2-25804820EDAC}">
              <c15:datalabelsRange>
                <c15:f>'Inputs to ind'!$J$3:$J$29</c15:f>
                <c15:dlblRangeCache>
                  <c:ptCount val="27"/>
                  <c:pt idx="0">
                    <c:v>5%</c:v>
                  </c:pt>
                  <c:pt idx="1">
                    <c:v>0%</c:v>
                  </c:pt>
                  <c:pt idx="2">
                    <c:v>91%</c:v>
                  </c:pt>
                  <c:pt idx="3">
                    <c:v>70%</c:v>
                  </c:pt>
                  <c:pt idx="4">
                    <c:v>1%</c:v>
                  </c:pt>
                  <c:pt idx="5">
                    <c:v>75%</c:v>
                  </c:pt>
                  <c:pt idx="6">
                    <c:v>8%</c:v>
                  </c:pt>
                  <c:pt idx="7">
                    <c:v>0%</c:v>
                  </c:pt>
                  <c:pt idx="8">
                    <c:v>81%</c:v>
                  </c:pt>
                  <c:pt idx="9">
                    <c:v>80%</c:v>
                  </c:pt>
                  <c:pt idx="10">
                    <c:v>0%</c:v>
                  </c:pt>
                  <c:pt idx="11">
                    <c:v>67%</c:v>
                  </c:pt>
                  <c:pt idx="12">
                    <c:v>0%</c:v>
                  </c:pt>
                  <c:pt idx="13">
                    <c:v>0%</c:v>
                  </c:pt>
                  <c:pt idx="14">
                    <c:v>96%</c:v>
                  </c:pt>
                  <c:pt idx="15">
                    <c:v>0%</c:v>
                  </c:pt>
                  <c:pt idx="16">
                    <c:v>0%</c:v>
                  </c:pt>
                  <c:pt idx="17">
                    <c:v>0%</c:v>
                  </c:pt>
                  <c:pt idx="18">
                    <c:v>74%</c:v>
                  </c:pt>
                  <c:pt idx="19">
                    <c:v>0%</c:v>
                  </c:pt>
                  <c:pt idx="20">
                    <c:v>86%</c:v>
                  </c:pt>
                  <c:pt idx="21">
                    <c:v>57%</c:v>
                  </c:pt>
                  <c:pt idx="22">
                    <c:v>73%</c:v>
                  </c:pt>
                  <c:pt idx="23">
                    <c:v>32%</c:v>
                  </c:pt>
                  <c:pt idx="24">
                    <c:v>0%</c:v>
                  </c:pt>
                  <c:pt idx="25">
                    <c:v>63%</c:v>
                  </c:pt>
                  <c:pt idx="26">
                    <c:v>84%</c:v>
                  </c:pt>
                </c15:dlblRangeCache>
              </c15:datalabelsRange>
            </c:ext>
          </c:extLst>
        </c:ser>
        <c:dLbls>
          <c:showLegendKey val="0"/>
          <c:showVal val="0"/>
          <c:showCatName val="0"/>
          <c:showSerName val="0"/>
          <c:showPercent val="0"/>
          <c:showBubbleSize val="0"/>
        </c:dLbls>
        <c:gapWidth val="40"/>
        <c:overlap val="100"/>
        <c:axId val="624295992"/>
        <c:axId val="630109488"/>
        <c:extLst>
          <c:ext xmlns:c15="http://schemas.microsoft.com/office/drawing/2012/chart" uri="{02D57815-91ED-43cb-92C2-25804820EDAC}">
            <c15:filteredBarSeries>
              <c15:ser>
                <c:idx val="0"/>
                <c:order val="0"/>
                <c:tx>
                  <c:strRef>
                    <c:extLst>
                      <c:ext uri="{02D57815-91ED-43cb-92C2-25804820EDAC}">
                        <c15:formulaRef>
                          <c15:sqref>'Inputs to ind'!$F$2</c15:sqref>
                        </c15:formulaRef>
                      </c:ext>
                    </c:extLst>
                    <c:strCache>
                      <c:ptCount val="1"/>
                      <c:pt idx="0">
                        <c:v>(2015-16 $million)</c:v>
                      </c:pt>
                    </c:strCache>
                  </c:strRef>
                </c:tx>
                <c:spPr>
                  <a:solidFill>
                    <a:srgbClr val="00338D"/>
                  </a:solidFill>
                  <a:ln w="3175">
                    <a:solidFill>
                      <a:srgbClr val="FFFFFF"/>
                    </a:solidFill>
                    <a:prstDash val="solid"/>
                  </a:ln>
                </c:spPr>
                <c:invertIfNegative val="0"/>
                <c:cat>
                  <c:strRef>
                    <c:extLst>
                      <c:ext uri="{02D57815-91ED-43cb-92C2-25804820EDAC}">
                        <c15:formulaRef>
                          <c15:sqref>'Inputs to ind'!$E$3:$E$29</c15:sqref>
                        </c15:formulaRef>
                      </c:ext>
                    </c:extLst>
                    <c:strCache>
                      <c:ptCount val="21"/>
                      <c:pt idx="0">
                        <c:v>Professional, Scientific &amp; Technical Services</c:v>
                      </c:pt>
                      <c:pt idx="1">
                        <c:v>Wholesale Trade</c:v>
                      </c:pt>
                      <c:pt idx="2">
                        <c:v>Polymer Product Manufacturing</c:v>
                      </c:pt>
                      <c:pt idx="3">
                        <c:v>Basic Non-Ferrous Metal Manufacturing</c:v>
                      </c:pt>
                      <c:pt idx="4">
                        <c:v>Finance</c:v>
                      </c:pt>
                      <c:pt idx="5">
                        <c:v>Aircraft Manufacturing</c:v>
                      </c:pt>
                      <c:pt idx="6">
                        <c:v>Iron and Steel Manufacturing</c:v>
                      </c:pt>
                      <c:pt idx="7">
                        <c:v>Non-Residential Property Operators &amp; Real Estate Services</c:v>
                      </c:pt>
                      <c:pt idx="8">
                        <c:v>Specialised, other Machinery &amp; Equipment Manufacturing</c:v>
                      </c:pt>
                      <c:pt idx="9">
                        <c:v>Professional, Scientific &amp; Electronic Equipment Manufacturing</c:v>
                      </c:pt>
                      <c:pt idx="10">
                        <c:v>Other Repair &amp; Maintenance</c:v>
                      </c:pt>
                      <c:pt idx="11">
                        <c:v>Basic Chemical Manufacturing</c:v>
                      </c:pt>
                      <c:pt idx="12">
                        <c:v>Employment, Travel Agency &amp; Other Administrative Services</c:v>
                      </c:pt>
                      <c:pt idx="13">
                        <c:v>Broadcasting (except Internet)</c:v>
                      </c:pt>
                      <c:pt idx="14">
                        <c:v>Electrical Equipment Manufacturing</c:v>
                      </c:pt>
                      <c:pt idx="15">
                        <c:v>Waste Collection, Treatment &amp; Disposal Services</c:v>
                      </c:pt>
                      <c:pt idx="16">
                        <c:v>Road Transport</c:v>
                      </c:pt>
                      <c:pt idx="17">
                        <c:v>Glass &amp; Glass Product Manufacturing</c:v>
                      </c:pt>
                      <c:pt idx="18">
                        <c:v>Electricity* </c:v>
                      </c:pt>
                      <c:pt idx="19">
                        <c:v>Other Product Manufacturing*</c:v>
                      </c:pt>
                      <c:pt idx="20">
                        <c:v>Other</c:v>
                      </c:pt>
                    </c:strCache>
                  </c:strRef>
                </c:cat>
                <c:val>
                  <c:numRef>
                    <c:extLst>
                      <c:ext uri="{02D57815-91ED-43cb-92C2-25804820EDAC}">
                        <c15:formulaRef>
                          <c15:sqref>'Inputs to ind'!$F$3:$F$29</c15:sqref>
                        </c15:formulaRef>
                      </c:ext>
                    </c:extLst>
                    <c:numCache>
                      <c:formatCode>0.0</c:formatCode>
                      <c:ptCount val="21"/>
                      <c:pt idx="0">
                        <c:v>577.24599999999998</c:v>
                      </c:pt>
                      <c:pt idx="1">
                        <c:v>239.29</c:v>
                      </c:pt>
                      <c:pt idx="2">
                        <c:v>176.71799999999999</c:v>
                      </c:pt>
                      <c:pt idx="3">
                        <c:v>169.16300000000001</c:v>
                      </c:pt>
                      <c:pt idx="4">
                        <c:v>166.233</c:v>
                      </c:pt>
                      <c:pt idx="5">
                        <c:v>158.74600000000001</c:v>
                      </c:pt>
                      <c:pt idx="6">
                        <c:v>144.10900000000001</c:v>
                      </c:pt>
                      <c:pt idx="7">
                        <c:v>110.327</c:v>
                      </c:pt>
                      <c:pt idx="8">
                        <c:v>106.687</c:v>
                      </c:pt>
                      <c:pt idx="9">
                        <c:v>88.991</c:v>
                      </c:pt>
                      <c:pt idx="10">
                        <c:v>68.417000000000002</c:v>
                      </c:pt>
                      <c:pt idx="11">
                        <c:v>59.256</c:v>
                      </c:pt>
                      <c:pt idx="12">
                        <c:v>58.225999999999999</c:v>
                      </c:pt>
                      <c:pt idx="13">
                        <c:v>52.851999999999997</c:v>
                      </c:pt>
                      <c:pt idx="14">
                        <c:v>48.713999999999999</c:v>
                      </c:pt>
                      <c:pt idx="15">
                        <c:v>43.185000000000002</c:v>
                      </c:pt>
                      <c:pt idx="16">
                        <c:v>40.640999999999998</c:v>
                      </c:pt>
                      <c:pt idx="17">
                        <c:v>39.877000000000002</c:v>
                      </c:pt>
                      <c:pt idx="18">
                        <c:v>72.468999999999994</c:v>
                      </c:pt>
                      <c:pt idx="19">
                        <c:v>103.166</c:v>
                      </c:pt>
                      <c:pt idx="20">
                        <c:v>108.47699999999999</c:v>
                      </c:pt>
                    </c:numCache>
                  </c:numRef>
                </c:val>
              </c15:ser>
            </c15:filteredBarSeries>
          </c:ext>
        </c:extLst>
      </c:barChart>
      <c:catAx>
        <c:axId val="624295992"/>
        <c:scaling>
          <c:orientation val="maxMin"/>
        </c:scaling>
        <c:delete val="0"/>
        <c:axPos val="l"/>
        <c:numFmt formatCode="General" sourceLinked="1"/>
        <c:majorTickMark val="out"/>
        <c:minorTickMark val="none"/>
        <c:tickLblPos val="nextTo"/>
        <c:spPr>
          <a:ln w="3175">
            <a:solidFill>
              <a:srgbClr val="000000"/>
            </a:solidFill>
            <a:prstDash val="solid"/>
          </a:ln>
        </c:spPr>
        <c:crossAx val="630109488"/>
        <c:crosses val="autoZero"/>
        <c:auto val="1"/>
        <c:lblAlgn val="ctr"/>
        <c:lblOffset val="100"/>
        <c:noMultiLvlLbl val="0"/>
      </c:catAx>
      <c:valAx>
        <c:axId val="630109488"/>
        <c:scaling>
          <c:orientation val="minMax"/>
          <c:max val="600"/>
        </c:scaling>
        <c:delete val="0"/>
        <c:axPos val="b"/>
        <c:title>
          <c:tx>
            <c:rich>
              <a:bodyPr/>
              <a:lstStyle/>
              <a:p>
                <a:pPr>
                  <a:defRPr/>
                </a:pPr>
                <a:r>
                  <a:rPr lang="en-AU"/>
                  <a:t>$ millions</a:t>
                </a:r>
              </a:p>
            </c:rich>
          </c:tx>
          <c:overlay val="0"/>
        </c:title>
        <c:numFmt formatCode="0" sourceLinked="0"/>
        <c:majorTickMark val="out"/>
        <c:minorTickMark val="none"/>
        <c:tickLblPos val="nextTo"/>
        <c:spPr>
          <a:ln w="3175">
            <a:solidFill>
              <a:srgbClr val="000000"/>
            </a:solidFill>
            <a:prstDash val="solid"/>
          </a:ln>
        </c:spPr>
        <c:crossAx val="624295992"/>
        <c:crosses val="max"/>
        <c:crossBetween val="between"/>
      </c:valAx>
      <c:spPr>
        <a:noFill/>
        <a:ln w="25400">
          <a:noFill/>
        </a:ln>
      </c:spPr>
    </c:plotArea>
    <c:legend>
      <c:legendPos val="b"/>
      <c:layout>
        <c:manualLayout>
          <c:xMode val="edge"/>
          <c:yMode val="edge"/>
          <c:x val="0.35819461805555558"/>
          <c:y val="0.94410782828282824"/>
          <c:w val="0.2153078125"/>
          <c:h val="4.9865151515151515E-2"/>
        </c:manualLayout>
      </c:layout>
      <c:overlay val="0"/>
      <c:spPr>
        <a:noFill/>
        <a:ln w="25400">
          <a:noFill/>
        </a:ln>
      </c:spPr>
    </c:legend>
    <c:plotVisOnly val="1"/>
    <c:dispBlanksAs val="gap"/>
    <c:showDLblsOverMax val="0"/>
  </c:chart>
  <c:spPr>
    <a:solidFill>
      <a:sysClr val="window" lastClr="FFFFFF"/>
    </a:solidFill>
    <a:ln w="6350">
      <a:noFill/>
    </a:ln>
  </c:spPr>
  <c:txPr>
    <a:bodyPr/>
    <a:lstStyle/>
    <a:p>
      <a:pPr>
        <a:defRPr sz="800" b="0" i="0">
          <a:solidFill>
            <a:srgbClr val="000000"/>
          </a:solidFill>
          <a:latin typeface="Univers 45 Light" pitchFamily="2" charset="0"/>
          <a:ea typeface="Arial"/>
          <a:cs typeface="Arial"/>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627592592592594"/>
          <c:y val="0.21727702020202019"/>
          <c:w val="0.55118833333333328"/>
          <c:h val="0.75162045454545456"/>
        </c:manualLayout>
      </c:layout>
      <c:pieChart>
        <c:varyColors val="1"/>
        <c:ser>
          <c:idx val="0"/>
          <c:order val="0"/>
          <c:dPt>
            <c:idx val="0"/>
            <c:bubble3D val="0"/>
            <c:spPr>
              <a:solidFill>
                <a:schemeClr val="accent2"/>
              </a:solidFill>
              <a:ln w="3175">
                <a:solidFill>
                  <a:srgbClr val="FFFFFF"/>
                </a:solidFill>
                <a:prstDash val="solid"/>
              </a:ln>
            </c:spPr>
          </c:dPt>
          <c:dPt>
            <c:idx val="1"/>
            <c:bubble3D val="0"/>
            <c:spPr>
              <a:solidFill>
                <a:schemeClr val="bg2"/>
              </a:solidFill>
              <a:ln w="3175">
                <a:solidFill>
                  <a:srgbClr val="FFFFFF"/>
                </a:solidFill>
                <a:prstDash val="solid"/>
              </a:ln>
            </c:spPr>
          </c:dPt>
          <c:dPt>
            <c:idx val="2"/>
            <c:bubble3D val="0"/>
            <c:spPr>
              <a:solidFill>
                <a:srgbClr val="6D2077"/>
              </a:solidFill>
              <a:ln w="3175">
                <a:solidFill>
                  <a:srgbClr val="FFFFFF"/>
                </a:solidFill>
                <a:prstDash val="solid"/>
              </a:ln>
            </c:spPr>
          </c:dPt>
          <c:dPt>
            <c:idx val="3"/>
            <c:bubble3D val="0"/>
            <c:spPr>
              <a:solidFill>
                <a:srgbClr val="005EB8"/>
              </a:solidFill>
              <a:ln w="3175">
                <a:solidFill>
                  <a:srgbClr val="FFFFFF"/>
                </a:solidFill>
                <a:prstDash val="solid"/>
              </a:ln>
            </c:spPr>
          </c:dPt>
          <c:dPt>
            <c:idx val="4"/>
            <c:bubble3D val="0"/>
            <c:spPr>
              <a:solidFill>
                <a:srgbClr val="00A3A1"/>
              </a:solidFill>
              <a:ln w="3175">
                <a:solidFill>
                  <a:srgbClr val="FFFFFF"/>
                </a:solidFill>
                <a:prstDash val="solid"/>
              </a:ln>
            </c:spPr>
          </c:dPt>
          <c:dPt>
            <c:idx val="5"/>
            <c:bubble3D val="0"/>
            <c:spPr>
              <a:solidFill>
                <a:srgbClr val="EAAA00"/>
              </a:solidFill>
              <a:ln w="3175">
                <a:solidFill>
                  <a:srgbClr val="FFFFFF"/>
                </a:solidFill>
                <a:prstDash val="solid"/>
              </a:ln>
            </c:spPr>
          </c:dPt>
          <c:dPt>
            <c:idx val="6"/>
            <c:bubble3D val="0"/>
            <c:spPr>
              <a:solidFill>
                <a:srgbClr val="43B02A"/>
              </a:solidFill>
              <a:ln w="3175">
                <a:solidFill>
                  <a:srgbClr val="FFFFFF"/>
                </a:solidFill>
                <a:prstDash val="solid"/>
              </a:ln>
            </c:spPr>
          </c:dPt>
          <c:dPt>
            <c:idx val="7"/>
            <c:bubble3D val="0"/>
            <c:spPr>
              <a:solidFill>
                <a:srgbClr val="C6007E"/>
              </a:solidFill>
              <a:ln w="3175">
                <a:solidFill>
                  <a:srgbClr val="FFFFFF"/>
                </a:solidFill>
                <a:prstDash val="solid"/>
              </a:ln>
            </c:spPr>
          </c:dPt>
          <c:dLbls>
            <c:dLbl>
              <c:idx val="0"/>
              <c:layout>
                <c:manualLayout>
                  <c:x val="0.1047401638243587"/>
                  <c:y val="-7.1025694589513425E-2"/>
                </c:manualLayout>
              </c:layout>
              <c:spPr>
                <a:noFill/>
                <a:ln>
                  <a:noFill/>
                </a:ln>
                <a:effectLst/>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9.4379177156366942E-2"/>
                  <c:y val="0.30626631510208918"/>
                </c:manualLayout>
              </c:layout>
              <c:spPr>
                <a:noFill/>
                <a:ln>
                  <a:noFill/>
                </a:ln>
                <a:effectLst/>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4110718367804398"/>
                      <c:h val="0.15136499936672315"/>
                    </c:manualLayout>
                  </c15:layout>
                </c:ext>
              </c:extLst>
            </c:dLbl>
            <c:dLbl>
              <c:idx val="2"/>
              <c:layout>
                <c:manualLayout>
                  <c:x val="-0.10854510985240581"/>
                  <c:y val="0.16987642055501367"/>
                </c:manualLayout>
              </c:layout>
              <c:spPr>
                <a:noFill/>
                <a:ln>
                  <a:noFill/>
                </a:ln>
                <a:effectLst/>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0.15125448180263892"/>
                  <c:y val="7.448470184176631E-2"/>
                </c:manualLayout>
              </c:layout>
              <c:spPr>
                <a:noFill/>
                <a:ln>
                  <a:noFill/>
                </a:ln>
                <a:effectLst/>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5968539886589642"/>
                      <c:h val="0.14339459395442708"/>
                    </c:manualLayout>
                  </c15:layout>
                </c:ext>
              </c:extLst>
            </c:dLbl>
            <c:dLbl>
              <c:idx val="4"/>
              <c:layout>
                <c:manualLayout>
                  <c:x val="-0.21700068148301901"/>
                  <c:y val="-5.6385175490852743E-2"/>
                </c:manualLayout>
              </c:layout>
              <c:spPr>
                <a:noFill/>
                <a:ln>
                  <a:noFill/>
                </a:ln>
                <a:effectLst/>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2301597958909627"/>
                      <c:h val="0.17372049300188008"/>
                    </c:manualLayout>
                  </c15:layout>
                </c:ext>
              </c:extLst>
            </c:dLbl>
            <c:dLbl>
              <c:idx val="5"/>
              <c:layout>
                <c:manualLayout>
                  <c:x val="-6.5569730899654038E-4"/>
                  <c:y val="-4.1973041296141392E-2"/>
                </c:manualLayout>
              </c:layout>
              <c:spPr>
                <a:noFill/>
                <a:ln>
                  <a:noFill/>
                </a:ln>
                <a:effectLst/>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3550422989123132"/>
                      <c:h val="0.21401729421382384"/>
                    </c:manualLayout>
                  </c15:layout>
                </c:ext>
              </c:extLst>
            </c:dLbl>
            <c:dLbl>
              <c:idx val="6"/>
              <c:layout>
                <c:manualLayout>
                  <c:x val="0.2692252547926608"/>
                  <c:y val="-4.7303474469075533E-2"/>
                </c:manualLayout>
              </c:layout>
              <c:spPr>
                <a:noFill/>
                <a:ln>
                  <a:noFill/>
                </a:ln>
                <a:effectLst/>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1790849562631041"/>
                      <c:h val="0.15275294473714077"/>
                    </c:manualLayout>
                  </c15:layout>
                </c:ext>
              </c:extLst>
            </c:dLbl>
            <c:dLbl>
              <c:idx val="7"/>
              <c:layout>
                <c:manualLayout>
                  <c:x val="0.18064781146347564"/>
                  <c:y val="0.10769258605573821"/>
                </c:manualLayout>
              </c:layout>
              <c:spPr>
                <a:noFill/>
                <a:ln>
                  <a:noFill/>
                </a:ln>
                <a:effectLst/>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5310874008346645"/>
                      <c:h val="0.16118654689784831"/>
                    </c:manualLayout>
                  </c15:layout>
                </c:ext>
              </c:extLst>
            </c:dLbl>
            <c:spPr>
              <a:noFill/>
              <a:ln>
                <a:noFill/>
              </a:ln>
              <a:effectLst/>
            </c:sp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'Ind ouput users'!$G$9:$G$16</c:f>
              <c:strCache>
                <c:ptCount val="8"/>
                <c:pt idx="0">
                  <c:v>Air and Space Transport</c:v>
                </c:pt>
                <c:pt idx="1">
                  <c:v>Defence</c:v>
                </c:pt>
                <c:pt idx="2">
                  <c:v>Aircraft Manufacturing</c:v>
                </c:pt>
                <c:pt idx="3">
                  <c:v>Postal, Courier Pick-up and Delivery Service</c:v>
                </c:pt>
                <c:pt idx="4">
                  <c:v>Transport Support services and storage</c:v>
                </c:pt>
                <c:pt idx="5">
                  <c:v>Public Administration and Regulatory Services</c:v>
                </c:pt>
                <c:pt idx="6">
                  <c:v>Technical, Vocational and Tertiary Education Services</c:v>
                </c:pt>
                <c:pt idx="7">
                  <c:v>Water, Pipeline and Other Transport</c:v>
                </c:pt>
              </c:strCache>
            </c:strRef>
          </c:cat>
          <c:val>
            <c:numRef>
              <c:f>'Ind ouput users'!$H$9:$H$16</c:f>
              <c:numCache>
                <c:formatCode>0%</c:formatCode>
                <c:ptCount val="8"/>
                <c:pt idx="0">
                  <c:v>0.80515456810756203</c:v>
                </c:pt>
                <c:pt idx="1">
                  <c:v>5.8983734332445567E-2</c:v>
                </c:pt>
                <c:pt idx="2">
                  <c:v>5.5549548471395378E-2</c:v>
                </c:pt>
                <c:pt idx="3">
                  <c:v>3.9171904202521084E-2</c:v>
                </c:pt>
                <c:pt idx="4">
                  <c:v>1.0960770707731327E-2</c:v>
                </c:pt>
                <c:pt idx="5">
                  <c:v>1.0405086262311751E-2</c:v>
                </c:pt>
                <c:pt idx="6">
                  <c:v>7.1731583417228382E-3</c:v>
                </c:pt>
                <c:pt idx="7">
                  <c:v>6.3046389503302784E-3</c:v>
                </c:pt>
              </c:numCache>
            </c:numRef>
          </c:val>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ysClr val="window" lastClr="FFFFFF"/>
    </a:solidFill>
    <a:ln w="6350">
      <a:noFill/>
    </a:ln>
  </c:spPr>
  <c:txPr>
    <a:bodyPr/>
    <a:lstStyle/>
    <a:p>
      <a:pPr>
        <a:defRPr sz="800" b="0" i="0">
          <a:solidFill>
            <a:srgbClr val="000000"/>
          </a:solidFill>
          <a:latin typeface="Univers 45 Light" pitchFamily="2" charset="0"/>
          <a:ea typeface="Arial"/>
          <a:cs typeface="Arial"/>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37105851146449"/>
          <c:y val="2.9803540268602036E-2"/>
          <c:w val="0.85220607856491382"/>
          <c:h val="0.78927883738898674"/>
        </c:manualLayout>
      </c:layout>
      <c:lineChart>
        <c:grouping val="standard"/>
        <c:varyColors val="0"/>
        <c:ser>
          <c:idx val="0"/>
          <c:order val="0"/>
          <c:tx>
            <c:strRef>
              <c:f>Exports!$B$35</c:f>
              <c:strCache>
                <c:ptCount val="1"/>
                <c:pt idx="0">
                  <c:v>Non-powered aircraft</c:v>
                </c:pt>
              </c:strCache>
            </c:strRef>
          </c:tx>
          <c:spPr>
            <a:ln w="15875">
              <a:solidFill>
                <a:srgbClr val="00338D"/>
              </a:solidFill>
              <a:prstDash val="solid"/>
            </a:ln>
          </c:spPr>
          <c:marker>
            <c:symbol val="diamond"/>
            <c:size val="3"/>
            <c:spPr>
              <a:solidFill>
                <a:srgbClr val="00338D"/>
              </a:solidFill>
              <a:ln>
                <a:solidFill>
                  <a:srgbClr val="00338D"/>
                </a:solidFill>
                <a:prstDash val="solid"/>
              </a:ln>
            </c:spPr>
          </c:marker>
          <c:cat>
            <c:strRef>
              <c:f>Exports!$C$34:$M$34</c:f>
              <c:strCache>
                <c:ptCount val="11"/>
                <c:pt idx="0">
                  <c:v>2007-08</c:v>
                </c:pt>
                <c:pt idx="1">
                  <c:v>2008-09</c:v>
                </c:pt>
                <c:pt idx="2">
                  <c:v>2009-10</c:v>
                </c:pt>
                <c:pt idx="3">
                  <c:v>2010-11</c:v>
                </c:pt>
                <c:pt idx="4">
                  <c:v>2011-12</c:v>
                </c:pt>
                <c:pt idx="5">
                  <c:v>2012-13</c:v>
                </c:pt>
                <c:pt idx="6">
                  <c:v>2013-14</c:v>
                </c:pt>
                <c:pt idx="7">
                  <c:v>2014-15</c:v>
                </c:pt>
                <c:pt idx="8">
                  <c:v>2015-16</c:v>
                </c:pt>
                <c:pt idx="9">
                  <c:v>2016-17</c:v>
                </c:pt>
                <c:pt idx="10">
                  <c:v>2017-18p</c:v>
                </c:pt>
              </c:strCache>
            </c:strRef>
          </c:cat>
          <c:val>
            <c:numRef>
              <c:f>Exports!$C$35:$M$35</c:f>
              <c:numCache>
                <c:formatCode>_(* #,##0_);_(* \(#,##0\);_(* "-"??_);_(@_)</c:formatCode>
                <c:ptCount val="11"/>
                <c:pt idx="0">
                  <c:v>0</c:v>
                </c:pt>
                <c:pt idx="1">
                  <c:v>0</c:v>
                </c:pt>
                <c:pt idx="2">
                  <c:v>0</c:v>
                </c:pt>
                <c:pt idx="3">
                  <c:v>0</c:v>
                </c:pt>
                <c:pt idx="4">
                  <c:v>348093</c:v>
                </c:pt>
                <c:pt idx="5">
                  <c:v>776991</c:v>
                </c:pt>
                <c:pt idx="6">
                  <c:v>792133</c:v>
                </c:pt>
                <c:pt idx="7">
                  <c:v>1275405</c:v>
                </c:pt>
                <c:pt idx="8">
                  <c:v>1937693</c:v>
                </c:pt>
                <c:pt idx="9">
                  <c:v>1729552</c:v>
                </c:pt>
                <c:pt idx="10">
                  <c:v>1555973</c:v>
                </c:pt>
              </c:numCache>
            </c:numRef>
          </c:val>
          <c:smooth val="0"/>
        </c:ser>
        <c:ser>
          <c:idx val="1"/>
          <c:order val="1"/>
          <c:tx>
            <c:strRef>
              <c:f>Exports!$B$36</c:f>
              <c:strCache>
                <c:ptCount val="1"/>
                <c:pt idx="0">
                  <c:v>Powered aircraft &amp; spacecraft</c:v>
                </c:pt>
              </c:strCache>
            </c:strRef>
          </c:tx>
          <c:spPr>
            <a:ln w="15875">
              <a:solidFill>
                <a:srgbClr val="0091DA"/>
              </a:solidFill>
              <a:prstDash val="solid"/>
            </a:ln>
          </c:spPr>
          <c:marker>
            <c:symbol val="square"/>
            <c:size val="3"/>
            <c:spPr>
              <a:solidFill>
                <a:srgbClr val="0091DA"/>
              </a:solidFill>
              <a:ln>
                <a:solidFill>
                  <a:srgbClr val="0091DA"/>
                </a:solidFill>
                <a:prstDash val="solid"/>
              </a:ln>
            </c:spPr>
          </c:marker>
          <c:cat>
            <c:strRef>
              <c:f>Exports!$C$34:$M$34</c:f>
              <c:strCache>
                <c:ptCount val="11"/>
                <c:pt idx="0">
                  <c:v>2007-08</c:v>
                </c:pt>
                <c:pt idx="1">
                  <c:v>2008-09</c:v>
                </c:pt>
                <c:pt idx="2">
                  <c:v>2009-10</c:v>
                </c:pt>
                <c:pt idx="3">
                  <c:v>2010-11</c:v>
                </c:pt>
                <c:pt idx="4">
                  <c:v>2011-12</c:v>
                </c:pt>
                <c:pt idx="5">
                  <c:v>2012-13</c:v>
                </c:pt>
                <c:pt idx="6">
                  <c:v>2013-14</c:v>
                </c:pt>
                <c:pt idx="7">
                  <c:v>2014-15</c:v>
                </c:pt>
                <c:pt idx="8">
                  <c:v>2015-16</c:v>
                </c:pt>
                <c:pt idx="9">
                  <c:v>2016-17</c:v>
                </c:pt>
                <c:pt idx="10">
                  <c:v>2017-18p</c:v>
                </c:pt>
              </c:strCache>
            </c:strRef>
          </c:cat>
          <c:val>
            <c:numRef>
              <c:f>Exports!$C$36:$M$36</c:f>
              <c:numCache>
                <c:formatCode>_(* #,##0_);_(* \(#,##0\);_(* "-"??_);_(@_)</c:formatCode>
                <c:ptCount val="11"/>
                <c:pt idx="0">
                  <c:v>93242520</c:v>
                </c:pt>
                <c:pt idx="1">
                  <c:v>147320761</c:v>
                </c:pt>
                <c:pt idx="2">
                  <c:v>64301194</c:v>
                </c:pt>
                <c:pt idx="3">
                  <c:v>68227818</c:v>
                </c:pt>
                <c:pt idx="4">
                  <c:v>243995435</c:v>
                </c:pt>
                <c:pt idx="5">
                  <c:v>214361187</c:v>
                </c:pt>
                <c:pt idx="6">
                  <c:v>346878677</c:v>
                </c:pt>
                <c:pt idx="7">
                  <c:v>217737769</c:v>
                </c:pt>
                <c:pt idx="8">
                  <c:v>335415047</c:v>
                </c:pt>
                <c:pt idx="9">
                  <c:v>229511301</c:v>
                </c:pt>
                <c:pt idx="10">
                  <c:v>187627388</c:v>
                </c:pt>
              </c:numCache>
            </c:numRef>
          </c:val>
          <c:smooth val="0"/>
        </c:ser>
        <c:ser>
          <c:idx val="2"/>
          <c:order val="2"/>
          <c:tx>
            <c:strRef>
              <c:f>Exports!$B$37</c:f>
              <c:strCache>
                <c:ptCount val="1"/>
                <c:pt idx="0">
                  <c:v>Aircraft parts</c:v>
                </c:pt>
              </c:strCache>
            </c:strRef>
          </c:tx>
          <c:spPr>
            <a:ln w="15875">
              <a:solidFill>
                <a:srgbClr val="6D2077"/>
              </a:solidFill>
              <a:prstDash val="solid"/>
            </a:ln>
          </c:spPr>
          <c:marker>
            <c:symbol val="triangle"/>
            <c:size val="3"/>
            <c:spPr>
              <a:solidFill>
                <a:srgbClr val="6D2077"/>
              </a:solidFill>
              <a:ln>
                <a:solidFill>
                  <a:srgbClr val="6D2077"/>
                </a:solidFill>
                <a:prstDash val="solid"/>
              </a:ln>
            </c:spPr>
          </c:marker>
          <c:cat>
            <c:strRef>
              <c:f>Exports!$C$34:$M$34</c:f>
              <c:strCache>
                <c:ptCount val="11"/>
                <c:pt idx="0">
                  <c:v>2007-08</c:v>
                </c:pt>
                <c:pt idx="1">
                  <c:v>2008-09</c:v>
                </c:pt>
                <c:pt idx="2">
                  <c:v>2009-10</c:v>
                </c:pt>
                <c:pt idx="3">
                  <c:v>2010-11</c:v>
                </c:pt>
                <c:pt idx="4">
                  <c:v>2011-12</c:v>
                </c:pt>
                <c:pt idx="5">
                  <c:v>2012-13</c:v>
                </c:pt>
                <c:pt idx="6">
                  <c:v>2013-14</c:v>
                </c:pt>
                <c:pt idx="7">
                  <c:v>2014-15</c:v>
                </c:pt>
                <c:pt idx="8">
                  <c:v>2015-16</c:v>
                </c:pt>
                <c:pt idx="9">
                  <c:v>2016-17</c:v>
                </c:pt>
                <c:pt idx="10">
                  <c:v>2017-18p</c:v>
                </c:pt>
              </c:strCache>
            </c:strRef>
          </c:cat>
          <c:val>
            <c:numRef>
              <c:f>Exports!$C$37:$M$37</c:f>
              <c:numCache>
                <c:formatCode>_(* #,##0_);_(* \(#,##0\);_(* "-"??_);_(@_)</c:formatCode>
                <c:ptCount val="11"/>
                <c:pt idx="0">
                  <c:v>534161696</c:v>
                </c:pt>
                <c:pt idx="1">
                  <c:v>806050326</c:v>
                </c:pt>
                <c:pt idx="2">
                  <c:v>589129464</c:v>
                </c:pt>
                <c:pt idx="3">
                  <c:v>662080485</c:v>
                </c:pt>
                <c:pt idx="4">
                  <c:v>843430034</c:v>
                </c:pt>
                <c:pt idx="5">
                  <c:v>946347727</c:v>
                </c:pt>
                <c:pt idx="6">
                  <c:v>1292526656</c:v>
                </c:pt>
                <c:pt idx="7">
                  <c:v>1460819908</c:v>
                </c:pt>
                <c:pt idx="8">
                  <c:v>1688356825</c:v>
                </c:pt>
                <c:pt idx="9">
                  <c:v>1563083842</c:v>
                </c:pt>
                <c:pt idx="10">
                  <c:v>1834607728</c:v>
                </c:pt>
              </c:numCache>
            </c:numRef>
          </c:val>
          <c:smooth val="0"/>
        </c:ser>
        <c:ser>
          <c:idx val="3"/>
          <c:order val="3"/>
          <c:tx>
            <c:strRef>
              <c:f>Exports!$B$38</c:f>
              <c:strCache>
                <c:ptCount val="1"/>
                <c:pt idx="0">
                  <c:v>Aircraft gear; Ground flying trainers</c:v>
                </c:pt>
              </c:strCache>
            </c:strRef>
          </c:tx>
          <c:spPr>
            <a:ln w="15875">
              <a:solidFill>
                <a:srgbClr val="00A3A1"/>
              </a:solidFill>
              <a:prstDash val="solid"/>
            </a:ln>
          </c:spPr>
          <c:marker>
            <c:symbol val="circle"/>
            <c:size val="3"/>
            <c:spPr>
              <a:solidFill>
                <a:srgbClr val="005EB8"/>
              </a:solidFill>
              <a:ln>
                <a:solidFill>
                  <a:srgbClr val="005EB8"/>
                </a:solidFill>
                <a:prstDash val="solid"/>
              </a:ln>
            </c:spPr>
          </c:marker>
          <c:cat>
            <c:strRef>
              <c:f>Exports!$C$34:$M$34</c:f>
              <c:strCache>
                <c:ptCount val="11"/>
                <c:pt idx="0">
                  <c:v>2007-08</c:v>
                </c:pt>
                <c:pt idx="1">
                  <c:v>2008-09</c:v>
                </c:pt>
                <c:pt idx="2">
                  <c:v>2009-10</c:v>
                </c:pt>
                <c:pt idx="3">
                  <c:v>2010-11</c:v>
                </c:pt>
                <c:pt idx="4">
                  <c:v>2011-12</c:v>
                </c:pt>
                <c:pt idx="5">
                  <c:v>2012-13</c:v>
                </c:pt>
                <c:pt idx="6">
                  <c:v>2013-14</c:v>
                </c:pt>
                <c:pt idx="7">
                  <c:v>2014-15</c:v>
                </c:pt>
                <c:pt idx="8">
                  <c:v>2015-16</c:v>
                </c:pt>
                <c:pt idx="9">
                  <c:v>2016-17</c:v>
                </c:pt>
                <c:pt idx="10">
                  <c:v>2017-18p</c:v>
                </c:pt>
              </c:strCache>
            </c:strRef>
          </c:cat>
          <c:val>
            <c:numRef>
              <c:f>Exports!$C$38:$M$38</c:f>
              <c:numCache>
                <c:formatCode>_(* #,##0_);_(* \(#,##0\);_(* "-"??_);_(@_)</c:formatCode>
                <c:ptCount val="11"/>
                <c:pt idx="0">
                  <c:v>9550083</c:v>
                </c:pt>
                <c:pt idx="1">
                  <c:v>16265578</c:v>
                </c:pt>
                <c:pt idx="2">
                  <c:v>1259468</c:v>
                </c:pt>
                <c:pt idx="3">
                  <c:v>1402695</c:v>
                </c:pt>
                <c:pt idx="4">
                  <c:v>16247016</c:v>
                </c:pt>
                <c:pt idx="5">
                  <c:v>1916473</c:v>
                </c:pt>
                <c:pt idx="6">
                  <c:v>1181360</c:v>
                </c:pt>
                <c:pt idx="7">
                  <c:v>6612515</c:v>
                </c:pt>
                <c:pt idx="8">
                  <c:v>11627803</c:v>
                </c:pt>
                <c:pt idx="9">
                  <c:v>6157529</c:v>
                </c:pt>
                <c:pt idx="10">
                  <c:v>20149948</c:v>
                </c:pt>
              </c:numCache>
            </c:numRef>
          </c:val>
          <c:smooth val="0"/>
        </c:ser>
        <c:dLbls>
          <c:showLegendKey val="0"/>
          <c:showVal val="0"/>
          <c:showCatName val="0"/>
          <c:showSerName val="0"/>
          <c:showPercent val="0"/>
          <c:showBubbleSize val="0"/>
        </c:dLbls>
        <c:marker val="1"/>
        <c:smooth val="0"/>
        <c:axId val="630111448"/>
        <c:axId val="630108312"/>
      </c:lineChart>
      <c:catAx>
        <c:axId val="630111448"/>
        <c:scaling>
          <c:orientation val="minMax"/>
        </c:scaling>
        <c:delete val="0"/>
        <c:axPos val="b"/>
        <c:numFmt formatCode="General" sourceLinked="1"/>
        <c:majorTickMark val="out"/>
        <c:minorTickMark val="none"/>
        <c:tickLblPos val="low"/>
        <c:spPr>
          <a:ln w="3175">
            <a:solidFill>
              <a:srgbClr val="000000"/>
            </a:solidFill>
            <a:prstDash val="solid"/>
          </a:ln>
        </c:spPr>
        <c:crossAx val="630108312"/>
        <c:crosses val="autoZero"/>
        <c:auto val="1"/>
        <c:lblAlgn val="ctr"/>
        <c:lblOffset val="100"/>
        <c:noMultiLvlLbl val="0"/>
      </c:catAx>
      <c:valAx>
        <c:axId val="630108312"/>
        <c:scaling>
          <c:orientation val="minMax"/>
          <c:max val="2000000000"/>
        </c:scaling>
        <c:delete val="0"/>
        <c:axPos val="l"/>
        <c:numFmt formatCode="#,##0" sourceLinked="0"/>
        <c:majorTickMark val="out"/>
        <c:minorTickMark val="none"/>
        <c:tickLblPos val="nextTo"/>
        <c:spPr>
          <a:ln w="3175">
            <a:solidFill>
              <a:srgbClr val="000000"/>
            </a:solidFill>
            <a:prstDash val="solid"/>
          </a:ln>
        </c:spPr>
        <c:crossAx val="630111448"/>
        <c:crosses val="autoZero"/>
        <c:crossBetween val="midCat"/>
        <c:majorUnit val="200000000"/>
        <c:dispUnits>
          <c:builtInUnit val="millions"/>
          <c:dispUnitsLbl>
            <c:layout>
              <c:manualLayout>
                <c:xMode val="edge"/>
                <c:yMode val="edge"/>
                <c:x val="8.7042325323902041E-3"/>
                <c:y val="0.24384585333669012"/>
              </c:manualLayout>
            </c:layout>
            <c:tx>
              <c:rich>
                <a:bodyPr/>
                <a:lstStyle/>
                <a:p>
                  <a:pPr>
                    <a:defRPr/>
                  </a:pPr>
                  <a:r>
                    <a:rPr lang="en-US"/>
                    <a:t>Exports ($ millions)</a:t>
                  </a:r>
                </a:p>
              </c:rich>
            </c:tx>
          </c:dispUnitsLbl>
        </c:dispUnits>
      </c:valAx>
      <c:spPr>
        <a:noFill/>
        <a:ln w="25400">
          <a:noFill/>
        </a:ln>
      </c:spPr>
    </c:plotArea>
    <c:legend>
      <c:legendPos val="l"/>
      <c:layout>
        <c:manualLayout>
          <c:xMode val="edge"/>
          <c:yMode val="edge"/>
          <c:x val="0.13648692244273714"/>
          <c:y val="2.7704381494760788E-2"/>
          <c:w val="0.4265953578091895"/>
          <c:h val="0.25849611111111109"/>
        </c:manualLayout>
      </c:layout>
      <c:overlay val="0"/>
      <c:spPr>
        <a:noFill/>
        <a:ln w="25400">
          <a:noFill/>
        </a:ln>
      </c:spPr>
    </c:legend>
    <c:plotVisOnly val="1"/>
    <c:dispBlanksAs val="gap"/>
    <c:showDLblsOverMax val="0"/>
  </c:chart>
  <c:spPr>
    <a:solidFill>
      <a:sysClr val="window" lastClr="FFFFFF"/>
    </a:solidFill>
    <a:ln w="6350">
      <a:noFill/>
    </a:ln>
  </c:spPr>
  <c:txPr>
    <a:bodyPr/>
    <a:lstStyle/>
    <a:p>
      <a:pPr>
        <a:defRPr sz="800" b="0" i="0">
          <a:solidFill>
            <a:srgbClr val="000000"/>
          </a:solidFill>
          <a:latin typeface="Univers 45 Light" pitchFamily="2" charset="0"/>
          <a:ea typeface="Arial"/>
          <a:cs typeface="Aria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27379077615298"/>
          <c:y val="7.1784528824256136E-2"/>
          <c:w val="0.80172620922384696"/>
          <c:h val="0.7853538097435363"/>
        </c:manualLayout>
      </c:layout>
      <c:barChart>
        <c:barDir val="col"/>
        <c:grouping val="clustered"/>
        <c:varyColors val="0"/>
        <c:ser>
          <c:idx val="0"/>
          <c:order val="0"/>
          <c:spPr>
            <a:solidFill>
              <a:schemeClr val="accent2"/>
            </a:solidFill>
            <a:ln w="3175">
              <a:solidFill>
                <a:srgbClr val="FFFFFF"/>
              </a:solidFill>
              <a:prstDash val="soli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0000"/>
                    </a:solidFill>
                    <a:latin typeface="Univers 45 Light" pitchFamily="2" charset="0"/>
                    <a:ea typeface="Arial"/>
                    <a:cs typeface="Aria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Macro!$D$1:$D$4</c:f>
              <c:strCache>
                <c:ptCount val="4"/>
                <c:pt idx="0">
                  <c:v>Consumption</c:v>
                </c:pt>
                <c:pt idx="1">
                  <c:v>Investment</c:v>
                </c:pt>
                <c:pt idx="2">
                  <c:v>Net exports (exports - imports)</c:v>
                </c:pt>
                <c:pt idx="3">
                  <c:v>GDP</c:v>
                </c:pt>
              </c:strCache>
            </c:strRef>
          </c:cat>
          <c:val>
            <c:numRef>
              <c:f>Macro!$E$1:$E$4</c:f>
              <c:numCache>
                <c:formatCode>0.0</c:formatCode>
                <c:ptCount val="4"/>
                <c:pt idx="0">
                  <c:v>1.8581145791670284</c:v>
                </c:pt>
                <c:pt idx="1">
                  <c:v>2.0954914787497896</c:v>
                </c:pt>
                <c:pt idx="2">
                  <c:v>-1.0650009876575957</c:v>
                </c:pt>
                <c:pt idx="3">
                  <c:v>2.8886050702592221</c:v>
                </c:pt>
              </c:numCache>
            </c:numRef>
          </c:val>
        </c:ser>
        <c:dLbls>
          <c:showLegendKey val="0"/>
          <c:showVal val="0"/>
          <c:showCatName val="0"/>
          <c:showSerName val="0"/>
          <c:showPercent val="0"/>
          <c:showBubbleSize val="0"/>
        </c:dLbls>
        <c:gapWidth val="40"/>
        <c:axId val="630109096"/>
        <c:axId val="630110272"/>
      </c:barChart>
      <c:catAx>
        <c:axId val="630109096"/>
        <c:scaling>
          <c:orientation val="minMax"/>
        </c:scaling>
        <c:delete val="0"/>
        <c:axPos val="b"/>
        <c:numFmt formatCode="General" sourceLinked="1"/>
        <c:majorTickMark val="out"/>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Univers 45 Light" pitchFamily="2" charset="0"/>
                <a:ea typeface="Arial"/>
                <a:cs typeface="Arial"/>
              </a:defRPr>
            </a:pPr>
            <a:endParaRPr lang="en-US"/>
          </a:p>
        </c:txPr>
        <c:crossAx val="630110272"/>
        <c:crosses val="autoZero"/>
        <c:auto val="1"/>
        <c:lblAlgn val="ctr"/>
        <c:lblOffset val="100"/>
        <c:noMultiLvlLbl val="0"/>
      </c:catAx>
      <c:valAx>
        <c:axId val="630110272"/>
        <c:scaling>
          <c:orientation val="minMax"/>
        </c:scaling>
        <c:delete val="0"/>
        <c:axPos val="l"/>
        <c:title>
          <c:tx>
            <c:strRef>
              <c:f>Macro!$G$2</c:f>
              <c:strCache>
                <c:ptCount val="1"/>
                <c:pt idx="0">
                  <c:v>$ billion</c:v>
                </c:pt>
              </c:strCache>
            </c:strRef>
          </c:tx>
          <c:layout>
            <c:manualLayout>
              <c:xMode val="edge"/>
              <c:yMode val="edge"/>
              <c:x val="3.4285714285714287E-2"/>
              <c:y val="0.335667877290386"/>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rgbClr val="000000"/>
                  </a:solidFill>
                  <a:latin typeface="Univers 45 Light" pitchFamily="2" charset="0"/>
                  <a:ea typeface="Arial"/>
                  <a:cs typeface="Arial"/>
                </a:defRPr>
              </a:pPr>
              <a:endParaRPr lang="en-US"/>
            </a:p>
          </c:txPr>
        </c:title>
        <c:numFmt formatCode="0.0" sourceLinked="1"/>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Univers 45 Light" pitchFamily="2" charset="0"/>
                <a:ea typeface="Arial"/>
                <a:cs typeface="Arial"/>
              </a:defRPr>
            </a:pPr>
            <a:endParaRPr lang="en-US"/>
          </a:p>
        </c:txPr>
        <c:crossAx val="630109096"/>
        <c:crosses val="autoZero"/>
        <c:crossBetween val="between"/>
      </c:valAx>
      <c:spPr>
        <a:noFill/>
        <a:ln w="25400">
          <a:noFill/>
        </a:ln>
        <a:effectLst/>
      </c:spPr>
    </c:plotArea>
    <c:plotVisOnly val="1"/>
    <c:dispBlanksAs val="gap"/>
    <c:showDLblsOverMax val="0"/>
  </c:chart>
  <c:spPr>
    <a:noFill/>
    <a:ln w="25400" cap="flat" cmpd="sng" algn="ctr">
      <a:noFill/>
      <a:round/>
    </a:ln>
    <a:effectLst/>
  </c:spPr>
  <c:txPr>
    <a:bodyPr/>
    <a:lstStyle/>
    <a:p>
      <a:pPr>
        <a:defRPr sz="800" b="0" i="0">
          <a:solidFill>
            <a:srgbClr val="000000"/>
          </a:solidFill>
          <a:latin typeface="Univers 45 Light" pitchFamily="2" charset="0"/>
          <a:ea typeface="Arial"/>
          <a:cs typeface="Arial"/>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804139482564681"/>
          <c:y val="3.1926229334418812E-2"/>
          <c:w val="0.5919228346456693"/>
          <c:h val="0.83961176904583212"/>
        </c:manualLayout>
      </c:layout>
      <c:barChart>
        <c:barDir val="bar"/>
        <c:grouping val="clustered"/>
        <c:varyColors val="0"/>
        <c:ser>
          <c:idx val="0"/>
          <c:order val="0"/>
          <c:spPr>
            <a:solidFill>
              <a:schemeClr val="accent2"/>
            </a:solidFill>
            <a:ln w="3175">
              <a:solidFill>
                <a:srgbClr val="FFFFFF"/>
              </a:solidFill>
              <a:prstDash val="solid"/>
            </a:ln>
            <a:effectLst/>
          </c:spPr>
          <c:invertIfNegative val="0"/>
          <c:cat>
            <c:strRef>
              <c:f>'Value added'!$B$2:$B$21</c:f>
              <c:strCache>
                <c:ptCount val="20"/>
                <c:pt idx="0">
                  <c:v>Agriculture, Forestry &amp; Fishing</c:v>
                </c:pt>
                <c:pt idx="1">
                  <c:v>Mining</c:v>
                </c:pt>
                <c:pt idx="2">
                  <c:v>Manufacturing</c:v>
                </c:pt>
                <c:pt idx="3">
                  <c:v>Electricity, Gas, Water &amp; Waste Services</c:v>
                </c:pt>
                <c:pt idx="4">
                  <c:v>Construction</c:v>
                </c:pt>
                <c:pt idx="5">
                  <c:v>Wholesale trade</c:v>
                </c:pt>
                <c:pt idx="6">
                  <c:v>Retail trade</c:v>
                </c:pt>
                <c:pt idx="7">
                  <c:v>Accommodation &amp; Food Services</c:v>
                </c:pt>
                <c:pt idx="8">
                  <c:v>Transport, Postal &amp; Warehousing</c:v>
                </c:pt>
                <c:pt idx="9">
                  <c:v>Information Media &amp; Telcommunications </c:v>
                </c:pt>
                <c:pt idx="10">
                  <c:v>Financial &amp; Insurance Services </c:v>
                </c:pt>
                <c:pt idx="11">
                  <c:v>Rental, Hiring &amp; Real Estate Services </c:v>
                </c:pt>
                <c:pt idx="12">
                  <c:v>Professional, Scientific &amp; Technical Services</c:v>
                </c:pt>
                <c:pt idx="13">
                  <c:v>Administrative &amp; Support Services</c:v>
                </c:pt>
                <c:pt idx="14">
                  <c:v>Public Administration &amp; Safety</c:v>
                </c:pt>
                <c:pt idx="15">
                  <c:v>Education &amp; Training</c:v>
                </c:pt>
                <c:pt idx="16">
                  <c:v>Healthcare &amp; Social Assistance </c:v>
                </c:pt>
                <c:pt idx="17">
                  <c:v>Arts &amp; Recreation Services</c:v>
                </c:pt>
                <c:pt idx="18">
                  <c:v>Other Services</c:v>
                </c:pt>
                <c:pt idx="19">
                  <c:v>Ownership of dwellings</c:v>
                </c:pt>
              </c:strCache>
            </c:strRef>
          </c:cat>
          <c:val>
            <c:numRef>
              <c:f>'Value added'!$C$2:$C$21</c:f>
              <c:numCache>
                <c:formatCode>0.0</c:formatCode>
                <c:ptCount val="20"/>
                <c:pt idx="0">
                  <c:v>-65.547071353719545</c:v>
                </c:pt>
                <c:pt idx="1">
                  <c:v>-87.790082231506361</c:v>
                </c:pt>
                <c:pt idx="2">
                  <c:v>1907.8536786028094</c:v>
                </c:pt>
                <c:pt idx="3">
                  <c:v>54.181909055767619</c:v>
                </c:pt>
                <c:pt idx="4">
                  <c:v>487.81887193786491</c:v>
                </c:pt>
                <c:pt idx="5">
                  <c:v>119.43752951942744</c:v>
                </c:pt>
                <c:pt idx="6">
                  <c:v>160.51136682151022</c:v>
                </c:pt>
                <c:pt idx="7">
                  <c:v>-70.208665252850437</c:v>
                </c:pt>
                <c:pt idx="8">
                  <c:v>-31.652213554873093</c:v>
                </c:pt>
                <c:pt idx="9">
                  <c:v>21.540411868573194</c:v>
                </c:pt>
                <c:pt idx="10">
                  <c:v>33.890105995124863</c:v>
                </c:pt>
                <c:pt idx="11">
                  <c:v>29.735967504334877</c:v>
                </c:pt>
                <c:pt idx="12">
                  <c:v>144.49909988202899</c:v>
                </c:pt>
                <c:pt idx="13">
                  <c:v>-3.6742093731012822</c:v>
                </c:pt>
                <c:pt idx="14">
                  <c:v>4.7893117294648686</c:v>
                </c:pt>
                <c:pt idx="15">
                  <c:v>-152.62480543866272</c:v>
                </c:pt>
                <c:pt idx="16">
                  <c:v>71.396558303086024</c:v>
                </c:pt>
                <c:pt idx="17">
                  <c:v>4.7110972485157019</c:v>
                </c:pt>
                <c:pt idx="18">
                  <c:v>58.904441607952698</c:v>
                </c:pt>
                <c:pt idx="19">
                  <c:v>-21.853434277947319</c:v>
                </c:pt>
              </c:numCache>
            </c:numRef>
          </c:val>
        </c:ser>
        <c:dLbls>
          <c:showLegendKey val="0"/>
          <c:showVal val="0"/>
          <c:showCatName val="0"/>
          <c:showSerName val="0"/>
          <c:showPercent val="0"/>
          <c:showBubbleSize val="0"/>
        </c:dLbls>
        <c:gapWidth val="40"/>
        <c:axId val="630111056"/>
        <c:axId val="623231472"/>
      </c:barChart>
      <c:catAx>
        <c:axId val="630111056"/>
        <c:scaling>
          <c:orientation val="maxMin"/>
        </c:scaling>
        <c:delete val="0"/>
        <c:axPos val="l"/>
        <c:numFmt formatCode="General" sourceLinked="1"/>
        <c:majorTickMark val="out"/>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Univers 45 Light" pitchFamily="2" charset="0"/>
                <a:ea typeface="Arial"/>
                <a:cs typeface="Arial"/>
              </a:defRPr>
            </a:pPr>
            <a:endParaRPr lang="en-US"/>
          </a:p>
        </c:txPr>
        <c:crossAx val="623231472"/>
        <c:crosses val="autoZero"/>
        <c:auto val="1"/>
        <c:lblAlgn val="ctr"/>
        <c:lblOffset val="100"/>
        <c:noMultiLvlLbl val="0"/>
      </c:catAx>
      <c:valAx>
        <c:axId val="623231472"/>
        <c:scaling>
          <c:orientation val="minMax"/>
        </c:scaling>
        <c:delete val="0"/>
        <c:axPos val="b"/>
        <c:title>
          <c:tx>
            <c:strRef>
              <c:f>'Value added'!$C$1</c:f>
              <c:strCache>
                <c:ptCount val="1"/>
                <c:pt idx="0">
                  <c:v>$ millions</c:v>
                </c:pt>
              </c:strCache>
            </c:strRef>
          </c:tx>
          <c:layout>
            <c:manualLayout>
              <c:xMode val="edge"/>
              <c:yMode val="edge"/>
              <c:x val="0.59667605769462306"/>
              <c:y val="0.92410992288791782"/>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Univers 45 Light" pitchFamily="2" charset="0"/>
                  <a:ea typeface="Arial"/>
                  <a:cs typeface="Arial"/>
                </a:defRPr>
              </a:pPr>
              <a:endParaRPr lang="en-US"/>
            </a:p>
          </c:txPr>
        </c:title>
        <c:numFmt formatCode="0" sourceLinked="0"/>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Univers 45 Light" pitchFamily="2" charset="0"/>
                <a:ea typeface="Arial"/>
                <a:cs typeface="Arial"/>
              </a:defRPr>
            </a:pPr>
            <a:endParaRPr lang="en-US"/>
          </a:p>
        </c:txPr>
        <c:crossAx val="630111056"/>
        <c:crosses val="max"/>
        <c:crossBetween val="between"/>
      </c:valAx>
      <c:spPr>
        <a:noFill/>
        <a:ln w="25400">
          <a:noFill/>
        </a:ln>
        <a:effectLst/>
      </c:spPr>
    </c:plotArea>
    <c:plotVisOnly val="1"/>
    <c:dispBlanksAs val="gap"/>
    <c:showDLblsOverMax val="0"/>
  </c:chart>
  <c:spPr>
    <a:solidFill>
      <a:sysClr val="window" lastClr="FFFFFF"/>
    </a:solidFill>
    <a:ln w="25400" cap="flat" cmpd="sng" algn="ctr">
      <a:noFill/>
      <a:round/>
    </a:ln>
    <a:effectLst/>
  </c:spPr>
  <c:txPr>
    <a:bodyPr/>
    <a:lstStyle/>
    <a:p>
      <a:pPr>
        <a:defRPr sz="800" b="0" i="0">
          <a:solidFill>
            <a:srgbClr val="000000"/>
          </a:solidFill>
          <a:latin typeface="Univers 45 Light" pitchFamily="2" charset="0"/>
          <a:ea typeface="Arial"/>
          <a:cs typeface="Aria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'Industry ratios'!$C$3</c:f>
              <c:strCache>
                <c:ptCount val="1"/>
                <c:pt idx="0">
                  <c:v>Specialisation ratio</c:v>
                </c:pt>
              </c:strCache>
            </c:strRef>
          </c:tx>
          <c:spPr>
            <a:solidFill>
              <a:schemeClr val="accent2"/>
            </a:solidFill>
            <a:ln>
              <a:noFill/>
            </a:ln>
            <a:effectLst/>
          </c:spPr>
          <c:invertIfNegative val="0"/>
          <c:dPt>
            <c:idx val="0"/>
            <c:invertIfNegative val="0"/>
            <c:bubble3D val="0"/>
            <c:spPr>
              <a:solidFill>
                <a:schemeClr val="accent5"/>
              </a:solidFill>
              <a:ln>
                <a:solidFill>
                  <a:srgbClr val="6D2077"/>
                </a:solidFill>
              </a:ln>
              <a:effectLst/>
            </c:spPr>
          </c:dPt>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Univers 45 Light"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'Industry ratios'!$B$4:$B$7</c:f>
              <c:strCache>
                <c:ptCount val="4"/>
                <c:pt idx="0">
                  <c:v>Aircraft Manufacturing</c:v>
                </c:pt>
                <c:pt idx="1">
                  <c:v>Motor Vehicles and Parts; Other Transport Equipment manufacturing</c:v>
                </c:pt>
                <c:pt idx="2">
                  <c:v>Ships and Boat Manufacturing</c:v>
                </c:pt>
                <c:pt idx="3">
                  <c:v>Railway Rolling Stock Manufacturing</c:v>
                </c:pt>
              </c:strCache>
            </c:strRef>
          </c:cat>
          <c:val>
            <c:numRef>
              <c:f>'Industry ratios'!$C$4:$C$7</c:f>
              <c:numCache>
                <c:formatCode>0.000</c:formatCode>
                <c:ptCount val="4"/>
                <c:pt idx="0">
                  <c:v>0.83458200000000005</c:v>
                </c:pt>
                <c:pt idx="1">
                  <c:v>0.84606999999999999</c:v>
                </c:pt>
                <c:pt idx="2">
                  <c:v>0.72916199999999998</c:v>
                </c:pt>
                <c:pt idx="3">
                  <c:v>0.76756899999999995</c:v>
                </c:pt>
              </c:numCache>
            </c:numRef>
          </c:val>
        </c:ser>
        <c:dLbls>
          <c:dLblPos val="ctr"/>
          <c:showLegendKey val="0"/>
          <c:showVal val="1"/>
          <c:showCatName val="0"/>
          <c:showSerName val="0"/>
          <c:showPercent val="0"/>
          <c:showBubbleSize val="0"/>
        </c:dLbls>
        <c:gapWidth val="100"/>
        <c:axId val="551447280"/>
        <c:axId val="551445712"/>
      </c:barChart>
      <c:scatterChart>
        <c:scatterStyle val="lineMarker"/>
        <c:varyColors val="0"/>
        <c:ser>
          <c:idx val="1"/>
          <c:order val="1"/>
          <c:tx>
            <c:strRef>
              <c:f>'Industry ratios'!$D$3</c:f>
              <c:strCache>
                <c:ptCount val="1"/>
                <c:pt idx="0">
                  <c:v>Coverage ratio</c:v>
                </c:pt>
              </c:strCache>
            </c:strRef>
          </c:tx>
          <c:spPr>
            <a:ln w="25400" cap="rnd">
              <a:noFill/>
              <a:round/>
            </a:ln>
            <a:effectLst/>
          </c:spPr>
          <c:marker>
            <c:symbol val="circle"/>
            <c:size val="5"/>
            <c:spPr>
              <a:solidFill>
                <a:srgbClr val="00A3A1"/>
              </a:solidFill>
              <a:ln w="12700" cap="sq">
                <a:solidFill>
                  <a:srgbClr val="00A3A1"/>
                </a:solidFill>
                <a:beve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Univers 45 Light" pitchFamily="2"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xVal>
            <c:strRef>
              <c:f>'Industry ratios'!$B$4:$B$7</c:f>
              <c:strCache>
                <c:ptCount val="4"/>
                <c:pt idx="0">
                  <c:v>Aircraft Manufacturing</c:v>
                </c:pt>
                <c:pt idx="1">
                  <c:v>Motor Vehicles and Parts; Other Transport Equipment manufacturing</c:v>
                </c:pt>
                <c:pt idx="2">
                  <c:v>Ships and Boat Manufacturing</c:v>
                </c:pt>
                <c:pt idx="3">
                  <c:v>Railway Rolling Stock Manufacturing</c:v>
                </c:pt>
              </c:strCache>
            </c:strRef>
          </c:xVal>
          <c:yVal>
            <c:numRef>
              <c:f>'Industry ratios'!$D$4:$D$7</c:f>
              <c:numCache>
                <c:formatCode>0.000</c:formatCode>
                <c:ptCount val="4"/>
                <c:pt idx="0">
                  <c:v>0.95752499999999996</c:v>
                </c:pt>
                <c:pt idx="1">
                  <c:v>0.86441199999999996</c:v>
                </c:pt>
                <c:pt idx="2">
                  <c:v>0.92265399999999997</c:v>
                </c:pt>
                <c:pt idx="3">
                  <c:v>0.90100599999999997</c:v>
                </c:pt>
              </c:numCache>
            </c:numRef>
          </c:yVal>
          <c:smooth val="0"/>
        </c:ser>
        <c:dLbls>
          <c:dLblPos val="ctr"/>
          <c:showLegendKey val="0"/>
          <c:showVal val="1"/>
          <c:showCatName val="0"/>
          <c:showSerName val="0"/>
          <c:showPercent val="0"/>
          <c:showBubbleSize val="0"/>
        </c:dLbls>
        <c:axId val="551447280"/>
        <c:axId val="551445712"/>
      </c:scatterChart>
      <c:catAx>
        <c:axId val="55144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Univers 45 Light" pitchFamily="2" charset="0"/>
                <a:ea typeface="+mn-ea"/>
                <a:cs typeface="+mn-cs"/>
              </a:defRPr>
            </a:pPr>
            <a:endParaRPr lang="en-US"/>
          </a:p>
        </c:txPr>
        <c:crossAx val="551445712"/>
        <c:crosses val="autoZero"/>
        <c:auto val="1"/>
        <c:lblAlgn val="ctr"/>
        <c:lblOffset val="100"/>
        <c:noMultiLvlLbl val="0"/>
      </c:catAx>
      <c:valAx>
        <c:axId val="551445712"/>
        <c:scaling>
          <c:orientation val="minMax"/>
          <c:max val="1"/>
        </c:scaling>
        <c:delete val="0"/>
        <c:axPos val="l"/>
        <c:numFmt formatCode="0%" sourceLinked="0"/>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Univers 45 Light" pitchFamily="2" charset="0"/>
                <a:ea typeface="+mn-ea"/>
                <a:cs typeface="+mn-cs"/>
              </a:defRPr>
            </a:pPr>
            <a:endParaRPr lang="en-US"/>
          </a:p>
        </c:txPr>
        <c:crossAx val="551447280"/>
        <c:crosses val="autoZero"/>
        <c:crossBetween val="between"/>
        <c:majorUnit val="0.2"/>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Univers 45 Light" pitchFamily="2" charset="0"/>
                <a:ea typeface="+mn-ea"/>
                <a:cs typeface="+mn-cs"/>
              </a:defRPr>
            </a:pPr>
            <a:endParaRPr lang="en-US"/>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Univers 45 Light" pitchFamily="2"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Univers 45 Light" pitchFamily="2"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505378729067317"/>
          <c:y val="2.5616977990885206E-2"/>
          <c:w val="0.61257864773945514"/>
          <c:h val="0.86410688148377668"/>
        </c:manualLayout>
      </c:layout>
      <c:barChart>
        <c:barDir val="bar"/>
        <c:grouping val="clustered"/>
        <c:varyColors val="0"/>
        <c:ser>
          <c:idx val="0"/>
          <c:order val="0"/>
          <c:spPr>
            <a:solidFill>
              <a:schemeClr val="accent2"/>
            </a:solidFill>
            <a:ln w="3175">
              <a:solidFill>
                <a:srgbClr val="FFFFFF"/>
              </a:solidFill>
              <a:prstDash val="solid"/>
            </a:ln>
            <a:effectLst/>
          </c:spPr>
          <c:invertIfNegative val="0"/>
          <c:cat>
            <c:strRef>
              <c:f>Employment!$A$2:$A$20</c:f>
              <c:strCache>
                <c:ptCount val="19"/>
                <c:pt idx="0">
                  <c:v>Agriculture, Forestry &amp; Fishing</c:v>
                </c:pt>
                <c:pt idx="1">
                  <c:v>Mining</c:v>
                </c:pt>
                <c:pt idx="2">
                  <c:v>Manufacturing</c:v>
                </c:pt>
                <c:pt idx="3">
                  <c:v>Electricity, Gas, Water &amp; Waste Services</c:v>
                </c:pt>
                <c:pt idx="4">
                  <c:v>Construction</c:v>
                </c:pt>
                <c:pt idx="5">
                  <c:v>Wholesale trade</c:v>
                </c:pt>
                <c:pt idx="6">
                  <c:v>Retail trade</c:v>
                </c:pt>
                <c:pt idx="7">
                  <c:v>Accommodation &amp; Food Services</c:v>
                </c:pt>
                <c:pt idx="8">
                  <c:v>Transport, Postal &amp; Warehousing</c:v>
                </c:pt>
                <c:pt idx="9">
                  <c:v>Information Media &amp; Telcommunications </c:v>
                </c:pt>
                <c:pt idx="10">
                  <c:v>Financial &amp; Insurance Services </c:v>
                </c:pt>
                <c:pt idx="11">
                  <c:v>Rental, Hiring &amp; Real Estate Services </c:v>
                </c:pt>
                <c:pt idx="12">
                  <c:v>Professional, Scientific &amp; Technical Services</c:v>
                </c:pt>
                <c:pt idx="13">
                  <c:v>Administrative &amp; Support Services</c:v>
                </c:pt>
                <c:pt idx="14">
                  <c:v>Public Administration &amp; Safety</c:v>
                </c:pt>
                <c:pt idx="15">
                  <c:v>Education &amp; Training</c:v>
                </c:pt>
                <c:pt idx="16">
                  <c:v>Healthcare &amp; Social Assistance </c:v>
                </c:pt>
                <c:pt idx="17">
                  <c:v>Arts &amp; Recreation Services</c:v>
                </c:pt>
                <c:pt idx="18">
                  <c:v>Other Services</c:v>
                </c:pt>
              </c:strCache>
            </c:strRef>
          </c:cat>
          <c:val>
            <c:numRef>
              <c:f>Employment!$B$2:$B$20</c:f>
              <c:numCache>
                <c:formatCode>#,##0</c:formatCode>
                <c:ptCount val="19"/>
                <c:pt idx="0">
                  <c:v>-1249.6835660367476</c:v>
                </c:pt>
                <c:pt idx="1">
                  <c:v>-440.77564990622005</c:v>
                </c:pt>
                <c:pt idx="2">
                  <c:v>11733.109441140721</c:v>
                </c:pt>
                <c:pt idx="3">
                  <c:v>256.82611068406266</c:v>
                </c:pt>
                <c:pt idx="4">
                  <c:v>3736.6808952968213</c:v>
                </c:pt>
                <c:pt idx="5">
                  <c:v>868.1300473429817</c:v>
                </c:pt>
                <c:pt idx="6">
                  <c:v>3311.6388110977696</c:v>
                </c:pt>
                <c:pt idx="7">
                  <c:v>-1493.3179641970487</c:v>
                </c:pt>
                <c:pt idx="8">
                  <c:v>-273.49044402182415</c:v>
                </c:pt>
                <c:pt idx="9">
                  <c:v>207.0571237042609</c:v>
                </c:pt>
                <c:pt idx="10">
                  <c:v>187.4540507322447</c:v>
                </c:pt>
                <c:pt idx="11">
                  <c:v>142.93039993287488</c:v>
                </c:pt>
                <c:pt idx="12">
                  <c:v>1157.5840132407077</c:v>
                </c:pt>
                <c:pt idx="13">
                  <c:v>-23.935249956188116</c:v>
                </c:pt>
                <c:pt idx="14">
                  <c:v>45.598603978209169</c:v>
                </c:pt>
                <c:pt idx="15">
                  <c:v>-1482.8195780839749</c:v>
                </c:pt>
                <c:pt idx="16">
                  <c:v>805.98001307044399</c:v>
                </c:pt>
                <c:pt idx="17">
                  <c:v>100.80677675219155</c:v>
                </c:pt>
                <c:pt idx="18">
                  <c:v>695.47095802727313</c:v>
                </c:pt>
              </c:numCache>
            </c:numRef>
          </c:val>
        </c:ser>
        <c:dLbls>
          <c:showLegendKey val="0"/>
          <c:showVal val="0"/>
          <c:showCatName val="0"/>
          <c:showSerName val="0"/>
          <c:showPercent val="0"/>
          <c:showBubbleSize val="0"/>
        </c:dLbls>
        <c:gapWidth val="40"/>
        <c:axId val="628786472"/>
        <c:axId val="628785688"/>
      </c:barChart>
      <c:catAx>
        <c:axId val="628786472"/>
        <c:scaling>
          <c:orientation val="maxMin"/>
        </c:scaling>
        <c:delete val="0"/>
        <c:axPos val="l"/>
        <c:numFmt formatCode="General" sourceLinked="1"/>
        <c:majorTickMark val="out"/>
        <c:minorTickMark val="none"/>
        <c:tickLblPos val="low"/>
        <c:spPr>
          <a:noFill/>
          <a:ln w="3175"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Univers 45 Light" pitchFamily="2" charset="0"/>
                <a:ea typeface="Arial"/>
                <a:cs typeface="Arial"/>
              </a:defRPr>
            </a:pPr>
            <a:endParaRPr lang="en-US"/>
          </a:p>
        </c:txPr>
        <c:crossAx val="628785688"/>
        <c:crosses val="autoZero"/>
        <c:auto val="1"/>
        <c:lblAlgn val="ctr"/>
        <c:lblOffset val="100"/>
        <c:noMultiLvlLbl val="0"/>
      </c:catAx>
      <c:valAx>
        <c:axId val="628785688"/>
        <c:scaling>
          <c:orientation val="minMax"/>
        </c:scaling>
        <c:delete val="0"/>
        <c:axPos val="b"/>
        <c:title>
          <c:tx>
            <c:rich>
              <a:bodyPr rot="0" spcFirstLastPara="1" vertOverflow="ellipsis" vert="horz" wrap="square" anchor="ctr" anchorCtr="1"/>
              <a:lstStyle/>
              <a:p>
                <a:pPr>
                  <a:defRPr sz="800" b="0" i="0" u="none" strike="noStrike" kern="1200" baseline="0">
                    <a:solidFill>
                      <a:srgbClr val="000000"/>
                    </a:solidFill>
                    <a:latin typeface="Univers 45 Light" pitchFamily="2" charset="0"/>
                    <a:ea typeface="Arial"/>
                    <a:cs typeface="Arial"/>
                  </a:defRPr>
                </a:pPr>
                <a:r>
                  <a:rPr lang="en-AU"/>
                  <a:t>Persons</a:t>
                </a:r>
              </a:p>
            </c:rich>
          </c:tx>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Univers 45 Light" pitchFamily="2" charset="0"/>
                  <a:ea typeface="Arial"/>
                  <a:cs typeface="Arial"/>
                </a:defRPr>
              </a:pPr>
              <a:endParaRPr lang="en-US"/>
            </a:p>
          </c:txPr>
        </c:title>
        <c:numFmt formatCode="#,##0" sourceLinked="1"/>
        <c:majorTickMark val="out"/>
        <c:minorTickMark val="none"/>
        <c:tickLblPos val="nextTo"/>
        <c:spPr>
          <a:noFill/>
          <a:ln w="3175">
            <a:solidFill>
              <a:srgbClr val="00000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Univers 45 Light" pitchFamily="2" charset="0"/>
                <a:ea typeface="Arial"/>
                <a:cs typeface="Arial"/>
              </a:defRPr>
            </a:pPr>
            <a:endParaRPr lang="en-US"/>
          </a:p>
        </c:txPr>
        <c:crossAx val="628786472"/>
        <c:crosses val="max"/>
        <c:crossBetween val="between"/>
      </c:valAx>
      <c:spPr>
        <a:noFill/>
        <a:ln w="25400">
          <a:noFill/>
        </a:ln>
        <a:effectLst/>
      </c:spPr>
    </c:plotArea>
    <c:plotVisOnly val="1"/>
    <c:dispBlanksAs val="gap"/>
    <c:showDLblsOverMax val="0"/>
  </c:chart>
  <c:spPr>
    <a:solidFill>
      <a:sysClr val="window" lastClr="FFFFFF"/>
    </a:solidFill>
    <a:ln w="25400" cap="flat" cmpd="sng" algn="ctr">
      <a:noFill/>
      <a:round/>
    </a:ln>
    <a:effectLst/>
  </c:spPr>
  <c:txPr>
    <a:bodyPr/>
    <a:lstStyle/>
    <a:p>
      <a:pPr>
        <a:defRPr sz="800" b="0" i="0">
          <a:solidFill>
            <a:srgbClr val="000000"/>
          </a:solidFill>
          <a:latin typeface="Univers 45 Light" pitchFamily="2" charset="0"/>
          <a:ea typeface="Arial"/>
          <a:cs typeface="Aria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38080148518022"/>
          <c:y val="3.6309311788394728E-2"/>
          <c:w val="0.81409780986920199"/>
          <c:h val="0.75577666428060131"/>
        </c:manualLayout>
      </c:layout>
      <c:lineChart>
        <c:grouping val="standard"/>
        <c:varyColors val="0"/>
        <c:ser>
          <c:idx val="0"/>
          <c:order val="0"/>
          <c:tx>
            <c:strRef>
              <c:f>'Training '!$C$10</c:f>
              <c:strCache>
                <c:ptCount val="1"/>
                <c:pt idx="0">
                  <c:v>Commenced</c:v>
                </c:pt>
              </c:strCache>
            </c:strRef>
          </c:tx>
          <c:spPr>
            <a:ln w="12700">
              <a:solidFill>
                <a:srgbClr val="00338D"/>
              </a:solidFill>
              <a:prstDash val="solid"/>
            </a:ln>
          </c:spPr>
          <c:marker>
            <c:symbol val="diamond"/>
            <c:size val="3"/>
            <c:spPr>
              <a:solidFill>
                <a:srgbClr val="00338D"/>
              </a:solidFill>
              <a:ln>
                <a:solidFill>
                  <a:srgbClr val="00338D"/>
                </a:solidFill>
                <a:prstDash val="solid"/>
              </a:ln>
            </c:spPr>
          </c:marker>
          <c:cat>
            <c:numRef>
              <c:f>'Training '!$B$11:$B$21</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'Training '!$C$11:$C$21</c:f>
              <c:numCache>
                <c:formatCode>General</c:formatCode>
                <c:ptCount val="11"/>
                <c:pt idx="0">
                  <c:v>218</c:v>
                </c:pt>
                <c:pt idx="1">
                  <c:v>247</c:v>
                </c:pt>
                <c:pt idx="2">
                  <c:v>249</c:v>
                </c:pt>
                <c:pt idx="3">
                  <c:v>195</c:v>
                </c:pt>
                <c:pt idx="4">
                  <c:v>241</c:v>
                </c:pt>
                <c:pt idx="5">
                  <c:v>194</c:v>
                </c:pt>
                <c:pt idx="6">
                  <c:v>207</c:v>
                </c:pt>
                <c:pt idx="7">
                  <c:v>145</c:v>
                </c:pt>
                <c:pt idx="8">
                  <c:v>100</c:v>
                </c:pt>
                <c:pt idx="9">
                  <c:v>97</c:v>
                </c:pt>
                <c:pt idx="10" formatCode="0">
                  <c:v>93.078351900000001</c:v>
                </c:pt>
              </c:numCache>
            </c:numRef>
          </c:val>
          <c:smooth val="0"/>
        </c:ser>
        <c:ser>
          <c:idx val="1"/>
          <c:order val="1"/>
          <c:tx>
            <c:strRef>
              <c:f>'Training '!$D$10</c:f>
              <c:strCache>
                <c:ptCount val="1"/>
                <c:pt idx="0">
                  <c:v>Completed</c:v>
                </c:pt>
              </c:strCache>
            </c:strRef>
          </c:tx>
          <c:spPr>
            <a:ln w="12700">
              <a:solidFill>
                <a:srgbClr val="0091DA"/>
              </a:solidFill>
              <a:prstDash val="solid"/>
            </a:ln>
          </c:spPr>
          <c:marker>
            <c:symbol val="square"/>
            <c:size val="3"/>
            <c:spPr>
              <a:solidFill>
                <a:srgbClr val="0091DA"/>
              </a:solidFill>
              <a:ln>
                <a:solidFill>
                  <a:srgbClr val="0091DA"/>
                </a:solidFill>
                <a:prstDash val="solid"/>
              </a:ln>
            </c:spPr>
          </c:marker>
          <c:cat>
            <c:numRef>
              <c:f>'Training '!$B$11:$B$21</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'Training '!$D$11:$D$21</c:f>
              <c:numCache>
                <c:formatCode>General</c:formatCode>
                <c:ptCount val="11"/>
                <c:pt idx="0">
                  <c:v>148</c:v>
                </c:pt>
                <c:pt idx="1">
                  <c:v>134</c:v>
                </c:pt>
                <c:pt idx="2">
                  <c:v>198</c:v>
                </c:pt>
                <c:pt idx="3">
                  <c:v>158</c:v>
                </c:pt>
                <c:pt idx="4">
                  <c:v>150</c:v>
                </c:pt>
                <c:pt idx="5">
                  <c:v>184</c:v>
                </c:pt>
                <c:pt idx="6">
                  <c:v>178</c:v>
                </c:pt>
                <c:pt idx="7">
                  <c:v>123</c:v>
                </c:pt>
                <c:pt idx="8">
                  <c:v>99</c:v>
                </c:pt>
                <c:pt idx="9">
                  <c:v>103</c:v>
                </c:pt>
                <c:pt idx="10" formatCode="0">
                  <c:v>51.2359157</c:v>
                </c:pt>
              </c:numCache>
            </c:numRef>
          </c:val>
          <c:smooth val="0"/>
        </c:ser>
        <c:dLbls>
          <c:showLegendKey val="0"/>
          <c:showVal val="0"/>
          <c:showCatName val="0"/>
          <c:showSerName val="0"/>
          <c:showPercent val="0"/>
          <c:showBubbleSize val="0"/>
        </c:dLbls>
        <c:marker val="1"/>
        <c:smooth val="0"/>
        <c:axId val="622397104"/>
        <c:axId val="622397888"/>
      </c:lineChart>
      <c:catAx>
        <c:axId val="622397104"/>
        <c:scaling>
          <c:orientation val="minMax"/>
        </c:scaling>
        <c:delete val="0"/>
        <c:axPos val="b"/>
        <c:numFmt formatCode="General" sourceLinked="1"/>
        <c:majorTickMark val="out"/>
        <c:minorTickMark val="none"/>
        <c:tickLblPos val="low"/>
        <c:spPr>
          <a:ln w="3175">
            <a:solidFill>
              <a:srgbClr val="000000"/>
            </a:solidFill>
            <a:prstDash val="solid"/>
          </a:ln>
        </c:spPr>
        <c:crossAx val="622397888"/>
        <c:crosses val="autoZero"/>
        <c:auto val="1"/>
        <c:lblAlgn val="ctr"/>
        <c:lblOffset val="100"/>
        <c:noMultiLvlLbl val="0"/>
      </c:catAx>
      <c:valAx>
        <c:axId val="622397888"/>
        <c:scaling>
          <c:orientation val="minMax"/>
        </c:scaling>
        <c:delete val="0"/>
        <c:axPos val="l"/>
        <c:title>
          <c:tx>
            <c:rich>
              <a:bodyPr rot="-5400000" vert="horz"/>
              <a:lstStyle/>
              <a:p>
                <a:pPr>
                  <a:defRPr/>
                </a:pPr>
                <a:r>
                  <a:rPr lang="en-AU"/>
                  <a:t>Number of apprentices and trainees</a:t>
                </a:r>
              </a:p>
            </c:rich>
          </c:tx>
          <c:layout>
            <c:manualLayout>
              <c:xMode val="edge"/>
              <c:yMode val="edge"/>
              <c:x val="1.3084152862634911E-2"/>
              <c:y val="0.10300545188636946"/>
            </c:manualLayout>
          </c:layout>
          <c:overlay val="0"/>
        </c:title>
        <c:numFmt formatCode="General" sourceLinked="1"/>
        <c:majorTickMark val="out"/>
        <c:minorTickMark val="none"/>
        <c:tickLblPos val="nextTo"/>
        <c:spPr>
          <a:ln w="3175">
            <a:solidFill>
              <a:srgbClr val="000000"/>
            </a:solidFill>
            <a:prstDash val="solid"/>
          </a:ln>
        </c:spPr>
        <c:crossAx val="622397104"/>
        <c:crosses val="autoZero"/>
        <c:crossBetween val="midCat"/>
      </c:valAx>
      <c:spPr>
        <a:noFill/>
        <a:ln w="25400">
          <a:noFill/>
        </a:ln>
      </c:spPr>
    </c:plotArea>
    <c:legend>
      <c:legendPos val="b"/>
      <c:layout>
        <c:manualLayout>
          <c:xMode val="edge"/>
          <c:yMode val="edge"/>
          <c:x val="0.21714285714285714"/>
          <c:y val="0.9"/>
          <c:w val="0.48815258998355343"/>
          <c:h val="6.7479957050823186E-2"/>
        </c:manualLayout>
      </c:layout>
      <c:overlay val="0"/>
      <c:spPr>
        <a:noFill/>
        <a:ln w="25400">
          <a:noFill/>
        </a:ln>
      </c:spPr>
    </c:legend>
    <c:plotVisOnly val="1"/>
    <c:dispBlanksAs val="gap"/>
    <c:showDLblsOverMax val="0"/>
  </c:chart>
  <c:spPr>
    <a:solidFill>
      <a:sysClr val="window" lastClr="FFFFFF"/>
    </a:solidFill>
    <a:ln w="6350">
      <a:noFill/>
    </a:ln>
  </c:spPr>
  <c:txPr>
    <a:bodyPr/>
    <a:lstStyle/>
    <a:p>
      <a:pPr>
        <a:defRPr sz="800" b="0" i="0">
          <a:solidFill>
            <a:srgbClr val="000000"/>
          </a:solidFill>
          <a:latin typeface="Univers 45 Light" pitchFamily="2" charset="0"/>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07329059829062"/>
          <c:y val="3.1011453113815323E-2"/>
          <c:w val="0.87421239316239308"/>
          <c:h val="0.77240515390121689"/>
        </c:manualLayout>
      </c:layout>
      <c:barChart>
        <c:barDir val="col"/>
        <c:grouping val="clustered"/>
        <c:varyColors val="0"/>
        <c:ser>
          <c:idx val="0"/>
          <c:order val="0"/>
          <c:tx>
            <c:strRef>
              <c:f>'Training '!$H$40</c:f>
              <c:strCache>
                <c:ptCount val="1"/>
                <c:pt idx="0">
                  <c:v>2014</c:v>
                </c:pt>
              </c:strCache>
            </c:strRef>
          </c:tx>
          <c:spPr>
            <a:solidFill>
              <a:srgbClr val="00338D"/>
            </a:solidFill>
            <a:ln w="3175">
              <a:solidFill>
                <a:srgbClr val="FFFFFF"/>
              </a:solidFill>
              <a:prstDash val="solid"/>
            </a:ln>
          </c:spPr>
          <c:invertIfNegative val="0"/>
          <c:cat>
            <c:strRef>
              <c:f>'Training '!$G$41:$G$44</c:f>
              <c:strCache>
                <c:ptCount val="4"/>
                <c:pt idx="0">
                  <c:v>Certifcate II</c:v>
                </c:pt>
                <c:pt idx="1">
                  <c:v>Certifcate III</c:v>
                </c:pt>
                <c:pt idx="2">
                  <c:v>Certifcate IV</c:v>
                </c:pt>
                <c:pt idx="3">
                  <c:v>Diploma</c:v>
                </c:pt>
              </c:strCache>
            </c:strRef>
          </c:cat>
          <c:val>
            <c:numRef>
              <c:f>'Training '!$H$41:$H$44</c:f>
              <c:numCache>
                <c:formatCode>General</c:formatCode>
                <c:ptCount val="4"/>
                <c:pt idx="0">
                  <c:v>315</c:v>
                </c:pt>
                <c:pt idx="1">
                  <c:v>15</c:v>
                </c:pt>
                <c:pt idx="2">
                  <c:v>1213</c:v>
                </c:pt>
                <c:pt idx="3">
                  <c:v>375</c:v>
                </c:pt>
              </c:numCache>
            </c:numRef>
          </c:val>
        </c:ser>
        <c:ser>
          <c:idx val="1"/>
          <c:order val="1"/>
          <c:tx>
            <c:strRef>
              <c:f>'Training '!$I$40</c:f>
              <c:strCache>
                <c:ptCount val="1"/>
                <c:pt idx="0">
                  <c:v>2015</c:v>
                </c:pt>
              </c:strCache>
            </c:strRef>
          </c:tx>
          <c:spPr>
            <a:solidFill>
              <a:srgbClr val="0091DA"/>
            </a:solidFill>
            <a:ln w="3175">
              <a:solidFill>
                <a:srgbClr val="FFFFFF"/>
              </a:solidFill>
              <a:prstDash val="solid"/>
            </a:ln>
          </c:spPr>
          <c:invertIfNegative val="0"/>
          <c:cat>
            <c:strRef>
              <c:f>'Training '!$G$41:$G$44</c:f>
              <c:strCache>
                <c:ptCount val="4"/>
                <c:pt idx="0">
                  <c:v>Certifcate II</c:v>
                </c:pt>
                <c:pt idx="1">
                  <c:v>Certifcate III</c:v>
                </c:pt>
                <c:pt idx="2">
                  <c:v>Certifcate IV</c:v>
                </c:pt>
                <c:pt idx="3">
                  <c:v>Diploma</c:v>
                </c:pt>
              </c:strCache>
            </c:strRef>
          </c:cat>
          <c:val>
            <c:numRef>
              <c:f>'Training '!$I$41:$I$44</c:f>
              <c:numCache>
                <c:formatCode>General</c:formatCode>
                <c:ptCount val="4"/>
                <c:pt idx="0">
                  <c:v>244</c:v>
                </c:pt>
                <c:pt idx="1">
                  <c:v>40</c:v>
                </c:pt>
                <c:pt idx="2">
                  <c:v>875</c:v>
                </c:pt>
                <c:pt idx="3">
                  <c:v>140</c:v>
                </c:pt>
              </c:numCache>
            </c:numRef>
          </c:val>
        </c:ser>
        <c:ser>
          <c:idx val="2"/>
          <c:order val="2"/>
          <c:tx>
            <c:strRef>
              <c:f>'Training '!$J$40</c:f>
              <c:strCache>
                <c:ptCount val="1"/>
                <c:pt idx="0">
                  <c:v>2016</c:v>
                </c:pt>
              </c:strCache>
            </c:strRef>
          </c:tx>
          <c:spPr>
            <a:solidFill>
              <a:srgbClr val="6D2077"/>
            </a:solidFill>
            <a:ln w="3175">
              <a:solidFill>
                <a:srgbClr val="FFFFFF"/>
              </a:solidFill>
              <a:prstDash val="solid"/>
            </a:ln>
          </c:spPr>
          <c:invertIfNegative val="0"/>
          <c:cat>
            <c:strRef>
              <c:f>'Training '!$G$41:$G$44</c:f>
              <c:strCache>
                <c:ptCount val="4"/>
                <c:pt idx="0">
                  <c:v>Certifcate II</c:v>
                </c:pt>
                <c:pt idx="1">
                  <c:v>Certifcate III</c:v>
                </c:pt>
                <c:pt idx="2">
                  <c:v>Certifcate IV</c:v>
                </c:pt>
                <c:pt idx="3">
                  <c:v>Diploma</c:v>
                </c:pt>
              </c:strCache>
            </c:strRef>
          </c:cat>
          <c:val>
            <c:numRef>
              <c:f>'Training '!$J$41:$J$44</c:f>
              <c:numCache>
                <c:formatCode>General</c:formatCode>
                <c:ptCount val="4"/>
                <c:pt idx="0">
                  <c:v>288</c:v>
                </c:pt>
                <c:pt idx="1">
                  <c:v>14</c:v>
                </c:pt>
                <c:pt idx="2">
                  <c:v>593</c:v>
                </c:pt>
                <c:pt idx="3">
                  <c:v>260</c:v>
                </c:pt>
              </c:numCache>
            </c:numRef>
          </c:val>
        </c:ser>
        <c:ser>
          <c:idx val="3"/>
          <c:order val="3"/>
          <c:tx>
            <c:strRef>
              <c:f>'Training '!$K$40</c:f>
              <c:strCache>
                <c:ptCount val="1"/>
                <c:pt idx="0">
                  <c:v>2017 (Preliminary)</c:v>
                </c:pt>
              </c:strCache>
            </c:strRef>
          </c:tx>
          <c:spPr>
            <a:solidFill>
              <a:schemeClr val="accent6"/>
            </a:solidFill>
            <a:ln w="3175">
              <a:solidFill>
                <a:srgbClr val="FFFFFF"/>
              </a:solidFill>
              <a:prstDash val="solid"/>
            </a:ln>
          </c:spPr>
          <c:invertIfNegative val="0"/>
          <c:cat>
            <c:strRef>
              <c:f>'Training '!$G$41:$G$44</c:f>
              <c:strCache>
                <c:ptCount val="4"/>
                <c:pt idx="0">
                  <c:v>Certifcate II</c:v>
                </c:pt>
                <c:pt idx="1">
                  <c:v>Certifcate III</c:v>
                </c:pt>
                <c:pt idx="2">
                  <c:v>Certifcate IV</c:v>
                </c:pt>
                <c:pt idx="3">
                  <c:v>Diploma</c:v>
                </c:pt>
              </c:strCache>
            </c:strRef>
          </c:cat>
          <c:val>
            <c:numRef>
              <c:f>'Training '!$K$41:$K$44</c:f>
              <c:numCache>
                <c:formatCode>General</c:formatCode>
                <c:ptCount val="4"/>
                <c:pt idx="0">
                  <c:v>324</c:v>
                </c:pt>
                <c:pt idx="1">
                  <c:v>8</c:v>
                </c:pt>
                <c:pt idx="2">
                  <c:v>622</c:v>
                </c:pt>
                <c:pt idx="3">
                  <c:v>299</c:v>
                </c:pt>
              </c:numCache>
            </c:numRef>
          </c:val>
        </c:ser>
        <c:dLbls>
          <c:showLegendKey val="0"/>
          <c:showVal val="0"/>
          <c:showCatName val="0"/>
          <c:showSerName val="0"/>
          <c:showPercent val="0"/>
          <c:showBubbleSize val="0"/>
        </c:dLbls>
        <c:gapWidth val="40"/>
        <c:axId val="625874440"/>
        <c:axId val="625875224"/>
      </c:barChart>
      <c:catAx>
        <c:axId val="625874440"/>
        <c:scaling>
          <c:orientation val="minMax"/>
        </c:scaling>
        <c:delete val="0"/>
        <c:axPos val="b"/>
        <c:numFmt formatCode="General" sourceLinked="1"/>
        <c:majorTickMark val="out"/>
        <c:minorTickMark val="none"/>
        <c:tickLblPos val="low"/>
        <c:spPr>
          <a:ln w="3175">
            <a:solidFill>
              <a:srgbClr val="000000"/>
            </a:solidFill>
            <a:prstDash val="solid"/>
          </a:ln>
        </c:spPr>
        <c:crossAx val="625875224"/>
        <c:crosses val="autoZero"/>
        <c:auto val="1"/>
        <c:lblAlgn val="ctr"/>
        <c:lblOffset val="100"/>
        <c:noMultiLvlLbl val="0"/>
      </c:catAx>
      <c:valAx>
        <c:axId val="625875224"/>
        <c:scaling>
          <c:orientation val="minMax"/>
          <c:max val="1250"/>
          <c:min val="0"/>
        </c:scaling>
        <c:delete val="0"/>
        <c:axPos val="l"/>
        <c:title>
          <c:tx>
            <c:rich>
              <a:bodyPr rot="-5400000" vert="horz"/>
              <a:lstStyle/>
              <a:p>
                <a:pPr>
                  <a:defRPr/>
                </a:pPr>
                <a:r>
                  <a:rPr lang="en-AU"/>
                  <a:t>Number of program</a:t>
                </a:r>
                <a:r>
                  <a:rPr lang="en-AU" baseline="0"/>
                  <a:t> enrolments</a:t>
                </a:r>
                <a:endParaRPr lang="en-AU"/>
              </a:p>
            </c:rich>
          </c:tx>
          <c:layout>
            <c:manualLayout>
              <c:xMode val="edge"/>
              <c:yMode val="edge"/>
              <c:x val="1.1428571428571429E-2"/>
              <c:y val="0.13950250536864711"/>
            </c:manualLayout>
          </c:layout>
          <c:overlay val="0"/>
        </c:title>
        <c:numFmt formatCode="General" sourceLinked="1"/>
        <c:majorTickMark val="out"/>
        <c:minorTickMark val="none"/>
        <c:tickLblPos val="nextTo"/>
        <c:spPr>
          <a:ln w="3175">
            <a:solidFill>
              <a:srgbClr val="000000"/>
            </a:solidFill>
            <a:prstDash val="solid"/>
          </a:ln>
        </c:spPr>
        <c:crossAx val="625874440"/>
        <c:crosses val="autoZero"/>
        <c:crossBetween val="between"/>
      </c:valAx>
      <c:spPr>
        <a:noFill/>
        <a:ln w="25400">
          <a:noFill/>
        </a:ln>
      </c:spPr>
    </c:plotArea>
    <c:legend>
      <c:legendPos val="b"/>
      <c:layout>
        <c:manualLayout>
          <c:xMode val="edge"/>
          <c:yMode val="edge"/>
          <c:x val="0.27083964572271069"/>
          <c:y val="0.90454539930028044"/>
          <c:w val="0.49546987179487179"/>
          <c:h val="6.8564583333333332E-2"/>
        </c:manualLayout>
      </c:layout>
      <c:overlay val="0"/>
      <c:spPr>
        <a:noFill/>
        <a:ln w="25400">
          <a:noFill/>
        </a:ln>
      </c:spPr>
    </c:legend>
    <c:plotVisOnly val="1"/>
    <c:dispBlanksAs val="gap"/>
    <c:showDLblsOverMax val="0"/>
  </c:chart>
  <c:spPr>
    <a:solidFill>
      <a:sysClr val="window" lastClr="FFFFFF"/>
    </a:solidFill>
    <a:ln w="6350">
      <a:noFill/>
    </a:ln>
  </c:spPr>
  <c:txPr>
    <a:bodyPr/>
    <a:lstStyle/>
    <a:p>
      <a:pPr>
        <a:defRPr sz="800" b="0" i="0">
          <a:solidFill>
            <a:srgbClr val="000000"/>
          </a:solidFill>
          <a:latin typeface="Univers 45 Light" pitchFamily="2" charset="0"/>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39107611548557"/>
          <c:y val="1.7430909371622665E-2"/>
          <c:w val="0.80920565076424267"/>
          <c:h val="0.75184726044192562"/>
        </c:manualLayout>
      </c:layout>
      <c:lineChart>
        <c:grouping val="standard"/>
        <c:varyColors val="0"/>
        <c:ser>
          <c:idx val="0"/>
          <c:order val="0"/>
          <c:tx>
            <c:strRef>
              <c:f>'OECD_R&amp;D exp (2)'!$A$3</c:f>
              <c:strCache>
                <c:ptCount val="1"/>
                <c:pt idx="0">
                  <c:v>Australia</c:v>
                </c:pt>
              </c:strCache>
            </c:strRef>
          </c:tx>
          <c:spPr>
            <a:ln w="19050">
              <a:solidFill>
                <a:srgbClr val="C00000"/>
              </a:solidFill>
              <a:prstDash val="solid"/>
            </a:ln>
          </c:spPr>
          <c:marker>
            <c:symbol val="diamond"/>
            <c:size val="3"/>
            <c:spPr>
              <a:solidFill>
                <a:srgbClr val="C00000"/>
              </a:solidFill>
              <a:ln>
                <a:solidFill>
                  <a:srgbClr val="C00000"/>
                </a:solidFill>
                <a:prstDash val="solid"/>
              </a:ln>
            </c:spPr>
          </c:marker>
          <c:cat>
            <c:strRef>
              <c:f>'OECD_R&amp;D exp (2)'!$B$2:$Q$2</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f>'OECD_R&amp;D exp (2)'!$B$3:$Q$3</c:f>
              <c:numCache>
                <c:formatCode>#,##0</c:formatCode>
                <c:ptCount val="14"/>
                <c:pt idx="0">
                  <c:v>3254984</c:v>
                </c:pt>
                <c:pt idx="1">
                  <c:v>5851348</c:v>
                </c:pt>
                <c:pt idx="2">
                  <c:v>4718043</c:v>
                </c:pt>
                <c:pt idx="3">
                  <c:v>44976532</c:v>
                </c:pt>
                <c:pt idx="4">
                  <c:v>90294438</c:v>
                </c:pt>
                <c:pt idx="5">
                  <c:v>75344149</c:v>
                </c:pt>
                <c:pt idx="6">
                  <c:v>53700460</c:v>
                </c:pt>
                <c:pt idx="7">
                  <c:v>46429653</c:v>
                </c:pt>
                <c:pt idx="8">
                  <c:v>36834287</c:v>
                </c:pt>
                <c:pt idx="9">
                  <c:v>23276190</c:v>
                </c:pt>
              </c:numCache>
            </c:numRef>
          </c:val>
          <c:smooth val="0"/>
        </c:ser>
        <c:ser>
          <c:idx val="3"/>
          <c:order val="3"/>
          <c:tx>
            <c:strRef>
              <c:f>'OECD_R&amp;D exp (2)'!$A$6</c:f>
              <c:strCache>
                <c:ptCount val="1"/>
                <c:pt idx="0">
                  <c:v>Canada</c:v>
                </c:pt>
              </c:strCache>
            </c:strRef>
          </c:tx>
          <c:spPr>
            <a:ln w="12700">
              <a:solidFill>
                <a:srgbClr val="005EB8"/>
              </a:solidFill>
              <a:prstDash val="solid"/>
            </a:ln>
          </c:spPr>
          <c:marker>
            <c:symbol val="circle"/>
            <c:size val="3"/>
            <c:spPr>
              <a:solidFill>
                <a:srgbClr val="005EB8"/>
              </a:solidFill>
              <a:ln>
                <a:solidFill>
                  <a:srgbClr val="005EB8"/>
                </a:solidFill>
                <a:prstDash val="solid"/>
              </a:ln>
            </c:spPr>
          </c:marker>
          <c:cat>
            <c:strRef>
              <c:f>'OECD_R&amp;D exp (2)'!$B$2:$Q$2</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f>'OECD_R&amp;D exp (2)'!$B$6:$Q$6</c:f>
              <c:numCache>
                <c:formatCode>#,##0</c:formatCode>
                <c:ptCount val="14"/>
                <c:pt idx="0">
                  <c:v>858592949</c:v>
                </c:pt>
                <c:pt idx="1">
                  <c:v>861492550</c:v>
                </c:pt>
                <c:pt idx="2">
                  <c:v>819620490</c:v>
                </c:pt>
                <c:pt idx="3">
                  <c:v>780545674</c:v>
                </c:pt>
                <c:pt idx="4">
                  <c:v>789412331</c:v>
                </c:pt>
                <c:pt idx="5">
                  <c:v>791877793</c:v>
                </c:pt>
                <c:pt idx="6">
                  <c:v>823118407</c:v>
                </c:pt>
                <c:pt idx="7">
                  <c:v>932587946</c:v>
                </c:pt>
                <c:pt idx="8">
                  <c:v>1005622347</c:v>
                </c:pt>
                <c:pt idx="9">
                  <c:v>1043051298</c:v>
                </c:pt>
                <c:pt idx="10">
                  <c:v>1139389911</c:v>
                </c:pt>
                <c:pt idx="11">
                  <c:v>1213407477</c:v>
                </c:pt>
                <c:pt idx="12">
                  <c:v>1226267890</c:v>
                </c:pt>
                <c:pt idx="13">
                  <c:v>1204353791</c:v>
                </c:pt>
              </c:numCache>
            </c:numRef>
          </c:val>
          <c:smooth val="0"/>
        </c:ser>
        <c:ser>
          <c:idx val="5"/>
          <c:order val="5"/>
          <c:tx>
            <c:strRef>
              <c:f>'OECD_R&amp;D exp (2)'!$A$8</c:f>
              <c:strCache>
                <c:ptCount val="1"/>
                <c:pt idx="0">
                  <c:v>France</c:v>
                </c:pt>
              </c:strCache>
            </c:strRef>
          </c:tx>
          <c:spPr>
            <a:ln w="12700">
              <a:solidFill>
                <a:schemeClr val="accent6">
                  <a:lumMod val="50000"/>
                </a:schemeClr>
              </a:solidFill>
            </a:ln>
          </c:spPr>
          <c:marker>
            <c:symbol val="square"/>
            <c:size val="3"/>
            <c:spPr>
              <a:solidFill>
                <a:schemeClr val="accent6">
                  <a:lumMod val="50000"/>
                </a:schemeClr>
              </a:solidFill>
              <a:ln>
                <a:solidFill>
                  <a:schemeClr val="accent6">
                    <a:lumMod val="50000"/>
                  </a:schemeClr>
                </a:solidFill>
                <a:prstDash val="solid"/>
              </a:ln>
            </c:spPr>
          </c:marker>
          <c:cat>
            <c:strRef>
              <c:f>'OECD_R&amp;D exp (2)'!$B$2:$Q$2</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f>'OECD_R&amp;D exp (2)'!$B$8:$Q$8</c:f>
              <c:numCache>
                <c:formatCode>General</c:formatCode>
                <c:ptCount val="14"/>
                <c:pt idx="5" formatCode="#,##0">
                  <c:v>3240896194</c:v>
                </c:pt>
                <c:pt idx="6" formatCode="#,##0">
                  <c:v>3327565947</c:v>
                </c:pt>
                <c:pt idx="7" formatCode="#,##0">
                  <c:v>2707935866</c:v>
                </c:pt>
                <c:pt idx="8" formatCode="#,##0">
                  <c:v>2863793396</c:v>
                </c:pt>
                <c:pt idx="9" formatCode="#,##0">
                  <c:v>3080522019</c:v>
                </c:pt>
                <c:pt idx="10" formatCode="#,##0">
                  <c:v>3324057503</c:v>
                </c:pt>
                <c:pt idx="11" formatCode="#,##0">
                  <c:v>3540192360</c:v>
                </c:pt>
              </c:numCache>
            </c:numRef>
          </c:val>
          <c:smooth val="0"/>
        </c:ser>
        <c:ser>
          <c:idx val="6"/>
          <c:order val="6"/>
          <c:tx>
            <c:strRef>
              <c:f>'OECD_R&amp;D exp (2)'!$A$9</c:f>
              <c:strCache>
                <c:ptCount val="1"/>
                <c:pt idx="0">
                  <c:v>Germany</c:v>
                </c:pt>
              </c:strCache>
            </c:strRef>
          </c:tx>
          <c:spPr>
            <a:ln w="12700">
              <a:solidFill>
                <a:srgbClr val="EAAA00"/>
              </a:solidFill>
              <a:prstDash val="solid"/>
            </a:ln>
          </c:spPr>
          <c:marker>
            <c:symbol val="square"/>
            <c:size val="3"/>
            <c:spPr>
              <a:solidFill>
                <a:srgbClr val="EAAA00"/>
              </a:solidFill>
              <a:ln>
                <a:solidFill>
                  <a:srgbClr val="EAAA00"/>
                </a:solidFill>
                <a:prstDash val="solid"/>
              </a:ln>
            </c:spPr>
          </c:marker>
          <c:cat>
            <c:strRef>
              <c:f>'OECD_R&amp;D exp (2)'!$B$2:$Q$2</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f>'OECD_R&amp;D exp (2)'!$B$9:$Q$9</c:f>
              <c:numCache>
                <c:formatCode>#,##0</c:formatCode>
                <c:ptCount val="14"/>
                <c:pt idx="0">
                  <c:v>2804764330</c:v>
                </c:pt>
                <c:pt idx="1">
                  <c:v>2574226788</c:v>
                </c:pt>
                <c:pt idx="2">
                  <c:v>2855677510</c:v>
                </c:pt>
                <c:pt idx="3">
                  <c:v>2615702406</c:v>
                </c:pt>
                <c:pt idx="4">
                  <c:v>2686620297</c:v>
                </c:pt>
                <c:pt idx="5">
                  <c:v>2397157373</c:v>
                </c:pt>
                <c:pt idx="6">
                  <c:v>2610362988</c:v>
                </c:pt>
                <c:pt idx="7">
                  <c:v>2388909996</c:v>
                </c:pt>
                <c:pt idx="8">
                  <c:v>2892006146</c:v>
                </c:pt>
                <c:pt idx="9">
                  <c:v>2833821152</c:v>
                </c:pt>
                <c:pt idx="10">
                  <c:v>2879755063</c:v>
                </c:pt>
                <c:pt idx="11">
                  <c:v>2088096884</c:v>
                </c:pt>
                <c:pt idx="12">
                  <c:v>2102293831</c:v>
                </c:pt>
                <c:pt idx="13">
                  <c:v>1953031655</c:v>
                </c:pt>
              </c:numCache>
            </c:numRef>
          </c:val>
          <c:smooth val="0"/>
        </c:ser>
        <c:ser>
          <c:idx val="7"/>
          <c:order val="7"/>
          <c:tx>
            <c:strRef>
              <c:f>'OECD_R&amp;D exp (2)'!$A$10</c:f>
              <c:strCache>
                <c:ptCount val="1"/>
                <c:pt idx="0">
                  <c:v>Italy</c:v>
                </c:pt>
              </c:strCache>
            </c:strRef>
          </c:tx>
          <c:spPr>
            <a:ln w="12700">
              <a:solidFill>
                <a:srgbClr val="43B02A"/>
              </a:solidFill>
              <a:prstDash val="solid"/>
            </a:ln>
          </c:spPr>
          <c:marker>
            <c:symbol val="triangle"/>
            <c:size val="3"/>
            <c:spPr>
              <a:solidFill>
                <a:srgbClr val="43B02A"/>
              </a:solidFill>
              <a:ln>
                <a:solidFill>
                  <a:srgbClr val="43B02A"/>
                </a:solidFill>
                <a:prstDash val="solid"/>
              </a:ln>
            </c:spPr>
          </c:marker>
          <c:cat>
            <c:strRef>
              <c:f>'OECD_R&amp;D exp (2)'!$B$2:$Q$2</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f>'OECD_R&amp;D exp (2)'!$B$10:$Q$10</c:f>
              <c:numCache>
                <c:formatCode>#,##0</c:formatCode>
                <c:ptCount val="14"/>
                <c:pt idx="0">
                  <c:v>759017275</c:v>
                </c:pt>
                <c:pt idx="1">
                  <c:v>930987980</c:v>
                </c:pt>
                <c:pt idx="2">
                  <c:v>1060463165</c:v>
                </c:pt>
                <c:pt idx="3">
                  <c:v>1119210717</c:v>
                </c:pt>
                <c:pt idx="4">
                  <c:v>1262893614</c:v>
                </c:pt>
                <c:pt idx="5">
                  <c:v>1362983825</c:v>
                </c:pt>
                <c:pt idx="6">
                  <c:v>1248026461</c:v>
                </c:pt>
                <c:pt idx="7">
                  <c:v>1183151186</c:v>
                </c:pt>
                <c:pt idx="8">
                  <c:v>1219128014</c:v>
                </c:pt>
                <c:pt idx="9">
                  <c:v>1203016552</c:v>
                </c:pt>
                <c:pt idx="10">
                  <c:v>1143975990</c:v>
                </c:pt>
                <c:pt idx="11">
                  <c:v>1028067774</c:v>
                </c:pt>
                <c:pt idx="12">
                  <c:v>956175370</c:v>
                </c:pt>
                <c:pt idx="13">
                  <c:v>893290606</c:v>
                </c:pt>
              </c:numCache>
            </c:numRef>
          </c:val>
          <c:smooth val="0"/>
        </c:ser>
        <c:ser>
          <c:idx val="8"/>
          <c:order val="8"/>
          <c:tx>
            <c:strRef>
              <c:f>'OECD_R&amp;D exp (2)'!$A$11</c:f>
              <c:strCache>
                <c:ptCount val="1"/>
                <c:pt idx="0">
                  <c:v>Japan</c:v>
                </c:pt>
              </c:strCache>
            </c:strRef>
          </c:tx>
          <c:marker>
            <c:symbol val="diamond"/>
            <c:size val="3"/>
            <c:spPr>
              <a:solidFill>
                <a:srgbClr val="00338D"/>
              </a:solidFill>
              <a:ln>
                <a:solidFill>
                  <a:srgbClr val="00338D"/>
                </a:solidFill>
                <a:prstDash val="solid"/>
              </a:ln>
            </c:spPr>
          </c:marker>
          <c:cat>
            <c:strRef>
              <c:f>'OECD_R&amp;D exp (2)'!$B$2:$Q$2</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f>'OECD_R&amp;D exp (2)'!$B$11:$Q$11</c:f>
              <c:numCache>
                <c:formatCode>General</c:formatCode>
                <c:ptCount val="14"/>
                <c:pt idx="3" formatCode="#,##0">
                  <c:v>13625323</c:v>
                </c:pt>
                <c:pt idx="4" formatCode="#,##0">
                  <c:v>19765796</c:v>
                </c:pt>
                <c:pt idx="5" formatCode="#,##0">
                  <c:v>24901778</c:v>
                </c:pt>
                <c:pt idx="6" formatCode="#,##0">
                  <c:v>26310231</c:v>
                </c:pt>
                <c:pt idx="7" formatCode="#,##0">
                  <c:v>176093609</c:v>
                </c:pt>
                <c:pt idx="8" formatCode="#,##0">
                  <c:v>192135982</c:v>
                </c:pt>
                <c:pt idx="9" formatCode="#,##0">
                  <c:v>233027858</c:v>
                </c:pt>
                <c:pt idx="10" formatCode="#,##0">
                  <c:v>297064048</c:v>
                </c:pt>
                <c:pt idx="11" formatCode="#,##0">
                  <c:v>449241221</c:v>
                </c:pt>
                <c:pt idx="12" formatCode="#,##0">
                  <c:v>445699789</c:v>
                </c:pt>
                <c:pt idx="13" formatCode="#,##0">
                  <c:v>602697316</c:v>
                </c:pt>
              </c:numCache>
            </c:numRef>
          </c:val>
          <c:smooth val="0"/>
        </c:ser>
        <c:ser>
          <c:idx val="11"/>
          <c:order val="11"/>
          <c:tx>
            <c:strRef>
              <c:f>'OECD_R&amp;D exp (2)'!$A$14</c:f>
              <c:strCache>
                <c:ptCount val="1"/>
                <c:pt idx="0">
                  <c:v>Spain</c:v>
                </c:pt>
              </c:strCache>
            </c:strRef>
          </c:tx>
          <c:spPr>
            <a:ln w="12700">
              <a:solidFill>
                <a:srgbClr val="00338D"/>
              </a:solidFill>
              <a:prstDash val="solid"/>
            </a:ln>
          </c:spPr>
          <c:marker>
            <c:symbol val="diamond"/>
            <c:size val="3"/>
            <c:spPr>
              <a:solidFill>
                <a:srgbClr val="00338D"/>
              </a:solidFill>
              <a:ln>
                <a:solidFill>
                  <a:srgbClr val="00338D"/>
                </a:solidFill>
                <a:prstDash val="solid"/>
              </a:ln>
            </c:spPr>
          </c:marker>
          <c:cat>
            <c:strRef>
              <c:f>'OECD_R&amp;D exp (2)'!$B$2:$Q$2</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f>'OECD_R&amp;D exp (2)'!$B$14:$Q$14</c:f>
              <c:numCache>
                <c:formatCode>#,##0</c:formatCode>
                <c:ptCount val="14"/>
                <c:pt idx="0">
                  <c:v>325689493</c:v>
                </c:pt>
                <c:pt idx="1">
                  <c:v>275808193</c:v>
                </c:pt>
                <c:pt idx="2">
                  <c:v>427051833</c:v>
                </c:pt>
                <c:pt idx="3">
                  <c:v>451598454</c:v>
                </c:pt>
                <c:pt idx="4">
                  <c:v>610280772</c:v>
                </c:pt>
                <c:pt idx="5">
                  <c:v>379960546</c:v>
                </c:pt>
                <c:pt idx="6">
                  <c:v>387453251</c:v>
                </c:pt>
                <c:pt idx="7">
                  <c:v>420356207</c:v>
                </c:pt>
                <c:pt idx="8">
                  <c:v>547735104</c:v>
                </c:pt>
                <c:pt idx="9">
                  <c:v>664062054</c:v>
                </c:pt>
                <c:pt idx="10">
                  <c:v>603226947</c:v>
                </c:pt>
                <c:pt idx="11">
                  <c:v>568504545</c:v>
                </c:pt>
                <c:pt idx="12">
                  <c:v>478335751</c:v>
                </c:pt>
                <c:pt idx="13">
                  <c:v>542556362</c:v>
                </c:pt>
              </c:numCache>
            </c:numRef>
          </c:val>
          <c:smooth val="0"/>
        </c:ser>
        <c:ser>
          <c:idx val="12"/>
          <c:order val="12"/>
          <c:tx>
            <c:strRef>
              <c:f>'OECD_R&amp;D exp (2)'!$A$15</c:f>
              <c:strCache>
                <c:ptCount val="1"/>
                <c:pt idx="0">
                  <c:v>United Kingdom</c:v>
                </c:pt>
              </c:strCache>
            </c:strRef>
          </c:tx>
          <c:cat>
            <c:strRef>
              <c:f>'OECD_R&amp;D exp (2)'!$B$2:$Q$2</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f>'OECD_R&amp;D exp (2)'!$B$15:$Q$15</c:f>
              <c:numCache>
                <c:formatCode>General</c:formatCode>
                <c:ptCount val="14"/>
                <c:pt idx="7" formatCode="#,##0">
                  <c:v>1628763531</c:v>
                </c:pt>
                <c:pt idx="8" formatCode="#,##0">
                  <c:v>1605153346</c:v>
                </c:pt>
                <c:pt idx="9" formatCode="#,##0">
                  <c:v>1566940907</c:v>
                </c:pt>
                <c:pt idx="10" formatCode="#,##0">
                  <c:v>1853584399</c:v>
                </c:pt>
                <c:pt idx="11" formatCode="#,##0">
                  <c:v>1887938973</c:v>
                </c:pt>
                <c:pt idx="12" formatCode="#,##0">
                  <c:v>1981256084</c:v>
                </c:pt>
                <c:pt idx="13" formatCode="#,##0">
                  <c:v>1930507944</c:v>
                </c:pt>
              </c:numCache>
            </c:numRef>
          </c:val>
          <c:smooth val="0"/>
        </c:ser>
        <c:dLbls>
          <c:showLegendKey val="0"/>
          <c:showVal val="0"/>
          <c:showCatName val="0"/>
          <c:showSerName val="0"/>
          <c:showPercent val="0"/>
          <c:showBubbleSize val="0"/>
        </c:dLbls>
        <c:marker val="1"/>
        <c:smooth val="0"/>
        <c:axId val="550693512"/>
        <c:axId val="550692336"/>
        <c:extLst>
          <c:ext xmlns:c15="http://schemas.microsoft.com/office/drawing/2012/chart" uri="{02D57815-91ED-43cb-92C2-25804820EDAC}">
            <c15:filteredLineSeries>
              <c15:ser>
                <c:idx val="1"/>
                <c:order val="1"/>
                <c:tx>
                  <c:strRef>
                    <c:extLst>
                      <c:ext uri="{02D57815-91ED-43cb-92C2-25804820EDAC}">
                        <c15:formulaRef>
                          <c15:sqref>'OECD_R&amp;D exp (2)'!$A$4</c15:sqref>
                        </c15:formulaRef>
                      </c:ext>
                    </c:extLst>
                    <c:strCache>
                      <c:ptCount val="1"/>
                      <c:pt idx="0">
                        <c:v>Austria</c:v>
                      </c:pt>
                    </c:strCache>
                  </c:strRef>
                </c:tx>
                <c:spPr>
                  <a:ln w="12700">
                    <a:solidFill>
                      <a:srgbClr val="0091DA"/>
                    </a:solidFill>
                    <a:prstDash val="solid"/>
                  </a:ln>
                </c:spPr>
                <c:marker>
                  <c:symbol val="square"/>
                  <c:size val="3"/>
                  <c:spPr>
                    <a:solidFill>
                      <a:srgbClr val="0091DA"/>
                    </a:solidFill>
                    <a:ln>
                      <a:solidFill>
                        <a:srgbClr val="0091DA"/>
                      </a:solidFill>
                      <a:prstDash val="solid"/>
                    </a:ln>
                  </c:spPr>
                </c:marker>
                <c:cat>
                  <c:strRef>
                    <c:extLst>
                      <c:ext uri="{02D57815-91ED-43cb-92C2-25804820EDAC}">
                        <c15:formulaRef>
                          <c15:sqref>'OECD_R&amp;D exp (2)'!$B$2:$Q$2</c15:sqref>
                        </c15:formulaRef>
                      </c:ext>
                    </c:extLst>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extLst>
                      <c:ext uri="{02D57815-91ED-43cb-92C2-25804820EDAC}">
                        <c15:formulaRef>
                          <c15:sqref>'OECD_R&amp;D exp (2)'!$B$4:$Q$4</c15:sqref>
                        </c15:formulaRef>
                      </c:ext>
                    </c:extLst>
                    <c:numCache>
                      <c:formatCode>#,##0</c:formatCode>
                      <c:ptCount val="14"/>
                      <c:pt idx="0">
                        <c:v>9579226</c:v>
                      </c:pt>
                      <c:pt idx="1">
                        <c:v>10102165</c:v>
                      </c:pt>
                      <c:pt idx="2">
                        <c:v>9111520</c:v>
                      </c:pt>
                      <c:pt idx="3">
                        <c:v>4718043</c:v>
                      </c:pt>
                      <c:pt idx="4">
                        <c:v>8445246</c:v>
                      </c:pt>
                      <c:pt idx="5">
                        <c:v>21014255</c:v>
                      </c:pt>
                      <c:pt idx="6">
                        <c:v>39098238</c:v>
                      </c:pt>
                      <c:pt idx="7">
                        <c:v>49177923</c:v>
                      </c:pt>
                      <c:pt idx="8">
                        <c:v>51537473</c:v>
                      </c:pt>
                      <c:pt idx="9">
                        <c:v>43356918</c:v>
                      </c:pt>
                      <c:pt idx="10">
                        <c:v>41159708</c:v>
                      </c:pt>
                      <c:pt idx="11">
                        <c:v>41183040</c:v>
                      </c:pt>
                      <c:pt idx="12">
                        <c:v>50978930</c:v>
                      </c:pt>
                      <c:pt idx="13">
                        <c:v>63009242</c:v>
                      </c:pt>
                    </c:numCache>
                  </c:numRef>
                </c:val>
                <c:smooth val="0"/>
              </c15:ser>
            </c15:filteredLineSeries>
            <c15:filteredLineSeries>
              <c15:ser>
                <c:idx val="2"/>
                <c:order val="2"/>
                <c:tx>
                  <c:strRef>
                    <c:extLst xmlns:c15="http://schemas.microsoft.com/office/drawing/2012/chart">
                      <c:ext xmlns:c15="http://schemas.microsoft.com/office/drawing/2012/chart" uri="{02D57815-91ED-43cb-92C2-25804820EDAC}">
                        <c15:formulaRef>
                          <c15:sqref>'OECD_R&amp;D exp (2)'!$A$5</c15:sqref>
                        </c15:formulaRef>
                      </c:ext>
                    </c:extLst>
                    <c:strCache>
                      <c:ptCount val="1"/>
                      <c:pt idx="0">
                        <c:v>Belgium</c:v>
                      </c:pt>
                    </c:strCache>
                  </c:strRef>
                </c:tx>
                <c:spPr>
                  <a:ln w="12700">
                    <a:solidFill>
                      <a:srgbClr val="6D2077"/>
                    </a:solidFill>
                    <a:prstDash val="solid"/>
                  </a:ln>
                </c:spPr>
                <c:marker>
                  <c:symbol val="triangle"/>
                  <c:size val="3"/>
                  <c:spPr>
                    <a:solidFill>
                      <a:srgbClr val="6D2077"/>
                    </a:solidFill>
                    <a:ln>
                      <a:solidFill>
                        <a:srgbClr val="6D2077"/>
                      </a:solidFill>
                      <a:prstDash val="solid"/>
                    </a:ln>
                  </c:spPr>
                </c:marker>
                <c:cat>
                  <c:strRef>
                    <c:extLst xmlns:c15="http://schemas.microsoft.com/office/drawing/2012/chart">
                      <c:ext xmlns:c15="http://schemas.microsoft.com/office/drawing/2012/chart" uri="{02D57815-91ED-43cb-92C2-25804820EDAC}">
                        <c15:formulaRef>
                          <c15:sqref>'OECD_R&amp;D exp (2)'!$B$2:$Q$2</c15:sqref>
                        </c15:formulaRef>
                      </c:ext>
                    </c:extLst>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extLst xmlns:c15="http://schemas.microsoft.com/office/drawing/2012/chart">
                      <c:ext xmlns:c15="http://schemas.microsoft.com/office/drawing/2012/chart" uri="{02D57815-91ED-43cb-92C2-25804820EDAC}">
                        <c15:formulaRef>
                          <c15:sqref>'OECD_R&amp;D exp (2)'!$B$5:$Q$5</c15:sqref>
                        </c15:formulaRef>
                      </c:ext>
                    </c:extLst>
                    <c:numCache>
                      <c:formatCode>#,##0</c:formatCode>
                      <c:ptCount val="14"/>
                      <c:pt idx="0">
                        <c:v>83884774</c:v>
                      </c:pt>
                      <c:pt idx="1">
                        <c:v>95108901</c:v>
                      </c:pt>
                      <c:pt idx="2">
                        <c:v>92180426</c:v>
                      </c:pt>
                      <c:pt idx="3">
                        <c:v>90736351</c:v>
                      </c:pt>
                      <c:pt idx="4">
                        <c:v>115574882</c:v>
                      </c:pt>
                      <c:pt idx="5">
                        <c:v>108709341</c:v>
                      </c:pt>
                      <c:pt idx="6">
                        <c:v>105712031</c:v>
                      </c:pt>
                      <c:pt idx="7">
                        <c:v>111051549</c:v>
                      </c:pt>
                      <c:pt idx="8">
                        <c:v>115440544</c:v>
                      </c:pt>
                      <c:pt idx="9">
                        <c:v>139406658</c:v>
                      </c:pt>
                      <c:pt idx="10">
                        <c:v>131064198</c:v>
                      </c:pt>
                      <c:pt idx="11">
                        <c:v>143418430</c:v>
                      </c:pt>
                    </c:numCache>
                  </c:numRef>
                </c:val>
                <c:smooth val="0"/>
              </c15:ser>
            </c15:filteredLineSeries>
            <c15:filteredLineSeries>
              <c15:ser>
                <c:idx val="4"/>
                <c:order val="4"/>
                <c:tx>
                  <c:strRef>
                    <c:extLst xmlns:c15="http://schemas.microsoft.com/office/drawing/2012/chart">
                      <c:ext xmlns:c15="http://schemas.microsoft.com/office/drawing/2012/chart" uri="{02D57815-91ED-43cb-92C2-25804820EDAC}">
                        <c15:formulaRef>
                          <c15:sqref>'OECD_R&amp;D exp (2)'!$A$7</c15:sqref>
                        </c15:formulaRef>
                      </c:ext>
                    </c:extLst>
                    <c:strCache>
                      <c:ptCount val="1"/>
                      <c:pt idx="0">
                        <c:v>Czech Republic</c:v>
                      </c:pt>
                    </c:strCache>
                  </c:strRef>
                </c:tx>
                <c:spPr>
                  <a:ln w="12700">
                    <a:solidFill>
                      <a:srgbClr val="00A3A1"/>
                    </a:solidFill>
                    <a:prstDash val="solid"/>
                  </a:ln>
                </c:spPr>
                <c:marker>
                  <c:symbol val="diamond"/>
                  <c:size val="3"/>
                  <c:spPr>
                    <a:solidFill>
                      <a:srgbClr val="00A3A1"/>
                    </a:solidFill>
                    <a:ln>
                      <a:solidFill>
                        <a:srgbClr val="00A3A1"/>
                      </a:solidFill>
                      <a:prstDash val="solid"/>
                    </a:ln>
                  </c:spPr>
                </c:marker>
                <c:cat>
                  <c:strRef>
                    <c:extLst xmlns:c15="http://schemas.microsoft.com/office/drawing/2012/chart">
                      <c:ext xmlns:c15="http://schemas.microsoft.com/office/drawing/2012/chart" uri="{02D57815-91ED-43cb-92C2-25804820EDAC}">
                        <c15:formulaRef>
                          <c15:sqref>'OECD_R&amp;D exp (2)'!$B$2:$Q$2</c15:sqref>
                        </c15:formulaRef>
                      </c:ext>
                    </c:extLst>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extLst xmlns:c15="http://schemas.microsoft.com/office/drawing/2012/chart">
                      <c:ext xmlns:c15="http://schemas.microsoft.com/office/drawing/2012/chart" uri="{02D57815-91ED-43cb-92C2-25804820EDAC}">
                        <c15:formulaRef>
                          <c15:sqref>'OECD_R&amp;D exp (2)'!$B$7:$Q$7</c15:sqref>
                        </c15:formulaRef>
                      </c:ext>
                    </c:extLst>
                    <c:numCache>
                      <c:formatCode>#,##0</c:formatCode>
                      <c:ptCount val="14"/>
                      <c:pt idx="0">
                        <c:v>30756018</c:v>
                      </c:pt>
                      <c:pt idx="1">
                        <c:v>27281944</c:v>
                      </c:pt>
                      <c:pt idx="2">
                        <c:v>22124349</c:v>
                      </c:pt>
                      <c:pt idx="3">
                        <c:v>43070158</c:v>
                      </c:pt>
                      <c:pt idx="4">
                        <c:v>34215536</c:v>
                      </c:pt>
                      <c:pt idx="5">
                        <c:v>30551442</c:v>
                      </c:pt>
                      <c:pt idx="6">
                        <c:v>21252866</c:v>
                      </c:pt>
                      <c:pt idx="7">
                        <c:v>23385562</c:v>
                      </c:pt>
                      <c:pt idx="8">
                        <c:v>32103448</c:v>
                      </c:pt>
                      <c:pt idx="9">
                        <c:v>36831012</c:v>
                      </c:pt>
                      <c:pt idx="10">
                        <c:v>43865678</c:v>
                      </c:pt>
                      <c:pt idx="11">
                        <c:v>49132590</c:v>
                      </c:pt>
                      <c:pt idx="12">
                        <c:v>61161456</c:v>
                      </c:pt>
                      <c:pt idx="13">
                        <c:v>42200533</c:v>
                      </c:pt>
                    </c:numCache>
                  </c:numRef>
                </c:val>
                <c:smooth val="0"/>
              </c15:ser>
            </c15:filteredLineSeries>
            <c15:filteredLineSeries>
              <c15:ser>
                <c:idx val="9"/>
                <c:order val="9"/>
                <c:tx>
                  <c:strRef>
                    <c:extLst xmlns:c15="http://schemas.microsoft.com/office/drawing/2012/chart">
                      <c:ext xmlns:c15="http://schemas.microsoft.com/office/drawing/2012/chart" uri="{02D57815-91ED-43cb-92C2-25804820EDAC}">
                        <c15:formulaRef>
                          <c15:sqref>'OECD_R&amp;D exp (2)'!$A$12</c15:sqref>
                        </c15:formulaRef>
                      </c:ext>
                    </c:extLst>
                    <c:strCache>
                      <c:ptCount val="1"/>
                      <c:pt idx="0">
                        <c:v>Korea</c:v>
                      </c:pt>
                    </c:strCache>
                  </c:strRef>
                </c:tx>
                <c:spPr>
                  <a:ln w="12700">
                    <a:solidFill>
                      <a:srgbClr val="6D2077"/>
                    </a:solidFill>
                    <a:prstDash val="solid"/>
                  </a:ln>
                </c:spPr>
                <c:marker>
                  <c:symbol val="circle"/>
                  <c:size val="3"/>
                  <c:spPr>
                    <a:solidFill>
                      <a:srgbClr val="6D2077"/>
                    </a:solidFill>
                    <a:ln>
                      <a:solidFill>
                        <a:srgbClr val="6D2077"/>
                      </a:solidFill>
                      <a:prstDash val="solid"/>
                    </a:ln>
                  </c:spPr>
                </c:marker>
                <c:cat>
                  <c:strRef>
                    <c:extLst xmlns:c15="http://schemas.microsoft.com/office/drawing/2012/chart">
                      <c:ext xmlns:c15="http://schemas.microsoft.com/office/drawing/2012/chart" uri="{02D57815-91ED-43cb-92C2-25804820EDAC}">
                        <c15:formulaRef>
                          <c15:sqref>'OECD_R&amp;D exp (2)'!$B$2:$Q$2</c15:sqref>
                        </c15:formulaRef>
                      </c:ext>
                    </c:extLst>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extLst xmlns:c15="http://schemas.microsoft.com/office/drawing/2012/chart">
                      <c:ext xmlns:c15="http://schemas.microsoft.com/office/drawing/2012/chart" uri="{02D57815-91ED-43cb-92C2-25804820EDAC}">
                        <c15:formulaRef>
                          <c15:sqref>'OECD_R&amp;D exp (2)'!$B$12:$Q$12</c15:sqref>
                        </c15:formulaRef>
                      </c:ext>
                    </c:extLst>
                    <c:numCache>
                      <c:formatCode>#,##0</c:formatCode>
                      <c:ptCount val="14"/>
                      <c:pt idx="0">
                        <c:v>345316600</c:v>
                      </c:pt>
                      <c:pt idx="1">
                        <c:v>112473097</c:v>
                      </c:pt>
                      <c:pt idx="2">
                        <c:v>266613279</c:v>
                      </c:pt>
                      <c:pt idx="3">
                        <c:v>174626560</c:v>
                      </c:pt>
                      <c:pt idx="4">
                        <c:v>226222764</c:v>
                      </c:pt>
                      <c:pt idx="5">
                        <c:v>239532354</c:v>
                      </c:pt>
                      <c:pt idx="6">
                        <c:v>36250818</c:v>
                      </c:pt>
                      <c:pt idx="7">
                        <c:v>84706914</c:v>
                      </c:pt>
                      <c:pt idx="8">
                        <c:v>83596918</c:v>
                      </c:pt>
                      <c:pt idx="9">
                        <c:v>91287045</c:v>
                      </c:pt>
                      <c:pt idx="10">
                        <c:v>183960509</c:v>
                      </c:pt>
                      <c:pt idx="11">
                        <c:v>142391439</c:v>
                      </c:pt>
                      <c:pt idx="12">
                        <c:v>86238464</c:v>
                      </c:pt>
                      <c:pt idx="13">
                        <c:v>263153765</c:v>
                      </c:pt>
                    </c:numCache>
                  </c:numRef>
                </c:val>
                <c:smooth val="0"/>
              </c15:ser>
            </c15:filteredLineSeries>
            <c15:filteredLineSeries>
              <c15:ser>
                <c:idx val="10"/>
                <c:order val="10"/>
                <c:tx>
                  <c:strRef>
                    <c:extLst xmlns:c15="http://schemas.microsoft.com/office/drawing/2012/chart">
                      <c:ext xmlns:c15="http://schemas.microsoft.com/office/drawing/2012/chart" uri="{02D57815-91ED-43cb-92C2-25804820EDAC}">
                        <c15:formulaRef>
                          <c15:sqref>'OECD_R&amp;D exp (2)'!$A$13</c15:sqref>
                        </c15:formulaRef>
                      </c:ext>
                    </c:extLst>
                    <c:strCache>
                      <c:ptCount val="1"/>
                      <c:pt idx="0">
                        <c:v>Poland</c:v>
                      </c:pt>
                    </c:strCache>
                  </c:strRef>
                </c:tx>
                <c:cat>
                  <c:strRef>
                    <c:extLst xmlns:c15="http://schemas.microsoft.com/office/drawing/2012/chart">
                      <c:ext xmlns:c15="http://schemas.microsoft.com/office/drawing/2012/chart" uri="{02D57815-91ED-43cb-92C2-25804820EDAC}">
                        <c15:formulaRef>
                          <c15:sqref>'OECD_R&amp;D exp (2)'!$B$2:$Q$2</c15:sqref>
                        </c15:formulaRef>
                      </c:ext>
                    </c:extLst>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extLst xmlns:c15="http://schemas.microsoft.com/office/drawing/2012/chart">
                      <c:ext xmlns:c15="http://schemas.microsoft.com/office/drawing/2012/chart" uri="{02D57815-91ED-43cb-92C2-25804820EDAC}">
                        <c15:formulaRef>
                          <c15:sqref>'OECD_R&amp;D exp (2)'!$B$13:$Q$13</c15:sqref>
                        </c15:formulaRef>
                      </c:ext>
                    </c:extLst>
                    <c:numCache>
                      <c:formatCode>General</c:formatCode>
                      <c:ptCount val="14"/>
                      <c:pt idx="3" formatCode="#,##0">
                        <c:v>36417755</c:v>
                      </c:pt>
                      <c:pt idx="4" formatCode="#,##0">
                        <c:v>36745379</c:v>
                      </c:pt>
                      <c:pt idx="5" formatCode="#,##0">
                        <c:v>19082220</c:v>
                      </c:pt>
                      <c:pt idx="6" formatCode="#,##0">
                        <c:v>17902067</c:v>
                      </c:pt>
                      <c:pt idx="7" formatCode="#,##0">
                        <c:v>31853188</c:v>
                      </c:pt>
                      <c:pt idx="8" formatCode="#,##0">
                        <c:v>51852226</c:v>
                      </c:pt>
                      <c:pt idx="9" formatCode="#,##0">
                        <c:v>72095202</c:v>
                      </c:pt>
                      <c:pt idx="10" formatCode="#,##0">
                        <c:v>71017435</c:v>
                      </c:pt>
                      <c:pt idx="11" formatCode="#,##0">
                        <c:v>84943142</c:v>
                      </c:pt>
                      <c:pt idx="12" formatCode="#,##0">
                        <c:v>85045298</c:v>
                      </c:pt>
                      <c:pt idx="13" formatCode="#,##0">
                        <c:v>95519998</c:v>
                      </c:pt>
                    </c:numCache>
                  </c:numRef>
                </c:val>
                <c:smooth val="0"/>
              </c15:ser>
            </c15:filteredLineSeries>
            <c15:filteredLineSeries>
              <c15:ser>
                <c:idx val="13"/>
                <c:order val="13"/>
                <c:tx>
                  <c:strRef>
                    <c:extLst xmlns:c15="http://schemas.microsoft.com/office/drawing/2012/chart">
                      <c:ext xmlns:c15="http://schemas.microsoft.com/office/drawing/2012/chart" uri="{02D57815-91ED-43cb-92C2-25804820EDAC}">
                        <c15:formulaRef>
                          <c15:sqref>'OECD_R&amp;D exp (2)'!$A$16</c15:sqref>
                        </c15:formulaRef>
                      </c:ext>
                    </c:extLst>
                    <c:strCache>
                      <c:ptCount val="1"/>
                      <c:pt idx="0">
                        <c:v>United States</c:v>
                      </c:pt>
                    </c:strCache>
                  </c:strRef>
                </c:tx>
                <c:spPr>
                  <a:ln w="12700">
                    <a:solidFill>
                      <a:srgbClr val="0091DA"/>
                    </a:solidFill>
                    <a:prstDash val="solid"/>
                  </a:ln>
                </c:spPr>
                <c:marker>
                  <c:symbol val="square"/>
                  <c:size val="3"/>
                  <c:spPr>
                    <a:solidFill>
                      <a:srgbClr val="0091DA"/>
                    </a:solidFill>
                    <a:ln>
                      <a:solidFill>
                        <a:srgbClr val="0091DA"/>
                      </a:solidFill>
                      <a:prstDash val="solid"/>
                    </a:ln>
                  </c:spPr>
                </c:marker>
                <c:cat>
                  <c:strRef>
                    <c:extLst xmlns:c15="http://schemas.microsoft.com/office/drawing/2012/chart">
                      <c:ext xmlns:c15="http://schemas.microsoft.com/office/drawing/2012/chart" uri="{02D57815-91ED-43cb-92C2-25804820EDAC}">
                        <c15:formulaRef>
                          <c15:sqref>'OECD_R&amp;D exp (2)'!$B$2:$Q$2</c15:sqref>
                        </c15:formulaRef>
                      </c:ext>
                    </c:extLst>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extLst xmlns:c15="http://schemas.microsoft.com/office/drawing/2012/chart">
                      <c:ext xmlns:c15="http://schemas.microsoft.com/office/drawing/2012/chart" uri="{02D57815-91ED-43cb-92C2-25804820EDAC}">
                        <c15:formulaRef>
                          <c15:sqref>'OECD_R&amp;D exp (2)'!$B$16:$Q$16</c15:sqref>
                        </c15:formulaRef>
                      </c:ext>
                    </c:extLst>
                    <c:numCache>
                      <c:formatCode>#,##0</c:formatCode>
                      <c:ptCount val="14"/>
                      <c:pt idx="0">
                        <c:v>11491057762</c:v>
                      </c:pt>
                      <c:pt idx="1">
                        <c:v>15410483498</c:v>
                      </c:pt>
                      <c:pt idx="2">
                        <c:v>14862919190</c:v>
                      </c:pt>
                      <c:pt idx="3">
                        <c:v>16511224157</c:v>
                      </c:pt>
                      <c:pt idx="4">
                        <c:v>17473122943</c:v>
                      </c:pt>
                      <c:pt idx="5">
                        <c:v>19171727655</c:v>
                      </c:pt>
                      <c:pt idx="6">
                        <c:v>37676147123</c:v>
                      </c:pt>
                      <c:pt idx="7">
                        <c:v>34976026284</c:v>
                      </c:pt>
                      <c:pt idx="8">
                        <c:v>29854000000</c:v>
                      </c:pt>
                      <c:pt idx="9">
                        <c:v>25526963134</c:v>
                      </c:pt>
                      <c:pt idx="10">
                        <c:v>23875192449</c:v>
                      </c:pt>
                      <c:pt idx="11">
                        <c:v>25670441976</c:v>
                      </c:pt>
                      <c:pt idx="12">
                        <c:v>24350110008</c:v>
                      </c:pt>
                      <c:pt idx="13">
                        <c:v>25269358085</c:v>
                      </c:pt>
                    </c:numCache>
                  </c:numRef>
                </c:val>
                <c:smooth val="0"/>
              </c15:ser>
            </c15:filteredLineSeries>
            <c15:filteredLineSeries>
              <c15:ser>
                <c:idx val="14"/>
                <c:order val="14"/>
                <c:tx>
                  <c:strRef>
                    <c:extLst xmlns:c15="http://schemas.microsoft.com/office/drawing/2012/chart">
                      <c:ext xmlns:c15="http://schemas.microsoft.com/office/drawing/2012/chart" uri="{02D57815-91ED-43cb-92C2-25804820EDAC}">
                        <c15:formulaRef>
                          <c15:sqref>'OECD_R&amp;D exp (2)'!$A$17</c15:sqref>
                        </c15:formulaRef>
                      </c:ext>
                    </c:extLst>
                    <c:strCache>
                      <c:ptCount val="1"/>
                      <c:pt idx="0">
                        <c:v>Singapore</c:v>
                      </c:pt>
                    </c:strCache>
                  </c:strRef>
                </c:tx>
                <c:cat>
                  <c:strRef>
                    <c:extLst xmlns:c15="http://schemas.microsoft.com/office/drawing/2012/chart">
                      <c:ext xmlns:c15="http://schemas.microsoft.com/office/drawing/2012/chart" uri="{02D57815-91ED-43cb-92C2-25804820EDAC}">
                        <c15:formulaRef>
                          <c15:sqref>'OECD_R&amp;D exp (2)'!$B$2:$Q$2</c15:sqref>
                        </c15:formulaRef>
                      </c:ext>
                    </c:extLst>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extLst xmlns:c15="http://schemas.microsoft.com/office/drawing/2012/chart">
                      <c:ext xmlns:c15="http://schemas.microsoft.com/office/drawing/2012/chart" uri="{02D57815-91ED-43cb-92C2-25804820EDAC}">
                        <c15:formulaRef>
                          <c15:sqref>'OECD_R&amp;D exp (2)'!$B$17:$Q$17</c15:sqref>
                        </c15:formulaRef>
                      </c:ext>
                    </c:extLst>
                    <c:numCache>
                      <c:formatCode>#,##0</c:formatCode>
                      <c:ptCount val="14"/>
                      <c:pt idx="0">
                        <c:v>27752669</c:v>
                      </c:pt>
                      <c:pt idx="1">
                        <c:v>33262112</c:v>
                      </c:pt>
                      <c:pt idx="2">
                        <c:v>16711964</c:v>
                      </c:pt>
                      <c:pt idx="3">
                        <c:v>22730815</c:v>
                      </c:pt>
                      <c:pt idx="4">
                        <c:v>24876652</c:v>
                      </c:pt>
                      <c:pt idx="5">
                        <c:v>28868841</c:v>
                      </c:pt>
                      <c:pt idx="6">
                        <c:v>53335891</c:v>
                      </c:pt>
                      <c:pt idx="7">
                        <c:v>48565863</c:v>
                      </c:pt>
                      <c:pt idx="8">
                        <c:v>105064773</c:v>
                      </c:pt>
                      <c:pt idx="9">
                        <c:v>61989514</c:v>
                      </c:pt>
                    </c:numCache>
                  </c:numRef>
                </c:val>
                <c:smooth val="0"/>
              </c15:ser>
            </c15:filteredLineSeries>
          </c:ext>
        </c:extLst>
      </c:lineChart>
      <c:catAx>
        <c:axId val="550693512"/>
        <c:scaling>
          <c:orientation val="minMax"/>
        </c:scaling>
        <c:delete val="0"/>
        <c:axPos val="b"/>
        <c:numFmt formatCode="General" sourceLinked="1"/>
        <c:majorTickMark val="out"/>
        <c:minorTickMark val="none"/>
        <c:tickLblPos val="low"/>
        <c:spPr>
          <a:ln w="3175">
            <a:solidFill>
              <a:srgbClr val="000000"/>
            </a:solidFill>
            <a:prstDash val="solid"/>
          </a:ln>
        </c:spPr>
        <c:crossAx val="550692336"/>
        <c:crosses val="autoZero"/>
        <c:auto val="1"/>
        <c:lblAlgn val="ctr"/>
        <c:lblOffset val="100"/>
        <c:noMultiLvlLbl val="0"/>
      </c:catAx>
      <c:valAx>
        <c:axId val="550692336"/>
        <c:scaling>
          <c:orientation val="minMax"/>
        </c:scaling>
        <c:delete val="0"/>
        <c:axPos val="l"/>
        <c:numFmt formatCode="#,##0" sourceLinked="1"/>
        <c:majorTickMark val="out"/>
        <c:minorTickMark val="none"/>
        <c:tickLblPos val="nextTo"/>
        <c:spPr>
          <a:ln w="3175">
            <a:solidFill>
              <a:srgbClr val="000000"/>
            </a:solidFill>
            <a:prstDash val="solid"/>
          </a:ln>
        </c:spPr>
        <c:crossAx val="550693512"/>
        <c:crosses val="autoZero"/>
        <c:crossBetween val="midCat"/>
        <c:dispUnits>
          <c:builtInUnit val="millions"/>
          <c:dispUnitsLbl>
            <c:layout>
              <c:manualLayout>
                <c:xMode val="edge"/>
                <c:yMode val="edge"/>
                <c:x val="1.8796828597117406E-2"/>
                <c:y val="0.19676888356083519"/>
              </c:manualLayout>
            </c:layout>
            <c:tx>
              <c:rich>
                <a:bodyPr/>
                <a:lstStyle/>
                <a:p>
                  <a:pPr>
                    <a:defRPr/>
                  </a:pPr>
                  <a:r>
                    <a:rPr lang="en-AU"/>
                    <a:t>R&amp;D expenditure (2010 $US) millions</a:t>
                  </a:r>
                </a:p>
              </c:rich>
            </c:tx>
          </c:dispUnitsLbl>
        </c:dispUnits>
      </c:valAx>
      <c:spPr>
        <a:noFill/>
        <a:ln w="25400">
          <a:noFill/>
        </a:ln>
      </c:spPr>
    </c:plotArea>
    <c:legend>
      <c:legendPos val="b"/>
      <c:layout>
        <c:manualLayout>
          <c:xMode val="edge"/>
          <c:yMode val="edge"/>
          <c:x val="0.1255112892998467"/>
          <c:y val="0.85451726622407498"/>
          <c:w val="0.82241133730234939"/>
          <c:h val="0.14139784213824483"/>
        </c:manualLayout>
      </c:layout>
      <c:overlay val="0"/>
    </c:legend>
    <c:plotVisOnly val="1"/>
    <c:dispBlanksAs val="gap"/>
    <c:showDLblsOverMax val="0"/>
  </c:chart>
  <c:spPr>
    <a:solidFill>
      <a:schemeClr val="bg1"/>
    </a:solidFill>
    <a:ln w="6350">
      <a:noFill/>
    </a:ln>
  </c:spPr>
  <c:txPr>
    <a:bodyPr/>
    <a:lstStyle/>
    <a:p>
      <a:pPr>
        <a:defRPr sz="800" b="0" i="0">
          <a:solidFill>
            <a:srgbClr val="000000"/>
          </a:solidFill>
          <a:latin typeface="Univers 45 Light" pitchFamily="2" charset="0"/>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39107611548557"/>
          <c:y val="1.7430909371622665E-2"/>
          <c:w val="0.80920565076424267"/>
          <c:h val="0.66235220490896984"/>
        </c:manualLayout>
      </c:layout>
      <c:lineChart>
        <c:grouping val="standard"/>
        <c:varyColors val="0"/>
        <c:ser>
          <c:idx val="0"/>
          <c:order val="0"/>
          <c:tx>
            <c:strRef>
              <c:f>'OECD_R&amp;D exp (2)'!$A$3</c:f>
              <c:strCache>
                <c:ptCount val="1"/>
                <c:pt idx="0">
                  <c:v>Australia</c:v>
                </c:pt>
              </c:strCache>
            </c:strRef>
          </c:tx>
          <c:spPr>
            <a:ln w="19050">
              <a:solidFill>
                <a:srgbClr val="C00000"/>
              </a:solidFill>
              <a:prstDash val="solid"/>
            </a:ln>
          </c:spPr>
          <c:marker>
            <c:symbol val="diamond"/>
            <c:size val="3"/>
            <c:spPr>
              <a:solidFill>
                <a:srgbClr val="C00000"/>
              </a:solidFill>
              <a:ln>
                <a:solidFill>
                  <a:srgbClr val="C00000"/>
                </a:solidFill>
                <a:prstDash val="solid"/>
              </a:ln>
            </c:spPr>
          </c:marker>
          <c:cat>
            <c:strRef>
              <c:f>'OECD_R&amp;D exp (2)'!$B$2:$Q$2</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f>'OECD_R&amp;D exp (2)'!$B$3:$Q$3</c:f>
              <c:numCache>
                <c:formatCode>#,##0</c:formatCode>
                <c:ptCount val="14"/>
                <c:pt idx="0">
                  <c:v>3254984</c:v>
                </c:pt>
                <c:pt idx="1">
                  <c:v>5851348</c:v>
                </c:pt>
                <c:pt idx="2">
                  <c:v>4718043</c:v>
                </c:pt>
                <c:pt idx="3">
                  <c:v>44976532</c:v>
                </c:pt>
                <c:pt idx="4">
                  <c:v>90294438</c:v>
                </c:pt>
                <c:pt idx="5">
                  <c:v>75344149</c:v>
                </c:pt>
                <c:pt idx="6">
                  <c:v>53700460</c:v>
                </c:pt>
                <c:pt idx="7">
                  <c:v>46429653</c:v>
                </c:pt>
                <c:pt idx="8">
                  <c:v>36834287</c:v>
                </c:pt>
                <c:pt idx="9">
                  <c:v>23276190</c:v>
                </c:pt>
              </c:numCache>
            </c:numRef>
          </c:val>
          <c:smooth val="0"/>
        </c:ser>
        <c:ser>
          <c:idx val="1"/>
          <c:order val="1"/>
          <c:tx>
            <c:strRef>
              <c:f>'OECD_R&amp;D exp (2)'!$A$4</c:f>
              <c:strCache>
                <c:ptCount val="1"/>
                <c:pt idx="0">
                  <c:v>Austria</c:v>
                </c:pt>
              </c:strCache>
            </c:strRef>
          </c:tx>
          <c:spPr>
            <a:ln w="12700">
              <a:solidFill>
                <a:srgbClr val="0091DA"/>
              </a:solidFill>
              <a:prstDash val="solid"/>
            </a:ln>
          </c:spPr>
          <c:marker>
            <c:symbol val="square"/>
            <c:size val="3"/>
            <c:spPr>
              <a:solidFill>
                <a:srgbClr val="0091DA"/>
              </a:solidFill>
              <a:ln>
                <a:solidFill>
                  <a:srgbClr val="0091DA"/>
                </a:solidFill>
                <a:prstDash val="solid"/>
              </a:ln>
            </c:spPr>
          </c:marker>
          <c:cat>
            <c:strRef>
              <c:f>'OECD_R&amp;D exp (2)'!$B$2:$Q$2</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f>'OECD_R&amp;D exp (2)'!$B$4:$Q$4</c:f>
              <c:numCache>
                <c:formatCode>#,##0</c:formatCode>
                <c:ptCount val="14"/>
                <c:pt idx="0">
                  <c:v>9579226</c:v>
                </c:pt>
                <c:pt idx="1">
                  <c:v>10102165</c:v>
                </c:pt>
                <c:pt idx="2">
                  <c:v>9111520</c:v>
                </c:pt>
                <c:pt idx="3">
                  <c:v>4718043</c:v>
                </c:pt>
                <c:pt idx="4">
                  <c:v>8445246</c:v>
                </c:pt>
                <c:pt idx="5">
                  <c:v>21014255</c:v>
                </c:pt>
                <c:pt idx="6">
                  <c:v>39098238</c:v>
                </c:pt>
                <c:pt idx="7">
                  <c:v>49177923</c:v>
                </c:pt>
                <c:pt idx="8">
                  <c:v>51537473</c:v>
                </c:pt>
                <c:pt idx="9">
                  <c:v>43356918</c:v>
                </c:pt>
                <c:pt idx="10">
                  <c:v>41159708</c:v>
                </c:pt>
                <c:pt idx="11">
                  <c:v>41183040</c:v>
                </c:pt>
                <c:pt idx="12">
                  <c:v>50978930</c:v>
                </c:pt>
                <c:pt idx="13">
                  <c:v>63009242</c:v>
                </c:pt>
              </c:numCache>
            </c:numRef>
          </c:val>
          <c:smooth val="0"/>
        </c:ser>
        <c:ser>
          <c:idx val="2"/>
          <c:order val="2"/>
          <c:tx>
            <c:strRef>
              <c:f>'OECD_R&amp;D exp (2)'!$A$5</c:f>
              <c:strCache>
                <c:ptCount val="1"/>
                <c:pt idx="0">
                  <c:v>Belgium</c:v>
                </c:pt>
              </c:strCache>
            </c:strRef>
          </c:tx>
          <c:spPr>
            <a:ln w="12700">
              <a:solidFill>
                <a:srgbClr val="6D2077"/>
              </a:solidFill>
              <a:prstDash val="solid"/>
            </a:ln>
          </c:spPr>
          <c:marker>
            <c:symbol val="triangle"/>
            <c:size val="3"/>
            <c:spPr>
              <a:solidFill>
                <a:srgbClr val="6D2077"/>
              </a:solidFill>
              <a:ln>
                <a:solidFill>
                  <a:srgbClr val="6D2077"/>
                </a:solidFill>
                <a:prstDash val="solid"/>
              </a:ln>
            </c:spPr>
          </c:marker>
          <c:cat>
            <c:strRef>
              <c:f>'OECD_R&amp;D exp (2)'!$B$2:$Q$2</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f>'OECD_R&amp;D exp (2)'!$B$5:$Q$5</c:f>
              <c:numCache>
                <c:formatCode>#,##0</c:formatCode>
                <c:ptCount val="14"/>
                <c:pt idx="0">
                  <c:v>83884774</c:v>
                </c:pt>
                <c:pt idx="1">
                  <c:v>95108901</c:v>
                </c:pt>
                <c:pt idx="2">
                  <c:v>92180426</c:v>
                </c:pt>
                <c:pt idx="3">
                  <c:v>90736351</c:v>
                </c:pt>
                <c:pt idx="4">
                  <c:v>115574882</c:v>
                </c:pt>
                <c:pt idx="5">
                  <c:v>108709341</c:v>
                </c:pt>
                <c:pt idx="6">
                  <c:v>105712031</c:v>
                </c:pt>
                <c:pt idx="7">
                  <c:v>111051549</c:v>
                </c:pt>
                <c:pt idx="8">
                  <c:v>115440544</c:v>
                </c:pt>
                <c:pt idx="9">
                  <c:v>139406658</c:v>
                </c:pt>
                <c:pt idx="10">
                  <c:v>131064198</c:v>
                </c:pt>
                <c:pt idx="11">
                  <c:v>143418430</c:v>
                </c:pt>
              </c:numCache>
            </c:numRef>
          </c:val>
          <c:smooth val="0"/>
        </c:ser>
        <c:ser>
          <c:idx val="4"/>
          <c:order val="4"/>
          <c:tx>
            <c:strRef>
              <c:f>'OECD_R&amp;D exp (2)'!$A$7</c:f>
              <c:strCache>
                <c:ptCount val="1"/>
                <c:pt idx="0">
                  <c:v>Czech Republic</c:v>
                </c:pt>
              </c:strCache>
            </c:strRef>
          </c:tx>
          <c:spPr>
            <a:ln w="12700">
              <a:solidFill>
                <a:schemeClr val="accent4">
                  <a:lumMod val="75000"/>
                </a:schemeClr>
              </a:solidFill>
              <a:prstDash val="solid"/>
            </a:ln>
          </c:spPr>
          <c:marker>
            <c:symbol val="diamond"/>
            <c:size val="3"/>
            <c:spPr>
              <a:solidFill>
                <a:schemeClr val="accent4">
                  <a:lumMod val="75000"/>
                </a:schemeClr>
              </a:solidFill>
              <a:ln>
                <a:solidFill>
                  <a:schemeClr val="accent4">
                    <a:lumMod val="75000"/>
                  </a:schemeClr>
                </a:solidFill>
                <a:prstDash val="solid"/>
              </a:ln>
            </c:spPr>
          </c:marker>
          <c:cat>
            <c:strRef>
              <c:f>'OECD_R&amp;D exp (2)'!$B$2:$Q$2</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f>'OECD_R&amp;D exp (2)'!$B$7:$Q$7</c:f>
              <c:numCache>
                <c:formatCode>#,##0</c:formatCode>
                <c:ptCount val="14"/>
                <c:pt idx="0">
                  <c:v>30756018</c:v>
                </c:pt>
                <c:pt idx="1">
                  <c:v>27281944</c:v>
                </c:pt>
                <c:pt idx="2">
                  <c:v>22124349</c:v>
                </c:pt>
                <c:pt idx="3">
                  <c:v>43070158</c:v>
                </c:pt>
                <c:pt idx="4">
                  <c:v>34215536</c:v>
                </c:pt>
                <c:pt idx="5">
                  <c:v>30551442</c:v>
                </c:pt>
                <c:pt idx="6">
                  <c:v>21252866</c:v>
                </c:pt>
                <c:pt idx="7">
                  <c:v>23385562</c:v>
                </c:pt>
                <c:pt idx="8">
                  <c:v>32103448</c:v>
                </c:pt>
                <c:pt idx="9">
                  <c:v>36831012</c:v>
                </c:pt>
                <c:pt idx="10">
                  <c:v>43865678</c:v>
                </c:pt>
                <c:pt idx="11">
                  <c:v>49132590</c:v>
                </c:pt>
                <c:pt idx="12">
                  <c:v>61161456</c:v>
                </c:pt>
                <c:pt idx="13">
                  <c:v>42200533</c:v>
                </c:pt>
              </c:numCache>
            </c:numRef>
          </c:val>
          <c:smooth val="0"/>
        </c:ser>
        <c:ser>
          <c:idx val="9"/>
          <c:order val="9"/>
          <c:tx>
            <c:strRef>
              <c:f>'OECD_R&amp;D exp (2)'!$A$12</c:f>
              <c:strCache>
                <c:ptCount val="1"/>
                <c:pt idx="0">
                  <c:v>Korea</c:v>
                </c:pt>
              </c:strCache>
            </c:strRef>
          </c:tx>
          <c:spPr>
            <a:ln w="12700">
              <a:solidFill>
                <a:schemeClr val="accent6">
                  <a:lumMod val="50000"/>
                </a:schemeClr>
              </a:solidFill>
              <a:prstDash val="solid"/>
            </a:ln>
          </c:spPr>
          <c:marker>
            <c:symbol val="circle"/>
            <c:size val="3"/>
            <c:spPr>
              <a:solidFill>
                <a:schemeClr val="accent6">
                  <a:lumMod val="50000"/>
                </a:schemeClr>
              </a:solidFill>
              <a:ln>
                <a:solidFill>
                  <a:schemeClr val="accent6">
                    <a:lumMod val="50000"/>
                  </a:schemeClr>
                </a:solidFill>
                <a:prstDash val="solid"/>
              </a:ln>
            </c:spPr>
          </c:marker>
          <c:cat>
            <c:strRef>
              <c:f>'OECD_R&amp;D exp (2)'!$B$2:$Q$2</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f>'OECD_R&amp;D exp (2)'!$B$12:$Q$12</c:f>
              <c:numCache>
                <c:formatCode>#,##0</c:formatCode>
                <c:ptCount val="14"/>
                <c:pt idx="0">
                  <c:v>345316600</c:v>
                </c:pt>
                <c:pt idx="1">
                  <c:v>112473097</c:v>
                </c:pt>
                <c:pt idx="2">
                  <c:v>266613279</c:v>
                </c:pt>
                <c:pt idx="3">
                  <c:v>174626560</c:v>
                </c:pt>
                <c:pt idx="4">
                  <c:v>226222764</c:v>
                </c:pt>
                <c:pt idx="5">
                  <c:v>239532354</c:v>
                </c:pt>
                <c:pt idx="6">
                  <c:v>36250818</c:v>
                </c:pt>
                <c:pt idx="7">
                  <c:v>84706914</c:v>
                </c:pt>
                <c:pt idx="8">
                  <c:v>83596918</c:v>
                </c:pt>
                <c:pt idx="9">
                  <c:v>91287045</c:v>
                </c:pt>
                <c:pt idx="10">
                  <c:v>183960509</c:v>
                </c:pt>
                <c:pt idx="11">
                  <c:v>142391439</c:v>
                </c:pt>
                <c:pt idx="12">
                  <c:v>86238464</c:v>
                </c:pt>
                <c:pt idx="13">
                  <c:v>263153765</c:v>
                </c:pt>
              </c:numCache>
            </c:numRef>
          </c:val>
          <c:smooth val="0"/>
        </c:ser>
        <c:ser>
          <c:idx val="10"/>
          <c:order val="10"/>
          <c:tx>
            <c:strRef>
              <c:f>'OECD_R&amp;D exp (2)'!$A$13</c:f>
              <c:strCache>
                <c:ptCount val="1"/>
                <c:pt idx="0">
                  <c:v>Poland</c:v>
                </c:pt>
              </c:strCache>
            </c:strRef>
          </c:tx>
          <c:spPr>
            <a:ln w="12700">
              <a:solidFill>
                <a:srgbClr val="7030A0"/>
              </a:solidFill>
            </a:ln>
          </c:spPr>
          <c:marker>
            <c:spPr>
              <a:solidFill>
                <a:srgbClr val="7030A0"/>
              </a:solidFill>
              <a:ln>
                <a:solidFill>
                  <a:srgbClr val="7030A0"/>
                </a:solidFill>
              </a:ln>
            </c:spPr>
          </c:marker>
          <c:cat>
            <c:strRef>
              <c:f>'OECD_R&amp;D exp (2)'!$B$2:$Q$2</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f>'OECD_R&amp;D exp (2)'!$B$13:$Q$13</c:f>
              <c:numCache>
                <c:formatCode>General</c:formatCode>
                <c:ptCount val="14"/>
                <c:pt idx="3" formatCode="#,##0">
                  <c:v>36417755</c:v>
                </c:pt>
                <c:pt idx="4" formatCode="#,##0">
                  <c:v>36745379</c:v>
                </c:pt>
                <c:pt idx="5" formatCode="#,##0">
                  <c:v>19082220</c:v>
                </c:pt>
                <c:pt idx="6" formatCode="#,##0">
                  <c:v>17902067</c:v>
                </c:pt>
                <c:pt idx="7" formatCode="#,##0">
                  <c:v>31853188</c:v>
                </c:pt>
                <c:pt idx="8" formatCode="#,##0">
                  <c:v>51852226</c:v>
                </c:pt>
                <c:pt idx="9" formatCode="#,##0">
                  <c:v>72095202</c:v>
                </c:pt>
                <c:pt idx="10" formatCode="#,##0">
                  <c:v>71017435</c:v>
                </c:pt>
                <c:pt idx="11" formatCode="#,##0">
                  <c:v>84943142</c:v>
                </c:pt>
                <c:pt idx="12" formatCode="#,##0">
                  <c:v>85045298</c:v>
                </c:pt>
                <c:pt idx="13" formatCode="#,##0">
                  <c:v>95519998</c:v>
                </c:pt>
              </c:numCache>
            </c:numRef>
          </c:val>
          <c:smooth val="0"/>
        </c:ser>
        <c:ser>
          <c:idx val="14"/>
          <c:order val="14"/>
          <c:tx>
            <c:strRef>
              <c:f>'OECD_R&amp;D exp (2)'!$A$17</c:f>
              <c:strCache>
                <c:ptCount val="1"/>
                <c:pt idx="0">
                  <c:v>Singapore</c:v>
                </c:pt>
              </c:strCache>
            </c:strRef>
          </c:tx>
          <c:cat>
            <c:strRef>
              <c:f>'OECD_R&amp;D exp (2)'!$B$2:$Q$2</c:f>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f>'OECD_R&amp;D exp (2)'!$B$17:$Q$17</c:f>
              <c:numCache>
                <c:formatCode>#,##0</c:formatCode>
                <c:ptCount val="14"/>
                <c:pt idx="0">
                  <c:v>27752669</c:v>
                </c:pt>
                <c:pt idx="1">
                  <c:v>33262112</c:v>
                </c:pt>
                <c:pt idx="2">
                  <c:v>16711964</c:v>
                </c:pt>
                <c:pt idx="3">
                  <c:v>22730815</c:v>
                </c:pt>
                <c:pt idx="4">
                  <c:v>24876652</c:v>
                </c:pt>
                <c:pt idx="5">
                  <c:v>28868841</c:v>
                </c:pt>
                <c:pt idx="6">
                  <c:v>53335891</c:v>
                </c:pt>
                <c:pt idx="7">
                  <c:v>48565863</c:v>
                </c:pt>
                <c:pt idx="8">
                  <c:v>105064773</c:v>
                </c:pt>
                <c:pt idx="9">
                  <c:v>61989514</c:v>
                </c:pt>
              </c:numCache>
            </c:numRef>
          </c:val>
          <c:smooth val="0"/>
        </c:ser>
        <c:dLbls>
          <c:showLegendKey val="0"/>
          <c:showVal val="0"/>
          <c:showCatName val="0"/>
          <c:showSerName val="0"/>
          <c:showPercent val="0"/>
          <c:showBubbleSize val="0"/>
        </c:dLbls>
        <c:marker val="1"/>
        <c:smooth val="0"/>
        <c:axId val="550695472"/>
        <c:axId val="550694296"/>
        <c:extLst>
          <c:ext xmlns:c15="http://schemas.microsoft.com/office/drawing/2012/chart" uri="{02D57815-91ED-43cb-92C2-25804820EDAC}">
            <c15:filteredLineSeries>
              <c15:ser>
                <c:idx val="3"/>
                <c:order val="3"/>
                <c:tx>
                  <c:strRef>
                    <c:extLst>
                      <c:ext uri="{02D57815-91ED-43cb-92C2-25804820EDAC}">
                        <c15:formulaRef>
                          <c15:sqref>'OECD_R&amp;D exp (2)'!$A$6</c15:sqref>
                        </c15:formulaRef>
                      </c:ext>
                    </c:extLst>
                    <c:strCache>
                      <c:ptCount val="1"/>
                      <c:pt idx="0">
                        <c:v>Canada</c:v>
                      </c:pt>
                    </c:strCache>
                  </c:strRef>
                </c:tx>
                <c:spPr>
                  <a:ln w="12700">
                    <a:solidFill>
                      <a:srgbClr val="005EB8"/>
                    </a:solidFill>
                    <a:prstDash val="solid"/>
                  </a:ln>
                </c:spPr>
                <c:marker>
                  <c:symbol val="circle"/>
                  <c:size val="3"/>
                  <c:spPr>
                    <a:solidFill>
                      <a:srgbClr val="005EB8"/>
                    </a:solidFill>
                    <a:ln>
                      <a:solidFill>
                        <a:srgbClr val="005EB8"/>
                      </a:solidFill>
                      <a:prstDash val="solid"/>
                    </a:ln>
                  </c:spPr>
                </c:marker>
                <c:cat>
                  <c:strRef>
                    <c:extLst>
                      <c:ext uri="{02D57815-91ED-43cb-92C2-25804820EDAC}">
                        <c15:formulaRef>
                          <c15:sqref>'OECD_R&amp;D exp (2)'!$B$2:$Q$2</c15:sqref>
                        </c15:formulaRef>
                      </c:ext>
                    </c:extLst>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extLst>
                      <c:ext uri="{02D57815-91ED-43cb-92C2-25804820EDAC}">
                        <c15:formulaRef>
                          <c15:sqref>'OECD_R&amp;D exp (2)'!$B$6:$Q$6</c15:sqref>
                        </c15:formulaRef>
                      </c:ext>
                    </c:extLst>
                    <c:numCache>
                      <c:formatCode>#,##0</c:formatCode>
                      <c:ptCount val="14"/>
                      <c:pt idx="0">
                        <c:v>858592949</c:v>
                      </c:pt>
                      <c:pt idx="1">
                        <c:v>861492550</c:v>
                      </c:pt>
                      <c:pt idx="2">
                        <c:v>819620490</c:v>
                      </c:pt>
                      <c:pt idx="3">
                        <c:v>780545674</c:v>
                      </c:pt>
                      <c:pt idx="4">
                        <c:v>789412331</c:v>
                      </c:pt>
                      <c:pt idx="5">
                        <c:v>791877793</c:v>
                      </c:pt>
                      <c:pt idx="6">
                        <c:v>823118407</c:v>
                      </c:pt>
                      <c:pt idx="7">
                        <c:v>932587946</c:v>
                      </c:pt>
                      <c:pt idx="8">
                        <c:v>1005622347</c:v>
                      </c:pt>
                      <c:pt idx="9">
                        <c:v>1043051298</c:v>
                      </c:pt>
                      <c:pt idx="10">
                        <c:v>1139389911</c:v>
                      </c:pt>
                      <c:pt idx="11">
                        <c:v>1213407477</c:v>
                      </c:pt>
                      <c:pt idx="12">
                        <c:v>1226267890</c:v>
                      </c:pt>
                      <c:pt idx="13">
                        <c:v>1204353791</c:v>
                      </c:pt>
                    </c:numCache>
                  </c:numRef>
                </c:val>
                <c:smooth val="0"/>
              </c15:ser>
            </c15:filteredLineSeries>
            <c15:filteredLineSeries>
              <c15:ser>
                <c:idx val="5"/>
                <c:order val="5"/>
                <c:tx>
                  <c:strRef>
                    <c:extLst xmlns:c15="http://schemas.microsoft.com/office/drawing/2012/chart">
                      <c:ext xmlns:c15="http://schemas.microsoft.com/office/drawing/2012/chart" uri="{02D57815-91ED-43cb-92C2-25804820EDAC}">
                        <c15:formulaRef>
                          <c15:sqref>'OECD_R&amp;D exp (2)'!$A$8</c15:sqref>
                        </c15:formulaRef>
                      </c:ext>
                    </c:extLst>
                    <c:strCache>
                      <c:ptCount val="1"/>
                      <c:pt idx="0">
                        <c:v>France</c:v>
                      </c:pt>
                    </c:strCache>
                  </c:strRef>
                </c:tx>
                <c:spPr>
                  <a:ln>
                    <a:solidFill>
                      <a:srgbClr val="FF0000"/>
                    </a:solidFill>
                  </a:ln>
                </c:spPr>
                <c:marker>
                  <c:symbol val="square"/>
                  <c:size val="3"/>
                  <c:spPr>
                    <a:solidFill>
                      <a:srgbClr val="EAAA00"/>
                    </a:solidFill>
                    <a:ln>
                      <a:solidFill>
                        <a:srgbClr val="EAAA00"/>
                      </a:solidFill>
                      <a:prstDash val="solid"/>
                    </a:ln>
                  </c:spPr>
                </c:marker>
                <c:cat>
                  <c:strRef>
                    <c:extLst xmlns:c15="http://schemas.microsoft.com/office/drawing/2012/chart">
                      <c:ext xmlns:c15="http://schemas.microsoft.com/office/drawing/2012/chart" uri="{02D57815-91ED-43cb-92C2-25804820EDAC}">
                        <c15:formulaRef>
                          <c15:sqref>'OECD_R&amp;D exp (2)'!$B$2:$Q$2</c15:sqref>
                        </c15:formulaRef>
                      </c:ext>
                    </c:extLst>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extLst xmlns:c15="http://schemas.microsoft.com/office/drawing/2012/chart">
                      <c:ext xmlns:c15="http://schemas.microsoft.com/office/drawing/2012/chart" uri="{02D57815-91ED-43cb-92C2-25804820EDAC}">
                        <c15:formulaRef>
                          <c15:sqref>'OECD_R&amp;D exp (2)'!$B$8:$Q$8</c15:sqref>
                        </c15:formulaRef>
                      </c:ext>
                    </c:extLst>
                    <c:numCache>
                      <c:formatCode>General</c:formatCode>
                      <c:ptCount val="14"/>
                      <c:pt idx="5" formatCode="#,##0">
                        <c:v>3240896194</c:v>
                      </c:pt>
                      <c:pt idx="6" formatCode="#,##0">
                        <c:v>3327565947</c:v>
                      </c:pt>
                      <c:pt idx="7" formatCode="#,##0">
                        <c:v>2707935866</c:v>
                      </c:pt>
                      <c:pt idx="8" formatCode="#,##0">
                        <c:v>2863793396</c:v>
                      </c:pt>
                      <c:pt idx="9" formatCode="#,##0">
                        <c:v>3080522019</c:v>
                      </c:pt>
                      <c:pt idx="10" formatCode="#,##0">
                        <c:v>3324057503</c:v>
                      </c:pt>
                      <c:pt idx="11" formatCode="#,##0">
                        <c:v>3540192360</c:v>
                      </c:pt>
                    </c:numCache>
                  </c:numRef>
                </c:val>
                <c:smooth val="0"/>
              </c15:ser>
            </c15:filteredLineSeries>
            <c15:filteredLineSeries>
              <c15:ser>
                <c:idx val="6"/>
                <c:order val="6"/>
                <c:tx>
                  <c:strRef>
                    <c:extLst xmlns:c15="http://schemas.microsoft.com/office/drawing/2012/chart">
                      <c:ext xmlns:c15="http://schemas.microsoft.com/office/drawing/2012/chart" uri="{02D57815-91ED-43cb-92C2-25804820EDAC}">
                        <c15:formulaRef>
                          <c15:sqref>'OECD_R&amp;D exp (2)'!$A$9</c15:sqref>
                        </c15:formulaRef>
                      </c:ext>
                    </c:extLst>
                    <c:strCache>
                      <c:ptCount val="1"/>
                      <c:pt idx="0">
                        <c:v>Germany</c:v>
                      </c:pt>
                    </c:strCache>
                  </c:strRef>
                </c:tx>
                <c:spPr>
                  <a:ln w="12700">
                    <a:solidFill>
                      <a:srgbClr val="EAAA00"/>
                    </a:solidFill>
                    <a:prstDash val="solid"/>
                  </a:ln>
                </c:spPr>
                <c:marker>
                  <c:symbol val="square"/>
                  <c:size val="3"/>
                  <c:spPr>
                    <a:solidFill>
                      <a:srgbClr val="EAAA00"/>
                    </a:solidFill>
                    <a:ln>
                      <a:solidFill>
                        <a:srgbClr val="EAAA00"/>
                      </a:solidFill>
                      <a:prstDash val="solid"/>
                    </a:ln>
                  </c:spPr>
                </c:marker>
                <c:cat>
                  <c:strRef>
                    <c:extLst xmlns:c15="http://schemas.microsoft.com/office/drawing/2012/chart">
                      <c:ext xmlns:c15="http://schemas.microsoft.com/office/drawing/2012/chart" uri="{02D57815-91ED-43cb-92C2-25804820EDAC}">
                        <c15:formulaRef>
                          <c15:sqref>'OECD_R&amp;D exp (2)'!$B$2:$Q$2</c15:sqref>
                        </c15:formulaRef>
                      </c:ext>
                    </c:extLst>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extLst xmlns:c15="http://schemas.microsoft.com/office/drawing/2012/chart">
                      <c:ext xmlns:c15="http://schemas.microsoft.com/office/drawing/2012/chart" uri="{02D57815-91ED-43cb-92C2-25804820EDAC}">
                        <c15:formulaRef>
                          <c15:sqref>'OECD_R&amp;D exp (2)'!$B$9:$Q$9</c15:sqref>
                        </c15:formulaRef>
                      </c:ext>
                    </c:extLst>
                    <c:numCache>
                      <c:formatCode>#,##0</c:formatCode>
                      <c:ptCount val="14"/>
                      <c:pt idx="0">
                        <c:v>2804764330</c:v>
                      </c:pt>
                      <c:pt idx="1">
                        <c:v>2574226788</c:v>
                      </c:pt>
                      <c:pt idx="2">
                        <c:v>2855677510</c:v>
                      </c:pt>
                      <c:pt idx="3">
                        <c:v>2615702406</c:v>
                      </c:pt>
                      <c:pt idx="4">
                        <c:v>2686620297</c:v>
                      </c:pt>
                      <c:pt idx="5">
                        <c:v>2397157373</c:v>
                      </c:pt>
                      <c:pt idx="6">
                        <c:v>2610362988</c:v>
                      </c:pt>
                      <c:pt idx="7">
                        <c:v>2388909996</c:v>
                      </c:pt>
                      <c:pt idx="8">
                        <c:v>2892006146</c:v>
                      </c:pt>
                      <c:pt idx="9">
                        <c:v>2833821152</c:v>
                      </c:pt>
                      <c:pt idx="10">
                        <c:v>2879755063</c:v>
                      </c:pt>
                      <c:pt idx="11">
                        <c:v>2088096884</c:v>
                      </c:pt>
                      <c:pt idx="12">
                        <c:v>2102293831</c:v>
                      </c:pt>
                      <c:pt idx="13">
                        <c:v>1953031655</c:v>
                      </c:pt>
                    </c:numCache>
                  </c:numRef>
                </c:val>
                <c:smooth val="0"/>
              </c15:ser>
            </c15:filteredLineSeries>
            <c15:filteredLineSeries>
              <c15:ser>
                <c:idx val="7"/>
                <c:order val="7"/>
                <c:tx>
                  <c:strRef>
                    <c:extLst xmlns:c15="http://schemas.microsoft.com/office/drawing/2012/chart">
                      <c:ext xmlns:c15="http://schemas.microsoft.com/office/drawing/2012/chart" uri="{02D57815-91ED-43cb-92C2-25804820EDAC}">
                        <c15:formulaRef>
                          <c15:sqref>'OECD_R&amp;D exp (2)'!$A$10</c15:sqref>
                        </c15:formulaRef>
                      </c:ext>
                    </c:extLst>
                    <c:strCache>
                      <c:ptCount val="1"/>
                      <c:pt idx="0">
                        <c:v>Italy</c:v>
                      </c:pt>
                    </c:strCache>
                  </c:strRef>
                </c:tx>
                <c:spPr>
                  <a:ln w="12700">
                    <a:solidFill>
                      <a:srgbClr val="43B02A"/>
                    </a:solidFill>
                    <a:prstDash val="solid"/>
                  </a:ln>
                </c:spPr>
                <c:marker>
                  <c:symbol val="triangle"/>
                  <c:size val="3"/>
                  <c:spPr>
                    <a:solidFill>
                      <a:srgbClr val="43B02A"/>
                    </a:solidFill>
                    <a:ln>
                      <a:solidFill>
                        <a:srgbClr val="43B02A"/>
                      </a:solidFill>
                      <a:prstDash val="solid"/>
                    </a:ln>
                  </c:spPr>
                </c:marker>
                <c:cat>
                  <c:strRef>
                    <c:extLst xmlns:c15="http://schemas.microsoft.com/office/drawing/2012/chart">
                      <c:ext xmlns:c15="http://schemas.microsoft.com/office/drawing/2012/chart" uri="{02D57815-91ED-43cb-92C2-25804820EDAC}">
                        <c15:formulaRef>
                          <c15:sqref>'OECD_R&amp;D exp (2)'!$B$2:$Q$2</c15:sqref>
                        </c15:formulaRef>
                      </c:ext>
                    </c:extLst>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extLst xmlns:c15="http://schemas.microsoft.com/office/drawing/2012/chart">
                      <c:ext xmlns:c15="http://schemas.microsoft.com/office/drawing/2012/chart" uri="{02D57815-91ED-43cb-92C2-25804820EDAC}">
                        <c15:formulaRef>
                          <c15:sqref>'OECD_R&amp;D exp (2)'!$B$10:$Q$10</c15:sqref>
                        </c15:formulaRef>
                      </c:ext>
                    </c:extLst>
                    <c:numCache>
                      <c:formatCode>#,##0</c:formatCode>
                      <c:ptCount val="14"/>
                      <c:pt idx="0">
                        <c:v>759017275</c:v>
                      </c:pt>
                      <c:pt idx="1">
                        <c:v>930987980</c:v>
                      </c:pt>
                      <c:pt idx="2">
                        <c:v>1060463165</c:v>
                      </c:pt>
                      <c:pt idx="3">
                        <c:v>1119210717</c:v>
                      </c:pt>
                      <c:pt idx="4">
                        <c:v>1262893614</c:v>
                      </c:pt>
                      <c:pt idx="5">
                        <c:v>1362983825</c:v>
                      </c:pt>
                      <c:pt idx="6">
                        <c:v>1248026461</c:v>
                      </c:pt>
                      <c:pt idx="7">
                        <c:v>1183151186</c:v>
                      </c:pt>
                      <c:pt idx="8">
                        <c:v>1219128014</c:v>
                      </c:pt>
                      <c:pt idx="9">
                        <c:v>1203016552</c:v>
                      </c:pt>
                      <c:pt idx="10">
                        <c:v>1143975990</c:v>
                      </c:pt>
                      <c:pt idx="11">
                        <c:v>1028067774</c:v>
                      </c:pt>
                      <c:pt idx="12">
                        <c:v>956175370</c:v>
                      </c:pt>
                      <c:pt idx="13">
                        <c:v>893290606</c:v>
                      </c:pt>
                    </c:numCache>
                  </c:numRef>
                </c:val>
                <c:smooth val="0"/>
              </c15:ser>
            </c15:filteredLineSeries>
            <c15:filteredLineSeries>
              <c15:ser>
                <c:idx val="8"/>
                <c:order val="8"/>
                <c:tx>
                  <c:strRef>
                    <c:extLst xmlns:c15="http://schemas.microsoft.com/office/drawing/2012/chart">
                      <c:ext xmlns:c15="http://schemas.microsoft.com/office/drawing/2012/chart" uri="{02D57815-91ED-43cb-92C2-25804820EDAC}">
                        <c15:formulaRef>
                          <c15:sqref>'OECD_R&amp;D exp (2)'!$A$11</c15:sqref>
                        </c15:formulaRef>
                      </c:ext>
                    </c:extLst>
                    <c:strCache>
                      <c:ptCount val="1"/>
                      <c:pt idx="0">
                        <c:v>Japan</c:v>
                      </c:pt>
                    </c:strCache>
                  </c:strRef>
                </c:tx>
                <c:marker>
                  <c:symbol val="diamond"/>
                  <c:size val="3"/>
                  <c:spPr>
                    <a:solidFill>
                      <a:srgbClr val="00338D"/>
                    </a:solidFill>
                    <a:ln>
                      <a:solidFill>
                        <a:srgbClr val="00338D"/>
                      </a:solidFill>
                      <a:prstDash val="solid"/>
                    </a:ln>
                  </c:spPr>
                </c:marker>
                <c:cat>
                  <c:strRef>
                    <c:extLst xmlns:c15="http://schemas.microsoft.com/office/drawing/2012/chart">
                      <c:ext xmlns:c15="http://schemas.microsoft.com/office/drawing/2012/chart" uri="{02D57815-91ED-43cb-92C2-25804820EDAC}">
                        <c15:formulaRef>
                          <c15:sqref>'OECD_R&amp;D exp (2)'!$B$2:$Q$2</c15:sqref>
                        </c15:formulaRef>
                      </c:ext>
                    </c:extLst>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extLst xmlns:c15="http://schemas.microsoft.com/office/drawing/2012/chart">
                      <c:ext xmlns:c15="http://schemas.microsoft.com/office/drawing/2012/chart" uri="{02D57815-91ED-43cb-92C2-25804820EDAC}">
                        <c15:formulaRef>
                          <c15:sqref>'OECD_R&amp;D exp (2)'!$B$11:$Q$11</c15:sqref>
                        </c15:formulaRef>
                      </c:ext>
                    </c:extLst>
                    <c:numCache>
                      <c:formatCode>General</c:formatCode>
                      <c:ptCount val="14"/>
                      <c:pt idx="3" formatCode="#,##0">
                        <c:v>13625323</c:v>
                      </c:pt>
                      <c:pt idx="4" formatCode="#,##0">
                        <c:v>19765796</c:v>
                      </c:pt>
                      <c:pt idx="5" formatCode="#,##0">
                        <c:v>24901778</c:v>
                      </c:pt>
                      <c:pt idx="6" formatCode="#,##0">
                        <c:v>26310231</c:v>
                      </c:pt>
                      <c:pt idx="7" formatCode="#,##0">
                        <c:v>176093609</c:v>
                      </c:pt>
                      <c:pt idx="8" formatCode="#,##0">
                        <c:v>192135982</c:v>
                      </c:pt>
                      <c:pt idx="9" formatCode="#,##0">
                        <c:v>233027858</c:v>
                      </c:pt>
                      <c:pt idx="10" formatCode="#,##0">
                        <c:v>297064048</c:v>
                      </c:pt>
                      <c:pt idx="11" formatCode="#,##0">
                        <c:v>449241221</c:v>
                      </c:pt>
                      <c:pt idx="12" formatCode="#,##0">
                        <c:v>445699789</c:v>
                      </c:pt>
                      <c:pt idx="13" formatCode="#,##0">
                        <c:v>602697316</c:v>
                      </c:pt>
                    </c:numCache>
                  </c:numRef>
                </c:val>
                <c:smooth val="0"/>
              </c15:ser>
            </c15:filteredLineSeries>
            <c15:filteredLineSeries>
              <c15:ser>
                <c:idx val="11"/>
                <c:order val="11"/>
                <c:tx>
                  <c:strRef>
                    <c:extLst xmlns:c15="http://schemas.microsoft.com/office/drawing/2012/chart">
                      <c:ext xmlns:c15="http://schemas.microsoft.com/office/drawing/2012/chart" uri="{02D57815-91ED-43cb-92C2-25804820EDAC}">
                        <c15:formulaRef>
                          <c15:sqref>'OECD_R&amp;D exp (2)'!$A$14</c15:sqref>
                        </c15:formulaRef>
                      </c:ext>
                    </c:extLst>
                    <c:strCache>
                      <c:ptCount val="1"/>
                      <c:pt idx="0">
                        <c:v>Spain</c:v>
                      </c:pt>
                    </c:strCache>
                  </c:strRef>
                </c:tx>
                <c:spPr>
                  <a:ln w="12700">
                    <a:solidFill>
                      <a:srgbClr val="00338D"/>
                    </a:solidFill>
                    <a:prstDash val="solid"/>
                  </a:ln>
                </c:spPr>
                <c:marker>
                  <c:symbol val="diamond"/>
                  <c:size val="3"/>
                  <c:spPr>
                    <a:solidFill>
                      <a:srgbClr val="00338D"/>
                    </a:solidFill>
                    <a:ln>
                      <a:solidFill>
                        <a:srgbClr val="00338D"/>
                      </a:solidFill>
                      <a:prstDash val="solid"/>
                    </a:ln>
                  </c:spPr>
                </c:marker>
                <c:cat>
                  <c:strRef>
                    <c:extLst xmlns:c15="http://schemas.microsoft.com/office/drawing/2012/chart">
                      <c:ext xmlns:c15="http://schemas.microsoft.com/office/drawing/2012/chart" uri="{02D57815-91ED-43cb-92C2-25804820EDAC}">
                        <c15:formulaRef>
                          <c15:sqref>'OECD_R&amp;D exp (2)'!$B$2:$Q$2</c15:sqref>
                        </c15:formulaRef>
                      </c:ext>
                    </c:extLst>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extLst xmlns:c15="http://schemas.microsoft.com/office/drawing/2012/chart">
                      <c:ext xmlns:c15="http://schemas.microsoft.com/office/drawing/2012/chart" uri="{02D57815-91ED-43cb-92C2-25804820EDAC}">
                        <c15:formulaRef>
                          <c15:sqref>'OECD_R&amp;D exp (2)'!$B$14:$Q$14</c15:sqref>
                        </c15:formulaRef>
                      </c:ext>
                    </c:extLst>
                    <c:numCache>
                      <c:formatCode>#,##0</c:formatCode>
                      <c:ptCount val="14"/>
                      <c:pt idx="0">
                        <c:v>325689493</c:v>
                      </c:pt>
                      <c:pt idx="1">
                        <c:v>275808193</c:v>
                      </c:pt>
                      <c:pt idx="2">
                        <c:v>427051833</c:v>
                      </c:pt>
                      <c:pt idx="3">
                        <c:v>451598454</c:v>
                      </c:pt>
                      <c:pt idx="4">
                        <c:v>610280772</c:v>
                      </c:pt>
                      <c:pt idx="5">
                        <c:v>379960546</c:v>
                      </c:pt>
                      <c:pt idx="6">
                        <c:v>387453251</c:v>
                      </c:pt>
                      <c:pt idx="7">
                        <c:v>420356207</c:v>
                      </c:pt>
                      <c:pt idx="8">
                        <c:v>547735104</c:v>
                      </c:pt>
                      <c:pt idx="9">
                        <c:v>664062054</c:v>
                      </c:pt>
                      <c:pt idx="10">
                        <c:v>603226947</c:v>
                      </c:pt>
                      <c:pt idx="11">
                        <c:v>568504545</c:v>
                      </c:pt>
                      <c:pt idx="12">
                        <c:v>478335751</c:v>
                      </c:pt>
                      <c:pt idx="13">
                        <c:v>542556362</c:v>
                      </c:pt>
                    </c:numCache>
                  </c:numRef>
                </c:val>
                <c:smooth val="0"/>
              </c15:ser>
            </c15:filteredLineSeries>
            <c15:filteredLineSeries>
              <c15:ser>
                <c:idx val="12"/>
                <c:order val="12"/>
                <c:tx>
                  <c:strRef>
                    <c:extLst xmlns:c15="http://schemas.microsoft.com/office/drawing/2012/chart">
                      <c:ext xmlns:c15="http://schemas.microsoft.com/office/drawing/2012/chart" uri="{02D57815-91ED-43cb-92C2-25804820EDAC}">
                        <c15:formulaRef>
                          <c15:sqref>'OECD_R&amp;D exp (2)'!$A$15</c15:sqref>
                        </c15:formulaRef>
                      </c:ext>
                    </c:extLst>
                    <c:strCache>
                      <c:ptCount val="1"/>
                      <c:pt idx="0">
                        <c:v>United Kingdom</c:v>
                      </c:pt>
                    </c:strCache>
                  </c:strRef>
                </c:tx>
                <c:cat>
                  <c:strRef>
                    <c:extLst xmlns:c15="http://schemas.microsoft.com/office/drawing/2012/chart">
                      <c:ext xmlns:c15="http://schemas.microsoft.com/office/drawing/2012/chart" uri="{02D57815-91ED-43cb-92C2-25804820EDAC}">
                        <c15:formulaRef>
                          <c15:sqref>'OECD_R&amp;D exp (2)'!$B$2:$Q$2</c15:sqref>
                        </c15:formulaRef>
                      </c:ext>
                    </c:extLst>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extLst xmlns:c15="http://schemas.microsoft.com/office/drawing/2012/chart">
                      <c:ext xmlns:c15="http://schemas.microsoft.com/office/drawing/2012/chart" uri="{02D57815-91ED-43cb-92C2-25804820EDAC}">
                        <c15:formulaRef>
                          <c15:sqref>'OECD_R&amp;D exp (2)'!$B$15:$Q$15</c15:sqref>
                        </c15:formulaRef>
                      </c:ext>
                    </c:extLst>
                    <c:numCache>
                      <c:formatCode>General</c:formatCode>
                      <c:ptCount val="14"/>
                      <c:pt idx="7" formatCode="#,##0">
                        <c:v>1628763531</c:v>
                      </c:pt>
                      <c:pt idx="8" formatCode="#,##0">
                        <c:v>1605153346</c:v>
                      </c:pt>
                      <c:pt idx="9" formatCode="#,##0">
                        <c:v>1566940907</c:v>
                      </c:pt>
                      <c:pt idx="10" formatCode="#,##0">
                        <c:v>1853584399</c:v>
                      </c:pt>
                      <c:pt idx="11" formatCode="#,##0">
                        <c:v>1887938973</c:v>
                      </c:pt>
                      <c:pt idx="12" formatCode="#,##0">
                        <c:v>1981256084</c:v>
                      </c:pt>
                      <c:pt idx="13" formatCode="#,##0">
                        <c:v>1930507944</c:v>
                      </c:pt>
                    </c:numCache>
                  </c:numRef>
                </c:val>
                <c:smooth val="0"/>
              </c15:ser>
            </c15:filteredLineSeries>
            <c15:filteredLineSeries>
              <c15:ser>
                <c:idx val="13"/>
                <c:order val="13"/>
                <c:tx>
                  <c:strRef>
                    <c:extLst xmlns:c15="http://schemas.microsoft.com/office/drawing/2012/chart">
                      <c:ext xmlns:c15="http://schemas.microsoft.com/office/drawing/2012/chart" uri="{02D57815-91ED-43cb-92C2-25804820EDAC}">
                        <c15:formulaRef>
                          <c15:sqref>'OECD_R&amp;D exp (2)'!$A$16</c15:sqref>
                        </c15:formulaRef>
                      </c:ext>
                    </c:extLst>
                    <c:strCache>
                      <c:ptCount val="1"/>
                      <c:pt idx="0">
                        <c:v>United States</c:v>
                      </c:pt>
                    </c:strCache>
                  </c:strRef>
                </c:tx>
                <c:spPr>
                  <a:ln w="12700">
                    <a:solidFill>
                      <a:srgbClr val="0091DA"/>
                    </a:solidFill>
                    <a:prstDash val="solid"/>
                  </a:ln>
                </c:spPr>
                <c:marker>
                  <c:symbol val="square"/>
                  <c:size val="3"/>
                  <c:spPr>
                    <a:solidFill>
                      <a:srgbClr val="0091DA"/>
                    </a:solidFill>
                    <a:ln>
                      <a:solidFill>
                        <a:srgbClr val="0091DA"/>
                      </a:solidFill>
                      <a:prstDash val="solid"/>
                    </a:ln>
                  </c:spPr>
                </c:marker>
                <c:cat>
                  <c:strRef>
                    <c:extLst xmlns:c15="http://schemas.microsoft.com/office/drawing/2012/chart">
                      <c:ext xmlns:c15="http://schemas.microsoft.com/office/drawing/2012/chart" uri="{02D57815-91ED-43cb-92C2-25804820EDAC}">
                        <c15:formulaRef>
                          <c15:sqref>'OECD_R&amp;D exp (2)'!$B$2:$Q$2</c15:sqref>
                        </c15:formulaRef>
                      </c:ext>
                    </c:extLst>
                    <c:strCach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extLst xmlns:c15="http://schemas.microsoft.com/office/drawing/2012/chart">
                      <c:ext xmlns:c15="http://schemas.microsoft.com/office/drawing/2012/chart" uri="{02D57815-91ED-43cb-92C2-25804820EDAC}">
                        <c15:formulaRef>
                          <c15:sqref>'OECD_R&amp;D exp (2)'!$B$16:$Q$16</c15:sqref>
                        </c15:formulaRef>
                      </c:ext>
                    </c:extLst>
                    <c:numCache>
                      <c:formatCode>#,##0</c:formatCode>
                      <c:ptCount val="14"/>
                      <c:pt idx="0">
                        <c:v>11491057762</c:v>
                      </c:pt>
                      <c:pt idx="1">
                        <c:v>15410483498</c:v>
                      </c:pt>
                      <c:pt idx="2">
                        <c:v>14862919190</c:v>
                      </c:pt>
                      <c:pt idx="3">
                        <c:v>16511224157</c:v>
                      </c:pt>
                      <c:pt idx="4">
                        <c:v>17473122943</c:v>
                      </c:pt>
                      <c:pt idx="5">
                        <c:v>19171727655</c:v>
                      </c:pt>
                      <c:pt idx="6">
                        <c:v>37676147123</c:v>
                      </c:pt>
                      <c:pt idx="7">
                        <c:v>34976026284</c:v>
                      </c:pt>
                      <c:pt idx="8">
                        <c:v>29854000000</c:v>
                      </c:pt>
                      <c:pt idx="9">
                        <c:v>25526963134</c:v>
                      </c:pt>
                      <c:pt idx="10">
                        <c:v>23875192449</c:v>
                      </c:pt>
                      <c:pt idx="11">
                        <c:v>25670441976</c:v>
                      </c:pt>
                      <c:pt idx="12">
                        <c:v>24350110008</c:v>
                      </c:pt>
                      <c:pt idx="13">
                        <c:v>25269358085</c:v>
                      </c:pt>
                    </c:numCache>
                  </c:numRef>
                </c:val>
                <c:smooth val="0"/>
              </c15:ser>
            </c15:filteredLineSeries>
          </c:ext>
        </c:extLst>
      </c:lineChart>
      <c:catAx>
        <c:axId val="550695472"/>
        <c:scaling>
          <c:orientation val="minMax"/>
        </c:scaling>
        <c:delete val="0"/>
        <c:axPos val="b"/>
        <c:numFmt formatCode="General" sourceLinked="1"/>
        <c:majorTickMark val="out"/>
        <c:minorTickMark val="none"/>
        <c:tickLblPos val="low"/>
        <c:spPr>
          <a:ln w="3175">
            <a:solidFill>
              <a:srgbClr val="000000"/>
            </a:solidFill>
            <a:prstDash val="solid"/>
          </a:ln>
        </c:spPr>
        <c:txPr>
          <a:bodyPr/>
          <a:lstStyle/>
          <a:p>
            <a:pPr>
              <a:defRPr>
                <a:solidFill>
                  <a:srgbClr val="000000"/>
                </a:solidFill>
              </a:defRPr>
            </a:pPr>
            <a:endParaRPr lang="en-US"/>
          </a:p>
        </c:txPr>
        <c:crossAx val="550694296"/>
        <c:crosses val="autoZero"/>
        <c:auto val="1"/>
        <c:lblAlgn val="ctr"/>
        <c:lblOffset val="100"/>
        <c:noMultiLvlLbl val="0"/>
      </c:catAx>
      <c:valAx>
        <c:axId val="550694296"/>
        <c:scaling>
          <c:orientation val="minMax"/>
        </c:scaling>
        <c:delete val="0"/>
        <c:axPos val="l"/>
        <c:numFmt formatCode="#,##0" sourceLinked="1"/>
        <c:majorTickMark val="out"/>
        <c:minorTickMark val="none"/>
        <c:tickLblPos val="nextTo"/>
        <c:spPr>
          <a:ln w="3175">
            <a:solidFill>
              <a:srgbClr val="000000"/>
            </a:solidFill>
            <a:prstDash val="solid"/>
          </a:ln>
        </c:spPr>
        <c:txPr>
          <a:bodyPr/>
          <a:lstStyle/>
          <a:p>
            <a:pPr>
              <a:defRPr>
                <a:solidFill>
                  <a:srgbClr val="000000"/>
                </a:solidFill>
              </a:defRPr>
            </a:pPr>
            <a:endParaRPr lang="en-US"/>
          </a:p>
        </c:txPr>
        <c:crossAx val="550695472"/>
        <c:crosses val="autoZero"/>
        <c:crossBetween val="midCat"/>
        <c:dispUnits>
          <c:builtInUnit val="millions"/>
          <c:dispUnitsLbl>
            <c:layout>
              <c:manualLayout>
                <c:xMode val="edge"/>
                <c:yMode val="edge"/>
                <c:x val="1.8796828597117406E-2"/>
                <c:y val="0.19676888356083519"/>
              </c:manualLayout>
            </c:layout>
            <c:tx>
              <c:rich>
                <a:bodyPr/>
                <a:lstStyle/>
                <a:p>
                  <a:pPr>
                    <a:defRPr/>
                  </a:pPr>
                  <a:r>
                    <a:rPr lang="en-AU"/>
                    <a:t>R&amp;D expenditure (2010 $US) Millions</a:t>
                  </a:r>
                </a:p>
              </c:rich>
            </c:tx>
          </c:dispUnitsLbl>
        </c:dispUnits>
      </c:valAx>
      <c:spPr>
        <a:noFill/>
        <a:ln w="25400">
          <a:noFill/>
        </a:ln>
      </c:spPr>
    </c:plotArea>
    <c:legend>
      <c:legendPos val="b"/>
      <c:layout>
        <c:manualLayout>
          <c:xMode val="edge"/>
          <c:yMode val="edge"/>
          <c:x val="0.10677307870452844"/>
          <c:y val="0.79041561313465691"/>
          <c:w val="0.82241133730234939"/>
          <c:h val="0.14139784213824483"/>
        </c:manualLayout>
      </c:layout>
      <c:overlay val="0"/>
    </c:legend>
    <c:plotVisOnly val="1"/>
    <c:dispBlanksAs val="gap"/>
    <c:showDLblsOverMax val="0"/>
  </c:chart>
  <c:spPr>
    <a:solidFill>
      <a:schemeClr val="bg1"/>
    </a:solidFill>
    <a:ln w="6350">
      <a:noFill/>
    </a:ln>
  </c:spPr>
  <c:txPr>
    <a:bodyPr/>
    <a:lstStyle/>
    <a:p>
      <a:pPr>
        <a:defRPr sz="800" b="0" i="0">
          <a:solidFill>
            <a:srgbClr val="000000"/>
          </a:solidFill>
          <a:latin typeface="Arial"/>
          <a:ea typeface="Arial"/>
          <a:cs typeface="Aria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AU" sz="1000" b="1" i="0" baseline="0">
                <a:effectLst/>
              </a:rPr>
              <a:t>Total imports: $2.07 billion </a:t>
            </a:r>
            <a:endParaRPr lang="en-AU" sz="1000">
              <a:effectLst/>
            </a:endParaRPr>
          </a:p>
        </c:rich>
      </c:tx>
      <c:layout>
        <c:manualLayout>
          <c:xMode val="edge"/>
          <c:yMode val="edge"/>
          <c:x val="0.29266746031746033"/>
          <c:y val="1.0583333333333333E-2"/>
        </c:manualLayout>
      </c:layout>
      <c:overlay val="0"/>
    </c:title>
    <c:autoTitleDeleted val="0"/>
    <c:plotArea>
      <c:layout>
        <c:manualLayout>
          <c:layoutTarget val="inner"/>
          <c:xMode val="edge"/>
          <c:yMode val="edge"/>
          <c:x val="0.26099047619047622"/>
          <c:y val="6.5149166666666661E-2"/>
          <c:w val="0.63722380952380953"/>
          <c:h val="0.76309694444444431"/>
        </c:manualLayout>
      </c:layout>
      <c:barChart>
        <c:barDir val="col"/>
        <c:grouping val="stacked"/>
        <c:varyColors val="0"/>
        <c:ser>
          <c:idx val="0"/>
          <c:order val="0"/>
          <c:tx>
            <c:strRef>
              <c:f>'International trade'!$B$66</c:f>
              <c:strCache>
                <c:ptCount val="1"/>
                <c:pt idx="0">
                  <c:v>Canada</c:v>
                </c:pt>
              </c:strCache>
            </c:strRef>
          </c:tx>
          <c:spPr>
            <a:solidFill>
              <a:srgbClr val="0091DA"/>
            </a:solidFill>
            <a:ln w="3175">
              <a:solidFill>
                <a:srgbClr val="FFFFFF"/>
              </a:solidFill>
              <a:prstDash val="solid"/>
            </a:ln>
          </c:spPr>
          <c:invertIfNegative val="0"/>
          <c:dLbls>
            <c:dLbl>
              <c:idx val="0"/>
              <c:tx>
                <c:rich>
                  <a:bodyPr/>
                  <a:lstStyle/>
                  <a:p>
                    <a:fld id="{30BFB7A4-7DA8-444C-B07B-312005BB29E1}" type="CELLREF">
                      <a:rPr lang="en-US"/>
                      <a:pPr/>
                      <a:t>[CELLREF]</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dlblFTEntry>
                      <c15:txfldGUID>{30BFB7A4-7DA8-444C-B07B-312005BB29E1}</c15:txfldGUID>
                      <c15:f>'International trade'!$D$66</c15:f>
                      <c15:dlblFieldTableCache>
                        <c:ptCount val="1"/>
                        <c:pt idx="0">
                          <c:v>5.7%</c:v>
                        </c:pt>
                      </c15:dlblFieldTableCache>
                    </c15:dlblFTEntry>
                  </c15:dlblFieldTable>
                  <c15:showDataLabelsRange val="0"/>
                </c:ext>
              </c:extLst>
            </c:dLbl>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'International trade'!$C$66</c:f>
              <c:numCache>
                <c:formatCode>_(* #,##0_);_(* \(#,##0\);_(* "-"??_);_(@_)</c:formatCode>
                <c:ptCount val="1"/>
                <c:pt idx="0">
                  <c:v>118035735.24000001</c:v>
                </c:pt>
              </c:numCache>
            </c:numRef>
          </c:val>
        </c:ser>
        <c:ser>
          <c:idx val="1"/>
          <c:order val="1"/>
          <c:tx>
            <c:strRef>
              <c:f>'International trade'!$B$67</c:f>
              <c:strCache>
                <c:ptCount val="1"/>
                <c:pt idx="0">
                  <c:v>France</c:v>
                </c:pt>
              </c:strCache>
            </c:strRef>
          </c:tx>
          <c:spPr>
            <a:solidFill>
              <a:srgbClr val="00A3A1"/>
            </a:solidFill>
            <a:ln w="3175">
              <a:solidFill>
                <a:srgbClr val="FFFFFF"/>
              </a:solidFill>
              <a:prstDash val="solid"/>
            </a:ln>
          </c:spPr>
          <c:invertIfNegative val="0"/>
          <c:dLbls>
            <c:dLbl>
              <c:idx val="0"/>
              <c:tx>
                <c:rich>
                  <a:bodyPr/>
                  <a:lstStyle/>
                  <a:p>
                    <a:fld id="{88C0E31B-DE94-4FC6-B95D-E14C2A45572E}" type="CELLREF">
                      <a:rPr lang="en-US"/>
                      <a:pPr/>
                      <a:t>[CELLREF]</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dlblFTEntry>
                      <c15:txfldGUID>{88C0E31B-DE94-4FC6-B95D-E14C2A45572E}</c15:txfldGUID>
                      <c15:f>'International trade'!$D$67</c15:f>
                      <c15:dlblFieldTableCache>
                        <c:ptCount val="1"/>
                        <c:pt idx="0">
                          <c:v>9.4%</c:v>
                        </c:pt>
                      </c15:dlblFieldTableCache>
                    </c15:dlblFTEntry>
                  </c15:dlblFieldTable>
                  <c15:showDataLabelsRange val="0"/>
                </c:ext>
              </c:extLst>
            </c:dLbl>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'International trade'!$C$67</c:f>
              <c:numCache>
                <c:formatCode>_(* #,##0_);_(* \(#,##0\);_(* "-"??_);_(@_)</c:formatCode>
                <c:ptCount val="1"/>
                <c:pt idx="0">
                  <c:v>194390525.83999997</c:v>
                </c:pt>
              </c:numCache>
            </c:numRef>
          </c:val>
        </c:ser>
        <c:ser>
          <c:idx val="2"/>
          <c:order val="2"/>
          <c:tx>
            <c:strRef>
              <c:f>'International trade'!$B$68</c:f>
              <c:strCache>
                <c:ptCount val="1"/>
                <c:pt idx="0">
                  <c:v>Italy</c:v>
                </c:pt>
              </c:strCache>
            </c:strRef>
          </c:tx>
          <c:spPr>
            <a:solidFill>
              <a:srgbClr val="FFC000"/>
            </a:solidFill>
            <a:ln w="3175">
              <a:solidFill>
                <a:srgbClr val="FFFFFF"/>
              </a:solidFill>
              <a:prstDash val="solid"/>
            </a:ln>
          </c:spPr>
          <c:invertIfNegative val="0"/>
          <c:dLbls>
            <c:dLbl>
              <c:idx val="0"/>
              <c:tx>
                <c:rich>
                  <a:bodyPr/>
                  <a:lstStyle/>
                  <a:p>
                    <a:fld id="{0A3ECAC7-47F8-4F80-B6B2-35E32D6B7EB7}" type="CELLREF">
                      <a:rPr lang="en-US"/>
                      <a:pPr/>
                      <a:t>[CELLREF]</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dlblFTEntry>
                      <c15:txfldGUID>{0A3ECAC7-47F8-4F80-B6B2-35E32D6B7EB7}</c15:txfldGUID>
                      <c15:f>'International trade'!$D$68</c15:f>
                      <c15:dlblFieldTableCache>
                        <c:ptCount val="1"/>
                        <c:pt idx="0">
                          <c:v>7.9%</c:v>
                        </c:pt>
                      </c15:dlblFieldTableCache>
                    </c15:dlblFTEntry>
                  </c15:dlblFieldTable>
                  <c15:showDataLabelsRange val="0"/>
                </c:ext>
              </c:extLst>
            </c:dLbl>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'International trade'!$C$68</c:f>
              <c:numCache>
                <c:formatCode>_(* #,##0_);_(* \(#,##0\);_(* "-"??_);_(@_)</c:formatCode>
                <c:ptCount val="1"/>
                <c:pt idx="0">
                  <c:v>163301095.16</c:v>
                </c:pt>
              </c:numCache>
            </c:numRef>
          </c:val>
        </c:ser>
        <c:ser>
          <c:idx val="3"/>
          <c:order val="3"/>
          <c:tx>
            <c:strRef>
              <c:f>'International trade'!$B$69</c:f>
              <c:strCache>
                <c:ptCount val="1"/>
                <c:pt idx="0">
                  <c:v>Switzerland</c:v>
                </c:pt>
              </c:strCache>
            </c:strRef>
          </c:tx>
          <c:spPr>
            <a:solidFill>
              <a:srgbClr val="005EB8"/>
            </a:solidFill>
            <a:ln w="3175">
              <a:solidFill>
                <a:srgbClr val="FFFFFF"/>
              </a:solidFill>
              <a:prstDash val="solid"/>
            </a:ln>
          </c:spPr>
          <c:invertIfNegative val="0"/>
          <c:dLbls>
            <c:dLbl>
              <c:idx val="0"/>
              <c:tx>
                <c:rich>
                  <a:bodyPr/>
                  <a:lstStyle/>
                  <a:p>
                    <a:fld id="{8A3F8340-15C8-416B-BDC0-D47A9C7B250A}" type="CELLREF">
                      <a:rPr lang="en-US"/>
                      <a:pPr/>
                      <a:t>[CELLREF]</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dlblFTEntry>
                      <c15:txfldGUID>{8A3F8340-15C8-416B-BDC0-D47A9C7B250A}</c15:txfldGUID>
                      <c15:f>'International trade'!$D$69</c15:f>
                      <c15:dlblFieldTableCache>
                        <c:ptCount val="1"/>
                        <c:pt idx="0">
                          <c:v>7.5%</c:v>
                        </c:pt>
                      </c15:dlblFieldTableCache>
                    </c15:dlblFTEntry>
                  </c15:dlblFieldTable>
                  <c15:showDataLabelsRange val="0"/>
                </c:ext>
              </c:extLst>
            </c:dLbl>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'International trade'!$C$69</c:f>
              <c:numCache>
                <c:formatCode>_(* #,##0_);_(* \(#,##0\);_(* "-"??_);_(@_)</c:formatCode>
                <c:ptCount val="1"/>
                <c:pt idx="0">
                  <c:v>155678089.03999999</c:v>
                </c:pt>
              </c:numCache>
            </c:numRef>
          </c:val>
        </c:ser>
        <c:ser>
          <c:idx val="4"/>
          <c:order val="4"/>
          <c:tx>
            <c:strRef>
              <c:f>'International trade'!$B$70</c:f>
              <c:strCache>
                <c:ptCount val="1"/>
                <c:pt idx="0">
                  <c:v>United States of America</c:v>
                </c:pt>
              </c:strCache>
            </c:strRef>
          </c:tx>
          <c:spPr>
            <a:solidFill>
              <a:srgbClr val="00338D"/>
            </a:solidFill>
            <a:ln w="3175">
              <a:solidFill>
                <a:srgbClr val="FFFFFF"/>
              </a:solidFill>
              <a:prstDash val="solid"/>
            </a:ln>
          </c:spPr>
          <c:invertIfNegative val="0"/>
          <c:dLbls>
            <c:dLbl>
              <c:idx val="0"/>
              <c:tx>
                <c:rich>
                  <a:bodyPr/>
                  <a:lstStyle/>
                  <a:p>
                    <a:fld id="{E38D072B-A699-49E0-870F-E246DB6E00C1}" type="CELLREF">
                      <a:rPr lang="en-US"/>
                      <a:pPr/>
                      <a:t>[CELLREF]</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dlblFTEntry>
                      <c15:txfldGUID>{E38D072B-A699-49E0-870F-E246DB6E00C1}</c15:txfldGUID>
                      <c15:f>'International trade'!$D$70</c15:f>
                      <c15:dlblFieldTableCache>
                        <c:ptCount val="1"/>
                        <c:pt idx="0">
                          <c:v>51.2%</c:v>
                        </c:pt>
                      </c15:dlblFieldTableCache>
                    </c15:dlblFTEntry>
                  </c15:dlblFieldTable>
                  <c15:showDataLabelsRange val="0"/>
                </c:ext>
              </c:extLst>
            </c:dLbl>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'International trade'!$C$70</c:f>
              <c:numCache>
                <c:formatCode>_(* #,##0_);_(* \(#,##0\);_(* "-"??_);_(@_)</c:formatCode>
                <c:ptCount val="1"/>
                <c:pt idx="0">
                  <c:v>1058741472.5599998</c:v>
                </c:pt>
              </c:numCache>
            </c:numRef>
          </c:val>
        </c:ser>
        <c:ser>
          <c:idx val="5"/>
          <c:order val="5"/>
          <c:tx>
            <c:strRef>
              <c:f>'International trade'!$B$71</c:f>
              <c:strCache>
                <c:ptCount val="1"/>
                <c:pt idx="0">
                  <c:v>Other</c:v>
                </c:pt>
              </c:strCache>
            </c:strRef>
          </c:tx>
          <c:spPr>
            <a:solidFill>
              <a:srgbClr val="6D2077"/>
            </a:solidFill>
            <a:ln w="3175">
              <a:solidFill>
                <a:srgbClr val="FFFFFF"/>
              </a:solidFill>
              <a:prstDash val="solid"/>
            </a:ln>
          </c:spPr>
          <c:invertIfNegative val="0"/>
          <c:dLbls>
            <c:dLbl>
              <c:idx val="0"/>
              <c:tx>
                <c:rich>
                  <a:bodyPr/>
                  <a:lstStyle/>
                  <a:p>
                    <a:fld id="{5679B0AE-991C-4B89-B51E-495A3089FB6F}" type="CELLREF">
                      <a:rPr lang="en-US"/>
                      <a:pPr/>
                      <a:t>[CELLREF]</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dlblFTEntry>
                      <c15:txfldGUID>{5679B0AE-991C-4B89-B51E-495A3089FB6F}</c15:txfldGUID>
                      <c15:f>'International trade'!$D$71</c15:f>
                      <c15:dlblFieldTableCache>
                        <c:ptCount val="1"/>
                        <c:pt idx="0">
                          <c:v>18.3%</c:v>
                        </c:pt>
                      </c15:dlblFieldTableCache>
                    </c15:dlblFTEntry>
                  </c15:dlblFieldTable>
                  <c15:showDataLabelsRange val="0"/>
                </c:ext>
              </c:extLst>
            </c:dLbl>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'International trade'!$C$71</c:f>
              <c:numCache>
                <c:formatCode>_(* #,##0_);_(* \(#,##0\);_(* "-"??_);_(@_)</c:formatCode>
                <c:ptCount val="1"/>
                <c:pt idx="0">
                  <c:v>379539031.01000023</c:v>
                </c:pt>
              </c:numCache>
            </c:numRef>
          </c:val>
        </c:ser>
        <c:dLbls>
          <c:dLblPos val="ctr"/>
          <c:showLegendKey val="0"/>
          <c:showVal val="1"/>
          <c:showCatName val="0"/>
          <c:showSerName val="0"/>
          <c:showPercent val="0"/>
          <c:showBubbleSize val="0"/>
        </c:dLbls>
        <c:gapWidth val="40"/>
        <c:overlap val="100"/>
        <c:axId val="550695864"/>
        <c:axId val="550692728"/>
      </c:barChart>
      <c:catAx>
        <c:axId val="550695864"/>
        <c:scaling>
          <c:orientation val="minMax"/>
        </c:scaling>
        <c:delete val="1"/>
        <c:axPos val="b"/>
        <c:numFmt formatCode="General" sourceLinked="1"/>
        <c:majorTickMark val="out"/>
        <c:minorTickMark val="none"/>
        <c:tickLblPos val="low"/>
        <c:crossAx val="550692728"/>
        <c:crosses val="autoZero"/>
        <c:auto val="1"/>
        <c:lblAlgn val="ctr"/>
        <c:lblOffset val="100"/>
        <c:noMultiLvlLbl val="0"/>
      </c:catAx>
      <c:valAx>
        <c:axId val="550692728"/>
        <c:scaling>
          <c:orientation val="minMax"/>
          <c:max val="2100000000"/>
          <c:min val="0"/>
        </c:scaling>
        <c:delete val="0"/>
        <c:axPos val="l"/>
        <c:numFmt formatCode="#,##0" sourceLinked="0"/>
        <c:majorTickMark val="out"/>
        <c:minorTickMark val="none"/>
        <c:tickLblPos val="nextTo"/>
        <c:spPr>
          <a:ln w="3175">
            <a:solidFill>
              <a:srgbClr val="000000"/>
            </a:solidFill>
            <a:prstDash val="solid"/>
          </a:ln>
        </c:spPr>
        <c:txPr>
          <a:bodyPr/>
          <a:lstStyle/>
          <a:p>
            <a:pPr>
              <a:defRPr>
                <a:solidFill>
                  <a:srgbClr val="000000"/>
                </a:solidFill>
              </a:defRPr>
            </a:pPr>
            <a:endParaRPr lang="en-US"/>
          </a:p>
        </c:txPr>
        <c:crossAx val="550695864"/>
        <c:crosses val="autoZero"/>
        <c:crossBetween val="between"/>
        <c:dispUnits>
          <c:builtInUnit val="millions"/>
          <c:dispUnitsLbl>
            <c:layout>
              <c:manualLayout>
                <c:xMode val="edge"/>
                <c:yMode val="edge"/>
                <c:x val="3.6345686147029786E-2"/>
                <c:y val="0.3133855489796003"/>
              </c:manualLayout>
            </c:layout>
            <c:tx>
              <c:rich>
                <a:bodyPr/>
                <a:lstStyle/>
                <a:p>
                  <a:pPr>
                    <a:defRPr/>
                  </a:pPr>
                  <a:r>
                    <a:rPr lang="en-AU"/>
                    <a:t>$ millions</a:t>
                  </a:r>
                </a:p>
              </c:rich>
            </c:tx>
          </c:dispUnitsLbl>
        </c:dispUnits>
      </c:valAx>
      <c:spPr>
        <a:noFill/>
        <a:ln w="25400">
          <a:noFill/>
        </a:ln>
      </c:spPr>
    </c:plotArea>
    <c:legend>
      <c:legendPos val="b"/>
      <c:layout>
        <c:manualLayout>
          <c:xMode val="edge"/>
          <c:yMode val="edge"/>
          <c:x val="0"/>
          <c:y val="0.8540025"/>
          <c:w val="0.99554920634920618"/>
          <c:h val="0.1459975"/>
        </c:manualLayout>
      </c:layout>
      <c:overlay val="0"/>
      <c:spPr>
        <a:noFill/>
        <a:ln w="25400">
          <a:noFill/>
        </a:ln>
      </c:spPr>
      <c:txPr>
        <a:bodyPr/>
        <a:lstStyle/>
        <a:p>
          <a:pPr>
            <a:defRPr>
              <a:solidFill>
                <a:srgbClr val="000000"/>
              </a:solidFill>
            </a:defRPr>
          </a:pPr>
          <a:endParaRPr lang="en-US"/>
        </a:p>
      </c:txPr>
    </c:legend>
    <c:plotVisOnly val="1"/>
    <c:dispBlanksAs val="gap"/>
    <c:showDLblsOverMax val="0"/>
  </c:chart>
  <c:spPr>
    <a:solidFill>
      <a:sysClr val="window" lastClr="FFFFFF"/>
    </a:solidFill>
    <a:ln w="6350">
      <a:solidFill>
        <a:schemeClr val="bg1">
          <a:lumMod val="75000"/>
        </a:schemeClr>
      </a:solidFill>
    </a:ln>
  </c:spPr>
  <c:txPr>
    <a:bodyPr/>
    <a:lstStyle/>
    <a:p>
      <a:pPr>
        <a:defRPr sz="800" b="0" i="0">
          <a:solidFill>
            <a:srgbClr val="000000"/>
          </a:solidFill>
          <a:latin typeface="Arial"/>
          <a:ea typeface="Arial"/>
          <a:cs typeface="Aria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a:pPr>
            <a:r>
              <a:rPr lang="en-AU" sz="1000" b="1"/>
              <a:t>Total exports: $2.04 billion</a:t>
            </a:r>
            <a:r>
              <a:rPr lang="en-AU" sz="1000" b="1" baseline="0"/>
              <a:t> </a:t>
            </a:r>
            <a:endParaRPr lang="en-AU" sz="1000" b="1"/>
          </a:p>
        </c:rich>
      </c:tx>
      <c:layout>
        <c:manualLayout>
          <c:xMode val="edge"/>
          <c:yMode val="edge"/>
          <c:x val="0.23102262181941441"/>
          <c:y val="6.71812301465492E-3"/>
        </c:manualLayout>
      </c:layout>
      <c:overlay val="0"/>
    </c:title>
    <c:autoTitleDeleted val="0"/>
    <c:plotArea>
      <c:layout>
        <c:manualLayout>
          <c:layoutTarget val="inner"/>
          <c:xMode val="edge"/>
          <c:yMode val="edge"/>
          <c:x val="0.25365044411821402"/>
          <c:y val="5.5941763673966589E-2"/>
          <c:w val="0.62936518528404295"/>
          <c:h val="0.78636596602880982"/>
        </c:manualLayout>
      </c:layout>
      <c:barChart>
        <c:barDir val="col"/>
        <c:grouping val="stacked"/>
        <c:varyColors val="0"/>
        <c:ser>
          <c:idx val="0"/>
          <c:order val="0"/>
          <c:tx>
            <c:strRef>
              <c:f>'International trade'!$B$58</c:f>
              <c:strCache>
                <c:ptCount val="1"/>
                <c:pt idx="0">
                  <c:v>France</c:v>
                </c:pt>
              </c:strCache>
            </c:strRef>
          </c:tx>
          <c:spPr>
            <a:solidFill>
              <a:srgbClr val="00A3A1"/>
            </a:solidFill>
            <a:ln w="3175">
              <a:solidFill>
                <a:srgbClr val="FFFFFF"/>
              </a:solidFill>
              <a:prstDash val="solid"/>
            </a:ln>
          </c:spPr>
          <c:invertIfNegative val="0"/>
          <c:dLbls>
            <c:dLbl>
              <c:idx val="0"/>
              <c:tx>
                <c:rich>
                  <a:bodyPr/>
                  <a:lstStyle/>
                  <a:p>
                    <a:fld id="{D48D511D-A85A-4D6B-AF1C-FEDA5B916B01}" type="CELLREF">
                      <a:rPr lang="en-US"/>
                      <a:pPr/>
                      <a:t>[CELLREF]</a:t>
                    </a:fld>
                    <a:endParaRPr lang="en-AU"/>
                  </a:p>
                </c:rich>
              </c:tx>
              <c:showLegendKey val="0"/>
              <c:showVal val="1"/>
              <c:showCatName val="0"/>
              <c:showSerName val="0"/>
              <c:showPercent val="0"/>
              <c:showBubbleSize val="0"/>
              <c:extLst>
                <c:ext xmlns:c15="http://schemas.microsoft.com/office/drawing/2012/chart" uri="{CE6537A1-D6FC-4f65-9D91-7224C49458BB}">
                  <c15:dlblFieldTable>
                    <c15:dlblFTEntry>
                      <c15:txfldGUID>{D48D511D-A85A-4D6B-AF1C-FEDA5B916B01}</c15:txfldGUID>
                      <c15:f>'International trade'!$D$58</c15:f>
                      <c15:dlblFieldTableCache>
                        <c:ptCount val="1"/>
                        <c:pt idx="0">
                          <c:v>4.3%</c:v>
                        </c:pt>
                      </c15:dlblFieldTableCache>
                    </c15:dlblFTEntry>
                  </c15:dlblFieldTable>
                  <c15:showDataLabelsRange val="0"/>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'International trade'!$C$58</c:f>
              <c:numCache>
                <c:formatCode>_(* #,##0_);_(* \(#,##0\);_(* "-"??_);_(@_)</c:formatCode>
                <c:ptCount val="1"/>
                <c:pt idx="0">
                  <c:v>87373908</c:v>
                </c:pt>
              </c:numCache>
            </c:numRef>
          </c:val>
        </c:ser>
        <c:ser>
          <c:idx val="1"/>
          <c:order val="1"/>
          <c:tx>
            <c:strRef>
              <c:f>'International trade'!$B$59</c:f>
              <c:strCache>
                <c:ptCount val="1"/>
                <c:pt idx="0">
                  <c:v>Malaysia</c:v>
                </c:pt>
              </c:strCache>
            </c:strRef>
          </c:tx>
          <c:spPr>
            <a:solidFill>
              <a:srgbClr val="EAAA00"/>
            </a:solidFill>
            <a:ln w="3175">
              <a:solidFill>
                <a:srgbClr val="FFFFFF"/>
              </a:solidFill>
              <a:prstDash val="solid"/>
            </a:ln>
          </c:spPr>
          <c:invertIfNegative val="0"/>
          <c:dLbls>
            <c:dLbl>
              <c:idx val="0"/>
              <c:tx>
                <c:rich>
                  <a:bodyPr/>
                  <a:lstStyle/>
                  <a:p>
                    <a:fld id="{217261E7-8450-4305-8F6B-4EF6C3C9E996}" type="CELLREF">
                      <a:rPr lang="en-US"/>
                      <a:pPr/>
                      <a:t>[CELLREF]</a:t>
                    </a:fld>
                    <a:endParaRPr lang="en-AU"/>
                  </a:p>
                </c:rich>
              </c:tx>
              <c:showLegendKey val="0"/>
              <c:showVal val="1"/>
              <c:showCatName val="0"/>
              <c:showSerName val="0"/>
              <c:showPercent val="0"/>
              <c:showBubbleSize val="0"/>
              <c:extLst>
                <c:ext xmlns:c15="http://schemas.microsoft.com/office/drawing/2012/chart" uri="{CE6537A1-D6FC-4f65-9D91-7224C49458BB}">
                  <c15:dlblFieldTable>
                    <c15:dlblFTEntry>
                      <c15:txfldGUID>{217261E7-8450-4305-8F6B-4EF6C3C9E996}</c15:txfldGUID>
                      <c15:f>'International trade'!$D$59</c15:f>
                      <c15:dlblFieldTableCache>
                        <c:ptCount val="1"/>
                        <c:pt idx="0">
                          <c:v>11.6%</c:v>
                        </c:pt>
                      </c15:dlblFieldTableCache>
                    </c15:dlblFTEntry>
                  </c15:dlblFieldTable>
                  <c15:showDataLabelsRange val="0"/>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'International trade'!$C$59</c:f>
              <c:numCache>
                <c:formatCode>_(* #,##0_);_(* \(#,##0\);_(* "-"??_);_(@_)</c:formatCode>
                <c:ptCount val="1"/>
                <c:pt idx="0">
                  <c:v>236930327</c:v>
                </c:pt>
              </c:numCache>
            </c:numRef>
          </c:val>
        </c:ser>
        <c:ser>
          <c:idx val="2"/>
          <c:order val="2"/>
          <c:tx>
            <c:strRef>
              <c:f>'International trade'!$B$60</c:f>
              <c:strCache>
                <c:ptCount val="1"/>
                <c:pt idx="0">
                  <c:v>New Zealand</c:v>
                </c:pt>
              </c:strCache>
            </c:strRef>
          </c:tx>
          <c:spPr>
            <a:solidFill>
              <a:srgbClr val="0091DA"/>
            </a:solidFill>
            <a:ln w="3175">
              <a:solidFill>
                <a:srgbClr val="FFFFFF"/>
              </a:solidFill>
              <a:prstDash val="solid"/>
            </a:ln>
          </c:spPr>
          <c:invertIfNegative val="0"/>
          <c:dLbls>
            <c:dLbl>
              <c:idx val="0"/>
              <c:tx>
                <c:rich>
                  <a:bodyPr wrap="square" lIns="38100" tIns="19050" rIns="38100" bIns="19050" anchor="ctr">
                    <a:spAutoFit/>
                  </a:bodyPr>
                  <a:lstStyle/>
                  <a:p>
                    <a:pPr>
                      <a:defRPr>
                        <a:solidFill>
                          <a:schemeClr val="bg1"/>
                        </a:solidFill>
                      </a:defRPr>
                    </a:pPr>
                    <a:fld id="{BDA3FE3F-D740-4421-87F2-2EBE8C2A16D2}" type="CELLREF">
                      <a:rPr lang="en-US">
                        <a:solidFill>
                          <a:schemeClr val="bg1"/>
                        </a:solidFill>
                      </a:rPr>
                      <a:pPr>
                        <a:defRPr>
                          <a:solidFill>
                            <a:schemeClr val="bg1"/>
                          </a:solidFill>
                        </a:defRPr>
                      </a:pPr>
                      <a:t>[CELLREF]</a:t>
                    </a:fld>
                    <a:endParaRPr lang="en-AU"/>
                  </a:p>
                </c:rich>
              </c:tx>
              <c:spPr>
                <a:noFill/>
                <a:ln>
                  <a:noFill/>
                </a:ln>
                <a:effectLst/>
              </c:spPr>
              <c:showLegendKey val="0"/>
              <c:showVal val="1"/>
              <c:showCatName val="0"/>
              <c:showSerName val="0"/>
              <c:showPercent val="0"/>
              <c:showBubbleSize val="0"/>
              <c:extLst>
                <c:ext xmlns:c15="http://schemas.microsoft.com/office/drawing/2012/chart" uri="{CE6537A1-D6FC-4f65-9D91-7224C49458BB}">
                  <c15:dlblFieldTable>
                    <c15:dlblFTEntry>
                      <c15:txfldGUID>{BDA3FE3F-D740-4421-87F2-2EBE8C2A16D2}</c15:txfldGUID>
                      <c15:f>'International trade'!$D$60</c15:f>
                      <c15:dlblFieldTableCache>
                        <c:ptCount val="1"/>
                        <c:pt idx="0">
                          <c:v>4.2%</c:v>
                        </c:pt>
                      </c15:dlblFieldTableCache>
                    </c15:dlblFTEntry>
                  </c15:dlblFieldTable>
                  <c15:showDataLabelsRange val="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'International trade'!$C$60</c:f>
              <c:numCache>
                <c:formatCode>_(* #,##0_);_(* \(#,##0\);_(* "-"??_);_(@_)</c:formatCode>
                <c:ptCount val="1"/>
                <c:pt idx="0">
                  <c:v>86351905</c:v>
                </c:pt>
              </c:numCache>
            </c:numRef>
          </c:val>
        </c:ser>
        <c:ser>
          <c:idx val="3"/>
          <c:order val="3"/>
          <c:tx>
            <c:strRef>
              <c:f>'International trade'!$B$61</c:f>
              <c:strCache>
                <c:ptCount val="1"/>
                <c:pt idx="0">
                  <c:v>Singapore</c:v>
                </c:pt>
              </c:strCache>
            </c:strRef>
          </c:tx>
          <c:spPr>
            <a:solidFill>
              <a:srgbClr val="005EB8"/>
            </a:solidFill>
            <a:ln w="3175">
              <a:solidFill>
                <a:srgbClr val="FFFFFF"/>
              </a:solidFill>
              <a:prstDash val="solid"/>
            </a:ln>
          </c:spPr>
          <c:invertIfNegative val="0"/>
          <c:dLbls>
            <c:dLbl>
              <c:idx val="0"/>
              <c:tx>
                <c:rich>
                  <a:bodyPr/>
                  <a:lstStyle/>
                  <a:p>
                    <a:fld id="{9BA6D54A-C1BF-4CA1-8276-8751F6432FC4}" type="CELLREF">
                      <a:rPr lang="en-US"/>
                      <a:pPr/>
                      <a:t>[CELLREF]</a:t>
                    </a:fld>
                    <a:endParaRPr lang="en-AU"/>
                  </a:p>
                </c:rich>
              </c:tx>
              <c:showLegendKey val="0"/>
              <c:showVal val="1"/>
              <c:showCatName val="0"/>
              <c:showSerName val="0"/>
              <c:showPercent val="0"/>
              <c:showBubbleSize val="0"/>
              <c:extLst>
                <c:ext xmlns:c15="http://schemas.microsoft.com/office/drawing/2012/chart" uri="{CE6537A1-D6FC-4f65-9D91-7224C49458BB}">
                  <c15:dlblFieldTable>
                    <c15:dlblFTEntry>
                      <c15:txfldGUID>{9BA6D54A-C1BF-4CA1-8276-8751F6432FC4}</c15:txfldGUID>
                      <c15:f>'International trade'!$D$61</c15:f>
                      <c15:dlblFieldTableCache>
                        <c:ptCount val="1"/>
                        <c:pt idx="0">
                          <c:v>8.6%</c:v>
                        </c:pt>
                      </c15:dlblFieldTableCache>
                    </c15:dlblFTEntry>
                  </c15:dlblFieldTable>
                  <c15:showDataLabelsRange val="0"/>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'International trade'!$C$61</c:f>
              <c:numCache>
                <c:formatCode>_(* #,##0_);_(* \(#,##0\);_(* "-"??_);_(@_)</c:formatCode>
                <c:ptCount val="1"/>
                <c:pt idx="0">
                  <c:v>174999065</c:v>
                </c:pt>
              </c:numCache>
            </c:numRef>
          </c:val>
        </c:ser>
        <c:ser>
          <c:idx val="4"/>
          <c:order val="4"/>
          <c:tx>
            <c:strRef>
              <c:f>'International trade'!$B$62</c:f>
              <c:strCache>
                <c:ptCount val="1"/>
                <c:pt idx="0">
                  <c:v>United States of America</c:v>
                </c:pt>
              </c:strCache>
            </c:strRef>
          </c:tx>
          <c:spPr>
            <a:solidFill>
              <a:srgbClr val="00338D"/>
            </a:solidFill>
            <a:ln w="3175">
              <a:solidFill>
                <a:srgbClr val="FFFFFF"/>
              </a:solidFill>
              <a:prstDash val="solid"/>
            </a:ln>
          </c:spPr>
          <c:invertIfNegative val="0"/>
          <c:dLbls>
            <c:dLbl>
              <c:idx val="0"/>
              <c:tx>
                <c:rich>
                  <a:bodyPr/>
                  <a:lstStyle/>
                  <a:p>
                    <a:fld id="{FE924AF6-63C2-4BE2-AD41-A69A2FFC188E}" type="CELLREF">
                      <a:rPr lang="en-US"/>
                      <a:pPr/>
                      <a:t>[CELLREF]</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dlblFTEntry>
                      <c15:txfldGUID>{FE924AF6-63C2-4BE2-AD41-A69A2FFC188E}</c15:txfldGUID>
                      <c15:f>'International trade'!$D$62</c15:f>
                      <c15:dlblFieldTableCache>
                        <c:ptCount val="1"/>
                        <c:pt idx="0">
                          <c:v>47.0%</c:v>
                        </c:pt>
                      </c15:dlblFieldTableCache>
                    </c15:dlblFTEntry>
                  </c15:dlblFieldTable>
                  <c15:showDataLabelsRange val="0"/>
                </c:ext>
              </c:extLst>
            </c:dLbl>
            <c:spPr>
              <a:noFill/>
              <a:ln>
                <a:noFill/>
              </a:ln>
              <a:effectLst/>
            </c:spPr>
            <c:txPr>
              <a:bodyPr wrap="square" lIns="38100" tIns="19050" rIns="38100" bIns="19050" anchor="ctr">
                <a:spAutoFit/>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'International trade'!$C$62</c:f>
              <c:numCache>
                <c:formatCode>_(* #,##0_);_(* \(#,##0\);_(* "-"??_);_(@_)</c:formatCode>
                <c:ptCount val="1"/>
                <c:pt idx="0">
                  <c:v>960444544</c:v>
                </c:pt>
              </c:numCache>
            </c:numRef>
          </c:val>
        </c:ser>
        <c:ser>
          <c:idx val="5"/>
          <c:order val="5"/>
          <c:tx>
            <c:strRef>
              <c:f>'International trade'!$B$63</c:f>
              <c:strCache>
                <c:ptCount val="1"/>
                <c:pt idx="0">
                  <c:v>Other</c:v>
                </c:pt>
              </c:strCache>
            </c:strRef>
          </c:tx>
          <c:spPr>
            <a:solidFill>
              <a:srgbClr val="6D2077"/>
            </a:solidFill>
            <a:ln w="3175">
              <a:solidFill>
                <a:srgbClr val="FFFFFF"/>
              </a:solidFill>
              <a:prstDash val="solid"/>
            </a:ln>
          </c:spPr>
          <c:invertIfNegative val="0"/>
          <c:dLbls>
            <c:dLbl>
              <c:idx val="0"/>
              <c:tx>
                <c:rich>
                  <a:bodyPr/>
                  <a:lstStyle/>
                  <a:p>
                    <a:fld id="{3A04C2A1-6A19-4161-9CD9-AE34526FDEEC}" type="CELLREF">
                      <a:rPr lang="en-US"/>
                      <a:pPr/>
                      <a:t>[CELLREF]</a:t>
                    </a:fld>
                    <a:endParaRPr lang="en-AU"/>
                  </a:p>
                </c:rich>
              </c:tx>
              <c:showLegendKey val="0"/>
              <c:showVal val="1"/>
              <c:showCatName val="0"/>
              <c:showSerName val="0"/>
              <c:showPercent val="0"/>
              <c:showBubbleSize val="0"/>
              <c:extLst>
                <c:ext xmlns:c15="http://schemas.microsoft.com/office/drawing/2012/chart" uri="{CE6537A1-D6FC-4f65-9D91-7224C49458BB}">
                  <c15:dlblFieldTable>
                    <c15:dlblFTEntry>
                      <c15:txfldGUID>{3A04C2A1-6A19-4161-9CD9-AE34526FDEEC}</c15:txfldGUID>
                      <c15:f>'International trade'!$D$63</c15:f>
                      <c15:dlblFieldTableCache>
                        <c:ptCount val="1"/>
                        <c:pt idx="0">
                          <c:v>24.4%</c:v>
                        </c:pt>
                      </c15:dlblFieldTableCache>
                    </c15:dlblFTEntry>
                  </c15:dlblFieldTable>
                  <c15:showDataLabelsRange val="0"/>
                </c:ext>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'International trade'!$C$63</c:f>
              <c:numCache>
                <c:formatCode>_(* #,##0_);_(* \(#,##0\);_(* "-"??_);_(@_)</c:formatCode>
                <c:ptCount val="1"/>
                <c:pt idx="0">
                  <c:v>497841288</c:v>
                </c:pt>
              </c:numCache>
            </c:numRef>
          </c:val>
        </c:ser>
        <c:dLbls>
          <c:showLegendKey val="0"/>
          <c:showVal val="1"/>
          <c:showCatName val="0"/>
          <c:showSerName val="0"/>
          <c:showPercent val="0"/>
          <c:showBubbleSize val="0"/>
        </c:dLbls>
        <c:gapWidth val="40"/>
        <c:overlap val="100"/>
        <c:axId val="550693120"/>
        <c:axId val="622395928"/>
      </c:barChart>
      <c:catAx>
        <c:axId val="550693120"/>
        <c:scaling>
          <c:orientation val="minMax"/>
        </c:scaling>
        <c:delete val="1"/>
        <c:axPos val="b"/>
        <c:numFmt formatCode="General" sourceLinked="1"/>
        <c:majorTickMark val="out"/>
        <c:minorTickMark val="none"/>
        <c:tickLblPos val="low"/>
        <c:crossAx val="622395928"/>
        <c:crosses val="autoZero"/>
        <c:auto val="1"/>
        <c:lblAlgn val="ctr"/>
        <c:lblOffset val="100"/>
        <c:noMultiLvlLbl val="0"/>
      </c:catAx>
      <c:valAx>
        <c:axId val="622395928"/>
        <c:scaling>
          <c:orientation val="minMax"/>
          <c:max val="2100000000"/>
          <c:min val="0"/>
        </c:scaling>
        <c:delete val="0"/>
        <c:axPos val="l"/>
        <c:numFmt formatCode="_(* #,##0_);_(* \(#,##0\);_(* &quot;-&quot;??_);_(@_)" sourceLinked="1"/>
        <c:majorTickMark val="out"/>
        <c:minorTickMark val="none"/>
        <c:tickLblPos val="nextTo"/>
        <c:spPr>
          <a:ln w="3175">
            <a:solidFill>
              <a:srgbClr val="000000"/>
            </a:solidFill>
            <a:prstDash val="solid"/>
          </a:ln>
        </c:spPr>
        <c:txPr>
          <a:bodyPr/>
          <a:lstStyle/>
          <a:p>
            <a:pPr>
              <a:defRPr>
                <a:solidFill>
                  <a:srgbClr val="000000"/>
                </a:solidFill>
              </a:defRPr>
            </a:pPr>
            <a:endParaRPr lang="en-US"/>
          </a:p>
        </c:txPr>
        <c:crossAx val="550693120"/>
        <c:crosses val="autoZero"/>
        <c:crossBetween val="between"/>
        <c:dispUnits>
          <c:builtInUnit val="millions"/>
          <c:dispUnitsLbl>
            <c:layout>
              <c:manualLayout>
                <c:xMode val="edge"/>
                <c:yMode val="edge"/>
                <c:x val="2.7687788144336579E-2"/>
                <c:y val="0.29515461211201133"/>
              </c:manualLayout>
            </c:layout>
            <c:tx>
              <c:rich>
                <a:bodyPr/>
                <a:lstStyle/>
                <a:p>
                  <a:pPr>
                    <a:defRPr/>
                  </a:pPr>
                  <a:r>
                    <a:rPr lang="en-AU"/>
                    <a:t>$ millions</a:t>
                  </a:r>
                </a:p>
              </c:rich>
            </c:tx>
          </c:dispUnitsLbl>
        </c:dispUnits>
      </c:valAx>
      <c:spPr>
        <a:noFill/>
        <a:ln w="25400">
          <a:noFill/>
        </a:ln>
      </c:spPr>
    </c:plotArea>
    <c:legend>
      <c:legendPos val="b"/>
      <c:layout>
        <c:manualLayout>
          <c:xMode val="edge"/>
          <c:yMode val="edge"/>
          <c:x val="2.354054719871378E-2"/>
          <c:y val="0.86115147583973062"/>
          <c:w val="0.96976251909189337"/>
          <c:h val="0.13158472701242924"/>
        </c:manualLayout>
      </c:layout>
      <c:overlay val="0"/>
      <c:spPr>
        <a:noFill/>
        <a:ln w="25400">
          <a:noFill/>
        </a:ln>
      </c:spPr>
      <c:txPr>
        <a:bodyPr/>
        <a:lstStyle/>
        <a:p>
          <a:pPr>
            <a:defRPr>
              <a:solidFill>
                <a:srgbClr val="000000"/>
              </a:solidFill>
            </a:defRPr>
          </a:pPr>
          <a:endParaRPr lang="en-US"/>
        </a:p>
      </c:txPr>
    </c:legend>
    <c:plotVisOnly val="1"/>
    <c:dispBlanksAs val="gap"/>
    <c:showDLblsOverMax val="0"/>
  </c:chart>
  <c:spPr>
    <a:solidFill>
      <a:sysClr val="window" lastClr="FFFFFF"/>
    </a:solidFill>
    <a:ln w="6350">
      <a:solidFill>
        <a:schemeClr val="bg1">
          <a:lumMod val="75000"/>
        </a:schemeClr>
      </a:solidFill>
    </a:ln>
  </c:spPr>
  <c:txPr>
    <a:bodyPr/>
    <a:lstStyle/>
    <a:p>
      <a:pPr>
        <a:defRPr sz="800" b="0" i="0">
          <a:solidFill>
            <a:srgbClr val="000000"/>
          </a:solidFill>
          <a:latin typeface="Arial"/>
          <a:ea typeface="Arial"/>
          <a:cs typeface="Aria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4661539400598"/>
          <c:y val="0.13378775917791766"/>
          <c:w val="0.54340897459373927"/>
          <c:h val="0.7808884750588696"/>
        </c:manualLayout>
      </c:layout>
      <c:pieChart>
        <c:varyColors val="1"/>
        <c:ser>
          <c:idx val="0"/>
          <c:order val="0"/>
          <c:tx>
            <c:strRef>
              <c:f>Ind_Businesses1718!$F$20</c:f>
              <c:strCache>
                <c:ptCount val="1"/>
                <c:pt idx="0">
                  <c:v>Total</c:v>
                </c:pt>
              </c:strCache>
            </c:strRef>
          </c:tx>
          <c:dPt>
            <c:idx val="0"/>
            <c:bubble3D val="0"/>
            <c:spPr>
              <a:solidFill>
                <a:srgbClr val="00338D"/>
              </a:solidFill>
              <a:ln w="3175">
                <a:solidFill>
                  <a:srgbClr val="FFFFFF"/>
                </a:solidFill>
                <a:prstDash val="solid"/>
              </a:ln>
            </c:spPr>
          </c:dPt>
          <c:dPt>
            <c:idx val="1"/>
            <c:bubble3D val="0"/>
            <c:spPr>
              <a:solidFill>
                <a:srgbClr val="0091DA"/>
              </a:solidFill>
              <a:ln w="3175">
                <a:solidFill>
                  <a:srgbClr val="FFFFFF"/>
                </a:solidFill>
                <a:prstDash val="solid"/>
              </a:ln>
            </c:spPr>
          </c:dPt>
          <c:dPt>
            <c:idx val="2"/>
            <c:bubble3D val="0"/>
            <c:spPr>
              <a:solidFill>
                <a:srgbClr val="6D2077"/>
              </a:solidFill>
              <a:ln w="3175">
                <a:solidFill>
                  <a:srgbClr val="FFFFFF"/>
                </a:solidFill>
                <a:prstDash val="solid"/>
              </a:ln>
            </c:spPr>
          </c:dPt>
          <c:dPt>
            <c:idx val="3"/>
            <c:bubble3D val="0"/>
            <c:spPr>
              <a:solidFill>
                <a:srgbClr val="005EB8"/>
              </a:solidFill>
              <a:ln w="3175">
                <a:solidFill>
                  <a:srgbClr val="FFFFFF"/>
                </a:solidFill>
                <a:prstDash val="solid"/>
              </a:ln>
            </c:spPr>
          </c:dPt>
          <c:dPt>
            <c:idx val="4"/>
            <c:bubble3D val="0"/>
            <c:spPr>
              <a:solidFill>
                <a:srgbClr val="00A3A1"/>
              </a:solidFill>
              <a:ln w="3175">
                <a:solidFill>
                  <a:srgbClr val="FFFFFF"/>
                </a:solidFill>
                <a:prstDash val="solid"/>
              </a:ln>
            </c:spPr>
          </c:dPt>
          <c:dPt>
            <c:idx val="5"/>
            <c:bubble3D val="0"/>
            <c:spPr>
              <a:solidFill>
                <a:srgbClr val="EAAA00"/>
              </a:solidFill>
              <a:ln w="3175">
                <a:solidFill>
                  <a:srgbClr val="FFFFFF"/>
                </a:solidFill>
                <a:prstDash val="solid"/>
              </a:ln>
            </c:spPr>
          </c:dPt>
          <c:dPt>
            <c:idx val="6"/>
            <c:bubble3D val="0"/>
            <c:spPr>
              <a:solidFill>
                <a:srgbClr val="43B02A"/>
              </a:solidFill>
              <a:ln w="3175">
                <a:solidFill>
                  <a:srgbClr val="FFFFFF"/>
                </a:solidFill>
                <a:prstDash val="solid"/>
              </a:ln>
            </c:spPr>
          </c:dPt>
          <c:dPt>
            <c:idx val="7"/>
            <c:bubble3D val="0"/>
            <c:spPr>
              <a:solidFill>
                <a:srgbClr val="C6007E"/>
              </a:solidFill>
              <a:ln w="3175">
                <a:solidFill>
                  <a:srgbClr val="FFFFFF"/>
                </a:solidFill>
                <a:prstDash val="solid"/>
              </a:ln>
            </c:spPr>
          </c:dPt>
          <c:dLbls>
            <c:dLbl>
              <c:idx val="0"/>
              <c:layout>
                <c:manualLayout>
                  <c:x val="-0.19550723252245231"/>
                  <c:y val="-5.9150676553780292E-3"/>
                </c:manualLayout>
              </c:layout>
              <c:spPr>
                <a:noFill/>
                <a:ln>
                  <a:noFill/>
                </a:ln>
                <a:effectLst/>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2.5559105431309903E-2"/>
                  <c:y val="-2.4271844660194174E-2"/>
                </c:manualLayout>
              </c:layout>
              <c:spPr>
                <a:noFill/>
                <a:ln>
                  <a:noFill/>
                </a:ln>
                <a:effectLst/>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9.6366078840783881E-2"/>
                  <c:y val="3.2362459546925564E-2"/>
                </c:manualLayout>
              </c:layout>
              <c:spPr>
                <a:noFill/>
                <a:ln>
                  <a:noFill/>
                </a:ln>
                <a:effectLst/>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2.0131719956730649E-2"/>
                  <c:y val="-5.4934638024615873E-2"/>
                </c:manualLayout>
              </c:layout>
              <c:spPr>
                <a:noFill/>
                <a:ln>
                  <a:noFill/>
                </a:ln>
                <a:effectLst/>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0.14458202309375864"/>
                  <c:y val="-8.6209005427719587E-2"/>
                </c:manualLayout>
              </c:layout>
              <c:spPr>
                <a:noFill/>
                <a:ln>
                  <a:noFill/>
                </a:ln>
                <a:effectLst/>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4.2503584815476343E-2"/>
                  <c:y val="-9.8651351833448003E-2"/>
                </c:manualLayout>
              </c:layout>
              <c:spPr>
                <a:noFill/>
                <a:ln>
                  <a:noFill/>
                </a:ln>
                <a:effectLst/>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6"/>
              <c:layout>
                <c:manualLayout>
                  <c:x val="0.16016724107569622"/>
                  <c:y val="-2.9098820171750452E-2"/>
                </c:manualLayout>
              </c:layout>
              <c:spPr>
                <a:noFill/>
                <a:ln>
                  <a:noFill/>
                </a:ln>
                <a:effectLst/>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Lst>
            </c:dLbl>
            <c:dLbl>
              <c:idx val="7"/>
              <c:layout>
                <c:manualLayout>
                  <c:x val="1.675600613821036E-2"/>
                  <c:y val="0.14269169023774941"/>
                </c:manualLayout>
              </c:layout>
              <c:numFmt formatCode="0.0%" sourceLinked="0"/>
              <c:spPr>
                <a:noFill/>
                <a:ln>
                  <a:noFill/>
                </a:ln>
                <a:effectLst/>
              </c:spPr>
              <c:txPr>
                <a:bodyPr/>
                <a:lstStyle/>
                <a:p>
                  <a:pPr>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6734058422553297"/>
                      <c:h val="0.19335450715719354"/>
                    </c:manualLayout>
                  </c15:layout>
                </c:ext>
              </c:extLst>
            </c:dLbl>
            <c:spPr>
              <a:noFill/>
              <a:ln>
                <a:noFill/>
              </a:ln>
              <a:effectLst/>
            </c:spPr>
            <c:dLblPos val="outEnd"/>
            <c:showLegendKey val="0"/>
            <c:showVal val="0"/>
            <c:showCatName val="1"/>
            <c:showSerName val="0"/>
            <c:showPercent val="1"/>
            <c:showBubbleSize val="0"/>
            <c:showLeaderLines val="1"/>
            <c:extLst>
              <c:ext xmlns:c15="http://schemas.microsoft.com/office/drawing/2012/chart" uri="{CE6537A1-D6FC-4f65-9D91-7224C49458BB}"/>
            </c:extLst>
          </c:dLbls>
          <c:cat>
            <c:strRef>
              <c:f>Ind_Businesses1718!$A$21:$A$28</c:f>
              <c:strCache>
                <c:ptCount val="8"/>
                <c:pt idx="0">
                  <c:v>New South Wales</c:v>
                </c:pt>
                <c:pt idx="1">
                  <c:v>Victoria</c:v>
                </c:pt>
                <c:pt idx="2">
                  <c:v>Queensland</c:v>
                </c:pt>
                <c:pt idx="3">
                  <c:v>South Australia</c:v>
                </c:pt>
                <c:pt idx="4">
                  <c:v>Western Australia</c:v>
                </c:pt>
                <c:pt idx="5">
                  <c:v>Tasmania</c:v>
                </c:pt>
                <c:pt idx="6">
                  <c:v>Northern Territory</c:v>
                </c:pt>
                <c:pt idx="7">
                  <c:v>Australian Capital Territory</c:v>
                </c:pt>
              </c:strCache>
            </c:strRef>
          </c:cat>
          <c:val>
            <c:numRef>
              <c:f>Ind_Businesses1718!$F$21:$F$28</c:f>
              <c:numCache>
                <c:formatCode>0.00%</c:formatCode>
                <c:ptCount val="8"/>
                <c:pt idx="0">
                  <c:v>0.31803628601921025</c:v>
                </c:pt>
                <c:pt idx="1">
                  <c:v>0.19316969050160085</c:v>
                </c:pt>
                <c:pt idx="2">
                  <c:v>0.30202774813233724</c:v>
                </c:pt>
                <c:pt idx="3">
                  <c:v>4.909284951974386E-2</c:v>
                </c:pt>
                <c:pt idx="4">
                  <c:v>9.2849519743863393E-2</c:v>
                </c:pt>
                <c:pt idx="5">
                  <c:v>1.6008537886872998E-2</c:v>
                </c:pt>
                <c:pt idx="6">
                  <c:v>2.454642475987193E-2</c:v>
                </c:pt>
                <c:pt idx="7">
                  <c:v>4.2689434364994666E-3</c:v>
                </c:pt>
              </c:numCache>
            </c:numRef>
          </c:val>
        </c:ser>
        <c:dLbls>
          <c:showLegendKey val="0"/>
          <c:showVal val="0"/>
          <c:showCatName val="0"/>
          <c:showSerName val="0"/>
          <c:showPercent val="0"/>
          <c:showBubbleSize val="0"/>
          <c:showLeaderLines val="1"/>
        </c:dLbls>
        <c:firstSliceAng val="118"/>
      </c:pieChart>
      <c:spPr>
        <a:noFill/>
        <a:ln w="25400">
          <a:noFill/>
        </a:ln>
      </c:spPr>
    </c:plotArea>
    <c:plotVisOnly val="1"/>
    <c:dispBlanksAs val="gap"/>
    <c:showDLblsOverMax val="0"/>
  </c:chart>
  <c:spPr>
    <a:solidFill>
      <a:sysClr val="window" lastClr="FFFFFF"/>
    </a:solidFill>
    <a:ln w="6350">
      <a:noFill/>
    </a:ln>
  </c:spPr>
  <c:txPr>
    <a:bodyPr/>
    <a:lstStyle/>
    <a:p>
      <a:pPr>
        <a:defRPr sz="800" b="0" i="0">
          <a:solidFill>
            <a:srgbClr val="000000"/>
          </a:solidFill>
          <a:latin typeface="Univers 45 Light" pitchFamily="2" charset="0"/>
          <a:ea typeface="Arial"/>
          <a:cs typeface="Aria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44546A"/>
      </a:dk2>
      <a:lt2>
        <a:srgbClr val="00338D"/>
      </a:lt2>
      <a:accent1>
        <a:srgbClr val="005EB8"/>
      </a:accent1>
      <a:accent2>
        <a:srgbClr val="0091DA"/>
      </a:accent2>
      <a:accent3>
        <a:srgbClr val="483698"/>
      </a:accent3>
      <a:accent4>
        <a:srgbClr val="470A68"/>
      </a:accent4>
      <a:accent5>
        <a:srgbClr val="6D2077"/>
      </a:accent5>
      <a:accent6>
        <a:srgbClr val="00A3A1"/>
      </a:accent6>
      <a:hlink>
        <a:srgbClr val="470A68"/>
      </a:hlink>
      <a:folHlink>
        <a:srgbClr val="6D2077"/>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New KPMG Colours">
    <a:dk1>
      <a:srgbClr val="000000"/>
    </a:dk1>
    <a:lt1>
      <a:sysClr val="window" lastClr="FFFFFF"/>
    </a:lt1>
    <a:dk2>
      <a:srgbClr val="00338D"/>
    </a:dk2>
    <a:lt2>
      <a:srgbClr val="F0F0F0"/>
    </a:lt2>
    <a:accent1>
      <a:srgbClr val="0091DA"/>
    </a:accent1>
    <a:accent2>
      <a:srgbClr val="6D2077"/>
    </a:accent2>
    <a:accent3>
      <a:srgbClr val="005EB8"/>
    </a:accent3>
    <a:accent4>
      <a:srgbClr val="00A3A1"/>
    </a:accent4>
    <a:accent5>
      <a:srgbClr val="EAAA00"/>
    </a:accent5>
    <a:accent6>
      <a:srgbClr val="43B02A"/>
    </a:accent6>
    <a:hlink>
      <a:srgbClr val="0091DA"/>
    </a:hlink>
    <a:folHlink>
      <a:srgbClr val="0091DA"/>
    </a:folHlink>
  </a:clrScheme>
  <a:fontScheme name="KPMG">
    <a:majorFont>
      <a:latin typeface="KPMG Extralight"/>
      <a:ea typeface=""/>
      <a:cs typeface=""/>
    </a:majorFont>
    <a:minorFont>
      <a:latin typeface="Arial"/>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5D449A-E2C6-4087-BB7F-53F0DD856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23308</Words>
  <Characters>132861</Characters>
  <Application>Microsoft Office Word</Application>
  <DocSecurity>4</DocSecurity>
  <Lines>1107</Lines>
  <Paragraphs>311</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155858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Bahyl, Daniel</dc:creator>
  <cp:keywords/>
  <dc:description/>
  <cp:lastModifiedBy>Francis, Sophie</cp:lastModifiedBy>
  <cp:revision>2</cp:revision>
  <cp:lastPrinted>2017-04-05T02:26:00Z</cp:lastPrinted>
  <dcterms:created xsi:type="dcterms:W3CDTF">2019-12-18T02:25:00Z</dcterms:created>
  <dcterms:modified xsi:type="dcterms:W3CDTF">2019-12-18T02:25:00Z</dcterms:modified>
</cp:coreProperties>
</file>