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6FC58" w14:textId="54770903" w:rsidR="005253CB" w:rsidRDefault="008F6738" w:rsidP="008B679D">
      <w:pPr>
        <w:pStyle w:val="Pa12"/>
        <w:jc w:val="center"/>
        <w:rPr>
          <w:rFonts w:ascii="Times New Roman" w:hAnsi="Times New Roman" w:cs="Times New Roman"/>
          <w:b/>
          <w:bCs/>
          <w:sz w:val="32"/>
          <w:szCs w:val="32"/>
          <w:lang w:val="en-AU"/>
        </w:rPr>
      </w:pPr>
      <w:bookmarkStart w:id="0" w:name="_GoBack"/>
      <w:bookmarkEnd w:id="0"/>
      <w:r>
        <w:rPr>
          <w:noProof/>
          <w:lang w:val="en-AU" w:eastAsia="en-AU"/>
        </w:rPr>
        <w:drawing>
          <wp:inline distT="0" distB="0" distL="0" distR="0" wp14:anchorId="75A19945" wp14:editId="5381DC75">
            <wp:extent cx="4892400" cy="755543"/>
            <wp:effectExtent l="0" t="0" r="381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NMI_inline_300dpi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92400" cy="755543"/>
                    </a:xfrm>
                    <a:prstGeom prst="rect">
                      <a:avLst/>
                    </a:prstGeom>
                  </pic:spPr>
                </pic:pic>
              </a:graphicData>
            </a:graphic>
          </wp:inline>
        </w:drawing>
      </w:r>
    </w:p>
    <w:p w14:paraId="0E3B8567" w14:textId="77777777" w:rsidR="008B679D" w:rsidRPr="00AB20F0" w:rsidRDefault="008B679D" w:rsidP="008B679D">
      <w:pPr>
        <w:pStyle w:val="Pa12"/>
        <w:jc w:val="center"/>
        <w:rPr>
          <w:rFonts w:ascii="Times New Roman" w:hAnsi="Times New Roman" w:cs="Times New Roman"/>
          <w:b/>
          <w:bCs/>
          <w:sz w:val="32"/>
          <w:szCs w:val="32"/>
          <w:lang w:val="en-AU"/>
        </w:rPr>
      </w:pPr>
    </w:p>
    <w:p w14:paraId="1C797432" w14:textId="77777777" w:rsidR="008B679D" w:rsidRPr="00AB20F0" w:rsidRDefault="008B679D" w:rsidP="008B679D"/>
    <w:p w14:paraId="7A6B6958" w14:textId="77777777" w:rsidR="008B679D" w:rsidRPr="00AB20F0" w:rsidRDefault="008B679D" w:rsidP="008B679D"/>
    <w:p w14:paraId="05B5443E" w14:textId="77777777" w:rsidR="008B679D" w:rsidRPr="00AB20F0" w:rsidRDefault="008B679D" w:rsidP="008B679D">
      <w:pPr>
        <w:rPr>
          <w:rFonts w:asciiTheme="minorHAnsi" w:hAnsiTheme="minorHAnsi"/>
        </w:rPr>
      </w:pPr>
    </w:p>
    <w:p w14:paraId="1607A7F6" w14:textId="77777777" w:rsidR="005253CB" w:rsidRPr="005C7164" w:rsidRDefault="005253CB" w:rsidP="005C7164">
      <w:pPr>
        <w:pStyle w:val="Pa12"/>
        <w:jc w:val="center"/>
        <w:rPr>
          <w:rFonts w:asciiTheme="minorHAnsi" w:hAnsiTheme="minorHAnsi" w:cs="Times New Roman"/>
          <w:b/>
          <w:bCs/>
          <w:sz w:val="32"/>
          <w:szCs w:val="32"/>
          <w:lang w:val="en-AU"/>
        </w:rPr>
      </w:pPr>
      <w:bookmarkStart w:id="1" w:name="OLE_LINK4"/>
      <w:bookmarkStart w:id="2" w:name="OLE_LINK5"/>
    </w:p>
    <w:p w14:paraId="3EC34D00" w14:textId="77777777" w:rsidR="00B67643" w:rsidRDefault="00B67643" w:rsidP="002C295A">
      <w:pPr>
        <w:pStyle w:val="Pa12"/>
        <w:spacing w:before="120"/>
        <w:jc w:val="center"/>
        <w:rPr>
          <w:rFonts w:ascii="Arial" w:hAnsi="Arial" w:cs="Arial"/>
          <w:b/>
          <w:bCs/>
          <w:sz w:val="36"/>
          <w:szCs w:val="36"/>
          <w:lang w:val="en-AU"/>
        </w:rPr>
      </w:pPr>
    </w:p>
    <w:p w14:paraId="656DE186" w14:textId="77777777" w:rsidR="002C295A" w:rsidRDefault="008B679D" w:rsidP="002C295A">
      <w:pPr>
        <w:spacing w:before="120"/>
        <w:jc w:val="center"/>
        <w:rPr>
          <w:rFonts w:cs="Arial"/>
          <w:b/>
          <w:sz w:val="36"/>
          <w:szCs w:val="36"/>
        </w:rPr>
      </w:pPr>
      <w:r w:rsidRPr="003A03B3">
        <w:rPr>
          <w:rFonts w:cs="Arial"/>
          <w:b/>
          <w:sz w:val="36"/>
          <w:szCs w:val="36"/>
        </w:rPr>
        <w:t>COST RECOVERY IMPLEMENTATION STATEMENT</w:t>
      </w:r>
    </w:p>
    <w:p w14:paraId="4371BA6E" w14:textId="77777777" w:rsidR="00EC771B" w:rsidRPr="003A03B3" w:rsidRDefault="00EC771B" w:rsidP="002C295A">
      <w:pPr>
        <w:spacing w:before="120"/>
        <w:jc w:val="center"/>
        <w:rPr>
          <w:rFonts w:cs="Arial"/>
          <w:b/>
          <w:i/>
          <w:iCs/>
          <w:sz w:val="36"/>
          <w:szCs w:val="36"/>
          <w:u w:val="single"/>
        </w:rPr>
      </w:pPr>
      <w:r>
        <w:rPr>
          <w:rFonts w:cs="Arial"/>
          <w:b/>
          <w:sz w:val="36"/>
          <w:szCs w:val="36"/>
        </w:rPr>
        <w:t xml:space="preserve"> </w:t>
      </w:r>
    </w:p>
    <w:bookmarkEnd w:id="1"/>
    <w:bookmarkEnd w:id="2"/>
    <w:p w14:paraId="7D09E540" w14:textId="77777777" w:rsidR="003A03B3" w:rsidRPr="003A03B3" w:rsidRDefault="003A03B3" w:rsidP="003A03B3">
      <w:pPr>
        <w:jc w:val="center"/>
        <w:rPr>
          <w:rFonts w:cs="Arial"/>
          <w:b/>
          <w:color w:val="595959" w:themeColor="text1" w:themeTint="A6"/>
          <w:sz w:val="36"/>
          <w:szCs w:val="36"/>
        </w:rPr>
      </w:pPr>
    </w:p>
    <w:p w14:paraId="7FACB98A" w14:textId="77777777" w:rsidR="008B679D" w:rsidRPr="003A03B3" w:rsidRDefault="003A03B3" w:rsidP="003A03B3">
      <w:pPr>
        <w:jc w:val="center"/>
        <w:rPr>
          <w:rFonts w:cs="Arial"/>
          <w:b/>
          <w:sz w:val="36"/>
          <w:szCs w:val="36"/>
        </w:rPr>
      </w:pPr>
      <w:r w:rsidRPr="003A03B3">
        <w:rPr>
          <w:rFonts w:cs="Arial"/>
          <w:b/>
          <w:sz w:val="36"/>
          <w:szCs w:val="36"/>
        </w:rPr>
        <w:t xml:space="preserve">Pattern Approval, Trade Measurement Licensing and </w:t>
      </w:r>
      <w:r w:rsidRPr="003A03B3">
        <w:rPr>
          <w:rFonts w:cs="Arial"/>
          <w:b/>
          <w:sz w:val="36"/>
          <w:szCs w:val="36"/>
        </w:rPr>
        <w:br/>
        <w:t>Legal Metrology Appointments</w:t>
      </w:r>
    </w:p>
    <w:p w14:paraId="2056D58D" w14:textId="77777777" w:rsidR="003A03B3" w:rsidRPr="003A03B3" w:rsidRDefault="003A03B3" w:rsidP="003A03B3">
      <w:pPr>
        <w:jc w:val="center"/>
        <w:rPr>
          <w:rFonts w:cs="Arial"/>
          <w:b/>
          <w:sz w:val="36"/>
          <w:szCs w:val="36"/>
        </w:rPr>
      </w:pPr>
    </w:p>
    <w:p w14:paraId="3E4B43C9" w14:textId="77777777" w:rsidR="003A03B3" w:rsidRPr="003A03B3" w:rsidRDefault="003A03B3" w:rsidP="003A03B3">
      <w:pPr>
        <w:jc w:val="center"/>
        <w:rPr>
          <w:rFonts w:cs="Arial"/>
          <w:b/>
          <w:sz w:val="36"/>
          <w:szCs w:val="36"/>
        </w:rPr>
      </w:pPr>
    </w:p>
    <w:p w14:paraId="68744D62" w14:textId="51E7E811" w:rsidR="00460095" w:rsidRDefault="003546AA" w:rsidP="003A03B3">
      <w:pPr>
        <w:jc w:val="center"/>
        <w:rPr>
          <w:rFonts w:cs="Arial"/>
          <w:b/>
          <w:sz w:val="36"/>
          <w:szCs w:val="36"/>
        </w:rPr>
      </w:pPr>
      <w:r>
        <w:rPr>
          <w:rFonts w:cs="Arial"/>
          <w:b/>
          <w:sz w:val="36"/>
          <w:szCs w:val="36"/>
        </w:rPr>
        <w:t xml:space="preserve">Effective </w:t>
      </w:r>
      <w:r w:rsidR="00CA4E33">
        <w:rPr>
          <w:rFonts w:cs="Arial"/>
          <w:b/>
          <w:sz w:val="36"/>
          <w:szCs w:val="36"/>
        </w:rPr>
        <w:t>2021</w:t>
      </w:r>
      <w:r w:rsidR="003927B2">
        <w:rPr>
          <w:rFonts w:cs="Arial"/>
          <w:b/>
          <w:sz w:val="36"/>
          <w:szCs w:val="36"/>
        </w:rPr>
        <w:t>–</w:t>
      </w:r>
      <w:r w:rsidR="00CA4E33" w:rsidRPr="003A03B3">
        <w:rPr>
          <w:rFonts w:cs="Arial"/>
          <w:b/>
          <w:sz w:val="36"/>
          <w:szCs w:val="36"/>
        </w:rPr>
        <w:t>20</w:t>
      </w:r>
      <w:r w:rsidR="00CA4E33">
        <w:rPr>
          <w:rFonts w:cs="Arial"/>
          <w:b/>
          <w:sz w:val="36"/>
          <w:szCs w:val="36"/>
        </w:rPr>
        <w:t xml:space="preserve">22 </w:t>
      </w:r>
    </w:p>
    <w:p w14:paraId="622D0637" w14:textId="77777777" w:rsidR="00AB5D3B" w:rsidRDefault="00AB5D3B" w:rsidP="005A229D">
      <w:pPr>
        <w:jc w:val="center"/>
        <w:rPr>
          <w:rFonts w:cs="Arial"/>
          <w:b/>
          <w:sz w:val="36"/>
          <w:szCs w:val="36"/>
        </w:rPr>
      </w:pPr>
    </w:p>
    <w:p w14:paraId="74545434" w14:textId="77777777" w:rsidR="00AB5D3B" w:rsidRDefault="00AB5D3B" w:rsidP="005A229D">
      <w:pPr>
        <w:jc w:val="center"/>
        <w:rPr>
          <w:rFonts w:cs="Arial"/>
          <w:b/>
          <w:sz w:val="36"/>
          <w:szCs w:val="36"/>
        </w:rPr>
      </w:pPr>
    </w:p>
    <w:p w14:paraId="622F4221" w14:textId="77777777" w:rsidR="00344E86" w:rsidRDefault="00344E86" w:rsidP="003A03B3">
      <w:pPr>
        <w:rPr>
          <w:rFonts w:cs="Arial"/>
          <w:b/>
          <w:sz w:val="36"/>
          <w:szCs w:val="36"/>
        </w:rPr>
      </w:pPr>
    </w:p>
    <w:p w14:paraId="4A08D3EA" w14:textId="77777777" w:rsidR="002C295A" w:rsidRDefault="002C295A" w:rsidP="003A03B3">
      <w:pPr>
        <w:rPr>
          <w:rFonts w:cs="Arial"/>
          <w:b/>
          <w:sz w:val="36"/>
          <w:szCs w:val="36"/>
        </w:rPr>
      </w:pPr>
    </w:p>
    <w:tbl>
      <w:tblPr>
        <w:tblStyle w:val="TableGrid"/>
        <w:tblW w:w="0" w:type="auto"/>
        <w:tblLook w:val="04A0" w:firstRow="1" w:lastRow="0" w:firstColumn="1" w:lastColumn="0" w:noHBand="0" w:noVBand="1"/>
      </w:tblPr>
      <w:tblGrid>
        <w:gridCol w:w="9346"/>
      </w:tblGrid>
      <w:tr w:rsidR="00D6510F" w14:paraId="29A727C6" w14:textId="77777777" w:rsidTr="005A229D">
        <w:tc>
          <w:tcPr>
            <w:tcW w:w="9346" w:type="dxa"/>
            <w:shd w:val="clear" w:color="auto" w:fill="auto"/>
          </w:tcPr>
          <w:p w14:paraId="4FB68F60" w14:textId="77777777" w:rsidR="00D6510F" w:rsidRPr="00803B7B" w:rsidRDefault="003A03B3" w:rsidP="00471A4D">
            <w:pPr>
              <w:pStyle w:val="Default"/>
              <w:spacing w:before="120" w:line="276" w:lineRule="auto"/>
            </w:pPr>
            <w:r w:rsidRPr="009B6769">
              <w:rPr>
                <w:rFonts w:asciiTheme="minorHAnsi" w:hAnsiTheme="minorHAnsi"/>
              </w:rPr>
              <w:br w:type="page"/>
            </w:r>
            <w:r w:rsidR="00D6510F" w:rsidRPr="009B6769">
              <w:rPr>
                <w:rFonts w:eastAsiaTheme="minorHAnsi"/>
                <w:sz w:val="20"/>
                <w:szCs w:val="20"/>
                <w:lang w:eastAsia="en-US"/>
              </w:rPr>
              <w:t>The Australian Government Charging Framework</w:t>
            </w:r>
            <w:r w:rsidR="009B6769">
              <w:rPr>
                <w:rStyle w:val="FootnoteReference"/>
                <w:rFonts w:eastAsiaTheme="minorHAnsi"/>
                <w:sz w:val="20"/>
                <w:szCs w:val="20"/>
              </w:rPr>
              <w:footnoteReference w:id="2"/>
            </w:r>
            <w:r w:rsidR="00D6510F" w:rsidRPr="009B6769">
              <w:rPr>
                <w:rFonts w:eastAsiaTheme="minorHAnsi"/>
                <w:sz w:val="20"/>
                <w:szCs w:val="20"/>
                <w:lang w:eastAsia="en-US"/>
              </w:rPr>
              <w:t>, which includes the Cost Recovery Guidelines, set</w:t>
            </w:r>
            <w:r w:rsidR="00C5050F" w:rsidRPr="009B6769">
              <w:rPr>
                <w:rFonts w:eastAsiaTheme="minorHAnsi"/>
                <w:sz w:val="20"/>
                <w:szCs w:val="20"/>
                <w:lang w:eastAsia="en-US"/>
              </w:rPr>
              <w:t>s</w:t>
            </w:r>
            <w:r w:rsidR="00D6510F" w:rsidRPr="009B6769">
              <w:rPr>
                <w:rFonts w:eastAsiaTheme="minorHAnsi"/>
                <w:sz w:val="20"/>
                <w:szCs w:val="20"/>
                <w:lang w:eastAsia="en-US"/>
              </w:rPr>
              <w:t xml:space="preserve"> out the overarching framework under which government entities design, implement and review cost recovered activities.</w:t>
            </w:r>
            <w:r w:rsidR="00FE2FE9" w:rsidRPr="009B6769">
              <w:rPr>
                <w:rFonts w:eastAsiaTheme="minorHAnsi"/>
                <w:sz w:val="20"/>
                <w:szCs w:val="20"/>
                <w:lang w:eastAsia="en-US"/>
              </w:rPr>
              <w:t xml:space="preserve"> Cost recovery involves government entities charging individuals or non</w:t>
            </w:r>
            <w:r w:rsidR="00471A4D">
              <w:rPr>
                <w:rFonts w:ascii="Cambria Math" w:eastAsiaTheme="minorHAnsi" w:hAnsi="Cambria Math" w:cs="Cambria Math"/>
                <w:sz w:val="20"/>
                <w:szCs w:val="20"/>
                <w:lang w:eastAsia="en-US"/>
              </w:rPr>
              <w:noBreakHyphen/>
            </w:r>
            <w:r w:rsidR="00FE2FE9" w:rsidRPr="009B6769">
              <w:rPr>
                <w:rFonts w:eastAsiaTheme="minorHAnsi"/>
                <w:sz w:val="20"/>
                <w:szCs w:val="20"/>
                <w:lang w:eastAsia="en-US"/>
              </w:rPr>
              <w:t>government organisations some or all of the efficient costs of a specific government activity. This may include goods, services</w:t>
            </w:r>
            <w:r w:rsidR="00C5050F" w:rsidRPr="009B6769">
              <w:rPr>
                <w:rFonts w:eastAsiaTheme="minorHAnsi"/>
                <w:sz w:val="20"/>
                <w:szCs w:val="20"/>
                <w:lang w:eastAsia="en-US"/>
              </w:rPr>
              <w:t>,</w:t>
            </w:r>
            <w:r w:rsidR="00FE2FE9" w:rsidRPr="009B6769">
              <w:rPr>
                <w:rFonts w:eastAsiaTheme="minorHAnsi"/>
                <w:sz w:val="20"/>
                <w:szCs w:val="20"/>
                <w:lang w:eastAsia="en-US"/>
              </w:rPr>
              <w:t xml:space="preserve"> or regulation, or a combination of these.</w:t>
            </w:r>
          </w:p>
        </w:tc>
      </w:tr>
    </w:tbl>
    <w:p w14:paraId="0CAD9EDD" w14:textId="77777777" w:rsidR="00B7409D" w:rsidRPr="005A229D" w:rsidRDefault="00B7409D" w:rsidP="00C47FF8">
      <w:pPr>
        <w:rPr>
          <w:sz w:val="28"/>
        </w:rPr>
      </w:pPr>
    </w:p>
    <w:p w14:paraId="7BB44625" w14:textId="77777777" w:rsidR="00C47FF8" w:rsidRDefault="00C47FF8" w:rsidP="00FC2ADE">
      <w:pPr>
        <w:rPr>
          <w:rFonts w:cs="Arial"/>
          <w:b/>
          <w:sz w:val="28"/>
          <w:szCs w:val="28"/>
        </w:rPr>
      </w:pPr>
    </w:p>
    <w:p w14:paraId="4DF3ECAE" w14:textId="77777777" w:rsidR="00C47FF8" w:rsidRDefault="00C47FF8" w:rsidP="00FC2ADE">
      <w:pPr>
        <w:rPr>
          <w:rFonts w:cs="Arial"/>
          <w:b/>
          <w:sz w:val="28"/>
          <w:szCs w:val="28"/>
        </w:rPr>
      </w:pPr>
    </w:p>
    <w:p w14:paraId="21CBB723" w14:textId="77777777" w:rsidR="00471A4D" w:rsidRDefault="00471A4D">
      <w:pPr>
        <w:spacing w:after="200" w:line="276" w:lineRule="auto"/>
        <w:rPr>
          <w:rFonts w:cs="Arial"/>
          <w:b/>
          <w:sz w:val="28"/>
          <w:szCs w:val="28"/>
        </w:rPr>
      </w:pPr>
      <w:r>
        <w:rPr>
          <w:rFonts w:cs="Arial"/>
          <w:b/>
          <w:sz w:val="28"/>
          <w:szCs w:val="28"/>
        </w:rPr>
        <w:br w:type="page"/>
      </w:r>
    </w:p>
    <w:p w14:paraId="1F3D9115" w14:textId="77777777" w:rsidR="003A03B3" w:rsidRPr="007F17B7" w:rsidRDefault="003A03B3" w:rsidP="00FC2ADE">
      <w:pPr>
        <w:rPr>
          <w:rFonts w:cs="Arial"/>
          <w:b/>
          <w:sz w:val="28"/>
          <w:szCs w:val="28"/>
        </w:rPr>
      </w:pPr>
      <w:r w:rsidRPr="007F17B7">
        <w:rPr>
          <w:rFonts w:cs="Arial"/>
          <w:b/>
          <w:sz w:val="28"/>
          <w:szCs w:val="28"/>
        </w:rPr>
        <w:lastRenderedPageBreak/>
        <w:t>Contents</w:t>
      </w:r>
    </w:p>
    <w:p w14:paraId="00A1FB55" w14:textId="77777777" w:rsidR="00DB1260" w:rsidRDefault="00A840C9">
      <w:pPr>
        <w:pStyle w:val="TOC1"/>
        <w:rPr>
          <w:rFonts w:asciiTheme="minorHAnsi" w:eastAsiaTheme="minorEastAsia" w:hAnsiTheme="minorHAnsi" w:cstheme="minorBidi"/>
          <w:b w:val="0"/>
          <w:bCs w:val="0"/>
          <w:noProof/>
          <w:sz w:val="22"/>
          <w:szCs w:val="22"/>
          <w:lang w:eastAsia="en-AU"/>
        </w:rPr>
      </w:pPr>
      <w:r w:rsidRPr="005A229D">
        <w:rPr>
          <w:rFonts w:cs="Arial"/>
          <w:iCs/>
          <w:color w:val="000000" w:themeColor="text1"/>
          <w:sz w:val="22"/>
        </w:rPr>
        <w:fldChar w:fldCharType="begin"/>
      </w:r>
      <w:r>
        <w:rPr>
          <w:rFonts w:cs="Arial"/>
          <w:iCs/>
          <w:color w:val="000000" w:themeColor="text1"/>
          <w:sz w:val="22"/>
        </w:rPr>
        <w:instrText xml:space="preserve"> TOC \o "1-3" \h \z \u </w:instrText>
      </w:r>
      <w:r w:rsidRPr="005A229D">
        <w:rPr>
          <w:rFonts w:cs="Arial"/>
          <w:iCs/>
          <w:color w:val="000000" w:themeColor="text1"/>
          <w:sz w:val="22"/>
        </w:rPr>
        <w:fldChar w:fldCharType="separate"/>
      </w:r>
      <w:hyperlink w:anchor="_Toc85106065" w:history="1">
        <w:r w:rsidR="00DB1260" w:rsidRPr="00651FD4">
          <w:rPr>
            <w:rStyle w:val="Hyperlink"/>
            <w:noProof/>
            <w14:scene3d>
              <w14:camera w14:prst="orthographicFront"/>
              <w14:lightRig w14:rig="threePt" w14:dir="t">
                <w14:rot w14:lat="0" w14:lon="0" w14:rev="0"/>
              </w14:lightRig>
            </w14:scene3d>
          </w:rPr>
          <w:t>1.</w:t>
        </w:r>
        <w:r w:rsidR="00DB1260">
          <w:rPr>
            <w:rFonts w:asciiTheme="minorHAnsi" w:eastAsiaTheme="minorEastAsia" w:hAnsiTheme="minorHAnsi" w:cstheme="minorBidi"/>
            <w:b w:val="0"/>
            <w:bCs w:val="0"/>
            <w:noProof/>
            <w:sz w:val="22"/>
            <w:szCs w:val="22"/>
            <w:lang w:eastAsia="en-AU"/>
          </w:rPr>
          <w:tab/>
        </w:r>
        <w:r w:rsidR="00DB1260" w:rsidRPr="00651FD4">
          <w:rPr>
            <w:rStyle w:val="Hyperlink"/>
            <w:noProof/>
          </w:rPr>
          <w:t>INTRODUCTION</w:t>
        </w:r>
        <w:r w:rsidR="00DB1260">
          <w:rPr>
            <w:noProof/>
            <w:webHidden/>
          </w:rPr>
          <w:tab/>
        </w:r>
        <w:r w:rsidR="00DB1260">
          <w:rPr>
            <w:noProof/>
            <w:webHidden/>
          </w:rPr>
          <w:fldChar w:fldCharType="begin"/>
        </w:r>
        <w:r w:rsidR="00DB1260">
          <w:rPr>
            <w:noProof/>
            <w:webHidden/>
          </w:rPr>
          <w:instrText xml:space="preserve"> PAGEREF _Toc85106065 \h </w:instrText>
        </w:r>
        <w:r w:rsidR="00DB1260">
          <w:rPr>
            <w:noProof/>
            <w:webHidden/>
          </w:rPr>
        </w:r>
        <w:r w:rsidR="00DB1260">
          <w:rPr>
            <w:noProof/>
            <w:webHidden/>
          </w:rPr>
          <w:fldChar w:fldCharType="separate"/>
        </w:r>
        <w:r w:rsidR="001D7B33">
          <w:rPr>
            <w:noProof/>
            <w:webHidden/>
          </w:rPr>
          <w:t>3</w:t>
        </w:r>
        <w:r w:rsidR="00DB1260">
          <w:rPr>
            <w:noProof/>
            <w:webHidden/>
          </w:rPr>
          <w:fldChar w:fldCharType="end"/>
        </w:r>
      </w:hyperlink>
    </w:p>
    <w:p w14:paraId="61338E1F" w14:textId="77777777" w:rsidR="00DB1260" w:rsidRDefault="001D7B33">
      <w:pPr>
        <w:pStyle w:val="TOC2"/>
        <w:tabs>
          <w:tab w:val="left" w:pos="960"/>
          <w:tab w:val="right" w:leader="dot" w:pos="9742"/>
        </w:tabs>
        <w:rPr>
          <w:rFonts w:asciiTheme="minorHAnsi" w:eastAsiaTheme="minorEastAsia" w:hAnsiTheme="minorHAnsi" w:cstheme="minorBidi"/>
          <w:noProof/>
          <w:sz w:val="22"/>
          <w:szCs w:val="22"/>
          <w:lang w:eastAsia="en-AU"/>
        </w:rPr>
      </w:pPr>
      <w:hyperlink w:anchor="_Toc85106066" w:history="1">
        <w:r w:rsidR="00DB1260" w:rsidRPr="00651FD4">
          <w:rPr>
            <w:rStyle w:val="Hyperlink"/>
            <w:rFonts w:eastAsia="MS PGothic"/>
            <w:noProof/>
          </w:rPr>
          <w:t>1.1</w:t>
        </w:r>
        <w:r w:rsidR="00DB1260">
          <w:rPr>
            <w:rFonts w:asciiTheme="minorHAnsi" w:eastAsiaTheme="minorEastAsia" w:hAnsiTheme="minorHAnsi" w:cstheme="minorBidi"/>
            <w:noProof/>
            <w:sz w:val="22"/>
            <w:szCs w:val="22"/>
            <w:lang w:eastAsia="en-AU"/>
          </w:rPr>
          <w:tab/>
        </w:r>
        <w:r w:rsidR="00DB1260" w:rsidRPr="00651FD4">
          <w:rPr>
            <w:rStyle w:val="Hyperlink"/>
            <w:rFonts w:eastAsia="MS PGothic"/>
            <w:noProof/>
          </w:rPr>
          <w:t>Purpose of the Cost Recovery Implementation Statement</w:t>
        </w:r>
        <w:r w:rsidR="00DB1260">
          <w:rPr>
            <w:noProof/>
            <w:webHidden/>
          </w:rPr>
          <w:tab/>
        </w:r>
        <w:r w:rsidR="00DB1260">
          <w:rPr>
            <w:noProof/>
            <w:webHidden/>
          </w:rPr>
          <w:fldChar w:fldCharType="begin"/>
        </w:r>
        <w:r w:rsidR="00DB1260">
          <w:rPr>
            <w:noProof/>
            <w:webHidden/>
          </w:rPr>
          <w:instrText xml:space="preserve"> PAGEREF _Toc85106066 \h </w:instrText>
        </w:r>
        <w:r w:rsidR="00DB1260">
          <w:rPr>
            <w:noProof/>
            <w:webHidden/>
          </w:rPr>
        </w:r>
        <w:r w:rsidR="00DB1260">
          <w:rPr>
            <w:noProof/>
            <w:webHidden/>
          </w:rPr>
          <w:fldChar w:fldCharType="separate"/>
        </w:r>
        <w:r>
          <w:rPr>
            <w:noProof/>
            <w:webHidden/>
          </w:rPr>
          <w:t>3</w:t>
        </w:r>
        <w:r w:rsidR="00DB1260">
          <w:rPr>
            <w:noProof/>
            <w:webHidden/>
          </w:rPr>
          <w:fldChar w:fldCharType="end"/>
        </w:r>
      </w:hyperlink>
    </w:p>
    <w:p w14:paraId="11E0157B" w14:textId="77777777" w:rsidR="00DB1260" w:rsidRDefault="001D7B33">
      <w:pPr>
        <w:pStyle w:val="TOC2"/>
        <w:tabs>
          <w:tab w:val="left" w:pos="960"/>
          <w:tab w:val="right" w:leader="dot" w:pos="9742"/>
        </w:tabs>
        <w:rPr>
          <w:rFonts w:asciiTheme="minorHAnsi" w:eastAsiaTheme="minorEastAsia" w:hAnsiTheme="minorHAnsi" w:cstheme="minorBidi"/>
          <w:noProof/>
          <w:sz w:val="22"/>
          <w:szCs w:val="22"/>
          <w:lang w:eastAsia="en-AU"/>
        </w:rPr>
      </w:pPr>
      <w:hyperlink w:anchor="_Toc85106067" w:history="1">
        <w:r w:rsidR="00DB1260" w:rsidRPr="00651FD4">
          <w:rPr>
            <w:rStyle w:val="Hyperlink"/>
            <w:rFonts w:eastAsia="MS PGothic"/>
            <w:noProof/>
          </w:rPr>
          <w:t>1.2</w:t>
        </w:r>
        <w:r w:rsidR="00DB1260">
          <w:rPr>
            <w:rFonts w:asciiTheme="minorHAnsi" w:eastAsiaTheme="minorEastAsia" w:hAnsiTheme="minorHAnsi" w:cstheme="minorBidi"/>
            <w:noProof/>
            <w:sz w:val="22"/>
            <w:szCs w:val="22"/>
            <w:lang w:eastAsia="en-AU"/>
          </w:rPr>
          <w:tab/>
        </w:r>
        <w:r w:rsidR="00DB1260" w:rsidRPr="00651FD4">
          <w:rPr>
            <w:rStyle w:val="Hyperlink"/>
            <w:rFonts w:eastAsia="MS PGothic"/>
            <w:noProof/>
          </w:rPr>
          <w:t>Description of the regulatory charging activity</w:t>
        </w:r>
        <w:r w:rsidR="00DB1260">
          <w:rPr>
            <w:noProof/>
            <w:webHidden/>
          </w:rPr>
          <w:tab/>
        </w:r>
        <w:r w:rsidR="00DB1260">
          <w:rPr>
            <w:noProof/>
            <w:webHidden/>
          </w:rPr>
          <w:fldChar w:fldCharType="begin"/>
        </w:r>
        <w:r w:rsidR="00DB1260">
          <w:rPr>
            <w:noProof/>
            <w:webHidden/>
          </w:rPr>
          <w:instrText xml:space="preserve"> PAGEREF _Toc85106067 \h </w:instrText>
        </w:r>
        <w:r w:rsidR="00DB1260">
          <w:rPr>
            <w:noProof/>
            <w:webHidden/>
          </w:rPr>
        </w:r>
        <w:r w:rsidR="00DB1260">
          <w:rPr>
            <w:noProof/>
            <w:webHidden/>
          </w:rPr>
          <w:fldChar w:fldCharType="separate"/>
        </w:r>
        <w:r>
          <w:rPr>
            <w:noProof/>
            <w:webHidden/>
          </w:rPr>
          <w:t>4</w:t>
        </w:r>
        <w:r w:rsidR="00DB1260">
          <w:rPr>
            <w:noProof/>
            <w:webHidden/>
          </w:rPr>
          <w:fldChar w:fldCharType="end"/>
        </w:r>
      </w:hyperlink>
    </w:p>
    <w:p w14:paraId="5CA4C2EF" w14:textId="77777777" w:rsidR="00DB1260" w:rsidRDefault="001D7B33">
      <w:pPr>
        <w:pStyle w:val="TOC3"/>
        <w:tabs>
          <w:tab w:val="left" w:pos="1200"/>
          <w:tab w:val="right" w:leader="dot" w:pos="9742"/>
        </w:tabs>
        <w:rPr>
          <w:rFonts w:asciiTheme="minorHAnsi" w:eastAsiaTheme="minorEastAsia" w:hAnsiTheme="minorHAnsi" w:cstheme="minorBidi"/>
          <w:i w:val="0"/>
          <w:iCs w:val="0"/>
          <w:noProof/>
          <w:sz w:val="22"/>
          <w:szCs w:val="22"/>
          <w:lang w:eastAsia="en-AU"/>
        </w:rPr>
      </w:pPr>
      <w:hyperlink w:anchor="_Toc85106068" w:history="1">
        <w:r w:rsidR="00DB1260" w:rsidRPr="00651FD4">
          <w:rPr>
            <w:rStyle w:val="Hyperlink"/>
            <w:noProof/>
            <w:lang w:val="en"/>
            <w14:scene3d>
              <w14:camera w14:prst="orthographicFront"/>
              <w14:lightRig w14:rig="threePt" w14:dir="t">
                <w14:rot w14:lat="0" w14:lon="0" w14:rev="0"/>
              </w14:lightRig>
            </w14:scene3d>
          </w:rPr>
          <w:t>1.2.1</w:t>
        </w:r>
        <w:r w:rsidR="00DB1260">
          <w:rPr>
            <w:rFonts w:asciiTheme="minorHAnsi" w:eastAsiaTheme="minorEastAsia" w:hAnsiTheme="minorHAnsi" w:cstheme="minorBidi"/>
            <w:i w:val="0"/>
            <w:iCs w:val="0"/>
            <w:noProof/>
            <w:sz w:val="22"/>
            <w:szCs w:val="22"/>
            <w:lang w:eastAsia="en-AU"/>
          </w:rPr>
          <w:tab/>
        </w:r>
        <w:r w:rsidR="00DB1260" w:rsidRPr="00651FD4">
          <w:rPr>
            <w:rStyle w:val="Hyperlink"/>
            <w:noProof/>
            <w:lang w:val="en"/>
          </w:rPr>
          <w:t>National measurement policy statement</w:t>
        </w:r>
        <w:r w:rsidR="00DB1260">
          <w:rPr>
            <w:noProof/>
            <w:webHidden/>
          </w:rPr>
          <w:tab/>
        </w:r>
        <w:r w:rsidR="00DB1260">
          <w:rPr>
            <w:noProof/>
            <w:webHidden/>
          </w:rPr>
          <w:fldChar w:fldCharType="begin"/>
        </w:r>
        <w:r w:rsidR="00DB1260">
          <w:rPr>
            <w:noProof/>
            <w:webHidden/>
          </w:rPr>
          <w:instrText xml:space="preserve"> PAGEREF _Toc85106068 \h </w:instrText>
        </w:r>
        <w:r w:rsidR="00DB1260">
          <w:rPr>
            <w:noProof/>
            <w:webHidden/>
          </w:rPr>
        </w:r>
        <w:r w:rsidR="00DB1260">
          <w:rPr>
            <w:noProof/>
            <w:webHidden/>
          </w:rPr>
          <w:fldChar w:fldCharType="separate"/>
        </w:r>
        <w:r>
          <w:rPr>
            <w:noProof/>
            <w:webHidden/>
          </w:rPr>
          <w:t>4</w:t>
        </w:r>
        <w:r w:rsidR="00DB1260">
          <w:rPr>
            <w:noProof/>
            <w:webHidden/>
          </w:rPr>
          <w:fldChar w:fldCharType="end"/>
        </w:r>
      </w:hyperlink>
    </w:p>
    <w:p w14:paraId="37D72DF5" w14:textId="77777777" w:rsidR="00DB1260" w:rsidRDefault="001D7B33">
      <w:pPr>
        <w:pStyle w:val="TOC3"/>
        <w:tabs>
          <w:tab w:val="left" w:pos="1200"/>
          <w:tab w:val="right" w:leader="dot" w:pos="9742"/>
        </w:tabs>
        <w:rPr>
          <w:rFonts w:asciiTheme="minorHAnsi" w:eastAsiaTheme="minorEastAsia" w:hAnsiTheme="minorHAnsi" w:cstheme="minorBidi"/>
          <w:i w:val="0"/>
          <w:iCs w:val="0"/>
          <w:noProof/>
          <w:sz w:val="22"/>
          <w:szCs w:val="22"/>
          <w:lang w:eastAsia="en-AU"/>
        </w:rPr>
      </w:pPr>
      <w:hyperlink w:anchor="_Toc85106069" w:history="1">
        <w:r w:rsidR="00DB1260" w:rsidRPr="00651FD4">
          <w:rPr>
            <w:rStyle w:val="Hyperlink"/>
            <w:noProof/>
            <w14:scene3d>
              <w14:camera w14:prst="orthographicFront"/>
              <w14:lightRig w14:rig="threePt" w14:dir="t">
                <w14:rot w14:lat="0" w14:lon="0" w14:rev="0"/>
              </w14:lightRig>
            </w14:scene3d>
          </w:rPr>
          <w:t>1.2.2</w:t>
        </w:r>
        <w:r w:rsidR="00DB1260">
          <w:rPr>
            <w:rFonts w:asciiTheme="minorHAnsi" w:eastAsiaTheme="minorEastAsia" w:hAnsiTheme="minorHAnsi" w:cstheme="minorBidi"/>
            <w:i w:val="0"/>
            <w:iCs w:val="0"/>
            <w:noProof/>
            <w:sz w:val="22"/>
            <w:szCs w:val="22"/>
            <w:lang w:eastAsia="en-AU"/>
          </w:rPr>
          <w:tab/>
        </w:r>
        <w:r w:rsidR="00DB1260" w:rsidRPr="00651FD4">
          <w:rPr>
            <w:rStyle w:val="Hyperlink"/>
            <w:noProof/>
          </w:rPr>
          <w:t>Pattern Approval</w:t>
        </w:r>
        <w:r w:rsidR="00DB1260">
          <w:rPr>
            <w:noProof/>
            <w:webHidden/>
          </w:rPr>
          <w:tab/>
        </w:r>
        <w:r w:rsidR="00DB1260">
          <w:rPr>
            <w:noProof/>
            <w:webHidden/>
          </w:rPr>
          <w:fldChar w:fldCharType="begin"/>
        </w:r>
        <w:r w:rsidR="00DB1260">
          <w:rPr>
            <w:noProof/>
            <w:webHidden/>
          </w:rPr>
          <w:instrText xml:space="preserve"> PAGEREF _Toc85106069 \h </w:instrText>
        </w:r>
        <w:r w:rsidR="00DB1260">
          <w:rPr>
            <w:noProof/>
            <w:webHidden/>
          </w:rPr>
        </w:r>
        <w:r w:rsidR="00DB1260">
          <w:rPr>
            <w:noProof/>
            <w:webHidden/>
          </w:rPr>
          <w:fldChar w:fldCharType="separate"/>
        </w:r>
        <w:r>
          <w:rPr>
            <w:noProof/>
            <w:webHidden/>
          </w:rPr>
          <w:t>6</w:t>
        </w:r>
        <w:r w:rsidR="00DB1260">
          <w:rPr>
            <w:noProof/>
            <w:webHidden/>
          </w:rPr>
          <w:fldChar w:fldCharType="end"/>
        </w:r>
      </w:hyperlink>
    </w:p>
    <w:p w14:paraId="550ACF64" w14:textId="77777777" w:rsidR="00DB1260" w:rsidRDefault="001D7B33">
      <w:pPr>
        <w:pStyle w:val="TOC3"/>
        <w:tabs>
          <w:tab w:val="left" w:pos="1200"/>
          <w:tab w:val="right" w:leader="dot" w:pos="9742"/>
        </w:tabs>
        <w:rPr>
          <w:rFonts w:asciiTheme="minorHAnsi" w:eastAsiaTheme="minorEastAsia" w:hAnsiTheme="minorHAnsi" w:cstheme="minorBidi"/>
          <w:i w:val="0"/>
          <w:iCs w:val="0"/>
          <w:noProof/>
          <w:sz w:val="22"/>
          <w:szCs w:val="22"/>
          <w:lang w:eastAsia="en-AU"/>
        </w:rPr>
      </w:pPr>
      <w:hyperlink w:anchor="_Toc85106070" w:history="1">
        <w:r w:rsidR="00DB1260" w:rsidRPr="00651FD4">
          <w:rPr>
            <w:rStyle w:val="Hyperlink"/>
            <w:noProof/>
            <w14:scene3d>
              <w14:camera w14:prst="orthographicFront"/>
              <w14:lightRig w14:rig="threePt" w14:dir="t">
                <w14:rot w14:lat="0" w14:lon="0" w14:rev="0"/>
              </w14:lightRig>
            </w14:scene3d>
          </w:rPr>
          <w:t>1.2.3</w:t>
        </w:r>
        <w:r w:rsidR="00DB1260">
          <w:rPr>
            <w:rFonts w:asciiTheme="minorHAnsi" w:eastAsiaTheme="minorEastAsia" w:hAnsiTheme="minorHAnsi" w:cstheme="minorBidi"/>
            <w:i w:val="0"/>
            <w:iCs w:val="0"/>
            <w:noProof/>
            <w:sz w:val="22"/>
            <w:szCs w:val="22"/>
            <w:lang w:eastAsia="en-AU"/>
          </w:rPr>
          <w:tab/>
        </w:r>
        <w:r w:rsidR="00DB1260" w:rsidRPr="00651FD4">
          <w:rPr>
            <w:rStyle w:val="Hyperlink"/>
            <w:noProof/>
          </w:rPr>
          <w:t>Licensing</w:t>
        </w:r>
        <w:r w:rsidR="00DB1260">
          <w:rPr>
            <w:noProof/>
            <w:webHidden/>
          </w:rPr>
          <w:tab/>
        </w:r>
        <w:r w:rsidR="00DB1260">
          <w:rPr>
            <w:noProof/>
            <w:webHidden/>
          </w:rPr>
          <w:fldChar w:fldCharType="begin"/>
        </w:r>
        <w:r w:rsidR="00DB1260">
          <w:rPr>
            <w:noProof/>
            <w:webHidden/>
          </w:rPr>
          <w:instrText xml:space="preserve"> PAGEREF _Toc85106070 \h </w:instrText>
        </w:r>
        <w:r w:rsidR="00DB1260">
          <w:rPr>
            <w:noProof/>
            <w:webHidden/>
          </w:rPr>
        </w:r>
        <w:r w:rsidR="00DB1260">
          <w:rPr>
            <w:noProof/>
            <w:webHidden/>
          </w:rPr>
          <w:fldChar w:fldCharType="separate"/>
        </w:r>
        <w:r>
          <w:rPr>
            <w:noProof/>
            <w:webHidden/>
          </w:rPr>
          <w:t>6</w:t>
        </w:r>
        <w:r w:rsidR="00DB1260">
          <w:rPr>
            <w:noProof/>
            <w:webHidden/>
          </w:rPr>
          <w:fldChar w:fldCharType="end"/>
        </w:r>
      </w:hyperlink>
    </w:p>
    <w:p w14:paraId="1AC322CC" w14:textId="77777777" w:rsidR="00DB1260" w:rsidRDefault="001D7B33">
      <w:pPr>
        <w:pStyle w:val="TOC3"/>
        <w:tabs>
          <w:tab w:val="left" w:pos="1200"/>
          <w:tab w:val="right" w:leader="dot" w:pos="9742"/>
        </w:tabs>
        <w:rPr>
          <w:rFonts w:asciiTheme="minorHAnsi" w:eastAsiaTheme="minorEastAsia" w:hAnsiTheme="minorHAnsi" w:cstheme="minorBidi"/>
          <w:i w:val="0"/>
          <w:iCs w:val="0"/>
          <w:noProof/>
          <w:sz w:val="22"/>
          <w:szCs w:val="22"/>
          <w:lang w:eastAsia="en-AU"/>
        </w:rPr>
      </w:pPr>
      <w:hyperlink w:anchor="_Toc85106071" w:history="1">
        <w:r w:rsidR="00DB1260" w:rsidRPr="00651FD4">
          <w:rPr>
            <w:rStyle w:val="Hyperlink"/>
            <w:noProof/>
            <w14:scene3d>
              <w14:camera w14:prst="orthographicFront"/>
              <w14:lightRig w14:rig="threePt" w14:dir="t">
                <w14:rot w14:lat="0" w14:lon="0" w14:rev="0"/>
              </w14:lightRig>
            </w14:scene3d>
          </w:rPr>
          <w:t>1.2.4</w:t>
        </w:r>
        <w:r w:rsidR="00DB1260">
          <w:rPr>
            <w:rFonts w:asciiTheme="minorHAnsi" w:eastAsiaTheme="minorEastAsia" w:hAnsiTheme="minorHAnsi" w:cstheme="minorBidi"/>
            <w:i w:val="0"/>
            <w:iCs w:val="0"/>
            <w:noProof/>
            <w:sz w:val="22"/>
            <w:szCs w:val="22"/>
            <w:lang w:eastAsia="en-AU"/>
          </w:rPr>
          <w:tab/>
        </w:r>
        <w:r w:rsidR="00DB1260" w:rsidRPr="00651FD4">
          <w:rPr>
            <w:rStyle w:val="Hyperlink"/>
            <w:noProof/>
          </w:rPr>
          <w:t>Appointments</w:t>
        </w:r>
        <w:r w:rsidR="00DB1260">
          <w:rPr>
            <w:noProof/>
            <w:webHidden/>
          </w:rPr>
          <w:tab/>
        </w:r>
        <w:r w:rsidR="00DB1260">
          <w:rPr>
            <w:noProof/>
            <w:webHidden/>
          </w:rPr>
          <w:fldChar w:fldCharType="begin"/>
        </w:r>
        <w:r w:rsidR="00DB1260">
          <w:rPr>
            <w:noProof/>
            <w:webHidden/>
          </w:rPr>
          <w:instrText xml:space="preserve"> PAGEREF _Toc85106071 \h </w:instrText>
        </w:r>
        <w:r w:rsidR="00DB1260">
          <w:rPr>
            <w:noProof/>
            <w:webHidden/>
          </w:rPr>
        </w:r>
        <w:r w:rsidR="00DB1260">
          <w:rPr>
            <w:noProof/>
            <w:webHidden/>
          </w:rPr>
          <w:fldChar w:fldCharType="separate"/>
        </w:r>
        <w:r>
          <w:rPr>
            <w:noProof/>
            <w:webHidden/>
          </w:rPr>
          <w:t>7</w:t>
        </w:r>
        <w:r w:rsidR="00DB1260">
          <w:rPr>
            <w:noProof/>
            <w:webHidden/>
          </w:rPr>
          <w:fldChar w:fldCharType="end"/>
        </w:r>
      </w:hyperlink>
    </w:p>
    <w:p w14:paraId="4B1A9C10"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072" w:history="1">
        <w:r w:rsidR="00DB1260" w:rsidRPr="00651FD4">
          <w:rPr>
            <w:rStyle w:val="Hyperlink"/>
            <w:noProof/>
            <w14:scene3d>
              <w14:camera w14:prst="orthographicFront"/>
              <w14:lightRig w14:rig="threePt" w14:dir="t">
                <w14:rot w14:lat="0" w14:lon="0" w14:rev="0"/>
              </w14:lightRig>
            </w14:scene3d>
          </w:rPr>
          <w:t>2.</w:t>
        </w:r>
        <w:r w:rsidR="00DB1260">
          <w:rPr>
            <w:rFonts w:asciiTheme="minorHAnsi" w:eastAsiaTheme="minorEastAsia" w:hAnsiTheme="minorHAnsi" w:cstheme="minorBidi"/>
            <w:b w:val="0"/>
            <w:bCs w:val="0"/>
            <w:noProof/>
            <w:sz w:val="22"/>
            <w:szCs w:val="22"/>
            <w:lang w:eastAsia="en-AU"/>
          </w:rPr>
          <w:tab/>
        </w:r>
        <w:r w:rsidR="00DB1260" w:rsidRPr="00651FD4">
          <w:rPr>
            <w:rStyle w:val="Hyperlink"/>
            <w:noProof/>
          </w:rPr>
          <w:t>POLICY AND STATUTORY AUTHORITY TO COST RECOVER</w:t>
        </w:r>
        <w:r w:rsidR="00DB1260">
          <w:rPr>
            <w:noProof/>
            <w:webHidden/>
          </w:rPr>
          <w:tab/>
        </w:r>
        <w:r w:rsidR="00DB1260">
          <w:rPr>
            <w:noProof/>
            <w:webHidden/>
          </w:rPr>
          <w:fldChar w:fldCharType="begin"/>
        </w:r>
        <w:r w:rsidR="00DB1260">
          <w:rPr>
            <w:noProof/>
            <w:webHidden/>
          </w:rPr>
          <w:instrText xml:space="preserve"> PAGEREF _Toc85106072 \h </w:instrText>
        </w:r>
        <w:r w:rsidR="00DB1260">
          <w:rPr>
            <w:noProof/>
            <w:webHidden/>
          </w:rPr>
        </w:r>
        <w:r w:rsidR="00DB1260">
          <w:rPr>
            <w:noProof/>
            <w:webHidden/>
          </w:rPr>
          <w:fldChar w:fldCharType="separate"/>
        </w:r>
        <w:r>
          <w:rPr>
            <w:noProof/>
            <w:webHidden/>
          </w:rPr>
          <w:t>8</w:t>
        </w:r>
        <w:r w:rsidR="00DB1260">
          <w:rPr>
            <w:noProof/>
            <w:webHidden/>
          </w:rPr>
          <w:fldChar w:fldCharType="end"/>
        </w:r>
      </w:hyperlink>
    </w:p>
    <w:p w14:paraId="56E1F53E" w14:textId="77777777" w:rsidR="00DB1260" w:rsidRDefault="001D7B33">
      <w:pPr>
        <w:pStyle w:val="TOC2"/>
        <w:tabs>
          <w:tab w:val="left" w:pos="960"/>
          <w:tab w:val="right" w:leader="dot" w:pos="9742"/>
        </w:tabs>
        <w:rPr>
          <w:rFonts w:asciiTheme="minorHAnsi" w:eastAsiaTheme="minorEastAsia" w:hAnsiTheme="minorHAnsi" w:cstheme="minorBidi"/>
          <w:noProof/>
          <w:sz w:val="22"/>
          <w:szCs w:val="22"/>
          <w:lang w:eastAsia="en-AU"/>
        </w:rPr>
      </w:pPr>
      <w:hyperlink w:anchor="_Toc85106073" w:history="1">
        <w:r w:rsidR="00DB1260" w:rsidRPr="00651FD4">
          <w:rPr>
            <w:rStyle w:val="Hyperlink"/>
            <w:rFonts w:eastAsia="MS PGothic"/>
            <w:noProof/>
          </w:rPr>
          <w:t>2.1</w:t>
        </w:r>
        <w:r w:rsidR="00DB1260">
          <w:rPr>
            <w:rFonts w:asciiTheme="minorHAnsi" w:eastAsiaTheme="minorEastAsia" w:hAnsiTheme="minorHAnsi" w:cstheme="minorBidi"/>
            <w:noProof/>
            <w:sz w:val="22"/>
            <w:szCs w:val="22"/>
            <w:lang w:eastAsia="en-AU"/>
          </w:rPr>
          <w:tab/>
        </w:r>
        <w:r w:rsidR="00DB1260" w:rsidRPr="00651FD4">
          <w:rPr>
            <w:rStyle w:val="Hyperlink"/>
            <w:rFonts w:eastAsia="MS PGothic"/>
            <w:noProof/>
          </w:rPr>
          <w:t>Government policy approval to cost recover the regulatory activity</w:t>
        </w:r>
        <w:r w:rsidR="00DB1260">
          <w:rPr>
            <w:noProof/>
            <w:webHidden/>
          </w:rPr>
          <w:tab/>
        </w:r>
        <w:r w:rsidR="00DB1260">
          <w:rPr>
            <w:noProof/>
            <w:webHidden/>
          </w:rPr>
          <w:fldChar w:fldCharType="begin"/>
        </w:r>
        <w:r w:rsidR="00DB1260">
          <w:rPr>
            <w:noProof/>
            <w:webHidden/>
          </w:rPr>
          <w:instrText xml:space="preserve"> PAGEREF _Toc85106073 \h </w:instrText>
        </w:r>
        <w:r w:rsidR="00DB1260">
          <w:rPr>
            <w:noProof/>
            <w:webHidden/>
          </w:rPr>
        </w:r>
        <w:r w:rsidR="00DB1260">
          <w:rPr>
            <w:noProof/>
            <w:webHidden/>
          </w:rPr>
          <w:fldChar w:fldCharType="separate"/>
        </w:r>
        <w:r>
          <w:rPr>
            <w:noProof/>
            <w:webHidden/>
          </w:rPr>
          <w:t>8</w:t>
        </w:r>
        <w:r w:rsidR="00DB1260">
          <w:rPr>
            <w:noProof/>
            <w:webHidden/>
          </w:rPr>
          <w:fldChar w:fldCharType="end"/>
        </w:r>
      </w:hyperlink>
    </w:p>
    <w:p w14:paraId="358A26C9" w14:textId="77777777" w:rsidR="00DB1260" w:rsidRDefault="001D7B33">
      <w:pPr>
        <w:pStyle w:val="TOC3"/>
        <w:tabs>
          <w:tab w:val="left" w:pos="1200"/>
          <w:tab w:val="right" w:leader="dot" w:pos="9742"/>
        </w:tabs>
        <w:rPr>
          <w:rFonts w:asciiTheme="minorHAnsi" w:eastAsiaTheme="minorEastAsia" w:hAnsiTheme="minorHAnsi" w:cstheme="minorBidi"/>
          <w:i w:val="0"/>
          <w:iCs w:val="0"/>
          <w:noProof/>
          <w:sz w:val="22"/>
          <w:szCs w:val="22"/>
          <w:lang w:eastAsia="en-AU"/>
        </w:rPr>
      </w:pPr>
      <w:hyperlink w:anchor="_Toc85106074" w:history="1">
        <w:r w:rsidR="00DB1260" w:rsidRPr="00651FD4">
          <w:rPr>
            <w:rStyle w:val="Hyperlink"/>
            <w:noProof/>
            <w14:scene3d>
              <w14:camera w14:prst="orthographicFront"/>
              <w14:lightRig w14:rig="threePt" w14:dir="t">
                <w14:rot w14:lat="0" w14:lon="0" w14:rev="0"/>
              </w14:lightRig>
            </w14:scene3d>
          </w:rPr>
          <w:t>2.1.1</w:t>
        </w:r>
        <w:r w:rsidR="00DB1260">
          <w:rPr>
            <w:rFonts w:asciiTheme="minorHAnsi" w:eastAsiaTheme="minorEastAsia" w:hAnsiTheme="minorHAnsi" w:cstheme="minorBidi"/>
            <w:i w:val="0"/>
            <w:iCs w:val="0"/>
            <w:noProof/>
            <w:sz w:val="22"/>
            <w:szCs w:val="22"/>
            <w:lang w:eastAsia="en-AU"/>
          </w:rPr>
          <w:tab/>
        </w:r>
        <w:r w:rsidR="00DB1260" w:rsidRPr="00651FD4">
          <w:rPr>
            <w:rStyle w:val="Hyperlink"/>
            <w:noProof/>
          </w:rPr>
          <w:t>Pattern Approval</w:t>
        </w:r>
        <w:r w:rsidR="00DB1260">
          <w:rPr>
            <w:noProof/>
            <w:webHidden/>
          </w:rPr>
          <w:tab/>
        </w:r>
        <w:r w:rsidR="00DB1260">
          <w:rPr>
            <w:noProof/>
            <w:webHidden/>
          </w:rPr>
          <w:fldChar w:fldCharType="begin"/>
        </w:r>
        <w:r w:rsidR="00DB1260">
          <w:rPr>
            <w:noProof/>
            <w:webHidden/>
          </w:rPr>
          <w:instrText xml:space="preserve"> PAGEREF _Toc85106074 \h </w:instrText>
        </w:r>
        <w:r w:rsidR="00DB1260">
          <w:rPr>
            <w:noProof/>
            <w:webHidden/>
          </w:rPr>
        </w:r>
        <w:r w:rsidR="00DB1260">
          <w:rPr>
            <w:noProof/>
            <w:webHidden/>
          </w:rPr>
          <w:fldChar w:fldCharType="separate"/>
        </w:r>
        <w:r>
          <w:rPr>
            <w:noProof/>
            <w:webHidden/>
          </w:rPr>
          <w:t>8</w:t>
        </w:r>
        <w:r w:rsidR="00DB1260">
          <w:rPr>
            <w:noProof/>
            <w:webHidden/>
          </w:rPr>
          <w:fldChar w:fldCharType="end"/>
        </w:r>
      </w:hyperlink>
    </w:p>
    <w:p w14:paraId="0FFED001" w14:textId="77777777" w:rsidR="00DB1260" w:rsidRDefault="001D7B33">
      <w:pPr>
        <w:pStyle w:val="TOC3"/>
        <w:tabs>
          <w:tab w:val="left" w:pos="1200"/>
          <w:tab w:val="right" w:leader="dot" w:pos="9742"/>
        </w:tabs>
        <w:rPr>
          <w:rFonts w:asciiTheme="minorHAnsi" w:eastAsiaTheme="minorEastAsia" w:hAnsiTheme="minorHAnsi" w:cstheme="minorBidi"/>
          <w:i w:val="0"/>
          <w:iCs w:val="0"/>
          <w:noProof/>
          <w:sz w:val="22"/>
          <w:szCs w:val="22"/>
          <w:lang w:eastAsia="en-AU"/>
        </w:rPr>
      </w:pPr>
      <w:hyperlink w:anchor="_Toc85106075" w:history="1">
        <w:r w:rsidR="00DB1260" w:rsidRPr="00651FD4">
          <w:rPr>
            <w:rStyle w:val="Hyperlink"/>
            <w:noProof/>
            <w14:scene3d>
              <w14:camera w14:prst="orthographicFront"/>
              <w14:lightRig w14:rig="threePt" w14:dir="t">
                <w14:rot w14:lat="0" w14:lon="0" w14:rev="0"/>
              </w14:lightRig>
            </w14:scene3d>
          </w:rPr>
          <w:t>2.1.2</w:t>
        </w:r>
        <w:r w:rsidR="00DB1260">
          <w:rPr>
            <w:rFonts w:asciiTheme="minorHAnsi" w:eastAsiaTheme="minorEastAsia" w:hAnsiTheme="minorHAnsi" w:cstheme="minorBidi"/>
            <w:i w:val="0"/>
            <w:iCs w:val="0"/>
            <w:noProof/>
            <w:sz w:val="22"/>
            <w:szCs w:val="22"/>
            <w:lang w:eastAsia="en-AU"/>
          </w:rPr>
          <w:tab/>
        </w:r>
        <w:r w:rsidR="00DB1260" w:rsidRPr="00651FD4">
          <w:rPr>
            <w:rStyle w:val="Hyperlink"/>
            <w:noProof/>
          </w:rPr>
          <w:t>Licensing</w:t>
        </w:r>
        <w:r w:rsidR="00DB1260">
          <w:rPr>
            <w:noProof/>
            <w:webHidden/>
          </w:rPr>
          <w:tab/>
        </w:r>
        <w:r w:rsidR="00DB1260">
          <w:rPr>
            <w:noProof/>
            <w:webHidden/>
          </w:rPr>
          <w:fldChar w:fldCharType="begin"/>
        </w:r>
        <w:r w:rsidR="00DB1260">
          <w:rPr>
            <w:noProof/>
            <w:webHidden/>
          </w:rPr>
          <w:instrText xml:space="preserve"> PAGEREF _Toc85106075 \h </w:instrText>
        </w:r>
        <w:r w:rsidR="00DB1260">
          <w:rPr>
            <w:noProof/>
            <w:webHidden/>
          </w:rPr>
        </w:r>
        <w:r w:rsidR="00DB1260">
          <w:rPr>
            <w:noProof/>
            <w:webHidden/>
          </w:rPr>
          <w:fldChar w:fldCharType="separate"/>
        </w:r>
        <w:r>
          <w:rPr>
            <w:noProof/>
            <w:webHidden/>
          </w:rPr>
          <w:t>8</w:t>
        </w:r>
        <w:r w:rsidR="00DB1260">
          <w:rPr>
            <w:noProof/>
            <w:webHidden/>
          </w:rPr>
          <w:fldChar w:fldCharType="end"/>
        </w:r>
      </w:hyperlink>
    </w:p>
    <w:p w14:paraId="3D7E67D1" w14:textId="77777777" w:rsidR="00DB1260" w:rsidRDefault="001D7B33">
      <w:pPr>
        <w:pStyle w:val="TOC3"/>
        <w:tabs>
          <w:tab w:val="left" w:pos="1200"/>
          <w:tab w:val="right" w:leader="dot" w:pos="9742"/>
        </w:tabs>
        <w:rPr>
          <w:rFonts w:asciiTheme="minorHAnsi" w:eastAsiaTheme="minorEastAsia" w:hAnsiTheme="minorHAnsi" w:cstheme="minorBidi"/>
          <w:i w:val="0"/>
          <w:iCs w:val="0"/>
          <w:noProof/>
          <w:sz w:val="22"/>
          <w:szCs w:val="22"/>
          <w:lang w:eastAsia="en-AU"/>
        </w:rPr>
      </w:pPr>
      <w:hyperlink w:anchor="_Toc85106076" w:history="1">
        <w:r w:rsidR="00DB1260" w:rsidRPr="00651FD4">
          <w:rPr>
            <w:rStyle w:val="Hyperlink"/>
            <w:noProof/>
            <w14:scene3d>
              <w14:camera w14:prst="orthographicFront"/>
              <w14:lightRig w14:rig="threePt" w14:dir="t">
                <w14:rot w14:lat="0" w14:lon="0" w14:rev="0"/>
              </w14:lightRig>
            </w14:scene3d>
          </w:rPr>
          <w:t>2.1.3</w:t>
        </w:r>
        <w:r w:rsidR="00DB1260">
          <w:rPr>
            <w:rFonts w:asciiTheme="minorHAnsi" w:eastAsiaTheme="minorEastAsia" w:hAnsiTheme="minorHAnsi" w:cstheme="minorBidi"/>
            <w:i w:val="0"/>
            <w:iCs w:val="0"/>
            <w:noProof/>
            <w:sz w:val="22"/>
            <w:szCs w:val="22"/>
            <w:lang w:eastAsia="en-AU"/>
          </w:rPr>
          <w:tab/>
        </w:r>
        <w:r w:rsidR="00DB1260" w:rsidRPr="00651FD4">
          <w:rPr>
            <w:rStyle w:val="Hyperlink"/>
            <w:noProof/>
          </w:rPr>
          <w:t>Appointments</w:t>
        </w:r>
        <w:r w:rsidR="00DB1260">
          <w:rPr>
            <w:noProof/>
            <w:webHidden/>
          </w:rPr>
          <w:tab/>
        </w:r>
        <w:r w:rsidR="00DB1260">
          <w:rPr>
            <w:noProof/>
            <w:webHidden/>
          </w:rPr>
          <w:fldChar w:fldCharType="begin"/>
        </w:r>
        <w:r w:rsidR="00DB1260">
          <w:rPr>
            <w:noProof/>
            <w:webHidden/>
          </w:rPr>
          <w:instrText xml:space="preserve"> PAGEREF _Toc85106076 \h </w:instrText>
        </w:r>
        <w:r w:rsidR="00DB1260">
          <w:rPr>
            <w:noProof/>
            <w:webHidden/>
          </w:rPr>
        </w:r>
        <w:r w:rsidR="00DB1260">
          <w:rPr>
            <w:noProof/>
            <w:webHidden/>
          </w:rPr>
          <w:fldChar w:fldCharType="separate"/>
        </w:r>
        <w:r>
          <w:rPr>
            <w:noProof/>
            <w:webHidden/>
          </w:rPr>
          <w:t>9</w:t>
        </w:r>
        <w:r w:rsidR="00DB1260">
          <w:rPr>
            <w:noProof/>
            <w:webHidden/>
          </w:rPr>
          <w:fldChar w:fldCharType="end"/>
        </w:r>
      </w:hyperlink>
    </w:p>
    <w:p w14:paraId="35619245" w14:textId="77777777" w:rsidR="00DB1260" w:rsidRDefault="001D7B33">
      <w:pPr>
        <w:pStyle w:val="TOC2"/>
        <w:tabs>
          <w:tab w:val="left" w:pos="960"/>
          <w:tab w:val="right" w:leader="dot" w:pos="9742"/>
        </w:tabs>
        <w:rPr>
          <w:rFonts w:asciiTheme="minorHAnsi" w:eastAsiaTheme="minorEastAsia" w:hAnsiTheme="minorHAnsi" w:cstheme="minorBidi"/>
          <w:noProof/>
          <w:sz w:val="22"/>
          <w:szCs w:val="22"/>
          <w:lang w:eastAsia="en-AU"/>
        </w:rPr>
      </w:pPr>
      <w:hyperlink w:anchor="_Toc85106077" w:history="1">
        <w:r w:rsidR="00DB1260" w:rsidRPr="00651FD4">
          <w:rPr>
            <w:rStyle w:val="Hyperlink"/>
            <w:rFonts w:eastAsia="MS PGothic"/>
            <w:noProof/>
          </w:rPr>
          <w:t>2.2</w:t>
        </w:r>
        <w:r w:rsidR="00DB1260">
          <w:rPr>
            <w:rFonts w:asciiTheme="minorHAnsi" w:eastAsiaTheme="minorEastAsia" w:hAnsiTheme="minorHAnsi" w:cstheme="minorBidi"/>
            <w:noProof/>
            <w:sz w:val="22"/>
            <w:szCs w:val="22"/>
            <w:lang w:eastAsia="en-AU"/>
          </w:rPr>
          <w:tab/>
        </w:r>
        <w:r w:rsidR="00DB1260" w:rsidRPr="00651FD4">
          <w:rPr>
            <w:rStyle w:val="Hyperlink"/>
            <w:rFonts w:eastAsia="MS PGothic"/>
            <w:noProof/>
          </w:rPr>
          <w:t>Statutory authority to charge</w:t>
        </w:r>
        <w:r w:rsidR="00DB1260">
          <w:rPr>
            <w:noProof/>
            <w:webHidden/>
          </w:rPr>
          <w:tab/>
        </w:r>
        <w:r w:rsidR="00DB1260">
          <w:rPr>
            <w:noProof/>
            <w:webHidden/>
          </w:rPr>
          <w:fldChar w:fldCharType="begin"/>
        </w:r>
        <w:r w:rsidR="00DB1260">
          <w:rPr>
            <w:noProof/>
            <w:webHidden/>
          </w:rPr>
          <w:instrText xml:space="preserve"> PAGEREF _Toc85106077 \h </w:instrText>
        </w:r>
        <w:r w:rsidR="00DB1260">
          <w:rPr>
            <w:noProof/>
            <w:webHidden/>
          </w:rPr>
        </w:r>
        <w:r w:rsidR="00DB1260">
          <w:rPr>
            <w:noProof/>
            <w:webHidden/>
          </w:rPr>
          <w:fldChar w:fldCharType="separate"/>
        </w:r>
        <w:r>
          <w:rPr>
            <w:noProof/>
            <w:webHidden/>
          </w:rPr>
          <w:t>9</w:t>
        </w:r>
        <w:r w:rsidR="00DB1260">
          <w:rPr>
            <w:noProof/>
            <w:webHidden/>
          </w:rPr>
          <w:fldChar w:fldCharType="end"/>
        </w:r>
      </w:hyperlink>
    </w:p>
    <w:p w14:paraId="7B3536A2"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078" w:history="1">
        <w:r w:rsidR="00DB1260" w:rsidRPr="00651FD4">
          <w:rPr>
            <w:rStyle w:val="Hyperlink"/>
            <w:noProof/>
            <w14:scene3d>
              <w14:camera w14:prst="orthographicFront"/>
              <w14:lightRig w14:rig="threePt" w14:dir="t">
                <w14:rot w14:lat="0" w14:lon="0" w14:rev="0"/>
              </w14:lightRig>
            </w14:scene3d>
          </w:rPr>
          <w:t>3.</w:t>
        </w:r>
        <w:r w:rsidR="00DB1260">
          <w:rPr>
            <w:rFonts w:asciiTheme="minorHAnsi" w:eastAsiaTheme="minorEastAsia" w:hAnsiTheme="minorHAnsi" w:cstheme="minorBidi"/>
            <w:b w:val="0"/>
            <w:bCs w:val="0"/>
            <w:noProof/>
            <w:sz w:val="22"/>
            <w:szCs w:val="22"/>
            <w:lang w:eastAsia="en-AU"/>
          </w:rPr>
          <w:tab/>
        </w:r>
        <w:r w:rsidR="00DB1260" w:rsidRPr="00651FD4">
          <w:rPr>
            <w:rStyle w:val="Hyperlink"/>
            <w:noProof/>
          </w:rPr>
          <w:t>COST RECOVERY MODEL</w:t>
        </w:r>
        <w:r w:rsidR="00DB1260">
          <w:rPr>
            <w:noProof/>
            <w:webHidden/>
          </w:rPr>
          <w:tab/>
        </w:r>
        <w:r w:rsidR="00DB1260">
          <w:rPr>
            <w:noProof/>
            <w:webHidden/>
          </w:rPr>
          <w:fldChar w:fldCharType="begin"/>
        </w:r>
        <w:r w:rsidR="00DB1260">
          <w:rPr>
            <w:noProof/>
            <w:webHidden/>
          </w:rPr>
          <w:instrText xml:space="preserve"> PAGEREF _Toc85106078 \h </w:instrText>
        </w:r>
        <w:r w:rsidR="00DB1260">
          <w:rPr>
            <w:noProof/>
            <w:webHidden/>
          </w:rPr>
        </w:r>
        <w:r w:rsidR="00DB1260">
          <w:rPr>
            <w:noProof/>
            <w:webHidden/>
          </w:rPr>
          <w:fldChar w:fldCharType="separate"/>
        </w:r>
        <w:r>
          <w:rPr>
            <w:noProof/>
            <w:webHidden/>
          </w:rPr>
          <w:t>10</w:t>
        </w:r>
        <w:r w:rsidR="00DB1260">
          <w:rPr>
            <w:noProof/>
            <w:webHidden/>
          </w:rPr>
          <w:fldChar w:fldCharType="end"/>
        </w:r>
      </w:hyperlink>
    </w:p>
    <w:p w14:paraId="437DCF53" w14:textId="77777777" w:rsidR="00DB1260" w:rsidRDefault="001D7B33">
      <w:pPr>
        <w:pStyle w:val="TOC2"/>
        <w:tabs>
          <w:tab w:val="left" w:pos="960"/>
          <w:tab w:val="right" w:leader="dot" w:pos="9742"/>
        </w:tabs>
        <w:rPr>
          <w:rFonts w:asciiTheme="minorHAnsi" w:eastAsiaTheme="minorEastAsia" w:hAnsiTheme="minorHAnsi" w:cstheme="minorBidi"/>
          <w:noProof/>
          <w:sz w:val="22"/>
          <w:szCs w:val="22"/>
          <w:lang w:eastAsia="en-AU"/>
        </w:rPr>
      </w:pPr>
      <w:hyperlink w:anchor="_Toc85106079" w:history="1">
        <w:r w:rsidR="00DB1260" w:rsidRPr="00651FD4">
          <w:rPr>
            <w:rStyle w:val="Hyperlink"/>
            <w:rFonts w:eastAsia="MS PGothic"/>
            <w:noProof/>
          </w:rPr>
          <w:t>3.1</w:t>
        </w:r>
        <w:r w:rsidR="00DB1260">
          <w:rPr>
            <w:rFonts w:asciiTheme="minorHAnsi" w:eastAsiaTheme="minorEastAsia" w:hAnsiTheme="minorHAnsi" w:cstheme="minorBidi"/>
            <w:noProof/>
            <w:sz w:val="22"/>
            <w:szCs w:val="22"/>
            <w:lang w:eastAsia="en-AU"/>
          </w:rPr>
          <w:tab/>
        </w:r>
        <w:r w:rsidR="00DB1260" w:rsidRPr="00651FD4">
          <w:rPr>
            <w:rStyle w:val="Hyperlink"/>
            <w:rFonts w:eastAsia="MS PGothic"/>
            <w:noProof/>
          </w:rPr>
          <w:t>Outputs and business processes of the regulatory charging activity</w:t>
        </w:r>
        <w:r w:rsidR="00DB1260">
          <w:rPr>
            <w:noProof/>
            <w:webHidden/>
          </w:rPr>
          <w:tab/>
        </w:r>
        <w:r w:rsidR="00DB1260">
          <w:rPr>
            <w:noProof/>
            <w:webHidden/>
          </w:rPr>
          <w:fldChar w:fldCharType="begin"/>
        </w:r>
        <w:r w:rsidR="00DB1260">
          <w:rPr>
            <w:noProof/>
            <w:webHidden/>
          </w:rPr>
          <w:instrText xml:space="preserve"> PAGEREF _Toc85106079 \h </w:instrText>
        </w:r>
        <w:r w:rsidR="00DB1260">
          <w:rPr>
            <w:noProof/>
            <w:webHidden/>
          </w:rPr>
        </w:r>
        <w:r w:rsidR="00DB1260">
          <w:rPr>
            <w:noProof/>
            <w:webHidden/>
          </w:rPr>
          <w:fldChar w:fldCharType="separate"/>
        </w:r>
        <w:r>
          <w:rPr>
            <w:noProof/>
            <w:webHidden/>
          </w:rPr>
          <w:t>10</w:t>
        </w:r>
        <w:r w:rsidR="00DB1260">
          <w:rPr>
            <w:noProof/>
            <w:webHidden/>
          </w:rPr>
          <w:fldChar w:fldCharType="end"/>
        </w:r>
      </w:hyperlink>
    </w:p>
    <w:p w14:paraId="4C878156" w14:textId="77777777" w:rsidR="00DB1260" w:rsidRDefault="001D7B33">
      <w:pPr>
        <w:pStyle w:val="TOC3"/>
        <w:tabs>
          <w:tab w:val="left" w:pos="1200"/>
          <w:tab w:val="right" w:leader="dot" w:pos="9742"/>
        </w:tabs>
        <w:rPr>
          <w:rFonts w:asciiTheme="minorHAnsi" w:eastAsiaTheme="minorEastAsia" w:hAnsiTheme="minorHAnsi" w:cstheme="minorBidi"/>
          <w:i w:val="0"/>
          <w:iCs w:val="0"/>
          <w:noProof/>
          <w:sz w:val="22"/>
          <w:szCs w:val="22"/>
          <w:lang w:eastAsia="en-AU"/>
        </w:rPr>
      </w:pPr>
      <w:hyperlink w:anchor="_Toc85106080" w:history="1">
        <w:r w:rsidR="00DB1260" w:rsidRPr="00651FD4">
          <w:rPr>
            <w:rStyle w:val="Hyperlink"/>
            <w:noProof/>
            <w14:scene3d>
              <w14:camera w14:prst="orthographicFront"/>
              <w14:lightRig w14:rig="threePt" w14:dir="t">
                <w14:rot w14:lat="0" w14:lon="0" w14:rev="0"/>
              </w14:lightRig>
            </w14:scene3d>
          </w:rPr>
          <w:t>3.1.1</w:t>
        </w:r>
        <w:r w:rsidR="00DB1260">
          <w:rPr>
            <w:rFonts w:asciiTheme="minorHAnsi" w:eastAsiaTheme="minorEastAsia" w:hAnsiTheme="minorHAnsi" w:cstheme="minorBidi"/>
            <w:i w:val="0"/>
            <w:iCs w:val="0"/>
            <w:noProof/>
            <w:sz w:val="22"/>
            <w:szCs w:val="22"/>
            <w:lang w:eastAsia="en-AU"/>
          </w:rPr>
          <w:tab/>
        </w:r>
        <w:r w:rsidR="00DB1260" w:rsidRPr="00651FD4">
          <w:rPr>
            <w:rStyle w:val="Hyperlink"/>
            <w:noProof/>
          </w:rPr>
          <w:t>Pattern Approval</w:t>
        </w:r>
        <w:r w:rsidR="00DB1260">
          <w:rPr>
            <w:noProof/>
            <w:webHidden/>
          </w:rPr>
          <w:tab/>
        </w:r>
        <w:r w:rsidR="00DB1260">
          <w:rPr>
            <w:noProof/>
            <w:webHidden/>
          </w:rPr>
          <w:fldChar w:fldCharType="begin"/>
        </w:r>
        <w:r w:rsidR="00DB1260">
          <w:rPr>
            <w:noProof/>
            <w:webHidden/>
          </w:rPr>
          <w:instrText xml:space="preserve"> PAGEREF _Toc85106080 \h </w:instrText>
        </w:r>
        <w:r w:rsidR="00DB1260">
          <w:rPr>
            <w:noProof/>
            <w:webHidden/>
          </w:rPr>
        </w:r>
        <w:r w:rsidR="00DB1260">
          <w:rPr>
            <w:noProof/>
            <w:webHidden/>
          </w:rPr>
          <w:fldChar w:fldCharType="separate"/>
        </w:r>
        <w:r>
          <w:rPr>
            <w:noProof/>
            <w:webHidden/>
          </w:rPr>
          <w:t>10</w:t>
        </w:r>
        <w:r w:rsidR="00DB1260">
          <w:rPr>
            <w:noProof/>
            <w:webHidden/>
          </w:rPr>
          <w:fldChar w:fldCharType="end"/>
        </w:r>
      </w:hyperlink>
    </w:p>
    <w:p w14:paraId="0579A673" w14:textId="77777777" w:rsidR="00DB1260" w:rsidRDefault="001D7B33">
      <w:pPr>
        <w:pStyle w:val="TOC3"/>
        <w:tabs>
          <w:tab w:val="left" w:pos="1200"/>
          <w:tab w:val="right" w:leader="dot" w:pos="9742"/>
        </w:tabs>
        <w:rPr>
          <w:rFonts w:asciiTheme="minorHAnsi" w:eastAsiaTheme="minorEastAsia" w:hAnsiTheme="minorHAnsi" w:cstheme="minorBidi"/>
          <w:i w:val="0"/>
          <w:iCs w:val="0"/>
          <w:noProof/>
          <w:sz w:val="22"/>
          <w:szCs w:val="22"/>
          <w:lang w:eastAsia="en-AU"/>
        </w:rPr>
      </w:pPr>
      <w:hyperlink w:anchor="_Toc85106081" w:history="1">
        <w:r w:rsidR="00DB1260" w:rsidRPr="00651FD4">
          <w:rPr>
            <w:rStyle w:val="Hyperlink"/>
            <w:noProof/>
            <w14:scene3d>
              <w14:camera w14:prst="orthographicFront"/>
              <w14:lightRig w14:rig="threePt" w14:dir="t">
                <w14:rot w14:lat="0" w14:lon="0" w14:rev="0"/>
              </w14:lightRig>
            </w14:scene3d>
          </w:rPr>
          <w:t>3.1.2</w:t>
        </w:r>
        <w:r w:rsidR="00DB1260">
          <w:rPr>
            <w:rFonts w:asciiTheme="minorHAnsi" w:eastAsiaTheme="minorEastAsia" w:hAnsiTheme="minorHAnsi" w:cstheme="minorBidi"/>
            <w:i w:val="0"/>
            <w:iCs w:val="0"/>
            <w:noProof/>
            <w:sz w:val="22"/>
            <w:szCs w:val="22"/>
            <w:lang w:eastAsia="en-AU"/>
          </w:rPr>
          <w:tab/>
        </w:r>
        <w:r w:rsidR="00DB1260" w:rsidRPr="00651FD4">
          <w:rPr>
            <w:rStyle w:val="Hyperlink"/>
            <w:noProof/>
          </w:rPr>
          <w:t>Licensing and Appointments</w:t>
        </w:r>
        <w:r w:rsidR="00DB1260">
          <w:rPr>
            <w:noProof/>
            <w:webHidden/>
          </w:rPr>
          <w:tab/>
        </w:r>
        <w:r w:rsidR="00DB1260">
          <w:rPr>
            <w:noProof/>
            <w:webHidden/>
          </w:rPr>
          <w:fldChar w:fldCharType="begin"/>
        </w:r>
        <w:r w:rsidR="00DB1260">
          <w:rPr>
            <w:noProof/>
            <w:webHidden/>
          </w:rPr>
          <w:instrText xml:space="preserve"> PAGEREF _Toc85106081 \h </w:instrText>
        </w:r>
        <w:r w:rsidR="00DB1260">
          <w:rPr>
            <w:noProof/>
            <w:webHidden/>
          </w:rPr>
        </w:r>
        <w:r w:rsidR="00DB1260">
          <w:rPr>
            <w:noProof/>
            <w:webHidden/>
          </w:rPr>
          <w:fldChar w:fldCharType="separate"/>
        </w:r>
        <w:r>
          <w:rPr>
            <w:noProof/>
            <w:webHidden/>
          </w:rPr>
          <w:t>10</w:t>
        </w:r>
        <w:r w:rsidR="00DB1260">
          <w:rPr>
            <w:noProof/>
            <w:webHidden/>
          </w:rPr>
          <w:fldChar w:fldCharType="end"/>
        </w:r>
      </w:hyperlink>
    </w:p>
    <w:p w14:paraId="26F333F7" w14:textId="77777777" w:rsidR="00DB1260" w:rsidRDefault="001D7B33">
      <w:pPr>
        <w:pStyle w:val="TOC2"/>
        <w:tabs>
          <w:tab w:val="left" w:pos="960"/>
          <w:tab w:val="right" w:leader="dot" w:pos="9742"/>
        </w:tabs>
        <w:rPr>
          <w:rFonts w:asciiTheme="minorHAnsi" w:eastAsiaTheme="minorEastAsia" w:hAnsiTheme="minorHAnsi" w:cstheme="minorBidi"/>
          <w:noProof/>
          <w:sz w:val="22"/>
          <w:szCs w:val="22"/>
          <w:lang w:eastAsia="en-AU"/>
        </w:rPr>
      </w:pPr>
      <w:hyperlink w:anchor="_Toc85106082" w:history="1">
        <w:r w:rsidR="00DB1260" w:rsidRPr="00651FD4">
          <w:rPr>
            <w:rStyle w:val="Hyperlink"/>
            <w:rFonts w:eastAsia="MS PGothic"/>
            <w:noProof/>
          </w:rPr>
          <w:t>3.2</w:t>
        </w:r>
        <w:r w:rsidR="00DB1260">
          <w:rPr>
            <w:rFonts w:asciiTheme="minorHAnsi" w:eastAsiaTheme="minorEastAsia" w:hAnsiTheme="minorHAnsi" w:cstheme="minorBidi"/>
            <w:noProof/>
            <w:sz w:val="22"/>
            <w:szCs w:val="22"/>
            <w:lang w:eastAsia="en-AU"/>
          </w:rPr>
          <w:tab/>
        </w:r>
        <w:r w:rsidR="00DB1260" w:rsidRPr="00651FD4">
          <w:rPr>
            <w:rStyle w:val="Hyperlink"/>
            <w:rFonts w:eastAsia="MS PGothic"/>
            <w:noProof/>
          </w:rPr>
          <w:t>Costs of the regulatory charging activity</w:t>
        </w:r>
        <w:r w:rsidR="00DB1260">
          <w:rPr>
            <w:noProof/>
            <w:webHidden/>
          </w:rPr>
          <w:tab/>
        </w:r>
        <w:r w:rsidR="00DB1260">
          <w:rPr>
            <w:noProof/>
            <w:webHidden/>
          </w:rPr>
          <w:fldChar w:fldCharType="begin"/>
        </w:r>
        <w:r w:rsidR="00DB1260">
          <w:rPr>
            <w:noProof/>
            <w:webHidden/>
          </w:rPr>
          <w:instrText xml:space="preserve"> PAGEREF _Toc85106082 \h </w:instrText>
        </w:r>
        <w:r w:rsidR="00DB1260">
          <w:rPr>
            <w:noProof/>
            <w:webHidden/>
          </w:rPr>
        </w:r>
        <w:r w:rsidR="00DB1260">
          <w:rPr>
            <w:noProof/>
            <w:webHidden/>
          </w:rPr>
          <w:fldChar w:fldCharType="separate"/>
        </w:r>
        <w:r>
          <w:rPr>
            <w:noProof/>
            <w:webHidden/>
          </w:rPr>
          <w:t>10</w:t>
        </w:r>
        <w:r w:rsidR="00DB1260">
          <w:rPr>
            <w:noProof/>
            <w:webHidden/>
          </w:rPr>
          <w:fldChar w:fldCharType="end"/>
        </w:r>
      </w:hyperlink>
    </w:p>
    <w:p w14:paraId="5B1D4852" w14:textId="77777777" w:rsidR="00DB1260" w:rsidRDefault="001D7B33">
      <w:pPr>
        <w:pStyle w:val="TOC2"/>
        <w:tabs>
          <w:tab w:val="left" w:pos="960"/>
          <w:tab w:val="right" w:leader="dot" w:pos="9742"/>
        </w:tabs>
        <w:rPr>
          <w:rFonts w:asciiTheme="minorHAnsi" w:eastAsiaTheme="minorEastAsia" w:hAnsiTheme="minorHAnsi" w:cstheme="minorBidi"/>
          <w:noProof/>
          <w:sz w:val="22"/>
          <w:szCs w:val="22"/>
          <w:lang w:eastAsia="en-AU"/>
        </w:rPr>
      </w:pPr>
      <w:hyperlink w:anchor="_Toc85106083" w:history="1">
        <w:r w:rsidR="00DB1260" w:rsidRPr="00651FD4">
          <w:rPr>
            <w:rStyle w:val="Hyperlink"/>
            <w:rFonts w:eastAsia="MS PGothic"/>
            <w:noProof/>
          </w:rPr>
          <w:t>3.3</w:t>
        </w:r>
        <w:r w:rsidR="00DB1260">
          <w:rPr>
            <w:rFonts w:asciiTheme="minorHAnsi" w:eastAsiaTheme="minorEastAsia" w:hAnsiTheme="minorHAnsi" w:cstheme="minorBidi"/>
            <w:noProof/>
            <w:sz w:val="22"/>
            <w:szCs w:val="22"/>
            <w:lang w:eastAsia="en-AU"/>
          </w:rPr>
          <w:tab/>
        </w:r>
        <w:r w:rsidR="00DB1260" w:rsidRPr="00651FD4">
          <w:rPr>
            <w:rStyle w:val="Hyperlink"/>
            <w:rFonts w:eastAsia="MS PGothic"/>
            <w:noProof/>
          </w:rPr>
          <w:t>Design of regulatory charges</w:t>
        </w:r>
        <w:r w:rsidR="00DB1260">
          <w:rPr>
            <w:noProof/>
            <w:webHidden/>
          </w:rPr>
          <w:tab/>
        </w:r>
        <w:r w:rsidR="00DB1260">
          <w:rPr>
            <w:noProof/>
            <w:webHidden/>
          </w:rPr>
          <w:fldChar w:fldCharType="begin"/>
        </w:r>
        <w:r w:rsidR="00DB1260">
          <w:rPr>
            <w:noProof/>
            <w:webHidden/>
          </w:rPr>
          <w:instrText xml:space="preserve"> PAGEREF _Toc85106083 \h </w:instrText>
        </w:r>
        <w:r w:rsidR="00DB1260">
          <w:rPr>
            <w:noProof/>
            <w:webHidden/>
          </w:rPr>
        </w:r>
        <w:r w:rsidR="00DB1260">
          <w:rPr>
            <w:noProof/>
            <w:webHidden/>
          </w:rPr>
          <w:fldChar w:fldCharType="separate"/>
        </w:r>
        <w:r>
          <w:rPr>
            <w:noProof/>
            <w:webHidden/>
          </w:rPr>
          <w:t>12</w:t>
        </w:r>
        <w:r w:rsidR="00DB1260">
          <w:rPr>
            <w:noProof/>
            <w:webHidden/>
          </w:rPr>
          <w:fldChar w:fldCharType="end"/>
        </w:r>
      </w:hyperlink>
    </w:p>
    <w:p w14:paraId="0D6C5778"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084" w:history="1">
        <w:r w:rsidR="00DB1260" w:rsidRPr="00651FD4">
          <w:rPr>
            <w:rStyle w:val="Hyperlink"/>
            <w:noProof/>
            <w14:scene3d>
              <w14:camera w14:prst="orthographicFront"/>
              <w14:lightRig w14:rig="threePt" w14:dir="t">
                <w14:rot w14:lat="0" w14:lon="0" w14:rev="0"/>
              </w14:lightRig>
            </w14:scene3d>
          </w:rPr>
          <w:t>4.</w:t>
        </w:r>
        <w:r w:rsidR="00DB1260">
          <w:rPr>
            <w:rFonts w:asciiTheme="minorHAnsi" w:eastAsiaTheme="minorEastAsia" w:hAnsiTheme="minorHAnsi" w:cstheme="minorBidi"/>
            <w:b w:val="0"/>
            <w:bCs w:val="0"/>
            <w:noProof/>
            <w:sz w:val="22"/>
            <w:szCs w:val="22"/>
            <w:lang w:eastAsia="en-AU"/>
          </w:rPr>
          <w:tab/>
        </w:r>
        <w:r w:rsidR="00DB1260" w:rsidRPr="00651FD4">
          <w:rPr>
            <w:rStyle w:val="Hyperlink"/>
            <w:noProof/>
          </w:rPr>
          <w:t>RISK ASSESSMENT</w:t>
        </w:r>
        <w:r w:rsidR="00DB1260">
          <w:rPr>
            <w:noProof/>
            <w:webHidden/>
          </w:rPr>
          <w:tab/>
        </w:r>
        <w:r w:rsidR="00DB1260">
          <w:rPr>
            <w:noProof/>
            <w:webHidden/>
          </w:rPr>
          <w:fldChar w:fldCharType="begin"/>
        </w:r>
        <w:r w:rsidR="00DB1260">
          <w:rPr>
            <w:noProof/>
            <w:webHidden/>
          </w:rPr>
          <w:instrText xml:space="preserve"> PAGEREF _Toc85106084 \h </w:instrText>
        </w:r>
        <w:r w:rsidR="00DB1260">
          <w:rPr>
            <w:noProof/>
            <w:webHidden/>
          </w:rPr>
        </w:r>
        <w:r w:rsidR="00DB1260">
          <w:rPr>
            <w:noProof/>
            <w:webHidden/>
          </w:rPr>
          <w:fldChar w:fldCharType="separate"/>
        </w:r>
        <w:r>
          <w:rPr>
            <w:noProof/>
            <w:webHidden/>
          </w:rPr>
          <w:t>14</w:t>
        </w:r>
        <w:r w:rsidR="00DB1260">
          <w:rPr>
            <w:noProof/>
            <w:webHidden/>
          </w:rPr>
          <w:fldChar w:fldCharType="end"/>
        </w:r>
      </w:hyperlink>
    </w:p>
    <w:p w14:paraId="10645CBB"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085" w:history="1">
        <w:r w:rsidR="00DB1260" w:rsidRPr="00651FD4">
          <w:rPr>
            <w:rStyle w:val="Hyperlink"/>
            <w:noProof/>
            <w14:scene3d>
              <w14:camera w14:prst="orthographicFront"/>
              <w14:lightRig w14:rig="threePt" w14:dir="t">
                <w14:rot w14:lat="0" w14:lon="0" w14:rev="0"/>
              </w14:lightRig>
            </w14:scene3d>
          </w:rPr>
          <w:t>5.</w:t>
        </w:r>
        <w:r w:rsidR="00DB1260">
          <w:rPr>
            <w:rFonts w:asciiTheme="minorHAnsi" w:eastAsiaTheme="minorEastAsia" w:hAnsiTheme="minorHAnsi" w:cstheme="minorBidi"/>
            <w:b w:val="0"/>
            <w:bCs w:val="0"/>
            <w:noProof/>
            <w:sz w:val="22"/>
            <w:szCs w:val="22"/>
            <w:lang w:eastAsia="en-AU"/>
          </w:rPr>
          <w:tab/>
        </w:r>
        <w:r w:rsidR="00DB1260" w:rsidRPr="00651FD4">
          <w:rPr>
            <w:rStyle w:val="Hyperlink"/>
            <w:noProof/>
          </w:rPr>
          <w:t>STAKEHOLDER ENGAGEMENT</w:t>
        </w:r>
        <w:r w:rsidR="00DB1260">
          <w:rPr>
            <w:noProof/>
            <w:webHidden/>
          </w:rPr>
          <w:tab/>
        </w:r>
        <w:r w:rsidR="00DB1260">
          <w:rPr>
            <w:noProof/>
            <w:webHidden/>
          </w:rPr>
          <w:fldChar w:fldCharType="begin"/>
        </w:r>
        <w:r w:rsidR="00DB1260">
          <w:rPr>
            <w:noProof/>
            <w:webHidden/>
          </w:rPr>
          <w:instrText xml:space="preserve"> PAGEREF _Toc85106085 \h </w:instrText>
        </w:r>
        <w:r w:rsidR="00DB1260">
          <w:rPr>
            <w:noProof/>
            <w:webHidden/>
          </w:rPr>
        </w:r>
        <w:r w:rsidR="00DB1260">
          <w:rPr>
            <w:noProof/>
            <w:webHidden/>
          </w:rPr>
          <w:fldChar w:fldCharType="separate"/>
        </w:r>
        <w:r>
          <w:rPr>
            <w:noProof/>
            <w:webHidden/>
          </w:rPr>
          <w:t>15</w:t>
        </w:r>
        <w:r w:rsidR="00DB1260">
          <w:rPr>
            <w:noProof/>
            <w:webHidden/>
          </w:rPr>
          <w:fldChar w:fldCharType="end"/>
        </w:r>
      </w:hyperlink>
    </w:p>
    <w:p w14:paraId="75462601"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086" w:history="1">
        <w:r w:rsidR="00DB1260" w:rsidRPr="00651FD4">
          <w:rPr>
            <w:rStyle w:val="Hyperlink"/>
            <w:noProof/>
            <w14:scene3d>
              <w14:camera w14:prst="orthographicFront"/>
              <w14:lightRig w14:rig="threePt" w14:dir="t">
                <w14:rot w14:lat="0" w14:lon="0" w14:rev="0"/>
              </w14:lightRig>
            </w14:scene3d>
          </w:rPr>
          <w:t>6.</w:t>
        </w:r>
        <w:r w:rsidR="00DB1260">
          <w:rPr>
            <w:rFonts w:asciiTheme="minorHAnsi" w:eastAsiaTheme="minorEastAsia" w:hAnsiTheme="minorHAnsi" w:cstheme="minorBidi"/>
            <w:b w:val="0"/>
            <w:bCs w:val="0"/>
            <w:noProof/>
            <w:sz w:val="22"/>
            <w:szCs w:val="22"/>
            <w:lang w:eastAsia="en-AU"/>
          </w:rPr>
          <w:tab/>
        </w:r>
        <w:r w:rsidR="00DB1260" w:rsidRPr="00651FD4">
          <w:rPr>
            <w:rStyle w:val="Hyperlink"/>
            <w:noProof/>
          </w:rPr>
          <w:t>FINANCIAL ESTIMATES</w:t>
        </w:r>
        <w:r w:rsidR="00DB1260">
          <w:rPr>
            <w:noProof/>
            <w:webHidden/>
          </w:rPr>
          <w:tab/>
        </w:r>
        <w:r w:rsidR="00DB1260">
          <w:rPr>
            <w:noProof/>
            <w:webHidden/>
          </w:rPr>
          <w:fldChar w:fldCharType="begin"/>
        </w:r>
        <w:r w:rsidR="00DB1260">
          <w:rPr>
            <w:noProof/>
            <w:webHidden/>
          </w:rPr>
          <w:instrText xml:space="preserve"> PAGEREF _Toc85106086 \h </w:instrText>
        </w:r>
        <w:r w:rsidR="00DB1260">
          <w:rPr>
            <w:noProof/>
            <w:webHidden/>
          </w:rPr>
        </w:r>
        <w:r w:rsidR="00DB1260">
          <w:rPr>
            <w:noProof/>
            <w:webHidden/>
          </w:rPr>
          <w:fldChar w:fldCharType="separate"/>
        </w:r>
        <w:r>
          <w:rPr>
            <w:noProof/>
            <w:webHidden/>
          </w:rPr>
          <w:t>17</w:t>
        </w:r>
        <w:r w:rsidR="00DB1260">
          <w:rPr>
            <w:noProof/>
            <w:webHidden/>
          </w:rPr>
          <w:fldChar w:fldCharType="end"/>
        </w:r>
      </w:hyperlink>
    </w:p>
    <w:p w14:paraId="1F2CFDC9" w14:textId="77777777" w:rsidR="00DB1260" w:rsidRDefault="001D7B33">
      <w:pPr>
        <w:pStyle w:val="TOC2"/>
        <w:tabs>
          <w:tab w:val="left" w:pos="960"/>
          <w:tab w:val="right" w:leader="dot" w:pos="9742"/>
        </w:tabs>
        <w:rPr>
          <w:rFonts w:asciiTheme="minorHAnsi" w:eastAsiaTheme="minorEastAsia" w:hAnsiTheme="minorHAnsi" w:cstheme="minorBidi"/>
          <w:noProof/>
          <w:sz w:val="22"/>
          <w:szCs w:val="22"/>
          <w:lang w:eastAsia="en-AU"/>
        </w:rPr>
      </w:pPr>
      <w:hyperlink w:anchor="_Toc85106087" w:history="1">
        <w:r w:rsidR="00DB1260" w:rsidRPr="00651FD4">
          <w:rPr>
            <w:rStyle w:val="Hyperlink"/>
            <w:noProof/>
            <w:lang w:val="en-US"/>
          </w:rPr>
          <w:t>6.1</w:t>
        </w:r>
        <w:r w:rsidR="00DB1260">
          <w:rPr>
            <w:rFonts w:asciiTheme="minorHAnsi" w:eastAsiaTheme="minorEastAsia" w:hAnsiTheme="minorHAnsi" w:cstheme="minorBidi"/>
            <w:noProof/>
            <w:sz w:val="22"/>
            <w:szCs w:val="22"/>
            <w:lang w:eastAsia="en-AU"/>
          </w:rPr>
          <w:tab/>
        </w:r>
        <w:r w:rsidR="00DB1260" w:rsidRPr="00651FD4">
          <w:rPr>
            <w:rStyle w:val="Hyperlink"/>
            <w:noProof/>
            <w:lang w:val="en-US"/>
          </w:rPr>
          <w:t>Pattern Approval</w:t>
        </w:r>
        <w:r w:rsidR="00DB1260">
          <w:rPr>
            <w:noProof/>
            <w:webHidden/>
          </w:rPr>
          <w:tab/>
        </w:r>
        <w:r w:rsidR="00DB1260">
          <w:rPr>
            <w:noProof/>
            <w:webHidden/>
          </w:rPr>
          <w:fldChar w:fldCharType="begin"/>
        </w:r>
        <w:r w:rsidR="00DB1260">
          <w:rPr>
            <w:noProof/>
            <w:webHidden/>
          </w:rPr>
          <w:instrText xml:space="preserve"> PAGEREF _Toc85106087 \h </w:instrText>
        </w:r>
        <w:r w:rsidR="00DB1260">
          <w:rPr>
            <w:noProof/>
            <w:webHidden/>
          </w:rPr>
        </w:r>
        <w:r w:rsidR="00DB1260">
          <w:rPr>
            <w:noProof/>
            <w:webHidden/>
          </w:rPr>
          <w:fldChar w:fldCharType="separate"/>
        </w:r>
        <w:r>
          <w:rPr>
            <w:noProof/>
            <w:webHidden/>
          </w:rPr>
          <w:t>17</w:t>
        </w:r>
        <w:r w:rsidR="00DB1260">
          <w:rPr>
            <w:noProof/>
            <w:webHidden/>
          </w:rPr>
          <w:fldChar w:fldCharType="end"/>
        </w:r>
      </w:hyperlink>
    </w:p>
    <w:p w14:paraId="1C10C098" w14:textId="77777777" w:rsidR="00DB1260" w:rsidRDefault="001D7B33">
      <w:pPr>
        <w:pStyle w:val="TOC2"/>
        <w:tabs>
          <w:tab w:val="left" w:pos="960"/>
          <w:tab w:val="right" w:leader="dot" w:pos="9742"/>
        </w:tabs>
        <w:rPr>
          <w:rFonts w:asciiTheme="minorHAnsi" w:eastAsiaTheme="minorEastAsia" w:hAnsiTheme="minorHAnsi" w:cstheme="minorBidi"/>
          <w:noProof/>
          <w:sz w:val="22"/>
          <w:szCs w:val="22"/>
          <w:lang w:eastAsia="en-AU"/>
        </w:rPr>
      </w:pPr>
      <w:hyperlink w:anchor="_Toc85106088" w:history="1">
        <w:r w:rsidR="00DB1260" w:rsidRPr="00651FD4">
          <w:rPr>
            <w:rStyle w:val="Hyperlink"/>
            <w:noProof/>
            <w:lang w:val="en-US"/>
          </w:rPr>
          <w:t>6.2</w:t>
        </w:r>
        <w:r w:rsidR="00DB1260">
          <w:rPr>
            <w:rFonts w:asciiTheme="minorHAnsi" w:eastAsiaTheme="minorEastAsia" w:hAnsiTheme="minorHAnsi" w:cstheme="minorBidi"/>
            <w:noProof/>
            <w:sz w:val="22"/>
            <w:szCs w:val="22"/>
            <w:lang w:eastAsia="en-AU"/>
          </w:rPr>
          <w:tab/>
        </w:r>
        <w:r w:rsidR="00DB1260" w:rsidRPr="00651FD4">
          <w:rPr>
            <w:rStyle w:val="Hyperlink"/>
            <w:noProof/>
            <w:lang w:val="en-US"/>
          </w:rPr>
          <w:t>Licensing</w:t>
        </w:r>
        <w:r w:rsidR="00DB1260">
          <w:rPr>
            <w:noProof/>
            <w:webHidden/>
          </w:rPr>
          <w:tab/>
        </w:r>
        <w:r w:rsidR="00DB1260">
          <w:rPr>
            <w:noProof/>
            <w:webHidden/>
          </w:rPr>
          <w:fldChar w:fldCharType="begin"/>
        </w:r>
        <w:r w:rsidR="00DB1260">
          <w:rPr>
            <w:noProof/>
            <w:webHidden/>
          </w:rPr>
          <w:instrText xml:space="preserve"> PAGEREF _Toc85106088 \h </w:instrText>
        </w:r>
        <w:r w:rsidR="00DB1260">
          <w:rPr>
            <w:noProof/>
            <w:webHidden/>
          </w:rPr>
        </w:r>
        <w:r w:rsidR="00DB1260">
          <w:rPr>
            <w:noProof/>
            <w:webHidden/>
          </w:rPr>
          <w:fldChar w:fldCharType="separate"/>
        </w:r>
        <w:r>
          <w:rPr>
            <w:noProof/>
            <w:webHidden/>
          </w:rPr>
          <w:t>17</w:t>
        </w:r>
        <w:r w:rsidR="00DB1260">
          <w:rPr>
            <w:noProof/>
            <w:webHidden/>
          </w:rPr>
          <w:fldChar w:fldCharType="end"/>
        </w:r>
      </w:hyperlink>
    </w:p>
    <w:p w14:paraId="49B94004" w14:textId="77777777" w:rsidR="00DB1260" w:rsidRDefault="001D7B33">
      <w:pPr>
        <w:pStyle w:val="TOC2"/>
        <w:tabs>
          <w:tab w:val="left" w:pos="960"/>
          <w:tab w:val="right" w:leader="dot" w:pos="9742"/>
        </w:tabs>
        <w:rPr>
          <w:rFonts w:asciiTheme="minorHAnsi" w:eastAsiaTheme="minorEastAsia" w:hAnsiTheme="minorHAnsi" w:cstheme="minorBidi"/>
          <w:noProof/>
          <w:sz w:val="22"/>
          <w:szCs w:val="22"/>
          <w:lang w:eastAsia="en-AU"/>
        </w:rPr>
      </w:pPr>
      <w:hyperlink w:anchor="_Toc85106089" w:history="1">
        <w:r w:rsidR="00DB1260" w:rsidRPr="00651FD4">
          <w:rPr>
            <w:rStyle w:val="Hyperlink"/>
            <w:noProof/>
            <w:lang w:val="en-US"/>
          </w:rPr>
          <w:t>6.3</w:t>
        </w:r>
        <w:r w:rsidR="00DB1260">
          <w:rPr>
            <w:rFonts w:asciiTheme="minorHAnsi" w:eastAsiaTheme="minorEastAsia" w:hAnsiTheme="minorHAnsi" w:cstheme="minorBidi"/>
            <w:noProof/>
            <w:sz w:val="22"/>
            <w:szCs w:val="22"/>
            <w:lang w:eastAsia="en-AU"/>
          </w:rPr>
          <w:tab/>
        </w:r>
        <w:r w:rsidR="00DB1260" w:rsidRPr="00651FD4">
          <w:rPr>
            <w:rStyle w:val="Hyperlink"/>
            <w:noProof/>
            <w:lang w:val="en-US"/>
          </w:rPr>
          <w:t>Appointed Authorities</w:t>
        </w:r>
        <w:r w:rsidR="00DB1260">
          <w:rPr>
            <w:noProof/>
            <w:webHidden/>
          </w:rPr>
          <w:tab/>
        </w:r>
        <w:r w:rsidR="00DB1260">
          <w:rPr>
            <w:noProof/>
            <w:webHidden/>
          </w:rPr>
          <w:fldChar w:fldCharType="begin"/>
        </w:r>
        <w:r w:rsidR="00DB1260">
          <w:rPr>
            <w:noProof/>
            <w:webHidden/>
          </w:rPr>
          <w:instrText xml:space="preserve"> PAGEREF _Toc85106089 \h </w:instrText>
        </w:r>
        <w:r w:rsidR="00DB1260">
          <w:rPr>
            <w:noProof/>
            <w:webHidden/>
          </w:rPr>
        </w:r>
        <w:r w:rsidR="00DB1260">
          <w:rPr>
            <w:noProof/>
            <w:webHidden/>
          </w:rPr>
          <w:fldChar w:fldCharType="separate"/>
        </w:r>
        <w:r>
          <w:rPr>
            <w:noProof/>
            <w:webHidden/>
          </w:rPr>
          <w:t>17</w:t>
        </w:r>
        <w:r w:rsidR="00DB1260">
          <w:rPr>
            <w:noProof/>
            <w:webHidden/>
          </w:rPr>
          <w:fldChar w:fldCharType="end"/>
        </w:r>
      </w:hyperlink>
    </w:p>
    <w:p w14:paraId="62D9A727"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090" w:history="1">
        <w:r w:rsidR="00DB1260" w:rsidRPr="00651FD4">
          <w:rPr>
            <w:rStyle w:val="Hyperlink"/>
            <w:noProof/>
          </w:rPr>
          <w:t>7A FINANCIAL PERFORMANCE</w:t>
        </w:r>
        <w:r w:rsidR="00DB1260">
          <w:rPr>
            <w:noProof/>
            <w:webHidden/>
          </w:rPr>
          <w:tab/>
        </w:r>
        <w:r w:rsidR="00DB1260">
          <w:rPr>
            <w:noProof/>
            <w:webHidden/>
          </w:rPr>
          <w:fldChar w:fldCharType="begin"/>
        </w:r>
        <w:r w:rsidR="00DB1260">
          <w:rPr>
            <w:noProof/>
            <w:webHidden/>
          </w:rPr>
          <w:instrText xml:space="preserve"> PAGEREF _Toc85106090 \h </w:instrText>
        </w:r>
        <w:r w:rsidR="00DB1260">
          <w:rPr>
            <w:noProof/>
            <w:webHidden/>
          </w:rPr>
        </w:r>
        <w:r w:rsidR="00DB1260">
          <w:rPr>
            <w:noProof/>
            <w:webHidden/>
          </w:rPr>
          <w:fldChar w:fldCharType="separate"/>
        </w:r>
        <w:r>
          <w:rPr>
            <w:noProof/>
            <w:webHidden/>
          </w:rPr>
          <w:t>20</w:t>
        </w:r>
        <w:r w:rsidR="00DB1260">
          <w:rPr>
            <w:noProof/>
            <w:webHidden/>
          </w:rPr>
          <w:fldChar w:fldCharType="end"/>
        </w:r>
      </w:hyperlink>
    </w:p>
    <w:p w14:paraId="52EE6ADE" w14:textId="77777777" w:rsidR="00DB1260" w:rsidRDefault="001D7B33">
      <w:pPr>
        <w:pStyle w:val="TOC2"/>
        <w:tabs>
          <w:tab w:val="right" w:leader="dot" w:pos="9742"/>
        </w:tabs>
        <w:rPr>
          <w:rFonts w:asciiTheme="minorHAnsi" w:eastAsiaTheme="minorEastAsia" w:hAnsiTheme="minorHAnsi" w:cstheme="minorBidi"/>
          <w:noProof/>
          <w:sz w:val="22"/>
          <w:szCs w:val="22"/>
          <w:lang w:eastAsia="en-AU"/>
        </w:rPr>
      </w:pPr>
      <w:hyperlink w:anchor="_Toc85106091" w:history="1">
        <w:r w:rsidR="00DB1260" w:rsidRPr="00651FD4">
          <w:rPr>
            <w:rStyle w:val="Hyperlink"/>
            <w:noProof/>
            <w:lang w:val="en-US"/>
          </w:rPr>
          <w:t>Table 7 Pattern Approval</w:t>
        </w:r>
        <w:r w:rsidR="00DB1260">
          <w:rPr>
            <w:noProof/>
            <w:webHidden/>
          </w:rPr>
          <w:tab/>
        </w:r>
        <w:r w:rsidR="00DB1260">
          <w:rPr>
            <w:noProof/>
            <w:webHidden/>
          </w:rPr>
          <w:fldChar w:fldCharType="begin"/>
        </w:r>
        <w:r w:rsidR="00DB1260">
          <w:rPr>
            <w:noProof/>
            <w:webHidden/>
          </w:rPr>
          <w:instrText xml:space="preserve"> PAGEREF _Toc85106091 \h </w:instrText>
        </w:r>
        <w:r w:rsidR="00DB1260">
          <w:rPr>
            <w:noProof/>
            <w:webHidden/>
          </w:rPr>
        </w:r>
        <w:r w:rsidR="00DB1260">
          <w:rPr>
            <w:noProof/>
            <w:webHidden/>
          </w:rPr>
          <w:fldChar w:fldCharType="separate"/>
        </w:r>
        <w:r>
          <w:rPr>
            <w:noProof/>
            <w:webHidden/>
          </w:rPr>
          <w:t>20</w:t>
        </w:r>
        <w:r w:rsidR="00DB1260">
          <w:rPr>
            <w:noProof/>
            <w:webHidden/>
          </w:rPr>
          <w:fldChar w:fldCharType="end"/>
        </w:r>
      </w:hyperlink>
    </w:p>
    <w:p w14:paraId="1F86AF7A" w14:textId="77777777" w:rsidR="00DB1260" w:rsidRDefault="001D7B33">
      <w:pPr>
        <w:pStyle w:val="TOC2"/>
        <w:tabs>
          <w:tab w:val="right" w:leader="dot" w:pos="9742"/>
        </w:tabs>
        <w:rPr>
          <w:rFonts w:asciiTheme="minorHAnsi" w:eastAsiaTheme="minorEastAsia" w:hAnsiTheme="minorHAnsi" w:cstheme="minorBidi"/>
          <w:noProof/>
          <w:sz w:val="22"/>
          <w:szCs w:val="22"/>
          <w:lang w:eastAsia="en-AU"/>
        </w:rPr>
      </w:pPr>
      <w:hyperlink w:anchor="_Toc85106092" w:history="1">
        <w:r w:rsidR="00DB1260" w:rsidRPr="00651FD4">
          <w:rPr>
            <w:rStyle w:val="Hyperlink"/>
            <w:noProof/>
            <w:lang w:val="en-US"/>
          </w:rPr>
          <w:t>Table 8 Licensing and Appointments</w:t>
        </w:r>
        <w:r w:rsidR="00DB1260">
          <w:rPr>
            <w:noProof/>
            <w:webHidden/>
          </w:rPr>
          <w:tab/>
        </w:r>
        <w:r w:rsidR="00DB1260">
          <w:rPr>
            <w:noProof/>
            <w:webHidden/>
          </w:rPr>
          <w:fldChar w:fldCharType="begin"/>
        </w:r>
        <w:r w:rsidR="00DB1260">
          <w:rPr>
            <w:noProof/>
            <w:webHidden/>
          </w:rPr>
          <w:instrText xml:space="preserve"> PAGEREF _Toc85106092 \h </w:instrText>
        </w:r>
        <w:r w:rsidR="00DB1260">
          <w:rPr>
            <w:noProof/>
            <w:webHidden/>
          </w:rPr>
        </w:r>
        <w:r w:rsidR="00DB1260">
          <w:rPr>
            <w:noProof/>
            <w:webHidden/>
          </w:rPr>
          <w:fldChar w:fldCharType="separate"/>
        </w:r>
        <w:r>
          <w:rPr>
            <w:noProof/>
            <w:webHidden/>
          </w:rPr>
          <w:t>20</w:t>
        </w:r>
        <w:r w:rsidR="00DB1260">
          <w:rPr>
            <w:noProof/>
            <w:webHidden/>
          </w:rPr>
          <w:fldChar w:fldCharType="end"/>
        </w:r>
      </w:hyperlink>
    </w:p>
    <w:p w14:paraId="0D069338"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093" w:history="1">
        <w:r w:rsidR="00DB1260" w:rsidRPr="00651FD4">
          <w:rPr>
            <w:rStyle w:val="Hyperlink"/>
            <w:noProof/>
          </w:rPr>
          <w:t>7B</w:t>
        </w:r>
        <w:r w:rsidR="00DB1260">
          <w:rPr>
            <w:rFonts w:asciiTheme="minorHAnsi" w:eastAsiaTheme="minorEastAsia" w:hAnsiTheme="minorHAnsi" w:cstheme="minorBidi"/>
            <w:b w:val="0"/>
            <w:bCs w:val="0"/>
            <w:noProof/>
            <w:sz w:val="22"/>
            <w:szCs w:val="22"/>
            <w:lang w:eastAsia="en-AU"/>
          </w:rPr>
          <w:tab/>
        </w:r>
        <w:r w:rsidR="00DB1260" w:rsidRPr="00651FD4">
          <w:rPr>
            <w:rStyle w:val="Hyperlink"/>
            <w:noProof/>
          </w:rPr>
          <w:t>NON-FINANCIAL PERFORMANCE</w:t>
        </w:r>
        <w:r w:rsidR="00DB1260">
          <w:rPr>
            <w:noProof/>
            <w:webHidden/>
          </w:rPr>
          <w:tab/>
        </w:r>
        <w:r w:rsidR="00DB1260">
          <w:rPr>
            <w:noProof/>
            <w:webHidden/>
          </w:rPr>
          <w:fldChar w:fldCharType="begin"/>
        </w:r>
        <w:r w:rsidR="00DB1260">
          <w:rPr>
            <w:noProof/>
            <w:webHidden/>
          </w:rPr>
          <w:instrText xml:space="preserve"> PAGEREF _Toc85106093 \h </w:instrText>
        </w:r>
        <w:r w:rsidR="00DB1260">
          <w:rPr>
            <w:noProof/>
            <w:webHidden/>
          </w:rPr>
        </w:r>
        <w:r w:rsidR="00DB1260">
          <w:rPr>
            <w:noProof/>
            <w:webHidden/>
          </w:rPr>
          <w:fldChar w:fldCharType="separate"/>
        </w:r>
        <w:r>
          <w:rPr>
            <w:noProof/>
            <w:webHidden/>
          </w:rPr>
          <w:t>20</w:t>
        </w:r>
        <w:r w:rsidR="00DB1260">
          <w:rPr>
            <w:noProof/>
            <w:webHidden/>
          </w:rPr>
          <w:fldChar w:fldCharType="end"/>
        </w:r>
      </w:hyperlink>
    </w:p>
    <w:p w14:paraId="504A9226" w14:textId="77777777" w:rsidR="00DB1260" w:rsidRDefault="001D7B33">
      <w:pPr>
        <w:pStyle w:val="TOC2"/>
        <w:tabs>
          <w:tab w:val="right" w:leader="dot" w:pos="9742"/>
        </w:tabs>
        <w:rPr>
          <w:rFonts w:asciiTheme="minorHAnsi" w:eastAsiaTheme="minorEastAsia" w:hAnsiTheme="minorHAnsi" w:cstheme="minorBidi"/>
          <w:noProof/>
          <w:sz w:val="22"/>
          <w:szCs w:val="22"/>
          <w:lang w:eastAsia="en-AU"/>
        </w:rPr>
      </w:pPr>
      <w:hyperlink w:anchor="_Toc85106094" w:history="1">
        <w:r w:rsidR="00DB1260" w:rsidRPr="00651FD4">
          <w:rPr>
            <w:rStyle w:val="Hyperlink"/>
            <w:noProof/>
            <w:lang w:val="en-US"/>
          </w:rPr>
          <w:t>Pattern Approval</w:t>
        </w:r>
        <w:r w:rsidR="00DB1260">
          <w:rPr>
            <w:noProof/>
            <w:webHidden/>
          </w:rPr>
          <w:tab/>
        </w:r>
        <w:r w:rsidR="00DB1260">
          <w:rPr>
            <w:noProof/>
            <w:webHidden/>
          </w:rPr>
          <w:fldChar w:fldCharType="begin"/>
        </w:r>
        <w:r w:rsidR="00DB1260">
          <w:rPr>
            <w:noProof/>
            <w:webHidden/>
          </w:rPr>
          <w:instrText xml:space="preserve"> PAGEREF _Toc85106094 \h </w:instrText>
        </w:r>
        <w:r w:rsidR="00DB1260">
          <w:rPr>
            <w:noProof/>
            <w:webHidden/>
          </w:rPr>
        </w:r>
        <w:r w:rsidR="00DB1260">
          <w:rPr>
            <w:noProof/>
            <w:webHidden/>
          </w:rPr>
          <w:fldChar w:fldCharType="separate"/>
        </w:r>
        <w:r>
          <w:rPr>
            <w:noProof/>
            <w:webHidden/>
          </w:rPr>
          <w:t>20</w:t>
        </w:r>
        <w:r w:rsidR="00DB1260">
          <w:rPr>
            <w:noProof/>
            <w:webHidden/>
          </w:rPr>
          <w:fldChar w:fldCharType="end"/>
        </w:r>
      </w:hyperlink>
    </w:p>
    <w:p w14:paraId="57D5AE98" w14:textId="77777777" w:rsidR="00DB1260" w:rsidRDefault="001D7B33">
      <w:pPr>
        <w:pStyle w:val="TOC2"/>
        <w:tabs>
          <w:tab w:val="right" w:leader="dot" w:pos="9742"/>
        </w:tabs>
        <w:rPr>
          <w:rFonts w:asciiTheme="minorHAnsi" w:eastAsiaTheme="minorEastAsia" w:hAnsiTheme="minorHAnsi" w:cstheme="minorBidi"/>
          <w:noProof/>
          <w:sz w:val="22"/>
          <w:szCs w:val="22"/>
          <w:lang w:eastAsia="en-AU"/>
        </w:rPr>
      </w:pPr>
      <w:hyperlink w:anchor="_Toc85106095" w:history="1">
        <w:r w:rsidR="00DB1260" w:rsidRPr="00651FD4">
          <w:rPr>
            <w:rStyle w:val="Hyperlink"/>
            <w:noProof/>
            <w:lang w:val="en-US"/>
          </w:rPr>
          <w:t>Licensing and Appointments</w:t>
        </w:r>
        <w:r w:rsidR="00DB1260">
          <w:rPr>
            <w:noProof/>
            <w:webHidden/>
          </w:rPr>
          <w:tab/>
        </w:r>
        <w:r w:rsidR="00DB1260">
          <w:rPr>
            <w:noProof/>
            <w:webHidden/>
          </w:rPr>
          <w:fldChar w:fldCharType="begin"/>
        </w:r>
        <w:r w:rsidR="00DB1260">
          <w:rPr>
            <w:noProof/>
            <w:webHidden/>
          </w:rPr>
          <w:instrText xml:space="preserve"> PAGEREF _Toc85106095 \h </w:instrText>
        </w:r>
        <w:r w:rsidR="00DB1260">
          <w:rPr>
            <w:noProof/>
            <w:webHidden/>
          </w:rPr>
        </w:r>
        <w:r w:rsidR="00DB1260">
          <w:rPr>
            <w:noProof/>
            <w:webHidden/>
          </w:rPr>
          <w:fldChar w:fldCharType="separate"/>
        </w:r>
        <w:r>
          <w:rPr>
            <w:noProof/>
            <w:webHidden/>
          </w:rPr>
          <w:t>20</w:t>
        </w:r>
        <w:r w:rsidR="00DB1260">
          <w:rPr>
            <w:noProof/>
            <w:webHidden/>
          </w:rPr>
          <w:fldChar w:fldCharType="end"/>
        </w:r>
      </w:hyperlink>
    </w:p>
    <w:p w14:paraId="3B97E18C"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096" w:history="1">
        <w:r w:rsidR="00DB1260" w:rsidRPr="00651FD4">
          <w:rPr>
            <w:rStyle w:val="Hyperlink"/>
            <w:rFonts w:eastAsia="Arial"/>
            <w:noProof/>
            <w14:scene3d>
              <w14:camera w14:prst="orthographicFront"/>
              <w14:lightRig w14:rig="threePt" w14:dir="t">
                <w14:rot w14:lat="0" w14:lon="0" w14:rev="0"/>
              </w14:lightRig>
            </w14:scene3d>
          </w:rPr>
          <w:t>8.</w:t>
        </w:r>
        <w:r w:rsidR="00DB1260">
          <w:rPr>
            <w:rFonts w:asciiTheme="minorHAnsi" w:eastAsiaTheme="minorEastAsia" w:hAnsiTheme="minorHAnsi" w:cstheme="minorBidi"/>
            <w:b w:val="0"/>
            <w:bCs w:val="0"/>
            <w:noProof/>
            <w:sz w:val="22"/>
            <w:szCs w:val="22"/>
            <w:lang w:eastAsia="en-AU"/>
          </w:rPr>
          <w:tab/>
        </w:r>
        <w:r w:rsidR="00DB1260" w:rsidRPr="00651FD4">
          <w:rPr>
            <w:rStyle w:val="Hyperlink"/>
            <w:rFonts w:eastAsia="Arial"/>
            <w:noProof/>
          </w:rPr>
          <w:t>Key Dates and Events</w:t>
        </w:r>
        <w:r w:rsidR="00DB1260">
          <w:rPr>
            <w:noProof/>
            <w:webHidden/>
          </w:rPr>
          <w:tab/>
        </w:r>
        <w:r w:rsidR="00DB1260">
          <w:rPr>
            <w:noProof/>
            <w:webHidden/>
          </w:rPr>
          <w:fldChar w:fldCharType="begin"/>
        </w:r>
        <w:r w:rsidR="00DB1260">
          <w:rPr>
            <w:noProof/>
            <w:webHidden/>
          </w:rPr>
          <w:instrText xml:space="preserve"> PAGEREF _Toc85106096 \h </w:instrText>
        </w:r>
        <w:r w:rsidR="00DB1260">
          <w:rPr>
            <w:noProof/>
            <w:webHidden/>
          </w:rPr>
        </w:r>
        <w:r w:rsidR="00DB1260">
          <w:rPr>
            <w:noProof/>
            <w:webHidden/>
          </w:rPr>
          <w:fldChar w:fldCharType="separate"/>
        </w:r>
        <w:r>
          <w:rPr>
            <w:noProof/>
            <w:webHidden/>
          </w:rPr>
          <w:t>21</w:t>
        </w:r>
        <w:r w:rsidR="00DB1260">
          <w:rPr>
            <w:noProof/>
            <w:webHidden/>
          </w:rPr>
          <w:fldChar w:fldCharType="end"/>
        </w:r>
      </w:hyperlink>
    </w:p>
    <w:p w14:paraId="4CB49A04"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097" w:history="1">
        <w:r w:rsidR="00DB1260" w:rsidRPr="00651FD4">
          <w:rPr>
            <w:rStyle w:val="Hyperlink"/>
            <w:rFonts w:eastAsia="Arial"/>
            <w:noProof/>
            <w14:scene3d>
              <w14:camera w14:prst="orthographicFront"/>
              <w14:lightRig w14:rig="threePt" w14:dir="t">
                <w14:rot w14:lat="0" w14:lon="0" w14:rev="0"/>
              </w14:lightRig>
            </w14:scene3d>
          </w:rPr>
          <w:t>9.</w:t>
        </w:r>
        <w:r w:rsidR="00DB1260">
          <w:rPr>
            <w:rFonts w:asciiTheme="minorHAnsi" w:eastAsiaTheme="minorEastAsia" w:hAnsiTheme="minorHAnsi" w:cstheme="minorBidi"/>
            <w:b w:val="0"/>
            <w:bCs w:val="0"/>
            <w:noProof/>
            <w:sz w:val="22"/>
            <w:szCs w:val="22"/>
            <w:lang w:eastAsia="en-AU"/>
          </w:rPr>
          <w:tab/>
        </w:r>
        <w:r w:rsidR="00DB1260" w:rsidRPr="00651FD4">
          <w:rPr>
            <w:rStyle w:val="Hyperlink"/>
            <w:rFonts w:eastAsia="Arial"/>
            <w:noProof/>
          </w:rPr>
          <w:t>CRIS APPROVAL AND CHANGE REGISTER</w:t>
        </w:r>
        <w:r w:rsidR="00DB1260">
          <w:rPr>
            <w:noProof/>
            <w:webHidden/>
          </w:rPr>
          <w:tab/>
        </w:r>
        <w:r w:rsidR="00DB1260">
          <w:rPr>
            <w:noProof/>
            <w:webHidden/>
          </w:rPr>
          <w:fldChar w:fldCharType="begin"/>
        </w:r>
        <w:r w:rsidR="00DB1260">
          <w:rPr>
            <w:noProof/>
            <w:webHidden/>
          </w:rPr>
          <w:instrText xml:space="preserve"> PAGEREF _Toc85106097 \h </w:instrText>
        </w:r>
        <w:r w:rsidR="00DB1260">
          <w:rPr>
            <w:noProof/>
            <w:webHidden/>
          </w:rPr>
        </w:r>
        <w:r w:rsidR="00DB1260">
          <w:rPr>
            <w:noProof/>
            <w:webHidden/>
          </w:rPr>
          <w:fldChar w:fldCharType="separate"/>
        </w:r>
        <w:r>
          <w:rPr>
            <w:noProof/>
            <w:webHidden/>
          </w:rPr>
          <w:t>22</w:t>
        </w:r>
        <w:r w:rsidR="00DB1260">
          <w:rPr>
            <w:noProof/>
            <w:webHidden/>
          </w:rPr>
          <w:fldChar w:fldCharType="end"/>
        </w:r>
      </w:hyperlink>
    </w:p>
    <w:p w14:paraId="47856358"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098" w:history="1">
        <w:r w:rsidR="00DB1260" w:rsidRPr="00651FD4">
          <w:rPr>
            <w:rStyle w:val="Hyperlink"/>
            <w:rFonts w:eastAsia="Arial"/>
            <w:noProof/>
          </w:rPr>
          <w:t>Appendix A – Pattern Approval Fees</w:t>
        </w:r>
        <w:r w:rsidR="00DB1260">
          <w:rPr>
            <w:noProof/>
            <w:webHidden/>
          </w:rPr>
          <w:tab/>
        </w:r>
        <w:r w:rsidR="00DB1260">
          <w:rPr>
            <w:noProof/>
            <w:webHidden/>
          </w:rPr>
          <w:fldChar w:fldCharType="begin"/>
        </w:r>
        <w:r w:rsidR="00DB1260">
          <w:rPr>
            <w:noProof/>
            <w:webHidden/>
          </w:rPr>
          <w:instrText xml:space="preserve"> PAGEREF _Toc85106098 \h </w:instrText>
        </w:r>
        <w:r w:rsidR="00DB1260">
          <w:rPr>
            <w:noProof/>
            <w:webHidden/>
          </w:rPr>
        </w:r>
        <w:r w:rsidR="00DB1260">
          <w:rPr>
            <w:noProof/>
            <w:webHidden/>
          </w:rPr>
          <w:fldChar w:fldCharType="separate"/>
        </w:r>
        <w:r>
          <w:rPr>
            <w:noProof/>
            <w:webHidden/>
          </w:rPr>
          <w:t>23</w:t>
        </w:r>
        <w:r w:rsidR="00DB1260">
          <w:rPr>
            <w:noProof/>
            <w:webHidden/>
          </w:rPr>
          <w:fldChar w:fldCharType="end"/>
        </w:r>
      </w:hyperlink>
    </w:p>
    <w:p w14:paraId="63410347" w14:textId="77777777" w:rsidR="00DB1260" w:rsidRDefault="001D7B33">
      <w:pPr>
        <w:pStyle w:val="TOC2"/>
        <w:tabs>
          <w:tab w:val="right" w:leader="dot" w:pos="9742"/>
        </w:tabs>
        <w:rPr>
          <w:rFonts w:asciiTheme="minorHAnsi" w:eastAsiaTheme="minorEastAsia" w:hAnsiTheme="minorHAnsi" w:cstheme="minorBidi"/>
          <w:noProof/>
          <w:sz w:val="22"/>
          <w:szCs w:val="22"/>
          <w:lang w:eastAsia="en-AU"/>
        </w:rPr>
      </w:pPr>
      <w:hyperlink w:anchor="_Toc85106099" w:history="1">
        <w:r w:rsidR="00DB1260" w:rsidRPr="00651FD4">
          <w:rPr>
            <w:rStyle w:val="Hyperlink"/>
            <w:rFonts w:eastAsia="Arial"/>
            <w:noProof/>
          </w:rPr>
          <w:t>A.1 Pattern Approval fee for the financial year 2020-2021</w:t>
        </w:r>
        <w:r w:rsidR="00DB1260">
          <w:rPr>
            <w:noProof/>
            <w:webHidden/>
          </w:rPr>
          <w:tab/>
        </w:r>
        <w:r w:rsidR="00DB1260">
          <w:rPr>
            <w:noProof/>
            <w:webHidden/>
          </w:rPr>
          <w:fldChar w:fldCharType="begin"/>
        </w:r>
        <w:r w:rsidR="00DB1260">
          <w:rPr>
            <w:noProof/>
            <w:webHidden/>
          </w:rPr>
          <w:instrText xml:space="preserve"> PAGEREF _Toc85106099 \h </w:instrText>
        </w:r>
        <w:r w:rsidR="00DB1260">
          <w:rPr>
            <w:noProof/>
            <w:webHidden/>
          </w:rPr>
        </w:r>
        <w:r w:rsidR="00DB1260">
          <w:rPr>
            <w:noProof/>
            <w:webHidden/>
          </w:rPr>
          <w:fldChar w:fldCharType="separate"/>
        </w:r>
        <w:r>
          <w:rPr>
            <w:noProof/>
            <w:webHidden/>
          </w:rPr>
          <w:t>23</w:t>
        </w:r>
        <w:r w:rsidR="00DB1260">
          <w:rPr>
            <w:noProof/>
            <w:webHidden/>
          </w:rPr>
          <w:fldChar w:fldCharType="end"/>
        </w:r>
      </w:hyperlink>
    </w:p>
    <w:p w14:paraId="5027B29A" w14:textId="77777777" w:rsidR="00DB1260" w:rsidRDefault="001D7B33">
      <w:pPr>
        <w:pStyle w:val="TOC2"/>
        <w:tabs>
          <w:tab w:val="right" w:leader="dot" w:pos="9742"/>
        </w:tabs>
        <w:rPr>
          <w:rFonts w:asciiTheme="minorHAnsi" w:eastAsiaTheme="minorEastAsia" w:hAnsiTheme="minorHAnsi" w:cstheme="minorBidi"/>
          <w:noProof/>
          <w:sz w:val="22"/>
          <w:szCs w:val="22"/>
          <w:lang w:eastAsia="en-AU"/>
        </w:rPr>
      </w:pPr>
      <w:hyperlink w:anchor="_Toc85106100" w:history="1">
        <w:r w:rsidR="00DB1260" w:rsidRPr="00651FD4">
          <w:rPr>
            <w:rStyle w:val="Hyperlink"/>
            <w:rFonts w:eastAsia="Arial"/>
            <w:noProof/>
          </w:rPr>
          <w:t>A.2 Pattern Approval fee for the financial year 2021-2022</w:t>
        </w:r>
        <w:r w:rsidR="00DB1260">
          <w:rPr>
            <w:noProof/>
            <w:webHidden/>
          </w:rPr>
          <w:tab/>
        </w:r>
        <w:r w:rsidR="00DB1260">
          <w:rPr>
            <w:noProof/>
            <w:webHidden/>
          </w:rPr>
          <w:fldChar w:fldCharType="begin"/>
        </w:r>
        <w:r w:rsidR="00DB1260">
          <w:rPr>
            <w:noProof/>
            <w:webHidden/>
          </w:rPr>
          <w:instrText xml:space="preserve"> PAGEREF _Toc85106100 \h </w:instrText>
        </w:r>
        <w:r w:rsidR="00DB1260">
          <w:rPr>
            <w:noProof/>
            <w:webHidden/>
          </w:rPr>
        </w:r>
        <w:r w:rsidR="00DB1260">
          <w:rPr>
            <w:noProof/>
            <w:webHidden/>
          </w:rPr>
          <w:fldChar w:fldCharType="separate"/>
        </w:r>
        <w:r>
          <w:rPr>
            <w:noProof/>
            <w:webHidden/>
          </w:rPr>
          <w:t>25</w:t>
        </w:r>
        <w:r w:rsidR="00DB1260">
          <w:rPr>
            <w:noProof/>
            <w:webHidden/>
          </w:rPr>
          <w:fldChar w:fldCharType="end"/>
        </w:r>
      </w:hyperlink>
    </w:p>
    <w:p w14:paraId="1DFBA8CC"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101" w:history="1">
        <w:r w:rsidR="00DB1260" w:rsidRPr="00651FD4">
          <w:rPr>
            <w:rStyle w:val="Hyperlink"/>
            <w:rFonts w:eastAsia="Arial"/>
            <w:noProof/>
          </w:rPr>
          <w:t>Appendix B – Servicing Licence Fees</w:t>
        </w:r>
        <w:r w:rsidR="00DB1260">
          <w:rPr>
            <w:noProof/>
            <w:webHidden/>
          </w:rPr>
          <w:tab/>
        </w:r>
        <w:r w:rsidR="00DB1260">
          <w:rPr>
            <w:noProof/>
            <w:webHidden/>
          </w:rPr>
          <w:fldChar w:fldCharType="begin"/>
        </w:r>
        <w:r w:rsidR="00DB1260">
          <w:rPr>
            <w:noProof/>
            <w:webHidden/>
          </w:rPr>
          <w:instrText xml:space="preserve"> PAGEREF _Toc85106101 \h </w:instrText>
        </w:r>
        <w:r w:rsidR="00DB1260">
          <w:rPr>
            <w:noProof/>
            <w:webHidden/>
          </w:rPr>
        </w:r>
        <w:r w:rsidR="00DB1260">
          <w:rPr>
            <w:noProof/>
            <w:webHidden/>
          </w:rPr>
          <w:fldChar w:fldCharType="separate"/>
        </w:r>
        <w:r>
          <w:rPr>
            <w:noProof/>
            <w:webHidden/>
          </w:rPr>
          <w:t>27</w:t>
        </w:r>
        <w:r w:rsidR="00DB1260">
          <w:rPr>
            <w:noProof/>
            <w:webHidden/>
          </w:rPr>
          <w:fldChar w:fldCharType="end"/>
        </w:r>
      </w:hyperlink>
    </w:p>
    <w:p w14:paraId="5A874E55" w14:textId="77777777" w:rsidR="00DB1260" w:rsidRDefault="001D7B33">
      <w:pPr>
        <w:pStyle w:val="TOC2"/>
        <w:tabs>
          <w:tab w:val="right" w:leader="dot" w:pos="9742"/>
        </w:tabs>
        <w:rPr>
          <w:rFonts w:asciiTheme="minorHAnsi" w:eastAsiaTheme="minorEastAsia" w:hAnsiTheme="minorHAnsi" w:cstheme="minorBidi"/>
          <w:noProof/>
          <w:sz w:val="22"/>
          <w:szCs w:val="22"/>
          <w:lang w:eastAsia="en-AU"/>
        </w:rPr>
      </w:pPr>
      <w:hyperlink w:anchor="_Toc85106102" w:history="1">
        <w:r w:rsidR="00DB1260" w:rsidRPr="00651FD4">
          <w:rPr>
            <w:rStyle w:val="Hyperlink"/>
            <w:rFonts w:eastAsia="Arial"/>
            <w:noProof/>
          </w:rPr>
          <w:t>B.1 Servicing Licence fees for the financial year 2020-2021</w:t>
        </w:r>
        <w:r w:rsidR="00DB1260">
          <w:rPr>
            <w:noProof/>
            <w:webHidden/>
          </w:rPr>
          <w:tab/>
        </w:r>
        <w:r w:rsidR="00DB1260">
          <w:rPr>
            <w:noProof/>
            <w:webHidden/>
          </w:rPr>
          <w:fldChar w:fldCharType="begin"/>
        </w:r>
        <w:r w:rsidR="00DB1260">
          <w:rPr>
            <w:noProof/>
            <w:webHidden/>
          </w:rPr>
          <w:instrText xml:space="preserve"> PAGEREF _Toc85106102 \h </w:instrText>
        </w:r>
        <w:r w:rsidR="00DB1260">
          <w:rPr>
            <w:noProof/>
            <w:webHidden/>
          </w:rPr>
        </w:r>
        <w:r w:rsidR="00DB1260">
          <w:rPr>
            <w:noProof/>
            <w:webHidden/>
          </w:rPr>
          <w:fldChar w:fldCharType="separate"/>
        </w:r>
        <w:r>
          <w:rPr>
            <w:noProof/>
            <w:webHidden/>
          </w:rPr>
          <w:t>27</w:t>
        </w:r>
        <w:r w:rsidR="00DB1260">
          <w:rPr>
            <w:noProof/>
            <w:webHidden/>
          </w:rPr>
          <w:fldChar w:fldCharType="end"/>
        </w:r>
      </w:hyperlink>
    </w:p>
    <w:p w14:paraId="13D503E0" w14:textId="77777777" w:rsidR="00DB1260" w:rsidRDefault="001D7B33">
      <w:pPr>
        <w:pStyle w:val="TOC2"/>
        <w:tabs>
          <w:tab w:val="right" w:leader="dot" w:pos="9742"/>
        </w:tabs>
        <w:rPr>
          <w:rFonts w:asciiTheme="minorHAnsi" w:eastAsiaTheme="minorEastAsia" w:hAnsiTheme="minorHAnsi" w:cstheme="minorBidi"/>
          <w:noProof/>
          <w:sz w:val="22"/>
          <w:szCs w:val="22"/>
          <w:lang w:eastAsia="en-AU"/>
        </w:rPr>
      </w:pPr>
      <w:hyperlink w:anchor="_Toc85106103" w:history="1">
        <w:r w:rsidR="00DB1260" w:rsidRPr="00651FD4">
          <w:rPr>
            <w:rStyle w:val="Hyperlink"/>
            <w:rFonts w:eastAsia="Arial"/>
            <w:noProof/>
          </w:rPr>
          <w:t>B.2 Servicing Licence fees for the financial year 2021-2022</w:t>
        </w:r>
        <w:r w:rsidR="00DB1260">
          <w:rPr>
            <w:noProof/>
            <w:webHidden/>
          </w:rPr>
          <w:tab/>
        </w:r>
        <w:r w:rsidR="00DB1260">
          <w:rPr>
            <w:noProof/>
            <w:webHidden/>
          </w:rPr>
          <w:fldChar w:fldCharType="begin"/>
        </w:r>
        <w:r w:rsidR="00DB1260">
          <w:rPr>
            <w:noProof/>
            <w:webHidden/>
          </w:rPr>
          <w:instrText xml:space="preserve"> PAGEREF _Toc85106103 \h </w:instrText>
        </w:r>
        <w:r w:rsidR="00DB1260">
          <w:rPr>
            <w:noProof/>
            <w:webHidden/>
          </w:rPr>
        </w:r>
        <w:r w:rsidR="00DB1260">
          <w:rPr>
            <w:noProof/>
            <w:webHidden/>
          </w:rPr>
          <w:fldChar w:fldCharType="separate"/>
        </w:r>
        <w:r>
          <w:rPr>
            <w:noProof/>
            <w:webHidden/>
          </w:rPr>
          <w:t>28</w:t>
        </w:r>
        <w:r w:rsidR="00DB1260">
          <w:rPr>
            <w:noProof/>
            <w:webHidden/>
          </w:rPr>
          <w:fldChar w:fldCharType="end"/>
        </w:r>
      </w:hyperlink>
    </w:p>
    <w:p w14:paraId="6E02588D"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104" w:history="1">
        <w:r w:rsidR="00DB1260" w:rsidRPr="00651FD4">
          <w:rPr>
            <w:rStyle w:val="Hyperlink"/>
            <w:rFonts w:eastAsia="Arial"/>
            <w:noProof/>
          </w:rPr>
          <w:t>Appendix C – Public Weighbridge Licence Fees</w:t>
        </w:r>
        <w:r w:rsidR="00DB1260">
          <w:rPr>
            <w:noProof/>
            <w:webHidden/>
          </w:rPr>
          <w:tab/>
        </w:r>
        <w:r w:rsidR="00DB1260">
          <w:rPr>
            <w:noProof/>
            <w:webHidden/>
          </w:rPr>
          <w:fldChar w:fldCharType="begin"/>
        </w:r>
        <w:r w:rsidR="00DB1260">
          <w:rPr>
            <w:noProof/>
            <w:webHidden/>
          </w:rPr>
          <w:instrText xml:space="preserve"> PAGEREF _Toc85106104 \h </w:instrText>
        </w:r>
        <w:r w:rsidR="00DB1260">
          <w:rPr>
            <w:noProof/>
            <w:webHidden/>
          </w:rPr>
        </w:r>
        <w:r w:rsidR="00DB1260">
          <w:rPr>
            <w:noProof/>
            <w:webHidden/>
          </w:rPr>
          <w:fldChar w:fldCharType="separate"/>
        </w:r>
        <w:r>
          <w:rPr>
            <w:noProof/>
            <w:webHidden/>
          </w:rPr>
          <w:t>29</w:t>
        </w:r>
        <w:r w:rsidR="00DB1260">
          <w:rPr>
            <w:noProof/>
            <w:webHidden/>
          </w:rPr>
          <w:fldChar w:fldCharType="end"/>
        </w:r>
      </w:hyperlink>
    </w:p>
    <w:p w14:paraId="6B0C118E" w14:textId="77777777" w:rsidR="00DB1260" w:rsidRDefault="001D7B33">
      <w:pPr>
        <w:pStyle w:val="TOC2"/>
        <w:tabs>
          <w:tab w:val="right" w:leader="dot" w:pos="9742"/>
        </w:tabs>
        <w:rPr>
          <w:rFonts w:asciiTheme="minorHAnsi" w:eastAsiaTheme="minorEastAsia" w:hAnsiTheme="minorHAnsi" w:cstheme="minorBidi"/>
          <w:noProof/>
          <w:sz w:val="22"/>
          <w:szCs w:val="22"/>
          <w:lang w:eastAsia="en-AU"/>
        </w:rPr>
      </w:pPr>
      <w:hyperlink w:anchor="_Toc85106105" w:history="1">
        <w:r w:rsidR="00DB1260" w:rsidRPr="00651FD4">
          <w:rPr>
            <w:rStyle w:val="Hyperlink"/>
            <w:rFonts w:eastAsia="Arial"/>
            <w:noProof/>
            <w:lang w:val="en-US"/>
          </w:rPr>
          <w:t>C.1 Public Weighbridge Licence fees for the financial year 2021-2022</w:t>
        </w:r>
        <w:r w:rsidR="00DB1260">
          <w:rPr>
            <w:noProof/>
            <w:webHidden/>
          </w:rPr>
          <w:tab/>
        </w:r>
        <w:r w:rsidR="00DB1260">
          <w:rPr>
            <w:noProof/>
            <w:webHidden/>
          </w:rPr>
          <w:fldChar w:fldCharType="begin"/>
        </w:r>
        <w:r w:rsidR="00DB1260">
          <w:rPr>
            <w:noProof/>
            <w:webHidden/>
          </w:rPr>
          <w:instrText xml:space="preserve"> PAGEREF _Toc85106105 \h </w:instrText>
        </w:r>
        <w:r w:rsidR="00DB1260">
          <w:rPr>
            <w:noProof/>
            <w:webHidden/>
          </w:rPr>
        </w:r>
        <w:r w:rsidR="00DB1260">
          <w:rPr>
            <w:noProof/>
            <w:webHidden/>
          </w:rPr>
          <w:fldChar w:fldCharType="separate"/>
        </w:r>
        <w:r>
          <w:rPr>
            <w:noProof/>
            <w:webHidden/>
          </w:rPr>
          <w:t>29</w:t>
        </w:r>
        <w:r w:rsidR="00DB1260">
          <w:rPr>
            <w:noProof/>
            <w:webHidden/>
          </w:rPr>
          <w:fldChar w:fldCharType="end"/>
        </w:r>
      </w:hyperlink>
    </w:p>
    <w:p w14:paraId="490A6A00" w14:textId="77777777" w:rsidR="00DB1260" w:rsidRDefault="001D7B33">
      <w:pPr>
        <w:pStyle w:val="TOC1"/>
        <w:rPr>
          <w:rFonts w:asciiTheme="minorHAnsi" w:eastAsiaTheme="minorEastAsia" w:hAnsiTheme="minorHAnsi" w:cstheme="minorBidi"/>
          <w:b w:val="0"/>
          <w:bCs w:val="0"/>
          <w:noProof/>
          <w:sz w:val="22"/>
          <w:szCs w:val="22"/>
          <w:lang w:eastAsia="en-AU"/>
        </w:rPr>
      </w:pPr>
      <w:hyperlink w:anchor="_Toc85106106" w:history="1">
        <w:r w:rsidR="00DB1260" w:rsidRPr="00651FD4">
          <w:rPr>
            <w:rStyle w:val="Hyperlink"/>
            <w:rFonts w:eastAsia="Arial"/>
            <w:noProof/>
          </w:rPr>
          <w:t>Appendix D – Legal Metrology Authority Appointment Fees</w:t>
        </w:r>
        <w:r w:rsidR="00DB1260">
          <w:rPr>
            <w:noProof/>
            <w:webHidden/>
          </w:rPr>
          <w:tab/>
        </w:r>
        <w:r w:rsidR="00DB1260">
          <w:rPr>
            <w:noProof/>
            <w:webHidden/>
          </w:rPr>
          <w:fldChar w:fldCharType="begin"/>
        </w:r>
        <w:r w:rsidR="00DB1260">
          <w:rPr>
            <w:noProof/>
            <w:webHidden/>
          </w:rPr>
          <w:instrText xml:space="preserve"> PAGEREF _Toc85106106 \h </w:instrText>
        </w:r>
        <w:r w:rsidR="00DB1260">
          <w:rPr>
            <w:noProof/>
            <w:webHidden/>
          </w:rPr>
        </w:r>
        <w:r w:rsidR="00DB1260">
          <w:rPr>
            <w:noProof/>
            <w:webHidden/>
          </w:rPr>
          <w:fldChar w:fldCharType="separate"/>
        </w:r>
        <w:r>
          <w:rPr>
            <w:noProof/>
            <w:webHidden/>
          </w:rPr>
          <w:t>30</w:t>
        </w:r>
        <w:r w:rsidR="00DB1260">
          <w:rPr>
            <w:noProof/>
            <w:webHidden/>
          </w:rPr>
          <w:fldChar w:fldCharType="end"/>
        </w:r>
      </w:hyperlink>
    </w:p>
    <w:p w14:paraId="2F914DC1" w14:textId="77777777" w:rsidR="00DB1260" w:rsidRDefault="001D7B33">
      <w:pPr>
        <w:pStyle w:val="TOC2"/>
        <w:tabs>
          <w:tab w:val="right" w:leader="dot" w:pos="9742"/>
        </w:tabs>
        <w:rPr>
          <w:rFonts w:asciiTheme="minorHAnsi" w:eastAsiaTheme="minorEastAsia" w:hAnsiTheme="minorHAnsi" w:cstheme="minorBidi"/>
          <w:noProof/>
          <w:sz w:val="22"/>
          <w:szCs w:val="22"/>
          <w:lang w:eastAsia="en-AU"/>
        </w:rPr>
      </w:pPr>
      <w:hyperlink w:anchor="_Toc85106107" w:history="1">
        <w:r w:rsidR="00DB1260" w:rsidRPr="00651FD4">
          <w:rPr>
            <w:rStyle w:val="Hyperlink"/>
            <w:rFonts w:eastAsia="Arial"/>
            <w:noProof/>
          </w:rPr>
          <w:t>D.1 Legal Metrology Authority Appointment fees for the financial year 2020-2021</w:t>
        </w:r>
        <w:r w:rsidR="00DB1260">
          <w:rPr>
            <w:noProof/>
            <w:webHidden/>
          </w:rPr>
          <w:tab/>
        </w:r>
        <w:r w:rsidR="00DB1260">
          <w:rPr>
            <w:noProof/>
            <w:webHidden/>
          </w:rPr>
          <w:fldChar w:fldCharType="begin"/>
        </w:r>
        <w:r w:rsidR="00DB1260">
          <w:rPr>
            <w:noProof/>
            <w:webHidden/>
          </w:rPr>
          <w:instrText xml:space="preserve"> PAGEREF _Toc85106107 \h </w:instrText>
        </w:r>
        <w:r w:rsidR="00DB1260">
          <w:rPr>
            <w:noProof/>
            <w:webHidden/>
          </w:rPr>
        </w:r>
        <w:r w:rsidR="00DB1260">
          <w:rPr>
            <w:noProof/>
            <w:webHidden/>
          </w:rPr>
          <w:fldChar w:fldCharType="separate"/>
        </w:r>
        <w:r>
          <w:rPr>
            <w:noProof/>
            <w:webHidden/>
          </w:rPr>
          <w:t>30</w:t>
        </w:r>
        <w:r w:rsidR="00DB1260">
          <w:rPr>
            <w:noProof/>
            <w:webHidden/>
          </w:rPr>
          <w:fldChar w:fldCharType="end"/>
        </w:r>
      </w:hyperlink>
    </w:p>
    <w:p w14:paraId="7460B116" w14:textId="77777777" w:rsidR="00DB1260" w:rsidRDefault="001D7B33">
      <w:pPr>
        <w:pStyle w:val="TOC2"/>
        <w:tabs>
          <w:tab w:val="right" w:leader="dot" w:pos="9742"/>
        </w:tabs>
        <w:rPr>
          <w:rFonts w:asciiTheme="minorHAnsi" w:eastAsiaTheme="minorEastAsia" w:hAnsiTheme="minorHAnsi" w:cstheme="minorBidi"/>
          <w:noProof/>
          <w:sz w:val="22"/>
          <w:szCs w:val="22"/>
          <w:lang w:eastAsia="en-AU"/>
        </w:rPr>
      </w:pPr>
      <w:hyperlink w:anchor="_Toc85106108" w:history="1">
        <w:r w:rsidR="00DB1260" w:rsidRPr="00651FD4">
          <w:rPr>
            <w:rStyle w:val="Hyperlink"/>
            <w:rFonts w:eastAsia="Arial"/>
            <w:noProof/>
          </w:rPr>
          <w:t>D.2 Legal Metrology Authority Appointment fees for the financial year 2021-2022</w:t>
        </w:r>
        <w:r w:rsidR="00DB1260">
          <w:rPr>
            <w:noProof/>
            <w:webHidden/>
          </w:rPr>
          <w:tab/>
        </w:r>
        <w:r w:rsidR="00DB1260">
          <w:rPr>
            <w:noProof/>
            <w:webHidden/>
          </w:rPr>
          <w:fldChar w:fldCharType="begin"/>
        </w:r>
        <w:r w:rsidR="00DB1260">
          <w:rPr>
            <w:noProof/>
            <w:webHidden/>
          </w:rPr>
          <w:instrText xml:space="preserve"> PAGEREF _Toc85106108 \h </w:instrText>
        </w:r>
        <w:r w:rsidR="00DB1260">
          <w:rPr>
            <w:noProof/>
            <w:webHidden/>
          </w:rPr>
        </w:r>
        <w:r w:rsidR="00DB1260">
          <w:rPr>
            <w:noProof/>
            <w:webHidden/>
          </w:rPr>
          <w:fldChar w:fldCharType="separate"/>
        </w:r>
        <w:r>
          <w:rPr>
            <w:noProof/>
            <w:webHidden/>
          </w:rPr>
          <w:t>30</w:t>
        </w:r>
        <w:r w:rsidR="00DB1260">
          <w:rPr>
            <w:noProof/>
            <w:webHidden/>
          </w:rPr>
          <w:fldChar w:fldCharType="end"/>
        </w:r>
      </w:hyperlink>
    </w:p>
    <w:p w14:paraId="7712A025" w14:textId="77777777" w:rsidR="008B679D" w:rsidRPr="008366B0" w:rsidRDefault="00A840C9">
      <w:pPr>
        <w:pStyle w:val="Heading1"/>
      </w:pPr>
      <w:r w:rsidRPr="005A229D">
        <w:rPr>
          <w:color w:val="000000" w:themeColor="text1"/>
          <w:sz w:val="22"/>
        </w:rPr>
        <w:lastRenderedPageBreak/>
        <w:fldChar w:fldCharType="end"/>
      </w:r>
      <w:r w:rsidR="006D3D85" w:rsidRPr="006D3D85">
        <w:t xml:space="preserve"> </w:t>
      </w:r>
      <w:bookmarkStart w:id="3" w:name="_Toc85106065"/>
      <w:r w:rsidR="006D3D85" w:rsidRPr="008366B0">
        <w:t>INTRODUCTION</w:t>
      </w:r>
      <w:bookmarkStart w:id="4" w:name="_Toc526785386"/>
      <w:bookmarkEnd w:id="4"/>
      <w:bookmarkEnd w:id="3"/>
    </w:p>
    <w:p w14:paraId="2096B610" w14:textId="77777777" w:rsidR="00FC2ADE" w:rsidRPr="006C1DCD" w:rsidRDefault="00FC2ADE" w:rsidP="006C1DCD">
      <w:pPr>
        <w:pStyle w:val="Heading2"/>
        <w:spacing w:line="276" w:lineRule="auto"/>
        <w:rPr>
          <w:rFonts w:eastAsia="MS PGothic"/>
          <w:sz w:val="24"/>
          <w:szCs w:val="24"/>
        </w:rPr>
      </w:pPr>
      <w:bookmarkStart w:id="5" w:name="_Toc516468771"/>
      <w:bookmarkStart w:id="6" w:name="_Toc85106066"/>
      <w:r w:rsidRPr="006C1DCD">
        <w:rPr>
          <w:rFonts w:eastAsia="MS PGothic"/>
          <w:sz w:val="24"/>
          <w:szCs w:val="24"/>
        </w:rPr>
        <w:t xml:space="preserve">Purpose of the </w:t>
      </w:r>
      <w:r w:rsidR="00923196" w:rsidRPr="006C1DCD">
        <w:rPr>
          <w:rFonts w:eastAsia="MS PGothic"/>
          <w:sz w:val="24"/>
          <w:szCs w:val="24"/>
        </w:rPr>
        <w:t>Cost Recovery Implementation Statement</w:t>
      </w:r>
      <w:bookmarkEnd w:id="5"/>
      <w:bookmarkEnd w:id="6"/>
    </w:p>
    <w:p w14:paraId="50D338C9" w14:textId="77777777" w:rsidR="00165910" w:rsidRDefault="00165910" w:rsidP="00AB5D3B">
      <w:pPr>
        <w:pStyle w:val="Default"/>
        <w:spacing w:before="120" w:line="276" w:lineRule="auto"/>
        <w:rPr>
          <w:sz w:val="20"/>
          <w:szCs w:val="20"/>
        </w:rPr>
      </w:pPr>
      <w:r w:rsidRPr="00165910">
        <w:rPr>
          <w:sz w:val="20"/>
          <w:szCs w:val="20"/>
        </w:rPr>
        <w:t xml:space="preserve">This Cost Recovery Implementation Statement (CRIS) provides information on how the </w:t>
      </w:r>
      <w:r w:rsidR="00740F91">
        <w:rPr>
          <w:sz w:val="20"/>
          <w:szCs w:val="20"/>
        </w:rPr>
        <w:t>National Measurement Institute (</w:t>
      </w:r>
      <w:r>
        <w:rPr>
          <w:sz w:val="20"/>
          <w:szCs w:val="20"/>
        </w:rPr>
        <w:t>NMI</w:t>
      </w:r>
      <w:r w:rsidR="00740F91">
        <w:rPr>
          <w:sz w:val="20"/>
          <w:szCs w:val="20"/>
        </w:rPr>
        <w:t>)</w:t>
      </w:r>
      <w:r>
        <w:rPr>
          <w:sz w:val="20"/>
          <w:szCs w:val="20"/>
        </w:rPr>
        <w:t xml:space="preserve"> </w:t>
      </w:r>
      <w:r w:rsidRPr="00165910">
        <w:rPr>
          <w:sz w:val="20"/>
          <w:szCs w:val="20"/>
        </w:rPr>
        <w:t xml:space="preserve">implements cost recovery </w:t>
      </w:r>
      <w:r w:rsidR="00060AC1">
        <w:rPr>
          <w:sz w:val="20"/>
          <w:szCs w:val="20"/>
        </w:rPr>
        <w:t xml:space="preserve">for the </w:t>
      </w:r>
      <w:r w:rsidRPr="00165910">
        <w:rPr>
          <w:sz w:val="20"/>
          <w:szCs w:val="20"/>
        </w:rPr>
        <w:t xml:space="preserve">activities associated with the </w:t>
      </w:r>
      <w:r>
        <w:rPr>
          <w:sz w:val="20"/>
          <w:szCs w:val="20"/>
        </w:rPr>
        <w:t>administration of Pattern Approval (PA), Trade Measurement Licensing (Licensing) and Legal Metrology Authority Appointments (Appointments).</w:t>
      </w:r>
      <w:r w:rsidR="00487D23">
        <w:rPr>
          <w:sz w:val="20"/>
          <w:szCs w:val="20"/>
        </w:rPr>
        <w:t xml:space="preserve"> </w:t>
      </w:r>
    </w:p>
    <w:p w14:paraId="523660F8" w14:textId="5CF97472" w:rsidR="00465D27" w:rsidRDefault="00465D27" w:rsidP="00AB5D3B">
      <w:pPr>
        <w:pStyle w:val="Default"/>
        <w:spacing w:before="120" w:line="276" w:lineRule="auto"/>
        <w:rPr>
          <w:sz w:val="20"/>
          <w:szCs w:val="20"/>
        </w:rPr>
      </w:pPr>
      <w:r w:rsidRPr="00465D27">
        <w:rPr>
          <w:sz w:val="20"/>
          <w:szCs w:val="20"/>
        </w:rPr>
        <w:t xml:space="preserve">This CRIS also reports financial and non-financial performance information for the </w:t>
      </w:r>
      <w:r>
        <w:rPr>
          <w:sz w:val="20"/>
          <w:szCs w:val="20"/>
        </w:rPr>
        <w:t>NMI</w:t>
      </w:r>
      <w:r w:rsidRPr="00465D27">
        <w:rPr>
          <w:sz w:val="20"/>
          <w:szCs w:val="20"/>
        </w:rPr>
        <w:t xml:space="preserve"> </w:t>
      </w:r>
      <w:r w:rsidR="00035E51">
        <w:rPr>
          <w:sz w:val="20"/>
          <w:szCs w:val="20"/>
        </w:rPr>
        <w:t xml:space="preserve">for 2020 – 21 </w:t>
      </w:r>
      <w:r w:rsidRPr="00465D27">
        <w:rPr>
          <w:sz w:val="20"/>
          <w:szCs w:val="20"/>
        </w:rPr>
        <w:t xml:space="preserve">and contains financial forecasts for </w:t>
      </w:r>
      <w:r w:rsidR="008F6738">
        <w:rPr>
          <w:sz w:val="20"/>
          <w:szCs w:val="20"/>
        </w:rPr>
        <w:t xml:space="preserve">three </w:t>
      </w:r>
      <w:r w:rsidRPr="008F6738">
        <w:rPr>
          <w:sz w:val="20"/>
          <w:szCs w:val="20"/>
        </w:rPr>
        <w:t>forward years.</w:t>
      </w:r>
      <w:r w:rsidRPr="00465D27">
        <w:rPr>
          <w:sz w:val="20"/>
          <w:szCs w:val="20"/>
        </w:rPr>
        <w:t xml:space="preserve"> </w:t>
      </w:r>
    </w:p>
    <w:p w14:paraId="0B32DDCB" w14:textId="77777777" w:rsidR="009052E9" w:rsidRDefault="009052E9" w:rsidP="009052E9">
      <w:pPr>
        <w:pStyle w:val="Default"/>
        <w:spacing w:before="120" w:line="276" w:lineRule="auto"/>
        <w:rPr>
          <w:sz w:val="20"/>
          <w:szCs w:val="20"/>
          <w:lang w:val="en"/>
        </w:rPr>
      </w:pPr>
      <w:r w:rsidRPr="006D7543">
        <w:rPr>
          <w:sz w:val="20"/>
          <w:szCs w:val="20"/>
          <w:lang w:val="en"/>
        </w:rPr>
        <w:t>In April 2015, the Australian Government agreed to implement a whole-of-government charging framework</w:t>
      </w:r>
      <w:r w:rsidR="00471A4D">
        <w:rPr>
          <w:sz w:val="20"/>
          <w:szCs w:val="20"/>
          <w:lang w:val="en"/>
        </w:rPr>
        <w:t>, the Australian Government Charging Framework (the Charging Framework),</w:t>
      </w:r>
      <w:r w:rsidRPr="006D7543">
        <w:rPr>
          <w:sz w:val="20"/>
          <w:szCs w:val="20"/>
          <w:lang w:val="en"/>
        </w:rPr>
        <w:t xml:space="preserve"> to apply across the general government sector. The </w:t>
      </w:r>
      <w:r w:rsidR="00471A4D">
        <w:rPr>
          <w:sz w:val="20"/>
          <w:szCs w:val="20"/>
          <w:lang w:val="en"/>
        </w:rPr>
        <w:t xml:space="preserve">Charging </w:t>
      </w:r>
      <w:r w:rsidRPr="006D7543">
        <w:rPr>
          <w:sz w:val="20"/>
          <w:szCs w:val="20"/>
          <w:lang w:val="en"/>
        </w:rPr>
        <w:t xml:space="preserve">Framework provides that where an individual or organisation creates the demand for a government activity, they should generally be charged for it, unless the Government has </w:t>
      </w:r>
      <w:r w:rsidR="00717AEE">
        <w:rPr>
          <w:sz w:val="20"/>
          <w:szCs w:val="20"/>
          <w:lang w:val="en"/>
        </w:rPr>
        <w:t xml:space="preserve">found it appropriate </w:t>
      </w:r>
      <w:r w:rsidRPr="006D7543">
        <w:rPr>
          <w:sz w:val="20"/>
          <w:szCs w:val="20"/>
          <w:lang w:val="en"/>
        </w:rPr>
        <w:t>to fund the activity</w:t>
      </w:r>
      <w:r w:rsidR="00717AEE">
        <w:rPr>
          <w:sz w:val="20"/>
          <w:szCs w:val="20"/>
          <w:lang w:val="en"/>
        </w:rPr>
        <w:t xml:space="preserve"> through public resources</w:t>
      </w:r>
      <w:r w:rsidRPr="006D7543">
        <w:rPr>
          <w:sz w:val="20"/>
          <w:szCs w:val="20"/>
          <w:lang w:val="en"/>
        </w:rPr>
        <w:t xml:space="preserve">. </w:t>
      </w:r>
      <w:r w:rsidR="00F855BA">
        <w:rPr>
          <w:sz w:val="20"/>
          <w:szCs w:val="20"/>
          <w:lang w:val="en"/>
        </w:rPr>
        <w:t>The Charging Framework consists of:</w:t>
      </w:r>
    </w:p>
    <w:p w14:paraId="3973641A" w14:textId="77777777" w:rsidR="00F855BA" w:rsidRPr="006D7543" w:rsidRDefault="008358B0" w:rsidP="00DE02AA">
      <w:pPr>
        <w:pStyle w:val="Default"/>
        <w:numPr>
          <w:ilvl w:val="0"/>
          <w:numId w:val="21"/>
        </w:numPr>
        <w:spacing w:before="120" w:line="276" w:lineRule="auto"/>
        <w:rPr>
          <w:sz w:val="20"/>
          <w:szCs w:val="20"/>
        </w:rPr>
      </w:pPr>
      <w:r>
        <w:rPr>
          <w:sz w:val="20"/>
          <w:szCs w:val="20"/>
        </w:rPr>
        <w:t>A</w:t>
      </w:r>
      <w:r w:rsidR="00F855BA" w:rsidRPr="006D7543">
        <w:rPr>
          <w:sz w:val="20"/>
          <w:szCs w:val="20"/>
        </w:rPr>
        <w:t xml:space="preserve"> charging policy statement, which provides the rationale for Australian Government charging activities</w:t>
      </w:r>
      <w:r>
        <w:rPr>
          <w:sz w:val="20"/>
          <w:szCs w:val="20"/>
        </w:rPr>
        <w:t>.</w:t>
      </w:r>
      <w:r w:rsidR="00F855BA" w:rsidRPr="006D7543">
        <w:rPr>
          <w:sz w:val="20"/>
          <w:szCs w:val="20"/>
        </w:rPr>
        <w:t xml:space="preserve"> </w:t>
      </w:r>
    </w:p>
    <w:p w14:paraId="1AD40B7F" w14:textId="77777777" w:rsidR="00487D23" w:rsidRDefault="00487D23" w:rsidP="00487D23">
      <w:pPr>
        <w:pStyle w:val="ListParagraph"/>
        <w:spacing w:before="120" w:after="0"/>
        <w:contextualSpacing w:val="0"/>
        <w:rPr>
          <w:rFonts w:ascii="Arial" w:hAnsi="Arial" w:cs="Arial"/>
          <w:lang w:val="en"/>
        </w:rPr>
      </w:pPr>
      <w:r w:rsidRPr="0023246F">
        <w:rPr>
          <w:rFonts w:ascii="Arial" w:hAnsi="Arial" w:cs="Arial"/>
          <w:lang w:val="en"/>
        </w:rPr>
        <w:t>Based on the type of activity, policy outcomes sought</w:t>
      </w:r>
      <w:r w:rsidR="005402B1">
        <w:rPr>
          <w:rFonts w:ascii="Arial" w:hAnsi="Arial" w:cs="Arial"/>
          <w:lang w:val="en"/>
        </w:rPr>
        <w:t>,</w:t>
      </w:r>
      <w:r w:rsidRPr="0023246F">
        <w:rPr>
          <w:rFonts w:ascii="Arial" w:hAnsi="Arial" w:cs="Arial"/>
          <w:lang w:val="en"/>
        </w:rPr>
        <w:t xml:space="preserve"> and relevant public interest considerations, the Government may decide to charge for an activity, taking into account the Government's charging policy statement</w:t>
      </w:r>
      <w:r>
        <w:rPr>
          <w:rFonts w:ascii="Arial" w:hAnsi="Arial" w:cs="Arial"/>
          <w:lang w:val="en"/>
        </w:rPr>
        <w:t>.</w:t>
      </w:r>
    </w:p>
    <w:p w14:paraId="53C9B6A4" w14:textId="77777777" w:rsidR="00F855BA" w:rsidRPr="006D7543" w:rsidRDefault="008358B0" w:rsidP="00DE02AA">
      <w:pPr>
        <w:pStyle w:val="Default"/>
        <w:numPr>
          <w:ilvl w:val="0"/>
          <w:numId w:val="21"/>
        </w:numPr>
        <w:spacing w:before="120" w:line="276" w:lineRule="auto"/>
        <w:rPr>
          <w:sz w:val="20"/>
          <w:szCs w:val="20"/>
        </w:rPr>
      </w:pPr>
      <w:r>
        <w:rPr>
          <w:sz w:val="20"/>
          <w:szCs w:val="20"/>
        </w:rPr>
        <w:t>C</w:t>
      </w:r>
      <w:r w:rsidR="00F855BA" w:rsidRPr="006D7543">
        <w:rPr>
          <w:sz w:val="20"/>
          <w:szCs w:val="20"/>
        </w:rPr>
        <w:t>harging considerations to guide decision-making on whether charging might be appropriate</w:t>
      </w:r>
      <w:r w:rsidR="00D35FCB">
        <w:rPr>
          <w:sz w:val="20"/>
          <w:szCs w:val="20"/>
        </w:rPr>
        <w:t>.</w:t>
      </w:r>
      <w:r w:rsidR="00F855BA" w:rsidRPr="006D7543">
        <w:rPr>
          <w:sz w:val="20"/>
          <w:szCs w:val="20"/>
        </w:rPr>
        <w:t xml:space="preserve"> </w:t>
      </w:r>
    </w:p>
    <w:p w14:paraId="7C70918F" w14:textId="77777777" w:rsidR="00487D23" w:rsidRPr="0023246F" w:rsidRDefault="00487D23" w:rsidP="00487D23">
      <w:pPr>
        <w:pStyle w:val="ListParagraph"/>
        <w:spacing w:before="120" w:after="0"/>
        <w:contextualSpacing w:val="0"/>
        <w:rPr>
          <w:rFonts w:ascii="Arial" w:hAnsi="Arial" w:cs="Arial"/>
          <w:lang w:val="en"/>
        </w:rPr>
      </w:pPr>
      <w:r w:rsidRPr="000621C1">
        <w:rPr>
          <w:rFonts w:ascii="Arial" w:hAnsi="Arial" w:cs="Arial"/>
          <w:lang w:val="en"/>
        </w:rPr>
        <w:t>There are a number of considerations in determining whether it may be appropriate to charge for a gov</w:t>
      </w:r>
      <w:r>
        <w:rPr>
          <w:rFonts w:ascii="Arial" w:hAnsi="Arial" w:cs="Arial"/>
          <w:lang w:val="en"/>
        </w:rPr>
        <w:t xml:space="preserve">ernment activity. These include </w:t>
      </w:r>
      <w:r w:rsidRPr="000621C1">
        <w:rPr>
          <w:rFonts w:ascii="Arial" w:hAnsi="Arial" w:cs="Arial"/>
          <w:lang w:val="en"/>
        </w:rPr>
        <w:t>broad policy considerations, such as the effect of charging on the policy problem and proposed solution</w:t>
      </w:r>
      <w:r w:rsidR="005402B1">
        <w:rPr>
          <w:rFonts w:ascii="Arial" w:hAnsi="Arial" w:cs="Arial"/>
          <w:lang w:val="en"/>
        </w:rPr>
        <w:t>,</w:t>
      </w:r>
      <w:r>
        <w:rPr>
          <w:rFonts w:ascii="Arial" w:hAnsi="Arial" w:cs="Arial"/>
          <w:lang w:val="en"/>
        </w:rPr>
        <w:t xml:space="preserve"> and </w:t>
      </w:r>
      <w:r w:rsidRPr="000621C1">
        <w:rPr>
          <w:rFonts w:ascii="Arial" w:hAnsi="Arial" w:cs="Arial"/>
          <w:lang w:val="en"/>
        </w:rPr>
        <w:t>specific considerations, such as whether charging is the most efficient and effective sou</w:t>
      </w:r>
      <w:r>
        <w:rPr>
          <w:rFonts w:ascii="Arial" w:hAnsi="Arial" w:cs="Arial"/>
          <w:lang w:val="en"/>
        </w:rPr>
        <w:t>rce of funding for an activity. Different pricing models can be used based on the purpose and type of the charging activity.</w:t>
      </w:r>
    </w:p>
    <w:p w14:paraId="058D0EF1" w14:textId="0693841B" w:rsidR="00F855BA" w:rsidRPr="006D7543" w:rsidRDefault="008358B0" w:rsidP="00DE02AA">
      <w:pPr>
        <w:pStyle w:val="Default"/>
        <w:numPr>
          <w:ilvl w:val="0"/>
          <w:numId w:val="21"/>
        </w:numPr>
        <w:spacing w:before="120" w:line="276" w:lineRule="auto"/>
        <w:rPr>
          <w:sz w:val="20"/>
          <w:szCs w:val="20"/>
        </w:rPr>
      </w:pPr>
      <w:r>
        <w:rPr>
          <w:sz w:val="20"/>
          <w:szCs w:val="20"/>
        </w:rPr>
        <w:t>C</w:t>
      </w:r>
      <w:r w:rsidR="00F855BA" w:rsidRPr="006D7543">
        <w:rPr>
          <w:sz w:val="20"/>
          <w:szCs w:val="20"/>
        </w:rPr>
        <w:t>harging principles to assist with the design, implementation and</w:t>
      </w:r>
      <w:r w:rsidR="00F855BA" w:rsidRPr="00E26B47">
        <w:rPr>
          <w:sz w:val="20"/>
          <w:szCs w:val="20"/>
        </w:rPr>
        <w:t xml:space="preserve"> review of charging activitie</w:t>
      </w:r>
      <w:r w:rsidR="007521FD">
        <w:rPr>
          <w:sz w:val="20"/>
          <w:szCs w:val="20"/>
        </w:rPr>
        <w:t>s</w:t>
      </w:r>
      <w:r w:rsidR="00F855BA" w:rsidRPr="00E26B47">
        <w:rPr>
          <w:sz w:val="20"/>
          <w:szCs w:val="20"/>
        </w:rPr>
        <w:t>, which could be regulatory, resource</w:t>
      </w:r>
      <w:r w:rsidR="00553E6C">
        <w:rPr>
          <w:sz w:val="20"/>
          <w:szCs w:val="20"/>
        </w:rPr>
        <w:t xml:space="preserve"> (use of public prope</w:t>
      </w:r>
      <w:r w:rsidR="00D71E7C">
        <w:rPr>
          <w:sz w:val="20"/>
          <w:szCs w:val="20"/>
        </w:rPr>
        <w:t>r</w:t>
      </w:r>
      <w:r w:rsidR="00553E6C">
        <w:rPr>
          <w:sz w:val="20"/>
          <w:szCs w:val="20"/>
        </w:rPr>
        <w:t>ty, lease etc.)</w:t>
      </w:r>
      <w:r w:rsidR="00F855BA" w:rsidRPr="00E26B47">
        <w:rPr>
          <w:sz w:val="20"/>
          <w:szCs w:val="20"/>
        </w:rPr>
        <w:t xml:space="preserve"> or commercial</w:t>
      </w:r>
      <w:r>
        <w:rPr>
          <w:sz w:val="20"/>
          <w:szCs w:val="20"/>
        </w:rPr>
        <w:t>.</w:t>
      </w:r>
    </w:p>
    <w:p w14:paraId="0F82EDEC" w14:textId="77777777" w:rsidR="00487D23" w:rsidRDefault="00487D23" w:rsidP="00487D23">
      <w:pPr>
        <w:pStyle w:val="ListParagraph"/>
        <w:spacing w:before="120" w:after="0"/>
        <w:contextualSpacing w:val="0"/>
        <w:rPr>
          <w:rFonts w:ascii="Arial" w:hAnsi="Arial" w:cs="Arial"/>
          <w:szCs w:val="20"/>
          <w:lang w:val="en"/>
        </w:rPr>
      </w:pPr>
      <w:r w:rsidRPr="0023246F">
        <w:rPr>
          <w:rFonts w:ascii="Arial" w:hAnsi="Arial" w:cs="Arial"/>
          <w:szCs w:val="20"/>
          <w:lang w:val="en"/>
        </w:rPr>
        <w:t>The six charging principles</w:t>
      </w:r>
      <w:r w:rsidR="00124D15">
        <w:rPr>
          <w:rFonts w:ascii="Arial" w:hAnsi="Arial" w:cs="Arial"/>
          <w:szCs w:val="20"/>
          <w:lang w:val="en"/>
        </w:rPr>
        <w:t xml:space="preserve">, </w:t>
      </w:r>
      <w:r w:rsidRPr="0023246F">
        <w:rPr>
          <w:rFonts w:ascii="Arial" w:hAnsi="Arial" w:cs="Arial"/>
          <w:szCs w:val="20"/>
          <w:lang w:val="en"/>
        </w:rPr>
        <w:t xml:space="preserve">transparency, </w:t>
      </w:r>
      <w:r>
        <w:rPr>
          <w:rFonts w:ascii="Arial" w:hAnsi="Arial" w:cs="Arial"/>
          <w:szCs w:val="20"/>
          <w:lang w:val="en"/>
        </w:rPr>
        <w:t>efficiency, performance, equity, simplicity and policy consistency</w:t>
      </w:r>
      <w:r w:rsidR="00124D15">
        <w:rPr>
          <w:rFonts w:ascii="Arial" w:hAnsi="Arial" w:cs="Arial"/>
          <w:szCs w:val="20"/>
          <w:lang w:val="en"/>
        </w:rPr>
        <w:t>,</w:t>
      </w:r>
      <w:r>
        <w:rPr>
          <w:rFonts w:ascii="Arial" w:hAnsi="Arial" w:cs="Arial"/>
          <w:szCs w:val="20"/>
          <w:lang w:val="en"/>
        </w:rPr>
        <w:t xml:space="preserve"> guide all the processes involved in a government charging activity.</w:t>
      </w:r>
    </w:p>
    <w:p w14:paraId="2CEE3D51" w14:textId="77777777" w:rsidR="009052E9" w:rsidRDefault="009052E9" w:rsidP="00940E5A">
      <w:pPr>
        <w:pStyle w:val="Default"/>
        <w:spacing w:before="120" w:line="276" w:lineRule="auto"/>
        <w:rPr>
          <w:sz w:val="20"/>
          <w:szCs w:val="20"/>
          <w:lang w:val="en"/>
        </w:rPr>
      </w:pPr>
      <w:r>
        <w:rPr>
          <w:sz w:val="20"/>
          <w:szCs w:val="20"/>
          <w:lang w:val="en"/>
        </w:rPr>
        <w:t>T</w:t>
      </w:r>
      <w:r w:rsidR="00574A53">
        <w:rPr>
          <w:sz w:val="20"/>
          <w:szCs w:val="20"/>
          <w:lang w:val="en"/>
        </w:rPr>
        <w:t xml:space="preserve">he Charging Framework </w:t>
      </w:r>
      <w:r w:rsidR="001D217C" w:rsidRPr="00165910">
        <w:rPr>
          <w:sz w:val="20"/>
          <w:szCs w:val="20"/>
          <w:lang w:val="en"/>
        </w:rPr>
        <w:t xml:space="preserve">is administered by the Department of Finance and </w:t>
      </w:r>
      <w:r w:rsidR="00574A53">
        <w:rPr>
          <w:sz w:val="20"/>
          <w:szCs w:val="20"/>
          <w:lang w:val="en"/>
        </w:rPr>
        <w:t xml:space="preserve">is outlined in Resource Management Guide 302, Charging Framework and Resource Management Guide 304, </w:t>
      </w:r>
      <w:r w:rsidR="001D217C" w:rsidRPr="00165910">
        <w:rPr>
          <w:sz w:val="20"/>
          <w:szCs w:val="20"/>
          <w:lang w:val="en"/>
        </w:rPr>
        <w:t xml:space="preserve">the </w:t>
      </w:r>
      <w:r w:rsidR="00574A53">
        <w:rPr>
          <w:sz w:val="20"/>
          <w:szCs w:val="20"/>
          <w:lang w:val="en"/>
        </w:rPr>
        <w:t xml:space="preserve">Australian Government </w:t>
      </w:r>
      <w:r w:rsidR="001D217C" w:rsidRPr="00165910">
        <w:rPr>
          <w:sz w:val="20"/>
          <w:szCs w:val="20"/>
          <w:lang w:val="en"/>
        </w:rPr>
        <w:t>Cost Recovery Guidelines</w:t>
      </w:r>
      <w:r w:rsidR="00717AEE">
        <w:rPr>
          <w:sz w:val="20"/>
          <w:szCs w:val="20"/>
          <w:lang w:val="en"/>
        </w:rPr>
        <w:t xml:space="preserve"> (Guidelines)</w:t>
      </w:r>
      <w:r w:rsidR="001D217C" w:rsidRPr="00165910">
        <w:rPr>
          <w:sz w:val="20"/>
          <w:szCs w:val="20"/>
          <w:lang w:val="en"/>
        </w:rPr>
        <w:t>.</w:t>
      </w:r>
      <w:r w:rsidR="001D217C">
        <w:rPr>
          <w:sz w:val="20"/>
          <w:szCs w:val="20"/>
          <w:lang w:val="en"/>
        </w:rPr>
        <w:t xml:space="preserve"> </w:t>
      </w:r>
      <w:r w:rsidR="001D217C" w:rsidRPr="00165910">
        <w:rPr>
          <w:sz w:val="20"/>
          <w:szCs w:val="20"/>
          <w:lang w:val="en"/>
        </w:rPr>
        <w:t xml:space="preserve">According to the Guidelines, a </w:t>
      </w:r>
      <w:r w:rsidR="00717AEE">
        <w:rPr>
          <w:sz w:val="20"/>
          <w:szCs w:val="20"/>
          <w:lang w:val="en"/>
        </w:rPr>
        <w:t>CRIS</w:t>
      </w:r>
      <w:r w:rsidR="001D217C" w:rsidRPr="00165910">
        <w:rPr>
          <w:sz w:val="20"/>
          <w:szCs w:val="20"/>
          <w:lang w:val="en"/>
        </w:rPr>
        <w:t xml:space="preserve"> </w:t>
      </w:r>
      <w:r w:rsidR="001813A3">
        <w:rPr>
          <w:sz w:val="20"/>
          <w:szCs w:val="20"/>
          <w:lang w:val="en"/>
        </w:rPr>
        <w:t>must</w:t>
      </w:r>
      <w:r w:rsidR="001813A3" w:rsidRPr="00165910">
        <w:rPr>
          <w:sz w:val="20"/>
          <w:szCs w:val="20"/>
          <w:lang w:val="en"/>
        </w:rPr>
        <w:t xml:space="preserve"> </w:t>
      </w:r>
      <w:r w:rsidR="001D217C" w:rsidRPr="00165910">
        <w:rPr>
          <w:sz w:val="20"/>
          <w:szCs w:val="20"/>
          <w:lang w:val="en"/>
        </w:rPr>
        <w:t>be prepared for cost recovery arrangements</w:t>
      </w:r>
      <w:r w:rsidR="00F3182D">
        <w:rPr>
          <w:sz w:val="20"/>
          <w:szCs w:val="20"/>
          <w:lang w:val="en"/>
        </w:rPr>
        <w:t xml:space="preserve"> for regulatory activities</w:t>
      </w:r>
      <w:r w:rsidR="001D217C">
        <w:rPr>
          <w:sz w:val="20"/>
          <w:szCs w:val="20"/>
          <w:lang w:val="en"/>
        </w:rPr>
        <w:t>.</w:t>
      </w:r>
    </w:p>
    <w:p w14:paraId="4AB32A50" w14:textId="77777777" w:rsidR="006C044F" w:rsidRDefault="00F855BA">
      <w:pPr>
        <w:pStyle w:val="Default"/>
        <w:spacing w:before="120" w:line="276" w:lineRule="auto"/>
        <w:rPr>
          <w:sz w:val="20"/>
          <w:szCs w:val="20"/>
          <w:lang w:val="en"/>
        </w:rPr>
      </w:pPr>
      <w:r w:rsidRPr="00F855BA">
        <w:rPr>
          <w:sz w:val="20"/>
          <w:szCs w:val="20"/>
          <w:lang w:val="en"/>
        </w:rPr>
        <w:t xml:space="preserve">The </w:t>
      </w:r>
      <w:r w:rsidR="006D7543">
        <w:rPr>
          <w:sz w:val="20"/>
          <w:szCs w:val="20"/>
          <w:lang w:val="en"/>
        </w:rPr>
        <w:t>Charging</w:t>
      </w:r>
      <w:r w:rsidR="00487D23">
        <w:rPr>
          <w:sz w:val="20"/>
          <w:szCs w:val="20"/>
          <w:lang w:val="en"/>
        </w:rPr>
        <w:t xml:space="preserve"> </w:t>
      </w:r>
      <w:r w:rsidRPr="00F855BA">
        <w:rPr>
          <w:sz w:val="20"/>
          <w:szCs w:val="20"/>
          <w:lang w:val="en"/>
        </w:rPr>
        <w:t>Framework builds on the</w:t>
      </w:r>
      <w:r>
        <w:rPr>
          <w:sz w:val="20"/>
          <w:szCs w:val="20"/>
          <w:lang w:val="en"/>
        </w:rPr>
        <w:t xml:space="preserve"> 2014 Cost Recovery Guidelines.</w:t>
      </w:r>
      <w:r w:rsidRPr="00F855BA">
        <w:rPr>
          <w:sz w:val="20"/>
          <w:szCs w:val="20"/>
          <w:lang w:val="en"/>
        </w:rPr>
        <w:t xml:space="preserve"> It encourages a common approach to planning, implementing and reviewing government charging, which should lead to improved and consistent government charging. The </w:t>
      </w:r>
      <w:r w:rsidR="00717AEE">
        <w:rPr>
          <w:sz w:val="20"/>
          <w:szCs w:val="20"/>
          <w:lang w:val="en"/>
        </w:rPr>
        <w:t xml:space="preserve">Charging </w:t>
      </w:r>
      <w:r w:rsidRPr="00F855BA">
        <w:rPr>
          <w:sz w:val="20"/>
          <w:szCs w:val="20"/>
          <w:lang w:val="en"/>
        </w:rPr>
        <w:t xml:space="preserve">Framework </w:t>
      </w:r>
      <w:r w:rsidR="006C044F" w:rsidRPr="00F855BA">
        <w:rPr>
          <w:sz w:val="20"/>
          <w:szCs w:val="20"/>
          <w:lang w:val="en"/>
        </w:rPr>
        <w:t>supports</w:t>
      </w:r>
      <w:r w:rsidR="006C044F">
        <w:rPr>
          <w:sz w:val="20"/>
          <w:szCs w:val="20"/>
          <w:lang w:val="en"/>
        </w:rPr>
        <w:t>:</w:t>
      </w:r>
    </w:p>
    <w:p w14:paraId="566B0964" w14:textId="77777777" w:rsidR="00F855BA" w:rsidRDefault="005402B1" w:rsidP="00DE02AA">
      <w:pPr>
        <w:pStyle w:val="Default"/>
        <w:numPr>
          <w:ilvl w:val="0"/>
          <w:numId w:val="23"/>
        </w:numPr>
        <w:spacing w:before="120" w:line="276" w:lineRule="auto"/>
        <w:rPr>
          <w:sz w:val="20"/>
          <w:szCs w:val="20"/>
          <w:lang w:val="en"/>
        </w:rPr>
      </w:pPr>
      <w:r>
        <w:rPr>
          <w:sz w:val="20"/>
          <w:szCs w:val="20"/>
          <w:lang w:val="en"/>
        </w:rPr>
        <w:t xml:space="preserve">the </w:t>
      </w:r>
      <w:r w:rsidR="00F855BA" w:rsidRPr="00F855BA">
        <w:rPr>
          <w:sz w:val="20"/>
          <w:szCs w:val="20"/>
          <w:lang w:val="en"/>
        </w:rPr>
        <w:t>Australian Government’s role in delivering quality public programs to Australian citizens, communities and the economy more broadly, by assisting to im</w:t>
      </w:r>
      <w:r>
        <w:rPr>
          <w:sz w:val="20"/>
          <w:szCs w:val="20"/>
          <w:lang w:val="en"/>
        </w:rPr>
        <w:t>prove program funding decisions</w:t>
      </w:r>
    </w:p>
    <w:p w14:paraId="6354225C" w14:textId="77777777" w:rsidR="009052E9" w:rsidRPr="005402B1" w:rsidRDefault="00F855BA" w:rsidP="00DE02AA">
      <w:pPr>
        <w:pStyle w:val="Default"/>
        <w:numPr>
          <w:ilvl w:val="0"/>
          <w:numId w:val="23"/>
        </w:numPr>
        <w:spacing w:before="120" w:line="276" w:lineRule="auto"/>
        <w:rPr>
          <w:sz w:val="20"/>
          <w:szCs w:val="20"/>
          <w:lang w:val="en"/>
        </w:rPr>
      </w:pPr>
      <w:r w:rsidRPr="00F855BA">
        <w:rPr>
          <w:sz w:val="20"/>
          <w:szCs w:val="20"/>
          <w:lang w:val="en"/>
        </w:rPr>
        <w:t>legislative responsibilities of Com</w:t>
      </w:r>
      <w:r w:rsidR="005402B1">
        <w:rPr>
          <w:sz w:val="20"/>
          <w:szCs w:val="20"/>
          <w:lang w:val="en"/>
        </w:rPr>
        <w:t>monwealth entities, as detailed</w:t>
      </w:r>
      <w:r w:rsidRPr="00F855BA">
        <w:rPr>
          <w:sz w:val="20"/>
          <w:szCs w:val="20"/>
          <w:lang w:val="en"/>
        </w:rPr>
        <w:t xml:space="preserve"> in the </w:t>
      </w:r>
      <w:r w:rsidRPr="000B06BE">
        <w:rPr>
          <w:i/>
          <w:sz w:val="20"/>
          <w:szCs w:val="20"/>
          <w:lang w:val="en"/>
        </w:rPr>
        <w:t>Public Governance, Performance and Accountability Act 2013</w:t>
      </w:r>
      <w:r w:rsidRPr="00F855BA">
        <w:rPr>
          <w:sz w:val="20"/>
          <w:szCs w:val="20"/>
          <w:lang w:val="en"/>
        </w:rPr>
        <w:t xml:space="preserve"> (PGPA Act) </w:t>
      </w:r>
    </w:p>
    <w:p w14:paraId="2DB705E1" w14:textId="77777777" w:rsidR="00124D15" w:rsidRPr="00124D15" w:rsidRDefault="00124D15" w:rsidP="00124D15">
      <w:pPr>
        <w:pStyle w:val="Default"/>
        <w:spacing w:before="120" w:line="276" w:lineRule="auto"/>
        <w:rPr>
          <w:sz w:val="20"/>
          <w:szCs w:val="20"/>
          <w:lang w:val="en"/>
        </w:rPr>
      </w:pPr>
      <w:bookmarkStart w:id="7" w:name="_Toc516468772"/>
      <w:r>
        <w:rPr>
          <w:sz w:val="20"/>
          <w:szCs w:val="20"/>
          <w:lang w:val="en"/>
        </w:rPr>
        <w:t>More information on t</w:t>
      </w:r>
      <w:r w:rsidRPr="00124D15">
        <w:rPr>
          <w:sz w:val="20"/>
          <w:szCs w:val="20"/>
          <w:lang w:val="en"/>
        </w:rPr>
        <w:t xml:space="preserve">he Australian Government Charging Framework is available on the </w:t>
      </w:r>
      <w:hyperlink r:id="rId12" w:history="1">
        <w:r w:rsidRPr="00124D15">
          <w:rPr>
            <w:rStyle w:val="Hyperlink"/>
            <w:rFonts w:cs="Arial"/>
            <w:sz w:val="20"/>
            <w:szCs w:val="20"/>
            <w:lang w:val="en"/>
          </w:rPr>
          <w:t>Department of Finance website</w:t>
        </w:r>
      </w:hyperlink>
      <w:r w:rsidRPr="00124D15">
        <w:rPr>
          <w:sz w:val="20"/>
          <w:szCs w:val="20"/>
          <w:lang w:val="en"/>
        </w:rPr>
        <w:t xml:space="preserve"> (</w:t>
      </w:r>
      <w:hyperlink r:id="rId13" w:history="1">
        <w:r w:rsidRPr="00124D15">
          <w:rPr>
            <w:sz w:val="20"/>
            <w:szCs w:val="20"/>
            <w:lang w:val="en"/>
          </w:rPr>
          <w:t>finance.gov.au/resource-management/charging-framework/)</w:t>
        </w:r>
      </w:hyperlink>
      <w:r>
        <w:rPr>
          <w:sz w:val="20"/>
          <w:szCs w:val="20"/>
          <w:lang w:val="en"/>
        </w:rPr>
        <w:t>.</w:t>
      </w:r>
    </w:p>
    <w:p w14:paraId="61695623" w14:textId="77777777" w:rsidR="00D35FCB" w:rsidRDefault="00D35FCB">
      <w:pPr>
        <w:spacing w:after="200" w:line="276" w:lineRule="auto"/>
        <w:rPr>
          <w:rFonts w:eastAsia="MS PGothic" w:cs="Arial"/>
          <w:b/>
          <w:bCs/>
          <w:iCs/>
          <w:sz w:val="24"/>
        </w:rPr>
      </w:pPr>
      <w:r>
        <w:rPr>
          <w:rFonts w:eastAsia="MS PGothic"/>
          <w:sz w:val="24"/>
        </w:rPr>
        <w:br w:type="page"/>
      </w:r>
    </w:p>
    <w:p w14:paraId="211A6EE8" w14:textId="77777777" w:rsidR="00FC2ADE" w:rsidRPr="006C1DCD" w:rsidRDefault="00913E35" w:rsidP="00AB5D3B">
      <w:pPr>
        <w:pStyle w:val="Heading2"/>
        <w:spacing w:line="276" w:lineRule="auto"/>
        <w:rPr>
          <w:rFonts w:eastAsia="MS PGothic"/>
          <w:sz w:val="24"/>
          <w:szCs w:val="24"/>
        </w:rPr>
      </w:pPr>
      <w:bookmarkStart w:id="8" w:name="_Toc85106067"/>
      <w:r w:rsidRPr="006C1DCD">
        <w:rPr>
          <w:rFonts w:eastAsia="MS PGothic"/>
          <w:sz w:val="24"/>
          <w:szCs w:val="24"/>
        </w:rPr>
        <w:lastRenderedPageBreak/>
        <w:t>Description of the regulatory charging activity</w:t>
      </w:r>
      <w:bookmarkEnd w:id="7"/>
      <w:bookmarkEnd w:id="8"/>
      <w:r w:rsidR="00FC2ADE" w:rsidRPr="006C1DCD">
        <w:rPr>
          <w:rFonts w:eastAsia="MS PGothic"/>
          <w:sz w:val="24"/>
          <w:szCs w:val="24"/>
        </w:rPr>
        <w:tab/>
        <w:t xml:space="preserve"> </w:t>
      </w:r>
    </w:p>
    <w:p w14:paraId="0E1D8D3B" w14:textId="5064DD15" w:rsidR="0090416A" w:rsidRPr="0090416A" w:rsidRDefault="0090416A" w:rsidP="00940E5A">
      <w:pPr>
        <w:spacing w:before="120" w:after="120" w:line="276" w:lineRule="auto"/>
        <w:rPr>
          <w:rFonts w:eastAsia="Arial" w:cs="Arial"/>
          <w:szCs w:val="20"/>
        </w:rPr>
      </w:pPr>
      <w:r w:rsidRPr="0090416A">
        <w:rPr>
          <w:rFonts w:eastAsia="Arial" w:cs="Arial"/>
          <w:szCs w:val="20"/>
        </w:rPr>
        <w:t xml:space="preserve">NMI, a division of the Department of Industry, Science, </w:t>
      </w:r>
      <w:r w:rsidR="008F6738">
        <w:rPr>
          <w:rFonts w:eastAsia="Arial" w:cs="Arial"/>
          <w:szCs w:val="20"/>
        </w:rPr>
        <w:t xml:space="preserve">Energy and Resources </w:t>
      </w:r>
      <w:r w:rsidRPr="0090416A">
        <w:rPr>
          <w:rFonts w:eastAsia="Arial" w:cs="Arial"/>
          <w:szCs w:val="20"/>
        </w:rPr>
        <w:t xml:space="preserve">administers Australia’s </w:t>
      </w:r>
      <w:r w:rsidR="00925014">
        <w:rPr>
          <w:rFonts w:eastAsia="Arial" w:cs="Arial"/>
          <w:szCs w:val="20"/>
        </w:rPr>
        <w:t>measurement</w:t>
      </w:r>
      <w:r w:rsidRPr="0090416A">
        <w:rPr>
          <w:rFonts w:eastAsia="Arial" w:cs="Arial"/>
          <w:szCs w:val="20"/>
        </w:rPr>
        <w:t xml:space="preserve"> framework under the </w:t>
      </w:r>
      <w:r w:rsidRPr="003372B7">
        <w:rPr>
          <w:rFonts w:eastAsia="Arial" w:cs="Arial"/>
          <w:i/>
          <w:szCs w:val="20"/>
        </w:rPr>
        <w:t>National Measurement Act 1960</w:t>
      </w:r>
      <w:r w:rsidRPr="0090416A">
        <w:rPr>
          <w:rFonts w:eastAsia="Arial" w:cs="Arial"/>
          <w:szCs w:val="20"/>
        </w:rPr>
        <w:t xml:space="preserve"> (the Act)</w:t>
      </w:r>
      <w:r w:rsidR="00D35FCB">
        <w:rPr>
          <w:rFonts w:eastAsia="Arial" w:cs="Arial"/>
          <w:szCs w:val="20"/>
        </w:rPr>
        <w:t xml:space="preserve">, </w:t>
      </w:r>
      <w:r w:rsidRPr="0090416A">
        <w:rPr>
          <w:rFonts w:eastAsia="Arial" w:cs="Arial"/>
          <w:szCs w:val="20"/>
        </w:rPr>
        <w:t>supporting Regulations and Guidelines.</w:t>
      </w:r>
    </w:p>
    <w:p w14:paraId="1EBFC6D5" w14:textId="77777777" w:rsidR="00477ED5" w:rsidRDefault="00703D51" w:rsidP="00703D51">
      <w:pPr>
        <w:spacing w:after="120" w:line="276" w:lineRule="auto"/>
        <w:rPr>
          <w:rFonts w:eastAsia="Arial" w:cs="Arial"/>
          <w:szCs w:val="20"/>
        </w:rPr>
      </w:pPr>
      <w:r w:rsidRPr="00703D51">
        <w:rPr>
          <w:rFonts w:eastAsia="Arial" w:cs="Arial"/>
          <w:szCs w:val="20"/>
        </w:rPr>
        <w:t xml:space="preserve">NMI contributes to Australia’s prosperity by leading a national system of measurement that is fit for purpose and trusted both nationally and internationally. </w:t>
      </w:r>
    </w:p>
    <w:p w14:paraId="3E3BAE46" w14:textId="77777777" w:rsidR="00703D51" w:rsidRDefault="00703D51" w:rsidP="00703D51">
      <w:pPr>
        <w:spacing w:after="120" w:line="276" w:lineRule="auto"/>
        <w:rPr>
          <w:rFonts w:eastAsia="Arial" w:cs="Arial"/>
          <w:szCs w:val="20"/>
        </w:rPr>
      </w:pPr>
      <w:r w:rsidRPr="00703D51">
        <w:rPr>
          <w:rFonts w:eastAsia="Arial" w:cs="Arial"/>
          <w:szCs w:val="20"/>
        </w:rPr>
        <w:t xml:space="preserve">NMI’s regulatory activities are undertaken as key elements within the wider national system of measurement. </w:t>
      </w:r>
      <w:r w:rsidR="0049138D">
        <w:rPr>
          <w:rFonts w:eastAsia="Arial" w:cs="Arial"/>
          <w:szCs w:val="20"/>
        </w:rPr>
        <w:t>These</w:t>
      </w:r>
      <w:r w:rsidR="0049138D" w:rsidRPr="00703D51">
        <w:rPr>
          <w:rFonts w:eastAsia="Arial" w:cs="Arial"/>
          <w:szCs w:val="20"/>
        </w:rPr>
        <w:t xml:space="preserve"> </w:t>
      </w:r>
      <w:r w:rsidRPr="00703D51">
        <w:rPr>
          <w:rFonts w:eastAsia="Arial" w:cs="Arial"/>
          <w:szCs w:val="20"/>
        </w:rPr>
        <w:t xml:space="preserve">activities include approving the design or pattern of measuring instruments </w:t>
      </w:r>
      <w:r w:rsidR="0062663A">
        <w:rPr>
          <w:rFonts w:eastAsia="Arial" w:cs="Arial"/>
          <w:szCs w:val="20"/>
        </w:rPr>
        <w:t xml:space="preserve">(Pattern Approval or PA), </w:t>
      </w:r>
      <w:r w:rsidRPr="00703D51">
        <w:rPr>
          <w:rFonts w:eastAsia="Arial" w:cs="Arial"/>
          <w:szCs w:val="20"/>
        </w:rPr>
        <w:t xml:space="preserve">and </w:t>
      </w:r>
      <w:r w:rsidR="0062663A">
        <w:rPr>
          <w:rFonts w:eastAsia="Arial" w:cs="Arial"/>
          <w:szCs w:val="20"/>
        </w:rPr>
        <w:t xml:space="preserve">Licensing and Appointments of </w:t>
      </w:r>
      <w:r w:rsidRPr="00703D51">
        <w:rPr>
          <w:rFonts w:eastAsia="Arial" w:cs="Arial"/>
          <w:szCs w:val="20"/>
        </w:rPr>
        <w:t>third parties</w:t>
      </w:r>
      <w:r w:rsidR="00E578AB">
        <w:rPr>
          <w:rFonts w:eastAsia="Arial" w:cs="Arial"/>
          <w:szCs w:val="20"/>
        </w:rPr>
        <w:t>;</w:t>
      </w:r>
      <w:r w:rsidR="0062663A">
        <w:rPr>
          <w:rFonts w:eastAsia="Arial" w:cs="Arial"/>
          <w:szCs w:val="20"/>
        </w:rPr>
        <w:t xml:space="preserve"> for example</w:t>
      </w:r>
      <w:r w:rsidRPr="00703D51">
        <w:rPr>
          <w:rFonts w:eastAsia="Arial" w:cs="Arial"/>
          <w:szCs w:val="20"/>
        </w:rPr>
        <w:t xml:space="preserve"> to verify measuring instruments and verify reference standards.</w:t>
      </w:r>
      <w:r w:rsidR="0062663A">
        <w:rPr>
          <w:rFonts w:eastAsia="Arial" w:cs="Arial"/>
          <w:szCs w:val="20"/>
        </w:rPr>
        <w:t xml:space="preserve"> </w:t>
      </w:r>
      <w:r w:rsidR="00E578AB">
        <w:rPr>
          <w:rFonts w:eastAsia="Arial" w:cs="Arial"/>
          <w:szCs w:val="20"/>
        </w:rPr>
        <w:t xml:space="preserve">These activities </w:t>
      </w:r>
      <w:r w:rsidR="0062663A">
        <w:rPr>
          <w:rFonts w:eastAsia="Arial" w:cs="Arial"/>
          <w:szCs w:val="20"/>
        </w:rPr>
        <w:t xml:space="preserve">are undertaken by NMI’s Legal Metrology </w:t>
      </w:r>
      <w:r w:rsidR="00E578AB">
        <w:rPr>
          <w:rFonts w:eastAsia="Arial" w:cs="Arial"/>
          <w:szCs w:val="20"/>
        </w:rPr>
        <w:t>Branch</w:t>
      </w:r>
      <w:r w:rsidR="0062663A">
        <w:rPr>
          <w:rFonts w:eastAsia="Arial" w:cs="Arial"/>
          <w:szCs w:val="20"/>
        </w:rPr>
        <w:t>.</w:t>
      </w:r>
    </w:p>
    <w:p w14:paraId="1299858E" w14:textId="77777777" w:rsidR="006525D8" w:rsidRDefault="006525D8" w:rsidP="00AB5D3B">
      <w:pPr>
        <w:spacing w:after="120" w:line="276" w:lineRule="auto"/>
        <w:rPr>
          <w:rFonts w:eastAsia="Arial" w:cs="Arial"/>
          <w:szCs w:val="20"/>
        </w:rPr>
      </w:pPr>
      <w:r w:rsidRPr="006525D8">
        <w:rPr>
          <w:rFonts w:eastAsia="Arial" w:cs="Arial"/>
          <w:szCs w:val="20"/>
        </w:rPr>
        <w:t>Legal metrology comprises all measurements carried out for any legal purpose</w:t>
      </w:r>
      <w:r w:rsidR="00A037C4">
        <w:rPr>
          <w:rFonts w:eastAsia="Arial" w:cs="Arial"/>
          <w:szCs w:val="20"/>
        </w:rPr>
        <w:t>. It</w:t>
      </w:r>
      <w:r w:rsidRPr="006525D8">
        <w:rPr>
          <w:rFonts w:eastAsia="Arial" w:cs="Arial"/>
          <w:szCs w:val="20"/>
        </w:rPr>
        <w:t xml:space="preserve"> includes measurements that are subject to regulation by law or government decree together with the supporting technical and regulatory infrastructure. Trade measurement refers to all transactions where the price of commodities or goods </w:t>
      </w:r>
      <w:r w:rsidR="00F95259">
        <w:rPr>
          <w:rFonts w:eastAsia="Arial" w:cs="Arial"/>
          <w:szCs w:val="20"/>
        </w:rPr>
        <w:t>is determined by</w:t>
      </w:r>
      <w:r w:rsidR="00F95259" w:rsidRPr="006525D8">
        <w:rPr>
          <w:rFonts w:eastAsia="Arial" w:cs="Arial"/>
          <w:szCs w:val="20"/>
        </w:rPr>
        <w:t xml:space="preserve"> </w:t>
      </w:r>
      <w:r w:rsidRPr="006525D8">
        <w:rPr>
          <w:rFonts w:eastAsia="Arial" w:cs="Arial"/>
          <w:szCs w:val="20"/>
        </w:rPr>
        <w:t>a measured quantity or quality component. The primary purpose of the Australian trade measurement system is to ensure that the calculated price of traded goods is based on accurate measurement.</w:t>
      </w:r>
    </w:p>
    <w:p w14:paraId="26A54F10" w14:textId="744AD338" w:rsidR="0049138D" w:rsidRDefault="0049138D" w:rsidP="0049138D">
      <w:pPr>
        <w:spacing w:after="120" w:line="276" w:lineRule="auto"/>
        <w:rPr>
          <w:rFonts w:eastAsia="Arial" w:cs="Arial"/>
          <w:szCs w:val="20"/>
        </w:rPr>
      </w:pPr>
      <w:r>
        <w:rPr>
          <w:rFonts w:eastAsia="Arial" w:cs="Arial"/>
          <w:szCs w:val="20"/>
        </w:rPr>
        <w:t>NMI also offers a broad range of services in biological, chemical, and physical measurement. Some examples include analytical services in chemistry and microbiology for food and environmental testing</w:t>
      </w:r>
      <w:r w:rsidR="001B165D">
        <w:rPr>
          <w:rFonts w:eastAsia="Arial" w:cs="Arial"/>
          <w:szCs w:val="20"/>
        </w:rPr>
        <w:t>,</w:t>
      </w:r>
      <w:r>
        <w:rPr>
          <w:rFonts w:eastAsia="Arial" w:cs="Arial"/>
          <w:szCs w:val="20"/>
        </w:rPr>
        <w:t xml:space="preserve"> specialist chemical analysis for illicit drugs or drugs in sport</w:t>
      </w:r>
      <w:r w:rsidR="001B165D">
        <w:rPr>
          <w:rFonts w:eastAsia="Arial" w:cs="Arial"/>
          <w:szCs w:val="20"/>
        </w:rPr>
        <w:t>,</w:t>
      </w:r>
      <w:r>
        <w:rPr>
          <w:rFonts w:eastAsia="Arial" w:cs="Arial"/>
          <w:szCs w:val="20"/>
        </w:rPr>
        <w:t xml:space="preserve"> calibration of measuring instruments and of physical standards such as reference masses</w:t>
      </w:r>
      <w:r w:rsidR="001B165D">
        <w:rPr>
          <w:rFonts w:eastAsia="Arial" w:cs="Arial"/>
          <w:szCs w:val="20"/>
        </w:rPr>
        <w:t>,</w:t>
      </w:r>
      <w:r>
        <w:rPr>
          <w:rFonts w:eastAsia="Arial" w:cs="Arial"/>
          <w:szCs w:val="20"/>
        </w:rPr>
        <w:t xml:space="preserve"> and training in measurement techniques. While NMI charges for these services, they are outside the scope of this statement as they are not regulatory activities.</w:t>
      </w:r>
    </w:p>
    <w:p w14:paraId="2ED6CE50" w14:textId="77777777" w:rsidR="00161A4C" w:rsidRDefault="006C044F" w:rsidP="00F430BF">
      <w:pPr>
        <w:pStyle w:val="Heading3"/>
        <w:rPr>
          <w:lang w:val="en"/>
        </w:rPr>
      </w:pPr>
      <w:bookmarkStart w:id="9" w:name="_Toc516468773"/>
      <w:bookmarkStart w:id="10" w:name="_Toc85106068"/>
      <w:r>
        <w:rPr>
          <w:lang w:val="en"/>
        </w:rPr>
        <w:t xml:space="preserve">National </w:t>
      </w:r>
      <w:r w:rsidR="0062663A">
        <w:rPr>
          <w:lang w:val="en"/>
        </w:rPr>
        <w:t>m</w:t>
      </w:r>
      <w:r>
        <w:rPr>
          <w:lang w:val="en"/>
        </w:rPr>
        <w:t xml:space="preserve">easurement </w:t>
      </w:r>
      <w:r w:rsidR="0062663A">
        <w:rPr>
          <w:lang w:val="en"/>
        </w:rPr>
        <w:t>p</w:t>
      </w:r>
      <w:r>
        <w:rPr>
          <w:lang w:val="en"/>
        </w:rPr>
        <w:t>olicy</w:t>
      </w:r>
      <w:r w:rsidR="0062663A">
        <w:rPr>
          <w:lang w:val="en"/>
        </w:rPr>
        <w:t xml:space="preserve"> statement</w:t>
      </w:r>
      <w:bookmarkEnd w:id="9"/>
      <w:bookmarkEnd w:id="10"/>
    </w:p>
    <w:p w14:paraId="01B5A111" w14:textId="77777777" w:rsidR="00F430BF" w:rsidRPr="00F430BF" w:rsidRDefault="00E578AB" w:rsidP="00F430BF">
      <w:pPr>
        <w:pStyle w:val="Default"/>
        <w:spacing w:before="120" w:line="276" w:lineRule="auto"/>
        <w:rPr>
          <w:sz w:val="20"/>
          <w:szCs w:val="20"/>
          <w:lang w:val="en"/>
        </w:rPr>
      </w:pPr>
      <w:r>
        <w:rPr>
          <w:sz w:val="20"/>
          <w:szCs w:val="20"/>
          <w:lang w:val="en"/>
        </w:rPr>
        <w:t>The National Measurement Policy Statement</w:t>
      </w:r>
      <w:r w:rsidR="0062663A">
        <w:rPr>
          <w:sz w:val="20"/>
          <w:szCs w:val="20"/>
          <w:lang w:val="en"/>
        </w:rPr>
        <w:t xml:space="preserve"> </w:t>
      </w:r>
      <w:r w:rsidR="00F430BF" w:rsidRPr="00F430BF">
        <w:rPr>
          <w:sz w:val="20"/>
          <w:szCs w:val="20"/>
          <w:lang w:val="en"/>
        </w:rPr>
        <w:t xml:space="preserve">was released in </w:t>
      </w:r>
      <w:r w:rsidR="0062663A">
        <w:rPr>
          <w:sz w:val="20"/>
          <w:szCs w:val="20"/>
          <w:lang w:val="en"/>
        </w:rPr>
        <w:t>November</w:t>
      </w:r>
      <w:r w:rsidR="0062663A" w:rsidRPr="00F430BF">
        <w:rPr>
          <w:sz w:val="20"/>
          <w:szCs w:val="20"/>
          <w:lang w:val="en"/>
        </w:rPr>
        <w:t xml:space="preserve"> </w:t>
      </w:r>
      <w:r w:rsidR="00F430BF" w:rsidRPr="00F430BF">
        <w:rPr>
          <w:sz w:val="20"/>
          <w:szCs w:val="20"/>
          <w:lang w:val="en"/>
        </w:rPr>
        <w:t>2017 to clearly state the Government’s intentions for Australia’s national measurement system</w:t>
      </w:r>
      <w:r w:rsidR="0062663A">
        <w:rPr>
          <w:sz w:val="20"/>
          <w:szCs w:val="20"/>
          <w:lang w:val="en"/>
        </w:rPr>
        <w:t xml:space="preserve"> and set </w:t>
      </w:r>
      <w:r w:rsidR="00F430BF" w:rsidRPr="00F430BF">
        <w:rPr>
          <w:sz w:val="20"/>
          <w:szCs w:val="20"/>
          <w:lang w:val="en"/>
        </w:rPr>
        <w:t xml:space="preserve">out principles underpinning </w:t>
      </w:r>
      <w:r w:rsidR="001465EF">
        <w:rPr>
          <w:sz w:val="20"/>
          <w:szCs w:val="20"/>
          <w:lang w:val="en"/>
        </w:rPr>
        <w:t>g</w:t>
      </w:r>
      <w:r w:rsidR="00F430BF" w:rsidRPr="00F430BF">
        <w:rPr>
          <w:sz w:val="20"/>
          <w:szCs w:val="20"/>
          <w:lang w:val="en"/>
        </w:rPr>
        <w:t>overnment decision making in relation to measurement. The primary objective of the Australian Government’s role in measurement is to provide a strong and effective national measurement system that is trusted and accepted both domestically and internationally.</w:t>
      </w:r>
    </w:p>
    <w:p w14:paraId="2FF0C006" w14:textId="77777777" w:rsidR="00F430BF" w:rsidRDefault="00F430BF" w:rsidP="00F430BF">
      <w:pPr>
        <w:pStyle w:val="Default"/>
        <w:spacing w:before="120" w:line="276" w:lineRule="auto"/>
        <w:rPr>
          <w:sz w:val="20"/>
          <w:szCs w:val="20"/>
          <w:lang w:val="en"/>
        </w:rPr>
      </w:pPr>
      <w:r w:rsidRPr="00F430BF">
        <w:rPr>
          <w:sz w:val="20"/>
          <w:szCs w:val="20"/>
          <w:lang w:val="en"/>
        </w:rPr>
        <w:t xml:space="preserve">The objectives of this policy statement are underpinned by a set of principles that provide guidance to government decision making about measurement. </w:t>
      </w:r>
      <w:r w:rsidR="001465EF">
        <w:rPr>
          <w:sz w:val="20"/>
          <w:szCs w:val="20"/>
          <w:lang w:val="en"/>
        </w:rPr>
        <w:t>T</w:t>
      </w:r>
      <w:r w:rsidRPr="00F430BF">
        <w:rPr>
          <w:sz w:val="20"/>
          <w:szCs w:val="20"/>
          <w:lang w:val="en"/>
        </w:rPr>
        <w:t>he key principles</w:t>
      </w:r>
      <w:r w:rsidR="001465EF">
        <w:rPr>
          <w:sz w:val="20"/>
          <w:szCs w:val="20"/>
          <w:lang w:val="en"/>
        </w:rPr>
        <w:t xml:space="preserve"> for government decision making</w:t>
      </w:r>
      <w:r w:rsidRPr="00F430BF">
        <w:rPr>
          <w:sz w:val="20"/>
          <w:szCs w:val="20"/>
          <w:lang w:val="en"/>
        </w:rPr>
        <w:t xml:space="preserve"> include maintaining a sustainable funding model whil</w:t>
      </w:r>
      <w:r w:rsidR="001465EF">
        <w:rPr>
          <w:sz w:val="20"/>
          <w:szCs w:val="20"/>
          <w:lang w:val="en"/>
        </w:rPr>
        <w:t>e</w:t>
      </w:r>
      <w:r w:rsidRPr="00F430BF">
        <w:rPr>
          <w:sz w:val="20"/>
          <w:szCs w:val="20"/>
          <w:lang w:val="en"/>
        </w:rPr>
        <w:t xml:space="preserve"> supporting innovation and minimising regulatory burden on stakeholders. Figure 1 provides an overview of the policy objectives and the set of key principles.</w:t>
      </w:r>
    </w:p>
    <w:p w14:paraId="42037E86" w14:textId="77777777" w:rsidR="006C044F" w:rsidRDefault="0062663A" w:rsidP="00F430BF">
      <w:pPr>
        <w:pStyle w:val="Default"/>
        <w:spacing w:before="120" w:line="276" w:lineRule="auto"/>
        <w:rPr>
          <w:sz w:val="20"/>
          <w:szCs w:val="20"/>
          <w:lang w:val="en"/>
        </w:rPr>
      </w:pPr>
      <w:r>
        <w:rPr>
          <w:sz w:val="20"/>
          <w:szCs w:val="20"/>
          <w:lang w:val="en"/>
        </w:rPr>
        <w:t>Consistent with this policy statement</w:t>
      </w:r>
      <w:r w:rsidR="007D3EA4">
        <w:rPr>
          <w:sz w:val="20"/>
          <w:szCs w:val="20"/>
          <w:lang w:val="en"/>
        </w:rPr>
        <w:t>, the NMI expends part of its allocated appropriation to:</w:t>
      </w:r>
    </w:p>
    <w:p w14:paraId="1B19AB15" w14:textId="77777777" w:rsidR="007D3EA4" w:rsidRDefault="008358B0" w:rsidP="00DE02AA">
      <w:pPr>
        <w:pStyle w:val="Default"/>
        <w:numPr>
          <w:ilvl w:val="0"/>
          <w:numId w:val="24"/>
        </w:numPr>
        <w:spacing w:before="120" w:line="276" w:lineRule="auto"/>
        <w:rPr>
          <w:sz w:val="20"/>
          <w:szCs w:val="20"/>
          <w:lang w:val="en"/>
        </w:rPr>
      </w:pPr>
      <w:r>
        <w:rPr>
          <w:sz w:val="20"/>
          <w:szCs w:val="20"/>
          <w:lang w:val="en"/>
        </w:rPr>
        <w:t>S</w:t>
      </w:r>
      <w:r w:rsidR="007D3EA4">
        <w:rPr>
          <w:sz w:val="20"/>
          <w:szCs w:val="20"/>
          <w:lang w:val="en"/>
        </w:rPr>
        <w:t>upport innovation</w:t>
      </w:r>
      <w:r w:rsidR="0062663A">
        <w:rPr>
          <w:sz w:val="20"/>
          <w:szCs w:val="20"/>
          <w:lang w:val="en"/>
        </w:rPr>
        <w:t>,</w:t>
      </w:r>
      <w:r w:rsidR="007D3EA4">
        <w:rPr>
          <w:sz w:val="20"/>
          <w:szCs w:val="20"/>
          <w:lang w:val="en"/>
        </w:rPr>
        <w:t xml:space="preserve"> by providing PA test laboratories to facilitate stakeholder compliance obligations and reduce regulatory burden</w:t>
      </w:r>
      <w:r>
        <w:rPr>
          <w:sz w:val="20"/>
          <w:szCs w:val="20"/>
          <w:lang w:val="en"/>
        </w:rPr>
        <w:t>.</w:t>
      </w:r>
    </w:p>
    <w:p w14:paraId="42C4F449" w14:textId="77777777" w:rsidR="007D3EA4" w:rsidRDefault="008358B0" w:rsidP="00DE02AA">
      <w:pPr>
        <w:pStyle w:val="Default"/>
        <w:numPr>
          <w:ilvl w:val="0"/>
          <w:numId w:val="24"/>
        </w:numPr>
        <w:spacing w:before="120" w:line="276" w:lineRule="auto"/>
        <w:rPr>
          <w:sz w:val="20"/>
          <w:szCs w:val="20"/>
          <w:lang w:val="en"/>
        </w:rPr>
      </w:pPr>
      <w:r>
        <w:rPr>
          <w:sz w:val="20"/>
          <w:szCs w:val="20"/>
          <w:lang w:val="en"/>
        </w:rPr>
        <w:t>S</w:t>
      </w:r>
      <w:r w:rsidR="007D3EA4">
        <w:rPr>
          <w:sz w:val="20"/>
          <w:szCs w:val="20"/>
          <w:lang w:val="en"/>
        </w:rPr>
        <w:t>upport the metrological system</w:t>
      </w:r>
      <w:r w:rsidR="0062663A">
        <w:rPr>
          <w:sz w:val="20"/>
          <w:szCs w:val="20"/>
          <w:lang w:val="en"/>
        </w:rPr>
        <w:t>,</w:t>
      </w:r>
      <w:r w:rsidR="007D3EA4">
        <w:rPr>
          <w:sz w:val="20"/>
          <w:szCs w:val="20"/>
          <w:lang w:val="en"/>
        </w:rPr>
        <w:t xml:space="preserve"> by providing measurement activities that enhance compliance </w:t>
      </w:r>
      <w:r w:rsidR="0062663A">
        <w:rPr>
          <w:sz w:val="20"/>
          <w:szCs w:val="20"/>
          <w:lang w:val="en"/>
        </w:rPr>
        <w:t>(e</w:t>
      </w:r>
      <w:r w:rsidR="009573F2">
        <w:rPr>
          <w:sz w:val="20"/>
          <w:szCs w:val="20"/>
          <w:lang w:val="en"/>
        </w:rPr>
        <w:t>.</w:t>
      </w:r>
      <w:r w:rsidR="0062663A">
        <w:rPr>
          <w:sz w:val="20"/>
          <w:szCs w:val="20"/>
          <w:lang w:val="en"/>
        </w:rPr>
        <w:t>g</w:t>
      </w:r>
      <w:r w:rsidR="009573F2">
        <w:rPr>
          <w:sz w:val="20"/>
          <w:szCs w:val="20"/>
          <w:lang w:val="en"/>
        </w:rPr>
        <w:t>.</w:t>
      </w:r>
      <w:r w:rsidR="0062663A">
        <w:rPr>
          <w:sz w:val="20"/>
          <w:szCs w:val="20"/>
          <w:lang w:val="en"/>
        </w:rPr>
        <w:t xml:space="preserve"> ‘</w:t>
      </w:r>
      <w:r w:rsidR="007D3EA4">
        <w:rPr>
          <w:sz w:val="20"/>
          <w:szCs w:val="20"/>
          <w:lang w:val="en"/>
        </w:rPr>
        <w:t>conformity to type</w:t>
      </w:r>
      <w:r w:rsidR="0062663A">
        <w:rPr>
          <w:sz w:val="20"/>
          <w:szCs w:val="20"/>
          <w:lang w:val="en"/>
        </w:rPr>
        <w:t>’</w:t>
      </w:r>
      <w:r w:rsidR="007D3EA4">
        <w:rPr>
          <w:sz w:val="20"/>
          <w:szCs w:val="20"/>
          <w:lang w:val="en"/>
        </w:rPr>
        <w:t xml:space="preserve"> testing</w:t>
      </w:r>
      <w:r w:rsidR="0062663A">
        <w:rPr>
          <w:sz w:val="20"/>
          <w:szCs w:val="20"/>
          <w:lang w:val="en"/>
        </w:rPr>
        <w:t>)</w:t>
      </w:r>
      <w:r>
        <w:rPr>
          <w:sz w:val="20"/>
          <w:szCs w:val="20"/>
          <w:lang w:val="en"/>
        </w:rPr>
        <w:t>.</w:t>
      </w:r>
    </w:p>
    <w:p w14:paraId="18DC5C14" w14:textId="77777777" w:rsidR="00890D32" w:rsidRDefault="008358B0" w:rsidP="00191176">
      <w:pPr>
        <w:pStyle w:val="Default"/>
        <w:numPr>
          <w:ilvl w:val="0"/>
          <w:numId w:val="24"/>
        </w:numPr>
        <w:spacing w:before="120" w:line="276" w:lineRule="auto"/>
        <w:rPr>
          <w:sz w:val="20"/>
          <w:szCs w:val="20"/>
          <w:lang w:val="en"/>
        </w:rPr>
      </w:pPr>
      <w:r>
        <w:rPr>
          <w:sz w:val="20"/>
          <w:szCs w:val="20"/>
          <w:lang w:val="en"/>
        </w:rPr>
        <w:t>M</w:t>
      </w:r>
      <w:r w:rsidR="007D3EA4">
        <w:rPr>
          <w:sz w:val="20"/>
          <w:szCs w:val="20"/>
          <w:lang w:val="en"/>
        </w:rPr>
        <w:t xml:space="preserve">eet </w:t>
      </w:r>
      <w:r w:rsidR="00794559">
        <w:rPr>
          <w:sz w:val="20"/>
          <w:szCs w:val="20"/>
          <w:lang w:val="en"/>
        </w:rPr>
        <w:t xml:space="preserve">Australia’s </w:t>
      </w:r>
      <w:r w:rsidR="007D3EA4">
        <w:rPr>
          <w:sz w:val="20"/>
          <w:szCs w:val="20"/>
          <w:lang w:val="en"/>
        </w:rPr>
        <w:t>international obligations</w:t>
      </w:r>
      <w:r w:rsidR="00794559">
        <w:rPr>
          <w:sz w:val="20"/>
          <w:szCs w:val="20"/>
          <w:lang w:val="en"/>
        </w:rPr>
        <w:t xml:space="preserve"> as a member of the </w:t>
      </w:r>
      <w:r w:rsidR="00794559" w:rsidRPr="00794559">
        <w:rPr>
          <w:sz w:val="20"/>
          <w:szCs w:val="20"/>
          <w:lang w:val="en"/>
        </w:rPr>
        <w:t xml:space="preserve">International </w:t>
      </w:r>
      <w:r w:rsidR="00191176">
        <w:rPr>
          <w:sz w:val="20"/>
          <w:szCs w:val="20"/>
          <w:lang w:val="en"/>
        </w:rPr>
        <w:t>Organization</w:t>
      </w:r>
      <w:r w:rsidR="00794559" w:rsidRPr="00794559">
        <w:rPr>
          <w:sz w:val="20"/>
          <w:szCs w:val="20"/>
          <w:lang w:val="en"/>
        </w:rPr>
        <w:t xml:space="preserve"> of Legal Metrology </w:t>
      </w:r>
      <w:r w:rsidR="005668A7">
        <w:rPr>
          <w:sz w:val="20"/>
          <w:szCs w:val="20"/>
          <w:lang w:val="en"/>
        </w:rPr>
        <w:t>(O</w:t>
      </w:r>
      <w:r w:rsidR="00794559">
        <w:rPr>
          <w:sz w:val="20"/>
          <w:szCs w:val="20"/>
          <w:lang w:val="en"/>
        </w:rPr>
        <w:t>IML</w:t>
      </w:r>
      <w:r w:rsidR="005668A7">
        <w:rPr>
          <w:sz w:val="20"/>
          <w:szCs w:val="20"/>
          <w:lang w:val="en"/>
        </w:rPr>
        <w:t>)</w:t>
      </w:r>
      <w:r w:rsidR="009573F2">
        <w:rPr>
          <w:sz w:val="20"/>
          <w:szCs w:val="20"/>
          <w:lang w:val="en"/>
        </w:rPr>
        <w:t>,</w:t>
      </w:r>
      <w:r w:rsidR="00794559">
        <w:rPr>
          <w:sz w:val="20"/>
          <w:szCs w:val="20"/>
          <w:lang w:val="en"/>
        </w:rPr>
        <w:t xml:space="preserve"> which is the </w:t>
      </w:r>
      <w:r w:rsidR="00191176" w:rsidRPr="00191176">
        <w:rPr>
          <w:sz w:val="20"/>
          <w:szCs w:val="20"/>
          <w:lang w:val="en"/>
        </w:rPr>
        <w:t xml:space="preserve">peak intergovernmental treaty </w:t>
      </w:r>
      <w:r w:rsidR="00191176" w:rsidRPr="00191176">
        <w:rPr>
          <w:sz w:val="20"/>
          <w:szCs w:val="20"/>
        </w:rPr>
        <w:t>organisation</w:t>
      </w:r>
      <w:r w:rsidR="00191176" w:rsidRPr="00191176" w:rsidDel="00191176">
        <w:rPr>
          <w:sz w:val="20"/>
          <w:szCs w:val="20"/>
          <w:lang w:val="en"/>
        </w:rPr>
        <w:t xml:space="preserve"> </w:t>
      </w:r>
      <w:r w:rsidR="00794559">
        <w:rPr>
          <w:sz w:val="20"/>
          <w:szCs w:val="20"/>
          <w:lang w:val="en"/>
        </w:rPr>
        <w:t>for legal metrology internationally</w:t>
      </w:r>
      <w:r w:rsidR="007D3EA4">
        <w:rPr>
          <w:sz w:val="20"/>
          <w:szCs w:val="20"/>
          <w:lang w:val="en"/>
        </w:rPr>
        <w:t xml:space="preserve">. </w:t>
      </w:r>
      <w:r w:rsidR="00794559">
        <w:rPr>
          <w:sz w:val="20"/>
          <w:szCs w:val="20"/>
          <w:lang w:val="en"/>
        </w:rPr>
        <w:t xml:space="preserve">This membership </w:t>
      </w:r>
      <w:r w:rsidR="00794559" w:rsidRPr="00794559">
        <w:rPr>
          <w:sz w:val="20"/>
          <w:szCs w:val="20"/>
          <w:lang w:val="en"/>
        </w:rPr>
        <w:t>enables Australian stakeholders to have a voice in the development and revision of international standards for measuring instruments</w:t>
      </w:r>
      <w:r w:rsidR="005668A7">
        <w:rPr>
          <w:sz w:val="20"/>
          <w:szCs w:val="20"/>
          <w:lang w:val="en"/>
        </w:rPr>
        <w:t xml:space="preserve"> that reduce technical barriers to trade</w:t>
      </w:r>
      <w:r w:rsidR="00D35FCB">
        <w:rPr>
          <w:sz w:val="20"/>
          <w:szCs w:val="20"/>
          <w:lang w:val="en"/>
        </w:rPr>
        <w:t>.</w:t>
      </w:r>
    </w:p>
    <w:p w14:paraId="58C530A6" w14:textId="77777777" w:rsidR="007D3EA4" w:rsidRPr="00890D32" w:rsidRDefault="00890D32" w:rsidP="00890D32">
      <w:pPr>
        <w:spacing w:after="200" w:line="276" w:lineRule="auto"/>
        <w:rPr>
          <w:rFonts w:eastAsiaTheme="minorHAnsi" w:cs="Arial"/>
          <w:color w:val="000000"/>
          <w:szCs w:val="20"/>
          <w:lang w:val="en"/>
        </w:rPr>
      </w:pPr>
      <w:r>
        <w:rPr>
          <w:szCs w:val="20"/>
          <w:lang w:val="en"/>
        </w:rPr>
        <w:br w:type="page"/>
      </w:r>
    </w:p>
    <w:p w14:paraId="1FE831CA" w14:textId="77777777" w:rsidR="002019CD" w:rsidRPr="008366B0" w:rsidRDefault="002019CD" w:rsidP="00F7400A">
      <w:pPr>
        <w:keepNext/>
        <w:spacing w:after="120" w:line="276" w:lineRule="auto"/>
        <w:rPr>
          <w:rFonts w:eastAsia="Arial" w:cs="Arial"/>
          <w:b/>
          <w:szCs w:val="20"/>
        </w:rPr>
      </w:pPr>
      <w:r w:rsidRPr="008366B0">
        <w:rPr>
          <w:rFonts w:eastAsia="Arial" w:cs="Arial"/>
          <w:b/>
          <w:szCs w:val="20"/>
        </w:rPr>
        <w:lastRenderedPageBreak/>
        <w:t>Figure 1</w:t>
      </w:r>
      <w:r w:rsidR="00AB5D3B" w:rsidRPr="00AB5D3B">
        <w:t xml:space="preserve"> </w:t>
      </w:r>
      <w:r w:rsidR="00AB5D3B">
        <w:t xml:space="preserve">- </w:t>
      </w:r>
      <w:r w:rsidR="00AB5D3B" w:rsidRPr="00AB5D3B">
        <w:rPr>
          <w:rFonts w:eastAsia="Arial" w:cs="Arial"/>
          <w:b/>
          <w:szCs w:val="20"/>
        </w:rPr>
        <w:t>National Measurement Policy, its Objectives and key Principles</w:t>
      </w:r>
    </w:p>
    <w:p w14:paraId="29CAD1EC" w14:textId="77777777" w:rsidR="002019CD" w:rsidRPr="008366B0" w:rsidRDefault="0038242F" w:rsidP="00890D32">
      <w:pPr>
        <w:spacing w:after="120" w:line="276" w:lineRule="auto"/>
        <w:jc w:val="center"/>
        <w:rPr>
          <w:rFonts w:eastAsia="Arial" w:cs="Arial"/>
          <w:b/>
          <w:szCs w:val="20"/>
        </w:rPr>
      </w:pPr>
      <w:r>
        <w:rPr>
          <w:rFonts w:eastAsia="Arial" w:cs="Arial"/>
          <w:b/>
          <w:noProof/>
          <w:szCs w:val="20"/>
          <w:lang w:eastAsia="en-AU"/>
        </w:rPr>
        <w:drawing>
          <wp:inline distT="0" distB="0" distL="0" distR="0" wp14:anchorId="33F0F761" wp14:editId="3E4F2199">
            <wp:extent cx="4857750" cy="65943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0217" cy="6597685"/>
                    </a:xfrm>
                    <a:prstGeom prst="rect">
                      <a:avLst/>
                    </a:prstGeom>
                    <a:noFill/>
                  </pic:spPr>
                </pic:pic>
              </a:graphicData>
            </a:graphic>
          </wp:inline>
        </w:drawing>
      </w:r>
    </w:p>
    <w:p w14:paraId="64E425C5" w14:textId="77777777" w:rsidR="007F17B7" w:rsidRPr="006C1DCD" w:rsidRDefault="007F17B7" w:rsidP="00E84412">
      <w:pPr>
        <w:pStyle w:val="Heading3"/>
        <w:pageBreakBefore/>
        <w:spacing w:line="276" w:lineRule="auto"/>
        <w:rPr>
          <w:sz w:val="22"/>
          <w:szCs w:val="22"/>
        </w:rPr>
      </w:pPr>
      <w:bookmarkStart w:id="11" w:name="_Toc516468774"/>
      <w:bookmarkStart w:id="12" w:name="_Toc85106069"/>
      <w:r w:rsidRPr="006C1DCD">
        <w:rPr>
          <w:sz w:val="22"/>
          <w:szCs w:val="22"/>
        </w:rPr>
        <w:lastRenderedPageBreak/>
        <w:t>Pattern Approval</w:t>
      </w:r>
      <w:bookmarkEnd w:id="11"/>
      <w:bookmarkEnd w:id="12"/>
    </w:p>
    <w:p w14:paraId="1F89EB02" w14:textId="7595F6DD" w:rsidR="006225D8" w:rsidRDefault="006225D8" w:rsidP="005C0801">
      <w:pPr>
        <w:spacing w:before="120" w:line="276" w:lineRule="auto"/>
        <w:rPr>
          <w:rFonts w:cs="Arial"/>
          <w:szCs w:val="20"/>
        </w:rPr>
      </w:pPr>
      <w:r>
        <w:rPr>
          <w:rFonts w:cs="Arial"/>
          <w:szCs w:val="20"/>
        </w:rPr>
        <w:t>In Australia</w:t>
      </w:r>
      <w:r w:rsidR="00C50FFE">
        <w:rPr>
          <w:rFonts w:cs="Arial"/>
          <w:szCs w:val="20"/>
        </w:rPr>
        <w:t>,</w:t>
      </w:r>
      <w:r>
        <w:rPr>
          <w:rFonts w:cs="Arial"/>
          <w:szCs w:val="20"/>
        </w:rPr>
        <w:t xml:space="preserve"> m</w:t>
      </w:r>
      <w:r w:rsidR="005C0801" w:rsidRPr="005C0801">
        <w:rPr>
          <w:rFonts w:cs="Arial"/>
          <w:szCs w:val="20"/>
        </w:rPr>
        <w:t>anufacturers and importers of measuring instruments (e.g. retail scales, weighbridges, petrol</w:t>
      </w:r>
      <w:r w:rsidR="00D35FCB">
        <w:rPr>
          <w:rFonts w:cs="Arial"/>
          <w:szCs w:val="20"/>
        </w:rPr>
        <w:t xml:space="preserve"> pumps</w:t>
      </w:r>
      <w:r w:rsidR="005C0801" w:rsidRPr="005C0801">
        <w:rPr>
          <w:rFonts w:cs="Arial"/>
          <w:szCs w:val="20"/>
        </w:rPr>
        <w:t xml:space="preserve">, </w:t>
      </w:r>
      <w:r w:rsidR="007521FD" w:rsidRPr="005C0801">
        <w:rPr>
          <w:rFonts w:cs="Arial"/>
          <w:szCs w:val="20"/>
        </w:rPr>
        <w:t>breath</w:t>
      </w:r>
      <w:r w:rsidR="00E141D4">
        <w:rPr>
          <w:rFonts w:cs="Arial"/>
          <w:szCs w:val="20"/>
        </w:rPr>
        <w:t>-</w:t>
      </w:r>
      <w:r w:rsidR="005C0801" w:rsidRPr="005C0801">
        <w:rPr>
          <w:rFonts w:cs="Arial"/>
          <w:szCs w:val="20"/>
        </w:rPr>
        <w:t xml:space="preserve">alcohol analysers) are required to have a PA certificate from NMI before instruments can be used for trade or other regulatory purposes. </w:t>
      </w:r>
    </w:p>
    <w:p w14:paraId="0909698C" w14:textId="1E88F235" w:rsidR="00925014" w:rsidRDefault="00925014" w:rsidP="00925014">
      <w:pPr>
        <w:spacing w:before="120" w:line="276" w:lineRule="auto"/>
        <w:rPr>
          <w:rFonts w:cs="Arial"/>
          <w:szCs w:val="20"/>
        </w:rPr>
      </w:pPr>
      <w:r w:rsidRPr="008366B0">
        <w:rPr>
          <w:rFonts w:cs="Arial"/>
          <w:szCs w:val="20"/>
        </w:rPr>
        <w:t>A measuring instrument is used for trade if it is used</w:t>
      </w:r>
      <w:r w:rsidR="00802113">
        <w:rPr>
          <w:rFonts w:cs="Arial"/>
          <w:szCs w:val="20"/>
        </w:rPr>
        <w:t xml:space="preserve"> in</w:t>
      </w:r>
      <w:r>
        <w:rPr>
          <w:rFonts w:cs="Arial"/>
          <w:szCs w:val="20"/>
        </w:rPr>
        <w:t>:</w:t>
      </w:r>
    </w:p>
    <w:p w14:paraId="4922CDB7" w14:textId="77777777" w:rsidR="00925014" w:rsidRPr="004A609B" w:rsidRDefault="00925014" w:rsidP="005A229D">
      <w:pPr>
        <w:pStyle w:val="ListParagraph"/>
        <w:numPr>
          <w:ilvl w:val="0"/>
          <w:numId w:val="25"/>
        </w:numPr>
        <w:spacing w:before="120" w:after="0"/>
        <w:ind w:left="714" w:hanging="357"/>
        <w:contextualSpacing w:val="0"/>
        <w:rPr>
          <w:rFonts w:cs="Arial"/>
          <w:szCs w:val="20"/>
        </w:rPr>
      </w:pPr>
      <w:r w:rsidRPr="00F430BF">
        <w:rPr>
          <w:rFonts w:ascii="Arial" w:hAnsi="Arial" w:cs="Arial"/>
          <w:szCs w:val="20"/>
        </w:rPr>
        <w:t>determining the consideration in respect of a transaction</w:t>
      </w:r>
    </w:p>
    <w:p w14:paraId="573AC59D" w14:textId="77777777" w:rsidR="00925014" w:rsidRPr="004A609B" w:rsidRDefault="00925014" w:rsidP="005A229D">
      <w:pPr>
        <w:pStyle w:val="ListParagraph"/>
        <w:numPr>
          <w:ilvl w:val="0"/>
          <w:numId w:val="25"/>
        </w:numPr>
        <w:spacing w:before="120" w:after="0"/>
        <w:ind w:left="714" w:hanging="357"/>
        <w:contextualSpacing w:val="0"/>
        <w:rPr>
          <w:rFonts w:cs="Arial"/>
          <w:szCs w:val="20"/>
        </w:rPr>
      </w:pPr>
      <w:r w:rsidRPr="00F430BF">
        <w:rPr>
          <w:rFonts w:ascii="Arial" w:hAnsi="Arial" w:cs="Arial"/>
          <w:szCs w:val="20"/>
        </w:rPr>
        <w:t xml:space="preserve">determining the amount of a tax. </w:t>
      </w:r>
    </w:p>
    <w:p w14:paraId="04BBF39A" w14:textId="77777777" w:rsidR="00925014" w:rsidRPr="008366B0" w:rsidRDefault="00925014" w:rsidP="00925014">
      <w:pPr>
        <w:spacing w:before="120" w:line="276" w:lineRule="auto"/>
        <w:rPr>
          <w:rFonts w:cs="Arial"/>
          <w:szCs w:val="20"/>
        </w:rPr>
      </w:pPr>
      <w:r w:rsidRPr="008366B0">
        <w:rPr>
          <w:rFonts w:cs="Arial"/>
          <w:szCs w:val="20"/>
        </w:rPr>
        <w:t xml:space="preserve">In Australia, </w:t>
      </w:r>
      <w:r w:rsidR="00802113">
        <w:rPr>
          <w:rFonts w:cs="Arial"/>
          <w:szCs w:val="20"/>
        </w:rPr>
        <w:t xml:space="preserve">the Act requires </w:t>
      </w:r>
      <w:r w:rsidRPr="008366B0">
        <w:rPr>
          <w:rFonts w:cs="Arial"/>
          <w:szCs w:val="20"/>
        </w:rPr>
        <w:t>all measuring instruments used for trade</w:t>
      </w:r>
      <w:r w:rsidR="00D35FCB">
        <w:rPr>
          <w:rFonts w:cs="Arial"/>
          <w:szCs w:val="20"/>
        </w:rPr>
        <w:t xml:space="preserve"> to </w:t>
      </w:r>
      <w:r w:rsidRPr="008366B0">
        <w:rPr>
          <w:rFonts w:cs="Arial"/>
          <w:szCs w:val="20"/>
        </w:rPr>
        <w:t xml:space="preserve">be pattern-approved. </w:t>
      </w:r>
    </w:p>
    <w:p w14:paraId="397D0D13" w14:textId="7BDAF4AC" w:rsidR="002324C3" w:rsidRDefault="002324C3" w:rsidP="002324C3">
      <w:pPr>
        <w:spacing w:before="120" w:line="276" w:lineRule="auto"/>
        <w:rPr>
          <w:rFonts w:cs="Arial"/>
          <w:szCs w:val="20"/>
        </w:rPr>
      </w:pPr>
      <w:r w:rsidRPr="008366B0">
        <w:rPr>
          <w:rFonts w:cs="Arial"/>
          <w:szCs w:val="20"/>
        </w:rPr>
        <w:t xml:space="preserve">PA confirms that a measuring instrument’s design meets relevant documentary standards and performs as intended over a range of environmental and operating conditions. NMI examines trade and other legal measuring instruments against relevant standards and issues </w:t>
      </w:r>
      <w:r w:rsidR="00382078">
        <w:rPr>
          <w:rFonts w:cs="Arial"/>
          <w:szCs w:val="20"/>
        </w:rPr>
        <w:t>PA</w:t>
      </w:r>
      <w:r w:rsidR="00E820B6" w:rsidRPr="008366B0">
        <w:rPr>
          <w:rFonts w:cs="Arial"/>
          <w:szCs w:val="20"/>
        </w:rPr>
        <w:t xml:space="preserve"> </w:t>
      </w:r>
      <w:r w:rsidRPr="008366B0">
        <w:rPr>
          <w:rFonts w:cs="Arial"/>
          <w:szCs w:val="20"/>
        </w:rPr>
        <w:t xml:space="preserve">certificates that are internationally recognised. </w:t>
      </w:r>
    </w:p>
    <w:p w14:paraId="0D6B593D" w14:textId="19E95DF4" w:rsidR="006225D8" w:rsidRPr="006225D8" w:rsidRDefault="006225D8" w:rsidP="006225D8">
      <w:pPr>
        <w:spacing w:before="120" w:line="276" w:lineRule="auto"/>
        <w:rPr>
          <w:rFonts w:cs="Arial"/>
          <w:szCs w:val="20"/>
        </w:rPr>
      </w:pPr>
      <w:r w:rsidRPr="006225D8">
        <w:rPr>
          <w:rFonts w:cs="Arial"/>
          <w:szCs w:val="20"/>
        </w:rPr>
        <w:t xml:space="preserve">When reviewing applications for </w:t>
      </w:r>
      <w:r w:rsidR="00382078">
        <w:rPr>
          <w:rFonts w:cs="Arial"/>
          <w:szCs w:val="20"/>
        </w:rPr>
        <w:t>PA,</w:t>
      </w:r>
      <w:r w:rsidRPr="006225D8">
        <w:rPr>
          <w:rFonts w:cs="Arial"/>
          <w:szCs w:val="20"/>
        </w:rPr>
        <w:t xml:space="preserve"> where certification has already been issued in another country, NMI recognises test reports </w:t>
      </w:r>
      <w:r w:rsidR="00925014">
        <w:rPr>
          <w:rFonts w:cs="Arial"/>
          <w:szCs w:val="20"/>
        </w:rPr>
        <w:t xml:space="preserve">from </w:t>
      </w:r>
      <w:r w:rsidR="00E820B6">
        <w:rPr>
          <w:rFonts w:cs="Arial"/>
          <w:szCs w:val="20"/>
        </w:rPr>
        <w:t xml:space="preserve">overseas </w:t>
      </w:r>
      <w:r w:rsidR="00925014">
        <w:rPr>
          <w:rFonts w:cs="Arial"/>
          <w:szCs w:val="20"/>
        </w:rPr>
        <w:t xml:space="preserve">laboratories </w:t>
      </w:r>
      <w:r w:rsidRPr="006225D8">
        <w:rPr>
          <w:rFonts w:cs="Arial"/>
          <w:szCs w:val="20"/>
        </w:rPr>
        <w:t xml:space="preserve">issued in accordance with the </w:t>
      </w:r>
      <w:r w:rsidR="007A1A49">
        <w:rPr>
          <w:rFonts w:cs="Arial"/>
          <w:szCs w:val="20"/>
        </w:rPr>
        <w:t>OIML</w:t>
      </w:r>
      <w:r w:rsidR="003960A3">
        <w:rPr>
          <w:rFonts w:cs="Arial"/>
          <w:szCs w:val="20"/>
        </w:rPr>
        <w:t xml:space="preserve"> Certification System</w:t>
      </w:r>
      <w:r w:rsidR="00925014">
        <w:rPr>
          <w:rFonts w:cs="Arial"/>
          <w:szCs w:val="20"/>
        </w:rPr>
        <w:t>,</w:t>
      </w:r>
      <w:r w:rsidRPr="006225D8">
        <w:rPr>
          <w:rFonts w:cs="Arial"/>
          <w:szCs w:val="20"/>
        </w:rPr>
        <w:t xml:space="preserve"> and </w:t>
      </w:r>
      <w:r w:rsidR="00E820B6">
        <w:rPr>
          <w:rFonts w:cs="Arial"/>
          <w:szCs w:val="20"/>
        </w:rPr>
        <w:t>may</w:t>
      </w:r>
      <w:r w:rsidR="00E820B6" w:rsidRPr="006225D8">
        <w:rPr>
          <w:rFonts w:cs="Arial"/>
          <w:szCs w:val="20"/>
        </w:rPr>
        <w:t xml:space="preserve"> </w:t>
      </w:r>
      <w:r w:rsidRPr="006225D8">
        <w:rPr>
          <w:rFonts w:cs="Arial"/>
          <w:szCs w:val="20"/>
        </w:rPr>
        <w:t xml:space="preserve">also accept other test </w:t>
      </w:r>
      <w:r w:rsidR="00E820B6">
        <w:rPr>
          <w:rFonts w:cs="Arial"/>
          <w:szCs w:val="20"/>
        </w:rPr>
        <w:t>reports under certain conditions</w:t>
      </w:r>
      <w:r w:rsidRPr="006225D8">
        <w:rPr>
          <w:rFonts w:cs="Arial"/>
          <w:szCs w:val="20"/>
        </w:rPr>
        <w:t xml:space="preserve">. </w:t>
      </w:r>
    </w:p>
    <w:p w14:paraId="6A4B29A3" w14:textId="3D3FD890" w:rsidR="005C0801" w:rsidRDefault="006225D8" w:rsidP="006225D8">
      <w:pPr>
        <w:spacing w:before="120" w:line="276" w:lineRule="auto"/>
        <w:rPr>
          <w:rFonts w:cs="Arial"/>
          <w:szCs w:val="20"/>
        </w:rPr>
      </w:pPr>
      <w:r w:rsidRPr="006225D8">
        <w:rPr>
          <w:rFonts w:cs="Arial"/>
          <w:szCs w:val="20"/>
        </w:rPr>
        <w:t xml:space="preserve">Where </w:t>
      </w:r>
      <w:r w:rsidR="00107E5C">
        <w:rPr>
          <w:rFonts w:cs="Arial"/>
          <w:szCs w:val="20"/>
        </w:rPr>
        <w:t xml:space="preserve">an </w:t>
      </w:r>
      <w:r w:rsidRPr="006225D8">
        <w:rPr>
          <w:rFonts w:cs="Arial"/>
          <w:szCs w:val="20"/>
        </w:rPr>
        <w:t xml:space="preserve">appropriate </w:t>
      </w:r>
      <w:r w:rsidR="00E820B6">
        <w:rPr>
          <w:rFonts w:cs="Arial"/>
          <w:szCs w:val="20"/>
        </w:rPr>
        <w:t>test report</w:t>
      </w:r>
      <w:r w:rsidRPr="006225D8">
        <w:rPr>
          <w:rFonts w:cs="Arial"/>
          <w:szCs w:val="20"/>
        </w:rPr>
        <w:t xml:space="preserve"> </w:t>
      </w:r>
      <w:r w:rsidR="00107E5C">
        <w:rPr>
          <w:rFonts w:cs="Arial"/>
          <w:szCs w:val="20"/>
        </w:rPr>
        <w:t xml:space="preserve">is </w:t>
      </w:r>
      <w:r w:rsidRPr="006225D8">
        <w:rPr>
          <w:rFonts w:cs="Arial"/>
          <w:szCs w:val="20"/>
        </w:rPr>
        <w:t xml:space="preserve">not available, </w:t>
      </w:r>
      <w:r w:rsidR="00E820B6">
        <w:rPr>
          <w:rFonts w:cs="Arial"/>
          <w:szCs w:val="20"/>
        </w:rPr>
        <w:t xml:space="preserve">NMI is able to provide PA testing services. </w:t>
      </w:r>
      <w:r w:rsidRPr="006225D8">
        <w:rPr>
          <w:rFonts w:cs="Arial"/>
          <w:szCs w:val="20"/>
        </w:rPr>
        <w:t xml:space="preserve">This provides confidence in domestic and international trade </w:t>
      </w:r>
      <w:r w:rsidR="00191176">
        <w:rPr>
          <w:rFonts w:cs="Arial"/>
          <w:szCs w:val="20"/>
        </w:rPr>
        <w:t>as well as</w:t>
      </w:r>
      <w:r w:rsidR="00191176" w:rsidRPr="006225D8">
        <w:rPr>
          <w:rFonts w:cs="Arial"/>
          <w:szCs w:val="20"/>
        </w:rPr>
        <w:t xml:space="preserve"> </w:t>
      </w:r>
      <w:r w:rsidRPr="006225D8">
        <w:rPr>
          <w:rFonts w:cs="Arial"/>
          <w:szCs w:val="20"/>
        </w:rPr>
        <w:t xml:space="preserve">other functions and benefits </w:t>
      </w:r>
      <w:r w:rsidR="00191176">
        <w:rPr>
          <w:rFonts w:cs="Arial"/>
          <w:szCs w:val="20"/>
        </w:rPr>
        <w:t xml:space="preserve">for </w:t>
      </w:r>
      <w:r w:rsidRPr="006225D8">
        <w:rPr>
          <w:rFonts w:cs="Arial"/>
          <w:szCs w:val="20"/>
        </w:rPr>
        <w:t>the whole economy.</w:t>
      </w:r>
    </w:p>
    <w:p w14:paraId="6089400F" w14:textId="28C609AC" w:rsidR="00B654CA" w:rsidRDefault="00B654CA" w:rsidP="00AB5D3B">
      <w:pPr>
        <w:spacing w:before="120" w:line="276" w:lineRule="auto"/>
        <w:rPr>
          <w:rFonts w:cs="Arial"/>
          <w:szCs w:val="20"/>
        </w:rPr>
      </w:pPr>
      <w:r w:rsidRPr="008366B0">
        <w:rPr>
          <w:rFonts w:cs="Arial"/>
          <w:szCs w:val="20"/>
        </w:rPr>
        <w:t xml:space="preserve">NMI may also appoint Approving Authorities to </w:t>
      </w:r>
      <w:r w:rsidR="00794559">
        <w:rPr>
          <w:rFonts w:cs="Arial"/>
          <w:szCs w:val="20"/>
        </w:rPr>
        <w:t>conduct independent testing of measuring instruments</w:t>
      </w:r>
      <w:r w:rsidR="00382078">
        <w:rPr>
          <w:rFonts w:cs="Arial"/>
          <w:szCs w:val="20"/>
        </w:rPr>
        <w:t xml:space="preserve"> for PA</w:t>
      </w:r>
      <w:r w:rsidR="00794559">
        <w:rPr>
          <w:rFonts w:cs="Arial"/>
          <w:szCs w:val="20"/>
        </w:rPr>
        <w:t xml:space="preserve">. </w:t>
      </w:r>
      <w:r w:rsidR="002324C3">
        <w:rPr>
          <w:rFonts w:cs="Arial"/>
          <w:szCs w:val="20"/>
        </w:rPr>
        <w:t>T</w:t>
      </w:r>
      <w:r w:rsidR="00CA7F3E">
        <w:rPr>
          <w:rFonts w:cs="Arial"/>
          <w:szCs w:val="20"/>
        </w:rPr>
        <w:t xml:space="preserve">est </w:t>
      </w:r>
      <w:r w:rsidR="00794559">
        <w:rPr>
          <w:rFonts w:cs="Arial"/>
          <w:szCs w:val="20"/>
        </w:rPr>
        <w:t xml:space="preserve">results </w:t>
      </w:r>
      <w:r w:rsidR="0072518F">
        <w:rPr>
          <w:rFonts w:cs="Arial"/>
          <w:szCs w:val="20"/>
        </w:rPr>
        <w:t xml:space="preserve">from </w:t>
      </w:r>
      <w:r w:rsidR="002324C3">
        <w:rPr>
          <w:rFonts w:cs="Arial"/>
          <w:szCs w:val="20"/>
        </w:rPr>
        <w:t xml:space="preserve">an </w:t>
      </w:r>
      <w:r w:rsidR="0072518F">
        <w:rPr>
          <w:rFonts w:cs="Arial"/>
          <w:szCs w:val="20"/>
        </w:rPr>
        <w:t xml:space="preserve">Approving Authority </w:t>
      </w:r>
      <w:r w:rsidR="00794559">
        <w:rPr>
          <w:rFonts w:cs="Arial"/>
          <w:szCs w:val="20"/>
        </w:rPr>
        <w:t xml:space="preserve">will be considered by the NMI when assessing the suitability of a measuring instrument for trade or legal purposes. </w:t>
      </w:r>
    </w:p>
    <w:p w14:paraId="0C6B643B" w14:textId="4A947B02" w:rsidR="00D647AB" w:rsidRDefault="00553E6C" w:rsidP="00D96527">
      <w:pPr>
        <w:spacing w:before="120" w:line="276" w:lineRule="auto"/>
        <w:rPr>
          <w:rFonts w:cs="Arial"/>
          <w:szCs w:val="20"/>
        </w:rPr>
      </w:pPr>
      <w:r>
        <w:rPr>
          <w:rFonts w:cs="Arial"/>
          <w:szCs w:val="20"/>
        </w:rPr>
        <w:t>P</w:t>
      </w:r>
      <w:r w:rsidR="00097660">
        <w:rPr>
          <w:rFonts w:cs="Arial"/>
          <w:szCs w:val="20"/>
        </w:rPr>
        <w:t xml:space="preserve">A </w:t>
      </w:r>
      <w:r>
        <w:rPr>
          <w:rFonts w:cs="Arial"/>
          <w:szCs w:val="20"/>
        </w:rPr>
        <w:t>testing and certification by NMI</w:t>
      </w:r>
      <w:r w:rsidR="00D647AB">
        <w:rPr>
          <w:rFonts w:cs="Arial"/>
          <w:szCs w:val="20"/>
        </w:rPr>
        <w:t xml:space="preserve"> underpins confidence in the accuracy of measuring instruments used for international and </w:t>
      </w:r>
      <w:r w:rsidR="00D35FCB">
        <w:rPr>
          <w:rFonts w:cs="Arial"/>
          <w:szCs w:val="20"/>
        </w:rPr>
        <w:t xml:space="preserve">domestic </w:t>
      </w:r>
      <w:r w:rsidR="00D647AB">
        <w:rPr>
          <w:rFonts w:cs="Arial"/>
          <w:szCs w:val="20"/>
        </w:rPr>
        <w:t xml:space="preserve">trade without undue reliance on overseas authorities, who may </w:t>
      </w:r>
      <w:r w:rsidR="00D35FCB">
        <w:rPr>
          <w:rFonts w:cs="Arial"/>
          <w:szCs w:val="20"/>
        </w:rPr>
        <w:t xml:space="preserve">have little focus </w:t>
      </w:r>
      <w:r w:rsidR="00D647AB">
        <w:rPr>
          <w:rFonts w:cs="Arial"/>
          <w:szCs w:val="20"/>
        </w:rPr>
        <w:t>on protecting Australian trading interests.</w:t>
      </w:r>
      <w:r>
        <w:rPr>
          <w:rFonts w:cs="Arial"/>
          <w:szCs w:val="20"/>
        </w:rPr>
        <w:t xml:space="preserve"> </w:t>
      </w:r>
      <w:r w:rsidR="006A7B39">
        <w:rPr>
          <w:rFonts w:cs="Arial"/>
          <w:szCs w:val="20"/>
        </w:rPr>
        <w:t xml:space="preserve">NMI represents </w:t>
      </w:r>
      <w:r w:rsidR="00DD7ABC" w:rsidRPr="006A7B39">
        <w:rPr>
          <w:rFonts w:cs="Arial"/>
          <w:szCs w:val="20"/>
        </w:rPr>
        <w:t>Australia’s</w:t>
      </w:r>
      <w:r w:rsidR="00754879" w:rsidRPr="006A7B39">
        <w:rPr>
          <w:rFonts w:cs="Arial"/>
          <w:szCs w:val="20"/>
        </w:rPr>
        <w:t xml:space="preserve"> </w:t>
      </w:r>
      <w:r w:rsidR="006A7B39">
        <w:rPr>
          <w:rFonts w:cs="Arial"/>
          <w:szCs w:val="20"/>
        </w:rPr>
        <w:t xml:space="preserve">economic </w:t>
      </w:r>
      <w:r w:rsidR="00754879" w:rsidRPr="006A7B39">
        <w:rPr>
          <w:rFonts w:cs="Arial"/>
          <w:szCs w:val="20"/>
        </w:rPr>
        <w:t>interests</w:t>
      </w:r>
      <w:r w:rsidR="006A7B39" w:rsidRPr="006A7B39">
        <w:rPr>
          <w:rFonts w:cs="Arial"/>
          <w:szCs w:val="20"/>
        </w:rPr>
        <w:t xml:space="preserve"> through the PA certification process, as its counterpart organisations do in most </w:t>
      </w:r>
      <w:r w:rsidR="006A7B39">
        <w:rPr>
          <w:rFonts w:cs="Arial"/>
          <w:szCs w:val="20"/>
        </w:rPr>
        <w:t xml:space="preserve">other </w:t>
      </w:r>
      <w:r w:rsidR="006A7B39" w:rsidRPr="006A7B39">
        <w:rPr>
          <w:rFonts w:cs="Arial"/>
          <w:szCs w:val="20"/>
        </w:rPr>
        <w:t>comparable economies.</w:t>
      </w:r>
    </w:p>
    <w:p w14:paraId="0EF0EAAD" w14:textId="77777777" w:rsidR="00BE1C86" w:rsidRDefault="00BE1C86" w:rsidP="00E84412">
      <w:pPr>
        <w:spacing w:before="120" w:after="240" w:line="276" w:lineRule="auto"/>
        <w:rPr>
          <w:rFonts w:cs="Arial"/>
          <w:szCs w:val="20"/>
        </w:rPr>
      </w:pPr>
      <w:r>
        <w:rPr>
          <w:rFonts w:cs="Arial"/>
          <w:szCs w:val="20"/>
        </w:rPr>
        <w:t>P</w:t>
      </w:r>
      <w:r w:rsidR="000A35E6">
        <w:rPr>
          <w:rFonts w:cs="Arial"/>
          <w:szCs w:val="20"/>
        </w:rPr>
        <w:t>A</w:t>
      </w:r>
      <w:r>
        <w:rPr>
          <w:rFonts w:cs="Arial"/>
          <w:szCs w:val="20"/>
        </w:rPr>
        <w:t xml:space="preserve"> fees are set by regulation with the fee structure detailed in Schedule 13 of the </w:t>
      </w:r>
      <w:r w:rsidRPr="00296FB3">
        <w:rPr>
          <w:rFonts w:cs="Arial"/>
          <w:szCs w:val="20"/>
        </w:rPr>
        <w:t>National Measurement Regul</w:t>
      </w:r>
      <w:r w:rsidR="006225D8" w:rsidRPr="00296FB3">
        <w:rPr>
          <w:rFonts w:cs="Arial"/>
          <w:szCs w:val="20"/>
        </w:rPr>
        <w:t>ations 1999</w:t>
      </w:r>
      <w:r w:rsidR="006225D8">
        <w:rPr>
          <w:rFonts w:cs="Arial"/>
          <w:szCs w:val="20"/>
        </w:rPr>
        <w:t>.</w:t>
      </w:r>
    </w:p>
    <w:p w14:paraId="4B67AE03" w14:textId="77777777" w:rsidR="00FB6FEE" w:rsidRPr="006C1DCD" w:rsidRDefault="00FB6FEE" w:rsidP="006C1DCD">
      <w:pPr>
        <w:pStyle w:val="Heading3"/>
        <w:spacing w:line="276" w:lineRule="auto"/>
        <w:ind w:left="340" w:hanging="340"/>
        <w:rPr>
          <w:sz w:val="22"/>
          <w:szCs w:val="22"/>
        </w:rPr>
      </w:pPr>
      <w:bookmarkStart w:id="13" w:name="_Toc516468775"/>
      <w:bookmarkStart w:id="14" w:name="_Toc85106070"/>
      <w:r w:rsidRPr="006C1DCD">
        <w:rPr>
          <w:sz w:val="22"/>
          <w:szCs w:val="22"/>
        </w:rPr>
        <w:t>Licensing</w:t>
      </w:r>
      <w:bookmarkEnd w:id="13"/>
      <w:bookmarkEnd w:id="14"/>
      <w:r w:rsidRPr="006C1DCD">
        <w:rPr>
          <w:sz w:val="22"/>
          <w:szCs w:val="22"/>
        </w:rPr>
        <w:t xml:space="preserve"> </w:t>
      </w:r>
    </w:p>
    <w:p w14:paraId="638B87A6" w14:textId="3F3EB327" w:rsidR="00250B03" w:rsidRPr="00250B03" w:rsidRDefault="00250B03" w:rsidP="00250B03">
      <w:pPr>
        <w:spacing w:before="120" w:line="276" w:lineRule="auto"/>
        <w:rPr>
          <w:rFonts w:cs="Arial"/>
          <w:szCs w:val="20"/>
        </w:rPr>
      </w:pPr>
      <w:r w:rsidRPr="00250B03">
        <w:rPr>
          <w:rFonts w:cs="Arial"/>
          <w:szCs w:val="20"/>
        </w:rPr>
        <w:t>NMI licen</w:t>
      </w:r>
      <w:r w:rsidR="006118BD">
        <w:rPr>
          <w:rFonts w:cs="Arial"/>
          <w:szCs w:val="20"/>
        </w:rPr>
        <w:t>s</w:t>
      </w:r>
      <w:r w:rsidRPr="00250B03">
        <w:rPr>
          <w:rFonts w:cs="Arial"/>
          <w:szCs w:val="20"/>
        </w:rPr>
        <w:t xml:space="preserve">es </w:t>
      </w:r>
      <w:r w:rsidR="00925014">
        <w:rPr>
          <w:rFonts w:cs="Arial"/>
          <w:szCs w:val="20"/>
        </w:rPr>
        <w:t>third-</w:t>
      </w:r>
      <w:r w:rsidRPr="00250B03">
        <w:rPr>
          <w:rFonts w:cs="Arial"/>
          <w:szCs w:val="20"/>
        </w:rPr>
        <w:t>part</w:t>
      </w:r>
      <w:r w:rsidR="00E157FF">
        <w:rPr>
          <w:rFonts w:cs="Arial"/>
          <w:szCs w:val="20"/>
        </w:rPr>
        <w:t>y</w:t>
      </w:r>
      <w:r w:rsidRPr="00250B03">
        <w:rPr>
          <w:rFonts w:cs="Arial"/>
          <w:szCs w:val="20"/>
        </w:rPr>
        <w:t xml:space="preserve"> </w:t>
      </w:r>
      <w:r w:rsidR="00E157FF">
        <w:rPr>
          <w:rFonts w:cs="Arial"/>
          <w:szCs w:val="20"/>
        </w:rPr>
        <w:t>private organisations to</w:t>
      </w:r>
      <w:r w:rsidR="00E141D4">
        <w:rPr>
          <w:rFonts w:cs="Arial"/>
          <w:szCs w:val="20"/>
        </w:rPr>
        <w:t>:</w:t>
      </w:r>
    </w:p>
    <w:p w14:paraId="7ADFCDFB" w14:textId="77777777" w:rsidR="00250B03" w:rsidRPr="009627C3" w:rsidRDefault="00250B03" w:rsidP="00DE02AA">
      <w:pPr>
        <w:pStyle w:val="ListParagraph"/>
        <w:numPr>
          <w:ilvl w:val="0"/>
          <w:numId w:val="11"/>
        </w:numPr>
        <w:spacing w:before="120" w:after="0"/>
        <w:ind w:left="709" w:hanging="352"/>
        <w:contextualSpacing w:val="0"/>
        <w:rPr>
          <w:rFonts w:ascii="Arial" w:hAnsi="Arial" w:cs="Arial"/>
          <w:szCs w:val="20"/>
        </w:rPr>
      </w:pPr>
      <w:r w:rsidRPr="009627C3">
        <w:rPr>
          <w:rFonts w:ascii="Arial" w:hAnsi="Arial" w:cs="Arial"/>
          <w:szCs w:val="20"/>
        </w:rPr>
        <w:t>verify measuring instruments used for trade</w:t>
      </w:r>
      <w:r w:rsidR="00E157FF">
        <w:rPr>
          <w:rFonts w:ascii="Arial" w:hAnsi="Arial" w:cs="Arial"/>
          <w:szCs w:val="20"/>
        </w:rPr>
        <w:t xml:space="preserve"> (Servicing Licensees)</w:t>
      </w:r>
    </w:p>
    <w:p w14:paraId="76EE1EDA" w14:textId="77777777" w:rsidR="00250B03" w:rsidRDefault="00250B03" w:rsidP="00DE02AA">
      <w:pPr>
        <w:pStyle w:val="ListParagraph"/>
        <w:numPr>
          <w:ilvl w:val="0"/>
          <w:numId w:val="11"/>
        </w:numPr>
        <w:spacing w:before="120" w:after="0"/>
        <w:ind w:left="709" w:hanging="352"/>
        <w:contextualSpacing w:val="0"/>
        <w:rPr>
          <w:rFonts w:ascii="Arial" w:hAnsi="Arial" w:cs="Arial"/>
          <w:szCs w:val="20"/>
        </w:rPr>
      </w:pPr>
      <w:r w:rsidRPr="009627C3">
        <w:rPr>
          <w:rFonts w:ascii="Arial" w:hAnsi="Arial" w:cs="Arial"/>
          <w:szCs w:val="20"/>
        </w:rPr>
        <w:t>operate public weighbridges</w:t>
      </w:r>
      <w:r w:rsidR="00E157FF">
        <w:rPr>
          <w:rFonts w:ascii="Arial" w:hAnsi="Arial" w:cs="Arial"/>
          <w:szCs w:val="20"/>
        </w:rPr>
        <w:t xml:space="preserve"> (Public Weighbridge Licensees)</w:t>
      </w:r>
      <w:r w:rsidR="002D679C">
        <w:rPr>
          <w:rFonts w:ascii="Arial" w:hAnsi="Arial" w:cs="Arial"/>
          <w:szCs w:val="20"/>
        </w:rPr>
        <w:t>.</w:t>
      </w:r>
    </w:p>
    <w:p w14:paraId="28227706" w14:textId="6CC0FF4F" w:rsidR="007A1A49" w:rsidRPr="004A609B" w:rsidRDefault="007A1A49" w:rsidP="00940E5A">
      <w:pPr>
        <w:spacing w:before="120" w:line="276" w:lineRule="auto"/>
        <w:rPr>
          <w:rFonts w:cs="Arial"/>
          <w:szCs w:val="20"/>
        </w:rPr>
      </w:pPr>
      <w:r w:rsidRPr="00E157FF">
        <w:rPr>
          <w:rFonts w:cs="Arial"/>
          <w:szCs w:val="20"/>
        </w:rPr>
        <w:t>Businesses across Australia rely on the capability of servicing licen</w:t>
      </w:r>
      <w:r w:rsidR="006118BD">
        <w:rPr>
          <w:rFonts w:cs="Arial"/>
          <w:szCs w:val="20"/>
        </w:rPr>
        <w:t>s</w:t>
      </w:r>
      <w:r w:rsidRPr="00E157FF">
        <w:rPr>
          <w:rFonts w:cs="Arial"/>
          <w:szCs w:val="20"/>
        </w:rPr>
        <w:t>ees and public weighbridge licen</w:t>
      </w:r>
      <w:r w:rsidR="006118BD">
        <w:rPr>
          <w:rFonts w:cs="Arial"/>
          <w:szCs w:val="20"/>
        </w:rPr>
        <w:t>s</w:t>
      </w:r>
      <w:r w:rsidRPr="00E157FF">
        <w:rPr>
          <w:rFonts w:cs="Arial"/>
          <w:szCs w:val="20"/>
        </w:rPr>
        <w:t xml:space="preserve">ees </w:t>
      </w:r>
      <w:r w:rsidR="00DD7ABC">
        <w:rPr>
          <w:rFonts w:cs="Arial"/>
          <w:szCs w:val="20"/>
        </w:rPr>
        <w:t xml:space="preserve">in order </w:t>
      </w:r>
      <w:r w:rsidRPr="00E157FF">
        <w:rPr>
          <w:rFonts w:cs="Arial"/>
          <w:szCs w:val="20"/>
        </w:rPr>
        <w:t xml:space="preserve">to comply with the requirements of the Act </w:t>
      </w:r>
      <w:r w:rsidR="00DD7ABC">
        <w:rPr>
          <w:rFonts w:cs="Arial"/>
          <w:szCs w:val="20"/>
        </w:rPr>
        <w:t xml:space="preserve">and </w:t>
      </w:r>
      <w:r w:rsidRPr="00E157FF">
        <w:rPr>
          <w:rFonts w:cs="Arial"/>
          <w:szCs w:val="20"/>
        </w:rPr>
        <w:t>to help maintain the metrological infrastructure for trade measurement</w:t>
      </w:r>
      <w:r>
        <w:rPr>
          <w:rFonts w:cs="Arial"/>
          <w:szCs w:val="20"/>
        </w:rPr>
        <w:t>.</w:t>
      </w:r>
    </w:p>
    <w:p w14:paraId="4D3CF553" w14:textId="77777777" w:rsidR="000E6628" w:rsidRPr="008366B0" w:rsidRDefault="000E6628" w:rsidP="000E6628">
      <w:pPr>
        <w:spacing w:before="120" w:line="276" w:lineRule="auto"/>
        <w:rPr>
          <w:rFonts w:cs="Arial"/>
          <w:szCs w:val="20"/>
        </w:rPr>
      </w:pPr>
      <w:r w:rsidRPr="008366B0">
        <w:rPr>
          <w:rFonts w:cs="Arial"/>
          <w:szCs w:val="20"/>
        </w:rPr>
        <w:t>NMI’s approach is to ensure Australia’s servicing licensee workforce is maintained at an appropriate level of competency, that verifications are performed correctly</w:t>
      </w:r>
      <w:r w:rsidR="008504FA">
        <w:rPr>
          <w:rFonts w:cs="Arial"/>
          <w:szCs w:val="20"/>
        </w:rPr>
        <w:t>,</w:t>
      </w:r>
      <w:r w:rsidRPr="008366B0">
        <w:rPr>
          <w:rFonts w:cs="Arial"/>
          <w:szCs w:val="20"/>
        </w:rPr>
        <w:t xml:space="preserve"> and that verifiers have access to the necessary procedures, systems and equipment to perform their duties correctly and in accordance with the Act.</w:t>
      </w:r>
    </w:p>
    <w:p w14:paraId="369C4A51" w14:textId="77777777" w:rsidR="00250B03" w:rsidRDefault="00250B03" w:rsidP="00250B03">
      <w:pPr>
        <w:spacing w:before="120" w:line="276" w:lineRule="auto"/>
        <w:rPr>
          <w:rFonts w:cs="Arial"/>
          <w:szCs w:val="20"/>
        </w:rPr>
      </w:pPr>
      <w:r w:rsidRPr="00250B03">
        <w:rPr>
          <w:rFonts w:cs="Arial"/>
          <w:szCs w:val="20"/>
        </w:rPr>
        <w:t xml:space="preserve">Licensees return data on </w:t>
      </w:r>
      <w:r w:rsidR="009877F6">
        <w:rPr>
          <w:rFonts w:cs="Arial"/>
          <w:szCs w:val="20"/>
        </w:rPr>
        <w:t xml:space="preserve">instrument </w:t>
      </w:r>
      <w:r w:rsidRPr="00250B03">
        <w:rPr>
          <w:rFonts w:cs="Arial"/>
          <w:szCs w:val="20"/>
        </w:rPr>
        <w:t>verification</w:t>
      </w:r>
      <w:r w:rsidR="009877F6">
        <w:rPr>
          <w:rFonts w:cs="Arial"/>
          <w:szCs w:val="20"/>
        </w:rPr>
        <w:t>s</w:t>
      </w:r>
      <w:r w:rsidRPr="00250B03">
        <w:rPr>
          <w:rFonts w:cs="Arial"/>
          <w:szCs w:val="20"/>
        </w:rPr>
        <w:t xml:space="preserve"> to</w:t>
      </w:r>
      <w:r w:rsidR="008504FA">
        <w:rPr>
          <w:rFonts w:cs="Arial"/>
          <w:szCs w:val="20"/>
        </w:rPr>
        <w:t xml:space="preserve"> </w:t>
      </w:r>
      <w:r w:rsidR="00F37A25">
        <w:rPr>
          <w:rFonts w:cs="Arial"/>
          <w:szCs w:val="20"/>
        </w:rPr>
        <w:t xml:space="preserve">the </w:t>
      </w:r>
      <w:r w:rsidRPr="00250B03">
        <w:rPr>
          <w:rFonts w:cs="Arial"/>
          <w:szCs w:val="20"/>
        </w:rPr>
        <w:t>NMI</w:t>
      </w:r>
      <w:r w:rsidR="008504FA">
        <w:rPr>
          <w:rFonts w:cs="Arial"/>
          <w:szCs w:val="20"/>
        </w:rPr>
        <w:t>. This</w:t>
      </w:r>
      <w:r w:rsidRPr="00250B03">
        <w:rPr>
          <w:rFonts w:cs="Arial"/>
          <w:szCs w:val="20"/>
        </w:rPr>
        <w:t xml:space="preserve"> supports efficient delivery of</w:t>
      </w:r>
      <w:r w:rsidR="008504FA">
        <w:rPr>
          <w:rFonts w:cs="Arial"/>
          <w:szCs w:val="20"/>
        </w:rPr>
        <w:t xml:space="preserve"> </w:t>
      </w:r>
      <w:r w:rsidRPr="00250B03">
        <w:rPr>
          <w:rFonts w:cs="Arial"/>
          <w:szCs w:val="20"/>
        </w:rPr>
        <w:t>NMI</w:t>
      </w:r>
      <w:r w:rsidR="008504FA">
        <w:rPr>
          <w:rFonts w:cs="Arial"/>
          <w:szCs w:val="20"/>
        </w:rPr>
        <w:t>’s</w:t>
      </w:r>
      <w:r w:rsidRPr="00250B03">
        <w:rPr>
          <w:rFonts w:cs="Arial"/>
          <w:szCs w:val="20"/>
        </w:rPr>
        <w:t xml:space="preserve"> compliance activities and lowers the overall regulatory burden</w:t>
      </w:r>
      <w:r w:rsidR="007A1A49">
        <w:rPr>
          <w:rFonts w:cs="Arial"/>
          <w:szCs w:val="20"/>
        </w:rPr>
        <w:t xml:space="preserve"> on stakeholders</w:t>
      </w:r>
      <w:r w:rsidR="006E604F">
        <w:rPr>
          <w:rFonts w:cs="Arial"/>
          <w:szCs w:val="20"/>
        </w:rPr>
        <w:t xml:space="preserve"> </w:t>
      </w:r>
      <w:r w:rsidR="007A1A49">
        <w:rPr>
          <w:rFonts w:cs="Arial"/>
          <w:szCs w:val="20"/>
        </w:rPr>
        <w:t xml:space="preserve">by reducing compliance </w:t>
      </w:r>
      <w:r w:rsidR="006E604F">
        <w:rPr>
          <w:rFonts w:cs="Arial"/>
          <w:szCs w:val="20"/>
        </w:rPr>
        <w:t xml:space="preserve">inspection </w:t>
      </w:r>
      <w:r w:rsidR="007A1A49">
        <w:rPr>
          <w:rFonts w:cs="Arial"/>
          <w:szCs w:val="20"/>
        </w:rPr>
        <w:t>cost</w:t>
      </w:r>
      <w:r w:rsidR="006E604F">
        <w:rPr>
          <w:rFonts w:cs="Arial"/>
          <w:szCs w:val="20"/>
        </w:rPr>
        <w:t>s</w:t>
      </w:r>
      <w:r w:rsidRPr="00250B03">
        <w:rPr>
          <w:rFonts w:cs="Arial"/>
          <w:szCs w:val="20"/>
        </w:rPr>
        <w:t xml:space="preserve">. </w:t>
      </w:r>
    </w:p>
    <w:p w14:paraId="24DBE51C" w14:textId="77777777" w:rsidR="000E6628" w:rsidRDefault="000E6628" w:rsidP="000E6628">
      <w:pPr>
        <w:spacing w:before="120" w:line="276" w:lineRule="auto"/>
        <w:rPr>
          <w:rFonts w:cs="Arial"/>
          <w:szCs w:val="20"/>
        </w:rPr>
      </w:pPr>
      <w:r w:rsidRPr="009627C3">
        <w:rPr>
          <w:rFonts w:cs="Arial"/>
          <w:szCs w:val="20"/>
        </w:rPr>
        <w:t xml:space="preserve">Servicing licensee fees are prescribed under Division 2.4 and Public Weighbridge licence fees are prescribed under Division 3.2 of the </w:t>
      </w:r>
      <w:r w:rsidRPr="00296FB3">
        <w:rPr>
          <w:rFonts w:cs="Arial"/>
          <w:szCs w:val="20"/>
        </w:rPr>
        <w:t>National Trade Measurement Regulations 2009</w:t>
      </w:r>
      <w:r w:rsidRPr="009627C3">
        <w:rPr>
          <w:rFonts w:cs="Arial"/>
          <w:szCs w:val="20"/>
        </w:rPr>
        <w:t>.</w:t>
      </w:r>
      <w:r>
        <w:rPr>
          <w:rFonts w:cs="Arial"/>
          <w:szCs w:val="20"/>
        </w:rPr>
        <w:t xml:space="preserve"> </w:t>
      </w:r>
    </w:p>
    <w:p w14:paraId="22F13B4A" w14:textId="77777777" w:rsidR="00FB6FEE" w:rsidRPr="006C1DCD" w:rsidRDefault="00FB6FEE" w:rsidP="006C1DCD">
      <w:pPr>
        <w:pStyle w:val="Heading3"/>
        <w:spacing w:line="276" w:lineRule="auto"/>
        <w:ind w:left="340" w:hanging="340"/>
        <w:rPr>
          <w:sz w:val="22"/>
          <w:szCs w:val="22"/>
        </w:rPr>
      </w:pPr>
      <w:bookmarkStart w:id="15" w:name="_Toc516468776"/>
      <w:bookmarkStart w:id="16" w:name="_Toc85106071"/>
      <w:r w:rsidRPr="006C1DCD">
        <w:rPr>
          <w:sz w:val="22"/>
          <w:szCs w:val="22"/>
        </w:rPr>
        <w:lastRenderedPageBreak/>
        <w:t>Appointments</w:t>
      </w:r>
      <w:bookmarkEnd w:id="15"/>
      <w:bookmarkEnd w:id="16"/>
    </w:p>
    <w:p w14:paraId="1B7C50BD" w14:textId="64B6AFEB" w:rsidR="00754F3D" w:rsidRPr="008366B0" w:rsidRDefault="00754F3D" w:rsidP="00AB5D3B">
      <w:pPr>
        <w:spacing w:before="120" w:line="276" w:lineRule="auto"/>
        <w:rPr>
          <w:rFonts w:cs="Arial"/>
          <w:bCs/>
          <w:szCs w:val="20"/>
        </w:rPr>
      </w:pPr>
      <w:r w:rsidRPr="008366B0">
        <w:rPr>
          <w:rFonts w:cs="Arial"/>
          <w:bCs/>
          <w:szCs w:val="20"/>
        </w:rPr>
        <w:t xml:space="preserve">To support </w:t>
      </w:r>
      <w:r w:rsidR="00DD7ABC">
        <w:rPr>
          <w:rFonts w:cs="Arial"/>
          <w:bCs/>
          <w:szCs w:val="20"/>
        </w:rPr>
        <w:t>the national</w:t>
      </w:r>
      <w:r w:rsidRPr="008366B0">
        <w:rPr>
          <w:rFonts w:cs="Arial"/>
          <w:bCs/>
          <w:szCs w:val="20"/>
        </w:rPr>
        <w:t xml:space="preserve"> measurement system</w:t>
      </w:r>
      <w:r w:rsidR="006E604F">
        <w:rPr>
          <w:rFonts w:cs="Arial"/>
          <w:bCs/>
          <w:szCs w:val="20"/>
        </w:rPr>
        <w:t>,</w:t>
      </w:r>
      <w:r w:rsidRPr="008366B0">
        <w:rPr>
          <w:rFonts w:cs="Arial"/>
          <w:bCs/>
          <w:szCs w:val="20"/>
        </w:rPr>
        <w:t xml:space="preserve"> NMI appoints </w:t>
      </w:r>
      <w:r w:rsidR="00487D23">
        <w:rPr>
          <w:rFonts w:cs="Arial"/>
          <w:bCs/>
          <w:szCs w:val="20"/>
        </w:rPr>
        <w:t>third-</w:t>
      </w:r>
      <w:r w:rsidRPr="008366B0">
        <w:rPr>
          <w:rFonts w:cs="Arial"/>
          <w:bCs/>
          <w:szCs w:val="20"/>
        </w:rPr>
        <w:t xml:space="preserve">party, private </w:t>
      </w:r>
      <w:r w:rsidR="006E604F">
        <w:rPr>
          <w:rFonts w:cs="Arial"/>
          <w:bCs/>
          <w:szCs w:val="20"/>
        </w:rPr>
        <w:t>sector organisations</w:t>
      </w:r>
      <w:r w:rsidRPr="008366B0">
        <w:rPr>
          <w:rFonts w:cs="Arial"/>
          <w:bCs/>
          <w:szCs w:val="20"/>
        </w:rPr>
        <w:t xml:space="preserve"> </w:t>
      </w:r>
      <w:r w:rsidR="00487D23">
        <w:rPr>
          <w:rFonts w:cs="Arial"/>
          <w:bCs/>
          <w:szCs w:val="20"/>
        </w:rPr>
        <w:t>as</w:t>
      </w:r>
      <w:r w:rsidRPr="008366B0">
        <w:rPr>
          <w:rFonts w:cs="Arial"/>
          <w:bCs/>
          <w:szCs w:val="20"/>
        </w:rPr>
        <w:t xml:space="preserve"> authorities</w:t>
      </w:r>
      <w:r w:rsidR="005729E9">
        <w:rPr>
          <w:rFonts w:cs="Arial"/>
          <w:bCs/>
          <w:szCs w:val="20"/>
        </w:rPr>
        <w:t xml:space="preserve"> including</w:t>
      </w:r>
      <w:r w:rsidRPr="008366B0">
        <w:rPr>
          <w:rFonts w:cs="Arial"/>
          <w:bCs/>
          <w:szCs w:val="20"/>
        </w:rPr>
        <w:t>:</w:t>
      </w:r>
    </w:p>
    <w:p w14:paraId="0B3227BF" w14:textId="3BBD6F2E" w:rsidR="00754F3D" w:rsidRPr="00043131" w:rsidRDefault="00754F3D" w:rsidP="00646D7B">
      <w:pPr>
        <w:pStyle w:val="ListParagraph"/>
        <w:numPr>
          <w:ilvl w:val="0"/>
          <w:numId w:val="5"/>
        </w:numPr>
        <w:spacing w:before="120" w:after="0"/>
        <w:ind w:left="714" w:hanging="357"/>
        <w:contextualSpacing w:val="0"/>
        <w:rPr>
          <w:rFonts w:ascii="Arial" w:hAnsi="Arial" w:cs="Arial"/>
          <w:bCs/>
          <w:szCs w:val="20"/>
        </w:rPr>
      </w:pPr>
      <w:r w:rsidRPr="00043131">
        <w:rPr>
          <w:rFonts w:ascii="Arial" w:hAnsi="Arial" w:cs="Arial"/>
          <w:b/>
          <w:bCs/>
          <w:szCs w:val="20"/>
        </w:rPr>
        <w:t>Certifying authorities</w:t>
      </w:r>
      <w:r w:rsidRPr="00043131">
        <w:rPr>
          <w:rFonts w:ascii="Arial" w:hAnsi="Arial" w:cs="Arial"/>
          <w:bCs/>
          <w:szCs w:val="20"/>
        </w:rPr>
        <w:t xml:space="preserve"> to certify measuring instruments, </w:t>
      </w:r>
      <w:r w:rsidR="006E604F">
        <w:rPr>
          <w:rFonts w:ascii="Arial" w:hAnsi="Arial" w:cs="Arial"/>
          <w:bCs/>
          <w:szCs w:val="20"/>
        </w:rPr>
        <w:t>e</w:t>
      </w:r>
      <w:r w:rsidR="00E141D4">
        <w:rPr>
          <w:rFonts w:ascii="Arial" w:hAnsi="Arial" w:cs="Arial"/>
          <w:bCs/>
          <w:szCs w:val="20"/>
        </w:rPr>
        <w:t>.</w:t>
      </w:r>
      <w:r w:rsidR="006E604F">
        <w:rPr>
          <w:rFonts w:ascii="Arial" w:hAnsi="Arial" w:cs="Arial"/>
          <w:bCs/>
          <w:szCs w:val="20"/>
        </w:rPr>
        <w:t>g</w:t>
      </w:r>
      <w:r w:rsidR="00E141D4">
        <w:rPr>
          <w:rFonts w:ascii="Arial" w:hAnsi="Arial" w:cs="Arial"/>
          <w:bCs/>
          <w:szCs w:val="20"/>
        </w:rPr>
        <w:t>.</w:t>
      </w:r>
      <w:r w:rsidR="006E604F" w:rsidRPr="00043131">
        <w:rPr>
          <w:rFonts w:ascii="Arial" w:hAnsi="Arial" w:cs="Arial"/>
          <w:bCs/>
          <w:szCs w:val="20"/>
        </w:rPr>
        <w:t xml:space="preserve"> </w:t>
      </w:r>
      <w:r w:rsidRPr="00043131">
        <w:rPr>
          <w:rFonts w:ascii="Arial" w:hAnsi="Arial" w:cs="Arial"/>
          <w:bCs/>
          <w:szCs w:val="20"/>
        </w:rPr>
        <w:t xml:space="preserve">evidential breath-alcohol analysers and grain protein measuring instruments, and Australian certified reference materials </w:t>
      </w:r>
      <w:r w:rsidR="00C36F9A">
        <w:rPr>
          <w:rFonts w:ascii="Arial" w:hAnsi="Arial" w:cs="Arial"/>
          <w:bCs/>
          <w:szCs w:val="20"/>
        </w:rPr>
        <w:t>including</w:t>
      </w:r>
      <w:r w:rsidRPr="00043131">
        <w:rPr>
          <w:rFonts w:ascii="Arial" w:hAnsi="Arial" w:cs="Arial"/>
          <w:bCs/>
          <w:szCs w:val="20"/>
        </w:rPr>
        <w:t xml:space="preserve"> aqueous ethanol solutions and whole-grain barley and wheat for use in calibrating appropriate measuring instruments and establish measurement traceability</w:t>
      </w:r>
      <w:r w:rsidR="00157F78">
        <w:rPr>
          <w:rFonts w:ascii="Arial" w:hAnsi="Arial" w:cs="Arial"/>
          <w:bCs/>
          <w:szCs w:val="20"/>
        </w:rPr>
        <w:t>.</w:t>
      </w:r>
    </w:p>
    <w:p w14:paraId="1E2B8FFF" w14:textId="77777777" w:rsidR="00754F3D" w:rsidRPr="00043131" w:rsidRDefault="00754F3D" w:rsidP="00646D7B">
      <w:pPr>
        <w:pStyle w:val="ListParagraph"/>
        <w:numPr>
          <w:ilvl w:val="0"/>
          <w:numId w:val="5"/>
        </w:numPr>
        <w:spacing w:before="120" w:after="0"/>
        <w:ind w:left="714" w:hanging="357"/>
        <w:contextualSpacing w:val="0"/>
        <w:rPr>
          <w:rFonts w:ascii="Arial" w:hAnsi="Arial" w:cs="Arial"/>
          <w:bCs/>
          <w:szCs w:val="20"/>
        </w:rPr>
      </w:pPr>
      <w:r w:rsidRPr="00043131">
        <w:rPr>
          <w:rFonts w:ascii="Arial" w:hAnsi="Arial" w:cs="Arial"/>
          <w:b/>
          <w:bCs/>
          <w:szCs w:val="20"/>
        </w:rPr>
        <w:t>Verifying authorities</w:t>
      </w:r>
      <w:r w:rsidRPr="00043131">
        <w:rPr>
          <w:rFonts w:ascii="Arial" w:hAnsi="Arial" w:cs="Arial"/>
          <w:bCs/>
          <w:szCs w:val="20"/>
        </w:rPr>
        <w:t xml:space="preserve"> to verify reference standards of measurement and physical quantities of an artefact that establish measurement traceability</w:t>
      </w:r>
      <w:r w:rsidR="00157F78">
        <w:rPr>
          <w:rFonts w:ascii="Arial" w:hAnsi="Arial" w:cs="Arial"/>
          <w:bCs/>
          <w:szCs w:val="20"/>
        </w:rPr>
        <w:t>.</w:t>
      </w:r>
    </w:p>
    <w:p w14:paraId="083FF9AA" w14:textId="77777777" w:rsidR="00754F3D" w:rsidRPr="00043131" w:rsidRDefault="00754F3D" w:rsidP="00646D7B">
      <w:pPr>
        <w:pStyle w:val="ListParagraph"/>
        <w:numPr>
          <w:ilvl w:val="0"/>
          <w:numId w:val="5"/>
        </w:numPr>
        <w:spacing w:before="120" w:after="0"/>
        <w:ind w:left="714" w:hanging="357"/>
        <w:contextualSpacing w:val="0"/>
        <w:rPr>
          <w:rFonts w:ascii="Arial" w:hAnsi="Arial" w:cs="Arial"/>
          <w:bCs/>
          <w:szCs w:val="20"/>
        </w:rPr>
      </w:pPr>
      <w:r w:rsidRPr="00043131">
        <w:rPr>
          <w:rFonts w:ascii="Arial" w:hAnsi="Arial" w:cs="Arial"/>
          <w:b/>
          <w:bCs/>
          <w:szCs w:val="20"/>
        </w:rPr>
        <w:t>Approving authorities</w:t>
      </w:r>
      <w:r w:rsidRPr="00043131">
        <w:rPr>
          <w:rFonts w:ascii="Arial" w:hAnsi="Arial" w:cs="Arial"/>
          <w:bCs/>
          <w:szCs w:val="20"/>
        </w:rPr>
        <w:t xml:space="preserve"> to conduct PA testing of </w:t>
      </w:r>
      <w:r w:rsidR="00DD7ABC">
        <w:rPr>
          <w:rFonts w:ascii="Arial" w:hAnsi="Arial" w:cs="Arial"/>
          <w:bCs/>
          <w:szCs w:val="20"/>
        </w:rPr>
        <w:t>utility</w:t>
      </w:r>
      <w:r w:rsidRPr="00043131">
        <w:rPr>
          <w:rFonts w:ascii="Arial" w:hAnsi="Arial" w:cs="Arial"/>
          <w:bCs/>
          <w:szCs w:val="20"/>
        </w:rPr>
        <w:t xml:space="preserve"> meters and evidential breath-alcohol analysers</w:t>
      </w:r>
      <w:r w:rsidR="00157F78">
        <w:rPr>
          <w:rFonts w:ascii="Arial" w:hAnsi="Arial" w:cs="Arial"/>
          <w:bCs/>
          <w:szCs w:val="20"/>
        </w:rPr>
        <w:t>.</w:t>
      </w:r>
      <w:r w:rsidRPr="00043131">
        <w:rPr>
          <w:rFonts w:ascii="Arial" w:hAnsi="Arial" w:cs="Arial"/>
          <w:bCs/>
          <w:szCs w:val="20"/>
        </w:rPr>
        <w:t xml:space="preserve"> </w:t>
      </w:r>
    </w:p>
    <w:p w14:paraId="1959A1F0" w14:textId="77777777" w:rsidR="00754F3D" w:rsidRDefault="00754F3D" w:rsidP="00646D7B">
      <w:pPr>
        <w:pStyle w:val="ListParagraph"/>
        <w:numPr>
          <w:ilvl w:val="0"/>
          <w:numId w:val="5"/>
        </w:numPr>
        <w:spacing w:before="120" w:after="0"/>
        <w:ind w:left="714" w:hanging="357"/>
        <w:contextualSpacing w:val="0"/>
        <w:rPr>
          <w:rFonts w:ascii="Arial" w:hAnsi="Arial" w:cs="Arial"/>
          <w:bCs/>
          <w:szCs w:val="20"/>
        </w:rPr>
      </w:pPr>
      <w:r w:rsidRPr="00043131">
        <w:rPr>
          <w:rFonts w:ascii="Arial" w:hAnsi="Arial" w:cs="Arial"/>
          <w:b/>
          <w:bCs/>
          <w:szCs w:val="20"/>
        </w:rPr>
        <w:t>Utility meter verifiers</w:t>
      </w:r>
      <w:r w:rsidRPr="00043131">
        <w:rPr>
          <w:rFonts w:ascii="Arial" w:hAnsi="Arial" w:cs="Arial"/>
          <w:bCs/>
          <w:szCs w:val="20"/>
        </w:rPr>
        <w:t xml:space="preserve"> to verify </w:t>
      </w:r>
      <w:r w:rsidR="00DD7ABC">
        <w:rPr>
          <w:rFonts w:ascii="Arial" w:hAnsi="Arial" w:cs="Arial"/>
          <w:bCs/>
          <w:szCs w:val="20"/>
        </w:rPr>
        <w:t>utility</w:t>
      </w:r>
      <w:r w:rsidRPr="00043131">
        <w:rPr>
          <w:rFonts w:ascii="Arial" w:hAnsi="Arial" w:cs="Arial"/>
          <w:bCs/>
          <w:szCs w:val="20"/>
        </w:rPr>
        <w:t xml:space="preserve"> meters</w:t>
      </w:r>
      <w:r w:rsidR="00DD7ABC">
        <w:rPr>
          <w:rFonts w:ascii="Arial" w:hAnsi="Arial" w:cs="Arial"/>
          <w:bCs/>
          <w:szCs w:val="20"/>
        </w:rPr>
        <w:t xml:space="preserve"> used for trade</w:t>
      </w:r>
      <w:r w:rsidRPr="00043131">
        <w:rPr>
          <w:rFonts w:ascii="Arial" w:hAnsi="Arial" w:cs="Arial"/>
          <w:bCs/>
          <w:szCs w:val="20"/>
        </w:rPr>
        <w:t>.</w:t>
      </w:r>
    </w:p>
    <w:p w14:paraId="1EA629FD" w14:textId="77777777" w:rsidR="002F680E" w:rsidRDefault="00487D23" w:rsidP="002F680E">
      <w:pPr>
        <w:spacing w:before="120"/>
        <w:rPr>
          <w:rFonts w:cs="Arial"/>
          <w:bCs/>
          <w:szCs w:val="20"/>
        </w:rPr>
      </w:pPr>
      <w:r>
        <w:rPr>
          <w:rFonts w:cs="Arial"/>
          <w:bCs/>
          <w:szCs w:val="20"/>
        </w:rPr>
        <w:t xml:space="preserve">‘Traceability’ </w:t>
      </w:r>
      <w:r w:rsidR="00DD7ABC">
        <w:rPr>
          <w:rFonts w:cs="Arial"/>
          <w:bCs/>
          <w:szCs w:val="20"/>
        </w:rPr>
        <w:t>means that a measurement of a quantity</w:t>
      </w:r>
      <w:r>
        <w:rPr>
          <w:rFonts w:cs="Arial"/>
          <w:bCs/>
          <w:szCs w:val="20"/>
        </w:rPr>
        <w:t xml:space="preserve"> can be related through an unbroken chain of comparisons </w:t>
      </w:r>
      <w:r w:rsidR="00DD7ABC">
        <w:rPr>
          <w:rFonts w:cs="Arial"/>
          <w:bCs/>
          <w:szCs w:val="20"/>
        </w:rPr>
        <w:t>(</w:t>
      </w:r>
      <w:r w:rsidR="00D1781E">
        <w:rPr>
          <w:rFonts w:cs="Arial"/>
          <w:bCs/>
          <w:szCs w:val="20"/>
        </w:rPr>
        <w:t xml:space="preserve">or </w:t>
      </w:r>
      <w:r w:rsidR="00DD7ABC">
        <w:rPr>
          <w:rFonts w:cs="Arial"/>
          <w:bCs/>
          <w:szCs w:val="20"/>
        </w:rPr>
        <w:t xml:space="preserve">calibrations) </w:t>
      </w:r>
      <w:r>
        <w:rPr>
          <w:rFonts w:cs="Arial"/>
          <w:bCs/>
          <w:szCs w:val="20"/>
        </w:rPr>
        <w:t xml:space="preserve">to a national </w:t>
      </w:r>
      <w:r w:rsidR="00DD7ABC">
        <w:rPr>
          <w:rFonts w:cs="Arial"/>
          <w:bCs/>
          <w:szCs w:val="20"/>
        </w:rPr>
        <w:t xml:space="preserve">primary </w:t>
      </w:r>
      <w:r>
        <w:rPr>
          <w:rFonts w:cs="Arial"/>
          <w:bCs/>
          <w:szCs w:val="20"/>
        </w:rPr>
        <w:t>standard</w:t>
      </w:r>
      <w:r w:rsidR="00DD7ABC">
        <w:rPr>
          <w:rFonts w:cs="Arial"/>
          <w:bCs/>
          <w:szCs w:val="20"/>
        </w:rPr>
        <w:t xml:space="preserve"> of measurement</w:t>
      </w:r>
      <w:r>
        <w:rPr>
          <w:rFonts w:cs="Arial"/>
          <w:bCs/>
          <w:szCs w:val="20"/>
        </w:rPr>
        <w:t>, within a stated tolerance or measurement uncertainty.</w:t>
      </w:r>
    </w:p>
    <w:p w14:paraId="67A5926B" w14:textId="41EA5287" w:rsidR="009C2A92" w:rsidRPr="009C2A92" w:rsidRDefault="00BE5E87" w:rsidP="009C2A92">
      <w:pPr>
        <w:spacing w:before="120" w:line="276" w:lineRule="auto"/>
        <w:rPr>
          <w:rFonts w:cs="Arial"/>
          <w:szCs w:val="20"/>
        </w:rPr>
      </w:pPr>
      <w:r>
        <w:rPr>
          <w:rFonts w:cs="Arial"/>
          <w:szCs w:val="20"/>
        </w:rPr>
        <w:t xml:space="preserve">NMI carries out the regulatory </w:t>
      </w:r>
      <w:r w:rsidR="00097660">
        <w:rPr>
          <w:rFonts w:cs="Arial"/>
          <w:szCs w:val="20"/>
        </w:rPr>
        <w:t xml:space="preserve">activities </w:t>
      </w:r>
      <w:r w:rsidR="009C2A92" w:rsidRPr="009C2A92">
        <w:rPr>
          <w:rFonts w:cs="Arial"/>
          <w:szCs w:val="20"/>
        </w:rPr>
        <w:t xml:space="preserve">of </w:t>
      </w:r>
      <w:r w:rsidR="00382078">
        <w:rPr>
          <w:rFonts w:cs="Arial"/>
          <w:szCs w:val="20"/>
        </w:rPr>
        <w:t>P</w:t>
      </w:r>
      <w:r w:rsidR="00382078" w:rsidRPr="009C2A92">
        <w:rPr>
          <w:rFonts w:cs="Arial"/>
          <w:szCs w:val="20"/>
        </w:rPr>
        <w:t xml:space="preserve">attern </w:t>
      </w:r>
      <w:r w:rsidR="00382078">
        <w:rPr>
          <w:rFonts w:cs="Arial"/>
          <w:szCs w:val="20"/>
        </w:rPr>
        <w:t>A</w:t>
      </w:r>
      <w:r w:rsidR="00382078" w:rsidRPr="009C2A92">
        <w:rPr>
          <w:rFonts w:cs="Arial"/>
          <w:szCs w:val="20"/>
        </w:rPr>
        <w:t>pproval</w:t>
      </w:r>
      <w:r w:rsidR="009C2A92" w:rsidRPr="009C2A92">
        <w:rPr>
          <w:rFonts w:cs="Arial"/>
          <w:szCs w:val="20"/>
        </w:rPr>
        <w:t>, licensing and legal metrology authority appointments. T</w:t>
      </w:r>
      <w:r w:rsidR="00A01B27">
        <w:rPr>
          <w:rFonts w:cs="Arial"/>
          <w:szCs w:val="20"/>
        </w:rPr>
        <w:t>able 1</w:t>
      </w:r>
      <w:r w:rsidR="009C2A92" w:rsidRPr="009C2A92">
        <w:rPr>
          <w:rFonts w:cs="Arial"/>
          <w:szCs w:val="20"/>
        </w:rPr>
        <w:t xml:space="preserve"> provides the revenue and expenses for each of these activities </w:t>
      </w:r>
      <w:r w:rsidR="00F228F3">
        <w:rPr>
          <w:rFonts w:cs="Arial"/>
          <w:szCs w:val="20"/>
        </w:rPr>
        <w:t xml:space="preserve">for the year </w:t>
      </w:r>
      <w:r w:rsidR="00CA4E33">
        <w:rPr>
          <w:rFonts w:cs="Arial"/>
          <w:szCs w:val="20"/>
        </w:rPr>
        <w:t>2020</w:t>
      </w:r>
      <w:r w:rsidR="00D1781E">
        <w:rPr>
          <w:rFonts w:cs="Arial"/>
          <w:szCs w:val="20"/>
        </w:rPr>
        <w:t>–</w:t>
      </w:r>
      <w:r w:rsidR="004825BF">
        <w:rPr>
          <w:rFonts w:cs="Arial"/>
          <w:szCs w:val="20"/>
        </w:rPr>
        <w:t>2</w:t>
      </w:r>
      <w:r w:rsidR="00CA4E33">
        <w:rPr>
          <w:rFonts w:cs="Arial"/>
          <w:szCs w:val="20"/>
        </w:rPr>
        <w:t>1</w:t>
      </w:r>
      <w:r w:rsidR="00791AC8">
        <w:rPr>
          <w:rFonts w:cs="Arial"/>
          <w:szCs w:val="20"/>
        </w:rPr>
        <w:t>.</w:t>
      </w:r>
      <w:r w:rsidR="009C2A92" w:rsidRPr="009C2A92">
        <w:rPr>
          <w:rFonts w:cs="Arial"/>
          <w:szCs w:val="20"/>
        </w:rPr>
        <w:t xml:space="preserve"> </w:t>
      </w:r>
    </w:p>
    <w:p w14:paraId="55EF05F6" w14:textId="19903C80" w:rsidR="009C2A92" w:rsidRPr="002F680E" w:rsidRDefault="009C2A92" w:rsidP="007704C5">
      <w:pPr>
        <w:spacing w:before="120" w:after="120" w:line="276" w:lineRule="auto"/>
        <w:rPr>
          <w:rFonts w:cs="Arial"/>
          <w:szCs w:val="20"/>
        </w:rPr>
      </w:pPr>
      <w:r w:rsidRPr="00CD4333">
        <w:rPr>
          <w:rFonts w:cs="Arial"/>
          <w:b/>
          <w:szCs w:val="20"/>
        </w:rPr>
        <w:t>Table 1</w:t>
      </w:r>
      <w:r w:rsidRPr="002F680E">
        <w:rPr>
          <w:rFonts w:cs="Arial"/>
          <w:szCs w:val="20"/>
        </w:rPr>
        <w:t xml:space="preserve">: </w:t>
      </w:r>
      <w:r w:rsidR="00097660">
        <w:rPr>
          <w:rFonts w:cs="Arial"/>
          <w:szCs w:val="20"/>
        </w:rPr>
        <w:t xml:space="preserve">Total </w:t>
      </w:r>
      <w:r w:rsidR="00C36F9A">
        <w:rPr>
          <w:rFonts w:cs="Arial"/>
          <w:szCs w:val="20"/>
        </w:rPr>
        <w:t xml:space="preserve">revenue and expenses for NMI’s regulatory activities, </w:t>
      </w:r>
      <w:r w:rsidR="00CA4E33" w:rsidRPr="002F680E">
        <w:rPr>
          <w:rFonts w:cs="Arial"/>
          <w:szCs w:val="20"/>
        </w:rPr>
        <w:t>20</w:t>
      </w:r>
      <w:r w:rsidR="00CA4E33">
        <w:rPr>
          <w:rFonts w:cs="Arial"/>
          <w:szCs w:val="20"/>
        </w:rPr>
        <w:t>20</w:t>
      </w:r>
      <w:r w:rsidRPr="002F680E">
        <w:rPr>
          <w:rFonts w:cs="Arial"/>
          <w:szCs w:val="20"/>
        </w:rPr>
        <w:t>–</w:t>
      </w:r>
      <w:r w:rsidR="00CA4E33">
        <w:rPr>
          <w:rFonts w:cs="Arial"/>
          <w:szCs w:val="20"/>
        </w:rPr>
        <w:t>21</w:t>
      </w:r>
    </w:p>
    <w:tbl>
      <w:tblPr>
        <w:tblStyle w:val="TableGrid"/>
        <w:tblW w:w="9634" w:type="dxa"/>
        <w:tblLayout w:type="fixed"/>
        <w:tblLook w:val="04A0" w:firstRow="1" w:lastRow="0" w:firstColumn="1" w:lastColumn="0" w:noHBand="0" w:noVBand="1"/>
      </w:tblPr>
      <w:tblGrid>
        <w:gridCol w:w="2263"/>
        <w:gridCol w:w="1843"/>
        <w:gridCol w:w="2552"/>
        <w:gridCol w:w="2976"/>
      </w:tblGrid>
      <w:tr w:rsidR="006B7679" w:rsidRPr="002F680E" w14:paraId="7897B4C0" w14:textId="77777777" w:rsidTr="005A229D">
        <w:tc>
          <w:tcPr>
            <w:tcW w:w="2263" w:type="dxa"/>
            <w:shd w:val="clear" w:color="auto" w:fill="C00000"/>
          </w:tcPr>
          <w:p w14:paraId="4DC48835" w14:textId="77777777" w:rsidR="009C2A92" w:rsidRPr="00165910" w:rsidRDefault="009C2A92" w:rsidP="00F95259">
            <w:pPr>
              <w:spacing w:before="120" w:line="276" w:lineRule="auto"/>
              <w:rPr>
                <w:rFonts w:cs="Arial"/>
                <w:szCs w:val="20"/>
              </w:rPr>
            </w:pPr>
          </w:p>
        </w:tc>
        <w:tc>
          <w:tcPr>
            <w:tcW w:w="1843" w:type="dxa"/>
            <w:shd w:val="clear" w:color="auto" w:fill="C00000"/>
          </w:tcPr>
          <w:p w14:paraId="07AA2AEE" w14:textId="77777777" w:rsidR="009C2A92" w:rsidRDefault="009C2A92" w:rsidP="007704C5">
            <w:pPr>
              <w:spacing w:before="120" w:line="276" w:lineRule="auto"/>
              <w:jc w:val="center"/>
              <w:rPr>
                <w:rFonts w:cs="Arial"/>
                <w:b/>
                <w:szCs w:val="20"/>
              </w:rPr>
            </w:pPr>
            <w:r w:rsidRPr="002F680E">
              <w:rPr>
                <w:rFonts w:cs="Arial"/>
                <w:b/>
                <w:szCs w:val="20"/>
              </w:rPr>
              <w:t>Pattern Approval</w:t>
            </w:r>
          </w:p>
          <w:p w14:paraId="263D9F7D" w14:textId="77777777" w:rsidR="00F95259" w:rsidRPr="002F680E" w:rsidRDefault="00F95259" w:rsidP="007704C5">
            <w:pPr>
              <w:spacing w:before="120" w:line="276" w:lineRule="auto"/>
              <w:jc w:val="center"/>
              <w:rPr>
                <w:rFonts w:cs="Arial"/>
                <w:b/>
                <w:szCs w:val="20"/>
              </w:rPr>
            </w:pPr>
            <w:r>
              <w:rPr>
                <w:rFonts w:cs="Arial"/>
                <w:b/>
                <w:szCs w:val="20"/>
              </w:rPr>
              <w:t>$000s</w:t>
            </w:r>
          </w:p>
        </w:tc>
        <w:tc>
          <w:tcPr>
            <w:tcW w:w="2552" w:type="dxa"/>
            <w:shd w:val="clear" w:color="auto" w:fill="C00000"/>
          </w:tcPr>
          <w:p w14:paraId="251C4CA3" w14:textId="77777777" w:rsidR="009C2A92" w:rsidRDefault="009C2A92" w:rsidP="005A229D">
            <w:pPr>
              <w:spacing w:before="120" w:line="276" w:lineRule="auto"/>
              <w:jc w:val="center"/>
              <w:rPr>
                <w:rFonts w:cs="Arial"/>
                <w:b/>
                <w:szCs w:val="20"/>
              </w:rPr>
            </w:pPr>
            <w:r w:rsidRPr="002F680E">
              <w:rPr>
                <w:rFonts w:cs="Arial"/>
                <w:b/>
                <w:szCs w:val="20"/>
              </w:rPr>
              <w:t>Servicing and Public Weighbridge Licensing</w:t>
            </w:r>
          </w:p>
          <w:p w14:paraId="49B4D4F8" w14:textId="77777777" w:rsidR="00F95259" w:rsidRPr="005A229D" w:rsidRDefault="00F95259" w:rsidP="005A229D">
            <w:pPr>
              <w:spacing w:before="120" w:line="276" w:lineRule="auto"/>
              <w:jc w:val="center"/>
              <w:rPr>
                <w:b/>
              </w:rPr>
            </w:pPr>
            <w:r>
              <w:rPr>
                <w:rFonts w:cs="Arial"/>
                <w:b/>
                <w:szCs w:val="20"/>
              </w:rPr>
              <w:t>$000s</w:t>
            </w:r>
          </w:p>
        </w:tc>
        <w:tc>
          <w:tcPr>
            <w:tcW w:w="2976" w:type="dxa"/>
            <w:shd w:val="clear" w:color="auto" w:fill="C00000"/>
          </w:tcPr>
          <w:p w14:paraId="395AFA12" w14:textId="77777777" w:rsidR="009C2A92" w:rsidRDefault="009C2A92" w:rsidP="007704C5">
            <w:pPr>
              <w:spacing w:before="120" w:line="276" w:lineRule="auto"/>
              <w:jc w:val="center"/>
              <w:rPr>
                <w:rFonts w:cs="Arial"/>
                <w:b/>
                <w:szCs w:val="20"/>
              </w:rPr>
            </w:pPr>
            <w:r w:rsidRPr="002F680E">
              <w:rPr>
                <w:rFonts w:cs="Arial"/>
                <w:b/>
                <w:szCs w:val="20"/>
              </w:rPr>
              <w:t>Legal Metrology Authority Appointments</w:t>
            </w:r>
          </w:p>
          <w:p w14:paraId="7238656B" w14:textId="77777777" w:rsidR="00F95259" w:rsidRPr="002F680E" w:rsidRDefault="00F95259" w:rsidP="007704C5">
            <w:pPr>
              <w:spacing w:before="120" w:line="276" w:lineRule="auto"/>
              <w:jc w:val="center"/>
              <w:rPr>
                <w:rFonts w:cs="Arial"/>
                <w:b/>
                <w:szCs w:val="20"/>
              </w:rPr>
            </w:pPr>
            <w:r>
              <w:rPr>
                <w:rFonts w:cs="Arial"/>
                <w:b/>
                <w:szCs w:val="20"/>
              </w:rPr>
              <w:t>$000s</w:t>
            </w:r>
          </w:p>
        </w:tc>
      </w:tr>
      <w:tr w:rsidR="0065375A" w:rsidRPr="002F680E" w14:paraId="70DE80B4" w14:textId="77777777" w:rsidTr="005A229D">
        <w:tc>
          <w:tcPr>
            <w:tcW w:w="2263" w:type="dxa"/>
            <w:shd w:val="clear" w:color="auto" w:fill="auto"/>
          </w:tcPr>
          <w:p w14:paraId="6EFE25C1" w14:textId="77777777" w:rsidR="0065375A" w:rsidRPr="008E063D" w:rsidRDefault="0065375A" w:rsidP="0065375A">
            <w:pPr>
              <w:spacing w:before="120" w:line="276" w:lineRule="auto"/>
              <w:rPr>
                <w:rFonts w:cs="Arial"/>
                <w:b/>
                <w:szCs w:val="20"/>
              </w:rPr>
            </w:pPr>
            <w:r w:rsidRPr="008E063D">
              <w:rPr>
                <w:rFonts w:cs="Arial"/>
                <w:b/>
                <w:szCs w:val="20"/>
              </w:rPr>
              <w:t xml:space="preserve">Cost of activity or </w:t>
            </w:r>
          </w:p>
          <w:p w14:paraId="26FB4EA2" w14:textId="77777777" w:rsidR="0065375A" w:rsidRPr="008E063D" w:rsidRDefault="0065375A" w:rsidP="0065375A">
            <w:pPr>
              <w:spacing w:after="120" w:line="276" w:lineRule="auto"/>
              <w:rPr>
                <w:rFonts w:cs="Arial"/>
                <w:b/>
                <w:szCs w:val="20"/>
              </w:rPr>
            </w:pPr>
            <w:r w:rsidRPr="008E063D">
              <w:rPr>
                <w:rFonts w:cs="Arial"/>
                <w:b/>
                <w:szCs w:val="20"/>
              </w:rPr>
              <w:t>Expenses (Y)</w:t>
            </w:r>
          </w:p>
        </w:tc>
        <w:tc>
          <w:tcPr>
            <w:tcW w:w="1843" w:type="dxa"/>
            <w:shd w:val="clear" w:color="auto" w:fill="auto"/>
          </w:tcPr>
          <w:p w14:paraId="12045786" w14:textId="10E16A50" w:rsidR="0065375A" w:rsidRPr="004825BF" w:rsidRDefault="0065375A" w:rsidP="0065375A">
            <w:pPr>
              <w:spacing w:before="120" w:line="276" w:lineRule="auto"/>
              <w:jc w:val="center"/>
              <w:rPr>
                <w:rFonts w:cs="Arial"/>
                <w:szCs w:val="20"/>
                <w:highlight w:val="yellow"/>
              </w:rPr>
            </w:pPr>
            <w:r w:rsidRPr="00F82AE7">
              <w:t>$1,229</w:t>
            </w:r>
          </w:p>
        </w:tc>
        <w:tc>
          <w:tcPr>
            <w:tcW w:w="2552" w:type="dxa"/>
            <w:shd w:val="clear" w:color="auto" w:fill="auto"/>
          </w:tcPr>
          <w:p w14:paraId="4B9E6BC6" w14:textId="6199D13B" w:rsidR="0065375A" w:rsidRPr="004825BF" w:rsidRDefault="0065375A" w:rsidP="0065375A">
            <w:pPr>
              <w:spacing w:before="120" w:line="276" w:lineRule="auto"/>
              <w:jc w:val="center"/>
              <w:rPr>
                <w:rFonts w:cs="Arial"/>
                <w:szCs w:val="20"/>
                <w:highlight w:val="yellow"/>
              </w:rPr>
            </w:pPr>
            <w:r w:rsidRPr="00F82AE7">
              <w:t>$828</w:t>
            </w:r>
          </w:p>
        </w:tc>
        <w:tc>
          <w:tcPr>
            <w:tcW w:w="2976" w:type="dxa"/>
            <w:shd w:val="clear" w:color="auto" w:fill="auto"/>
          </w:tcPr>
          <w:p w14:paraId="17995855" w14:textId="4DA38ED2" w:rsidR="0065375A" w:rsidRPr="004825BF" w:rsidRDefault="0065375A" w:rsidP="0065375A">
            <w:pPr>
              <w:spacing w:before="120" w:line="276" w:lineRule="auto"/>
              <w:jc w:val="center"/>
              <w:rPr>
                <w:rFonts w:cs="Arial"/>
                <w:szCs w:val="20"/>
                <w:highlight w:val="yellow"/>
              </w:rPr>
            </w:pPr>
            <w:r w:rsidRPr="00F82AE7">
              <w:t>$92</w:t>
            </w:r>
          </w:p>
        </w:tc>
      </w:tr>
      <w:tr w:rsidR="0065375A" w:rsidRPr="00165910" w14:paraId="6994F2B3" w14:textId="77777777" w:rsidTr="005A229D">
        <w:tc>
          <w:tcPr>
            <w:tcW w:w="2263" w:type="dxa"/>
          </w:tcPr>
          <w:p w14:paraId="22FC72B4" w14:textId="77777777" w:rsidR="0065375A" w:rsidRPr="008E063D" w:rsidRDefault="0065375A" w:rsidP="0065375A">
            <w:pPr>
              <w:spacing w:before="120" w:line="276" w:lineRule="auto"/>
              <w:rPr>
                <w:rFonts w:cs="Arial"/>
                <w:b/>
                <w:szCs w:val="20"/>
              </w:rPr>
            </w:pPr>
            <w:r w:rsidRPr="008E063D">
              <w:rPr>
                <w:rFonts w:cs="Arial"/>
                <w:b/>
                <w:szCs w:val="20"/>
              </w:rPr>
              <w:t xml:space="preserve">Cost recovered or </w:t>
            </w:r>
          </w:p>
          <w:p w14:paraId="49C919DD" w14:textId="77777777" w:rsidR="0065375A" w:rsidRPr="008E063D" w:rsidRDefault="0065375A" w:rsidP="0065375A">
            <w:pPr>
              <w:spacing w:after="120" w:line="276" w:lineRule="auto"/>
              <w:rPr>
                <w:rFonts w:cs="Arial"/>
                <w:b/>
                <w:szCs w:val="20"/>
              </w:rPr>
            </w:pPr>
            <w:r w:rsidRPr="008E063D">
              <w:rPr>
                <w:rFonts w:cs="Arial"/>
                <w:b/>
                <w:szCs w:val="20"/>
              </w:rPr>
              <w:t xml:space="preserve">Revenue (X) </w:t>
            </w:r>
          </w:p>
        </w:tc>
        <w:tc>
          <w:tcPr>
            <w:tcW w:w="1843" w:type="dxa"/>
          </w:tcPr>
          <w:p w14:paraId="42F20F26" w14:textId="36B1BEFD" w:rsidR="0065375A" w:rsidRPr="004825BF" w:rsidRDefault="0065375A" w:rsidP="0065375A">
            <w:pPr>
              <w:spacing w:before="120" w:line="276" w:lineRule="auto"/>
              <w:jc w:val="center"/>
              <w:rPr>
                <w:rFonts w:cs="Arial"/>
                <w:szCs w:val="20"/>
                <w:highlight w:val="yellow"/>
              </w:rPr>
            </w:pPr>
            <w:r w:rsidRPr="00F82AE7">
              <w:t>$396</w:t>
            </w:r>
          </w:p>
        </w:tc>
        <w:tc>
          <w:tcPr>
            <w:tcW w:w="2552" w:type="dxa"/>
          </w:tcPr>
          <w:p w14:paraId="5B3BF2CE" w14:textId="6F47401D" w:rsidR="0065375A" w:rsidRPr="004825BF" w:rsidRDefault="0065375A" w:rsidP="0065375A">
            <w:pPr>
              <w:spacing w:before="120" w:line="276" w:lineRule="auto"/>
              <w:jc w:val="center"/>
              <w:rPr>
                <w:rFonts w:cs="Arial"/>
                <w:szCs w:val="20"/>
                <w:highlight w:val="yellow"/>
              </w:rPr>
            </w:pPr>
            <w:r w:rsidRPr="00F82AE7">
              <w:t>$432</w:t>
            </w:r>
          </w:p>
        </w:tc>
        <w:tc>
          <w:tcPr>
            <w:tcW w:w="2976" w:type="dxa"/>
          </w:tcPr>
          <w:p w14:paraId="25DEA60C" w14:textId="3AA0B476" w:rsidR="0065375A" w:rsidRPr="004825BF" w:rsidRDefault="0065375A" w:rsidP="0065375A">
            <w:pPr>
              <w:spacing w:before="120" w:line="276" w:lineRule="auto"/>
              <w:jc w:val="center"/>
              <w:rPr>
                <w:rFonts w:cs="Arial"/>
                <w:szCs w:val="20"/>
                <w:highlight w:val="yellow"/>
              </w:rPr>
            </w:pPr>
            <w:r w:rsidRPr="00F82AE7">
              <w:t>$66</w:t>
            </w:r>
          </w:p>
        </w:tc>
      </w:tr>
    </w:tbl>
    <w:p w14:paraId="479EAA1A" w14:textId="17BFE8B3" w:rsidR="00157F78" w:rsidRDefault="00CF21AA" w:rsidP="00CF21AA">
      <w:pPr>
        <w:spacing w:before="120"/>
        <w:rPr>
          <w:b/>
          <w:iCs/>
          <w:sz w:val="28"/>
          <w:lang w:val="en-US"/>
        </w:rPr>
      </w:pPr>
      <w:r>
        <w:rPr>
          <w:rFonts w:cs="Arial"/>
          <w:bCs/>
          <w:szCs w:val="20"/>
        </w:rPr>
        <w:t xml:space="preserve">Note: All expenses </w:t>
      </w:r>
      <w:bookmarkStart w:id="17" w:name="_Toc516468777"/>
      <w:r>
        <w:t xml:space="preserve">include depreciation.  Expenses exclude capital </w:t>
      </w:r>
      <w:r w:rsidRPr="0065375A">
        <w:t>purchases of $</w:t>
      </w:r>
      <w:r w:rsidR="0065375A" w:rsidRPr="0065375A">
        <w:t>33</w:t>
      </w:r>
      <w:r w:rsidRPr="0065375A">
        <w:t>K</w:t>
      </w:r>
      <w:r>
        <w:t xml:space="preserve"> for Pattern Approval.    There was nil capital purchases for </w:t>
      </w:r>
      <w:r w:rsidRPr="00CF21AA">
        <w:t>Servicing and Public Weighbridge Licensing</w:t>
      </w:r>
      <w:r>
        <w:t xml:space="preserve"> and </w:t>
      </w:r>
      <w:r w:rsidRPr="00CF21AA">
        <w:t>Legal Metrology Authority Appointments</w:t>
      </w:r>
      <w:r>
        <w:t xml:space="preserve">. </w:t>
      </w:r>
      <w:r w:rsidR="00157F78">
        <w:br w:type="page"/>
      </w:r>
    </w:p>
    <w:p w14:paraId="2CF0948B" w14:textId="77777777" w:rsidR="008B679D" w:rsidRPr="008366B0" w:rsidRDefault="008B679D" w:rsidP="00695E7B">
      <w:pPr>
        <w:pStyle w:val="Heading1"/>
      </w:pPr>
      <w:bookmarkStart w:id="18" w:name="_Toc85106072"/>
      <w:r w:rsidRPr="008366B0">
        <w:lastRenderedPageBreak/>
        <w:t>POLICY AND STATUTORY AUTHORITY TO COST RECOVER</w:t>
      </w:r>
      <w:bookmarkEnd w:id="17"/>
      <w:bookmarkEnd w:id="18"/>
    </w:p>
    <w:p w14:paraId="247F5DF5" w14:textId="77777777" w:rsidR="008B679D" w:rsidRPr="006C1DCD" w:rsidRDefault="00913E35" w:rsidP="00AB5D3B">
      <w:pPr>
        <w:pStyle w:val="Heading2"/>
        <w:spacing w:line="276" w:lineRule="auto"/>
        <w:rPr>
          <w:rFonts w:eastAsia="MS PGothic"/>
          <w:sz w:val="24"/>
          <w:szCs w:val="24"/>
        </w:rPr>
      </w:pPr>
      <w:bookmarkStart w:id="19" w:name="_Toc516468778"/>
      <w:bookmarkStart w:id="20" w:name="_Toc85106073"/>
      <w:r w:rsidRPr="006C1DCD">
        <w:rPr>
          <w:rFonts w:eastAsia="MS PGothic"/>
          <w:sz w:val="24"/>
          <w:szCs w:val="24"/>
        </w:rPr>
        <w:t>Government policy approval to cost recover the regulatory activity</w:t>
      </w:r>
      <w:bookmarkEnd w:id="19"/>
      <w:bookmarkEnd w:id="20"/>
    </w:p>
    <w:p w14:paraId="45444217" w14:textId="77777777" w:rsidR="0023246F" w:rsidRPr="0023246F" w:rsidRDefault="0023246F" w:rsidP="00D9012F">
      <w:pPr>
        <w:spacing w:line="276" w:lineRule="auto"/>
        <w:rPr>
          <w:rFonts w:cs="Arial"/>
          <w:szCs w:val="20"/>
          <w:lang w:val="en" w:eastAsia="en-AU"/>
        </w:rPr>
      </w:pPr>
      <w:r w:rsidRPr="0023246F">
        <w:rPr>
          <w:rFonts w:cs="Arial"/>
          <w:szCs w:val="20"/>
          <w:lang w:val="en" w:eastAsia="en-AU"/>
        </w:rPr>
        <w:t>Where the Australian Government has made a decision to charge for a regulatory activity, these activities are subject to the Australian Government Cost Recovery Guidelines (the </w:t>
      </w:r>
      <w:r w:rsidR="0031138A">
        <w:rPr>
          <w:rFonts w:cs="Arial"/>
          <w:szCs w:val="20"/>
          <w:lang w:val="en" w:eastAsia="en-AU"/>
        </w:rPr>
        <w:t>Guidelines</w:t>
      </w:r>
      <w:r w:rsidRPr="0023246F">
        <w:rPr>
          <w:rFonts w:cs="Arial"/>
          <w:szCs w:val="20"/>
          <w:lang w:val="en" w:eastAsia="en-AU"/>
        </w:rPr>
        <w:t>)</w:t>
      </w:r>
      <w:r w:rsidR="006D7543">
        <w:rPr>
          <w:rFonts w:cs="Arial"/>
          <w:szCs w:val="20"/>
          <w:lang w:val="en" w:eastAsia="en-AU"/>
        </w:rPr>
        <w:t>.</w:t>
      </w:r>
      <w:r w:rsidRPr="0023246F">
        <w:rPr>
          <w:rFonts w:cs="Arial"/>
          <w:szCs w:val="20"/>
          <w:lang w:val="en" w:eastAsia="en-AU"/>
        </w:rPr>
        <w:t xml:space="preserve"> The </w:t>
      </w:r>
      <w:r w:rsidR="0031138A">
        <w:rPr>
          <w:rFonts w:cs="Arial"/>
          <w:szCs w:val="20"/>
          <w:lang w:val="en" w:eastAsia="en-AU"/>
        </w:rPr>
        <w:t>Guidelines</w:t>
      </w:r>
      <w:r w:rsidRPr="0023246F">
        <w:rPr>
          <w:rFonts w:cs="Arial"/>
          <w:szCs w:val="20"/>
          <w:lang w:val="en" w:eastAsia="en-AU"/>
        </w:rPr>
        <w:t xml:space="preserve"> set out the overarching framework under which government entities design, implement and review regulatory charging activities. While the overarching charging principles apply to regulatory charging activities, they must also meet the requirements in the </w:t>
      </w:r>
      <w:r w:rsidR="0031138A">
        <w:rPr>
          <w:rFonts w:cs="Arial"/>
          <w:szCs w:val="20"/>
          <w:lang w:val="en" w:eastAsia="en-AU"/>
        </w:rPr>
        <w:t>Guidelines</w:t>
      </w:r>
      <w:r w:rsidRPr="0023246F">
        <w:rPr>
          <w:rFonts w:cs="Arial"/>
          <w:szCs w:val="20"/>
          <w:lang w:val="en" w:eastAsia="en-AU"/>
        </w:rPr>
        <w:t>, including:</w:t>
      </w:r>
    </w:p>
    <w:p w14:paraId="66A84E23" w14:textId="77777777" w:rsidR="0023246F" w:rsidRPr="0023246F" w:rsidRDefault="008E74FB" w:rsidP="00DE02AA">
      <w:pPr>
        <w:numPr>
          <w:ilvl w:val="0"/>
          <w:numId w:val="19"/>
        </w:numPr>
        <w:spacing w:before="120" w:line="276" w:lineRule="auto"/>
        <w:ind w:left="714" w:hanging="357"/>
        <w:rPr>
          <w:rFonts w:cs="Arial"/>
          <w:szCs w:val="20"/>
          <w:lang w:val="en" w:eastAsia="en-AU"/>
        </w:rPr>
      </w:pPr>
      <w:r>
        <w:rPr>
          <w:rFonts w:cs="Arial"/>
          <w:szCs w:val="20"/>
          <w:lang w:val="en" w:eastAsia="en-AU"/>
        </w:rPr>
        <w:t>p</w:t>
      </w:r>
      <w:r w:rsidR="0023246F" w:rsidRPr="0023246F">
        <w:rPr>
          <w:rFonts w:cs="Arial"/>
          <w:szCs w:val="20"/>
          <w:lang w:val="en" w:eastAsia="en-AU"/>
        </w:rPr>
        <w:t>olicy approval from the Australian Government to charge</w:t>
      </w:r>
    </w:p>
    <w:p w14:paraId="61CA7020" w14:textId="77777777" w:rsidR="0023246F" w:rsidRPr="0023246F" w:rsidRDefault="008E74FB" w:rsidP="00DE02AA">
      <w:pPr>
        <w:numPr>
          <w:ilvl w:val="0"/>
          <w:numId w:val="19"/>
        </w:numPr>
        <w:spacing w:before="120" w:line="276" w:lineRule="auto"/>
        <w:ind w:left="714" w:hanging="357"/>
        <w:rPr>
          <w:rFonts w:cs="Arial"/>
          <w:szCs w:val="20"/>
          <w:lang w:val="en" w:eastAsia="en-AU"/>
        </w:rPr>
      </w:pPr>
      <w:r>
        <w:rPr>
          <w:rFonts w:cs="Arial"/>
          <w:szCs w:val="20"/>
          <w:lang w:val="en" w:eastAsia="en-AU"/>
        </w:rPr>
        <w:t>s</w:t>
      </w:r>
      <w:r w:rsidR="0023246F" w:rsidRPr="0023246F">
        <w:rPr>
          <w:rFonts w:cs="Arial"/>
          <w:szCs w:val="20"/>
          <w:lang w:val="en" w:eastAsia="en-AU"/>
        </w:rPr>
        <w:t>tatutory authority to charge</w:t>
      </w:r>
    </w:p>
    <w:p w14:paraId="2E3C6C8B" w14:textId="77777777" w:rsidR="0023246F" w:rsidRPr="0023246F" w:rsidRDefault="008E74FB" w:rsidP="00DE02AA">
      <w:pPr>
        <w:numPr>
          <w:ilvl w:val="0"/>
          <w:numId w:val="19"/>
        </w:numPr>
        <w:spacing w:before="120" w:line="276" w:lineRule="auto"/>
        <w:ind w:left="714" w:hanging="357"/>
        <w:rPr>
          <w:rFonts w:cs="Arial"/>
          <w:szCs w:val="20"/>
          <w:lang w:val="en" w:eastAsia="en-AU"/>
        </w:rPr>
      </w:pPr>
      <w:r>
        <w:rPr>
          <w:rFonts w:cs="Arial"/>
          <w:szCs w:val="20"/>
          <w:lang w:val="en" w:eastAsia="en-AU"/>
        </w:rPr>
        <w:t>a</w:t>
      </w:r>
      <w:r w:rsidR="0023246F" w:rsidRPr="0023246F">
        <w:rPr>
          <w:rFonts w:cs="Arial"/>
          <w:szCs w:val="20"/>
          <w:lang w:val="en" w:eastAsia="en-AU"/>
        </w:rPr>
        <w:t>lignment between expenses and revenue</w:t>
      </w:r>
    </w:p>
    <w:p w14:paraId="5F1CE012" w14:textId="77777777" w:rsidR="0023246F" w:rsidRDefault="008E74FB" w:rsidP="00DE02AA">
      <w:pPr>
        <w:numPr>
          <w:ilvl w:val="0"/>
          <w:numId w:val="19"/>
        </w:numPr>
        <w:spacing w:before="120" w:line="276" w:lineRule="auto"/>
        <w:ind w:left="714" w:hanging="357"/>
        <w:rPr>
          <w:rFonts w:cs="Arial"/>
          <w:szCs w:val="20"/>
          <w:lang w:val="en" w:eastAsia="en-AU"/>
        </w:rPr>
      </w:pPr>
      <w:r>
        <w:rPr>
          <w:rFonts w:cs="Arial"/>
          <w:szCs w:val="20"/>
          <w:lang w:val="en" w:eastAsia="en-AU"/>
        </w:rPr>
        <w:t>u</w:t>
      </w:r>
      <w:r w:rsidR="0023246F" w:rsidRPr="0023246F">
        <w:rPr>
          <w:rFonts w:cs="Arial"/>
          <w:szCs w:val="20"/>
          <w:lang w:val="en" w:eastAsia="en-AU"/>
        </w:rPr>
        <w:t>p-to-date, publicly available documentation and reporting</w:t>
      </w:r>
      <w:r w:rsidR="002D679C">
        <w:rPr>
          <w:rFonts w:cs="Arial"/>
          <w:szCs w:val="20"/>
          <w:lang w:val="en" w:eastAsia="en-AU"/>
        </w:rPr>
        <w:t>.</w:t>
      </w:r>
    </w:p>
    <w:p w14:paraId="71CCE8A1" w14:textId="77777777" w:rsidR="00970BBE" w:rsidRDefault="0031138A" w:rsidP="000B06BE">
      <w:pPr>
        <w:spacing w:before="240" w:line="276" w:lineRule="auto"/>
        <w:rPr>
          <w:rFonts w:cs="Arial"/>
          <w:szCs w:val="20"/>
          <w:lang w:val="en"/>
        </w:rPr>
      </w:pPr>
      <w:r>
        <w:rPr>
          <w:rFonts w:cs="Arial"/>
          <w:szCs w:val="20"/>
          <w:lang w:val="en"/>
        </w:rPr>
        <w:t xml:space="preserve">The regulatory activities covered by this </w:t>
      </w:r>
      <w:r w:rsidR="008E74FB">
        <w:rPr>
          <w:rFonts w:cs="Arial"/>
          <w:szCs w:val="20"/>
          <w:lang w:val="en"/>
        </w:rPr>
        <w:t>s</w:t>
      </w:r>
      <w:r>
        <w:rPr>
          <w:rFonts w:cs="Arial"/>
          <w:szCs w:val="20"/>
          <w:lang w:val="en"/>
        </w:rPr>
        <w:t xml:space="preserve">tatement have been delivered by NMI or its predecessor agencies over many decades, </w:t>
      </w:r>
      <w:r w:rsidR="00970BBE">
        <w:rPr>
          <w:rFonts w:cs="Arial"/>
          <w:szCs w:val="20"/>
          <w:lang w:val="en"/>
        </w:rPr>
        <w:t>which are driven by</w:t>
      </w:r>
      <w:r w:rsidR="008E74FB">
        <w:rPr>
          <w:rFonts w:cs="Arial"/>
          <w:szCs w:val="20"/>
          <w:lang w:val="en"/>
        </w:rPr>
        <w:t xml:space="preserve"> </w:t>
      </w:r>
      <w:r w:rsidR="00970BBE">
        <w:rPr>
          <w:rFonts w:cs="Arial"/>
          <w:szCs w:val="20"/>
          <w:lang w:val="en"/>
        </w:rPr>
        <w:t>NMI’s legislative functions.</w:t>
      </w:r>
    </w:p>
    <w:p w14:paraId="5D055D60" w14:textId="72A36EDE" w:rsidR="00DD7ABC" w:rsidRDefault="00970BBE" w:rsidP="0096642F">
      <w:pPr>
        <w:spacing w:before="120" w:line="276" w:lineRule="auto"/>
        <w:rPr>
          <w:rFonts w:cs="Arial"/>
          <w:szCs w:val="20"/>
          <w:lang w:val="en"/>
        </w:rPr>
      </w:pPr>
      <w:r>
        <w:rPr>
          <w:rFonts w:cs="Arial"/>
          <w:szCs w:val="20"/>
          <w:lang w:val="en"/>
        </w:rPr>
        <w:t>NMI has policy a</w:t>
      </w:r>
      <w:r w:rsidR="00D71E7C">
        <w:rPr>
          <w:rFonts w:cs="Arial"/>
          <w:szCs w:val="20"/>
          <w:lang w:val="en"/>
        </w:rPr>
        <w:t>uthority</w:t>
      </w:r>
      <w:r>
        <w:rPr>
          <w:rFonts w:cs="Arial"/>
          <w:szCs w:val="20"/>
          <w:lang w:val="en"/>
        </w:rPr>
        <w:t xml:space="preserve"> to continue charging for the regulatory activities of </w:t>
      </w:r>
      <w:r w:rsidR="00382078">
        <w:rPr>
          <w:rFonts w:cs="Arial"/>
          <w:szCs w:val="20"/>
          <w:lang w:val="en"/>
        </w:rPr>
        <w:t>Pattern Approval</w:t>
      </w:r>
      <w:r>
        <w:rPr>
          <w:rFonts w:cs="Arial"/>
          <w:szCs w:val="20"/>
          <w:lang w:val="en"/>
        </w:rPr>
        <w:t>, licensing and legal metrology authority appointments</w:t>
      </w:r>
      <w:r w:rsidR="00A26164">
        <w:rPr>
          <w:rFonts w:cs="Arial"/>
          <w:szCs w:val="20"/>
          <w:lang w:val="en"/>
        </w:rPr>
        <w:t xml:space="preserve">. </w:t>
      </w:r>
      <w:r w:rsidR="00250C19" w:rsidRPr="00250C19">
        <w:rPr>
          <w:rFonts w:cs="Arial"/>
          <w:szCs w:val="20"/>
          <w:lang w:val="en"/>
        </w:rPr>
        <w:t>NMI transition</w:t>
      </w:r>
      <w:r w:rsidR="004825BF">
        <w:rPr>
          <w:rFonts w:cs="Arial"/>
          <w:szCs w:val="20"/>
          <w:lang w:val="en"/>
        </w:rPr>
        <w:t>ed</w:t>
      </w:r>
      <w:r w:rsidR="00250C19" w:rsidRPr="00250C19">
        <w:rPr>
          <w:rFonts w:cs="Arial"/>
          <w:szCs w:val="20"/>
          <w:lang w:val="en"/>
        </w:rPr>
        <w:t xml:space="preserve"> to the new regulatory charging model in the 2019-2020 financial year with the change effective from 1 July 2019</w:t>
      </w:r>
      <w:r w:rsidR="00250C19">
        <w:rPr>
          <w:rFonts w:cs="Arial"/>
          <w:szCs w:val="20"/>
          <w:lang w:val="en"/>
        </w:rPr>
        <w:t>.</w:t>
      </w:r>
      <w:r w:rsidR="00A26164">
        <w:rPr>
          <w:rFonts w:cs="Arial"/>
          <w:szCs w:val="20"/>
          <w:lang w:val="en"/>
        </w:rPr>
        <w:t xml:space="preserve"> </w:t>
      </w:r>
    </w:p>
    <w:p w14:paraId="31DC1381" w14:textId="4F08DC3F" w:rsidR="00BE5E87" w:rsidRDefault="00BE5E87" w:rsidP="0096642F">
      <w:pPr>
        <w:spacing w:before="120" w:line="276" w:lineRule="auto"/>
        <w:rPr>
          <w:rFonts w:cs="Arial"/>
          <w:szCs w:val="20"/>
          <w:lang w:val="en"/>
        </w:rPr>
      </w:pPr>
      <w:r>
        <w:rPr>
          <w:rFonts w:cs="Arial"/>
          <w:szCs w:val="20"/>
          <w:lang w:val="en"/>
        </w:rPr>
        <w:t xml:space="preserve">The regulatory charging model </w:t>
      </w:r>
      <w:r w:rsidR="004825BF">
        <w:rPr>
          <w:rFonts w:cs="Arial"/>
          <w:szCs w:val="20"/>
          <w:lang w:val="en"/>
        </w:rPr>
        <w:t xml:space="preserve">was </w:t>
      </w:r>
      <w:r>
        <w:rPr>
          <w:rFonts w:cs="Arial"/>
          <w:szCs w:val="20"/>
          <w:lang w:val="en"/>
        </w:rPr>
        <w:t>developed considering the impact on stakeholders and intended policy outcomes. Under t</w:t>
      </w:r>
      <w:r w:rsidR="00A26164">
        <w:rPr>
          <w:rFonts w:cs="Arial"/>
          <w:szCs w:val="20"/>
          <w:lang w:val="en"/>
        </w:rPr>
        <w:t xml:space="preserve">he </w:t>
      </w:r>
      <w:r w:rsidR="002C11CB">
        <w:rPr>
          <w:rFonts w:cs="Arial"/>
          <w:szCs w:val="20"/>
          <w:lang w:val="en"/>
        </w:rPr>
        <w:t>new</w:t>
      </w:r>
      <w:r w:rsidR="00DD7ABC">
        <w:rPr>
          <w:rFonts w:cs="Arial"/>
          <w:szCs w:val="20"/>
          <w:lang w:val="en"/>
        </w:rPr>
        <w:t xml:space="preserve"> regulatory</w:t>
      </w:r>
      <w:r w:rsidR="002C11CB">
        <w:rPr>
          <w:rFonts w:cs="Arial"/>
          <w:szCs w:val="20"/>
          <w:lang w:val="en"/>
        </w:rPr>
        <w:t xml:space="preserve"> </w:t>
      </w:r>
      <w:r w:rsidR="00A26164">
        <w:rPr>
          <w:rFonts w:cs="Arial"/>
          <w:szCs w:val="20"/>
          <w:lang w:val="en"/>
        </w:rPr>
        <w:t>charging model</w:t>
      </w:r>
      <w:r>
        <w:rPr>
          <w:rFonts w:cs="Arial"/>
          <w:szCs w:val="20"/>
          <w:lang w:val="en"/>
        </w:rPr>
        <w:t>:</w:t>
      </w:r>
    </w:p>
    <w:p w14:paraId="62E4F75B" w14:textId="2CB10904" w:rsidR="00BE5E87" w:rsidRDefault="00896E40" w:rsidP="00BE5E87">
      <w:pPr>
        <w:numPr>
          <w:ilvl w:val="0"/>
          <w:numId w:val="19"/>
        </w:numPr>
        <w:spacing w:before="120" w:line="276" w:lineRule="auto"/>
        <w:ind w:left="714" w:hanging="357"/>
        <w:rPr>
          <w:rFonts w:cs="Arial"/>
          <w:szCs w:val="20"/>
          <w:lang w:val="en" w:eastAsia="en-AU"/>
        </w:rPr>
      </w:pPr>
      <w:r>
        <w:rPr>
          <w:rFonts w:cs="Arial"/>
          <w:szCs w:val="20"/>
          <w:lang w:val="en" w:eastAsia="en-AU"/>
        </w:rPr>
        <w:t>a</w:t>
      </w:r>
      <w:r w:rsidR="00BE5E87" w:rsidRPr="00BE5E87">
        <w:rPr>
          <w:rFonts w:cs="Arial"/>
          <w:szCs w:val="20"/>
          <w:lang w:val="en" w:eastAsia="en-AU"/>
        </w:rPr>
        <w:t xml:space="preserve">ll </w:t>
      </w:r>
      <w:r w:rsidR="00970BBE" w:rsidRPr="00BE5E87">
        <w:rPr>
          <w:rFonts w:cs="Arial"/>
          <w:szCs w:val="20"/>
          <w:lang w:val="en" w:eastAsia="en-AU"/>
        </w:rPr>
        <w:t xml:space="preserve">activities </w:t>
      </w:r>
      <w:r w:rsidR="002D679C" w:rsidRPr="00BE5E87">
        <w:rPr>
          <w:rFonts w:cs="Arial"/>
          <w:szCs w:val="20"/>
          <w:lang w:val="en" w:eastAsia="en-AU"/>
        </w:rPr>
        <w:t xml:space="preserve">other than </w:t>
      </w:r>
      <w:r w:rsidR="00382078">
        <w:rPr>
          <w:rFonts w:cs="Arial"/>
          <w:szCs w:val="20"/>
          <w:lang w:val="en" w:eastAsia="en-AU"/>
        </w:rPr>
        <w:t>P</w:t>
      </w:r>
      <w:r w:rsidR="00382078" w:rsidRPr="00BE5E87">
        <w:rPr>
          <w:rFonts w:cs="Arial"/>
          <w:szCs w:val="20"/>
          <w:lang w:val="en" w:eastAsia="en-AU"/>
        </w:rPr>
        <w:t xml:space="preserve">attern </w:t>
      </w:r>
      <w:r w:rsidR="00382078">
        <w:rPr>
          <w:rFonts w:cs="Arial"/>
          <w:szCs w:val="20"/>
          <w:lang w:val="en" w:eastAsia="en-AU"/>
        </w:rPr>
        <w:t>A</w:t>
      </w:r>
      <w:r w:rsidR="00382078" w:rsidRPr="00BE5E87">
        <w:rPr>
          <w:rFonts w:cs="Arial"/>
          <w:szCs w:val="20"/>
          <w:lang w:val="en" w:eastAsia="en-AU"/>
        </w:rPr>
        <w:t xml:space="preserve">pproval </w:t>
      </w:r>
      <w:r w:rsidR="002D679C" w:rsidRPr="00BE5E87">
        <w:rPr>
          <w:rFonts w:cs="Arial"/>
          <w:szCs w:val="20"/>
          <w:lang w:val="en" w:eastAsia="en-AU"/>
        </w:rPr>
        <w:t>laboratory testing</w:t>
      </w:r>
      <w:r w:rsidR="00BE5E87">
        <w:rPr>
          <w:rFonts w:cs="Arial"/>
          <w:szCs w:val="20"/>
          <w:lang w:val="en" w:eastAsia="en-AU"/>
        </w:rPr>
        <w:t xml:space="preserve"> will be fully cost recovered</w:t>
      </w:r>
    </w:p>
    <w:p w14:paraId="04F24072" w14:textId="6FF9C3AF" w:rsidR="00D452FF" w:rsidRPr="00BE5E87" w:rsidRDefault="00896E40" w:rsidP="00BE5E87">
      <w:pPr>
        <w:numPr>
          <w:ilvl w:val="0"/>
          <w:numId w:val="19"/>
        </w:numPr>
        <w:spacing w:before="120" w:line="276" w:lineRule="auto"/>
        <w:ind w:left="714" w:hanging="357"/>
        <w:rPr>
          <w:rFonts w:cs="Arial"/>
          <w:szCs w:val="20"/>
          <w:lang w:val="en" w:eastAsia="en-AU"/>
        </w:rPr>
      </w:pPr>
      <w:r>
        <w:rPr>
          <w:rFonts w:cs="Arial"/>
          <w:szCs w:val="20"/>
          <w:lang w:val="en" w:eastAsia="en-AU"/>
        </w:rPr>
        <w:t>f</w:t>
      </w:r>
      <w:r w:rsidR="008F69E0" w:rsidRPr="00BE5E87">
        <w:rPr>
          <w:rFonts w:cs="Arial"/>
          <w:szCs w:val="20"/>
          <w:lang w:val="en" w:eastAsia="en-AU"/>
        </w:rPr>
        <w:t xml:space="preserve">ees for </w:t>
      </w:r>
      <w:r w:rsidR="00382078">
        <w:rPr>
          <w:rFonts w:cs="Arial"/>
          <w:szCs w:val="20"/>
          <w:lang w:val="en" w:eastAsia="en-AU"/>
        </w:rPr>
        <w:t>P</w:t>
      </w:r>
      <w:r w:rsidR="00382078" w:rsidRPr="00BE5E87">
        <w:rPr>
          <w:rFonts w:cs="Arial"/>
          <w:szCs w:val="20"/>
          <w:lang w:val="en" w:eastAsia="en-AU"/>
        </w:rPr>
        <w:t xml:space="preserve">attern </w:t>
      </w:r>
      <w:r w:rsidR="00382078">
        <w:rPr>
          <w:rFonts w:cs="Arial"/>
          <w:szCs w:val="20"/>
          <w:lang w:val="en" w:eastAsia="en-AU"/>
        </w:rPr>
        <w:t>A</w:t>
      </w:r>
      <w:r w:rsidR="00382078" w:rsidRPr="00BE5E87">
        <w:rPr>
          <w:rFonts w:cs="Arial"/>
          <w:szCs w:val="20"/>
          <w:lang w:val="en" w:eastAsia="en-AU"/>
        </w:rPr>
        <w:t xml:space="preserve">pproval </w:t>
      </w:r>
      <w:r w:rsidR="008F69E0" w:rsidRPr="00BE5E87">
        <w:rPr>
          <w:rFonts w:cs="Arial"/>
          <w:szCs w:val="20"/>
          <w:lang w:val="en" w:eastAsia="en-AU"/>
        </w:rPr>
        <w:t>laboratory testing</w:t>
      </w:r>
      <w:r w:rsidR="002D679C" w:rsidRPr="00BE5E87">
        <w:rPr>
          <w:rFonts w:cs="Arial"/>
          <w:szCs w:val="20"/>
          <w:lang w:val="en" w:eastAsia="en-AU"/>
        </w:rPr>
        <w:t xml:space="preserve"> </w:t>
      </w:r>
      <w:r w:rsidR="009A59DD" w:rsidRPr="00BE5E87">
        <w:rPr>
          <w:rFonts w:cs="Arial"/>
          <w:szCs w:val="20"/>
          <w:lang w:val="en" w:eastAsia="en-AU"/>
        </w:rPr>
        <w:t xml:space="preserve">will be </w:t>
      </w:r>
      <w:r w:rsidR="008F69E0" w:rsidRPr="00BE5E87">
        <w:rPr>
          <w:rFonts w:cs="Arial"/>
          <w:szCs w:val="20"/>
          <w:lang w:val="en" w:eastAsia="en-AU"/>
        </w:rPr>
        <w:t xml:space="preserve">increased to recover </w:t>
      </w:r>
      <w:r w:rsidR="00C7360A" w:rsidRPr="00BE5E87">
        <w:rPr>
          <w:rFonts w:cs="Arial"/>
          <w:szCs w:val="20"/>
          <w:lang w:val="en" w:eastAsia="en-AU"/>
        </w:rPr>
        <w:t xml:space="preserve">20 per cent of </w:t>
      </w:r>
      <w:r w:rsidR="0040361D" w:rsidRPr="00BE5E87">
        <w:rPr>
          <w:rFonts w:cs="Arial"/>
          <w:szCs w:val="20"/>
          <w:lang w:val="en" w:eastAsia="en-AU"/>
        </w:rPr>
        <w:t xml:space="preserve">the </w:t>
      </w:r>
      <w:r w:rsidR="00B0227F" w:rsidRPr="00BE5E87">
        <w:rPr>
          <w:rFonts w:cs="Arial"/>
          <w:szCs w:val="20"/>
          <w:lang w:val="en" w:eastAsia="en-AU"/>
        </w:rPr>
        <w:t xml:space="preserve">associated </w:t>
      </w:r>
      <w:r w:rsidR="00C7360A" w:rsidRPr="00BE5E87">
        <w:rPr>
          <w:rFonts w:cs="Arial"/>
          <w:szCs w:val="20"/>
          <w:lang w:val="en" w:eastAsia="en-AU"/>
        </w:rPr>
        <w:t>cost</w:t>
      </w:r>
      <w:r w:rsidR="0040361D" w:rsidRPr="00BE5E87">
        <w:rPr>
          <w:rFonts w:cs="Arial"/>
          <w:szCs w:val="20"/>
          <w:lang w:val="en" w:eastAsia="en-AU"/>
        </w:rPr>
        <w:t xml:space="preserve"> of the activity</w:t>
      </w:r>
    </w:p>
    <w:p w14:paraId="5C9EF57B" w14:textId="1469149F" w:rsidR="008E7B8A" w:rsidRPr="00BE5E87" w:rsidRDefault="00896E40" w:rsidP="00BE5E87">
      <w:pPr>
        <w:pStyle w:val="ListParagraph"/>
        <w:numPr>
          <w:ilvl w:val="0"/>
          <w:numId w:val="19"/>
        </w:numPr>
        <w:spacing w:before="120"/>
        <w:rPr>
          <w:rFonts w:ascii="Arial" w:eastAsia="Times New Roman" w:hAnsi="Arial" w:cs="Arial"/>
          <w:szCs w:val="20"/>
          <w:lang w:val="en" w:eastAsia="en-AU"/>
        </w:rPr>
      </w:pPr>
      <w:r>
        <w:rPr>
          <w:rFonts w:ascii="Arial" w:eastAsia="Times New Roman" w:hAnsi="Arial" w:cs="Arial"/>
          <w:szCs w:val="20"/>
          <w:lang w:val="en" w:eastAsia="en-AU"/>
        </w:rPr>
        <w:t>d</w:t>
      </w:r>
      <w:r w:rsidR="009A59DD" w:rsidRPr="00BE5E87">
        <w:rPr>
          <w:rFonts w:ascii="Arial" w:eastAsia="Times New Roman" w:hAnsi="Arial" w:cs="Arial"/>
          <w:szCs w:val="20"/>
          <w:lang w:val="en" w:eastAsia="en-AU"/>
        </w:rPr>
        <w:t>epending on the activity</w:t>
      </w:r>
      <w:r w:rsidR="00B0227F" w:rsidRPr="00BE5E87">
        <w:rPr>
          <w:rFonts w:ascii="Arial" w:eastAsia="Times New Roman" w:hAnsi="Arial" w:cs="Arial"/>
          <w:szCs w:val="20"/>
          <w:lang w:val="en" w:eastAsia="en-AU"/>
        </w:rPr>
        <w:t>,</w:t>
      </w:r>
      <w:r w:rsidR="009A59DD" w:rsidRPr="00BE5E87">
        <w:rPr>
          <w:rFonts w:ascii="Arial" w:eastAsia="Times New Roman" w:hAnsi="Arial" w:cs="Arial"/>
          <w:szCs w:val="20"/>
          <w:lang w:val="en" w:eastAsia="en-AU"/>
        </w:rPr>
        <w:t xml:space="preserve"> f</w:t>
      </w:r>
      <w:r w:rsidR="00D452FF" w:rsidRPr="00BE5E87">
        <w:rPr>
          <w:rFonts w:ascii="Arial" w:eastAsia="Times New Roman" w:hAnsi="Arial" w:cs="Arial"/>
          <w:szCs w:val="20"/>
          <w:lang w:val="en" w:eastAsia="en-AU"/>
        </w:rPr>
        <w:t>ee</w:t>
      </w:r>
      <w:r w:rsidR="002D679C" w:rsidRPr="00BE5E87">
        <w:rPr>
          <w:rFonts w:ascii="Arial" w:eastAsia="Times New Roman" w:hAnsi="Arial" w:cs="Arial"/>
          <w:szCs w:val="20"/>
          <w:lang w:val="en" w:eastAsia="en-AU"/>
        </w:rPr>
        <w:t xml:space="preserve">s </w:t>
      </w:r>
      <w:r w:rsidR="00D452FF" w:rsidRPr="00BE5E87">
        <w:rPr>
          <w:rFonts w:ascii="Arial" w:eastAsia="Times New Roman" w:hAnsi="Arial" w:cs="Arial"/>
          <w:szCs w:val="20"/>
          <w:lang w:val="en" w:eastAsia="en-AU"/>
        </w:rPr>
        <w:t>in</w:t>
      </w:r>
      <w:r w:rsidR="002D679C" w:rsidRPr="00BE5E87">
        <w:rPr>
          <w:rFonts w:ascii="Arial" w:eastAsia="Times New Roman" w:hAnsi="Arial" w:cs="Arial"/>
          <w:szCs w:val="20"/>
          <w:lang w:val="en" w:eastAsia="en-AU"/>
        </w:rPr>
        <w:t xml:space="preserve">creased </w:t>
      </w:r>
      <w:r w:rsidR="00FF74E9" w:rsidRPr="00BE5E87">
        <w:rPr>
          <w:rFonts w:ascii="Arial" w:eastAsia="Times New Roman" w:hAnsi="Arial" w:cs="Arial"/>
          <w:szCs w:val="20"/>
          <w:lang w:val="en" w:eastAsia="en-AU"/>
        </w:rPr>
        <w:t xml:space="preserve">in one step </w:t>
      </w:r>
      <w:r w:rsidR="009A59DD" w:rsidRPr="00BE5E87">
        <w:rPr>
          <w:rFonts w:ascii="Arial" w:eastAsia="Times New Roman" w:hAnsi="Arial" w:cs="Arial"/>
          <w:szCs w:val="20"/>
          <w:lang w:val="en" w:eastAsia="en-AU"/>
        </w:rPr>
        <w:t xml:space="preserve">or </w:t>
      </w:r>
      <w:r w:rsidR="00FF74E9" w:rsidRPr="00BE5E87">
        <w:rPr>
          <w:rFonts w:ascii="Arial" w:eastAsia="Times New Roman" w:hAnsi="Arial" w:cs="Arial"/>
          <w:szCs w:val="20"/>
          <w:lang w:val="en" w:eastAsia="en-AU"/>
        </w:rPr>
        <w:t xml:space="preserve">as </w:t>
      </w:r>
      <w:r w:rsidR="00D452FF" w:rsidRPr="00BE5E87">
        <w:rPr>
          <w:rFonts w:ascii="Arial" w:eastAsia="Times New Roman" w:hAnsi="Arial" w:cs="Arial"/>
          <w:szCs w:val="20"/>
          <w:lang w:val="en" w:eastAsia="en-AU"/>
        </w:rPr>
        <w:t>staged increase</w:t>
      </w:r>
      <w:r w:rsidR="009A59DD" w:rsidRPr="00BE5E87">
        <w:rPr>
          <w:rFonts w:ascii="Arial" w:eastAsia="Times New Roman" w:hAnsi="Arial" w:cs="Arial"/>
          <w:szCs w:val="20"/>
          <w:lang w:val="en" w:eastAsia="en-AU"/>
        </w:rPr>
        <w:t>s</w:t>
      </w:r>
      <w:r w:rsidR="00D452FF" w:rsidRPr="00BE5E87">
        <w:rPr>
          <w:rFonts w:ascii="Arial" w:eastAsia="Times New Roman" w:hAnsi="Arial" w:cs="Arial"/>
          <w:szCs w:val="20"/>
          <w:lang w:val="en" w:eastAsia="en-AU"/>
        </w:rPr>
        <w:t xml:space="preserve"> over four years </w:t>
      </w:r>
      <w:r w:rsidR="009A59DD" w:rsidRPr="00BE5E87">
        <w:rPr>
          <w:rFonts w:ascii="Arial" w:eastAsia="Times New Roman" w:hAnsi="Arial" w:cs="Arial"/>
          <w:szCs w:val="20"/>
          <w:lang w:val="en" w:eastAsia="en-AU"/>
        </w:rPr>
        <w:t>from 1 July 2019</w:t>
      </w:r>
      <w:r w:rsidR="00C7360A" w:rsidRPr="00BE5E87">
        <w:rPr>
          <w:rFonts w:ascii="Arial" w:eastAsia="Times New Roman" w:hAnsi="Arial" w:cs="Arial"/>
          <w:szCs w:val="20"/>
          <w:lang w:val="en" w:eastAsia="en-AU"/>
        </w:rPr>
        <w:t>.</w:t>
      </w:r>
      <w:r w:rsidR="009A59DD" w:rsidRPr="00BE5E87">
        <w:rPr>
          <w:rFonts w:ascii="Arial" w:eastAsia="Times New Roman" w:hAnsi="Arial" w:cs="Arial"/>
          <w:szCs w:val="20"/>
          <w:lang w:val="en" w:eastAsia="en-AU"/>
        </w:rPr>
        <w:t xml:space="preserve"> </w:t>
      </w:r>
      <w:r w:rsidR="00D452FF" w:rsidRPr="00BE5E87">
        <w:rPr>
          <w:rFonts w:ascii="Arial" w:eastAsia="Times New Roman" w:hAnsi="Arial" w:cs="Arial"/>
          <w:szCs w:val="20"/>
          <w:lang w:val="en" w:eastAsia="en-AU"/>
        </w:rPr>
        <w:t xml:space="preserve"> </w:t>
      </w:r>
    </w:p>
    <w:p w14:paraId="593C65FF" w14:textId="77777777" w:rsidR="00FB6FEE" w:rsidRPr="006C1DCD" w:rsidRDefault="00FB6FEE" w:rsidP="006C1DCD">
      <w:pPr>
        <w:pStyle w:val="Heading3"/>
        <w:spacing w:line="276" w:lineRule="auto"/>
        <w:ind w:left="340" w:hanging="340"/>
        <w:rPr>
          <w:sz w:val="22"/>
          <w:szCs w:val="22"/>
        </w:rPr>
      </w:pPr>
      <w:bookmarkStart w:id="21" w:name="_Toc516468779"/>
      <w:bookmarkStart w:id="22" w:name="_Toc85106074"/>
      <w:r w:rsidRPr="006C1DCD">
        <w:rPr>
          <w:sz w:val="22"/>
          <w:szCs w:val="22"/>
        </w:rPr>
        <w:t>Pattern Approval</w:t>
      </w:r>
      <w:bookmarkEnd w:id="21"/>
      <w:bookmarkEnd w:id="22"/>
    </w:p>
    <w:p w14:paraId="7D21BA34" w14:textId="77777777" w:rsidR="00FB6FEE" w:rsidRDefault="00FB6FEE" w:rsidP="00970BBE">
      <w:pPr>
        <w:spacing w:before="120" w:line="276" w:lineRule="auto"/>
        <w:rPr>
          <w:rFonts w:cs="Arial"/>
          <w:color w:val="000000"/>
          <w:szCs w:val="20"/>
        </w:rPr>
      </w:pPr>
      <w:r w:rsidRPr="008366B0">
        <w:rPr>
          <w:rFonts w:cs="Arial"/>
          <w:color w:val="000000"/>
          <w:szCs w:val="20"/>
        </w:rPr>
        <w:t>Prior to</w:t>
      </w:r>
      <w:r w:rsidR="00896E40">
        <w:rPr>
          <w:rFonts w:cs="Arial"/>
          <w:color w:val="000000"/>
          <w:szCs w:val="20"/>
        </w:rPr>
        <w:t xml:space="preserve"> </w:t>
      </w:r>
      <w:r w:rsidRPr="008366B0">
        <w:rPr>
          <w:rFonts w:cs="Arial"/>
          <w:color w:val="000000"/>
          <w:szCs w:val="20"/>
        </w:rPr>
        <w:t xml:space="preserve">NMI’s formation in 2004, the National Standards Commission charged fees for </w:t>
      </w:r>
      <w:r w:rsidR="00B140FE">
        <w:rPr>
          <w:rFonts w:cs="Arial"/>
          <w:color w:val="000000"/>
          <w:szCs w:val="20"/>
        </w:rPr>
        <w:t>the Pattern Approval (PA) of measuring instruments</w:t>
      </w:r>
      <w:r w:rsidRPr="008366B0">
        <w:rPr>
          <w:rFonts w:cs="Arial"/>
          <w:color w:val="000000"/>
          <w:szCs w:val="20"/>
        </w:rPr>
        <w:t>.</w:t>
      </w:r>
      <w:r w:rsidR="0023246F">
        <w:rPr>
          <w:rFonts w:cs="Arial"/>
          <w:color w:val="000000"/>
          <w:szCs w:val="20"/>
        </w:rPr>
        <w:t xml:space="preserve"> </w:t>
      </w:r>
      <w:r w:rsidR="00B140FE">
        <w:rPr>
          <w:rFonts w:cs="Arial"/>
          <w:color w:val="000000"/>
          <w:szCs w:val="20"/>
        </w:rPr>
        <w:t>PA</w:t>
      </w:r>
      <w:r w:rsidR="0023246F">
        <w:rPr>
          <w:rFonts w:cs="Arial"/>
          <w:color w:val="000000"/>
          <w:szCs w:val="20"/>
        </w:rPr>
        <w:t xml:space="preserve"> of measuring instruments is a regulatory activity</w:t>
      </w:r>
      <w:r w:rsidR="00F87BC1">
        <w:rPr>
          <w:rFonts w:cs="Arial"/>
          <w:color w:val="000000"/>
          <w:szCs w:val="20"/>
        </w:rPr>
        <w:t>.</w:t>
      </w:r>
    </w:p>
    <w:p w14:paraId="11F1638A" w14:textId="68EEF6C5" w:rsidR="00BF6DA5" w:rsidRDefault="009A59DD" w:rsidP="00970BBE">
      <w:pPr>
        <w:spacing w:before="120" w:line="276" w:lineRule="auto"/>
        <w:rPr>
          <w:rFonts w:cs="Arial"/>
          <w:color w:val="000000"/>
          <w:szCs w:val="20"/>
        </w:rPr>
      </w:pPr>
      <w:r>
        <w:rPr>
          <w:rFonts w:cs="Arial"/>
          <w:color w:val="000000"/>
          <w:szCs w:val="20"/>
        </w:rPr>
        <w:t xml:space="preserve">The </w:t>
      </w:r>
      <w:r w:rsidR="00F95259">
        <w:rPr>
          <w:rFonts w:cs="Arial"/>
          <w:color w:val="000000"/>
          <w:szCs w:val="20"/>
        </w:rPr>
        <w:t xml:space="preserve">Pattern Approval </w:t>
      </w:r>
      <w:r w:rsidR="004F2D75">
        <w:rPr>
          <w:rFonts w:cs="Arial"/>
          <w:color w:val="000000"/>
          <w:szCs w:val="20"/>
        </w:rPr>
        <w:t>c</w:t>
      </w:r>
      <w:r>
        <w:rPr>
          <w:rFonts w:cs="Arial"/>
          <w:color w:val="000000"/>
          <w:szCs w:val="20"/>
        </w:rPr>
        <w:t xml:space="preserve">ertification </w:t>
      </w:r>
      <w:r w:rsidR="00BF6DA5">
        <w:rPr>
          <w:rFonts w:cs="Arial"/>
          <w:color w:val="000000"/>
          <w:szCs w:val="20"/>
        </w:rPr>
        <w:t xml:space="preserve">function </w:t>
      </w:r>
      <w:r>
        <w:rPr>
          <w:rFonts w:cs="Arial"/>
          <w:color w:val="000000"/>
          <w:szCs w:val="20"/>
        </w:rPr>
        <w:t>(</w:t>
      </w:r>
      <w:r w:rsidR="00BF6DA5">
        <w:rPr>
          <w:rFonts w:cs="Arial"/>
          <w:color w:val="000000"/>
          <w:szCs w:val="20"/>
        </w:rPr>
        <w:t>including issuing PA certificates</w:t>
      </w:r>
      <w:r>
        <w:rPr>
          <w:rFonts w:cs="Arial"/>
          <w:color w:val="000000"/>
          <w:szCs w:val="20"/>
        </w:rPr>
        <w:t xml:space="preserve">) </w:t>
      </w:r>
      <w:r w:rsidR="00250C19">
        <w:rPr>
          <w:rFonts w:cs="Arial"/>
          <w:color w:val="000000"/>
          <w:szCs w:val="20"/>
        </w:rPr>
        <w:t>were</w:t>
      </w:r>
      <w:r w:rsidR="00BF6DA5">
        <w:rPr>
          <w:rFonts w:cs="Arial"/>
          <w:color w:val="000000"/>
          <w:szCs w:val="20"/>
        </w:rPr>
        <w:t xml:space="preserve"> </w:t>
      </w:r>
      <w:r w:rsidR="00977687">
        <w:rPr>
          <w:rFonts w:cs="Arial"/>
          <w:color w:val="000000"/>
          <w:szCs w:val="20"/>
        </w:rPr>
        <w:t xml:space="preserve">partially cost recovered for the </w:t>
      </w:r>
      <w:r w:rsidR="002C11CB">
        <w:rPr>
          <w:rFonts w:cs="Arial"/>
          <w:color w:val="000000"/>
          <w:szCs w:val="20"/>
        </w:rPr>
        <w:t>2018</w:t>
      </w:r>
      <w:r w:rsidR="00896E40">
        <w:rPr>
          <w:rFonts w:cs="Arial"/>
          <w:color w:val="000000"/>
          <w:szCs w:val="20"/>
        </w:rPr>
        <w:t>–</w:t>
      </w:r>
      <w:r w:rsidR="002C11CB">
        <w:rPr>
          <w:rFonts w:cs="Arial"/>
          <w:color w:val="000000"/>
          <w:szCs w:val="20"/>
        </w:rPr>
        <w:t xml:space="preserve">19 </w:t>
      </w:r>
      <w:r w:rsidR="00977687">
        <w:rPr>
          <w:rFonts w:cs="Arial"/>
          <w:color w:val="000000"/>
          <w:szCs w:val="20"/>
        </w:rPr>
        <w:t xml:space="preserve">financial year </w:t>
      </w:r>
      <w:r w:rsidR="002C11CB">
        <w:rPr>
          <w:rFonts w:cs="Arial"/>
          <w:color w:val="000000"/>
          <w:szCs w:val="20"/>
        </w:rPr>
        <w:t xml:space="preserve">with fees </w:t>
      </w:r>
      <w:r w:rsidR="00250C19">
        <w:rPr>
          <w:rFonts w:cs="Arial"/>
          <w:color w:val="000000"/>
          <w:szCs w:val="20"/>
        </w:rPr>
        <w:t xml:space="preserve">similar </w:t>
      </w:r>
      <w:r w:rsidR="002C11CB">
        <w:rPr>
          <w:rFonts w:cs="Arial"/>
          <w:color w:val="000000"/>
          <w:szCs w:val="20"/>
        </w:rPr>
        <w:t>to previous year</w:t>
      </w:r>
      <w:r w:rsidR="00250C19">
        <w:rPr>
          <w:rFonts w:cs="Arial"/>
          <w:color w:val="000000"/>
          <w:szCs w:val="20"/>
        </w:rPr>
        <w:t>s</w:t>
      </w:r>
      <w:r w:rsidR="002C11CB">
        <w:rPr>
          <w:rFonts w:cs="Arial"/>
          <w:color w:val="000000"/>
          <w:szCs w:val="20"/>
        </w:rPr>
        <w:t xml:space="preserve">. </w:t>
      </w:r>
      <w:r w:rsidR="008C66B9">
        <w:rPr>
          <w:rFonts w:cs="Arial"/>
          <w:color w:val="000000"/>
          <w:szCs w:val="20"/>
        </w:rPr>
        <w:t>S</w:t>
      </w:r>
      <w:r w:rsidR="004F2D75">
        <w:rPr>
          <w:rFonts w:cs="Arial"/>
          <w:color w:val="000000"/>
          <w:szCs w:val="20"/>
        </w:rPr>
        <w:t xml:space="preserve">taged </w:t>
      </w:r>
      <w:r w:rsidR="00AA2FAF">
        <w:rPr>
          <w:rFonts w:cs="Arial"/>
          <w:color w:val="000000"/>
          <w:szCs w:val="20"/>
        </w:rPr>
        <w:t xml:space="preserve">fee </w:t>
      </w:r>
      <w:r w:rsidR="004F2D75">
        <w:rPr>
          <w:rFonts w:cs="Arial"/>
          <w:color w:val="000000"/>
          <w:szCs w:val="20"/>
        </w:rPr>
        <w:t>increase</w:t>
      </w:r>
      <w:r w:rsidR="00AA2FAF">
        <w:rPr>
          <w:rFonts w:cs="Arial"/>
          <w:color w:val="000000"/>
          <w:szCs w:val="20"/>
        </w:rPr>
        <w:t>s</w:t>
      </w:r>
      <w:r w:rsidR="004F2D75">
        <w:rPr>
          <w:rFonts w:cs="Arial"/>
          <w:color w:val="000000"/>
          <w:szCs w:val="20"/>
        </w:rPr>
        <w:t xml:space="preserve"> </w:t>
      </w:r>
      <w:r w:rsidR="00BF6DA5">
        <w:rPr>
          <w:rFonts w:cs="Arial"/>
          <w:color w:val="000000"/>
          <w:szCs w:val="20"/>
        </w:rPr>
        <w:t xml:space="preserve">over a period of four years </w:t>
      </w:r>
      <w:r w:rsidR="002C11CB">
        <w:rPr>
          <w:rFonts w:cs="Arial"/>
          <w:color w:val="000000"/>
          <w:szCs w:val="20"/>
        </w:rPr>
        <w:t xml:space="preserve">to </w:t>
      </w:r>
      <w:r w:rsidR="00DA2214">
        <w:rPr>
          <w:rFonts w:cs="Arial"/>
          <w:color w:val="000000"/>
          <w:szCs w:val="20"/>
        </w:rPr>
        <w:t xml:space="preserve">recover </w:t>
      </w:r>
      <w:r w:rsidR="00A7366B">
        <w:rPr>
          <w:rFonts w:cs="Arial"/>
          <w:color w:val="000000"/>
          <w:szCs w:val="20"/>
        </w:rPr>
        <w:t xml:space="preserve">100 per cent of the associated </w:t>
      </w:r>
      <w:r w:rsidR="002C11CB">
        <w:rPr>
          <w:rFonts w:cs="Arial"/>
          <w:color w:val="000000"/>
          <w:szCs w:val="20"/>
        </w:rPr>
        <w:t>cost</w:t>
      </w:r>
      <w:r w:rsidR="00A7366B">
        <w:rPr>
          <w:rFonts w:cs="Arial"/>
          <w:color w:val="000000"/>
          <w:szCs w:val="20"/>
        </w:rPr>
        <w:t>s</w:t>
      </w:r>
      <w:r w:rsidR="008C66B9">
        <w:rPr>
          <w:rFonts w:cs="Arial"/>
          <w:color w:val="000000"/>
          <w:szCs w:val="20"/>
        </w:rPr>
        <w:t xml:space="preserve">, came in to effect 1 July 2019. </w:t>
      </w:r>
    </w:p>
    <w:p w14:paraId="74846857" w14:textId="41F3CFFA" w:rsidR="00977687" w:rsidRDefault="002C11CB" w:rsidP="00BF6DA5">
      <w:pPr>
        <w:spacing w:before="120" w:line="276" w:lineRule="auto"/>
      </w:pPr>
      <w:r>
        <w:rPr>
          <w:rFonts w:cs="Arial"/>
          <w:color w:val="000000"/>
          <w:szCs w:val="20"/>
        </w:rPr>
        <w:t xml:space="preserve">From 1 July 2019 </w:t>
      </w:r>
      <w:r w:rsidR="00250C19" w:rsidRPr="00250C19">
        <w:rPr>
          <w:rFonts w:cs="Arial"/>
          <w:color w:val="000000"/>
          <w:szCs w:val="20"/>
        </w:rPr>
        <w:t xml:space="preserve">costs associated with pattern approval laboratory testing </w:t>
      </w:r>
      <w:r w:rsidR="008F6738">
        <w:rPr>
          <w:rFonts w:cs="Arial"/>
          <w:color w:val="000000"/>
          <w:szCs w:val="20"/>
        </w:rPr>
        <w:t xml:space="preserve">are </w:t>
      </w:r>
      <w:r w:rsidR="00250C19" w:rsidRPr="00250C19">
        <w:rPr>
          <w:rFonts w:cs="Arial"/>
          <w:color w:val="000000"/>
          <w:szCs w:val="20"/>
        </w:rPr>
        <w:t>partially recovered with</w:t>
      </w:r>
      <w:r w:rsidR="00A7366B">
        <w:rPr>
          <w:rFonts w:cs="Arial"/>
          <w:color w:val="000000"/>
          <w:szCs w:val="20"/>
        </w:rPr>
        <w:t xml:space="preserve"> staged fee increases over a period of four years to </w:t>
      </w:r>
      <w:r w:rsidR="00DA2214">
        <w:rPr>
          <w:rFonts w:cs="Arial"/>
          <w:color w:val="000000"/>
          <w:szCs w:val="20"/>
        </w:rPr>
        <w:t xml:space="preserve">recover </w:t>
      </w:r>
      <w:r w:rsidR="00A7366B">
        <w:rPr>
          <w:rFonts w:cs="Arial"/>
          <w:color w:val="000000"/>
          <w:szCs w:val="20"/>
        </w:rPr>
        <w:t>20 per cent of the associated costs</w:t>
      </w:r>
      <w:r w:rsidR="00FC74D1">
        <w:rPr>
          <w:rFonts w:cs="Arial"/>
          <w:color w:val="000000"/>
          <w:szCs w:val="20"/>
        </w:rPr>
        <w:t>.</w:t>
      </w:r>
      <w:r w:rsidR="00C7360A" w:rsidRPr="00C7360A">
        <w:t xml:space="preserve"> </w:t>
      </w:r>
    </w:p>
    <w:p w14:paraId="16A3CF30" w14:textId="77777777" w:rsidR="00FB6FEE" w:rsidRPr="006C1DCD" w:rsidRDefault="00FB6FEE" w:rsidP="006C1DCD">
      <w:pPr>
        <w:pStyle w:val="Heading3"/>
        <w:spacing w:line="276" w:lineRule="auto"/>
        <w:ind w:left="340" w:hanging="340"/>
        <w:rPr>
          <w:sz w:val="22"/>
          <w:szCs w:val="22"/>
        </w:rPr>
      </w:pPr>
      <w:bookmarkStart w:id="23" w:name="_Toc526785181"/>
      <w:bookmarkStart w:id="24" w:name="_Toc526785230"/>
      <w:bookmarkStart w:id="25" w:name="_Toc526785296"/>
      <w:bookmarkStart w:id="26" w:name="_Toc526785345"/>
      <w:bookmarkStart w:id="27" w:name="_Toc526785396"/>
      <w:bookmarkStart w:id="28" w:name="_Toc516468780"/>
      <w:bookmarkStart w:id="29" w:name="_Toc85106075"/>
      <w:bookmarkEnd w:id="23"/>
      <w:bookmarkEnd w:id="24"/>
      <w:bookmarkEnd w:id="25"/>
      <w:bookmarkEnd w:id="26"/>
      <w:bookmarkEnd w:id="27"/>
      <w:r w:rsidRPr="006C1DCD">
        <w:rPr>
          <w:sz w:val="22"/>
          <w:szCs w:val="22"/>
        </w:rPr>
        <w:t>Licensing</w:t>
      </w:r>
      <w:bookmarkEnd w:id="28"/>
      <w:bookmarkEnd w:id="29"/>
    </w:p>
    <w:p w14:paraId="25502866" w14:textId="77777777" w:rsidR="00FB6FEE" w:rsidRDefault="00FB6FEE" w:rsidP="00AB5D3B">
      <w:pPr>
        <w:spacing w:before="120" w:line="276" w:lineRule="auto"/>
        <w:rPr>
          <w:rFonts w:cs="Arial"/>
          <w:color w:val="000000"/>
          <w:szCs w:val="20"/>
        </w:rPr>
      </w:pPr>
      <w:r w:rsidRPr="008366B0">
        <w:rPr>
          <w:rFonts w:cs="Arial"/>
          <w:color w:val="000000"/>
          <w:szCs w:val="20"/>
        </w:rPr>
        <w:t xml:space="preserve">Following a 2007 decision of the Council of Australian Governments, a national system for trade measurement administered by NMI commenced </w:t>
      </w:r>
      <w:r w:rsidR="006E604F">
        <w:rPr>
          <w:rFonts w:cs="Arial"/>
          <w:color w:val="000000"/>
          <w:szCs w:val="20"/>
        </w:rPr>
        <w:t>in</w:t>
      </w:r>
      <w:r w:rsidR="006E604F" w:rsidRPr="008366B0">
        <w:rPr>
          <w:rFonts w:cs="Arial"/>
          <w:color w:val="000000"/>
          <w:szCs w:val="20"/>
        </w:rPr>
        <w:t xml:space="preserve"> </w:t>
      </w:r>
      <w:r w:rsidRPr="008366B0">
        <w:rPr>
          <w:rFonts w:cs="Arial"/>
          <w:color w:val="000000"/>
          <w:szCs w:val="20"/>
        </w:rPr>
        <w:t>July 2010</w:t>
      </w:r>
      <w:r w:rsidR="00896E40">
        <w:rPr>
          <w:rFonts w:cs="Arial"/>
          <w:color w:val="000000"/>
          <w:szCs w:val="20"/>
        </w:rPr>
        <w:t>.</w:t>
      </w:r>
      <w:r w:rsidRPr="008366B0">
        <w:rPr>
          <w:rFonts w:cs="Arial"/>
          <w:color w:val="000000"/>
          <w:szCs w:val="20"/>
        </w:rPr>
        <w:t xml:space="preserve"> </w:t>
      </w:r>
      <w:r w:rsidR="00896E40">
        <w:rPr>
          <w:rFonts w:cs="Arial"/>
          <w:color w:val="000000"/>
          <w:szCs w:val="20"/>
        </w:rPr>
        <w:t>P</w:t>
      </w:r>
      <w:r w:rsidRPr="008366B0">
        <w:rPr>
          <w:rFonts w:cs="Arial"/>
          <w:color w:val="000000"/>
          <w:szCs w:val="20"/>
        </w:rPr>
        <w:t>revious charging regimes</w:t>
      </w:r>
      <w:r w:rsidR="00896E40">
        <w:rPr>
          <w:rFonts w:cs="Arial"/>
          <w:color w:val="000000"/>
          <w:szCs w:val="20"/>
        </w:rPr>
        <w:t xml:space="preserve"> were</w:t>
      </w:r>
      <w:r w:rsidRPr="008366B0">
        <w:rPr>
          <w:rFonts w:cs="Arial"/>
          <w:color w:val="000000"/>
          <w:szCs w:val="20"/>
        </w:rPr>
        <w:t xml:space="preserve"> harmonised to a single set of national charges for issuing licences.</w:t>
      </w:r>
    </w:p>
    <w:p w14:paraId="0F2AA13B" w14:textId="327DD1A3" w:rsidR="00BF6DA5" w:rsidRDefault="00F87BC1" w:rsidP="00AB5D3B">
      <w:pPr>
        <w:spacing w:before="120" w:line="276" w:lineRule="auto"/>
        <w:rPr>
          <w:rFonts w:cs="Arial"/>
          <w:color w:val="000000"/>
          <w:szCs w:val="20"/>
        </w:rPr>
      </w:pPr>
      <w:r>
        <w:rPr>
          <w:rFonts w:cs="Arial"/>
          <w:color w:val="000000"/>
          <w:szCs w:val="20"/>
        </w:rPr>
        <w:t xml:space="preserve">Licensing of private sector operators as servicing licensees and public weighbridge licensees </w:t>
      </w:r>
      <w:r w:rsidR="00BF6DA5">
        <w:rPr>
          <w:rFonts w:cs="Arial"/>
          <w:color w:val="000000"/>
          <w:szCs w:val="20"/>
        </w:rPr>
        <w:t>by NMI is a regulatory activity</w:t>
      </w:r>
      <w:r w:rsidR="00A7366B">
        <w:rPr>
          <w:rFonts w:cs="Arial"/>
          <w:color w:val="000000"/>
          <w:szCs w:val="20"/>
        </w:rPr>
        <w:t xml:space="preserve"> and </w:t>
      </w:r>
      <w:r w:rsidR="00250C19">
        <w:rPr>
          <w:rFonts w:cs="Arial"/>
          <w:color w:val="000000"/>
          <w:szCs w:val="20"/>
        </w:rPr>
        <w:t>was</w:t>
      </w:r>
      <w:r w:rsidR="00977687">
        <w:rPr>
          <w:rFonts w:cs="Arial"/>
          <w:color w:val="000000"/>
          <w:szCs w:val="20"/>
        </w:rPr>
        <w:t xml:space="preserve"> partially cost recovered for the </w:t>
      </w:r>
      <w:r w:rsidR="00A7366B">
        <w:rPr>
          <w:rFonts w:cs="Arial"/>
          <w:color w:val="000000"/>
          <w:szCs w:val="20"/>
        </w:rPr>
        <w:t xml:space="preserve">2018-19 </w:t>
      </w:r>
      <w:r w:rsidR="00977687">
        <w:rPr>
          <w:rFonts w:cs="Arial"/>
          <w:color w:val="000000"/>
          <w:szCs w:val="20"/>
        </w:rPr>
        <w:t xml:space="preserve">financial year </w:t>
      </w:r>
      <w:r w:rsidR="00A7366B">
        <w:rPr>
          <w:rFonts w:cs="Arial"/>
          <w:color w:val="000000"/>
          <w:szCs w:val="20"/>
        </w:rPr>
        <w:t xml:space="preserve">with </w:t>
      </w:r>
      <w:r w:rsidR="00250C19">
        <w:rPr>
          <w:rFonts w:cs="Arial"/>
          <w:color w:val="000000"/>
          <w:szCs w:val="20"/>
        </w:rPr>
        <w:t xml:space="preserve">fees </w:t>
      </w:r>
      <w:r w:rsidR="00A7366B">
        <w:rPr>
          <w:rFonts w:cs="Arial"/>
          <w:color w:val="000000"/>
          <w:szCs w:val="20"/>
        </w:rPr>
        <w:t>similar to previous year</w:t>
      </w:r>
      <w:r w:rsidR="00250C19">
        <w:rPr>
          <w:rFonts w:cs="Arial"/>
          <w:color w:val="000000"/>
          <w:szCs w:val="20"/>
        </w:rPr>
        <w:t>s</w:t>
      </w:r>
      <w:r w:rsidR="00A7366B">
        <w:rPr>
          <w:rFonts w:cs="Arial"/>
          <w:color w:val="000000"/>
          <w:szCs w:val="20"/>
        </w:rPr>
        <w:t xml:space="preserve">. </w:t>
      </w:r>
      <w:r w:rsidR="008C66B9">
        <w:rPr>
          <w:rFonts w:cs="Arial"/>
          <w:color w:val="000000"/>
          <w:szCs w:val="20"/>
        </w:rPr>
        <w:t xml:space="preserve">On </w:t>
      </w:r>
      <w:r w:rsidR="00A7366B">
        <w:rPr>
          <w:rFonts w:cs="Arial"/>
          <w:color w:val="000000"/>
          <w:szCs w:val="20"/>
        </w:rPr>
        <w:t xml:space="preserve">1 July 2019 there </w:t>
      </w:r>
      <w:r w:rsidR="008F6738">
        <w:rPr>
          <w:rFonts w:cs="Arial"/>
          <w:color w:val="000000"/>
          <w:szCs w:val="20"/>
        </w:rPr>
        <w:t xml:space="preserve">was </w:t>
      </w:r>
      <w:r w:rsidR="00A7366B">
        <w:rPr>
          <w:rFonts w:cs="Arial"/>
          <w:color w:val="000000"/>
          <w:szCs w:val="20"/>
        </w:rPr>
        <w:t xml:space="preserve">a </w:t>
      </w:r>
      <w:r w:rsidR="00C7360A">
        <w:rPr>
          <w:rFonts w:cs="Arial"/>
          <w:color w:val="000000"/>
          <w:szCs w:val="20"/>
        </w:rPr>
        <w:t xml:space="preserve">single </w:t>
      </w:r>
      <w:r w:rsidR="004F2D75">
        <w:rPr>
          <w:rFonts w:cs="Arial"/>
          <w:color w:val="000000"/>
          <w:szCs w:val="20"/>
        </w:rPr>
        <w:t xml:space="preserve">fee increase </w:t>
      </w:r>
      <w:r w:rsidR="00883263">
        <w:rPr>
          <w:rFonts w:cs="Arial"/>
          <w:color w:val="000000"/>
          <w:szCs w:val="20"/>
        </w:rPr>
        <w:t xml:space="preserve">for public weighbridge licences and </w:t>
      </w:r>
      <w:r w:rsidR="00883263" w:rsidRPr="00883263">
        <w:rPr>
          <w:rFonts w:cs="Arial"/>
          <w:color w:val="000000"/>
          <w:szCs w:val="20"/>
        </w:rPr>
        <w:t xml:space="preserve">staged fee increases over a period of four years </w:t>
      </w:r>
      <w:r w:rsidR="00883263">
        <w:rPr>
          <w:rFonts w:cs="Arial"/>
          <w:color w:val="000000"/>
          <w:szCs w:val="20"/>
        </w:rPr>
        <w:t xml:space="preserve">for servicing licences </w:t>
      </w:r>
      <w:r w:rsidR="00A7366B">
        <w:rPr>
          <w:rFonts w:cs="Arial"/>
          <w:color w:val="000000"/>
          <w:szCs w:val="20"/>
        </w:rPr>
        <w:t xml:space="preserve">to </w:t>
      </w:r>
      <w:r w:rsidR="00DA2214">
        <w:rPr>
          <w:rFonts w:cs="Arial"/>
          <w:color w:val="000000"/>
          <w:szCs w:val="20"/>
        </w:rPr>
        <w:t xml:space="preserve">recover </w:t>
      </w:r>
      <w:r w:rsidR="00A7366B">
        <w:rPr>
          <w:rFonts w:cs="Arial"/>
          <w:color w:val="000000"/>
          <w:szCs w:val="20"/>
        </w:rPr>
        <w:t>100 per cent of the associated costs.</w:t>
      </w:r>
    </w:p>
    <w:p w14:paraId="7178158B" w14:textId="77777777" w:rsidR="00F21BAB" w:rsidRDefault="00F21BAB" w:rsidP="006C1DCD">
      <w:pPr>
        <w:pStyle w:val="Heading3"/>
        <w:spacing w:line="276" w:lineRule="auto"/>
        <w:ind w:left="340" w:hanging="340"/>
        <w:rPr>
          <w:sz w:val="22"/>
          <w:szCs w:val="22"/>
        </w:rPr>
      </w:pPr>
      <w:bookmarkStart w:id="30" w:name="_Toc526785183"/>
      <w:bookmarkStart w:id="31" w:name="_Toc526785232"/>
      <w:bookmarkStart w:id="32" w:name="_Toc526785298"/>
      <w:bookmarkStart w:id="33" w:name="_Toc526785347"/>
      <w:bookmarkStart w:id="34" w:name="_Toc526785398"/>
      <w:bookmarkStart w:id="35" w:name="_Toc516468781"/>
      <w:bookmarkStart w:id="36" w:name="_Toc85106076"/>
      <w:bookmarkEnd w:id="30"/>
      <w:bookmarkEnd w:id="31"/>
      <w:bookmarkEnd w:id="32"/>
      <w:bookmarkEnd w:id="33"/>
      <w:bookmarkEnd w:id="34"/>
      <w:r w:rsidRPr="006C1DCD">
        <w:rPr>
          <w:sz w:val="22"/>
          <w:szCs w:val="22"/>
        </w:rPr>
        <w:lastRenderedPageBreak/>
        <w:t>Appointments</w:t>
      </w:r>
      <w:bookmarkEnd w:id="35"/>
      <w:bookmarkEnd w:id="36"/>
    </w:p>
    <w:p w14:paraId="26DF6FC8" w14:textId="0ED3EE63" w:rsidR="00A7366B" w:rsidRDefault="00F87BC1" w:rsidP="005A229D">
      <w:pPr>
        <w:spacing w:before="120" w:line="276" w:lineRule="auto"/>
      </w:pPr>
      <w:r>
        <w:t xml:space="preserve">Appointment </w:t>
      </w:r>
      <w:r w:rsidRPr="00F87BC1">
        <w:t xml:space="preserve">of private sector operators as </w:t>
      </w:r>
      <w:r>
        <w:t>legal metrology authorities</w:t>
      </w:r>
      <w:r w:rsidRPr="00F87BC1">
        <w:t xml:space="preserve"> </w:t>
      </w:r>
      <w:r w:rsidR="00DE02AA">
        <w:t>by NMI is a regulatory activity</w:t>
      </w:r>
      <w:r w:rsidR="00A7366B">
        <w:t xml:space="preserve"> and </w:t>
      </w:r>
      <w:r w:rsidR="00250C19">
        <w:t>was</w:t>
      </w:r>
      <w:r w:rsidR="00A7366B">
        <w:t xml:space="preserve"> </w:t>
      </w:r>
      <w:r w:rsidR="00977687">
        <w:t xml:space="preserve">partially cost recovered for the </w:t>
      </w:r>
      <w:r w:rsidR="00A7366B">
        <w:t>2018</w:t>
      </w:r>
      <w:r w:rsidR="00896E40">
        <w:t>–</w:t>
      </w:r>
      <w:r w:rsidR="00A7366B">
        <w:t xml:space="preserve">19 </w:t>
      </w:r>
      <w:r w:rsidR="00977687">
        <w:t>financial year</w:t>
      </w:r>
      <w:r w:rsidR="00A7366B">
        <w:t xml:space="preserve">. </w:t>
      </w:r>
      <w:r w:rsidR="008C66B9">
        <w:t>S</w:t>
      </w:r>
      <w:r w:rsidR="00A7366B" w:rsidRPr="00A7366B">
        <w:t xml:space="preserve">taged fee increases over a period of </w:t>
      </w:r>
      <w:r w:rsidR="00B42981" w:rsidRPr="00A7366B">
        <w:t>four years</w:t>
      </w:r>
      <w:r w:rsidR="00A7366B" w:rsidRPr="00A7366B">
        <w:t xml:space="preserve"> to </w:t>
      </w:r>
      <w:r w:rsidR="00DA2214">
        <w:t>recover</w:t>
      </w:r>
      <w:r w:rsidR="00DA2214" w:rsidRPr="00A7366B">
        <w:t xml:space="preserve"> </w:t>
      </w:r>
      <w:r w:rsidR="00A7366B">
        <w:t>100</w:t>
      </w:r>
      <w:r w:rsidR="00A7366B" w:rsidRPr="00A7366B">
        <w:t xml:space="preserve"> per cent of the associated costs</w:t>
      </w:r>
      <w:r w:rsidR="008C66B9">
        <w:t>, came in to effect 1 July 2019.</w:t>
      </w:r>
    </w:p>
    <w:p w14:paraId="64D00FEA" w14:textId="77777777" w:rsidR="00913E35" w:rsidRPr="006C1DCD" w:rsidRDefault="00913E35" w:rsidP="00AB5D3B">
      <w:pPr>
        <w:pStyle w:val="Heading2"/>
        <w:spacing w:line="276" w:lineRule="auto"/>
        <w:rPr>
          <w:rFonts w:eastAsia="MS PGothic"/>
          <w:sz w:val="24"/>
          <w:szCs w:val="24"/>
        </w:rPr>
      </w:pPr>
      <w:bookmarkStart w:id="37" w:name="_Toc526785185"/>
      <w:bookmarkStart w:id="38" w:name="_Toc526785234"/>
      <w:bookmarkStart w:id="39" w:name="_Toc526785300"/>
      <w:bookmarkStart w:id="40" w:name="_Toc526785349"/>
      <w:bookmarkStart w:id="41" w:name="_Toc526785400"/>
      <w:bookmarkStart w:id="42" w:name="_Toc516468782"/>
      <w:bookmarkStart w:id="43" w:name="_Toc85106077"/>
      <w:bookmarkEnd w:id="37"/>
      <w:bookmarkEnd w:id="38"/>
      <w:bookmarkEnd w:id="39"/>
      <w:bookmarkEnd w:id="40"/>
      <w:bookmarkEnd w:id="41"/>
      <w:r w:rsidRPr="006C1DCD">
        <w:rPr>
          <w:rFonts w:eastAsia="MS PGothic"/>
          <w:sz w:val="24"/>
          <w:szCs w:val="24"/>
        </w:rPr>
        <w:t>Statutory authority to charge</w:t>
      </w:r>
      <w:bookmarkEnd w:id="42"/>
      <w:bookmarkEnd w:id="43"/>
    </w:p>
    <w:p w14:paraId="1CFF700F" w14:textId="77777777" w:rsidR="00B43193" w:rsidRDefault="00B86A84" w:rsidP="00AB5D3B">
      <w:pPr>
        <w:spacing w:before="120" w:line="276" w:lineRule="auto"/>
        <w:rPr>
          <w:rFonts w:cs="Arial"/>
          <w:color w:val="000000"/>
          <w:szCs w:val="20"/>
        </w:rPr>
      </w:pPr>
      <w:r w:rsidRPr="008366B0">
        <w:rPr>
          <w:rFonts w:cs="Arial"/>
          <w:color w:val="000000"/>
          <w:szCs w:val="20"/>
        </w:rPr>
        <w:t>Subsection</w:t>
      </w:r>
      <w:r w:rsidR="00BB1069">
        <w:rPr>
          <w:rFonts w:cs="Arial"/>
          <w:color w:val="000000"/>
          <w:szCs w:val="20"/>
        </w:rPr>
        <w:t>s</w:t>
      </w:r>
      <w:r w:rsidRPr="008366B0">
        <w:rPr>
          <w:rFonts w:cs="Arial"/>
          <w:color w:val="000000"/>
          <w:szCs w:val="20"/>
        </w:rPr>
        <w:t xml:space="preserve"> </w:t>
      </w:r>
      <w:r w:rsidR="00BE1B3B" w:rsidRPr="008366B0">
        <w:rPr>
          <w:rFonts w:cs="Arial"/>
          <w:color w:val="000000"/>
          <w:szCs w:val="20"/>
        </w:rPr>
        <w:t>18A (</w:t>
      </w:r>
      <w:r w:rsidRPr="008366B0">
        <w:rPr>
          <w:rFonts w:cs="Arial"/>
          <w:color w:val="000000"/>
          <w:szCs w:val="20"/>
        </w:rPr>
        <w:t xml:space="preserve">3) and </w:t>
      </w:r>
      <w:r w:rsidR="00BE1B3B" w:rsidRPr="008366B0">
        <w:rPr>
          <w:rFonts w:cs="Arial"/>
          <w:color w:val="000000"/>
          <w:szCs w:val="20"/>
        </w:rPr>
        <w:t>19A (</w:t>
      </w:r>
      <w:r w:rsidRPr="008366B0">
        <w:rPr>
          <w:rFonts w:cs="Arial"/>
          <w:color w:val="000000"/>
          <w:szCs w:val="20"/>
        </w:rPr>
        <w:t xml:space="preserve">8) of the Act authorise fees to be charged for activities undertaken by the Chief Metrologist or their delegate. The </w:t>
      </w:r>
      <w:r w:rsidRPr="00F37A25">
        <w:rPr>
          <w:rFonts w:cs="Arial"/>
          <w:color w:val="000000"/>
          <w:szCs w:val="20"/>
        </w:rPr>
        <w:t>National Measurement Regulations 1999</w:t>
      </w:r>
      <w:r w:rsidR="00487D23">
        <w:rPr>
          <w:rFonts w:cs="Arial"/>
          <w:color w:val="000000"/>
          <w:szCs w:val="20"/>
        </w:rPr>
        <w:t xml:space="preserve"> </w:t>
      </w:r>
      <w:r w:rsidRPr="008366B0">
        <w:rPr>
          <w:rFonts w:cs="Arial"/>
          <w:color w:val="000000"/>
          <w:szCs w:val="20"/>
        </w:rPr>
        <w:t xml:space="preserve">prescribe fees for examination and certification of patterns of measuring instruments. The </w:t>
      </w:r>
      <w:r w:rsidR="00E1456C" w:rsidRPr="008F6738">
        <w:rPr>
          <w:rFonts w:cs="Arial"/>
          <w:i/>
          <w:color w:val="000000"/>
          <w:szCs w:val="20"/>
        </w:rPr>
        <w:t xml:space="preserve">National Trade Measurement </w:t>
      </w:r>
      <w:r w:rsidRPr="008F6738">
        <w:rPr>
          <w:rFonts w:cs="Arial"/>
          <w:i/>
          <w:color w:val="000000"/>
          <w:szCs w:val="20"/>
        </w:rPr>
        <w:t xml:space="preserve">Regulations </w:t>
      </w:r>
      <w:r w:rsidR="00E1456C" w:rsidRPr="008F6738">
        <w:rPr>
          <w:rFonts w:cs="Arial"/>
          <w:i/>
          <w:color w:val="000000"/>
          <w:szCs w:val="20"/>
        </w:rPr>
        <w:t>2009</w:t>
      </w:r>
      <w:r w:rsidR="00E1456C" w:rsidRPr="005A229D">
        <w:rPr>
          <w:rFonts w:cs="Arial"/>
          <w:i/>
          <w:color w:val="000000"/>
          <w:szCs w:val="20"/>
        </w:rPr>
        <w:t xml:space="preserve"> </w:t>
      </w:r>
      <w:r w:rsidRPr="006E604F">
        <w:rPr>
          <w:rFonts w:cs="Arial"/>
          <w:color w:val="000000"/>
          <w:szCs w:val="20"/>
        </w:rPr>
        <w:t>prescribe</w:t>
      </w:r>
      <w:r w:rsidRPr="008366B0">
        <w:rPr>
          <w:rFonts w:cs="Arial"/>
          <w:color w:val="000000"/>
          <w:szCs w:val="20"/>
        </w:rPr>
        <w:t xml:space="preserve"> fees for issuing of servicing and public weighbridge licences.</w:t>
      </w:r>
    </w:p>
    <w:p w14:paraId="0E7AA015" w14:textId="78E7336B" w:rsidR="0023246F" w:rsidRPr="0023246F" w:rsidRDefault="0023246F" w:rsidP="00DE02AA">
      <w:pPr>
        <w:pStyle w:val="ListParagraph"/>
        <w:numPr>
          <w:ilvl w:val="0"/>
          <w:numId w:val="18"/>
        </w:numPr>
        <w:spacing w:before="120"/>
        <w:ind w:left="714" w:hanging="357"/>
        <w:contextualSpacing w:val="0"/>
        <w:rPr>
          <w:rFonts w:ascii="Arial" w:hAnsi="Arial" w:cs="Arial"/>
          <w:color w:val="000000"/>
          <w:szCs w:val="20"/>
        </w:rPr>
      </w:pPr>
      <w:r w:rsidRPr="0023246F">
        <w:rPr>
          <w:rFonts w:ascii="Arial" w:hAnsi="Arial" w:cs="Arial"/>
          <w:color w:val="000000"/>
          <w:szCs w:val="20"/>
        </w:rPr>
        <w:t xml:space="preserve">PA fees are set by regulation, with annual indexation </w:t>
      </w:r>
      <w:r w:rsidR="005B1CCA">
        <w:rPr>
          <w:rFonts w:ascii="Arial" w:hAnsi="Arial" w:cs="Arial"/>
          <w:color w:val="000000"/>
          <w:szCs w:val="20"/>
        </w:rPr>
        <w:t>method and increases de</w:t>
      </w:r>
      <w:r w:rsidRPr="0023246F">
        <w:rPr>
          <w:rFonts w:ascii="Arial" w:hAnsi="Arial" w:cs="Arial"/>
          <w:color w:val="000000"/>
          <w:szCs w:val="20"/>
        </w:rPr>
        <w:t xml:space="preserve">tailed </w:t>
      </w:r>
      <w:r w:rsidR="005B1CCA">
        <w:rPr>
          <w:rFonts w:ascii="Arial" w:hAnsi="Arial" w:cs="Arial"/>
          <w:color w:val="000000"/>
          <w:szCs w:val="20"/>
        </w:rPr>
        <w:t xml:space="preserve">regulations 90C and 90D </w:t>
      </w:r>
      <w:r w:rsidRPr="0023246F">
        <w:rPr>
          <w:rFonts w:ascii="Arial" w:hAnsi="Arial" w:cs="Arial"/>
          <w:color w:val="000000"/>
          <w:szCs w:val="20"/>
        </w:rPr>
        <w:t xml:space="preserve">of the </w:t>
      </w:r>
      <w:r w:rsidRPr="008F6738">
        <w:rPr>
          <w:rFonts w:ascii="Arial" w:hAnsi="Arial" w:cs="Arial"/>
          <w:i/>
          <w:color w:val="000000"/>
          <w:szCs w:val="20"/>
        </w:rPr>
        <w:t>National Measurement Regulations 1999</w:t>
      </w:r>
      <w:r w:rsidRPr="0023246F">
        <w:rPr>
          <w:rFonts w:ascii="Arial" w:hAnsi="Arial" w:cs="Arial"/>
          <w:color w:val="000000"/>
          <w:szCs w:val="20"/>
        </w:rPr>
        <w:t>.</w:t>
      </w:r>
    </w:p>
    <w:p w14:paraId="115BF4B0" w14:textId="77777777" w:rsidR="0023246F" w:rsidRPr="0023246F" w:rsidRDefault="0023246F" w:rsidP="00DE02AA">
      <w:pPr>
        <w:pStyle w:val="ListParagraph"/>
        <w:numPr>
          <w:ilvl w:val="0"/>
          <w:numId w:val="18"/>
        </w:numPr>
        <w:spacing w:before="120"/>
        <w:ind w:left="714" w:hanging="357"/>
        <w:contextualSpacing w:val="0"/>
        <w:rPr>
          <w:rFonts w:ascii="Arial" w:hAnsi="Arial" w:cs="Arial"/>
          <w:color w:val="000000"/>
          <w:szCs w:val="20"/>
        </w:rPr>
      </w:pPr>
      <w:r w:rsidRPr="0023246F">
        <w:rPr>
          <w:rFonts w:ascii="Arial" w:hAnsi="Arial" w:cs="Arial"/>
          <w:color w:val="000000"/>
          <w:szCs w:val="20"/>
        </w:rPr>
        <w:t xml:space="preserve">Licensing fees are set by regulation and have not been increased since 2010. The fee structure is set out in Division 2.4 (Servicing Licensees) and Division 3.2 (Public Weighbridge Licensees) of the </w:t>
      </w:r>
      <w:r w:rsidRPr="00F37A25">
        <w:rPr>
          <w:rFonts w:ascii="Arial" w:hAnsi="Arial" w:cs="Arial"/>
          <w:color w:val="000000"/>
          <w:szCs w:val="20"/>
        </w:rPr>
        <w:t>National Trade Measurement Regulations 2009</w:t>
      </w:r>
      <w:r w:rsidRPr="0023246F">
        <w:rPr>
          <w:rFonts w:ascii="Arial" w:hAnsi="Arial" w:cs="Arial"/>
          <w:i/>
          <w:color w:val="000000"/>
          <w:szCs w:val="20"/>
        </w:rPr>
        <w:t>.</w:t>
      </w:r>
      <w:r w:rsidRPr="0023246F">
        <w:rPr>
          <w:rFonts w:ascii="Arial" w:hAnsi="Arial" w:cs="Arial"/>
          <w:color w:val="000000"/>
          <w:szCs w:val="20"/>
        </w:rPr>
        <w:t xml:space="preserve"> </w:t>
      </w:r>
    </w:p>
    <w:p w14:paraId="0FC6BA1D" w14:textId="77777777" w:rsidR="0023246F" w:rsidRDefault="0023246F" w:rsidP="00DE02AA">
      <w:pPr>
        <w:pStyle w:val="ListParagraph"/>
        <w:numPr>
          <w:ilvl w:val="0"/>
          <w:numId w:val="18"/>
        </w:numPr>
        <w:spacing w:before="120"/>
        <w:rPr>
          <w:rFonts w:ascii="Arial" w:hAnsi="Arial" w:cs="Arial"/>
          <w:color w:val="000000"/>
          <w:szCs w:val="20"/>
        </w:rPr>
      </w:pPr>
      <w:r w:rsidRPr="0023246F">
        <w:rPr>
          <w:rFonts w:ascii="Arial" w:hAnsi="Arial" w:cs="Arial"/>
          <w:color w:val="000000"/>
          <w:szCs w:val="20"/>
        </w:rPr>
        <w:t>Fees for appointmen</w:t>
      </w:r>
      <w:r w:rsidR="009A70F6">
        <w:rPr>
          <w:rFonts w:ascii="Arial" w:hAnsi="Arial" w:cs="Arial"/>
          <w:color w:val="000000"/>
          <w:szCs w:val="20"/>
        </w:rPr>
        <w:t xml:space="preserve">t of legal metrology authorities have not been set in regulations. The NMI fee </w:t>
      </w:r>
      <w:r w:rsidR="00FC74D1">
        <w:rPr>
          <w:rFonts w:ascii="Arial" w:hAnsi="Arial" w:cs="Arial"/>
          <w:color w:val="000000"/>
          <w:szCs w:val="20"/>
        </w:rPr>
        <w:t xml:space="preserve">per application is set administratively. It was previously set at </w:t>
      </w:r>
      <w:r w:rsidR="009A70F6">
        <w:rPr>
          <w:rFonts w:ascii="Arial" w:hAnsi="Arial" w:cs="Arial"/>
          <w:color w:val="000000"/>
          <w:szCs w:val="20"/>
        </w:rPr>
        <w:t xml:space="preserve">$1100 per application </w:t>
      </w:r>
      <w:r w:rsidR="00FC74D1">
        <w:rPr>
          <w:rFonts w:ascii="Arial" w:hAnsi="Arial" w:cs="Arial"/>
          <w:color w:val="000000"/>
          <w:szCs w:val="20"/>
        </w:rPr>
        <w:t>(GST exempt) and the fee increase to achieve full cost recovery will also be set administratively.</w:t>
      </w:r>
    </w:p>
    <w:p w14:paraId="55DEAA86" w14:textId="77777777" w:rsidR="00DE02AA" w:rsidRDefault="00DE02AA" w:rsidP="00DE02AA">
      <w:pPr>
        <w:pStyle w:val="ListParagraph"/>
        <w:spacing w:before="120"/>
        <w:rPr>
          <w:rFonts w:ascii="Arial" w:hAnsi="Arial" w:cs="Arial"/>
          <w:color w:val="000000"/>
          <w:szCs w:val="20"/>
        </w:rPr>
      </w:pPr>
    </w:p>
    <w:p w14:paraId="5A40B52A" w14:textId="77777777" w:rsidR="001929F4" w:rsidRDefault="001929F4">
      <w:pPr>
        <w:spacing w:after="200" w:line="276" w:lineRule="auto"/>
        <w:rPr>
          <w:rFonts w:cs="Arial"/>
          <w:b/>
          <w:iCs/>
          <w:color w:val="000000"/>
          <w:sz w:val="28"/>
          <w:szCs w:val="20"/>
          <w:lang w:val="en-US"/>
        </w:rPr>
      </w:pPr>
      <w:r>
        <w:rPr>
          <w:rFonts w:cs="Arial"/>
          <w:color w:val="000000"/>
          <w:szCs w:val="20"/>
        </w:rPr>
        <w:br w:type="page"/>
      </w:r>
    </w:p>
    <w:p w14:paraId="7F72E7F7" w14:textId="77777777" w:rsidR="008B679D" w:rsidRPr="008366B0" w:rsidRDefault="00B43193" w:rsidP="001929F4">
      <w:pPr>
        <w:pStyle w:val="Heading1"/>
      </w:pPr>
      <w:bookmarkStart w:id="44" w:name="_Toc516468783"/>
      <w:bookmarkStart w:id="45" w:name="_Toc85106078"/>
      <w:r>
        <w:lastRenderedPageBreak/>
        <w:t>C</w:t>
      </w:r>
      <w:r w:rsidR="008B679D" w:rsidRPr="008366B0">
        <w:t>OST RECOVERY MODEL</w:t>
      </w:r>
      <w:bookmarkEnd w:id="44"/>
      <w:bookmarkEnd w:id="45"/>
    </w:p>
    <w:p w14:paraId="7639FB85" w14:textId="77777777" w:rsidR="008B679D" w:rsidRPr="006C1DCD" w:rsidRDefault="00913E35" w:rsidP="00AB5D3B">
      <w:pPr>
        <w:pStyle w:val="Heading2"/>
        <w:spacing w:line="276" w:lineRule="auto"/>
        <w:rPr>
          <w:rFonts w:eastAsia="MS PGothic"/>
          <w:sz w:val="24"/>
          <w:szCs w:val="24"/>
        </w:rPr>
      </w:pPr>
      <w:bookmarkStart w:id="46" w:name="_Toc516468784"/>
      <w:bookmarkStart w:id="47" w:name="_Toc85106079"/>
      <w:r w:rsidRPr="006C1DCD">
        <w:rPr>
          <w:rFonts w:eastAsia="MS PGothic"/>
          <w:sz w:val="24"/>
          <w:szCs w:val="24"/>
        </w:rPr>
        <w:t>Outputs and business processes of the regulatory charging activity</w:t>
      </w:r>
      <w:bookmarkEnd w:id="46"/>
      <w:bookmarkEnd w:id="47"/>
    </w:p>
    <w:p w14:paraId="297302D9" w14:textId="77777777" w:rsidR="00B906F9" w:rsidRPr="006C1DCD" w:rsidRDefault="00B906F9" w:rsidP="006C1DCD">
      <w:pPr>
        <w:pStyle w:val="Heading3"/>
        <w:spacing w:line="276" w:lineRule="auto"/>
        <w:ind w:left="340" w:hanging="340"/>
        <w:rPr>
          <w:sz w:val="22"/>
          <w:szCs w:val="22"/>
        </w:rPr>
      </w:pPr>
      <w:bookmarkStart w:id="48" w:name="_Toc516468785"/>
      <w:bookmarkStart w:id="49" w:name="_Toc85106080"/>
      <w:r w:rsidRPr="006C1DCD">
        <w:rPr>
          <w:sz w:val="22"/>
          <w:szCs w:val="22"/>
        </w:rPr>
        <w:t>Pattern Approval</w:t>
      </w:r>
      <w:bookmarkEnd w:id="48"/>
      <w:bookmarkEnd w:id="49"/>
      <w:r w:rsidRPr="006C1DCD">
        <w:rPr>
          <w:sz w:val="22"/>
          <w:szCs w:val="22"/>
        </w:rPr>
        <w:t xml:space="preserve"> </w:t>
      </w:r>
    </w:p>
    <w:p w14:paraId="3C40F71B" w14:textId="77777777" w:rsidR="00B906F9" w:rsidRPr="00B906F9" w:rsidRDefault="005C2BF4" w:rsidP="00B906F9">
      <w:pPr>
        <w:spacing w:before="120"/>
        <w:rPr>
          <w:rFonts w:cs="Arial"/>
          <w:szCs w:val="20"/>
        </w:rPr>
      </w:pPr>
      <w:r>
        <w:rPr>
          <w:rFonts w:cs="Arial"/>
          <w:szCs w:val="20"/>
        </w:rPr>
        <w:t xml:space="preserve">The </w:t>
      </w:r>
      <w:r w:rsidR="00B906F9" w:rsidRPr="00B906F9">
        <w:rPr>
          <w:rFonts w:cs="Arial"/>
          <w:szCs w:val="20"/>
        </w:rPr>
        <w:t>PA team</w:t>
      </w:r>
      <w:r w:rsidR="00520C77">
        <w:rPr>
          <w:rFonts w:cs="Arial"/>
          <w:szCs w:val="20"/>
        </w:rPr>
        <w:t>’s regulatory functions include</w:t>
      </w:r>
      <w:r>
        <w:rPr>
          <w:rFonts w:cs="Arial"/>
          <w:szCs w:val="20"/>
        </w:rPr>
        <w:t>:</w:t>
      </w:r>
    </w:p>
    <w:p w14:paraId="23548A19" w14:textId="77777777" w:rsidR="00B906F9" w:rsidRPr="00F65B72" w:rsidRDefault="000659FA" w:rsidP="00DE02AA">
      <w:pPr>
        <w:pStyle w:val="ListParagraph"/>
        <w:numPr>
          <w:ilvl w:val="0"/>
          <w:numId w:val="12"/>
        </w:numPr>
        <w:spacing w:before="120" w:after="0"/>
        <w:ind w:left="714" w:hanging="357"/>
        <w:contextualSpacing w:val="0"/>
        <w:rPr>
          <w:rFonts w:ascii="Arial" w:hAnsi="Arial" w:cs="Arial"/>
          <w:szCs w:val="20"/>
        </w:rPr>
      </w:pPr>
      <w:r>
        <w:rPr>
          <w:rFonts w:ascii="Arial" w:hAnsi="Arial" w:cs="Arial"/>
          <w:szCs w:val="20"/>
        </w:rPr>
        <w:t>a</w:t>
      </w:r>
      <w:r w:rsidR="00B906F9" w:rsidRPr="009A1311">
        <w:rPr>
          <w:rFonts w:ascii="Arial" w:hAnsi="Arial" w:cs="Arial"/>
          <w:szCs w:val="20"/>
        </w:rPr>
        <w:t>ssessing documentation and issuing PA certificates (applicable to all measuring instruments submitted for PA purposes)</w:t>
      </w:r>
      <w:r w:rsidR="005C2BF4" w:rsidRPr="009A1311">
        <w:rPr>
          <w:rFonts w:ascii="Arial" w:hAnsi="Arial" w:cs="Arial"/>
          <w:szCs w:val="20"/>
        </w:rPr>
        <w:t xml:space="preserve"> </w:t>
      </w:r>
    </w:p>
    <w:p w14:paraId="7D4298E6" w14:textId="77777777" w:rsidR="000816A5" w:rsidRPr="00F65B72" w:rsidRDefault="000659FA" w:rsidP="00F65B72">
      <w:pPr>
        <w:pStyle w:val="ListParagraph"/>
        <w:numPr>
          <w:ilvl w:val="0"/>
          <w:numId w:val="12"/>
        </w:numPr>
        <w:spacing w:before="120" w:after="0"/>
        <w:ind w:left="714" w:hanging="357"/>
        <w:contextualSpacing w:val="0"/>
        <w:rPr>
          <w:rFonts w:ascii="Arial" w:hAnsi="Arial" w:cs="Arial"/>
          <w:szCs w:val="20"/>
        </w:rPr>
      </w:pPr>
      <w:r>
        <w:rPr>
          <w:rFonts w:ascii="Arial" w:hAnsi="Arial" w:cs="Arial"/>
          <w:szCs w:val="20"/>
        </w:rPr>
        <w:t>l</w:t>
      </w:r>
      <w:r w:rsidR="00B906F9" w:rsidRPr="00F65B72">
        <w:rPr>
          <w:rFonts w:ascii="Arial" w:hAnsi="Arial" w:cs="Arial"/>
          <w:szCs w:val="20"/>
        </w:rPr>
        <w:t>aboratory testing of measuring instruments</w:t>
      </w:r>
      <w:r w:rsidR="005C2BF4" w:rsidRPr="00F65B72">
        <w:rPr>
          <w:rFonts w:ascii="Arial" w:hAnsi="Arial" w:cs="Arial"/>
          <w:szCs w:val="20"/>
        </w:rPr>
        <w:t xml:space="preserve">. </w:t>
      </w:r>
      <w:r w:rsidR="000816A5" w:rsidRPr="00F65B72">
        <w:rPr>
          <w:rFonts w:ascii="Arial" w:hAnsi="Arial" w:cs="Arial"/>
          <w:szCs w:val="20"/>
        </w:rPr>
        <w:t xml:space="preserve"> </w:t>
      </w:r>
    </w:p>
    <w:p w14:paraId="7EF0BC1E" w14:textId="58D4D0A7" w:rsidR="00B906F9" w:rsidRPr="008D6983" w:rsidRDefault="00B906F9" w:rsidP="000B06BE">
      <w:pPr>
        <w:spacing w:before="120" w:line="276" w:lineRule="auto"/>
        <w:rPr>
          <w:rFonts w:cs="Arial"/>
          <w:szCs w:val="20"/>
        </w:rPr>
      </w:pPr>
      <w:r w:rsidRPr="008D6983">
        <w:rPr>
          <w:rFonts w:cs="Arial"/>
          <w:szCs w:val="20"/>
        </w:rPr>
        <w:t xml:space="preserve">In each of the last three years between </w:t>
      </w:r>
      <w:r w:rsidR="00467E66" w:rsidRPr="008D6983">
        <w:rPr>
          <w:rFonts w:cs="Arial"/>
          <w:szCs w:val="20"/>
        </w:rPr>
        <w:t xml:space="preserve">120 </w:t>
      </w:r>
      <w:r w:rsidRPr="008D6983">
        <w:rPr>
          <w:rFonts w:cs="Arial"/>
          <w:szCs w:val="20"/>
        </w:rPr>
        <w:t xml:space="preserve">and </w:t>
      </w:r>
      <w:r w:rsidR="001829CD" w:rsidRPr="008D6983">
        <w:rPr>
          <w:rFonts w:cs="Arial"/>
          <w:szCs w:val="20"/>
        </w:rPr>
        <w:t>180</w:t>
      </w:r>
      <w:r w:rsidRPr="008D6983">
        <w:rPr>
          <w:rFonts w:cs="Arial"/>
          <w:szCs w:val="20"/>
        </w:rPr>
        <w:t xml:space="preserve"> certificates were </w:t>
      </w:r>
      <w:r w:rsidR="005A57B0" w:rsidRPr="008D6983">
        <w:rPr>
          <w:rFonts w:cs="Arial"/>
          <w:szCs w:val="20"/>
        </w:rPr>
        <w:t>issued</w:t>
      </w:r>
      <w:r w:rsidR="00CE024F" w:rsidRPr="008D6983">
        <w:rPr>
          <w:rFonts w:cs="Arial"/>
          <w:szCs w:val="20"/>
        </w:rPr>
        <w:t>,</w:t>
      </w:r>
      <w:r w:rsidR="005A57B0" w:rsidRPr="008D6983">
        <w:rPr>
          <w:rFonts w:cs="Arial"/>
          <w:szCs w:val="20"/>
        </w:rPr>
        <w:t xml:space="preserve"> </w:t>
      </w:r>
      <w:r w:rsidRPr="008D6983">
        <w:rPr>
          <w:rFonts w:cs="Arial"/>
          <w:szCs w:val="20"/>
        </w:rPr>
        <w:t>of which between 60</w:t>
      </w:r>
      <w:r w:rsidR="002072B1" w:rsidRPr="008D6983">
        <w:rPr>
          <w:rFonts w:cs="Arial"/>
          <w:szCs w:val="20"/>
        </w:rPr>
        <w:t>–80 per cent</w:t>
      </w:r>
      <w:r w:rsidRPr="008D6983">
        <w:rPr>
          <w:rFonts w:cs="Arial"/>
          <w:szCs w:val="20"/>
        </w:rPr>
        <w:t xml:space="preserve"> were for product lifecycle modifications </w:t>
      </w:r>
      <w:r w:rsidR="005A57B0" w:rsidRPr="008D6983">
        <w:rPr>
          <w:rFonts w:cs="Arial"/>
          <w:szCs w:val="20"/>
        </w:rPr>
        <w:t xml:space="preserve">or </w:t>
      </w:r>
      <w:r w:rsidRPr="008D6983">
        <w:rPr>
          <w:rFonts w:cs="Arial"/>
          <w:szCs w:val="20"/>
        </w:rPr>
        <w:t>upgrades</w:t>
      </w:r>
      <w:r w:rsidR="00CE024F" w:rsidRPr="008D6983">
        <w:rPr>
          <w:rFonts w:cs="Arial"/>
          <w:szCs w:val="20"/>
        </w:rPr>
        <w:t>,</w:t>
      </w:r>
      <w:r w:rsidRPr="008D6983">
        <w:rPr>
          <w:rFonts w:cs="Arial"/>
          <w:szCs w:val="20"/>
        </w:rPr>
        <w:t xml:space="preserve"> with the remainder for new instruments. </w:t>
      </w:r>
    </w:p>
    <w:p w14:paraId="746DC1CF" w14:textId="60C284D4" w:rsidR="00B906F9" w:rsidRPr="008D6983" w:rsidRDefault="00B906F9" w:rsidP="000B06BE">
      <w:pPr>
        <w:spacing w:before="120" w:line="276" w:lineRule="auto"/>
        <w:rPr>
          <w:rFonts w:cs="Arial"/>
          <w:szCs w:val="20"/>
        </w:rPr>
      </w:pPr>
      <w:r w:rsidRPr="008D6983">
        <w:rPr>
          <w:rFonts w:cs="Arial"/>
          <w:szCs w:val="20"/>
        </w:rPr>
        <w:t xml:space="preserve">Laboratory based testing is only required where measuring instruments are submitted without appropriate test </w:t>
      </w:r>
      <w:r w:rsidR="00DA2214" w:rsidRPr="008D6983">
        <w:rPr>
          <w:rFonts w:cs="Arial"/>
          <w:szCs w:val="20"/>
        </w:rPr>
        <w:t xml:space="preserve">reports </w:t>
      </w:r>
      <w:r w:rsidR="00491BAD" w:rsidRPr="008D6983">
        <w:rPr>
          <w:rFonts w:cs="Arial"/>
          <w:szCs w:val="20"/>
        </w:rPr>
        <w:t>as specified by</w:t>
      </w:r>
      <w:r w:rsidR="002072B1" w:rsidRPr="008D6983">
        <w:rPr>
          <w:rFonts w:cs="Arial"/>
          <w:szCs w:val="20"/>
        </w:rPr>
        <w:t xml:space="preserve"> </w:t>
      </w:r>
      <w:r w:rsidR="00491BAD" w:rsidRPr="008D6983">
        <w:rPr>
          <w:rFonts w:cs="Arial"/>
          <w:szCs w:val="20"/>
        </w:rPr>
        <w:t>NMI</w:t>
      </w:r>
      <w:r w:rsidRPr="008D6983">
        <w:rPr>
          <w:rFonts w:cs="Arial"/>
          <w:szCs w:val="20"/>
        </w:rPr>
        <w:t xml:space="preserve">. </w:t>
      </w:r>
      <w:r w:rsidR="00695E7B" w:rsidRPr="008D6983">
        <w:rPr>
          <w:rFonts w:cs="Arial"/>
          <w:szCs w:val="20"/>
        </w:rPr>
        <w:t xml:space="preserve">NMI recognises test reports from </w:t>
      </w:r>
      <w:r w:rsidR="00DA2214" w:rsidRPr="008D6983">
        <w:rPr>
          <w:rFonts w:cs="Arial"/>
          <w:szCs w:val="20"/>
        </w:rPr>
        <w:t xml:space="preserve">overseas </w:t>
      </w:r>
      <w:r w:rsidR="00695E7B" w:rsidRPr="008D6983">
        <w:rPr>
          <w:rFonts w:cs="Arial"/>
          <w:szCs w:val="20"/>
        </w:rPr>
        <w:t>laboratories issued in accordance with the OIML</w:t>
      </w:r>
      <w:r w:rsidR="00C36F9A" w:rsidRPr="008D6983">
        <w:rPr>
          <w:rFonts w:cs="Arial"/>
          <w:szCs w:val="20"/>
        </w:rPr>
        <w:t xml:space="preserve"> </w:t>
      </w:r>
      <w:r w:rsidR="00AA2FAF" w:rsidRPr="008D6983">
        <w:rPr>
          <w:rFonts w:cs="Arial"/>
          <w:szCs w:val="20"/>
        </w:rPr>
        <w:t>Certification System</w:t>
      </w:r>
      <w:r w:rsidR="00695E7B" w:rsidRPr="008D6983">
        <w:rPr>
          <w:rFonts w:cs="Arial"/>
          <w:szCs w:val="20"/>
        </w:rPr>
        <w:t xml:space="preserve">, and can also accept other test </w:t>
      </w:r>
      <w:r w:rsidR="00DA2214" w:rsidRPr="008D6983">
        <w:rPr>
          <w:rFonts w:cs="Arial"/>
          <w:szCs w:val="20"/>
        </w:rPr>
        <w:t>reports under certain conditions</w:t>
      </w:r>
      <w:r w:rsidR="00695E7B" w:rsidRPr="008D6983">
        <w:rPr>
          <w:rFonts w:cs="Arial"/>
          <w:szCs w:val="20"/>
        </w:rPr>
        <w:t xml:space="preserve">. </w:t>
      </w:r>
    </w:p>
    <w:p w14:paraId="31B1063B" w14:textId="77777777" w:rsidR="00EE4F30" w:rsidRPr="008D6983" w:rsidRDefault="00EE4F30" w:rsidP="006C1DCD">
      <w:pPr>
        <w:pStyle w:val="Heading3"/>
        <w:spacing w:line="276" w:lineRule="auto"/>
        <w:ind w:left="340" w:hanging="340"/>
        <w:rPr>
          <w:sz w:val="22"/>
          <w:szCs w:val="22"/>
        </w:rPr>
      </w:pPr>
      <w:bookmarkStart w:id="50" w:name="_Toc516468786"/>
      <w:bookmarkStart w:id="51" w:name="_Toc85106081"/>
      <w:r w:rsidRPr="008D6983">
        <w:rPr>
          <w:sz w:val="22"/>
          <w:szCs w:val="22"/>
        </w:rPr>
        <w:t>Licensing and Appointments</w:t>
      </w:r>
      <w:bookmarkEnd w:id="50"/>
      <w:bookmarkEnd w:id="51"/>
      <w:r w:rsidRPr="008D6983">
        <w:rPr>
          <w:sz w:val="22"/>
          <w:szCs w:val="22"/>
        </w:rPr>
        <w:t xml:space="preserve"> </w:t>
      </w:r>
    </w:p>
    <w:p w14:paraId="6F48CBCA" w14:textId="75A1C021" w:rsidR="00EE4F30" w:rsidRPr="008366B0" w:rsidRDefault="00EE4F30" w:rsidP="00AB5D3B">
      <w:pPr>
        <w:autoSpaceDE w:val="0"/>
        <w:autoSpaceDN w:val="0"/>
        <w:adjustRightInd w:val="0"/>
        <w:spacing w:before="120" w:line="276" w:lineRule="auto"/>
        <w:rPr>
          <w:rFonts w:eastAsiaTheme="minorHAnsi" w:cs="Arial"/>
          <w:color w:val="000000"/>
          <w:szCs w:val="20"/>
        </w:rPr>
      </w:pPr>
      <w:r w:rsidRPr="008D6983">
        <w:rPr>
          <w:rFonts w:eastAsiaTheme="minorHAnsi" w:cs="Arial"/>
          <w:color w:val="000000"/>
          <w:szCs w:val="20"/>
        </w:rPr>
        <w:t xml:space="preserve">Private sector </w:t>
      </w:r>
      <w:r w:rsidR="006E604F" w:rsidRPr="008D6983">
        <w:rPr>
          <w:rFonts w:eastAsiaTheme="minorHAnsi" w:cs="Arial"/>
          <w:color w:val="000000"/>
          <w:szCs w:val="20"/>
        </w:rPr>
        <w:t xml:space="preserve">organisations </w:t>
      </w:r>
      <w:r w:rsidRPr="008D6983">
        <w:rPr>
          <w:rFonts w:eastAsiaTheme="minorHAnsi" w:cs="Arial"/>
          <w:color w:val="000000"/>
          <w:szCs w:val="20"/>
        </w:rPr>
        <w:t xml:space="preserve">support </w:t>
      </w:r>
      <w:r w:rsidR="00971236" w:rsidRPr="008D6983">
        <w:rPr>
          <w:rFonts w:eastAsiaTheme="minorHAnsi" w:cs="Arial"/>
          <w:color w:val="000000"/>
          <w:szCs w:val="20"/>
        </w:rPr>
        <w:t xml:space="preserve">the </w:t>
      </w:r>
      <w:r w:rsidRPr="008D6983">
        <w:rPr>
          <w:rFonts w:eastAsiaTheme="minorHAnsi" w:cs="Arial"/>
          <w:color w:val="000000"/>
          <w:szCs w:val="20"/>
        </w:rPr>
        <w:t xml:space="preserve">delivery of a robust trade measurement system for Australia. There are more than </w:t>
      </w:r>
      <w:r w:rsidR="00073F11" w:rsidRPr="008D6983">
        <w:rPr>
          <w:rFonts w:eastAsiaTheme="minorHAnsi" w:cs="Arial"/>
          <w:color w:val="000000"/>
          <w:szCs w:val="20"/>
        </w:rPr>
        <w:t xml:space="preserve">550 </w:t>
      </w:r>
      <w:r w:rsidRPr="008D6983">
        <w:rPr>
          <w:rFonts w:eastAsiaTheme="minorHAnsi" w:cs="Arial"/>
          <w:color w:val="000000"/>
          <w:szCs w:val="20"/>
        </w:rPr>
        <w:t xml:space="preserve">licensees and </w:t>
      </w:r>
      <w:r w:rsidR="003960A3" w:rsidRPr="008D6983">
        <w:rPr>
          <w:rFonts w:eastAsiaTheme="minorHAnsi" w:cs="Arial"/>
          <w:color w:val="000000"/>
          <w:szCs w:val="20"/>
        </w:rPr>
        <w:t xml:space="preserve">approximately 70 </w:t>
      </w:r>
      <w:r w:rsidRPr="008D6983">
        <w:rPr>
          <w:rFonts w:eastAsiaTheme="minorHAnsi" w:cs="Arial"/>
          <w:color w:val="000000"/>
          <w:szCs w:val="20"/>
        </w:rPr>
        <w:t xml:space="preserve">legal metrology authorities. Servicing licensees employ around </w:t>
      </w:r>
      <w:r w:rsidR="00073F11" w:rsidRPr="008D6983">
        <w:rPr>
          <w:rFonts w:eastAsiaTheme="minorHAnsi" w:cs="Arial"/>
          <w:color w:val="000000"/>
          <w:szCs w:val="20"/>
        </w:rPr>
        <w:t xml:space="preserve">1400 </w:t>
      </w:r>
      <w:r w:rsidRPr="008D6983">
        <w:rPr>
          <w:rFonts w:eastAsiaTheme="minorHAnsi" w:cs="Arial"/>
          <w:color w:val="000000"/>
          <w:szCs w:val="20"/>
        </w:rPr>
        <w:t>verifiers.</w:t>
      </w:r>
      <w:r w:rsidRPr="008366B0">
        <w:rPr>
          <w:rFonts w:eastAsiaTheme="minorHAnsi" w:cs="Arial"/>
          <w:color w:val="000000"/>
          <w:szCs w:val="20"/>
        </w:rPr>
        <w:t xml:space="preserve"> </w:t>
      </w:r>
    </w:p>
    <w:p w14:paraId="56BEF3BA" w14:textId="77777777" w:rsidR="00EE4F30" w:rsidRPr="008366B0" w:rsidRDefault="00EE4F30" w:rsidP="00AB5D3B">
      <w:pPr>
        <w:autoSpaceDE w:val="0"/>
        <w:autoSpaceDN w:val="0"/>
        <w:adjustRightInd w:val="0"/>
        <w:spacing w:before="120" w:line="276" w:lineRule="auto"/>
        <w:rPr>
          <w:rFonts w:eastAsiaTheme="minorHAnsi" w:cs="Arial"/>
          <w:color w:val="000000"/>
          <w:szCs w:val="20"/>
        </w:rPr>
      </w:pPr>
      <w:r w:rsidRPr="008366B0">
        <w:rPr>
          <w:rFonts w:eastAsiaTheme="minorHAnsi" w:cs="Arial"/>
          <w:color w:val="000000"/>
          <w:szCs w:val="20"/>
        </w:rPr>
        <w:t xml:space="preserve">The business process for these activities includes: </w:t>
      </w:r>
    </w:p>
    <w:p w14:paraId="7698FD69" w14:textId="77777777" w:rsidR="00EE4F30" w:rsidRPr="008366B0" w:rsidRDefault="002072B1" w:rsidP="00646D7B">
      <w:pPr>
        <w:pStyle w:val="ListParagraph"/>
        <w:numPr>
          <w:ilvl w:val="0"/>
          <w:numId w:val="6"/>
        </w:numPr>
        <w:autoSpaceDE w:val="0"/>
        <w:autoSpaceDN w:val="0"/>
        <w:adjustRightInd w:val="0"/>
        <w:spacing w:before="120" w:after="0"/>
        <w:ind w:left="714" w:hanging="357"/>
        <w:contextualSpacing w:val="0"/>
        <w:rPr>
          <w:rFonts w:ascii="Arial" w:hAnsi="Arial" w:cs="Arial"/>
          <w:color w:val="000000"/>
          <w:szCs w:val="20"/>
        </w:rPr>
      </w:pPr>
      <w:r>
        <w:rPr>
          <w:rFonts w:ascii="Arial" w:hAnsi="Arial" w:cs="Arial"/>
          <w:color w:val="000000"/>
          <w:szCs w:val="20"/>
        </w:rPr>
        <w:t>a</w:t>
      </w:r>
      <w:r w:rsidR="00EE4F30" w:rsidRPr="008366B0">
        <w:rPr>
          <w:rFonts w:ascii="Arial" w:hAnsi="Arial" w:cs="Arial"/>
          <w:color w:val="000000"/>
          <w:szCs w:val="20"/>
        </w:rPr>
        <w:t>pplication receipt and processing</w:t>
      </w:r>
      <w:r>
        <w:rPr>
          <w:rFonts w:ascii="Arial" w:hAnsi="Arial" w:cs="Arial"/>
          <w:color w:val="000000"/>
          <w:szCs w:val="20"/>
        </w:rPr>
        <w:t>, including</w:t>
      </w:r>
      <w:r w:rsidR="00EE4F30" w:rsidRPr="008366B0">
        <w:rPr>
          <w:rFonts w:ascii="Arial" w:hAnsi="Arial" w:cs="Arial"/>
          <w:color w:val="000000"/>
          <w:szCs w:val="20"/>
        </w:rPr>
        <w:t xml:space="preserve"> file creation and acknowledgement </w:t>
      </w:r>
    </w:p>
    <w:p w14:paraId="663E92FD" w14:textId="73B56BC1" w:rsidR="00EE4F30" w:rsidRPr="00684B77" w:rsidRDefault="007C1D01" w:rsidP="00646D7B">
      <w:pPr>
        <w:pStyle w:val="ListParagraph"/>
        <w:numPr>
          <w:ilvl w:val="0"/>
          <w:numId w:val="6"/>
        </w:numPr>
        <w:spacing w:before="120" w:after="0"/>
        <w:ind w:left="714" w:hanging="357"/>
        <w:contextualSpacing w:val="0"/>
      </w:pPr>
      <w:r>
        <w:rPr>
          <w:rFonts w:ascii="Arial" w:hAnsi="Arial" w:cs="Arial"/>
          <w:color w:val="000000"/>
          <w:szCs w:val="20"/>
        </w:rPr>
        <w:t>a</w:t>
      </w:r>
      <w:r w:rsidR="00EE4F30" w:rsidRPr="00043131">
        <w:rPr>
          <w:rFonts w:ascii="Arial" w:hAnsi="Arial" w:cs="Arial"/>
          <w:color w:val="000000"/>
          <w:szCs w:val="20"/>
        </w:rPr>
        <w:t>pplication evaluation</w:t>
      </w:r>
      <w:r w:rsidR="002072B1">
        <w:rPr>
          <w:rFonts w:ascii="Arial" w:hAnsi="Arial" w:cs="Arial"/>
          <w:color w:val="000000"/>
          <w:szCs w:val="20"/>
        </w:rPr>
        <w:t>, including</w:t>
      </w:r>
      <w:r w:rsidR="00EE4F30" w:rsidRPr="00043131">
        <w:rPr>
          <w:rFonts w:ascii="Arial" w:hAnsi="Arial" w:cs="Arial"/>
          <w:color w:val="000000"/>
          <w:szCs w:val="20"/>
        </w:rPr>
        <w:t xml:space="preserve"> review</w:t>
      </w:r>
      <w:r w:rsidR="002072B1">
        <w:rPr>
          <w:rFonts w:ascii="Arial" w:hAnsi="Arial" w:cs="Arial"/>
          <w:color w:val="000000"/>
          <w:szCs w:val="20"/>
        </w:rPr>
        <w:t>ing</w:t>
      </w:r>
      <w:r w:rsidR="00EE4F30" w:rsidRPr="00043131">
        <w:rPr>
          <w:rFonts w:ascii="Arial" w:hAnsi="Arial" w:cs="Arial"/>
          <w:color w:val="000000"/>
          <w:szCs w:val="20"/>
        </w:rPr>
        <w:t xml:space="preserve"> the documentation supplied, mak</w:t>
      </w:r>
      <w:r w:rsidR="002072B1">
        <w:rPr>
          <w:rFonts w:ascii="Arial" w:hAnsi="Arial" w:cs="Arial"/>
          <w:color w:val="000000"/>
          <w:szCs w:val="20"/>
        </w:rPr>
        <w:t>ing</w:t>
      </w:r>
      <w:r w:rsidR="00EE4F30" w:rsidRPr="00043131">
        <w:rPr>
          <w:rFonts w:ascii="Arial" w:hAnsi="Arial" w:cs="Arial"/>
          <w:color w:val="000000"/>
          <w:szCs w:val="20"/>
        </w:rPr>
        <w:t xml:space="preserve"> further enquir</w:t>
      </w:r>
      <w:r w:rsidR="002072B1">
        <w:rPr>
          <w:rFonts w:ascii="Arial" w:hAnsi="Arial" w:cs="Arial"/>
          <w:color w:val="000000"/>
          <w:szCs w:val="20"/>
        </w:rPr>
        <w:t>ies</w:t>
      </w:r>
      <w:r w:rsidR="00EE4F30" w:rsidRPr="00043131">
        <w:rPr>
          <w:rFonts w:ascii="Arial" w:hAnsi="Arial" w:cs="Arial"/>
          <w:color w:val="000000"/>
          <w:szCs w:val="20"/>
        </w:rPr>
        <w:t xml:space="preserve"> or seek</w:t>
      </w:r>
      <w:r w:rsidR="002072B1">
        <w:rPr>
          <w:rFonts w:ascii="Arial" w:hAnsi="Arial" w:cs="Arial"/>
          <w:color w:val="000000"/>
          <w:szCs w:val="20"/>
        </w:rPr>
        <w:t>ing</w:t>
      </w:r>
      <w:r w:rsidR="00EE4F30" w:rsidRPr="00043131">
        <w:rPr>
          <w:rFonts w:ascii="Arial" w:hAnsi="Arial" w:cs="Arial"/>
          <w:color w:val="000000"/>
          <w:szCs w:val="20"/>
        </w:rPr>
        <w:t xml:space="preserve"> clarification if necessary,</w:t>
      </w:r>
      <w:r w:rsidR="002072B1">
        <w:rPr>
          <w:rFonts w:ascii="Arial" w:hAnsi="Arial" w:cs="Arial"/>
          <w:color w:val="000000"/>
          <w:szCs w:val="20"/>
        </w:rPr>
        <w:t xml:space="preserve"> and</w:t>
      </w:r>
      <w:r w:rsidR="00EE4F30" w:rsidRPr="00043131">
        <w:rPr>
          <w:rFonts w:ascii="Arial" w:hAnsi="Arial" w:cs="Arial"/>
          <w:color w:val="000000"/>
          <w:szCs w:val="20"/>
        </w:rPr>
        <w:t xml:space="preserve"> determin</w:t>
      </w:r>
      <w:r w:rsidR="002072B1">
        <w:rPr>
          <w:rFonts w:ascii="Arial" w:hAnsi="Arial" w:cs="Arial"/>
          <w:color w:val="000000"/>
          <w:szCs w:val="20"/>
        </w:rPr>
        <w:t>ing</w:t>
      </w:r>
      <w:r w:rsidR="00EE4F30" w:rsidRPr="00043131">
        <w:rPr>
          <w:rFonts w:ascii="Arial" w:hAnsi="Arial" w:cs="Arial"/>
          <w:color w:val="000000"/>
          <w:szCs w:val="20"/>
        </w:rPr>
        <w:t xml:space="preserve"> whether relevant criteria are satisfied</w:t>
      </w:r>
    </w:p>
    <w:p w14:paraId="0999D8D8" w14:textId="77777777" w:rsidR="005A229D" w:rsidRPr="00647364" w:rsidRDefault="002072B1" w:rsidP="00646D7B">
      <w:pPr>
        <w:pStyle w:val="ListParagraph"/>
        <w:numPr>
          <w:ilvl w:val="0"/>
          <w:numId w:val="6"/>
        </w:numPr>
        <w:spacing w:before="120" w:after="0"/>
        <w:ind w:left="714" w:hanging="357"/>
        <w:contextualSpacing w:val="0"/>
        <w:rPr>
          <w:rFonts w:ascii="Arial" w:hAnsi="Arial" w:cs="Arial"/>
        </w:rPr>
      </w:pPr>
      <w:r>
        <w:rPr>
          <w:rFonts w:ascii="Arial" w:hAnsi="Arial" w:cs="Arial"/>
        </w:rPr>
        <w:t>p</w:t>
      </w:r>
      <w:r w:rsidR="005A229D" w:rsidRPr="00647364">
        <w:rPr>
          <w:rFonts w:ascii="Arial" w:hAnsi="Arial" w:cs="Arial"/>
        </w:rPr>
        <w:t>roviding and maintaining information to assist licensees</w:t>
      </w:r>
      <w:r w:rsidR="00647364" w:rsidRPr="00647364">
        <w:rPr>
          <w:rFonts w:ascii="Arial" w:hAnsi="Arial" w:cs="Arial"/>
        </w:rPr>
        <w:t xml:space="preserve"> to</w:t>
      </w:r>
      <w:r w:rsidR="005A229D" w:rsidRPr="00647364">
        <w:rPr>
          <w:rFonts w:ascii="Arial" w:hAnsi="Arial" w:cs="Arial"/>
        </w:rPr>
        <w:t xml:space="preserve"> meet their regulatory obligations</w:t>
      </w:r>
    </w:p>
    <w:p w14:paraId="6E207D47" w14:textId="77777777" w:rsidR="005A229D" w:rsidRPr="00647364" w:rsidRDefault="002072B1" w:rsidP="00646D7B">
      <w:pPr>
        <w:pStyle w:val="ListParagraph"/>
        <w:numPr>
          <w:ilvl w:val="0"/>
          <w:numId w:val="6"/>
        </w:numPr>
        <w:spacing w:before="120" w:after="0"/>
        <w:ind w:left="714" w:hanging="357"/>
        <w:contextualSpacing w:val="0"/>
        <w:rPr>
          <w:rFonts w:ascii="Arial" w:hAnsi="Arial" w:cs="Arial"/>
        </w:rPr>
      </w:pPr>
      <w:r>
        <w:rPr>
          <w:rFonts w:ascii="Arial" w:hAnsi="Arial" w:cs="Arial"/>
        </w:rPr>
        <w:t>p</w:t>
      </w:r>
      <w:r w:rsidR="005A229D" w:rsidRPr="00647364">
        <w:rPr>
          <w:rFonts w:ascii="Arial" w:hAnsi="Arial" w:cs="Arial"/>
        </w:rPr>
        <w:t>rovid</w:t>
      </w:r>
      <w:r w:rsidR="00647364" w:rsidRPr="00647364">
        <w:rPr>
          <w:rFonts w:ascii="Arial" w:hAnsi="Arial" w:cs="Arial"/>
        </w:rPr>
        <w:t>ing</w:t>
      </w:r>
      <w:r w:rsidR="005A229D" w:rsidRPr="00647364">
        <w:rPr>
          <w:rFonts w:ascii="Arial" w:hAnsi="Arial" w:cs="Arial"/>
        </w:rPr>
        <w:t xml:space="preserve"> a point of contact to support licensees (licensees mail box</w:t>
      </w:r>
      <w:r w:rsidR="00647364" w:rsidRPr="00647364">
        <w:rPr>
          <w:rFonts w:ascii="Arial" w:hAnsi="Arial" w:cs="Arial"/>
        </w:rPr>
        <w:t xml:space="preserve"> and hotline</w:t>
      </w:r>
      <w:r w:rsidR="005A229D" w:rsidRPr="00647364">
        <w:rPr>
          <w:rFonts w:ascii="Arial" w:hAnsi="Arial" w:cs="Arial"/>
        </w:rPr>
        <w:t>)</w:t>
      </w:r>
      <w:r w:rsidR="008C7174" w:rsidRPr="00647364">
        <w:rPr>
          <w:rFonts w:ascii="Arial" w:hAnsi="Arial" w:cs="Arial"/>
        </w:rPr>
        <w:t xml:space="preserve"> and </w:t>
      </w:r>
      <w:r w:rsidR="005A229D" w:rsidRPr="00647364">
        <w:rPr>
          <w:rFonts w:ascii="Arial" w:hAnsi="Arial" w:cs="Arial"/>
        </w:rPr>
        <w:t>respond</w:t>
      </w:r>
      <w:r w:rsidR="00647364" w:rsidRPr="00647364">
        <w:rPr>
          <w:rFonts w:ascii="Arial" w:hAnsi="Arial" w:cs="Arial"/>
        </w:rPr>
        <w:t>ing</w:t>
      </w:r>
      <w:r w:rsidR="005A229D" w:rsidRPr="00647364">
        <w:rPr>
          <w:rFonts w:ascii="Arial" w:hAnsi="Arial" w:cs="Arial"/>
        </w:rPr>
        <w:t xml:space="preserve"> to enquiries relating to licensing conditions</w:t>
      </w:r>
      <w:r w:rsidR="00647364" w:rsidRPr="00647364">
        <w:rPr>
          <w:rFonts w:ascii="Arial" w:hAnsi="Arial" w:cs="Arial"/>
        </w:rPr>
        <w:t>, verification procedures and requirements</w:t>
      </w:r>
    </w:p>
    <w:p w14:paraId="6F731070" w14:textId="77777777" w:rsidR="005A229D" w:rsidRPr="00647364" w:rsidRDefault="002072B1" w:rsidP="00646D7B">
      <w:pPr>
        <w:pStyle w:val="ListParagraph"/>
        <w:numPr>
          <w:ilvl w:val="0"/>
          <w:numId w:val="6"/>
        </w:numPr>
        <w:spacing w:before="120" w:after="0"/>
        <w:ind w:left="714" w:hanging="357"/>
        <w:contextualSpacing w:val="0"/>
        <w:rPr>
          <w:rFonts w:ascii="Arial" w:hAnsi="Arial" w:cs="Arial"/>
        </w:rPr>
      </w:pPr>
      <w:r>
        <w:rPr>
          <w:rFonts w:ascii="Arial" w:hAnsi="Arial" w:cs="Arial"/>
        </w:rPr>
        <w:t>m</w:t>
      </w:r>
      <w:r w:rsidR="005A229D" w:rsidRPr="00647364">
        <w:rPr>
          <w:rFonts w:ascii="Arial" w:hAnsi="Arial" w:cs="Arial"/>
        </w:rPr>
        <w:t xml:space="preserve">anaging </w:t>
      </w:r>
      <w:r w:rsidR="00647364" w:rsidRPr="00647364">
        <w:rPr>
          <w:rFonts w:ascii="Arial" w:hAnsi="Arial" w:cs="Arial"/>
        </w:rPr>
        <w:t xml:space="preserve">and processing verification </w:t>
      </w:r>
      <w:r w:rsidR="00647364">
        <w:rPr>
          <w:rFonts w:ascii="Arial" w:hAnsi="Arial" w:cs="Arial"/>
        </w:rPr>
        <w:t xml:space="preserve">notification forms (Form 6 and Form 6A), </w:t>
      </w:r>
      <w:r w:rsidR="005A229D" w:rsidRPr="00647364">
        <w:rPr>
          <w:rFonts w:ascii="Arial" w:hAnsi="Arial" w:cs="Arial"/>
        </w:rPr>
        <w:t xml:space="preserve">test reports and information submitted by the licensees as </w:t>
      </w:r>
      <w:r w:rsidR="00647364">
        <w:rPr>
          <w:rFonts w:ascii="Arial" w:hAnsi="Arial" w:cs="Arial"/>
        </w:rPr>
        <w:t xml:space="preserve">required by legislation and </w:t>
      </w:r>
      <w:r w:rsidR="005A229D" w:rsidRPr="00647364">
        <w:rPr>
          <w:rFonts w:ascii="Arial" w:hAnsi="Arial" w:cs="Arial"/>
        </w:rPr>
        <w:t>licence conditions</w:t>
      </w:r>
    </w:p>
    <w:p w14:paraId="2C4A9E70" w14:textId="77777777" w:rsidR="006B79BE" w:rsidRDefault="006B79BE" w:rsidP="006B79BE">
      <w:pPr>
        <w:spacing w:before="120"/>
      </w:pPr>
      <w:r>
        <w:t>These businesses processes are considered fully regulatory and account for 100</w:t>
      </w:r>
      <w:r w:rsidR="00030753">
        <w:t xml:space="preserve"> per cent </w:t>
      </w:r>
      <w:r>
        <w:t>of the total cost associated with the activities of Licensing and Appointments.</w:t>
      </w:r>
    </w:p>
    <w:p w14:paraId="45ACEB01" w14:textId="77777777" w:rsidR="00913E35" w:rsidRPr="006C1DCD" w:rsidRDefault="00913E35" w:rsidP="00AB5D3B">
      <w:pPr>
        <w:pStyle w:val="Heading2"/>
        <w:spacing w:line="276" w:lineRule="auto"/>
        <w:rPr>
          <w:rFonts w:eastAsia="MS PGothic"/>
          <w:sz w:val="24"/>
          <w:szCs w:val="24"/>
        </w:rPr>
      </w:pPr>
      <w:bookmarkStart w:id="52" w:name="_Toc516468787"/>
      <w:bookmarkStart w:id="53" w:name="_Toc85106082"/>
      <w:r w:rsidRPr="006C1DCD">
        <w:rPr>
          <w:rFonts w:eastAsia="MS PGothic"/>
          <w:sz w:val="24"/>
          <w:szCs w:val="24"/>
        </w:rPr>
        <w:t>Costs of the regulatory charging activity</w:t>
      </w:r>
      <w:bookmarkEnd w:id="52"/>
      <w:bookmarkEnd w:id="53"/>
    </w:p>
    <w:p w14:paraId="15C067AC" w14:textId="77777777" w:rsidR="00D647AB" w:rsidRPr="00D647AB" w:rsidRDefault="00D647AB" w:rsidP="00D647AB">
      <w:pPr>
        <w:spacing w:before="120" w:line="276" w:lineRule="auto"/>
        <w:rPr>
          <w:rFonts w:cs="Arial"/>
          <w:szCs w:val="20"/>
          <w:lang w:val="en"/>
        </w:rPr>
      </w:pPr>
      <w:r w:rsidRPr="00D647AB">
        <w:rPr>
          <w:rFonts w:cs="Arial"/>
          <w:szCs w:val="20"/>
          <w:lang w:val="en"/>
        </w:rPr>
        <w:t>In line with the Charging Framework</w:t>
      </w:r>
      <w:r w:rsidR="00766EDB">
        <w:rPr>
          <w:rFonts w:cs="Arial"/>
          <w:szCs w:val="20"/>
          <w:lang w:val="en"/>
        </w:rPr>
        <w:t>,</w:t>
      </w:r>
      <w:r w:rsidRPr="00D647AB">
        <w:rPr>
          <w:rFonts w:cs="Arial"/>
          <w:szCs w:val="20"/>
          <w:lang w:val="en"/>
        </w:rPr>
        <w:t xml:space="preserve"> costs</w:t>
      </w:r>
      <w:r w:rsidR="006B79BE">
        <w:rPr>
          <w:rFonts w:cs="Arial"/>
          <w:szCs w:val="20"/>
          <w:lang w:val="en"/>
        </w:rPr>
        <w:t xml:space="preserve"> associated with the regulatory charging activities </w:t>
      </w:r>
      <w:r w:rsidRPr="00D647AB">
        <w:rPr>
          <w:rFonts w:cs="Arial"/>
          <w:szCs w:val="20"/>
          <w:lang w:val="en"/>
        </w:rPr>
        <w:t>are categorised into</w:t>
      </w:r>
      <w:r w:rsidR="00DE02AA">
        <w:rPr>
          <w:rFonts w:cs="Arial"/>
          <w:szCs w:val="20"/>
          <w:lang w:val="en"/>
        </w:rPr>
        <w:t xml:space="preserve"> direct costs and indirect costs. Each of these will be reviewed and adjusted annually based on annual estimate of resource needs, operational costs and services rendered. </w:t>
      </w:r>
    </w:p>
    <w:p w14:paraId="1155F0F4" w14:textId="77777777" w:rsidR="006B72D5" w:rsidRDefault="00D647AB" w:rsidP="00D647AB">
      <w:pPr>
        <w:spacing w:before="120" w:line="276" w:lineRule="auto"/>
        <w:rPr>
          <w:rFonts w:cs="Arial"/>
          <w:szCs w:val="20"/>
          <w:lang w:val="en"/>
        </w:rPr>
      </w:pPr>
      <w:r w:rsidRPr="00D647AB">
        <w:rPr>
          <w:rFonts w:cs="Arial"/>
          <w:b/>
          <w:bCs/>
          <w:szCs w:val="20"/>
          <w:lang w:val="en"/>
        </w:rPr>
        <w:t>Direct costs</w:t>
      </w:r>
    </w:p>
    <w:p w14:paraId="29096E59" w14:textId="77777777" w:rsidR="00D647AB" w:rsidRPr="00D647AB" w:rsidRDefault="006B72D5" w:rsidP="00D647AB">
      <w:pPr>
        <w:spacing w:before="120" w:line="276" w:lineRule="auto"/>
        <w:rPr>
          <w:rFonts w:cs="Arial"/>
          <w:szCs w:val="20"/>
          <w:lang w:val="en"/>
        </w:rPr>
      </w:pPr>
      <w:r>
        <w:rPr>
          <w:rFonts w:cs="Arial"/>
          <w:szCs w:val="20"/>
          <w:lang w:val="en"/>
        </w:rPr>
        <w:t xml:space="preserve">Direct costs </w:t>
      </w:r>
      <w:r w:rsidR="00D647AB" w:rsidRPr="00D647AB">
        <w:rPr>
          <w:rFonts w:cs="Arial"/>
          <w:szCs w:val="20"/>
          <w:lang w:val="en"/>
        </w:rPr>
        <w:t>can be easily traced to a cost object with a high degree of accuracy. The allocation of direct costs to a cost object is relatively straightforward. The most common direct costs are staff salaries (including on-costs such as training, superannuation and leave) and supplier costs (e.g. office supplies).</w:t>
      </w:r>
    </w:p>
    <w:p w14:paraId="69DB1E87" w14:textId="77777777" w:rsidR="006B72D5" w:rsidRDefault="00D647AB" w:rsidP="00D647AB">
      <w:pPr>
        <w:spacing w:before="120" w:line="276" w:lineRule="auto"/>
        <w:rPr>
          <w:rFonts w:cs="Arial"/>
          <w:szCs w:val="20"/>
          <w:lang w:val="en"/>
        </w:rPr>
      </w:pPr>
      <w:r w:rsidRPr="00D647AB">
        <w:rPr>
          <w:rFonts w:cs="Arial"/>
          <w:b/>
          <w:bCs/>
          <w:szCs w:val="20"/>
          <w:lang w:val="en"/>
        </w:rPr>
        <w:t>Indirect costs</w:t>
      </w:r>
      <w:r w:rsidRPr="00D647AB">
        <w:rPr>
          <w:rFonts w:cs="Arial"/>
          <w:szCs w:val="20"/>
          <w:lang w:val="en"/>
        </w:rPr>
        <w:t xml:space="preserve"> </w:t>
      </w:r>
    </w:p>
    <w:p w14:paraId="162F04DA" w14:textId="77777777" w:rsidR="00D647AB" w:rsidRDefault="006B72D5" w:rsidP="00D647AB">
      <w:pPr>
        <w:spacing w:before="120" w:line="276" w:lineRule="auto"/>
        <w:rPr>
          <w:rFonts w:cs="Arial"/>
          <w:szCs w:val="20"/>
          <w:lang w:val="en"/>
        </w:rPr>
      </w:pPr>
      <w:r>
        <w:rPr>
          <w:rFonts w:cs="Arial"/>
          <w:szCs w:val="20"/>
          <w:lang w:val="en"/>
        </w:rPr>
        <w:t xml:space="preserve">Indirect costs </w:t>
      </w:r>
      <w:r w:rsidR="00D647AB" w:rsidRPr="00D647AB">
        <w:rPr>
          <w:rFonts w:cs="Arial"/>
          <w:szCs w:val="20"/>
          <w:lang w:val="en"/>
        </w:rPr>
        <w:t>are the costs that cannot be easily linked to a cost object or for which the costs of tracking this outweigh the benefits. Indirect costs are apportioned to a cost object using the internal costing methodology. Common indirect costs include overhead costs such as corporate costs (e.g. finance, human resources, IT</w:t>
      </w:r>
      <w:r w:rsidR="00694B67">
        <w:rPr>
          <w:rFonts w:cs="Arial"/>
          <w:szCs w:val="20"/>
          <w:lang w:val="en"/>
        </w:rPr>
        <w:t xml:space="preserve"> </w:t>
      </w:r>
      <w:r w:rsidR="00694B67">
        <w:rPr>
          <w:rFonts w:cs="Arial"/>
          <w:szCs w:val="20"/>
          <w:lang w:val="en"/>
        </w:rPr>
        <w:lastRenderedPageBreak/>
        <w:t>and</w:t>
      </w:r>
      <w:r w:rsidR="00D647AB" w:rsidRPr="00D647AB">
        <w:rPr>
          <w:rFonts w:cs="Arial"/>
          <w:szCs w:val="20"/>
          <w:lang w:val="en"/>
        </w:rPr>
        <w:t xml:space="preserve"> office accommodation) and salaries of staff in support areas (e.g. regulatory practice and support functions).</w:t>
      </w:r>
    </w:p>
    <w:p w14:paraId="24D9D093" w14:textId="77777777" w:rsidR="00B86A84" w:rsidRPr="008366B0" w:rsidRDefault="00491BAD" w:rsidP="00AB5D3B">
      <w:pPr>
        <w:spacing w:before="120" w:line="276" w:lineRule="auto"/>
        <w:rPr>
          <w:rFonts w:cs="Arial"/>
          <w:szCs w:val="20"/>
        </w:rPr>
      </w:pPr>
      <w:r>
        <w:rPr>
          <w:rFonts w:cs="Arial"/>
          <w:szCs w:val="20"/>
        </w:rPr>
        <w:t xml:space="preserve">NMI’s </w:t>
      </w:r>
      <w:r w:rsidRPr="008366B0">
        <w:rPr>
          <w:rFonts w:cs="Arial"/>
          <w:szCs w:val="20"/>
        </w:rPr>
        <w:t>cost</w:t>
      </w:r>
      <w:r w:rsidR="00B86A84" w:rsidRPr="008366B0">
        <w:rPr>
          <w:rFonts w:cs="Arial"/>
          <w:szCs w:val="20"/>
        </w:rPr>
        <w:t xml:space="preserve"> recovery models incorporate both direct costs and indirect costs which can be assigned or traced specifically to the respective regulatory activities</w:t>
      </w:r>
      <w:r w:rsidR="00694B67">
        <w:rPr>
          <w:rFonts w:cs="Arial"/>
          <w:szCs w:val="20"/>
        </w:rPr>
        <w:t>.</w:t>
      </w:r>
      <w:r w:rsidR="00B86A84" w:rsidRPr="008366B0">
        <w:rPr>
          <w:rFonts w:cs="Arial"/>
          <w:szCs w:val="20"/>
        </w:rPr>
        <w:t xml:space="preserve"> </w:t>
      </w:r>
    </w:p>
    <w:p w14:paraId="532365C7" w14:textId="77777777" w:rsidR="00B86A84" w:rsidRPr="008366B0" w:rsidRDefault="00B86A84" w:rsidP="00AB5D3B">
      <w:pPr>
        <w:spacing w:before="120" w:line="276" w:lineRule="auto"/>
        <w:rPr>
          <w:rFonts w:cs="Arial"/>
          <w:szCs w:val="20"/>
        </w:rPr>
      </w:pPr>
      <w:r w:rsidRPr="008366B0">
        <w:rPr>
          <w:rFonts w:cs="Arial"/>
          <w:szCs w:val="20"/>
        </w:rPr>
        <w:t xml:space="preserve">Direct </w:t>
      </w:r>
      <w:r w:rsidR="00694B67">
        <w:rPr>
          <w:rFonts w:cs="Arial"/>
          <w:szCs w:val="20"/>
        </w:rPr>
        <w:t>c</w:t>
      </w:r>
      <w:r w:rsidRPr="008366B0">
        <w:rPr>
          <w:rFonts w:cs="Arial"/>
          <w:szCs w:val="20"/>
        </w:rPr>
        <w:t>osts</w:t>
      </w:r>
      <w:r w:rsidR="00694B67">
        <w:rPr>
          <w:rFonts w:cs="Arial"/>
          <w:szCs w:val="20"/>
        </w:rPr>
        <w:t xml:space="preserve"> include:</w:t>
      </w:r>
    </w:p>
    <w:p w14:paraId="10045CFC" w14:textId="77777777" w:rsidR="00B86A84" w:rsidRPr="00043131" w:rsidRDefault="00694B67" w:rsidP="00646D7B">
      <w:pPr>
        <w:pStyle w:val="ListParagraph"/>
        <w:widowControl w:val="0"/>
        <w:numPr>
          <w:ilvl w:val="0"/>
          <w:numId w:val="7"/>
        </w:numPr>
        <w:autoSpaceDE w:val="0"/>
        <w:autoSpaceDN w:val="0"/>
        <w:adjustRightInd w:val="0"/>
        <w:spacing w:before="120" w:after="0"/>
        <w:ind w:left="714" w:hanging="357"/>
        <w:contextualSpacing w:val="0"/>
        <w:rPr>
          <w:rFonts w:ascii="Arial" w:hAnsi="Arial" w:cs="Arial"/>
          <w:iCs/>
          <w:szCs w:val="20"/>
        </w:rPr>
      </w:pPr>
      <w:r>
        <w:rPr>
          <w:rFonts w:ascii="Arial" w:hAnsi="Arial" w:cs="Arial"/>
          <w:iCs/>
          <w:szCs w:val="20"/>
        </w:rPr>
        <w:t>e</w:t>
      </w:r>
      <w:r w:rsidR="00B86A84" w:rsidRPr="00043131">
        <w:rPr>
          <w:rFonts w:ascii="Arial" w:hAnsi="Arial" w:cs="Arial"/>
          <w:iCs/>
          <w:szCs w:val="20"/>
        </w:rPr>
        <w:t>mployee costs</w:t>
      </w:r>
    </w:p>
    <w:p w14:paraId="126FF349" w14:textId="77777777" w:rsidR="00B86A84" w:rsidRPr="00043131" w:rsidRDefault="00694B67" w:rsidP="00646D7B">
      <w:pPr>
        <w:pStyle w:val="ListParagraph"/>
        <w:widowControl w:val="0"/>
        <w:numPr>
          <w:ilvl w:val="0"/>
          <w:numId w:val="7"/>
        </w:numPr>
        <w:autoSpaceDE w:val="0"/>
        <w:autoSpaceDN w:val="0"/>
        <w:adjustRightInd w:val="0"/>
        <w:spacing w:before="120" w:after="0"/>
        <w:ind w:left="714" w:hanging="357"/>
        <w:contextualSpacing w:val="0"/>
        <w:rPr>
          <w:rFonts w:ascii="Arial" w:hAnsi="Arial" w:cs="Arial"/>
          <w:iCs/>
          <w:szCs w:val="20"/>
        </w:rPr>
      </w:pPr>
      <w:r>
        <w:rPr>
          <w:rFonts w:ascii="Arial" w:hAnsi="Arial" w:cs="Arial"/>
          <w:iCs/>
          <w:szCs w:val="20"/>
        </w:rPr>
        <w:t>o</w:t>
      </w:r>
      <w:r w:rsidR="00B86A84" w:rsidRPr="00043131">
        <w:rPr>
          <w:rFonts w:ascii="Arial" w:hAnsi="Arial" w:cs="Arial"/>
          <w:iCs/>
          <w:szCs w:val="20"/>
        </w:rPr>
        <w:t>perational costs for providing the service, including laboratory consumables, contractors, repairs and maintenance for laboratory equipment and administrative expenses.</w:t>
      </w:r>
    </w:p>
    <w:p w14:paraId="6BD4F2C9" w14:textId="77777777" w:rsidR="00B86A84" w:rsidRPr="008366B0" w:rsidRDefault="00B86A84" w:rsidP="00AB5D3B">
      <w:pPr>
        <w:widowControl w:val="0"/>
        <w:autoSpaceDE w:val="0"/>
        <w:autoSpaceDN w:val="0"/>
        <w:adjustRightInd w:val="0"/>
        <w:spacing w:before="120" w:line="276" w:lineRule="auto"/>
        <w:rPr>
          <w:rFonts w:cs="Arial"/>
          <w:iCs/>
          <w:szCs w:val="20"/>
        </w:rPr>
      </w:pPr>
      <w:r w:rsidRPr="008366B0">
        <w:rPr>
          <w:rFonts w:cs="Arial"/>
          <w:iCs/>
          <w:szCs w:val="20"/>
        </w:rPr>
        <w:t xml:space="preserve">Indirect </w:t>
      </w:r>
      <w:r w:rsidR="00694B67">
        <w:rPr>
          <w:rFonts w:cs="Arial"/>
          <w:iCs/>
          <w:szCs w:val="20"/>
        </w:rPr>
        <w:t>c</w:t>
      </w:r>
      <w:r w:rsidRPr="008366B0">
        <w:rPr>
          <w:rFonts w:cs="Arial"/>
          <w:iCs/>
          <w:szCs w:val="20"/>
        </w:rPr>
        <w:t>osts</w:t>
      </w:r>
      <w:r w:rsidR="00694B67">
        <w:rPr>
          <w:rFonts w:cs="Arial"/>
          <w:iCs/>
          <w:szCs w:val="20"/>
        </w:rPr>
        <w:t xml:space="preserve"> include:</w:t>
      </w:r>
    </w:p>
    <w:p w14:paraId="6372FCDB" w14:textId="77777777" w:rsidR="00B86A84" w:rsidRPr="00043131" w:rsidRDefault="00694B67" w:rsidP="00646D7B">
      <w:pPr>
        <w:pStyle w:val="ListParagraph"/>
        <w:widowControl w:val="0"/>
        <w:numPr>
          <w:ilvl w:val="0"/>
          <w:numId w:val="8"/>
        </w:numPr>
        <w:autoSpaceDE w:val="0"/>
        <w:autoSpaceDN w:val="0"/>
        <w:adjustRightInd w:val="0"/>
        <w:spacing w:before="120" w:after="0"/>
        <w:ind w:left="714" w:hanging="357"/>
        <w:contextualSpacing w:val="0"/>
        <w:rPr>
          <w:rFonts w:ascii="Arial" w:hAnsi="Arial" w:cs="Arial"/>
          <w:iCs/>
          <w:szCs w:val="20"/>
        </w:rPr>
      </w:pPr>
      <w:r>
        <w:rPr>
          <w:rFonts w:ascii="Arial" w:hAnsi="Arial" w:cs="Arial"/>
          <w:iCs/>
          <w:szCs w:val="20"/>
        </w:rPr>
        <w:t>o</w:t>
      </w:r>
      <w:r w:rsidR="00B86A84" w:rsidRPr="00043131">
        <w:rPr>
          <w:rFonts w:ascii="Arial" w:hAnsi="Arial" w:cs="Arial"/>
          <w:iCs/>
          <w:szCs w:val="20"/>
        </w:rPr>
        <w:t xml:space="preserve">ther costs (such as </w:t>
      </w:r>
      <w:r w:rsidR="00A2544A">
        <w:rPr>
          <w:rFonts w:ascii="Arial" w:hAnsi="Arial" w:cs="Arial"/>
          <w:iCs/>
          <w:szCs w:val="20"/>
        </w:rPr>
        <w:t xml:space="preserve">property and </w:t>
      </w:r>
      <w:r w:rsidR="00B86A84" w:rsidRPr="00043131">
        <w:rPr>
          <w:rFonts w:ascii="Arial" w:hAnsi="Arial" w:cs="Arial"/>
          <w:iCs/>
          <w:szCs w:val="20"/>
        </w:rPr>
        <w:t xml:space="preserve">overhead charges) </w:t>
      </w:r>
    </w:p>
    <w:p w14:paraId="4D5B56DE" w14:textId="77777777" w:rsidR="00B86A84" w:rsidRPr="00043131" w:rsidRDefault="00694B67" w:rsidP="00646D7B">
      <w:pPr>
        <w:pStyle w:val="ListParagraph"/>
        <w:widowControl w:val="0"/>
        <w:numPr>
          <w:ilvl w:val="0"/>
          <w:numId w:val="8"/>
        </w:numPr>
        <w:autoSpaceDE w:val="0"/>
        <w:autoSpaceDN w:val="0"/>
        <w:adjustRightInd w:val="0"/>
        <w:spacing w:before="120" w:after="0"/>
        <w:ind w:left="714" w:hanging="357"/>
        <w:contextualSpacing w:val="0"/>
        <w:rPr>
          <w:rFonts w:ascii="Arial" w:hAnsi="Arial" w:cs="Arial"/>
          <w:iCs/>
          <w:szCs w:val="20"/>
        </w:rPr>
      </w:pPr>
      <w:r>
        <w:rPr>
          <w:rFonts w:ascii="Arial" w:hAnsi="Arial" w:cs="Arial"/>
          <w:iCs/>
          <w:szCs w:val="20"/>
        </w:rPr>
        <w:t>d</w:t>
      </w:r>
      <w:r w:rsidR="00B86A84" w:rsidRPr="00043131">
        <w:rPr>
          <w:rFonts w:ascii="Arial" w:hAnsi="Arial" w:cs="Arial"/>
          <w:iCs/>
          <w:szCs w:val="20"/>
        </w:rPr>
        <w:t>epreciation on assets</w:t>
      </w:r>
      <w:r w:rsidR="00A2544A">
        <w:rPr>
          <w:rFonts w:ascii="Arial" w:hAnsi="Arial" w:cs="Arial"/>
          <w:iCs/>
          <w:szCs w:val="20"/>
        </w:rPr>
        <w:t xml:space="preserve"> used for the activity</w:t>
      </w:r>
      <w:r w:rsidR="00B86A84" w:rsidRPr="00043131">
        <w:rPr>
          <w:rFonts w:ascii="Arial" w:hAnsi="Arial" w:cs="Arial"/>
          <w:iCs/>
          <w:szCs w:val="20"/>
        </w:rPr>
        <w:t>.</w:t>
      </w:r>
    </w:p>
    <w:p w14:paraId="44205F69" w14:textId="32C25047" w:rsidR="00B86A84" w:rsidRDefault="00B86A84" w:rsidP="00AB5D3B">
      <w:pPr>
        <w:spacing w:before="120" w:line="276" w:lineRule="auto"/>
        <w:rPr>
          <w:rFonts w:cs="Arial"/>
          <w:iCs/>
          <w:szCs w:val="20"/>
        </w:rPr>
      </w:pPr>
      <w:r w:rsidRPr="008366B0">
        <w:rPr>
          <w:rFonts w:cs="Arial"/>
          <w:iCs/>
          <w:szCs w:val="20"/>
        </w:rPr>
        <w:t xml:space="preserve">Figure </w:t>
      </w:r>
      <w:r w:rsidR="006C1DCD">
        <w:rPr>
          <w:rFonts w:cs="Arial"/>
          <w:iCs/>
          <w:szCs w:val="20"/>
        </w:rPr>
        <w:t>2</w:t>
      </w:r>
      <w:r w:rsidRPr="008366B0">
        <w:rPr>
          <w:rFonts w:cs="Arial"/>
          <w:iCs/>
          <w:szCs w:val="20"/>
        </w:rPr>
        <w:t xml:space="preserve"> </w:t>
      </w:r>
      <w:r w:rsidR="00DD0CBE" w:rsidRPr="008366B0">
        <w:rPr>
          <w:rFonts w:cs="Arial"/>
          <w:iCs/>
          <w:szCs w:val="20"/>
        </w:rPr>
        <w:t xml:space="preserve">provides </w:t>
      </w:r>
      <w:r w:rsidRPr="008366B0">
        <w:rPr>
          <w:rFonts w:cs="Arial"/>
          <w:iCs/>
          <w:szCs w:val="20"/>
        </w:rPr>
        <w:t>a</w:t>
      </w:r>
      <w:r w:rsidR="00DD0CBE" w:rsidRPr="008366B0">
        <w:rPr>
          <w:rFonts w:cs="Arial"/>
          <w:iCs/>
          <w:szCs w:val="20"/>
        </w:rPr>
        <w:t>n</w:t>
      </w:r>
      <w:r w:rsidRPr="008366B0">
        <w:rPr>
          <w:rFonts w:cs="Arial"/>
          <w:iCs/>
          <w:szCs w:val="20"/>
        </w:rPr>
        <w:t xml:space="preserve"> overview of the methodology used for cost allocation specific to each regulatory activity</w:t>
      </w:r>
      <w:r w:rsidR="007D5FD9">
        <w:rPr>
          <w:rFonts w:cs="Arial"/>
          <w:iCs/>
          <w:szCs w:val="20"/>
        </w:rPr>
        <w:t>.</w:t>
      </w:r>
      <w:r w:rsidR="00C7360A">
        <w:rPr>
          <w:rFonts w:cs="Arial"/>
          <w:iCs/>
          <w:szCs w:val="20"/>
        </w:rPr>
        <w:t xml:space="preserve"> </w:t>
      </w:r>
      <w:r w:rsidR="00DD0CBE" w:rsidRPr="008366B0">
        <w:rPr>
          <w:rFonts w:cs="Arial"/>
          <w:iCs/>
          <w:szCs w:val="20"/>
        </w:rPr>
        <w:t xml:space="preserve">Table </w:t>
      </w:r>
      <w:r w:rsidR="006C1DCD">
        <w:rPr>
          <w:rFonts w:cs="Arial"/>
          <w:iCs/>
          <w:szCs w:val="20"/>
        </w:rPr>
        <w:t>2</w:t>
      </w:r>
      <w:r w:rsidR="00DD0CBE" w:rsidRPr="008366B0">
        <w:rPr>
          <w:rFonts w:cs="Arial"/>
          <w:iCs/>
          <w:szCs w:val="20"/>
        </w:rPr>
        <w:t xml:space="preserve"> provides the direct, indirect and capital costs for the activities for </w:t>
      </w:r>
      <w:r w:rsidR="00A84F03" w:rsidRPr="008366B0">
        <w:rPr>
          <w:rFonts w:cs="Arial"/>
          <w:iCs/>
          <w:szCs w:val="20"/>
        </w:rPr>
        <w:t>20</w:t>
      </w:r>
      <w:r w:rsidR="00A84F03">
        <w:rPr>
          <w:rFonts w:cs="Arial"/>
          <w:iCs/>
          <w:szCs w:val="20"/>
        </w:rPr>
        <w:t>21</w:t>
      </w:r>
      <w:r w:rsidR="00694B67">
        <w:rPr>
          <w:rFonts w:cs="Arial"/>
          <w:iCs/>
          <w:szCs w:val="20"/>
        </w:rPr>
        <w:t>–</w:t>
      </w:r>
      <w:r w:rsidR="00A84F03">
        <w:rPr>
          <w:rFonts w:cs="Arial"/>
          <w:iCs/>
          <w:szCs w:val="20"/>
        </w:rPr>
        <w:t>22</w:t>
      </w:r>
      <w:r w:rsidR="00DD0CBE" w:rsidRPr="008366B0">
        <w:rPr>
          <w:rFonts w:cs="Arial"/>
          <w:iCs/>
          <w:szCs w:val="20"/>
        </w:rPr>
        <w:t>.</w:t>
      </w:r>
      <w:r w:rsidR="00487D23">
        <w:rPr>
          <w:rFonts w:cs="Arial"/>
          <w:iCs/>
          <w:szCs w:val="20"/>
        </w:rPr>
        <w:t xml:space="preserve"> </w:t>
      </w:r>
    </w:p>
    <w:p w14:paraId="28F9140A" w14:textId="77777777" w:rsidR="00B86A84" w:rsidRPr="008366B0" w:rsidRDefault="00B86A84" w:rsidP="00AB5D3B">
      <w:pPr>
        <w:spacing w:before="120" w:line="276" w:lineRule="auto"/>
        <w:rPr>
          <w:rStyle w:val="Figuretitle"/>
          <w:rFonts w:cs="Arial"/>
          <w:color w:val="000000" w:themeColor="text1"/>
          <w:szCs w:val="20"/>
        </w:rPr>
      </w:pPr>
      <w:r w:rsidRPr="008366B0">
        <w:rPr>
          <w:rStyle w:val="Figuretitle"/>
          <w:rFonts w:cs="Arial"/>
          <w:color w:val="000000" w:themeColor="text1"/>
          <w:szCs w:val="20"/>
        </w:rPr>
        <w:t xml:space="preserve">Figure </w:t>
      </w:r>
      <w:r w:rsidR="006C1DCD">
        <w:rPr>
          <w:rStyle w:val="Figuretitle"/>
          <w:rFonts w:cs="Arial"/>
          <w:color w:val="000000" w:themeColor="text1"/>
          <w:szCs w:val="20"/>
        </w:rPr>
        <w:t>2</w:t>
      </w:r>
      <w:r w:rsidRPr="008366B0">
        <w:rPr>
          <w:rStyle w:val="Figuretitle"/>
          <w:rFonts w:cs="Arial"/>
          <w:color w:val="000000" w:themeColor="text1"/>
          <w:szCs w:val="20"/>
        </w:rPr>
        <w:t xml:space="preserve">: </w:t>
      </w:r>
      <w:r w:rsidR="00AB0215">
        <w:rPr>
          <w:rStyle w:val="Figuretitle"/>
          <w:rFonts w:cs="Arial"/>
          <w:color w:val="000000" w:themeColor="text1"/>
          <w:szCs w:val="20"/>
        </w:rPr>
        <w:t>NMI c</w:t>
      </w:r>
      <w:r w:rsidRPr="008366B0">
        <w:rPr>
          <w:rStyle w:val="Figuretitle"/>
          <w:rFonts w:cs="Arial"/>
          <w:color w:val="000000" w:themeColor="text1"/>
          <w:szCs w:val="20"/>
        </w:rPr>
        <w:t>ost allocation methodology</w:t>
      </w:r>
      <w:r w:rsidR="00AB0215">
        <w:rPr>
          <w:rStyle w:val="Figuretitle"/>
          <w:rFonts w:cs="Arial"/>
          <w:color w:val="000000" w:themeColor="text1"/>
          <w:szCs w:val="20"/>
        </w:rPr>
        <w:t xml:space="preserve"> for regulatory activities</w:t>
      </w:r>
    </w:p>
    <w:p w14:paraId="768295C0" w14:textId="77777777" w:rsidR="00B86A84" w:rsidRPr="008366B0" w:rsidRDefault="00B86A84" w:rsidP="00AB5D3B">
      <w:pPr>
        <w:spacing w:before="120" w:line="276" w:lineRule="auto"/>
        <w:rPr>
          <w:rFonts w:cs="Arial"/>
          <w:szCs w:val="20"/>
        </w:rPr>
      </w:pPr>
      <w:r w:rsidRPr="008366B0">
        <w:rPr>
          <w:rFonts w:cs="Arial"/>
          <w:noProof/>
          <w:szCs w:val="20"/>
          <w:lang w:eastAsia="en-AU"/>
        </w:rPr>
        <w:drawing>
          <wp:inline distT="0" distB="0" distL="0" distR="0" wp14:anchorId="7CC8D0DB" wp14:editId="2710880C">
            <wp:extent cx="6029325" cy="3554083"/>
            <wp:effectExtent l="0" t="0" r="0" b="889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AB7E9F4" w14:textId="77777777" w:rsidR="00B94DDB" w:rsidRDefault="00B94DDB" w:rsidP="00EE1E60">
      <w:pPr>
        <w:tabs>
          <w:tab w:val="left" w:pos="5415"/>
        </w:tabs>
        <w:rPr>
          <w:rFonts w:cs="Arial"/>
          <w:szCs w:val="20"/>
        </w:rPr>
      </w:pPr>
    </w:p>
    <w:p w14:paraId="4C96EB37" w14:textId="77777777" w:rsidR="000816A5" w:rsidRDefault="000816A5" w:rsidP="00EE1E60">
      <w:pPr>
        <w:tabs>
          <w:tab w:val="left" w:pos="5415"/>
        </w:tabs>
        <w:rPr>
          <w:rFonts w:cs="Arial"/>
          <w:szCs w:val="20"/>
        </w:rPr>
      </w:pPr>
    </w:p>
    <w:p w14:paraId="54CA71F3" w14:textId="77777777" w:rsidR="000816A5" w:rsidRDefault="000816A5" w:rsidP="00EE1E60">
      <w:pPr>
        <w:tabs>
          <w:tab w:val="left" w:pos="5415"/>
        </w:tabs>
        <w:rPr>
          <w:rFonts w:cs="Arial"/>
          <w:szCs w:val="20"/>
        </w:rPr>
      </w:pPr>
    </w:p>
    <w:p w14:paraId="7582505D" w14:textId="77777777" w:rsidR="000816A5" w:rsidRDefault="000816A5" w:rsidP="00EE1E60">
      <w:pPr>
        <w:tabs>
          <w:tab w:val="left" w:pos="5415"/>
        </w:tabs>
        <w:rPr>
          <w:rFonts w:cs="Arial"/>
          <w:szCs w:val="20"/>
        </w:rPr>
      </w:pPr>
    </w:p>
    <w:p w14:paraId="2351FEDE" w14:textId="77777777" w:rsidR="000816A5" w:rsidRDefault="000816A5" w:rsidP="00EE1E60">
      <w:pPr>
        <w:tabs>
          <w:tab w:val="left" w:pos="5415"/>
        </w:tabs>
        <w:rPr>
          <w:rFonts w:cs="Arial"/>
          <w:szCs w:val="20"/>
        </w:rPr>
      </w:pPr>
    </w:p>
    <w:p w14:paraId="1BAB4086" w14:textId="77777777" w:rsidR="000816A5" w:rsidRDefault="000816A5" w:rsidP="00EE1E60">
      <w:pPr>
        <w:tabs>
          <w:tab w:val="left" w:pos="5415"/>
        </w:tabs>
        <w:rPr>
          <w:rFonts w:cs="Arial"/>
          <w:szCs w:val="20"/>
        </w:rPr>
      </w:pPr>
    </w:p>
    <w:p w14:paraId="13D71F29" w14:textId="77777777" w:rsidR="000816A5" w:rsidRDefault="000816A5" w:rsidP="00EE1E60">
      <w:pPr>
        <w:tabs>
          <w:tab w:val="left" w:pos="5415"/>
        </w:tabs>
        <w:rPr>
          <w:rFonts w:cs="Arial"/>
          <w:szCs w:val="20"/>
        </w:rPr>
      </w:pPr>
    </w:p>
    <w:p w14:paraId="3ED33080" w14:textId="77777777" w:rsidR="00157F78" w:rsidRDefault="00157F78">
      <w:pPr>
        <w:spacing w:after="200" w:line="276" w:lineRule="auto"/>
        <w:rPr>
          <w:rFonts w:cs="Arial"/>
          <w:b/>
          <w:szCs w:val="20"/>
        </w:rPr>
      </w:pPr>
      <w:r>
        <w:rPr>
          <w:rFonts w:cs="Arial"/>
          <w:b/>
          <w:szCs w:val="20"/>
        </w:rPr>
        <w:br w:type="page"/>
      </w:r>
    </w:p>
    <w:p w14:paraId="46F878B7" w14:textId="2ABFC52C" w:rsidR="00B94DDB" w:rsidRDefault="00B94DDB" w:rsidP="00B94DDB">
      <w:pPr>
        <w:tabs>
          <w:tab w:val="left" w:pos="5415"/>
        </w:tabs>
        <w:rPr>
          <w:rFonts w:cs="Arial"/>
          <w:b/>
          <w:szCs w:val="20"/>
        </w:rPr>
      </w:pPr>
      <w:r w:rsidRPr="00B94DDB">
        <w:rPr>
          <w:rFonts w:cs="Arial"/>
          <w:b/>
          <w:szCs w:val="20"/>
        </w:rPr>
        <w:lastRenderedPageBreak/>
        <w:t xml:space="preserve">Table 2: </w:t>
      </w:r>
      <w:r w:rsidR="00AB0215">
        <w:rPr>
          <w:rFonts w:cs="Arial"/>
          <w:b/>
          <w:szCs w:val="20"/>
        </w:rPr>
        <w:t>NMI c</w:t>
      </w:r>
      <w:r w:rsidR="000F34A8" w:rsidRPr="000F34A8">
        <w:rPr>
          <w:rFonts w:cs="Arial"/>
          <w:b/>
          <w:szCs w:val="20"/>
        </w:rPr>
        <w:t>ost estimates</w:t>
      </w:r>
      <w:r w:rsidR="00AB0215">
        <w:rPr>
          <w:rFonts w:cs="Arial"/>
          <w:b/>
          <w:szCs w:val="20"/>
        </w:rPr>
        <w:t xml:space="preserve"> for regulator</w:t>
      </w:r>
      <w:r w:rsidR="00C36F9A">
        <w:rPr>
          <w:rFonts w:cs="Arial"/>
          <w:b/>
          <w:szCs w:val="20"/>
        </w:rPr>
        <w:t>y</w:t>
      </w:r>
      <w:r w:rsidR="00AB0215">
        <w:rPr>
          <w:rFonts w:cs="Arial"/>
          <w:b/>
          <w:szCs w:val="20"/>
        </w:rPr>
        <w:t xml:space="preserve"> activities,</w:t>
      </w:r>
      <w:r w:rsidR="000F34A8" w:rsidRPr="000F34A8">
        <w:rPr>
          <w:rFonts w:cs="Arial"/>
          <w:b/>
          <w:szCs w:val="20"/>
        </w:rPr>
        <w:t xml:space="preserve"> </w:t>
      </w:r>
      <w:r w:rsidR="00A84F03" w:rsidRPr="000F34A8">
        <w:rPr>
          <w:rFonts w:cs="Arial"/>
          <w:b/>
          <w:szCs w:val="20"/>
        </w:rPr>
        <w:t>20</w:t>
      </w:r>
      <w:r w:rsidR="00A84F03">
        <w:rPr>
          <w:rFonts w:cs="Arial"/>
          <w:b/>
          <w:szCs w:val="20"/>
        </w:rPr>
        <w:t>21</w:t>
      </w:r>
      <w:r w:rsidR="00AB0215">
        <w:rPr>
          <w:rFonts w:cs="Arial"/>
          <w:b/>
          <w:szCs w:val="20"/>
        </w:rPr>
        <w:t>–</w:t>
      </w:r>
      <w:r w:rsidR="00A84F03">
        <w:rPr>
          <w:rFonts w:cs="Arial"/>
          <w:b/>
          <w:szCs w:val="20"/>
        </w:rPr>
        <w:t>22</w:t>
      </w:r>
      <w:r w:rsidR="00A84F03" w:rsidRPr="000F34A8">
        <w:rPr>
          <w:rFonts w:cs="Arial"/>
          <w:b/>
          <w:szCs w:val="20"/>
        </w:rPr>
        <w:t xml:space="preserve"> </w:t>
      </w:r>
    </w:p>
    <w:p w14:paraId="453BD2A1" w14:textId="77777777" w:rsidR="000F34A8" w:rsidRPr="00B94DDB" w:rsidRDefault="000F34A8" w:rsidP="00B94DDB">
      <w:pPr>
        <w:tabs>
          <w:tab w:val="left" w:pos="5415"/>
        </w:tabs>
        <w:rPr>
          <w:rFonts w:cs="Arial"/>
          <w:b/>
          <w:szCs w:val="20"/>
        </w:rPr>
      </w:pPr>
    </w:p>
    <w:tbl>
      <w:tblPr>
        <w:tblStyle w:val="TableGrid"/>
        <w:tblW w:w="4945" w:type="pct"/>
        <w:tblLook w:val="04A0" w:firstRow="1" w:lastRow="0" w:firstColumn="1" w:lastColumn="0" w:noHBand="0" w:noVBand="1"/>
      </w:tblPr>
      <w:tblGrid>
        <w:gridCol w:w="2972"/>
        <w:gridCol w:w="2276"/>
        <w:gridCol w:w="2262"/>
        <w:gridCol w:w="2125"/>
      </w:tblGrid>
      <w:tr w:rsidR="00B94DDB" w:rsidRPr="00B94DDB" w14:paraId="5C2CBD88" w14:textId="77777777" w:rsidTr="005A229D">
        <w:trPr>
          <w:trHeight w:val="475"/>
        </w:trPr>
        <w:tc>
          <w:tcPr>
            <w:tcW w:w="1542" w:type="pct"/>
            <w:shd w:val="clear" w:color="auto" w:fill="C00000"/>
          </w:tcPr>
          <w:p w14:paraId="230C55A3" w14:textId="77777777" w:rsidR="00B94DDB" w:rsidRPr="00B94DDB" w:rsidRDefault="00B94DDB" w:rsidP="005A229D">
            <w:pPr>
              <w:tabs>
                <w:tab w:val="left" w:pos="5415"/>
              </w:tabs>
              <w:spacing w:before="120" w:after="120"/>
              <w:rPr>
                <w:rFonts w:cs="Arial"/>
                <w:b/>
                <w:szCs w:val="20"/>
                <w:lang w:eastAsia="en-US"/>
              </w:rPr>
            </w:pPr>
          </w:p>
        </w:tc>
        <w:tc>
          <w:tcPr>
            <w:tcW w:w="1181" w:type="pct"/>
            <w:shd w:val="clear" w:color="auto" w:fill="C00000"/>
          </w:tcPr>
          <w:p w14:paraId="2B3E1E51" w14:textId="77777777" w:rsidR="00B94DDB" w:rsidRDefault="00B94DDB" w:rsidP="00B21A13">
            <w:pPr>
              <w:tabs>
                <w:tab w:val="left" w:pos="5415"/>
              </w:tabs>
              <w:spacing w:before="120" w:after="120"/>
              <w:jc w:val="center"/>
              <w:rPr>
                <w:rFonts w:cs="Arial"/>
                <w:b/>
                <w:szCs w:val="20"/>
                <w:lang w:eastAsia="en-US"/>
              </w:rPr>
            </w:pPr>
            <w:r w:rsidRPr="00B94DDB">
              <w:rPr>
                <w:rFonts w:cs="Arial"/>
                <w:b/>
                <w:szCs w:val="20"/>
                <w:lang w:eastAsia="en-US"/>
              </w:rPr>
              <w:t>Direct costs</w:t>
            </w:r>
          </w:p>
          <w:p w14:paraId="091DC393" w14:textId="77777777" w:rsidR="00F95259" w:rsidRPr="00B94DDB" w:rsidRDefault="00F95259" w:rsidP="00B21A13">
            <w:pPr>
              <w:tabs>
                <w:tab w:val="left" w:pos="5415"/>
              </w:tabs>
              <w:spacing w:before="120" w:after="120"/>
              <w:jc w:val="center"/>
              <w:rPr>
                <w:rFonts w:cs="Arial"/>
                <w:b/>
                <w:szCs w:val="20"/>
                <w:lang w:eastAsia="en-US"/>
              </w:rPr>
            </w:pPr>
            <w:r>
              <w:rPr>
                <w:rFonts w:cs="Arial"/>
                <w:b/>
                <w:szCs w:val="20"/>
                <w:lang w:eastAsia="en-US"/>
              </w:rPr>
              <w:t>$’000s</w:t>
            </w:r>
          </w:p>
        </w:tc>
        <w:tc>
          <w:tcPr>
            <w:tcW w:w="1174" w:type="pct"/>
            <w:shd w:val="clear" w:color="auto" w:fill="C00000"/>
          </w:tcPr>
          <w:p w14:paraId="55E49014" w14:textId="77777777" w:rsidR="00B94DDB" w:rsidRDefault="00B94DDB" w:rsidP="00B21A13">
            <w:pPr>
              <w:tabs>
                <w:tab w:val="left" w:pos="5415"/>
              </w:tabs>
              <w:spacing w:before="120" w:after="120"/>
              <w:jc w:val="center"/>
              <w:rPr>
                <w:rFonts w:cs="Arial"/>
                <w:b/>
                <w:szCs w:val="20"/>
                <w:lang w:eastAsia="en-US"/>
              </w:rPr>
            </w:pPr>
            <w:r w:rsidRPr="00B94DDB">
              <w:rPr>
                <w:rFonts w:cs="Arial"/>
                <w:b/>
                <w:szCs w:val="20"/>
                <w:lang w:eastAsia="en-US"/>
              </w:rPr>
              <w:t>Indirect costs</w:t>
            </w:r>
            <w:r w:rsidR="000F34A8">
              <w:rPr>
                <w:rFonts w:cs="Arial"/>
                <w:b/>
                <w:szCs w:val="20"/>
                <w:lang w:eastAsia="en-US"/>
              </w:rPr>
              <w:t>^</w:t>
            </w:r>
          </w:p>
          <w:p w14:paraId="3C783984" w14:textId="77777777" w:rsidR="00F95259" w:rsidRPr="00B94DDB" w:rsidRDefault="00F95259" w:rsidP="00B21A13">
            <w:pPr>
              <w:tabs>
                <w:tab w:val="left" w:pos="5415"/>
              </w:tabs>
              <w:spacing w:before="120" w:after="120"/>
              <w:jc w:val="center"/>
              <w:rPr>
                <w:rFonts w:cs="Arial"/>
                <w:b/>
                <w:szCs w:val="20"/>
                <w:lang w:eastAsia="en-US"/>
              </w:rPr>
            </w:pPr>
            <w:r>
              <w:rPr>
                <w:rFonts w:cs="Arial"/>
                <w:b/>
                <w:szCs w:val="20"/>
                <w:lang w:eastAsia="en-US"/>
              </w:rPr>
              <w:t>$’000s</w:t>
            </w:r>
          </w:p>
        </w:tc>
        <w:tc>
          <w:tcPr>
            <w:tcW w:w="1103" w:type="pct"/>
            <w:shd w:val="clear" w:color="auto" w:fill="C00000"/>
          </w:tcPr>
          <w:p w14:paraId="6B434628" w14:textId="77777777" w:rsidR="00B94DDB" w:rsidRDefault="00B94DDB" w:rsidP="00B21A13">
            <w:pPr>
              <w:tabs>
                <w:tab w:val="left" w:pos="5415"/>
              </w:tabs>
              <w:spacing w:before="120" w:after="120"/>
              <w:jc w:val="center"/>
              <w:rPr>
                <w:rFonts w:cs="Arial"/>
                <w:b/>
                <w:szCs w:val="20"/>
                <w:lang w:eastAsia="en-US"/>
              </w:rPr>
            </w:pPr>
            <w:r w:rsidRPr="00B94DDB">
              <w:rPr>
                <w:rFonts w:cs="Arial"/>
                <w:b/>
                <w:szCs w:val="20"/>
                <w:lang w:eastAsia="en-US"/>
              </w:rPr>
              <w:t>Capital costs</w:t>
            </w:r>
          </w:p>
          <w:p w14:paraId="0EE75822" w14:textId="77777777" w:rsidR="00F95259" w:rsidRPr="00B94DDB" w:rsidRDefault="00F95259" w:rsidP="00B21A13">
            <w:pPr>
              <w:tabs>
                <w:tab w:val="left" w:pos="5415"/>
              </w:tabs>
              <w:spacing w:before="120" w:after="120"/>
              <w:jc w:val="center"/>
              <w:rPr>
                <w:rFonts w:cs="Arial"/>
                <w:b/>
                <w:szCs w:val="20"/>
                <w:lang w:eastAsia="en-US"/>
              </w:rPr>
            </w:pPr>
            <w:r>
              <w:rPr>
                <w:rFonts w:cs="Arial"/>
                <w:b/>
                <w:szCs w:val="20"/>
                <w:lang w:eastAsia="en-US"/>
              </w:rPr>
              <w:t>$’000s</w:t>
            </w:r>
          </w:p>
        </w:tc>
      </w:tr>
      <w:tr w:rsidR="00C53A8A" w:rsidRPr="00B94DDB" w14:paraId="3F26FC21" w14:textId="77777777" w:rsidTr="00C53A8A">
        <w:trPr>
          <w:trHeight w:val="709"/>
        </w:trPr>
        <w:tc>
          <w:tcPr>
            <w:tcW w:w="1542" w:type="pct"/>
            <w:shd w:val="clear" w:color="auto" w:fill="auto"/>
            <w:vAlign w:val="center"/>
          </w:tcPr>
          <w:p w14:paraId="3B6FF88D" w14:textId="77777777" w:rsidR="00C53A8A" w:rsidRPr="008E063D" w:rsidRDefault="00C53A8A" w:rsidP="00C53A8A">
            <w:pPr>
              <w:tabs>
                <w:tab w:val="left" w:pos="5415"/>
              </w:tabs>
              <w:rPr>
                <w:rFonts w:cs="Arial"/>
                <w:b/>
                <w:szCs w:val="20"/>
                <w:lang w:eastAsia="en-US"/>
              </w:rPr>
            </w:pPr>
            <w:r w:rsidRPr="008E063D">
              <w:rPr>
                <w:rFonts w:cs="Arial"/>
                <w:b/>
                <w:szCs w:val="20"/>
                <w:lang w:eastAsia="en-US"/>
              </w:rPr>
              <w:t>Pattern Approval</w:t>
            </w:r>
          </w:p>
        </w:tc>
        <w:tc>
          <w:tcPr>
            <w:tcW w:w="1181" w:type="pct"/>
            <w:shd w:val="clear" w:color="auto" w:fill="auto"/>
            <w:vAlign w:val="center"/>
          </w:tcPr>
          <w:p w14:paraId="519F1383" w14:textId="4A3B9812" w:rsidR="00C53A8A" w:rsidRPr="005B1CCA" w:rsidRDefault="00C53A8A" w:rsidP="00C53A8A">
            <w:pPr>
              <w:tabs>
                <w:tab w:val="left" w:pos="5415"/>
              </w:tabs>
              <w:jc w:val="center"/>
              <w:rPr>
                <w:rFonts w:cs="Arial"/>
                <w:szCs w:val="20"/>
                <w:highlight w:val="yellow"/>
                <w:lang w:eastAsia="en-US"/>
              </w:rPr>
            </w:pPr>
            <w:r w:rsidRPr="00533FB4">
              <w:t>$791</w:t>
            </w:r>
          </w:p>
        </w:tc>
        <w:tc>
          <w:tcPr>
            <w:tcW w:w="1174" w:type="pct"/>
            <w:shd w:val="clear" w:color="auto" w:fill="auto"/>
            <w:vAlign w:val="center"/>
          </w:tcPr>
          <w:p w14:paraId="5EBC5DB5" w14:textId="6EC50C52" w:rsidR="00C53A8A" w:rsidRPr="005B1CCA" w:rsidRDefault="00C53A8A" w:rsidP="00C53A8A">
            <w:pPr>
              <w:tabs>
                <w:tab w:val="left" w:pos="5415"/>
              </w:tabs>
              <w:jc w:val="center"/>
              <w:rPr>
                <w:rFonts w:cs="Arial"/>
                <w:szCs w:val="20"/>
                <w:highlight w:val="yellow"/>
                <w:lang w:eastAsia="en-US"/>
              </w:rPr>
            </w:pPr>
            <w:r w:rsidRPr="00533FB4">
              <w:t>$719</w:t>
            </w:r>
          </w:p>
        </w:tc>
        <w:tc>
          <w:tcPr>
            <w:tcW w:w="1103" w:type="pct"/>
            <w:shd w:val="clear" w:color="auto" w:fill="auto"/>
            <w:vAlign w:val="center"/>
          </w:tcPr>
          <w:p w14:paraId="7B63CFC7" w14:textId="19E4DD5E" w:rsidR="00C53A8A" w:rsidRPr="005B1CCA" w:rsidRDefault="00C53A8A" w:rsidP="00C53A8A">
            <w:pPr>
              <w:tabs>
                <w:tab w:val="left" w:pos="5415"/>
              </w:tabs>
              <w:jc w:val="center"/>
              <w:rPr>
                <w:rFonts w:cs="Arial"/>
                <w:szCs w:val="20"/>
                <w:highlight w:val="yellow"/>
                <w:lang w:eastAsia="en-US"/>
              </w:rPr>
            </w:pPr>
            <w:r w:rsidRPr="00533FB4">
              <w:t>$0</w:t>
            </w:r>
          </w:p>
        </w:tc>
      </w:tr>
      <w:tr w:rsidR="00C53A8A" w:rsidRPr="00B94DDB" w14:paraId="2B2D32E2" w14:textId="77777777" w:rsidTr="00C53A8A">
        <w:trPr>
          <w:trHeight w:val="691"/>
        </w:trPr>
        <w:tc>
          <w:tcPr>
            <w:tcW w:w="1542" w:type="pct"/>
            <w:shd w:val="clear" w:color="auto" w:fill="auto"/>
            <w:vAlign w:val="center"/>
          </w:tcPr>
          <w:p w14:paraId="55A35B20" w14:textId="77777777" w:rsidR="00C53A8A" w:rsidRPr="008E063D" w:rsidRDefault="00C53A8A" w:rsidP="00C53A8A">
            <w:pPr>
              <w:tabs>
                <w:tab w:val="left" w:pos="5415"/>
              </w:tabs>
              <w:rPr>
                <w:rFonts w:cs="Arial"/>
                <w:b/>
                <w:szCs w:val="20"/>
                <w:lang w:eastAsia="en-US"/>
              </w:rPr>
            </w:pPr>
            <w:r w:rsidRPr="008E063D">
              <w:rPr>
                <w:rFonts w:cs="Arial"/>
                <w:b/>
                <w:szCs w:val="20"/>
                <w:lang w:eastAsia="en-US"/>
              </w:rPr>
              <w:t>Licensing</w:t>
            </w:r>
          </w:p>
        </w:tc>
        <w:tc>
          <w:tcPr>
            <w:tcW w:w="1181" w:type="pct"/>
            <w:shd w:val="clear" w:color="auto" w:fill="auto"/>
            <w:vAlign w:val="center"/>
          </w:tcPr>
          <w:p w14:paraId="76EBABFE" w14:textId="20F4433C" w:rsidR="00C53A8A" w:rsidRPr="005B1CCA" w:rsidRDefault="00C53A8A" w:rsidP="00C53A8A">
            <w:pPr>
              <w:tabs>
                <w:tab w:val="left" w:pos="5415"/>
              </w:tabs>
              <w:jc w:val="center"/>
              <w:rPr>
                <w:rFonts w:cs="Arial"/>
                <w:szCs w:val="20"/>
                <w:highlight w:val="yellow"/>
                <w:lang w:eastAsia="en-US"/>
              </w:rPr>
            </w:pPr>
            <w:r w:rsidRPr="00533FB4">
              <w:t>$527</w:t>
            </w:r>
          </w:p>
        </w:tc>
        <w:tc>
          <w:tcPr>
            <w:tcW w:w="1174" w:type="pct"/>
            <w:shd w:val="clear" w:color="auto" w:fill="auto"/>
            <w:vAlign w:val="center"/>
          </w:tcPr>
          <w:p w14:paraId="4A323984" w14:textId="5C6CF7E0" w:rsidR="00C53A8A" w:rsidRPr="005B1CCA" w:rsidRDefault="00C53A8A" w:rsidP="00C53A8A">
            <w:pPr>
              <w:tabs>
                <w:tab w:val="left" w:pos="5415"/>
              </w:tabs>
              <w:jc w:val="center"/>
              <w:rPr>
                <w:rFonts w:cs="Arial"/>
                <w:szCs w:val="20"/>
                <w:highlight w:val="yellow"/>
                <w:lang w:eastAsia="en-US"/>
              </w:rPr>
            </w:pPr>
            <w:r w:rsidRPr="00533FB4">
              <w:t>$93</w:t>
            </w:r>
          </w:p>
        </w:tc>
        <w:tc>
          <w:tcPr>
            <w:tcW w:w="1103" w:type="pct"/>
            <w:shd w:val="clear" w:color="auto" w:fill="auto"/>
            <w:vAlign w:val="center"/>
          </w:tcPr>
          <w:p w14:paraId="03D55BBE" w14:textId="2F6033C1" w:rsidR="00C53A8A" w:rsidRPr="005B1CCA" w:rsidRDefault="00C53A8A" w:rsidP="00C53A8A">
            <w:pPr>
              <w:tabs>
                <w:tab w:val="left" w:pos="5415"/>
              </w:tabs>
              <w:jc w:val="center"/>
              <w:rPr>
                <w:rFonts w:cs="Arial"/>
                <w:szCs w:val="20"/>
                <w:highlight w:val="yellow"/>
                <w:lang w:eastAsia="en-US"/>
              </w:rPr>
            </w:pPr>
            <w:r w:rsidRPr="00533FB4">
              <w:t>$0</w:t>
            </w:r>
          </w:p>
        </w:tc>
      </w:tr>
      <w:tr w:rsidR="00C53A8A" w:rsidRPr="00B94DDB" w14:paraId="7B11C456" w14:textId="77777777" w:rsidTr="00C53A8A">
        <w:trPr>
          <w:trHeight w:val="559"/>
        </w:trPr>
        <w:tc>
          <w:tcPr>
            <w:tcW w:w="1542" w:type="pct"/>
            <w:tcBorders>
              <w:bottom w:val="single" w:sz="4" w:space="0" w:color="auto"/>
            </w:tcBorders>
            <w:shd w:val="clear" w:color="auto" w:fill="auto"/>
            <w:vAlign w:val="center"/>
          </w:tcPr>
          <w:p w14:paraId="0005DE0C" w14:textId="77777777" w:rsidR="00C53A8A" w:rsidRPr="008E063D" w:rsidRDefault="00C53A8A" w:rsidP="00C53A8A">
            <w:pPr>
              <w:tabs>
                <w:tab w:val="left" w:pos="5415"/>
              </w:tabs>
              <w:rPr>
                <w:rFonts w:cs="Arial"/>
                <w:b/>
                <w:szCs w:val="20"/>
                <w:lang w:eastAsia="en-US"/>
              </w:rPr>
            </w:pPr>
            <w:r w:rsidRPr="008E063D">
              <w:rPr>
                <w:rFonts w:cs="Arial"/>
                <w:b/>
                <w:szCs w:val="20"/>
                <w:lang w:eastAsia="en-US"/>
              </w:rPr>
              <w:t>Appointments</w:t>
            </w:r>
          </w:p>
        </w:tc>
        <w:tc>
          <w:tcPr>
            <w:tcW w:w="1181" w:type="pct"/>
            <w:tcBorders>
              <w:bottom w:val="single" w:sz="4" w:space="0" w:color="auto"/>
            </w:tcBorders>
            <w:shd w:val="clear" w:color="auto" w:fill="auto"/>
            <w:vAlign w:val="center"/>
          </w:tcPr>
          <w:p w14:paraId="7C2432F2" w14:textId="6D19745E" w:rsidR="00C53A8A" w:rsidRPr="005B1CCA" w:rsidRDefault="00C53A8A" w:rsidP="00C53A8A">
            <w:pPr>
              <w:tabs>
                <w:tab w:val="left" w:pos="5415"/>
              </w:tabs>
              <w:jc w:val="center"/>
              <w:rPr>
                <w:rFonts w:cs="Arial"/>
                <w:szCs w:val="20"/>
                <w:highlight w:val="yellow"/>
                <w:lang w:eastAsia="en-US"/>
              </w:rPr>
            </w:pPr>
            <w:r w:rsidRPr="00533FB4">
              <w:t>$59</w:t>
            </w:r>
          </w:p>
        </w:tc>
        <w:tc>
          <w:tcPr>
            <w:tcW w:w="1174" w:type="pct"/>
            <w:tcBorders>
              <w:bottom w:val="single" w:sz="4" w:space="0" w:color="auto"/>
            </w:tcBorders>
            <w:shd w:val="clear" w:color="auto" w:fill="auto"/>
            <w:vAlign w:val="center"/>
          </w:tcPr>
          <w:p w14:paraId="13C35DC9" w14:textId="783467AE" w:rsidR="00C53A8A" w:rsidRPr="005B1CCA" w:rsidRDefault="00C53A8A" w:rsidP="00C53A8A">
            <w:pPr>
              <w:tabs>
                <w:tab w:val="left" w:pos="5415"/>
              </w:tabs>
              <w:jc w:val="center"/>
              <w:rPr>
                <w:rFonts w:cs="Arial"/>
                <w:szCs w:val="20"/>
                <w:highlight w:val="yellow"/>
                <w:lang w:eastAsia="en-US"/>
              </w:rPr>
            </w:pPr>
            <w:r w:rsidRPr="00533FB4">
              <w:t>$10</w:t>
            </w:r>
          </w:p>
        </w:tc>
        <w:tc>
          <w:tcPr>
            <w:tcW w:w="1103" w:type="pct"/>
            <w:tcBorders>
              <w:bottom w:val="single" w:sz="4" w:space="0" w:color="auto"/>
            </w:tcBorders>
            <w:shd w:val="clear" w:color="auto" w:fill="auto"/>
            <w:vAlign w:val="center"/>
          </w:tcPr>
          <w:p w14:paraId="48F1B0A0" w14:textId="30618E0B" w:rsidR="00C53A8A" w:rsidRPr="005B1CCA" w:rsidRDefault="00C53A8A" w:rsidP="00C53A8A">
            <w:pPr>
              <w:tabs>
                <w:tab w:val="left" w:pos="5415"/>
              </w:tabs>
              <w:jc w:val="center"/>
              <w:rPr>
                <w:rFonts w:cs="Arial"/>
                <w:szCs w:val="20"/>
                <w:highlight w:val="yellow"/>
                <w:lang w:eastAsia="en-US"/>
              </w:rPr>
            </w:pPr>
            <w:r w:rsidRPr="00533FB4">
              <w:t>$0</w:t>
            </w:r>
          </w:p>
        </w:tc>
      </w:tr>
      <w:tr w:rsidR="00C53A8A" w:rsidRPr="00C53A8A" w14:paraId="1D2BCD4D" w14:textId="77777777" w:rsidTr="00C53A8A">
        <w:trPr>
          <w:trHeight w:val="553"/>
        </w:trPr>
        <w:tc>
          <w:tcPr>
            <w:tcW w:w="1542" w:type="pct"/>
            <w:tcBorders>
              <w:top w:val="single" w:sz="4" w:space="0" w:color="auto"/>
              <w:bottom w:val="single" w:sz="4" w:space="0" w:color="auto"/>
              <w:right w:val="single" w:sz="4" w:space="0" w:color="auto"/>
            </w:tcBorders>
            <w:shd w:val="clear" w:color="auto" w:fill="auto"/>
            <w:vAlign w:val="center"/>
          </w:tcPr>
          <w:p w14:paraId="73A60BC1" w14:textId="77777777" w:rsidR="00C53A8A" w:rsidRPr="00C53A8A" w:rsidRDefault="00C53A8A" w:rsidP="00C53A8A">
            <w:pPr>
              <w:tabs>
                <w:tab w:val="left" w:pos="5415"/>
              </w:tabs>
              <w:rPr>
                <w:rFonts w:cs="Arial"/>
                <w:b/>
                <w:szCs w:val="20"/>
                <w:lang w:eastAsia="en-US"/>
              </w:rPr>
            </w:pPr>
            <w:r w:rsidRPr="00C53A8A">
              <w:rPr>
                <w:rFonts w:cs="Arial"/>
                <w:b/>
                <w:szCs w:val="20"/>
                <w:lang w:eastAsia="en-US"/>
              </w:rPr>
              <w:t>TOTAL</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41DD656" w14:textId="0B911AB8" w:rsidR="00C53A8A" w:rsidRPr="00C53A8A" w:rsidRDefault="00C53A8A" w:rsidP="00C53A8A">
            <w:pPr>
              <w:tabs>
                <w:tab w:val="left" w:pos="5415"/>
              </w:tabs>
              <w:jc w:val="center"/>
              <w:rPr>
                <w:rFonts w:cs="Arial"/>
                <w:b/>
                <w:szCs w:val="20"/>
                <w:highlight w:val="yellow"/>
                <w:lang w:eastAsia="en-US"/>
              </w:rPr>
            </w:pPr>
            <w:r w:rsidRPr="00C53A8A">
              <w:rPr>
                <w:b/>
              </w:rPr>
              <w:t>$1,377</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47B47862" w14:textId="0DD957FE" w:rsidR="00C53A8A" w:rsidRPr="00C53A8A" w:rsidRDefault="00C53A8A" w:rsidP="00C53A8A">
            <w:pPr>
              <w:tabs>
                <w:tab w:val="left" w:pos="5415"/>
              </w:tabs>
              <w:jc w:val="center"/>
              <w:rPr>
                <w:rFonts w:cs="Arial"/>
                <w:b/>
                <w:szCs w:val="20"/>
                <w:highlight w:val="yellow"/>
                <w:lang w:eastAsia="en-US"/>
              </w:rPr>
            </w:pPr>
            <w:r w:rsidRPr="00C53A8A">
              <w:rPr>
                <w:b/>
              </w:rPr>
              <w:t>$822</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14:paraId="717B2AF4" w14:textId="41F9EE1B" w:rsidR="00C53A8A" w:rsidRPr="00C53A8A" w:rsidRDefault="00C53A8A" w:rsidP="00C53A8A">
            <w:pPr>
              <w:tabs>
                <w:tab w:val="left" w:pos="5415"/>
              </w:tabs>
              <w:jc w:val="center"/>
              <w:rPr>
                <w:rFonts w:cs="Arial"/>
                <w:b/>
                <w:szCs w:val="20"/>
                <w:highlight w:val="yellow"/>
                <w:lang w:eastAsia="en-US"/>
              </w:rPr>
            </w:pPr>
            <w:r w:rsidRPr="00C53A8A">
              <w:rPr>
                <w:b/>
              </w:rPr>
              <w:t>$0</w:t>
            </w:r>
          </w:p>
        </w:tc>
      </w:tr>
    </w:tbl>
    <w:p w14:paraId="346FC3C9" w14:textId="77777777" w:rsidR="00A2544A" w:rsidRPr="00EE1E60" w:rsidRDefault="00EE1E60" w:rsidP="00EE1E60">
      <w:pPr>
        <w:tabs>
          <w:tab w:val="left" w:pos="5415"/>
        </w:tabs>
        <w:rPr>
          <w:rFonts w:cs="Arial"/>
          <w:szCs w:val="20"/>
        </w:rPr>
      </w:pPr>
      <w:r>
        <w:rPr>
          <w:rFonts w:cs="Arial"/>
          <w:szCs w:val="20"/>
        </w:rPr>
        <w:tab/>
      </w:r>
    </w:p>
    <w:p w14:paraId="3EB6D46E" w14:textId="77777777" w:rsidR="000F34A8" w:rsidRPr="000F34A8" w:rsidRDefault="000F34A8" w:rsidP="000F34A8">
      <w:pPr>
        <w:rPr>
          <w:rFonts w:ascii="Calibri" w:hAnsi="Calibri"/>
          <w:color w:val="000000"/>
          <w:sz w:val="22"/>
          <w:szCs w:val="22"/>
          <w:lang w:eastAsia="en-AU"/>
        </w:rPr>
      </w:pPr>
      <w:bookmarkStart w:id="54" w:name="_Toc516468788"/>
      <w:r>
        <w:rPr>
          <w:rFonts w:ascii="Calibri" w:hAnsi="Calibri"/>
          <w:color w:val="000000"/>
          <w:sz w:val="22"/>
          <w:szCs w:val="22"/>
          <w:lang w:eastAsia="en-AU"/>
        </w:rPr>
        <w:t xml:space="preserve">^ </w:t>
      </w:r>
      <w:r w:rsidRPr="000F34A8">
        <w:rPr>
          <w:rFonts w:ascii="Calibri" w:hAnsi="Calibri"/>
          <w:color w:val="000000"/>
          <w:sz w:val="22"/>
          <w:szCs w:val="22"/>
          <w:lang w:eastAsia="en-AU"/>
        </w:rPr>
        <w:t>Indirect costs include depreciation</w:t>
      </w:r>
      <w:r w:rsidR="00AB0215">
        <w:rPr>
          <w:rFonts w:ascii="Calibri" w:hAnsi="Calibri"/>
          <w:color w:val="000000"/>
          <w:sz w:val="22"/>
          <w:szCs w:val="22"/>
          <w:lang w:eastAsia="en-AU"/>
        </w:rPr>
        <w:t>.</w:t>
      </w:r>
    </w:p>
    <w:p w14:paraId="070054B5" w14:textId="15DCE521" w:rsidR="00913E35" w:rsidRPr="006C1DCD" w:rsidRDefault="00913E35" w:rsidP="00AB5D3B">
      <w:pPr>
        <w:pStyle w:val="Heading2"/>
        <w:spacing w:line="276" w:lineRule="auto"/>
        <w:rPr>
          <w:rFonts w:eastAsia="MS PGothic"/>
          <w:sz w:val="24"/>
          <w:szCs w:val="24"/>
        </w:rPr>
      </w:pPr>
      <w:bookmarkStart w:id="55" w:name="_Toc85106083"/>
      <w:r w:rsidRPr="006C1DCD">
        <w:rPr>
          <w:rFonts w:eastAsia="MS PGothic"/>
          <w:sz w:val="24"/>
          <w:szCs w:val="24"/>
        </w:rPr>
        <w:t>Design of regulatory charges</w:t>
      </w:r>
      <w:bookmarkEnd w:id="54"/>
      <w:bookmarkEnd w:id="55"/>
    </w:p>
    <w:p w14:paraId="32BE67F1" w14:textId="77777777" w:rsidR="00BB1069" w:rsidRDefault="00A2544A" w:rsidP="00AB5D3B">
      <w:pPr>
        <w:spacing w:before="120" w:line="276" w:lineRule="auto"/>
        <w:rPr>
          <w:rFonts w:cs="Arial"/>
          <w:szCs w:val="20"/>
        </w:rPr>
      </w:pPr>
      <w:r w:rsidRPr="00A2544A">
        <w:rPr>
          <w:rFonts w:cs="Arial"/>
          <w:szCs w:val="20"/>
        </w:rPr>
        <w:t xml:space="preserve">The characteristics of a government activity determine the type of cost recovery charge used. Fees are charged when a good, service or regulation is provided directly to a specific individual or organisation. </w:t>
      </w:r>
    </w:p>
    <w:p w14:paraId="4DA64744" w14:textId="311F3F23" w:rsidR="003A3B3C" w:rsidRDefault="00A2544A" w:rsidP="00AB5D3B">
      <w:pPr>
        <w:spacing w:before="120" w:line="276" w:lineRule="auto"/>
        <w:rPr>
          <w:rFonts w:cs="Arial"/>
          <w:szCs w:val="20"/>
        </w:rPr>
      </w:pPr>
      <w:r w:rsidRPr="00A2544A">
        <w:rPr>
          <w:rFonts w:cs="Arial"/>
          <w:szCs w:val="20"/>
        </w:rPr>
        <w:t xml:space="preserve">Fees are designed to reflect as closely as possible the underlying cost </w:t>
      </w:r>
      <w:r w:rsidR="00E81034">
        <w:rPr>
          <w:rFonts w:cs="Arial"/>
          <w:szCs w:val="20"/>
        </w:rPr>
        <w:t>of</w:t>
      </w:r>
      <w:r w:rsidR="00AB2BAC">
        <w:rPr>
          <w:rFonts w:cs="Arial"/>
          <w:szCs w:val="20"/>
        </w:rPr>
        <w:t xml:space="preserve"> maintain</w:t>
      </w:r>
      <w:r w:rsidR="00E81034">
        <w:rPr>
          <w:rFonts w:cs="Arial"/>
          <w:szCs w:val="20"/>
        </w:rPr>
        <w:t>ing</w:t>
      </w:r>
      <w:r w:rsidR="00AB2BAC">
        <w:rPr>
          <w:rFonts w:cs="Arial"/>
          <w:szCs w:val="20"/>
        </w:rPr>
        <w:t xml:space="preserve"> the capability and capacity to deliver the services</w:t>
      </w:r>
      <w:r w:rsidR="00E81034">
        <w:rPr>
          <w:rFonts w:cs="Arial"/>
          <w:szCs w:val="20"/>
        </w:rPr>
        <w:t>,</w:t>
      </w:r>
      <w:r w:rsidR="00AB2BAC">
        <w:rPr>
          <w:rFonts w:cs="Arial"/>
          <w:szCs w:val="20"/>
        </w:rPr>
        <w:t xml:space="preserve"> </w:t>
      </w:r>
      <w:r>
        <w:rPr>
          <w:rFonts w:cs="Arial"/>
          <w:szCs w:val="20"/>
        </w:rPr>
        <w:t xml:space="preserve">based on previous </w:t>
      </w:r>
      <w:r w:rsidR="00BB1069">
        <w:rPr>
          <w:rFonts w:cs="Arial"/>
          <w:szCs w:val="20"/>
        </w:rPr>
        <w:t xml:space="preserve">and projected </w:t>
      </w:r>
      <w:r>
        <w:rPr>
          <w:rFonts w:cs="Arial"/>
          <w:szCs w:val="20"/>
        </w:rPr>
        <w:t>demand</w:t>
      </w:r>
      <w:r w:rsidR="00AB2BAC">
        <w:rPr>
          <w:rFonts w:cs="Arial"/>
          <w:szCs w:val="20"/>
        </w:rPr>
        <w:t>s</w:t>
      </w:r>
      <w:r w:rsidRPr="00A2544A">
        <w:rPr>
          <w:rFonts w:cs="Arial"/>
          <w:szCs w:val="20"/>
        </w:rPr>
        <w:t>.</w:t>
      </w:r>
      <w:r w:rsidR="005B1CE3">
        <w:rPr>
          <w:rFonts w:cs="Arial"/>
          <w:szCs w:val="20"/>
        </w:rPr>
        <w:t xml:space="preserve"> Fees for </w:t>
      </w:r>
      <w:r w:rsidR="00382078">
        <w:rPr>
          <w:rFonts w:cs="Arial"/>
          <w:szCs w:val="20"/>
        </w:rPr>
        <w:t>P</w:t>
      </w:r>
      <w:r w:rsidR="005B1CE3">
        <w:rPr>
          <w:rFonts w:cs="Arial"/>
          <w:szCs w:val="20"/>
        </w:rPr>
        <w:t xml:space="preserve">attern </w:t>
      </w:r>
      <w:r w:rsidR="00382078">
        <w:rPr>
          <w:rFonts w:cs="Arial"/>
          <w:szCs w:val="20"/>
        </w:rPr>
        <w:t>A</w:t>
      </w:r>
      <w:r w:rsidR="005B1CE3">
        <w:rPr>
          <w:rFonts w:cs="Arial"/>
          <w:szCs w:val="20"/>
        </w:rPr>
        <w:t>pproval include set fees and hourly fees</w:t>
      </w:r>
      <w:r w:rsidR="00276957">
        <w:rPr>
          <w:rFonts w:cs="Arial"/>
          <w:szCs w:val="20"/>
        </w:rPr>
        <w:t>, which are</w:t>
      </w:r>
      <w:r w:rsidR="005B1CE3">
        <w:rPr>
          <w:rFonts w:cs="Arial"/>
          <w:szCs w:val="20"/>
        </w:rPr>
        <w:t xml:space="preserve"> based on the services and tests required</w:t>
      </w:r>
      <w:r w:rsidR="00AF77FA">
        <w:rPr>
          <w:rFonts w:cs="Arial"/>
          <w:szCs w:val="20"/>
        </w:rPr>
        <w:t>. A</w:t>
      </w:r>
      <w:r w:rsidR="00B04EC1">
        <w:rPr>
          <w:rFonts w:cs="Arial"/>
          <w:szCs w:val="20"/>
        </w:rPr>
        <w:t>ppointments</w:t>
      </w:r>
      <w:r w:rsidR="00AF77FA">
        <w:rPr>
          <w:rFonts w:cs="Arial"/>
          <w:szCs w:val="20"/>
        </w:rPr>
        <w:t xml:space="preserve"> </w:t>
      </w:r>
      <w:r w:rsidR="00B04EC1">
        <w:rPr>
          <w:rFonts w:cs="Arial"/>
          <w:szCs w:val="20"/>
        </w:rPr>
        <w:t xml:space="preserve">are charged </w:t>
      </w:r>
      <w:r w:rsidR="00276957">
        <w:rPr>
          <w:rFonts w:cs="Arial"/>
          <w:szCs w:val="20"/>
        </w:rPr>
        <w:t xml:space="preserve">as </w:t>
      </w:r>
      <w:r w:rsidR="00AF77FA">
        <w:rPr>
          <w:rFonts w:cs="Arial"/>
          <w:szCs w:val="20"/>
        </w:rPr>
        <w:t>a flat fee</w:t>
      </w:r>
      <w:r w:rsidR="00B04EC1">
        <w:rPr>
          <w:rFonts w:cs="Arial"/>
          <w:szCs w:val="20"/>
        </w:rPr>
        <w:t xml:space="preserve"> and </w:t>
      </w:r>
      <w:r w:rsidR="00AF77FA">
        <w:rPr>
          <w:rFonts w:cs="Arial"/>
          <w:szCs w:val="20"/>
        </w:rPr>
        <w:t>l</w:t>
      </w:r>
      <w:r w:rsidR="005B1CE3">
        <w:rPr>
          <w:rFonts w:cs="Arial"/>
          <w:szCs w:val="20"/>
        </w:rPr>
        <w:t>icencing fees are tiered to reflect different levels of effort involved</w:t>
      </w:r>
      <w:r w:rsidR="008C7174">
        <w:rPr>
          <w:rFonts w:cs="Arial"/>
          <w:szCs w:val="20"/>
        </w:rPr>
        <w:t xml:space="preserve">. </w:t>
      </w:r>
    </w:p>
    <w:p w14:paraId="7F08D6D0" w14:textId="77777777" w:rsidR="00B04209" w:rsidRDefault="003A3B3C" w:rsidP="00AB5D3B">
      <w:pPr>
        <w:spacing w:before="120" w:line="276" w:lineRule="auto"/>
        <w:rPr>
          <w:color w:val="1F497D"/>
        </w:rPr>
      </w:pPr>
      <w:r>
        <w:rPr>
          <w:rFonts w:cs="Arial"/>
          <w:szCs w:val="20"/>
        </w:rPr>
        <w:t>In the case of servicing licences</w:t>
      </w:r>
      <w:r w:rsidR="00AC608F">
        <w:rPr>
          <w:rFonts w:cs="Arial"/>
          <w:szCs w:val="20"/>
        </w:rPr>
        <w:t>,</w:t>
      </w:r>
      <w:r>
        <w:rPr>
          <w:rFonts w:cs="Arial"/>
          <w:szCs w:val="20"/>
        </w:rPr>
        <w:t xml:space="preserve"> </w:t>
      </w:r>
      <w:r w:rsidRPr="003A3B3C">
        <w:rPr>
          <w:rFonts w:cs="Arial"/>
          <w:szCs w:val="20"/>
        </w:rPr>
        <w:t xml:space="preserve">the ongoing costs of supporting each licensee vary substantially depending on the licensee’s service area, complexity of instruments and the number of verifications which are difficult to estimate in advance. Therefore the tiered fees </w:t>
      </w:r>
      <w:r w:rsidR="009C76DC">
        <w:rPr>
          <w:rFonts w:cs="Arial"/>
          <w:szCs w:val="20"/>
        </w:rPr>
        <w:t xml:space="preserve">aligned to </w:t>
      </w:r>
      <w:r w:rsidRPr="003A3B3C">
        <w:rPr>
          <w:rFonts w:cs="Arial"/>
          <w:szCs w:val="20"/>
        </w:rPr>
        <w:t>sole, small, medium and large business (based on the number of verifiers) will continue to be used</w:t>
      </w:r>
      <w:r w:rsidR="00476994">
        <w:rPr>
          <w:rFonts w:cs="Arial"/>
          <w:szCs w:val="20"/>
        </w:rPr>
        <w:t xml:space="preserve"> at this time</w:t>
      </w:r>
      <w:r w:rsidRPr="003A3B3C">
        <w:rPr>
          <w:rFonts w:cs="Arial"/>
          <w:szCs w:val="20"/>
        </w:rPr>
        <w:t>.</w:t>
      </w:r>
      <w:r w:rsidR="008C7174" w:rsidRPr="008C7174">
        <w:rPr>
          <w:color w:val="1F497D"/>
        </w:rPr>
        <w:t xml:space="preserve"> </w:t>
      </w:r>
    </w:p>
    <w:p w14:paraId="1125E4F9" w14:textId="77777777" w:rsidR="003A3B3C" w:rsidRPr="00AB35AB" w:rsidRDefault="003A3B3C" w:rsidP="00B04209">
      <w:pPr>
        <w:spacing w:before="120" w:line="276" w:lineRule="auto"/>
        <w:rPr>
          <w:color w:val="000000" w:themeColor="text1"/>
        </w:rPr>
      </w:pPr>
      <w:r w:rsidRPr="00AB35AB">
        <w:rPr>
          <w:color w:val="000000" w:themeColor="text1"/>
        </w:rPr>
        <w:t>These ongoing costs include:</w:t>
      </w:r>
    </w:p>
    <w:p w14:paraId="75CDDE39" w14:textId="77777777" w:rsidR="003A3B3C" w:rsidRPr="00AB35AB" w:rsidRDefault="00276957" w:rsidP="00A914F5">
      <w:pPr>
        <w:pStyle w:val="ListParagraph"/>
        <w:numPr>
          <w:ilvl w:val="0"/>
          <w:numId w:val="62"/>
        </w:numPr>
        <w:spacing w:before="120"/>
        <w:rPr>
          <w:rFonts w:ascii="Arial" w:hAnsi="Arial" w:cs="Arial"/>
          <w:color w:val="000000" w:themeColor="text1"/>
        </w:rPr>
      </w:pPr>
      <w:r>
        <w:rPr>
          <w:rFonts w:ascii="Arial" w:hAnsi="Arial" w:cs="Arial"/>
          <w:color w:val="000000" w:themeColor="text1"/>
        </w:rPr>
        <w:t>s</w:t>
      </w:r>
      <w:r w:rsidR="00AC608F" w:rsidRPr="00AB35AB">
        <w:rPr>
          <w:rFonts w:ascii="Arial" w:hAnsi="Arial" w:cs="Arial"/>
          <w:color w:val="000000" w:themeColor="text1"/>
        </w:rPr>
        <w:t>upplying</w:t>
      </w:r>
      <w:r w:rsidR="00B04209" w:rsidRPr="00AB35AB">
        <w:rPr>
          <w:rFonts w:ascii="Arial" w:hAnsi="Arial" w:cs="Arial"/>
          <w:color w:val="000000" w:themeColor="text1"/>
        </w:rPr>
        <w:t xml:space="preserve"> labels to servicing licensees to enable them to mark the instruments that they verify </w:t>
      </w:r>
    </w:p>
    <w:p w14:paraId="75D332A1" w14:textId="77777777" w:rsidR="003A3B3C" w:rsidRPr="00AB35AB" w:rsidRDefault="00276957" w:rsidP="003A3B3C">
      <w:pPr>
        <w:pStyle w:val="ListParagraph"/>
        <w:numPr>
          <w:ilvl w:val="0"/>
          <w:numId w:val="62"/>
        </w:numPr>
        <w:spacing w:before="120"/>
        <w:rPr>
          <w:rFonts w:ascii="Arial" w:hAnsi="Arial" w:cs="Arial"/>
          <w:color w:val="000000" w:themeColor="text1"/>
        </w:rPr>
      </w:pPr>
      <w:r>
        <w:rPr>
          <w:rFonts w:ascii="Arial" w:hAnsi="Arial" w:cs="Arial"/>
          <w:color w:val="000000" w:themeColor="text1"/>
        </w:rPr>
        <w:t>p</w:t>
      </w:r>
      <w:r w:rsidR="003A3B3C" w:rsidRPr="00AB35AB">
        <w:rPr>
          <w:rFonts w:ascii="Arial" w:hAnsi="Arial" w:cs="Arial"/>
          <w:color w:val="000000" w:themeColor="text1"/>
        </w:rPr>
        <w:t>roviding and maintaining information to assist licensees to meet their regulatory obligations</w:t>
      </w:r>
    </w:p>
    <w:p w14:paraId="424A497E" w14:textId="77777777" w:rsidR="003A3B3C" w:rsidRPr="00AB35AB" w:rsidRDefault="00276957" w:rsidP="003A3B3C">
      <w:pPr>
        <w:pStyle w:val="ListParagraph"/>
        <w:numPr>
          <w:ilvl w:val="0"/>
          <w:numId w:val="62"/>
        </w:numPr>
        <w:spacing w:before="120"/>
        <w:rPr>
          <w:rFonts w:ascii="Arial" w:hAnsi="Arial" w:cs="Arial"/>
          <w:color w:val="000000" w:themeColor="text1"/>
        </w:rPr>
      </w:pPr>
      <w:r>
        <w:rPr>
          <w:rFonts w:ascii="Arial" w:hAnsi="Arial" w:cs="Arial"/>
          <w:color w:val="000000" w:themeColor="text1"/>
        </w:rPr>
        <w:t>p</w:t>
      </w:r>
      <w:r w:rsidR="003A3B3C" w:rsidRPr="00AB35AB">
        <w:rPr>
          <w:rFonts w:ascii="Arial" w:hAnsi="Arial" w:cs="Arial"/>
          <w:color w:val="000000" w:themeColor="text1"/>
        </w:rPr>
        <w:t>roviding a point of contact to support licensees (licensees mail box and hotline) and responding to enquiries relating to licensing conditions, verification procedures and requirements</w:t>
      </w:r>
    </w:p>
    <w:p w14:paraId="36F23C1E" w14:textId="77777777" w:rsidR="003A3B3C" w:rsidRPr="00AB35AB" w:rsidRDefault="00276957" w:rsidP="003A3B3C">
      <w:pPr>
        <w:pStyle w:val="ListParagraph"/>
        <w:numPr>
          <w:ilvl w:val="0"/>
          <w:numId w:val="62"/>
        </w:numPr>
        <w:spacing w:before="120"/>
        <w:rPr>
          <w:rFonts w:ascii="Arial" w:hAnsi="Arial" w:cs="Arial"/>
          <w:color w:val="000000" w:themeColor="text1"/>
        </w:rPr>
      </w:pPr>
      <w:r>
        <w:rPr>
          <w:rFonts w:ascii="Arial" w:hAnsi="Arial" w:cs="Arial"/>
          <w:color w:val="000000" w:themeColor="text1"/>
        </w:rPr>
        <w:t>m</w:t>
      </w:r>
      <w:r w:rsidR="003A3B3C" w:rsidRPr="00AB35AB">
        <w:rPr>
          <w:rFonts w:ascii="Arial" w:hAnsi="Arial" w:cs="Arial"/>
          <w:color w:val="000000" w:themeColor="text1"/>
        </w:rPr>
        <w:t>anaging and processing verification notification forms (Form 6 and Form 6A), test reports and information submitted by the licensees as required by legislation and licence conditions</w:t>
      </w:r>
    </w:p>
    <w:p w14:paraId="05F92078" w14:textId="77777777" w:rsidR="00704E85" w:rsidRDefault="00704E85" w:rsidP="00704E85">
      <w:pPr>
        <w:spacing w:before="120" w:line="276" w:lineRule="auto"/>
        <w:rPr>
          <w:rFonts w:cs="Arial"/>
          <w:szCs w:val="20"/>
          <w:lang w:val="en-US"/>
        </w:rPr>
      </w:pPr>
      <w:r>
        <w:rPr>
          <w:rFonts w:cs="Arial"/>
          <w:szCs w:val="20"/>
          <w:lang w:val="en-US"/>
        </w:rPr>
        <w:t>The Australian Government’s Charging Policy is that individuals or groups that create the need for an activity should pay for that activity, unless the Government decides otherwise. There needs to be a significant policy case for a charge to not reflect the full cost of an activity.</w:t>
      </w:r>
    </w:p>
    <w:p w14:paraId="415F5FB4" w14:textId="5E8DCB66" w:rsidR="00704E85" w:rsidRDefault="00704E85" w:rsidP="00704E85">
      <w:pPr>
        <w:spacing w:before="120" w:line="276" w:lineRule="auto"/>
        <w:rPr>
          <w:rFonts w:cs="Arial"/>
          <w:szCs w:val="20"/>
          <w:lang w:val="en-US"/>
        </w:rPr>
      </w:pPr>
      <w:r>
        <w:rPr>
          <w:rFonts w:cs="Arial"/>
          <w:szCs w:val="20"/>
          <w:lang w:val="en-US"/>
        </w:rPr>
        <w:t>In this context</w:t>
      </w:r>
      <w:r w:rsidR="00AC608F">
        <w:rPr>
          <w:rFonts w:cs="Arial"/>
          <w:szCs w:val="20"/>
          <w:lang w:val="en-US"/>
        </w:rPr>
        <w:t>,</w:t>
      </w:r>
      <w:r>
        <w:rPr>
          <w:rFonts w:cs="Arial"/>
          <w:szCs w:val="20"/>
          <w:lang w:val="en-US"/>
        </w:rPr>
        <w:t xml:space="preserve"> a</w:t>
      </w:r>
      <w:r w:rsidRPr="00744006">
        <w:rPr>
          <w:rFonts w:cs="Arial"/>
          <w:szCs w:val="20"/>
          <w:lang w:val="en-US"/>
        </w:rPr>
        <w:t xml:space="preserve"> key </w:t>
      </w:r>
      <w:r>
        <w:rPr>
          <w:rFonts w:cs="Arial"/>
          <w:szCs w:val="20"/>
          <w:lang w:val="en-US"/>
        </w:rPr>
        <w:t>consideration</w:t>
      </w:r>
      <w:r w:rsidRPr="00744006">
        <w:rPr>
          <w:rFonts w:cs="Arial"/>
          <w:szCs w:val="20"/>
          <w:lang w:val="en-US"/>
        </w:rPr>
        <w:t xml:space="preserve"> when charging for </w:t>
      </w:r>
      <w:r>
        <w:rPr>
          <w:rFonts w:cs="Arial"/>
          <w:szCs w:val="20"/>
          <w:lang w:val="en-US"/>
        </w:rPr>
        <w:t xml:space="preserve">NMI’s </w:t>
      </w:r>
      <w:r w:rsidRPr="00744006">
        <w:rPr>
          <w:rFonts w:cs="Arial"/>
          <w:szCs w:val="20"/>
          <w:lang w:val="en-US"/>
        </w:rPr>
        <w:t>regulatory activit</w:t>
      </w:r>
      <w:r>
        <w:rPr>
          <w:rFonts w:cs="Arial"/>
          <w:szCs w:val="20"/>
          <w:lang w:val="en-US"/>
        </w:rPr>
        <w:t>ies</w:t>
      </w:r>
      <w:r w:rsidRPr="00744006">
        <w:rPr>
          <w:rFonts w:cs="Arial"/>
          <w:szCs w:val="20"/>
          <w:lang w:val="en-US"/>
        </w:rPr>
        <w:t xml:space="preserve"> is </w:t>
      </w:r>
      <w:r>
        <w:rPr>
          <w:rFonts w:cs="Arial"/>
          <w:szCs w:val="20"/>
          <w:lang w:val="en-US"/>
        </w:rPr>
        <w:t xml:space="preserve">the impact on </w:t>
      </w:r>
      <w:r w:rsidRPr="00744006">
        <w:rPr>
          <w:rFonts w:cs="Arial"/>
          <w:szCs w:val="20"/>
          <w:lang w:val="en-US"/>
        </w:rPr>
        <w:t xml:space="preserve">volume of </w:t>
      </w:r>
      <w:r w:rsidR="002F5613">
        <w:rPr>
          <w:rFonts w:cs="Arial"/>
          <w:szCs w:val="20"/>
          <w:lang w:val="en-US"/>
        </w:rPr>
        <w:t xml:space="preserve">demand associated </w:t>
      </w:r>
      <w:r>
        <w:rPr>
          <w:rFonts w:cs="Arial"/>
          <w:szCs w:val="20"/>
          <w:lang w:val="en-US"/>
        </w:rPr>
        <w:t>each activity.</w:t>
      </w:r>
    </w:p>
    <w:p w14:paraId="02E75A81" w14:textId="77777777" w:rsidR="00704E85" w:rsidRPr="00744006" w:rsidRDefault="00704E85" w:rsidP="00704E85">
      <w:pPr>
        <w:spacing w:before="120" w:line="276" w:lineRule="auto"/>
        <w:rPr>
          <w:rFonts w:cs="Arial"/>
          <w:szCs w:val="20"/>
          <w:lang w:val="en-US"/>
        </w:rPr>
      </w:pPr>
      <w:r w:rsidRPr="00744006">
        <w:rPr>
          <w:rFonts w:cs="Arial"/>
          <w:szCs w:val="20"/>
          <w:lang w:val="en-US"/>
        </w:rPr>
        <w:t>This includes:</w:t>
      </w:r>
    </w:p>
    <w:p w14:paraId="0087BFBD" w14:textId="35B0C734" w:rsidR="00704E85" w:rsidRPr="00043131" w:rsidRDefault="00276957" w:rsidP="00704E85">
      <w:pPr>
        <w:pStyle w:val="ListParagraph"/>
        <w:numPr>
          <w:ilvl w:val="0"/>
          <w:numId w:val="9"/>
        </w:numPr>
        <w:spacing w:before="120" w:after="0"/>
        <w:ind w:left="714" w:hanging="357"/>
        <w:contextualSpacing w:val="0"/>
        <w:rPr>
          <w:rFonts w:ascii="Arial" w:hAnsi="Arial" w:cs="Arial"/>
          <w:szCs w:val="20"/>
          <w:lang w:val="en-US"/>
        </w:rPr>
      </w:pPr>
      <w:r>
        <w:rPr>
          <w:rFonts w:ascii="Arial" w:hAnsi="Arial" w:cs="Arial"/>
          <w:szCs w:val="20"/>
          <w:lang w:val="en-US"/>
        </w:rPr>
        <w:t>m</w:t>
      </w:r>
      <w:r w:rsidR="00704E85" w:rsidRPr="00043131">
        <w:rPr>
          <w:rFonts w:ascii="Arial" w:hAnsi="Arial" w:cs="Arial"/>
          <w:szCs w:val="20"/>
          <w:lang w:val="en-US"/>
        </w:rPr>
        <w:t xml:space="preserve">easuring instrument manufacturers withdrawing from developing and manufacturing new technologies in Australia and no longer requiring </w:t>
      </w:r>
      <w:r w:rsidR="00B42981">
        <w:rPr>
          <w:rFonts w:ascii="Arial" w:hAnsi="Arial" w:cs="Arial"/>
          <w:szCs w:val="20"/>
          <w:lang w:val="en-US"/>
        </w:rPr>
        <w:t>P</w:t>
      </w:r>
      <w:r w:rsidR="00B42981" w:rsidRPr="00043131">
        <w:rPr>
          <w:rFonts w:ascii="Arial" w:hAnsi="Arial" w:cs="Arial"/>
          <w:szCs w:val="20"/>
          <w:lang w:val="en-US"/>
        </w:rPr>
        <w:t xml:space="preserve">attern </w:t>
      </w:r>
      <w:r w:rsidR="00B42981">
        <w:rPr>
          <w:rFonts w:ascii="Arial" w:hAnsi="Arial" w:cs="Arial"/>
          <w:szCs w:val="20"/>
          <w:lang w:val="en-US"/>
        </w:rPr>
        <w:t>A</w:t>
      </w:r>
      <w:r w:rsidR="00B42981" w:rsidRPr="00043131">
        <w:rPr>
          <w:rFonts w:ascii="Arial" w:hAnsi="Arial" w:cs="Arial"/>
          <w:szCs w:val="20"/>
          <w:lang w:val="en-US"/>
        </w:rPr>
        <w:t xml:space="preserve">pproval </w:t>
      </w:r>
      <w:r w:rsidR="00704E85" w:rsidRPr="00043131">
        <w:rPr>
          <w:rFonts w:ascii="Arial" w:hAnsi="Arial" w:cs="Arial"/>
          <w:szCs w:val="20"/>
          <w:lang w:val="en-US"/>
        </w:rPr>
        <w:t>testing</w:t>
      </w:r>
    </w:p>
    <w:p w14:paraId="72D363F7" w14:textId="77777777" w:rsidR="00704E85" w:rsidRDefault="00704E85" w:rsidP="00704E85">
      <w:pPr>
        <w:pStyle w:val="ListParagraph"/>
        <w:numPr>
          <w:ilvl w:val="0"/>
          <w:numId w:val="9"/>
        </w:numPr>
        <w:spacing w:before="120" w:after="0"/>
        <w:ind w:left="714" w:hanging="357"/>
        <w:contextualSpacing w:val="0"/>
        <w:rPr>
          <w:rFonts w:ascii="Arial" w:hAnsi="Arial" w:cs="Arial"/>
          <w:szCs w:val="20"/>
          <w:lang w:val="en-US"/>
        </w:rPr>
      </w:pPr>
      <w:r w:rsidRPr="00043131">
        <w:rPr>
          <w:rFonts w:ascii="Arial" w:hAnsi="Arial" w:cs="Arial"/>
          <w:szCs w:val="20"/>
          <w:lang w:val="en-US"/>
        </w:rPr>
        <w:t xml:space="preserve">Licensees </w:t>
      </w:r>
      <w:r>
        <w:rPr>
          <w:rFonts w:ascii="Arial" w:hAnsi="Arial" w:cs="Arial"/>
          <w:szCs w:val="20"/>
          <w:lang w:val="en-US"/>
        </w:rPr>
        <w:t xml:space="preserve">and Authorities </w:t>
      </w:r>
      <w:r w:rsidR="002F5613">
        <w:rPr>
          <w:rFonts w:ascii="Arial" w:hAnsi="Arial" w:cs="Arial"/>
          <w:szCs w:val="20"/>
          <w:lang w:val="en-US"/>
        </w:rPr>
        <w:t xml:space="preserve">withdrawing </w:t>
      </w:r>
      <w:r w:rsidR="003E4F32">
        <w:rPr>
          <w:rFonts w:ascii="Arial" w:hAnsi="Arial" w:cs="Arial"/>
          <w:szCs w:val="20"/>
          <w:lang w:val="en-US"/>
        </w:rPr>
        <w:t xml:space="preserve">from </w:t>
      </w:r>
      <w:r w:rsidR="003E4F32" w:rsidRPr="00043131">
        <w:rPr>
          <w:rFonts w:ascii="Arial" w:hAnsi="Arial" w:cs="Arial"/>
          <w:szCs w:val="20"/>
          <w:lang w:val="en-US"/>
        </w:rPr>
        <w:t>participating</w:t>
      </w:r>
      <w:r w:rsidR="002F5613" w:rsidRPr="00043131">
        <w:rPr>
          <w:rFonts w:ascii="Arial" w:hAnsi="Arial" w:cs="Arial"/>
          <w:szCs w:val="20"/>
          <w:lang w:val="en-US"/>
        </w:rPr>
        <w:t xml:space="preserve"> </w:t>
      </w:r>
      <w:r w:rsidRPr="00043131">
        <w:rPr>
          <w:rFonts w:ascii="Arial" w:hAnsi="Arial" w:cs="Arial"/>
          <w:szCs w:val="20"/>
          <w:lang w:val="en-US"/>
        </w:rPr>
        <w:t xml:space="preserve">in the </w:t>
      </w:r>
      <w:r w:rsidR="00030753">
        <w:rPr>
          <w:rFonts w:ascii="Arial" w:hAnsi="Arial" w:cs="Arial"/>
          <w:szCs w:val="20"/>
          <w:lang w:val="en-US"/>
        </w:rPr>
        <w:t xml:space="preserve">national </w:t>
      </w:r>
      <w:r w:rsidRPr="00043131">
        <w:rPr>
          <w:rFonts w:ascii="Arial" w:hAnsi="Arial" w:cs="Arial"/>
          <w:szCs w:val="20"/>
          <w:lang w:val="en-US"/>
        </w:rPr>
        <w:t>measurement framework.</w:t>
      </w:r>
      <w:r>
        <w:rPr>
          <w:rFonts w:ascii="Arial" w:hAnsi="Arial" w:cs="Arial"/>
          <w:szCs w:val="20"/>
          <w:lang w:val="en-US"/>
        </w:rPr>
        <w:t xml:space="preserve"> </w:t>
      </w:r>
    </w:p>
    <w:p w14:paraId="32AEF54F" w14:textId="019802E2" w:rsidR="00704E85" w:rsidRDefault="00704E85" w:rsidP="00704E85">
      <w:pPr>
        <w:spacing w:before="120" w:line="276" w:lineRule="auto"/>
        <w:rPr>
          <w:rFonts w:cs="Arial"/>
          <w:szCs w:val="20"/>
        </w:rPr>
      </w:pPr>
      <w:bookmarkStart w:id="56" w:name="calculationofcosts"/>
      <w:r>
        <w:rPr>
          <w:rFonts w:cs="Arial"/>
          <w:szCs w:val="20"/>
        </w:rPr>
        <w:t xml:space="preserve">In the case of </w:t>
      </w:r>
      <w:r w:rsidR="00382078">
        <w:rPr>
          <w:rFonts w:cs="Arial"/>
          <w:szCs w:val="20"/>
        </w:rPr>
        <w:t>P</w:t>
      </w:r>
      <w:r>
        <w:rPr>
          <w:rFonts w:cs="Arial"/>
          <w:szCs w:val="20"/>
        </w:rPr>
        <w:t xml:space="preserve">attern </w:t>
      </w:r>
      <w:r w:rsidR="00382078">
        <w:rPr>
          <w:rFonts w:cs="Arial"/>
          <w:szCs w:val="20"/>
        </w:rPr>
        <w:t>A</w:t>
      </w:r>
      <w:r>
        <w:rPr>
          <w:rFonts w:cs="Arial"/>
          <w:szCs w:val="20"/>
        </w:rPr>
        <w:t xml:space="preserve">pproval (PA), the costs of laboratory testing and of desktop assessment are significantly different. Fees for these two activities have been set separately within the PA function, to reflect the higher cost of laboratory testing (particularly fixed costs associated with equipment and property). </w:t>
      </w:r>
    </w:p>
    <w:p w14:paraId="7D05A4CC" w14:textId="77777777" w:rsidR="00AB2BAC" w:rsidRDefault="0046123B" w:rsidP="00940E5A">
      <w:pPr>
        <w:keepNext/>
        <w:spacing w:before="120" w:line="276" w:lineRule="auto"/>
        <w:rPr>
          <w:rFonts w:cs="Arial"/>
          <w:iCs/>
          <w:szCs w:val="20"/>
        </w:rPr>
      </w:pPr>
      <w:r>
        <w:rPr>
          <w:rFonts w:cs="Arial"/>
          <w:iCs/>
          <w:szCs w:val="20"/>
        </w:rPr>
        <w:lastRenderedPageBreak/>
        <w:t xml:space="preserve">The </w:t>
      </w:r>
      <w:r w:rsidR="00AB2BAC">
        <w:rPr>
          <w:rFonts w:cs="Arial"/>
          <w:iCs/>
          <w:szCs w:val="20"/>
        </w:rPr>
        <w:t xml:space="preserve">projected demand for </w:t>
      </w:r>
      <w:r>
        <w:rPr>
          <w:rFonts w:cs="Arial"/>
          <w:iCs/>
          <w:szCs w:val="20"/>
        </w:rPr>
        <w:t xml:space="preserve">these </w:t>
      </w:r>
      <w:r w:rsidR="00AB2BAC">
        <w:rPr>
          <w:rFonts w:cs="Arial"/>
          <w:iCs/>
          <w:szCs w:val="20"/>
        </w:rPr>
        <w:t xml:space="preserve">regulatory </w:t>
      </w:r>
      <w:r>
        <w:rPr>
          <w:rFonts w:cs="Arial"/>
          <w:iCs/>
          <w:szCs w:val="20"/>
        </w:rPr>
        <w:t xml:space="preserve">activities is assumed to </w:t>
      </w:r>
      <w:r w:rsidR="00AB2BAC">
        <w:rPr>
          <w:rFonts w:cs="Arial"/>
          <w:iCs/>
          <w:szCs w:val="20"/>
        </w:rPr>
        <w:t>be:</w:t>
      </w:r>
    </w:p>
    <w:p w14:paraId="5C9022CA" w14:textId="23E6053F" w:rsidR="00AB2BAC" w:rsidRPr="008D6983" w:rsidRDefault="00073F11" w:rsidP="00DE02AA">
      <w:pPr>
        <w:pStyle w:val="ListParagraph"/>
        <w:numPr>
          <w:ilvl w:val="0"/>
          <w:numId w:val="26"/>
        </w:numPr>
        <w:spacing w:before="120" w:after="0"/>
        <w:ind w:left="777" w:hanging="357"/>
        <w:contextualSpacing w:val="0"/>
        <w:rPr>
          <w:rFonts w:ascii="Arial" w:hAnsi="Arial" w:cs="Arial"/>
          <w:iCs/>
          <w:szCs w:val="20"/>
        </w:rPr>
      </w:pPr>
      <w:r w:rsidRPr="008D6983">
        <w:rPr>
          <w:rFonts w:ascii="Arial" w:hAnsi="Arial" w:cs="Arial"/>
          <w:iCs/>
          <w:szCs w:val="20"/>
        </w:rPr>
        <w:t xml:space="preserve">125 </w:t>
      </w:r>
      <w:r w:rsidR="00382078" w:rsidRPr="008D6983">
        <w:rPr>
          <w:rFonts w:ascii="Arial" w:hAnsi="Arial" w:cs="Arial"/>
          <w:iCs/>
          <w:szCs w:val="20"/>
        </w:rPr>
        <w:t>PA</w:t>
      </w:r>
      <w:r w:rsidR="00AB2BAC" w:rsidRPr="008D6983">
        <w:rPr>
          <w:rFonts w:ascii="Arial" w:hAnsi="Arial" w:cs="Arial"/>
          <w:iCs/>
          <w:szCs w:val="20"/>
        </w:rPr>
        <w:t xml:space="preserve"> certificates</w:t>
      </w:r>
      <w:r w:rsidR="0046123B" w:rsidRPr="008D6983">
        <w:rPr>
          <w:rFonts w:ascii="Arial" w:hAnsi="Arial" w:cs="Arial"/>
          <w:iCs/>
          <w:szCs w:val="20"/>
        </w:rPr>
        <w:t xml:space="preserve"> issued</w:t>
      </w:r>
    </w:p>
    <w:p w14:paraId="209382D1" w14:textId="4A63FA4F" w:rsidR="00986B76" w:rsidRPr="008D6983" w:rsidRDefault="00073F11" w:rsidP="00DE02AA">
      <w:pPr>
        <w:pStyle w:val="ListParagraph"/>
        <w:numPr>
          <w:ilvl w:val="0"/>
          <w:numId w:val="26"/>
        </w:numPr>
        <w:spacing w:before="120" w:after="0"/>
        <w:ind w:left="777" w:hanging="357"/>
        <w:contextualSpacing w:val="0"/>
        <w:rPr>
          <w:rFonts w:ascii="Arial" w:hAnsi="Arial" w:cs="Arial"/>
          <w:iCs/>
          <w:szCs w:val="20"/>
        </w:rPr>
      </w:pPr>
      <w:r w:rsidRPr="008D6983">
        <w:rPr>
          <w:rFonts w:ascii="Arial" w:hAnsi="Arial" w:cs="Arial"/>
          <w:iCs/>
          <w:szCs w:val="20"/>
        </w:rPr>
        <w:t xml:space="preserve">40 </w:t>
      </w:r>
      <w:r w:rsidR="00986B76" w:rsidRPr="008D6983">
        <w:rPr>
          <w:rFonts w:ascii="Arial" w:hAnsi="Arial" w:cs="Arial"/>
          <w:iCs/>
          <w:szCs w:val="20"/>
        </w:rPr>
        <w:t>PA testing modules</w:t>
      </w:r>
    </w:p>
    <w:p w14:paraId="560E40D3" w14:textId="788679EB" w:rsidR="00986B76" w:rsidRPr="008D6983" w:rsidRDefault="00073F11" w:rsidP="00DE02AA">
      <w:pPr>
        <w:pStyle w:val="ListParagraph"/>
        <w:numPr>
          <w:ilvl w:val="0"/>
          <w:numId w:val="26"/>
        </w:numPr>
        <w:spacing w:before="120" w:after="0"/>
        <w:ind w:left="777" w:hanging="357"/>
        <w:contextualSpacing w:val="0"/>
        <w:rPr>
          <w:rFonts w:ascii="Arial" w:hAnsi="Arial" w:cs="Arial"/>
          <w:iCs/>
          <w:szCs w:val="20"/>
        </w:rPr>
      </w:pPr>
      <w:r w:rsidRPr="008D6983">
        <w:rPr>
          <w:rFonts w:ascii="Arial" w:hAnsi="Arial" w:cs="Arial"/>
          <w:iCs/>
          <w:szCs w:val="20"/>
        </w:rPr>
        <w:t xml:space="preserve">325 </w:t>
      </w:r>
      <w:r w:rsidR="00986B76" w:rsidRPr="008D6983">
        <w:rPr>
          <w:rFonts w:ascii="Arial" w:hAnsi="Arial" w:cs="Arial"/>
          <w:iCs/>
          <w:szCs w:val="20"/>
        </w:rPr>
        <w:t xml:space="preserve">organisations licensed to verify trade measuring instruments </w:t>
      </w:r>
    </w:p>
    <w:p w14:paraId="7BD9C1A1" w14:textId="5A0028AD" w:rsidR="00986B76" w:rsidRPr="008D6983" w:rsidRDefault="00073F11" w:rsidP="00DE02AA">
      <w:pPr>
        <w:pStyle w:val="ListParagraph"/>
        <w:numPr>
          <w:ilvl w:val="0"/>
          <w:numId w:val="26"/>
        </w:numPr>
        <w:spacing w:before="120" w:after="0"/>
        <w:ind w:left="777" w:hanging="357"/>
        <w:contextualSpacing w:val="0"/>
        <w:rPr>
          <w:rFonts w:ascii="Arial" w:hAnsi="Arial" w:cs="Arial"/>
          <w:iCs/>
          <w:szCs w:val="20"/>
        </w:rPr>
      </w:pPr>
      <w:r w:rsidRPr="008D6983">
        <w:rPr>
          <w:rFonts w:ascii="Arial" w:hAnsi="Arial" w:cs="Arial"/>
          <w:iCs/>
          <w:szCs w:val="20"/>
        </w:rPr>
        <w:t xml:space="preserve">234 </w:t>
      </w:r>
      <w:r w:rsidR="00986B76" w:rsidRPr="008D6983">
        <w:rPr>
          <w:rFonts w:ascii="Arial" w:hAnsi="Arial" w:cs="Arial"/>
          <w:iCs/>
          <w:szCs w:val="20"/>
        </w:rPr>
        <w:t xml:space="preserve">organisations licensed to operate public weighbridges </w:t>
      </w:r>
    </w:p>
    <w:p w14:paraId="6BE63BAA" w14:textId="77777777" w:rsidR="00986B76" w:rsidRPr="008D6983" w:rsidRDefault="00986B76" w:rsidP="00DE02AA">
      <w:pPr>
        <w:pStyle w:val="ListParagraph"/>
        <w:numPr>
          <w:ilvl w:val="0"/>
          <w:numId w:val="26"/>
        </w:numPr>
        <w:spacing w:before="120" w:after="0"/>
        <w:ind w:left="777" w:hanging="357"/>
        <w:contextualSpacing w:val="0"/>
        <w:rPr>
          <w:rFonts w:ascii="Arial" w:hAnsi="Arial" w:cs="Arial"/>
          <w:iCs/>
          <w:szCs w:val="20"/>
        </w:rPr>
      </w:pPr>
      <w:r w:rsidRPr="008D6983">
        <w:rPr>
          <w:rFonts w:ascii="Arial" w:hAnsi="Arial" w:cs="Arial"/>
          <w:iCs/>
          <w:szCs w:val="20"/>
        </w:rPr>
        <w:t>70 organisations appointed as authorities</w:t>
      </w:r>
      <w:r w:rsidR="00061403" w:rsidRPr="008D6983">
        <w:rPr>
          <w:rFonts w:ascii="Arial" w:hAnsi="Arial" w:cs="Arial"/>
          <w:iCs/>
          <w:szCs w:val="20"/>
        </w:rPr>
        <w:t>.</w:t>
      </w:r>
      <w:r w:rsidR="00AB2BAC" w:rsidRPr="008D6983">
        <w:rPr>
          <w:rFonts w:ascii="Arial" w:hAnsi="Arial" w:cs="Arial"/>
          <w:iCs/>
          <w:szCs w:val="20"/>
        </w:rPr>
        <w:t xml:space="preserve"> </w:t>
      </w:r>
    </w:p>
    <w:p w14:paraId="7A8BE476" w14:textId="77777777" w:rsidR="00061403" w:rsidRDefault="00986B76" w:rsidP="005A229D">
      <w:pPr>
        <w:keepNext/>
        <w:keepLines/>
        <w:spacing w:before="120"/>
        <w:ind w:left="60"/>
        <w:rPr>
          <w:rFonts w:cs="Arial"/>
          <w:iCs/>
          <w:szCs w:val="20"/>
        </w:rPr>
      </w:pPr>
      <w:r>
        <w:rPr>
          <w:rFonts w:cs="Arial"/>
          <w:iCs/>
          <w:szCs w:val="20"/>
        </w:rPr>
        <w:t xml:space="preserve">Factors which may influence </w:t>
      </w:r>
      <w:r w:rsidR="00061403">
        <w:rPr>
          <w:rFonts w:cs="Arial"/>
          <w:iCs/>
          <w:szCs w:val="20"/>
        </w:rPr>
        <w:t>future demands for these activities include:</w:t>
      </w:r>
    </w:p>
    <w:p w14:paraId="63C87EDF" w14:textId="77777777" w:rsidR="00061403" w:rsidRDefault="00276957" w:rsidP="005A229D">
      <w:pPr>
        <w:pStyle w:val="ListParagraph"/>
        <w:keepNext/>
        <w:keepLines/>
        <w:numPr>
          <w:ilvl w:val="0"/>
          <w:numId w:val="27"/>
        </w:numPr>
        <w:spacing w:before="120" w:after="0"/>
        <w:ind w:left="850" w:hanging="425"/>
        <w:contextualSpacing w:val="0"/>
        <w:rPr>
          <w:rFonts w:ascii="Arial" w:hAnsi="Arial" w:cs="Arial"/>
          <w:iCs/>
          <w:szCs w:val="20"/>
        </w:rPr>
      </w:pPr>
      <w:r>
        <w:rPr>
          <w:rFonts w:ascii="Arial" w:hAnsi="Arial" w:cs="Arial"/>
          <w:iCs/>
          <w:szCs w:val="20"/>
        </w:rPr>
        <w:t>o</w:t>
      </w:r>
      <w:r w:rsidR="00061403">
        <w:rPr>
          <w:rFonts w:ascii="Arial" w:hAnsi="Arial" w:cs="Arial"/>
          <w:iCs/>
          <w:szCs w:val="20"/>
        </w:rPr>
        <w:t>ngoing innovation and development of measuring instrument technology</w:t>
      </w:r>
    </w:p>
    <w:p w14:paraId="1DB82288" w14:textId="77777777" w:rsidR="00061403" w:rsidRPr="00061403" w:rsidRDefault="00276957" w:rsidP="00DE02AA">
      <w:pPr>
        <w:pStyle w:val="ListParagraph"/>
        <w:numPr>
          <w:ilvl w:val="0"/>
          <w:numId w:val="27"/>
        </w:numPr>
        <w:spacing w:before="120" w:after="0"/>
        <w:ind w:left="850" w:hanging="425"/>
        <w:contextualSpacing w:val="0"/>
        <w:rPr>
          <w:rFonts w:ascii="Arial" w:hAnsi="Arial" w:cs="Arial"/>
          <w:iCs/>
          <w:szCs w:val="20"/>
        </w:rPr>
      </w:pPr>
      <w:r>
        <w:rPr>
          <w:rFonts w:ascii="Arial" w:hAnsi="Arial" w:cs="Arial"/>
          <w:iCs/>
          <w:szCs w:val="20"/>
        </w:rPr>
        <w:t>m</w:t>
      </w:r>
      <w:r w:rsidR="0046123B">
        <w:rPr>
          <w:rFonts w:ascii="Arial" w:hAnsi="Arial" w:cs="Arial"/>
          <w:iCs/>
          <w:szCs w:val="20"/>
        </w:rPr>
        <w:t xml:space="preserve">arket factors affecting </w:t>
      </w:r>
      <w:r w:rsidR="00061403">
        <w:rPr>
          <w:rFonts w:ascii="Arial" w:hAnsi="Arial" w:cs="Arial"/>
          <w:iCs/>
          <w:szCs w:val="20"/>
        </w:rPr>
        <w:t>manufactur</w:t>
      </w:r>
      <w:r w:rsidR="0046123B">
        <w:rPr>
          <w:rFonts w:ascii="Arial" w:hAnsi="Arial" w:cs="Arial"/>
          <w:iCs/>
          <w:szCs w:val="20"/>
        </w:rPr>
        <w:t>ing of</w:t>
      </w:r>
      <w:r w:rsidR="00061403">
        <w:rPr>
          <w:rFonts w:ascii="Arial" w:hAnsi="Arial" w:cs="Arial"/>
          <w:iCs/>
          <w:szCs w:val="20"/>
        </w:rPr>
        <w:t xml:space="preserve"> measuring instruments in Australia </w:t>
      </w:r>
      <w:r w:rsidR="00061403" w:rsidRPr="00061403">
        <w:rPr>
          <w:rFonts w:ascii="Arial" w:hAnsi="Arial" w:cs="Arial"/>
          <w:iCs/>
          <w:szCs w:val="20"/>
        </w:rPr>
        <w:t xml:space="preserve"> </w:t>
      </w:r>
    </w:p>
    <w:p w14:paraId="3C117600" w14:textId="77777777" w:rsidR="00061403" w:rsidRDefault="00276957" w:rsidP="00DE02AA">
      <w:pPr>
        <w:pStyle w:val="ListParagraph"/>
        <w:numPr>
          <w:ilvl w:val="0"/>
          <w:numId w:val="27"/>
        </w:numPr>
        <w:spacing w:before="120" w:after="0"/>
        <w:ind w:left="850" w:hanging="425"/>
        <w:contextualSpacing w:val="0"/>
        <w:rPr>
          <w:rFonts w:ascii="Arial" w:hAnsi="Arial" w:cs="Arial"/>
          <w:iCs/>
          <w:szCs w:val="20"/>
        </w:rPr>
      </w:pPr>
      <w:r>
        <w:rPr>
          <w:rFonts w:ascii="Arial" w:hAnsi="Arial" w:cs="Arial"/>
          <w:iCs/>
          <w:szCs w:val="20"/>
        </w:rPr>
        <w:t>d</w:t>
      </w:r>
      <w:r w:rsidR="00061403" w:rsidRPr="00061403">
        <w:rPr>
          <w:rFonts w:ascii="Arial" w:hAnsi="Arial" w:cs="Arial"/>
          <w:iCs/>
          <w:szCs w:val="20"/>
        </w:rPr>
        <w:t xml:space="preserve">emand from </w:t>
      </w:r>
      <w:r w:rsidR="00061403">
        <w:rPr>
          <w:rFonts w:ascii="Arial" w:hAnsi="Arial" w:cs="Arial"/>
          <w:iCs/>
          <w:szCs w:val="20"/>
        </w:rPr>
        <w:t xml:space="preserve">servicing licensee </w:t>
      </w:r>
      <w:r w:rsidR="00061403" w:rsidRPr="00061403">
        <w:rPr>
          <w:rFonts w:ascii="Arial" w:hAnsi="Arial" w:cs="Arial"/>
          <w:iCs/>
          <w:szCs w:val="20"/>
        </w:rPr>
        <w:t xml:space="preserve">clients to verify </w:t>
      </w:r>
      <w:r w:rsidR="00061403">
        <w:rPr>
          <w:rFonts w:ascii="Arial" w:hAnsi="Arial" w:cs="Arial"/>
          <w:iCs/>
          <w:szCs w:val="20"/>
        </w:rPr>
        <w:t xml:space="preserve">trade </w:t>
      </w:r>
      <w:r w:rsidR="00061403" w:rsidRPr="00061403">
        <w:rPr>
          <w:rFonts w:ascii="Arial" w:hAnsi="Arial" w:cs="Arial"/>
          <w:iCs/>
          <w:szCs w:val="20"/>
        </w:rPr>
        <w:t>measuring instruments</w:t>
      </w:r>
      <w:r w:rsidR="00061403">
        <w:rPr>
          <w:rFonts w:ascii="Arial" w:hAnsi="Arial" w:cs="Arial"/>
          <w:iCs/>
          <w:szCs w:val="20"/>
        </w:rPr>
        <w:t xml:space="preserve"> at a commercially viable rate</w:t>
      </w:r>
    </w:p>
    <w:p w14:paraId="04E8B97E" w14:textId="77777777" w:rsidR="003960A3" w:rsidRDefault="00276957" w:rsidP="00DE02AA">
      <w:pPr>
        <w:pStyle w:val="ListParagraph"/>
        <w:numPr>
          <w:ilvl w:val="0"/>
          <w:numId w:val="27"/>
        </w:numPr>
        <w:spacing w:before="120" w:after="0"/>
        <w:ind w:left="850" w:hanging="425"/>
        <w:contextualSpacing w:val="0"/>
        <w:rPr>
          <w:rFonts w:ascii="Arial" w:hAnsi="Arial" w:cs="Arial"/>
          <w:iCs/>
          <w:szCs w:val="20"/>
        </w:rPr>
      </w:pPr>
      <w:r>
        <w:rPr>
          <w:rFonts w:ascii="Arial" w:hAnsi="Arial" w:cs="Arial"/>
          <w:iCs/>
          <w:szCs w:val="20"/>
        </w:rPr>
        <w:t>d</w:t>
      </w:r>
      <w:r w:rsidR="00061403">
        <w:rPr>
          <w:rFonts w:ascii="Arial" w:hAnsi="Arial" w:cs="Arial"/>
          <w:iCs/>
          <w:szCs w:val="20"/>
        </w:rPr>
        <w:t>emand from license</w:t>
      </w:r>
      <w:r w:rsidR="0046123B">
        <w:rPr>
          <w:rFonts w:ascii="Arial" w:hAnsi="Arial" w:cs="Arial"/>
          <w:iCs/>
          <w:szCs w:val="20"/>
        </w:rPr>
        <w:t>e</w:t>
      </w:r>
      <w:r w:rsidR="00061403">
        <w:rPr>
          <w:rFonts w:ascii="Arial" w:hAnsi="Arial" w:cs="Arial"/>
          <w:iCs/>
          <w:szCs w:val="20"/>
        </w:rPr>
        <w:t xml:space="preserve">s clients to use public weighbridges at a commercially viable rate </w:t>
      </w:r>
      <w:r w:rsidR="00061403" w:rsidRPr="00061403">
        <w:rPr>
          <w:rFonts w:ascii="Arial" w:hAnsi="Arial" w:cs="Arial"/>
          <w:iCs/>
          <w:szCs w:val="20"/>
        </w:rPr>
        <w:t xml:space="preserve"> </w:t>
      </w:r>
    </w:p>
    <w:p w14:paraId="6F20C1EE" w14:textId="77777777" w:rsidR="00397DF0" w:rsidRDefault="00276957" w:rsidP="00F37A25">
      <w:pPr>
        <w:pStyle w:val="ListParagraph"/>
        <w:numPr>
          <w:ilvl w:val="0"/>
          <w:numId w:val="27"/>
        </w:numPr>
        <w:spacing w:before="120" w:after="200"/>
        <w:ind w:left="850" w:hanging="425"/>
        <w:contextualSpacing w:val="0"/>
      </w:pPr>
      <w:r w:rsidRPr="008C637B">
        <w:rPr>
          <w:rFonts w:ascii="Arial" w:hAnsi="Arial" w:cs="Arial"/>
          <w:szCs w:val="20"/>
        </w:rPr>
        <w:t>d</w:t>
      </w:r>
      <w:r w:rsidR="00061403" w:rsidRPr="008C637B">
        <w:rPr>
          <w:rFonts w:ascii="Arial" w:hAnsi="Arial" w:cs="Arial"/>
          <w:szCs w:val="20"/>
        </w:rPr>
        <w:t xml:space="preserve">emand from authority clients to use their services at a commercially viable rate.  </w:t>
      </w:r>
    </w:p>
    <w:p w14:paraId="56BCB947" w14:textId="6EDAE5D0" w:rsidR="00CB5ACA" w:rsidRDefault="00AC608F">
      <w:pPr>
        <w:spacing w:after="200" w:line="276" w:lineRule="auto"/>
      </w:pPr>
      <w:r>
        <w:t>The design of regulatory charges may change in the future</w:t>
      </w:r>
      <w:r w:rsidR="00476994">
        <w:t xml:space="preserve"> as a result of the Measurement Law Review that is underway</w:t>
      </w:r>
      <w:r>
        <w:t xml:space="preserve">. </w:t>
      </w:r>
      <w:r w:rsidR="00397DF0" w:rsidRPr="00397DF0">
        <w:t xml:space="preserve">The Measurement Law Review is identifying aspects of Australia’s </w:t>
      </w:r>
      <w:r w:rsidR="008C637B">
        <w:t>m</w:t>
      </w:r>
      <w:r w:rsidR="00397DF0" w:rsidRPr="00397DF0">
        <w:t xml:space="preserve">easurement framework that can be modernised, streamlined or simplified. This will include a review and evaluation of the current charging structure. The review will </w:t>
      </w:r>
      <w:r w:rsidR="004637D0">
        <w:t>present</w:t>
      </w:r>
      <w:r w:rsidR="004637D0" w:rsidRPr="00397DF0">
        <w:t xml:space="preserve"> </w:t>
      </w:r>
      <w:r w:rsidR="00397DF0" w:rsidRPr="00397DF0">
        <w:t xml:space="preserve">reform options for the consideration of the Australian Government in </w:t>
      </w:r>
      <w:r w:rsidR="00073F11" w:rsidRPr="00397DF0">
        <w:t>20</w:t>
      </w:r>
      <w:r w:rsidR="00073F11">
        <w:t>21</w:t>
      </w:r>
      <w:r w:rsidR="00A45A45">
        <w:rPr>
          <w:rFonts w:cs="Arial"/>
          <w:iCs/>
          <w:szCs w:val="20"/>
        </w:rPr>
        <w:t>–</w:t>
      </w:r>
      <w:r w:rsidR="00A45A45">
        <w:t>22</w:t>
      </w:r>
      <w:r w:rsidR="00397DF0" w:rsidRPr="00397DF0">
        <w:t xml:space="preserve">.  </w:t>
      </w:r>
    </w:p>
    <w:p w14:paraId="211CAF56" w14:textId="0655E11A" w:rsidR="00CB5ACA" w:rsidRDefault="00CB5ACA" w:rsidP="00CB5ACA">
      <w:pPr>
        <w:spacing w:after="200" w:line="276" w:lineRule="auto"/>
      </w:pPr>
      <w:r>
        <w:t>The review is gathering input and insights from stakeholders about Australia’s measurement legislation.</w:t>
      </w:r>
      <w:r w:rsidR="008C637B">
        <w:t xml:space="preserve"> The</w:t>
      </w:r>
      <w:r>
        <w:t xml:space="preserve"> NMI’s Measurement Law Review work program </w:t>
      </w:r>
      <w:r w:rsidR="00AC608F">
        <w:t>includes</w:t>
      </w:r>
      <w:r>
        <w:t xml:space="preserve"> the release of six discussion papers, each examining a specific aspect of Australia’s measurement framework. One of the discussion papers considers third party arrangements (including licensees and </w:t>
      </w:r>
      <w:r w:rsidR="00651990">
        <w:t xml:space="preserve">appointed </w:t>
      </w:r>
      <w:r>
        <w:t xml:space="preserve">authorities) and seeks feedback on what arrangements </w:t>
      </w:r>
      <w:r w:rsidRPr="00ED2335">
        <w:t>would best support Australia’s measurement framework and technical measurement infrastructure</w:t>
      </w:r>
      <w:r>
        <w:t>.</w:t>
      </w:r>
    </w:p>
    <w:p w14:paraId="647F4836" w14:textId="77777777" w:rsidR="001929F4" w:rsidRDefault="001929F4">
      <w:pPr>
        <w:spacing w:after="200" w:line="276" w:lineRule="auto"/>
        <w:rPr>
          <w:b/>
          <w:iCs/>
          <w:sz w:val="28"/>
          <w:lang w:val="en-US"/>
        </w:rPr>
      </w:pPr>
      <w:r>
        <w:br w:type="page"/>
      </w:r>
    </w:p>
    <w:p w14:paraId="020234E2" w14:textId="77777777" w:rsidR="008B679D" w:rsidRPr="008366B0" w:rsidRDefault="008B679D" w:rsidP="00695E7B">
      <w:pPr>
        <w:pStyle w:val="Heading1"/>
      </w:pPr>
      <w:bookmarkStart w:id="57" w:name="_Toc516468789"/>
      <w:bookmarkStart w:id="58" w:name="_Toc85106084"/>
      <w:r w:rsidRPr="008366B0">
        <w:lastRenderedPageBreak/>
        <w:t xml:space="preserve">RISK </w:t>
      </w:r>
      <w:r w:rsidRPr="00EE4F30">
        <w:t>ASSESSMENT</w:t>
      </w:r>
      <w:bookmarkEnd w:id="57"/>
      <w:bookmarkEnd w:id="58"/>
    </w:p>
    <w:p w14:paraId="29B37FD8" w14:textId="00C0FB73" w:rsidR="003D65C7" w:rsidRPr="003D65C7" w:rsidRDefault="003D65C7" w:rsidP="003D65C7">
      <w:pPr>
        <w:spacing w:before="120" w:line="276" w:lineRule="auto"/>
        <w:rPr>
          <w:rFonts w:cs="Arial"/>
          <w:szCs w:val="20"/>
          <w:lang w:val="en-US"/>
        </w:rPr>
      </w:pPr>
      <w:r w:rsidRPr="003D65C7">
        <w:rPr>
          <w:rFonts w:cs="Arial"/>
          <w:szCs w:val="20"/>
          <w:lang w:val="en-US"/>
        </w:rPr>
        <w:t xml:space="preserve">In accordance with </w:t>
      </w:r>
      <w:r w:rsidR="00491BAD" w:rsidRPr="003D65C7">
        <w:rPr>
          <w:rFonts w:cs="Arial"/>
          <w:szCs w:val="20"/>
          <w:lang w:val="en-US"/>
        </w:rPr>
        <w:t>the</w:t>
      </w:r>
      <w:r w:rsidR="00491BAD">
        <w:rPr>
          <w:rFonts w:cs="Arial"/>
          <w:szCs w:val="20"/>
          <w:lang w:val="en-US"/>
        </w:rPr>
        <w:t xml:space="preserve"> Australian</w:t>
      </w:r>
      <w:r w:rsidR="00D51E27">
        <w:rPr>
          <w:rFonts w:cs="Arial"/>
          <w:szCs w:val="20"/>
          <w:lang w:val="en-US"/>
        </w:rPr>
        <w:t xml:space="preserve"> Government Charging Framework</w:t>
      </w:r>
      <w:r w:rsidRPr="003D65C7">
        <w:rPr>
          <w:rFonts w:cs="Arial"/>
          <w:szCs w:val="20"/>
          <w:lang w:val="en-US"/>
        </w:rPr>
        <w:t>, NMI undert</w:t>
      </w:r>
      <w:r w:rsidR="00AD689A">
        <w:rPr>
          <w:rFonts w:cs="Arial"/>
          <w:szCs w:val="20"/>
          <w:lang w:val="en-US"/>
        </w:rPr>
        <w:t>ook</w:t>
      </w:r>
      <w:r w:rsidRPr="003D65C7">
        <w:rPr>
          <w:rFonts w:cs="Arial"/>
          <w:szCs w:val="20"/>
          <w:lang w:val="en-US"/>
        </w:rPr>
        <w:t xml:space="preserve"> a preliminary Charging Risk Assessment (CRA) which included the following key components:</w:t>
      </w:r>
    </w:p>
    <w:p w14:paraId="663C4EB8" w14:textId="77777777"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level of change for cost recovery activities</w:t>
      </w:r>
    </w:p>
    <w:p w14:paraId="32A4E41A" w14:textId="77777777"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level of cost recovery revenue</w:t>
      </w:r>
    </w:p>
    <w:p w14:paraId="7ACF8B90" w14:textId="77777777"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complexity in the cost recovery arrangements (i.e. both fees and charges)</w:t>
      </w:r>
    </w:p>
    <w:p w14:paraId="072A1684" w14:textId="77777777"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level of change in legislative arrangements</w:t>
      </w:r>
    </w:p>
    <w:p w14:paraId="74AE7B86" w14:textId="77777777"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level of complexity of working with other government entities to deliver the regulatory functions</w:t>
      </w:r>
    </w:p>
    <w:p w14:paraId="64C5BF02" w14:textId="77777777"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 xml:space="preserve">level of impact of cost recovery on </w:t>
      </w:r>
      <w:r w:rsidR="002F5613">
        <w:rPr>
          <w:rFonts w:ascii="Arial" w:hAnsi="Arial" w:cs="Arial"/>
          <w:szCs w:val="20"/>
          <w:lang w:val="en-US"/>
        </w:rPr>
        <w:t>clients</w:t>
      </w:r>
    </w:p>
    <w:p w14:paraId="113DAF55" w14:textId="77777777"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outcome of consultation with stakeholders (i.e. any significant issues raised).</w:t>
      </w:r>
    </w:p>
    <w:p w14:paraId="067C102C" w14:textId="301D1DB5" w:rsidR="00382484" w:rsidRDefault="00AD689A" w:rsidP="0002245F">
      <w:pPr>
        <w:spacing w:before="120" w:line="276" w:lineRule="auto"/>
        <w:rPr>
          <w:rFonts w:cs="Arial"/>
          <w:szCs w:val="20"/>
          <w:lang w:val="en-US"/>
        </w:rPr>
      </w:pPr>
      <w:r>
        <w:rPr>
          <w:rFonts w:cs="Arial"/>
          <w:szCs w:val="20"/>
          <w:lang w:val="en-US"/>
        </w:rPr>
        <w:t xml:space="preserve">Feedback on the regulatory fees proposed as part of the draft CRIS have been taken into account in the government’s decisions and in finalisation of this CRIS. The decision to allow partial cost recovery rather than full cost recovery for </w:t>
      </w:r>
      <w:r w:rsidR="00382078">
        <w:rPr>
          <w:rFonts w:cs="Arial"/>
          <w:szCs w:val="20"/>
          <w:lang w:val="en-US"/>
        </w:rPr>
        <w:t xml:space="preserve">Pattern Approval </w:t>
      </w:r>
      <w:r>
        <w:rPr>
          <w:rFonts w:cs="Arial"/>
          <w:szCs w:val="20"/>
          <w:lang w:val="en-US"/>
        </w:rPr>
        <w:t xml:space="preserve">laboratory activities directly responds to </w:t>
      </w:r>
      <w:r w:rsidR="0002245F">
        <w:rPr>
          <w:rFonts w:cs="Arial"/>
          <w:szCs w:val="20"/>
          <w:lang w:val="en-US"/>
        </w:rPr>
        <w:t xml:space="preserve">identified risks.  </w:t>
      </w:r>
    </w:p>
    <w:p w14:paraId="6085159D" w14:textId="4BC2027B" w:rsidR="00382484" w:rsidRDefault="0002245F" w:rsidP="0002245F">
      <w:pPr>
        <w:spacing w:before="120" w:line="276" w:lineRule="auto"/>
        <w:rPr>
          <w:rFonts w:cs="Arial"/>
          <w:szCs w:val="20"/>
          <w:lang w:val="en-US"/>
        </w:rPr>
      </w:pPr>
      <w:r>
        <w:rPr>
          <w:rFonts w:cs="Arial"/>
          <w:szCs w:val="20"/>
          <w:lang w:val="en-US"/>
        </w:rPr>
        <w:t xml:space="preserve">To ensure cost increases are not prohibitive, </w:t>
      </w:r>
      <w:r w:rsidR="00382484">
        <w:rPr>
          <w:rFonts w:cs="Arial"/>
          <w:szCs w:val="20"/>
          <w:lang w:val="en-US"/>
        </w:rPr>
        <w:t xml:space="preserve">and to facilitate </w:t>
      </w:r>
      <w:r w:rsidR="00382484" w:rsidRPr="00382484">
        <w:rPr>
          <w:rFonts w:cs="Arial"/>
          <w:szCs w:val="20"/>
          <w:lang w:val="en-US"/>
        </w:rPr>
        <w:t>innovation and market access</w:t>
      </w:r>
      <w:r w:rsidR="00382484">
        <w:rPr>
          <w:rFonts w:cs="Arial"/>
          <w:szCs w:val="20"/>
          <w:lang w:val="en-US"/>
        </w:rPr>
        <w:t xml:space="preserve">, </w:t>
      </w:r>
      <w:r w:rsidRPr="0002245F">
        <w:rPr>
          <w:rFonts w:cs="Arial"/>
          <w:szCs w:val="20"/>
          <w:lang w:val="en-US"/>
        </w:rPr>
        <w:t xml:space="preserve">government support </w:t>
      </w:r>
      <w:r>
        <w:rPr>
          <w:rFonts w:cs="Arial"/>
          <w:szCs w:val="20"/>
          <w:lang w:val="en-US"/>
        </w:rPr>
        <w:t xml:space="preserve">for </w:t>
      </w:r>
      <w:r w:rsidR="00382078">
        <w:rPr>
          <w:rFonts w:cs="Arial"/>
          <w:szCs w:val="20"/>
          <w:lang w:val="en-US"/>
        </w:rPr>
        <w:t>PA</w:t>
      </w:r>
      <w:r>
        <w:rPr>
          <w:rFonts w:cs="Arial"/>
          <w:szCs w:val="20"/>
          <w:lang w:val="en-US"/>
        </w:rPr>
        <w:t xml:space="preserve"> testing </w:t>
      </w:r>
      <w:r w:rsidRPr="0002245F">
        <w:rPr>
          <w:rFonts w:cs="Arial"/>
          <w:szCs w:val="20"/>
          <w:lang w:val="en-US"/>
        </w:rPr>
        <w:t>will continue, limiting</w:t>
      </w:r>
      <w:r>
        <w:rPr>
          <w:rFonts w:cs="Arial"/>
          <w:szCs w:val="20"/>
          <w:lang w:val="en-US"/>
        </w:rPr>
        <w:t xml:space="preserve"> </w:t>
      </w:r>
      <w:r w:rsidRPr="0002245F">
        <w:rPr>
          <w:rFonts w:cs="Arial"/>
          <w:szCs w:val="20"/>
          <w:lang w:val="en-US"/>
        </w:rPr>
        <w:t>the fees charged to around 20 per cent of the full cost</w:t>
      </w:r>
      <w:r w:rsidR="00382484">
        <w:rPr>
          <w:rFonts w:cs="Arial"/>
          <w:szCs w:val="20"/>
          <w:lang w:val="en-US"/>
        </w:rPr>
        <w:t xml:space="preserve"> of that testing</w:t>
      </w:r>
      <w:r w:rsidRPr="0002245F">
        <w:rPr>
          <w:rFonts w:cs="Arial"/>
          <w:szCs w:val="20"/>
          <w:lang w:val="en-US"/>
        </w:rPr>
        <w:t>.</w:t>
      </w:r>
      <w:r>
        <w:rPr>
          <w:rFonts w:cs="Arial"/>
          <w:szCs w:val="20"/>
          <w:lang w:val="en-US"/>
        </w:rPr>
        <w:t xml:space="preserve"> </w:t>
      </w:r>
      <w:r w:rsidR="00382484">
        <w:rPr>
          <w:rFonts w:cs="Arial"/>
          <w:szCs w:val="20"/>
          <w:lang w:val="en-US"/>
        </w:rPr>
        <w:t>L</w:t>
      </w:r>
      <w:r w:rsidR="00382484" w:rsidRPr="0002245F">
        <w:rPr>
          <w:rFonts w:cs="Arial"/>
          <w:szCs w:val="20"/>
          <w:lang w:val="en-US"/>
        </w:rPr>
        <w:t xml:space="preserve">aboratory testing for </w:t>
      </w:r>
      <w:r w:rsidR="00382078">
        <w:rPr>
          <w:rFonts w:cs="Arial"/>
          <w:szCs w:val="20"/>
          <w:lang w:val="en-US"/>
        </w:rPr>
        <w:t>PA</w:t>
      </w:r>
      <w:r w:rsidR="00382484" w:rsidRPr="0002245F">
        <w:rPr>
          <w:rFonts w:cs="Arial"/>
          <w:szCs w:val="20"/>
          <w:lang w:val="en-US"/>
        </w:rPr>
        <w:t xml:space="preserve"> is a comprehensive process intended to</w:t>
      </w:r>
      <w:r w:rsidR="00382484">
        <w:rPr>
          <w:rFonts w:cs="Arial"/>
          <w:szCs w:val="20"/>
          <w:lang w:val="en-US"/>
        </w:rPr>
        <w:t xml:space="preserve"> </w:t>
      </w:r>
      <w:r w:rsidR="00382484" w:rsidRPr="0002245F">
        <w:rPr>
          <w:rFonts w:cs="Arial"/>
          <w:szCs w:val="20"/>
          <w:lang w:val="en-US"/>
        </w:rPr>
        <w:t>demonstrate that the measuring instrument can maintain its calibration (and hence</w:t>
      </w:r>
      <w:r w:rsidR="00382484">
        <w:rPr>
          <w:rFonts w:cs="Arial"/>
          <w:szCs w:val="20"/>
          <w:lang w:val="en-US"/>
        </w:rPr>
        <w:t xml:space="preserve"> </w:t>
      </w:r>
      <w:r w:rsidR="00382484" w:rsidRPr="0002245F">
        <w:rPr>
          <w:rFonts w:cs="Arial"/>
          <w:szCs w:val="20"/>
          <w:lang w:val="en-US"/>
        </w:rPr>
        <w:t>accuracy) in the full range of Australian operating conditions. Testing can include</w:t>
      </w:r>
      <w:r w:rsidR="00382484">
        <w:rPr>
          <w:rFonts w:cs="Arial"/>
          <w:szCs w:val="20"/>
          <w:lang w:val="en-US"/>
        </w:rPr>
        <w:t xml:space="preserve"> </w:t>
      </w:r>
      <w:r w:rsidR="00382484" w:rsidRPr="0002245F">
        <w:rPr>
          <w:rFonts w:cs="Arial"/>
          <w:szCs w:val="20"/>
          <w:lang w:val="en-US"/>
        </w:rPr>
        <w:t>measuring performance under varying conditions such as different temperature,</w:t>
      </w:r>
      <w:r w:rsidR="00382484">
        <w:rPr>
          <w:rFonts w:cs="Arial"/>
          <w:szCs w:val="20"/>
          <w:lang w:val="en-US"/>
        </w:rPr>
        <w:t xml:space="preserve"> </w:t>
      </w:r>
      <w:r w:rsidR="00382484" w:rsidRPr="0002245F">
        <w:rPr>
          <w:rFonts w:cs="Arial"/>
          <w:szCs w:val="20"/>
          <w:lang w:val="en-US"/>
        </w:rPr>
        <w:t>humidity, and electromagnetic interference. The laboratory testing requires a high level</w:t>
      </w:r>
      <w:r w:rsidR="00382484">
        <w:rPr>
          <w:rFonts w:cs="Arial"/>
          <w:szCs w:val="20"/>
          <w:lang w:val="en-US"/>
        </w:rPr>
        <w:t xml:space="preserve"> </w:t>
      </w:r>
      <w:r w:rsidR="00382484" w:rsidRPr="0002245F">
        <w:rPr>
          <w:rFonts w:cs="Arial"/>
          <w:szCs w:val="20"/>
          <w:lang w:val="en-US"/>
        </w:rPr>
        <w:t>of skill and is infrastructure intensive.</w:t>
      </w:r>
      <w:r w:rsidR="00382484">
        <w:rPr>
          <w:rFonts w:cs="Arial"/>
          <w:szCs w:val="20"/>
          <w:lang w:val="en-US"/>
        </w:rPr>
        <w:t xml:space="preserve">  </w:t>
      </w:r>
    </w:p>
    <w:p w14:paraId="6C9B19A0" w14:textId="51F83DF3" w:rsidR="00AD689A" w:rsidRPr="00E52C87" w:rsidRDefault="00382484" w:rsidP="005A229D">
      <w:pPr>
        <w:spacing w:before="120" w:line="276" w:lineRule="auto"/>
        <w:rPr>
          <w:rFonts w:cs="Arial"/>
          <w:szCs w:val="20"/>
        </w:rPr>
      </w:pPr>
      <w:r>
        <w:rPr>
          <w:rFonts w:cs="Arial"/>
          <w:szCs w:val="20"/>
          <w:lang w:val="en-US"/>
        </w:rPr>
        <w:t>P</w:t>
      </w:r>
      <w:r w:rsidRPr="0002245F">
        <w:rPr>
          <w:rFonts w:cs="Arial"/>
          <w:szCs w:val="20"/>
          <w:lang w:val="en-US"/>
        </w:rPr>
        <w:t>has</w:t>
      </w:r>
      <w:r>
        <w:rPr>
          <w:rFonts w:cs="Arial"/>
          <w:szCs w:val="20"/>
          <w:lang w:val="en-US"/>
        </w:rPr>
        <w:t>ing</w:t>
      </w:r>
      <w:r w:rsidRPr="0002245F">
        <w:rPr>
          <w:rFonts w:cs="Arial"/>
          <w:szCs w:val="20"/>
          <w:lang w:val="en-US"/>
        </w:rPr>
        <w:t xml:space="preserve">-in </w:t>
      </w:r>
      <w:r>
        <w:rPr>
          <w:rFonts w:cs="Arial"/>
          <w:szCs w:val="20"/>
          <w:lang w:val="en-US"/>
        </w:rPr>
        <w:t xml:space="preserve">fee increases for other regulatory services (licensing, </w:t>
      </w:r>
      <w:r w:rsidR="00382078">
        <w:rPr>
          <w:rFonts w:cs="Arial"/>
          <w:szCs w:val="20"/>
          <w:lang w:val="en-US"/>
        </w:rPr>
        <w:t>Pattern A</w:t>
      </w:r>
      <w:r>
        <w:rPr>
          <w:rFonts w:cs="Arial"/>
          <w:szCs w:val="20"/>
          <w:lang w:val="en-US"/>
        </w:rPr>
        <w:t xml:space="preserve">pproval and appointments) will allow full cost recovery to be achieved over a period of time. This approach mitigates the risk of sudden shocks </w:t>
      </w:r>
      <w:r w:rsidR="00DD66E6">
        <w:rPr>
          <w:rFonts w:cs="Arial"/>
          <w:szCs w:val="20"/>
          <w:lang w:val="en-US"/>
        </w:rPr>
        <w:t>to the national trade</w:t>
      </w:r>
      <w:r>
        <w:rPr>
          <w:rFonts w:cs="Arial"/>
          <w:szCs w:val="20"/>
          <w:lang w:val="en-US"/>
        </w:rPr>
        <w:t xml:space="preserve"> </w:t>
      </w:r>
      <w:r w:rsidR="00DD66E6">
        <w:rPr>
          <w:rFonts w:cs="Arial"/>
          <w:szCs w:val="20"/>
          <w:lang w:val="en-US"/>
        </w:rPr>
        <w:t xml:space="preserve">measurement system. </w:t>
      </w:r>
      <w:r>
        <w:rPr>
          <w:rFonts w:cs="Arial"/>
          <w:szCs w:val="20"/>
          <w:lang w:val="en-US"/>
        </w:rPr>
        <w:t xml:space="preserve"> </w:t>
      </w:r>
    </w:p>
    <w:p w14:paraId="1532F70E" w14:textId="77777777" w:rsidR="00890D32" w:rsidRPr="00E52C87" w:rsidRDefault="00890D32" w:rsidP="005A229D">
      <w:pPr>
        <w:spacing w:before="120" w:line="276" w:lineRule="auto"/>
        <w:rPr>
          <w:rFonts w:cs="Arial"/>
          <w:szCs w:val="20"/>
        </w:rPr>
      </w:pPr>
    </w:p>
    <w:p w14:paraId="5F3C852A" w14:textId="77777777" w:rsidR="00890D32" w:rsidRDefault="00890D32">
      <w:pPr>
        <w:spacing w:after="200" w:line="276" w:lineRule="auto"/>
        <w:rPr>
          <w:b/>
          <w:iCs/>
          <w:sz w:val="28"/>
          <w:lang w:val="en-US"/>
        </w:rPr>
      </w:pPr>
      <w:r>
        <w:br w:type="page"/>
      </w:r>
    </w:p>
    <w:p w14:paraId="2FCD7520" w14:textId="77777777" w:rsidR="008B679D" w:rsidRPr="008366B0" w:rsidRDefault="008B679D" w:rsidP="00695E7B">
      <w:pPr>
        <w:pStyle w:val="Heading1"/>
      </w:pPr>
      <w:bookmarkStart w:id="59" w:name="_Toc516468790"/>
      <w:bookmarkStart w:id="60" w:name="_Toc85106085"/>
      <w:r w:rsidRPr="00EE4F30">
        <w:lastRenderedPageBreak/>
        <w:t>STAKEHOLDER</w:t>
      </w:r>
      <w:r w:rsidRPr="008366B0">
        <w:t xml:space="preserve"> ENGAGEMENT</w:t>
      </w:r>
      <w:bookmarkEnd w:id="59"/>
      <w:bookmarkEnd w:id="60"/>
    </w:p>
    <w:p w14:paraId="7813106F" w14:textId="3AB20764" w:rsidR="00744006" w:rsidRPr="00744006" w:rsidRDefault="006E604F" w:rsidP="005A229D">
      <w:pPr>
        <w:widowControl w:val="0"/>
        <w:autoSpaceDE w:val="0"/>
        <w:autoSpaceDN w:val="0"/>
        <w:adjustRightInd w:val="0"/>
        <w:spacing w:before="120" w:line="276" w:lineRule="auto"/>
        <w:rPr>
          <w:rFonts w:cs="Arial"/>
          <w:iCs/>
          <w:color w:val="000000" w:themeColor="text1"/>
          <w:szCs w:val="20"/>
        </w:rPr>
      </w:pPr>
      <w:r>
        <w:rPr>
          <w:rFonts w:cs="Arial"/>
          <w:iCs/>
          <w:color w:val="000000" w:themeColor="text1"/>
          <w:szCs w:val="20"/>
        </w:rPr>
        <w:t xml:space="preserve">In the Australian </w:t>
      </w:r>
      <w:r w:rsidR="0068060C">
        <w:rPr>
          <w:rFonts w:cs="Arial"/>
          <w:iCs/>
          <w:color w:val="000000" w:themeColor="text1"/>
          <w:szCs w:val="20"/>
        </w:rPr>
        <w:t xml:space="preserve">measurement </w:t>
      </w:r>
      <w:r>
        <w:rPr>
          <w:rFonts w:cs="Arial"/>
          <w:iCs/>
          <w:color w:val="000000" w:themeColor="text1"/>
          <w:szCs w:val="20"/>
        </w:rPr>
        <w:t xml:space="preserve">framework, </w:t>
      </w:r>
      <w:r w:rsidR="00F914FA">
        <w:rPr>
          <w:rFonts w:cs="Arial"/>
          <w:iCs/>
          <w:color w:val="000000" w:themeColor="text1"/>
          <w:szCs w:val="20"/>
        </w:rPr>
        <w:t xml:space="preserve">NMI </w:t>
      </w:r>
      <w:r w:rsidR="00744006" w:rsidRPr="00744006">
        <w:rPr>
          <w:rFonts w:cs="Arial"/>
          <w:iCs/>
          <w:color w:val="000000" w:themeColor="text1"/>
          <w:szCs w:val="20"/>
        </w:rPr>
        <w:t xml:space="preserve">is part of a complex environment of </w:t>
      </w:r>
      <w:r w:rsidR="00F23BE3" w:rsidRPr="00744006">
        <w:rPr>
          <w:rFonts w:cs="Arial"/>
          <w:iCs/>
          <w:color w:val="000000" w:themeColor="text1"/>
          <w:szCs w:val="20"/>
        </w:rPr>
        <w:t>stakeholders</w:t>
      </w:r>
      <w:r w:rsidR="00F23BE3">
        <w:rPr>
          <w:rFonts w:cs="Arial"/>
          <w:iCs/>
          <w:color w:val="000000" w:themeColor="text1"/>
          <w:szCs w:val="20"/>
        </w:rPr>
        <w:t>,</w:t>
      </w:r>
      <w:r w:rsidR="00F23BE3" w:rsidRPr="00744006">
        <w:rPr>
          <w:rFonts w:cs="Arial"/>
          <w:iCs/>
          <w:color w:val="000000" w:themeColor="text1"/>
          <w:szCs w:val="20"/>
        </w:rPr>
        <w:t xml:space="preserve"> which</w:t>
      </w:r>
      <w:r w:rsidR="00744006" w:rsidRPr="00744006">
        <w:rPr>
          <w:rFonts w:cs="Arial"/>
          <w:iCs/>
          <w:color w:val="000000" w:themeColor="text1"/>
          <w:szCs w:val="20"/>
        </w:rPr>
        <w:t xml:space="preserve"> interact to deliver regulatory </w:t>
      </w:r>
      <w:r w:rsidR="00E05EC0">
        <w:rPr>
          <w:rFonts w:cs="Arial"/>
          <w:iCs/>
          <w:color w:val="000000" w:themeColor="text1"/>
          <w:szCs w:val="20"/>
        </w:rPr>
        <w:t>services</w:t>
      </w:r>
      <w:r w:rsidR="00E05EC0" w:rsidRPr="00744006">
        <w:rPr>
          <w:rFonts w:cs="Arial"/>
          <w:iCs/>
          <w:color w:val="000000" w:themeColor="text1"/>
          <w:szCs w:val="20"/>
        </w:rPr>
        <w:t xml:space="preserve"> </w:t>
      </w:r>
      <w:r w:rsidR="00744006" w:rsidRPr="00744006">
        <w:rPr>
          <w:rFonts w:cs="Arial"/>
          <w:iCs/>
          <w:color w:val="000000" w:themeColor="text1"/>
          <w:szCs w:val="20"/>
        </w:rPr>
        <w:t xml:space="preserve">for </w:t>
      </w:r>
      <w:r w:rsidR="00F914FA">
        <w:rPr>
          <w:rFonts w:cs="Arial"/>
          <w:iCs/>
          <w:color w:val="000000" w:themeColor="text1"/>
          <w:szCs w:val="20"/>
        </w:rPr>
        <w:t xml:space="preserve">a wide range of </w:t>
      </w:r>
      <w:r w:rsidR="00744006" w:rsidRPr="00744006">
        <w:rPr>
          <w:rFonts w:cs="Arial"/>
          <w:iCs/>
          <w:color w:val="000000" w:themeColor="text1"/>
          <w:szCs w:val="20"/>
        </w:rPr>
        <w:t>sector</w:t>
      </w:r>
      <w:r w:rsidR="00F914FA">
        <w:rPr>
          <w:rFonts w:cs="Arial"/>
          <w:iCs/>
          <w:color w:val="000000" w:themeColor="text1"/>
          <w:szCs w:val="20"/>
        </w:rPr>
        <w:t>s</w:t>
      </w:r>
      <w:r w:rsidR="00F23BE3">
        <w:rPr>
          <w:rFonts w:cs="Arial"/>
          <w:iCs/>
          <w:color w:val="000000" w:themeColor="text1"/>
          <w:szCs w:val="20"/>
        </w:rPr>
        <w:t>,</w:t>
      </w:r>
      <w:r w:rsidR="0075362C">
        <w:rPr>
          <w:rFonts w:cs="Arial"/>
          <w:iCs/>
          <w:color w:val="000000" w:themeColor="text1"/>
          <w:szCs w:val="20"/>
        </w:rPr>
        <w:t xml:space="preserve"> </w:t>
      </w:r>
      <w:r w:rsidR="00744006" w:rsidRPr="00744006">
        <w:rPr>
          <w:rFonts w:cs="Arial"/>
          <w:iCs/>
          <w:color w:val="000000" w:themeColor="text1"/>
          <w:szCs w:val="20"/>
        </w:rPr>
        <w:t>includ</w:t>
      </w:r>
      <w:r w:rsidR="00F23BE3">
        <w:rPr>
          <w:rFonts w:cs="Arial"/>
          <w:iCs/>
          <w:color w:val="000000" w:themeColor="text1"/>
          <w:szCs w:val="20"/>
        </w:rPr>
        <w:t>ing</w:t>
      </w:r>
      <w:r w:rsidR="00744006" w:rsidRPr="00744006">
        <w:rPr>
          <w:rFonts w:cs="Arial"/>
          <w:iCs/>
          <w:color w:val="000000" w:themeColor="text1"/>
          <w:szCs w:val="20"/>
        </w:rPr>
        <w:t xml:space="preserve"> </w:t>
      </w:r>
      <w:r w:rsidR="00F914FA">
        <w:rPr>
          <w:rFonts w:cs="Arial"/>
          <w:iCs/>
          <w:color w:val="000000" w:themeColor="text1"/>
          <w:szCs w:val="20"/>
        </w:rPr>
        <w:t xml:space="preserve">manufacturers, licensed and appointed </w:t>
      </w:r>
      <w:r w:rsidR="00F23BE3">
        <w:rPr>
          <w:rFonts w:cs="Arial"/>
          <w:iCs/>
          <w:color w:val="000000" w:themeColor="text1"/>
          <w:szCs w:val="20"/>
        </w:rPr>
        <w:t xml:space="preserve">authorities and </w:t>
      </w:r>
      <w:r w:rsidR="00F914FA">
        <w:rPr>
          <w:rFonts w:cs="Arial"/>
          <w:iCs/>
          <w:color w:val="000000" w:themeColor="text1"/>
          <w:szCs w:val="20"/>
        </w:rPr>
        <w:t xml:space="preserve">service </w:t>
      </w:r>
      <w:r w:rsidR="00744006" w:rsidRPr="00744006">
        <w:rPr>
          <w:rFonts w:cs="Arial"/>
          <w:iCs/>
          <w:color w:val="000000" w:themeColor="text1"/>
          <w:szCs w:val="20"/>
        </w:rPr>
        <w:t>providers</w:t>
      </w:r>
      <w:r w:rsidR="00F914FA">
        <w:rPr>
          <w:rFonts w:cs="Arial"/>
          <w:iCs/>
          <w:color w:val="000000" w:themeColor="text1"/>
          <w:szCs w:val="20"/>
        </w:rPr>
        <w:t>.</w:t>
      </w:r>
      <w:r w:rsidR="00487D23">
        <w:rPr>
          <w:rFonts w:cs="Arial"/>
          <w:iCs/>
          <w:color w:val="000000" w:themeColor="text1"/>
          <w:szCs w:val="20"/>
        </w:rPr>
        <w:t xml:space="preserve"> </w:t>
      </w:r>
      <w:r w:rsidR="00F914FA">
        <w:rPr>
          <w:rFonts w:cs="Arial"/>
          <w:iCs/>
          <w:color w:val="000000" w:themeColor="text1"/>
          <w:szCs w:val="20"/>
        </w:rPr>
        <w:t xml:space="preserve">NMI </w:t>
      </w:r>
      <w:r w:rsidR="00744006" w:rsidRPr="00744006">
        <w:rPr>
          <w:rFonts w:cs="Arial"/>
          <w:iCs/>
          <w:color w:val="000000" w:themeColor="text1"/>
          <w:szCs w:val="20"/>
        </w:rPr>
        <w:t>actively engages with stakeholders throughout the year through a range of engagement activities and communication channels.</w:t>
      </w:r>
    </w:p>
    <w:p w14:paraId="0E6A5AED" w14:textId="6D668ADF" w:rsidR="0075362C" w:rsidRDefault="00F914FA" w:rsidP="00CA0BDD">
      <w:pPr>
        <w:widowControl w:val="0"/>
        <w:autoSpaceDE w:val="0"/>
        <w:autoSpaceDN w:val="0"/>
        <w:adjustRightInd w:val="0"/>
        <w:spacing w:before="120" w:line="276" w:lineRule="auto"/>
        <w:rPr>
          <w:rFonts w:cs="Arial"/>
          <w:iCs/>
          <w:color w:val="000000" w:themeColor="text1"/>
          <w:szCs w:val="20"/>
        </w:rPr>
      </w:pPr>
      <w:r>
        <w:rPr>
          <w:rFonts w:cs="Arial"/>
          <w:iCs/>
          <w:color w:val="000000" w:themeColor="text1"/>
          <w:szCs w:val="20"/>
        </w:rPr>
        <w:t xml:space="preserve">NMI </w:t>
      </w:r>
      <w:r w:rsidR="00A54BF4">
        <w:rPr>
          <w:rFonts w:cs="Arial"/>
          <w:iCs/>
          <w:color w:val="000000" w:themeColor="text1"/>
          <w:szCs w:val="20"/>
        </w:rPr>
        <w:t>undertook</w:t>
      </w:r>
      <w:r>
        <w:rPr>
          <w:rFonts w:cs="Arial"/>
          <w:iCs/>
          <w:color w:val="000000" w:themeColor="text1"/>
          <w:szCs w:val="20"/>
        </w:rPr>
        <w:t xml:space="preserve"> </w:t>
      </w:r>
      <w:r w:rsidR="00744006" w:rsidRPr="00744006">
        <w:rPr>
          <w:rFonts w:cs="Arial"/>
          <w:iCs/>
          <w:color w:val="000000" w:themeColor="text1"/>
          <w:szCs w:val="20"/>
        </w:rPr>
        <w:t xml:space="preserve">public consultations for </w:t>
      </w:r>
      <w:r w:rsidR="00A54BF4">
        <w:rPr>
          <w:rFonts w:cs="Arial"/>
          <w:iCs/>
          <w:color w:val="000000" w:themeColor="text1"/>
          <w:szCs w:val="20"/>
        </w:rPr>
        <w:t>the</w:t>
      </w:r>
      <w:r>
        <w:rPr>
          <w:rFonts w:cs="Arial"/>
          <w:iCs/>
          <w:color w:val="000000" w:themeColor="text1"/>
          <w:szCs w:val="20"/>
        </w:rPr>
        <w:t xml:space="preserve"> </w:t>
      </w:r>
      <w:r w:rsidR="002445EE">
        <w:rPr>
          <w:rFonts w:cs="Arial"/>
          <w:iCs/>
          <w:color w:val="000000" w:themeColor="text1"/>
          <w:szCs w:val="20"/>
        </w:rPr>
        <w:t>D</w:t>
      </w:r>
      <w:r>
        <w:rPr>
          <w:rFonts w:cs="Arial"/>
          <w:iCs/>
          <w:color w:val="000000" w:themeColor="text1"/>
          <w:szCs w:val="20"/>
        </w:rPr>
        <w:t xml:space="preserve">raft </w:t>
      </w:r>
      <w:r w:rsidR="00744006" w:rsidRPr="00744006">
        <w:rPr>
          <w:rFonts w:cs="Arial"/>
          <w:iCs/>
          <w:color w:val="000000" w:themeColor="text1"/>
          <w:szCs w:val="20"/>
        </w:rPr>
        <w:t>CRIS</w:t>
      </w:r>
      <w:r w:rsidR="0075362C">
        <w:rPr>
          <w:rFonts w:cs="Arial"/>
          <w:iCs/>
          <w:color w:val="000000" w:themeColor="text1"/>
          <w:szCs w:val="20"/>
        </w:rPr>
        <w:t xml:space="preserve"> </w:t>
      </w:r>
      <w:r w:rsidRPr="00F914FA">
        <w:rPr>
          <w:rFonts w:cs="Arial"/>
          <w:iCs/>
          <w:color w:val="000000" w:themeColor="text1"/>
          <w:szCs w:val="20"/>
        </w:rPr>
        <w:t xml:space="preserve">from </w:t>
      </w:r>
      <w:r w:rsidR="000C4361">
        <w:rPr>
          <w:rFonts w:cs="Arial"/>
          <w:iCs/>
          <w:color w:val="000000" w:themeColor="text1"/>
          <w:szCs w:val="20"/>
        </w:rPr>
        <w:t>14</w:t>
      </w:r>
      <w:r w:rsidR="00CA0BDD">
        <w:rPr>
          <w:rFonts w:cs="Arial"/>
          <w:iCs/>
          <w:color w:val="000000" w:themeColor="text1"/>
          <w:szCs w:val="20"/>
        </w:rPr>
        <w:t xml:space="preserve"> December</w:t>
      </w:r>
      <w:r w:rsidR="004653A0">
        <w:rPr>
          <w:rFonts w:cs="Arial"/>
          <w:iCs/>
          <w:color w:val="000000" w:themeColor="text1"/>
          <w:szCs w:val="20"/>
        </w:rPr>
        <w:t xml:space="preserve"> </w:t>
      </w:r>
      <w:r w:rsidR="0075362C">
        <w:rPr>
          <w:rFonts w:cs="Arial"/>
          <w:iCs/>
          <w:color w:val="000000" w:themeColor="text1"/>
          <w:szCs w:val="20"/>
        </w:rPr>
        <w:t>2017 to</w:t>
      </w:r>
      <w:r w:rsidR="004825BF">
        <w:rPr>
          <w:rFonts w:cs="Arial"/>
          <w:iCs/>
          <w:color w:val="000000" w:themeColor="text1"/>
          <w:szCs w:val="20"/>
        </w:rPr>
        <w:t xml:space="preserve"> </w:t>
      </w:r>
      <w:r w:rsidR="00CA0BDD">
        <w:rPr>
          <w:rFonts w:cs="Arial"/>
          <w:iCs/>
          <w:color w:val="000000" w:themeColor="text1"/>
          <w:szCs w:val="20"/>
        </w:rPr>
        <w:t>8 February</w:t>
      </w:r>
      <w:r w:rsidR="0075362C">
        <w:rPr>
          <w:rFonts w:cs="Arial"/>
          <w:iCs/>
          <w:color w:val="000000" w:themeColor="text1"/>
          <w:szCs w:val="20"/>
        </w:rPr>
        <w:t xml:space="preserve"> 201</w:t>
      </w:r>
      <w:r w:rsidR="0072518F">
        <w:rPr>
          <w:rFonts w:cs="Arial"/>
          <w:iCs/>
          <w:color w:val="000000" w:themeColor="text1"/>
          <w:szCs w:val="20"/>
        </w:rPr>
        <w:t>8</w:t>
      </w:r>
      <w:r w:rsidR="00744006" w:rsidRPr="00744006">
        <w:rPr>
          <w:rFonts w:cs="Arial"/>
          <w:iCs/>
          <w:color w:val="000000" w:themeColor="text1"/>
          <w:szCs w:val="20"/>
        </w:rPr>
        <w:t xml:space="preserve">. Feedback from these consultations </w:t>
      </w:r>
      <w:r w:rsidR="00A54BF4">
        <w:rPr>
          <w:rFonts w:cs="Arial"/>
          <w:iCs/>
          <w:color w:val="000000" w:themeColor="text1"/>
          <w:szCs w:val="20"/>
        </w:rPr>
        <w:t>w</w:t>
      </w:r>
      <w:r w:rsidR="00254CED">
        <w:rPr>
          <w:rFonts w:cs="Arial"/>
          <w:iCs/>
          <w:color w:val="000000" w:themeColor="text1"/>
          <w:szCs w:val="20"/>
        </w:rPr>
        <w:t>as</w:t>
      </w:r>
      <w:r>
        <w:rPr>
          <w:rFonts w:cs="Arial"/>
          <w:iCs/>
          <w:color w:val="000000" w:themeColor="text1"/>
          <w:szCs w:val="20"/>
        </w:rPr>
        <w:t xml:space="preserve"> </w:t>
      </w:r>
      <w:r w:rsidR="00744006" w:rsidRPr="00744006">
        <w:rPr>
          <w:rFonts w:cs="Arial"/>
          <w:iCs/>
          <w:color w:val="000000" w:themeColor="text1"/>
          <w:szCs w:val="20"/>
        </w:rPr>
        <w:t xml:space="preserve">considered in the revised schedule of fees and charges outlined for </w:t>
      </w:r>
      <w:r w:rsidR="00073F11">
        <w:rPr>
          <w:rFonts w:cs="Arial"/>
          <w:iCs/>
          <w:color w:val="000000" w:themeColor="text1"/>
          <w:szCs w:val="20"/>
        </w:rPr>
        <w:t xml:space="preserve">the period </w:t>
      </w:r>
      <w:r w:rsidR="00744006" w:rsidRPr="00744006">
        <w:rPr>
          <w:rFonts w:cs="Arial"/>
          <w:iCs/>
          <w:color w:val="000000" w:themeColor="text1"/>
          <w:szCs w:val="20"/>
        </w:rPr>
        <w:t>201</w:t>
      </w:r>
      <w:r w:rsidR="007749F4">
        <w:rPr>
          <w:rFonts w:cs="Arial"/>
          <w:iCs/>
          <w:color w:val="000000" w:themeColor="text1"/>
          <w:szCs w:val="20"/>
        </w:rPr>
        <w:t>9</w:t>
      </w:r>
      <w:r w:rsidR="00252339">
        <w:rPr>
          <w:rFonts w:cs="Arial"/>
          <w:iCs/>
          <w:color w:val="000000" w:themeColor="text1"/>
          <w:szCs w:val="20"/>
        </w:rPr>
        <w:t>–</w:t>
      </w:r>
      <w:r w:rsidR="00073F11">
        <w:rPr>
          <w:rFonts w:cs="Arial"/>
          <w:iCs/>
          <w:color w:val="000000" w:themeColor="text1"/>
          <w:szCs w:val="20"/>
        </w:rPr>
        <w:t>23</w:t>
      </w:r>
      <w:r w:rsidR="00154478">
        <w:rPr>
          <w:rFonts w:cs="Arial"/>
          <w:iCs/>
          <w:color w:val="000000" w:themeColor="text1"/>
          <w:szCs w:val="20"/>
        </w:rPr>
        <w:t>. T</w:t>
      </w:r>
      <w:r w:rsidR="00AE17A5">
        <w:rPr>
          <w:rFonts w:cs="Arial"/>
          <w:iCs/>
          <w:color w:val="000000" w:themeColor="text1"/>
          <w:szCs w:val="20"/>
        </w:rPr>
        <w:t>he decision</w:t>
      </w:r>
      <w:r w:rsidR="007464B5">
        <w:rPr>
          <w:rFonts w:cs="Arial"/>
          <w:iCs/>
          <w:color w:val="000000" w:themeColor="text1"/>
          <w:szCs w:val="20"/>
        </w:rPr>
        <w:t>s</w:t>
      </w:r>
      <w:r w:rsidR="00AE17A5">
        <w:rPr>
          <w:rFonts w:cs="Arial"/>
          <w:iCs/>
          <w:color w:val="000000" w:themeColor="text1"/>
          <w:szCs w:val="20"/>
        </w:rPr>
        <w:t xml:space="preserve"> to phase-in </w:t>
      </w:r>
      <w:r w:rsidR="007464B5">
        <w:rPr>
          <w:rFonts w:cs="Arial"/>
          <w:iCs/>
          <w:color w:val="000000" w:themeColor="text1"/>
          <w:szCs w:val="20"/>
        </w:rPr>
        <w:t xml:space="preserve">full cost recovery for most regulatory services, and to allow partial cost recovery for </w:t>
      </w:r>
      <w:r w:rsidR="00382078">
        <w:rPr>
          <w:rFonts w:cs="Arial"/>
          <w:iCs/>
          <w:color w:val="000000" w:themeColor="text1"/>
          <w:szCs w:val="20"/>
        </w:rPr>
        <w:t xml:space="preserve">Pattern Approval </w:t>
      </w:r>
      <w:r w:rsidR="007464B5">
        <w:rPr>
          <w:rFonts w:cs="Arial"/>
          <w:iCs/>
          <w:color w:val="000000" w:themeColor="text1"/>
          <w:szCs w:val="20"/>
        </w:rPr>
        <w:t xml:space="preserve">laboratory activities, responds to stakeholder feedback. </w:t>
      </w:r>
    </w:p>
    <w:p w14:paraId="212EFF74" w14:textId="681D4CED" w:rsidR="00252339" w:rsidRDefault="00252339" w:rsidP="00CA0BDD">
      <w:pPr>
        <w:widowControl w:val="0"/>
        <w:autoSpaceDE w:val="0"/>
        <w:autoSpaceDN w:val="0"/>
        <w:adjustRightInd w:val="0"/>
        <w:spacing w:before="120" w:line="276" w:lineRule="auto"/>
        <w:rPr>
          <w:rFonts w:cs="Arial"/>
          <w:iCs/>
          <w:color w:val="000000" w:themeColor="text1"/>
          <w:szCs w:val="20"/>
        </w:rPr>
      </w:pPr>
      <w:r>
        <w:rPr>
          <w:rFonts w:cs="Arial"/>
          <w:iCs/>
          <w:color w:val="000000" w:themeColor="text1"/>
          <w:szCs w:val="20"/>
        </w:rPr>
        <w:t>The</w:t>
      </w:r>
      <w:r w:rsidR="00141654">
        <w:rPr>
          <w:rFonts w:cs="Arial"/>
          <w:iCs/>
          <w:color w:val="000000" w:themeColor="text1"/>
          <w:szCs w:val="20"/>
        </w:rPr>
        <w:t xml:space="preserve"> public consultation process received</w:t>
      </w:r>
      <w:r>
        <w:rPr>
          <w:rFonts w:cs="Arial"/>
          <w:iCs/>
          <w:color w:val="000000" w:themeColor="text1"/>
          <w:szCs w:val="20"/>
        </w:rPr>
        <w:t xml:space="preserve"> </w:t>
      </w:r>
      <w:r w:rsidRPr="002445EE">
        <w:rPr>
          <w:rFonts w:cs="Arial"/>
          <w:iCs/>
          <w:color w:val="000000" w:themeColor="text1"/>
          <w:szCs w:val="20"/>
        </w:rPr>
        <w:t>49 written submissions from 36 different organisations</w:t>
      </w:r>
      <w:r>
        <w:rPr>
          <w:rFonts w:cs="Arial"/>
          <w:iCs/>
          <w:color w:val="000000" w:themeColor="text1"/>
          <w:szCs w:val="20"/>
        </w:rPr>
        <w:t>,</w:t>
      </w:r>
      <w:r w:rsidRPr="002445EE">
        <w:rPr>
          <w:rFonts w:cs="Arial"/>
          <w:iCs/>
          <w:color w:val="000000" w:themeColor="text1"/>
          <w:szCs w:val="20"/>
        </w:rPr>
        <w:t xml:space="preserve"> representing a total of 426 stakeholders (including industry associations). 70 stakeholders from across Australia participated in the face to face meetings held on 30 January 2018, in Adelaide, Brisbane, Melbourne, Sydney and Perth.</w:t>
      </w:r>
    </w:p>
    <w:p w14:paraId="230AD850" w14:textId="77777777" w:rsidR="00A54BF4" w:rsidRDefault="00A54BF4" w:rsidP="00CA0BDD">
      <w:pPr>
        <w:widowControl w:val="0"/>
        <w:autoSpaceDE w:val="0"/>
        <w:autoSpaceDN w:val="0"/>
        <w:adjustRightInd w:val="0"/>
        <w:spacing w:before="120" w:line="276" w:lineRule="auto"/>
        <w:rPr>
          <w:rFonts w:cs="Arial"/>
          <w:iCs/>
          <w:color w:val="000000" w:themeColor="text1"/>
          <w:szCs w:val="20"/>
        </w:rPr>
      </w:pPr>
      <w:r>
        <w:rPr>
          <w:rFonts w:cs="Arial"/>
          <w:iCs/>
          <w:color w:val="000000" w:themeColor="text1"/>
          <w:szCs w:val="20"/>
        </w:rPr>
        <w:t xml:space="preserve">Some of the key </w:t>
      </w:r>
      <w:r w:rsidR="002445EE">
        <w:rPr>
          <w:rFonts w:cs="Arial"/>
          <w:iCs/>
          <w:color w:val="000000" w:themeColor="text1"/>
          <w:szCs w:val="20"/>
        </w:rPr>
        <w:t>issues raised through public consultation on Draft CRIS 2017</w:t>
      </w:r>
      <w:r w:rsidR="00252339">
        <w:rPr>
          <w:rFonts w:cs="Arial"/>
          <w:iCs/>
          <w:color w:val="000000" w:themeColor="text1"/>
          <w:szCs w:val="20"/>
        </w:rPr>
        <w:t>–</w:t>
      </w:r>
      <w:r w:rsidR="002445EE">
        <w:rPr>
          <w:rFonts w:cs="Arial"/>
          <w:iCs/>
          <w:color w:val="000000" w:themeColor="text1"/>
          <w:szCs w:val="20"/>
        </w:rPr>
        <w:t>2018</w:t>
      </w:r>
      <w:r w:rsidR="00785069">
        <w:rPr>
          <w:rFonts w:cs="Arial"/>
          <w:iCs/>
          <w:color w:val="000000" w:themeColor="text1"/>
          <w:szCs w:val="20"/>
        </w:rPr>
        <w:t xml:space="preserve"> include</w:t>
      </w:r>
      <w:r w:rsidR="002445EE">
        <w:rPr>
          <w:rFonts w:cs="Arial"/>
          <w:iCs/>
          <w:color w:val="000000" w:themeColor="text1"/>
          <w:szCs w:val="20"/>
        </w:rPr>
        <w:t>:</w:t>
      </w:r>
    </w:p>
    <w:p w14:paraId="4DC71EAE" w14:textId="77777777" w:rsidR="002445EE" w:rsidRPr="002445EE" w:rsidRDefault="002445EE" w:rsidP="002445EE">
      <w:pPr>
        <w:widowControl w:val="0"/>
        <w:numPr>
          <w:ilvl w:val="0"/>
          <w:numId w:val="29"/>
        </w:numPr>
        <w:autoSpaceDE w:val="0"/>
        <w:autoSpaceDN w:val="0"/>
        <w:adjustRightInd w:val="0"/>
        <w:spacing w:before="120" w:line="276" w:lineRule="auto"/>
        <w:rPr>
          <w:rFonts w:cs="Arial"/>
          <w:iCs/>
          <w:color w:val="000000" w:themeColor="text1"/>
          <w:szCs w:val="20"/>
        </w:rPr>
      </w:pPr>
      <w:r w:rsidRPr="002445EE">
        <w:rPr>
          <w:rFonts w:cs="Arial"/>
          <w:iCs/>
          <w:color w:val="000000" w:themeColor="text1"/>
          <w:szCs w:val="20"/>
        </w:rPr>
        <w:t>A majority of the respondents (56 per cent) expressed concerns and did not support any fee increase. Of the remaining respondents, half (22 percent overall) supported fee increases to achieve full cost recovery and half (another 22 percent) acknowledged a fee increase may be required to cover fixed costs and the current services, but not to the extent proposed in the Draft CRIS.</w:t>
      </w:r>
    </w:p>
    <w:p w14:paraId="6AF0CC74" w14:textId="0F7C3840" w:rsidR="002445EE" w:rsidRPr="002445EE" w:rsidRDefault="002445EE" w:rsidP="002445EE">
      <w:pPr>
        <w:widowControl w:val="0"/>
        <w:numPr>
          <w:ilvl w:val="0"/>
          <w:numId w:val="29"/>
        </w:numPr>
        <w:autoSpaceDE w:val="0"/>
        <w:autoSpaceDN w:val="0"/>
        <w:adjustRightInd w:val="0"/>
        <w:spacing w:before="120" w:line="276" w:lineRule="auto"/>
        <w:rPr>
          <w:rFonts w:cs="Arial"/>
          <w:iCs/>
          <w:color w:val="000000" w:themeColor="text1"/>
          <w:szCs w:val="20"/>
        </w:rPr>
      </w:pPr>
      <w:r w:rsidRPr="002445EE">
        <w:rPr>
          <w:rFonts w:cs="Arial"/>
          <w:iCs/>
          <w:color w:val="000000" w:themeColor="text1"/>
          <w:szCs w:val="20"/>
        </w:rPr>
        <w:t xml:space="preserve">Some of the major impacts of the proposed </w:t>
      </w:r>
      <w:r w:rsidR="0068060C">
        <w:rPr>
          <w:rFonts w:cs="Arial"/>
          <w:iCs/>
          <w:color w:val="000000" w:themeColor="text1"/>
          <w:szCs w:val="20"/>
        </w:rPr>
        <w:t xml:space="preserve">fee </w:t>
      </w:r>
      <w:r w:rsidRPr="002445EE">
        <w:rPr>
          <w:rFonts w:cs="Arial"/>
          <w:iCs/>
          <w:color w:val="000000" w:themeColor="text1"/>
          <w:szCs w:val="20"/>
        </w:rPr>
        <w:t>increase</w:t>
      </w:r>
      <w:r w:rsidR="0068060C">
        <w:rPr>
          <w:rFonts w:cs="Arial"/>
          <w:iCs/>
          <w:color w:val="000000" w:themeColor="text1"/>
          <w:szCs w:val="20"/>
        </w:rPr>
        <w:t>s</w:t>
      </w:r>
      <w:r w:rsidRPr="002445EE">
        <w:rPr>
          <w:rFonts w:cs="Arial"/>
          <w:iCs/>
          <w:color w:val="000000" w:themeColor="text1"/>
          <w:szCs w:val="20"/>
        </w:rPr>
        <w:t xml:space="preserve"> to </w:t>
      </w:r>
      <w:r w:rsidR="00382078">
        <w:rPr>
          <w:rFonts w:cs="Arial"/>
          <w:b/>
          <w:iCs/>
          <w:color w:val="000000" w:themeColor="text1"/>
          <w:szCs w:val="20"/>
        </w:rPr>
        <w:t>P</w:t>
      </w:r>
      <w:r w:rsidR="00382078" w:rsidRPr="00465D27">
        <w:rPr>
          <w:rFonts w:cs="Arial"/>
          <w:b/>
          <w:iCs/>
          <w:color w:val="000000" w:themeColor="text1"/>
          <w:szCs w:val="20"/>
        </w:rPr>
        <w:t xml:space="preserve">attern </w:t>
      </w:r>
      <w:r w:rsidR="00382078">
        <w:rPr>
          <w:rFonts w:cs="Arial"/>
          <w:b/>
          <w:iCs/>
          <w:color w:val="000000" w:themeColor="text1"/>
          <w:szCs w:val="20"/>
        </w:rPr>
        <w:t>A</w:t>
      </w:r>
      <w:r w:rsidR="00382078" w:rsidRPr="00465D27">
        <w:rPr>
          <w:rFonts w:cs="Arial"/>
          <w:b/>
          <w:iCs/>
          <w:color w:val="000000" w:themeColor="text1"/>
          <w:szCs w:val="20"/>
        </w:rPr>
        <w:t xml:space="preserve">pproval </w:t>
      </w:r>
      <w:r w:rsidRPr="0068060C">
        <w:rPr>
          <w:rFonts w:cs="Arial"/>
          <w:b/>
          <w:iCs/>
          <w:color w:val="000000" w:themeColor="text1"/>
          <w:szCs w:val="20"/>
        </w:rPr>
        <w:t>laboratory</w:t>
      </w:r>
      <w:r w:rsidRPr="002445EE">
        <w:rPr>
          <w:rFonts w:cs="Arial"/>
          <w:b/>
          <w:iCs/>
          <w:color w:val="000000" w:themeColor="text1"/>
          <w:szCs w:val="20"/>
        </w:rPr>
        <w:t xml:space="preserve"> testing</w:t>
      </w:r>
      <w:r w:rsidRPr="002445EE">
        <w:rPr>
          <w:rFonts w:cs="Arial"/>
          <w:iCs/>
          <w:color w:val="000000" w:themeColor="text1"/>
          <w:szCs w:val="20"/>
        </w:rPr>
        <w:t>, as identified by the respondents, were:</w:t>
      </w:r>
    </w:p>
    <w:p w14:paraId="32E076C7" w14:textId="77777777" w:rsidR="002445EE" w:rsidRPr="002445EE" w:rsidRDefault="00141654" w:rsidP="002445EE">
      <w:pPr>
        <w:widowControl w:val="0"/>
        <w:numPr>
          <w:ilvl w:val="0"/>
          <w:numId w:val="30"/>
        </w:numPr>
        <w:autoSpaceDE w:val="0"/>
        <w:autoSpaceDN w:val="0"/>
        <w:adjustRightInd w:val="0"/>
        <w:spacing w:before="120" w:line="276" w:lineRule="auto"/>
        <w:rPr>
          <w:rFonts w:cs="Arial"/>
          <w:iCs/>
          <w:color w:val="000000" w:themeColor="text1"/>
          <w:szCs w:val="20"/>
        </w:rPr>
      </w:pPr>
      <w:r>
        <w:rPr>
          <w:rFonts w:cs="Arial"/>
          <w:iCs/>
          <w:color w:val="000000" w:themeColor="text1"/>
          <w:szCs w:val="20"/>
        </w:rPr>
        <w:t>i</w:t>
      </w:r>
      <w:r w:rsidR="002445EE" w:rsidRPr="002445EE">
        <w:rPr>
          <w:rFonts w:cs="Arial"/>
          <w:iCs/>
          <w:color w:val="000000" w:themeColor="text1"/>
          <w:szCs w:val="20"/>
        </w:rPr>
        <w:t>t would not be financially viable for Australian businesses to continue accessing these services from</w:t>
      </w:r>
      <w:r>
        <w:rPr>
          <w:rFonts w:cs="Arial"/>
          <w:iCs/>
          <w:color w:val="000000" w:themeColor="text1"/>
          <w:szCs w:val="20"/>
        </w:rPr>
        <w:t xml:space="preserve"> the</w:t>
      </w:r>
      <w:r w:rsidR="002445EE" w:rsidRPr="002445EE">
        <w:rPr>
          <w:rFonts w:cs="Arial"/>
          <w:iCs/>
          <w:color w:val="000000" w:themeColor="text1"/>
          <w:szCs w:val="20"/>
        </w:rPr>
        <w:t xml:space="preserve"> NMI</w:t>
      </w:r>
    </w:p>
    <w:p w14:paraId="683974DA" w14:textId="77777777" w:rsidR="002445EE" w:rsidRPr="002445EE" w:rsidRDefault="00141654" w:rsidP="002445EE">
      <w:pPr>
        <w:widowControl w:val="0"/>
        <w:numPr>
          <w:ilvl w:val="0"/>
          <w:numId w:val="30"/>
        </w:numPr>
        <w:autoSpaceDE w:val="0"/>
        <w:autoSpaceDN w:val="0"/>
        <w:adjustRightInd w:val="0"/>
        <w:spacing w:before="120" w:line="276" w:lineRule="auto"/>
        <w:rPr>
          <w:rFonts w:cs="Arial"/>
          <w:iCs/>
          <w:color w:val="000000" w:themeColor="text1"/>
          <w:szCs w:val="20"/>
        </w:rPr>
      </w:pPr>
      <w:r>
        <w:rPr>
          <w:rFonts w:cs="Arial"/>
          <w:iCs/>
          <w:color w:val="000000" w:themeColor="text1"/>
          <w:szCs w:val="20"/>
        </w:rPr>
        <w:t>a</w:t>
      </w:r>
      <w:r w:rsidR="002445EE" w:rsidRPr="002445EE">
        <w:rPr>
          <w:rFonts w:cs="Arial"/>
          <w:iCs/>
          <w:color w:val="000000" w:themeColor="text1"/>
          <w:szCs w:val="20"/>
        </w:rPr>
        <w:t xml:space="preserve"> complete reduction in demand for these services would threaten </w:t>
      </w:r>
      <w:r>
        <w:rPr>
          <w:rFonts w:cs="Arial"/>
          <w:iCs/>
          <w:color w:val="000000" w:themeColor="text1"/>
          <w:szCs w:val="20"/>
        </w:rPr>
        <w:t xml:space="preserve">the </w:t>
      </w:r>
      <w:r w:rsidR="002445EE" w:rsidRPr="002445EE">
        <w:rPr>
          <w:rFonts w:cs="Arial"/>
          <w:iCs/>
          <w:color w:val="000000" w:themeColor="text1"/>
          <w:szCs w:val="20"/>
        </w:rPr>
        <w:t>NMI’s technical capability and consequently industry confidence in Australia’s measurement system</w:t>
      </w:r>
    </w:p>
    <w:p w14:paraId="7F44B0C0" w14:textId="77777777" w:rsidR="002445EE" w:rsidRPr="002445EE" w:rsidRDefault="00141654" w:rsidP="002445EE">
      <w:pPr>
        <w:widowControl w:val="0"/>
        <w:numPr>
          <w:ilvl w:val="0"/>
          <w:numId w:val="30"/>
        </w:numPr>
        <w:autoSpaceDE w:val="0"/>
        <w:autoSpaceDN w:val="0"/>
        <w:adjustRightInd w:val="0"/>
        <w:spacing w:before="120" w:line="276" w:lineRule="auto"/>
        <w:rPr>
          <w:rFonts w:cs="Arial"/>
          <w:iCs/>
          <w:color w:val="000000" w:themeColor="text1"/>
          <w:szCs w:val="20"/>
        </w:rPr>
      </w:pPr>
      <w:r>
        <w:rPr>
          <w:rFonts w:cs="Arial"/>
          <w:iCs/>
          <w:color w:val="000000" w:themeColor="text1"/>
          <w:szCs w:val="20"/>
        </w:rPr>
        <w:t>r</w:t>
      </w:r>
      <w:r w:rsidR="002445EE" w:rsidRPr="002445EE">
        <w:rPr>
          <w:rFonts w:cs="Arial"/>
          <w:iCs/>
          <w:color w:val="000000" w:themeColor="text1"/>
          <w:szCs w:val="20"/>
        </w:rPr>
        <w:t xml:space="preserve">educed demand would result in the financial projections for </w:t>
      </w:r>
      <w:r>
        <w:rPr>
          <w:rFonts w:cs="Arial"/>
          <w:iCs/>
          <w:color w:val="000000" w:themeColor="text1"/>
          <w:szCs w:val="20"/>
        </w:rPr>
        <w:t xml:space="preserve">the </w:t>
      </w:r>
      <w:r w:rsidR="002445EE" w:rsidRPr="002445EE">
        <w:rPr>
          <w:rFonts w:cs="Arial"/>
          <w:iCs/>
          <w:color w:val="000000" w:themeColor="text1"/>
          <w:szCs w:val="20"/>
        </w:rPr>
        <w:t>NMI not being realised</w:t>
      </w:r>
    </w:p>
    <w:p w14:paraId="093DA2A0" w14:textId="77777777" w:rsidR="002445EE" w:rsidRPr="002445EE" w:rsidRDefault="00141654" w:rsidP="002445EE">
      <w:pPr>
        <w:widowControl w:val="0"/>
        <w:numPr>
          <w:ilvl w:val="0"/>
          <w:numId w:val="30"/>
        </w:numPr>
        <w:autoSpaceDE w:val="0"/>
        <w:autoSpaceDN w:val="0"/>
        <w:adjustRightInd w:val="0"/>
        <w:spacing w:before="120" w:line="276" w:lineRule="auto"/>
        <w:rPr>
          <w:rFonts w:cs="Arial"/>
          <w:iCs/>
          <w:color w:val="000000" w:themeColor="text1"/>
          <w:szCs w:val="20"/>
        </w:rPr>
      </w:pPr>
      <w:r>
        <w:rPr>
          <w:rFonts w:cs="Arial"/>
          <w:iCs/>
          <w:color w:val="000000" w:themeColor="text1"/>
          <w:szCs w:val="20"/>
        </w:rPr>
        <w:t>a</w:t>
      </w:r>
      <w:r w:rsidR="002445EE" w:rsidRPr="002445EE">
        <w:rPr>
          <w:rFonts w:cs="Arial"/>
          <w:iCs/>
          <w:color w:val="000000" w:themeColor="text1"/>
          <w:szCs w:val="20"/>
        </w:rPr>
        <w:t>dverse impacts would include significant barriers to innovation and weakening of the trade measurement system.</w:t>
      </w:r>
    </w:p>
    <w:p w14:paraId="1C9484C2" w14:textId="6925D3D5" w:rsidR="002445EE" w:rsidRPr="002445EE" w:rsidRDefault="00141654" w:rsidP="002445EE">
      <w:pPr>
        <w:widowControl w:val="0"/>
        <w:numPr>
          <w:ilvl w:val="0"/>
          <w:numId w:val="29"/>
        </w:numPr>
        <w:autoSpaceDE w:val="0"/>
        <w:autoSpaceDN w:val="0"/>
        <w:adjustRightInd w:val="0"/>
        <w:spacing w:before="120" w:line="276" w:lineRule="auto"/>
        <w:rPr>
          <w:rFonts w:cs="Arial"/>
          <w:iCs/>
          <w:color w:val="000000" w:themeColor="text1"/>
          <w:szCs w:val="20"/>
        </w:rPr>
      </w:pPr>
      <w:r>
        <w:rPr>
          <w:rFonts w:cs="Arial"/>
          <w:iCs/>
          <w:color w:val="000000" w:themeColor="text1"/>
          <w:szCs w:val="20"/>
        </w:rPr>
        <w:t>S</w:t>
      </w:r>
      <w:r w:rsidR="002445EE" w:rsidRPr="002445EE">
        <w:rPr>
          <w:rFonts w:cs="Arial"/>
          <w:iCs/>
          <w:color w:val="000000" w:themeColor="text1"/>
          <w:szCs w:val="20"/>
        </w:rPr>
        <w:t>takeholder feedback indicated that the</w:t>
      </w:r>
      <w:r>
        <w:rPr>
          <w:rFonts w:cs="Arial"/>
          <w:iCs/>
          <w:color w:val="000000" w:themeColor="text1"/>
          <w:szCs w:val="20"/>
        </w:rPr>
        <w:t>y have the capacity to absorb</w:t>
      </w:r>
      <w:r w:rsidR="002445EE" w:rsidRPr="002445EE">
        <w:rPr>
          <w:rFonts w:cs="Arial"/>
          <w:iCs/>
          <w:color w:val="000000" w:themeColor="text1"/>
          <w:szCs w:val="20"/>
        </w:rPr>
        <w:t xml:space="preserve"> </w:t>
      </w:r>
      <w:r>
        <w:rPr>
          <w:rFonts w:cs="Arial"/>
          <w:iCs/>
          <w:color w:val="000000" w:themeColor="text1"/>
          <w:szCs w:val="20"/>
        </w:rPr>
        <w:t xml:space="preserve">the </w:t>
      </w:r>
      <w:r w:rsidR="002445EE" w:rsidRPr="002445EE">
        <w:rPr>
          <w:rFonts w:cs="Arial"/>
          <w:iCs/>
          <w:color w:val="000000" w:themeColor="text1"/>
          <w:szCs w:val="20"/>
        </w:rPr>
        <w:t>fee increase</w:t>
      </w:r>
      <w:r>
        <w:rPr>
          <w:rFonts w:cs="Arial"/>
          <w:iCs/>
          <w:color w:val="000000" w:themeColor="text1"/>
          <w:szCs w:val="20"/>
        </w:rPr>
        <w:t xml:space="preserve"> </w:t>
      </w:r>
      <w:r w:rsidRPr="002445EE">
        <w:rPr>
          <w:rFonts w:cs="Arial"/>
          <w:iCs/>
          <w:color w:val="000000" w:themeColor="text1"/>
          <w:szCs w:val="20"/>
        </w:rPr>
        <w:t xml:space="preserve">for </w:t>
      </w:r>
      <w:r w:rsidR="00382078">
        <w:rPr>
          <w:rFonts w:cs="Arial"/>
          <w:iCs/>
          <w:color w:val="000000" w:themeColor="text1"/>
          <w:szCs w:val="20"/>
        </w:rPr>
        <w:t>P</w:t>
      </w:r>
      <w:r w:rsidR="00382078" w:rsidRPr="002445EE">
        <w:rPr>
          <w:rFonts w:cs="Arial"/>
          <w:iCs/>
          <w:color w:val="000000" w:themeColor="text1"/>
          <w:szCs w:val="20"/>
        </w:rPr>
        <w:t xml:space="preserve">attern </w:t>
      </w:r>
      <w:r w:rsidR="00382078">
        <w:rPr>
          <w:rFonts w:cs="Arial"/>
          <w:iCs/>
          <w:color w:val="000000" w:themeColor="text1"/>
          <w:szCs w:val="20"/>
        </w:rPr>
        <w:t>A</w:t>
      </w:r>
      <w:r w:rsidR="00382078" w:rsidRPr="002445EE">
        <w:rPr>
          <w:rFonts w:cs="Arial"/>
          <w:iCs/>
          <w:color w:val="000000" w:themeColor="text1"/>
          <w:szCs w:val="20"/>
        </w:rPr>
        <w:t xml:space="preserve">pproval </w:t>
      </w:r>
      <w:r w:rsidRPr="002445EE">
        <w:rPr>
          <w:rFonts w:cs="Arial"/>
          <w:b/>
          <w:iCs/>
          <w:color w:val="000000" w:themeColor="text1"/>
          <w:szCs w:val="20"/>
        </w:rPr>
        <w:t>certification</w:t>
      </w:r>
      <w:r w:rsidR="002445EE" w:rsidRPr="002445EE">
        <w:rPr>
          <w:rFonts w:cs="Arial"/>
          <w:iCs/>
          <w:color w:val="000000" w:themeColor="text1"/>
          <w:szCs w:val="20"/>
        </w:rPr>
        <w:t xml:space="preserve"> by amortising it across their customer base.</w:t>
      </w:r>
    </w:p>
    <w:p w14:paraId="08B5B589" w14:textId="77777777" w:rsidR="002445EE" w:rsidRPr="002445EE" w:rsidRDefault="002445EE" w:rsidP="00845B95">
      <w:pPr>
        <w:widowControl w:val="0"/>
        <w:numPr>
          <w:ilvl w:val="0"/>
          <w:numId w:val="29"/>
        </w:numPr>
        <w:autoSpaceDE w:val="0"/>
        <w:autoSpaceDN w:val="0"/>
        <w:adjustRightInd w:val="0"/>
        <w:spacing w:before="120" w:line="276" w:lineRule="auto"/>
        <w:rPr>
          <w:rFonts w:cs="Arial"/>
          <w:iCs/>
          <w:color w:val="000000" w:themeColor="text1"/>
          <w:szCs w:val="20"/>
        </w:rPr>
      </w:pPr>
      <w:r w:rsidRPr="002445EE">
        <w:rPr>
          <w:rFonts w:cs="Arial"/>
          <w:iCs/>
          <w:color w:val="000000" w:themeColor="text1"/>
          <w:szCs w:val="20"/>
        </w:rPr>
        <w:t>There were varied responses to the impact of fee increases for servicing licensees, but a level of acceptance that the fees would likely increase. The impact of the proposed fee increase for servicing licensees would be felt across the whole industry, with bigger businesses with long</w:t>
      </w:r>
      <w:r w:rsidR="00141654">
        <w:rPr>
          <w:rFonts w:cs="Arial"/>
          <w:iCs/>
          <w:color w:val="000000" w:themeColor="text1"/>
          <w:szCs w:val="20"/>
        </w:rPr>
        <w:t>-</w:t>
      </w:r>
      <w:r w:rsidRPr="002445EE">
        <w:rPr>
          <w:rFonts w:cs="Arial"/>
          <w:iCs/>
          <w:color w:val="000000" w:themeColor="text1"/>
          <w:szCs w:val="20"/>
        </w:rPr>
        <w:t xml:space="preserve">term supply contracts being impacted along with significant impacts on regional, smaller and medium businesses. </w:t>
      </w:r>
    </w:p>
    <w:p w14:paraId="3E01FEF1" w14:textId="77777777" w:rsidR="002445EE" w:rsidRPr="002445EE" w:rsidRDefault="002445EE" w:rsidP="002445EE">
      <w:pPr>
        <w:widowControl w:val="0"/>
        <w:numPr>
          <w:ilvl w:val="0"/>
          <w:numId w:val="29"/>
        </w:numPr>
        <w:autoSpaceDE w:val="0"/>
        <w:autoSpaceDN w:val="0"/>
        <w:adjustRightInd w:val="0"/>
        <w:spacing w:before="120" w:line="276" w:lineRule="auto"/>
        <w:rPr>
          <w:rFonts w:cs="Arial"/>
          <w:iCs/>
          <w:color w:val="000000" w:themeColor="text1"/>
          <w:szCs w:val="20"/>
        </w:rPr>
      </w:pPr>
      <w:r w:rsidRPr="002445EE">
        <w:rPr>
          <w:rFonts w:cs="Arial"/>
          <w:iCs/>
          <w:color w:val="000000" w:themeColor="text1"/>
          <w:szCs w:val="20"/>
        </w:rPr>
        <w:t>The proposed fee increase to L</w:t>
      </w:r>
      <w:r w:rsidR="00920685">
        <w:rPr>
          <w:rFonts w:cs="Arial"/>
          <w:iCs/>
          <w:color w:val="000000" w:themeColor="text1"/>
          <w:szCs w:val="20"/>
        </w:rPr>
        <w:t xml:space="preserve">egal Metrology Authority Appointments </w:t>
      </w:r>
      <w:r w:rsidR="00640B75">
        <w:rPr>
          <w:rFonts w:cs="Arial"/>
          <w:iCs/>
          <w:color w:val="000000" w:themeColor="text1"/>
          <w:szCs w:val="20"/>
        </w:rPr>
        <w:t>(L</w:t>
      </w:r>
      <w:r w:rsidRPr="002445EE">
        <w:rPr>
          <w:rFonts w:cs="Arial"/>
          <w:iCs/>
          <w:color w:val="000000" w:themeColor="text1"/>
          <w:szCs w:val="20"/>
        </w:rPr>
        <w:t>MAAs</w:t>
      </w:r>
      <w:r w:rsidR="00640B75">
        <w:rPr>
          <w:rFonts w:cs="Arial"/>
          <w:iCs/>
          <w:color w:val="000000" w:themeColor="text1"/>
          <w:szCs w:val="20"/>
        </w:rPr>
        <w:t>)</w:t>
      </w:r>
      <w:r w:rsidRPr="002445EE">
        <w:rPr>
          <w:rFonts w:cs="Arial"/>
          <w:iCs/>
          <w:color w:val="000000" w:themeColor="text1"/>
          <w:szCs w:val="20"/>
        </w:rPr>
        <w:t xml:space="preserve"> could force Legal Metrology Authorities to reduce or shut down their services which support Australian industry (especially in the electricity and water metering space).</w:t>
      </w:r>
    </w:p>
    <w:p w14:paraId="6D9E49E6" w14:textId="0B326DF0" w:rsidR="002445EE" w:rsidRPr="002445EE" w:rsidRDefault="002445EE" w:rsidP="002445EE">
      <w:pPr>
        <w:widowControl w:val="0"/>
        <w:numPr>
          <w:ilvl w:val="0"/>
          <w:numId w:val="29"/>
        </w:numPr>
        <w:autoSpaceDE w:val="0"/>
        <w:autoSpaceDN w:val="0"/>
        <w:adjustRightInd w:val="0"/>
        <w:spacing w:before="120" w:line="276" w:lineRule="auto"/>
        <w:rPr>
          <w:rFonts w:cs="Arial"/>
          <w:iCs/>
          <w:color w:val="000000" w:themeColor="text1"/>
          <w:szCs w:val="20"/>
        </w:rPr>
      </w:pPr>
      <w:r w:rsidRPr="002445EE">
        <w:rPr>
          <w:rFonts w:cs="Arial"/>
          <w:iCs/>
          <w:color w:val="000000" w:themeColor="text1"/>
          <w:szCs w:val="20"/>
        </w:rPr>
        <w:t xml:space="preserve">State and </w:t>
      </w:r>
      <w:r w:rsidR="003A30F1">
        <w:rPr>
          <w:rFonts w:cs="Arial"/>
          <w:iCs/>
          <w:color w:val="000000" w:themeColor="text1"/>
          <w:szCs w:val="20"/>
        </w:rPr>
        <w:t>t</w:t>
      </w:r>
      <w:r w:rsidRPr="002445EE">
        <w:rPr>
          <w:rFonts w:cs="Arial"/>
          <w:iCs/>
          <w:color w:val="000000" w:themeColor="text1"/>
          <w:szCs w:val="20"/>
        </w:rPr>
        <w:t xml:space="preserve">erritory government enforcement agencies indicated that the proposed increases to </w:t>
      </w:r>
      <w:r w:rsidR="00382078">
        <w:rPr>
          <w:rFonts w:cs="Arial"/>
          <w:iCs/>
          <w:color w:val="000000" w:themeColor="text1"/>
          <w:szCs w:val="20"/>
        </w:rPr>
        <w:t>P</w:t>
      </w:r>
      <w:r w:rsidR="00382078" w:rsidRPr="002445EE">
        <w:rPr>
          <w:rFonts w:cs="Arial"/>
          <w:iCs/>
          <w:color w:val="000000" w:themeColor="text1"/>
          <w:szCs w:val="20"/>
        </w:rPr>
        <w:t xml:space="preserve">attern </w:t>
      </w:r>
      <w:r w:rsidR="00382078">
        <w:rPr>
          <w:rFonts w:cs="Arial"/>
          <w:iCs/>
          <w:color w:val="000000" w:themeColor="text1"/>
          <w:szCs w:val="20"/>
        </w:rPr>
        <w:t>A</w:t>
      </w:r>
      <w:r w:rsidR="00382078" w:rsidRPr="002445EE">
        <w:rPr>
          <w:rFonts w:cs="Arial"/>
          <w:iCs/>
          <w:color w:val="000000" w:themeColor="text1"/>
          <w:szCs w:val="20"/>
        </w:rPr>
        <w:t xml:space="preserve">pproval </w:t>
      </w:r>
      <w:r w:rsidRPr="002445EE">
        <w:rPr>
          <w:rFonts w:cs="Arial"/>
          <w:iCs/>
          <w:color w:val="000000" w:themeColor="text1"/>
          <w:szCs w:val="20"/>
        </w:rPr>
        <w:t>and LMAA fees could have a direct impact on community safety.</w:t>
      </w:r>
    </w:p>
    <w:p w14:paraId="6C860166" w14:textId="18A60E11" w:rsidR="002445EE" w:rsidRPr="002445EE" w:rsidRDefault="003A30F1" w:rsidP="002445EE">
      <w:pPr>
        <w:widowControl w:val="0"/>
        <w:numPr>
          <w:ilvl w:val="0"/>
          <w:numId w:val="29"/>
        </w:numPr>
        <w:autoSpaceDE w:val="0"/>
        <w:autoSpaceDN w:val="0"/>
        <w:adjustRightInd w:val="0"/>
        <w:spacing w:before="120" w:line="276" w:lineRule="auto"/>
        <w:rPr>
          <w:rFonts w:cs="Arial"/>
          <w:iCs/>
          <w:color w:val="000000" w:themeColor="text1"/>
          <w:szCs w:val="20"/>
        </w:rPr>
      </w:pPr>
      <w:r>
        <w:rPr>
          <w:rFonts w:cs="Arial"/>
          <w:iCs/>
          <w:color w:val="000000" w:themeColor="text1"/>
          <w:szCs w:val="20"/>
        </w:rPr>
        <w:t>Thirty</w:t>
      </w:r>
      <w:r w:rsidR="002445EE" w:rsidRPr="002445EE">
        <w:rPr>
          <w:rFonts w:cs="Arial"/>
          <w:iCs/>
          <w:color w:val="000000" w:themeColor="text1"/>
          <w:szCs w:val="20"/>
        </w:rPr>
        <w:t xml:space="preserve"> organisations </w:t>
      </w:r>
      <w:r w:rsidR="00C36F9A">
        <w:rPr>
          <w:rFonts w:cs="Arial"/>
          <w:iCs/>
          <w:color w:val="000000" w:themeColor="text1"/>
          <w:szCs w:val="20"/>
        </w:rPr>
        <w:t>(</w:t>
      </w:r>
      <w:r w:rsidR="00C36F9A" w:rsidRPr="002445EE">
        <w:rPr>
          <w:rFonts w:cs="Arial"/>
          <w:iCs/>
          <w:color w:val="000000" w:themeColor="text1"/>
          <w:szCs w:val="20"/>
        </w:rPr>
        <w:t xml:space="preserve">83 per cent of </w:t>
      </w:r>
      <w:r w:rsidR="00C36F9A">
        <w:rPr>
          <w:rFonts w:cs="Arial"/>
          <w:iCs/>
          <w:color w:val="000000" w:themeColor="text1"/>
          <w:szCs w:val="20"/>
        </w:rPr>
        <w:t xml:space="preserve">the respondents) </w:t>
      </w:r>
      <w:r w:rsidR="002445EE" w:rsidRPr="002445EE">
        <w:rPr>
          <w:rFonts w:cs="Arial"/>
          <w:iCs/>
          <w:color w:val="000000" w:themeColor="text1"/>
          <w:szCs w:val="20"/>
        </w:rPr>
        <w:t xml:space="preserve">that provided written </w:t>
      </w:r>
      <w:r w:rsidR="007C1D01" w:rsidRPr="002445EE">
        <w:rPr>
          <w:rFonts w:cs="Arial"/>
          <w:iCs/>
          <w:color w:val="000000" w:themeColor="text1"/>
          <w:szCs w:val="20"/>
        </w:rPr>
        <w:t>submissions</w:t>
      </w:r>
      <w:r w:rsidR="007C1D01">
        <w:rPr>
          <w:rFonts w:cs="Arial"/>
          <w:iCs/>
          <w:color w:val="000000" w:themeColor="text1"/>
          <w:szCs w:val="20"/>
        </w:rPr>
        <w:t xml:space="preserve"> agreed</w:t>
      </w:r>
      <w:r w:rsidR="002445EE" w:rsidRPr="002445EE">
        <w:rPr>
          <w:rFonts w:cs="Arial"/>
          <w:iCs/>
          <w:color w:val="000000" w:themeColor="text1"/>
          <w:szCs w:val="20"/>
        </w:rPr>
        <w:t xml:space="preserve"> that they would pass on the increase in costs to their consumers, with the view that the end user should pay.</w:t>
      </w:r>
    </w:p>
    <w:p w14:paraId="6BF0A834" w14:textId="3996B342" w:rsidR="002445EE" w:rsidRPr="002445EE" w:rsidRDefault="002445EE" w:rsidP="002445EE">
      <w:pPr>
        <w:widowControl w:val="0"/>
        <w:numPr>
          <w:ilvl w:val="0"/>
          <w:numId w:val="29"/>
        </w:numPr>
        <w:autoSpaceDE w:val="0"/>
        <w:autoSpaceDN w:val="0"/>
        <w:adjustRightInd w:val="0"/>
        <w:spacing w:before="120" w:line="276" w:lineRule="auto"/>
        <w:rPr>
          <w:rFonts w:cs="Arial"/>
          <w:iCs/>
          <w:color w:val="000000" w:themeColor="text1"/>
          <w:szCs w:val="20"/>
        </w:rPr>
      </w:pPr>
      <w:r w:rsidRPr="002445EE">
        <w:rPr>
          <w:rFonts w:cs="Arial"/>
          <w:iCs/>
          <w:color w:val="000000" w:themeColor="text1"/>
          <w:szCs w:val="20"/>
        </w:rPr>
        <w:t xml:space="preserve">67 per cent of the respondents consider that maintaining the laboratory and associated skills in Australia </w:t>
      </w:r>
      <w:r w:rsidR="00254CED">
        <w:rPr>
          <w:rFonts w:cs="Arial"/>
          <w:iCs/>
          <w:color w:val="000000" w:themeColor="text1"/>
          <w:szCs w:val="20"/>
        </w:rPr>
        <w:t>is</w:t>
      </w:r>
      <w:r w:rsidRPr="002445EE">
        <w:rPr>
          <w:rFonts w:cs="Arial"/>
          <w:iCs/>
          <w:color w:val="000000" w:themeColor="text1"/>
          <w:szCs w:val="20"/>
        </w:rPr>
        <w:t xml:space="preserve"> very important for supporting Australian industries. </w:t>
      </w:r>
    </w:p>
    <w:p w14:paraId="0A71C05D" w14:textId="35536F7C" w:rsidR="00E05EC0" w:rsidRDefault="002445EE">
      <w:pPr>
        <w:widowControl w:val="0"/>
        <w:numPr>
          <w:ilvl w:val="0"/>
          <w:numId w:val="29"/>
        </w:numPr>
        <w:autoSpaceDE w:val="0"/>
        <w:autoSpaceDN w:val="0"/>
        <w:adjustRightInd w:val="0"/>
        <w:spacing w:before="120" w:line="276" w:lineRule="auto"/>
        <w:rPr>
          <w:rFonts w:cs="Arial"/>
          <w:iCs/>
          <w:color w:val="000000" w:themeColor="text1"/>
          <w:szCs w:val="20"/>
        </w:rPr>
      </w:pPr>
      <w:r w:rsidRPr="00154478">
        <w:rPr>
          <w:rFonts w:cs="Arial"/>
          <w:iCs/>
          <w:color w:val="000000" w:themeColor="text1"/>
          <w:szCs w:val="20"/>
        </w:rPr>
        <w:t>Businesses indicated that there would be an expectation of improved turnaround times and better service delivery from NMI as a result of any increase in fees for services.</w:t>
      </w:r>
    </w:p>
    <w:p w14:paraId="48ED71CC" w14:textId="52ADB746" w:rsidR="00CB5ACA" w:rsidRPr="00ED2335" w:rsidRDefault="00476994" w:rsidP="00CB5ACA">
      <w:pPr>
        <w:widowControl w:val="0"/>
        <w:autoSpaceDE w:val="0"/>
        <w:autoSpaceDN w:val="0"/>
        <w:adjustRightInd w:val="0"/>
        <w:spacing w:before="120" w:line="276" w:lineRule="auto"/>
        <w:rPr>
          <w:rFonts w:cs="Arial"/>
          <w:iCs/>
          <w:color w:val="000000" w:themeColor="text1"/>
          <w:szCs w:val="20"/>
        </w:rPr>
      </w:pPr>
      <w:r>
        <w:rPr>
          <w:rFonts w:cs="Arial"/>
          <w:iCs/>
          <w:color w:val="000000" w:themeColor="text1"/>
          <w:szCs w:val="20"/>
        </w:rPr>
        <w:lastRenderedPageBreak/>
        <w:t>NMI will undertak</w:t>
      </w:r>
      <w:r w:rsidR="003A30F1">
        <w:rPr>
          <w:rFonts w:cs="Arial"/>
          <w:iCs/>
          <w:color w:val="000000" w:themeColor="text1"/>
          <w:szCs w:val="20"/>
        </w:rPr>
        <w:t>e</w:t>
      </w:r>
      <w:r>
        <w:rPr>
          <w:rFonts w:cs="Arial"/>
          <w:iCs/>
          <w:color w:val="000000" w:themeColor="text1"/>
          <w:szCs w:val="20"/>
        </w:rPr>
        <w:t xml:space="preserve"> consultation relating to licensees and </w:t>
      </w:r>
      <w:r w:rsidR="00651990">
        <w:rPr>
          <w:rFonts w:cs="Arial"/>
          <w:iCs/>
          <w:color w:val="000000" w:themeColor="text1"/>
          <w:szCs w:val="20"/>
        </w:rPr>
        <w:t xml:space="preserve">appointed </w:t>
      </w:r>
      <w:r>
        <w:rPr>
          <w:rFonts w:cs="Arial"/>
          <w:iCs/>
          <w:color w:val="000000" w:themeColor="text1"/>
          <w:szCs w:val="20"/>
        </w:rPr>
        <w:t>authorities as part of t</w:t>
      </w:r>
      <w:r w:rsidR="00CB5ACA" w:rsidRPr="00ED2335">
        <w:rPr>
          <w:rFonts w:cs="Arial"/>
          <w:iCs/>
          <w:color w:val="000000" w:themeColor="text1"/>
          <w:szCs w:val="20"/>
        </w:rPr>
        <w:t>he current Measurement Law Review</w:t>
      </w:r>
      <w:r>
        <w:rPr>
          <w:rFonts w:cs="Arial"/>
          <w:iCs/>
          <w:color w:val="000000" w:themeColor="text1"/>
          <w:szCs w:val="20"/>
        </w:rPr>
        <w:t>, which</w:t>
      </w:r>
      <w:r w:rsidR="00CB5ACA" w:rsidRPr="00ED2335">
        <w:rPr>
          <w:rFonts w:cs="Arial"/>
          <w:iCs/>
          <w:color w:val="000000" w:themeColor="text1"/>
          <w:szCs w:val="20"/>
        </w:rPr>
        <w:t xml:space="preserve"> will </w:t>
      </w:r>
      <w:r w:rsidR="00A93C42">
        <w:rPr>
          <w:rFonts w:cs="Arial"/>
          <w:iCs/>
          <w:color w:val="000000" w:themeColor="text1"/>
          <w:szCs w:val="20"/>
        </w:rPr>
        <w:t>present</w:t>
      </w:r>
      <w:r w:rsidR="00A93C42" w:rsidRPr="00ED2335">
        <w:rPr>
          <w:rFonts w:cs="Arial"/>
          <w:iCs/>
          <w:color w:val="000000" w:themeColor="text1"/>
          <w:szCs w:val="20"/>
        </w:rPr>
        <w:t xml:space="preserve"> </w:t>
      </w:r>
      <w:r w:rsidR="00CB5ACA" w:rsidRPr="00ED2335">
        <w:rPr>
          <w:rFonts w:cs="Arial"/>
          <w:iCs/>
          <w:color w:val="000000" w:themeColor="text1"/>
          <w:szCs w:val="20"/>
        </w:rPr>
        <w:t xml:space="preserve">reform options for the consideration of the Australian Government in </w:t>
      </w:r>
      <w:r w:rsidR="005B1CCA">
        <w:rPr>
          <w:rFonts w:cs="Arial"/>
          <w:iCs/>
          <w:color w:val="000000" w:themeColor="text1"/>
          <w:szCs w:val="20"/>
        </w:rPr>
        <w:t xml:space="preserve">the </w:t>
      </w:r>
      <w:r w:rsidR="00A93C42" w:rsidRPr="00ED2335">
        <w:rPr>
          <w:rFonts w:cs="Arial"/>
          <w:iCs/>
          <w:color w:val="000000" w:themeColor="text1"/>
          <w:szCs w:val="20"/>
        </w:rPr>
        <w:t>202</w:t>
      </w:r>
      <w:r w:rsidR="00A93C42">
        <w:rPr>
          <w:rFonts w:cs="Arial"/>
          <w:iCs/>
          <w:color w:val="000000" w:themeColor="text1"/>
          <w:szCs w:val="20"/>
        </w:rPr>
        <w:t>1</w:t>
      </w:r>
      <w:r w:rsidR="005B1CCA">
        <w:rPr>
          <w:rFonts w:cs="Arial"/>
          <w:iCs/>
          <w:color w:val="000000" w:themeColor="text1"/>
          <w:szCs w:val="20"/>
        </w:rPr>
        <w:t>-</w:t>
      </w:r>
      <w:r w:rsidR="00A93C42">
        <w:rPr>
          <w:rFonts w:cs="Arial"/>
          <w:iCs/>
          <w:color w:val="000000" w:themeColor="text1"/>
          <w:szCs w:val="20"/>
        </w:rPr>
        <w:t xml:space="preserve">22 </w:t>
      </w:r>
      <w:r w:rsidR="005B1CCA">
        <w:rPr>
          <w:rFonts w:cs="Arial"/>
          <w:iCs/>
          <w:color w:val="000000" w:themeColor="text1"/>
          <w:szCs w:val="20"/>
        </w:rPr>
        <w:t>financial year</w:t>
      </w:r>
      <w:r w:rsidR="00CB5ACA" w:rsidRPr="00ED2335">
        <w:rPr>
          <w:rFonts w:cs="Arial"/>
          <w:iCs/>
          <w:color w:val="000000" w:themeColor="text1"/>
          <w:szCs w:val="20"/>
        </w:rPr>
        <w:t xml:space="preserve">. </w:t>
      </w:r>
    </w:p>
    <w:p w14:paraId="6730C7C0" w14:textId="6F336100" w:rsidR="00CB5ACA" w:rsidRPr="00154478" w:rsidRDefault="00CB5ACA" w:rsidP="00CB5ACA">
      <w:pPr>
        <w:spacing w:after="200" w:line="276" w:lineRule="auto"/>
        <w:rPr>
          <w:rFonts w:cs="Arial"/>
          <w:iCs/>
          <w:color w:val="000000" w:themeColor="text1"/>
          <w:szCs w:val="20"/>
        </w:rPr>
      </w:pPr>
      <w:r w:rsidRPr="00ED2335">
        <w:rPr>
          <w:rFonts w:cs="Arial"/>
          <w:iCs/>
          <w:color w:val="000000" w:themeColor="text1"/>
          <w:szCs w:val="20"/>
        </w:rPr>
        <w:t xml:space="preserve">If you wish to be kept updated regarding the progress of the review please contact </w:t>
      </w:r>
      <w:r>
        <w:rPr>
          <w:rFonts w:cs="Arial"/>
          <w:iCs/>
          <w:color w:val="000000" w:themeColor="text1"/>
          <w:szCs w:val="20"/>
        </w:rPr>
        <w:t>NMI</w:t>
      </w:r>
      <w:r w:rsidRPr="00ED2335">
        <w:rPr>
          <w:rFonts w:cs="Arial"/>
          <w:iCs/>
          <w:color w:val="000000" w:themeColor="text1"/>
          <w:szCs w:val="20"/>
        </w:rPr>
        <w:t xml:space="preserve"> at </w:t>
      </w:r>
      <w:hyperlink r:id="rId20" w:history="1">
        <w:r w:rsidR="00611556" w:rsidRPr="00611556">
          <w:rPr>
            <w:rStyle w:val="Hyperlink"/>
            <w:rFonts w:cs="Arial"/>
            <w:iCs/>
            <w:szCs w:val="20"/>
          </w:rPr>
          <w:t>measurementlawreview@industry.gov.au</w:t>
        </w:r>
      </w:hyperlink>
      <w:r w:rsidR="00FA38EB">
        <w:rPr>
          <w:rStyle w:val="Hyperlink"/>
          <w:rFonts w:cs="Arial"/>
          <w:iCs/>
          <w:szCs w:val="20"/>
        </w:rPr>
        <w:t xml:space="preserve"> </w:t>
      </w:r>
      <w:r w:rsidR="002654D2">
        <w:rPr>
          <w:rFonts w:cs="Arial"/>
          <w:iCs/>
          <w:color w:val="000000" w:themeColor="text1"/>
          <w:szCs w:val="20"/>
        </w:rPr>
        <w:t>Or a</w:t>
      </w:r>
      <w:r>
        <w:rPr>
          <w:rFonts w:cs="Arial"/>
          <w:iCs/>
          <w:color w:val="000000" w:themeColor="text1"/>
          <w:szCs w:val="20"/>
        </w:rPr>
        <w:t xml:space="preserve">lternatively, you may visit </w:t>
      </w:r>
      <w:hyperlink r:id="rId21" w:history="1">
        <w:r w:rsidR="00611556" w:rsidRPr="00073F11">
          <w:rPr>
            <w:rStyle w:val="Hyperlink"/>
            <w:rFonts w:cs="Arial"/>
            <w:iCs/>
            <w:szCs w:val="20"/>
          </w:rPr>
          <w:t>industry.gov.au/data-and-publications/measurement-law-review</w:t>
        </w:r>
      </w:hyperlink>
      <w:r>
        <w:rPr>
          <w:rFonts w:cs="Arial"/>
          <w:iCs/>
          <w:color w:val="000000" w:themeColor="text1"/>
          <w:szCs w:val="20"/>
        </w:rPr>
        <w:t>.</w:t>
      </w:r>
    </w:p>
    <w:p w14:paraId="556C09FC" w14:textId="77777777" w:rsidR="00CB5ACA" w:rsidRPr="00154478" w:rsidRDefault="00CB5ACA" w:rsidP="00CB5ACA">
      <w:pPr>
        <w:widowControl w:val="0"/>
        <w:autoSpaceDE w:val="0"/>
        <w:autoSpaceDN w:val="0"/>
        <w:adjustRightInd w:val="0"/>
        <w:spacing w:before="120" w:line="276" w:lineRule="auto"/>
        <w:ind w:left="360"/>
        <w:rPr>
          <w:rFonts w:cs="Arial"/>
          <w:iCs/>
          <w:color w:val="000000" w:themeColor="text1"/>
          <w:szCs w:val="20"/>
        </w:rPr>
      </w:pPr>
    </w:p>
    <w:p w14:paraId="2CC7DE57" w14:textId="77777777" w:rsidR="00FD3253" w:rsidRDefault="00FD3253">
      <w:pPr>
        <w:spacing w:after="200" w:line="276" w:lineRule="auto"/>
        <w:rPr>
          <w:b/>
          <w:iCs/>
          <w:sz w:val="28"/>
          <w:lang w:val="en-US"/>
        </w:rPr>
      </w:pPr>
      <w:bookmarkStart w:id="61" w:name="_Toc516468791"/>
      <w:r>
        <w:br w:type="page"/>
      </w:r>
    </w:p>
    <w:p w14:paraId="0AA988A0" w14:textId="77777777" w:rsidR="00823D9F" w:rsidRDefault="00823D9F" w:rsidP="00695E7B">
      <w:pPr>
        <w:pStyle w:val="Heading1"/>
      </w:pPr>
      <w:bookmarkStart w:id="62" w:name="_Toc85106086"/>
      <w:r w:rsidRPr="008366B0">
        <w:lastRenderedPageBreak/>
        <w:t>FINANCIAL ESTIMATES</w:t>
      </w:r>
      <w:bookmarkEnd w:id="61"/>
      <w:bookmarkEnd w:id="62"/>
    </w:p>
    <w:p w14:paraId="24EB0D83" w14:textId="5B6A17E2" w:rsidR="002445EE" w:rsidRDefault="002445EE" w:rsidP="002445EE">
      <w:pPr>
        <w:spacing w:before="120" w:line="276" w:lineRule="auto"/>
        <w:rPr>
          <w:rFonts w:cs="Arial"/>
          <w:szCs w:val="20"/>
          <w:lang w:val="en-US"/>
        </w:rPr>
      </w:pPr>
      <w:r w:rsidRPr="000250B6">
        <w:rPr>
          <w:rFonts w:cs="Arial"/>
          <w:szCs w:val="20"/>
          <w:lang w:val="en-US"/>
        </w:rPr>
        <w:t xml:space="preserve">This section sets out </w:t>
      </w:r>
      <w:r>
        <w:rPr>
          <w:rFonts w:cs="Arial"/>
          <w:szCs w:val="20"/>
          <w:lang w:val="en-US"/>
        </w:rPr>
        <w:t xml:space="preserve">the </w:t>
      </w:r>
      <w:r w:rsidRPr="000250B6">
        <w:rPr>
          <w:rFonts w:cs="Arial"/>
          <w:szCs w:val="20"/>
          <w:lang w:val="en-US"/>
        </w:rPr>
        <w:t>cost recovery model</w:t>
      </w:r>
      <w:r>
        <w:rPr>
          <w:rFonts w:cs="Arial"/>
          <w:szCs w:val="20"/>
          <w:lang w:val="en-US"/>
        </w:rPr>
        <w:t xml:space="preserve">s and budget estimates for the regulatory activities </w:t>
      </w:r>
      <w:r w:rsidR="002F5613">
        <w:rPr>
          <w:rFonts w:cs="Arial"/>
          <w:szCs w:val="20"/>
          <w:lang w:val="en-US"/>
        </w:rPr>
        <w:t xml:space="preserve">undertaken </w:t>
      </w:r>
      <w:r>
        <w:rPr>
          <w:rFonts w:cs="Arial"/>
          <w:szCs w:val="20"/>
          <w:lang w:val="en-US"/>
        </w:rPr>
        <w:t xml:space="preserve">by NMI, </w:t>
      </w:r>
      <w:r w:rsidRPr="000250B6">
        <w:rPr>
          <w:rFonts w:cs="Arial"/>
          <w:szCs w:val="20"/>
          <w:lang w:val="en-US"/>
        </w:rPr>
        <w:t>assuming consistent market demands and similar operating costs for f</w:t>
      </w:r>
      <w:r w:rsidR="00030753">
        <w:rPr>
          <w:rFonts w:cs="Arial"/>
          <w:szCs w:val="20"/>
          <w:lang w:val="en-US"/>
        </w:rPr>
        <w:t>orward</w:t>
      </w:r>
      <w:r w:rsidRPr="000250B6">
        <w:rPr>
          <w:rFonts w:cs="Arial"/>
          <w:szCs w:val="20"/>
          <w:lang w:val="en-US"/>
        </w:rPr>
        <w:t xml:space="preserve"> years.</w:t>
      </w:r>
    </w:p>
    <w:p w14:paraId="68721495" w14:textId="3696C51B" w:rsidR="00E20B0F" w:rsidRDefault="00E20B0F" w:rsidP="00E20B0F">
      <w:pPr>
        <w:spacing w:before="120" w:line="276" w:lineRule="auto"/>
        <w:rPr>
          <w:rFonts w:cs="Arial"/>
          <w:szCs w:val="20"/>
          <w:lang w:val="en-US"/>
        </w:rPr>
      </w:pPr>
      <w:r>
        <w:rPr>
          <w:rFonts w:cs="Arial"/>
          <w:szCs w:val="20"/>
          <w:lang w:val="en-US"/>
        </w:rPr>
        <w:t xml:space="preserve">Table 3 provides a summary of the NMI’s budget estimates for the financial year </w:t>
      </w:r>
      <w:r w:rsidR="002654D2">
        <w:rPr>
          <w:rFonts w:cs="Arial"/>
          <w:szCs w:val="20"/>
          <w:lang w:val="en-US"/>
        </w:rPr>
        <w:t>2021</w:t>
      </w:r>
      <w:r w:rsidR="00FD3253">
        <w:rPr>
          <w:rFonts w:cs="Arial"/>
          <w:szCs w:val="20"/>
          <w:lang w:val="en-US"/>
        </w:rPr>
        <w:t>–</w:t>
      </w:r>
      <w:r w:rsidR="002654D2">
        <w:rPr>
          <w:rFonts w:cs="Arial"/>
          <w:szCs w:val="20"/>
          <w:lang w:val="en-US"/>
        </w:rPr>
        <w:t>22</w:t>
      </w:r>
      <w:r>
        <w:rPr>
          <w:rFonts w:cs="Arial"/>
          <w:szCs w:val="20"/>
          <w:lang w:val="en-US"/>
        </w:rPr>
        <w:t xml:space="preserve">. </w:t>
      </w:r>
    </w:p>
    <w:p w14:paraId="7B8C8898" w14:textId="7EAD4DA9" w:rsidR="002445EE" w:rsidRDefault="002445EE" w:rsidP="002445EE">
      <w:pPr>
        <w:spacing w:before="120" w:line="276" w:lineRule="auto"/>
        <w:rPr>
          <w:rFonts w:cs="Arial"/>
          <w:szCs w:val="20"/>
          <w:lang w:val="en-US"/>
        </w:rPr>
      </w:pPr>
      <w:r w:rsidRPr="00BB64B7">
        <w:rPr>
          <w:rFonts w:cs="Arial"/>
          <w:szCs w:val="20"/>
          <w:lang w:val="en-US"/>
        </w:rPr>
        <w:t>The</w:t>
      </w:r>
      <w:r>
        <w:rPr>
          <w:rFonts w:cs="Arial"/>
          <w:szCs w:val="20"/>
          <w:lang w:val="en-US"/>
        </w:rPr>
        <w:t xml:space="preserve"> </w:t>
      </w:r>
      <w:r w:rsidR="00260C92">
        <w:rPr>
          <w:rFonts w:cs="Arial"/>
          <w:szCs w:val="20"/>
          <w:lang w:val="en-US"/>
        </w:rPr>
        <w:t xml:space="preserve">summary of </w:t>
      </w:r>
      <w:r>
        <w:rPr>
          <w:rFonts w:cs="Arial"/>
          <w:szCs w:val="20"/>
          <w:lang w:val="en-US"/>
        </w:rPr>
        <w:t>fee</w:t>
      </w:r>
      <w:r w:rsidR="006A6798">
        <w:rPr>
          <w:rFonts w:cs="Arial"/>
          <w:szCs w:val="20"/>
          <w:lang w:val="en-US"/>
        </w:rPr>
        <w:t>s from 1</w:t>
      </w:r>
      <w:r w:rsidR="00260C92">
        <w:rPr>
          <w:rFonts w:cs="Arial"/>
          <w:szCs w:val="20"/>
          <w:lang w:val="en-US"/>
        </w:rPr>
        <w:t xml:space="preserve"> July </w:t>
      </w:r>
      <w:r w:rsidR="0052581D">
        <w:rPr>
          <w:rFonts w:cs="Arial"/>
          <w:szCs w:val="20"/>
          <w:lang w:val="en-US"/>
        </w:rPr>
        <w:t>2019</w:t>
      </w:r>
      <w:r w:rsidR="00260C92">
        <w:rPr>
          <w:rFonts w:cs="Arial"/>
          <w:szCs w:val="20"/>
          <w:lang w:val="en-US"/>
        </w:rPr>
        <w:t xml:space="preserve">, </w:t>
      </w:r>
      <w:r>
        <w:rPr>
          <w:rFonts w:cs="Arial"/>
          <w:szCs w:val="20"/>
          <w:lang w:val="en-US"/>
        </w:rPr>
        <w:t xml:space="preserve">include: </w:t>
      </w:r>
    </w:p>
    <w:p w14:paraId="596121B5" w14:textId="77777777" w:rsidR="002445EE" w:rsidRPr="0096642F" w:rsidRDefault="002445EE" w:rsidP="0096642F">
      <w:pPr>
        <w:pStyle w:val="Heading2"/>
        <w:rPr>
          <w:sz w:val="24"/>
          <w:lang w:val="en-US"/>
        </w:rPr>
      </w:pPr>
      <w:bookmarkStart w:id="63" w:name="_Toc516468792"/>
      <w:bookmarkStart w:id="64" w:name="_Toc85106087"/>
      <w:r w:rsidRPr="0096642F">
        <w:rPr>
          <w:sz w:val="24"/>
          <w:szCs w:val="24"/>
          <w:lang w:val="en-US"/>
        </w:rPr>
        <w:t>Pattern Approval</w:t>
      </w:r>
      <w:bookmarkEnd w:id="63"/>
      <w:bookmarkEnd w:id="64"/>
      <w:r w:rsidRPr="0096642F">
        <w:rPr>
          <w:sz w:val="24"/>
          <w:szCs w:val="24"/>
          <w:lang w:val="en-US"/>
        </w:rPr>
        <w:t xml:space="preserve"> </w:t>
      </w:r>
    </w:p>
    <w:p w14:paraId="7E570B92" w14:textId="4CEE4968" w:rsidR="005E283C" w:rsidRPr="0096642F" w:rsidRDefault="005E283C" w:rsidP="0027791B">
      <w:pPr>
        <w:pStyle w:val="ListParagraph"/>
        <w:numPr>
          <w:ilvl w:val="0"/>
          <w:numId w:val="36"/>
        </w:numPr>
        <w:spacing w:before="120" w:after="0"/>
        <w:ind w:left="357" w:hanging="357"/>
        <w:contextualSpacing w:val="0"/>
        <w:rPr>
          <w:rFonts w:ascii="Arial" w:hAnsi="Arial" w:cs="Arial"/>
          <w:szCs w:val="20"/>
          <w:lang w:val="en-US"/>
        </w:rPr>
      </w:pPr>
      <w:r w:rsidRPr="0096642F">
        <w:rPr>
          <w:rFonts w:ascii="Arial" w:hAnsi="Arial" w:cs="Arial"/>
          <w:szCs w:val="20"/>
          <w:lang w:val="en-US"/>
        </w:rPr>
        <w:t>The fee</w:t>
      </w:r>
      <w:r w:rsidR="003933B9" w:rsidRPr="0096642F">
        <w:rPr>
          <w:rFonts w:ascii="Arial" w:hAnsi="Arial" w:cs="Arial"/>
          <w:szCs w:val="20"/>
          <w:lang w:val="en-US"/>
        </w:rPr>
        <w:t xml:space="preserve">s </w:t>
      </w:r>
      <w:r w:rsidR="00F86756" w:rsidRPr="0096642F">
        <w:rPr>
          <w:rFonts w:ascii="Arial" w:hAnsi="Arial" w:cs="Arial"/>
          <w:szCs w:val="20"/>
          <w:lang w:val="en-US"/>
        </w:rPr>
        <w:t xml:space="preserve">associated with </w:t>
      </w:r>
      <w:r w:rsidR="00382078">
        <w:rPr>
          <w:rFonts w:ascii="Arial" w:hAnsi="Arial" w:cs="Arial"/>
          <w:szCs w:val="20"/>
          <w:lang w:val="en-US"/>
        </w:rPr>
        <w:t>P</w:t>
      </w:r>
      <w:r w:rsidR="00F86756" w:rsidRPr="0096642F">
        <w:rPr>
          <w:rFonts w:ascii="Arial" w:hAnsi="Arial" w:cs="Arial"/>
          <w:szCs w:val="20"/>
          <w:lang w:val="en-US"/>
        </w:rPr>
        <w:t xml:space="preserve">attern </w:t>
      </w:r>
      <w:r w:rsidR="00382078">
        <w:rPr>
          <w:rFonts w:ascii="Arial" w:hAnsi="Arial" w:cs="Arial"/>
          <w:szCs w:val="20"/>
          <w:lang w:val="en-US"/>
        </w:rPr>
        <w:t>A</w:t>
      </w:r>
      <w:r w:rsidR="00F86756" w:rsidRPr="0096642F">
        <w:rPr>
          <w:rFonts w:ascii="Arial" w:hAnsi="Arial" w:cs="Arial"/>
          <w:szCs w:val="20"/>
          <w:lang w:val="en-US"/>
        </w:rPr>
        <w:t xml:space="preserve">pproval </w:t>
      </w:r>
      <w:r w:rsidR="00030753">
        <w:rPr>
          <w:rFonts w:ascii="Arial" w:hAnsi="Arial" w:cs="Arial"/>
          <w:szCs w:val="20"/>
          <w:lang w:val="en-US"/>
        </w:rPr>
        <w:t xml:space="preserve">certification and laboratory testing </w:t>
      </w:r>
      <w:r w:rsidR="00F86756" w:rsidRPr="0096642F">
        <w:rPr>
          <w:rFonts w:ascii="Arial" w:hAnsi="Arial" w:cs="Arial"/>
          <w:szCs w:val="20"/>
          <w:lang w:val="en-US"/>
        </w:rPr>
        <w:t>for the 20</w:t>
      </w:r>
      <w:r w:rsidR="00776A11">
        <w:rPr>
          <w:rFonts w:ascii="Arial" w:hAnsi="Arial" w:cs="Arial"/>
          <w:szCs w:val="20"/>
          <w:lang w:val="en-US"/>
        </w:rPr>
        <w:t>19-</w:t>
      </w:r>
      <w:r w:rsidR="005B1CCA">
        <w:rPr>
          <w:rFonts w:ascii="Arial" w:hAnsi="Arial" w:cs="Arial"/>
          <w:szCs w:val="20"/>
          <w:lang w:val="en-US"/>
        </w:rPr>
        <w:t>21</w:t>
      </w:r>
      <w:r w:rsidR="00F86756" w:rsidRPr="0096642F">
        <w:rPr>
          <w:rFonts w:ascii="Arial" w:hAnsi="Arial" w:cs="Arial"/>
          <w:szCs w:val="20"/>
          <w:lang w:val="en-US"/>
        </w:rPr>
        <w:t xml:space="preserve"> financial year </w:t>
      </w:r>
      <w:r w:rsidRPr="0096642F">
        <w:rPr>
          <w:rFonts w:ascii="Arial" w:hAnsi="Arial" w:cs="Arial"/>
          <w:szCs w:val="20"/>
          <w:lang w:val="en-US"/>
        </w:rPr>
        <w:t xml:space="preserve">are provided in Appendix </w:t>
      </w:r>
      <w:r w:rsidR="0030300B">
        <w:rPr>
          <w:rFonts w:ascii="Arial" w:hAnsi="Arial" w:cs="Arial"/>
          <w:szCs w:val="20"/>
          <w:lang w:val="en-US"/>
        </w:rPr>
        <w:t>A.1</w:t>
      </w:r>
      <w:r w:rsidRPr="0096642F">
        <w:rPr>
          <w:rFonts w:ascii="Arial" w:hAnsi="Arial" w:cs="Arial"/>
          <w:szCs w:val="20"/>
          <w:lang w:val="en-US"/>
        </w:rPr>
        <w:t>.</w:t>
      </w:r>
    </w:p>
    <w:p w14:paraId="6C63D2AD" w14:textId="7FF698A4" w:rsidR="00F86756" w:rsidRPr="000256D9" w:rsidRDefault="00537010" w:rsidP="0027791B">
      <w:pPr>
        <w:pStyle w:val="ListParagraph"/>
        <w:numPr>
          <w:ilvl w:val="0"/>
          <w:numId w:val="13"/>
        </w:numPr>
        <w:spacing w:before="120" w:after="0"/>
        <w:ind w:left="357" w:hanging="357"/>
        <w:contextualSpacing w:val="0"/>
        <w:rPr>
          <w:rFonts w:cs="Arial"/>
          <w:szCs w:val="20"/>
          <w:lang w:val="en-US"/>
        </w:rPr>
      </w:pPr>
      <w:r>
        <w:rPr>
          <w:rFonts w:ascii="Arial" w:hAnsi="Arial" w:cs="Arial"/>
          <w:szCs w:val="20"/>
          <w:lang w:val="en-US"/>
        </w:rPr>
        <w:t xml:space="preserve">The </w:t>
      </w:r>
      <w:r w:rsidR="008A5F7E">
        <w:rPr>
          <w:rFonts w:ascii="Arial" w:hAnsi="Arial" w:cs="Arial"/>
          <w:szCs w:val="20"/>
          <w:lang w:val="en-US"/>
        </w:rPr>
        <w:t>2020</w:t>
      </w:r>
      <w:r w:rsidR="00776A11">
        <w:rPr>
          <w:rFonts w:ascii="Arial" w:hAnsi="Arial" w:cs="Arial"/>
          <w:szCs w:val="20"/>
          <w:lang w:val="en-US"/>
        </w:rPr>
        <w:t>-</w:t>
      </w:r>
      <w:r w:rsidR="008A5F7E">
        <w:rPr>
          <w:rFonts w:ascii="Arial" w:hAnsi="Arial" w:cs="Arial"/>
          <w:szCs w:val="20"/>
          <w:lang w:val="en-US"/>
        </w:rPr>
        <w:t xml:space="preserve">21 </w:t>
      </w:r>
      <w:r w:rsidR="006A6798">
        <w:rPr>
          <w:rFonts w:ascii="Arial" w:hAnsi="Arial" w:cs="Arial"/>
          <w:szCs w:val="20"/>
          <w:lang w:val="en-US"/>
        </w:rPr>
        <w:t>fees associated with the p</w:t>
      </w:r>
      <w:r w:rsidR="002445EE" w:rsidRPr="0096642F">
        <w:rPr>
          <w:rFonts w:ascii="Arial" w:hAnsi="Arial" w:cs="Arial"/>
          <w:szCs w:val="20"/>
          <w:lang w:val="en-US"/>
        </w:rPr>
        <w:t xml:space="preserve">rocessing and </w:t>
      </w:r>
      <w:r w:rsidR="006A6798">
        <w:rPr>
          <w:rFonts w:ascii="Arial" w:hAnsi="Arial" w:cs="Arial"/>
          <w:szCs w:val="20"/>
          <w:lang w:val="en-US"/>
        </w:rPr>
        <w:t>i</w:t>
      </w:r>
      <w:r w:rsidR="002445EE" w:rsidRPr="0096642F">
        <w:rPr>
          <w:rFonts w:ascii="Arial" w:hAnsi="Arial" w:cs="Arial"/>
          <w:szCs w:val="20"/>
          <w:lang w:val="en-US"/>
        </w:rPr>
        <w:t xml:space="preserve">ssuing </w:t>
      </w:r>
      <w:r w:rsidR="006A6798">
        <w:rPr>
          <w:rFonts w:ascii="Arial" w:hAnsi="Arial" w:cs="Arial"/>
          <w:szCs w:val="20"/>
          <w:lang w:val="en-US"/>
        </w:rPr>
        <w:t xml:space="preserve">of </w:t>
      </w:r>
      <w:r w:rsidR="002445EE" w:rsidRPr="0096642F">
        <w:rPr>
          <w:rFonts w:ascii="Arial" w:hAnsi="Arial" w:cs="Arial"/>
          <w:szCs w:val="20"/>
          <w:lang w:val="en-US"/>
        </w:rPr>
        <w:t xml:space="preserve">a Certificate </w:t>
      </w:r>
      <w:r w:rsidR="006A6798">
        <w:rPr>
          <w:rFonts w:ascii="Arial" w:hAnsi="Arial" w:cs="Arial"/>
          <w:szCs w:val="20"/>
          <w:lang w:val="en-US"/>
        </w:rPr>
        <w:t xml:space="preserve">will increase </w:t>
      </w:r>
      <w:r w:rsidR="00527784">
        <w:rPr>
          <w:rFonts w:ascii="Arial" w:hAnsi="Arial" w:cs="Arial"/>
          <w:szCs w:val="20"/>
          <w:lang w:val="en-US"/>
        </w:rPr>
        <w:t>14.9</w:t>
      </w:r>
      <w:r w:rsidR="00776A11">
        <w:rPr>
          <w:rFonts w:ascii="Arial" w:hAnsi="Arial" w:cs="Arial"/>
          <w:szCs w:val="20"/>
          <w:lang w:val="en-US"/>
        </w:rPr>
        <w:t xml:space="preserve"> </w:t>
      </w:r>
      <w:r w:rsidR="002445EE" w:rsidRPr="0096642F">
        <w:rPr>
          <w:rFonts w:ascii="Arial" w:hAnsi="Arial" w:cs="Arial"/>
          <w:szCs w:val="20"/>
          <w:lang w:val="en-US"/>
        </w:rPr>
        <w:t>per cent</w:t>
      </w:r>
      <w:r w:rsidR="006A6798">
        <w:rPr>
          <w:rFonts w:ascii="Arial" w:hAnsi="Arial" w:cs="Arial"/>
          <w:szCs w:val="20"/>
          <w:lang w:val="en-US"/>
        </w:rPr>
        <w:t xml:space="preserve"> </w:t>
      </w:r>
      <w:r w:rsidR="00776A11">
        <w:rPr>
          <w:rFonts w:ascii="Arial" w:hAnsi="Arial" w:cs="Arial"/>
          <w:szCs w:val="20"/>
          <w:lang w:val="en-US"/>
        </w:rPr>
        <w:t xml:space="preserve">for the </w:t>
      </w:r>
      <w:r w:rsidR="008A5F7E">
        <w:rPr>
          <w:rFonts w:ascii="Arial" w:hAnsi="Arial" w:cs="Arial"/>
          <w:szCs w:val="20"/>
          <w:lang w:val="en-US"/>
        </w:rPr>
        <w:t>2021</w:t>
      </w:r>
      <w:r w:rsidR="00776A11">
        <w:rPr>
          <w:rFonts w:ascii="Arial" w:hAnsi="Arial" w:cs="Arial"/>
          <w:szCs w:val="20"/>
          <w:lang w:val="en-US"/>
        </w:rPr>
        <w:t>-</w:t>
      </w:r>
      <w:r w:rsidR="008A5F7E">
        <w:rPr>
          <w:rFonts w:ascii="Arial" w:hAnsi="Arial" w:cs="Arial"/>
          <w:szCs w:val="20"/>
          <w:lang w:val="en-US"/>
        </w:rPr>
        <w:t xml:space="preserve">22 </w:t>
      </w:r>
      <w:r w:rsidR="00776A11">
        <w:rPr>
          <w:rFonts w:ascii="Arial" w:hAnsi="Arial" w:cs="Arial"/>
          <w:szCs w:val="20"/>
          <w:lang w:val="en-US"/>
        </w:rPr>
        <w:t xml:space="preserve">financial year </w:t>
      </w:r>
      <w:r>
        <w:rPr>
          <w:rFonts w:ascii="Arial" w:hAnsi="Arial" w:cs="Arial"/>
          <w:szCs w:val="20"/>
          <w:lang w:val="en-US"/>
        </w:rPr>
        <w:t xml:space="preserve">commencing on 1 July </w:t>
      </w:r>
      <w:r w:rsidR="008A5F7E">
        <w:rPr>
          <w:rFonts w:ascii="Arial" w:hAnsi="Arial" w:cs="Arial"/>
          <w:szCs w:val="20"/>
          <w:lang w:val="en-US"/>
        </w:rPr>
        <w:t>2021</w:t>
      </w:r>
      <w:r w:rsidR="006A6798" w:rsidRPr="006A6798">
        <w:rPr>
          <w:rFonts w:ascii="Arial" w:hAnsi="Arial" w:cs="Arial"/>
          <w:szCs w:val="20"/>
          <w:lang w:val="en-US"/>
        </w:rPr>
        <w:t>.</w:t>
      </w:r>
      <w:r w:rsidR="0030300B">
        <w:rPr>
          <w:rFonts w:ascii="Arial" w:hAnsi="Arial" w:cs="Arial"/>
          <w:szCs w:val="20"/>
          <w:lang w:val="en-US"/>
        </w:rPr>
        <w:t xml:space="preserve"> </w:t>
      </w:r>
    </w:p>
    <w:p w14:paraId="4C9633C1" w14:textId="745CE0A2" w:rsidR="00F86756" w:rsidRPr="005A229D" w:rsidRDefault="00537010" w:rsidP="0027791B">
      <w:pPr>
        <w:pStyle w:val="ListParagraph"/>
        <w:numPr>
          <w:ilvl w:val="0"/>
          <w:numId w:val="13"/>
        </w:numPr>
        <w:spacing w:before="120" w:after="0"/>
        <w:ind w:left="363"/>
        <w:contextualSpacing w:val="0"/>
        <w:rPr>
          <w:rFonts w:cs="Arial"/>
          <w:szCs w:val="20"/>
          <w:lang w:val="en-US"/>
        </w:rPr>
      </w:pPr>
      <w:r>
        <w:rPr>
          <w:rFonts w:ascii="Arial" w:hAnsi="Arial" w:cs="Arial"/>
          <w:szCs w:val="20"/>
          <w:lang w:val="en-US"/>
        </w:rPr>
        <w:t xml:space="preserve">The </w:t>
      </w:r>
      <w:r w:rsidR="008A5F7E">
        <w:rPr>
          <w:rFonts w:ascii="Arial" w:hAnsi="Arial" w:cs="Arial"/>
          <w:szCs w:val="20"/>
          <w:lang w:val="en-US"/>
        </w:rPr>
        <w:t>2020</w:t>
      </w:r>
      <w:r w:rsidR="00776A11">
        <w:rPr>
          <w:rFonts w:ascii="Arial" w:hAnsi="Arial" w:cs="Arial"/>
          <w:szCs w:val="20"/>
          <w:lang w:val="en-US"/>
        </w:rPr>
        <w:t>-</w:t>
      </w:r>
      <w:r w:rsidR="008A5F7E">
        <w:rPr>
          <w:rFonts w:ascii="Arial" w:hAnsi="Arial" w:cs="Arial"/>
          <w:szCs w:val="20"/>
          <w:lang w:val="en-US"/>
        </w:rPr>
        <w:t xml:space="preserve">21 </w:t>
      </w:r>
      <w:r w:rsidR="006A6798">
        <w:rPr>
          <w:rFonts w:ascii="Arial" w:hAnsi="Arial" w:cs="Arial"/>
          <w:szCs w:val="20"/>
          <w:lang w:val="en-US"/>
        </w:rPr>
        <w:t>fees associated with l</w:t>
      </w:r>
      <w:r w:rsidR="002445EE" w:rsidRPr="0096642F">
        <w:rPr>
          <w:rFonts w:ascii="Arial" w:hAnsi="Arial" w:cs="Arial"/>
          <w:szCs w:val="20"/>
          <w:lang w:val="en-US"/>
        </w:rPr>
        <w:t xml:space="preserve">aboratory based </w:t>
      </w:r>
      <w:r w:rsidR="00382078">
        <w:rPr>
          <w:rFonts w:ascii="Arial" w:hAnsi="Arial" w:cs="Arial"/>
          <w:szCs w:val="20"/>
          <w:lang w:val="en-US"/>
        </w:rPr>
        <w:t xml:space="preserve">Pattern Approval </w:t>
      </w:r>
      <w:r w:rsidR="002445EE" w:rsidRPr="0096642F">
        <w:rPr>
          <w:rFonts w:ascii="Arial" w:hAnsi="Arial" w:cs="Arial"/>
          <w:szCs w:val="20"/>
          <w:lang w:val="en-US"/>
        </w:rPr>
        <w:t xml:space="preserve">testing </w:t>
      </w:r>
      <w:r>
        <w:rPr>
          <w:rFonts w:ascii="Arial" w:hAnsi="Arial" w:cs="Arial"/>
          <w:szCs w:val="20"/>
          <w:lang w:val="en-US"/>
        </w:rPr>
        <w:t xml:space="preserve">in Appendix </w:t>
      </w:r>
      <w:r w:rsidR="00B93CC1">
        <w:rPr>
          <w:rFonts w:ascii="Arial" w:hAnsi="Arial" w:cs="Arial"/>
          <w:szCs w:val="20"/>
          <w:lang w:val="en-US"/>
        </w:rPr>
        <w:t>A.</w:t>
      </w:r>
      <w:r>
        <w:rPr>
          <w:rFonts w:ascii="Arial" w:hAnsi="Arial" w:cs="Arial"/>
          <w:szCs w:val="20"/>
          <w:lang w:val="en-US"/>
        </w:rPr>
        <w:t xml:space="preserve">1 </w:t>
      </w:r>
      <w:r w:rsidR="006A6798">
        <w:rPr>
          <w:rFonts w:ascii="Arial" w:hAnsi="Arial" w:cs="Arial"/>
          <w:szCs w:val="20"/>
          <w:lang w:val="en-US"/>
        </w:rPr>
        <w:t xml:space="preserve">will increase </w:t>
      </w:r>
      <w:r w:rsidR="00527784">
        <w:rPr>
          <w:rFonts w:ascii="Arial" w:hAnsi="Arial" w:cs="Arial"/>
          <w:szCs w:val="20"/>
          <w:lang w:val="en-US"/>
        </w:rPr>
        <w:t>14.9</w:t>
      </w:r>
      <w:r w:rsidR="00260C92" w:rsidRPr="0096642F">
        <w:rPr>
          <w:rFonts w:ascii="Arial" w:hAnsi="Arial" w:cs="Arial"/>
          <w:szCs w:val="20"/>
          <w:lang w:val="en-US"/>
        </w:rPr>
        <w:t xml:space="preserve"> per cent</w:t>
      </w:r>
      <w:r>
        <w:rPr>
          <w:rFonts w:ascii="Arial" w:hAnsi="Arial" w:cs="Arial"/>
          <w:szCs w:val="20"/>
          <w:lang w:val="en-US"/>
        </w:rPr>
        <w:t xml:space="preserve"> </w:t>
      </w:r>
      <w:r w:rsidR="00776A11">
        <w:rPr>
          <w:rFonts w:ascii="Arial" w:hAnsi="Arial" w:cs="Arial"/>
          <w:szCs w:val="20"/>
          <w:lang w:val="en-US"/>
        </w:rPr>
        <w:t xml:space="preserve">for the </w:t>
      </w:r>
      <w:r w:rsidR="008A5F7E">
        <w:rPr>
          <w:rFonts w:ascii="Arial" w:hAnsi="Arial" w:cs="Arial"/>
          <w:szCs w:val="20"/>
          <w:lang w:val="en-US"/>
        </w:rPr>
        <w:t>2021</w:t>
      </w:r>
      <w:r w:rsidR="00776A11">
        <w:rPr>
          <w:rFonts w:ascii="Arial" w:hAnsi="Arial" w:cs="Arial"/>
          <w:szCs w:val="20"/>
          <w:lang w:val="en-US"/>
        </w:rPr>
        <w:t>-</w:t>
      </w:r>
      <w:r w:rsidR="008A5F7E">
        <w:rPr>
          <w:rFonts w:ascii="Arial" w:hAnsi="Arial" w:cs="Arial"/>
          <w:szCs w:val="20"/>
          <w:lang w:val="en-US"/>
        </w:rPr>
        <w:t xml:space="preserve">22 </w:t>
      </w:r>
      <w:r w:rsidR="00776A11">
        <w:rPr>
          <w:rFonts w:ascii="Arial" w:hAnsi="Arial" w:cs="Arial"/>
          <w:szCs w:val="20"/>
          <w:lang w:val="en-US"/>
        </w:rPr>
        <w:t xml:space="preserve">financial year </w:t>
      </w:r>
      <w:r>
        <w:rPr>
          <w:rFonts w:ascii="Arial" w:hAnsi="Arial" w:cs="Arial"/>
          <w:szCs w:val="20"/>
        </w:rPr>
        <w:t xml:space="preserve">commencing on 1 July </w:t>
      </w:r>
      <w:r w:rsidR="008A5F7E">
        <w:rPr>
          <w:rFonts w:ascii="Arial" w:hAnsi="Arial" w:cs="Arial"/>
          <w:szCs w:val="20"/>
        </w:rPr>
        <w:t>2021</w:t>
      </w:r>
      <w:r w:rsidR="006A6798" w:rsidRPr="006A6798">
        <w:rPr>
          <w:rFonts w:ascii="Arial" w:hAnsi="Arial" w:cs="Arial"/>
          <w:szCs w:val="20"/>
          <w:lang w:val="en-US"/>
        </w:rPr>
        <w:t>.</w:t>
      </w:r>
      <w:r w:rsidR="00B43A91" w:rsidRPr="0096642F">
        <w:rPr>
          <w:rFonts w:ascii="Arial" w:hAnsi="Arial" w:cs="Arial"/>
          <w:szCs w:val="20"/>
          <w:lang w:val="en-US"/>
        </w:rPr>
        <w:t xml:space="preserve"> </w:t>
      </w:r>
    </w:p>
    <w:p w14:paraId="394C4529" w14:textId="3790DFE8" w:rsidR="0030300B" w:rsidRPr="0096642F" w:rsidRDefault="0030300B" w:rsidP="0027791B">
      <w:pPr>
        <w:pStyle w:val="ListParagraph"/>
        <w:numPr>
          <w:ilvl w:val="0"/>
          <w:numId w:val="36"/>
        </w:numPr>
        <w:spacing w:before="120" w:after="0"/>
        <w:ind w:left="357" w:hanging="357"/>
        <w:contextualSpacing w:val="0"/>
        <w:rPr>
          <w:rFonts w:ascii="Arial" w:hAnsi="Arial" w:cs="Arial"/>
          <w:szCs w:val="20"/>
          <w:lang w:val="en-US"/>
        </w:rPr>
      </w:pPr>
      <w:r w:rsidRPr="0096642F">
        <w:rPr>
          <w:rFonts w:ascii="Arial" w:hAnsi="Arial" w:cs="Arial"/>
          <w:szCs w:val="20"/>
          <w:lang w:val="en-US"/>
        </w:rPr>
        <w:t xml:space="preserve">The fees associated with </w:t>
      </w:r>
      <w:r w:rsidR="00382078">
        <w:rPr>
          <w:rFonts w:ascii="Arial" w:hAnsi="Arial" w:cs="Arial"/>
          <w:szCs w:val="20"/>
          <w:lang w:val="en-US"/>
        </w:rPr>
        <w:t>P</w:t>
      </w:r>
      <w:r w:rsidR="00382078" w:rsidRPr="0096642F">
        <w:rPr>
          <w:rFonts w:ascii="Arial" w:hAnsi="Arial" w:cs="Arial"/>
          <w:szCs w:val="20"/>
          <w:lang w:val="en-US"/>
        </w:rPr>
        <w:t xml:space="preserve">attern </w:t>
      </w:r>
      <w:r w:rsidR="00382078">
        <w:rPr>
          <w:rFonts w:ascii="Arial" w:hAnsi="Arial" w:cs="Arial"/>
          <w:szCs w:val="20"/>
          <w:lang w:val="en-US"/>
        </w:rPr>
        <w:t>A</w:t>
      </w:r>
      <w:r w:rsidR="00382078" w:rsidRPr="0096642F">
        <w:rPr>
          <w:rFonts w:ascii="Arial" w:hAnsi="Arial" w:cs="Arial"/>
          <w:szCs w:val="20"/>
          <w:lang w:val="en-US"/>
        </w:rPr>
        <w:t xml:space="preserve">pproval </w:t>
      </w:r>
      <w:r>
        <w:rPr>
          <w:rFonts w:ascii="Arial" w:hAnsi="Arial" w:cs="Arial"/>
          <w:szCs w:val="20"/>
          <w:lang w:val="en-US"/>
        </w:rPr>
        <w:t xml:space="preserve">certification and laboratory testing </w:t>
      </w:r>
      <w:r w:rsidRPr="0096642F">
        <w:rPr>
          <w:rFonts w:ascii="Arial" w:hAnsi="Arial" w:cs="Arial"/>
          <w:szCs w:val="20"/>
          <w:lang w:val="en-US"/>
        </w:rPr>
        <w:t xml:space="preserve">for the </w:t>
      </w:r>
      <w:r w:rsidR="008A5F7E" w:rsidRPr="0096642F">
        <w:rPr>
          <w:rFonts w:ascii="Arial" w:hAnsi="Arial" w:cs="Arial"/>
          <w:szCs w:val="20"/>
          <w:lang w:val="en-US"/>
        </w:rPr>
        <w:t>20</w:t>
      </w:r>
      <w:r w:rsidR="008A5F7E">
        <w:rPr>
          <w:rFonts w:ascii="Arial" w:hAnsi="Arial" w:cs="Arial"/>
          <w:szCs w:val="20"/>
          <w:lang w:val="en-US"/>
        </w:rPr>
        <w:t>21</w:t>
      </w:r>
      <w:r w:rsidRPr="0096642F">
        <w:rPr>
          <w:rFonts w:ascii="Arial" w:hAnsi="Arial" w:cs="Arial"/>
          <w:szCs w:val="20"/>
          <w:lang w:val="en-US"/>
        </w:rPr>
        <w:t>-</w:t>
      </w:r>
      <w:r w:rsidR="008A5F7E">
        <w:rPr>
          <w:rFonts w:ascii="Arial" w:hAnsi="Arial" w:cs="Arial"/>
          <w:szCs w:val="20"/>
          <w:lang w:val="en-US"/>
        </w:rPr>
        <w:t>22</w:t>
      </w:r>
      <w:r w:rsidR="008A5F7E" w:rsidRPr="0096642F">
        <w:rPr>
          <w:rFonts w:ascii="Arial" w:hAnsi="Arial" w:cs="Arial"/>
          <w:szCs w:val="20"/>
          <w:lang w:val="en-US"/>
        </w:rPr>
        <w:t xml:space="preserve"> </w:t>
      </w:r>
      <w:r w:rsidRPr="0096642F">
        <w:rPr>
          <w:rFonts w:ascii="Arial" w:hAnsi="Arial" w:cs="Arial"/>
          <w:szCs w:val="20"/>
          <w:lang w:val="en-US"/>
        </w:rPr>
        <w:t xml:space="preserve">financial year are provided in Appendix </w:t>
      </w:r>
      <w:r>
        <w:rPr>
          <w:rFonts w:ascii="Arial" w:hAnsi="Arial" w:cs="Arial"/>
          <w:szCs w:val="20"/>
          <w:lang w:val="en-US"/>
        </w:rPr>
        <w:t>A.2</w:t>
      </w:r>
      <w:r w:rsidRPr="0096642F">
        <w:rPr>
          <w:rFonts w:ascii="Arial" w:hAnsi="Arial" w:cs="Arial"/>
          <w:szCs w:val="20"/>
          <w:lang w:val="en-US"/>
        </w:rPr>
        <w:t>.</w:t>
      </w:r>
    </w:p>
    <w:p w14:paraId="3E060BC3" w14:textId="41E6AC3A" w:rsidR="00E20B0F" w:rsidRPr="00E20B0F" w:rsidRDefault="00E20B0F" w:rsidP="00E20B0F">
      <w:pPr>
        <w:spacing w:before="120"/>
        <w:rPr>
          <w:rFonts w:cs="Arial"/>
          <w:szCs w:val="20"/>
          <w:lang w:val="en-US"/>
        </w:rPr>
      </w:pPr>
      <w:r w:rsidRPr="00E20B0F">
        <w:rPr>
          <w:rFonts w:cs="Arial"/>
          <w:szCs w:val="20"/>
          <w:lang w:val="en-US"/>
        </w:rPr>
        <w:t xml:space="preserve">Table </w:t>
      </w:r>
      <w:r>
        <w:rPr>
          <w:rFonts w:cs="Arial"/>
          <w:szCs w:val="20"/>
          <w:lang w:val="en-US"/>
        </w:rPr>
        <w:t xml:space="preserve">4 </w:t>
      </w:r>
      <w:r w:rsidRPr="00E20B0F">
        <w:rPr>
          <w:rFonts w:cs="Arial"/>
          <w:szCs w:val="20"/>
          <w:lang w:val="en-US"/>
        </w:rPr>
        <w:t>provides a summary of the NMI’s budget estimates based on the fee increases</w:t>
      </w:r>
      <w:r>
        <w:rPr>
          <w:rFonts w:cs="Arial"/>
          <w:szCs w:val="20"/>
          <w:lang w:val="en-US"/>
        </w:rPr>
        <w:t xml:space="preserve"> for PA for the years </w:t>
      </w:r>
      <w:r w:rsidR="00131AC8">
        <w:rPr>
          <w:rFonts w:cs="Arial"/>
          <w:szCs w:val="20"/>
          <w:lang w:val="en-US"/>
        </w:rPr>
        <w:t>2021</w:t>
      </w:r>
      <w:r>
        <w:rPr>
          <w:rFonts w:cs="Arial"/>
          <w:szCs w:val="20"/>
          <w:lang w:val="en-US"/>
        </w:rPr>
        <w:t>-</w:t>
      </w:r>
      <w:r w:rsidR="00131AC8">
        <w:rPr>
          <w:rFonts w:cs="Arial"/>
          <w:szCs w:val="20"/>
          <w:lang w:val="en-US"/>
        </w:rPr>
        <w:t>24</w:t>
      </w:r>
      <w:r w:rsidRPr="00E20B0F">
        <w:rPr>
          <w:rFonts w:cs="Arial"/>
          <w:szCs w:val="20"/>
          <w:lang w:val="en-US"/>
        </w:rPr>
        <w:t xml:space="preserve">. The numbers in Table </w:t>
      </w:r>
      <w:r>
        <w:rPr>
          <w:rFonts w:cs="Arial"/>
          <w:szCs w:val="20"/>
          <w:lang w:val="en-US"/>
        </w:rPr>
        <w:t>4</w:t>
      </w:r>
      <w:r w:rsidRPr="00E20B0F">
        <w:rPr>
          <w:rFonts w:cs="Arial"/>
          <w:szCs w:val="20"/>
          <w:lang w:val="en-US"/>
        </w:rPr>
        <w:t xml:space="preserve"> are provided for guidance only.</w:t>
      </w:r>
    </w:p>
    <w:p w14:paraId="08FE17D4" w14:textId="77777777" w:rsidR="002445EE" w:rsidRPr="0096642F" w:rsidRDefault="002445EE" w:rsidP="0096642F">
      <w:pPr>
        <w:pStyle w:val="Heading2"/>
        <w:rPr>
          <w:sz w:val="24"/>
          <w:lang w:val="en-US"/>
        </w:rPr>
      </w:pPr>
      <w:bookmarkStart w:id="65" w:name="_Toc516468793"/>
      <w:bookmarkStart w:id="66" w:name="_Toc85106088"/>
      <w:r w:rsidRPr="005A229D">
        <w:rPr>
          <w:sz w:val="24"/>
          <w:lang w:val="en-US"/>
        </w:rPr>
        <w:t>L</w:t>
      </w:r>
      <w:r w:rsidR="000256D9" w:rsidRPr="005A229D">
        <w:rPr>
          <w:sz w:val="24"/>
          <w:lang w:val="en-US"/>
        </w:rPr>
        <w:t>icensing</w:t>
      </w:r>
      <w:bookmarkEnd w:id="65"/>
      <w:bookmarkEnd w:id="66"/>
      <w:r w:rsidR="000256D9" w:rsidRPr="0096642F">
        <w:rPr>
          <w:sz w:val="24"/>
          <w:szCs w:val="24"/>
          <w:lang w:val="en-US"/>
        </w:rPr>
        <w:t xml:space="preserve"> </w:t>
      </w:r>
    </w:p>
    <w:p w14:paraId="16E4C748" w14:textId="03D4ECB2" w:rsidR="00883263" w:rsidRPr="00776A11" w:rsidRDefault="00776A11" w:rsidP="0054408F">
      <w:pPr>
        <w:pStyle w:val="ListParagraph"/>
        <w:numPr>
          <w:ilvl w:val="0"/>
          <w:numId w:val="37"/>
        </w:numPr>
        <w:spacing w:before="120" w:after="0"/>
        <w:contextualSpacing w:val="0"/>
        <w:rPr>
          <w:rFonts w:ascii="Arial" w:hAnsi="Arial" w:cs="Arial"/>
          <w:szCs w:val="20"/>
          <w:lang w:val="en-US"/>
        </w:rPr>
      </w:pPr>
      <w:r w:rsidRPr="00776A11">
        <w:rPr>
          <w:rFonts w:ascii="Arial" w:hAnsi="Arial" w:cs="Arial"/>
          <w:szCs w:val="20"/>
          <w:lang w:val="en-US"/>
        </w:rPr>
        <w:t xml:space="preserve">The fees associated with issuing of licenses for the </w:t>
      </w:r>
      <w:r w:rsidR="008A5F7E" w:rsidRPr="00776A11">
        <w:rPr>
          <w:rFonts w:ascii="Arial" w:hAnsi="Arial" w:cs="Arial"/>
          <w:szCs w:val="20"/>
          <w:lang w:val="en-US"/>
        </w:rPr>
        <w:t>20</w:t>
      </w:r>
      <w:r w:rsidR="008A5F7E">
        <w:rPr>
          <w:rFonts w:ascii="Arial" w:hAnsi="Arial" w:cs="Arial"/>
          <w:szCs w:val="20"/>
          <w:lang w:val="en-US"/>
        </w:rPr>
        <w:t>20</w:t>
      </w:r>
      <w:r w:rsidRPr="00776A11">
        <w:rPr>
          <w:rFonts w:ascii="Arial" w:hAnsi="Arial" w:cs="Arial"/>
          <w:szCs w:val="20"/>
          <w:lang w:val="en-US"/>
        </w:rPr>
        <w:t>-</w:t>
      </w:r>
      <w:r w:rsidR="008A5F7E" w:rsidRPr="00776A11">
        <w:rPr>
          <w:rFonts w:ascii="Arial" w:hAnsi="Arial" w:cs="Arial"/>
          <w:szCs w:val="20"/>
          <w:lang w:val="en-US"/>
        </w:rPr>
        <w:t>2</w:t>
      </w:r>
      <w:r w:rsidR="008A5F7E">
        <w:rPr>
          <w:rFonts w:ascii="Arial" w:hAnsi="Arial" w:cs="Arial"/>
          <w:szCs w:val="20"/>
          <w:lang w:val="en-US"/>
        </w:rPr>
        <w:t>1</w:t>
      </w:r>
      <w:r w:rsidR="008A5F7E" w:rsidRPr="00776A11">
        <w:rPr>
          <w:rFonts w:ascii="Arial" w:hAnsi="Arial" w:cs="Arial"/>
          <w:szCs w:val="20"/>
          <w:lang w:val="en-US"/>
        </w:rPr>
        <w:t xml:space="preserve"> </w:t>
      </w:r>
      <w:r w:rsidRPr="00776A11">
        <w:rPr>
          <w:rFonts w:ascii="Arial" w:hAnsi="Arial" w:cs="Arial"/>
          <w:szCs w:val="20"/>
          <w:lang w:val="en-US"/>
        </w:rPr>
        <w:t xml:space="preserve">financial year are provided in </w:t>
      </w:r>
      <w:r w:rsidR="00B43A91" w:rsidRPr="00776A11">
        <w:rPr>
          <w:rFonts w:ascii="Arial" w:hAnsi="Arial" w:cs="Arial"/>
          <w:szCs w:val="20"/>
          <w:lang w:val="en-US"/>
        </w:rPr>
        <w:t xml:space="preserve">Appendices </w:t>
      </w:r>
      <w:r w:rsidR="0030300B" w:rsidRPr="00776A11">
        <w:rPr>
          <w:rFonts w:ascii="Arial" w:hAnsi="Arial" w:cs="Arial"/>
          <w:szCs w:val="20"/>
          <w:lang w:val="en-US"/>
        </w:rPr>
        <w:t>B.1</w:t>
      </w:r>
      <w:r w:rsidR="00B43A91" w:rsidRPr="00776A11">
        <w:rPr>
          <w:rFonts w:ascii="Arial" w:hAnsi="Arial" w:cs="Arial"/>
          <w:szCs w:val="20"/>
          <w:lang w:val="en-US"/>
        </w:rPr>
        <w:t xml:space="preserve"> </w:t>
      </w:r>
      <w:r w:rsidR="00030753" w:rsidRPr="00776A11">
        <w:rPr>
          <w:rFonts w:ascii="Arial" w:hAnsi="Arial" w:cs="Arial"/>
          <w:szCs w:val="20"/>
          <w:lang w:val="en-US"/>
        </w:rPr>
        <w:t xml:space="preserve">(Servicing Licences) </w:t>
      </w:r>
      <w:r w:rsidR="00B43A91" w:rsidRPr="00776A11">
        <w:rPr>
          <w:rFonts w:ascii="Arial" w:hAnsi="Arial" w:cs="Arial"/>
          <w:szCs w:val="20"/>
          <w:lang w:val="en-US"/>
        </w:rPr>
        <w:t>&amp;</w:t>
      </w:r>
      <w:r w:rsidR="00BB64B7" w:rsidRPr="00776A11">
        <w:rPr>
          <w:rFonts w:ascii="Arial" w:hAnsi="Arial" w:cs="Arial"/>
          <w:szCs w:val="20"/>
          <w:lang w:val="en-US"/>
        </w:rPr>
        <w:t xml:space="preserve"> </w:t>
      </w:r>
      <w:r w:rsidR="0030300B" w:rsidRPr="00776A11">
        <w:rPr>
          <w:rFonts w:ascii="Arial" w:hAnsi="Arial" w:cs="Arial"/>
          <w:szCs w:val="20"/>
          <w:lang w:val="en-US"/>
        </w:rPr>
        <w:t>C.1</w:t>
      </w:r>
      <w:r w:rsidR="00030753" w:rsidRPr="00776A11">
        <w:rPr>
          <w:rFonts w:ascii="Arial" w:hAnsi="Arial" w:cs="Arial"/>
          <w:szCs w:val="20"/>
          <w:lang w:val="en-US"/>
        </w:rPr>
        <w:t xml:space="preserve"> (Public Weighbridge Licences)</w:t>
      </w:r>
      <w:r w:rsidR="00B43A91" w:rsidRPr="00776A11">
        <w:rPr>
          <w:rFonts w:ascii="Arial" w:hAnsi="Arial" w:cs="Arial"/>
          <w:szCs w:val="20"/>
          <w:lang w:val="en-US"/>
        </w:rPr>
        <w:t xml:space="preserve">. </w:t>
      </w:r>
    </w:p>
    <w:p w14:paraId="61BDCF86" w14:textId="2C568577" w:rsidR="00883263" w:rsidRPr="00883263" w:rsidRDefault="00537010" w:rsidP="0027791B">
      <w:pPr>
        <w:pStyle w:val="ListParagraph"/>
        <w:numPr>
          <w:ilvl w:val="0"/>
          <w:numId w:val="37"/>
        </w:numPr>
        <w:spacing w:before="120" w:after="0"/>
        <w:contextualSpacing w:val="0"/>
        <w:rPr>
          <w:rFonts w:ascii="Arial" w:hAnsi="Arial" w:cs="Arial"/>
          <w:szCs w:val="20"/>
          <w:lang w:val="en-US"/>
        </w:rPr>
      </w:pPr>
      <w:r w:rsidRPr="00F65B72">
        <w:rPr>
          <w:rFonts w:ascii="Arial" w:hAnsi="Arial" w:cs="Arial"/>
          <w:szCs w:val="20"/>
          <w:lang w:val="en-US"/>
        </w:rPr>
        <w:t xml:space="preserve">The fees associated with issuing </w:t>
      </w:r>
      <w:r w:rsidR="00A16A80" w:rsidRPr="00F65B72">
        <w:rPr>
          <w:rFonts w:ascii="Arial" w:hAnsi="Arial" w:cs="Arial"/>
          <w:szCs w:val="20"/>
          <w:lang w:val="en-US"/>
        </w:rPr>
        <w:t xml:space="preserve">a </w:t>
      </w:r>
      <w:r w:rsidRPr="00F65B72">
        <w:rPr>
          <w:rFonts w:ascii="Arial" w:hAnsi="Arial" w:cs="Arial"/>
          <w:szCs w:val="20"/>
          <w:lang w:val="en-US"/>
        </w:rPr>
        <w:t>s</w:t>
      </w:r>
      <w:r w:rsidR="002445EE" w:rsidRPr="00F65B72">
        <w:rPr>
          <w:rFonts w:ascii="Arial" w:hAnsi="Arial" w:cs="Arial"/>
          <w:szCs w:val="20"/>
          <w:lang w:val="en-US"/>
        </w:rPr>
        <w:t>ervicing</w:t>
      </w:r>
      <w:r w:rsidR="00A16A80" w:rsidRPr="00F65B72">
        <w:rPr>
          <w:rFonts w:ascii="Arial" w:hAnsi="Arial" w:cs="Arial"/>
          <w:szCs w:val="20"/>
          <w:lang w:val="en-US"/>
        </w:rPr>
        <w:t xml:space="preserve"> licence in Appendix </w:t>
      </w:r>
      <w:r w:rsidR="00B93CC1">
        <w:rPr>
          <w:rFonts w:ascii="Arial" w:hAnsi="Arial" w:cs="Arial"/>
          <w:szCs w:val="20"/>
          <w:lang w:val="en-US"/>
        </w:rPr>
        <w:t>B.1</w:t>
      </w:r>
      <w:r w:rsidR="00A16A80" w:rsidRPr="00F65B72">
        <w:rPr>
          <w:rFonts w:ascii="Arial" w:hAnsi="Arial" w:cs="Arial"/>
          <w:szCs w:val="20"/>
          <w:lang w:val="en-US"/>
        </w:rPr>
        <w:t xml:space="preserve"> will increase </w:t>
      </w:r>
      <w:r w:rsidR="00527784">
        <w:rPr>
          <w:rFonts w:ascii="Arial" w:hAnsi="Arial" w:cs="Arial"/>
          <w:szCs w:val="20"/>
          <w:lang w:val="en-US"/>
        </w:rPr>
        <w:t>11.1</w:t>
      </w:r>
      <w:r w:rsidR="00776A11">
        <w:rPr>
          <w:rFonts w:ascii="Arial" w:hAnsi="Arial" w:cs="Arial"/>
          <w:szCs w:val="20"/>
          <w:lang w:val="en-US"/>
        </w:rPr>
        <w:t xml:space="preserve"> </w:t>
      </w:r>
      <w:r w:rsidR="00FD3253">
        <w:rPr>
          <w:rFonts w:ascii="Arial" w:hAnsi="Arial" w:cs="Arial"/>
          <w:szCs w:val="20"/>
          <w:lang w:val="en-US"/>
        </w:rPr>
        <w:t>per cent</w:t>
      </w:r>
      <w:r w:rsidR="00A16A80" w:rsidRPr="00F65B72">
        <w:rPr>
          <w:rFonts w:ascii="Arial" w:hAnsi="Arial" w:cs="Arial"/>
          <w:szCs w:val="20"/>
          <w:lang w:val="en-US"/>
        </w:rPr>
        <w:t xml:space="preserve"> </w:t>
      </w:r>
      <w:r w:rsidR="00776A11">
        <w:rPr>
          <w:rFonts w:ascii="Arial" w:hAnsi="Arial" w:cs="Arial"/>
          <w:szCs w:val="20"/>
          <w:lang w:val="en-US"/>
        </w:rPr>
        <w:t xml:space="preserve">for the </w:t>
      </w:r>
      <w:r w:rsidR="008A5F7E">
        <w:rPr>
          <w:rFonts w:ascii="Arial" w:hAnsi="Arial" w:cs="Arial"/>
          <w:szCs w:val="20"/>
          <w:lang w:val="en-US"/>
        </w:rPr>
        <w:t>2021</w:t>
      </w:r>
      <w:r w:rsidR="00776A11">
        <w:rPr>
          <w:rFonts w:ascii="Arial" w:hAnsi="Arial" w:cs="Arial"/>
          <w:szCs w:val="20"/>
          <w:lang w:val="en-US"/>
        </w:rPr>
        <w:t>-</w:t>
      </w:r>
      <w:r w:rsidR="008A5F7E">
        <w:rPr>
          <w:rFonts w:ascii="Arial" w:hAnsi="Arial" w:cs="Arial"/>
          <w:szCs w:val="20"/>
          <w:lang w:val="en-US"/>
        </w:rPr>
        <w:t xml:space="preserve">22 </w:t>
      </w:r>
      <w:r w:rsidR="00776A11">
        <w:rPr>
          <w:rFonts w:ascii="Arial" w:hAnsi="Arial" w:cs="Arial"/>
          <w:szCs w:val="20"/>
          <w:lang w:val="en-US"/>
        </w:rPr>
        <w:t xml:space="preserve">financial year </w:t>
      </w:r>
      <w:r w:rsidR="00883263" w:rsidRPr="00883263">
        <w:rPr>
          <w:rFonts w:ascii="Arial" w:hAnsi="Arial" w:cs="Arial"/>
          <w:szCs w:val="20"/>
          <w:lang w:val="en-US"/>
        </w:rPr>
        <w:t xml:space="preserve">commencing on 1 July </w:t>
      </w:r>
      <w:r w:rsidR="008A5F7E" w:rsidRPr="00883263">
        <w:rPr>
          <w:rFonts w:ascii="Arial" w:hAnsi="Arial" w:cs="Arial"/>
          <w:szCs w:val="20"/>
          <w:lang w:val="en-US"/>
        </w:rPr>
        <w:t>20</w:t>
      </w:r>
      <w:r w:rsidR="008A5F7E">
        <w:rPr>
          <w:rFonts w:ascii="Arial" w:hAnsi="Arial" w:cs="Arial"/>
          <w:szCs w:val="20"/>
          <w:lang w:val="en-US"/>
        </w:rPr>
        <w:t>21</w:t>
      </w:r>
      <w:r w:rsidR="00883263" w:rsidRPr="00883263">
        <w:rPr>
          <w:rFonts w:ascii="Arial" w:hAnsi="Arial" w:cs="Arial"/>
          <w:szCs w:val="20"/>
          <w:lang w:val="en-US"/>
        </w:rPr>
        <w:t xml:space="preserve">. </w:t>
      </w:r>
    </w:p>
    <w:p w14:paraId="49CF34A0" w14:textId="7A1BAC79" w:rsidR="00E20B0F" w:rsidRDefault="00A16A80" w:rsidP="0027791B">
      <w:pPr>
        <w:pStyle w:val="ListParagraph"/>
        <w:numPr>
          <w:ilvl w:val="0"/>
          <w:numId w:val="14"/>
        </w:numPr>
        <w:spacing w:before="120" w:after="0"/>
        <w:ind w:left="360"/>
        <w:contextualSpacing w:val="0"/>
        <w:rPr>
          <w:rFonts w:ascii="Arial" w:hAnsi="Arial" w:cs="Arial"/>
          <w:szCs w:val="20"/>
          <w:lang w:val="en-US"/>
        </w:rPr>
      </w:pPr>
      <w:r w:rsidRPr="00C82CFB">
        <w:rPr>
          <w:rFonts w:ascii="Arial" w:hAnsi="Arial" w:cs="Arial"/>
          <w:szCs w:val="20"/>
          <w:lang w:val="en-US"/>
        </w:rPr>
        <w:t xml:space="preserve">The fees associated with issuing a public weighbridge licence in Appendix </w:t>
      </w:r>
      <w:r w:rsidR="00B93CC1">
        <w:rPr>
          <w:rFonts w:ascii="Arial" w:hAnsi="Arial" w:cs="Arial"/>
          <w:szCs w:val="20"/>
          <w:lang w:val="en-US"/>
        </w:rPr>
        <w:t>C.1</w:t>
      </w:r>
      <w:r w:rsidRPr="00C82CFB">
        <w:rPr>
          <w:rFonts w:ascii="Arial" w:hAnsi="Arial" w:cs="Arial"/>
          <w:szCs w:val="20"/>
          <w:lang w:val="en-US"/>
        </w:rPr>
        <w:t xml:space="preserve"> </w:t>
      </w:r>
      <w:r w:rsidR="0054408F">
        <w:rPr>
          <w:rFonts w:ascii="Arial" w:hAnsi="Arial" w:cs="Arial"/>
          <w:szCs w:val="20"/>
          <w:lang w:val="en-US"/>
        </w:rPr>
        <w:t xml:space="preserve">have remained unchanged. </w:t>
      </w:r>
    </w:p>
    <w:p w14:paraId="2D22BC03" w14:textId="1D7625C5" w:rsidR="0030300B" w:rsidRPr="005A229D" w:rsidRDefault="0030300B" w:rsidP="0027791B">
      <w:pPr>
        <w:pStyle w:val="ListParagraph"/>
        <w:numPr>
          <w:ilvl w:val="0"/>
          <w:numId w:val="14"/>
        </w:numPr>
        <w:spacing w:before="120" w:after="0"/>
        <w:ind w:left="360"/>
        <w:contextualSpacing w:val="0"/>
        <w:rPr>
          <w:rFonts w:ascii="Arial" w:hAnsi="Arial" w:cs="Arial"/>
          <w:szCs w:val="20"/>
          <w:lang w:val="en-US"/>
        </w:rPr>
      </w:pPr>
      <w:r>
        <w:rPr>
          <w:rFonts w:ascii="Arial" w:hAnsi="Arial" w:cs="Arial"/>
          <w:szCs w:val="20"/>
          <w:lang w:val="en-US"/>
        </w:rPr>
        <w:t>The f</w:t>
      </w:r>
      <w:r w:rsidRPr="0096642F">
        <w:rPr>
          <w:rFonts w:ascii="Arial" w:hAnsi="Arial" w:cs="Arial"/>
          <w:szCs w:val="20"/>
          <w:lang w:val="en-US"/>
        </w:rPr>
        <w:t xml:space="preserve">ees associated with issuing of licenses for the </w:t>
      </w:r>
      <w:r w:rsidR="008A5F7E" w:rsidRPr="0096642F">
        <w:rPr>
          <w:rFonts w:ascii="Arial" w:hAnsi="Arial" w:cs="Arial"/>
          <w:szCs w:val="20"/>
          <w:lang w:val="en-US"/>
        </w:rPr>
        <w:t>20</w:t>
      </w:r>
      <w:r w:rsidR="008A5F7E">
        <w:rPr>
          <w:rFonts w:ascii="Arial" w:hAnsi="Arial" w:cs="Arial"/>
          <w:szCs w:val="20"/>
          <w:lang w:val="en-US"/>
        </w:rPr>
        <w:t>21</w:t>
      </w:r>
      <w:r w:rsidR="00B93CC1">
        <w:rPr>
          <w:rFonts w:ascii="Arial" w:hAnsi="Arial" w:cs="Arial"/>
          <w:szCs w:val="20"/>
          <w:lang w:val="en-US"/>
        </w:rPr>
        <w:t>-</w:t>
      </w:r>
      <w:r w:rsidR="008A5F7E">
        <w:rPr>
          <w:rFonts w:ascii="Arial" w:hAnsi="Arial" w:cs="Arial"/>
          <w:szCs w:val="20"/>
          <w:lang w:val="en-US"/>
        </w:rPr>
        <w:t>22</w:t>
      </w:r>
      <w:r w:rsidR="008A5F7E" w:rsidRPr="0096642F">
        <w:rPr>
          <w:rFonts w:ascii="Arial" w:hAnsi="Arial" w:cs="Arial"/>
          <w:szCs w:val="20"/>
          <w:lang w:val="en-US"/>
        </w:rPr>
        <w:t xml:space="preserve"> </w:t>
      </w:r>
      <w:r w:rsidRPr="0096642F">
        <w:rPr>
          <w:rFonts w:ascii="Arial" w:hAnsi="Arial" w:cs="Arial"/>
          <w:szCs w:val="20"/>
          <w:lang w:val="en-US"/>
        </w:rPr>
        <w:t xml:space="preserve">financial year are provided in Appendices </w:t>
      </w:r>
      <w:r>
        <w:rPr>
          <w:rFonts w:ascii="Arial" w:hAnsi="Arial" w:cs="Arial"/>
          <w:szCs w:val="20"/>
          <w:lang w:val="en-US"/>
        </w:rPr>
        <w:t>B.2</w:t>
      </w:r>
      <w:r w:rsidRPr="0096642F">
        <w:rPr>
          <w:rFonts w:ascii="Arial" w:hAnsi="Arial" w:cs="Arial"/>
          <w:szCs w:val="20"/>
          <w:lang w:val="en-US"/>
        </w:rPr>
        <w:t xml:space="preserve"> </w:t>
      </w:r>
      <w:r>
        <w:rPr>
          <w:rFonts w:ascii="Arial" w:hAnsi="Arial" w:cs="Arial"/>
          <w:szCs w:val="20"/>
          <w:lang w:val="en-US"/>
        </w:rPr>
        <w:t xml:space="preserve">(Servicing Licences) </w:t>
      </w:r>
      <w:r w:rsidRPr="0096642F">
        <w:rPr>
          <w:rFonts w:ascii="Arial" w:hAnsi="Arial" w:cs="Arial"/>
          <w:szCs w:val="20"/>
          <w:lang w:val="en-US"/>
        </w:rPr>
        <w:t xml:space="preserve">&amp; </w:t>
      </w:r>
      <w:r>
        <w:rPr>
          <w:rFonts w:ascii="Arial" w:hAnsi="Arial" w:cs="Arial"/>
          <w:szCs w:val="20"/>
          <w:lang w:val="en-US"/>
        </w:rPr>
        <w:t>C.</w:t>
      </w:r>
      <w:r w:rsidR="0054408F">
        <w:rPr>
          <w:rFonts w:ascii="Arial" w:hAnsi="Arial" w:cs="Arial"/>
          <w:szCs w:val="20"/>
          <w:lang w:val="en-US"/>
        </w:rPr>
        <w:t>1</w:t>
      </w:r>
      <w:r>
        <w:rPr>
          <w:rFonts w:ascii="Arial" w:hAnsi="Arial" w:cs="Arial"/>
          <w:szCs w:val="20"/>
          <w:lang w:val="en-US"/>
        </w:rPr>
        <w:t xml:space="preserve"> (Public Weighbridge Licences)</w:t>
      </w:r>
      <w:r w:rsidRPr="0096642F">
        <w:rPr>
          <w:rFonts w:ascii="Arial" w:hAnsi="Arial" w:cs="Arial"/>
          <w:szCs w:val="20"/>
          <w:lang w:val="en-US"/>
        </w:rPr>
        <w:t xml:space="preserve">. </w:t>
      </w:r>
    </w:p>
    <w:p w14:paraId="2893896C" w14:textId="6598845F" w:rsidR="00E20B0F" w:rsidRPr="00E20B0F" w:rsidRDefault="00E20B0F" w:rsidP="00E20B0F">
      <w:pPr>
        <w:spacing w:before="120"/>
        <w:rPr>
          <w:rFonts w:cs="Arial"/>
          <w:szCs w:val="20"/>
          <w:lang w:val="en-US"/>
        </w:rPr>
      </w:pPr>
      <w:r w:rsidRPr="00E20B0F">
        <w:rPr>
          <w:rFonts w:cs="Arial"/>
          <w:szCs w:val="20"/>
          <w:lang w:val="en-US"/>
        </w:rPr>
        <w:t xml:space="preserve">Table </w:t>
      </w:r>
      <w:r>
        <w:rPr>
          <w:rFonts w:cs="Arial"/>
          <w:szCs w:val="20"/>
          <w:lang w:val="en-US"/>
        </w:rPr>
        <w:t>5</w:t>
      </w:r>
      <w:r w:rsidRPr="00E20B0F">
        <w:rPr>
          <w:rFonts w:cs="Arial"/>
          <w:szCs w:val="20"/>
          <w:lang w:val="en-US"/>
        </w:rPr>
        <w:t xml:space="preserve"> provides a summary of the NMI’s budget estimates based on the fee increases for </w:t>
      </w:r>
      <w:r>
        <w:rPr>
          <w:rFonts w:cs="Arial"/>
          <w:szCs w:val="20"/>
          <w:lang w:val="en-US"/>
        </w:rPr>
        <w:t>Licensing</w:t>
      </w:r>
      <w:r w:rsidRPr="00E20B0F">
        <w:rPr>
          <w:rFonts w:cs="Arial"/>
          <w:szCs w:val="20"/>
          <w:lang w:val="en-US"/>
        </w:rPr>
        <w:t xml:space="preserve"> for the </w:t>
      </w:r>
      <w:r w:rsidRPr="001F2C50">
        <w:rPr>
          <w:rFonts w:cs="Arial"/>
          <w:szCs w:val="20"/>
          <w:lang w:val="en-US"/>
        </w:rPr>
        <w:t xml:space="preserve">years </w:t>
      </w:r>
      <w:r w:rsidR="00131AC8" w:rsidRPr="001F2C50">
        <w:rPr>
          <w:rFonts w:cs="Arial"/>
          <w:szCs w:val="20"/>
          <w:lang w:val="en-US"/>
        </w:rPr>
        <w:t>202</w:t>
      </w:r>
      <w:r w:rsidR="00131AC8">
        <w:rPr>
          <w:rFonts w:cs="Arial"/>
          <w:szCs w:val="20"/>
          <w:lang w:val="en-US"/>
        </w:rPr>
        <w:t>1</w:t>
      </w:r>
      <w:r w:rsidR="00FD3253" w:rsidRPr="001F2C50">
        <w:rPr>
          <w:rFonts w:cs="Arial"/>
          <w:szCs w:val="20"/>
          <w:lang w:val="en-US"/>
        </w:rPr>
        <w:t>–</w:t>
      </w:r>
      <w:r w:rsidR="00131AC8" w:rsidRPr="001F2C50">
        <w:rPr>
          <w:rFonts w:cs="Arial"/>
          <w:szCs w:val="20"/>
          <w:lang w:val="en-US"/>
        </w:rPr>
        <w:t>2</w:t>
      </w:r>
      <w:r w:rsidR="00131AC8">
        <w:rPr>
          <w:rFonts w:cs="Arial"/>
          <w:szCs w:val="20"/>
          <w:lang w:val="en-US"/>
        </w:rPr>
        <w:t>4</w:t>
      </w:r>
      <w:r w:rsidRPr="00E20B0F">
        <w:rPr>
          <w:rFonts w:cs="Arial"/>
          <w:szCs w:val="20"/>
          <w:lang w:val="en-US"/>
        </w:rPr>
        <w:t xml:space="preserve">. The numbers in Table </w:t>
      </w:r>
      <w:r>
        <w:rPr>
          <w:rFonts w:cs="Arial"/>
          <w:szCs w:val="20"/>
          <w:lang w:val="en-US"/>
        </w:rPr>
        <w:t>5</w:t>
      </w:r>
      <w:r w:rsidRPr="00E20B0F">
        <w:rPr>
          <w:rFonts w:cs="Arial"/>
          <w:szCs w:val="20"/>
          <w:lang w:val="en-US"/>
        </w:rPr>
        <w:t xml:space="preserve"> are provided for guidance only.</w:t>
      </w:r>
    </w:p>
    <w:p w14:paraId="3F0BAEE7" w14:textId="77777777" w:rsidR="002445EE" w:rsidRPr="0096642F" w:rsidRDefault="002445EE" w:rsidP="0096642F">
      <w:pPr>
        <w:pStyle w:val="Heading2"/>
        <w:rPr>
          <w:sz w:val="24"/>
          <w:lang w:val="en-US"/>
        </w:rPr>
      </w:pPr>
      <w:bookmarkStart w:id="67" w:name="_Toc516468794"/>
      <w:bookmarkStart w:id="68" w:name="_Toc85106089"/>
      <w:r w:rsidRPr="005A229D">
        <w:rPr>
          <w:sz w:val="24"/>
          <w:lang w:val="en-US"/>
        </w:rPr>
        <w:t>Appoint</w:t>
      </w:r>
      <w:r w:rsidR="00651990">
        <w:rPr>
          <w:sz w:val="24"/>
          <w:lang w:val="en-US"/>
        </w:rPr>
        <w:t>ed Authoritie</w:t>
      </w:r>
      <w:r w:rsidRPr="005A229D">
        <w:rPr>
          <w:sz w:val="24"/>
          <w:lang w:val="en-US"/>
        </w:rPr>
        <w:t>s</w:t>
      </w:r>
      <w:bookmarkEnd w:id="67"/>
      <w:bookmarkEnd w:id="68"/>
      <w:r w:rsidRPr="0096642F">
        <w:rPr>
          <w:sz w:val="24"/>
          <w:szCs w:val="24"/>
          <w:lang w:val="en-US"/>
        </w:rPr>
        <w:t xml:space="preserve"> </w:t>
      </w:r>
    </w:p>
    <w:p w14:paraId="55B94654" w14:textId="347373B8" w:rsidR="0054408F" w:rsidRDefault="0054408F" w:rsidP="0054408F">
      <w:pPr>
        <w:pStyle w:val="ListParagraph"/>
        <w:numPr>
          <w:ilvl w:val="0"/>
          <w:numId w:val="38"/>
        </w:numPr>
        <w:spacing w:before="120" w:after="0"/>
        <w:contextualSpacing w:val="0"/>
        <w:rPr>
          <w:rFonts w:ascii="Arial" w:hAnsi="Arial" w:cs="Arial"/>
          <w:szCs w:val="20"/>
          <w:lang w:val="en-US"/>
        </w:rPr>
      </w:pPr>
      <w:r w:rsidRPr="0054408F">
        <w:rPr>
          <w:rFonts w:ascii="Arial" w:hAnsi="Arial" w:cs="Arial"/>
          <w:szCs w:val="20"/>
          <w:lang w:val="en-US"/>
        </w:rPr>
        <w:t xml:space="preserve">The fees associated with the appointment of Legal Metrology Authority Appointments for the </w:t>
      </w:r>
      <w:r w:rsidR="008A5F7E" w:rsidRPr="0054408F">
        <w:rPr>
          <w:rFonts w:ascii="Arial" w:hAnsi="Arial" w:cs="Arial"/>
          <w:szCs w:val="20"/>
          <w:lang w:val="en-US"/>
        </w:rPr>
        <w:t>20</w:t>
      </w:r>
      <w:r w:rsidR="008A5F7E">
        <w:rPr>
          <w:rFonts w:ascii="Arial" w:hAnsi="Arial" w:cs="Arial"/>
          <w:szCs w:val="20"/>
          <w:lang w:val="en-US"/>
        </w:rPr>
        <w:t>20</w:t>
      </w:r>
      <w:r w:rsidRPr="0054408F">
        <w:rPr>
          <w:rFonts w:ascii="Arial" w:hAnsi="Arial" w:cs="Arial"/>
          <w:szCs w:val="20"/>
          <w:lang w:val="en-US"/>
        </w:rPr>
        <w:t>–</w:t>
      </w:r>
      <w:r w:rsidR="008A5F7E" w:rsidRPr="0054408F">
        <w:rPr>
          <w:rFonts w:ascii="Arial" w:hAnsi="Arial" w:cs="Arial"/>
          <w:szCs w:val="20"/>
          <w:lang w:val="en-US"/>
        </w:rPr>
        <w:t>2</w:t>
      </w:r>
      <w:r w:rsidR="008A5F7E">
        <w:rPr>
          <w:rFonts w:ascii="Arial" w:hAnsi="Arial" w:cs="Arial"/>
          <w:szCs w:val="20"/>
          <w:lang w:val="en-US"/>
        </w:rPr>
        <w:t>1</w:t>
      </w:r>
      <w:r w:rsidR="008A5F7E" w:rsidRPr="0054408F">
        <w:rPr>
          <w:rFonts w:ascii="Arial" w:hAnsi="Arial" w:cs="Arial"/>
          <w:szCs w:val="20"/>
          <w:lang w:val="en-US"/>
        </w:rPr>
        <w:t xml:space="preserve"> </w:t>
      </w:r>
      <w:r w:rsidRPr="0054408F">
        <w:rPr>
          <w:rFonts w:ascii="Arial" w:hAnsi="Arial" w:cs="Arial"/>
          <w:szCs w:val="20"/>
          <w:lang w:val="en-US"/>
        </w:rPr>
        <w:t xml:space="preserve">financial year </w:t>
      </w:r>
      <w:r>
        <w:rPr>
          <w:rFonts w:ascii="Arial" w:hAnsi="Arial" w:cs="Arial"/>
          <w:szCs w:val="20"/>
          <w:lang w:val="en-US"/>
        </w:rPr>
        <w:t xml:space="preserve">are </w:t>
      </w:r>
      <w:r w:rsidR="006B79BE" w:rsidRPr="0054408F">
        <w:rPr>
          <w:rFonts w:ascii="Arial" w:hAnsi="Arial" w:cs="Arial"/>
          <w:szCs w:val="20"/>
          <w:lang w:val="en-US"/>
        </w:rPr>
        <w:t xml:space="preserve">provided in Appendix </w:t>
      </w:r>
      <w:r w:rsidR="0030300B" w:rsidRPr="0054408F">
        <w:rPr>
          <w:rFonts w:ascii="Arial" w:hAnsi="Arial" w:cs="Arial"/>
          <w:szCs w:val="20"/>
          <w:lang w:val="en-US"/>
        </w:rPr>
        <w:t>D.1</w:t>
      </w:r>
      <w:r w:rsidR="006B79BE" w:rsidRPr="0054408F">
        <w:rPr>
          <w:rFonts w:ascii="Arial" w:hAnsi="Arial" w:cs="Arial"/>
          <w:szCs w:val="20"/>
          <w:lang w:val="en-US"/>
        </w:rPr>
        <w:t>.</w:t>
      </w:r>
    </w:p>
    <w:p w14:paraId="1A8FF7E6" w14:textId="74D797C5" w:rsidR="0054408F" w:rsidRPr="0054408F" w:rsidRDefault="0054408F" w:rsidP="0054408F">
      <w:pPr>
        <w:pStyle w:val="ListParagraph"/>
        <w:numPr>
          <w:ilvl w:val="0"/>
          <w:numId w:val="38"/>
        </w:numPr>
        <w:spacing w:before="120" w:after="0"/>
        <w:contextualSpacing w:val="0"/>
        <w:rPr>
          <w:rFonts w:ascii="Arial" w:hAnsi="Arial" w:cs="Arial"/>
          <w:szCs w:val="20"/>
          <w:lang w:val="en-US"/>
        </w:rPr>
      </w:pPr>
      <w:r w:rsidRPr="0054408F">
        <w:rPr>
          <w:rFonts w:ascii="Arial" w:hAnsi="Arial" w:cs="Arial"/>
          <w:szCs w:val="20"/>
          <w:lang w:val="en-US"/>
        </w:rPr>
        <w:t xml:space="preserve">The fees associated with the appointment of Legal Metrology Authority Appointments </w:t>
      </w:r>
      <w:r>
        <w:rPr>
          <w:rFonts w:ascii="Arial" w:hAnsi="Arial" w:cs="Arial"/>
          <w:szCs w:val="20"/>
          <w:lang w:val="en-US"/>
        </w:rPr>
        <w:t xml:space="preserve">will </w:t>
      </w:r>
      <w:r w:rsidRPr="0054408F">
        <w:rPr>
          <w:rFonts w:ascii="Arial" w:hAnsi="Arial" w:cs="Arial"/>
          <w:szCs w:val="20"/>
          <w:lang w:val="en-US"/>
        </w:rPr>
        <w:t xml:space="preserve">increase </w:t>
      </w:r>
      <w:r w:rsidR="00527784">
        <w:rPr>
          <w:rFonts w:ascii="Arial" w:hAnsi="Arial" w:cs="Arial"/>
          <w:szCs w:val="20"/>
          <w:lang w:val="en-US"/>
        </w:rPr>
        <w:t>29.3</w:t>
      </w:r>
      <w:r w:rsidRPr="0054408F">
        <w:rPr>
          <w:rFonts w:ascii="Arial" w:hAnsi="Arial" w:cs="Arial"/>
          <w:szCs w:val="20"/>
          <w:lang w:val="en-US"/>
        </w:rPr>
        <w:t xml:space="preserve"> per cent for the </w:t>
      </w:r>
      <w:r w:rsidR="008A5F7E" w:rsidRPr="0054408F">
        <w:rPr>
          <w:rFonts w:ascii="Arial" w:hAnsi="Arial" w:cs="Arial"/>
          <w:szCs w:val="20"/>
          <w:lang w:val="en-US"/>
        </w:rPr>
        <w:t>202</w:t>
      </w:r>
      <w:r w:rsidR="008A5F7E">
        <w:rPr>
          <w:rFonts w:ascii="Arial" w:hAnsi="Arial" w:cs="Arial"/>
          <w:szCs w:val="20"/>
          <w:lang w:val="en-US"/>
        </w:rPr>
        <w:t>1</w:t>
      </w:r>
      <w:r w:rsidRPr="0054408F">
        <w:rPr>
          <w:rFonts w:ascii="Arial" w:hAnsi="Arial" w:cs="Arial"/>
          <w:szCs w:val="20"/>
          <w:lang w:val="en-US"/>
        </w:rPr>
        <w:t>-</w:t>
      </w:r>
      <w:r w:rsidR="008A5F7E" w:rsidRPr="0054408F">
        <w:rPr>
          <w:rFonts w:ascii="Arial" w:hAnsi="Arial" w:cs="Arial"/>
          <w:szCs w:val="20"/>
          <w:lang w:val="en-US"/>
        </w:rPr>
        <w:t>2</w:t>
      </w:r>
      <w:r w:rsidR="008A5F7E">
        <w:rPr>
          <w:rFonts w:ascii="Arial" w:hAnsi="Arial" w:cs="Arial"/>
          <w:szCs w:val="20"/>
          <w:lang w:val="en-US"/>
        </w:rPr>
        <w:t>2</w:t>
      </w:r>
      <w:r w:rsidR="008A5F7E" w:rsidRPr="0054408F">
        <w:rPr>
          <w:rFonts w:ascii="Arial" w:hAnsi="Arial" w:cs="Arial"/>
          <w:szCs w:val="20"/>
          <w:lang w:val="en-US"/>
        </w:rPr>
        <w:t xml:space="preserve"> </w:t>
      </w:r>
      <w:r w:rsidRPr="0054408F">
        <w:rPr>
          <w:rFonts w:ascii="Arial" w:hAnsi="Arial" w:cs="Arial"/>
          <w:szCs w:val="20"/>
          <w:lang w:val="en-US"/>
        </w:rPr>
        <w:t xml:space="preserve">financial year commencing on 1 July </w:t>
      </w:r>
      <w:r w:rsidR="008A5F7E" w:rsidRPr="0054408F">
        <w:rPr>
          <w:rFonts w:ascii="Arial" w:hAnsi="Arial" w:cs="Arial"/>
          <w:szCs w:val="20"/>
          <w:lang w:val="en-US"/>
        </w:rPr>
        <w:t>20</w:t>
      </w:r>
      <w:r w:rsidR="008A5F7E">
        <w:rPr>
          <w:rFonts w:ascii="Arial" w:hAnsi="Arial" w:cs="Arial"/>
          <w:szCs w:val="20"/>
          <w:lang w:val="en-US"/>
        </w:rPr>
        <w:t>21</w:t>
      </w:r>
      <w:r w:rsidRPr="0054408F">
        <w:rPr>
          <w:rFonts w:ascii="Arial" w:hAnsi="Arial" w:cs="Arial"/>
          <w:szCs w:val="20"/>
          <w:lang w:val="en-US"/>
        </w:rPr>
        <w:t xml:space="preserve">. </w:t>
      </w:r>
    </w:p>
    <w:p w14:paraId="2C0DC59F" w14:textId="156F42F8" w:rsidR="0030300B" w:rsidRPr="005A229D" w:rsidRDefault="0030300B" w:rsidP="00860888">
      <w:pPr>
        <w:pStyle w:val="ListParagraph"/>
        <w:numPr>
          <w:ilvl w:val="0"/>
          <w:numId w:val="38"/>
        </w:numPr>
        <w:spacing w:before="120" w:after="0"/>
        <w:contextualSpacing w:val="0"/>
        <w:rPr>
          <w:rFonts w:ascii="Arial" w:hAnsi="Arial" w:cs="Arial"/>
          <w:szCs w:val="20"/>
          <w:lang w:val="en-US"/>
        </w:rPr>
      </w:pPr>
      <w:r w:rsidRPr="0096642F">
        <w:rPr>
          <w:rFonts w:ascii="Arial" w:hAnsi="Arial" w:cs="Arial"/>
          <w:szCs w:val="20"/>
          <w:lang w:val="en-US"/>
        </w:rPr>
        <w:t>The f</w:t>
      </w:r>
      <w:r w:rsidRPr="00AE635A">
        <w:rPr>
          <w:rFonts w:ascii="Arial" w:hAnsi="Arial" w:cs="Arial"/>
          <w:szCs w:val="20"/>
          <w:lang w:val="en-US"/>
        </w:rPr>
        <w:t>ees associated with the appointment of Legal Metrology Authority Appointments</w:t>
      </w:r>
      <w:r w:rsidRPr="0096642F">
        <w:rPr>
          <w:rFonts w:ascii="Arial" w:hAnsi="Arial" w:cs="Arial"/>
          <w:szCs w:val="20"/>
          <w:lang w:val="en-US"/>
        </w:rPr>
        <w:t xml:space="preserve"> for the </w:t>
      </w:r>
      <w:r w:rsidR="008A5F7E" w:rsidRPr="0096642F">
        <w:rPr>
          <w:rFonts w:ascii="Arial" w:hAnsi="Arial" w:cs="Arial"/>
          <w:szCs w:val="20"/>
          <w:lang w:val="en-US"/>
        </w:rPr>
        <w:t>20</w:t>
      </w:r>
      <w:r w:rsidR="008A5F7E">
        <w:rPr>
          <w:rFonts w:ascii="Arial" w:hAnsi="Arial" w:cs="Arial"/>
          <w:szCs w:val="20"/>
          <w:lang w:val="en-US"/>
        </w:rPr>
        <w:t>21</w:t>
      </w:r>
      <w:r w:rsidR="00FD3253">
        <w:rPr>
          <w:rFonts w:ascii="Arial" w:hAnsi="Arial" w:cs="Arial"/>
          <w:szCs w:val="20"/>
          <w:lang w:val="en-US"/>
        </w:rPr>
        <w:t>–</w:t>
      </w:r>
      <w:r w:rsidR="008A5F7E">
        <w:rPr>
          <w:rFonts w:ascii="Arial" w:hAnsi="Arial" w:cs="Arial"/>
          <w:szCs w:val="20"/>
          <w:lang w:val="en-US"/>
        </w:rPr>
        <w:t>22</w:t>
      </w:r>
      <w:r w:rsidR="008A5F7E" w:rsidRPr="0096642F">
        <w:rPr>
          <w:rFonts w:ascii="Arial" w:hAnsi="Arial" w:cs="Arial"/>
          <w:szCs w:val="20"/>
          <w:lang w:val="en-US"/>
        </w:rPr>
        <w:t xml:space="preserve"> </w:t>
      </w:r>
      <w:r w:rsidRPr="0096642F">
        <w:rPr>
          <w:rFonts w:ascii="Arial" w:hAnsi="Arial" w:cs="Arial"/>
          <w:szCs w:val="20"/>
          <w:lang w:val="en-US"/>
        </w:rPr>
        <w:t xml:space="preserve">financial year </w:t>
      </w:r>
      <w:r>
        <w:rPr>
          <w:rFonts w:ascii="Arial" w:hAnsi="Arial" w:cs="Arial"/>
          <w:szCs w:val="20"/>
          <w:lang w:val="en-US"/>
        </w:rPr>
        <w:t>is provided in Appendix D.2.</w:t>
      </w:r>
    </w:p>
    <w:p w14:paraId="276337B6" w14:textId="56579314" w:rsidR="00E20B0F" w:rsidRDefault="00E20B0F" w:rsidP="00E20B0F">
      <w:pPr>
        <w:spacing w:before="120"/>
        <w:rPr>
          <w:rFonts w:cs="Arial"/>
          <w:szCs w:val="20"/>
          <w:lang w:val="en-US"/>
        </w:rPr>
      </w:pPr>
      <w:r w:rsidRPr="00E20B0F">
        <w:rPr>
          <w:rFonts w:cs="Arial"/>
          <w:szCs w:val="20"/>
          <w:lang w:val="en-US"/>
        </w:rPr>
        <w:t xml:space="preserve">Table </w:t>
      </w:r>
      <w:r w:rsidR="00533AB6">
        <w:rPr>
          <w:rFonts w:cs="Arial"/>
          <w:szCs w:val="20"/>
          <w:lang w:val="en-US"/>
        </w:rPr>
        <w:t>5</w:t>
      </w:r>
      <w:r w:rsidRPr="00E20B0F">
        <w:rPr>
          <w:rFonts w:cs="Arial"/>
          <w:szCs w:val="20"/>
          <w:lang w:val="en-US"/>
        </w:rPr>
        <w:t xml:space="preserve"> provides a summary of the NMI’s budget estimates based on the fee increases for </w:t>
      </w:r>
      <w:r>
        <w:rPr>
          <w:rFonts w:cs="Arial"/>
          <w:szCs w:val="20"/>
          <w:lang w:val="en-US"/>
        </w:rPr>
        <w:t>Appointments</w:t>
      </w:r>
      <w:r w:rsidRPr="00E20B0F">
        <w:rPr>
          <w:rFonts w:cs="Arial"/>
          <w:szCs w:val="20"/>
          <w:lang w:val="en-US"/>
        </w:rPr>
        <w:t xml:space="preserve"> for the years </w:t>
      </w:r>
      <w:r w:rsidR="00131AC8" w:rsidRPr="00E20B0F">
        <w:rPr>
          <w:rFonts w:cs="Arial"/>
          <w:szCs w:val="20"/>
          <w:lang w:val="en-US"/>
        </w:rPr>
        <w:t>20</w:t>
      </w:r>
      <w:r w:rsidR="00131AC8">
        <w:rPr>
          <w:rFonts w:cs="Arial"/>
          <w:szCs w:val="20"/>
          <w:lang w:val="en-US"/>
        </w:rPr>
        <w:t>21</w:t>
      </w:r>
      <w:r w:rsidR="00FD3253">
        <w:rPr>
          <w:rFonts w:cs="Arial"/>
          <w:szCs w:val="20"/>
          <w:lang w:val="en-US"/>
        </w:rPr>
        <w:t>–</w:t>
      </w:r>
      <w:r w:rsidR="00131AC8" w:rsidRPr="00E20B0F">
        <w:rPr>
          <w:rFonts w:cs="Arial"/>
          <w:szCs w:val="20"/>
          <w:lang w:val="en-US"/>
        </w:rPr>
        <w:t>2</w:t>
      </w:r>
      <w:r w:rsidR="00131AC8">
        <w:rPr>
          <w:rFonts w:cs="Arial"/>
          <w:szCs w:val="20"/>
          <w:lang w:val="en-US"/>
        </w:rPr>
        <w:t>4</w:t>
      </w:r>
      <w:r w:rsidRPr="00E20B0F">
        <w:rPr>
          <w:rFonts w:cs="Arial"/>
          <w:szCs w:val="20"/>
          <w:lang w:val="en-US"/>
        </w:rPr>
        <w:t xml:space="preserve">. The numbers in Table </w:t>
      </w:r>
      <w:r w:rsidR="00533AB6">
        <w:rPr>
          <w:rFonts w:cs="Arial"/>
          <w:szCs w:val="20"/>
          <w:lang w:val="en-US"/>
        </w:rPr>
        <w:t>5</w:t>
      </w:r>
      <w:r w:rsidRPr="00E20B0F">
        <w:rPr>
          <w:rFonts w:cs="Arial"/>
          <w:szCs w:val="20"/>
          <w:lang w:val="en-US"/>
        </w:rPr>
        <w:t xml:space="preserve"> are provided for guidance only.</w:t>
      </w:r>
    </w:p>
    <w:p w14:paraId="245CF784" w14:textId="77777777" w:rsidR="00D6292A" w:rsidRDefault="00D6292A" w:rsidP="00D6292A">
      <w:pPr>
        <w:spacing w:before="120" w:line="276" w:lineRule="auto"/>
        <w:rPr>
          <w:rFonts w:cs="Arial"/>
          <w:szCs w:val="20"/>
          <w:lang w:val="en-US"/>
        </w:rPr>
      </w:pPr>
      <w:r>
        <w:rPr>
          <w:rFonts w:cs="Arial"/>
          <w:szCs w:val="20"/>
          <w:lang w:val="en-US"/>
        </w:rPr>
        <w:lastRenderedPageBreak/>
        <w:t xml:space="preserve">As stated in section 3.3, </w:t>
      </w:r>
      <w:r w:rsidRPr="00D33B6F">
        <w:rPr>
          <w:rFonts w:cs="Arial"/>
          <w:szCs w:val="20"/>
          <w:lang w:val="en-US"/>
        </w:rPr>
        <w:t xml:space="preserve">the design of the regulatory charging models in this document have been limited to a maximum period of </w:t>
      </w:r>
      <w:r w:rsidR="00FD3253">
        <w:rPr>
          <w:rFonts w:cs="Arial"/>
          <w:szCs w:val="20"/>
          <w:lang w:val="en-US"/>
        </w:rPr>
        <w:t>five</w:t>
      </w:r>
      <w:r w:rsidRPr="00D33B6F">
        <w:rPr>
          <w:rFonts w:cs="Arial"/>
          <w:szCs w:val="20"/>
          <w:lang w:val="en-US"/>
        </w:rPr>
        <w:t xml:space="preserve"> years from 1 July </w:t>
      </w:r>
      <w:r w:rsidR="005E283C" w:rsidRPr="00D33B6F">
        <w:rPr>
          <w:rFonts w:cs="Arial"/>
          <w:szCs w:val="20"/>
          <w:lang w:val="en-US"/>
        </w:rPr>
        <w:t>201</w:t>
      </w:r>
      <w:r w:rsidR="005E283C">
        <w:rPr>
          <w:rFonts w:cs="Arial"/>
          <w:szCs w:val="20"/>
          <w:lang w:val="en-US"/>
        </w:rPr>
        <w:t>8</w:t>
      </w:r>
      <w:r w:rsidRPr="00D33B6F">
        <w:rPr>
          <w:rFonts w:cs="Arial"/>
          <w:szCs w:val="20"/>
          <w:lang w:val="en-US"/>
        </w:rPr>
        <w:t>.</w:t>
      </w:r>
      <w:r>
        <w:rPr>
          <w:rFonts w:cs="Arial"/>
          <w:szCs w:val="20"/>
          <w:lang w:val="en-US"/>
        </w:rPr>
        <w:t xml:space="preserve"> This is to avoid any potential conflict with any future changes to the regulatory environment resulting from the </w:t>
      </w:r>
      <w:hyperlink r:id="rId22" w:history="1">
        <w:r w:rsidR="002F5613" w:rsidRPr="004359B3">
          <w:rPr>
            <w:rStyle w:val="Hyperlink"/>
            <w:rFonts w:cs="Arial"/>
            <w:szCs w:val="20"/>
            <w:lang w:val="en-US"/>
          </w:rPr>
          <w:t>Measurement</w:t>
        </w:r>
      </w:hyperlink>
      <w:r w:rsidR="002F5613">
        <w:rPr>
          <w:rFonts w:cs="Arial"/>
          <w:szCs w:val="20"/>
          <w:lang w:val="en-US"/>
        </w:rPr>
        <w:t xml:space="preserve"> Law Review</w:t>
      </w:r>
      <w:r>
        <w:rPr>
          <w:rFonts w:cs="Arial"/>
          <w:szCs w:val="20"/>
          <w:lang w:val="en-US"/>
        </w:rPr>
        <w:t>.</w:t>
      </w:r>
      <w:r w:rsidR="001D5D9A">
        <w:rPr>
          <w:rStyle w:val="FootnoteReference"/>
          <w:rFonts w:cs="Arial"/>
          <w:szCs w:val="20"/>
          <w:lang w:val="en-US"/>
        </w:rPr>
        <w:footnoteReference w:id="3"/>
      </w:r>
    </w:p>
    <w:p w14:paraId="1D9057D9" w14:textId="77777777" w:rsidR="00D6292A" w:rsidRDefault="00D6292A" w:rsidP="00D6292A">
      <w:pPr>
        <w:spacing w:before="120" w:after="120" w:line="276" w:lineRule="auto"/>
        <w:rPr>
          <w:rFonts w:cs="Arial"/>
          <w:szCs w:val="20"/>
          <w:lang w:val="en-US"/>
        </w:rPr>
      </w:pPr>
      <w:r>
        <w:rPr>
          <w:rFonts w:cs="Arial"/>
          <w:szCs w:val="20"/>
          <w:lang w:val="en-US"/>
        </w:rPr>
        <w:t xml:space="preserve">The cost recovery models will be reviewed again </w:t>
      </w:r>
      <w:r w:rsidR="004359B3">
        <w:rPr>
          <w:rFonts w:cs="Arial"/>
          <w:szCs w:val="20"/>
          <w:lang w:val="en-US"/>
        </w:rPr>
        <w:t>as part of the</w:t>
      </w:r>
      <w:r>
        <w:rPr>
          <w:rFonts w:cs="Arial"/>
          <w:szCs w:val="20"/>
          <w:lang w:val="en-US"/>
        </w:rPr>
        <w:t xml:space="preserve"> </w:t>
      </w:r>
      <w:r w:rsidR="004359B3">
        <w:rPr>
          <w:rFonts w:cs="Arial"/>
          <w:szCs w:val="20"/>
          <w:lang w:val="en-US"/>
        </w:rPr>
        <w:t xml:space="preserve">Measurement Law Review </w:t>
      </w:r>
      <w:r>
        <w:rPr>
          <w:rFonts w:cs="Arial"/>
          <w:szCs w:val="20"/>
          <w:lang w:val="en-US"/>
        </w:rPr>
        <w:t>and NMI will continue to work with industry to identify sustainable cost recovery models.</w:t>
      </w:r>
    </w:p>
    <w:p w14:paraId="4586F1F4" w14:textId="29C53AF8" w:rsidR="00E20B0F" w:rsidRDefault="00E20B0F" w:rsidP="00D6292A">
      <w:pPr>
        <w:spacing w:before="120" w:after="120" w:line="276" w:lineRule="auto"/>
        <w:rPr>
          <w:rFonts w:cs="Arial"/>
          <w:szCs w:val="20"/>
          <w:lang w:val="en-US"/>
        </w:rPr>
      </w:pPr>
      <w:r>
        <w:rPr>
          <w:rFonts w:cs="Arial"/>
          <w:szCs w:val="20"/>
          <w:lang w:val="en-US"/>
        </w:rPr>
        <w:t xml:space="preserve">Table </w:t>
      </w:r>
      <w:r w:rsidR="009A6970">
        <w:rPr>
          <w:rFonts w:cs="Arial"/>
          <w:szCs w:val="20"/>
          <w:lang w:val="en-US"/>
        </w:rPr>
        <w:t>6</w:t>
      </w:r>
      <w:r>
        <w:rPr>
          <w:rFonts w:cs="Arial"/>
          <w:szCs w:val="20"/>
          <w:lang w:val="en-US"/>
        </w:rPr>
        <w:t xml:space="preserve"> provides a </w:t>
      </w:r>
      <w:r w:rsidR="00875938">
        <w:rPr>
          <w:rFonts w:cs="Arial"/>
          <w:szCs w:val="20"/>
          <w:lang w:val="en-US"/>
        </w:rPr>
        <w:t xml:space="preserve">comparison of </w:t>
      </w:r>
      <w:r w:rsidR="00875938" w:rsidRPr="00875938">
        <w:rPr>
          <w:rFonts w:cs="Arial"/>
          <w:szCs w:val="20"/>
          <w:lang w:val="en-US"/>
        </w:rPr>
        <w:t>projected</w:t>
      </w:r>
      <w:r w:rsidR="00875938" w:rsidRPr="006B79BE">
        <w:rPr>
          <w:rFonts w:cs="Arial"/>
          <w:szCs w:val="20"/>
          <w:lang w:val="en-US"/>
        </w:rPr>
        <w:t xml:space="preserve"> revenue increases based on 2018</w:t>
      </w:r>
      <w:r w:rsidR="00FD3253">
        <w:rPr>
          <w:rFonts w:cs="Arial"/>
          <w:szCs w:val="20"/>
          <w:lang w:val="en-US"/>
        </w:rPr>
        <w:t>–</w:t>
      </w:r>
      <w:r w:rsidR="00875938" w:rsidRPr="006B79BE">
        <w:rPr>
          <w:rFonts w:cs="Arial"/>
          <w:szCs w:val="20"/>
          <w:lang w:val="en-US"/>
        </w:rPr>
        <w:t>19 baseline</w:t>
      </w:r>
      <w:r w:rsidR="00875938">
        <w:rPr>
          <w:rFonts w:cs="Arial"/>
          <w:szCs w:val="20"/>
          <w:lang w:val="en-US"/>
        </w:rPr>
        <w:t xml:space="preserve">, for the financial years </w:t>
      </w:r>
      <w:r w:rsidR="00131AC8">
        <w:rPr>
          <w:rFonts w:cs="Arial"/>
          <w:szCs w:val="20"/>
          <w:lang w:val="en-US"/>
        </w:rPr>
        <w:t xml:space="preserve">2020 </w:t>
      </w:r>
      <w:r w:rsidR="00875938">
        <w:rPr>
          <w:rFonts w:cs="Arial"/>
          <w:szCs w:val="20"/>
          <w:lang w:val="en-US"/>
        </w:rPr>
        <w:t xml:space="preserve">to </w:t>
      </w:r>
      <w:r w:rsidR="00131AC8">
        <w:rPr>
          <w:rFonts w:cs="Arial"/>
          <w:szCs w:val="20"/>
          <w:lang w:val="en-US"/>
        </w:rPr>
        <w:t xml:space="preserve">2023 </w:t>
      </w:r>
      <w:r w:rsidR="00875938" w:rsidRPr="00875938">
        <w:rPr>
          <w:rFonts w:cs="Arial"/>
          <w:szCs w:val="20"/>
          <w:lang w:val="en-US"/>
        </w:rPr>
        <w:t>against</w:t>
      </w:r>
      <w:r w:rsidR="00875938" w:rsidRPr="006B79BE">
        <w:rPr>
          <w:rFonts w:cs="Arial"/>
          <w:szCs w:val="20"/>
          <w:lang w:val="en-US"/>
        </w:rPr>
        <w:t xml:space="preserve"> budget paper forecasts</w:t>
      </w:r>
      <w:r w:rsidR="00875938">
        <w:rPr>
          <w:rFonts w:cs="Arial"/>
          <w:szCs w:val="20"/>
          <w:lang w:val="en-US"/>
        </w:rPr>
        <w:t xml:space="preserve"> for the same time period.</w:t>
      </w:r>
    </w:p>
    <w:p w14:paraId="64FCFA7A" w14:textId="77777777" w:rsidR="0096642F" w:rsidRPr="0096642F" w:rsidRDefault="0096642F" w:rsidP="0096642F">
      <w:pPr>
        <w:rPr>
          <w:rFonts w:cs="Arial"/>
          <w:szCs w:val="20"/>
        </w:rPr>
      </w:pPr>
    </w:p>
    <w:p w14:paraId="5821F62E" w14:textId="394EDDC8" w:rsidR="00E76480" w:rsidRDefault="009212A9" w:rsidP="0000307D">
      <w:pPr>
        <w:spacing w:before="120" w:line="276" w:lineRule="auto"/>
        <w:rPr>
          <w:rFonts w:cs="Arial"/>
          <w:b/>
          <w:szCs w:val="20"/>
        </w:rPr>
      </w:pPr>
      <w:r w:rsidRPr="009212A9">
        <w:rPr>
          <w:rFonts w:cs="Arial"/>
          <w:b/>
          <w:szCs w:val="20"/>
        </w:rPr>
        <w:t xml:space="preserve">Table </w:t>
      </w:r>
      <w:r>
        <w:rPr>
          <w:rFonts w:cs="Arial"/>
          <w:b/>
          <w:szCs w:val="20"/>
        </w:rPr>
        <w:t>3</w:t>
      </w:r>
      <w:r w:rsidRPr="009212A9">
        <w:rPr>
          <w:rFonts w:cs="Arial"/>
          <w:b/>
          <w:szCs w:val="20"/>
        </w:rPr>
        <w:t xml:space="preserve">: </w:t>
      </w:r>
      <w:r>
        <w:rPr>
          <w:rFonts w:cs="Arial"/>
          <w:b/>
          <w:szCs w:val="20"/>
        </w:rPr>
        <w:t>Financial projections for Regulatory charging activities</w:t>
      </w:r>
      <w:r w:rsidR="00FD3253">
        <w:rPr>
          <w:rFonts w:cs="Arial"/>
          <w:b/>
          <w:szCs w:val="20"/>
        </w:rPr>
        <w:t>,</w:t>
      </w:r>
      <w:r>
        <w:rPr>
          <w:rFonts w:cs="Arial"/>
          <w:b/>
          <w:szCs w:val="20"/>
        </w:rPr>
        <w:t xml:space="preserve"> </w:t>
      </w:r>
      <w:r w:rsidR="0008799C">
        <w:rPr>
          <w:rFonts w:cs="Arial"/>
          <w:b/>
          <w:szCs w:val="20"/>
        </w:rPr>
        <w:t xml:space="preserve">1 July </w:t>
      </w:r>
      <w:r w:rsidR="00CC1785">
        <w:rPr>
          <w:rFonts w:cs="Arial"/>
          <w:b/>
          <w:szCs w:val="20"/>
        </w:rPr>
        <w:t xml:space="preserve">2021 </w:t>
      </w:r>
      <w:r w:rsidR="0008799C">
        <w:rPr>
          <w:rFonts w:cs="Arial"/>
          <w:b/>
          <w:szCs w:val="20"/>
        </w:rPr>
        <w:t xml:space="preserve">to 30 June </w:t>
      </w:r>
      <w:r w:rsidR="00CC1785">
        <w:rPr>
          <w:rFonts w:cs="Arial"/>
          <w:b/>
          <w:szCs w:val="20"/>
        </w:rPr>
        <w:t>2022</w:t>
      </w:r>
    </w:p>
    <w:tbl>
      <w:tblPr>
        <w:tblStyle w:val="TableGrid"/>
        <w:tblW w:w="0" w:type="auto"/>
        <w:tblLook w:val="04A0" w:firstRow="1" w:lastRow="0" w:firstColumn="1" w:lastColumn="0" w:noHBand="0" w:noVBand="1"/>
      </w:tblPr>
      <w:tblGrid>
        <w:gridCol w:w="6232"/>
        <w:gridCol w:w="3261"/>
      </w:tblGrid>
      <w:tr w:rsidR="000F34A8" w:rsidRPr="000F34A8" w14:paraId="186E7DE1" w14:textId="77777777" w:rsidTr="005A229D">
        <w:trPr>
          <w:trHeight w:val="300"/>
        </w:trPr>
        <w:tc>
          <w:tcPr>
            <w:tcW w:w="9493" w:type="dxa"/>
            <w:gridSpan w:val="2"/>
            <w:shd w:val="clear" w:color="auto" w:fill="FF0000"/>
            <w:noWrap/>
            <w:hideMark/>
          </w:tcPr>
          <w:p w14:paraId="29EE3714" w14:textId="77777777" w:rsidR="000F34A8" w:rsidRDefault="000F34A8" w:rsidP="00F65B72">
            <w:pPr>
              <w:spacing w:before="60" w:after="60"/>
              <w:jc w:val="center"/>
              <w:rPr>
                <w:rFonts w:cs="Arial"/>
                <w:b/>
                <w:bCs/>
                <w:color w:val="FFFFFF" w:themeColor="background1"/>
                <w:szCs w:val="20"/>
              </w:rPr>
            </w:pPr>
            <w:r w:rsidRPr="0008799C">
              <w:rPr>
                <w:rFonts w:cs="Arial"/>
                <w:b/>
                <w:bCs/>
                <w:color w:val="FFFFFF" w:themeColor="background1"/>
                <w:szCs w:val="20"/>
              </w:rPr>
              <w:t>Forecast Revenue for Legal Metrology Branch Regulatory Charging Activities</w:t>
            </w:r>
          </w:p>
          <w:p w14:paraId="32C3B11D" w14:textId="72A0019E" w:rsidR="000F34A8" w:rsidRPr="005A229D" w:rsidRDefault="000F34A8" w:rsidP="00334812">
            <w:pPr>
              <w:tabs>
                <w:tab w:val="left" w:pos="5310"/>
              </w:tabs>
              <w:spacing w:before="60" w:after="60" w:line="276" w:lineRule="auto"/>
              <w:jc w:val="center"/>
              <w:rPr>
                <w:b/>
              </w:rPr>
            </w:pPr>
            <w:r w:rsidRPr="0008799C">
              <w:rPr>
                <w:rFonts w:cs="Arial"/>
                <w:b/>
                <w:bCs/>
                <w:color w:val="FFFFFF" w:themeColor="background1"/>
                <w:szCs w:val="20"/>
              </w:rPr>
              <w:t>1 July</w:t>
            </w:r>
            <w:r w:rsidR="00F20580">
              <w:rPr>
                <w:rFonts w:cs="Arial"/>
                <w:b/>
                <w:bCs/>
                <w:color w:val="FFFFFF" w:themeColor="background1"/>
                <w:szCs w:val="20"/>
              </w:rPr>
              <w:t xml:space="preserve"> </w:t>
            </w:r>
            <w:r w:rsidR="0052581D">
              <w:rPr>
                <w:rFonts w:cs="Arial"/>
                <w:b/>
                <w:bCs/>
                <w:color w:val="FFFFFF" w:themeColor="background1"/>
                <w:szCs w:val="20"/>
              </w:rPr>
              <w:t>20</w:t>
            </w:r>
            <w:r w:rsidR="00B767A5">
              <w:rPr>
                <w:rFonts w:cs="Arial"/>
                <w:b/>
                <w:bCs/>
                <w:color w:val="FFFFFF" w:themeColor="background1"/>
                <w:szCs w:val="20"/>
              </w:rPr>
              <w:t>21</w:t>
            </w:r>
            <w:r w:rsidR="0052581D">
              <w:rPr>
                <w:rFonts w:cs="Arial"/>
                <w:b/>
                <w:bCs/>
                <w:color w:val="FFFFFF" w:themeColor="background1"/>
                <w:szCs w:val="20"/>
              </w:rPr>
              <w:t xml:space="preserve"> </w:t>
            </w:r>
            <w:r w:rsidRPr="0008799C">
              <w:rPr>
                <w:rFonts w:cs="Arial"/>
                <w:b/>
                <w:bCs/>
                <w:color w:val="FFFFFF" w:themeColor="background1"/>
                <w:szCs w:val="20"/>
              </w:rPr>
              <w:t xml:space="preserve">to 30 June </w:t>
            </w:r>
            <w:r w:rsidR="0052581D" w:rsidRPr="0008799C">
              <w:rPr>
                <w:rFonts w:cs="Arial"/>
                <w:b/>
                <w:bCs/>
                <w:color w:val="FFFFFF" w:themeColor="background1"/>
                <w:szCs w:val="20"/>
              </w:rPr>
              <w:t>20</w:t>
            </w:r>
            <w:r w:rsidR="0052581D">
              <w:rPr>
                <w:rFonts w:cs="Arial"/>
                <w:b/>
                <w:bCs/>
                <w:color w:val="FFFFFF" w:themeColor="background1"/>
                <w:szCs w:val="20"/>
              </w:rPr>
              <w:t>2</w:t>
            </w:r>
            <w:r w:rsidR="00B767A5">
              <w:rPr>
                <w:rFonts w:cs="Arial"/>
                <w:b/>
                <w:bCs/>
                <w:color w:val="FFFFFF" w:themeColor="background1"/>
                <w:szCs w:val="20"/>
              </w:rPr>
              <w:t>2</w:t>
            </w:r>
          </w:p>
        </w:tc>
      </w:tr>
      <w:tr w:rsidR="000F34A8" w:rsidRPr="000F34A8" w14:paraId="5E02746B" w14:textId="77777777" w:rsidTr="00F65B72">
        <w:trPr>
          <w:trHeight w:val="300"/>
        </w:trPr>
        <w:tc>
          <w:tcPr>
            <w:tcW w:w="6232" w:type="dxa"/>
            <w:shd w:val="clear" w:color="auto" w:fill="FFA7A7"/>
            <w:noWrap/>
            <w:vAlign w:val="center"/>
            <w:hideMark/>
          </w:tcPr>
          <w:p w14:paraId="61DFDA22" w14:textId="77777777" w:rsidR="000F34A8" w:rsidRPr="000F34A8" w:rsidRDefault="000F34A8" w:rsidP="00F65B72">
            <w:pPr>
              <w:tabs>
                <w:tab w:val="left" w:pos="5310"/>
              </w:tabs>
              <w:spacing w:before="60" w:after="60" w:line="276" w:lineRule="auto"/>
              <w:rPr>
                <w:rFonts w:cs="Arial"/>
                <w:b/>
                <w:bCs/>
                <w:szCs w:val="20"/>
              </w:rPr>
            </w:pPr>
            <w:r w:rsidRPr="000F34A8">
              <w:rPr>
                <w:rFonts w:cs="Arial"/>
                <w:b/>
                <w:bCs/>
                <w:szCs w:val="20"/>
              </w:rPr>
              <w:t>Pattern Approval</w:t>
            </w:r>
          </w:p>
        </w:tc>
        <w:tc>
          <w:tcPr>
            <w:tcW w:w="3261" w:type="dxa"/>
            <w:shd w:val="clear" w:color="auto" w:fill="FFA7A7"/>
            <w:vAlign w:val="center"/>
            <w:hideMark/>
          </w:tcPr>
          <w:p w14:paraId="63C0296F" w14:textId="77777777" w:rsidR="000F34A8" w:rsidRPr="000F34A8" w:rsidRDefault="000F34A8" w:rsidP="00F65B72">
            <w:pPr>
              <w:tabs>
                <w:tab w:val="left" w:pos="5310"/>
              </w:tabs>
              <w:spacing w:before="60" w:after="60" w:line="276" w:lineRule="auto"/>
              <w:jc w:val="center"/>
              <w:rPr>
                <w:rFonts w:cs="Arial"/>
                <w:b/>
                <w:bCs/>
                <w:szCs w:val="20"/>
              </w:rPr>
            </w:pPr>
            <w:r>
              <w:rPr>
                <w:rFonts w:cs="Arial"/>
                <w:b/>
                <w:bCs/>
                <w:szCs w:val="20"/>
              </w:rPr>
              <w:t>$’000s</w:t>
            </w:r>
          </w:p>
        </w:tc>
      </w:tr>
      <w:tr w:rsidR="00B767A5" w:rsidRPr="000F34A8" w14:paraId="655C7588" w14:textId="77777777" w:rsidTr="00CF21AA">
        <w:trPr>
          <w:trHeight w:val="300"/>
        </w:trPr>
        <w:tc>
          <w:tcPr>
            <w:tcW w:w="6232" w:type="dxa"/>
            <w:noWrap/>
            <w:vAlign w:val="center"/>
            <w:hideMark/>
          </w:tcPr>
          <w:p w14:paraId="1F3918B2" w14:textId="77777777" w:rsidR="00B767A5" w:rsidRPr="000F34A8" w:rsidRDefault="00B767A5" w:rsidP="00B767A5">
            <w:pPr>
              <w:tabs>
                <w:tab w:val="left" w:pos="5310"/>
              </w:tabs>
              <w:spacing w:before="60" w:after="60" w:line="276" w:lineRule="auto"/>
              <w:rPr>
                <w:rFonts w:cs="Arial"/>
                <w:b/>
                <w:bCs/>
                <w:szCs w:val="20"/>
              </w:rPr>
            </w:pPr>
            <w:r w:rsidRPr="000F34A8">
              <w:rPr>
                <w:rFonts w:cs="Arial"/>
                <w:b/>
                <w:bCs/>
                <w:szCs w:val="20"/>
              </w:rPr>
              <w:t>Expenses</w:t>
            </w:r>
          </w:p>
        </w:tc>
        <w:tc>
          <w:tcPr>
            <w:tcW w:w="3261" w:type="dxa"/>
          </w:tcPr>
          <w:p w14:paraId="6C7526C0" w14:textId="5B38366A" w:rsidR="00B767A5" w:rsidRPr="00D32E37" w:rsidRDefault="00B767A5" w:rsidP="00B767A5">
            <w:pPr>
              <w:tabs>
                <w:tab w:val="left" w:pos="5310"/>
              </w:tabs>
              <w:spacing w:before="60" w:after="60" w:line="276" w:lineRule="auto"/>
              <w:jc w:val="center"/>
              <w:rPr>
                <w:rFonts w:cs="Arial"/>
                <w:szCs w:val="20"/>
              </w:rPr>
            </w:pPr>
            <w:r w:rsidRPr="00A202DA">
              <w:t>1,510</w:t>
            </w:r>
          </w:p>
        </w:tc>
      </w:tr>
      <w:tr w:rsidR="00B767A5" w:rsidRPr="000F34A8" w14:paraId="39EDF6EF" w14:textId="77777777" w:rsidTr="00CF21AA">
        <w:trPr>
          <w:trHeight w:val="300"/>
        </w:trPr>
        <w:tc>
          <w:tcPr>
            <w:tcW w:w="6232" w:type="dxa"/>
            <w:noWrap/>
            <w:vAlign w:val="center"/>
            <w:hideMark/>
          </w:tcPr>
          <w:p w14:paraId="2715BDE5" w14:textId="77777777" w:rsidR="00B767A5" w:rsidRPr="000F34A8" w:rsidRDefault="00B767A5" w:rsidP="00B767A5">
            <w:pPr>
              <w:tabs>
                <w:tab w:val="left" w:pos="5310"/>
              </w:tabs>
              <w:spacing w:before="60" w:after="60" w:line="276" w:lineRule="auto"/>
              <w:rPr>
                <w:rFonts w:cs="Arial"/>
                <w:b/>
                <w:bCs/>
                <w:szCs w:val="20"/>
              </w:rPr>
            </w:pPr>
            <w:r w:rsidRPr="000F34A8">
              <w:rPr>
                <w:rFonts w:cs="Arial"/>
                <w:b/>
                <w:bCs/>
                <w:szCs w:val="20"/>
              </w:rPr>
              <w:t>Revenue</w:t>
            </w:r>
            <w:r>
              <w:rPr>
                <w:rFonts w:cs="Arial"/>
                <w:b/>
                <w:bCs/>
                <w:szCs w:val="20"/>
              </w:rPr>
              <w:t xml:space="preserve"> Total</w:t>
            </w:r>
          </w:p>
        </w:tc>
        <w:tc>
          <w:tcPr>
            <w:tcW w:w="3261" w:type="dxa"/>
          </w:tcPr>
          <w:p w14:paraId="0822CBB8" w14:textId="245E3862" w:rsidR="00B767A5" w:rsidRPr="00B20B8F" w:rsidRDefault="00B767A5" w:rsidP="00B767A5">
            <w:pPr>
              <w:tabs>
                <w:tab w:val="left" w:pos="5310"/>
              </w:tabs>
              <w:spacing w:before="60" w:after="60" w:line="276" w:lineRule="auto"/>
              <w:jc w:val="center"/>
              <w:rPr>
                <w:rFonts w:cs="Arial"/>
                <w:b/>
                <w:bCs/>
                <w:szCs w:val="20"/>
              </w:rPr>
            </w:pPr>
            <w:r w:rsidRPr="00B20B8F">
              <w:rPr>
                <w:b/>
              </w:rPr>
              <w:t>590</w:t>
            </w:r>
          </w:p>
        </w:tc>
      </w:tr>
      <w:tr w:rsidR="00B767A5" w:rsidRPr="000F34A8" w14:paraId="2D553F59" w14:textId="77777777" w:rsidTr="00CF21AA">
        <w:trPr>
          <w:trHeight w:val="300"/>
        </w:trPr>
        <w:tc>
          <w:tcPr>
            <w:tcW w:w="6232" w:type="dxa"/>
            <w:noWrap/>
            <w:vAlign w:val="center"/>
            <w:hideMark/>
          </w:tcPr>
          <w:p w14:paraId="7927054A" w14:textId="77777777" w:rsidR="00B767A5" w:rsidRPr="000F34A8" w:rsidRDefault="00B767A5" w:rsidP="00B767A5">
            <w:pPr>
              <w:tabs>
                <w:tab w:val="left" w:pos="5310"/>
              </w:tabs>
              <w:spacing w:before="60" w:after="60" w:line="276" w:lineRule="auto"/>
              <w:rPr>
                <w:rFonts w:cs="Arial"/>
                <w:szCs w:val="20"/>
              </w:rPr>
            </w:pPr>
            <w:r>
              <w:rPr>
                <w:rFonts w:cs="Arial"/>
                <w:szCs w:val="20"/>
              </w:rPr>
              <w:t xml:space="preserve">   </w:t>
            </w:r>
            <w:r w:rsidRPr="000F34A8">
              <w:rPr>
                <w:rFonts w:cs="Arial"/>
                <w:szCs w:val="20"/>
              </w:rPr>
              <w:t>Pattern Approval Certificates</w:t>
            </w:r>
          </w:p>
        </w:tc>
        <w:tc>
          <w:tcPr>
            <w:tcW w:w="3261" w:type="dxa"/>
          </w:tcPr>
          <w:p w14:paraId="6902D93F" w14:textId="6A5CFC0E" w:rsidR="00B767A5" w:rsidRPr="00D32E37" w:rsidRDefault="00B767A5" w:rsidP="00B767A5">
            <w:pPr>
              <w:tabs>
                <w:tab w:val="left" w:pos="5310"/>
              </w:tabs>
              <w:spacing w:before="60" w:after="60" w:line="276" w:lineRule="auto"/>
              <w:jc w:val="center"/>
              <w:rPr>
                <w:rFonts w:cs="Arial"/>
                <w:szCs w:val="20"/>
              </w:rPr>
            </w:pPr>
            <w:r w:rsidRPr="00A202DA">
              <w:t>122</w:t>
            </w:r>
          </w:p>
        </w:tc>
      </w:tr>
      <w:tr w:rsidR="00B767A5" w:rsidRPr="000F34A8" w14:paraId="07BA5FCE" w14:textId="77777777" w:rsidTr="00CF21AA">
        <w:trPr>
          <w:trHeight w:val="300"/>
        </w:trPr>
        <w:tc>
          <w:tcPr>
            <w:tcW w:w="6232" w:type="dxa"/>
            <w:noWrap/>
            <w:vAlign w:val="center"/>
            <w:hideMark/>
          </w:tcPr>
          <w:p w14:paraId="3A6BFDAB" w14:textId="77777777" w:rsidR="00B767A5" w:rsidRPr="000F34A8" w:rsidRDefault="00B767A5" w:rsidP="00B767A5">
            <w:pPr>
              <w:tabs>
                <w:tab w:val="left" w:pos="5310"/>
              </w:tabs>
              <w:spacing w:before="60" w:after="60" w:line="276" w:lineRule="auto"/>
              <w:rPr>
                <w:rFonts w:cs="Arial"/>
                <w:szCs w:val="20"/>
              </w:rPr>
            </w:pPr>
            <w:r>
              <w:rPr>
                <w:rFonts w:cs="Arial"/>
                <w:szCs w:val="20"/>
              </w:rPr>
              <w:t xml:space="preserve">   </w:t>
            </w:r>
            <w:r w:rsidRPr="000F34A8">
              <w:rPr>
                <w:rFonts w:cs="Arial"/>
                <w:szCs w:val="20"/>
              </w:rPr>
              <w:t>Pattern Approval Laboratory</w:t>
            </w:r>
          </w:p>
        </w:tc>
        <w:tc>
          <w:tcPr>
            <w:tcW w:w="3261" w:type="dxa"/>
          </w:tcPr>
          <w:p w14:paraId="5BEF55C5" w14:textId="58FEE913" w:rsidR="00B767A5" w:rsidRPr="00D32E37" w:rsidRDefault="00B767A5" w:rsidP="00B767A5">
            <w:pPr>
              <w:tabs>
                <w:tab w:val="left" w:pos="5310"/>
              </w:tabs>
              <w:spacing w:before="60" w:after="60" w:line="276" w:lineRule="auto"/>
              <w:jc w:val="center"/>
              <w:rPr>
                <w:rFonts w:cs="Arial"/>
                <w:szCs w:val="20"/>
              </w:rPr>
            </w:pPr>
            <w:r w:rsidRPr="00A202DA">
              <w:t>468</w:t>
            </w:r>
          </w:p>
        </w:tc>
      </w:tr>
      <w:tr w:rsidR="00B767A5" w:rsidRPr="000F34A8" w14:paraId="5AC10297" w14:textId="77777777" w:rsidTr="00CF21AA">
        <w:trPr>
          <w:trHeight w:val="300"/>
        </w:trPr>
        <w:tc>
          <w:tcPr>
            <w:tcW w:w="6232" w:type="dxa"/>
            <w:noWrap/>
            <w:vAlign w:val="center"/>
            <w:hideMark/>
          </w:tcPr>
          <w:p w14:paraId="13FA1145" w14:textId="77777777" w:rsidR="00B767A5" w:rsidRPr="000F34A8" w:rsidRDefault="00B767A5" w:rsidP="00B767A5">
            <w:pPr>
              <w:tabs>
                <w:tab w:val="left" w:pos="5310"/>
              </w:tabs>
              <w:spacing w:before="60" w:after="60" w:line="276" w:lineRule="auto"/>
              <w:rPr>
                <w:rFonts w:cs="Arial"/>
                <w:b/>
                <w:bCs/>
                <w:szCs w:val="20"/>
              </w:rPr>
            </w:pPr>
            <w:r w:rsidRPr="000F34A8">
              <w:rPr>
                <w:rFonts w:cs="Arial"/>
                <w:b/>
                <w:bCs/>
                <w:szCs w:val="20"/>
              </w:rPr>
              <w:t>Balance</w:t>
            </w:r>
          </w:p>
        </w:tc>
        <w:tc>
          <w:tcPr>
            <w:tcW w:w="3261" w:type="dxa"/>
          </w:tcPr>
          <w:p w14:paraId="7B7536B7" w14:textId="2CC0ADB7" w:rsidR="00B767A5" w:rsidRPr="00D32E37" w:rsidRDefault="00B767A5" w:rsidP="00B767A5">
            <w:pPr>
              <w:tabs>
                <w:tab w:val="left" w:pos="5310"/>
              </w:tabs>
              <w:spacing w:before="60" w:after="60" w:line="276" w:lineRule="auto"/>
              <w:jc w:val="center"/>
              <w:rPr>
                <w:rFonts w:cs="Arial"/>
                <w:szCs w:val="20"/>
              </w:rPr>
            </w:pPr>
            <w:r w:rsidRPr="00A202DA">
              <w:t>-920</w:t>
            </w:r>
          </w:p>
        </w:tc>
      </w:tr>
      <w:tr w:rsidR="000F34A8" w:rsidRPr="000F34A8" w14:paraId="789CBD02" w14:textId="77777777" w:rsidTr="0052581D">
        <w:trPr>
          <w:trHeight w:val="300"/>
        </w:trPr>
        <w:tc>
          <w:tcPr>
            <w:tcW w:w="6232" w:type="dxa"/>
            <w:shd w:val="clear" w:color="auto" w:fill="FFA7A7"/>
            <w:noWrap/>
            <w:vAlign w:val="center"/>
            <w:hideMark/>
          </w:tcPr>
          <w:p w14:paraId="398D3B4A" w14:textId="77777777" w:rsidR="000F34A8" w:rsidRPr="000F34A8" w:rsidRDefault="000F34A8" w:rsidP="00F65B72">
            <w:pPr>
              <w:tabs>
                <w:tab w:val="left" w:pos="5310"/>
              </w:tabs>
              <w:spacing w:before="60" w:after="60" w:line="276" w:lineRule="auto"/>
              <w:rPr>
                <w:rFonts w:cs="Arial"/>
                <w:b/>
                <w:bCs/>
                <w:szCs w:val="20"/>
              </w:rPr>
            </w:pPr>
            <w:r w:rsidRPr="000F34A8">
              <w:rPr>
                <w:rFonts w:cs="Arial"/>
                <w:b/>
                <w:bCs/>
                <w:szCs w:val="20"/>
              </w:rPr>
              <w:t xml:space="preserve">Licensing </w:t>
            </w:r>
          </w:p>
        </w:tc>
        <w:tc>
          <w:tcPr>
            <w:tcW w:w="3261" w:type="dxa"/>
            <w:shd w:val="clear" w:color="auto" w:fill="FFA7A7"/>
            <w:vAlign w:val="center"/>
          </w:tcPr>
          <w:p w14:paraId="7A2856F4" w14:textId="627EDC7A" w:rsidR="000F34A8" w:rsidRPr="00D32E37" w:rsidRDefault="000F34A8" w:rsidP="00F65B72">
            <w:pPr>
              <w:tabs>
                <w:tab w:val="left" w:pos="5310"/>
              </w:tabs>
              <w:spacing w:before="60" w:after="60" w:line="276" w:lineRule="auto"/>
              <w:jc w:val="center"/>
              <w:rPr>
                <w:rFonts w:cs="Arial"/>
                <w:b/>
                <w:bCs/>
                <w:szCs w:val="20"/>
              </w:rPr>
            </w:pPr>
          </w:p>
        </w:tc>
      </w:tr>
      <w:tr w:rsidR="00B767A5" w:rsidRPr="000F34A8" w14:paraId="2C34BF53" w14:textId="77777777" w:rsidTr="0052581D">
        <w:trPr>
          <w:trHeight w:val="300"/>
        </w:trPr>
        <w:tc>
          <w:tcPr>
            <w:tcW w:w="6232" w:type="dxa"/>
            <w:noWrap/>
            <w:vAlign w:val="center"/>
            <w:hideMark/>
          </w:tcPr>
          <w:p w14:paraId="300BE4FF" w14:textId="77777777" w:rsidR="00B767A5" w:rsidRPr="000F34A8" w:rsidRDefault="00B767A5" w:rsidP="00B767A5">
            <w:pPr>
              <w:spacing w:before="60" w:after="60"/>
              <w:rPr>
                <w:rFonts w:ascii="Calibri" w:hAnsi="Calibri"/>
                <w:b/>
                <w:bCs/>
                <w:color w:val="000000"/>
                <w:sz w:val="22"/>
                <w:szCs w:val="22"/>
              </w:rPr>
            </w:pPr>
            <w:r w:rsidRPr="000F34A8">
              <w:rPr>
                <w:b/>
              </w:rPr>
              <w:t>Expenses</w:t>
            </w:r>
          </w:p>
        </w:tc>
        <w:tc>
          <w:tcPr>
            <w:tcW w:w="3261" w:type="dxa"/>
          </w:tcPr>
          <w:p w14:paraId="535CDA6F" w14:textId="7DDD027A" w:rsidR="00B767A5" w:rsidRPr="00D32E37" w:rsidRDefault="00B767A5" w:rsidP="00B767A5">
            <w:pPr>
              <w:spacing w:before="60" w:after="60"/>
              <w:jc w:val="center"/>
              <w:rPr>
                <w:rFonts w:cs="Arial"/>
                <w:color w:val="000000"/>
                <w:szCs w:val="20"/>
              </w:rPr>
            </w:pPr>
            <w:r w:rsidRPr="00500430">
              <w:t>620</w:t>
            </w:r>
          </w:p>
        </w:tc>
      </w:tr>
      <w:tr w:rsidR="00B767A5" w:rsidRPr="000F34A8" w14:paraId="53273101" w14:textId="77777777" w:rsidTr="0052581D">
        <w:trPr>
          <w:trHeight w:val="300"/>
        </w:trPr>
        <w:tc>
          <w:tcPr>
            <w:tcW w:w="6232" w:type="dxa"/>
            <w:noWrap/>
            <w:vAlign w:val="center"/>
            <w:hideMark/>
          </w:tcPr>
          <w:p w14:paraId="7E9C954F" w14:textId="77777777" w:rsidR="00B767A5" w:rsidRPr="000F34A8" w:rsidRDefault="00B767A5" w:rsidP="00B767A5">
            <w:pPr>
              <w:spacing w:before="60" w:after="60"/>
              <w:rPr>
                <w:rFonts w:ascii="Calibri" w:hAnsi="Calibri"/>
                <w:b/>
                <w:bCs/>
                <w:color w:val="000000"/>
                <w:sz w:val="22"/>
                <w:szCs w:val="22"/>
              </w:rPr>
            </w:pPr>
            <w:r w:rsidRPr="000F34A8">
              <w:rPr>
                <w:b/>
              </w:rPr>
              <w:t>Revenue Total</w:t>
            </w:r>
          </w:p>
        </w:tc>
        <w:tc>
          <w:tcPr>
            <w:tcW w:w="3261" w:type="dxa"/>
          </w:tcPr>
          <w:p w14:paraId="581906D0" w14:textId="14BBA59A" w:rsidR="00B767A5" w:rsidRPr="00B20B8F" w:rsidRDefault="00B767A5" w:rsidP="00B767A5">
            <w:pPr>
              <w:spacing w:before="60" w:after="60"/>
              <w:jc w:val="center"/>
              <w:rPr>
                <w:rFonts w:cs="Arial"/>
                <w:b/>
                <w:bCs/>
                <w:color w:val="000000"/>
                <w:szCs w:val="20"/>
                <w:highlight w:val="yellow"/>
              </w:rPr>
            </w:pPr>
            <w:r w:rsidRPr="00B20B8F">
              <w:rPr>
                <w:b/>
              </w:rPr>
              <w:t>434</w:t>
            </w:r>
          </w:p>
        </w:tc>
      </w:tr>
      <w:tr w:rsidR="00B767A5" w:rsidRPr="000F34A8" w14:paraId="5E74AE1F" w14:textId="77777777" w:rsidTr="0052581D">
        <w:trPr>
          <w:trHeight w:val="300"/>
        </w:trPr>
        <w:tc>
          <w:tcPr>
            <w:tcW w:w="6232" w:type="dxa"/>
            <w:noWrap/>
            <w:vAlign w:val="center"/>
            <w:hideMark/>
          </w:tcPr>
          <w:p w14:paraId="218FCC3B" w14:textId="77777777" w:rsidR="00B767A5" w:rsidRPr="000F34A8" w:rsidRDefault="00B767A5" w:rsidP="00B767A5">
            <w:pPr>
              <w:spacing w:before="60" w:after="60"/>
              <w:ind w:firstLineChars="200" w:firstLine="400"/>
              <w:rPr>
                <w:rFonts w:ascii="Calibri" w:hAnsi="Calibri"/>
                <w:color w:val="000000"/>
                <w:sz w:val="22"/>
                <w:szCs w:val="22"/>
              </w:rPr>
            </w:pPr>
            <w:r w:rsidRPr="00353176">
              <w:t>Servicing Licences</w:t>
            </w:r>
          </w:p>
        </w:tc>
        <w:tc>
          <w:tcPr>
            <w:tcW w:w="3261" w:type="dxa"/>
          </w:tcPr>
          <w:p w14:paraId="249AB73F" w14:textId="347ADA00" w:rsidR="00B767A5" w:rsidRPr="008A0281" w:rsidRDefault="00B767A5" w:rsidP="00B767A5">
            <w:pPr>
              <w:spacing w:before="60" w:after="60"/>
              <w:jc w:val="center"/>
              <w:rPr>
                <w:rFonts w:cs="Arial"/>
                <w:color w:val="000000"/>
                <w:szCs w:val="20"/>
              </w:rPr>
            </w:pPr>
            <w:r w:rsidRPr="00500430">
              <w:t>412</w:t>
            </w:r>
          </w:p>
        </w:tc>
      </w:tr>
      <w:tr w:rsidR="00B767A5" w:rsidRPr="000F34A8" w14:paraId="0A55B85D" w14:textId="77777777" w:rsidTr="0052581D">
        <w:trPr>
          <w:trHeight w:val="300"/>
        </w:trPr>
        <w:tc>
          <w:tcPr>
            <w:tcW w:w="6232" w:type="dxa"/>
            <w:noWrap/>
            <w:vAlign w:val="center"/>
            <w:hideMark/>
          </w:tcPr>
          <w:p w14:paraId="3D48CAFB" w14:textId="77777777" w:rsidR="00B767A5" w:rsidRPr="000F34A8" w:rsidRDefault="00B767A5" w:rsidP="00B767A5">
            <w:pPr>
              <w:spacing w:before="60" w:after="60"/>
              <w:ind w:firstLineChars="200" w:firstLine="400"/>
              <w:rPr>
                <w:rFonts w:ascii="Calibri" w:hAnsi="Calibri"/>
                <w:color w:val="000000"/>
                <w:sz w:val="22"/>
                <w:szCs w:val="22"/>
              </w:rPr>
            </w:pPr>
            <w:r w:rsidRPr="00353176">
              <w:t>Public Weighbridge Licences</w:t>
            </w:r>
          </w:p>
        </w:tc>
        <w:tc>
          <w:tcPr>
            <w:tcW w:w="3261" w:type="dxa"/>
          </w:tcPr>
          <w:p w14:paraId="2C9FD25B" w14:textId="6086F60A" w:rsidR="00B767A5" w:rsidRPr="008A0281" w:rsidRDefault="00B767A5" w:rsidP="00B767A5">
            <w:pPr>
              <w:spacing w:before="60" w:after="60"/>
              <w:jc w:val="center"/>
              <w:rPr>
                <w:rFonts w:cs="Arial"/>
                <w:color w:val="000000"/>
                <w:szCs w:val="20"/>
              </w:rPr>
            </w:pPr>
            <w:r w:rsidRPr="00500430">
              <w:t>22</w:t>
            </w:r>
          </w:p>
        </w:tc>
      </w:tr>
      <w:tr w:rsidR="00B767A5" w:rsidRPr="000F34A8" w14:paraId="44FB06C1" w14:textId="77777777" w:rsidTr="0052581D">
        <w:trPr>
          <w:trHeight w:val="300"/>
        </w:trPr>
        <w:tc>
          <w:tcPr>
            <w:tcW w:w="6232" w:type="dxa"/>
            <w:noWrap/>
            <w:vAlign w:val="center"/>
            <w:hideMark/>
          </w:tcPr>
          <w:p w14:paraId="158E9052" w14:textId="77777777" w:rsidR="00B767A5" w:rsidRPr="000F34A8" w:rsidRDefault="00B767A5" w:rsidP="00B767A5">
            <w:pPr>
              <w:spacing w:before="60" w:after="60"/>
              <w:rPr>
                <w:rFonts w:ascii="Calibri" w:hAnsi="Calibri"/>
                <w:b/>
                <w:bCs/>
                <w:color w:val="000000"/>
                <w:sz w:val="22"/>
                <w:szCs w:val="22"/>
              </w:rPr>
            </w:pPr>
            <w:r w:rsidRPr="00353176">
              <w:t>Balance</w:t>
            </w:r>
          </w:p>
        </w:tc>
        <w:tc>
          <w:tcPr>
            <w:tcW w:w="3261" w:type="dxa"/>
          </w:tcPr>
          <w:p w14:paraId="194346AC" w14:textId="0B7EC7D6" w:rsidR="00B767A5" w:rsidRPr="008A0281" w:rsidRDefault="00B767A5" w:rsidP="00B767A5">
            <w:pPr>
              <w:spacing w:before="60" w:after="60"/>
              <w:jc w:val="center"/>
              <w:rPr>
                <w:rFonts w:cs="Arial"/>
                <w:color w:val="000000"/>
                <w:szCs w:val="20"/>
                <w:highlight w:val="yellow"/>
              </w:rPr>
            </w:pPr>
            <w:r w:rsidRPr="00500430">
              <w:t>-186</w:t>
            </w:r>
          </w:p>
        </w:tc>
      </w:tr>
      <w:tr w:rsidR="003175A1" w:rsidRPr="000F34A8" w14:paraId="3792B6BE" w14:textId="77777777" w:rsidTr="0052581D">
        <w:trPr>
          <w:trHeight w:val="300"/>
        </w:trPr>
        <w:tc>
          <w:tcPr>
            <w:tcW w:w="6232" w:type="dxa"/>
            <w:shd w:val="clear" w:color="auto" w:fill="FFA7A7"/>
            <w:noWrap/>
            <w:vAlign w:val="center"/>
            <w:hideMark/>
          </w:tcPr>
          <w:p w14:paraId="6D3F04E2" w14:textId="77777777" w:rsidR="003175A1" w:rsidRPr="000F34A8" w:rsidRDefault="003175A1" w:rsidP="003175A1">
            <w:pPr>
              <w:tabs>
                <w:tab w:val="left" w:pos="5310"/>
              </w:tabs>
              <w:spacing w:before="60" w:after="60" w:line="276" w:lineRule="auto"/>
              <w:rPr>
                <w:rFonts w:cs="Arial"/>
                <w:b/>
                <w:bCs/>
                <w:szCs w:val="20"/>
              </w:rPr>
            </w:pPr>
            <w:r w:rsidRPr="000F34A8">
              <w:rPr>
                <w:rFonts w:cs="Arial"/>
                <w:b/>
                <w:bCs/>
                <w:szCs w:val="20"/>
              </w:rPr>
              <w:t>Appointments</w:t>
            </w:r>
          </w:p>
        </w:tc>
        <w:tc>
          <w:tcPr>
            <w:tcW w:w="3261" w:type="dxa"/>
            <w:shd w:val="clear" w:color="auto" w:fill="FFA7A7"/>
            <w:vAlign w:val="center"/>
          </w:tcPr>
          <w:p w14:paraId="25AB4C16" w14:textId="589D2F93" w:rsidR="003175A1" w:rsidRPr="00D32E37" w:rsidRDefault="003175A1" w:rsidP="003175A1">
            <w:pPr>
              <w:tabs>
                <w:tab w:val="left" w:pos="5310"/>
              </w:tabs>
              <w:spacing w:before="60" w:after="60" w:line="276" w:lineRule="auto"/>
              <w:jc w:val="center"/>
              <w:rPr>
                <w:rFonts w:cs="Arial"/>
                <w:b/>
                <w:bCs/>
                <w:szCs w:val="20"/>
              </w:rPr>
            </w:pPr>
          </w:p>
        </w:tc>
      </w:tr>
      <w:tr w:rsidR="00B767A5" w:rsidRPr="000F34A8" w14:paraId="69EA0EC0" w14:textId="77777777" w:rsidTr="0052581D">
        <w:trPr>
          <w:trHeight w:val="300"/>
        </w:trPr>
        <w:tc>
          <w:tcPr>
            <w:tcW w:w="6232" w:type="dxa"/>
            <w:noWrap/>
            <w:vAlign w:val="center"/>
            <w:hideMark/>
          </w:tcPr>
          <w:p w14:paraId="12796D32" w14:textId="77777777" w:rsidR="00B767A5" w:rsidRPr="000F34A8" w:rsidRDefault="00B767A5" w:rsidP="00B767A5">
            <w:pPr>
              <w:spacing w:before="60" w:after="60"/>
              <w:rPr>
                <w:rFonts w:ascii="Calibri" w:hAnsi="Calibri"/>
                <w:b/>
                <w:bCs/>
                <w:color w:val="000000"/>
                <w:sz w:val="22"/>
                <w:szCs w:val="22"/>
              </w:rPr>
            </w:pPr>
            <w:r w:rsidRPr="000F34A8">
              <w:rPr>
                <w:b/>
              </w:rPr>
              <w:t>Expenses</w:t>
            </w:r>
          </w:p>
        </w:tc>
        <w:tc>
          <w:tcPr>
            <w:tcW w:w="3261" w:type="dxa"/>
          </w:tcPr>
          <w:p w14:paraId="575EC64B" w14:textId="52082D9F" w:rsidR="00B767A5" w:rsidRPr="00D32E37" w:rsidRDefault="00B767A5" w:rsidP="00B767A5">
            <w:pPr>
              <w:spacing w:before="60" w:after="60"/>
              <w:jc w:val="center"/>
              <w:rPr>
                <w:rFonts w:cs="Arial"/>
                <w:color w:val="000000"/>
                <w:szCs w:val="20"/>
              </w:rPr>
            </w:pPr>
            <w:r w:rsidRPr="00EB15F8">
              <w:t>69</w:t>
            </w:r>
          </w:p>
        </w:tc>
      </w:tr>
      <w:tr w:rsidR="00B767A5" w:rsidRPr="000F34A8" w14:paraId="1E4EEF30" w14:textId="77777777" w:rsidTr="0052581D">
        <w:trPr>
          <w:trHeight w:val="300"/>
        </w:trPr>
        <w:tc>
          <w:tcPr>
            <w:tcW w:w="6232" w:type="dxa"/>
            <w:noWrap/>
            <w:vAlign w:val="center"/>
            <w:hideMark/>
          </w:tcPr>
          <w:p w14:paraId="5344BDFB" w14:textId="77777777" w:rsidR="00B767A5" w:rsidRPr="000F34A8" w:rsidRDefault="00B767A5" w:rsidP="00B767A5">
            <w:pPr>
              <w:spacing w:before="60" w:after="60"/>
              <w:rPr>
                <w:rFonts w:ascii="Calibri" w:hAnsi="Calibri"/>
                <w:b/>
                <w:bCs/>
                <w:color w:val="000000"/>
                <w:sz w:val="22"/>
                <w:szCs w:val="22"/>
              </w:rPr>
            </w:pPr>
            <w:r w:rsidRPr="000F34A8">
              <w:rPr>
                <w:b/>
              </w:rPr>
              <w:t xml:space="preserve">Revenue </w:t>
            </w:r>
            <w:r>
              <w:rPr>
                <w:b/>
              </w:rPr>
              <w:t>– LMA Appointments</w:t>
            </w:r>
          </w:p>
        </w:tc>
        <w:tc>
          <w:tcPr>
            <w:tcW w:w="3261" w:type="dxa"/>
          </w:tcPr>
          <w:p w14:paraId="0F39250C" w14:textId="6F8C5F4F" w:rsidR="00B767A5" w:rsidRPr="00B20B8F" w:rsidRDefault="00B767A5" w:rsidP="00B767A5">
            <w:pPr>
              <w:spacing w:before="60" w:after="60"/>
              <w:jc w:val="center"/>
              <w:rPr>
                <w:rFonts w:cs="Arial"/>
                <w:b/>
                <w:bCs/>
                <w:color w:val="000000"/>
                <w:szCs w:val="20"/>
              </w:rPr>
            </w:pPr>
            <w:r w:rsidRPr="00B20B8F">
              <w:rPr>
                <w:b/>
              </w:rPr>
              <w:t>71</w:t>
            </w:r>
          </w:p>
        </w:tc>
      </w:tr>
      <w:tr w:rsidR="00B767A5" w:rsidRPr="000F34A8" w14:paraId="59B23B51" w14:textId="77777777" w:rsidTr="0052581D">
        <w:trPr>
          <w:trHeight w:val="300"/>
        </w:trPr>
        <w:tc>
          <w:tcPr>
            <w:tcW w:w="6232" w:type="dxa"/>
            <w:noWrap/>
            <w:vAlign w:val="center"/>
            <w:hideMark/>
          </w:tcPr>
          <w:p w14:paraId="553AD642" w14:textId="77777777" w:rsidR="00B767A5" w:rsidRPr="000F34A8" w:rsidRDefault="00B767A5" w:rsidP="00B767A5">
            <w:pPr>
              <w:spacing w:before="60" w:after="60"/>
              <w:rPr>
                <w:rFonts w:ascii="Calibri" w:hAnsi="Calibri"/>
                <w:b/>
                <w:bCs/>
                <w:color w:val="000000"/>
                <w:sz w:val="22"/>
                <w:szCs w:val="22"/>
              </w:rPr>
            </w:pPr>
            <w:r w:rsidRPr="00353176">
              <w:t>Balance</w:t>
            </w:r>
          </w:p>
        </w:tc>
        <w:tc>
          <w:tcPr>
            <w:tcW w:w="3261" w:type="dxa"/>
          </w:tcPr>
          <w:p w14:paraId="4D3A894D" w14:textId="3C07DC98" w:rsidR="00B767A5" w:rsidRPr="00D32E37" w:rsidRDefault="00B767A5" w:rsidP="00B767A5">
            <w:pPr>
              <w:spacing w:before="60" w:after="60"/>
              <w:jc w:val="center"/>
              <w:rPr>
                <w:rFonts w:cs="Arial"/>
                <w:color w:val="000000"/>
                <w:szCs w:val="20"/>
              </w:rPr>
            </w:pPr>
            <w:r w:rsidRPr="00EB15F8">
              <w:t>2</w:t>
            </w:r>
          </w:p>
        </w:tc>
      </w:tr>
    </w:tbl>
    <w:p w14:paraId="259A854B" w14:textId="77777777" w:rsidR="000F34A8" w:rsidRDefault="000F34A8" w:rsidP="005A229D">
      <w:pPr>
        <w:tabs>
          <w:tab w:val="left" w:pos="5310"/>
        </w:tabs>
        <w:spacing w:line="276" w:lineRule="auto"/>
        <w:rPr>
          <w:rFonts w:cs="Arial"/>
          <w:szCs w:val="20"/>
          <w:lang w:val="en-US"/>
        </w:rPr>
      </w:pPr>
    </w:p>
    <w:p w14:paraId="33F8532E" w14:textId="77777777" w:rsidR="00271553" w:rsidRPr="005A229D" w:rsidRDefault="00271553" w:rsidP="005A229D">
      <w:pPr>
        <w:spacing w:before="120" w:line="276" w:lineRule="auto"/>
      </w:pPr>
      <w:r w:rsidRPr="009212A9">
        <w:rPr>
          <w:rFonts w:cs="Arial"/>
          <w:b/>
          <w:szCs w:val="20"/>
        </w:rPr>
        <w:t xml:space="preserve">Table </w:t>
      </w:r>
      <w:r>
        <w:rPr>
          <w:rFonts w:cs="Arial"/>
          <w:b/>
          <w:szCs w:val="20"/>
        </w:rPr>
        <w:t>4</w:t>
      </w:r>
      <w:r w:rsidRPr="009212A9">
        <w:rPr>
          <w:rFonts w:cs="Arial"/>
          <w:b/>
          <w:szCs w:val="20"/>
        </w:rPr>
        <w:t xml:space="preserve">: </w:t>
      </w:r>
      <w:r w:rsidR="00D0156F" w:rsidRPr="00D0156F">
        <w:rPr>
          <w:rFonts w:cs="Arial"/>
          <w:b/>
          <w:szCs w:val="20"/>
        </w:rPr>
        <w:t xml:space="preserve">Financial Estimates </w:t>
      </w:r>
      <w:r w:rsidRPr="00271553">
        <w:rPr>
          <w:rFonts w:cs="Arial"/>
          <w:b/>
          <w:szCs w:val="20"/>
        </w:rPr>
        <w:t xml:space="preserve">for </w:t>
      </w:r>
      <w:r w:rsidRPr="005A229D">
        <w:rPr>
          <w:b/>
        </w:rPr>
        <w:t>Pattern Approval</w:t>
      </w:r>
      <w:r w:rsidR="007575A9">
        <w:rPr>
          <w:rFonts w:cs="Arial"/>
          <w:b/>
          <w:szCs w:val="20"/>
        </w:rPr>
        <w:t xml:space="preserve"> Regulatory Charging Activity</w:t>
      </w:r>
    </w:p>
    <w:tbl>
      <w:tblPr>
        <w:tblStyle w:val="TableGrid"/>
        <w:tblW w:w="0" w:type="auto"/>
        <w:tblLook w:val="04A0" w:firstRow="1" w:lastRow="0" w:firstColumn="1" w:lastColumn="0" w:noHBand="0" w:noVBand="1"/>
      </w:tblPr>
      <w:tblGrid>
        <w:gridCol w:w="2263"/>
        <w:gridCol w:w="1701"/>
        <w:gridCol w:w="1701"/>
        <w:gridCol w:w="1843"/>
        <w:gridCol w:w="1843"/>
      </w:tblGrid>
      <w:tr w:rsidR="00C64184" w:rsidRPr="00D0156F" w14:paraId="70631CA6" w14:textId="67DCE32F" w:rsidTr="003F364A">
        <w:trPr>
          <w:trHeight w:val="300"/>
        </w:trPr>
        <w:tc>
          <w:tcPr>
            <w:tcW w:w="9351" w:type="dxa"/>
            <w:gridSpan w:val="5"/>
            <w:shd w:val="clear" w:color="auto" w:fill="FF0000"/>
            <w:noWrap/>
            <w:vAlign w:val="center"/>
            <w:hideMark/>
          </w:tcPr>
          <w:p w14:paraId="200480DB" w14:textId="5D636DCB" w:rsidR="00C64184" w:rsidRPr="007575A9" w:rsidRDefault="00C64184">
            <w:pPr>
              <w:spacing w:before="60" w:after="60" w:line="276" w:lineRule="auto"/>
              <w:jc w:val="center"/>
              <w:rPr>
                <w:rFonts w:cs="Arial"/>
                <w:b/>
                <w:bCs/>
                <w:color w:val="FFFFFF" w:themeColor="background1"/>
                <w:szCs w:val="20"/>
              </w:rPr>
            </w:pPr>
            <w:r w:rsidRPr="007575A9">
              <w:rPr>
                <w:rFonts w:cs="Arial"/>
                <w:b/>
                <w:bCs/>
                <w:color w:val="FFFFFF" w:themeColor="background1"/>
                <w:szCs w:val="20"/>
              </w:rPr>
              <w:t>Pattern Approval</w:t>
            </w:r>
          </w:p>
        </w:tc>
      </w:tr>
      <w:tr w:rsidR="00C64184" w:rsidRPr="00D0156F" w14:paraId="701EAC30" w14:textId="67D011EB" w:rsidTr="003F364A">
        <w:trPr>
          <w:trHeight w:val="300"/>
        </w:trPr>
        <w:tc>
          <w:tcPr>
            <w:tcW w:w="2263" w:type="dxa"/>
            <w:noWrap/>
          </w:tcPr>
          <w:p w14:paraId="5264E240" w14:textId="6CD183CC" w:rsidR="00C64184" w:rsidRPr="00D0156F" w:rsidRDefault="00C64184" w:rsidP="008F6738">
            <w:pPr>
              <w:spacing w:before="60" w:after="60" w:line="276" w:lineRule="auto"/>
              <w:rPr>
                <w:rFonts w:cs="Arial"/>
                <w:b/>
                <w:bCs/>
                <w:szCs w:val="20"/>
              </w:rPr>
            </w:pPr>
            <w:r w:rsidRPr="00D0156F">
              <w:rPr>
                <w:rFonts w:cs="Arial"/>
                <w:b/>
                <w:bCs/>
                <w:szCs w:val="20"/>
              </w:rPr>
              <w:t>$'000s</w:t>
            </w:r>
          </w:p>
        </w:tc>
        <w:tc>
          <w:tcPr>
            <w:tcW w:w="1701" w:type="dxa"/>
          </w:tcPr>
          <w:p w14:paraId="03488ED7" w14:textId="3CBA19E1" w:rsidR="00C64184" w:rsidRPr="00481910" w:rsidRDefault="00C64184" w:rsidP="008F6738">
            <w:pPr>
              <w:spacing w:before="60" w:after="60" w:line="276" w:lineRule="auto"/>
              <w:jc w:val="center"/>
            </w:pPr>
            <w:r w:rsidRPr="00D0156F">
              <w:rPr>
                <w:rFonts w:cs="Arial"/>
                <w:b/>
                <w:bCs/>
                <w:szCs w:val="20"/>
              </w:rPr>
              <w:t>2021-22</w:t>
            </w:r>
          </w:p>
        </w:tc>
        <w:tc>
          <w:tcPr>
            <w:tcW w:w="1701" w:type="dxa"/>
          </w:tcPr>
          <w:p w14:paraId="119C7C90" w14:textId="4A7F8E73" w:rsidR="00C64184" w:rsidRPr="00481910" w:rsidRDefault="00C64184" w:rsidP="008F6738">
            <w:pPr>
              <w:spacing w:before="60" w:after="60" w:line="276" w:lineRule="auto"/>
              <w:jc w:val="center"/>
            </w:pPr>
            <w:r>
              <w:rPr>
                <w:rFonts w:cs="Arial"/>
                <w:b/>
                <w:bCs/>
                <w:szCs w:val="20"/>
              </w:rPr>
              <w:t>2022-23</w:t>
            </w:r>
          </w:p>
        </w:tc>
        <w:tc>
          <w:tcPr>
            <w:tcW w:w="1843" w:type="dxa"/>
          </w:tcPr>
          <w:p w14:paraId="3B636B78" w14:textId="2D7A5C9A" w:rsidR="00C64184" w:rsidRPr="00D0156F" w:rsidRDefault="00C64184" w:rsidP="008F6738">
            <w:pPr>
              <w:spacing w:before="60" w:after="60" w:line="276" w:lineRule="auto"/>
              <w:jc w:val="center"/>
              <w:rPr>
                <w:rFonts w:cs="Arial"/>
                <w:szCs w:val="20"/>
              </w:rPr>
            </w:pPr>
            <w:r>
              <w:rPr>
                <w:rFonts w:cs="Arial"/>
                <w:b/>
                <w:bCs/>
                <w:szCs w:val="20"/>
              </w:rPr>
              <w:t>2023-24</w:t>
            </w:r>
          </w:p>
        </w:tc>
        <w:tc>
          <w:tcPr>
            <w:tcW w:w="1843" w:type="dxa"/>
          </w:tcPr>
          <w:p w14:paraId="344C65B3" w14:textId="4A77F537" w:rsidR="00C64184" w:rsidRDefault="00C64184" w:rsidP="008F6738">
            <w:pPr>
              <w:spacing w:before="60" w:after="60" w:line="276" w:lineRule="auto"/>
              <w:jc w:val="center"/>
              <w:rPr>
                <w:rFonts w:cs="Arial"/>
                <w:b/>
                <w:bCs/>
                <w:szCs w:val="20"/>
              </w:rPr>
            </w:pPr>
            <w:r>
              <w:rPr>
                <w:rFonts w:cs="Arial"/>
                <w:b/>
                <w:bCs/>
                <w:szCs w:val="20"/>
              </w:rPr>
              <w:t>2024-25</w:t>
            </w:r>
          </w:p>
        </w:tc>
      </w:tr>
      <w:tr w:rsidR="00112640" w:rsidRPr="00D0156F" w14:paraId="58B00F03" w14:textId="71E64B22" w:rsidTr="003F364A">
        <w:trPr>
          <w:trHeight w:val="300"/>
        </w:trPr>
        <w:tc>
          <w:tcPr>
            <w:tcW w:w="2263" w:type="dxa"/>
            <w:noWrap/>
            <w:vAlign w:val="center"/>
            <w:hideMark/>
          </w:tcPr>
          <w:p w14:paraId="2F88616D" w14:textId="77777777" w:rsidR="00112640" w:rsidRPr="00D0156F" w:rsidRDefault="00112640" w:rsidP="00112640">
            <w:pPr>
              <w:spacing w:before="60" w:after="60" w:line="276" w:lineRule="auto"/>
              <w:rPr>
                <w:rFonts w:cs="Arial"/>
                <w:b/>
                <w:bCs/>
                <w:szCs w:val="20"/>
              </w:rPr>
            </w:pPr>
            <w:r w:rsidRPr="00D0156F">
              <w:rPr>
                <w:rFonts w:cs="Arial"/>
                <w:b/>
                <w:bCs/>
                <w:szCs w:val="20"/>
              </w:rPr>
              <w:t>Expenses</w:t>
            </w:r>
          </w:p>
        </w:tc>
        <w:tc>
          <w:tcPr>
            <w:tcW w:w="1701" w:type="dxa"/>
          </w:tcPr>
          <w:p w14:paraId="2B150E58" w14:textId="6CF7A545" w:rsidR="00112640" w:rsidRPr="00D0156F" w:rsidRDefault="00112640" w:rsidP="00112640">
            <w:pPr>
              <w:spacing w:before="60" w:after="60" w:line="276" w:lineRule="auto"/>
              <w:jc w:val="center"/>
              <w:rPr>
                <w:rFonts w:cs="Arial"/>
                <w:szCs w:val="20"/>
              </w:rPr>
            </w:pPr>
            <w:r w:rsidRPr="001B365B">
              <w:t>$1,510</w:t>
            </w:r>
          </w:p>
        </w:tc>
        <w:tc>
          <w:tcPr>
            <w:tcW w:w="1701" w:type="dxa"/>
          </w:tcPr>
          <w:p w14:paraId="61D40608" w14:textId="67169850" w:rsidR="00112640" w:rsidRPr="00D0156F" w:rsidRDefault="00112640" w:rsidP="00112640">
            <w:pPr>
              <w:spacing w:before="60" w:after="60" w:line="276" w:lineRule="auto"/>
              <w:jc w:val="center"/>
              <w:rPr>
                <w:rFonts w:cs="Arial"/>
                <w:szCs w:val="20"/>
              </w:rPr>
            </w:pPr>
            <w:r w:rsidRPr="001B365B">
              <w:t>$1,548</w:t>
            </w:r>
          </w:p>
        </w:tc>
        <w:tc>
          <w:tcPr>
            <w:tcW w:w="1843" w:type="dxa"/>
          </w:tcPr>
          <w:p w14:paraId="1DF8465D" w14:textId="2C3EAAF3" w:rsidR="00112640" w:rsidRPr="0054408F" w:rsidRDefault="00112640" w:rsidP="00112640">
            <w:pPr>
              <w:spacing w:before="60" w:after="60" w:line="276" w:lineRule="auto"/>
              <w:jc w:val="center"/>
              <w:rPr>
                <w:rFonts w:cs="Arial"/>
                <w:szCs w:val="20"/>
                <w:highlight w:val="yellow"/>
              </w:rPr>
            </w:pPr>
            <w:r w:rsidRPr="001B365B">
              <w:t>$1,586</w:t>
            </w:r>
          </w:p>
        </w:tc>
        <w:tc>
          <w:tcPr>
            <w:tcW w:w="1843" w:type="dxa"/>
          </w:tcPr>
          <w:p w14:paraId="2ADD3FA7" w14:textId="7B3100B8" w:rsidR="00112640" w:rsidRPr="0054408F" w:rsidRDefault="00112640" w:rsidP="00112640">
            <w:pPr>
              <w:spacing w:before="60" w:after="60" w:line="276" w:lineRule="auto"/>
              <w:jc w:val="center"/>
              <w:rPr>
                <w:highlight w:val="yellow"/>
              </w:rPr>
            </w:pPr>
            <w:r w:rsidRPr="001B365B">
              <w:t>$1,626</w:t>
            </w:r>
          </w:p>
        </w:tc>
      </w:tr>
      <w:tr w:rsidR="00955F8A" w:rsidRPr="00B20B8F" w14:paraId="55B7F35B" w14:textId="04DFBD84" w:rsidTr="003F364A">
        <w:trPr>
          <w:trHeight w:val="300"/>
        </w:trPr>
        <w:tc>
          <w:tcPr>
            <w:tcW w:w="2263" w:type="dxa"/>
            <w:noWrap/>
            <w:vAlign w:val="center"/>
            <w:hideMark/>
          </w:tcPr>
          <w:p w14:paraId="753CCCE3" w14:textId="77777777" w:rsidR="00955F8A" w:rsidRPr="00B20B8F" w:rsidRDefault="00955F8A" w:rsidP="00955F8A">
            <w:pPr>
              <w:spacing w:before="60" w:after="60" w:line="276" w:lineRule="auto"/>
              <w:rPr>
                <w:rFonts w:cs="Arial"/>
                <w:b/>
                <w:bCs/>
                <w:szCs w:val="20"/>
              </w:rPr>
            </w:pPr>
            <w:r w:rsidRPr="00B20B8F">
              <w:rPr>
                <w:rFonts w:cs="Arial"/>
                <w:b/>
                <w:bCs/>
                <w:szCs w:val="20"/>
              </w:rPr>
              <w:t>Revenue</w:t>
            </w:r>
          </w:p>
        </w:tc>
        <w:tc>
          <w:tcPr>
            <w:tcW w:w="1701" w:type="dxa"/>
          </w:tcPr>
          <w:p w14:paraId="1A6183E7" w14:textId="636AB873" w:rsidR="00955F8A" w:rsidRPr="00B20B8F" w:rsidRDefault="00955F8A" w:rsidP="00955F8A">
            <w:pPr>
              <w:spacing w:before="60" w:after="60" w:line="276" w:lineRule="auto"/>
              <w:jc w:val="center"/>
              <w:rPr>
                <w:rFonts w:cs="Arial"/>
                <w:b/>
                <w:szCs w:val="20"/>
              </w:rPr>
            </w:pPr>
            <w:r w:rsidRPr="00B20B8F">
              <w:rPr>
                <w:b/>
              </w:rPr>
              <w:t>$590</w:t>
            </w:r>
          </w:p>
        </w:tc>
        <w:tc>
          <w:tcPr>
            <w:tcW w:w="1701" w:type="dxa"/>
          </w:tcPr>
          <w:p w14:paraId="2A0DFE33" w14:textId="0EE0A068" w:rsidR="00955F8A" w:rsidRPr="00B20B8F" w:rsidRDefault="00955F8A" w:rsidP="00955F8A">
            <w:pPr>
              <w:spacing w:before="60" w:after="60" w:line="276" w:lineRule="auto"/>
              <w:jc w:val="center"/>
              <w:rPr>
                <w:rFonts w:cs="Arial"/>
                <w:b/>
                <w:szCs w:val="20"/>
              </w:rPr>
            </w:pPr>
            <w:r w:rsidRPr="00B20B8F">
              <w:rPr>
                <w:b/>
              </w:rPr>
              <w:t>$701</w:t>
            </w:r>
          </w:p>
        </w:tc>
        <w:tc>
          <w:tcPr>
            <w:tcW w:w="1843" w:type="dxa"/>
          </w:tcPr>
          <w:p w14:paraId="75DDB6BA" w14:textId="0D96A4CC" w:rsidR="00955F8A" w:rsidRPr="00B20B8F" w:rsidRDefault="00955F8A" w:rsidP="00955F8A">
            <w:pPr>
              <w:spacing w:before="60" w:after="60" w:line="276" w:lineRule="auto"/>
              <w:jc w:val="center"/>
              <w:rPr>
                <w:rFonts w:cs="Arial"/>
                <w:b/>
                <w:szCs w:val="20"/>
                <w:highlight w:val="yellow"/>
              </w:rPr>
            </w:pPr>
            <w:r w:rsidRPr="00B20B8F">
              <w:rPr>
                <w:b/>
              </w:rPr>
              <w:t>$740</w:t>
            </w:r>
          </w:p>
        </w:tc>
        <w:tc>
          <w:tcPr>
            <w:tcW w:w="1843" w:type="dxa"/>
          </w:tcPr>
          <w:p w14:paraId="16762E3F" w14:textId="07BD1590" w:rsidR="00955F8A" w:rsidRPr="00B20B8F" w:rsidRDefault="00955F8A" w:rsidP="00955F8A">
            <w:pPr>
              <w:spacing w:before="60" w:after="60" w:line="276" w:lineRule="auto"/>
              <w:jc w:val="center"/>
              <w:rPr>
                <w:b/>
                <w:highlight w:val="yellow"/>
              </w:rPr>
            </w:pPr>
            <w:r w:rsidRPr="00B20B8F">
              <w:rPr>
                <w:b/>
              </w:rPr>
              <w:t>$768</w:t>
            </w:r>
          </w:p>
        </w:tc>
      </w:tr>
      <w:tr w:rsidR="00955F8A" w:rsidRPr="00D0156F" w14:paraId="54955B1C" w14:textId="4ED8F0B1" w:rsidTr="003F364A">
        <w:trPr>
          <w:trHeight w:val="300"/>
        </w:trPr>
        <w:tc>
          <w:tcPr>
            <w:tcW w:w="2263" w:type="dxa"/>
            <w:noWrap/>
            <w:vAlign w:val="center"/>
            <w:hideMark/>
          </w:tcPr>
          <w:p w14:paraId="0CFFD895" w14:textId="77777777" w:rsidR="00955F8A" w:rsidRPr="00D0156F" w:rsidRDefault="00955F8A" w:rsidP="00955F8A">
            <w:pPr>
              <w:spacing w:before="60" w:after="60" w:line="276" w:lineRule="auto"/>
              <w:rPr>
                <w:rFonts w:cs="Arial"/>
                <w:b/>
                <w:bCs/>
                <w:szCs w:val="20"/>
              </w:rPr>
            </w:pPr>
            <w:r w:rsidRPr="00D0156F">
              <w:rPr>
                <w:rFonts w:cs="Arial"/>
                <w:b/>
                <w:bCs/>
                <w:szCs w:val="20"/>
              </w:rPr>
              <w:t>Balance</w:t>
            </w:r>
          </w:p>
        </w:tc>
        <w:tc>
          <w:tcPr>
            <w:tcW w:w="1701" w:type="dxa"/>
          </w:tcPr>
          <w:p w14:paraId="68CA5448" w14:textId="78C7F8F0" w:rsidR="00955F8A" w:rsidRPr="00D0156F" w:rsidRDefault="00955F8A" w:rsidP="00955F8A">
            <w:pPr>
              <w:spacing w:before="60" w:after="60" w:line="276" w:lineRule="auto"/>
              <w:jc w:val="center"/>
              <w:rPr>
                <w:rFonts w:cs="Arial"/>
                <w:szCs w:val="20"/>
              </w:rPr>
            </w:pPr>
            <w:r w:rsidRPr="001B365B">
              <w:t>-$920</w:t>
            </w:r>
          </w:p>
        </w:tc>
        <w:tc>
          <w:tcPr>
            <w:tcW w:w="1701" w:type="dxa"/>
          </w:tcPr>
          <w:p w14:paraId="3510370F" w14:textId="3EE5C9DF" w:rsidR="00955F8A" w:rsidRPr="00D0156F" w:rsidRDefault="00955F8A" w:rsidP="00955F8A">
            <w:pPr>
              <w:spacing w:before="60" w:after="60" w:line="276" w:lineRule="auto"/>
              <w:jc w:val="center"/>
              <w:rPr>
                <w:rFonts w:cs="Arial"/>
                <w:szCs w:val="20"/>
              </w:rPr>
            </w:pPr>
            <w:r w:rsidRPr="001B365B">
              <w:t>-$846</w:t>
            </w:r>
          </w:p>
        </w:tc>
        <w:tc>
          <w:tcPr>
            <w:tcW w:w="1843" w:type="dxa"/>
          </w:tcPr>
          <w:p w14:paraId="4A1CF950" w14:textId="54DEC4A8" w:rsidR="00955F8A" w:rsidRPr="0054408F" w:rsidRDefault="00955F8A" w:rsidP="00955F8A">
            <w:pPr>
              <w:spacing w:before="60" w:after="60" w:line="276" w:lineRule="auto"/>
              <w:jc w:val="center"/>
              <w:rPr>
                <w:rFonts w:cs="Arial"/>
                <w:szCs w:val="20"/>
                <w:highlight w:val="yellow"/>
              </w:rPr>
            </w:pPr>
            <w:r w:rsidRPr="001B365B">
              <w:t>-$846</w:t>
            </w:r>
          </w:p>
        </w:tc>
        <w:tc>
          <w:tcPr>
            <w:tcW w:w="1843" w:type="dxa"/>
          </w:tcPr>
          <w:p w14:paraId="73968CEA" w14:textId="6486DA66" w:rsidR="00955F8A" w:rsidRPr="0054408F" w:rsidRDefault="00955F8A" w:rsidP="00955F8A">
            <w:pPr>
              <w:spacing w:before="60" w:after="60" w:line="276" w:lineRule="auto"/>
              <w:jc w:val="center"/>
              <w:rPr>
                <w:highlight w:val="yellow"/>
              </w:rPr>
            </w:pPr>
            <w:r w:rsidRPr="00D9262D">
              <w:t>-$858</w:t>
            </w:r>
          </w:p>
        </w:tc>
      </w:tr>
      <w:tr w:rsidR="00955F8A" w:rsidRPr="00D0156F" w14:paraId="77C2FF5F" w14:textId="71A8EC4F" w:rsidTr="003F364A">
        <w:trPr>
          <w:trHeight w:val="300"/>
        </w:trPr>
        <w:tc>
          <w:tcPr>
            <w:tcW w:w="2263" w:type="dxa"/>
            <w:noWrap/>
            <w:vAlign w:val="center"/>
            <w:hideMark/>
          </w:tcPr>
          <w:p w14:paraId="00D53457" w14:textId="77777777" w:rsidR="00955F8A" w:rsidRPr="00D0156F" w:rsidRDefault="00955F8A" w:rsidP="00955F8A">
            <w:pPr>
              <w:spacing w:before="60" w:after="60" w:line="276" w:lineRule="auto"/>
              <w:rPr>
                <w:rFonts w:cs="Arial"/>
                <w:b/>
                <w:bCs/>
                <w:szCs w:val="20"/>
              </w:rPr>
            </w:pPr>
            <w:r w:rsidRPr="00D0156F">
              <w:rPr>
                <w:rFonts w:cs="Arial"/>
                <w:b/>
                <w:bCs/>
                <w:szCs w:val="20"/>
              </w:rPr>
              <w:t>Cumulative balance</w:t>
            </w:r>
          </w:p>
        </w:tc>
        <w:tc>
          <w:tcPr>
            <w:tcW w:w="1701" w:type="dxa"/>
          </w:tcPr>
          <w:p w14:paraId="214CC847" w14:textId="11CB558B" w:rsidR="00955F8A" w:rsidRPr="00D0156F" w:rsidRDefault="00955F8A" w:rsidP="00955F8A">
            <w:pPr>
              <w:spacing w:before="60" w:after="60" w:line="276" w:lineRule="auto"/>
              <w:jc w:val="center"/>
              <w:rPr>
                <w:rFonts w:cs="Arial"/>
                <w:szCs w:val="20"/>
              </w:rPr>
            </w:pPr>
            <w:r w:rsidRPr="00FE016F">
              <w:t>-$920</w:t>
            </w:r>
          </w:p>
        </w:tc>
        <w:tc>
          <w:tcPr>
            <w:tcW w:w="1701" w:type="dxa"/>
          </w:tcPr>
          <w:p w14:paraId="19AC0AB3" w14:textId="716C5A27" w:rsidR="00955F8A" w:rsidRPr="00D0156F" w:rsidRDefault="00955F8A" w:rsidP="00955F8A">
            <w:pPr>
              <w:spacing w:before="60" w:after="60" w:line="276" w:lineRule="auto"/>
              <w:jc w:val="center"/>
              <w:rPr>
                <w:rFonts w:cs="Arial"/>
                <w:szCs w:val="20"/>
              </w:rPr>
            </w:pPr>
            <w:r w:rsidRPr="00FE016F">
              <w:t>-$1,766</w:t>
            </w:r>
          </w:p>
        </w:tc>
        <w:tc>
          <w:tcPr>
            <w:tcW w:w="1843" w:type="dxa"/>
          </w:tcPr>
          <w:p w14:paraId="78232803" w14:textId="7048C7AA" w:rsidR="00955F8A" w:rsidRPr="0054408F" w:rsidRDefault="00955F8A" w:rsidP="00955F8A">
            <w:pPr>
              <w:spacing w:before="60" w:after="60" w:line="276" w:lineRule="auto"/>
              <w:jc w:val="center"/>
              <w:rPr>
                <w:rFonts w:cs="Arial"/>
                <w:szCs w:val="20"/>
                <w:highlight w:val="yellow"/>
              </w:rPr>
            </w:pPr>
            <w:r w:rsidRPr="00FE016F">
              <w:t>-$2,612</w:t>
            </w:r>
          </w:p>
        </w:tc>
        <w:tc>
          <w:tcPr>
            <w:tcW w:w="1843" w:type="dxa"/>
          </w:tcPr>
          <w:p w14:paraId="787E83EA" w14:textId="44FE9E96" w:rsidR="00955F8A" w:rsidRPr="0054408F" w:rsidRDefault="00955F8A" w:rsidP="00955F8A">
            <w:pPr>
              <w:spacing w:before="60" w:after="60" w:line="276" w:lineRule="auto"/>
              <w:jc w:val="center"/>
              <w:rPr>
                <w:highlight w:val="yellow"/>
              </w:rPr>
            </w:pPr>
            <w:r w:rsidRPr="00D9262D">
              <w:t>-$3,471</w:t>
            </w:r>
          </w:p>
        </w:tc>
      </w:tr>
    </w:tbl>
    <w:p w14:paraId="2BFFA7F9" w14:textId="77777777" w:rsidR="00334812" w:rsidRDefault="00334812" w:rsidP="005A229D">
      <w:pPr>
        <w:spacing w:after="200" w:line="276" w:lineRule="auto"/>
        <w:rPr>
          <w:rFonts w:cs="Arial"/>
          <w:b/>
          <w:szCs w:val="20"/>
        </w:rPr>
      </w:pPr>
      <w:bookmarkStart w:id="69" w:name="_Ref499803396"/>
    </w:p>
    <w:p w14:paraId="0ECBE6E9" w14:textId="77777777" w:rsidR="005C4D1A" w:rsidRDefault="005C4D1A" w:rsidP="005A229D">
      <w:pPr>
        <w:spacing w:after="200" w:line="276" w:lineRule="auto"/>
        <w:rPr>
          <w:rFonts w:cs="Arial"/>
          <w:b/>
          <w:szCs w:val="20"/>
        </w:rPr>
      </w:pPr>
      <w:r w:rsidRPr="009212A9">
        <w:rPr>
          <w:rFonts w:cs="Arial"/>
          <w:b/>
          <w:szCs w:val="20"/>
        </w:rPr>
        <w:t xml:space="preserve">Table </w:t>
      </w:r>
      <w:r>
        <w:rPr>
          <w:rFonts w:cs="Arial"/>
          <w:b/>
          <w:szCs w:val="20"/>
        </w:rPr>
        <w:t>5</w:t>
      </w:r>
      <w:r w:rsidRPr="009212A9">
        <w:rPr>
          <w:rFonts w:cs="Arial"/>
          <w:b/>
          <w:szCs w:val="20"/>
        </w:rPr>
        <w:t xml:space="preserve">: </w:t>
      </w:r>
      <w:r w:rsidR="007575A9" w:rsidRPr="00D0156F">
        <w:rPr>
          <w:rFonts w:cs="Arial"/>
          <w:b/>
          <w:szCs w:val="20"/>
        </w:rPr>
        <w:t xml:space="preserve">Financial Estimates </w:t>
      </w:r>
      <w:r w:rsidR="007575A9" w:rsidRPr="00271553">
        <w:rPr>
          <w:rFonts w:cs="Arial"/>
          <w:b/>
          <w:szCs w:val="20"/>
        </w:rPr>
        <w:t xml:space="preserve">for </w:t>
      </w:r>
      <w:r w:rsidR="007D3384">
        <w:rPr>
          <w:rFonts w:cs="Arial"/>
          <w:b/>
          <w:szCs w:val="20"/>
        </w:rPr>
        <w:t>Licensing</w:t>
      </w:r>
      <w:r w:rsidRPr="00271553">
        <w:rPr>
          <w:rFonts w:cs="Arial"/>
          <w:b/>
          <w:szCs w:val="20"/>
        </w:rPr>
        <w:t xml:space="preserve"> </w:t>
      </w:r>
      <w:r w:rsidR="007575A9">
        <w:rPr>
          <w:rFonts w:cs="Arial"/>
          <w:b/>
          <w:szCs w:val="20"/>
        </w:rPr>
        <w:t>and Appointments Regulatory Charging Activity</w:t>
      </w:r>
    </w:p>
    <w:tbl>
      <w:tblPr>
        <w:tblStyle w:val="TableGrid"/>
        <w:tblW w:w="0" w:type="auto"/>
        <w:tblLayout w:type="fixed"/>
        <w:tblLook w:val="04A0" w:firstRow="1" w:lastRow="0" w:firstColumn="1" w:lastColumn="0" w:noHBand="0" w:noVBand="1"/>
      </w:tblPr>
      <w:tblGrid>
        <w:gridCol w:w="3256"/>
        <w:gridCol w:w="1559"/>
        <w:gridCol w:w="1418"/>
        <w:gridCol w:w="1418"/>
        <w:gridCol w:w="1418"/>
      </w:tblGrid>
      <w:tr w:rsidR="003F364A" w:rsidRPr="00D0156F" w14:paraId="4F04E3EE" w14:textId="76656078" w:rsidTr="003F364A">
        <w:trPr>
          <w:trHeight w:val="300"/>
          <w:tblHeader/>
        </w:trPr>
        <w:tc>
          <w:tcPr>
            <w:tcW w:w="9069" w:type="dxa"/>
            <w:gridSpan w:val="5"/>
            <w:shd w:val="clear" w:color="auto" w:fill="FF0000"/>
            <w:noWrap/>
            <w:hideMark/>
          </w:tcPr>
          <w:p w14:paraId="2A32C877" w14:textId="05FE43DD" w:rsidR="003F364A" w:rsidRPr="007575A9" w:rsidRDefault="003F364A" w:rsidP="005A229D">
            <w:pPr>
              <w:spacing w:before="60" w:after="60" w:line="276" w:lineRule="auto"/>
              <w:jc w:val="center"/>
              <w:rPr>
                <w:rFonts w:cs="Arial"/>
                <w:b/>
                <w:bCs/>
                <w:color w:val="FFFFFF" w:themeColor="background1"/>
                <w:szCs w:val="20"/>
              </w:rPr>
            </w:pPr>
            <w:bookmarkStart w:id="70" w:name="_Ref499803409"/>
            <w:bookmarkEnd w:id="69"/>
            <w:r w:rsidRPr="007575A9">
              <w:rPr>
                <w:rFonts w:cs="Arial"/>
                <w:b/>
                <w:bCs/>
                <w:color w:val="FFFFFF" w:themeColor="background1"/>
                <w:szCs w:val="20"/>
              </w:rPr>
              <w:t>Licensing and Appointments</w:t>
            </w:r>
          </w:p>
        </w:tc>
      </w:tr>
      <w:tr w:rsidR="003F364A" w:rsidRPr="00D0156F" w14:paraId="1E8F77C6" w14:textId="79415438" w:rsidTr="003F364A">
        <w:trPr>
          <w:trHeight w:val="300"/>
        </w:trPr>
        <w:tc>
          <w:tcPr>
            <w:tcW w:w="3256" w:type="dxa"/>
            <w:noWrap/>
            <w:hideMark/>
          </w:tcPr>
          <w:p w14:paraId="09A90F89" w14:textId="77777777" w:rsidR="003F364A" w:rsidRPr="00D0156F" w:rsidRDefault="003F364A" w:rsidP="00334812">
            <w:pPr>
              <w:spacing w:before="60" w:after="60" w:line="276" w:lineRule="auto"/>
              <w:rPr>
                <w:rFonts w:cs="Arial"/>
                <w:b/>
                <w:bCs/>
                <w:szCs w:val="20"/>
              </w:rPr>
            </w:pPr>
            <w:r w:rsidRPr="00D0156F">
              <w:rPr>
                <w:rFonts w:cs="Arial"/>
                <w:b/>
                <w:bCs/>
                <w:szCs w:val="20"/>
              </w:rPr>
              <w:t>$'000s</w:t>
            </w:r>
          </w:p>
        </w:tc>
        <w:tc>
          <w:tcPr>
            <w:tcW w:w="1559" w:type="dxa"/>
            <w:noWrap/>
          </w:tcPr>
          <w:p w14:paraId="7AC063CF" w14:textId="38FA3122" w:rsidR="003F364A" w:rsidRPr="00D0156F" w:rsidRDefault="003F364A" w:rsidP="00334812">
            <w:pPr>
              <w:spacing w:before="60" w:after="60" w:line="276" w:lineRule="auto"/>
              <w:jc w:val="center"/>
              <w:rPr>
                <w:rFonts w:cs="Arial"/>
                <w:b/>
                <w:bCs/>
                <w:szCs w:val="20"/>
              </w:rPr>
            </w:pPr>
            <w:r w:rsidRPr="00D0156F">
              <w:rPr>
                <w:rFonts w:cs="Arial"/>
                <w:b/>
                <w:bCs/>
                <w:szCs w:val="20"/>
              </w:rPr>
              <w:t>2021-22</w:t>
            </w:r>
          </w:p>
        </w:tc>
        <w:tc>
          <w:tcPr>
            <w:tcW w:w="1418" w:type="dxa"/>
            <w:noWrap/>
          </w:tcPr>
          <w:p w14:paraId="41C1E2DA" w14:textId="713BB765" w:rsidR="003F364A" w:rsidRPr="00D0156F" w:rsidRDefault="003F364A" w:rsidP="00334812">
            <w:pPr>
              <w:spacing w:before="60" w:after="60" w:line="276" w:lineRule="auto"/>
              <w:jc w:val="center"/>
              <w:rPr>
                <w:rFonts w:cs="Arial"/>
                <w:b/>
                <w:bCs/>
                <w:szCs w:val="20"/>
              </w:rPr>
            </w:pPr>
            <w:r>
              <w:rPr>
                <w:rFonts w:cs="Arial"/>
                <w:b/>
                <w:bCs/>
                <w:szCs w:val="20"/>
              </w:rPr>
              <w:t>2022-23</w:t>
            </w:r>
          </w:p>
        </w:tc>
        <w:tc>
          <w:tcPr>
            <w:tcW w:w="1418" w:type="dxa"/>
          </w:tcPr>
          <w:p w14:paraId="3017C31C" w14:textId="2AB45D4D" w:rsidR="003F364A" w:rsidRDefault="003F364A" w:rsidP="00334812">
            <w:pPr>
              <w:spacing w:before="60" w:after="60" w:line="276" w:lineRule="auto"/>
              <w:jc w:val="center"/>
              <w:rPr>
                <w:rFonts w:cs="Arial"/>
                <w:b/>
                <w:bCs/>
                <w:szCs w:val="20"/>
              </w:rPr>
            </w:pPr>
            <w:r>
              <w:rPr>
                <w:rFonts w:cs="Arial"/>
                <w:b/>
                <w:bCs/>
                <w:szCs w:val="20"/>
              </w:rPr>
              <w:t>2023-24</w:t>
            </w:r>
          </w:p>
        </w:tc>
        <w:tc>
          <w:tcPr>
            <w:tcW w:w="1418" w:type="dxa"/>
          </w:tcPr>
          <w:p w14:paraId="5A48E420" w14:textId="4ACD7DCA" w:rsidR="003F364A" w:rsidRDefault="003F364A" w:rsidP="003F364A">
            <w:pPr>
              <w:spacing w:before="60" w:after="60" w:line="276" w:lineRule="auto"/>
              <w:jc w:val="center"/>
              <w:rPr>
                <w:rFonts w:cs="Arial"/>
                <w:b/>
                <w:bCs/>
                <w:szCs w:val="20"/>
              </w:rPr>
            </w:pPr>
            <w:r>
              <w:rPr>
                <w:rFonts w:cs="Arial"/>
                <w:b/>
                <w:bCs/>
                <w:szCs w:val="20"/>
              </w:rPr>
              <w:t>2024-25</w:t>
            </w:r>
          </w:p>
        </w:tc>
      </w:tr>
      <w:tr w:rsidR="00365EEA" w:rsidRPr="00D0156F" w14:paraId="15D3C70B" w14:textId="39647C2A" w:rsidTr="003F364A">
        <w:trPr>
          <w:trHeight w:val="300"/>
        </w:trPr>
        <w:tc>
          <w:tcPr>
            <w:tcW w:w="3256" w:type="dxa"/>
            <w:noWrap/>
            <w:hideMark/>
          </w:tcPr>
          <w:p w14:paraId="00F2A041" w14:textId="1F64BFF8" w:rsidR="00365EEA" w:rsidRPr="007575A9" w:rsidRDefault="00365EEA" w:rsidP="00365EEA">
            <w:pPr>
              <w:spacing w:before="60" w:after="60" w:line="276" w:lineRule="auto"/>
              <w:rPr>
                <w:rFonts w:cs="Arial"/>
                <w:b/>
                <w:bCs/>
                <w:szCs w:val="20"/>
              </w:rPr>
            </w:pPr>
            <w:r w:rsidRPr="007575A9">
              <w:rPr>
                <w:b/>
              </w:rPr>
              <w:t>Expenses</w:t>
            </w:r>
          </w:p>
        </w:tc>
        <w:tc>
          <w:tcPr>
            <w:tcW w:w="1559" w:type="dxa"/>
          </w:tcPr>
          <w:p w14:paraId="055AD402" w14:textId="401191A3" w:rsidR="00365EEA" w:rsidRPr="00D0156F" w:rsidRDefault="00365EEA" w:rsidP="00365EEA">
            <w:pPr>
              <w:spacing w:before="60" w:after="60" w:line="276" w:lineRule="auto"/>
              <w:jc w:val="center"/>
              <w:rPr>
                <w:rFonts w:cs="Arial"/>
                <w:szCs w:val="20"/>
              </w:rPr>
            </w:pPr>
            <w:r w:rsidRPr="009F708E">
              <w:t>$688</w:t>
            </w:r>
          </w:p>
        </w:tc>
        <w:tc>
          <w:tcPr>
            <w:tcW w:w="1418" w:type="dxa"/>
          </w:tcPr>
          <w:p w14:paraId="0883FB11" w14:textId="720A70A3" w:rsidR="00365EEA" w:rsidRPr="00D0156F" w:rsidRDefault="00365EEA" w:rsidP="00365EEA">
            <w:pPr>
              <w:spacing w:before="60" w:after="60" w:line="276" w:lineRule="auto"/>
              <w:jc w:val="center"/>
              <w:rPr>
                <w:rFonts w:cs="Arial"/>
                <w:szCs w:val="20"/>
              </w:rPr>
            </w:pPr>
            <w:r w:rsidRPr="009F708E">
              <w:t>$704</w:t>
            </w:r>
          </w:p>
        </w:tc>
        <w:tc>
          <w:tcPr>
            <w:tcW w:w="1418" w:type="dxa"/>
          </w:tcPr>
          <w:p w14:paraId="428BDCED" w14:textId="5588DAD3" w:rsidR="00365EEA" w:rsidRPr="0054408F" w:rsidRDefault="00365EEA" w:rsidP="00365EEA">
            <w:pPr>
              <w:spacing w:before="60" w:after="60" w:line="276" w:lineRule="auto"/>
              <w:jc w:val="center"/>
              <w:rPr>
                <w:highlight w:val="yellow"/>
              </w:rPr>
            </w:pPr>
            <w:r w:rsidRPr="009F708E">
              <w:t>$721</w:t>
            </w:r>
          </w:p>
        </w:tc>
        <w:tc>
          <w:tcPr>
            <w:tcW w:w="1418" w:type="dxa"/>
          </w:tcPr>
          <w:p w14:paraId="5EFC173F" w14:textId="6AB61E5E" w:rsidR="00365EEA" w:rsidRPr="0054408F" w:rsidRDefault="00365EEA" w:rsidP="00365EEA">
            <w:pPr>
              <w:spacing w:before="60" w:after="60" w:line="276" w:lineRule="auto"/>
              <w:jc w:val="center"/>
              <w:rPr>
                <w:highlight w:val="yellow"/>
              </w:rPr>
            </w:pPr>
            <w:r w:rsidRPr="009F708E">
              <w:t>$737</w:t>
            </w:r>
          </w:p>
        </w:tc>
      </w:tr>
      <w:tr w:rsidR="00365EEA" w:rsidRPr="00B20B8F" w14:paraId="55B815FE" w14:textId="0814AA60" w:rsidTr="003F364A">
        <w:trPr>
          <w:trHeight w:val="300"/>
        </w:trPr>
        <w:tc>
          <w:tcPr>
            <w:tcW w:w="3256" w:type="dxa"/>
            <w:noWrap/>
            <w:hideMark/>
          </w:tcPr>
          <w:p w14:paraId="7887B7E0" w14:textId="77777777" w:rsidR="00365EEA" w:rsidRPr="00B20B8F" w:rsidRDefault="00365EEA" w:rsidP="00365EEA">
            <w:pPr>
              <w:spacing w:before="60" w:after="60" w:line="276" w:lineRule="auto"/>
              <w:rPr>
                <w:rFonts w:cs="Arial"/>
                <w:b/>
                <w:bCs/>
                <w:szCs w:val="20"/>
              </w:rPr>
            </w:pPr>
            <w:r w:rsidRPr="00B20B8F">
              <w:rPr>
                <w:b/>
              </w:rPr>
              <w:t>Revenue Total</w:t>
            </w:r>
          </w:p>
        </w:tc>
        <w:tc>
          <w:tcPr>
            <w:tcW w:w="1559" w:type="dxa"/>
          </w:tcPr>
          <w:p w14:paraId="414626A2" w14:textId="14E941F2" w:rsidR="00365EEA" w:rsidRPr="00B20B8F" w:rsidRDefault="00365EEA" w:rsidP="00365EEA">
            <w:pPr>
              <w:spacing w:before="60" w:after="60" w:line="276" w:lineRule="auto"/>
              <w:jc w:val="center"/>
              <w:rPr>
                <w:rFonts w:cs="Arial"/>
                <w:b/>
                <w:szCs w:val="20"/>
              </w:rPr>
            </w:pPr>
            <w:r w:rsidRPr="00B20B8F">
              <w:rPr>
                <w:b/>
              </w:rPr>
              <w:t>$505</w:t>
            </w:r>
          </w:p>
        </w:tc>
        <w:tc>
          <w:tcPr>
            <w:tcW w:w="1418" w:type="dxa"/>
          </w:tcPr>
          <w:p w14:paraId="3B44FE5A" w14:textId="5EE19B4F" w:rsidR="00365EEA" w:rsidRPr="00B20B8F" w:rsidRDefault="00365EEA" w:rsidP="00365EEA">
            <w:pPr>
              <w:spacing w:before="60" w:after="60" w:line="276" w:lineRule="auto"/>
              <w:jc w:val="center"/>
              <w:rPr>
                <w:rFonts w:cs="Arial"/>
                <w:b/>
                <w:szCs w:val="20"/>
              </w:rPr>
            </w:pPr>
            <w:r w:rsidRPr="00B20B8F">
              <w:rPr>
                <w:b/>
              </w:rPr>
              <w:t>$762</w:t>
            </w:r>
          </w:p>
        </w:tc>
        <w:tc>
          <w:tcPr>
            <w:tcW w:w="1418" w:type="dxa"/>
          </w:tcPr>
          <w:p w14:paraId="4E8A30D5" w14:textId="54F2B2F4" w:rsidR="00365EEA" w:rsidRPr="00B20B8F" w:rsidRDefault="00365EEA" w:rsidP="00365EEA">
            <w:pPr>
              <w:spacing w:before="60" w:after="60" w:line="276" w:lineRule="auto"/>
              <w:jc w:val="center"/>
              <w:rPr>
                <w:b/>
                <w:highlight w:val="yellow"/>
              </w:rPr>
            </w:pPr>
            <w:r w:rsidRPr="00B20B8F">
              <w:rPr>
                <w:b/>
              </w:rPr>
              <w:t>$732</w:t>
            </w:r>
          </w:p>
        </w:tc>
        <w:tc>
          <w:tcPr>
            <w:tcW w:w="1418" w:type="dxa"/>
          </w:tcPr>
          <w:p w14:paraId="1BD8DA3A" w14:textId="012AF453" w:rsidR="00365EEA" w:rsidRPr="00B20B8F" w:rsidRDefault="00365EEA" w:rsidP="00365EEA">
            <w:pPr>
              <w:spacing w:before="60" w:after="60" w:line="276" w:lineRule="auto"/>
              <w:jc w:val="center"/>
              <w:rPr>
                <w:b/>
                <w:highlight w:val="yellow"/>
              </w:rPr>
            </w:pPr>
            <w:r w:rsidRPr="00B20B8F">
              <w:rPr>
                <w:b/>
              </w:rPr>
              <w:t>$670</w:t>
            </w:r>
          </w:p>
        </w:tc>
      </w:tr>
      <w:tr w:rsidR="00365EEA" w:rsidRPr="00D0156F" w14:paraId="1A713F62" w14:textId="6938A322" w:rsidTr="003F364A">
        <w:trPr>
          <w:trHeight w:val="300"/>
        </w:trPr>
        <w:tc>
          <w:tcPr>
            <w:tcW w:w="3256" w:type="dxa"/>
            <w:noWrap/>
          </w:tcPr>
          <w:p w14:paraId="1230A770" w14:textId="77777777" w:rsidR="00365EEA" w:rsidRPr="00D0156F" w:rsidRDefault="00365EEA" w:rsidP="00365EEA">
            <w:pPr>
              <w:spacing w:before="60" w:after="60" w:line="276" w:lineRule="auto"/>
              <w:rPr>
                <w:rFonts w:cs="Arial"/>
                <w:b/>
                <w:bCs/>
                <w:szCs w:val="20"/>
              </w:rPr>
            </w:pPr>
            <w:r>
              <w:t xml:space="preserve">      </w:t>
            </w:r>
            <w:r w:rsidRPr="004B53E2">
              <w:t>Servicing Licences</w:t>
            </w:r>
          </w:p>
        </w:tc>
        <w:tc>
          <w:tcPr>
            <w:tcW w:w="1559" w:type="dxa"/>
          </w:tcPr>
          <w:p w14:paraId="24418A51" w14:textId="597352E3" w:rsidR="00365EEA" w:rsidRPr="00D0156F" w:rsidRDefault="00365EEA" w:rsidP="00365EEA">
            <w:pPr>
              <w:spacing w:before="60" w:after="60" w:line="276" w:lineRule="auto"/>
              <w:jc w:val="center"/>
              <w:rPr>
                <w:rFonts w:cs="Arial"/>
                <w:szCs w:val="20"/>
              </w:rPr>
            </w:pPr>
            <w:r w:rsidRPr="009F708E">
              <w:t>$412</w:t>
            </w:r>
          </w:p>
        </w:tc>
        <w:tc>
          <w:tcPr>
            <w:tcW w:w="1418" w:type="dxa"/>
          </w:tcPr>
          <w:p w14:paraId="016407E4" w14:textId="7F1413E4" w:rsidR="00365EEA" w:rsidRPr="00D0156F" w:rsidRDefault="00365EEA" w:rsidP="00365EEA">
            <w:pPr>
              <w:spacing w:before="60" w:after="60" w:line="276" w:lineRule="auto"/>
              <w:jc w:val="center"/>
              <w:rPr>
                <w:rFonts w:cs="Arial"/>
                <w:szCs w:val="20"/>
              </w:rPr>
            </w:pPr>
            <w:r w:rsidRPr="009F708E">
              <w:t>$556</w:t>
            </w:r>
          </w:p>
        </w:tc>
        <w:tc>
          <w:tcPr>
            <w:tcW w:w="1418" w:type="dxa"/>
          </w:tcPr>
          <w:p w14:paraId="2229F8A0" w14:textId="3F2C07CC" w:rsidR="00365EEA" w:rsidRPr="0054408F" w:rsidRDefault="00365EEA" w:rsidP="00365EEA">
            <w:pPr>
              <w:spacing w:before="60" w:after="60" w:line="276" w:lineRule="auto"/>
              <w:jc w:val="center"/>
              <w:rPr>
                <w:highlight w:val="yellow"/>
              </w:rPr>
            </w:pPr>
            <w:r w:rsidRPr="009F708E">
              <w:t>$540</w:t>
            </w:r>
          </w:p>
        </w:tc>
        <w:tc>
          <w:tcPr>
            <w:tcW w:w="1418" w:type="dxa"/>
          </w:tcPr>
          <w:p w14:paraId="3CD734CE" w14:textId="3F36BE38" w:rsidR="00365EEA" w:rsidRPr="0054408F" w:rsidRDefault="00365EEA" w:rsidP="00365EEA">
            <w:pPr>
              <w:spacing w:before="60" w:after="60" w:line="276" w:lineRule="auto"/>
              <w:jc w:val="center"/>
              <w:rPr>
                <w:highlight w:val="yellow"/>
              </w:rPr>
            </w:pPr>
            <w:r w:rsidRPr="009F708E">
              <w:t>$470</w:t>
            </w:r>
          </w:p>
        </w:tc>
      </w:tr>
      <w:tr w:rsidR="00365EEA" w:rsidRPr="00D0156F" w14:paraId="07BA3FC5" w14:textId="27119A6E" w:rsidTr="003F364A">
        <w:trPr>
          <w:trHeight w:val="300"/>
        </w:trPr>
        <w:tc>
          <w:tcPr>
            <w:tcW w:w="3256" w:type="dxa"/>
            <w:noWrap/>
          </w:tcPr>
          <w:p w14:paraId="05994448" w14:textId="77777777" w:rsidR="00365EEA" w:rsidRPr="00D0156F" w:rsidRDefault="00365EEA" w:rsidP="00365EEA">
            <w:pPr>
              <w:spacing w:before="60" w:after="60" w:line="276" w:lineRule="auto"/>
              <w:rPr>
                <w:rFonts w:cs="Arial"/>
                <w:b/>
                <w:bCs/>
                <w:szCs w:val="20"/>
              </w:rPr>
            </w:pPr>
            <w:r>
              <w:t xml:space="preserve">      </w:t>
            </w:r>
            <w:r w:rsidRPr="004B53E2">
              <w:t>Public Weighbridge Licences</w:t>
            </w:r>
          </w:p>
        </w:tc>
        <w:tc>
          <w:tcPr>
            <w:tcW w:w="1559" w:type="dxa"/>
          </w:tcPr>
          <w:p w14:paraId="3A3B6934" w14:textId="64918FA7" w:rsidR="00365EEA" w:rsidRPr="00D0156F" w:rsidRDefault="00365EEA" w:rsidP="00365EEA">
            <w:pPr>
              <w:spacing w:before="60" w:after="60" w:line="276" w:lineRule="auto"/>
              <w:jc w:val="center"/>
              <w:rPr>
                <w:rFonts w:cs="Arial"/>
                <w:szCs w:val="20"/>
              </w:rPr>
            </w:pPr>
            <w:r w:rsidRPr="009F708E">
              <w:t>$22</w:t>
            </w:r>
          </w:p>
        </w:tc>
        <w:tc>
          <w:tcPr>
            <w:tcW w:w="1418" w:type="dxa"/>
          </w:tcPr>
          <w:p w14:paraId="143FB521" w14:textId="38CD680F" w:rsidR="00365EEA" w:rsidRPr="00D0156F" w:rsidRDefault="00365EEA" w:rsidP="00365EEA">
            <w:pPr>
              <w:spacing w:before="60" w:after="60" w:line="276" w:lineRule="auto"/>
              <w:jc w:val="center"/>
              <w:rPr>
                <w:rFonts w:cs="Arial"/>
                <w:szCs w:val="20"/>
              </w:rPr>
            </w:pPr>
            <w:r w:rsidRPr="009F708E">
              <w:t>$126</w:t>
            </w:r>
          </w:p>
        </w:tc>
        <w:tc>
          <w:tcPr>
            <w:tcW w:w="1418" w:type="dxa"/>
          </w:tcPr>
          <w:p w14:paraId="4477A558" w14:textId="01E321E2" w:rsidR="00365EEA" w:rsidRPr="0054408F" w:rsidRDefault="00365EEA" w:rsidP="00365EEA">
            <w:pPr>
              <w:spacing w:before="60" w:after="60" w:line="276" w:lineRule="auto"/>
              <w:jc w:val="center"/>
              <w:rPr>
                <w:highlight w:val="yellow"/>
              </w:rPr>
            </w:pPr>
            <w:r w:rsidRPr="009F708E">
              <w:t>$112</w:t>
            </w:r>
          </w:p>
        </w:tc>
        <w:tc>
          <w:tcPr>
            <w:tcW w:w="1418" w:type="dxa"/>
          </w:tcPr>
          <w:p w14:paraId="695E2E66" w14:textId="2B79D5A5" w:rsidR="00365EEA" w:rsidRPr="0054408F" w:rsidRDefault="00365EEA" w:rsidP="00365EEA">
            <w:pPr>
              <w:spacing w:before="60" w:after="60" w:line="276" w:lineRule="auto"/>
              <w:jc w:val="center"/>
              <w:rPr>
                <w:highlight w:val="yellow"/>
              </w:rPr>
            </w:pPr>
            <w:r w:rsidRPr="009F708E">
              <w:t>$120</w:t>
            </w:r>
          </w:p>
        </w:tc>
      </w:tr>
      <w:tr w:rsidR="00365EEA" w:rsidRPr="00D0156F" w14:paraId="28631671" w14:textId="5D26E0FC" w:rsidTr="003F364A">
        <w:trPr>
          <w:trHeight w:val="300"/>
        </w:trPr>
        <w:tc>
          <w:tcPr>
            <w:tcW w:w="3256" w:type="dxa"/>
            <w:noWrap/>
          </w:tcPr>
          <w:p w14:paraId="0F2D1CA5" w14:textId="77777777" w:rsidR="00365EEA" w:rsidRPr="00D0156F" w:rsidRDefault="00365EEA" w:rsidP="00365EEA">
            <w:pPr>
              <w:spacing w:before="60" w:after="60" w:line="276" w:lineRule="auto"/>
              <w:rPr>
                <w:rFonts w:cs="Arial"/>
                <w:b/>
                <w:bCs/>
                <w:szCs w:val="20"/>
              </w:rPr>
            </w:pPr>
            <w:r>
              <w:t xml:space="preserve">      </w:t>
            </w:r>
            <w:r w:rsidRPr="004B53E2">
              <w:t>Appointments</w:t>
            </w:r>
          </w:p>
        </w:tc>
        <w:tc>
          <w:tcPr>
            <w:tcW w:w="1559" w:type="dxa"/>
          </w:tcPr>
          <w:p w14:paraId="235BFFA3" w14:textId="07BAE0CC" w:rsidR="00365EEA" w:rsidRPr="00D0156F" w:rsidRDefault="00365EEA" w:rsidP="00365EEA">
            <w:pPr>
              <w:spacing w:before="60" w:after="60" w:line="276" w:lineRule="auto"/>
              <w:jc w:val="center"/>
              <w:rPr>
                <w:rFonts w:cs="Arial"/>
                <w:szCs w:val="20"/>
              </w:rPr>
            </w:pPr>
            <w:r w:rsidRPr="009F708E">
              <w:t>$71</w:t>
            </w:r>
          </w:p>
        </w:tc>
        <w:tc>
          <w:tcPr>
            <w:tcW w:w="1418" w:type="dxa"/>
          </w:tcPr>
          <w:p w14:paraId="1B6AE171" w14:textId="0CEE974B" w:rsidR="00365EEA" w:rsidRPr="00D0156F" w:rsidRDefault="00365EEA" w:rsidP="00365EEA">
            <w:pPr>
              <w:spacing w:before="60" w:after="60" w:line="276" w:lineRule="auto"/>
              <w:jc w:val="center"/>
              <w:rPr>
                <w:rFonts w:cs="Arial"/>
                <w:szCs w:val="20"/>
              </w:rPr>
            </w:pPr>
            <w:r w:rsidRPr="009F708E">
              <w:t>$80</w:t>
            </w:r>
          </w:p>
        </w:tc>
        <w:tc>
          <w:tcPr>
            <w:tcW w:w="1418" w:type="dxa"/>
          </w:tcPr>
          <w:p w14:paraId="0311C4DE" w14:textId="747E5E91" w:rsidR="00365EEA" w:rsidRPr="0054408F" w:rsidRDefault="00365EEA" w:rsidP="00365EEA">
            <w:pPr>
              <w:spacing w:before="60" w:after="60" w:line="276" w:lineRule="auto"/>
              <w:jc w:val="center"/>
              <w:rPr>
                <w:highlight w:val="yellow"/>
              </w:rPr>
            </w:pPr>
            <w:r w:rsidRPr="009F708E">
              <w:t>$80</w:t>
            </w:r>
          </w:p>
        </w:tc>
        <w:tc>
          <w:tcPr>
            <w:tcW w:w="1418" w:type="dxa"/>
          </w:tcPr>
          <w:p w14:paraId="37920CE6" w14:textId="04089DDA" w:rsidR="00365EEA" w:rsidRPr="0054408F" w:rsidRDefault="00365EEA" w:rsidP="00365EEA">
            <w:pPr>
              <w:spacing w:before="60" w:after="60" w:line="276" w:lineRule="auto"/>
              <w:jc w:val="center"/>
              <w:rPr>
                <w:highlight w:val="yellow"/>
              </w:rPr>
            </w:pPr>
            <w:r w:rsidRPr="009F708E">
              <w:t>$80</w:t>
            </w:r>
          </w:p>
        </w:tc>
      </w:tr>
      <w:tr w:rsidR="00365EEA" w:rsidRPr="00D0156F" w14:paraId="184BB2B3" w14:textId="790595DD" w:rsidTr="003F364A">
        <w:trPr>
          <w:trHeight w:val="300"/>
        </w:trPr>
        <w:tc>
          <w:tcPr>
            <w:tcW w:w="3256" w:type="dxa"/>
            <w:noWrap/>
            <w:hideMark/>
          </w:tcPr>
          <w:p w14:paraId="7C60B6B4" w14:textId="77777777" w:rsidR="00365EEA" w:rsidRPr="00365EEA" w:rsidRDefault="00365EEA" w:rsidP="00365EEA">
            <w:pPr>
              <w:spacing w:before="60" w:after="60" w:line="276" w:lineRule="auto"/>
              <w:rPr>
                <w:rFonts w:cs="Arial"/>
                <w:b/>
                <w:bCs/>
                <w:szCs w:val="20"/>
              </w:rPr>
            </w:pPr>
            <w:r w:rsidRPr="00365EEA">
              <w:rPr>
                <w:b/>
              </w:rPr>
              <w:t>Balance</w:t>
            </w:r>
          </w:p>
        </w:tc>
        <w:tc>
          <w:tcPr>
            <w:tcW w:w="1559" w:type="dxa"/>
          </w:tcPr>
          <w:p w14:paraId="3D59B1A8" w14:textId="5D650422" w:rsidR="00365EEA" w:rsidRPr="00D0156F" w:rsidRDefault="00365EEA" w:rsidP="00365EEA">
            <w:pPr>
              <w:spacing w:before="60" w:after="60" w:line="276" w:lineRule="auto"/>
              <w:jc w:val="center"/>
              <w:rPr>
                <w:rFonts w:cs="Arial"/>
                <w:szCs w:val="20"/>
              </w:rPr>
            </w:pPr>
            <w:r w:rsidRPr="009F708E">
              <w:t>-$183</w:t>
            </w:r>
          </w:p>
        </w:tc>
        <w:tc>
          <w:tcPr>
            <w:tcW w:w="1418" w:type="dxa"/>
          </w:tcPr>
          <w:p w14:paraId="35015200" w14:textId="00F9BE42" w:rsidR="00365EEA" w:rsidRPr="00D0156F" w:rsidRDefault="00365EEA" w:rsidP="00365EEA">
            <w:pPr>
              <w:spacing w:before="60" w:after="60" w:line="276" w:lineRule="auto"/>
              <w:jc w:val="center"/>
              <w:rPr>
                <w:rFonts w:cs="Arial"/>
                <w:szCs w:val="20"/>
              </w:rPr>
            </w:pPr>
            <w:r w:rsidRPr="009F708E">
              <w:t>$58</w:t>
            </w:r>
          </w:p>
        </w:tc>
        <w:tc>
          <w:tcPr>
            <w:tcW w:w="1418" w:type="dxa"/>
          </w:tcPr>
          <w:p w14:paraId="0E448FEF" w14:textId="34559A19" w:rsidR="00365EEA" w:rsidRPr="0054408F" w:rsidRDefault="00365EEA" w:rsidP="00365EEA">
            <w:pPr>
              <w:spacing w:before="60" w:after="60" w:line="276" w:lineRule="auto"/>
              <w:jc w:val="center"/>
              <w:rPr>
                <w:highlight w:val="yellow"/>
              </w:rPr>
            </w:pPr>
            <w:r w:rsidRPr="009F708E">
              <w:t>$11</w:t>
            </w:r>
          </w:p>
        </w:tc>
        <w:tc>
          <w:tcPr>
            <w:tcW w:w="1418" w:type="dxa"/>
          </w:tcPr>
          <w:p w14:paraId="665335F8" w14:textId="16DEBF46" w:rsidR="00365EEA" w:rsidRPr="0054408F" w:rsidRDefault="00365EEA" w:rsidP="00365EEA">
            <w:pPr>
              <w:spacing w:before="60" w:after="60" w:line="276" w:lineRule="auto"/>
              <w:jc w:val="center"/>
              <w:rPr>
                <w:highlight w:val="yellow"/>
              </w:rPr>
            </w:pPr>
            <w:r w:rsidRPr="009F708E">
              <w:t>-$67</w:t>
            </w:r>
          </w:p>
        </w:tc>
      </w:tr>
      <w:tr w:rsidR="00365EEA" w:rsidRPr="00D0156F" w14:paraId="2B193ABA" w14:textId="214A6082" w:rsidTr="003F364A">
        <w:trPr>
          <w:trHeight w:val="300"/>
        </w:trPr>
        <w:tc>
          <w:tcPr>
            <w:tcW w:w="3256" w:type="dxa"/>
            <w:noWrap/>
            <w:hideMark/>
          </w:tcPr>
          <w:p w14:paraId="2B1341E3" w14:textId="77777777" w:rsidR="00365EEA" w:rsidRPr="00365EEA" w:rsidRDefault="00365EEA" w:rsidP="00365EEA">
            <w:pPr>
              <w:spacing w:before="60" w:after="60" w:line="276" w:lineRule="auto"/>
              <w:rPr>
                <w:rFonts w:cs="Arial"/>
                <w:b/>
                <w:bCs/>
                <w:szCs w:val="20"/>
              </w:rPr>
            </w:pPr>
            <w:r w:rsidRPr="00365EEA">
              <w:rPr>
                <w:b/>
              </w:rPr>
              <w:t>Cumulative balance</w:t>
            </w:r>
          </w:p>
        </w:tc>
        <w:tc>
          <w:tcPr>
            <w:tcW w:w="1559" w:type="dxa"/>
          </w:tcPr>
          <w:p w14:paraId="77C3D5CA" w14:textId="50C1ED7D" w:rsidR="00365EEA" w:rsidRPr="00D0156F" w:rsidRDefault="00365EEA" w:rsidP="00365EEA">
            <w:pPr>
              <w:spacing w:before="60" w:after="60" w:line="276" w:lineRule="auto"/>
              <w:jc w:val="center"/>
              <w:rPr>
                <w:rFonts w:cs="Arial"/>
                <w:szCs w:val="20"/>
              </w:rPr>
            </w:pPr>
            <w:r w:rsidRPr="009F708E">
              <w:t>-$183</w:t>
            </w:r>
          </w:p>
        </w:tc>
        <w:tc>
          <w:tcPr>
            <w:tcW w:w="1418" w:type="dxa"/>
          </w:tcPr>
          <w:p w14:paraId="2EEDA52A" w14:textId="102B396C" w:rsidR="00365EEA" w:rsidRPr="00D0156F" w:rsidRDefault="00365EEA" w:rsidP="00365EEA">
            <w:pPr>
              <w:spacing w:before="60" w:after="60" w:line="276" w:lineRule="auto"/>
              <w:jc w:val="center"/>
              <w:rPr>
                <w:rFonts w:cs="Arial"/>
                <w:szCs w:val="20"/>
              </w:rPr>
            </w:pPr>
            <w:r w:rsidRPr="009F708E">
              <w:t>-$126</w:t>
            </w:r>
          </w:p>
        </w:tc>
        <w:tc>
          <w:tcPr>
            <w:tcW w:w="1418" w:type="dxa"/>
          </w:tcPr>
          <w:p w14:paraId="33F0BD0A" w14:textId="5F457DA7" w:rsidR="00365EEA" w:rsidRPr="0054408F" w:rsidRDefault="00365EEA" w:rsidP="00365EEA">
            <w:pPr>
              <w:spacing w:before="60" w:after="60" w:line="276" w:lineRule="auto"/>
              <w:jc w:val="center"/>
              <w:rPr>
                <w:highlight w:val="yellow"/>
              </w:rPr>
            </w:pPr>
            <w:r w:rsidRPr="009F708E">
              <w:t>-$114</w:t>
            </w:r>
          </w:p>
        </w:tc>
        <w:tc>
          <w:tcPr>
            <w:tcW w:w="1418" w:type="dxa"/>
          </w:tcPr>
          <w:p w14:paraId="3D6526E8" w14:textId="750C111F" w:rsidR="00365EEA" w:rsidRPr="0054408F" w:rsidRDefault="00365EEA" w:rsidP="00365EEA">
            <w:pPr>
              <w:spacing w:before="60" w:after="60" w:line="276" w:lineRule="auto"/>
              <w:jc w:val="center"/>
              <w:rPr>
                <w:highlight w:val="yellow"/>
              </w:rPr>
            </w:pPr>
            <w:r w:rsidRPr="009F708E">
              <w:t>-$181</w:t>
            </w:r>
          </w:p>
        </w:tc>
      </w:tr>
      <w:bookmarkEnd w:id="70"/>
    </w:tbl>
    <w:p w14:paraId="01EEB8D5" w14:textId="77777777" w:rsidR="007D3384" w:rsidRDefault="007D3384" w:rsidP="00F65B72">
      <w:pPr>
        <w:spacing w:after="200" w:line="276" w:lineRule="auto"/>
        <w:rPr>
          <w:rFonts w:cs="Arial"/>
          <w:szCs w:val="20"/>
          <w:lang w:val="en-US"/>
        </w:rPr>
      </w:pPr>
    </w:p>
    <w:p w14:paraId="3E356CE4" w14:textId="77777777" w:rsidR="007D3384" w:rsidRDefault="00553DFC" w:rsidP="007D3384">
      <w:pPr>
        <w:jc w:val="center"/>
        <w:rPr>
          <w:rFonts w:cs="Arial"/>
          <w:szCs w:val="20"/>
          <w:lang w:val="en-US"/>
        </w:rPr>
      </w:pPr>
      <w:r>
        <w:rPr>
          <w:rFonts w:cs="Arial"/>
          <w:szCs w:val="20"/>
          <w:lang w:val="en-US"/>
        </w:rPr>
        <w:tab/>
      </w:r>
    </w:p>
    <w:p w14:paraId="229F326F" w14:textId="77777777" w:rsidR="00C3105B" w:rsidRDefault="007575A9" w:rsidP="00C3105B">
      <w:pPr>
        <w:spacing w:before="120" w:line="276" w:lineRule="auto"/>
        <w:rPr>
          <w:rFonts w:cs="Arial"/>
          <w:b/>
          <w:szCs w:val="20"/>
        </w:rPr>
      </w:pPr>
      <w:r>
        <w:rPr>
          <w:rFonts w:cs="Arial"/>
          <w:b/>
          <w:szCs w:val="20"/>
        </w:rPr>
        <w:t>T</w:t>
      </w:r>
      <w:r w:rsidR="00C3105B" w:rsidRPr="009212A9">
        <w:rPr>
          <w:rFonts w:cs="Arial"/>
          <w:b/>
          <w:szCs w:val="20"/>
        </w:rPr>
        <w:t xml:space="preserve">able </w:t>
      </w:r>
      <w:r w:rsidR="00533AB6">
        <w:rPr>
          <w:rFonts w:cs="Arial"/>
          <w:b/>
          <w:szCs w:val="20"/>
        </w:rPr>
        <w:t>6</w:t>
      </w:r>
      <w:r w:rsidR="00C3105B" w:rsidRPr="009212A9">
        <w:rPr>
          <w:rFonts w:cs="Arial"/>
          <w:b/>
          <w:szCs w:val="20"/>
        </w:rPr>
        <w:t xml:space="preserve">: </w:t>
      </w:r>
      <w:r w:rsidR="00C3105B" w:rsidRPr="00C3105B">
        <w:rPr>
          <w:rFonts w:cs="Arial"/>
          <w:b/>
          <w:szCs w:val="20"/>
        </w:rPr>
        <w:t>Projected revenue increases based on 2018-19 baseline against budget paper forecasts</w:t>
      </w:r>
    </w:p>
    <w:tbl>
      <w:tblPr>
        <w:tblStyle w:val="TableGrid"/>
        <w:tblW w:w="0" w:type="auto"/>
        <w:tblLayout w:type="fixed"/>
        <w:tblLook w:val="04A0" w:firstRow="1" w:lastRow="0" w:firstColumn="1" w:lastColumn="0" w:noHBand="0" w:noVBand="1"/>
      </w:tblPr>
      <w:tblGrid>
        <w:gridCol w:w="3256"/>
        <w:gridCol w:w="1559"/>
        <w:gridCol w:w="1559"/>
        <w:gridCol w:w="1418"/>
      </w:tblGrid>
      <w:tr w:rsidR="0054408F" w:rsidRPr="007575A9" w14:paraId="59617335" w14:textId="77777777" w:rsidTr="0054408F">
        <w:trPr>
          <w:trHeight w:val="300"/>
        </w:trPr>
        <w:tc>
          <w:tcPr>
            <w:tcW w:w="7792" w:type="dxa"/>
            <w:gridSpan w:val="4"/>
            <w:shd w:val="clear" w:color="auto" w:fill="FF0000"/>
            <w:noWrap/>
          </w:tcPr>
          <w:p w14:paraId="550F32D7" w14:textId="77777777" w:rsidR="0054408F" w:rsidRPr="007575A9" w:rsidRDefault="0054408F" w:rsidP="00F65B72">
            <w:pPr>
              <w:spacing w:before="60" w:after="60" w:line="276" w:lineRule="auto"/>
              <w:jc w:val="center"/>
              <w:rPr>
                <w:rFonts w:cs="Arial"/>
                <w:b/>
                <w:bCs/>
                <w:szCs w:val="20"/>
              </w:rPr>
            </w:pPr>
            <w:r>
              <w:rPr>
                <w:rFonts w:cs="Arial"/>
                <w:b/>
                <w:bCs/>
                <w:color w:val="FFFFFF" w:themeColor="background1"/>
                <w:szCs w:val="20"/>
              </w:rPr>
              <w:t>Projected Revenue</w:t>
            </w:r>
          </w:p>
        </w:tc>
      </w:tr>
      <w:tr w:rsidR="00911083" w:rsidRPr="007575A9" w14:paraId="2058D389" w14:textId="77777777" w:rsidTr="0054408F">
        <w:trPr>
          <w:trHeight w:val="300"/>
        </w:trPr>
        <w:tc>
          <w:tcPr>
            <w:tcW w:w="3256" w:type="dxa"/>
            <w:noWrap/>
            <w:hideMark/>
          </w:tcPr>
          <w:p w14:paraId="0A8D8CDA" w14:textId="77777777" w:rsidR="00911083" w:rsidRPr="007575A9" w:rsidRDefault="00911083" w:rsidP="00911083">
            <w:pPr>
              <w:spacing w:before="60" w:after="60" w:line="276" w:lineRule="auto"/>
              <w:rPr>
                <w:rFonts w:cs="Arial"/>
                <w:b/>
                <w:bCs/>
                <w:szCs w:val="20"/>
              </w:rPr>
            </w:pPr>
            <w:r w:rsidRPr="007575A9">
              <w:rPr>
                <w:rFonts w:cs="Arial"/>
                <w:b/>
                <w:bCs/>
                <w:szCs w:val="20"/>
              </w:rPr>
              <w:t>$'000s</w:t>
            </w:r>
          </w:p>
        </w:tc>
        <w:tc>
          <w:tcPr>
            <w:tcW w:w="1559" w:type="dxa"/>
            <w:noWrap/>
          </w:tcPr>
          <w:p w14:paraId="73613D71" w14:textId="6E909AAD" w:rsidR="00911083" w:rsidRPr="007575A9" w:rsidRDefault="00911083" w:rsidP="00911083">
            <w:pPr>
              <w:spacing w:before="60" w:after="60" w:line="276" w:lineRule="auto"/>
              <w:jc w:val="center"/>
              <w:rPr>
                <w:rFonts w:cs="Arial"/>
                <w:b/>
                <w:bCs/>
                <w:szCs w:val="20"/>
              </w:rPr>
            </w:pPr>
            <w:r>
              <w:rPr>
                <w:rFonts w:cs="Arial"/>
                <w:b/>
                <w:bCs/>
                <w:szCs w:val="20"/>
              </w:rPr>
              <w:t>2021-22</w:t>
            </w:r>
          </w:p>
        </w:tc>
        <w:tc>
          <w:tcPr>
            <w:tcW w:w="1559" w:type="dxa"/>
            <w:noWrap/>
          </w:tcPr>
          <w:p w14:paraId="747F055E" w14:textId="341AC43C" w:rsidR="00911083" w:rsidRPr="007575A9" w:rsidRDefault="00911083" w:rsidP="00911083">
            <w:pPr>
              <w:spacing w:before="60" w:after="60" w:line="276" w:lineRule="auto"/>
              <w:jc w:val="center"/>
              <w:rPr>
                <w:rFonts w:cs="Arial"/>
                <w:b/>
                <w:bCs/>
                <w:szCs w:val="20"/>
              </w:rPr>
            </w:pPr>
            <w:r>
              <w:rPr>
                <w:rFonts w:cs="Arial"/>
                <w:b/>
                <w:bCs/>
                <w:szCs w:val="20"/>
              </w:rPr>
              <w:t>2022-23</w:t>
            </w:r>
          </w:p>
        </w:tc>
        <w:tc>
          <w:tcPr>
            <w:tcW w:w="1418" w:type="dxa"/>
            <w:noWrap/>
          </w:tcPr>
          <w:p w14:paraId="47FDE7F3" w14:textId="3C7BCEE8" w:rsidR="00911083" w:rsidRPr="007575A9" w:rsidRDefault="00911083" w:rsidP="00911083">
            <w:pPr>
              <w:spacing w:before="60" w:after="60" w:line="276" w:lineRule="auto"/>
              <w:jc w:val="center"/>
              <w:rPr>
                <w:rFonts w:cs="Arial"/>
                <w:b/>
                <w:bCs/>
                <w:szCs w:val="20"/>
              </w:rPr>
            </w:pPr>
            <w:r>
              <w:rPr>
                <w:rFonts w:cs="Arial"/>
                <w:b/>
                <w:bCs/>
                <w:szCs w:val="20"/>
              </w:rPr>
              <w:t>2024-25</w:t>
            </w:r>
          </w:p>
        </w:tc>
      </w:tr>
      <w:tr w:rsidR="00365EEA" w:rsidRPr="007575A9" w14:paraId="62FA9525" w14:textId="77777777" w:rsidTr="0052581D">
        <w:trPr>
          <w:trHeight w:val="300"/>
        </w:trPr>
        <w:tc>
          <w:tcPr>
            <w:tcW w:w="3256" w:type="dxa"/>
            <w:shd w:val="clear" w:color="auto" w:fill="E5B8B7" w:themeFill="accent2" w:themeFillTint="66"/>
            <w:noWrap/>
            <w:hideMark/>
          </w:tcPr>
          <w:p w14:paraId="0AB7FC06" w14:textId="77777777" w:rsidR="00365EEA" w:rsidRPr="007575A9" w:rsidRDefault="00365EEA" w:rsidP="00365EEA">
            <w:pPr>
              <w:spacing w:before="60" w:after="60" w:line="276" w:lineRule="auto"/>
              <w:rPr>
                <w:rFonts w:cs="Arial"/>
                <w:b/>
                <w:bCs/>
                <w:szCs w:val="20"/>
              </w:rPr>
            </w:pPr>
            <w:r w:rsidRPr="007575A9">
              <w:rPr>
                <w:rFonts w:cs="Arial"/>
                <w:b/>
                <w:bCs/>
                <w:szCs w:val="20"/>
              </w:rPr>
              <w:t xml:space="preserve">Total Revenue </w:t>
            </w:r>
          </w:p>
        </w:tc>
        <w:tc>
          <w:tcPr>
            <w:tcW w:w="1559" w:type="dxa"/>
            <w:shd w:val="clear" w:color="auto" w:fill="E5B8B7" w:themeFill="accent2" w:themeFillTint="66"/>
          </w:tcPr>
          <w:p w14:paraId="4F4C3012" w14:textId="2CB8507A" w:rsidR="00365EEA" w:rsidRPr="007575A9" w:rsidRDefault="00365EEA" w:rsidP="00365EEA">
            <w:pPr>
              <w:spacing w:before="60" w:after="60" w:line="276" w:lineRule="auto"/>
              <w:jc w:val="center"/>
              <w:rPr>
                <w:rFonts w:cs="Arial"/>
                <w:szCs w:val="20"/>
              </w:rPr>
            </w:pPr>
            <w:r w:rsidRPr="007C4152">
              <w:t>$1,096</w:t>
            </w:r>
          </w:p>
        </w:tc>
        <w:tc>
          <w:tcPr>
            <w:tcW w:w="1559" w:type="dxa"/>
            <w:shd w:val="clear" w:color="auto" w:fill="E5B8B7" w:themeFill="accent2" w:themeFillTint="66"/>
          </w:tcPr>
          <w:p w14:paraId="38DCFDBA" w14:textId="705E0CCB" w:rsidR="00365EEA" w:rsidRPr="007575A9" w:rsidRDefault="00365EEA" w:rsidP="00365EEA">
            <w:pPr>
              <w:spacing w:before="60" w:after="60" w:line="276" w:lineRule="auto"/>
              <w:jc w:val="center"/>
              <w:rPr>
                <w:rFonts w:cs="Arial"/>
                <w:szCs w:val="20"/>
              </w:rPr>
            </w:pPr>
            <w:r w:rsidRPr="007C4152">
              <w:t>$1,463</w:t>
            </w:r>
          </w:p>
        </w:tc>
        <w:tc>
          <w:tcPr>
            <w:tcW w:w="1418" w:type="dxa"/>
            <w:shd w:val="clear" w:color="auto" w:fill="E5B8B7" w:themeFill="accent2" w:themeFillTint="66"/>
          </w:tcPr>
          <w:p w14:paraId="10FEA496" w14:textId="06FA1922" w:rsidR="00365EEA" w:rsidRPr="007575A9" w:rsidRDefault="00365EEA" w:rsidP="00365EEA">
            <w:pPr>
              <w:spacing w:before="60" w:after="60" w:line="276" w:lineRule="auto"/>
              <w:jc w:val="center"/>
              <w:rPr>
                <w:rFonts w:cs="Arial"/>
                <w:szCs w:val="20"/>
              </w:rPr>
            </w:pPr>
            <w:r w:rsidRPr="007C4152">
              <w:t>$1,438</w:t>
            </w:r>
          </w:p>
        </w:tc>
      </w:tr>
      <w:tr w:rsidR="00365EEA" w:rsidRPr="007575A9" w14:paraId="673E8898" w14:textId="77777777" w:rsidTr="0052581D">
        <w:trPr>
          <w:trHeight w:val="300"/>
        </w:trPr>
        <w:tc>
          <w:tcPr>
            <w:tcW w:w="3256" w:type="dxa"/>
            <w:noWrap/>
            <w:hideMark/>
          </w:tcPr>
          <w:p w14:paraId="42388588" w14:textId="77777777" w:rsidR="00365EEA" w:rsidRPr="007575A9" w:rsidRDefault="00365EEA" w:rsidP="00365EEA">
            <w:pPr>
              <w:spacing w:before="60" w:after="60" w:line="276" w:lineRule="auto"/>
              <w:rPr>
                <w:rFonts w:cs="Arial"/>
                <w:szCs w:val="20"/>
              </w:rPr>
            </w:pPr>
            <w:r w:rsidRPr="007575A9">
              <w:rPr>
                <w:rFonts w:cs="Arial"/>
                <w:szCs w:val="20"/>
              </w:rPr>
              <w:t xml:space="preserve">Year on Year Increases </w:t>
            </w:r>
          </w:p>
        </w:tc>
        <w:tc>
          <w:tcPr>
            <w:tcW w:w="1559" w:type="dxa"/>
            <w:noWrap/>
          </w:tcPr>
          <w:p w14:paraId="0D678B20" w14:textId="5BCB88D9" w:rsidR="00365EEA" w:rsidRPr="007575A9" w:rsidRDefault="00365EEA" w:rsidP="00365EEA">
            <w:pPr>
              <w:spacing w:before="60" w:after="60" w:line="276" w:lineRule="auto"/>
              <w:jc w:val="center"/>
              <w:rPr>
                <w:rFonts w:cs="Arial"/>
                <w:szCs w:val="20"/>
              </w:rPr>
            </w:pPr>
            <w:r w:rsidRPr="007C4152">
              <w:t>-$86</w:t>
            </w:r>
          </w:p>
        </w:tc>
        <w:tc>
          <w:tcPr>
            <w:tcW w:w="1559" w:type="dxa"/>
          </w:tcPr>
          <w:p w14:paraId="5851007F" w14:textId="07A2C571" w:rsidR="00365EEA" w:rsidRPr="007575A9" w:rsidRDefault="00365EEA" w:rsidP="00365EEA">
            <w:pPr>
              <w:spacing w:before="60" w:after="60" w:line="276" w:lineRule="auto"/>
              <w:jc w:val="center"/>
              <w:rPr>
                <w:rFonts w:cs="Arial"/>
                <w:szCs w:val="20"/>
              </w:rPr>
            </w:pPr>
            <w:r w:rsidRPr="007C4152">
              <w:t>$368</w:t>
            </w:r>
          </w:p>
        </w:tc>
        <w:tc>
          <w:tcPr>
            <w:tcW w:w="1418" w:type="dxa"/>
          </w:tcPr>
          <w:p w14:paraId="368CF8FB" w14:textId="7F17C042" w:rsidR="00365EEA" w:rsidRPr="007575A9" w:rsidRDefault="00365EEA" w:rsidP="00365EEA">
            <w:pPr>
              <w:spacing w:before="60" w:after="60" w:line="276" w:lineRule="auto"/>
              <w:jc w:val="center"/>
              <w:rPr>
                <w:rFonts w:cs="Arial"/>
                <w:szCs w:val="20"/>
              </w:rPr>
            </w:pPr>
            <w:r w:rsidRPr="007C4152">
              <w:t>-$25</w:t>
            </w:r>
          </w:p>
        </w:tc>
      </w:tr>
      <w:tr w:rsidR="00365EEA" w:rsidRPr="007575A9" w14:paraId="16E7D07A" w14:textId="77777777" w:rsidTr="005A229D">
        <w:trPr>
          <w:trHeight w:val="300"/>
        </w:trPr>
        <w:tc>
          <w:tcPr>
            <w:tcW w:w="3256" w:type="dxa"/>
            <w:noWrap/>
          </w:tcPr>
          <w:p w14:paraId="650B23BB" w14:textId="77777777" w:rsidR="00365EEA" w:rsidRPr="007575A9" w:rsidRDefault="00365EEA" w:rsidP="00365EEA">
            <w:pPr>
              <w:spacing w:before="60" w:after="60" w:line="276" w:lineRule="auto"/>
              <w:rPr>
                <w:rFonts w:cs="Arial"/>
                <w:szCs w:val="20"/>
              </w:rPr>
            </w:pPr>
            <w:r>
              <w:rPr>
                <w:rFonts w:cs="Arial"/>
                <w:szCs w:val="20"/>
              </w:rPr>
              <w:t>2018-19 Baseline increases</w:t>
            </w:r>
          </w:p>
        </w:tc>
        <w:tc>
          <w:tcPr>
            <w:tcW w:w="1559" w:type="dxa"/>
            <w:noWrap/>
          </w:tcPr>
          <w:p w14:paraId="7766A814" w14:textId="673B5191" w:rsidR="00365EEA" w:rsidRPr="007575A9" w:rsidRDefault="00365EEA" w:rsidP="00365EEA">
            <w:pPr>
              <w:spacing w:before="60" w:after="60" w:line="276" w:lineRule="auto"/>
              <w:jc w:val="center"/>
              <w:rPr>
                <w:rFonts w:cs="Arial"/>
                <w:szCs w:val="20"/>
              </w:rPr>
            </w:pPr>
            <w:r w:rsidRPr="007C4152">
              <w:t>$358</w:t>
            </w:r>
          </w:p>
        </w:tc>
        <w:tc>
          <w:tcPr>
            <w:tcW w:w="1559" w:type="dxa"/>
          </w:tcPr>
          <w:p w14:paraId="384AFDBA" w14:textId="631E730F" w:rsidR="00365EEA" w:rsidRPr="007575A9" w:rsidRDefault="00365EEA" w:rsidP="00365EEA">
            <w:pPr>
              <w:spacing w:before="60" w:after="60" w:line="276" w:lineRule="auto"/>
              <w:jc w:val="center"/>
              <w:rPr>
                <w:rFonts w:cs="Arial"/>
                <w:szCs w:val="20"/>
              </w:rPr>
            </w:pPr>
            <w:r w:rsidRPr="007C4152">
              <w:t>$726</w:t>
            </w:r>
          </w:p>
        </w:tc>
        <w:tc>
          <w:tcPr>
            <w:tcW w:w="1418" w:type="dxa"/>
          </w:tcPr>
          <w:p w14:paraId="2FF4A927" w14:textId="4AAB8AF0" w:rsidR="00365EEA" w:rsidRPr="007575A9" w:rsidRDefault="00365EEA" w:rsidP="00365EEA">
            <w:pPr>
              <w:spacing w:before="60" w:after="60" w:line="276" w:lineRule="auto"/>
              <w:jc w:val="center"/>
              <w:rPr>
                <w:rFonts w:cs="Arial"/>
                <w:szCs w:val="20"/>
              </w:rPr>
            </w:pPr>
            <w:r w:rsidRPr="007C4152">
              <w:t>$701</w:t>
            </w:r>
          </w:p>
        </w:tc>
      </w:tr>
      <w:tr w:rsidR="0054408F" w:rsidRPr="007575A9" w14:paraId="3E174A6A" w14:textId="77777777" w:rsidTr="00CF21AA">
        <w:trPr>
          <w:trHeight w:val="300"/>
        </w:trPr>
        <w:tc>
          <w:tcPr>
            <w:tcW w:w="3256" w:type="dxa"/>
            <w:noWrap/>
          </w:tcPr>
          <w:p w14:paraId="5635A1E6" w14:textId="77777777" w:rsidR="0054408F" w:rsidRDefault="0054408F" w:rsidP="0054408F">
            <w:pPr>
              <w:spacing w:before="60" w:after="60" w:line="276" w:lineRule="auto"/>
              <w:rPr>
                <w:rFonts w:cs="Arial"/>
                <w:szCs w:val="20"/>
              </w:rPr>
            </w:pPr>
            <w:r w:rsidRPr="00F20580">
              <w:rPr>
                <w:rFonts w:cs="Arial"/>
                <w:szCs w:val="20"/>
              </w:rPr>
              <w:t>Budget Paper Forecasts</w:t>
            </w:r>
          </w:p>
        </w:tc>
        <w:tc>
          <w:tcPr>
            <w:tcW w:w="1559" w:type="dxa"/>
            <w:shd w:val="clear" w:color="auto" w:fill="auto"/>
            <w:noWrap/>
          </w:tcPr>
          <w:p w14:paraId="6290DCA1" w14:textId="30EE56E8" w:rsidR="0054408F" w:rsidRPr="00637D1C" w:rsidRDefault="0054408F" w:rsidP="0054408F">
            <w:pPr>
              <w:spacing w:before="60" w:after="60" w:line="276" w:lineRule="auto"/>
              <w:jc w:val="center"/>
              <w:rPr>
                <w:rFonts w:cs="Arial"/>
                <w:szCs w:val="20"/>
              </w:rPr>
            </w:pPr>
            <w:r w:rsidRPr="00FA1138">
              <w:rPr>
                <w:rFonts w:cs="Arial"/>
                <w:szCs w:val="20"/>
              </w:rPr>
              <w:t>$233</w:t>
            </w:r>
          </w:p>
        </w:tc>
        <w:tc>
          <w:tcPr>
            <w:tcW w:w="1559" w:type="dxa"/>
            <w:shd w:val="clear" w:color="auto" w:fill="auto"/>
          </w:tcPr>
          <w:p w14:paraId="6A6CF1CA" w14:textId="4288DCF2" w:rsidR="0054408F" w:rsidRPr="00FA1138" w:rsidRDefault="0054408F" w:rsidP="0054408F">
            <w:pPr>
              <w:spacing w:before="60" w:after="60" w:line="276" w:lineRule="auto"/>
              <w:jc w:val="center"/>
              <w:rPr>
                <w:rFonts w:cs="Arial"/>
                <w:szCs w:val="20"/>
              </w:rPr>
            </w:pPr>
            <w:r w:rsidRPr="00FA1138">
              <w:rPr>
                <w:rFonts w:cs="Arial"/>
                <w:szCs w:val="20"/>
              </w:rPr>
              <w:t>$444</w:t>
            </w:r>
          </w:p>
        </w:tc>
        <w:tc>
          <w:tcPr>
            <w:tcW w:w="1418" w:type="dxa"/>
            <w:shd w:val="clear" w:color="auto" w:fill="auto"/>
          </w:tcPr>
          <w:p w14:paraId="7084C266" w14:textId="17910184" w:rsidR="0054408F" w:rsidRPr="00FA1138" w:rsidRDefault="0054408F" w:rsidP="0054408F">
            <w:pPr>
              <w:spacing w:before="60" w:after="60" w:line="276" w:lineRule="auto"/>
              <w:jc w:val="center"/>
              <w:rPr>
                <w:rFonts w:cs="Arial"/>
                <w:szCs w:val="20"/>
              </w:rPr>
            </w:pPr>
            <w:r>
              <w:rPr>
                <w:rFonts w:cs="Arial"/>
                <w:szCs w:val="20"/>
              </w:rPr>
              <w:t>N/A</w:t>
            </w:r>
          </w:p>
        </w:tc>
      </w:tr>
    </w:tbl>
    <w:p w14:paraId="1E8E9C7A" w14:textId="77777777" w:rsidR="007575A9" w:rsidRDefault="008D572B" w:rsidP="005A229D">
      <w:pPr>
        <w:spacing w:before="120" w:after="120" w:line="276" w:lineRule="auto"/>
        <w:rPr>
          <w:rFonts w:cs="Arial"/>
          <w:szCs w:val="20"/>
          <w:lang w:val="en-US"/>
        </w:rPr>
      </w:pPr>
      <w:r w:rsidRPr="005A229D">
        <w:rPr>
          <w:rFonts w:cs="Arial"/>
          <w:szCs w:val="20"/>
          <w:lang w:val="en-US"/>
        </w:rPr>
        <w:t xml:space="preserve">The projected revenues take into account the expected timing of license renewals, noting that </w:t>
      </w:r>
      <w:r>
        <w:rPr>
          <w:rFonts w:cs="Arial"/>
          <w:szCs w:val="20"/>
          <w:lang w:val="en-US"/>
        </w:rPr>
        <w:t>many licenses are renewed for three years rather than annually.</w:t>
      </w:r>
    </w:p>
    <w:p w14:paraId="6015B13C" w14:textId="77777777" w:rsidR="007D3384" w:rsidRDefault="007D3384" w:rsidP="007D3384">
      <w:pPr>
        <w:rPr>
          <w:rFonts w:cs="Arial"/>
          <w:szCs w:val="20"/>
          <w:lang w:val="en-US"/>
        </w:rPr>
      </w:pPr>
    </w:p>
    <w:p w14:paraId="3B3D3E7D" w14:textId="77777777" w:rsidR="007D3384" w:rsidRDefault="007D3384" w:rsidP="007D3384">
      <w:pPr>
        <w:rPr>
          <w:rFonts w:cs="Arial"/>
          <w:szCs w:val="20"/>
          <w:lang w:val="en-US"/>
        </w:rPr>
      </w:pPr>
    </w:p>
    <w:p w14:paraId="37930645" w14:textId="77777777" w:rsidR="0065546A" w:rsidRPr="00C3105B" w:rsidRDefault="0065546A" w:rsidP="00C3105B">
      <w:pPr>
        <w:rPr>
          <w:rFonts w:cs="Arial"/>
          <w:szCs w:val="20"/>
          <w:lang w:val="en-US"/>
        </w:rPr>
        <w:sectPr w:rsidR="0065546A" w:rsidRPr="00C3105B" w:rsidSect="00CF1905">
          <w:footerReference w:type="default" r:id="rId23"/>
          <w:pgSz w:w="11906" w:h="16838"/>
          <w:pgMar w:top="1276" w:right="1077" w:bottom="709" w:left="1077" w:header="1077" w:footer="924" w:gutter="0"/>
          <w:cols w:space="708"/>
          <w:docGrid w:linePitch="360"/>
        </w:sectPr>
      </w:pPr>
    </w:p>
    <w:p w14:paraId="1E645C23" w14:textId="77777777" w:rsidR="00A71907" w:rsidRDefault="00823D9F" w:rsidP="00173012">
      <w:pPr>
        <w:pStyle w:val="Heading1"/>
        <w:numPr>
          <w:ilvl w:val="0"/>
          <w:numId w:val="0"/>
        </w:numPr>
        <w:spacing w:before="0"/>
      </w:pPr>
      <w:bookmarkStart w:id="71" w:name="_Toc516468795"/>
      <w:bookmarkStart w:id="72" w:name="_Toc85106090"/>
      <w:r>
        <w:lastRenderedPageBreak/>
        <w:t xml:space="preserve">7A </w:t>
      </w:r>
      <w:r w:rsidR="00A71907" w:rsidRPr="008366B0">
        <w:t xml:space="preserve">FINANCIAL </w:t>
      </w:r>
      <w:r w:rsidR="00A71907" w:rsidRPr="00EE4F30">
        <w:t>PERFORMANCE</w:t>
      </w:r>
      <w:bookmarkEnd w:id="71"/>
      <w:bookmarkEnd w:id="72"/>
      <w:r w:rsidR="00A71907" w:rsidRPr="008366B0">
        <w:t xml:space="preserve"> </w:t>
      </w:r>
    </w:p>
    <w:p w14:paraId="0B2F60BE" w14:textId="77777777" w:rsidR="00914DCD" w:rsidRPr="006A3E88" w:rsidRDefault="00914DCD" w:rsidP="00AB5D3B">
      <w:pPr>
        <w:spacing w:before="120" w:line="276" w:lineRule="auto"/>
        <w:rPr>
          <w:rFonts w:cs="Arial"/>
          <w:szCs w:val="20"/>
          <w:lang w:val="en-US"/>
        </w:rPr>
      </w:pPr>
      <w:r w:rsidRPr="006A3E88">
        <w:rPr>
          <w:rFonts w:cs="Arial"/>
          <w:szCs w:val="20"/>
          <w:lang w:val="en-US"/>
        </w:rPr>
        <w:t xml:space="preserve">Tables </w:t>
      </w:r>
      <w:r w:rsidR="00A01B27">
        <w:rPr>
          <w:rFonts w:cs="Arial"/>
          <w:szCs w:val="20"/>
          <w:lang w:val="en-US"/>
        </w:rPr>
        <w:t>7</w:t>
      </w:r>
      <w:r w:rsidR="003546AA">
        <w:rPr>
          <w:rFonts w:cs="Arial"/>
          <w:szCs w:val="20"/>
          <w:lang w:val="en-US"/>
        </w:rPr>
        <w:t xml:space="preserve"> </w:t>
      </w:r>
      <w:r w:rsidR="006A3E88">
        <w:rPr>
          <w:rFonts w:cs="Arial"/>
          <w:szCs w:val="20"/>
          <w:lang w:val="en-US"/>
        </w:rPr>
        <w:t xml:space="preserve">and </w:t>
      </w:r>
      <w:r w:rsidR="00A01B27">
        <w:rPr>
          <w:rFonts w:cs="Arial"/>
          <w:szCs w:val="20"/>
          <w:lang w:val="en-US"/>
        </w:rPr>
        <w:t>8</w:t>
      </w:r>
      <w:r w:rsidR="003546AA">
        <w:rPr>
          <w:rFonts w:cs="Arial"/>
          <w:szCs w:val="20"/>
          <w:lang w:val="en-US"/>
        </w:rPr>
        <w:t xml:space="preserve"> </w:t>
      </w:r>
      <w:r w:rsidRPr="006A3E88">
        <w:rPr>
          <w:rFonts w:cs="Arial"/>
          <w:szCs w:val="20"/>
          <w:lang w:val="en-US"/>
        </w:rPr>
        <w:t xml:space="preserve">illustrate the historic financial performance of </w:t>
      </w:r>
      <w:r w:rsidR="006A3E88">
        <w:rPr>
          <w:rFonts w:cs="Arial"/>
          <w:szCs w:val="20"/>
          <w:lang w:val="en-US"/>
        </w:rPr>
        <w:t xml:space="preserve">the Pattern Approval, Licensing and Appointments </w:t>
      </w:r>
      <w:r w:rsidRPr="006A3E88">
        <w:rPr>
          <w:rFonts w:cs="Arial"/>
          <w:szCs w:val="20"/>
          <w:lang w:val="en-US"/>
        </w:rPr>
        <w:t xml:space="preserve">activity groups. </w:t>
      </w:r>
    </w:p>
    <w:p w14:paraId="339F0B14" w14:textId="77777777" w:rsidR="006A3E88" w:rsidRPr="00A01B27" w:rsidRDefault="00A01B27" w:rsidP="00A01B27">
      <w:pPr>
        <w:pStyle w:val="Heading2"/>
        <w:numPr>
          <w:ilvl w:val="0"/>
          <w:numId w:val="0"/>
        </w:numPr>
        <w:spacing w:line="276" w:lineRule="auto"/>
        <w:ind w:left="576" w:hanging="576"/>
        <w:rPr>
          <w:lang w:val="en-US"/>
        </w:rPr>
      </w:pPr>
      <w:bookmarkStart w:id="73" w:name="_Toc516468796"/>
      <w:bookmarkStart w:id="74" w:name="_Toc85106091"/>
      <w:r>
        <w:rPr>
          <w:lang w:val="en-US"/>
        </w:rPr>
        <w:t xml:space="preserve">Table 7 </w:t>
      </w:r>
      <w:r w:rsidR="00A71907" w:rsidRPr="00823D9F">
        <w:rPr>
          <w:lang w:val="en-US"/>
        </w:rPr>
        <w:t>Pattern Approva</w:t>
      </w:r>
      <w:r w:rsidR="006A3E88" w:rsidRPr="00823D9F">
        <w:rPr>
          <w:lang w:val="en-US"/>
        </w:rPr>
        <w:t>l</w:t>
      </w:r>
      <w:bookmarkEnd w:id="73"/>
      <w:bookmarkEnd w:id="74"/>
    </w:p>
    <w:tbl>
      <w:tblPr>
        <w:tblStyle w:val="TableGrid"/>
        <w:tblpPr w:leftFromText="180" w:rightFromText="180" w:vertAnchor="text" w:tblpY="191"/>
        <w:tblW w:w="9352" w:type="dxa"/>
        <w:tblLayout w:type="fixed"/>
        <w:tblLook w:val="04A0" w:firstRow="1" w:lastRow="0" w:firstColumn="1" w:lastColumn="0" w:noHBand="0" w:noVBand="1"/>
      </w:tblPr>
      <w:tblGrid>
        <w:gridCol w:w="2263"/>
        <w:gridCol w:w="1418"/>
        <w:gridCol w:w="1417"/>
        <w:gridCol w:w="1418"/>
        <w:gridCol w:w="1418"/>
        <w:gridCol w:w="1418"/>
      </w:tblGrid>
      <w:tr w:rsidR="00C3603B" w:rsidRPr="008366B0" w14:paraId="693BDD61" w14:textId="74CF377B" w:rsidTr="00C3603B">
        <w:tc>
          <w:tcPr>
            <w:tcW w:w="2263" w:type="dxa"/>
            <w:shd w:val="clear" w:color="auto" w:fill="FF0000"/>
          </w:tcPr>
          <w:p w14:paraId="7778BEA0" w14:textId="77777777" w:rsidR="00C3603B" w:rsidRPr="005A229D" w:rsidRDefault="00C3603B" w:rsidP="005A229D">
            <w:pPr>
              <w:spacing w:before="60" w:after="60" w:line="276" w:lineRule="auto"/>
              <w:rPr>
                <w:b/>
                <w:color w:val="FFFFFF" w:themeColor="background1"/>
              </w:rPr>
            </w:pPr>
            <w:r>
              <w:rPr>
                <w:rFonts w:cs="Arial"/>
                <w:b/>
                <w:iCs/>
                <w:color w:val="FFFFFF" w:themeColor="background1"/>
                <w:szCs w:val="20"/>
              </w:rPr>
              <w:t>$’000s</w:t>
            </w:r>
          </w:p>
        </w:tc>
        <w:tc>
          <w:tcPr>
            <w:tcW w:w="1418" w:type="dxa"/>
            <w:shd w:val="clear" w:color="auto" w:fill="FF0000"/>
          </w:tcPr>
          <w:p w14:paraId="154AC702" w14:textId="4F6C68FD" w:rsidR="00C3603B" w:rsidRPr="005A229D" w:rsidRDefault="00C3603B" w:rsidP="0052581D">
            <w:pPr>
              <w:spacing w:before="60" w:after="60" w:line="276" w:lineRule="auto"/>
              <w:jc w:val="center"/>
              <w:rPr>
                <w:b/>
                <w:color w:val="FFFFFF" w:themeColor="background1"/>
              </w:rPr>
            </w:pPr>
            <w:r w:rsidRPr="001D1065">
              <w:rPr>
                <w:rFonts w:cs="Arial"/>
                <w:b/>
                <w:color w:val="FFFFFF" w:themeColor="background1"/>
                <w:szCs w:val="20"/>
              </w:rPr>
              <w:t>201</w:t>
            </w:r>
            <w:r>
              <w:rPr>
                <w:rFonts w:cs="Arial"/>
                <w:b/>
                <w:color w:val="FFFFFF" w:themeColor="background1"/>
                <w:szCs w:val="20"/>
              </w:rPr>
              <w:t>6</w:t>
            </w:r>
            <w:r w:rsidRPr="001D1065">
              <w:rPr>
                <w:rFonts w:cs="Arial"/>
                <w:b/>
                <w:color w:val="FFFFFF" w:themeColor="background1"/>
                <w:szCs w:val="20"/>
              </w:rPr>
              <w:t>-1</w:t>
            </w:r>
            <w:r>
              <w:rPr>
                <w:rFonts w:cs="Arial"/>
                <w:b/>
                <w:color w:val="FFFFFF" w:themeColor="background1"/>
                <w:szCs w:val="20"/>
              </w:rPr>
              <w:t>7</w:t>
            </w:r>
          </w:p>
        </w:tc>
        <w:tc>
          <w:tcPr>
            <w:tcW w:w="1417" w:type="dxa"/>
            <w:shd w:val="clear" w:color="auto" w:fill="FF0000"/>
          </w:tcPr>
          <w:p w14:paraId="70C143EE" w14:textId="1AA9F9AC" w:rsidR="00C3603B" w:rsidRPr="005A229D" w:rsidRDefault="00C3603B" w:rsidP="0052581D">
            <w:pPr>
              <w:spacing w:before="60" w:after="60" w:line="276" w:lineRule="auto"/>
              <w:jc w:val="center"/>
              <w:rPr>
                <w:b/>
                <w:color w:val="FFFFFF" w:themeColor="background1"/>
              </w:rPr>
            </w:pPr>
            <w:r w:rsidRPr="001D1065">
              <w:rPr>
                <w:rFonts w:cs="Arial"/>
                <w:b/>
                <w:color w:val="FFFFFF" w:themeColor="background1"/>
                <w:szCs w:val="20"/>
              </w:rPr>
              <w:t>201</w:t>
            </w:r>
            <w:r>
              <w:rPr>
                <w:rFonts w:cs="Arial"/>
                <w:b/>
                <w:color w:val="FFFFFF" w:themeColor="background1"/>
                <w:szCs w:val="20"/>
              </w:rPr>
              <w:t>7</w:t>
            </w:r>
            <w:r w:rsidRPr="001D1065">
              <w:rPr>
                <w:rFonts w:cs="Arial"/>
                <w:b/>
                <w:color w:val="FFFFFF" w:themeColor="background1"/>
                <w:szCs w:val="20"/>
              </w:rPr>
              <w:t>-1</w:t>
            </w:r>
            <w:r>
              <w:rPr>
                <w:rFonts w:cs="Arial"/>
                <w:b/>
                <w:color w:val="FFFFFF" w:themeColor="background1"/>
                <w:szCs w:val="20"/>
              </w:rPr>
              <w:t>8</w:t>
            </w:r>
          </w:p>
        </w:tc>
        <w:tc>
          <w:tcPr>
            <w:tcW w:w="1418" w:type="dxa"/>
            <w:shd w:val="clear" w:color="auto" w:fill="FF0000"/>
          </w:tcPr>
          <w:p w14:paraId="4158081B" w14:textId="4AC426A0" w:rsidR="00C3603B" w:rsidRPr="005A229D" w:rsidRDefault="00C3603B" w:rsidP="0052581D">
            <w:pPr>
              <w:spacing w:before="60" w:after="60" w:line="276" w:lineRule="auto"/>
              <w:jc w:val="center"/>
              <w:rPr>
                <w:b/>
                <w:color w:val="FFFFFF" w:themeColor="background1"/>
              </w:rPr>
            </w:pPr>
            <w:r>
              <w:rPr>
                <w:rFonts w:cs="Arial"/>
                <w:b/>
                <w:color w:val="FFFFFF" w:themeColor="background1"/>
                <w:szCs w:val="20"/>
              </w:rPr>
              <w:t>2018-2019</w:t>
            </w:r>
          </w:p>
        </w:tc>
        <w:tc>
          <w:tcPr>
            <w:tcW w:w="1418" w:type="dxa"/>
            <w:shd w:val="clear" w:color="auto" w:fill="FF0000"/>
          </w:tcPr>
          <w:p w14:paraId="3D9B7C6D" w14:textId="20A64CE2" w:rsidR="00C3603B" w:rsidRDefault="00C3603B" w:rsidP="00334812">
            <w:pPr>
              <w:spacing w:before="60" w:after="60" w:line="276" w:lineRule="auto"/>
              <w:jc w:val="center"/>
              <w:rPr>
                <w:rFonts w:cs="Arial"/>
                <w:b/>
                <w:color w:val="FFFFFF" w:themeColor="background1"/>
                <w:szCs w:val="20"/>
              </w:rPr>
            </w:pPr>
            <w:r w:rsidRPr="00334812">
              <w:rPr>
                <w:rFonts w:cs="Arial"/>
                <w:b/>
                <w:color w:val="FFFFFF" w:themeColor="background1"/>
                <w:szCs w:val="20"/>
              </w:rPr>
              <w:t>201</w:t>
            </w:r>
            <w:r>
              <w:rPr>
                <w:rFonts w:cs="Arial"/>
                <w:b/>
                <w:color w:val="FFFFFF" w:themeColor="background1"/>
                <w:szCs w:val="20"/>
              </w:rPr>
              <w:t>9-</w:t>
            </w:r>
            <w:r w:rsidRPr="00334812">
              <w:rPr>
                <w:rFonts w:cs="Arial"/>
                <w:b/>
                <w:color w:val="FFFFFF" w:themeColor="background1"/>
                <w:szCs w:val="20"/>
              </w:rPr>
              <w:t>20</w:t>
            </w:r>
            <w:r>
              <w:rPr>
                <w:rFonts w:cs="Arial"/>
                <w:b/>
                <w:color w:val="FFFFFF" w:themeColor="background1"/>
                <w:szCs w:val="20"/>
              </w:rPr>
              <w:t>20</w:t>
            </w:r>
          </w:p>
        </w:tc>
        <w:tc>
          <w:tcPr>
            <w:tcW w:w="1418" w:type="dxa"/>
            <w:shd w:val="clear" w:color="auto" w:fill="FF0000"/>
          </w:tcPr>
          <w:p w14:paraId="4C9061CB" w14:textId="47C8437B" w:rsidR="00C3603B" w:rsidRPr="00334812" w:rsidRDefault="00C3603B" w:rsidP="005B5D99">
            <w:pPr>
              <w:spacing w:before="60" w:after="60" w:line="276" w:lineRule="auto"/>
              <w:jc w:val="center"/>
              <w:rPr>
                <w:rFonts w:cs="Arial"/>
                <w:b/>
                <w:color w:val="FFFFFF" w:themeColor="background1"/>
                <w:szCs w:val="20"/>
              </w:rPr>
            </w:pPr>
            <w:r w:rsidRPr="00C3603B">
              <w:rPr>
                <w:rFonts w:cs="Arial"/>
                <w:b/>
                <w:color w:val="FFFFFF" w:themeColor="background1"/>
                <w:szCs w:val="20"/>
              </w:rPr>
              <w:t>202</w:t>
            </w:r>
            <w:r w:rsidR="005B5D99">
              <w:rPr>
                <w:rFonts w:cs="Arial"/>
                <w:b/>
                <w:color w:val="FFFFFF" w:themeColor="background1"/>
                <w:szCs w:val="20"/>
              </w:rPr>
              <w:t>0</w:t>
            </w:r>
            <w:r w:rsidRPr="00C3603B">
              <w:rPr>
                <w:rFonts w:cs="Arial"/>
                <w:b/>
                <w:color w:val="FFFFFF" w:themeColor="background1"/>
                <w:szCs w:val="20"/>
              </w:rPr>
              <w:t>-202</w:t>
            </w:r>
            <w:r w:rsidR="005B5D99">
              <w:rPr>
                <w:rFonts w:cs="Arial"/>
                <w:b/>
                <w:color w:val="FFFFFF" w:themeColor="background1"/>
                <w:szCs w:val="20"/>
              </w:rPr>
              <w:t>1</w:t>
            </w:r>
          </w:p>
        </w:tc>
      </w:tr>
      <w:tr w:rsidR="00F84C33" w:rsidRPr="008366B0" w14:paraId="6C2A1FDF" w14:textId="5A04892D" w:rsidTr="00C3603B">
        <w:tc>
          <w:tcPr>
            <w:tcW w:w="2263" w:type="dxa"/>
            <w:shd w:val="clear" w:color="auto" w:fill="auto"/>
            <w:vAlign w:val="center"/>
          </w:tcPr>
          <w:p w14:paraId="38A8CFD2" w14:textId="77777777" w:rsidR="00F84C33" w:rsidRPr="008366B0" w:rsidRDefault="00F84C33" w:rsidP="00F84C33">
            <w:pPr>
              <w:spacing w:before="60" w:after="60" w:line="276" w:lineRule="auto"/>
              <w:rPr>
                <w:rFonts w:cs="Arial"/>
                <w:szCs w:val="20"/>
              </w:rPr>
            </w:pPr>
            <w:r w:rsidRPr="008366B0">
              <w:rPr>
                <w:rFonts w:cs="Arial"/>
                <w:szCs w:val="20"/>
              </w:rPr>
              <w:t>Expenses = X</w:t>
            </w:r>
          </w:p>
        </w:tc>
        <w:tc>
          <w:tcPr>
            <w:tcW w:w="1418" w:type="dxa"/>
            <w:shd w:val="clear" w:color="auto" w:fill="auto"/>
          </w:tcPr>
          <w:p w14:paraId="2195A8B6" w14:textId="0FEDC521" w:rsidR="00F84C33" w:rsidRPr="00C8526D" w:rsidRDefault="00F84C33" w:rsidP="00F84C33">
            <w:pPr>
              <w:spacing w:before="60" w:after="60" w:line="276" w:lineRule="auto"/>
              <w:jc w:val="center"/>
              <w:rPr>
                <w:rFonts w:cs="Arial"/>
                <w:szCs w:val="20"/>
              </w:rPr>
            </w:pPr>
            <w:r w:rsidRPr="00C8526D">
              <w:t>$1,</w:t>
            </w:r>
            <w:r>
              <w:t>600</w:t>
            </w:r>
          </w:p>
        </w:tc>
        <w:tc>
          <w:tcPr>
            <w:tcW w:w="1417" w:type="dxa"/>
            <w:shd w:val="clear" w:color="auto" w:fill="auto"/>
          </w:tcPr>
          <w:p w14:paraId="0576220A" w14:textId="17C71227" w:rsidR="00F84C33" w:rsidRPr="00C8526D" w:rsidRDefault="00F84C33" w:rsidP="00F84C33">
            <w:pPr>
              <w:spacing w:before="60" w:after="60" w:line="276" w:lineRule="auto"/>
              <w:jc w:val="center"/>
              <w:rPr>
                <w:rFonts w:cs="Arial"/>
                <w:szCs w:val="20"/>
              </w:rPr>
            </w:pPr>
            <w:r w:rsidRPr="00C8526D">
              <w:t>$1,</w:t>
            </w:r>
            <w:r>
              <w:t>407</w:t>
            </w:r>
          </w:p>
        </w:tc>
        <w:tc>
          <w:tcPr>
            <w:tcW w:w="1418" w:type="dxa"/>
            <w:shd w:val="clear" w:color="auto" w:fill="auto"/>
          </w:tcPr>
          <w:p w14:paraId="20049DE5" w14:textId="474867F8" w:rsidR="00F84C33" w:rsidRPr="00C8526D" w:rsidRDefault="00F84C33" w:rsidP="00F84C33">
            <w:pPr>
              <w:spacing w:before="60" w:after="60" w:line="276" w:lineRule="auto"/>
              <w:jc w:val="center"/>
              <w:rPr>
                <w:rFonts w:cs="Arial"/>
                <w:szCs w:val="20"/>
              </w:rPr>
            </w:pPr>
            <w:r w:rsidRPr="00661852">
              <w:t>$1,243</w:t>
            </w:r>
          </w:p>
        </w:tc>
        <w:tc>
          <w:tcPr>
            <w:tcW w:w="1418" w:type="dxa"/>
            <w:shd w:val="clear" w:color="auto" w:fill="auto"/>
          </w:tcPr>
          <w:p w14:paraId="78859B85" w14:textId="7FD43B13" w:rsidR="00F84C33" w:rsidRPr="00C3603B" w:rsidRDefault="00F84C33" w:rsidP="00F84C33">
            <w:pPr>
              <w:spacing w:before="60" w:after="60" w:line="276" w:lineRule="auto"/>
              <w:jc w:val="center"/>
            </w:pPr>
            <w:r w:rsidRPr="00C3603B">
              <w:t>$</w:t>
            </w:r>
            <w:r>
              <w:t>1,331</w:t>
            </w:r>
          </w:p>
        </w:tc>
        <w:tc>
          <w:tcPr>
            <w:tcW w:w="1418" w:type="dxa"/>
          </w:tcPr>
          <w:p w14:paraId="7B0F7AC8" w14:textId="359047C0" w:rsidR="00F84C33" w:rsidRPr="00C3603B" w:rsidRDefault="00F84C33" w:rsidP="00F84C33">
            <w:pPr>
              <w:spacing w:before="60" w:after="60" w:line="276" w:lineRule="auto"/>
              <w:jc w:val="center"/>
              <w:rPr>
                <w:highlight w:val="yellow"/>
              </w:rPr>
            </w:pPr>
            <w:r w:rsidRPr="009E0CCC">
              <w:t>$1,229</w:t>
            </w:r>
          </w:p>
        </w:tc>
      </w:tr>
      <w:tr w:rsidR="00F84C33" w:rsidRPr="008366B0" w14:paraId="746278A7" w14:textId="1BE63907" w:rsidTr="00C3603B">
        <w:tc>
          <w:tcPr>
            <w:tcW w:w="2263" w:type="dxa"/>
            <w:shd w:val="clear" w:color="auto" w:fill="auto"/>
            <w:vAlign w:val="center"/>
          </w:tcPr>
          <w:p w14:paraId="2715AB5E" w14:textId="77777777" w:rsidR="00F84C33" w:rsidRPr="008366B0" w:rsidRDefault="00F84C33" w:rsidP="00F84C33">
            <w:pPr>
              <w:spacing w:before="60" w:after="60" w:line="276" w:lineRule="auto"/>
              <w:rPr>
                <w:rFonts w:cs="Arial"/>
                <w:szCs w:val="20"/>
              </w:rPr>
            </w:pPr>
            <w:r w:rsidRPr="008366B0">
              <w:rPr>
                <w:rFonts w:cs="Arial"/>
                <w:szCs w:val="20"/>
              </w:rPr>
              <w:t>Revenue = Y</w:t>
            </w:r>
          </w:p>
        </w:tc>
        <w:tc>
          <w:tcPr>
            <w:tcW w:w="1418" w:type="dxa"/>
            <w:shd w:val="clear" w:color="auto" w:fill="auto"/>
          </w:tcPr>
          <w:p w14:paraId="25FC1CDD" w14:textId="72945004" w:rsidR="00F84C33" w:rsidRPr="00C8526D" w:rsidRDefault="00F84C33" w:rsidP="00F84C33">
            <w:pPr>
              <w:spacing w:before="60" w:after="60" w:line="276" w:lineRule="auto"/>
              <w:jc w:val="center"/>
              <w:rPr>
                <w:rFonts w:cs="Arial"/>
                <w:szCs w:val="20"/>
              </w:rPr>
            </w:pPr>
            <w:r w:rsidRPr="00C8526D">
              <w:t>$5</w:t>
            </w:r>
            <w:r>
              <w:t>03</w:t>
            </w:r>
          </w:p>
        </w:tc>
        <w:tc>
          <w:tcPr>
            <w:tcW w:w="1417" w:type="dxa"/>
            <w:shd w:val="clear" w:color="auto" w:fill="auto"/>
          </w:tcPr>
          <w:p w14:paraId="53EC02C8" w14:textId="165B65B8" w:rsidR="00F84C33" w:rsidRPr="00C8526D" w:rsidRDefault="00F84C33" w:rsidP="00F84C33">
            <w:pPr>
              <w:spacing w:before="60" w:after="60" w:line="276" w:lineRule="auto"/>
              <w:jc w:val="center"/>
              <w:rPr>
                <w:rFonts w:cs="Arial"/>
                <w:szCs w:val="20"/>
              </w:rPr>
            </w:pPr>
            <w:r w:rsidRPr="00C8526D">
              <w:t>$</w:t>
            </w:r>
            <w:r>
              <w:t>352</w:t>
            </w:r>
          </w:p>
        </w:tc>
        <w:tc>
          <w:tcPr>
            <w:tcW w:w="1418" w:type="dxa"/>
            <w:shd w:val="clear" w:color="auto" w:fill="auto"/>
          </w:tcPr>
          <w:p w14:paraId="20338AD9" w14:textId="2E699038" w:rsidR="00F84C33" w:rsidRPr="00C8526D" w:rsidRDefault="00F84C33" w:rsidP="00F84C33">
            <w:pPr>
              <w:spacing w:before="60" w:after="60" w:line="276" w:lineRule="auto"/>
              <w:jc w:val="center"/>
              <w:rPr>
                <w:rFonts w:cs="Arial"/>
                <w:szCs w:val="20"/>
              </w:rPr>
            </w:pPr>
            <w:r w:rsidRPr="00661852">
              <w:t>$333</w:t>
            </w:r>
          </w:p>
        </w:tc>
        <w:tc>
          <w:tcPr>
            <w:tcW w:w="1418" w:type="dxa"/>
            <w:shd w:val="clear" w:color="auto" w:fill="auto"/>
          </w:tcPr>
          <w:p w14:paraId="3FD86A7C" w14:textId="0BEB4171" w:rsidR="00F84C33" w:rsidRPr="00C3603B" w:rsidRDefault="00F84C33" w:rsidP="00F84C33">
            <w:pPr>
              <w:spacing w:before="60" w:after="60" w:line="276" w:lineRule="auto"/>
              <w:jc w:val="center"/>
            </w:pPr>
            <w:r w:rsidRPr="00C3603B">
              <w:t>$</w:t>
            </w:r>
            <w:r>
              <w:t>360</w:t>
            </w:r>
          </w:p>
        </w:tc>
        <w:tc>
          <w:tcPr>
            <w:tcW w:w="1418" w:type="dxa"/>
          </w:tcPr>
          <w:p w14:paraId="6A268A72" w14:textId="3133242D" w:rsidR="00F84C33" w:rsidRPr="00C3603B" w:rsidRDefault="00F84C33" w:rsidP="00F84C33">
            <w:pPr>
              <w:spacing w:before="60" w:after="60" w:line="276" w:lineRule="auto"/>
              <w:jc w:val="center"/>
              <w:rPr>
                <w:highlight w:val="yellow"/>
              </w:rPr>
            </w:pPr>
            <w:r w:rsidRPr="009E0CCC">
              <w:t>$396</w:t>
            </w:r>
          </w:p>
        </w:tc>
      </w:tr>
      <w:tr w:rsidR="00F84C33" w:rsidRPr="008366B0" w14:paraId="07F817B9" w14:textId="639A2D80" w:rsidTr="00C3603B">
        <w:tc>
          <w:tcPr>
            <w:tcW w:w="2263" w:type="dxa"/>
            <w:shd w:val="clear" w:color="auto" w:fill="auto"/>
            <w:vAlign w:val="center"/>
          </w:tcPr>
          <w:p w14:paraId="00BB8600" w14:textId="77777777" w:rsidR="00F84C33" w:rsidRPr="009819E9" w:rsidRDefault="00F84C33" w:rsidP="00F84C33">
            <w:pPr>
              <w:spacing w:before="60" w:after="60" w:line="276" w:lineRule="auto"/>
              <w:rPr>
                <w:rFonts w:cs="Arial"/>
                <w:b/>
                <w:szCs w:val="20"/>
              </w:rPr>
            </w:pPr>
            <w:r w:rsidRPr="009819E9">
              <w:rPr>
                <w:rFonts w:cs="Arial"/>
                <w:b/>
                <w:szCs w:val="20"/>
              </w:rPr>
              <w:t>Balance = Y – X</w:t>
            </w:r>
          </w:p>
        </w:tc>
        <w:tc>
          <w:tcPr>
            <w:tcW w:w="1418" w:type="dxa"/>
            <w:shd w:val="clear" w:color="auto" w:fill="auto"/>
          </w:tcPr>
          <w:p w14:paraId="7B110007" w14:textId="66244969" w:rsidR="00F84C33" w:rsidRPr="005A229D" w:rsidRDefault="00F84C33" w:rsidP="00F84C33">
            <w:pPr>
              <w:spacing w:before="60" w:after="60" w:line="276" w:lineRule="auto"/>
              <w:jc w:val="center"/>
              <w:rPr>
                <w:b/>
              </w:rPr>
            </w:pPr>
            <w:r w:rsidRPr="005A229D">
              <w:t>-$1,</w:t>
            </w:r>
            <w:r>
              <w:t>097</w:t>
            </w:r>
          </w:p>
        </w:tc>
        <w:tc>
          <w:tcPr>
            <w:tcW w:w="1417" w:type="dxa"/>
            <w:shd w:val="clear" w:color="auto" w:fill="auto"/>
          </w:tcPr>
          <w:p w14:paraId="563AF9A3" w14:textId="272BDAAD" w:rsidR="00F84C33" w:rsidRPr="005A229D" w:rsidRDefault="00F84C33" w:rsidP="00F84C33">
            <w:pPr>
              <w:spacing w:before="60" w:after="60" w:line="276" w:lineRule="auto"/>
              <w:jc w:val="center"/>
              <w:rPr>
                <w:b/>
              </w:rPr>
            </w:pPr>
            <w:r w:rsidRPr="005A229D">
              <w:t>-$1,</w:t>
            </w:r>
            <w:r w:rsidRPr="00C8526D">
              <w:t>0</w:t>
            </w:r>
            <w:r>
              <w:t>55</w:t>
            </w:r>
          </w:p>
        </w:tc>
        <w:tc>
          <w:tcPr>
            <w:tcW w:w="1418" w:type="dxa"/>
            <w:shd w:val="clear" w:color="auto" w:fill="auto"/>
          </w:tcPr>
          <w:p w14:paraId="2F87CE0A" w14:textId="69D82B3E" w:rsidR="00F84C33" w:rsidRPr="005A229D" w:rsidRDefault="00F84C33" w:rsidP="00F84C33">
            <w:pPr>
              <w:spacing w:before="60" w:after="60" w:line="276" w:lineRule="auto"/>
              <w:jc w:val="center"/>
              <w:rPr>
                <w:b/>
              </w:rPr>
            </w:pPr>
            <w:r w:rsidRPr="00661852">
              <w:t>-$910</w:t>
            </w:r>
          </w:p>
        </w:tc>
        <w:tc>
          <w:tcPr>
            <w:tcW w:w="1418" w:type="dxa"/>
            <w:shd w:val="clear" w:color="auto" w:fill="auto"/>
          </w:tcPr>
          <w:p w14:paraId="1C0432AF" w14:textId="669E2497" w:rsidR="00F84C33" w:rsidRPr="00C3603B" w:rsidRDefault="00F84C33" w:rsidP="00F84C33">
            <w:pPr>
              <w:spacing w:before="60" w:after="60" w:line="276" w:lineRule="auto"/>
              <w:jc w:val="center"/>
            </w:pPr>
            <w:r>
              <w:t>-</w:t>
            </w:r>
            <w:r w:rsidRPr="00C3603B">
              <w:t>$</w:t>
            </w:r>
            <w:r>
              <w:t>971</w:t>
            </w:r>
          </w:p>
        </w:tc>
        <w:tc>
          <w:tcPr>
            <w:tcW w:w="1418" w:type="dxa"/>
          </w:tcPr>
          <w:p w14:paraId="2CD06B88" w14:textId="186C3FE3" w:rsidR="00F84C33" w:rsidRPr="00C3603B" w:rsidRDefault="00F84C33" w:rsidP="00F84C33">
            <w:pPr>
              <w:spacing w:before="60" w:after="60" w:line="276" w:lineRule="auto"/>
              <w:jc w:val="center"/>
              <w:rPr>
                <w:highlight w:val="yellow"/>
              </w:rPr>
            </w:pPr>
            <w:r w:rsidRPr="009E0CCC">
              <w:t>-$834</w:t>
            </w:r>
          </w:p>
        </w:tc>
      </w:tr>
      <w:tr w:rsidR="00F84C33" w:rsidRPr="008366B0" w14:paraId="430948B5" w14:textId="52BA06B0" w:rsidTr="00C3603B">
        <w:tc>
          <w:tcPr>
            <w:tcW w:w="2263" w:type="dxa"/>
            <w:shd w:val="clear" w:color="auto" w:fill="auto"/>
            <w:vAlign w:val="center"/>
          </w:tcPr>
          <w:p w14:paraId="53B2CFA0" w14:textId="77777777" w:rsidR="00F84C33" w:rsidRPr="008366B0" w:rsidRDefault="00F84C33" w:rsidP="00F84C33">
            <w:pPr>
              <w:spacing w:before="60" w:after="60" w:line="276" w:lineRule="auto"/>
              <w:rPr>
                <w:rFonts w:cs="Arial"/>
                <w:szCs w:val="20"/>
              </w:rPr>
            </w:pPr>
            <w:r w:rsidRPr="008366B0">
              <w:rPr>
                <w:rFonts w:cs="Arial"/>
                <w:szCs w:val="20"/>
              </w:rPr>
              <w:t>Cumulative balance</w:t>
            </w:r>
          </w:p>
        </w:tc>
        <w:tc>
          <w:tcPr>
            <w:tcW w:w="1418" w:type="dxa"/>
            <w:shd w:val="clear" w:color="auto" w:fill="auto"/>
          </w:tcPr>
          <w:p w14:paraId="4B820F83" w14:textId="4B60ADDD" w:rsidR="00F84C33" w:rsidRPr="005A229D" w:rsidRDefault="00F84C33" w:rsidP="00F84C33">
            <w:pPr>
              <w:spacing w:before="60" w:after="60" w:line="276" w:lineRule="auto"/>
              <w:jc w:val="center"/>
              <w:rPr>
                <w:b/>
              </w:rPr>
            </w:pPr>
            <w:r w:rsidRPr="005A229D">
              <w:t>-$</w:t>
            </w:r>
            <w:r>
              <w:t>1,097</w:t>
            </w:r>
          </w:p>
        </w:tc>
        <w:tc>
          <w:tcPr>
            <w:tcW w:w="1417" w:type="dxa"/>
            <w:shd w:val="clear" w:color="auto" w:fill="auto"/>
          </w:tcPr>
          <w:p w14:paraId="5799EAAE" w14:textId="6E2FF610" w:rsidR="00F84C33" w:rsidRPr="005A229D" w:rsidRDefault="00F84C33" w:rsidP="00F84C33">
            <w:pPr>
              <w:spacing w:before="60" w:after="60" w:line="276" w:lineRule="auto"/>
              <w:jc w:val="center"/>
              <w:rPr>
                <w:b/>
              </w:rPr>
            </w:pPr>
            <w:r w:rsidRPr="005A229D">
              <w:t>-$</w:t>
            </w:r>
            <w:r>
              <w:t>2,152</w:t>
            </w:r>
          </w:p>
        </w:tc>
        <w:tc>
          <w:tcPr>
            <w:tcW w:w="1418" w:type="dxa"/>
            <w:shd w:val="clear" w:color="auto" w:fill="auto"/>
          </w:tcPr>
          <w:p w14:paraId="46CD0A19" w14:textId="40FFBAF3" w:rsidR="00F84C33" w:rsidRPr="005A229D" w:rsidRDefault="00F84C33" w:rsidP="00F84C33">
            <w:pPr>
              <w:spacing w:before="60" w:after="60" w:line="276" w:lineRule="auto"/>
              <w:jc w:val="center"/>
              <w:rPr>
                <w:b/>
              </w:rPr>
            </w:pPr>
            <w:r w:rsidRPr="00661852">
              <w:t>-$</w:t>
            </w:r>
            <w:r>
              <w:t>3,062</w:t>
            </w:r>
          </w:p>
        </w:tc>
        <w:tc>
          <w:tcPr>
            <w:tcW w:w="1418" w:type="dxa"/>
            <w:shd w:val="clear" w:color="auto" w:fill="auto"/>
          </w:tcPr>
          <w:p w14:paraId="27F1C43D" w14:textId="5BEEA852" w:rsidR="00F84C33" w:rsidRPr="00C3603B" w:rsidRDefault="00F84C33" w:rsidP="00F84C33">
            <w:pPr>
              <w:spacing w:before="60" w:after="60" w:line="276" w:lineRule="auto"/>
              <w:jc w:val="center"/>
            </w:pPr>
            <w:r>
              <w:t>-</w:t>
            </w:r>
            <w:r w:rsidRPr="00C3603B">
              <w:t>$</w:t>
            </w:r>
            <w:r>
              <w:t>4,033</w:t>
            </w:r>
          </w:p>
        </w:tc>
        <w:tc>
          <w:tcPr>
            <w:tcW w:w="1418" w:type="dxa"/>
          </w:tcPr>
          <w:p w14:paraId="459F7650" w14:textId="06773753" w:rsidR="00F84C33" w:rsidRPr="00C3603B" w:rsidRDefault="00F84C33" w:rsidP="00F84C33">
            <w:pPr>
              <w:spacing w:before="60" w:after="60" w:line="276" w:lineRule="auto"/>
              <w:jc w:val="center"/>
              <w:rPr>
                <w:highlight w:val="yellow"/>
              </w:rPr>
            </w:pPr>
            <w:r w:rsidRPr="009E0CCC">
              <w:t>-$4,866</w:t>
            </w:r>
          </w:p>
        </w:tc>
      </w:tr>
    </w:tbl>
    <w:p w14:paraId="5637299C" w14:textId="77777777" w:rsidR="00F914FA" w:rsidRDefault="00F914FA" w:rsidP="00AB5D3B">
      <w:pPr>
        <w:spacing w:line="276" w:lineRule="auto"/>
      </w:pPr>
    </w:p>
    <w:p w14:paraId="1D44280E" w14:textId="77777777" w:rsidR="006A3E88" w:rsidRPr="006D386A" w:rsidRDefault="00A01B27" w:rsidP="00823D9F">
      <w:pPr>
        <w:pStyle w:val="Heading2"/>
        <w:numPr>
          <w:ilvl w:val="0"/>
          <w:numId w:val="0"/>
        </w:numPr>
        <w:spacing w:line="276" w:lineRule="auto"/>
        <w:ind w:left="576" w:hanging="576"/>
        <w:rPr>
          <w:lang w:val="en-US"/>
        </w:rPr>
      </w:pPr>
      <w:bookmarkStart w:id="75" w:name="_Toc516468797"/>
      <w:bookmarkStart w:id="76" w:name="_Toc85106092"/>
      <w:r>
        <w:rPr>
          <w:lang w:val="en-US"/>
        </w:rPr>
        <w:t xml:space="preserve">Table 8 </w:t>
      </w:r>
      <w:r w:rsidR="006A3E88" w:rsidRPr="006D386A">
        <w:rPr>
          <w:lang w:val="en-US"/>
        </w:rPr>
        <w:t>Licensing and Appointments</w:t>
      </w:r>
      <w:bookmarkEnd w:id="75"/>
      <w:bookmarkEnd w:id="76"/>
    </w:p>
    <w:tbl>
      <w:tblPr>
        <w:tblStyle w:val="TableGrid"/>
        <w:tblpPr w:leftFromText="180" w:rightFromText="180" w:vertAnchor="text" w:tblpY="191"/>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85"/>
      </w:tblGrid>
      <w:tr w:rsidR="00A71907" w:rsidRPr="008366B0" w14:paraId="57BCC145" w14:textId="77777777" w:rsidTr="00A95462">
        <w:tc>
          <w:tcPr>
            <w:tcW w:w="9385" w:type="dxa"/>
            <w:shd w:val="clear" w:color="auto" w:fill="auto"/>
            <w:vAlign w:val="center"/>
          </w:tcPr>
          <w:tbl>
            <w:tblPr>
              <w:tblStyle w:val="TableGrid"/>
              <w:tblpPr w:leftFromText="180" w:rightFromText="180" w:vertAnchor="page" w:horzAnchor="margin" w:tblpX="-147" w:tblpY="1"/>
              <w:tblOverlap w:val="never"/>
              <w:tblW w:w="9360" w:type="dxa"/>
              <w:tblLayout w:type="fixed"/>
              <w:tblLook w:val="04A0" w:firstRow="1" w:lastRow="0" w:firstColumn="1" w:lastColumn="0" w:noHBand="0" w:noVBand="1"/>
            </w:tblPr>
            <w:tblGrid>
              <w:gridCol w:w="2274"/>
              <w:gridCol w:w="1417"/>
              <w:gridCol w:w="1418"/>
              <w:gridCol w:w="1417"/>
              <w:gridCol w:w="1417"/>
              <w:gridCol w:w="1417"/>
            </w:tblGrid>
            <w:tr w:rsidR="00C3603B" w:rsidRPr="008366B0" w14:paraId="6FBB3162" w14:textId="4FE5E015" w:rsidTr="00C3603B">
              <w:trPr>
                <w:trHeight w:val="426"/>
              </w:trPr>
              <w:tc>
                <w:tcPr>
                  <w:tcW w:w="2274" w:type="dxa"/>
                  <w:shd w:val="clear" w:color="auto" w:fill="FF0000"/>
                </w:tcPr>
                <w:p w14:paraId="5AC16784" w14:textId="77777777" w:rsidR="00C3603B" w:rsidRPr="005A229D" w:rsidRDefault="00C3603B" w:rsidP="005A229D">
                  <w:pPr>
                    <w:spacing w:beforeLines="60" w:before="144" w:after="60" w:line="276" w:lineRule="auto"/>
                    <w:rPr>
                      <w:b/>
                      <w:color w:val="FFFFFF" w:themeColor="background1"/>
                    </w:rPr>
                  </w:pPr>
                  <w:r>
                    <w:rPr>
                      <w:rFonts w:cs="Arial"/>
                      <w:b/>
                      <w:iCs/>
                      <w:color w:val="FFFFFF" w:themeColor="background1"/>
                      <w:szCs w:val="20"/>
                    </w:rPr>
                    <w:t>$’000s</w:t>
                  </w:r>
                </w:p>
              </w:tc>
              <w:tc>
                <w:tcPr>
                  <w:tcW w:w="1417" w:type="dxa"/>
                  <w:shd w:val="clear" w:color="auto" w:fill="FF0000"/>
                </w:tcPr>
                <w:p w14:paraId="5B1FA5B6" w14:textId="5B3BAC89" w:rsidR="00C3603B" w:rsidRPr="005A229D" w:rsidRDefault="00C3603B" w:rsidP="00B05B46">
                  <w:pPr>
                    <w:spacing w:beforeLines="60" w:before="144" w:after="60" w:line="276" w:lineRule="auto"/>
                    <w:jc w:val="center"/>
                    <w:rPr>
                      <w:b/>
                      <w:color w:val="FFFFFF" w:themeColor="background1"/>
                    </w:rPr>
                  </w:pPr>
                  <w:r w:rsidRPr="001D1065">
                    <w:rPr>
                      <w:rFonts w:cs="Arial"/>
                      <w:b/>
                      <w:iCs/>
                      <w:color w:val="FFFFFF" w:themeColor="background1"/>
                      <w:szCs w:val="20"/>
                    </w:rPr>
                    <w:t>201</w:t>
                  </w:r>
                  <w:r>
                    <w:rPr>
                      <w:rFonts w:cs="Arial"/>
                      <w:b/>
                      <w:iCs/>
                      <w:color w:val="FFFFFF" w:themeColor="background1"/>
                      <w:szCs w:val="20"/>
                    </w:rPr>
                    <w:t>6</w:t>
                  </w:r>
                  <w:r w:rsidRPr="001D1065">
                    <w:rPr>
                      <w:rFonts w:cs="Arial"/>
                      <w:b/>
                      <w:iCs/>
                      <w:color w:val="FFFFFF" w:themeColor="background1"/>
                      <w:szCs w:val="20"/>
                    </w:rPr>
                    <w:t>-1</w:t>
                  </w:r>
                  <w:r>
                    <w:rPr>
                      <w:rFonts w:cs="Arial"/>
                      <w:b/>
                      <w:iCs/>
                      <w:color w:val="FFFFFF" w:themeColor="background1"/>
                      <w:szCs w:val="20"/>
                    </w:rPr>
                    <w:t>7</w:t>
                  </w:r>
                </w:p>
              </w:tc>
              <w:tc>
                <w:tcPr>
                  <w:tcW w:w="1418" w:type="dxa"/>
                  <w:shd w:val="clear" w:color="auto" w:fill="FF0000"/>
                </w:tcPr>
                <w:p w14:paraId="6825209D" w14:textId="329EC690" w:rsidR="00C3603B" w:rsidRPr="005A229D" w:rsidRDefault="00C3603B" w:rsidP="00B05B46">
                  <w:pPr>
                    <w:spacing w:beforeLines="60" w:before="144" w:after="60" w:line="276" w:lineRule="auto"/>
                    <w:jc w:val="center"/>
                    <w:rPr>
                      <w:b/>
                      <w:color w:val="FFFFFF" w:themeColor="background1"/>
                    </w:rPr>
                  </w:pPr>
                  <w:r w:rsidRPr="001D1065">
                    <w:rPr>
                      <w:rFonts w:cs="Arial"/>
                      <w:b/>
                      <w:iCs/>
                      <w:color w:val="FFFFFF" w:themeColor="background1"/>
                      <w:szCs w:val="20"/>
                    </w:rPr>
                    <w:t>201</w:t>
                  </w:r>
                  <w:r>
                    <w:rPr>
                      <w:rFonts w:cs="Arial"/>
                      <w:b/>
                      <w:iCs/>
                      <w:color w:val="FFFFFF" w:themeColor="background1"/>
                      <w:szCs w:val="20"/>
                    </w:rPr>
                    <w:t>7</w:t>
                  </w:r>
                  <w:r w:rsidRPr="001D1065">
                    <w:rPr>
                      <w:rFonts w:cs="Arial"/>
                      <w:b/>
                      <w:iCs/>
                      <w:color w:val="FFFFFF" w:themeColor="background1"/>
                      <w:szCs w:val="20"/>
                    </w:rPr>
                    <w:t>-1</w:t>
                  </w:r>
                  <w:r>
                    <w:rPr>
                      <w:rFonts w:cs="Arial"/>
                      <w:b/>
                      <w:iCs/>
                      <w:color w:val="FFFFFF" w:themeColor="background1"/>
                      <w:szCs w:val="20"/>
                    </w:rPr>
                    <w:t>8</w:t>
                  </w:r>
                </w:p>
              </w:tc>
              <w:tc>
                <w:tcPr>
                  <w:tcW w:w="1417" w:type="dxa"/>
                  <w:shd w:val="clear" w:color="auto" w:fill="FF0000"/>
                </w:tcPr>
                <w:p w14:paraId="73611DA5" w14:textId="1213EC1B" w:rsidR="00C3603B" w:rsidRPr="005A229D" w:rsidRDefault="00C3603B" w:rsidP="00B05B46">
                  <w:pPr>
                    <w:spacing w:beforeLines="60" w:before="144" w:after="60" w:line="276" w:lineRule="auto"/>
                    <w:jc w:val="center"/>
                    <w:rPr>
                      <w:b/>
                      <w:color w:val="FFFFFF" w:themeColor="background1"/>
                    </w:rPr>
                  </w:pPr>
                  <w:r>
                    <w:rPr>
                      <w:rFonts w:cs="Arial"/>
                      <w:b/>
                      <w:iCs/>
                      <w:color w:val="FFFFFF" w:themeColor="background1"/>
                      <w:szCs w:val="20"/>
                    </w:rPr>
                    <w:t>2018-2019</w:t>
                  </w:r>
                </w:p>
              </w:tc>
              <w:tc>
                <w:tcPr>
                  <w:tcW w:w="1417" w:type="dxa"/>
                  <w:shd w:val="clear" w:color="auto" w:fill="FF0000"/>
                </w:tcPr>
                <w:p w14:paraId="30FCB0C5" w14:textId="4A21D1A3" w:rsidR="00C3603B" w:rsidRDefault="00C3603B" w:rsidP="00B05B46">
                  <w:pPr>
                    <w:spacing w:beforeLines="60" w:before="144" w:after="60" w:line="276" w:lineRule="auto"/>
                    <w:jc w:val="center"/>
                    <w:rPr>
                      <w:rFonts w:cs="Arial"/>
                      <w:b/>
                      <w:iCs/>
                      <w:color w:val="FFFFFF" w:themeColor="background1"/>
                      <w:szCs w:val="20"/>
                    </w:rPr>
                  </w:pPr>
                  <w:r w:rsidRPr="00334812">
                    <w:rPr>
                      <w:rFonts w:cs="Arial"/>
                      <w:b/>
                      <w:iCs/>
                      <w:color w:val="FFFFFF" w:themeColor="background1"/>
                      <w:szCs w:val="20"/>
                    </w:rPr>
                    <w:t>2019-2020</w:t>
                  </w:r>
                </w:p>
              </w:tc>
              <w:tc>
                <w:tcPr>
                  <w:tcW w:w="1417" w:type="dxa"/>
                  <w:shd w:val="clear" w:color="auto" w:fill="FF0000"/>
                </w:tcPr>
                <w:p w14:paraId="40D278A5" w14:textId="3F36361D" w:rsidR="00C3603B" w:rsidRPr="00334812" w:rsidRDefault="00914FBB" w:rsidP="00B05B46">
                  <w:pPr>
                    <w:spacing w:beforeLines="60" w:before="144" w:after="60" w:line="276" w:lineRule="auto"/>
                    <w:jc w:val="center"/>
                    <w:rPr>
                      <w:rFonts w:cs="Arial"/>
                      <w:b/>
                      <w:iCs/>
                      <w:color w:val="FFFFFF" w:themeColor="background1"/>
                      <w:szCs w:val="20"/>
                    </w:rPr>
                  </w:pPr>
                  <w:r>
                    <w:rPr>
                      <w:rFonts w:cs="Arial"/>
                      <w:b/>
                      <w:iCs/>
                      <w:color w:val="FFFFFF" w:themeColor="background1"/>
                      <w:szCs w:val="20"/>
                    </w:rPr>
                    <w:t>2020-21</w:t>
                  </w:r>
                </w:p>
              </w:tc>
            </w:tr>
            <w:tr w:rsidR="00914FBB" w:rsidRPr="008366B0" w14:paraId="15357E20" w14:textId="656B24CF" w:rsidTr="00C3603B">
              <w:trPr>
                <w:trHeight w:val="407"/>
              </w:trPr>
              <w:tc>
                <w:tcPr>
                  <w:tcW w:w="2274" w:type="dxa"/>
                  <w:shd w:val="clear" w:color="auto" w:fill="auto"/>
                  <w:vAlign w:val="center"/>
                </w:tcPr>
                <w:p w14:paraId="7B6272E9" w14:textId="77777777" w:rsidR="00914FBB" w:rsidRPr="008366B0" w:rsidRDefault="00914FBB" w:rsidP="00914FBB">
                  <w:pPr>
                    <w:spacing w:before="60" w:after="60" w:line="276" w:lineRule="auto"/>
                    <w:rPr>
                      <w:rFonts w:cs="Arial"/>
                      <w:szCs w:val="20"/>
                    </w:rPr>
                  </w:pPr>
                  <w:r w:rsidRPr="008366B0">
                    <w:rPr>
                      <w:rFonts w:cs="Arial"/>
                      <w:szCs w:val="20"/>
                    </w:rPr>
                    <w:t>Expenses = X</w:t>
                  </w:r>
                </w:p>
              </w:tc>
              <w:tc>
                <w:tcPr>
                  <w:tcW w:w="1417" w:type="dxa"/>
                  <w:shd w:val="clear" w:color="auto" w:fill="auto"/>
                </w:tcPr>
                <w:p w14:paraId="71548A9E" w14:textId="1B72288C" w:rsidR="00914FBB" w:rsidRPr="00C8526D" w:rsidRDefault="00914FBB" w:rsidP="00914FBB">
                  <w:pPr>
                    <w:spacing w:before="60" w:after="60" w:line="276" w:lineRule="auto"/>
                    <w:jc w:val="center"/>
                    <w:rPr>
                      <w:rFonts w:cs="Arial"/>
                      <w:szCs w:val="20"/>
                    </w:rPr>
                  </w:pPr>
                  <w:r w:rsidRPr="00D0364F">
                    <w:rPr>
                      <w:rFonts w:cs="Arial"/>
                      <w:szCs w:val="20"/>
                    </w:rPr>
                    <w:t>$638</w:t>
                  </w:r>
                </w:p>
              </w:tc>
              <w:tc>
                <w:tcPr>
                  <w:tcW w:w="1418" w:type="dxa"/>
                  <w:shd w:val="clear" w:color="auto" w:fill="auto"/>
                </w:tcPr>
                <w:p w14:paraId="5356C243" w14:textId="2455DBC4" w:rsidR="00914FBB" w:rsidRPr="00C8526D" w:rsidRDefault="00914FBB" w:rsidP="00914FBB">
                  <w:pPr>
                    <w:spacing w:before="60" w:after="60" w:line="276" w:lineRule="auto"/>
                    <w:jc w:val="center"/>
                    <w:rPr>
                      <w:rFonts w:cs="Arial"/>
                      <w:szCs w:val="20"/>
                    </w:rPr>
                  </w:pPr>
                  <w:r w:rsidRPr="00D0364F">
                    <w:rPr>
                      <w:rFonts w:cs="Arial"/>
                      <w:szCs w:val="20"/>
                    </w:rPr>
                    <w:t>$686</w:t>
                  </w:r>
                </w:p>
              </w:tc>
              <w:tc>
                <w:tcPr>
                  <w:tcW w:w="1417" w:type="dxa"/>
                  <w:shd w:val="clear" w:color="auto" w:fill="auto"/>
                </w:tcPr>
                <w:p w14:paraId="42676FB6" w14:textId="6413F503" w:rsidR="00914FBB" w:rsidRPr="00C8526D" w:rsidRDefault="00914FBB" w:rsidP="00914FBB">
                  <w:pPr>
                    <w:spacing w:before="60" w:after="60" w:line="276" w:lineRule="auto"/>
                    <w:jc w:val="center"/>
                    <w:rPr>
                      <w:rFonts w:cs="Arial"/>
                      <w:szCs w:val="20"/>
                    </w:rPr>
                  </w:pPr>
                  <w:r w:rsidRPr="00812D14">
                    <w:t>$837</w:t>
                  </w:r>
                </w:p>
              </w:tc>
              <w:tc>
                <w:tcPr>
                  <w:tcW w:w="1417" w:type="dxa"/>
                  <w:shd w:val="clear" w:color="auto" w:fill="auto"/>
                </w:tcPr>
                <w:p w14:paraId="17056510" w14:textId="38D3D3E2" w:rsidR="00914FBB" w:rsidRPr="00C3603B" w:rsidRDefault="00914FBB" w:rsidP="00914FBB">
                  <w:pPr>
                    <w:spacing w:before="60" w:after="60" w:line="276" w:lineRule="auto"/>
                    <w:jc w:val="center"/>
                  </w:pPr>
                  <w:r w:rsidRPr="00C3603B">
                    <w:t>$</w:t>
                  </w:r>
                  <w:r>
                    <w:t>675</w:t>
                  </w:r>
                </w:p>
              </w:tc>
              <w:tc>
                <w:tcPr>
                  <w:tcW w:w="1417" w:type="dxa"/>
                </w:tcPr>
                <w:p w14:paraId="5A70155B" w14:textId="7DEDF24C" w:rsidR="00914FBB" w:rsidRPr="00334812" w:rsidRDefault="00914FBB" w:rsidP="00914FBB">
                  <w:pPr>
                    <w:spacing w:before="60" w:after="60" w:line="276" w:lineRule="auto"/>
                    <w:jc w:val="center"/>
                    <w:rPr>
                      <w:highlight w:val="yellow"/>
                    </w:rPr>
                  </w:pPr>
                  <w:r w:rsidRPr="00796E8F">
                    <w:t>$920</w:t>
                  </w:r>
                </w:p>
              </w:tc>
            </w:tr>
            <w:tr w:rsidR="00914FBB" w:rsidRPr="008366B0" w14:paraId="7D6BDC0B" w14:textId="18F01D13" w:rsidTr="00C3603B">
              <w:trPr>
                <w:trHeight w:val="412"/>
              </w:trPr>
              <w:tc>
                <w:tcPr>
                  <w:tcW w:w="2274" w:type="dxa"/>
                  <w:shd w:val="clear" w:color="auto" w:fill="auto"/>
                  <w:vAlign w:val="center"/>
                </w:tcPr>
                <w:p w14:paraId="40343F68" w14:textId="77777777" w:rsidR="00914FBB" w:rsidRPr="008366B0" w:rsidRDefault="00914FBB" w:rsidP="00914FBB">
                  <w:pPr>
                    <w:spacing w:before="60" w:after="60" w:line="276" w:lineRule="auto"/>
                    <w:rPr>
                      <w:rFonts w:cs="Arial"/>
                      <w:szCs w:val="20"/>
                    </w:rPr>
                  </w:pPr>
                  <w:r w:rsidRPr="008366B0">
                    <w:rPr>
                      <w:rFonts w:cs="Arial"/>
                      <w:szCs w:val="20"/>
                    </w:rPr>
                    <w:t>Revenue = Y</w:t>
                  </w:r>
                </w:p>
              </w:tc>
              <w:tc>
                <w:tcPr>
                  <w:tcW w:w="1417" w:type="dxa"/>
                  <w:shd w:val="clear" w:color="auto" w:fill="auto"/>
                </w:tcPr>
                <w:p w14:paraId="1EF515B3" w14:textId="620115B2" w:rsidR="00914FBB" w:rsidRPr="00C8526D" w:rsidRDefault="00914FBB" w:rsidP="00914FBB">
                  <w:pPr>
                    <w:spacing w:before="60" w:after="60" w:line="276" w:lineRule="auto"/>
                    <w:ind w:left="-173" w:firstLine="173"/>
                    <w:jc w:val="center"/>
                    <w:rPr>
                      <w:rFonts w:cs="Arial"/>
                      <w:szCs w:val="20"/>
                    </w:rPr>
                  </w:pPr>
                  <w:r w:rsidRPr="00D0364F">
                    <w:rPr>
                      <w:rFonts w:cs="Arial"/>
                      <w:szCs w:val="20"/>
                    </w:rPr>
                    <w:t>$427</w:t>
                  </w:r>
                </w:p>
              </w:tc>
              <w:tc>
                <w:tcPr>
                  <w:tcW w:w="1418" w:type="dxa"/>
                  <w:shd w:val="clear" w:color="auto" w:fill="auto"/>
                </w:tcPr>
                <w:p w14:paraId="3B4E3EE2" w14:textId="41BFE5C4" w:rsidR="00914FBB" w:rsidRPr="00C8526D" w:rsidRDefault="00914FBB" w:rsidP="00914FBB">
                  <w:pPr>
                    <w:spacing w:before="60" w:after="60" w:line="276" w:lineRule="auto"/>
                    <w:ind w:left="-173" w:firstLine="173"/>
                    <w:jc w:val="center"/>
                    <w:rPr>
                      <w:rFonts w:cs="Arial"/>
                      <w:szCs w:val="20"/>
                    </w:rPr>
                  </w:pPr>
                  <w:r w:rsidRPr="00D0364F">
                    <w:rPr>
                      <w:rFonts w:cs="Arial"/>
                      <w:szCs w:val="20"/>
                    </w:rPr>
                    <w:t>$433</w:t>
                  </w:r>
                </w:p>
              </w:tc>
              <w:tc>
                <w:tcPr>
                  <w:tcW w:w="1417" w:type="dxa"/>
                  <w:shd w:val="clear" w:color="auto" w:fill="auto"/>
                </w:tcPr>
                <w:p w14:paraId="43CF292F" w14:textId="04BC5F69" w:rsidR="00914FBB" w:rsidRPr="00C8526D" w:rsidRDefault="00914FBB" w:rsidP="00914FBB">
                  <w:pPr>
                    <w:spacing w:before="60" w:after="60" w:line="276" w:lineRule="auto"/>
                    <w:ind w:left="-173" w:firstLine="173"/>
                    <w:jc w:val="center"/>
                    <w:rPr>
                      <w:rFonts w:cs="Arial"/>
                      <w:szCs w:val="20"/>
                    </w:rPr>
                  </w:pPr>
                  <w:r w:rsidRPr="00812D14">
                    <w:t>$404</w:t>
                  </w:r>
                </w:p>
              </w:tc>
              <w:tc>
                <w:tcPr>
                  <w:tcW w:w="1417" w:type="dxa"/>
                  <w:shd w:val="clear" w:color="auto" w:fill="auto"/>
                </w:tcPr>
                <w:p w14:paraId="15EC5802" w14:textId="317450EE" w:rsidR="00914FBB" w:rsidRPr="00C3603B" w:rsidRDefault="00914FBB" w:rsidP="00914FBB">
                  <w:pPr>
                    <w:spacing w:before="60" w:after="60" w:line="276" w:lineRule="auto"/>
                    <w:ind w:left="-173" w:firstLine="173"/>
                    <w:jc w:val="center"/>
                  </w:pPr>
                  <w:r w:rsidRPr="00C3603B">
                    <w:t>$</w:t>
                  </w:r>
                  <w:r>
                    <w:t>444</w:t>
                  </w:r>
                </w:p>
              </w:tc>
              <w:tc>
                <w:tcPr>
                  <w:tcW w:w="1417" w:type="dxa"/>
                </w:tcPr>
                <w:p w14:paraId="4E9833A6" w14:textId="2C7EA791" w:rsidR="00914FBB" w:rsidRPr="00334812" w:rsidRDefault="00914FBB" w:rsidP="00914FBB">
                  <w:pPr>
                    <w:spacing w:before="60" w:after="60" w:line="276" w:lineRule="auto"/>
                    <w:ind w:left="-173" w:firstLine="173"/>
                    <w:jc w:val="center"/>
                    <w:rPr>
                      <w:highlight w:val="yellow"/>
                    </w:rPr>
                  </w:pPr>
                  <w:r w:rsidRPr="00796E8F">
                    <w:t>$499</w:t>
                  </w:r>
                </w:p>
              </w:tc>
            </w:tr>
            <w:tr w:rsidR="00914FBB" w:rsidRPr="008366B0" w14:paraId="4CA03734" w14:textId="400247AA" w:rsidTr="00C3603B">
              <w:trPr>
                <w:trHeight w:val="406"/>
              </w:trPr>
              <w:tc>
                <w:tcPr>
                  <w:tcW w:w="2274" w:type="dxa"/>
                  <w:shd w:val="clear" w:color="auto" w:fill="auto"/>
                  <w:vAlign w:val="center"/>
                </w:tcPr>
                <w:p w14:paraId="2DE58862" w14:textId="77777777" w:rsidR="00914FBB" w:rsidRPr="009819E9" w:rsidRDefault="00914FBB" w:rsidP="00914FBB">
                  <w:pPr>
                    <w:spacing w:before="60" w:after="60" w:line="276" w:lineRule="auto"/>
                    <w:rPr>
                      <w:rFonts w:cs="Arial"/>
                      <w:b/>
                      <w:szCs w:val="20"/>
                    </w:rPr>
                  </w:pPr>
                  <w:r w:rsidRPr="009819E9">
                    <w:rPr>
                      <w:rFonts w:cs="Arial"/>
                      <w:b/>
                      <w:szCs w:val="20"/>
                    </w:rPr>
                    <w:t>Balance = Y – X</w:t>
                  </w:r>
                </w:p>
              </w:tc>
              <w:tc>
                <w:tcPr>
                  <w:tcW w:w="1417" w:type="dxa"/>
                  <w:shd w:val="clear" w:color="auto" w:fill="auto"/>
                </w:tcPr>
                <w:p w14:paraId="49DCE409" w14:textId="3B751932" w:rsidR="00914FBB" w:rsidRPr="00D0364F" w:rsidRDefault="00914FBB" w:rsidP="00914FBB">
                  <w:pPr>
                    <w:spacing w:before="60" w:after="60" w:line="276" w:lineRule="auto"/>
                    <w:jc w:val="center"/>
                    <w:rPr>
                      <w:rFonts w:cs="Arial"/>
                      <w:szCs w:val="20"/>
                    </w:rPr>
                  </w:pPr>
                  <w:r w:rsidRPr="00D0364F">
                    <w:rPr>
                      <w:rFonts w:cs="Arial"/>
                      <w:szCs w:val="20"/>
                    </w:rPr>
                    <w:t>-$211</w:t>
                  </w:r>
                </w:p>
              </w:tc>
              <w:tc>
                <w:tcPr>
                  <w:tcW w:w="1418" w:type="dxa"/>
                  <w:shd w:val="clear" w:color="auto" w:fill="auto"/>
                </w:tcPr>
                <w:p w14:paraId="3A24F9FF" w14:textId="40EC2544" w:rsidR="00914FBB" w:rsidRPr="00D0364F" w:rsidRDefault="00914FBB" w:rsidP="00914FBB">
                  <w:pPr>
                    <w:spacing w:before="60" w:after="60" w:line="276" w:lineRule="auto"/>
                    <w:jc w:val="center"/>
                    <w:rPr>
                      <w:rFonts w:cs="Arial"/>
                      <w:szCs w:val="20"/>
                    </w:rPr>
                  </w:pPr>
                  <w:r w:rsidRPr="00D0364F">
                    <w:rPr>
                      <w:rFonts w:cs="Arial"/>
                      <w:szCs w:val="20"/>
                    </w:rPr>
                    <w:t>-$253</w:t>
                  </w:r>
                </w:p>
              </w:tc>
              <w:tc>
                <w:tcPr>
                  <w:tcW w:w="1417" w:type="dxa"/>
                  <w:shd w:val="clear" w:color="auto" w:fill="auto"/>
                </w:tcPr>
                <w:p w14:paraId="379790F1" w14:textId="57AC130E" w:rsidR="00914FBB" w:rsidRPr="00D0364F" w:rsidRDefault="00914FBB" w:rsidP="00914FBB">
                  <w:pPr>
                    <w:spacing w:before="60" w:after="60" w:line="276" w:lineRule="auto"/>
                    <w:jc w:val="center"/>
                    <w:rPr>
                      <w:rFonts w:cs="Arial"/>
                      <w:szCs w:val="20"/>
                    </w:rPr>
                  </w:pPr>
                  <w:r w:rsidRPr="00812D14">
                    <w:t>-$433</w:t>
                  </w:r>
                </w:p>
              </w:tc>
              <w:tc>
                <w:tcPr>
                  <w:tcW w:w="1417" w:type="dxa"/>
                  <w:shd w:val="clear" w:color="auto" w:fill="auto"/>
                </w:tcPr>
                <w:p w14:paraId="394269F5" w14:textId="52A280DB" w:rsidR="00914FBB" w:rsidRPr="00C3603B" w:rsidRDefault="00914FBB" w:rsidP="00914FBB">
                  <w:pPr>
                    <w:spacing w:before="60" w:after="60" w:line="276" w:lineRule="auto"/>
                    <w:jc w:val="center"/>
                  </w:pPr>
                  <w:r>
                    <w:t>-</w:t>
                  </w:r>
                  <w:r w:rsidRPr="00C3603B">
                    <w:t>$</w:t>
                  </w:r>
                  <w:r>
                    <w:t>231</w:t>
                  </w:r>
                </w:p>
              </w:tc>
              <w:tc>
                <w:tcPr>
                  <w:tcW w:w="1417" w:type="dxa"/>
                </w:tcPr>
                <w:p w14:paraId="32840EDD" w14:textId="21F461AC" w:rsidR="00914FBB" w:rsidRPr="00334812" w:rsidRDefault="00914FBB" w:rsidP="00914FBB">
                  <w:pPr>
                    <w:spacing w:before="60" w:after="60" w:line="276" w:lineRule="auto"/>
                    <w:jc w:val="center"/>
                    <w:rPr>
                      <w:highlight w:val="yellow"/>
                    </w:rPr>
                  </w:pPr>
                  <w:r w:rsidRPr="00796E8F">
                    <w:t>-$422</w:t>
                  </w:r>
                </w:p>
              </w:tc>
            </w:tr>
            <w:tr w:rsidR="00914FBB" w:rsidRPr="008366B0" w14:paraId="61F9467D" w14:textId="0F3B006A" w:rsidTr="00C3603B">
              <w:trPr>
                <w:trHeight w:val="340"/>
              </w:trPr>
              <w:tc>
                <w:tcPr>
                  <w:tcW w:w="2274" w:type="dxa"/>
                  <w:shd w:val="clear" w:color="auto" w:fill="auto"/>
                  <w:vAlign w:val="center"/>
                </w:tcPr>
                <w:p w14:paraId="3972B4EF" w14:textId="77777777" w:rsidR="00914FBB" w:rsidRPr="008366B0" w:rsidRDefault="00914FBB" w:rsidP="00914FBB">
                  <w:pPr>
                    <w:spacing w:before="60" w:after="60" w:line="276" w:lineRule="auto"/>
                    <w:rPr>
                      <w:rFonts w:cs="Arial"/>
                      <w:szCs w:val="20"/>
                    </w:rPr>
                  </w:pPr>
                  <w:r w:rsidRPr="008366B0">
                    <w:rPr>
                      <w:rFonts w:cs="Arial"/>
                      <w:szCs w:val="20"/>
                    </w:rPr>
                    <w:t>Cumulative balance</w:t>
                  </w:r>
                </w:p>
              </w:tc>
              <w:tc>
                <w:tcPr>
                  <w:tcW w:w="1417" w:type="dxa"/>
                  <w:shd w:val="clear" w:color="auto" w:fill="auto"/>
                </w:tcPr>
                <w:p w14:paraId="12B21BA4" w14:textId="11AAAB8C" w:rsidR="00914FBB" w:rsidRPr="00D0364F" w:rsidRDefault="00914FBB" w:rsidP="00914FBB">
                  <w:pPr>
                    <w:spacing w:before="60" w:after="60" w:line="276" w:lineRule="auto"/>
                    <w:jc w:val="center"/>
                    <w:rPr>
                      <w:rFonts w:cs="Arial"/>
                      <w:szCs w:val="20"/>
                    </w:rPr>
                  </w:pPr>
                  <w:r w:rsidRPr="00D0364F">
                    <w:rPr>
                      <w:rFonts w:cs="Arial"/>
                      <w:szCs w:val="20"/>
                    </w:rPr>
                    <w:t>-$</w:t>
                  </w:r>
                  <w:r>
                    <w:rPr>
                      <w:rFonts w:cs="Arial"/>
                      <w:szCs w:val="20"/>
                    </w:rPr>
                    <w:t>211</w:t>
                  </w:r>
                </w:p>
              </w:tc>
              <w:tc>
                <w:tcPr>
                  <w:tcW w:w="1418" w:type="dxa"/>
                  <w:shd w:val="clear" w:color="auto" w:fill="auto"/>
                </w:tcPr>
                <w:p w14:paraId="55DB1441" w14:textId="5B83C863" w:rsidR="00914FBB" w:rsidRPr="00D0364F" w:rsidRDefault="00914FBB" w:rsidP="00914FBB">
                  <w:pPr>
                    <w:spacing w:before="60" w:after="60" w:line="276" w:lineRule="auto"/>
                    <w:jc w:val="center"/>
                    <w:rPr>
                      <w:rFonts w:cs="Arial"/>
                      <w:szCs w:val="20"/>
                    </w:rPr>
                  </w:pPr>
                  <w:r w:rsidRPr="00D0364F">
                    <w:rPr>
                      <w:rFonts w:cs="Arial"/>
                      <w:szCs w:val="20"/>
                    </w:rPr>
                    <w:t>-$</w:t>
                  </w:r>
                  <w:r>
                    <w:rPr>
                      <w:rFonts w:cs="Arial"/>
                      <w:szCs w:val="20"/>
                    </w:rPr>
                    <w:t>464</w:t>
                  </w:r>
                </w:p>
              </w:tc>
              <w:tc>
                <w:tcPr>
                  <w:tcW w:w="1417" w:type="dxa"/>
                  <w:shd w:val="clear" w:color="auto" w:fill="auto"/>
                </w:tcPr>
                <w:p w14:paraId="50A4EBDC" w14:textId="69AB7673" w:rsidR="00914FBB" w:rsidRPr="00D0364F" w:rsidRDefault="00914FBB" w:rsidP="00914FBB">
                  <w:pPr>
                    <w:spacing w:before="60" w:after="60" w:line="276" w:lineRule="auto"/>
                    <w:jc w:val="center"/>
                    <w:rPr>
                      <w:rFonts w:cs="Arial"/>
                      <w:szCs w:val="20"/>
                    </w:rPr>
                  </w:pPr>
                  <w:r w:rsidRPr="00812D14">
                    <w:t>-$</w:t>
                  </w:r>
                  <w:r>
                    <w:t>897</w:t>
                  </w:r>
                </w:p>
              </w:tc>
              <w:tc>
                <w:tcPr>
                  <w:tcW w:w="1417" w:type="dxa"/>
                  <w:shd w:val="clear" w:color="auto" w:fill="auto"/>
                </w:tcPr>
                <w:p w14:paraId="2C40653E" w14:textId="17347613" w:rsidR="00914FBB" w:rsidRPr="00C3603B" w:rsidRDefault="00914FBB" w:rsidP="00914FBB">
                  <w:pPr>
                    <w:spacing w:before="60" w:after="60" w:line="276" w:lineRule="auto"/>
                    <w:jc w:val="center"/>
                  </w:pPr>
                  <w:r>
                    <w:t>-</w:t>
                  </w:r>
                  <w:r w:rsidRPr="00C3603B">
                    <w:t>$1,128</w:t>
                  </w:r>
                </w:p>
              </w:tc>
              <w:tc>
                <w:tcPr>
                  <w:tcW w:w="1417" w:type="dxa"/>
                </w:tcPr>
                <w:p w14:paraId="658BAAF6" w14:textId="22A46146" w:rsidR="00914FBB" w:rsidRPr="00334812" w:rsidRDefault="00914FBB" w:rsidP="00914FBB">
                  <w:pPr>
                    <w:spacing w:before="60" w:after="60" w:line="276" w:lineRule="auto"/>
                    <w:jc w:val="center"/>
                    <w:rPr>
                      <w:highlight w:val="yellow"/>
                    </w:rPr>
                  </w:pPr>
                  <w:r w:rsidRPr="00796E8F">
                    <w:t>-$1,549</w:t>
                  </w:r>
                </w:p>
              </w:tc>
            </w:tr>
          </w:tbl>
          <w:p w14:paraId="33121502" w14:textId="77777777" w:rsidR="006A3E88" w:rsidRPr="006A3E88" w:rsidRDefault="006A3E88" w:rsidP="00A01B27">
            <w:pPr>
              <w:spacing w:line="276" w:lineRule="auto"/>
              <w:rPr>
                <w:rFonts w:cs="Arial"/>
                <w:b/>
                <w:szCs w:val="20"/>
              </w:rPr>
            </w:pPr>
          </w:p>
        </w:tc>
      </w:tr>
    </w:tbl>
    <w:p w14:paraId="7F4F6235" w14:textId="77777777" w:rsidR="00EE4F30" w:rsidRPr="00FB6FEE" w:rsidRDefault="009263B0" w:rsidP="000B06BE">
      <w:pPr>
        <w:pStyle w:val="Heading1"/>
        <w:numPr>
          <w:ilvl w:val="0"/>
          <w:numId w:val="0"/>
        </w:numPr>
      </w:pPr>
      <w:bookmarkStart w:id="77" w:name="_Toc516468798"/>
      <w:bookmarkStart w:id="78" w:name="_Toc85106093"/>
      <w:r>
        <w:t>7B</w:t>
      </w:r>
      <w:r>
        <w:tab/>
      </w:r>
      <w:r w:rsidR="00EE4F30" w:rsidRPr="00FB6FEE">
        <w:t>NON-</w:t>
      </w:r>
      <w:r w:rsidR="00EE4F30" w:rsidRPr="000250B6">
        <w:t>FINANCIAL</w:t>
      </w:r>
      <w:r w:rsidR="00EE4F30" w:rsidRPr="00FB6FEE">
        <w:t xml:space="preserve"> PERFORMANC</w:t>
      </w:r>
      <w:r w:rsidR="00E06B6F">
        <w:t>E</w:t>
      </w:r>
      <w:bookmarkEnd w:id="77"/>
      <w:bookmarkEnd w:id="78"/>
      <w:r w:rsidR="00EE4F30" w:rsidRPr="00FB6FEE">
        <w:t xml:space="preserve"> </w:t>
      </w:r>
    </w:p>
    <w:p w14:paraId="23778BE8" w14:textId="77777777" w:rsidR="00C66899" w:rsidRPr="005A229D" w:rsidRDefault="00C66899" w:rsidP="007C1D01">
      <w:pPr>
        <w:rPr>
          <w:lang w:val="en-US"/>
        </w:rPr>
      </w:pPr>
      <w:bookmarkStart w:id="79" w:name="_Toc516468799"/>
      <w:r w:rsidRPr="005A229D">
        <w:rPr>
          <w:lang w:val="en-US"/>
        </w:rPr>
        <w:t>NMI</w:t>
      </w:r>
      <w:r>
        <w:rPr>
          <w:lang w:val="en-US"/>
        </w:rPr>
        <w:t>’s activities contribute to</w:t>
      </w:r>
      <w:r w:rsidR="003B691E">
        <w:rPr>
          <w:lang w:val="en-US"/>
        </w:rPr>
        <w:t xml:space="preserve">wards </w:t>
      </w:r>
      <w:r w:rsidRPr="00C66899">
        <w:rPr>
          <w:lang w:val="en-US"/>
        </w:rPr>
        <w:t xml:space="preserve">Australia’s national system of measurement </w:t>
      </w:r>
      <w:r w:rsidR="003B691E">
        <w:rPr>
          <w:lang w:val="en-US"/>
        </w:rPr>
        <w:t>being</w:t>
      </w:r>
      <w:r w:rsidRPr="00C66899">
        <w:rPr>
          <w:lang w:val="en-US"/>
        </w:rPr>
        <w:t xml:space="preserve"> trusted nationally and internationally</w:t>
      </w:r>
      <w:r>
        <w:rPr>
          <w:lang w:val="en-US"/>
        </w:rPr>
        <w:t>. NMI’s overall performance against that measure is reported in the Department of Industry, Innovating and Science’s Annual Report</w:t>
      </w:r>
      <w:r w:rsidR="00AE17A5">
        <w:rPr>
          <w:lang w:val="en-US"/>
        </w:rPr>
        <w:t>.</w:t>
      </w:r>
      <w:r>
        <w:rPr>
          <w:lang w:val="en-US"/>
        </w:rPr>
        <w:t xml:space="preserve"> </w:t>
      </w:r>
    </w:p>
    <w:p w14:paraId="3C3F187A" w14:textId="77777777" w:rsidR="00EE4F30" w:rsidRPr="008D6983" w:rsidRDefault="00EE4F30" w:rsidP="000250B6">
      <w:pPr>
        <w:pStyle w:val="Heading2"/>
        <w:numPr>
          <w:ilvl w:val="0"/>
          <w:numId w:val="0"/>
        </w:numPr>
        <w:spacing w:line="276" w:lineRule="auto"/>
        <w:rPr>
          <w:lang w:val="en-US"/>
        </w:rPr>
      </w:pPr>
      <w:bookmarkStart w:id="80" w:name="_Toc85106094"/>
      <w:r w:rsidRPr="008D6983">
        <w:rPr>
          <w:lang w:val="en-US"/>
        </w:rPr>
        <w:t>Pattern Approval</w:t>
      </w:r>
      <w:bookmarkEnd w:id="79"/>
      <w:bookmarkEnd w:id="80"/>
    </w:p>
    <w:p w14:paraId="5B9AC7F3" w14:textId="49D8BA6D" w:rsidR="00EE4F30" w:rsidRPr="008D6983" w:rsidRDefault="00EE4F30" w:rsidP="00AB5D3B">
      <w:pPr>
        <w:spacing w:before="120" w:line="276" w:lineRule="auto"/>
        <w:rPr>
          <w:rFonts w:cs="Arial"/>
          <w:szCs w:val="20"/>
          <w:lang w:val="en-US"/>
        </w:rPr>
      </w:pPr>
      <w:r w:rsidRPr="008D6983">
        <w:rPr>
          <w:rFonts w:cs="Arial"/>
          <w:szCs w:val="20"/>
          <w:lang w:val="en-US"/>
        </w:rPr>
        <w:t xml:space="preserve">The number of certificates prepared varies with demand. Between </w:t>
      </w:r>
      <w:r w:rsidR="00131AC8" w:rsidRPr="008D6983">
        <w:rPr>
          <w:rFonts w:cs="Arial"/>
          <w:szCs w:val="20"/>
          <w:lang w:val="en-US"/>
        </w:rPr>
        <w:t xml:space="preserve">120 </w:t>
      </w:r>
      <w:r w:rsidRPr="008D6983">
        <w:rPr>
          <w:rFonts w:cs="Arial"/>
          <w:szCs w:val="20"/>
          <w:lang w:val="en-US"/>
        </w:rPr>
        <w:t xml:space="preserve">and </w:t>
      </w:r>
      <w:r w:rsidR="004359B3" w:rsidRPr="008D6983">
        <w:rPr>
          <w:rFonts w:cs="Arial"/>
          <w:szCs w:val="20"/>
          <w:lang w:val="en-US"/>
        </w:rPr>
        <w:t xml:space="preserve">180 </w:t>
      </w:r>
      <w:r w:rsidRPr="008D6983">
        <w:rPr>
          <w:rFonts w:cs="Arial"/>
          <w:szCs w:val="20"/>
          <w:lang w:val="en-US"/>
        </w:rPr>
        <w:t>certificates were prepared in each of the last three years.</w:t>
      </w:r>
    </w:p>
    <w:p w14:paraId="5BF5A7FE" w14:textId="77777777" w:rsidR="00EE4F30" w:rsidRPr="008D6983" w:rsidRDefault="00EE4F30" w:rsidP="00AB5D3B">
      <w:pPr>
        <w:spacing w:before="120" w:line="276" w:lineRule="auto"/>
        <w:rPr>
          <w:rFonts w:cs="Arial"/>
          <w:szCs w:val="20"/>
          <w:lang w:val="en-US"/>
        </w:rPr>
      </w:pPr>
      <w:r w:rsidRPr="008D6983">
        <w:rPr>
          <w:rFonts w:cs="Arial"/>
          <w:szCs w:val="20"/>
          <w:lang w:val="en-US"/>
        </w:rPr>
        <w:t>Laboratory accreditation through the National Association of Testing Laboratories has been maintained.</w:t>
      </w:r>
    </w:p>
    <w:p w14:paraId="7A3A98A2" w14:textId="77777777" w:rsidR="00EE4F30" w:rsidRPr="008D6983" w:rsidRDefault="00EE4F30" w:rsidP="00AB5D3B">
      <w:pPr>
        <w:spacing w:before="120" w:line="276" w:lineRule="auto"/>
        <w:rPr>
          <w:rFonts w:cs="Arial"/>
          <w:szCs w:val="20"/>
          <w:lang w:val="en-US"/>
        </w:rPr>
      </w:pPr>
      <w:r w:rsidRPr="008D6983">
        <w:rPr>
          <w:rFonts w:cs="Arial"/>
          <w:szCs w:val="20"/>
          <w:lang w:val="en-US"/>
        </w:rPr>
        <w:t>Suitable bilateral and multilateral arrangements are in place to support mutual recognition of testing performed within the scope of agreements with international partners and to enhance alignment with international specifications, where possible.</w:t>
      </w:r>
    </w:p>
    <w:p w14:paraId="34FE6521" w14:textId="77777777" w:rsidR="00EE4F30" w:rsidRPr="008D6983" w:rsidRDefault="00EE4F30" w:rsidP="000250B6">
      <w:pPr>
        <w:pStyle w:val="Heading2"/>
        <w:numPr>
          <w:ilvl w:val="0"/>
          <w:numId w:val="0"/>
        </w:numPr>
        <w:spacing w:line="276" w:lineRule="auto"/>
        <w:rPr>
          <w:lang w:val="en-US"/>
        </w:rPr>
      </w:pPr>
      <w:bookmarkStart w:id="81" w:name="_Toc516468800"/>
      <w:bookmarkStart w:id="82" w:name="_Toc85106095"/>
      <w:r w:rsidRPr="008D6983">
        <w:rPr>
          <w:lang w:val="en-US"/>
        </w:rPr>
        <w:t>Licensing and Appointments</w:t>
      </w:r>
      <w:bookmarkEnd w:id="81"/>
      <w:bookmarkEnd w:id="82"/>
    </w:p>
    <w:p w14:paraId="1E7A7A95" w14:textId="4BBFCA5A" w:rsidR="00EE4F30" w:rsidRDefault="00EE4F30" w:rsidP="00AB5D3B">
      <w:pPr>
        <w:spacing w:before="120" w:line="276" w:lineRule="auto"/>
        <w:rPr>
          <w:rFonts w:cs="Arial"/>
          <w:szCs w:val="20"/>
          <w:lang w:val="en-US"/>
        </w:rPr>
      </w:pPr>
      <w:r w:rsidRPr="008D6983">
        <w:rPr>
          <w:rFonts w:cs="Arial"/>
          <w:szCs w:val="20"/>
          <w:lang w:val="en-US"/>
        </w:rPr>
        <w:t xml:space="preserve">There are over </w:t>
      </w:r>
      <w:r w:rsidR="00131AC8" w:rsidRPr="008D6983">
        <w:rPr>
          <w:rFonts w:cs="Arial"/>
          <w:szCs w:val="20"/>
          <w:lang w:val="en-US"/>
        </w:rPr>
        <w:t xml:space="preserve">550 </w:t>
      </w:r>
      <w:r w:rsidRPr="008D6983">
        <w:rPr>
          <w:rFonts w:cs="Arial"/>
          <w:szCs w:val="20"/>
          <w:lang w:val="en-US"/>
        </w:rPr>
        <w:t xml:space="preserve">licensees and over </w:t>
      </w:r>
      <w:r w:rsidR="00131AC8" w:rsidRPr="008D6983">
        <w:rPr>
          <w:rFonts w:cs="Arial"/>
          <w:szCs w:val="20"/>
          <w:lang w:val="en-US"/>
        </w:rPr>
        <w:t xml:space="preserve">70 </w:t>
      </w:r>
      <w:r w:rsidRPr="008D6983">
        <w:rPr>
          <w:rFonts w:cs="Arial"/>
          <w:szCs w:val="20"/>
          <w:lang w:val="en-US"/>
        </w:rPr>
        <w:t xml:space="preserve">legal metrology authorities. Servicing licensees employ around </w:t>
      </w:r>
      <w:r w:rsidR="00131AC8" w:rsidRPr="008D6983">
        <w:rPr>
          <w:rFonts w:cs="Arial"/>
          <w:szCs w:val="20"/>
          <w:lang w:val="en-US"/>
        </w:rPr>
        <w:t xml:space="preserve">1400 </w:t>
      </w:r>
      <w:r w:rsidRPr="008D6983">
        <w:rPr>
          <w:rFonts w:cs="Arial"/>
          <w:szCs w:val="20"/>
          <w:lang w:val="en-US"/>
        </w:rPr>
        <w:t>verifiers.</w:t>
      </w:r>
    </w:p>
    <w:p w14:paraId="5BBD6691" w14:textId="77777777" w:rsidR="00437B98" w:rsidRDefault="00437B98">
      <w:pPr>
        <w:spacing w:after="200" w:line="276" w:lineRule="auto"/>
        <w:rPr>
          <w:rFonts w:eastAsia="Arial"/>
          <w:b/>
          <w:iCs/>
          <w:sz w:val="28"/>
          <w:lang w:val="en-US"/>
        </w:rPr>
      </w:pPr>
      <w:r>
        <w:rPr>
          <w:rFonts w:eastAsia="Arial"/>
        </w:rPr>
        <w:br w:type="page"/>
      </w:r>
    </w:p>
    <w:p w14:paraId="0C14AA9C" w14:textId="77777777" w:rsidR="00A95462" w:rsidRPr="00695E7B" w:rsidRDefault="00B67643" w:rsidP="00DE02AA">
      <w:pPr>
        <w:pStyle w:val="Heading1"/>
        <w:numPr>
          <w:ilvl w:val="0"/>
          <w:numId w:val="15"/>
        </w:numPr>
        <w:rPr>
          <w:rFonts w:eastAsia="Arial"/>
        </w:rPr>
      </w:pPr>
      <w:bookmarkStart w:id="83" w:name="_Toc516468801"/>
      <w:bookmarkStart w:id="84" w:name="_Toc85106096"/>
      <w:r w:rsidRPr="00695E7B">
        <w:rPr>
          <w:rFonts w:eastAsia="Arial"/>
        </w:rPr>
        <w:lastRenderedPageBreak/>
        <w:t>Key Dates and Events</w:t>
      </w:r>
      <w:bookmarkEnd w:id="83"/>
      <w:bookmarkEnd w:id="84"/>
    </w:p>
    <w:p w14:paraId="0FE1E5A9" w14:textId="77777777" w:rsidR="00B67643" w:rsidRPr="00B67643" w:rsidRDefault="00B67643" w:rsidP="00AB5D3B">
      <w:pPr>
        <w:spacing w:line="276" w:lineRule="auto"/>
        <w:rPr>
          <w:rFonts w:eastAsia="Arial"/>
          <w:lang w:val="en-US"/>
        </w:rPr>
      </w:pPr>
    </w:p>
    <w:tbl>
      <w:tblPr>
        <w:tblStyle w:val="TableGrid"/>
        <w:tblW w:w="9209" w:type="dxa"/>
        <w:tblLook w:val="04A0" w:firstRow="1" w:lastRow="0" w:firstColumn="1" w:lastColumn="0" w:noHBand="0" w:noVBand="1"/>
      </w:tblPr>
      <w:tblGrid>
        <w:gridCol w:w="2122"/>
        <w:gridCol w:w="7087"/>
      </w:tblGrid>
      <w:tr w:rsidR="00B67643" w14:paraId="08EAF452" w14:textId="77777777" w:rsidTr="006C1DCD">
        <w:tc>
          <w:tcPr>
            <w:tcW w:w="2122" w:type="dxa"/>
          </w:tcPr>
          <w:p w14:paraId="683446B4" w14:textId="77777777" w:rsidR="00B67643" w:rsidRPr="00A91339" w:rsidRDefault="00B67643" w:rsidP="00AB5D3B">
            <w:pPr>
              <w:spacing w:before="120" w:after="120" w:line="276" w:lineRule="auto"/>
              <w:rPr>
                <w:rFonts w:eastAsia="Arial" w:cs="Arial"/>
                <w:b/>
                <w:szCs w:val="20"/>
              </w:rPr>
            </w:pPr>
            <w:r w:rsidRPr="00A91339">
              <w:rPr>
                <w:rFonts w:eastAsia="Arial" w:cs="Arial"/>
                <w:b/>
                <w:szCs w:val="20"/>
              </w:rPr>
              <w:t>Date</w:t>
            </w:r>
          </w:p>
        </w:tc>
        <w:tc>
          <w:tcPr>
            <w:tcW w:w="7087" w:type="dxa"/>
          </w:tcPr>
          <w:p w14:paraId="38895E14" w14:textId="77777777" w:rsidR="00B67643" w:rsidRPr="00B67643" w:rsidRDefault="00B67643" w:rsidP="00AB5D3B">
            <w:pPr>
              <w:spacing w:before="120" w:after="120" w:line="276" w:lineRule="auto"/>
              <w:rPr>
                <w:rFonts w:eastAsia="Arial" w:cs="Arial"/>
                <w:b/>
                <w:szCs w:val="20"/>
              </w:rPr>
            </w:pPr>
            <w:r w:rsidRPr="00B67643">
              <w:rPr>
                <w:rFonts w:eastAsia="Arial" w:cs="Arial"/>
                <w:b/>
                <w:szCs w:val="20"/>
              </w:rPr>
              <w:t>Event</w:t>
            </w:r>
          </w:p>
        </w:tc>
      </w:tr>
      <w:tr w:rsidR="00945B1B" w:rsidRPr="00465D27" w14:paraId="036E6647" w14:textId="77777777" w:rsidTr="00945B1B">
        <w:tc>
          <w:tcPr>
            <w:tcW w:w="2122" w:type="dxa"/>
          </w:tcPr>
          <w:p w14:paraId="1D5297F6" w14:textId="77777777" w:rsidR="00945B1B" w:rsidRPr="00945B1B" w:rsidRDefault="003E2C95" w:rsidP="00684B77">
            <w:pPr>
              <w:spacing w:before="120" w:after="120" w:line="276" w:lineRule="auto"/>
              <w:rPr>
                <w:rFonts w:eastAsia="Arial" w:cs="Arial"/>
                <w:szCs w:val="20"/>
              </w:rPr>
            </w:pPr>
            <w:r>
              <w:rPr>
                <w:rFonts w:eastAsia="Arial" w:cs="Arial"/>
                <w:szCs w:val="20"/>
              </w:rPr>
              <w:t xml:space="preserve">1 September </w:t>
            </w:r>
            <w:r w:rsidR="00684B77">
              <w:rPr>
                <w:rFonts w:eastAsia="Arial" w:cs="Arial"/>
                <w:szCs w:val="20"/>
              </w:rPr>
              <w:t>every year</w:t>
            </w:r>
          </w:p>
        </w:tc>
        <w:tc>
          <w:tcPr>
            <w:tcW w:w="7087" w:type="dxa"/>
          </w:tcPr>
          <w:p w14:paraId="049C8386" w14:textId="77777777" w:rsidR="00945B1B" w:rsidRPr="00945B1B" w:rsidRDefault="00684B77" w:rsidP="00684B77">
            <w:pPr>
              <w:spacing w:before="120" w:after="120" w:line="276" w:lineRule="auto"/>
              <w:rPr>
                <w:rFonts w:eastAsia="Arial" w:cs="Arial"/>
                <w:szCs w:val="20"/>
              </w:rPr>
            </w:pPr>
            <w:r>
              <w:rPr>
                <w:rFonts w:eastAsia="Arial" w:cs="Arial"/>
                <w:szCs w:val="20"/>
              </w:rPr>
              <w:t>Review and u</w:t>
            </w:r>
            <w:r w:rsidR="00945B1B" w:rsidRPr="00945B1B">
              <w:rPr>
                <w:rFonts w:eastAsia="Arial" w:cs="Arial"/>
                <w:szCs w:val="20"/>
              </w:rPr>
              <w:t xml:space="preserve">pdate key performance indicators, </w:t>
            </w:r>
            <w:r>
              <w:rPr>
                <w:rFonts w:eastAsia="Arial" w:cs="Arial"/>
                <w:szCs w:val="20"/>
              </w:rPr>
              <w:t xml:space="preserve">volume forecasts, </w:t>
            </w:r>
            <w:r w:rsidR="00945B1B" w:rsidRPr="00945B1B">
              <w:rPr>
                <w:rFonts w:eastAsia="Arial" w:cs="Arial"/>
                <w:szCs w:val="20"/>
              </w:rPr>
              <w:t xml:space="preserve">financial forecasts and results. </w:t>
            </w:r>
          </w:p>
        </w:tc>
      </w:tr>
      <w:tr w:rsidR="00CB5ACA" w:rsidRPr="00465D27" w:rsidDel="00684B77" w14:paraId="28F61AA5" w14:textId="77777777" w:rsidTr="00945B1B">
        <w:tc>
          <w:tcPr>
            <w:tcW w:w="2122" w:type="dxa"/>
          </w:tcPr>
          <w:p w14:paraId="3D5666EB" w14:textId="77777777" w:rsidR="00CB5ACA" w:rsidDel="00684B77" w:rsidRDefault="00CB5ACA" w:rsidP="00651990">
            <w:pPr>
              <w:spacing w:before="120" w:after="120" w:line="276" w:lineRule="auto"/>
              <w:rPr>
                <w:rFonts w:eastAsia="Arial" w:cs="Arial"/>
                <w:szCs w:val="20"/>
              </w:rPr>
            </w:pPr>
            <w:r>
              <w:rPr>
                <w:rFonts w:eastAsia="Arial" w:cs="Arial"/>
                <w:szCs w:val="20"/>
              </w:rPr>
              <w:t>Ongoing</w:t>
            </w:r>
            <w:r w:rsidR="000A13AE">
              <w:rPr>
                <w:rFonts w:eastAsia="Arial" w:cs="Arial"/>
                <w:szCs w:val="20"/>
              </w:rPr>
              <w:t xml:space="preserve"> </w:t>
            </w:r>
            <w:r w:rsidR="00651990">
              <w:rPr>
                <w:rFonts w:eastAsia="Arial" w:cs="Arial"/>
                <w:szCs w:val="20"/>
              </w:rPr>
              <w:t>to 2020</w:t>
            </w:r>
            <w:r>
              <w:rPr>
                <w:rFonts w:eastAsia="Arial" w:cs="Arial"/>
                <w:szCs w:val="20"/>
              </w:rPr>
              <w:t xml:space="preserve"> </w:t>
            </w:r>
          </w:p>
        </w:tc>
        <w:tc>
          <w:tcPr>
            <w:tcW w:w="7087" w:type="dxa"/>
          </w:tcPr>
          <w:p w14:paraId="36B716E5" w14:textId="40EF28F3" w:rsidR="00CB5ACA" w:rsidRPr="00945B1B" w:rsidDel="00684B77" w:rsidRDefault="00CB5ACA" w:rsidP="00BE702C">
            <w:pPr>
              <w:spacing w:before="120" w:after="120" w:line="276" w:lineRule="auto"/>
              <w:rPr>
                <w:rFonts w:eastAsia="Arial" w:cs="Arial"/>
                <w:szCs w:val="20"/>
              </w:rPr>
            </w:pPr>
            <w:r>
              <w:rPr>
                <w:rFonts w:eastAsia="Arial" w:cs="Arial"/>
                <w:szCs w:val="20"/>
              </w:rPr>
              <w:t>Ongoing Public consultations on measurement law review. Refer to the website</w:t>
            </w:r>
            <w:r w:rsidR="00611556">
              <w:rPr>
                <w:rFonts w:eastAsia="Arial" w:cs="Arial"/>
                <w:szCs w:val="20"/>
              </w:rPr>
              <w:t xml:space="preserve"> </w:t>
            </w:r>
            <w:r w:rsidRPr="00CB5ACA">
              <w:rPr>
                <w:rFonts w:eastAsia="Arial" w:cs="Arial"/>
                <w:szCs w:val="20"/>
              </w:rPr>
              <w:t>industry.gov.au/data-and-publications/measurement-law-review</w:t>
            </w:r>
          </w:p>
        </w:tc>
      </w:tr>
    </w:tbl>
    <w:p w14:paraId="0469026A" w14:textId="77777777" w:rsidR="00A95462" w:rsidRPr="008366B0" w:rsidRDefault="00A95462" w:rsidP="00AB5D3B">
      <w:pPr>
        <w:spacing w:after="120" w:line="276" w:lineRule="auto"/>
        <w:rPr>
          <w:rFonts w:eastAsia="Arial" w:cs="Arial"/>
          <w:szCs w:val="20"/>
        </w:rPr>
      </w:pPr>
    </w:p>
    <w:p w14:paraId="4B8E4126" w14:textId="77777777" w:rsidR="009263B0" w:rsidRPr="009263B0" w:rsidRDefault="00460095" w:rsidP="000B06BE">
      <w:pPr>
        <w:pStyle w:val="Heading1"/>
        <w:rPr>
          <w:rFonts w:eastAsia="Arial"/>
        </w:rPr>
      </w:pPr>
      <w:bookmarkStart w:id="85" w:name="_Toc516468802"/>
      <w:r>
        <w:rPr>
          <w:rFonts w:eastAsia="Arial"/>
        </w:rPr>
        <w:br w:type="column"/>
      </w:r>
      <w:bookmarkStart w:id="86" w:name="_Toc85106097"/>
      <w:r w:rsidR="009263B0" w:rsidRPr="009263B0">
        <w:rPr>
          <w:rFonts w:eastAsia="Arial"/>
        </w:rPr>
        <w:lastRenderedPageBreak/>
        <w:t>CRIS APPROVAL AND CHANGE REGISTER</w:t>
      </w:r>
      <w:bookmarkEnd w:id="85"/>
      <w:bookmarkEnd w:id="86"/>
    </w:p>
    <w:p w14:paraId="2B6621D4" w14:textId="77777777" w:rsidR="009263B0" w:rsidRPr="009263B0" w:rsidRDefault="009263B0" w:rsidP="009263B0">
      <w:pPr>
        <w:spacing w:after="120" w:line="276" w:lineRule="auto"/>
        <w:rPr>
          <w:rFonts w:eastAsia="Arial" w:cs="Arial"/>
          <w:szCs w:val="20"/>
        </w:rPr>
      </w:pPr>
    </w:p>
    <w:tbl>
      <w:tblPr>
        <w:tblStyle w:val="TableGrid"/>
        <w:tblW w:w="9209" w:type="dxa"/>
        <w:tblLook w:val="04A0" w:firstRow="1" w:lastRow="0" w:firstColumn="1" w:lastColumn="0" w:noHBand="0" w:noVBand="1"/>
      </w:tblPr>
      <w:tblGrid>
        <w:gridCol w:w="2263"/>
        <w:gridCol w:w="3683"/>
        <w:gridCol w:w="3263"/>
      </w:tblGrid>
      <w:tr w:rsidR="009263B0" w14:paraId="2D0951D4" w14:textId="77777777" w:rsidTr="00F626A9">
        <w:trPr>
          <w:trHeight w:val="370"/>
        </w:trPr>
        <w:tc>
          <w:tcPr>
            <w:tcW w:w="2263" w:type="dxa"/>
          </w:tcPr>
          <w:p w14:paraId="082C7F63" w14:textId="77777777" w:rsidR="009263B0" w:rsidRPr="009263B0" w:rsidRDefault="009263B0" w:rsidP="009263B0">
            <w:pPr>
              <w:spacing w:before="120" w:after="120" w:line="276" w:lineRule="auto"/>
              <w:rPr>
                <w:rFonts w:eastAsia="Arial" w:cs="Arial"/>
                <w:b/>
                <w:szCs w:val="20"/>
              </w:rPr>
            </w:pPr>
            <w:r w:rsidRPr="009263B0">
              <w:rPr>
                <w:rFonts w:eastAsia="Arial" w:cs="Arial"/>
                <w:b/>
                <w:szCs w:val="20"/>
              </w:rPr>
              <w:t>Date of CRIS Change</w:t>
            </w:r>
          </w:p>
        </w:tc>
        <w:tc>
          <w:tcPr>
            <w:tcW w:w="3683" w:type="dxa"/>
          </w:tcPr>
          <w:p w14:paraId="2E1FA360" w14:textId="77777777" w:rsidR="009263B0" w:rsidRPr="009263B0" w:rsidRDefault="009263B0" w:rsidP="009263B0">
            <w:pPr>
              <w:spacing w:before="120" w:after="120" w:line="276" w:lineRule="auto"/>
              <w:rPr>
                <w:rFonts w:eastAsia="Arial" w:cs="Arial"/>
                <w:b/>
                <w:szCs w:val="20"/>
              </w:rPr>
            </w:pPr>
            <w:r w:rsidRPr="009263B0">
              <w:rPr>
                <w:rFonts w:eastAsia="Arial" w:cs="Arial"/>
                <w:b/>
                <w:szCs w:val="20"/>
              </w:rPr>
              <w:t>Approver</w:t>
            </w:r>
          </w:p>
        </w:tc>
        <w:tc>
          <w:tcPr>
            <w:tcW w:w="3263" w:type="dxa"/>
          </w:tcPr>
          <w:p w14:paraId="0ECB6C60" w14:textId="77777777" w:rsidR="009263B0" w:rsidRPr="009263B0" w:rsidRDefault="009263B0" w:rsidP="009263B0">
            <w:pPr>
              <w:spacing w:before="120" w:after="120" w:line="276" w:lineRule="auto"/>
              <w:rPr>
                <w:rFonts w:eastAsia="Arial" w:cs="Arial"/>
                <w:b/>
                <w:szCs w:val="20"/>
              </w:rPr>
            </w:pPr>
            <w:r w:rsidRPr="009263B0">
              <w:rPr>
                <w:rFonts w:eastAsia="Arial" w:cs="Arial"/>
                <w:b/>
                <w:szCs w:val="20"/>
              </w:rPr>
              <w:t>CRIS Change</w:t>
            </w:r>
          </w:p>
        </w:tc>
      </w:tr>
      <w:bookmarkEnd w:id="56"/>
      <w:tr w:rsidR="00B05B46" w14:paraId="6950AE7D" w14:textId="77777777" w:rsidTr="00B05B46">
        <w:tc>
          <w:tcPr>
            <w:tcW w:w="2263" w:type="dxa"/>
          </w:tcPr>
          <w:p w14:paraId="58DB7811" w14:textId="2305D581" w:rsidR="00B05B46" w:rsidRDefault="004E3741" w:rsidP="004E3741">
            <w:pPr>
              <w:spacing w:after="120" w:line="276" w:lineRule="auto"/>
              <w:rPr>
                <w:rFonts w:eastAsia="Arial" w:cs="Arial"/>
                <w:szCs w:val="20"/>
              </w:rPr>
            </w:pPr>
            <w:r>
              <w:rPr>
                <w:rFonts w:eastAsia="Arial" w:cs="Arial"/>
                <w:szCs w:val="20"/>
              </w:rPr>
              <w:t xml:space="preserve">26 November </w:t>
            </w:r>
            <w:r w:rsidR="00B05B46">
              <w:rPr>
                <w:rFonts w:eastAsia="Arial" w:cs="Arial"/>
                <w:szCs w:val="20"/>
              </w:rPr>
              <w:t>2019</w:t>
            </w:r>
          </w:p>
        </w:tc>
        <w:tc>
          <w:tcPr>
            <w:tcW w:w="3683" w:type="dxa"/>
          </w:tcPr>
          <w:p w14:paraId="769A08A7" w14:textId="77777777" w:rsidR="00B05B46" w:rsidRDefault="00B05B46" w:rsidP="00F626A9">
            <w:pPr>
              <w:spacing w:after="120" w:line="276" w:lineRule="auto"/>
              <w:rPr>
                <w:rFonts w:eastAsia="Arial" w:cs="Arial"/>
                <w:szCs w:val="20"/>
              </w:rPr>
            </w:pPr>
            <w:r>
              <w:rPr>
                <w:rFonts w:eastAsia="Arial" w:cs="Arial"/>
                <w:szCs w:val="20"/>
              </w:rPr>
              <w:t xml:space="preserve">Accountable Authority </w:t>
            </w:r>
          </w:p>
        </w:tc>
        <w:tc>
          <w:tcPr>
            <w:tcW w:w="3263" w:type="dxa"/>
          </w:tcPr>
          <w:p w14:paraId="0E4ADEC4" w14:textId="77777777" w:rsidR="00B05B46" w:rsidRDefault="00B05B46" w:rsidP="00F626A9">
            <w:pPr>
              <w:spacing w:after="120" w:line="276" w:lineRule="auto"/>
              <w:rPr>
                <w:rFonts w:eastAsia="Arial" w:cs="Arial"/>
                <w:szCs w:val="20"/>
              </w:rPr>
            </w:pPr>
            <w:r>
              <w:rPr>
                <w:rFonts w:eastAsia="Arial" w:cs="Arial"/>
                <w:szCs w:val="20"/>
              </w:rPr>
              <w:t>Updated schedule of charges for 2019-20</w:t>
            </w:r>
          </w:p>
        </w:tc>
      </w:tr>
      <w:tr w:rsidR="00131AC8" w14:paraId="198AC8B3" w14:textId="77777777" w:rsidTr="00B05B46">
        <w:tc>
          <w:tcPr>
            <w:tcW w:w="2263" w:type="dxa"/>
          </w:tcPr>
          <w:p w14:paraId="1913010A" w14:textId="63FE59F7" w:rsidR="00131AC8" w:rsidRDefault="00815606" w:rsidP="00131AC8">
            <w:pPr>
              <w:spacing w:after="120" w:line="276" w:lineRule="auto"/>
              <w:rPr>
                <w:rFonts w:eastAsia="Arial" w:cs="Arial"/>
                <w:szCs w:val="20"/>
              </w:rPr>
            </w:pPr>
            <w:r>
              <w:rPr>
                <w:rFonts w:eastAsia="Arial" w:cs="Arial"/>
                <w:szCs w:val="20"/>
              </w:rPr>
              <w:t>30</w:t>
            </w:r>
            <w:r w:rsidR="00131AC8">
              <w:rPr>
                <w:rFonts w:eastAsia="Arial" w:cs="Arial"/>
                <w:szCs w:val="20"/>
              </w:rPr>
              <w:t xml:space="preserve"> September 2020</w:t>
            </w:r>
          </w:p>
        </w:tc>
        <w:tc>
          <w:tcPr>
            <w:tcW w:w="3683" w:type="dxa"/>
          </w:tcPr>
          <w:p w14:paraId="091BA0AC" w14:textId="7DB8BF96" w:rsidR="00131AC8" w:rsidRDefault="00131AC8" w:rsidP="00131AC8">
            <w:pPr>
              <w:spacing w:after="120" w:line="276" w:lineRule="auto"/>
              <w:rPr>
                <w:rFonts w:eastAsia="Arial" w:cs="Arial"/>
                <w:szCs w:val="20"/>
              </w:rPr>
            </w:pPr>
            <w:r>
              <w:rPr>
                <w:rFonts w:eastAsia="Arial" w:cs="Arial"/>
                <w:szCs w:val="20"/>
              </w:rPr>
              <w:t xml:space="preserve">Accountable Authority </w:t>
            </w:r>
          </w:p>
        </w:tc>
        <w:tc>
          <w:tcPr>
            <w:tcW w:w="3263" w:type="dxa"/>
          </w:tcPr>
          <w:p w14:paraId="03EF9744" w14:textId="339AD65A" w:rsidR="00131AC8" w:rsidRDefault="00131AC8" w:rsidP="00131AC8">
            <w:pPr>
              <w:spacing w:after="120" w:line="276" w:lineRule="auto"/>
              <w:rPr>
                <w:rFonts w:eastAsia="Arial" w:cs="Arial"/>
                <w:szCs w:val="20"/>
              </w:rPr>
            </w:pPr>
            <w:r>
              <w:rPr>
                <w:rFonts w:eastAsia="Arial" w:cs="Arial"/>
                <w:szCs w:val="20"/>
              </w:rPr>
              <w:t>Updated financial reporting and forecasts.</w:t>
            </w:r>
          </w:p>
        </w:tc>
      </w:tr>
      <w:tr w:rsidR="00815606" w14:paraId="73BB65AF" w14:textId="77777777" w:rsidTr="00B05B46">
        <w:tc>
          <w:tcPr>
            <w:tcW w:w="2263" w:type="dxa"/>
          </w:tcPr>
          <w:p w14:paraId="4363E797" w14:textId="78964340" w:rsidR="00815606" w:rsidRDefault="005B5D99" w:rsidP="00815606">
            <w:pPr>
              <w:spacing w:after="120" w:line="276" w:lineRule="auto"/>
              <w:rPr>
                <w:rFonts w:eastAsia="Arial" w:cs="Arial"/>
                <w:szCs w:val="20"/>
              </w:rPr>
            </w:pPr>
            <w:r w:rsidRPr="005B5D99">
              <w:rPr>
                <w:rFonts w:eastAsia="Arial" w:cs="Arial"/>
                <w:szCs w:val="20"/>
              </w:rPr>
              <w:t>15 November</w:t>
            </w:r>
            <w:r w:rsidR="00815606" w:rsidRPr="005B5D99">
              <w:rPr>
                <w:rFonts w:eastAsia="Arial" w:cs="Arial"/>
                <w:szCs w:val="20"/>
              </w:rPr>
              <w:t xml:space="preserve"> 2021</w:t>
            </w:r>
          </w:p>
        </w:tc>
        <w:tc>
          <w:tcPr>
            <w:tcW w:w="3683" w:type="dxa"/>
          </w:tcPr>
          <w:p w14:paraId="6AB8761A" w14:textId="3937BCC8" w:rsidR="00815606" w:rsidRDefault="00815606" w:rsidP="00815606">
            <w:pPr>
              <w:spacing w:after="120" w:line="276" w:lineRule="auto"/>
              <w:rPr>
                <w:rFonts w:eastAsia="Arial" w:cs="Arial"/>
                <w:szCs w:val="20"/>
              </w:rPr>
            </w:pPr>
            <w:r>
              <w:rPr>
                <w:rFonts w:eastAsia="Arial" w:cs="Arial"/>
                <w:szCs w:val="20"/>
              </w:rPr>
              <w:t xml:space="preserve">Accountable Authority </w:t>
            </w:r>
          </w:p>
        </w:tc>
        <w:tc>
          <w:tcPr>
            <w:tcW w:w="3263" w:type="dxa"/>
          </w:tcPr>
          <w:p w14:paraId="4197B304" w14:textId="2A520D30" w:rsidR="00815606" w:rsidRDefault="00815606" w:rsidP="00815606">
            <w:pPr>
              <w:spacing w:after="120" w:line="276" w:lineRule="auto"/>
              <w:rPr>
                <w:rFonts w:eastAsia="Arial" w:cs="Arial"/>
                <w:szCs w:val="20"/>
              </w:rPr>
            </w:pPr>
            <w:r>
              <w:rPr>
                <w:rFonts w:eastAsia="Arial" w:cs="Arial"/>
                <w:szCs w:val="20"/>
              </w:rPr>
              <w:t>Updated financial reporting and forecasts.</w:t>
            </w:r>
          </w:p>
        </w:tc>
      </w:tr>
    </w:tbl>
    <w:p w14:paraId="3DDA14E1" w14:textId="77777777" w:rsidR="008274B0" w:rsidRPr="0096642F" w:rsidRDefault="008274B0" w:rsidP="000D7C0F">
      <w:pPr>
        <w:spacing w:after="120" w:line="276" w:lineRule="auto"/>
        <w:rPr>
          <w:rFonts w:eastAsia="Arial" w:cs="Arial"/>
          <w:b/>
          <w:szCs w:val="20"/>
        </w:rPr>
        <w:sectPr w:rsidR="008274B0" w:rsidRPr="0096642F" w:rsidSect="0065546A">
          <w:pgSz w:w="11906" w:h="16838"/>
          <w:pgMar w:top="1440" w:right="1080" w:bottom="1440" w:left="1080" w:header="1077" w:footer="923" w:gutter="0"/>
          <w:cols w:space="708"/>
          <w:docGrid w:linePitch="360"/>
        </w:sectPr>
      </w:pPr>
    </w:p>
    <w:p w14:paraId="725FD38D" w14:textId="77777777" w:rsidR="00A95462" w:rsidRPr="003546AA" w:rsidRDefault="00303331" w:rsidP="003546AA">
      <w:pPr>
        <w:pStyle w:val="Heading1"/>
        <w:numPr>
          <w:ilvl w:val="0"/>
          <w:numId w:val="0"/>
        </w:numPr>
        <w:rPr>
          <w:rFonts w:eastAsia="Arial"/>
        </w:rPr>
      </w:pPr>
      <w:bookmarkStart w:id="87" w:name="_Toc85106098"/>
      <w:bookmarkStart w:id="88" w:name="_Toc516468803"/>
      <w:r w:rsidRPr="003546AA">
        <w:rPr>
          <w:rFonts w:eastAsia="Arial"/>
        </w:rPr>
        <w:lastRenderedPageBreak/>
        <w:t xml:space="preserve">Appendix </w:t>
      </w:r>
      <w:r w:rsidR="003A2144">
        <w:rPr>
          <w:rFonts w:eastAsia="Arial"/>
        </w:rPr>
        <w:t>A</w:t>
      </w:r>
      <w:r w:rsidRPr="003546AA">
        <w:rPr>
          <w:rFonts w:eastAsia="Arial"/>
        </w:rPr>
        <w:t xml:space="preserve"> </w:t>
      </w:r>
      <w:r w:rsidRPr="00743530">
        <w:rPr>
          <w:rFonts w:eastAsia="Arial"/>
        </w:rPr>
        <w:t>– Pattern Approval Fees</w:t>
      </w:r>
      <w:bookmarkEnd w:id="87"/>
      <w:r w:rsidRPr="00743530">
        <w:rPr>
          <w:rFonts w:eastAsia="Arial"/>
        </w:rPr>
        <w:t xml:space="preserve"> </w:t>
      </w:r>
      <w:bookmarkEnd w:id="88"/>
    </w:p>
    <w:p w14:paraId="7FC0571A" w14:textId="029F2EAF" w:rsidR="003A2144" w:rsidRDefault="003A2144" w:rsidP="005A229D">
      <w:pPr>
        <w:pStyle w:val="Heading2"/>
        <w:numPr>
          <w:ilvl w:val="0"/>
          <w:numId w:val="0"/>
        </w:numPr>
        <w:rPr>
          <w:rFonts w:eastAsia="Arial"/>
          <w:szCs w:val="20"/>
        </w:rPr>
      </w:pPr>
      <w:bookmarkStart w:id="89" w:name="_Toc85106099"/>
      <w:r>
        <w:rPr>
          <w:rFonts w:eastAsia="Arial"/>
        </w:rPr>
        <w:t>A.1 Pattern Approval fee for the financial year 20</w:t>
      </w:r>
      <w:r w:rsidR="00F136AD">
        <w:rPr>
          <w:rFonts w:eastAsia="Arial"/>
        </w:rPr>
        <w:t>20</w:t>
      </w:r>
      <w:r>
        <w:rPr>
          <w:rFonts w:eastAsia="Arial"/>
        </w:rPr>
        <w:t>-20</w:t>
      </w:r>
      <w:r w:rsidR="0054408F">
        <w:rPr>
          <w:rFonts w:eastAsia="Arial"/>
        </w:rPr>
        <w:t>2</w:t>
      </w:r>
      <w:r w:rsidR="00F136AD">
        <w:rPr>
          <w:rFonts w:eastAsia="Arial"/>
        </w:rPr>
        <w:t>1</w:t>
      </w:r>
      <w:bookmarkEnd w:id="89"/>
    </w:p>
    <w:tbl>
      <w:tblPr>
        <w:tblStyle w:val="TableGrid"/>
        <w:tblW w:w="21642" w:type="dxa"/>
        <w:tblInd w:w="-714" w:type="dxa"/>
        <w:tblLayout w:type="fixed"/>
        <w:tblLook w:val="04A0" w:firstRow="1" w:lastRow="0" w:firstColumn="1" w:lastColumn="0" w:noHBand="0" w:noVBand="1"/>
      </w:tblPr>
      <w:tblGrid>
        <w:gridCol w:w="2694"/>
        <w:gridCol w:w="1134"/>
        <w:gridCol w:w="850"/>
        <w:gridCol w:w="752"/>
        <w:gridCol w:w="741"/>
        <w:gridCol w:w="784"/>
        <w:gridCol w:w="741"/>
        <w:gridCol w:w="810"/>
        <w:gridCol w:w="850"/>
        <w:gridCol w:w="709"/>
        <w:gridCol w:w="709"/>
        <w:gridCol w:w="731"/>
        <w:gridCol w:w="741"/>
        <w:gridCol w:w="796"/>
        <w:gridCol w:w="850"/>
        <w:gridCol w:w="709"/>
        <w:gridCol w:w="726"/>
        <w:gridCol w:w="691"/>
        <w:gridCol w:w="702"/>
        <w:gridCol w:w="716"/>
        <w:gridCol w:w="633"/>
        <w:gridCol w:w="784"/>
        <w:gridCol w:w="609"/>
        <w:gridCol w:w="809"/>
        <w:gridCol w:w="584"/>
        <w:gridCol w:w="787"/>
      </w:tblGrid>
      <w:tr w:rsidR="0054408F" w:rsidRPr="006E7DA0" w14:paraId="2CD9D1F1" w14:textId="77777777" w:rsidTr="00EB019B">
        <w:trPr>
          <w:cantSplit/>
          <w:trHeight w:val="327"/>
          <w:tblHeader/>
        </w:trPr>
        <w:tc>
          <w:tcPr>
            <w:tcW w:w="21642" w:type="dxa"/>
            <w:gridSpan w:val="26"/>
            <w:shd w:val="clear" w:color="auto" w:fill="auto"/>
            <w:noWrap/>
            <w:hideMark/>
          </w:tcPr>
          <w:p w14:paraId="6072542E" w14:textId="77777777" w:rsidR="0054408F" w:rsidRPr="00EB019B" w:rsidRDefault="0054408F" w:rsidP="0054408F">
            <w:pPr>
              <w:jc w:val="center"/>
              <w:rPr>
                <w:rFonts w:eastAsia="Arial" w:cs="Arial"/>
                <w:b/>
                <w:bCs/>
                <w:szCs w:val="20"/>
              </w:rPr>
            </w:pPr>
            <w:r w:rsidRPr="00EB019B">
              <w:rPr>
                <w:rFonts w:eastAsia="Arial" w:cs="Arial"/>
                <w:b/>
                <w:bCs/>
                <w:szCs w:val="20"/>
              </w:rPr>
              <w:t>Pattern Approval - National Measurement Regulations 1999 - Schedule 13-Fees</w:t>
            </w:r>
          </w:p>
          <w:p w14:paraId="1D143FA1" w14:textId="77777777" w:rsidR="0054408F" w:rsidRPr="006E7DA0" w:rsidRDefault="0054408F" w:rsidP="0054408F">
            <w:pPr>
              <w:rPr>
                <w:rFonts w:eastAsia="Arial" w:cs="Arial"/>
                <w:szCs w:val="20"/>
              </w:rPr>
            </w:pPr>
          </w:p>
        </w:tc>
      </w:tr>
      <w:tr w:rsidR="0054408F" w:rsidRPr="00B925F9" w14:paraId="31277873" w14:textId="77777777" w:rsidTr="0054408F">
        <w:trPr>
          <w:cantSplit/>
          <w:trHeight w:val="375"/>
          <w:tblHeader/>
        </w:trPr>
        <w:tc>
          <w:tcPr>
            <w:tcW w:w="21642" w:type="dxa"/>
            <w:gridSpan w:val="26"/>
            <w:tcBorders>
              <w:bottom w:val="single" w:sz="4" w:space="0" w:color="auto"/>
            </w:tcBorders>
            <w:noWrap/>
            <w:hideMark/>
          </w:tcPr>
          <w:p w14:paraId="3B57C4D8" w14:textId="4B0A31D3" w:rsidR="0054408F" w:rsidRPr="00B925F9" w:rsidRDefault="0054408F" w:rsidP="00F136AD">
            <w:pPr>
              <w:rPr>
                <w:rFonts w:eastAsia="Arial" w:cs="Arial"/>
                <w:b/>
                <w:bCs/>
                <w:sz w:val="18"/>
                <w:szCs w:val="18"/>
              </w:rPr>
            </w:pPr>
            <w:r w:rsidRPr="00B925F9">
              <w:rPr>
                <w:rFonts w:eastAsia="Arial" w:cs="Arial"/>
                <w:b/>
                <w:bCs/>
                <w:sz w:val="18"/>
                <w:szCs w:val="18"/>
              </w:rPr>
              <w:t>Financial Year 20</w:t>
            </w:r>
            <w:r w:rsidR="00F136AD">
              <w:rPr>
                <w:rFonts w:eastAsia="Arial" w:cs="Arial"/>
                <w:b/>
                <w:bCs/>
                <w:sz w:val="18"/>
                <w:szCs w:val="18"/>
              </w:rPr>
              <w:t>20</w:t>
            </w:r>
            <w:r w:rsidRPr="00B925F9">
              <w:rPr>
                <w:rFonts w:eastAsia="Arial" w:cs="Arial"/>
                <w:b/>
                <w:bCs/>
                <w:sz w:val="18"/>
                <w:szCs w:val="18"/>
              </w:rPr>
              <w:t>-20</w:t>
            </w:r>
            <w:r>
              <w:rPr>
                <w:rFonts w:eastAsia="Arial" w:cs="Arial"/>
                <w:b/>
                <w:bCs/>
                <w:sz w:val="18"/>
                <w:szCs w:val="18"/>
              </w:rPr>
              <w:t>2</w:t>
            </w:r>
            <w:r w:rsidR="00F136AD">
              <w:rPr>
                <w:rFonts w:eastAsia="Arial" w:cs="Arial"/>
                <w:b/>
                <w:bCs/>
                <w:sz w:val="18"/>
                <w:szCs w:val="18"/>
              </w:rPr>
              <w:t>1</w:t>
            </w:r>
          </w:p>
        </w:tc>
      </w:tr>
      <w:tr w:rsidR="0054408F" w:rsidRPr="006B79BE" w14:paraId="1D965D2B" w14:textId="77777777" w:rsidTr="00F136AD">
        <w:tblPrEx>
          <w:shd w:val="clear" w:color="auto" w:fill="DBE5F1" w:themeFill="accent1" w:themeFillTint="33"/>
        </w:tblPrEx>
        <w:trPr>
          <w:trHeight w:val="1451"/>
          <w:tblHeader/>
        </w:trPr>
        <w:tc>
          <w:tcPr>
            <w:tcW w:w="2694" w:type="dxa"/>
            <w:shd w:val="clear" w:color="auto" w:fill="auto"/>
            <w:hideMark/>
          </w:tcPr>
          <w:p w14:paraId="52448F6B" w14:textId="77777777" w:rsidR="0054408F" w:rsidRPr="00AF5F1F" w:rsidRDefault="0054408F" w:rsidP="0054408F">
            <w:pPr>
              <w:rPr>
                <w:rFonts w:eastAsia="Arial" w:cs="Arial"/>
                <w:b/>
                <w:bCs/>
                <w:sz w:val="16"/>
                <w:szCs w:val="16"/>
              </w:rPr>
            </w:pPr>
            <w:r>
              <w:rPr>
                <w:rFonts w:eastAsia="Arial" w:cs="Arial"/>
                <w:b/>
                <w:bCs/>
                <w:sz w:val="16"/>
                <w:szCs w:val="16"/>
              </w:rPr>
              <w:t>Activity</w:t>
            </w:r>
          </w:p>
        </w:tc>
        <w:tc>
          <w:tcPr>
            <w:tcW w:w="1134" w:type="dxa"/>
            <w:shd w:val="clear" w:color="auto" w:fill="auto"/>
          </w:tcPr>
          <w:p w14:paraId="2B3EEC31" w14:textId="77777777" w:rsidR="0054408F" w:rsidRPr="00AF5F1F" w:rsidRDefault="0054408F" w:rsidP="0054408F">
            <w:pPr>
              <w:rPr>
                <w:rFonts w:eastAsia="Arial" w:cs="Arial"/>
                <w:b/>
                <w:bCs/>
                <w:sz w:val="16"/>
                <w:szCs w:val="16"/>
              </w:rPr>
            </w:pPr>
            <w:r w:rsidRPr="00AF5F1F">
              <w:rPr>
                <w:rFonts w:eastAsia="Arial" w:cs="Arial"/>
                <w:b/>
                <w:bCs/>
                <w:sz w:val="16"/>
                <w:szCs w:val="16"/>
              </w:rPr>
              <w:t>Certificate or Laboratory Function</w:t>
            </w:r>
          </w:p>
        </w:tc>
        <w:tc>
          <w:tcPr>
            <w:tcW w:w="4678" w:type="dxa"/>
            <w:gridSpan w:val="6"/>
            <w:shd w:val="clear" w:color="auto" w:fill="auto"/>
            <w:hideMark/>
          </w:tcPr>
          <w:p w14:paraId="27F7D1FE" w14:textId="77777777" w:rsidR="0054408F" w:rsidRPr="006B79BE" w:rsidRDefault="0054408F" w:rsidP="0054408F">
            <w:pPr>
              <w:rPr>
                <w:rFonts w:eastAsia="Arial" w:cs="Arial"/>
                <w:b/>
                <w:bCs/>
                <w:sz w:val="16"/>
                <w:szCs w:val="16"/>
              </w:rPr>
            </w:pPr>
            <w:r w:rsidRPr="006B79BE">
              <w:rPr>
                <w:rFonts w:eastAsia="Arial" w:cs="Arial"/>
                <w:b/>
                <w:bCs/>
                <w:sz w:val="16"/>
                <w:szCs w:val="16"/>
              </w:rPr>
              <w:t>Part 1 - Examination and certification of patterns of volume measuring instruments</w:t>
            </w:r>
          </w:p>
        </w:tc>
        <w:tc>
          <w:tcPr>
            <w:tcW w:w="4536" w:type="dxa"/>
            <w:gridSpan w:val="6"/>
            <w:shd w:val="clear" w:color="auto" w:fill="auto"/>
            <w:hideMark/>
          </w:tcPr>
          <w:p w14:paraId="693FCDF8" w14:textId="77777777" w:rsidR="0054408F" w:rsidRPr="006B79BE" w:rsidRDefault="0054408F" w:rsidP="0054408F">
            <w:pPr>
              <w:rPr>
                <w:rFonts w:eastAsia="Arial" w:cs="Arial"/>
                <w:b/>
                <w:bCs/>
                <w:sz w:val="16"/>
                <w:szCs w:val="16"/>
              </w:rPr>
            </w:pPr>
            <w:r w:rsidRPr="006B79BE">
              <w:rPr>
                <w:rFonts w:eastAsia="Arial" w:cs="Arial"/>
                <w:b/>
                <w:bCs/>
                <w:sz w:val="16"/>
                <w:szCs w:val="16"/>
              </w:rPr>
              <w:t>Part 2 - Examination and certification of patterns of weighing and dimensional measuring instruments</w:t>
            </w:r>
          </w:p>
        </w:tc>
        <w:tc>
          <w:tcPr>
            <w:tcW w:w="1559" w:type="dxa"/>
            <w:gridSpan w:val="2"/>
            <w:shd w:val="clear" w:color="auto" w:fill="auto"/>
            <w:hideMark/>
          </w:tcPr>
          <w:p w14:paraId="4FCD94FC" w14:textId="77777777" w:rsidR="0054408F" w:rsidRPr="006B79BE" w:rsidRDefault="0054408F" w:rsidP="0054408F">
            <w:pPr>
              <w:rPr>
                <w:rFonts w:eastAsia="Arial" w:cs="Arial"/>
                <w:b/>
                <w:bCs/>
                <w:sz w:val="16"/>
                <w:szCs w:val="16"/>
              </w:rPr>
            </w:pPr>
            <w:r w:rsidRPr="006B79BE">
              <w:rPr>
                <w:rFonts w:eastAsia="Arial" w:cs="Arial"/>
                <w:b/>
                <w:bCs/>
                <w:sz w:val="16"/>
                <w:szCs w:val="16"/>
              </w:rPr>
              <w:t>Part 3 - Examination and certification of patterns of evidential breath analysers</w:t>
            </w:r>
          </w:p>
        </w:tc>
        <w:tc>
          <w:tcPr>
            <w:tcW w:w="1417" w:type="dxa"/>
            <w:gridSpan w:val="2"/>
            <w:shd w:val="clear" w:color="auto" w:fill="auto"/>
            <w:hideMark/>
          </w:tcPr>
          <w:p w14:paraId="1CD964FC" w14:textId="77777777" w:rsidR="0054408F" w:rsidRPr="006B79BE" w:rsidRDefault="0054408F" w:rsidP="0054408F">
            <w:pPr>
              <w:rPr>
                <w:rFonts w:eastAsia="Arial" w:cs="Arial"/>
                <w:b/>
                <w:bCs/>
                <w:sz w:val="16"/>
                <w:szCs w:val="16"/>
              </w:rPr>
            </w:pPr>
            <w:r w:rsidRPr="006B79BE">
              <w:rPr>
                <w:rFonts w:eastAsia="Arial" w:cs="Arial"/>
                <w:b/>
                <w:bCs/>
                <w:sz w:val="16"/>
                <w:szCs w:val="16"/>
              </w:rPr>
              <w:t>Part 4 - Examination and certification of patterns of grain protein measuring instruments</w:t>
            </w:r>
          </w:p>
        </w:tc>
        <w:tc>
          <w:tcPr>
            <w:tcW w:w="1418" w:type="dxa"/>
            <w:gridSpan w:val="2"/>
            <w:shd w:val="clear" w:color="auto" w:fill="auto"/>
            <w:hideMark/>
          </w:tcPr>
          <w:p w14:paraId="5B03DE6D" w14:textId="77777777" w:rsidR="0054408F" w:rsidRPr="006B79BE" w:rsidRDefault="0054408F" w:rsidP="0054408F">
            <w:pPr>
              <w:rPr>
                <w:rFonts w:eastAsia="Arial" w:cs="Arial"/>
                <w:b/>
                <w:bCs/>
                <w:sz w:val="16"/>
                <w:szCs w:val="16"/>
              </w:rPr>
            </w:pPr>
            <w:r w:rsidRPr="006B79BE">
              <w:rPr>
                <w:rFonts w:eastAsia="Arial" w:cs="Arial"/>
                <w:b/>
                <w:bCs/>
                <w:sz w:val="16"/>
                <w:szCs w:val="16"/>
              </w:rPr>
              <w:t>Part 5 - Examination and certification of patterns of utility meters</w:t>
            </w:r>
          </w:p>
        </w:tc>
        <w:tc>
          <w:tcPr>
            <w:tcW w:w="1417" w:type="dxa"/>
            <w:gridSpan w:val="2"/>
            <w:shd w:val="clear" w:color="auto" w:fill="auto"/>
            <w:hideMark/>
          </w:tcPr>
          <w:p w14:paraId="3E78F55B" w14:textId="77777777" w:rsidR="0054408F" w:rsidRPr="006B79BE" w:rsidRDefault="0054408F" w:rsidP="0054408F">
            <w:pPr>
              <w:rPr>
                <w:rFonts w:eastAsia="Arial" w:cs="Arial"/>
                <w:b/>
                <w:bCs/>
                <w:sz w:val="16"/>
                <w:szCs w:val="16"/>
              </w:rPr>
            </w:pPr>
            <w:r w:rsidRPr="006B79BE">
              <w:rPr>
                <w:rFonts w:eastAsia="Arial" w:cs="Arial"/>
                <w:b/>
                <w:bCs/>
                <w:sz w:val="16"/>
                <w:szCs w:val="16"/>
              </w:rPr>
              <w:t>Part 6 - Examination and certification of patterns of point of sale systems</w:t>
            </w:r>
          </w:p>
        </w:tc>
        <w:tc>
          <w:tcPr>
            <w:tcW w:w="1418" w:type="dxa"/>
            <w:gridSpan w:val="2"/>
            <w:tcBorders>
              <w:top w:val="single" w:sz="4" w:space="0" w:color="auto"/>
              <w:bottom w:val="single" w:sz="4" w:space="0" w:color="auto"/>
              <w:right w:val="single" w:sz="4" w:space="0" w:color="auto"/>
              <w:tl2br w:val="nil"/>
              <w:tr2bl w:val="nil"/>
            </w:tcBorders>
            <w:shd w:val="clear" w:color="auto" w:fill="auto"/>
          </w:tcPr>
          <w:p w14:paraId="41698444" w14:textId="77777777" w:rsidR="0054408F" w:rsidRPr="006B79BE" w:rsidRDefault="0054408F" w:rsidP="0054408F">
            <w:pPr>
              <w:spacing w:after="200" w:line="276" w:lineRule="auto"/>
              <w:rPr>
                <w:rFonts w:eastAsia="Arial" w:cs="Arial"/>
                <w:b/>
                <w:bCs/>
                <w:sz w:val="16"/>
                <w:szCs w:val="16"/>
              </w:rPr>
            </w:pPr>
            <w:r w:rsidRPr="006B79BE">
              <w:rPr>
                <w:rFonts w:eastAsia="Arial" w:cs="Arial"/>
                <w:b/>
                <w:bCs/>
                <w:sz w:val="16"/>
                <w:szCs w:val="16"/>
              </w:rPr>
              <w:t>Part 7 - Examination and certification of patterns of other measuring instruments</w:t>
            </w:r>
          </w:p>
        </w:tc>
        <w:tc>
          <w:tcPr>
            <w:tcW w:w="1371" w:type="dxa"/>
            <w:gridSpan w:val="2"/>
            <w:shd w:val="clear" w:color="auto" w:fill="auto"/>
          </w:tcPr>
          <w:p w14:paraId="0804073D" w14:textId="77777777" w:rsidR="0054408F" w:rsidRPr="006B79BE" w:rsidRDefault="0054408F" w:rsidP="0054408F">
            <w:pPr>
              <w:spacing w:after="200" w:line="276" w:lineRule="auto"/>
              <w:rPr>
                <w:rFonts w:eastAsia="Arial" w:cs="Arial"/>
                <w:b/>
                <w:bCs/>
                <w:sz w:val="16"/>
                <w:szCs w:val="16"/>
              </w:rPr>
            </w:pPr>
            <w:r w:rsidRPr="006B79BE">
              <w:rPr>
                <w:rFonts w:eastAsia="Arial" w:cs="Arial"/>
                <w:b/>
                <w:bCs/>
                <w:sz w:val="16"/>
                <w:szCs w:val="16"/>
              </w:rPr>
              <w:t>Part 8 - Fees for use of particular equipment in examination and certification of patterns of instruments</w:t>
            </w:r>
          </w:p>
        </w:tc>
      </w:tr>
      <w:tr w:rsidR="0054408F" w:rsidRPr="00B925F9" w14:paraId="1D0DF5BA" w14:textId="77777777" w:rsidTr="00F136AD">
        <w:tblPrEx>
          <w:shd w:val="clear" w:color="auto" w:fill="DBE5F1" w:themeFill="accent1" w:themeFillTint="33"/>
        </w:tblPrEx>
        <w:trPr>
          <w:trHeight w:val="402"/>
          <w:tblHeader/>
        </w:trPr>
        <w:tc>
          <w:tcPr>
            <w:tcW w:w="2694" w:type="dxa"/>
            <w:vMerge w:val="restart"/>
            <w:shd w:val="clear" w:color="auto" w:fill="auto"/>
            <w:vAlign w:val="center"/>
            <w:hideMark/>
          </w:tcPr>
          <w:p w14:paraId="2C810254" w14:textId="77777777" w:rsidR="0054408F" w:rsidRPr="00B925F9" w:rsidRDefault="0054408F" w:rsidP="0054408F">
            <w:pPr>
              <w:rPr>
                <w:rFonts w:eastAsia="Arial" w:cs="Arial"/>
                <w:b/>
                <w:bCs/>
                <w:sz w:val="16"/>
                <w:szCs w:val="16"/>
              </w:rPr>
            </w:pPr>
          </w:p>
        </w:tc>
        <w:tc>
          <w:tcPr>
            <w:tcW w:w="1134" w:type="dxa"/>
            <w:vMerge w:val="restart"/>
            <w:shd w:val="clear" w:color="auto" w:fill="auto"/>
            <w:vAlign w:val="center"/>
            <w:hideMark/>
          </w:tcPr>
          <w:p w14:paraId="6C4323D5" w14:textId="77777777" w:rsidR="0054408F" w:rsidRPr="00B925F9" w:rsidRDefault="0054408F" w:rsidP="0054408F">
            <w:pPr>
              <w:rPr>
                <w:rFonts w:eastAsia="Arial" w:cs="Arial"/>
                <w:b/>
                <w:bCs/>
                <w:sz w:val="16"/>
                <w:szCs w:val="16"/>
              </w:rPr>
            </w:pPr>
          </w:p>
        </w:tc>
        <w:tc>
          <w:tcPr>
            <w:tcW w:w="1602" w:type="dxa"/>
            <w:gridSpan w:val="2"/>
            <w:shd w:val="clear" w:color="auto" w:fill="auto"/>
            <w:noWrap/>
            <w:vAlign w:val="center"/>
            <w:hideMark/>
          </w:tcPr>
          <w:p w14:paraId="66C2A1FB" w14:textId="77777777" w:rsidR="0054408F" w:rsidRPr="00AF5F1F" w:rsidRDefault="0054408F" w:rsidP="0054408F">
            <w:pPr>
              <w:jc w:val="center"/>
              <w:rPr>
                <w:rFonts w:eastAsia="Arial" w:cs="Arial"/>
                <w:b/>
                <w:bCs/>
                <w:sz w:val="16"/>
                <w:szCs w:val="16"/>
              </w:rPr>
            </w:pPr>
            <w:r w:rsidRPr="006E7DA0">
              <w:rPr>
                <w:rFonts w:eastAsia="Arial" w:cs="Arial"/>
                <w:b/>
                <w:bCs/>
                <w:sz w:val="16"/>
                <w:szCs w:val="16"/>
              </w:rPr>
              <w:t>Level 1</w:t>
            </w:r>
          </w:p>
          <w:p w14:paraId="53CD00E9" w14:textId="77777777" w:rsidR="0054408F" w:rsidRPr="00B925F9" w:rsidRDefault="0054408F" w:rsidP="0054408F">
            <w:pPr>
              <w:jc w:val="center"/>
              <w:rPr>
                <w:rFonts w:eastAsia="Arial" w:cs="Arial"/>
                <w:b/>
                <w:bCs/>
                <w:sz w:val="16"/>
                <w:szCs w:val="16"/>
              </w:rPr>
            </w:pPr>
          </w:p>
        </w:tc>
        <w:tc>
          <w:tcPr>
            <w:tcW w:w="1525" w:type="dxa"/>
            <w:gridSpan w:val="2"/>
            <w:shd w:val="clear" w:color="auto" w:fill="auto"/>
            <w:noWrap/>
            <w:vAlign w:val="center"/>
            <w:hideMark/>
          </w:tcPr>
          <w:p w14:paraId="7AA8C59B" w14:textId="77777777" w:rsidR="0054408F" w:rsidRPr="00B925F9" w:rsidRDefault="0054408F" w:rsidP="0054408F">
            <w:pPr>
              <w:jc w:val="center"/>
              <w:rPr>
                <w:rFonts w:eastAsia="Arial" w:cs="Arial"/>
                <w:b/>
                <w:bCs/>
                <w:sz w:val="16"/>
                <w:szCs w:val="16"/>
              </w:rPr>
            </w:pPr>
            <w:r w:rsidRPr="00B925F9">
              <w:rPr>
                <w:rFonts w:eastAsia="Arial" w:cs="Arial"/>
                <w:b/>
                <w:bCs/>
                <w:sz w:val="16"/>
                <w:szCs w:val="16"/>
              </w:rPr>
              <w:t>Level 2</w:t>
            </w:r>
          </w:p>
          <w:p w14:paraId="37B1B8C8" w14:textId="77777777" w:rsidR="0054408F" w:rsidRPr="00B925F9" w:rsidRDefault="0054408F" w:rsidP="0054408F">
            <w:pPr>
              <w:jc w:val="center"/>
              <w:rPr>
                <w:rFonts w:eastAsia="Arial" w:cs="Arial"/>
                <w:b/>
                <w:bCs/>
                <w:sz w:val="16"/>
                <w:szCs w:val="16"/>
              </w:rPr>
            </w:pPr>
          </w:p>
        </w:tc>
        <w:tc>
          <w:tcPr>
            <w:tcW w:w="1551" w:type="dxa"/>
            <w:gridSpan w:val="2"/>
            <w:shd w:val="clear" w:color="auto" w:fill="auto"/>
            <w:noWrap/>
            <w:vAlign w:val="center"/>
            <w:hideMark/>
          </w:tcPr>
          <w:p w14:paraId="380A92AB" w14:textId="77777777" w:rsidR="0054408F" w:rsidRPr="00B925F9" w:rsidRDefault="0054408F" w:rsidP="0054408F">
            <w:pPr>
              <w:jc w:val="center"/>
              <w:rPr>
                <w:rFonts w:eastAsia="Arial" w:cs="Arial"/>
                <w:b/>
                <w:bCs/>
                <w:sz w:val="16"/>
                <w:szCs w:val="16"/>
              </w:rPr>
            </w:pPr>
            <w:r w:rsidRPr="00B925F9">
              <w:rPr>
                <w:rFonts w:eastAsia="Arial" w:cs="Arial"/>
                <w:b/>
                <w:bCs/>
                <w:sz w:val="16"/>
                <w:szCs w:val="16"/>
              </w:rPr>
              <w:t>Level 3</w:t>
            </w:r>
          </w:p>
          <w:p w14:paraId="08A984F0" w14:textId="77777777" w:rsidR="0054408F" w:rsidRPr="00B925F9" w:rsidRDefault="0054408F" w:rsidP="0054408F">
            <w:pPr>
              <w:jc w:val="center"/>
              <w:rPr>
                <w:rFonts w:eastAsia="Arial" w:cs="Arial"/>
                <w:b/>
                <w:bCs/>
                <w:sz w:val="16"/>
                <w:szCs w:val="16"/>
              </w:rPr>
            </w:pPr>
          </w:p>
        </w:tc>
        <w:tc>
          <w:tcPr>
            <w:tcW w:w="1559" w:type="dxa"/>
            <w:gridSpan w:val="2"/>
            <w:shd w:val="clear" w:color="auto" w:fill="auto"/>
            <w:noWrap/>
            <w:vAlign w:val="center"/>
            <w:hideMark/>
          </w:tcPr>
          <w:p w14:paraId="6A5DA45B" w14:textId="77777777" w:rsidR="0054408F" w:rsidRPr="00B925F9" w:rsidRDefault="0054408F" w:rsidP="0054408F">
            <w:pPr>
              <w:jc w:val="center"/>
              <w:rPr>
                <w:rFonts w:eastAsia="Arial" w:cs="Arial"/>
                <w:b/>
                <w:bCs/>
                <w:sz w:val="16"/>
                <w:szCs w:val="16"/>
              </w:rPr>
            </w:pPr>
            <w:r w:rsidRPr="00B925F9">
              <w:rPr>
                <w:rFonts w:eastAsia="Arial" w:cs="Arial"/>
                <w:b/>
                <w:bCs/>
                <w:sz w:val="16"/>
                <w:szCs w:val="16"/>
              </w:rPr>
              <w:t>Level 1</w:t>
            </w:r>
          </w:p>
          <w:p w14:paraId="2577279A" w14:textId="77777777" w:rsidR="0054408F" w:rsidRPr="00B925F9" w:rsidRDefault="0054408F" w:rsidP="0054408F">
            <w:pPr>
              <w:jc w:val="center"/>
              <w:rPr>
                <w:rFonts w:eastAsia="Arial" w:cs="Arial"/>
                <w:b/>
                <w:bCs/>
                <w:sz w:val="16"/>
                <w:szCs w:val="16"/>
              </w:rPr>
            </w:pPr>
          </w:p>
        </w:tc>
        <w:tc>
          <w:tcPr>
            <w:tcW w:w="1440" w:type="dxa"/>
            <w:gridSpan w:val="2"/>
            <w:shd w:val="clear" w:color="auto" w:fill="auto"/>
            <w:noWrap/>
            <w:vAlign w:val="center"/>
            <w:hideMark/>
          </w:tcPr>
          <w:p w14:paraId="6737120A" w14:textId="77777777" w:rsidR="0054408F" w:rsidRPr="00B925F9" w:rsidRDefault="0054408F" w:rsidP="0054408F">
            <w:pPr>
              <w:jc w:val="center"/>
              <w:rPr>
                <w:rFonts w:eastAsia="Arial" w:cs="Arial"/>
                <w:b/>
                <w:bCs/>
                <w:sz w:val="16"/>
                <w:szCs w:val="16"/>
              </w:rPr>
            </w:pPr>
            <w:r w:rsidRPr="00B925F9">
              <w:rPr>
                <w:rFonts w:eastAsia="Arial" w:cs="Arial"/>
                <w:b/>
                <w:bCs/>
                <w:sz w:val="16"/>
                <w:szCs w:val="16"/>
              </w:rPr>
              <w:t>Level 2</w:t>
            </w:r>
          </w:p>
          <w:p w14:paraId="46BBF455" w14:textId="77777777" w:rsidR="0054408F" w:rsidRPr="00B925F9" w:rsidRDefault="0054408F" w:rsidP="0054408F">
            <w:pPr>
              <w:jc w:val="center"/>
              <w:rPr>
                <w:rFonts w:eastAsia="Arial" w:cs="Arial"/>
                <w:b/>
                <w:bCs/>
                <w:sz w:val="16"/>
                <w:szCs w:val="16"/>
              </w:rPr>
            </w:pPr>
          </w:p>
        </w:tc>
        <w:tc>
          <w:tcPr>
            <w:tcW w:w="1537" w:type="dxa"/>
            <w:gridSpan w:val="2"/>
            <w:shd w:val="clear" w:color="auto" w:fill="auto"/>
            <w:noWrap/>
            <w:vAlign w:val="center"/>
            <w:hideMark/>
          </w:tcPr>
          <w:p w14:paraId="33992D88" w14:textId="77777777" w:rsidR="0054408F" w:rsidRPr="00B925F9" w:rsidRDefault="0054408F" w:rsidP="0054408F">
            <w:pPr>
              <w:jc w:val="center"/>
              <w:rPr>
                <w:rFonts w:eastAsia="Arial" w:cs="Arial"/>
                <w:b/>
                <w:bCs/>
                <w:sz w:val="16"/>
                <w:szCs w:val="16"/>
              </w:rPr>
            </w:pPr>
            <w:r w:rsidRPr="00B925F9">
              <w:rPr>
                <w:rFonts w:eastAsia="Arial" w:cs="Arial"/>
                <w:b/>
                <w:bCs/>
                <w:sz w:val="16"/>
                <w:szCs w:val="16"/>
              </w:rPr>
              <w:t>Level 3</w:t>
            </w:r>
          </w:p>
          <w:p w14:paraId="16748D48" w14:textId="77777777" w:rsidR="0054408F" w:rsidRPr="00B925F9" w:rsidRDefault="0054408F" w:rsidP="0054408F">
            <w:pPr>
              <w:jc w:val="center"/>
              <w:rPr>
                <w:rFonts w:eastAsia="Arial" w:cs="Arial"/>
                <w:b/>
                <w:bCs/>
                <w:sz w:val="16"/>
                <w:szCs w:val="16"/>
              </w:rPr>
            </w:pPr>
          </w:p>
        </w:tc>
        <w:tc>
          <w:tcPr>
            <w:tcW w:w="1559" w:type="dxa"/>
            <w:gridSpan w:val="2"/>
            <w:shd w:val="clear" w:color="auto" w:fill="auto"/>
            <w:vAlign w:val="center"/>
            <w:hideMark/>
          </w:tcPr>
          <w:p w14:paraId="105CB297" w14:textId="77777777" w:rsidR="0054408F" w:rsidRPr="00B925F9" w:rsidRDefault="0054408F" w:rsidP="0054408F">
            <w:pPr>
              <w:rPr>
                <w:rFonts w:eastAsia="Arial" w:cs="Arial"/>
                <w:b/>
                <w:bCs/>
                <w:sz w:val="16"/>
                <w:szCs w:val="16"/>
              </w:rPr>
            </w:pPr>
          </w:p>
        </w:tc>
        <w:tc>
          <w:tcPr>
            <w:tcW w:w="1417" w:type="dxa"/>
            <w:gridSpan w:val="2"/>
            <w:shd w:val="clear" w:color="auto" w:fill="auto"/>
            <w:vAlign w:val="center"/>
            <w:hideMark/>
          </w:tcPr>
          <w:p w14:paraId="4F3BFD82" w14:textId="77777777" w:rsidR="0054408F" w:rsidRPr="00B925F9" w:rsidRDefault="0054408F" w:rsidP="0054408F">
            <w:pPr>
              <w:rPr>
                <w:rFonts w:eastAsia="Arial" w:cs="Arial"/>
                <w:b/>
                <w:bCs/>
                <w:sz w:val="16"/>
                <w:szCs w:val="16"/>
              </w:rPr>
            </w:pPr>
          </w:p>
        </w:tc>
        <w:tc>
          <w:tcPr>
            <w:tcW w:w="1418" w:type="dxa"/>
            <w:gridSpan w:val="2"/>
            <w:shd w:val="clear" w:color="auto" w:fill="auto"/>
            <w:vAlign w:val="center"/>
            <w:hideMark/>
          </w:tcPr>
          <w:p w14:paraId="4B7935F9" w14:textId="77777777" w:rsidR="0054408F" w:rsidRPr="00B925F9" w:rsidRDefault="0054408F" w:rsidP="0054408F">
            <w:pPr>
              <w:rPr>
                <w:rFonts w:eastAsia="Arial" w:cs="Arial"/>
                <w:b/>
                <w:bCs/>
                <w:sz w:val="16"/>
                <w:szCs w:val="16"/>
              </w:rPr>
            </w:pPr>
          </w:p>
        </w:tc>
        <w:tc>
          <w:tcPr>
            <w:tcW w:w="1417" w:type="dxa"/>
            <w:gridSpan w:val="2"/>
            <w:shd w:val="clear" w:color="auto" w:fill="auto"/>
            <w:vAlign w:val="center"/>
            <w:hideMark/>
          </w:tcPr>
          <w:p w14:paraId="041871D2" w14:textId="77777777" w:rsidR="0054408F" w:rsidRPr="00B925F9" w:rsidRDefault="0054408F" w:rsidP="0054408F">
            <w:pPr>
              <w:rPr>
                <w:rFonts w:eastAsia="Arial" w:cs="Arial"/>
                <w:b/>
                <w:bCs/>
                <w:sz w:val="16"/>
                <w:szCs w:val="16"/>
              </w:rPr>
            </w:pPr>
          </w:p>
        </w:tc>
        <w:tc>
          <w:tcPr>
            <w:tcW w:w="1418" w:type="dxa"/>
            <w:gridSpan w:val="2"/>
            <w:shd w:val="clear" w:color="auto" w:fill="auto"/>
            <w:vAlign w:val="center"/>
            <w:hideMark/>
          </w:tcPr>
          <w:p w14:paraId="38D32908" w14:textId="77777777" w:rsidR="0054408F" w:rsidRPr="00B925F9" w:rsidRDefault="0054408F" w:rsidP="0054408F">
            <w:pPr>
              <w:rPr>
                <w:rFonts w:eastAsia="Arial" w:cs="Arial"/>
                <w:b/>
                <w:bCs/>
                <w:sz w:val="16"/>
                <w:szCs w:val="16"/>
              </w:rPr>
            </w:pPr>
          </w:p>
        </w:tc>
        <w:tc>
          <w:tcPr>
            <w:tcW w:w="1371" w:type="dxa"/>
            <w:gridSpan w:val="2"/>
            <w:shd w:val="clear" w:color="auto" w:fill="auto"/>
            <w:vAlign w:val="center"/>
            <w:hideMark/>
          </w:tcPr>
          <w:p w14:paraId="17D9E409" w14:textId="77777777" w:rsidR="0054408F" w:rsidRPr="00B925F9" w:rsidRDefault="0054408F" w:rsidP="0054408F">
            <w:pPr>
              <w:rPr>
                <w:rFonts w:eastAsia="Arial" w:cs="Arial"/>
                <w:b/>
                <w:bCs/>
                <w:sz w:val="16"/>
                <w:szCs w:val="16"/>
              </w:rPr>
            </w:pPr>
          </w:p>
        </w:tc>
      </w:tr>
      <w:tr w:rsidR="0054408F" w:rsidRPr="00B925F9" w14:paraId="4F6F1C90" w14:textId="77777777" w:rsidTr="00F136AD">
        <w:tblPrEx>
          <w:shd w:val="clear" w:color="auto" w:fill="DBE5F1" w:themeFill="accent1" w:themeFillTint="33"/>
        </w:tblPrEx>
        <w:trPr>
          <w:trHeight w:val="295"/>
          <w:tblHeader/>
        </w:trPr>
        <w:tc>
          <w:tcPr>
            <w:tcW w:w="2694" w:type="dxa"/>
            <w:vMerge/>
            <w:shd w:val="clear" w:color="auto" w:fill="auto"/>
            <w:vAlign w:val="center"/>
            <w:hideMark/>
          </w:tcPr>
          <w:p w14:paraId="3B98ACD9" w14:textId="77777777" w:rsidR="0054408F" w:rsidRPr="00B925F9" w:rsidRDefault="0054408F" w:rsidP="0054408F">
            <w:pPr>
              <w:rPr>
                <w:rFonts w:eastAsia="Arial" w:cs="Arial"/>
                <w:b/>
                <w:bCs/>
                <w:sz w:val="16"/>
                <w:szCs w:val="16"/>
              </w:rPr>
            </w:pPr>
          </w:p>
        </w:tc>
        <w:tc>
          <w:tcPr>
            <w:tcW w:w="1134" w:type="dxa"/>
            <w:vMerge/>
            <w:shd w:val="clear" w:color="auto" w:fill="auto"/>
            <w:vAlign w:val="center"/>
            <w:hideMark/>
          </w:tcPr>
          <w:p w14:paraId="6B2BD739" w14:textId="77777777" w:rsidR="0054408F" w:rsidRPr="00B925F9" w:rsidRDefault="0054408F" w:rsidP="0054408F">
            <w:pPr>
              <w:rPr>
                <w:rFonts w:eastAsia="Arial" w:cs="Arial"/>
                <w:b/>
                <w:bCs/>
                <w:sz w:val="16"/>
                <w:szCs w:val="16"/>
              </w:rPr>
            </w:pPr>
          </w:p>
        </w:tc>
        <w:tc>
          <w:tcPr>
            <w:tcW w:w="850" w:type="dxa"/>
            <w:shd w:val="clear" w:color="auto" w:fill="auto"/>
            <w:noWrap/>
            <w:vAlign w:val="center"/>
            <w:hideMark/>
          </w:tcPr>
          <w:p w14:paraId="0BEC901C" w14:textId="77777777" w:rsidR="0054408F" w:rsidRPr="006E7DA0" w:rsidRDefault="0054408F" w:rsidP="0054408F">
            <w:pPr>
              <w:rPr>
                <w:rFonts w:eastAsia="Arial" w:cs="Arial"/>
                <w:b/>
                <w:bCs/>
                <w:sz w:val="16"/>
                <w:szCs w:val="16"/>
              </w:rPr>
            </w:pPr>
            <w:r w:rsidRPr="006E7DA0">
              <w:rPr>
                <w:rFonts w:eastAsia="Arial" w:cs="Arial"/>
                <w:b/>
                <w:bCs/>
                <w:sz w:val="16"/>
                <w:szCs w:val="16"/>
              </w:rPr>
              <w:t>Fee</w:t>
            </w:r>
          </w:p>
        </w:tc>
        <w:tc>
          <w:tcPr>
            <w:tcW w:w="752" w:type="dxa"/>
            <w:shd w:val="clear" w:color="auto" w:fill="auto"/>
            <w:noWrap/>
            <w:vAlign w:val="center"/>
            <w:hideMark/>
          </w:tcPr>
          <w:p w14:paraId="0D6132F4" w14:textId="77777777" w:rsidR="0054408F" w:rsidRPr="00AF5F1F" w:rsidRDefault="0054408F" w:rsidP="0054408F">
            <w:pPr>
              <w:rPr>
                <w:rFonts w:eastAsia="Arial" w:cs="Arial"/>
                <w:b/>
                <w:bCs/>
                <w:sz w:val="16"/>
                <w:szCs w:val="16"/>
              </w:rPr>
            </w:pPr>
            <w:r w:rsidRPr="00AF5F1F">
              <w:rPr>
                <w:rFonts w:eastAsia="Arial" w:cs="Arial"/>
                <w:b/>
                <w:bCs/>
                <w:sz w:val="16"/>
                <w:szCs w:val="16"/>
              </w:rPr>
              <w:t>Hourly</w:t>
            </w:r>
          </w:p>
        </w:tc>
        <w:tc>
          <w:tcPr>
            <w:tcW w:w="741" w:type="dxa"/>
            <w:shd w:val="clear" w:color="auto" w:fill="auto"/>
            <w:noWrap/>
            <w:vAlign w:val="center"/>
            <w:hideMark/>
          </w:tcPr>
          <w:p w14:paraId="64EC77A1" w14:textId="77777777" w:rsidR="0054408F" w:rsidRPr="00B925F9" w:rsidRDefault="0054408F" w:rsidP="0054408F">
            <w:pPr>
              <w:rPr>
                <w:rFonts w:eastAsia="Arial" w:cs="Arial"/>
                <w:b/>
                <w:bCs/>
                <w:sz w:val="16"/>
                <w:szCs w:val="16"/>
              </w:rPr>
            </w:pPr>
            <w:r w:rsidRPr="00B925F9">
              <w:rPr>
                <w:rFonts w:eastAsia="Arial" w:cs="Arial"/>
                <w:b/>
                <w:bCs/>
                <w:sz w:val="16"/>
                <w:szCs w:val="16"/>
              </w:rPr>
              <w:t>Fee</w:t>
            </w:r>
          </w:p>
        </w:tc>
        <w:tc>
          <w:tcPr>
            <w:tcW w:w="784" w:type="dxa"/>
            <w:shd w:val="clear" w:color="auto" w:fill="auto"/>
            <w:noWrap/>
            <w:vAlign w:val="center"/>
            <w:hideMark/>
          </w:tcPr>
          <w:p w14:paraId="5EB65625" w14:textId="77777777" w:rsidR="0054408F" w:rsidRPr="00B925F9" w:rsidRDefault="0054408F" w:rsidP="0054408F">
            <w:pPr>
              <w:rPr>
                <w:rFonts w:eastAsia="Arial" w:cs="Arial"/>
                <w:b/>
                <w:bCs/>
                <w:sz w:val="16"/>
                <w:szCs w:val="16"/>
              </w:rPr>
            </w:pPr>
            <w:r w:rsidRPr="00B925F9">
              <w:rPr>
                <w:rFonts w:eastAsia="Arial" w:cs="Arial"/>
                <w:b/>
                <w:bCs/>
                <w:sz w:val="16"/>
                <w:szCs w:val="16"/>
              </w:rPr>
              <w:t>Hours</w:t>
            </w:r>
          </w:p>
        </w:tc>
        <w:tc>
          <w:tcPr>
            <w:tcW w:w="741" w:type="dxa"/>
            <w:shd w:val="clear" w:color="auto" w:fill="auto"/>
            <w:noWrap/>
            <w:vAlign w:val="center"/>
            <w:hideMark/>
          </w:tcPr>
          <w:p w14:paraId="1413B08C" w14:textId="77777777" w:rsidR="0054408F" w:rsidRPr="00B925F9" w:rsidRDefault="0054408F" w:rsidP="0054408F">
            <w:pPr>
              <w:rPr>
                <w:rFonts w:eastAsia="Arial" w:cs="Arial"/>
                <w:b/>
                <w:bCs/>
                <w:sz w:val="16"/>
                <w:szCs w:val="16"/>
              </w:rPr>
            </w:pPr>
            <w:r w:rsidRPr="00B925F9">
              <w:rPr>
                <w:rFonts w:eastAsia="Arial" w:cs="Arial"/>
                <w:b/>
                <w:bCs/>
                <w:sz w:val="16"/>
                <w:szCs w:val="16"/>
              </w:rPr>
              <w:t>Fee</w:t>
            </w:r>
          </w:p>
        </w:tc>
        <w:tc>
          <w:tcPr>
            <w:tcW w:w="810" w:type="dxa"/>
            <w:shd w:val="clear" w:color="auto" w:fill="auto"/>
            <w:noWrap/>
            <w:vAlign w:val="center"/>
            <w:hideMark/>
          </w:tcPr>
          <w:p w14:paraId="52689BF0" w14:textId="77777777" w:rsidR="0054408F" w:rsidRPr="00B925F9" w:rsidRDefault="0054408F" w:rsidP="0054408F">
            <w:pPr>
              <w:rPr>
                <w:rFonts w:eastAsia="Arial" w:cs="Arial"/>
                <w:b/>
                <w:bCs/>
                <w:sz w:val="16"/>
                <w:szCs w:val="16"/>
              </w:rPr>
            </w:pPr>
            <w:r w:rsidRPr="00B925F9">
              <w:rPr>
                <w:rFonts w:eastAsia="Arial" w:cs="Arial"/>
                <w:b/>
                <w:bCs/>
                <w:sz w:val="16"/>
                <w:szCs w:val="16"/>
              </w:rPr>
              <w:t>Hours</w:t>
            </w:r>
          </w:p>
        </w:tc>
        <w:tc>
          <w:tcPr>
            <w:tcW w:w="850" w:type="dxa"/>
            <w:shd w:val="clear" w:color="auto" w:fill="auto"/>
            <w:noWrap/>
            <w:vAlign w:val="center"/>
            <w:hideMark/>
          </w:tcPr>
          <w:p w14:paraId="12331F0E" w14:textId="77777777" w:rsidR="0054408F" w:rsidRPr="00B925F9" w:rsidRDefault="0054408F" w:rsidP="0054408F">
            <w:pPr>
              <w:rPr>
                <w:rFonts w:eastAsia="Arial" w:cs="Arial"/>
                <w:b/>
                <w:bCs/>
                <w:sz w:val="16"/>
                <w:szCs w:val="16"/>
              </w:rPr>
            </w:pPr>
            <w:r w:rsidRPr="00B925F9">
              <w:rPr>
                <w:rFonts w:eastAsia="Arial" w:cs="Arial"/>
                <w:b/>
                <w:bCs/>
                <w:sz w:val="16"/>
                <w:szCs w:val="16"/>
              </w:rPr>
              <w:t>Fee</w:t>
            </w:r>
          </w:p>
        </w:tc>
        <w:tc>
          <w:tcPr>
            <w:tcW w:w="709" w:type="dxa"/>
            <w:shd w:val="clear" w:color="auto" w:fill="auto"/>
            <w:noWrap/>
            <w:vAlign w:val="center"/>
            <w:hideMark/>
          </w:tcPr>
          <w:p w14:paraId="4E3B1FE5" w14:textId="77777777" w:rsidR="0054408F" w:rsidRPr="00B925F9" w:rsidRDefault="0054408F" w:rsidP="0054408F">
            <w:pPr>
              <w:rPr>
                <w:rFonts w:eastAsia="Arial" w:cs="Arial"/>
                <w:b/>
                <w:bCs/>
                <w:sz w:val="16"/>
                <w:szCs w:val="16"/>
              </w:rPr>
            </w:pPr>
            <w:r w:rsidRPr="00B925F9">
              <w:rPr>
                <w:rFonts w:eastAsia="Arial" w:cs="Arial"/>
                <w:b/>
                <w:bCs/>
                <w:sz w:val="16"/>
                <w:szCs w:val="16"/>
              </w:rPr>
              <w:t>Hours</w:t>
            </w:r>
          </w:p>
        </w:tc>
        <w:tc>
          <w:tcPr>
            <w:tcW w:w="709" w:type="dxa"/>
            <w:shd w:val="clear" w:color="auto" w:fill="auto"/>
            <w:noWrap/>
            <w:vAlign w:val="center"/>
            <w:hideMark/>
          </w:tcPr>
          <w:p w14:paraId="4D437CCA" w14:textId="77777777" w:rsidR="0054408F" w:rsidRPr="00B925F9" w:rsidRDefault="0054408F" w:rsidP="0054408F">
            <w:pPr>
              <w:rPr>
                <w:rFonts w:eastAsia="Arial" w:cs="Arial"/>
                <w:b/>
                <w:bCs/>
                <w:sz w:val="16"/>
                <w:szCs w:val="16"/>
              </w:rPr>
            </w:pPr>
            <w:r w:rsidRPr="00B925F9">
              <w:rPr>
                <w:rFonts w:eastAsia="Arial" w:cs="Arial"/>
                <w:b/>
                <w:bCs/>
                <w:sz w:val="16"/>
                <w:szCs w:val="16"/>
              </w:rPr>
              <w:t>Fee</w:t>
            </w:r>
          </w:p>
        </w:tc>
        <w:tc>
          <w:tcPr>
            <w:tcW w:w="731" w:type="dxa"/>
            <w:shd w:val="clear" w:color="auto" w:fill="auto"/>
            <w:noWrap/>
            <w:vAlign w:val="center"/>
            <w:hideMark/>
          </w:tcPr>
          <w:p w14:paraId="3117411A" w14:textId="77777777" w:rsidR="0054408F" w:rsidRPr="00B925F9" w:rsidRDefault="0054408F" w:rsidP="0054408F">
            <w:pPr>
              <w:rPr>
                <w:rFonts w:eastAsia="Arial" w:cs="Arial"/>
                <w:b/>
                <w:bCs/>
                <w:sz w:val="16"/>
                <w:szCs w:val="16"/>
              </w:rPr>
            </w:pPr>
            <w:r w:rsidRPr="00B925F9">
              <w:rPr>
                <w:rFonts w:eastAsia="Arial" w:cs="Arial"/>
                <w:b/>
                <w:bCs/>
                <w:sz w:val="16"/>
                <w:szCs w:val="16"/>
              </w:rPr>
              <w:t>Hours</w:t>
            </w:r>
          </w:p>
        </w:tc>
        <w:tc>
          <w:tcPr>
            <w:tcW w:w="741" w:type="dxa"/>
            <w:shd w:val="clear" w:color="auto" w:fill="auto"/>
            <w:noWrap/>
            <w:vAlign w:val="center"/>
            <w:hideMark/>
          </w:tcPr>
          <w:p w14:paraId="6429559D" w14:textId="77777777" w:rsidR="0054408F" w:rsidRPr="00B925F9" w:rsidRDefault="0054408F" w:rsidP="0054408F">
            <w:pPr>
              <w:rPr>
                <w:rFonts w:eastAsia="Arial" w:cs="Arial"/>
                <w:b/>
                <w:bCs/>
                <w:sz w:val="16"/>
                <w:szCs w:val="16"/>
              </w:rPr>
            </w:pPr>
            <w:r w:rsidRPr="00B925F9">
              <w:rPr>
                <w:rFonts w:eastAsia="Arial" w:cs="Arial"/>
                <w:b/>
                <w:bCs/>
                <w:sz w:val="16"/>
                <w:szCs w:val="16"/>
              </w:rPr>
              <w:t>Fee</w:t>
            </w:r>
          </w:p>
        </w:tc>
        <w:tc>
          <w:tcPr>
            <w:tcW w:w="796" w:type="dxa"/>
            <w:shd w:val="clear" w:color="auto" w:fill="auto"/>
            <w:noWrap/>
            <w:vAlign w:val="center"/>
            <w:hideMark/>
          </w:tcPr>
          <w:p w14:paraId="20C659B4" w14:textId="77777777" w:rsidR="0054408F" w:rsidRPr="00B925F9" w:rsidRDefault="0054408F" w:rsidP="0054408F">
            <w:pPr>
              <w:rPr>
                <w:rFonts w:eastAsia="Arial" w:cs="Arial"/>
                <w:b/>
                <w:bCs/>
                <w:sz w:val="16"/>
                <w:szCs w:val="16"/>
              </w:rPr>
            </w:pPr>
            <w:r w:rsidRPr="00B925F9">
              <w:rPr>
                <w:rFonts w:eastAsia="Arial" w:cs="Arial"/>
                <w:b/>
                <w:bCs/>
                <w:sz w:val="16"/>
                <w:szCs w:val="16"/>
              </w:rPr>
              <w:t>Hours</w:t>
            </w:r>
          </w:p>
        </w:tc>
        <w:tc>
          <w:tcPr>
            <w:tcW w:w="850" w:type="dxa"/>
            <w:shd w:val="clear" w:color="auto" w:fill="auto"/>
            <w:noWrap/>
            <w:vAlign w:val="center"/>
            <w:hideMark/>
          </w:tcPr>
          <w:p w14:paraId="746C16EB" w14:textId="77777777" w:rsidR="0054408F" w:rsidRPr="00B925F9" w:rsidRDefault="0054408F" w:rsidP="0054408F">
            <w:pPr>
              <w:rPr>
                <w:rFonts w:eastAsia="Arial" w:cs="Arial"/>
                <w:b/>
                <w:bCs/>
                <w:sz w:val="16"/>
                <w:szCs w:val="16"/>
              </w:rPr>
            </w:pPr>
            <w:r w:rsidRPr="00B925F9">
              <w:rPr>
                <w:rFonts w:eastAsia="Arial" w:cs="Arial"/>
                <w:b/>
                <w:bCs/>
                <w:sz w:val="16"/>
                <w:szCs w:val="16"/>
              </w:rPr>
              <w:t>Fee</w:t>
            </w:r>
          </w:p>
        </w:tc>
        <w:tc>
          <w:tcPr>
            <w:tcW w:w="709" w:type="dxa"/>
            <w:shd w:val="clear" w:color="auto" w:fill="auto"/>
            <w:noWrap/>
            <w:vAlign w:val="center"/>
            <w:hideMark/>
          </w:tcPr>
          <w:p w14:paraId="71B82EFA" w14:textId="77777777" w:rsidR="0054408F" w:rsidRPr="00B925F9" w:rsidRDefault="0054408F" w:rsidP="0054408F">
            <w:pPr>
              <w:rPr>
                <w:rFonts w:eastAsia="Arial" w:cs="Arial"/>
                <w:b/>
                <w:bCs/>
                <w:sz w:val="16"/>
                <w:szCs w:val="16"/>
              </w:rPr>
            </w:pPr>
            <w:r w:rsidRPr="00B925F9">
              <w:rPr>
                <w:rFonts w:eastAsia="Arial" w:cs="Arial"/>
                <w:b/>
                <w:bCs/>
                <w:sz w:val="16"/>
                <w:szCs w:val="16"/>
              </w:rPr>
              <w:t>Hours</w:t>
            </w:r>
          </w:p>
        </w:tc>
        <w:tc>
          <w:tcPr>
            <w:tcW w:w="726" w:type="dxa"/>
            <w:shd w:val="clear" w:color="auto" w:fill="auto"/>
            <w:noWrap/>
            <w:vAlign w:val="center"/>
            <w:hideMark/>
          </w:tcPr>
          <w:p w14:paraId="41EF2588" w14:textId="77777777" w:rsidR="0054408F" w:rsidRPr="00B925F9" w:rsidRDefault="0054408F" w:rsidP="0054408F">
            <w:pPr>
              <w:rPr>
                <w:rFonts w:eastAsia="Arial" w:cs="Arial"/>
                <w:b/>
                <w:bCs/>
                <w:sz w:val="16"/>
                <w:szCs w:val="16"/>
              </w:rPr>
            </w:pPr>
            <w:r w:rsidRPr="00B925F9">
              <w:rPr>
                <w:rFonts w:eastAsia="Arial" w:cs="Arial"/>
                <w:b/>
                <w:bCs/>
                <w:sz w:val="16"/>
                <w:szCs w:val="16"/>
              </w:rPr>
              <w:t>Fee</w:t>
            </w:r>
          </w:p>
        </w:tc>
        <w:tc>
          <w:tcPr>
            <w:tcW w:w="691" w:type="dxa"/>
            <w:shd w:val="clear" w:color="auto" w:fill="auto"/>
            <w:noWrap/>
            <w:vAlign w:val="center"/>
            <w:hideMark/>
          </w:tcPr>
          <w:p w14:paraId="0E7F9DDD" w14:textId="77777777" w:rsidR="0054408F" w:rsidRPr="00B925F9" w:rsidRDefault="0054408F" w:rsidP="0054408F">
            <w:pPr>
              <w:rPr>
                <w:rFonts w:eastAsia="Arial" w:cs="Arial"/>
                <w:b/>
                <w:bCs/>
                <w:sz w:val="16"/>
                <w:szCs w:val="16"/>
              </w:rPr>
            </w:pPr>
            <w:r w:rsidRPr="00B925F9">
              <w:rPr>
                <w:rFonts w:eastAsia="Arial" w:cs="Arial"/>
                <w:b/>
                <w:bCs/>
                <w:sz w:val="16"/>
                <w:szCs w:val="16"/>
              </w:rPr>
              <w:t>Hours</w:t>
            </w:r>
          </w:p>
        </w:tc>
        <w:tc>
          <w:tcPr>
            <w:tcW w:w="702" w:type="dxa"/>
            <w:shd w:val="clear" w:color="auto" w:fill="auto"/>
            <w:noWrap/>
            <w:vAlign w:val="center"/>
            <w:hideMark/>
          </w:tcPr>
          <w:p w14:paraId="50D7D763" w14:textId="77777777" w:rsidR="0054408F" w:rsidRPr="00B925F9" w:rsidRDefault="0054408F" w:rsidP="0054408F">
            <w:pPr>
              <w:rPr>
                <w:rFonts w:eastAsia="Arial" w:cs="Arial"/>
                <w:b/>
                <w:bCs/>
                <w:sz w:val="16"/>
                <w:szCs w:val="16"/>
              </w:rPr>
            </w:pPr>
            <w:r w:rsidRPr="00B925F9">
              <w:rPr>
                <w:rFonts w:eastAsia="Arial" w:cs="Arial"/>
                <w:b/>
                <w:bCs/>
                <w:sz w:val="16"/>
                <w:szCs w:val="16"/>
              </w:rPr>
              <w:t>Fee</w:t>
            </w:r>
          </w:p>
        </w:tc>
        <w:tc>
          <w:tcPr>
            <w:tcW w:w="716" w:type="dxa"/>
            <w:shd w:val="clear" w:color="auto" w:fill="auto"/>
            <w:noWrap/>
            <w:vAlign w:val="center"/>
            <w:hideMark/>
          </w:tcPr>
          <w:p w14:paraId="036EE256" w14:textId="77777777" w:rsidR="0054408F" w:rsidRPr="00B925F9" w:rsidRDefault="0054408F" w:rsidP="0054408F">
            <w:pPr>
              <w:rPr>
                <w:rFonts w:eastAsia="Arial" w:cs="Arial"/>
                <w:b/>
                <w:bCs/>
                <w:sz w:val="16"/>
                <w:szCs w:val="16"/>
              </w:rPr>
            </w:pPr>
            <w:r w:rsidRPr="00B925F9">
              <w:rPr>
                <w:rFonts w:eastAsia="Arial" w:cs="Arial"/>
                <w:b/>
                <w:bCs/>
                <w:sz w:val="16"/>
                <w:szCs w:val="16"/>
              </w:rPr>
              <w:t>Hours</w:t>
            </w:r>
          </w:p>
        </w:tc>
        <w:tc>
          <w:tcPr>
            <w:tcW w:w="633" w:type="dxa"/>
            <w:shd w:val="clear" w:color="auto" w:fill="auto"/>
            <w:noWrap/>
            <w:vAlign w:val="center"/>
            <w:hideMark/>
          </w:tcPr>
          <w:p w14:paraId="4FEDA9E6" w14:textId="77777777" w:rsidR="0054408F" w:rsidRPr="00B925F9" w:rsidRDefault="0054408F" w:rsidP="0054408F">
            <w:pPr>
              <w:rPr>
                <w:rFonts w:eastAsia="Arial" w:cs="Arial"/>
                <w:b/>
                <w:bCs/>
                <w:sz w:val="16"/>
                <w:szCs w:val="16"/>
              </w:rPr>
            </w:pPr>
            <w:r w:rsidRPr="00B925F9">
              <w:rPr>
                <w:rFonts w:eastAsia="Arial" w:cs="Arial"/>
                <w:b/>
                <w:bCs/>
                <w:sz w:val="16"/>
                <w:szCs w:val="16"/>
              </w:rPr>
              <w:t>Fee</w:t>
            </w:r>
          </w:p>
        </w:tc>
        <w:tc>
          <w:tcPr>
            <w:tcW w:w="784" w:type="dxa"/>
            <w:shd w:val="clear" w:color="auto" w:fill="auto"/>
            <w:noWrap/>
            <w:vAlign w:val="center"/>
            <w:hideMark/>
          </w:tcPr>
          <w:p w14:paraId="6B9BC048" w14:textId="77777777" w:rsidR="0054408F" w:rsidRPr="00B925F9" w:rsidRDefault="0054408F" w:rsidP="0054408F">
            <w:pPr>
              <w:rPr>
                <w:rFonts w:eastAsia="Arial" w:cs="Arial"/>
                <w:b/>
                <w:bCs/>
                <w:sz w:val="16"/>
                <w:szCs w:val="16"/>
              </w:rPr>
            </w:pPr>
            <w:r w:rsidRPr="00B925F9">
              <w:rPr>
                <w:rFonts w:eastAsia="Arial" w:cs="Arial"/>
                <w:b/>
                <w:bCs/>
                <w:sz w:val="16"/>
                <w:szCs w:val="16"/>
              </w:rPr>
              <w:t>Hours</w:t>
            </w:r>
          </w:p>
        </w:tc>
        <w:tc>
          <w:tcPr>
            <w:tcW w:w="609" w:type="dxa"/>
            <w:shd w:val="clear" w:color="auto" w:fill="auto"/>
            <w:noWrap/>
            <w:vAlign w:val="center"/>
            <w:hideMark/>
          </w:tcPr>
          <w:p w14:paraId="512C814B" w14:textId="77777777" w:rsidR="0054408F" w:rsidRPr="00B925F9" w:rsidRDefault="0054408F" w:rsidP="0054408F">
            <w:pPr>
              <w:rPr>
                <w:rFonts w:eastAsia="Arial" w:cs="Arial"/>
                <w:b/>
                <w:bCs/>
                <w:sz w:val="16"/>
                <w:szCs w:val="16"/>
              </w:rPr>
            </w:pPr>
            <w:r w:rsidRPr="00B925F9">
              <w:rPr>
                <w:rFonts w:eastAsia="Arial" w:cs="Arial"/>
                <w:b/>
                <w:bCs/>
                <w:sz w:val="16"/>
                <w:szCs w:val="16"/>
              </w:rPr>
              <w:t>Fee</w:t>
            </w:r>
          </w:p>
        </w:tc>
        <w:tc>
          <w:tcPr>
            <w:tcW w:w="809" w:type="dxa"/>
            <w:shd w:val="clear" w:color="auto" w:fill="auto"/>
            <w:noWrap/>
            <w:vAlign w:val="center"/>
            <w:hideMark/>
          </w:tcPr>
          <w:p w14:paraId="3368ECE5" w14:textId="77777777" w:rsidR="0054408F" w:rsidRPr="00B925F9" w:rsidRDefault="0054408F" w:rsidP="0054408F">
            <w:pPr>
              <w:rPr>
                <w:rFonts w:eastAsia="Arial" w:cs="Arial"/>
                <w:b/>
                <w:bCs/>
                <w:sz w:val="16"/>
                <w:szCs w:val="16"/>
              </w:rPr>
            </w:pPr>
            <w:r w:rsidRPr="00B925F9">
              <w:rPr>
                <w:rFonts w:eastAsia="Arial" w:cs="Arial"/>
                <w:b/>
                <w:bCs/>
                <w:sz w:val="16"/>
                <w:szCs w:val="16"/>
              </w:rPr>
              <w:t>Hours</w:t>
            </w:r>
          </w:p>
        </w:tc>
        <w:tc>
          <w:tcPr>
            <w:tcW w:w="584" w:type="dxa"/>
            <w:shd w:val="clear" w:color="auto" w:fill="auto"/>
            <w:noWrap/>
            <w:vAlign w:val="center"/>
            <w:hideMark/>
          </w:tcPr>
          <w:p w14:paraId="5B54CE14" w14:textId="77777777" w:rsidR="0054408F" w:rsidRPr="00B925F9" w:rsidRDefault="0054408F" w:rsidP="0054408F">
            <w:pPr>
              <w:rPr>
                <w:rFonts w:eastAsia="Arial" w:cs="Arial"/>
                <w:b/>
                <w:bCs/>
                <w:sz w:val="16"/>
                <w:szCs w:val="16"/>
              </w:rPr>
            </w:pPr>
            <w:r w:rsidRPr="00B925F9">
              <w:rPr>
                <w:rFonts w:eastAsia="Arial" w:cs="Arial"/>
                <w:b/>
                <w:bCs/>
                <w:sz w:val="16"/>
                <w:szCs w:val="16"/>
              </w:rPr>
              <w:t>Fee</w:t>
            </w:r>
          </w:p>
        </w:tc>
        <w:tc>
          <w:tcPr>
            <w:tcW w:w="787" w:type="dxa"/>
            <w:shd w:val="clear" w:color="auto" w:fill="auto"/>
            <w:noWrap/>
            <w:vAlign w:val="center"/>
            <w:hideMark/>
          </w:tcPr>
          <w:p w14:paraId="5F72BAA4" w14:textId="77777777" w:rsidR="0054408F" w:rsidRPr="00B925F9" w:rsidRDefault="0054408F" w:rsidP="0054408F">
            <w:pPr>
              <w:rPr>
                <w:rFonts w:eastAsia="Arial" w:cs="Arial"/>
                <w:b/>
                <w:bCs/>
                <w:sz w:val="16"/>
                <w:szCs w:val="16"/>
              </w:rPr>
            </w:pPr>
            <w:r w:rsidRPr="00B925F9">
              <w:rPr>
                <w:rFonts w:eastAsia="Arial" w:cs="Arial"/>
                <w:b/>
                <w:bCs/>
                <w:sz w:val="16"/>
                <w:szCs w:val="16"/>
              </w:rPr>
              <w:t>Hours</w:t>
            </w:r>
          </w:p>
        </w:tc>
      </w:tr>
      <w:tr w:rsidR="00F136AD" w:rsidRPr="00B925F9" w14:paraId="3A4796CD"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74A7AB3B" w14:textId="77777777" w:rsidR="00F136AD" w:rsidRPr="006E7DA0" w:rsidRDefault="00F136AD" w:rsidP="00F136AD">
            <w:pPr>
              <w:rPr>
                <w:rFonts w:eastAsia="Arial" w:cs="Arial"/>
                <w:b/>
                <w:bCs/>
                <w:sz w:val="16"/>
                <w:szCs w:val="16"/>
              </w:rPr>
            </w:pPr>
            <w:r w:rsidRPr="006E7DA0">
              <w:rPr>
                <w:rFonts w:eastAsia="Arial" w:cs="Arial"/>
                <w:b/>
                <w:bCs/>
                <w:sz w:val="16"/>
                <w:szCs w:val="16"/>
              </w:rPr>
              <w:t>Application Processing</w:t>
            </w:r>
          </w:p>
        </w:tc>
        <w:tc>
          <w:tcPr>
            <w:tcW w:w="1134" w:type="dxa"/>
            <w:tcBorders>
              <w:top w:val="single" w:sz="4" w:space="0" w:color="auto"/>
            </w:tcBorders>
            <w:shd w:val="clear" w:color="auto" w:fill="auto"/>
            <w:vAlign w:val="center"/>
            <w:hideMark/>
          </w:tcPr>
          <w:p w14:paraId="5F60FE5A" w14:textId="77777777" w:rsidR="00F136AD" w:rsidRPr="00AF5F1F" w:rsidRDefault="00F136AD" w:rsidP="00F136AD">
            <w:pPr>
              <w:rPr>
                <w:rFonts w:eastAsia="Arial" w:cs="Arial"/>
                <w:sz w:val="16"/>
                <w:szCs w:val="16"/>
              </w:rPr>
            </w:pPr>
            <w:r w:rsidRPr="00AF5F1F">
              <w:rPr>
                <w:rFonts w:eastAsia="Arial" w:cs="Arial"/>
                <w:sz w:val="16"/>
                <w:szCs w:val="16"/>
              </w:rPr>
              <w:t>Certificate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70AAFB8" w14:textId="40E34A6B" w:rsidR="00F136AD" w:rsidRPr="000C2B6A" w:rsidRDefault="00F136AD" w:rsidP="00F136AD">
            <w:pPr>
              <w:rPr>
                <w:rFonts w:eastAsia="Arial" w:cs="Arial"/>
                <w:sz w:val="16"/>
                <w:szCs w:val="16"/>
              </w:rPr>
            </w:pPr>
            <w:r>
              <w:rPr>
                <w:rFonts w:cs="Arial"/>
                <w:color w:val="000000"/>
                <w:sz w:val="16"/>
                <w:szCs w:val="16"/>
              </w:rPr>
              <w:t>$508</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6003E455" w14:textId="331B795F"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105B7D74" w14:textId="24E65DDE" w:rsidR="00F136AD" w:rsidRPr="000C2B6A" w:rsidRDefault="00F136AD" w:rsidP="00F136AD">
            <w:pPr>
              <w:rPr>
                <w:rFonts w:eastAsia="Arial" w:cs="Arial"/>
                <w:sz w:val="16"/>
                <w:szCs w:val="16"/>
              </w:rPr>
            </w:pPr>
            <w:r>
              <w:rPr>
                <w:rFonts w:cs="Arial"/>
                <w:color w:val="000000"/>
                <w:sz w:val="16"/>
                <w:szCs w:val="16"/>
              </w:rPr>
              <w:t>$508</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20E88630" w14:textId="3DAC4852"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13709803" w14:textId="04388D6A" w:rsidR="00F136AD" w:rsidRPr="000C2B6A" w:rsidRDefault="00F136AD" w:rsidP="00F136AD">
            <w:pPr>
              <w:rPr>
                <w:rFonts w:eastAsia="Arial" w:cs="Arial"/>
                <w:sz w:val="16"/>
                <w:szCs w:val="16"/>
              </w:rPr>
            </w:pPr>
            <w:r>
              <w:rPr>
                <w:rFonts w:cs="Arial"/>
                <w:color w:val="000000"/>
                <w:sz w:val="16"/>
                <w:szCs w:val="16"/>
              </w:rPr>
              <w:t>$508</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18463E2" w14:textId="7577939F"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EF8C92B" w14:textId="1E22C958" w:rsidR="00F136AD" w:rsidRPr="000C2B6A" w:rsidRDefault="00F136AD" w:rsidP="00F136AD">
            <w:pPr>
              <w:rPr>
                <w:rFonts w:eastAsia="Arial" w:cs="Arial"/>
                <w:sz w:val="16"/>
                <w:szCs w:val="16"/>
              </w:rPr>
            </w:pPr>
            <w:r>
              <w:rPr>
                <w:rFonts w:cs="Arial"/>
                <w:color w:val="000000"/>
                <w:sz w:val="16"/>
                <w:szCs w:val="16"/>
              </w:rPr>
              <w:t>$508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4A37F6" w14:textId="1D5EA763"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F519AD4" w14:textId="141F0414" w:rsidR="00F136AD" w:rsidRPr="000C2B6A" w:rsidRDefault="00F136AD" w:rsidP="00F136AD">
            <w:pPr>
              <w:rPr>
                <w:rFonts w:eastAsia="Arial" w:cs="Arial"/>
                <w:sz w:val="16"/>
                <w:szCs w:val="16"/>
              </w:rPr>
            </w:pPr>
            <w:r>
              <w:rPr>
                <w:rFonts w:cs="Arial"/>
                <w:color w:val="000000"/>
                <w:sz w:val="16"/>
                <w:szCs w:val="16"/>
              </w:rPr>
              <w:t>$508</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14:paraId="08AD9547" w14:textId="752F1AD1"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06448B9B" w14:textId="3D84CC27" w:rsidR="00F136AD" w:rsidRPr="000C2B6A" w:rsidRDefault="00F136AD" w:rsidP="00F136AD">
            <w:pPr>
              <w:rPr>
                <w:rFonts w:eastAsia="Arial" w:cs="Arial"/>
                <w:sz w:val="16"/>
                <w:szCs w:val="16"/>
              </w:rPr>
            </w:pPr>
            <w:r>
              <w:rPr>
                <w:rFonts w:cs="Arial"/>
                <w:color w:val="000000"/>
                <w:sz w:val="16"/>
                <w:szCs w:val="16"/>
              </w:rPr>
              <w:t>$508</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0EAC5F60" w14:textId="3FD9BA4B"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5D3A3D8" w14:textId="2969063B" w:rsidR="00F136AD" w:rsidRPr="000C2B6A" w:rsidRDefault="00F136AD" w:rsidP="00F136AD">
            <w:pPr>
              <w:rPr>
                <w:rFonts w:eastAsia="Arial" w:cs="Arial"/>
                <w:sz w:val="16"/>
                <w:szCs w:val="16"/>
              </w:rPr>
            </w:pPr>
            <w:r>
              <w:rPr>
                <w:rFonts w:cs="Arial"/>
                <w:color w:val="000000"/>
                <w:sz w:val="16"/>
                <w:szCs w:val="16"/>
              </w:rPr>
              <w:t>$508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415143" w14:textId="2E6D9145" w:rsidR="00F136AD" w:rsidRPr="000C2B6A" w:rsidRDefault="00F136AD" w:rsidP="00F136AD">
            <w:pPr>
              <w:rPr>
                <w:rFonts w:eastAsia="Arial" w:cs="Arial"/>
                <w:sz w:val="16"/>
                <w:szCs w:val="16"/>
              </w:rPr>
            </w:pPr>
            <w:r>
              <w:rPr>
                <w:rFonts w:cs="Arial"/>
                <w:color w:val="000000"/>
                <w:sz w:val="16"/>
                <w:szCs w:val="16"/>
              </w:rPr>
              <w:t> </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14:paraId="1BD74F3C" w14:textId="6A1AC719" w:rsidR="00F136AD" w:rsidRPr="000C2B6A" w:rsidRDefault="00F136AD" w:rsidP="00F136AD">
            <w:pPr>
              <w:rPr>
                <w:rFonts w:eastAsia="Arial" w:cs="Arial"/>
                <w:sz w:val="16"/>
                <w:szCs w:val="16"/>
              </w:rPr>
            </w:pPr>
            <w:r>
              <w:rPr>
                <w:rFonts w:cs="Arial"/>
                <w:color w:val="000000"/>
                <w:sz w:val="16"/>
                <w:szCs w:val="16"/>
              </w:rPr>
              <w:t>$508</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E0766BF" w14:textId="7811145B"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6CFD7ED5" w14:textId="31C74DAE" w:rsidR="00F136AD" w:rsidRPr="000C2B6A" w:rsidRDefault="00F136AD" w:rsidP="00F136AD">
            <w:pPr>
              <w:rPr>
                <w:rFonts w:eastAsia="Arial" w:cs="Arial"/>
                <w:sz w:val="16"/>
                <w:szCs w:val="16"/>
              </w:rPr>
            </w:pPr>
            <w:r>
              <w:rPr>
                <w:rFonts w:cs="Arial"/>
                <w:color w:val="000000"/>
                <w:sz w:val="16"/>
                <w:szCs w:val="16"/>
              </w:rPr>
              <w:t>$508</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53F79C3A" w14:textId="6C536B47"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14:paraId="5D3137CF" w14:textId="6DEF1D01" w:rsidR="00F136AD" w:rsidRPr="000C2B6A" w:rsidRDefault="00F136AD" w:rsidP="00F136AD">
            <w:pPr>
              <w:rPr>
                <w:rFonts w:eastAsia="Arial" w:cs="Arial"/>
                <w:sz w:val="16"/>
                <w:szCs w:val="16"/>
              </w:rPr>
            </w:pPr>
            <w:r>
              <w:rPr>
                <w:rFonts w:cs="Arial"/>
                <w:color w:val="000000"/>
                <w:sz w:val="16"/>
                <w:szCs w:val="16"/>
              </w:rPr>
              <w:t>$508</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4436D8C4" w14:textId="5C4FDB0B"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0726A582" w14:textId="6C030A06" w:rsidR="00F136AD" w:rsidRPr="000C2B6A" w:rsidRDefault="00F136AD" w:rsidP="00F136AD">
            <w:pPr>
              <w:rPr>
                <w:rFonts w:eastAsia="Arial" w:cs="Arial"/>
                <w:sz w:val="16"/>
                <w:szCs w:val="16"/>
              </w:rPr>
            </w:pPr>
            <w:r>
              <w:rPr>
                <w:rFonts w:cs="Arial"/>
                <w:color w:val="000000"/>
                <w:sz w:val="16"/>
                <w:szCs w:val="16"/>
              </w:rPr>
              <w:t>$508</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70A81895" w14:textId="7D81DDDA"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14:paraId="7BC3FA58" w14:textId="0EF5AD16"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286809AA" w14:textId="01E7CAF6"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4C0CFFCB"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6770FA5B" w14:textId="77777777" w:rsidR="00F136AD" w:rsidRPr="006E7DA0" w:rsidRDefault="00F136AD" w:rsidP="00F136AD">
            <w:pPr>
              <w:rPr>
                <w:rFonts w:eastAsia="Arial" w:cs="Arial"/>
                <w:b/>
                <w:bCs/>
                <w:sz w:val="16"/>
                <w:szCs w:val="16"/>
              </w:rPr>
            </w:pPr>
            <w:r w:rsidRPr="006E7DA0">
              <w:rPr>
                <w:rFonts w:eastAsia="Arial" w:cs="Arial"/>
                <w:b/>
                <w:bCs/>
                <w:sz w:val="16"/>
                <w:szCs w:val="16"/>
              </w:rPr>
              <w:t>Application Assessment</w:t>
            </w:r>
          </w:p>
        </w:tc>
        <w:tc>
          <w:tcPr>
            <w:tcW w:w="1134" w:type="dxa"/>
            <w:tcBorders>
              <w:top w:val="single" w:sz="4" w:space="0" w:color="auto"/>
            </w:tcBorders>
            <w:shd w:val="clear" w:color="auto" w:fill="auto"/>
            <w:vAlign w:val="center"/>
            <w:hideMark/>
          </w:tcPr>
          <w:p w14:paraId="744164A0" w14:textId="77777777" w:rsidR="00F136AD" w:rsidRPr="00AF5F1F" w:rsidRDefault="00F136AD" w:rsidP="00F136AD">
            <w:pPr>
              <w:rPr>
                <w:rFonts w:eastAsia="Arial" w:cs="Arial"/>
                <w:sz w:val="16"/>
                <w:szCs w:val="16"/>
              </w:rPr>
            </w:pPr>
            <w:r w:rsidRPr="00AF5F1F">
              <w:rPr>
                <w:rFonts w:eastAsia="Arial" w:cs="Arial"/>
                <w:sz w:val="16"/>
                <w:szCs w:val="16"/>
              </w:rPr>
              <w:t>Certificate</w:t>
            </w:r>
          </w:p>
        </w:tc>
        <w:tc>
          <w:tcPr>
            <w:tcW w:w="850" w:type="dxa"/>
            <w:tcBorders>
              <w:top w:val="nil"/>
              <w:left w:val="nil"/>
              <w:bottom w:val="single" w:sz="4" w:space="0" w:color="auto"/>
              <w:right w:val="single" w:sz="4" w:space="0" w:color="auto"/>
            </w:tcBorders>
            <w:shd w:val="clear" w:color="auto" w:fill="auto"/>
            <w:noWrap/>
            <w:vAlign w:val="center"/>
            <w:hideMark/>
          </w:tcPr>
          <w:p w14:paraId="0BBE39BA" w14:textId="2B0A8406" w:rsidR="00F136AD" w:rsidRPr="000C2B6A" w:rsidRDefault="00F136AD" w:rsidP="00F136AD">
            <w:pPr>
              <w:rPr>
                <w:rFonts w:eastAsia="Arial" w:cs="Arial"/>
                <w:sz w:val="16"/>
                <w:szCs w:val="16"/>
              </w:rPr>
            </w:pPr>
            <w:r>
              <w:rPr>
                <w:rFonts w:cs="Arial"/>
                <w:color w:val="000000"/>
                <w:sz w:val="16"/>
                <w:szCs w:val="16"/>
              </w:rPr>
              <w:t>$339</w:t>
            </w:r>
          </w:p>
        </w:tc>
        <w:tc>
          <w:tcPr>
            <w:tcW w:w="752" w:type="dxa"/>
            <w:tcBorders>
              <w:top w:val="nil"/>
              <w:left w:val="nil"/>
              <w:bottom w:val="single" w:sz="4" w:space="0" w:color="auto"/>
              <w:right w:val="single" w:sz="4" w:space="0" w:color="auto"/>
            </w:tcBorders>
            <w:shd w:val="clear" w:color="auto" w:fill="auto"/>
            <w:noWrap/>
            <w:vAlign w:val="center"/>
            <w:hideMark/>
          </w:tcPr>
          <w:p w14:paraId="1BB941C1" w14:textId="7FDE080D"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2D1C50E5" w14:textId="70B82890" w:rsidR="00F136AD" w:rsidRPr="000C2B6A" w:rsidRDefault="00F136AD" w:rsidP="00F136AD">
            <w:pPr>
              <w:rPr>
                <w:rFonts w:eastAsia="Arial" w:cs="Arial"/>
                <w:sz w:val="16"/>
                <w:szCs w:val="16"/>
              </w:rPr>
            </w:pPr>
            <w:r>
              <w:rPr>
                <w:rFonts w:cs="Arial"/>
                <w:color w:val="000000"/>
                <w:sz w:val="16"/>
                <w:szCs w:val="16"/>
              </w:rPr>
              <w:t>$339</w:t>
            </w:r>
          </w:p>
        </w:tc>
        <w:tc>
          <w:tcPr>
            <w:tcW w:w="784" w:type="dxa"/>
            <w:tcBorders>
              <w:top w:val="nil"/>
              <w:left w:val="nil"/>
              <w:bottom w:val="single" w:sz="4" w:space="0" w:color="auto"/>
              <w:right w:val="single" w:sz="4" w:space="0" w:color="auto"/>
            </w:tcBorders>
            <w:shd w:val="clear" w:color="auto" w:fill="auto"/>
            <w:noWrap/>
            <w:vAlign w:val="center"/>
            <w:hideMark/>
          </w:tcPr>
          <w:p w14:paraId="32583B7B" w14:textId="6623ED25"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7DEEB2CC" w14:textId="39ACE267" w:rsidR="00F136AD" w:rsidRPr="000C2B6A" w:rsidRDefault="00F136AD" w:rsidP="00F136AD">
            <w:pPr>
              <w:rPr>
                <w:rFonts w:eastAsia="Arial" w:cs="Arial"/>
                <w:sz w:val="16"/>
                <w:szCs w:val="16"/>
              </w:rPr>
            </w:pPr>
            <w:r>
              <w:rPr>
                <w:rFonts w:cs="Arial"/>
                <w:color w:val="000000"/>
                <w:sz w:val="16"/>
                <w:szCs w:val="16"/>
              </w:rPr>
              <w:t>$339</w:t>
            </w:r>
          </w:p>
        </w:tc>
        <w:tc>
          <w:tcPr>
            <w:tcW w:w="810" w:type="dxa"/>
            <w:tcBorders>
              <w:top w:val="nil"/>
              <w:left w:val="nil"/>
              <w:bottom w:val="single" w:sz="4" w:space="0" w:color="auto"/>
              <w:right w:val="single" w:sz="4" w:space="0" w:color="auto"/>
            </w:tcBorders>
            <w:shd w:val="clear" w:color="auto" w:fill="auto"/>
            <w:noWrap/>
            <w:vAlign w:val="center"/>
            <w:hideMark/>
          </w:tcPr>
          <w:p w14:paraId="494E4980" w14:textId="30211448" w:rsidR="00F136AD" w:rsidRPr="000C2B6A" w:rsidRDefault="00F136AD" w:rsidP="00F136AD">
            <w:pPr>
              <w:rPr>
                <w:rFonts w:eastAsia="Arial" w:cs="Arial"/>
                <w:sz w:val="16"/>
                <w:szCs w:val="16"/>
              </w:rPr>
            </w:pPr>
            <w:r>
              <w:rPr>
                <w:rFonts w:cs="Arial"/>
                <w:color w:val="000000"/>
                <w:sz w:val="16"/>
                <w:szCs w:val="16"/>
              </w:rPr>
              <w:t>per hour</w:t>
            </w:r>
          </w:p>
        </w:tc>
        <w:tc>
          <w:tcPr>
            <w:tcW w:w="850" w:type="dxa"/>
            <w:tcBorders>
              <w:top w:val="nil"/>
              <w:left w:val="nil"/>
              <w:bottom w:val="single" w:sz="4" w:space="0" w:color="auto"/>
              <w:right w:val="single" w:sz="4" w:space="0" w:color="auto"/>
            </w:tcBorders>
            <w:shd w:val="clear" w:color="auto" w:fill="auto"/>
            <w:noWrap/>
            <w:vAlign w:val="center"/>
            <w:hideMark/>
          </w:tcPr>
          <w:p w14:paraId="5B66840C" w14:textId="12D83FEE"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06E4A451" w14:textId="1D24F349" w:rsidR="00F136AD" w:rsidRPr="000C2B6A" w:rsidRDefault="00F136AD" w:rsidP="00F136AD">
            <w:pPr>
              <w:rPr>
                <w:rFonts w:eastAsia="Arial" w:cs="Arial"/>
                <w:sz w:val="16"/>
                <w:szCs w:val="16"/>
              </w:rPr>
            </w:pPr>
            <w:r>
              <w:rPr>
                <w:rFonts w:cs="Arial"/>
                <w:color w:val="000000"/>
                <w:sz w:val="16"/>
                <w:szCs w:val="16"/>
              </w:rPr>
              <w:t>per hour</w:t>
            </w:r>
          </w:p>
        </w:tc>
        <w:tc>
          <w:tcPr>
            <w:tcW w:w="709" w:type="dxa"/>
            <w:tcBorders>
              <w:top w:val="nil"/>
              <w:left w:val="nil"/>
              <w:bottom w:val="single" w:sz="4" w:space="0" w:color="auto"/>
              <w:right w:val="single" w:sz="4" w:space="0" w:color="auto"/>
            </w:tcBorders>
            <w:shd w:val="clear" w:color="auto" w:fill="auto"/>
            <w:noWrap/>
            <w:vAlign w:val="center"/>
            <w:hideMark/>
          </w:tcPr>
          <w:p w14:paraId="0C8076BE" w14:textId="6C4BB7E9" w:rsidR="00F136AD" w:rsidRPr="000C2B6A" w:rsidRDefault="00F136AD" w:rsidP="00F136AD">
            <w:pPr>
              <w:rPr>
                <w:rFonts w:eastAsia="Arial" w:cs="Arial"/>
                <w:sz w:val="16"/>
                <w:szCs w:val="16"/>
              </w:rPr>
            </w:pPr>
            <w:r>
              <w:rPr>
                <w:rFonts w:cs="Arial"/>
                <w:color w:val="000000"/>
                <w:sz w:val="16"/>
                <w:szCs w:val="16"/>
              </w:rPr>
              <w:t>$339</w:t>
            </w:r>
          </w:p>
        </w:tc>
        <w:tc>
          <w:tcPr>
            <w:tcW w:w="731" w:type="dxa"/>
            <w:tcBorders>
              <w:top w:val="nil"/>
              <w:left w:val="nil"/>
              <w:bottom w:val="single" w:sz="4" w:space="0" w:color="auto"/>
              <w:right w:val="single" w:sz="4" w:space="0" w:color="auto"/>
            </w:tcBorders>
            <w:shd w:val="clear" w:color="auto" w:fill="auto"/>
            <w:noWrap/>
            <w:vAlign w:val="center"/>
            <w:hideMark/>
          </w:tcPr>
          <w:p w14:paraId="37581D28" w14:textId="0AF99462"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4A6361F8" w14:textId="52720A7A" w:rsidR="00F136AD" w:rsidRPr="000C2B6A" w:rsidRDefault="00F136AD" w:rsidP="00F136AD">
            <w:pPr>
              <w:rPr>
                <w:rFonts w:eastAsia="Arial" w:cs="Arial"/>
                <w:sz w:val="16"/>
                <w:szCs w:val="16"/>
              </w:rPr>
            </w:pPr>
            <w:r>
              <w:rPr>
                <w:rFonts w:cs="Arial"/>
                <w:color w:val="000000"/>
                <w:sz w:val="16"/>
                <w:szCs w:val="16"/>
              </w:rPr>
              <w:t>$339</w:t>
            </w:r>
          </w:p>
        </w:tc>
        <w:tc>
          <w:tcPr>
            <w:tcW w:w="796" w:type="dxa"/>
            <w:tcBorders>
              <w:top w:val="nil"/>
              <w:left w:val="nil"/>
              <w:bottom w:val="single" w:sz="4" w:space="0" w:color="auto"/>
              <w:right w:val="single" w:sz="4" w:space="0" w:color="auto"/>
            </w:tcBorders>
            <w:shd w:val="clear" w:color="auto" w:fill="auto"/>
            <w:noWrap/>
            <w:vAlign w:val="center"/>
            <w:hideMark/>
          </w:tcPr>
          <w:p w14:paraId="61B24A26" w14:textId="7A25EA5C" w:rsidR="00F136AD" w:rsidRPr="000C2B6A" w:rsidRDefault="00F136AD" w:rsidP="00F136AD">
            <w:pPr>
              <w:rPr>
                <w:rFonts w:eastAsia="Arial" w:cs="Arial"/>
                <w:sz w:val="16"/>
                <w:szCs w:val="16"/>
              </w:rPr>
            </w:pPr>
            <w:r>
              <w:rPr>
                <w:rFonts w:cs="Arial"/>
                <w:color w:val="000000"/>
                <w:sz w:val="16"/>
                <w:szCs w:val="16"/>
              </w:rPr>
              <w:t>per hour</w:t>
            </w:r>
          </w:p>
        </w:tc>
        <w:tc>
          <w:tcPr>
            <w:tcW w:w="850" w:type="dxa"/>
            <w:tcBorders>
              <w:top w:val="nil"/>
              <w:left w:val="nil"/>
              <w:bottom w:val="single" w:sz="4" w:space="0" w:color="auto"/>
              <w:right w:val="single" w:sz="4" w:space="0" w:color="auto"/>
            </w:tcBorders>
            <w:shd w:val="clear" w:color="auto" w:fill="auto"/>
            <w:noWrap/>
            <w:vAlign w:val="center"/>
            <w:hideMark/>
          </w:tcPr>
          <w:p w14:paraId="0FD37298" w14:textId="6AA0FAD5"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3DDFDC14" w14:textId="3B6F78C2"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500AC135" w14:textId="31F737E6" w:rsidR="00F136AD" w:rsidRPr="000C2B6A" w:rsidRDefault="00F136AD" w:rsidP="00F136AD">
            <w:pPr>
              <w:rPr>
                <w:rFonts w:eastAsia="Arial" w:cs="Arial"/>
                <w:sz w:val="16"/>
                <w:szCs w:val="16"/>
              </w:rPr>
            </w:pPr>
            <w:r>
              <w:rPr>
                <w:rFonts w:cs="Arial"/>
                <w:color w:val="000000"/>
                <w:sz w:val="16"/>
                <w:szCs w:val="16"/>
              </w:rPr>
              <w:t>$339</w:t>
            </w:r>
          </w:p>
        </w:tc>
        <w:tc>
          <w:tcPr>
            <w:tcW w:w="691" w:type="dxa"/>
            <w:tcBorders>
              <w:top w:val="nil"/>
              <w:left w:val="nil"/>
              <w:bottom w:val="single" w:sz="4" w:space="0" w:color="auto"/>
              <w:right w:val="single" w:sz="4" w:space="0" w:color="auto"/>
            </w:tcBorders>
            <w:shd w:val="clear" w:color="auto" w:fill="auto"/>
            <w:noWrap/>
            <w:vAlign w:val="center"/>
            <w:hideMark/>
          </w:tcPr>
          <w:p w14:paraId="47A2F535" w14:textId="474FC426" w:rsidR="00F136AD" w:rsidRPr="000C2B6A" w:rsidRDefault="00F136AD" w:rsidP="00F136AD">
            <w:pPr>
              <w:rPr>
                <w:rFonts w:eastAsia="Arial" w:cs="Arial"/>
                <w:sz w:val="16"/>
                <w:szCs w:val="16"/>
              </w:rPr>
            </w:pPr>
            <w:r>
              <w:rPr>
                <w:rFonts w:cs="Arial"/>
                <w:color w:val="000000"/>
                <w:sz w:val="16"/>
                <w:szCs w:val="16"/>
              </w:rPr>
              <w:t>per hour</w:t>
            </w:r>
          </w:p>
        </w:tc>
        <w:tc>
          <w:tcPr>
            <w:tcW w:w="702" w:type="dxa"/>
            <w:tcBorders>
              <w:top w:val="nil"/>
              <w:left w:val="nil"/>
              <w:bottom w:val="single" w:sz="4" w:space="0" w:color="auto"/>
              <w:right w:val="single" w:sz="4" w:space="0" w:color="auto"/>
            </w:tcBorders>
            <w:shd w:val="clear" w:color="auto" w:fill="auto"/>
            <w:noWrap/>
            <w:vAlign w:val="center"/>
            <w:hideMark/>
          </w:tcPr>
          <w:p w14:paraId="51A5BBC2" w14:textId="514B926B" w:rsidR="00F136AD" w:rsidRPr="000C2B6A" w:rsidRDefault="00F136AD" w:rsidP="00F136AD">
            <w:pPr>
              <w:rPr>
                <w:rFonts w:eastAsia="Arial" w:cs="Arial"/>
                <w:sz w:val="16"/>
                <w:szCs w:val="16"/>
              </w:rPr>
            </w:pPr>
            <w:r>
              <w:rPr>
                <w:rFonts w:cs="Arial"/>
                <w:color w:val="000000"/>
                <w:sz w:val="16"/>
                <w:szCs w:val="16"/>
              </w:rPr>
              <w:t>$339</w:t>
            </w:r>
          </w:p>
        </w:tc>
        <w:tc>
          <w:tcPr>
            <w:tcW w:w="716" w:type="dxa"/>
            <w:tcBorders>
              <w:top w:val="nil"/>
              <w:left w:val="nil"/>
              <w:bottom w:val="single" w:sz="4" w:space="0" w:color="auto"/>
              <w:right w:val="single" w:sz="4" w:space="0" w:color="auto"/>
            </w:tcBorders>
            <w:shd w:val="clear" w:color="auto" w:fill="auto"/>
            <w:noWrap/>
            <w:vAlign w:val="center"/>
            <w:hideMark/>
          </w:tcPr>
          <w:p w14:paraId="5E20E295" w14:textId="4E992E06" w:rsidR="00F136AD" w:rsidRPr="000C2B6A" w:rsidRDefault="00F136AD" w:rsidP="00F136AD">
            <w:pPr>
              <w:rPr>
                <w:rFonts w:eastAsia="Arial" w:cs="Arial"/>
                <w:sz w:val="16"/>
                <w:szCs w:val="16"/>
              </w:rPr>
            </w:pPr>
            <w:r>
              <w:rPr>
                <w:rFonts w:cs="Arial"/>
                <w:color w:val="000000"/>
                <w:sz w:val="16"/>
                <w:szCs w:val="16"/>
              </w:rPr>
              <w:t>per hour</w:t>
            </w:r>
          </w:p>
        </w:tc>
        <w:tc>
          <w:tcPr>
            <w:tcW w:w="633" w:type="dxa"/>
            <w:tcBorders>
              <w:top w:val="nil"/>
              <w:left w:val="nil"/>
              <w:bottom w:val="single" w:sz="4" w:space="0" w:color="auto"/>
              <w:right w:val="single" w:sz="4" w:space="0" w:color="auto"/>
            </w:tcBorders>
            <w:shd w:val="clear" w:color="auto" w:fill="auto"/>
            <w:noWrap/>
            <w:vAlign w:val="center"/>
            <w:hideMark/>
          </w:tcPr>
          <w:p w14:paraId="2EA1578E" w14:textId="1C59865D" w:rsidR="00F136AD" w:rsidRPr="000C2B6A" w:rsidRDefault="00F136AD" w:rsidP="00F136AD">
            <w:pPr>
              <w:rPr>
                <w:rFonts w:eastAsia="Arial" w:cs="Arial"/>
                <w:sz w:val="16"/>
                <w:szCs w:val="16"/>
              </w:rPr>
            </w:pPr>
            <w:r>
              <w:rPr>
                <w:rFonts w:cs="Arial"/>
                <w:color w:val="000000"/>
                <w:sz w:val="16"/>
                <w:szCs w:val="16"/>
              </w:rPr>
              <w:t>$339</w:t>
            </w:r>
          </w:p>
        </w:tc>
        <w:tc>
          <w:tcPr>
            <w:tcW w:w="784" w:type="dxa"/>
            <w:tcBorders>
              <w:top w:val="nil"/>
              <w:left w:val="nil"/>
              <w:bottom w:val="single" w:sz="4" w:space="0" w:color="auto"/>
              <w:right w:val="single" w:sz="4" w:space="0" w:color="auto"/>
            </w:tcBorders>
            <w:shd w:val="clear" w:color="auto" w:fill="auto"/>
            <w:noWrap/>
            <w:vAlign w:val="center"/>
            <w:hideMark/>
          </w:tcPr>
          <w:p w14:paraId="7EA8ABDD" w14:textId="40F1122E" w:rsidR="00F136AD" w:rsidRPr="000C2B6A" w:rsidRDefault="00F136AD" w:rsidP="00F136AD">
            <w:pPr>
              <w:rPr>
                <w:rFonts w:eastAsia="Arial" w:cs="Arial"/>
                <w:sz w:val="16"/>
                <w:szCs w:val="16"/>
              </w:rPr>
            </w:pPr>
            <w:r>
              <w:rPr>
                <w:rFonts w:cs="Arial"/>
                <w:color w:val="000000"/>
                <w:sz w:val="16"/>
                <w:szCs w:val="16"/>
              </w:rPr>
              <w:t>per hour</w:t>
            </w:r>
          </w:p>
        </w:tc>
        <w:tc>
          <w:tcPr>
            <w:tcW w:w="609" w:type="dxa"/>
            <w:tcBorders>
              <w:top w:val="nil"/>
              <w:left w:val="nil"/>
              <w:bottom w:val="single" w:sz="4" w:space="0" w:color="auto"/>
              <w:right w:val="single" w:sz="4" w:space="0" w:color="auto"/>
            </w:tcBorders>
            <w:shd w:val="clear" w:color="auto" w:fill="auto"/>
            <w:noWrap/>
            <w:vAlign w:val="center"/>
            <w:hideMark/>
          </w:tcPr>
          <w:p w14:paraId="27D62FDA" w14:textId="41DCFFE2" w:rsidR="00F136AD" w:rsidRPr="000C2B6A" w:rsidRDefault="00F136AD" w:rsidP="00F136AD">
            <w:pPr>
              <w:rPr>
                <w:rFonts w:eastAsia="Arial" w:cs="Arial"/>
                <w:sz w:val="16"/>
                <w:szCs w:val="16"/>
              </w:rPr>
            </w:pPr>
            <w:r>
              <w:rPr>
                <w:rFonts w:cs="Arial"/>
                <w:color w:val="000000"/>
                <w:sz w:val="16"/>
                <w:szCs w:val="16"/>
              </w:rPr>
              <w:t>$339</w:t>
            </w:r>
          </w:p>
        </w:tc>
        <w:tc>
          <w:tcPr>
            <w:tcW w:w="809" w:type="dxa"/>
            <w:tcBorders>
              <w:top w:val="nil"/>
              <w:left w:val="nil"/>
              <w:bottom w:val="single" w:sz="4" w:space="0" w:color="auto"/>
              <w:right w:val="single" w:sz="4" w:space="0" w:color="auto"/>
            </w:tcBorders>
            <w:shd w:val="clear" w:color="auto" w:fill="auto"/>
            <w:noWrap/>
            <w:vAlign w:val="center"/>
            <w:hideMark/>
          </w:tcPr>
          <w:p w14:paraId="5EF68DB1" w14:textId="0871345E" w:rsidR="00F136AD" w:rsidRPr="000C2B6A" w:rsidRDefault="00F136AD" w:rsidP="00F136AD">
            <w:pPr>
              <w:rPr>
                <w:rFonts w:eastAsia="Arial" w:cs="Arial"/>
                <w:sz w:val="16"/>
                <w:szCs w:val="16"/>
              </w:rPr>
            </w:pPr>
            <w:r>
              <w:rPr>
                <w:rFonts w:cs="Arial"/>
                <w:color w:val="000000"/>
                <w:sz w:val="16"/>
                <w:szCs w:val="16"/>
              </w:rPr>
              <w:t>per hour</w:t>
            </w:r>
          </w:p>
        </w:tc>
        <w:tc>
          <w:tcPr>
            <w:tcW w:w="584" w:type="dxa"/>
            <w:tcBorders>
              <w:top w:val="nil"/>
              <w:left w:val="nil"/>
              <w:bottom w:val="single" w:sz="4" w:space="0" w:color="auto"/>
              <w:right w:val="single" w:sz="4" w:space="0" w:color="auto"/>
            </w:tcBorders>
            <w:shd w:val="clear" w:color="auto" w:fill="auto"/>
            <w:noWrap/>
            <w:vAlign w:val="center"/>
            <w:hideMark/>
          </w:tcPr>
          <w:p w14:paraId="33A6B4CA" w14:textId="6D54EC4C"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1D727C08" w14:textId="2B25740B"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6CD465C9"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29BDF420" w14:textId="77777777" w:rsidR="00F136AD" w:rsidRPr="006E7DA0" w:rsidRDefault="00F136AD" w:rsidP="00F136AD">
            <w:pPr>
              <w:rPr>
                <w:rFonts w:eastAsia="Arial" w:cs="Arial"/>
                <w:b/>
                <w:bCs/>
                <w:sz w:val="16"/>
                <w:szCs w:val="16"/>
              </w:rPr>
            </w:pPr>
            <w:r w:rsidRPr="006E7DA0">
              <w:rPr>
                <w:rFonts w:eastAsia="Arial" w:cs="Arial"/>
                <w:b/>
                <w:bCs/>
                <w:sz w:val="16"/>
                <w:szCs w:val="16"/>
              </w:rPr>
              <w:t>Instrument Performance</w:t>
            </w:r>
          </w:p>
        </w:tc>
        <w:tc>
          <w:tcPr>
            <w:tcW w:w="1134" w:type="dxa"/>
            <w:tcBorders>
              <w:top w:val="single" w:sz="4" w:space="0" w:color="auto"/>
            </w:tcBorders>
            <w:shd w:val="clear" w:color="auto" w:fill="auto"/>
            <w:vAlign w:val="center"/>
            <w:hideMark/>
          </w:tcPr>
          <w:p w14:paraId="774B403F"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1CEC9BD0" w14:textId="24665352" w:rsidR="00F136AD" w:rsidRPr="000C2B6A" w:rsidRDefault="00F136AD" w:rsidP="00F136AD">
            <w:pPr>
              <w:rPr>
                <w:rFonts w:eastAsia="Arial" w:cs="Arial"/>
                <w:sz w:val="16"/>
                <w:szCs w:val="16"/>
              </w:rPr>
            </w:pPr>
            <w:r>
              <w:rPr>
                <w:rFonts w:cs="Arial"/>
                <w:color w:val="000000"/>
                <w:sz w:val="16"/>
                <w:szCs w:val="16"/>
              </w:rPr>
              <w:t>$339</w:t>
            </w:r>
          </w:p>
        </w:tc>
        <w:tc>
          <w:tcPr>
            <w:tcW w:w="752" w:type="dxa"/>
            <w:tcBorders>
              <w:top w:val="nil"/>
              <w:left w:val="nil"/>
              <w:bottom w:val="single" w:sz="4" w:space="0" w:color="auto"/>
              <w:right w:val="single" w:sz="4" w:space="0" w:color="auto"/>
            </w:tcBorders>
            <w:shd w:val="clear" w:color="auto" w:fill="auto"/>
            <w:noWrap/>
            <w:vAlign w:val="center"/>
            <w:hideMark/>
          </w:tcPr>
          <w:p w14:paraId="3C2235D5" w14:textId="36CCC590"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0777F9DC" w14:textId="4242CB4A" w:rsidR="00F136AD" w:rsidRPr="000C2B6A" w:rsidRDefault="00F136AD" w:rsidP="00F136AD">
            <w:pPr>
              <w:rPr>
                <w:rFonts w:eastAsia="Arial" w:cs="Arial"/>
                <w:sz w:val="16"/>
                <w:szCs w:val="16"/>
              </w:rPr>
            </w:pPr>
            <w:r>
              <w:rPr>
                <w:rFonts w:cs="Arial"/>
                <w:color w:val="000000"/>
                <w:sz w:val="16"/>
                <w:szCs w:val="16"/>
              </w:rPr>
              <w:t>$339</w:t>
            </w:r>
          </w:p>
        </w:tc>
        <w:tc>
          <w:tcPr>
            <w:tcW w:w="784" w:type="dxa"/>
            <w:tcBorders>
              <w:top w:val="nil"/>
              <w:left w:val="nil"/>
              <w:bottom w:val="single" w:sz="4" w:space="0" w:color="auto"/>
              <w:right w:val="single" w:sz="4" w:space="0" w:color="auto"/>
            </w:tcBorders>
            <w:shd w:val="clear" w:color="auto" w:fill="auto"/>
            <w:noWrap/>
            <w:vAlign w:val="center"/>
            <w:hideMark/>
          </w:tcPr>
          <w:p w14:paraId="20B9195B" w14:textId="4A1071CB"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780E86E1" w14:textId="027CF2FE" w:rsidR="00F136AD" w:rsidRPr="000C2B6A" w:rsidRDefault="00F136AD" w:rsidP="00F136AD">
            <w:pPr>
              <w:rPr>
                <w:rFonts w:eastAsia="Arial" w:cs="Arial"/>
                <w:sz w:val="16"/>
                <w:szCs w:val="16"/>
              </w:rPr>
            </w:pPr>
            <w:r>
              <w:rPr>
                <w:rFonts w:cs="Arial"/>
                <w:color w:val="000000"/>
                <w:sz w:val="16"/>
                <w:szCs w:val="16"/>
              </w:rPr>
              <w:t>$339</w:t>
            </w:r>
          </w:p>
        </w:tc>
        <w:tc>
          <w:tcPr>
            <w:tcW w:w="810" w:type="dxa"/>
            <w:tcBorders>
              <w:top w:val="nil"/>
              <w:left w:val="nil"/>
              <w:bottom w:val="single" w:sz="4" w:space="0" w:color="auto"/>
              <w:right w:val="single" w:sz="4" w:space="0" w:color="auto"/>
            </w:tcBorders>
            <w:shd w:val="clear" w:color="auto" w:fill="auto"/>
            <w:noWrap/>
            <w:vAlign w:val="center"/>
            <w:hideMark/>
          </w:tcPr>
          <w:p w14:paraId="6059693C" w14:textId="4502FF6D" w:rsidR="00F136AD" w:rsidRPr="000C2B6A" w:rsidRDefault="00F136AD" w:rsidP="00F136AD">
            <w:pPr>
              <w:rPr>
                <w:rFonts w:eastAsia="Arial" w:cs="Arial"/>
                <w:sz w:val="16"/>
                <w:szCs w:val="16"/>
              </w:rPr>
            </w:pPr>
            <w:r>
              <w:rPr>
                <w:rFonts w:cs="Arial"/>
                <w:color w:val="000000"/>
                <w:sz w:val="16"/>
                <w:szCs w:val="16"/>
              </w:rPr>
              <w:t>per hour</w:t>
            </w:r>
          </w:p>
        </w:tc>
        <w:tc>
          <w:tcPr>
            <w:tcW w:w="850" w:type="dxa"/>
            <w:tcBorders>
              <w:top w:val="nil"/>
              <w:left w:val="nil"/>
              <w:bottom w:val="single" w:sz="4" w:space="0" w:color="auto"/>
              <w:right w:val="single" w:sz="4" w:space="0" w:color="auto"/>
            </w:tcBorders>
            <w:shd w:val="clear" w:color="auto" w:fill="auto"/>
            <w:noWrap/>
            <w:vAlign w:val="center"/>
            <w:hideMark/>
          </w:tcPr>
          <w:p w14:paraId="61271A9B" w14:textId="7096C120"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34349728" w14:textId="429DAD02" w:rsidR="00F136AD" w:rsidRPr="000C2B6A" w:rsidRDefault="00F136AD" w:rsidP="00F136AD">
            <w:pPr>
              <w:rPr>
                <w:rFonts w:eastAsia="Arial" w:cs="Arial"/>
                <w:sz w:val="16"/>
                <w:szCs w:val="16"/>
              </w:rPr>
            </w:pPr>
            <w:r>
              <w:rPr>
                <w:rFonts w:cs="Arial"/>
                <w:color w:val="000000"/>
                <w:sz w:val="16"/>
                <w:szCs w:val="16"/>
              </w:rPr>
              <w:t>per hour</w:t>
            </w:r>
          </w:p>
        </w:tc>
        <w:tc>
          <w:tcPr>
            <w:tcW w:w="709" w:type="dxa"/>
            <w:tcBorders>
              <w:top w:val="nil"/>
              <w:left w:val="nil"/>
              <w:bottom w:val="single" w:sz="4" w:space="0" w:color="auto"/>
              <w:right w:val="single" w:sz="4" w:space="0" w:color="auto"/>
            </w:tcBorders>
            <w:shd w:val="clear" w:color="auto" w:fill="auto"/>
            <w:noWrap/>
            <w:vAlign w:val="center"/>
            <w:hideMark/>
          </w:tcPr>
          <w:p w14:paraId="6097B41E" w14:textId="2A5B6323" w:rsidR="00F136AD" w:rsidRPr="000C2B6A" w:rsidRDefault="00F136AD" w:rsidP="00F136AD">
            <w:pPr>
              <w:rPr>
                <w:rFonts w:eastAsia="Arial" w:cs="Arial"/>
                <w:sz w:val="16"/>
                <w:szCs w:val="16"/>
              </w:rPr>
            </w:pPr>
            <w:r>
              <w:rPr>
                <w:rFonts w:cs="Arial"/>
                <w:color w:val="000000"/>
                <w:sz w:val="16"/>
                <w:szCs w:val="16"/>
              </w:rPr>
              <w:t>$339</w:t>
            </w:r>
          </w:p>
        </w:tc>
        <w:tc>
          <w:tcPr>
            <w:tcW w:w="731" w:type="dxa"/>
            <w:tcBorders>
              <w:top w:val="nil"/>
              <w:left w:val="nil"/>
              <w:bottom w:val="single" w:sz="4" w:space="0" w:color="auto"/>
              <w:right w:val="single" w:sz="4" w:space="0" w:color="auto"/>
            </w:tcBorders>
            <w:shd w:val="clear" w:color="auto" w:fill="auto"/>
            <w:noWrap/>
            <w:vAlign w:val="center"/>
            <w:hideMark/>
          </w:tcPr>
          <w:p w14:paraId="36E5D3E4" w14:textId="33CC9269"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29FEA85F" w14:textId="52410D8F" w:rsidR="00F136AD" w:rsidRPr="000C2B6A" w:rsidRDefault="00F136AD" w:rsidP="00F136AD">
            <w:pPr>
              <w:rPr>
                <w:rFonts w:eastAsia="Arial" w:cs="Arial"/>
                <w:sz w:val="16"/>
                <w:szCs w:val="16"/>
              </w:rPr>
            </w:pPr>
            <w:r>
              <w:rPr>
                <w:rFonts w:cs="Arial"/>
                <w:color w:val="000000"/>
                <w:sz w:val="16"/>
                <w:szCs w:val="16"/>
              </w:rPr>
              <w:t>$339</w:t>
            </w:r>
          </w:p>
        </w:tc>
        <w:tc>
          <w:tcPr>
            <w:tcW w:w="796" w:type="dxa"/>
            <w:tcBorders>
              <w:top w:val="nil"/>
              <w:left w:val="nil"/>
              <w:bottom w:val="single" w:sz="4" w:space="0" w:color="auto"/>
              <w:right w:val="single" w:sz="4" w:space="0" w:color="auto"/>
            </w:tcBorders>
            <w:shd w:val="clear" w:color="auto" w:fill="auto"/>
            <w:noWrap/>
            <w:vAlign w:val="center"/>
            <w:hideMark/>
          </w:tcPr>
          <w:p w14:paraId="298E167C" w14:textId="5A2E8A10" w:rsidR="00F136AD" w:rsidRPr="000C2B6A" w:rsidRDefault="00F136AD" w:rsidP="00F136AD">
            <w:pPr>
              <w:rPr>
                <w:rFonts w:eastAsia="Arial" w:cs="Arial"/>
                <w:sz w:val="16"/>
                <w:szCs w:val="16"/>
              </w:rPr>
            </w:pPr>
            <w:r>
              <w:rPr>
                <w:rFonts w:cs="Arial"/>
                <w:color w:val="000000"/>
                <w:sz w:val="16"/>
                <w:szCs w:val="16"/>
              </w:rPr>
              <w:t>per hour</w:t>
            </w:r>
          </w:p>
        </w:tc>
        <w:tc>
          <w:tcPr>
            <w:tcW w:w="850" w:type="dxa"/>
            <w:tcBorders>
              <w:top w:val="nil"/>
              <w:left w:val="nil"/>
              <w:bottom w:val="single" w:sz="4" w:space="0" w:color="auto"/>
              <w:right w:val="single" w:sz="4" w:space="0" w:color="auto"/>
            </w:tcBorders>
            <w:shd w:val="clear" w:color="auto" w:fill="auto"/>
            <w:noWrap/>
            <w:vAlign w:val="center"/>
            <w:hideMark/>
          </w:tcPr>
          <w:p w14:paraId="4B0161F2" w14:textId="57F101BD"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0F176506" w14:textId="4F4E9CC4"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0F8B3E12" w14:textId="6FC84847" w:rsidR="00F136AD" w:rsidRPr="000C2B6A" w:rsidRDefault="00F136AD" w:rsidP="00F136AD">
            <w:pPr>
              <w:rPr>
                <w:rFonts w:eastAsia="Arial" w:cs="Arial"/>
                <w:sz w:val="16"/>
                <w:szCs w:val="16"/>
              </w:rPr>
            </w:pPr>
            <w:r>
              <w:rPr>
                <w:rFonts w:cs="Arial"/>
                <w:color w:val="000000"/>
                <w:sz w:val="16"/>
                <w:szCs w:val="16"/>
              </w:rPr>
              <w:t>$339</w:t>
            </w:r>
          </w:p>
        </w:tc>
        <w:tc>
          <w:tcPr>
            <w:tcW w:w="691" w:type="dxa"/>
            <w:tcBorders>
              <w:top w:val="nil"/>
              <w:left w:val="nil"/>
              <w:bottom w:val="single" w:sz="4" w:space="0" w:color="auto"/>
              <w:right w:val="single" w:sz="4" w:space="0" w:color="auto"/>
            </w:tcBorders>
            <w:shd w:val="clear" w:color="auto" w:fill="auto"/>
            <w:noWrap/>
            <w:vAlign w:val="center"/>
            <w:hideMark/>
          </w:tcPr>
          <w:p w14:paraId="6BD8F66D" w14:textId="4C783D6C" w:rsidR="00F136AD" w:rsidRPr="000C2B6A" w:rsidRDefault="00F136AD" w:rsidP="00F136AD">
            <w:pPr>
              <w:rPr>
                <w:rFonts w:eastAsia="Arial" w:cs="Arial"/>
                <w:sz w:val="16"/>
                <w:szCs w:val="16"/>
              </w:rPr>
            </w:pPr>
            <w:r>
              <w:rPr>
                <w:rFonts w:cs="Arial"/>
                <w:color w:val="000000"/>
                <w:sz w:val="16"/>
                <w:szCs w:val="16"/>
              </w:rPr>
              <w:t>per hour</w:t>
            </w:r>
          </w:p>
        </w:tc>
        <w:tc>
          <w:tcPr>
            <w:tcW w:w="702" w:type="dxa"/>
            <w:tcBorders>
              <w:top w:val="nil"/>
              <w:left w:val="nil"/>
              <w:bottom w:val="single" w:sz="4" w:space="0" w:color="auto"/>
              <w:right w:val="single" w:sz="4" w:space="0" w:color="auto"/>
            </w:tcBorders>
            <w:shd w:val="clear" w:color="auto" w:fill="auto"/>
            <w:noWrap/>
            <w:vAlign w:val="center"/>
            <w:hideMark/>
          </w:tcPr>
          <w:p w14:paraId="7D72B525" w14:textId="1873BCC8"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349C4EE5" w14:textId="390CB348"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6B8B63CE" w14:textId="2B9F5B62"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D80D404" w14:textId="50F96FD1"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325272CC" w14:textId="12F3076F"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200AD1AE" w14:textId="53EBBB79"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5A1AC452" w14:textId="0306CC70"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4FEA5BE6" w14:textId="6DC19954"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3C4F7329"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2B51CB0E" w14:textId="77777777" w:rsidR="00F136AD" w:rsidRPr="006E7DA0" w:rsidRDefault="00F136AD" w:rsidP="00F136AD">
            <w:pPr>
              <w:rPr>
                <w:rFonts w:eastAsia="Arial" w:cs="Arial"/>
                <w:b/>
                <w:bCs/>
                <w:sz w:val="16"/>
                <w:szCs w:val="16"/>
              </w:rPr>
            </w:pPr>
            <w:r w:rsidRPr="006E7DA0">
              <w:rPr>
                <w:rFonts w:eastAsia="Arial" w:cs="Arial"/>
                <w:b/>
                <w:bCs/>
                <w:sz w:val="16"/>
                <w:szCs w:val="16"/>
              </w:rPr>
              <w:t>Temperature test</w:t>
            </w:r>
          </w:p>
        </w:tc>
        <w:tc>
          <w:tcPr>
            <w:tcW w:w="1134" w:type="dxa"/>
            <w:tcBorders>
              <w:top w:val="single" w:sz="4" w:space="0" w:color="auto"/>
            </w:tcBorders>
            <w:shd w:val="clear" w:color="auto" w:fill="auto"/>
            <w:vAlign w:val="center"/>
            <w:hideMark/>
          </w:tcPr>
          <w:p w14:paraId="7BE79573"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7E5D53E9" w14:textId="7D4FD5F8" w:rsidR="00F136AD" w:rsidRPr="000C2B6A" w:rsidRDefault="00F136AD" w:rsidP="00F136AD">
            <w:pPr>
              <w:rPr>
                <w:rFonts w:eastAsia="Arial" w:cs="Arial"/>
                <w:sz w:val="16"/>
                <w:szCs w:val="16"/>
              </w:rPr>
            </w:pPr>
            <w:r>
              <w:rPr>
                <w:rFonts w:cs="Arial"/>
                <w:color w:val="000000"/>
                <w:sz w:val="16"/>
                <w:szCs w:val="16"/>
              </w:rPr>
              <w:t>$2,039</w:t>
            </w:r>
          </w:p>
        </w:tc>
        <w:tc>
          <w:tcPr>
            <w:tcW w:w="752" w:type="dxa"/>
            <w:tcBorders>
              <w:top w:val="nil"/>
              <w:left w:val="nil"/>
              <w:bottom w:val="single" w:sz="4" w:space="0" w:color="auto"/>
              <w:right w:val="single" w:sz="4" w:space="0" w:color="auto"/>
            </w:tcBorders>
            <w:shd w:val="clear" w:color="auto" w:fill="auto"/>
            <w:noWrap/>
            <w:vAlign w:val="center"/>
            <w:hideMark/>
          </w:tcPr>
          <w:p w14:paraId="5D690AA7" w14:textId="2E48CB40"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1CA8FFF" w14:textId="4F714622" w:rsidR="00F136AD" w:rsidRPr="000C2B6A" w:rsidRDefault="00F136AD" w:rsidP="00F136AD">
            <w:pPr>
              <w:rPr>
                <w:rFonts w:eastAsia="Arial" w:cs="Arial"/>
                <w:sz w:val="16"/>
                <w:szCs w:val="16"/>
              </w:rPr>
            </w:pPr>
            <w:r>
              <w:rPr>
                <w:rFonts w:cs="Arial"/>
                <w:color w:val="000000"/>
                <w:sz w:val="16"/>
                <w:szCs w:val="16"/>
              </w:rPr>
              <w:t>$3,227</w:t>
            </w:r>
          </w:p>
        </w:tc>
        <w:tc>
          <w:tcPr>
            <w:tcW w:w="784" w:type="dxa"/>
            <w:tcBorders>
              <w:top w:val="nil"/>
              <w:left w:val="nil"/>
              <w:bottom w:val="single" w:sz="4" w:space="0" w:color="auto"/>
              <w:right w:val="single" w:sz="4" w:space="0" w:color="auto"/>
            </w:tcBorders>
            <w:shd w:val="clear" w:color="auto" w:fill="auto"/>
            <w:noWrap/>
            <w:vAlign w:val="center"/>
            <w:hideMark/>
          </w:tcPr>
          <w:p w14:paraId="7302EF9E" w14:textId="554B47A9"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2AF7343" w14:textId="29F0C766" w:rsidR="00F136AD" w:rsidRPr="000C2B6A" w:rsidRDefault="00F136AD" w:rsidP="00F136AD">
            <w:pPr>
              <w:rPr>
                <w:rFonts w:eastAsia="Arial" w:cs="Arial"/>
                <w:sz w:val="16"/>
                <w:szCs w:val="16"/>
              </w:rPr>
            </w:pPr>
            <w:r>
              <w:rPr>
                <w:rFonts w:cs="Arial"/>
                <w:color w:val="000000"/>
                <w:sz w:val="16"/>
                <w:szCs w:val="16"/>
              </w:rPr>
              <w:t>$3,523</w:t>
            </w:r>
          </w:p>
        </w:tc>
        <w:tc>
          <w:tcPr>
            <w:tcW w:w="810" w:type="dxa"/>
            <w:tcBorders>
              <w:top w:val="nil"/>
              <w:left w:val="nil"/>
              <w:bottom w:val="single" w:sz="4" w:space="0" w:color="auto"/>
              <w:right w:val="single" w:sz="4" w:space="0" w:color="auto"/>
            </w:tcBorders>
            <w:shd w:val="clear" w:color="auto" w:fill="auto"/>
            <w:noWrap/>
            <w:vAlign w:val="center"/>
            <w:hideMark/>
          </w:tcPr>
          <w:p w14:paraId="2FE5BCB7" w14:textId="47AAA70F"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B857720" w14:textId="07CEA55A" w:rsidR="00F136AD" w:rsidRPr="000C2B6A" w:rsidRDefault="00F136AD" w:rsidP="00F136AD">
            <w:pPr>
              <w:rPr>
                <w:rFonts w:eastAsia="Arial" w:cs="Arial"/>
                <w:sz w:val="16"/>
                <w:szCs w:val="16"/>
              </w:rPr>
            </w:pPr>
            <w:r>
              <w:rPr>
                <w:rFonts w:cs="Arial"/>
                <w:color w:val="000000"/>
                <w:sz w:val="16"/>
                <w:szCs w:val="16"/>
              </w:rPr>
              <w:t>$2,996</w:t>
            </w:r>
          </w:p>
        </w:tc>
        <w:tc>
          <w:tcPr>
            <w:tcW w:w="709" w:type="dxa"/>
            <w:tcBorders>
              <w:top w:val="nil"/>
              <w:left w:val="nil"/>
              <w:bottom w:val="single" w:sz="4" w:space="0" w:color="auto"/>
              <w:right w:val="single" w:sz="4" w:space="0" w:color="auto"/>
            </w:tcBorders>
            <w:shd w:val="clear" w:color="auto" w:fill="auto"/>
            <w:noWrap/>
            <w:vAlign w:val="center"/>
            <w:hideMark/>
          </w:tcPr>
          <w:p w14:paraId="6A37B467" w14:textId="247C5300"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610D2F1" w14:textId="30FDE048" w:rsidR="00F136AD" w:rsidRPr="000C2B6A" w:rsidRDefault="00F136AD" w:rsidP="00F136AD">
            <w:pPr>
              <w:rPr>
                <w:rFonts w:eastAsia="Arial" w:cs="Arial"/>
                <w:sz w:val="16"/>
                <w:szCs w:val="16"/>
              </w:rPr>
            </w:pPr>
            <w:r>
              <w:rPr>
                <w:rFonts w:cs="Arial"/>
                <w:color w:val="000000"/>
                <w:sz w:val="16"/>
                <w:szCs w:val="16"/>
              </w:rPr>
              <w:t>$3,892</w:t>
            </w:r>
          </w:p>
        </w:tc>
        <w:tc>
          <w:tcPr>
            <w:tcW w:w="731" w:type="dxa"/>
            <w:tcBorders>
              <w:top w:val="nil"/>
              <w:left w:val="nil"/>
              <w:bottom w:val="single" w:sz="4" w:space="0" w:color="auto"/>
              <w:right w:val="single" w:sz="4" w:space="0" w:color="auto"/>
            </w:tcBorders>
            <w:shd w:val="clear" w:color="auto" w:fill="auto"/>
            <w:noWrap/>
            <w:vAlign w:val="center"/>
            <w:hideMark/>
          </w:tcPr>
          <w:p w14:paraId="7E796D98" w14:textId="78D8B484"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136E5EC7" w14:textId="7C702666" w:rsidR="00F136AD" w:rsidRPr="000C2B6A" w:rsidRDefault="00F136AD" w:rsidP="00F136AD">
            <w:pPr>
              <w:rPr>
                <w:rFonts w:eastAsia="Arial" w:cs="Arial"/>
                <w:sz w:val="16"/>
                <w:szCs w:val="16"/>
              </w:rPr>
            </w:pPr>
            <w:r>
              <w:rPr>
                <w:rFonts w:cs="Arial"/>
                <w:color w:val="000000"/>
                <w:sz w:val="16"/>
                <w:szCs w:val="16"/>
              </w:rPr>
              <w:t>$4,047</w:t>
            </w:r>
          </w:p>
        </w:tc>
        <w:tc>
          <w:tcPr>
            <w:tcW w:w="796" w:type="dxa"/>
            <w:tcBorders>
              <w:top w:val="nil"/>
              <w:left w:val="nil"/>
              <w:bottom w:val="single" w:sz="4" w:space="0" w:color="auto"/>
              <w:right w:val="single" w:sz="4" w:space="0" w:color="auto"/>
            </w:tcBorders>
            <w:shd w:val="clear" w:color="auto" w:fill="auto"/>
            <w:noWrap/>
            <w:vAlign w:val="center"/>
            <w:hideMark/>
          </w:tcPr>
          <w:p w14:paraId="0C36A3D4" w14:textId="008E7951"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737C3F3" w14:textId="0A3F222E" w:rsidR="00F136AD" w:rsidRPr="000C2B6A" w:rsidRDefault="00F136AD" w:rsidP="00F136AD">
            <w:pPr>
              <w:rPr>
                <w:rFonts w:eastAsia="Arial" w:cs="Arial"/>
                <w:sz w:val="16"/>
                <w:szCs w:val="16"/>
              </w:rPr>
            </w:pPr>
            <w:r>
              <w:rPr>
                <w:rFonts w:cs="Arial"/>
                <w:color w:val="000000"/>
                <w:sz w:val="16"/>
                <w:szCs w:val="16"/>
              </w:rPr>
              <w:t>$804</w:t>
            </w:r>
          </w:p>
        </w:tc>
        <w:tc>
          <w:tcPr>
            <w:tcW w:w="709" w:type="dxa"/>
            <w:tcBorders>
              <w:top w:val="nil"/>
              <w:left w:val="nil"/>
              <w:bottom w:val="single" w:sz="4" w:space="0" w:color="auto"/>
              <w:right w:val="single" w:sz="4" w:space="0" w:color="auto"/>
            </w:tcBorders>
            <w:shd w:val="clear" w:color="auto" w:fill="auto"/>
            <w:noWrap/>
            <w:vAlign w:val="center"/>
            <w:hideMark/>
          </w:tcPr>
          <w:p w14:paraId="21650324" w14:textId="5F4B6EA9" w:rsidR="00F136AD" w:rsidRPr="000C2B6A"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3B3648F5" w14:textId="38A9B41B" w:rsidR="00F136AD" w:rsidRPr="000C2B6A" w:rsidRDefault="00F136AD" w:rsidP="00F136AD">
            <w:pPr>
              <w:rPr>
                <w:rFonts w:eastAsia="Arial" w:cs="Arial"/>
                <w:sz w:val="16"/>
                <w:szCs w:val="16"/>
              </w:rPr>
            </w:pPr>
            <w:r>
              <w:rPr>
                <w:rFonts w:cs="Arial"/>
                <w:color w:val="000000"/>
                <w:sz w:val="16"/>
                <w:szCs w:val="16"/>
              </w:rPr>
              <w:t>$6,934</w:t>
            </w:r>
          </w:p>
        </w:tc>
        <w:tc>
          <w:tcPr>
            <w:tcW w:w="691" w:type="dxa"/>
            <w:tcBorders>
              <w:top w:val="nil"/>
              <w:left w:val="nil"/>
              <w:bottom w:val="single" w:sz="4" w:space="0" w:color="auto"/>
              <w:right w:val="single" w:sz="4" w:space="0" w:color="auto"/>
            </w:tcBorders>
            <w:shd w:val="clear" w:color="auto" w:fill="auto"/>
            <w:noWrap/>
            <w:vAlign w:val="center"/>
            <w:hideMark/>
          </w:tcPr>
          <w:p w14:paraId="2C99A06B" w14:textId="03E24892"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1CABF24E" w14:textId="6A2AC044"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0B7B4E1D" w14:textId="09F98069"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147075B8" w14:textId="3877947B"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3960DCC0" w14:textId="250D3A14"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54018179" w14:textId="66243731"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58D0E2FC" w14:textId="6D26AF12"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60A0CA31" w14:textId="13E1C98E"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1379A22E" w14:textId="47779814"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6008A8D6"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4F01CB6D" w14:textId="77777777" w:rsidR="00F136AD" w:rsidRPr="006E7DA0" w:rsidRDefault="00F136AD" w:rsidP="00F136AD">
            <w:pPr>
              <w:rPr>
                <w:rFonts w:eastAsia="Arial" w:cs="Arial"/>
                <w:b/>
                <w:bCs/>
                <w:sz w:val="16"/>
                <w:szCs w:val="16"/>
              </w:rPr>
            </w:pPr>
            <w:r w:rsidRPr="006E7DA0">
              <w:rPr>
                <w:rFonts w:eastAsia="Arial" w:cs="Arial"/>
                <w:b/>
                <w:bCs/>
                <w:sz w:val="16"/>
                <w:szCs w:val="16"/>
              </w:rPr>
              <w:t>Humidity test</w:t>
            </w:r>
          </w:p>
        </w:tc>
        <w:tc>
          <w:tcPr>
            <w:tcW w:w="1134" w:type="dxa"/>
            <w:tcBorders>
              <w:top w:val="single" w:sz="4" w:space="0" w:color="auto"/>
            </w:tcBorders>
            <w:shd w:val="clear" w:color="auto" w:fill="auto"/>
            <w:vAlign w:val="center"/>
            <w:hideMark/>
          </w:tcPr>
          <w:p w14:paraId="12E60525"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1D60092D" w14:textId="1A1B8B00" w:rsidR="00F136AD" w:rsidRPr="000C2B6A" w:rsidRDefault="00F136AD" w:rsidP="00F136AD">
            <w:pPr>
              <w:rPr>
                <w:rFonts w:eastAsia="Arial" w:cs="Arial"/>
                <w:sz w:val="16"/>
                <w:szCs w:val="16"/>
              </w:rPr>
            </w:pPr>
            <w:r>
              <w:rPr>
                <w:rFonts w:cs="Arial"/>
                <w:color w:val="000000"/>
                <w:sz w:val="16"/>
                <w:szCs w:val="16"/>
              </w:rPr>
              <w:t>$2,330</w:t>
            </w:r>
          </w:p>
        </w:tc>
        <w:tc>
          <w:tcPr>
            <w:tcW w:w="752" w:type="dxa"/>
            <w:tcBorders>
              <w:top w:val="nil"/>
              <w:left w:val="nil"/>
              <w:bottom w:val="single" w:sz="4" w:space="0" w:color="auto"/>
              <w:right w:val="single" w:sz="4" w:space="0" w:color="auto"/>
            </w:tcBorders>
            <w:shd w:val="clear" w:color="auto" w:fill="auto"/>
            <w:noWrap/>
            <w:vAlign w:val="center"/>
            <w:hideMark/>
          </w:tcPr>
          <w:p w14:paraId="084CC7B0" w14:textId="5DF46851"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0495513B" w14:textId="7666935F" w:rsidR="00F136AD" w:rsidRPr="000C2B6A" w:rsidRDefault="00F136AD" w:rsidP="00F136AD">
            <w:pPr>
              <w:rPr>
                <w:rFonts w:eastAsia="Arial" w:cs="Arial"/>
                <w:sz w:val="16"/>
                <w:szCs w:val="16"/>
              </w:rPr>
            </w:pPr>
            <w:r>
              <w:rPr>
                <w:rFonts w:cs="Arial"/>
                <w:color w:val="000000"/>
                <w:sz w:val="16"/>
                <w:szCs w:val="16"/>
              </w:rPr>
              <w:t>$2,564</w:t>
            </w:r>
          </w:p>
        </w:tc>
        <w:tc>
          <w:tcPr>
            <w:tcW w:w="784" w:type="dxa"/>
            <w:tcBorders>
              <w:top w:val="nil"/>
              <w:left w:val="nil"/>
              <w:bottom w:val="single" w:sz="4" w:space="0" w:color="auto"/>
              <w:right w:val="single" w:sz="4" w:space="0" w:color="auto"/>
            </w:tcBorders>
            <w:shd w:val="clear" w:color="auto" w:fill="auto"/>
            <w:noWrap/>
            <w:vAlign w:val="center"/>
            <w:hideMark/>
          </w:tcPr>
          <w:p w14:paraId="6F59F0F0" w14:textId="5CF43600"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687D2357" w14:textId="6D58EED9" w:rsidR="00F136AD" w:rsidRPr="000C2B6A" w:rsidRDefault="00F136AD" w:rsidP="00F136AD">
            <w:pPr>
              <w:rPr>
                <w:rFonts w:eastAsia="Arial" w:cs="Arial"/>
                <w:sz w:val="16"/>
                <w:szCs w:val="16"/>
              </w:rPr>
            </w:pPr>
            <w:r>
              <w:rPr>
                <w:rFonts w:cs="Arial"/>
                <w:color w:val="000000"/>
                <w:sz w:val="16"/>
                <w:szCs w:val="16"/>
              </w:rPr>
              <w:t>$2,734</w:t>
            </w:r>
          </w:p>
        </w:tc>
        <w:tc>
          <w:tcPr>
            <w:tcW w:w="810" w:type="dxa"/>
            <w:tcBorders>
              <w:top w:val="nil"/>
              <w:left w:val="nil"/>
              <w:bottom w:val="single" w:sz="4" w:space="0" w:color="auto"/>
              <w:right w:val="single" w:sz="4" w:space="0" w:color="auto"/>
            </w:tcBorders>
            <w:shd w:val="clear" w:color="auto" w:fill="auto"/>
            <w:noWrap/>
            <w:vAlign w:val="center"/>
            <w:hideMark/>
          </w:tcPr>
          <w:p w14:paraId="23C1C00F" w14:textId="4C3B2F81"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5AF1D82A" w14:textId="58369AD0" w:rsidR="00F136AD" w:rsidRPr="000C2B6A" w:rsidRDefault="00F136AD" w:rsidP="00F136AD">
            <w:pPr>
              <w:rPr>
                <w:rFonts w:eastAsia="Arial" w:cs="Arial"/>
                <w:sz w:val="16"/>
                <w:szCs w:val="16"/>
              </w:rPr>
            </w:pPr>
            <w:r>
              <w:rPr>
                <w:rFonts w:cs="Arial"/>
                <w:color w:val="000000"/>
                <w:sz w:val="16"/>
                <w:szCs w:val="16"/>
              </w:rPr>
              <w:t>$1,651</w:t>
            </w:r>
          </w:p>
        </w:tc>
        <w:tc>
          <w:tcPr>
            <w:tcW w:w="709" w:type="dxa"/>
            <w:tcBorders>
              <w:top w:val="nil"/>
              <w:left w:val="nil"/>
              <w:bottom w:val="single" w:sz="4" w:space="0" w:color="auto"/>
              <w:right w:val="single" w:sz="4" w:space="0" w:color="auto"/>
            </w:tcBorders>
            <w:shd w:val="clear" w:color="auto" w:fill="auto"/>
            <w:noWrap/>
            <w:vAlign w:val="center"/>
            <w:hideMark/>
          </w:tcPr>
          <w:p w14:paraId="0AFE9F80" w14:textId="7EA7B6B6"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539959D" w14:textId="7FD7135C" w:rsidR="00F136AD" w:rsidRPr="000C2B6A" w:rsidRDefault="00F136AD" w:rsidP="00F136AD">
            <w:pPr>
              <w:rPr>
                <w:rFonts w:eastAsia="Arial" w:cs="Arial"/>
                <w:sz w:val="16"/>
                <w:szCs w:val="16"/>
              </w:rPr>
            </w:pPr>
            <w:r>
              <w:rPr>
                <w:rFonts w:cs="Arial"/>
                <w:color w:val="000000"/>
                <w:sz w:val="16"/>
                <w:szCs w:val="16"/>
              </w:rPr>
              <w:t>$2,054</w:t>
            </w:r>
          </w:p>
        </w:tc>
        <w:tc>
          <w:tcPr>
            <w:tcW w:w="731" w:type="dxa"/>
            <w:tcBorders>
              <w:top w:val="nil"/>
              <w:left w:val="nil"/>
              <w:bottom w:val="single" w:sz="4" w:space="0" w:color="auto"/>
              <w:right w:val="single" w:sz="4" w:space="0" w:color="auto"/>
            </w:tcBorders>
            <w:shd w:val="clear" w:color="auto" w:fill="auto"/>
            <w:noWrap/>
            <w:vAlign w:val="center"/>
            <w:hideMark/>
          </w:tcPr>
          <w:p w14:paraId="6D2D9700" w14:textId="408A162E"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0906DB95" w14:textId="69AC6D90" w:rsidR="00F136AD" w:rsidRPr="000C2B6A" w:rsidRDefault="00F136AD" w:rsidP="00F136AD">
            <w:pPr>
              <w:rPr>
                <w:rFonts w:eastAsia="Arial" w:cs="Arial"/>
                <w:sz w:val="16"/>
                <w:szCs w:val="16"/>
              </w:rPr>
            </w:pPr>
            <w:r>
              <w:rPr>
                <w:rFonts w:cs="Arial"/>
                <w:color w:val="000000"/>
                <w:sz w:val="16"/>
                <w:szCs w:val="16"/>
              </w:rPr>
              <w:t>$2,593</w:t>
            </w:r>
          </w:p>
        </w:tc>
        <w:tc>
          <w:tcPr>
            <w:tcW w:w="796" w:type="dxa"/>
            <w:tcBorders>
              <w:top w:val="nil"/>
              <w:left w:val="nil"/>
              <w:bottom w:val="single" w:sz="4" w:space="0" w:color="auto"/>
              <w:right w:val="single" w:sz="4" w:space="0" w:color="auto"/>
            </w:tcBorders>
            <w:shd w:val="clear" w:color="auto" w:fill="auto"/>
            <w:noWrap/>
            <w:vAlign w:val="center"/>
            <w:hideMark/>
          </w:tcPr>
          <w:p w14:paraId="67228AEA" w14:textId="2E2D0D87"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3381E28" w14:textId="124C1502" w:rsidR="00F136AD" w:rsidRPr="000C2B6A" w:rsidRDefault="00F136AD" w:rsidP="00F136AD">
            <w:pPr>
              <w:rPr>
                <w:rFonts w:eastAsia="Arial" w:cs="Arial"/>
                <w:sz w:val="16"/>
                <w:szCs w:val="16"/>
              </w:rPr>
            </w:pPr>
            <w:r>
              <w:rPr>
                <w:rFonts w:cs="Arial"/>
                <w:color w:val="000000"/>
                <w:sz w:val="16"/>
                <w:szCs w:val="16"/>
              </w:rPr>
              <w:t>$833</w:t>
            </w:r>
          </w:p>
        </w:tc>
        <w:tc>
          <w:tcPr>
            <w:tcW w:w="709" w:type="dxa"/>
            <w:tcBorders>
              <w:top w:val="nil"/>
              <w:left w:val="nil"/>
              <w:bottom w:val="single" w:sz="4" w:space="0" w:color="auto"/>
              <w:right w:val="single" w:sz="4" w:space="0" w:color="auto"/>
            </w:tcBorders>
            <w:shd w:val="clear" w:color="auto" w:fill="auto"/>
            <w:noWrap/>
            <w:vAlign w:val="center"/>
            <w:hideMark/>
          </w:tcPr>
          <w:p w14:paraId="0AE9B4A2" w14:textId="0F78ABAC" w:rsidR="00F136AD" w:rsidRPr="000C2B6A"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42C364FF" w14:textId="7F47253A" w:rsidR="00F136AD" w:rsidRPr="000C2B6A" w:rsidRDefault="00F136AD" w:rsidP="00F136AD">
            <w:pPr>
              <w:rPr>
                <w:rFonts w:eastAsia="Arial" w:cs="Arial"/>
                <w:sz w:val="16"/>
                <w:szCs w:val="16"/>
              </w:rPr>
            </w:pPr>
            <w:r>
              <w:rPr>
                <w:rFonts w:cs="Arial"/>
                <w:color w:val="000000"/>
                <w:sz w:val="16"/>
                <w:szCs w:val="16"/>
              </w:rPr>
              <w:t>$2,362</w:t>
            </w:r>
          </w:p>
        </w:tc>
        <w:tc>
          <w:tcPr>
            <w:tcW w:w="691" w:type="dxa"/>
            <w:tcBorders>
              <w:top w:val="nil"/>
              <w:left w:val="nil"/>
              <w:bottom w:val="single" w:sz="4" w:space="0" w:color="auto"/>
              <w:right w:val="single" w:sz="4" w:space="0" w:color="auto"/>
            </w:tcBorders>
            <w:shd w:val="clear" w:color="auto" w:fill="auto"/>
            <w:noWrap/>
            <w:vAlign w:val="center"/>
            <w:hideMark/>
          </w:tcPr>
          <w:p w14:paraId="5D0662AD" w14:textId="3774CB52"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59047118" w14:textId="65564B53"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1A73954A" w14:textId="7462EFE0"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5F32FD1D" w14:textId="204D03C1"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42253B72" w14:textId="20057CEE"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29664C32" w14:textId="5F25C574"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5485F474" w14:textId="04112A79"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31FFDB43" w14:textId="3A7F451D"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3F8B5A01" w14:textId="58F2D618"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22E7779E" w14:textId="77777777" w:rsidTr="00F136AD">
        <w:tblPrEx>
          <w:shd w:val="clear" w:color="auto" w:fill="DBE5F1" w:themeFill="accent1" w:themeFillTint="33"/>
        </w:tblPrEx>
        <w:trPr>
          <w:trHeight w:val="402"/>
        </w:trPr>
        <w:tc>
          <w:tcPr>
            <w:tcW w:w="2694" w:type="dxa"/>
            <w:shd w:val="clear" w:color="auto" w:fill="auto"/>
            <w:vAlign w:val="center"/>
            <w:hideMark/>
          </w:tcPr>
          <w:p w14:paraId="4741F6BA" w14:textId="77777777" w:rsidR="00F136AD" w:rsidRPr="006E7DA0" w:rsidRDefault="00F136AD" w:rsidP="00F136AD">
            <w:pPr>
              <w:rPr>
                <w:rFonts w:eastAsia="Arial" w:cs="Arial"/>
                <w:b/>
                <w:bCs/>
                <w:sz w:val="16"/>
                <w:szCs w:val="16"/>
              </w:rPr>
            </w:pPr>
            <w:r w:rsidRPr="006E7DA0">
              <w:rPr>
                <w:rFonts w:eastAsia="Arial" w:cs="Arial"/>
                <w:b/>
                <w:bCs/>
                <w:sz w:val="16"/>
                <w:szCs w:val="16"/>
              </w:rPr>
              <w:t>Cyclic Humidity test</w:t>
            </w:r>
          </w:p>
        </w:tc>
        <w:tc>
          <w:tcPr>
            <w:tcW w:w="1134" w:type="dxa"/>
            <w:shd w:val="clear" w:color="auto" w:fill="auto"/>
            <w:vAlign w:val="center"/>
            <w:hideMark/>
          </w:tcPr>
          <w:p w14:paraId="48A3275E"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362A2D45" w14:textId="2B9579C4"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0B178E08" w14:textId="169AB889"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1B073D8" w14:textId="264E68C9"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0958DC05" w14:textId="652BB50C"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0FD6849" w14:textId="5B759BC4" w:rsidR="00F136AD" w:rsidRPr="000C2B6A"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04968267" w14:textId="085E401E"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D1560A5" w14:textId="63BEED4A" w:rsidR="00F136AD" w:rsidRPr="000C2B6A" w:rsidRDefault="00F136AD" w:rsidP="00F136AD">
            <w:pPr>
              <w:rPr>
                <w:rFonts w:eastAsia="Arial" w:cs="Arial"/>
                <w:sz w:val="16"/>
                <w:szCs w:val="16"/>
              </w:rPr>
            </w:pPr>
            <w:r>
              <w:rPr>
                <w:rFonts w:cs="Arial"/>
                <w:color w:val="000000"/>
                <w:sz w:val="16"/>
                <w:szCs w:val="16"/>
              </w:rPr>
              <w:t>$5,019</w:t>
            </w:r>
          </w:p>
        </w:tc>
        <w:tc>
          <w:tcPr>
            <w:tcW w:w="709" w:type="dxa"/>
            <w:tcBorders>
              <w:top w:val="nil"/>
              <w:left w:val="nil"/>
              <w:bottom w:val="single" w:sz="4" w:space="0" w:color="auto"/>
              <w:right w:val="single" w:sz="4" w:space="0" w:color="auto"/>
            </w:tcBorders>
            <w:shd w:val="clear" w:color="auto" w:fill="auto"/>
            <w:noWrap/>
            <w:vAlign w:val="center"/>
            <w:hideMark/>
          </w:tcPr>
          <w:p w14:paraId="58294865" w14:textId="1AB4C05D"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42CB3C35" w14:textId="12308C8C" w:rsidR="00F136AD" w:rsidRPr="000C2B6A" w:rsidRDefault="00F136AD" w:rsidP="00F136AD">
            <w:pPr>
              <w:rPr>
                <w:rFonts w:eastAsia="Arial" w:cs="Arial"/>
                <w:sz w:val="16"/>
                <w:szCs w:val="16"/>
              </w:rPr>
            </w:pPr>
            <w:r>
              <w:rPr>
                <w:rFonts w:cs="Arial"/>
                <w:color w:val="000000"/>
                <w:sz w:val="16"/>
                <w:szCs w:val="16"/>
              </w:rPr>
              <w:t>$5,406</w:t>
            </w:r>
          </w:p>
        </w:tc>
        <w:tc>
          <w:tcPr>
            <w:tcW w:w="731" w:type="dxa"/>
            <w:tcBorders>
              <w:top w:val="nil"/>
              <w:left w:val="nil"/>
              <w:bottom w:val="single" w:sz="4" w:space="0" w:color="auto"/>
              <w:right w:val="single" w:sz="4" w:space="0" w:color="auto"/>
            </w:tcBorders>
            <w:shd w:val="clear" w:color="auto" w:fill="auto"/>
            <w:noWrap/>
            <w:vAlign w:val="center"/>
            <w:hideMark/>
          </w:tcPr>
          <w:p w14:paraId="09D19E37" w14:textId="0D302E0D"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49AF591B" w14:textId="5B19DF18" w:rsidR="00F136AD" w:rsidRPr="000C2B6A" w:rsidRDefault="00F136AD" w:rsidP="00F136AD">
            <w:pPr>
              <w:rPr>
                <w:rFonts w:eastAsia="Arial" w:cs="Arial"/>
                <w:sz w:val="16"/>
                <w:szCs w:val="16"/>
              </w:rPr>
            </w:pPr>
            <w:r>
              <w:rPr>
                <w:rFonts w:cs="Arial"/>
                <w:color w:val="000000"/>
                <w:sz w:val="16"/>
                <w:szCs w:val="16"/>
              </w:rPr>
              <w:t>$5,869</w:t>
            </w:r>
          </w:p>
        </w:tc>
        <w:tc>
          <w:tcPr>
            <w:tcW w:w="796" w:type="dxa"/>
            <w:tcBorders>
              <w:top w:val="nil"/>
              <w:left w:val="nil"/>
              <w:bottom w:val="single" w:sz="4" w:space="0" w:color="auto"/>
              <w:right w:val="single" w:sz="4" w:space="0" w:color="auto"/>
            </w:tcBorders>
            <w:shd w:val="clear" w:color="auto" w:fill="auto"/>
            <w:noWrap/>
            <w:vAlign w:val="center"/>
            <w:hideMark/>
          </w:tcPr>
          <w:p w14:paraId="66FA3254" w14:textId="65566576"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769B255" w14:textId="344E09FA"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CEB3D59" w14:textId="5582B0BE" w:rsidR="00F136AD" w:rsidRPr="000C2B6A"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079D4A57" w14:textId="0D6CCCFE" w:rsidR="00F136AD" w:rsidRPr="000C2B6A"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38399843" w14:textId="16275F57"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14932613" w14:textId="1CEBB2A6"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6C28514F" w14:textId="11D3EB0E"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61C43C8F" w14:textId="6B53BD7B"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40541357" w14:textId="38D1C140"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7476BED4" w14:textId="3B3C9BC8"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0A83BD23" w14:textId="3B043521"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7AFB8D67" w14:textId="0EDB2DB8"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1F6C9045" w14:textId="02F4A15E"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3152E2F3"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24E4A5FE" w14:textId="77777777" w:rsidR="00F136AD" w:rsidRPr="006E7DA0" w:rsidRDefault="00F136AD" w:rsidP="00F136AD">
            <w:pPr>
              <w:rPr>
                <w:rFonts w:eastAsia="Arial" w:cs="Arial"/>
                <w:b/>
                <w:bCs/>
                <w:sz w:val="16"/>
                <w:szCs w:val="16"/>
              </w:rPr>
            </w:pPr>
            <w:r w:rsidRPr="006E7DA0">
              <w:rPr>
                <w:rFonts w:eastAsia="Arial" w:cs="Arial"/>
                <w:b/>
                <w:bCs/>
                <w:sz w:val="16"/>
                <w:szCs w:val="16"/>
              </w:rPr>
              <w:t>Voltage test</w:t>
            </w:r>
          </w:p>
        </w:tc>
        <w:tc>
          <w:tcPr>
            <w:tcW w:w="1134" w:type="dxa"/>
            <w:tcBorders>
              <w:top w:val="single" w:sz="4" w:space="0" w:color="auto"/>
            </w:tcBorders>
            <w:shd w:val="clear" w:color="auto" w:fill="auto"/>
            <w:vAlign w:val="center"/>
            <w:hideMark/>
          </w:tcPr>
          <w:p w14:paraId="72C0C096"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67A926FC" w14:textId="7899E5D3" w:rsidR="00F136AD" w:rsidRPr="000C2B6A" w:rsidRDefault="00F136AD" w:rsidP="00F136AD">
            <w:pPr>
              <w:rPr>
                <w:rFonts w:eastAsia="Arial" w:cs="Arial"/>
                <w:sz w:val="16"/>
                <w:szCs w:val="16"/>
              </w:rPr>
            </w:pPr>
            <w:r>
              <w:rPr>
                <w:rFonts w:cs="Arial"/>
                <w:color w:val="000000"/>
                <w:sz w:val="16"/>
                <w:szCs w:val="16"/>
              </w:rPr>
              <w:t>$1,004</w:t>
            </w:r>
          </w:p>
        </w:tc>
        <w:tc>
          <w:tcPr>
            <w:tcW w:w="752" w:type="dxa"/>
            <w:tcBorders>
              <w:top w:val="nil"/>
              <w:left w:val="nil"/>
              <w:bottom w:val="single" w:sz="4" w:space="0" w:color="auto"/>
              <w:right w:val="single" w:sz="4" w:space="0" w:color="auto"/>
            </w:tcBorders>
            <w:shd w:val="clear" w:color="auto" w:fill="auto"/>
            <w:noWrap/>
            <w:vAlign w:val="center"/>
            <w:hideMark/>
          </w:tcPr>
          <w:p w14:paraId="5F499259" w14:textId="414FF23D"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4804364" w14:textId="135220F9" w:rsidR="00F136AD" w:rsidRPr="000C2B6A" w:rsidRDefault="00F136AD" w:rsidP="00F136AD">
            <w:pPr>
              <w:rPr>
                <w:rFonts w:eastAsia="Arial" w:cs="Arial"/>
                <w:sz w:val="16"/>
                <w:szCs w:val="16"/>
              </w:rPr>
            </w:pPr>
            <w:r>
              <w:rPr>
                <w:rFonts w:cs="Arial"/>
                <w:color w:val="000000"/>
                <w:sz w:val="16"/>
                <w:szCs w:val="16"/>
              </w:rPr>
              <w:t>$1,373</w:t>
            </w:r>
          </w:p>
        </w:tc>
        <w:tc>
          <w:tcPr>
            <w:tcW w:w="784" w:type="dxa"/>
            <w:tcBorders>
              <w:top w:val="nil"/>
              <w:left w:val="nil"/>
              <w:bottom w:val="single" w:sz="4" w:space="0" w:color="auto"/>
              <w:right w:val="single" w:sz="4" w:space="0" w:color="auto"/>
            </w:tcBorders>
            <w:shd w:val="clear" w:color="auto" w:fill="auto"/>
            <w:noWrap/>
            <w:vAlign w:val="center"/>
            <w:hideMark/>
          </w:tcPr>
          <w:p w14:paraId="67A60BBF" w14:textId="189D9A55"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681D95F8" w14:textId="4EFAA822" w:rsidR="00F136AD" w:rsidRPr="000C2B6A" w:rsidRDefault="00F136AD" w:rsidP="00F136AD">
            <w:pPr>
              <w:rPr>
                <w:rFonts w:eastAsia="Arial" w:cs="Arial"/>
                <w:sz w:val="16"/>
                <w:szCs w:val="16"/>
              </w:rPr>
            </w:pPr>
            <w:r>
              <w:rPr>
                <w:rFonts w:cs="Arial"/>
                <w:color w:val="000000"/>
                <w:sz w:val="16"/>
                <w:szCs w:val="16"/>
              </w:rPr>
              <w:t>$1,514</w:t>
            </w:r>
          </w:p>
        </w:tc>
        <w:tc>
          <w:tcPr>
            <w:tcW w:w="810" w:type="dxa"/>
            <w:tcBorders>
              <w:top w:val="nil"/>
              <w:left w:val="nil"/>
              <w:bottom w:val="single" w:sz="4" w:space="0" w:color="auto"/>
              <w:right w:val="single" w:sz="4" w:space="0" w:color="auto"/>
            </w:tcBorders>
            <w:shd w:val="clear" w:color="auto" w:fill="auto"/>
            <w:noWrap/>
            <w:vAlign w:val="center"/>
            <w:hideMark/>
          </w:tcPr>
          <w:p w14:paraId="520F4766" w14:textId="064C1998"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F32FB02" w14:textId="0175872F" w:rsidR="00F136AD" w:rsidRPr="000C2B6A" w:rsidRDefault="00F136AD" w:rsidP="00F136AD">
            <w:pPr>
              <w:rPr>
                <w:rFonts w:eastAsia="Arial" w:cs="Arial"/>
                <w:sz w:val="16"/>
                <w:szCs w:val="16"/>
              </w:rPr>
            </w:pPr>
            <w:r>
              <w:rPr>
                <w:rFonts w:cs="Arial"/>
                <w:color w:val="000000"/>
                <w:sz w:val="16"/>
                <w:szCs w:val="16"/>
              </w:rPr>
              <w:t>$1,236</w:t>
            </w:r>
          </w:p>
        </w:tc>
        <w:tc>
          <w:tcPr>
            <w:tcW w:w="709" w:type="dxa"/>
            <w:tcBorders>
              <w:top w:val="nil"/>
              <w:left w:val="nil"/>
              <w:bottom w:val="single" w:sz="4" w:space="0" w:color="auto"/>
              <w:right w:val="single" w:sz="4" w:space="0" w:color="auto"/>
            </w:tcBorders>
            <w:shd w:val="clear" w:color="auto" w:fill="auto"/>
            <w:noWrap/>
            <w:vAlign w:val="center"/>
            <w:hideMark/>
          </w:tcPr>
          <w:p w14:paraId="51D4453B" w14:textId="0119977C"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770C98A" w14:textId="0336CF13" w:rsidR="00F136AD" w:rsidRPr="000C2B6A" w:rsidRDefault="00F136AD" w:rsidP="00F136AD">
            <w:pPr>
              <w:rPr>
                <w:rFonts w:eastAsia="Arial" w:cs="Arial"/>
                <w:sz w:val="16"/>
                <w:szCs w:val="16"/>
              </w:rPr>
            </w:pPr>
            <w:r>
              <w:rPr>
                <w:rFonts w:cs="Arial"/>
                <w:color w:val="000000"/>
                <w:sz w:val="16"/>
                <w:szCs w:val="16"/>
              </w:rPr>
              <w:t>$1,419</w:t>
            </w:r>
          </w:p>
        </w:tc>
        <w:tc>
          <w:tcPr>
            <w:tcW w:w="731" w:type="dxa"/>
            <w:tcBorders>
              <w:top w:val="nil"/>
              <w:left w:val="nil"/>
              <w:bottom w:val="single" w:sz="4" w:space="0" w:color="auto"/>
              <w:right w:val="single" w:sz="4" w:space="0" w:color="auto"/>
            </w:tcBorders>
            <w:shd w:val="clear" w:color="auto" w:fill="auto"/>
            <w:noWrap/>
            <w:vAlign w:val="center"/>
            <w:hideMark/>
          </w:tcPr>
          <w:p w14:paraId="1CF09C8F" w14:textId="2C6A7DA8"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5B2E33A" w14:textId="5A2CD932" w:rsidR="00F136AD" w:rsidRPr="000C2B6A" w:rsidRDefault="00F136AD" w:rsidP="00F136AD">
            <w:pPr>
              <w:rPr>
                <w:rFonts w:eastAsia="Arial" w:cs="Arial"/>
                <w:sz w:val="16"/>
                <w:szCs w:val="16"/>
              </w:rPr>
            </w:pPr>
            <w:r>
              <w:rPr>
                <w:rFonts w:cs="Arial"/>
                <w:color w:val="000000"/>
                <w:sz w:val="16"/>
                <w:szCs w:val="16"/>
              </w:rPr>
              <w:t>$1,527</w:t>
            </w:r>
          </w:p>
        </w:tc>
        <w:tc>
          <w:tcPr>
            <w:tcW w:w="796" w:type="dxa"/>
            <w:tcBorders>
              <w:top w:val="nil"/>
              <w:left w:val="nil"/>
              <w:bottom w:val="single" w:sz="4" w:space="0" w:color="auto"/>
              <w:right w:val="single" w:sz="4" w:space="0" w:color="auto"/>
            </w:tcBorders>
            <w:shd w:val="clear" w:color="auto" w:fill="auto"/>
            <w:noWrap/>
            <w:vAlign w:val="center"/>
            <w:hideMark/>
          </w:tcPr>
          <w:p w14:paraId="4AC41AA3" w14:textId="49A111DE"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603EAEA3" w14:textId="3BEA657D" w:rsidR="00F136AD" w:rsidRPr="000C2B6A" w:rsidRDefault="00F136AD" w:rsidP="00F136AD">
            <w:pPr>
              <w:rPr>
                <w:rFonts w:eastAsia="Arial" w:cs="Arial"/>
                <w:sz w:val="16"/>
                <w:szCs w:val="16"/>
              </w:rPr>
            </w:pPr>
            <w:r>
              <w:rPr>
                <w:rFonts w:cs="Arial"/>
                <w:color w:val="000000"/>
                <w:sz w:val="16"/>
                <w:szCs w:val="16"/>
              </w:rPr>
              <w:t>$1,669</w:t>
            </w:r>
          </w:p>
        </w:tc>
        <w:tc>
          <w:tcPr>
            <w:tcW w:w="709" w:type="dxa"/>
            <w:tcBorders>
              <w:top w:val="nil"/>
              <w:left w:val="nil"/>
              <w:bottom w:val="single" w:sz="4" w:space="0" w:color="auto"/>
              <w:right w:val="single" w:sz="4" w:space="0" w:color="auto"/>
            </w:tcBorders>
            <w:shd w:val="clear" w:color="auto" w:fill="auto"/>
            <w:noWrap/>
            <w:vAlign w:val="center"/>
            <w:hideMark/>
          </w:tcPr>
          <w:p w14:paraId="5FBE91BC" w14:textId="15765763" w:rsidR="00F136AD" w:rsidRPr="000C2B6A"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2CE9B011" w14:textId="2B51F7F5" w:rsidR="00F136AD" w:rsidRPr="000C2B6A" w:rsidRDefault="00F136AD" w:rsidP="00F136AD">
            <w:pPr>
              <w:rPr>
                <w:rFonts w:eastAsia="Arial" w:cs="Arial"/>
                <w:sz w:val="16"/>
                <w:szCs w:val="16"/>
              </w:rPr>
            </w:pPr>
            <w:r>
              <w:rPr>
                <w:rFonts w:cs="Arial"/>
                <w:color w:val="000000"/>
                <w:sz w:val="16"/>
                <w:szCs w:val="16"/>
              </w:rPr>
              <w:t>$1,266</w:t>
            </w:r>
          </w:p>
        </w:tc>
        <w:tc>
          <w:tcPr>
            <w:tcW w:w="691" w:type="dxa"/>
            <w:tcBorders>
              <w:top w:val="nil"/>
              <w:left w:val="nil"/>
              <w:bottom w:val="single" w:sz="4" w:space="0" w:color="auto"/>
              <w:right w:val="single" w:sz="4" w:space="0" w:color="auto"/>
            </w:tcBorders>
            <w:shd w:val="clear" w:color="auto" w:fill="auto"/>
            <w:noWrap/>
            <w:vAlign w:val="center"/>
            <w:hideMark/>
          </w:tcPr>
          <w:p w14:paraId="1C143CB1" w14:textId="2567449C"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4F6914D6" w14:textId="2E258C2A"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0D513AF9" w14:textId="2E4065F0"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00502526" w14:textId="7163130A"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1DADC93F" w14:textId="6D5B85A9"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2F0E3055" w14:textId="51040394"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4E6108D1" w14:textId="78E8F61E"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7B9C0EE4" w14:textId="7C7FE636"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2CF44048" w14:textId="590C2B62"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4BDEAAAD"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53D9411E" w14:textId="77777777" w:rsidR="00F136AD" w:rsidRPr="006E7DA0" w:rsidRDefault="00F136AD" w:rsidP="00F136AD">
            <w:pPr>
              <w:rPr>
                <w:rFonts w:eastAsia="Arial" w:cs="Arial"/>
                <w:b/>
                <w:bCs/>
                <w:sz w:val="16"/>
                <w:szCs w:val="16"/>
              </w:rPr>
            </w:pPr>
            <w:r w:rsidRPr="006E7DA0">
              <w:rPr>
                <w:rFonts w:eastAsia="Arial" w:cs="Arial"/>
                <w:b/>
                <w:bCs/>
                <w:sz w:val="16"/>
                <w:szCs w:val="16"/>
              </w:rPr>
              <w:t>Line-borne interference test</w:t>
            </w:r>
          </w:p>
        </w:tc>
        <w:tc>
          <w:tcPr>
            <w:tcW w:w="1134" w:type="dxa"/>
            <w:tcBorders>
              <w:top w:val="single" w:sz="4" w:space="0" w:color="auto"/>
            </w:tcBorders>
            <w:shd w:val="clear" w:color="auto" w:fill="auto"/>
            <w:vAlign w:val="center"/>
            <w:hideMark/>
          </w:tcPr>
          <w:p w14:paraId="50A4089E"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3FEB84BE" w14:textId="0961BEF4" w:rsidR="00F136AD" w:rsidRPr="000C2B6A" w:rsidRDefault="00F136AD" w:rsidP="00F136AD">
            <w:pPr>
              <w:rPr>
                <w:rFonts w:eastAsia="Arial" w:cs="Arial"/>
                <w:sz w:val="16"/>
                <w:szCs w:val="16"/>
              </w:rPr>
            </w:pPr>
            <w:r>
              <w:rPr>
                <w:rFonts w:cs="Arial"/>
                <w:color w:val="000000"/>
                <w:sz w:val="16"/>
                <w:szCs w:val="16"/>
              </w:rPr>
              <w:t>$2,424</w:t>
            </w:r>
          </w:p>
        </w:tc>
        <w:tc>
          <w:tcPr>
            <w:tcW w:w="752" w:type="dxa"/>
            <w:tcBorders>
              <w:top w:val="nil"/>
              <w:left w:val="nil"/>
              <w:bottom w:val="single" w:sz="4" w:space="0" w:color="auto"/>
              <w:right w:val="single" w:sz="4" w:space="0" w:color="auto"/>
            </w:tcBorders>
            <w:shd w:val="clear" w:color="auto" w:fill="auto"/>
            <w:noWrap/>
            <w:vAlign w:val="center"/>
            <w:hideMark/>
          </w:tcPr>
          <w:p w14:paraId="495043B7" w14:textId="16BF7F4E"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742A364" w14:textId="0FBDCC67" w:rsidR="00F136AD" w:rsidRPr="000C2B6A" w:rsidRDefault="00F136AD" w:rsidP="00F136AD">
            <w:pPr>
              <w:rPr>
                <w:rFonts w:eastAsia="Arial" w:cs="Arial"/>
                <w:sz w:val="16"/>
                <w:szCs w:val="16"/>
              </w:rPr>
            </w:pPr>
            <w:r>
              <w:rPr>
                <w:rFonts w:cs="Arial"/>
                <w:color w:val="000000"/>
                <w:sz w:val="16"/>
                <w:szCs w:val="16"/>
              </w:rPr>
              <w:t>$2,456</w:t>
            </w:r>
          </w:p>
        </w:tc>
        <w:tc>
          <w:tcPr>
            <w:tcW w:w="784" w:type="dxa"/>
            <w:tcBorders>
              <w:top w:val="nil"/>
              <w:left w:val="nil"/>
              <w:bottom w:val="single" w:sz="4" w:space="0" w:color="auto"/>
              <w:right w:val="single" w:sz="4" w:space="0" w:color="auto"/>
            </w:tcBorders>
            <w:shd w:val="clear" w:color="auto" w:fill="auto"/>
            <w:noWrap/>
            <w:vAlign w:val="center"/>
            <w:hideMark/>
          </w:tcPr>
          <w:p w14:paraId="4282F9FC" w14:textId="50D28BD6"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5BD1D67" w14:textId="42EB0948" w:rsidR="00F136AD" w:rsidRPr="000C2B6A" w:rsidRDefault="00F136AD" w:rsidP="00F136AD">
            <w:pPr>
              <w:rPr>
                <w:rFonts w:eastAsia="Arial" w:cs="Arial"/>
                <w:sz w:val="16"/>
                <w:szCs w:val="16"/>
              </w:rPr>
            </w:pPr>
            <w:r>
              <w:rPr>
                <w:rFonts w:cs="Arial"/>
                <w:color w:val="000000"/>
                <w:sz w:val="16"/>
                <w:szCs w:val="16"/>
              </w:rPr>
              <w:t>$2,487</w:t>
            </w:r>
          </w:p>
        </w:tc>
        <w:tc>
          <w:tcPr>
            <w:tcW w:w="810" w:type="dxa"/>
            <w:tcBorders>
              <w:top w:val="nil"/>
              <w:left w:val="nil"/>
              <w:bottom w:val="single" w:sz="4" w:space="0" w:color="auto"/>
              <w:right w:val="single" w:sz="4" w:space="0" w:color="auto"/>
            </w:tcBorders>
            <w:shd w:val="clear" w:color="auto" w:fill="auto"/>
            <w:noWrap/>
            <w:vAlign w:val="center"/>
            <w:hideMark/>
          </w:tcPr>
          <w:p w14:paraId="331DBEA0" w14:textId="3A13A85D"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726E189" w14:textId="61FEBADD" w:rsidR="00F136AD" w:rsidRPr="000C2B6A" w:rsidRDefault="00F136AD" w:rsidP="00F136AD">
            <w:pPr>
              <w:rPr>
                <w:rFonts w:eastAsia="Arial" w:cs="Arial"/>
                <w:sz w:val="16"/>
                <w:szCs w:val="16"/>
              </w:rPr>
            </w:pPr>
            <w:r>
              <w:rPr>
                <w:rFonts w:cs="Arial"/>
                <w:color w:val="000000"/>
                <w:sz w:val="16"/>
                <w:szCs w:val="16"/>
              </w:rPr>
              <w:t>$1,127</w:t>
            </w:r>
          </w:p>
        </w:tc>
        <w:tc>
          <w:tcPr>
            <w:tcW w:w="709" w:type="dxa"/>
            <w:tcBorders>
              <w:top w:val="nil"/>
              <w:left w:val="nil"/>
              <w:bottom w:val="single" w:sz="4" w:space="0" w:color="auto"/>
              <w:right w:val="single" w:sz="4" w:space="0" w:color="auto"/>
            </w:tcBorders>
            <w:shd w:val="clear" w:color="auto" w:fill="auto"/>
            <w:noWrap/>
            <w:vAlign w:val="center"/>
            <w:hideMark/>
          </w:tcPr>
          <w:p w14:paraId="49A6FD57" w14:textId="17F7507C"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2651D1C4" w14:textId="320157A1" w:rsidR="00F136AD" w:rsidRPr="000C2B6A" w:rsidRDefault="00F136AD" w:rsidP="00F136AD">
            <w:pPr>
              <w:rPr>
                <w:rFonts w:eastAsia="Arial" w:cs="Arial"/>
                <w:sz w:val="16"/>
                <w:szCs w:val="16"/>
              </w:rPr>
            </w:pPr>
            <w:r>
              <w:rPr>
                <w:rFonts w:cs="Arial"/>
                <w:color w:val="000000"/>
                <w:sz w:val="16"/>
                <w:szCs w:val="16"/>
              </w:rPr>
              <w:t>$1,312</w:t>
            </w:r>
          </w:p>
        </w:tc>
        <w:tc>
          <w:tcPr>
            <w:tcW w:w="731" w:type="dxa"/>
            <w:tcBorders>
              <w:top w:val="nil"/>
              <w:left w:val="nil"/>
              <w:bottom w:val="single" w:sz="4" w:space="0" w:color="auto"/>
              <w:right w:val="single" w:sz="4" w:space="0" w:color="auto"/>
            </w:tcBorders>
            <w:shd w:val="clear" w:color="auto" w:fill="auto"/>
            <w:noWrap/>
            <w:vAlign w:val="center"/>
            <w:hideMark/>
          </w:tcPr>
          <w:p w14:paraId="2BE919E8" w14:textId="1A7CF0C4"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8939A9F" w14:textId="5094E832" w:rsidR="00F136AD" w:rsidRPr="000C2B6A" w:rsidRDefault="00F136AD" w:rsidP="00F136AD">
            <w:pPr>
              <w:rPr>
                <w:rFonts w:eastAsia="Arial" w:cs="Arial"/>
                <w:sz w:val="16"/>
                <w:szCs w:val="16"/>
              </w:rPr>
            </w:pPr>
            <w:r>
              <w:rPr>
                <w:rFonts w:cs="Arial"/>
                <w:color w:val="000000"/>
                <w:sz w:val="16"/>
                <w:szCs w:val="16"/>
              </w:rPr>
              <w:t>$1,605</w:t>
            </w:r>
          </w:p>
        </w:tc>
        <w:tc>
          <w:tcPr>
            <w:tcW w:w="796" w:type="dxa"/>
            <w:tcBorders>
              <w:top w:val="nil"/>
              <w:left w:val="nil"/>
              <w:bottom w:val="single" w:sz="4" w:space="0" w:color="auto"/>
              <w:right w:val="single" w:sz="4" w:space="0" w:color="auto"/>
            </w:tcBorders>
            <w:shd w:val="clear" w:color="auto" w:fill="auto"/>
            <w:noWrap/>
            <w:vAlign w:val="center"/>
            <w:hideMark/>
          </w:tcPr>
          <w:p w14:paraId="419F8839" w14:textId="411AEA66"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039D0F8" w14:textId="35BBA6D4" w:rsidR="00F136AD" w:rsidRPr="000C2B6A" w:rsidRDefault="00F136AD" w:rsidP="00F136AD">
            <w:pPr>
              <w:rPr>
                <w:rFonts w:eastAsia="Arial" w:cs="Arial"/>
                <w:sz w:val="16"/>
                <w:szCs w:val="16"/>
              </w:rPr>
            </w:pPr>
            <w:r>
              <w:rPr>
                <w:rFonts w:cs="Arial"/>
                <w:color w:val="000000"/>
                <w:sz w:val="16"/>
                <w:szCs w:val="16"/>
              </w:rPr>
              <w:t>$3,754</w:t>
            </w:r>
          </w:p>
        </w:tc>
        <w:tc>
          <w:tcPr>
            <w:tcW w:w="709" w:type="dxa"/>
            <w:tcBorders>
              <w:top w:val="nil"/>
              <w:left w:val="nil"/>
              <w:bottom w:val="single" w:sz="4" w:space="0" w:color="auto"/>
              <w:right w:val="single" w:sz="4" w:space="0" w:color="auto"/>
            </w:tcBorders>
            <w:shd w:val="clear" w:color="auto" w:fill="auto"/>
            <w:noWrap/>
            <w:vAlign w:val="center"/>
            <w:hideMark/>
          </w:tcPr>
          <w:p w14:paraId="651280E6" w14:textId="2BD1B538" w:rsidR="00F136AD" w:rsidRPr="000C2B6A"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11E7EA59" w14:textId="59F7B168" w:rsidR="00F136AD" w:rsidRPr="000C2B6A" w:rsidRDefault="00F136AD" w:rsidP="00F136AD">
            <w:pPr>
              <w:rPr>
                <w:rFonts w:eastAsia="Arial" w:cs="Arial"/>
                <w:sz w:val="16"/>
                <w:szCs w:val="16"/>
              </w:rPr>
            </w:pPr>
            <w:r>
              <w:rPr>
                <w:rFonts w:cs="Arial"/>
                <w:color w:val="000000"/>
                <w:sz w:val="16"/>
                <w:szCs w:val="16"/>
              </w:rPr>
              <w:t>$1,174</w:t>
            </w:r>
          </w:p>
        </w:tc>
        <w:tc>
          <w:tcPr>
            <w:tcW w:w="691" w:type="dxa"/>
            <w:tcBorders>
              <w:top w:val="nil"/>
              <w:left w:val="nil"/>
              <w:bottom w:val="single" w:sz="4" w:space="0" w:color="auto"/>
              <w:right w:val="single" w:sz="4" w:space="0" w:color="auto"/>
            </w:tcBorders>
            <w:shd w:val="clear" w:color="auto" w:fill="auto"/>
            <w:noWrap/>
            <w:vAlign w:val="center"/>
            <w:hideMark/>
          </w:tcPr>
          <w:p w14:paraId="0916164D" w14:textId="3E78A1A8"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2F6243C4" w14:textId="56C95B71"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67CE8E18" w14:textId="14763ACB"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7A2E0B07" w14:textId="00CE2012"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36A035A" w14:textId="69B64850"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250F7E9F" w14:textId="701CE01E"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5E7954F4" w14:textId="0237AFDA"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6FBD0182" w14:textId="1F116139"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40EFD582" w14:textId="366BD042"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41D333D2" w14:textId="77777777" w:rsidTr="00F136AD">
        <w:tblPrEx>
          <w:shd w:val="clear" w:color="auto" w:fill="DBE5F1" w:themeFill="accent1" w:themeFillTint="33"/>
        </w:tblPrEx>
        <w:trPr>
          <w:trHeight w:val="402"/>
        </w:trPr>
        <w:tc>
          <w:tcPr>
            <w:tcW w:w="2694" w:type="dxa"/>
            <w:shd w:val="clear" w:color="auto" w:fill="auto"/>
            <w:vAlign w:val="center"/>
            <w:hideMark/>
          </w:tcPr>
          <w:p w14:paraId="38468F82" w14:textId="77777777" w:rsidR="00F136AD" w:rsidRPr="006E7DA0" w:rsidRDefault="00F136AD" w:rsidP="00F136AD">
            <w:pPr>
              <w:rPr>
                <w:rFonts w:eastAsia="Arial" w:cs="Arial"/>
                <w:b/>
                <w:bCs/>
                <w:sz w:val="16"/>
                <w:szCs w:val="16"/>
              </w:rPr>
            </w:pPr>
            <w:r w:rsidRPr="006E7DA0">
              <w:rPr>
                <w:rFonts w:eastAsia="Arial" w:cs="Arial"/>
                <w:b/>
                <w:bCs/>
                <w:sz w:val="16"/>
                <w:szCs w:val="16"/>
              </w:rPr>
              <w:t>Surges</w:t>
            </w:r>
          </w:p>
        </w:tc>
        <w:tc>
          <w:tcPr>
            <w:tcW w:w="1134" w:type="dxa"/>
            <w:shd w:val="clear" w:color="auto" w:fill="auto"/>
            <w:vAlign w:val="center"/>
            <w:hideMark/>
          </w:tcPr>
          <w:p w14:paraId="05FC2DD8"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3677731D" w14:textId="53463888"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1F87E97E" w14:textId="677E5CE2"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C1544F7" w14:textId="1D1C07B4"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1703886E" w14:textId="24FAE6E7"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D95AF7C" w14:textId="64748571" w:rsidR="00F136AD" w:rsidRPr="000C2B6A"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727A2BD8" w14:textId="04606ED8"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53F0EACA" w14:textId="5F27D365" w:rsidR="00F136AD" w:rsidRPr="000C2B6A" w:rsidRDefault="00F136AD" w:rsidP="00F136AD">
            <w:pPr>
              <w:rPr>
                <w:rFonts w:eastAsia="Arial" w:cs="Arial"/>
                <w:sz w:val="16"/>
                <w:szCs w:val="16"/>
              </w:rPr>
            </w:pPr>
            <w:r>
              <w:rPr>
                <w:rFonts w:cs="Arial"/>
                <w:color w:val="000000"/>
                <w:sz w:val="16"/>
                <w:szCs w:val="16"/>
              </w:rPr>
              <w:t>$1,127</w:t>
            </w:r>
          </w:p>
        </w:tc>
        <w:tc>
          <w:tcPr>
            <w:tcW w:w="709" w:type="dxa"/>
            <w:tcBorders>
              <w:top w:val="nil"/>
              <w:left w:val="nil"/>
              <w:bottom w:val="single" w:sz="4" w:space="0" w:color="auto"/>
              <w:right w:val="single" w:sz="4" w:space="0" w:color="auto"/>
            </w:tcBorders>
            <w:shd w:val="clear" w:color="auto" w:fill="auto"/>
            <w:noWrap/>
            <w:vAlign w:val="center"/>
            <w:hideMark/>
          </w:tcPr>
          <w:p w14:paraId="5C6C21D2" w14:textId="25ED7F04"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B5A5858" w14:textId="47B9ACEF" w:rsidR="00F136AD" w:rsidRPr="000C2B6A" w:rsidRDefault="00F136AD" w:rsidP="00F136AD">
            <w:pPr>
              <w:rPr>
                <w:rFonts w:eastAsia="Arial" w:cs="Arial"/>
                <w:sz w:val="16"/>
                <w:szCs w:val="16"/>
              </w:rPr>
            </w:pPr>
            <w:r>
              <w:rPr>
                <w:rFonts w:cs="Arial"/>
                <w:color w:val="000000"/>
                <w:sz w:val="16"/>
                <w:szCs w:val="16"/>
              </w:rPr>
              <w:t>$1,312</w:t>
            </w:r>
          </w:p>
        </w:tc>
        <w:tc>
          <w:tcPr>
            <w:tcW w:w="731" w:type="dxa"/>
            <w:tcBorders>
              <w:top w:val="nil"/>
              <w:left w:val="nil"/>
              <w:bottom w:val="single" w:sz="4" w:space="0" w:color="auto"/>
              <w:right w:val="single" w:sz="4" w:space="0" w:color="auto"/>
            </w:tcBorders>
            <w:shd w:val="clear" w:color="auto" w:fill="auto"/>
            <w:noWrap/>
            <w:vAlign w:val="center"/>
            <w:hideMark/>
          </w:tcPr>
          <w:p w14:paraId="13FC06C2" w14:textId="6EC2AEB1"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469BEB56" w14:textId="5A1ACDC0" w:rsidR="00F136AD" w:rsidRPr="000C2B6A" w:rsidRDefault="00F136AD" w:rsidP="00F136AD">
            <w:pPr>
              <w:rPr>
                <w:rFonts w:eastAsia="Arial" w:cs="Arial"/>
                <w:sz w:val="16"/>
                <w:szCs w:val="16"/>
              </w:rPr>
            </w:pPr>
            <w:r>
              <w:rPr>
                <w:rFonts w:cs="Arial"/>
                <w:color w:val="000000"/>
                <w:sz w:val="16"/>
                <w:szCs w:val="16"/>
              </w:rPr>
              <w:t>$1,605</w:t>
            </w:r>
          </w:p>
        </w:tc>
        <w:tc>
          <w:tcPr>
            <w:tcW w:w="796" w:type="dxa"/>
            <w:tcBorders>
              <w:top w:val="nil"/>
              <w:left w:val="nil"/>
              <w:bottom w:val="single" w:sz="4" w:space="0" w:color="auto"/>
              <w:right w:val="single" w:sz="4" w:space="0" w:color="auto"/>
            </w:tcBorders>
            <w:shd w:val="clear" w:color="auto" w:fill="auto"/>
            <w:noWrap/>
            <w:vAlign w:val="center"/>
            <w:hideMark/>
          </w:tcPr>
          <w:p w14:paraId="66A0182F" w14:textId="225449A0"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6CCAA07" w14:textId="0F92DFF9"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4A3980D" w14:textId="72B37124" w:rsidR="00F136AD" w:rsidRPr="000C2B6A"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630CE577" w14:textId="015A8542" w:rsidR="00F136AD" w:rsidRPr="000C2B6A"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00CBEFA9" w14:textId="6C8795BC"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2AB5C950" w14:textId="0BB25B96"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1AF8CE45" w14:textId="7069ED11"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560DE1A1" w14:textId="052F5422"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6D95B44A" w14:textId="4639CF6F"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23327877" w14:textId="187303E8"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62443130" w14:textId="5F939A47"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6D1FF4F9" w14:textId="595E452F"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7E05DBEE" w14:textId="286153B4"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38F59E82"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5E77CA97" w14:textId="77777777" w:rsidR="00F136AD" w:rsidRPr="006E7DA0" w:rsidRDefault="00F136AD" w:rsidP="00F136AD">
            <w:pPr>
              <w:rPr>
                <w:rFonts w:eastAsia="Arial" w:cs="Arial"/>
                <w:b/>
                <w:bCs/>
                <w:sz w:val="16"/>
                <w:szCs w:val="16"/>
              </w:rPr>
            </w:pPr>
            <w:r w:rsidRPr="006E7DA0">
              <w:rPr>
                <w:rFonts w:eastAsia="Arial" w:cs="Arial"/>
                <w:b/>
                <w:bCs/>
                <w:sz w:val="16"/>
                <w:szCs w:val="16"/>
              </w:rPr>
              <w:t>Static discharge test</w:t>
            </w:r>
          </w:p>
        </w:tc>
        <w:tc>
          <w:tcPr>
            <w:tcW w:w="1134" w:type="dxa"/>
            <w:tcBorders>
              <w:top w:val="single" w:sz="4" w:space="0" w:color="auto"/>
            </w:tcBorders>
            <w:shd w:val="clear" w:color="auto" w:fill="auto"/>
            <w:vAlign w:val="center"/>
            <w:hideMark/>
          </w:tcPr>
          <w:p w14:paraId="34A3F1C0"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107E2600" w14:textId="58971465" w:rsidR="00F136AD" w:rsidRPr="000C2B6A" w:rsidRDefault="00F136AD" w:rsidP="00F136AD">
            <w:pPr>
              <w:rPr>
                <w:rFonts w:eastAsia="Arial" w:cs="Arial"/>
                <w:sz w:val="16"/>
                <w:szCs w:val="16"/>
              </w:rPr>
            </w:pPr>
            <w:r>
              <w:rPr>
                <w:rFonts w:cs="Arial"/>
                <w:color w:val="000000"/>
                <w:sz w:val="16"/>
                <w:szCs w:val="16"/>
              </w:rPr>
              <w:t>$1,635</w:t>
            </w:r>
          </w:p>
        </w:tc>
        <w:tc>
          <w:tcPr>
            <w:tcW w:w="752" w:type="dxa"/>
            <w:tcBorders>
              <w:top w:val="nil"/>
              <w:left w:val="nil"/>
              <w:bottom w:val="single" w:sz="4" w:space="0" w:color="auto"/>
              <w:right w:val="single" w:sz="4" w:space="0" w:color="auto"/>
            </w:tcBorders>
            <w:shd w:val="clear" w:color="auto" w:fill="auto"/>
            <w:noWrap/>
            <w:vAlign w:val="center"/>
            <w:hideMark/>
          </w:tcPr>
          <w:p w14:paraId="528479E8" w14:textId="23666CEE"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F45A40E" w14:textId="286F2A13" w:rsidR="00F136AD" w:rsidRPr="000C2B6A" w:rsidRDefault="00F136AD" w:rsidP="00F136AD">
            <w:pPr>
              <w:rPr>
                <w:rFonts w:eastAsia="Arial" w:cs="Arial"/>
                <w:sz w:val="16"/>
                <w:szCs w:val="16"/>
              </w:rPr>
            </w:pPr>
            <w:r>
              <w:rPr>
                <w:rFonts w:cs="Arial"/>
                <w:color w:val="000000"/>
                <w:sz w:val="16"/>
                <w:szCs w:val="16"/>
              </w:rPr>
              <w:t>$3,026</w:t>
            </w:r>
          </w:p>
        </w:tc>
        <w:tc>
          <w:tcPr>
            <w:tcW w:w="784" w:type="dxa"/>
            <w:tcBorders>
              <w:top w:val="nil"/>
              <w:left w:val="nil"/>
              <w:bottom w:val="single" w:sz="4" w:space="0" w:color="auto"/>
              <w:right w:val="single" w:sz="4" w:space="0" w:color="auto"/>
            </w:tcBorders>
            <w:shd w:val="clear" w:color="auto" w:fill="auto"/>
            <w:noWrap/>
            <w:vAlign w:val="center"/>
            <w:hideMark/>
          </w:tcPr>
          <w:p w14:paraId="6DB380B4" w14:textId="6900AC4F"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1A5D6E82" w14:textId="651DB4E0" w:rsidR="00F136AD" w:rsidRPr="000C2B6A" w:rsidRDefault="00F136AD" w:rsidP="00F136AD">
            <w:pPr>
              <w:rPr>
                <w:rFonts w:eastAsia="Arial" w:cs="Arial"/>
                <w:sz w:val="16"/>
                <w:szCs w:val="16"/>
              </w:rPr>
            </w:pPr>
            <w:r>
              <w:rPr>
                <w:rFonts w:cs="Arial"/>
                <w:color w:val="000000"/>
                <w:sz w:val="16"/>
                <w:szCs w:val="16"/>
              </w:rPr>
              <w:t>$3,350</w:t>
            </w:r>
          </w:p>
        </w:tc>
        <w:tc>
          <w:tcPr>
            <w:tcW w:w="810" w:type="dxa"/>
            <w:tcBorders>
              <w:top w:val="nil"/>
              <w:left w:val="nil"/>
              <w:bottom w:val="single" w:sz="4" w:space="0" w:color="auto"/>
              <w:right w:val="single" w:sz="4" w:space="0" w:color="auto"/>
            </w:tcBorders>
            <w:shd w:val="clear" w:color="auto" w:fill="auto"/>
            <w:noWrap/>
            <w:vAlign w:val="center"/>
            <w:hideMark/>
          </w:tcPr>
          <w:p w14:paraId="0D65211C" w14:textId="00CD3755"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BB3E544" w14:textId="65B6339A" w:rsidR="00F136AD" w:rsidRPr="000C2B6A" w:rsidRDefault="00F136AD" w:rsidP="00F136AD">
            <w:pPr>
              <w:rPr>
                <w:rFonts w:eastAsia="Arial" w:cs="Arial"/>
                <w:sz w:val="16"/>
                <w:szCs w:val="16"/>
              </w:rPr>
            </w:pPr>
            <w:r>
              <w:rPr>
                <w:rFonts w:cs="Arial"/>
                <w:color w:val="000000"/>
                <w:sz w:val="16"/>
                <w:szCs w:val="16"/>
              </w:rPr>
              <w:t>$1,236</w:t>
            </w:r>
          </w:p>
        </w:tc>
        <w:tc>
          <w:tcPr>
            <w:tcW w:w="709" w:type="dxa"/>
            <w:tcBorders>
              <w:top w:val="nil"/>
              <w:left w:val="nil"/>
              <w:bottom w:val="single" w:sz="4" w:space="0" w:color="auto"/>
              <w:right w:val="single" w:sz="4" w:space="0" w:color="auto"/>
            </w:tcBorders>
            <w:shd w:val="clear" w:color="auto" w:fill="auto"/>
            <w:noWrap/>
            <w:vAlign w:val="center"/>
            <w:hideMark/>
          </w:tcPr>
          <w:p w14:paraId="3F6F6773" w14:textId="3A2388CB"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2FE08976" w14:textId="40025E2E" w:rsidR="00F136AD" w:rsidRPr="000C2B6A" w:rsidRDefault="00F136AD" w:rsidP="00F136AD">
            <w:pPr>
              <w:rPr>
                <w:rFonts w:eastAsia="Arial" w:cs="Arial"/>
                <w:sz w:val="16"/>
                <w:szCs w:val="16"/>
              </w:rPr>
            </w:pPr>
            <w:r>
              <w:rPr>
                <w:rFonts w:cs="Arial"/>
                <w:color w:val="000000"/>
                <w:sz w:val="16"/>
                <w:szCs w:val="16"/>
              </w:rPr>
              <w:t>$1,361</w:t>
            </w:r>
          </w:p>
        </w:tc>
        <w:tc>
          <w:tcPr>
            <w:tcW w:w="731" w:type="dxa"/>
            <w:tcBorders>
              <w:top w:val="nil"/>
              <w:left w:val="nil"/>
              <w:bottom w:val="single" w:sz="4" w:space="0" w:color="auto"/>
              <w:right w:val="single" w:sz="4" w:space="0" w:color="auto"/>
            </w:tcBorders>
            <w:shd w:val="clear" w:color="auto" w:fill="auto"/>
            <w:noWrap/>
            <w:vAlign w:val="center"/>
            <w:hideMark/>
          </w:tcPr>
          <w:p w14:paraId="54062FCF" w14:textId="03D7C8DF"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0C64FE08" w14:textId="5BD358D3" w:rsidR="00F136AD" w:rsidRPr="000C2B6A" w:rsidRDefault="00F136AD" w:rsidP="00F136AD">
            <w:pPr>
              <w:rPr>
                <w:rFonts w:eastAsia="Arial" w:cs="Arial"/>
                <w:sz w:val="16"/>
                <w:szCs w:val="16"/>
              </w:rPr>
            </w:pPr>
            <w:r>
              <w:rPr>
                <w:rFonts w:cs="Arial"/>
                <w:color w:val="000000"/>
                <w:sz w:val="16"/>
                <w:szCs w:val="16"/>
              </w:rPr>
              <w:t>$1,498</w:t>
            </w:r>
          </w:p>
        </w:tc>
        <w:tc>
          <w:tcPr>
            <w:tcW w:w="796" w:type="dxa"/>
            <w:tcBorders>
              <w:top w:val="nil"/>
              <w:left w:val="nil"/>
              <w:bottom w:val="single" w:sz="4" w:space="0" w:color="auto"/>
              <w:right w:val="single" w:sz="4" w:space="0" w:color="auto"/>
            </w:tcBorders>
            <w:shd w:val="clear" w:color="auto" w:fill="auto"/>
            <w:noWrap/>
            <w:vAlign w:val="center"/>
            <w:hideMark/>
          </w:tcPr>
          <w:p w14:paraId="1972269D" w14:textId="60FEB567"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4B40273B" w14:textId="6A1A663E" w:rsidR="00F136AD" w:rsidRPr="000C2B6A" w:rsidRDefault="00F136AD" w:rsidP="00F136AD">
            <w:pPr>
              <w:rPr>
                <w:rFonts w:eastAsia="Arial" w:cs="Arial"/>
                <w:sz w:val="16"/>
                <w:szCs w:val="16"/>
              </w:rPr>
            </w:pPr>
            <w:r>
              <w:rPr>
                <w:rFonts w:cs="Arial"/>
                <w:color w:val="000000"/>
                <w:sz w:val="16"/>
                <w:szCs w:val="16"/>
              </w:rPr>
              <w:t>$3,427</w:t>
            </w:r>
          </w:p>
        </w:tc>
        <w:tc>
          <w:tcPr>
            <w:tcW w:w="709" w:type="dxa"/>
            <w:tcBorders>
              <w:top w:val="nil"/>
              <w:left w:val="nil"/>
              <w:bottom w:val="single" w:sz="4" w:space="0" w:color="auto"/>
              <w:right w:val="single" w:sz="4" w:space="0" w:color="auto"/>
            </w:tcBorders>
            <w:shd w:val="clear" w:color="auto" w:fill="auto"/>
            <w:noWrap/>
            <w:vAlign w:val="center"/>
            <w:hideMark/>
          </w:tcPr>
          <w:p w14:paraId="772DE63C" w14:textId="2700AC59" w:rsidR="00F136AD" w:rsidRPr="000C2B6A"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36E689E7" w14:textId="46BBC25E" w:rsidR="00F136AD" w:rsidRPr="000C2B6A" w:rsidRDefault="00F136AD" w:rsidP="00F136AD">
            <w:pPr>
              <w:rPr>
                <w:rFonts w:eastAsia="Arial" w:cs="Arial"/>
                <w:sz w:val="16"/>
                <w:szCs w:val="16"/>
              </w:rPr>
            </w:pPr>
            <w:r>
              <w:rPr>
                <w:rFonts w:cs="Arial"/>
                <w:color w:val="000000"/>
                <w:sz w:val="16"/>
                <w:szCs w:val="16"/>
              </w:rPr>
              <w:t>$1,252</w:t>
            </w:r>
          </w:p>
        </w:tc>
        <w:tc>
          <w:tcPr>
            <w:tcW w:w="691" w:type="dxa"/>
            <w:tcBorders>
              <w:top w:val="nil"/>
              <w:left w:val="nil"/>
              <w:bottom w:val="single" w:sz="4" w:space="0" w:color="auto"/>
              <w:right w:val="single" w:sz="4" w:space="0" w:color="auto"/>
            </w:tcBorders>
            <w:shd w:val="clear" w:color="auto" w:fill="auto"/>
            <w:noWrap/>
            <w:vAlign w:val="center"/>
            <w:hideMark/>
          </w:tcPr>
          <w:p w14:paraId="4545315E" w14:textId="58296B72"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0A83C3CF" w14:textId="0805A483"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7BFB9BCF" w14:textId="16E7EC17"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7E955C91" w14:textId="1F55349F"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430D16FE" w14:textId="336C3547"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6837F2E6" w14:textId="3C0A6D44"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456E5F96" w14:textId="08FDCDA7"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3655C4E6" w14:textId="74975D63"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136F895E" w14:textId="40056DF1"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69D4F8DC"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41CEC661" w14:textId="77777777" w:rsidR="00F136AD" w:rsidRPr="00AF5F1F" w:rsidRDefault="00F136AD" w:rsidP="00F136AD">
            <w:pPr>
              <w:rPr>
                <w:rFonts w:eastAsia="Arial" w:cs="Arial"/>
                <w:b/>
                <w:bCs/>
                <w:sz w:val="16"/>
                <w:szCs w:val="16"/>
              </w:rPr>
            </w:pPr>
            <w:r w:rsidRPr="006E7DA0">
              <w:rPr>
                <w:rFonts w:eastAsia="Arial" w:cs="Arial"/>
                <w:b/>
                <w:bCs/>
                <w:sz w:val="16"/>
                <w:szCs w:val="16"/>
              </w:rPr>
              <w:t>Electromagnetic susceptibility tests</w:t>
            </w:r>
          </w:p>
        </w:tc>
        <w:tc>
          <w:tcPr>
            <w:tcW w:w="1134" w:type="dxa"/>
            <w:tcBorders>
              <w:top w:val="single" w:sz="4" w:space="0" w:color="auto"/>
            </w:tcBorders>
            <w:shd w:val="clear" w:color="auto" w:fill="auto"/>
            <w:vAlign w:val="center"/>
            <w:hideMark/>
          </w:tcPr>
          <w:p w14:paraId="349D5952" w14:textId="77777777" w:rsidR="00F136AD" w:rsidRPr="00B925F9" w:rsidRDefault="00F136AD" w:rsidP="00F136AD">
            <w:pPr>
              <w:rPr>
                <w:rFonts w:eastAsia="Arial" w:cs="Arial"/>
                <w:sz w:val="16"/>
                <w:szCs w:val="16"/>
              </w:rPr>
            </w:pPr>
            <w:r w:rsidRPr="00B925F9">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13786FB7" w14:textId="598A5B27" w:rsidR="00F136AD" w:rsidRPr="000C2B6A" w:rsidRDefault="00F136AD" w:rsidP="00F136AD">
            <w:pPr>
              <w:rPr>
                <w:rFonts w:eastAsia="Arial" w:cs="Arial"/>
                <w:sz w:val="16"/>
                <w:szCs w:val="16"/>
              </w:rPr>
            </w:pPr>
            <w:r>
              <w:rPr>
                <w:rFonts w:cs="Arial"/>
                <w:color w:val="000000"/>
                <w:sz w:val="16"/>
                <w:szCs w:val="16"/>
              </w:rPr>
              <w:t>$5,439</w:t>
            </w:r>
          </w:p>
        </w:tc>
        <w:tc>
          <w:tcPr>
            <w:tcW w:w="752" w:type="dxa"/>
            <w:tcBorders>
              <w:top w:val="nil"/>
              <w:left w:val="nil"/>
              <w:bottom w:val="single" w:sz="4" w:space="0" w:color="auto"/>
              <w:right w:val="single" w:sz="4" w:space="0" w:color="auto"/>
            </w:tcBorders>
            <w:shd w:val="clear" w:color="auto" w:fill="auto"/>
            <w:noWrap/>
            <w:vAlign w:val="center"/>
            <w:hideMark/>
          </w:tcPr>
          <w:p w14:paraId="0E62798E" w14:textId="12AC1204"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2DDE74B" w14:textId="0C37D187" w:rsidR="00F136AD" w:rsidRPr="000C2B6A" w:rsidRDefault="00F136AD" w:rsidP="00F136AD">
            <w:pPr>
              <w:rPr>
                <w:rFonts w:eastAsia="Arial" w:cs="Arial"/>
                <w:sz w:val="16"/>
                <w:szCs w:val="16"/>
              </w:rPr>
            </w:pPr>
            <w:r>
              <w:rPr>
                <w:rFonts w:cs="Arial"/>
                <w:color w:val="000000"/>
                <w:sz w:val="16"/>
                <w:szCs w:val="16"/>
              </w:rPr>
              <w:t>$5,913</w:t>
            </w:r>
          </w:p>
        </w:tc>
        <w:tc>
          <w:tcPr>
            <w:tcW w:w="784" w:type="dxa"/>
            <w:tcBorders>
              <w:top w:val="nil"/>
              <w:left w:val="nil"/>
              <w:bottom w:val="single" w:sz="4" w:space="0" w:color="auto"/>
              <w:right w:val="single" w:sz="4" w:space="0" w:color="auto"/>
            </w:tcBorders>
            <w:shd w:val="clear" w:color="auto" w:fill="auto"/>
            <w:noWrap/>
            <w:vAlign w:val="center"/>
            <w:hideMark/>
          </w:tcPr>
          <w:p w14:paraId="45FF169E" w14:textId="1706BDEC"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6613744D" w14:textId="2DCAC7F7" w:rsidR="00F136AD" w:rsidRPr="000C2B6A" w:rsidRDefault="00F136AD" w:rsidP="00F136AD">
            <w:pPr>
              <w:rPr>
                <w:rFonts w:eastAsia="Arial" w:cs="Arial"/>
                <w:sz w:val="16"/>
                <w:szCs w:val="16"/>
              </w:rPr>
            </w:pPr>
            <w:r>
              <w:rPr>
                <w:rFonts w:cs="Arial"/>
                <w:color w:val="000000"/>
                <w:sz w:val="16"/>
                <w:szCs w:val="16"/>
              </w:rPr>
              <w:t>$6,410</w:t>
            </w:r>
          </w:p>
        </w:tc>
        <w:tc>
          <w:tcPr>
            <w:tcW w:w="810" w:type="dxa"/>
            <w:tcBorders>
              <w:top w:val="nil"/>
              <w:left w:val="nil"/>
              <w:bottom w:val="single" w:sz="4" w:space="0" w:color="auto"/>
              <w:right w:val="single" w:sz="4" w:space="0" w:color="auto"/>
            </w:tcBorders>
            <w:shd w:val="clear" w:color="auto" w:fill="auto"/>
            <w:noWrap/>
            <w:vAlign w:val="center"/>
            <w:hideMark/>
          </w:tcPr>
          <w:p w14:paraId="1361A410" w14:textId="02665ACA"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3DFB77B" w14:textId="7146642A" w:rsidR="00F136AD" w:rsidRPr="000C2B6A" w:rsidRDefault="00F136AD" w:rsidP="00F136AD">
            <w:pPr>
              <w:rPr>
                <w:rFonts w:eastAsia="Arial" w:cs="Arial"/>
                <w:sz w:val="16"/>
                <w:szCs w:val="16"/>
              </w:rPr>
            </w:pPr>
            <w:r>
              <w:rPr>
                <w:rFonts w:cs="Arial"/>
                <w:color w:val="000000"/>
                <w:sz w:val="16"/>
                <w:szCs w:val="16"/>
              </w:rPr>
              <w:t>$5,513</w:t>
            </w:r>
          </w:p>
        </w:tc>
        <w:tc>
          <w:tcPr>
            <w:tcW w:w="709" w:type="dxa"/>
            <w:tcBorders>
              <w:top w:val="nil"/>
              <w:left w:val="nil"/>
              <w:bottom w:val="single" w:sz="4" w:space="0" w:color="auto"/>
              <w:right w:val="single" w:sz="4" w:space="0" w:color="auto"/>
            </w:tcBorders>
            <w:shd w:val="clear" w:color="auto" w:fill="auto"/>
            <w:noWrap/>
            <w:vAlign w:val="center"/>
            <w:hideMark/>
          </w:tcPr>
          <w:p w14:paraId="588EAFF7" w14:textId="525863D1"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5017F1A" w14:textId="50B80C7C" w:rsidR="00F136AD" w:rsidRPr="000C2B6A" w:rsidRDefault="00F136AD" w:rsidP="00F136AD">
            <w:pPr>
              <w:rPr>
                <w:rFonts w:eastAsia="Arial" w:cs="Arial"/>
                <w:sz w:val="16"/>
                <w:szCs w:val="16"/>
              </w:rPr>
            </w:pPr>
            <w:r>
              <w:rPr>
                <w:rFonts w:cs="Arial"/>
                <w:color w:val="000000"/>
                <w:sz w:val="16"/>
                <w:szCs w:val="16"/>
              </w:rPr>
              <w:t>$6,410</w:t>
            </w:r>
          </w:p>
        </w:tc>
        <w:tc>
          <w:tcPr>
            <w:tcW w:w="731" w:type="dxa"/>
            <w:tcBorders>
              <w:top w:val="nil"/>
              <w:left w:val="nil"/>
              <w:bottom w:val="single" w:sz="4" w:space="0" w:color="auto"/>
              <w:right w:val="single" w:sz="4" w:space="0" w:color="auto"/>
            </w:tcBorders>
            <w:shd w:val="clear" w:color="auto" w:fill="auto"/>
            <w:noWrap/>
            <w:vAlign w:val="center"/>
            <w:hideMark/>
          </w:tcPr>
          <w:p w14:paraId="5576099F" w14:textId="53D2A914"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C5BF84C" w14:textId="388D7F79" w:rsidR="00F136AD" w:rsidRPr="000C2B6A" w:rsidRDefault="00F136AD" w:rsidP="00F136AD">
            <w:pPr>
              <w:rPr>
                <w:rFonts w:eastAsia="Arial" w:cs="Arial"/>
                <w:sz w:val="16"/>
                <w:szCs w:val="16"/>
              </w:rPr>
            </w:pPr>
            <w:r>
              <w:rPr>
                <w:rFonts w:cs="Arial"/>
                <w:color w:val="000000"/>
                <w:sz w:val="16"/>
                <w:szCs w:val="16"/>
              </w:rPr>
              <w:t>$7,212</w:t>
            </w:r>
          </w:p>
        </w:tc>
        <w:tc>
          <w:tcPr>
            <w:tcW w:w="796" w:type="dxa"/>
            <w:tcBorders>
              <w:top w:val="nil"/>
              <w:left w:val="nil"/>
              <w:bottom w:val="single" w:sz="4" w:space="0" w:color="auto"/>
              <w:right w:val="single" w:sz="4" w:space="0" w:color="auto"/>
            </w:tcBorders>
            <w:shd w:val="clear" w:color="auto" w:fill="auto"/>
            <w:noWrap/>
            <w:vAlign w:val="center"/>
            <w:hideMark/>
          </w:tcPr>
          <w:p w14:paraId="5F5145C9" w14:textId="2B93406A"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4BEF297A" w14:textId="64166219" w:rsidR="00F136AD" w:rsidRPr="000C2B6A" w:rsidRDefault="00F136AD" w:rsidP="00F136AD">
            <w:pPr>
              <w:rPr>
                <w:rFonts w:eastAsia="Arial" w:cs="Arial"/>
                <w:sz w:val="16"/>
                <w:szCs w:val="16"/>
              </w:rPr>
            </w:pPr>
            <w:r>
              <w:rPr>
                <w:rFonts w:cs="Arial"/>
                <w:color w:val="000000"/>
                <w:sz w:val="16"/>
                <w:szCs w:val="16"/>
              </w:rPr>
              <w:t>$35,874</w:t>
            </w:r>
          </w:p>
        </w:tc>
        <w:tc>
          <w:tcPr>
            <w:tcW w:w="709" w:type="dxa"/>
            <w:tcBorders>
              <w:top w:val="nil"/>
              <w:left w:val="nil"/>
              <w:bottom w:val="single" w:sz="4" w:space="0" w:color="auto"/>
              <w:right w:val="single" w:sz="4" w:space="0" w:color="auto"/>
            </w:tcBorders>
            <w:shd w:val="clear" w:color="auto" w:fill="auto"/>
            <w:noWrap/>
            <w:vAlign w:val="center"/>
            <w:hideMark/>
          </w:tcPr>
          <w:p w14:paraId="31171805" w14:textId="24B68B3D" w:rsidR="00F136AD" w:rsidRPr="000C2B6A"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5E014477" w14:textId="009C729A" w:rsidR="00F136AD" w:rsidRPr="000C2B6A" w:rsidRDefault="00F136AD" w:rsidP="00F136AD">
            <w:pPr>
              <w:rPr>
                <w:rFonts w:eastAsia="Arial" w:cs="Arial"/>
                <w:sz w:val="16"/>
                <w:szCs w:val="16"/>
              </w:rPr>
            </w:pPr>
            <w:r>
              <w:rPr>
                <w:rFonts w:cs="Arial"/>
                <w:color w:val="000000"/>
                <w:sz w:val="16"/>
                <w:szCs w:val="16"/>
              </w:rPr>
              <w:t>$5,667</w:t>
            </w:r>
          </w:p>
        </w:tc>
        <w:tc>
          <w:tcPr>
            <w:tcW w:w="691" w:type="dxa"/>
            <w:tcBorders>
              <w:top w:val="nil"/>
              <w:left w:val="nil"/>
              <w:bottom w:val="single" w:sz="4" w:space="0" w:color="auto"/>
              <w:right w:val="single" w:sz="4" w:space="0" w:color="auto"/>
            </w:tcBorders>
            <w:shd w:val="clear" w:color="auto" w:fill="auto"/>
            <w:noWrap/>
            <w:vAlign w:val="center"/>
            <w:hideMark/>
          </w:tcPr>
          <w:p w14:paraId="71AC8276" w14:textId="4ED9B717"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0215E507" w14:textId="08D6906E"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1CFFF046" w14:textId="100059D0"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21B15FC9" w14:textId="39A54C2E"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2CB46EE6" w14:textId="5E69B046"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210F2EF8" w14:textId="63F09682"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5E89A986" w14:textId="472655C6"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623953D1" w14:textId="5D8DACBD"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4C516678" w14:textId="7716F9AF"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1258BF3C" w14:textId="77777777" w:rsidTr="00F136AD">
        <w:tblPrEx>
          <w:shd w:val="clear" w:color="auto" w:fill="DBE5F1" w:themeFill="accent1" w:themeFillTint="33"/>
        </w:tblPrEx>
        <w:trPr>
          <w:trHeight w:val="402"/>
        </w:trPr>
        <w:tc>
          <w:tcPr>
            <w:tcW w:w="2694" w:type="dxa"/>
            <w:shd w:val="clear" w:color="auto" w:fill="auto"/>
            <w:vAlign w:val="center"/>
            <w:hideMark/>
          </w:tcPr>
          <w:p w14:paraId="2A5C0603" w14:textId="77777777" w:rsidR="00F136AD" w:rsidRPr="00AF5F1F" w:rsidRDefault="00F136AD" w:rsidP="00F136AD">
            <w:pPr>
              <w:rPr>
                <w:rFonts w:eastAsia="Arial" w:cs="Arial"/>
                <w:b/>
                <w:bCs/>
                <w:sz w:val="16"/>
                <w:szCs w:val="16"/>
              </w:rPr>
            </w:pPr>
            <w:r w:rsidRPr="006E7DA0">
              <w:rPr>
                <w:rFonts w:eastAsia="Arial" w:cs="Arial"/>
                <w:b/>
                <w:bCs/>
                <w:sz w:val="16"/>
                <w:szCs w:val="16"/>
              </w:rPr>
              <w:t>Electromagnetic susceptibility tests</w:t>
            </w:r>
          </w:p>
        </w:tc>
        <w:tc>
          <w:tcPr>
            <w:tcW w:w="1134" w:type="dxa"/>
            <w:shd w:val="clear" w:color="auto" w:fill="auto"/>
            <w:vAlign w:val="center"/>
            <w:hideMark/>
          </w:tcPr>
          <w:p w14:paraId="275F5EC2" w14:textId="77777777" w:rsidR="00F136AD" w:rsidRPr="00B925F9" w:rsidRDefault="00F136AD" w:rsidP="00F136AD">
            <w:pPr>
              <w:rPr>
                <w:rFonts w:eastAsia="Arial" w:cs="Arial"/>
                <w:sz w:val="16"/>
                <w:szCs w:val="16"/>
              </w:rPr>
            </w:pPr>
            <w:r w:rsidRPr="00B925F9">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10C2FEC3" w14:textId="087F9CE3"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23B440DB" w14:textId="33C1A2EB"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528C602" w14:textId="11C1FEAA"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18411A43" w14:textId="51C2D093"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14994686" w14:textId="5CA1272E" w:rsidR="00F136AD" w:rsidRPr="000C2B6A"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57332F69" w14:textId="31104724"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61AEB9D7" w14:textId="26490FCD" w:rsidR="00F136AD" w:rsidRPr="000C2B6A" w:rsidRDefault="00F136AD" w:rsidP="00F136AD">
            <w:pPr>
              <w:rPr>
                <w:rFonts w:eastAsia="Arial" w:cs="Arial"/>
                <w:sz w:val="16"/>
                <w:szCs w:val="16"/>
              </w:rPr>
            </w:pPr>
            <w:r>
              <w:rPr>
                <w:rFonts w:cs="Arial"/>
                <w:color w:val="000000"/>
                <w:sz w:val="16"/>
                <w:szCs w:val="16"/>
              </w:rPr>
              <w:t>$2,748</w:t>
            </w:r>
          </w:p>
        </w:tc>
        <w:tc>
          <w:tcPr>
            <w:tcW w:w="709" w:type="dxa"/>
            <w:tcBorders>
              <w:top w:val="nil"/>
              <w:left w:val="nil"/>
              <w:bottom w:val="single" w:sz="4" w:space="0" w:color="auto"/>
              <w:right w:val="single" w:sz="4" w:space="0" w:color="auto"/>
            </w:tcBorders>
            <w:shd w:val="clear" w:color="auto" w:fill="auto"/>
            <w:noWrap/>
            <w:vAlign w:val="center"/>
            <w:hideMark/>
          </w:tcPr>
          <w:p w14:paraId="071C6020" w14:textId="1C6E4045"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6A05821" w14:textId="593380FB" w:rsidR="00F136AD" w:rsidRPr="000C2B6A" w:rsidRDefault="00F136AD" w:rsidP="00F136AD">
            <w:pPr>
              <w:rPr>
                <w:rFonts w:eastAsia="Arial" w:cs="Arial"/>
                <w:sz w:val="16"/>
                <w:szCs w:val="16"/>
              </w:rPr>
            </w:pPr>
            <w:r>
              <w:rPr>
                <w:rFonts w:cs="Arial"/>
                <w:color w:val="000000"/>
                <w:sz w:val="16"/>
                <w:szCs w:val="16"/>
              </w:rPr>
              <w:t>$3,413</w:t>
            </w:r>
          </w:p>
        </w:tc>
        <w:tc>
          <w:tcPr>
            <w:tcW w:w="731" w:type="dxa"/>
            <w:tcBorders>
              <w:top w:val="nil"/>
              <w:left w:val="nil"/>
              <w:bottom w:val="single" w:sz="4" w:space="0" w:color="auto"/>
              <w:right w:val="single" w:sz="4" w:space="0" w:color="auto"/>
            </w:tcBorders>
            <w:shd w:val="clear" w:color="auto" w:fill="auto"/>
            <w:noWrap/>
            <w:vAlign w:val="center"/>
            <w:hideMark/>
          </w:tcPr>
          <w:p w14:paraId="3061E625" w14:textId="0B8335C2"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6C6F275" w14:textId="1EB63C58" w:rsidR="00F136AD" w:rsidRPr="000C2B6A" w:rsidRDefault="00F136AD" w:rsidP="00F136AD">
            <w:pPr>
              <w:rPr>
                <w:rFonts w:eastAsia="Arial" w:cs="Arial"/>
                <w:sz w:val="16"/>
                <w:szCs w:val="16"/>
              </w:rPr>
            </w:pPr>
            <w:r>
              <w:rPr>
                <w:rFonts w:cs="Arial"/>
                <w:color w:val="000000"/>
                <w:sz w:val="16"/>
                <w:szCs w:val="16"/>
              </w:rPr>
              <w:t>$4,109</w:t>
            </w:r>
          </w:p>
        </w:tc>
        <w:tc>
          <w:tcPr>
            <w:tcW w:w="796" w:type="dxa"/>
            <w:tcBorders>
              <w:top w:val="nil"/>
              <w:left w:val="nil"/>
              <w:bottom w:val="single" w:sz="4" w:space="0" w:color="auto"/>
              <w:right w:val="single" w:sz="4" w:space="0" w:color="auto"/>
            </w:tcBorders>
            <w:shd w:val="clear" w:color="auto" w:fill="auto"/>
            <w:noWrap/>
            <w:vAlign w:val="center"/>
            <w:hideMark/>
          </w:tcPr>
          <w:p w14:paraId="09504441" w14:textId="3678DB82"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67572B9B" w14:textId="26F94699"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630C9C7" w14:textId="20FE3993" w:rsidR="00F136AD" w:rsidRPr="000C2B6A"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68B9A36B" w14:textId="40CF519B" w:rsidR="00F136AD" w:rsidRPr="000C2B6A"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34BF2EB1" w14:textId="2F74E61D"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256F0894" w14:textId="240D2636"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2FA8EC29" w14:textId="667FAF9C"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7E78A4ED" w14:textId="2C6C31CF"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755C159A" w14:textId="49F632CF"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68B5985F" w14:textId="211E8CFF"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19A37637" w14:textId="0F19C766"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2EFADF91" w14:textId="77FE7C86"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695F915E" w14:textId="79D16381"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2E23307F" w14:textId="77777777" w:rsidTr="00F136AD">
        <w:tblPrEx>
          <w:shd w:val="clear" w:color="auto" w:fill="DBE5F1" w:themeFill="accent1" w:themeFillTint="33"/>
        </w:tblPrEx>
        <w:trPr>
          <w:trHeight w:val="402"/>
        </w:trPr>
        <w:tc>
          <w:tcPr>
            <w:tcW w:w="2694" w:type="dxa"/>
            <w:shd w:val="clear" w:color="auto" w:fill="auto"/>
            <w:vAlign w:val="center"/>
            <w:hideMark/>
          </w:tcPr>
          <w:p w14:paraId="71AD0C7A" w14:textId="77777777" w:rsidR="00F136AD" w:rsidRPr="006E7DA0" w:rsidRDefault="00F136AD" w:rsidP="00F136AD">
            <w:pPr>
              <w:rPr>
                <w:rFonts w:eastAsia="Arial" w:cs="Arial"/>
                <w:b/>
                <w:bCs/>
                <w:sz w:val="16"/>
                <w:szCs w:val="16"/>
              </w:rPr>
            </w:pPr>
            <w:r w:rsidRPr="006E7DA0">
              <w:rPr>
                <w:rFonts w:eastAsia="Arial" w:cs="Arial"/>
                <w:b/>
                <w:bCs/>
                <w:sz w:val="16"/>
                <w:szCs w:val="16"/>
              </w:rPr>
              <w:t>Mechanical Shock</w:t>
            </w:r>
          </w:p>
        </w:tc>
        <w:tc>
          <w:tcPr>
            <w:tcW w:w="1134" w:type="dxa"/>
            <w:shd w:val="clear" w:color="auto" w:fill="auto"/>
            <w:vAlign w:val="center"/>
            <w:hideMark/>
          </w:tcPr>
          <w:p w14:paraId="16C4A08E"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1050215C" w14:textId="580A1B07"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6D1C7B9E" w14:textId="3E0715C9"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8BF5B40" w14:textId="73DE1C43"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601C9405" w14:textId="365CC09F"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436761B4" w14:textId="52A613E2" w:rsidR="00F136AD" w:rsidRPr="000C2B6A"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701C00B8" w14:textId="1829B071"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D5473DF" w14:textId="6AB035CF"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2BEE3AE8" w14:textId="64EEC1A7"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D56AAB9" w14:textId="1FC69455" w:rsidR="00F136AD" w:rsidRPr="000C2B6A"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30E0703F" w14:textId="372B95F1"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D3EF03D" w14:textId="6A4F9FEB" w:rsidR="00F136AD" w:rsidRPr="000C2B6A"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62931559" w14:textId="055E8F16"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FA6D238" w14:textId="096E4230"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7DDB94D8" w14:textId="744DC8FE"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6BEA0EE3" w14:textId="04E02801" w:rsidR="00F136AD" w:rsidRPr="000C2B6A"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0D4A1460" w14:textId="7DBE077E"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6DFC6EBB" w14:textId="707FD97F"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0830DD32" w14:textId="54B42DAA"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55A271F2" w14:textId="41884176"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3FA4640" w14:textId="093C18DC"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4365F053" w14:textId="48358F24"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38C16948" w14:textId="12B920A7"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6EF0D3C8" w14:textId="50321C90"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27F99DB0" w14:textId="6DD8513C"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4AE603B8" w14:textId="77777777" w:rsidTr="00F136AD">
        <w:tblPrEx>
          <w:shd w:val="clear" w:color="auto" w:fill="DBE5F1" w:themeFill="accent1" w:themeFillTint="33"/>
        </w:tblPrEx>
        <w:trPr>
          <w:trHeight w:val="402"/>
        </w:trPr>
        <w:tc>
          <w:tcPr>
            <w:tcW w:w="2694" w:type="dxa"/>
            <w:shd w:val="clear" w:color="auto" w:fill="auto"/>
            <w:vAlign w:val="center"/>
            <w:hideMark/>
          </w:tcPr>
          <w:p w14:paraId="17083D86" w14:textId="77777777" w:rsidR="00F136AD" w:rsidRPr="006E7DA0" w:rsidRDefault="00F136AD" w:rsidP="00F136AD">
            <w:pPr>
              <w:rPr>
                <w:rFonts w:eastAsia="Arial" w:cs="Arial"/>
                <w:b/>
                <w:bCs/>
                <w:sz w:val="16"/>
                <w:szCs w:val="16"/>
              </w:rPr>
            </w:pPr>
            <w:r w:rsidRPr="006E7DA0">
              <w:rPr>
                <w:rFonts w:eastAsia="Arial" w:cs="Arial"/>
                <w:b/>
                <w:bCs/>
                <w:sz w:val="16"/>
                <w:szCs w:val="16"/>
              </w:rPr>
              <w:t>Magnetic Effect</w:t>
            </w:r>
          </w:p>
        </w:tc>
        <w:tc>
          <w:tcPr>
            <w:tcW w:w="1134" w:type="dxa"/>
            <w:shd w:val="clear" w:color="auto" w:fill="auto"/>
            <w:vAlign w:val="center"/>
            <w:hideMark/>
          </w:tcPr>
          <w:p w14:paraId="322CF8CD"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02519004" w14:textId="12AB6711"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0E0E9E22" w14:textId="414F2754"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61D52610" w14:textId="0B0B16AC"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49222EFF" w14:textId="73E000DB"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F71B7CA" w14:textId="1F0901CE" w:rsidR="00F136AD" w:rsidRPr="000C2B6A"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08A4A158" w14:textId="351419FA"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ECE6218" w14:textId="1BE93455"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E96043E" w14:textId="1C2DF075"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C2D89FB" w14:textId="0CD8065C" w:rsidR="00F136AD" w:rsidRPr="000C2B6A"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1A13124A" w14:textId="6CDC9B43"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68B16BE2" w14:textId="56A76906" w:rsidR="00F136AD" w:rsidRPr="000C2B6A"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7984B67B" w14:textId="73A5156C"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35996C6" w14:textId="229F2120"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4EFA2124" w14:textId="5514C647"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6CD63B9D" w14:textId="4CE9D553" w:rsidR="00F136AD" w:rsidRPr="000C2B6A"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71B9F88F" w14:textId="26003937"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06816FFA" w14:textId="152C0365"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2EB17E32" w14:textId="70D05B41"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6A431CBA" w14:textId="1F00F724"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2BB2003C" w14:textId="77D79AF4"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66BFD084" w14:textId="00243CC5"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67AF462C" w14:textId="5D8934F4"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4A23E73E" w14:textId="5D30B4B5"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5E6B0685" w14:textId="57A2F525"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24B5FB31" w14:textId="77777777" w:rsidTr="00F136AD">
        <w:tblPrEx>
          <w:shd w:val="clear" w:color="auto" w:fill="DBE5F1" w:themeFill="accent1" w:themeFillTint="33"/>
        </w:tblPrEx>
        <w:trPr>
          <w:trHeight w:val="402"/>
        </w:trPr>
        <w:tc>
          <w:tcPr>
            <w:tcW w:w="2694" w:type="dxa"/>
            <w:shd w:val="clear" w:color="auto" w:fill="auto"/>
            <w:vAlign w:val="center"/>
            <w:hideMark/>
          </w:tcPr>
          <w:p w14:paraId="752976CB" w14:textId="77777777" w:rsidR="00F136AD" w:rsidRPr="006E7DA0" w:rsidRDefault="00F136AD" w:rsidP="00F136AD">
            <w:pPr>
              <w:rPr>
                <w:rFonts w:eastAsia="Arial" w:cs="Arial"/>
                <w:b/>
                <w:bCs/>
                <w:sz w:val="16"/>
                <w:szCs w:val="16"/>
              </w:rPr>
            </w:pPr>
            <w:r w:rsidRPr="006E7DA0">
              <w:rPr>
                <w:rFonts w:eastAsia="Arial" w:cs="Arial"/>
                <w:b/>
                <w:bCs/>
                <w:sz w:val="16"/>
                <w:szCs w:val="16"/>
              </w:rPr>
              <w:t>Hydrocarbons</w:t>
            </w:r>
          </w:p>
        </w:tc>
        <w:tc>
          <w:tcPr>
            <w:tcW w:w="1134" w:type="dxa"/>
            <w:shd w:val="clear" w:color="auto" w:fill="auto"/>
            <w:vAlign w:val="center"/>
            <w:hideMark/>
          </w:tcPr>
          <w:p w14:paraId="52BF387D"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0CE6FF3C" w14:textId="138F35BB"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14DA62E3" w14:textId="2431A85B"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191059E3" w14:textId="48EE7A45"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23550E84" w14:textId="3B45A463"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111AA883" w14:textId="5FBC8A18" w:rsidR="00F136AD" w:rsidRPr="000C2B6A"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46BF52CD" w14:textId="34C0FA50"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4D85891" w14:textId="08C568FF"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ACA8133" w14:textId="443552A8"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5CB6926" w14:textId="348F209A" w:rsidR="00F136AD" w:rsidRPr="000C2B6A"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178DDF1A" w14:textId="18B448BB"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8B4AB82" w14:textId="3F84979B" w:rsidR="00F136AD" w:rsidRPr="000C2B6A"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06246383" w14:textId="3A90BAF2"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D0A3E6E" w14:textId="62E13E29"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4D09D162" w14:textId="755F8F91"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0CB28B20" w14:textId="00A40949" w:rsidR="00F136AD" w:rsidRPr="000C2B6A"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388FFB08" w14:textId="49B5B5ED"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069E226C" w14:textId="3D032622"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7B9B4BC4" w14:textId="2C378A10"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0FB6A9CC" w14:textId="61DD5175"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6D9CB9DE" w14:textId="26A801F2"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309373C8" w14:textId="6742EECE"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23CD9C7F" w14:textId="08F9F93C"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21F969A3" w14:textId="0C3267C4"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78566036" w14:textId="5C403C4B"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199FC3D2" w14:textId="77777777" w:rsidTr="00F136AD">
        <w:tblPrEx>
          <w:shd w:val="clear" w:color="auto" w:fill="DBE5F1" w:themeFill="accent1" w:themeFillTint="33"/>
        </w:tblPrEx>
        <w:trPr>
          <w:trHeight w:val="402"/>
        </w:trPr>
        <w:tc>
          <w:tcPr>
            <w:tcW w:w="2694" w:type="dxa"/>
            <w:shd w:val="clear" w:color="auto" w:fill="auto"/>
            <w:vAlign w:val="center"/>
            <w:hideMark/>
          </w:tcPr>
          <w:p w14:paraId="74725F23" w14:textId="77777777" w:rsidR="00F136AD" w:rsidRPr="006E7DA0" w:rsidRDefault="00F136AD" w:rsidP="00F136AD">
            <w:pPr>
              <w:rPr>
                <w:rFonts w:eastAsia="Arial" w:cs="Arial"/>
                <w:b/>
                <w:bCs/>
                <w:sz w:val="16"/>
                <w:szCs w:val="16"/>
              </w:rPr>
            </w:pPr>
            <w:r w:rsidRPr="006E7DA0">
              <w:rPr>
                <w:rFonts w:eastAsia="Arial" w:cs="Arial"/>
                <w:b/>
                <w:bCs/>
                <w:sz w:val="16"/>
                <w:szCs w:val="16"/>
              </w:rPr>
              <w:t>Supply Frequency</w:t>
            </w:r>
          </w:p>
        </w:tc>
        <w:tc>
          <w:tcPr>
            <w:tcW w:w="1134" w:type="dxa"/>
            <w:shd w:val="clear" w:color="auto" w:fill="auto"/>
            <w:vAlign w:val="center"/>
            <w:hideMark/>
          </w:tcPr>
          <w:p w14:paraId="62B8C7D6"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65D73BF9" w14:textId="27233B94"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0D24BA7E" w14:textId="673AA25D"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51330FD" w14:textId="27160C39"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C4B431C" w14:textId="07F0A34C"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4E5A63E9" w14:textId="06E63AA7" w:rsidR="00F136AD" w:rsidRPr="000C2B6A"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7CB7BA35" w14:textId="39C20715"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F6F77EB" w14:textId="1EEF4A6D"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258452A" w14:textId="7099E55C"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F625171" w14:textId="4F1763D2" w:rsidR="00F136AD" w:rsidRPr="000C2B6A"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29DB5F8D" w14:textId="496F214A"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FED75AB" w14:textId="52524CCD" w:rsidR="00F136AD" w:rsidRPr="000C2B6A"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33C80BF8" w14:textId="0C9FCA3A"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C8003AF" w14:textId="3625DCBB"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761A1B33" w14:textId="243228E4"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6292706E" w14:textId="3C192335" w:rsidR="00F136AD" w:rsidRPr="000C2B6A"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26F0245F" w14:textId="5F9C2F32" w:rsidR="00F136AD" w:rsidRPr="000C2B6A"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65B02661" w14:textId="6AF6D2F3" w:rsidR="00F136AD" w:rsidRPr="000C2B6A"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31BD3739" w14:textId="34BD8331" w:rsidR="00F136AD" w:rsidRPr="000C2B6A"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42FC5355" w14:textId="0063ABD5" w:rsidR="00F136AD" w:rsidRPr="000C2B6A"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6515C49C" w14:textId="113AB90A" w:rsidR="00F136AD" w:rsidRPr="000C2B6A"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0F24819F" w14:textId="73788FFF" w:rsidR="00F136AD" w:rsidRPr="000C2B6A"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068D684A" w14:textId="70E91744" w:rsidR="00F136AD" w:rsidRPr="000C2B6A"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79E682D8" w14:textId="46EB755C" w:rsidR="00F136AD" w:rsidRPr="000C2B6A"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1B369FDE" w14:textId="375B4E55" w:rsidR="00F136AD" w:rsidRPr="000C2B6A" w:rsidRDefault="00F136AD" w:rsidP="00F136AD">
            <w:pPr>
              <w:rPr>
                <w:rFonts w:eastAsia="Arial" w:cs="Arial"/>
                <w:sz w:val="16"/>
                <w:szCs w:val="16"/>
              </w:rPr>
            </w:pPr>
            <w:r>
              <w:rPr>
                <w:rFonts w:cs="Arial"/>
                <w:color w:val="000000"/>
                <w:sz w:val="16"/>
                <w:szCs w:val="16"/>
              </w:rPr>
              <w:t> </w:t>
            </w:r>
          </w:p>
        </w:tc>
      </w:tr>
      <w:tr w:rsidR="00F136AD" w:rsidRPr="00B925F9" w14:paraId="7BF1D3A7" w14:textId="77777777" w:rsidTr="00F136AD">
        <w:tblPrEx>
          <w:shd w:val="clear" w:color="auto" w:fill="DBE5F1" w:themeFill="accent1" w:themeFillTint="33"/>
        </w:tblPrEx>
        <w:trPr>
          <w:trHeight w:val="402"/>
        </w:trPr>
        <w:tc>
          <w:tcPr>
            <w:tcW w:w="2694" w:type="dxa"/>
            <w:shd w:val="clear" w:color="auto" w:fill="auto"/>
            <w:vAlign w:val="center"/>
            <w:hideMark/>
          </w:tcPr>
          <w:p w14:paraId="2127FD4C" w14:textId="77777777" w:rsidR="00F136AD" w:rsidRPr="006E7DA0" w:rsidRDefault="00F136AD" w:rsidP="00F136AD">
            <w:pPr>
              <w:rPr>
                <w:rFonts w:eastAsia="Arial" w:cs="Arial"/>
                <w:b/>
                <w:bCs/>
                <w:sz w:val="16"/>
                <w:szCs w:val="16"/>
              </w:rPr>
            </w:pPr>
            <w:r w:rsidRPr="006E7DA0">
              <w:rPr>
                <w:rFonts w:eastAsia="Arial" w:cs="Arial"/>
                <w:b/>
                <w:bCs/>
                <w:sz w:val="16"/>
                <w:szCs w:val="16"/>
              </w:rPr>
              <w:t>High Temperature Storage</w:t>
            </w:r>
          </w:p>
        </w:tc>
        <w:tc>
          <w:tcPr>
            <w:tcW w:w="1134" w:type="dxa"/>
            <w:shd w:val="clear" w:color="auto" w:fill="auto"/>
            <w:vAlign w:val="center"/>
            <w:hideMark/>
          </w:tcPr>
          <w:p w14:paraId="162D1452"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5A713ABF" w14:textId="4EA55B8B"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44E78AA0" w14:textId="31B420D1"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01BE02C8" w14:textId="69999BE6"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717D6049" w14:textId="7CFC3391"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1E3C21C" w14:textId="000D3B50"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499AAB2D" w14:textId="71374249"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4DA5B2B1" w14:textId="6E19CAAA"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8C505DE" w14:textId="608EBD98"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97F001F" w14:textId="79C641F9"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4834835F" w14:textId="6EEA7304"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1A0B2BF" w14:textId="6D63433A"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2CF61E0F" w14:textId="513267EF"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8EBE2AA" w14:textId="05E17E98" w:rsidR="00F136AD" w:rsidRPr="00A67C3B" w:rsidRDefault="00F136AD" w:rsidP="00F136AD">
            <w:pPr>
              <w:rPr>
                <w:rFonts w:eastAsia="Arial" w:cs="Arial"/>
                <w:sz w:val="16"/>
                <w:szCs w:val="16"/>
              </w:rPr>
            </w:pPr>
            <w:r>
              <w:rPr>
                <w:rFonts w:cs="Arial"/>
                <w:color w:val="000000"/>
                <w:sz w:val="16"/>
                <w:szCs w:val="16"/>
              </w:rPr>
              <w:t>$508</w:t>
            </w:r>
          </w:p>
        </w:tc>
        <w:tc>
          <w:tcPr>
            <w:tcW w:w="709" w:type="dxa"/>
            <w:tcBorders>
              <w:top w:val="nil"/>
              <w:left w:val="nil"/>
              <w:bottom w:val="single" w:sz="4" w:space="0" w:color="auto"/>
              <w:right w:val="single" w:sz="4" w:space="0" w:color="auto"/>
            </w:tcBorders>
            <w:shd w:val="clear" w:color="auto" w:fill="auto"/>
            <w:noWrap/>
            <w:vAlign w:val="center"/>
            <w:hideMark/>
          </w:tcPr>
          <w:p w14:paraId="0C637CF6" w14:textId="580FFD9E"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5FBD9DBE" w14:textId="17A4D261"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08595A98" w14:textId="6EC390FE"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66F52127" w14:textId="56A09FD4"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6505CE40" w14:textId="576D5CAA"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2AC65B79" w14:textId="30C04483"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16AFEBDB" w14:textId="3933903A"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75F7DB31" w14:textId="0C87CE22"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40A0CE34" w14:textId="62DD7845"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74136DD7" w14:textId="0E736FBB" w:rsidR="00F136AD" w:rsidRPr="00A67C3B"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2869BFDA" w14:textId="67EFDE6F" w:rsidR="00F136AD" w:rsidRPr="00A67C3B" w:rsidRDefault="00F136AD" w:rsidP="00F136AD">
            <w:pPr>
              <w:rPr>
                <w:rFonts w:eastAsia="Arial" w:cs="Arial"/>
                <w:sz w:val="16"/>
                <w:szCs w:val="16"/>
              </w:rPr>
            </w:pPr>
            <w:r>
              <w:rPr>
                <w:rFonts w:cs="Arial"/>
                <w:color w:val="000000"/>
                <w:sz w:val="16"/>
                <w:szCs w:val="16"/>
              </w:rPr>
              <w:t> </w:t>
            </w:r>
          </w:p>
        </w:tc>
      </w:tr>
      <w:tr w:rsidR="00F136AD" w:rsidRPr="00B925F9" w14:paraId="57E6999F" w14:textId="77777777" w:rsidTr="00F136AD">
        <w:tblPrEx>
          <w:shd w:val="clear" w:color="auto" w:fill="DBE5F1" w:themeFill="accent1" w:themeFillTint="33"/>
        </w:tblPrEx>
        <w:trPr>
          <w:trHeight w:val="402"/>
        </w:trPr>
        <w:tc>
          <w:tcPr>
            <w:tcW w:w="2694" w:type="dxa"/>
            <w:shd w:val="clear" w:color="auto" w:fill="auto"/>
            <w:vAlign w:val="center"/>
            <w:hideMark/>
          </w:tcPr>
          <w:p w14:paraId="0751961F" w14:textId="77777777" w:rsidR="00F136AD" w:rsidRPr="006E7DA0" w:rsidRDefault="00F136AD" w:rsidP="00F136AD">
            <w:pPr>
              <w:rPr>
                <w:rFonts w:eastAsia="Arial" w:cs="Arial"/>
                <w:b/>
                <w:bCs/>
                <w:sz w:val="16"/>
                <w:szCs w:val="16"/>
              </w:rPr>
            </w:pPr>
            <w:r w:rsidRPr="006E7DA0">
              <w:rPr>
                <w:rFonts w:eastAsia="Arial" w:cs="Arial"/>
                <w:b/>
                <w:bCs/>
                <w:sz w:val="16"/>
                <w:szCs w:val="16"/>
              </w:rPr>
              <w:t>Damp Heat Cyclic</w:t>
            </w:r>
          </w:p>
        </w:tc>
        <w:tc>
          <w:tcPr>
            <w:tcW w:w="1134" w:type="dxa"/>
            <w:shd w:val="clear" w:color="auto" w:fill="auto"/>
            <w:vAlign w:val="center"/>
            <w:hideMark/>
          </w:tcPr>
          <w:p w14:paraId="5FF8DED4"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6989545D" w14:textId="2C85D33D"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54765C76" w14:textId="60D1EE20"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BC5EB30" w14:textId="23083079"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2DC85D9" w14:textId="6889E570"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107C7DF" w14:textId="1CBEC03F"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528BA162" w14:textId="625B85F0"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51BB11AE" w14:textId="416BF1C0"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0A21B54" w14:textId="025607E1"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5FF1432" w14:textId="70C9AACF"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15B6A23A" w14:textId="453B5F95"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1A7A394E" w14:textId="41650BE5"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5DF51B95" w14:textId="2294203E"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F301074" w14:textId="1BD5A7B2" w:rsidR="00F136AD" w:rsidRPr="00A67C3B" w:rsidRDefault="00F136AD" w:rsidP="00F136AD">
            <w:pPr>
              <w:rPr>
                <w:rFonts w:eastAsia="Arial" w:cs="Arial"/>
                <w:sz w:val="16"/>
                <w:szCs w:val="16"/>
              </w:rPr>
            </w:pPr>
            <w:r>
              <w:rPr>
                <w:rFonts w:cs="Arial"/>
                <w:color w:val="000000"/>
                <w:sz w:val="16"/>
                <w:szCs w:val="16"/>
              </w:rPr>
              <w:t>$508</w:t>
            </w:r>
          </w:p>
        </w:tc>
        <w:tc>
          <w:tcPr>
            <w:tcW w:w="709" w:type="dxa"/>
            <w:tcBorders>
              <w:top w:val="nil"/>
              <w:left w:val="nil"/>
              <w:bottom w:val="single" w:sz="4" w:space="0" w:color="auto"/>
              <w:right w:val="single" w:sz="4" w:space="0" w:color="auto"/>
            </w:tcBorders>
            <w:shd w:val="clear" w:color="auto" w:fill="auto"/>
            <w:noWrap/>
            <w:vAlign w:val="center"/>
            <w:hideMark/>
          </w:tcPr>
          <w:p w14:paraId="11F3E625" w14:textId="01718CD5"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54D0CF2A" w14:textId="01ED112C"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69A86129" w14:textId="0306BA2C"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7BA4591A" w14:textId="6919A95A"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6AFB3A45" w14:textId="70352552"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42F764C6" w14:textId="20DF8684"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27E1D593" w14:textId="178BD348"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1DCB337C" w14:textId="16D069BD"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1782CFAD" w14:textId="2E8BC94F"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1065D919" w14:textId="530624D0" w:rsidR="00F136AD" w:rsidRPr="00A67C3B"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2E463EDE" w14:textId="1912E103" w:rsidR="00F136AD" w:rsidRPr="00A67C3B" w:rsidRDefault="00F136AD" w:rsidP="00F136AD">
            <w:pPr>
              <w:rPr>
                <w:rFonts w:eastAsia="Arial" w:cs="Arial"/>
                <w:sz w:val="16"/>
                <w:szCs w:val="16"/>
              </w:rPr>
            </w:pPr>
            <w:r>
              <w:rPr>
                <w:rFonts w:cs="Arial"/>
                <w:color w:val="000000"/>
                <w:sz w:val="16"/>
                <w:szCs w:val="16"/>
              </w:rPr>
              <w:t> </w:t>
            </w:r>
          </w:p>
        </w:tc>
      </w:tr>
      <w:tr w:rsidR="00F136AD" w:rsidRPr="00B925F9" w14:paraId="306120E6" w14:textId="77777777" w:rsidTr="00F136AD">
        <w:tblPrEx>
          <w:shd w:val="clear" w:color="auto" w:fill="DBE5F1" w:themeFill="accent1" w:themeFillTint="33"/>
        </w:tblPrEx>
        <w:trPr>
          <w:trHeight w:val="402"/>
        </w:trPr>
        <w:tc>
          <w:tcPr>
            <w:tcW w:w="2694" w:type="dxa"/>
            <w:shd w:val="clear" w:color="auto" w:fill="auto"/>
            <w:vAlign w:val="center"/>
            <w:hideMark/>
          </w:tcPr>
          <w:p w14:paraId="44A053D6" w14:textId="77777777" w:rsidR="00F136AD" w:rsidRPr="006E7DA0" w:rsidRDefault="00F136AD" w:rsidP="00F136AD">
            <w:pPr>
              <w:rPr>
                <w:rFonts w:eastAsia="Arial" w:cs="Arial"/>
                <w:b/>
                <w:bCs/>
                <w:sz w:val="16"/>
                <w:szCs w:val="16"/>
              </w:rPr>
            </w:pPr>
            <w:r w:rsidRPr="006E7DA0">
              <w:rPr>
                <w:rFonts w:eastAsia="Arial" w:cs="Arial"/>
                <w:b/>
                <w:bCs/>
                <w:sz w:val="16"/>
                <w:szCs w:val="16"/>
              </w:rPr>
              <w:t>DC Power Supply</w:t>
            </w:r>
          </w:p>
        </w:tc>
        <w:tc>
          <w:tcPr>
            <w:tcW w:w="1134" w:type="dxa"/>
            <w:shd w:val="clear" w:color="auto" w:fill="auto"/>
            <w:vAlign w:val="center"/>
            <w:hideMark/>
          </w:tcPr>
          <w:p w14:paraId="55BD01DF"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4EFDACA4" w14:textId="643D43A9"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74D4E73E" w14:textId="120CB71D"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6B8234C" w14:textId="10EF2653"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012ED223" w14:textId="64231575"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C402CAD" w14:textId="2E173AF4"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44FEF03F" w14:textId="6C6A7D09"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3536899" w14:textId="108D57D9"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1E0628A" w14:textId="74C4CFF1"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8312161" w14:textId="31FF356B"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5FDA372A" w14:textId="70D41B67"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183378C" w14:textId="00B30834"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31F6E847" w14:textId="2F7781C7"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6839AD47" w14:textId="0B1AC6D3"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07B9738F" w14:textId="4320D3F5"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7092E49A" w14:textId="325DCAB2"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4E58D5DD" w14:textId="574AA158"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41116B1B" w14:textId="129A82CE"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5446D342" w14:textId="1E6F98E4"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3C236CC2" w14:textId="21DAF526"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361029E4" w14:textId="325BEC28"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2523DA62" w14:textId="37F8D75B"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6B7DB12C" w14:textId="75F5D158"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5002E171" w14:textId="5B05A0C5" w:rsidR="00F136AD" w:rsidRPr="00A67C3B"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198F7AA7" w14:textId="4486EF09" w:rsidR="00F136AD" w:rsidRPr="00A67C3B" w:rsidRDefault="00F136AD" w:rsidP="00F136AD">
            <w:pPr>
              <w:rPr>
                <w:rFonts w:eastAsia="Arial" w:cs="Arial"/>
                <w:sz w:val="16"/>
                <w:szCs w:val="16"/>
              </w:rPr>
            </w:pPr>
            <w:r>
              <w:rPr>
                <w:rFonts w:cs="Arial"/>
                <w:color w:val="000000"/>
                <w:sz w:val="16"/>
                <w:szCs w:val="16"/>
              </w:rPr>
              <w:t> </w:t>
            </w:r>
          </w:p>
        </w:tc>
      </w:tr>
      <w:tr w:rsidR="00F136AD" w:rsidRPr="00B925F9" w14:paraId="2E649F89" w14:textId="77777777" w:rsidTr="00F136AD">
        <w:tblPrEx>
          <w:shd w:val="clear" w:color="auto" w:fill="DBE5F1" w:themeFill="accent1" w:themeFillTint="33"/>
        </w:tblPrEx>
        <w:trPr>
          <w:trHeight w:val="402"/>
        </w:trPr>
        <w:tc>
          <w:tcPr>
            <w:tcW w:w="2694" w:type="dxa"/>
            <w:shd w:val="clear" w:color="auto" w:fill="auto"/>
            <w:vAlign w:val="center"/>
            <w:hideMark/>
          </w:tcPr>
          <w:p w14:paraId="1937F54B" w14:textId="77777777" w:rsidR="00F136AD" w:rsidRPr="006E7DA0" w:rsidRDefault="00F136AD" w:rsidP="00F136AD">
            <w:pPr>
              <w:rPr>
                <w:rFonts w:eastAsia="Arial" w:cs="Arial"/>
                <w:b/>
                <w:bCs/>
                <w:sz w:val="16"/>
                <w:szCs w:val="16"/>
              </w:rPr>
            </w:pPr>
            <w:r w:rsidRPr="006E7DA0">
              <w:rPr>
                <w:rFonts w:eastAsia="Arial" w:cs="Arial"/>
                <w:b/>
                <w:bCs/>
                <w:sz w:val="16"/>
                <w:szCs w:val="16"/>
              </w:rPr>
              <w:t>Ripple on DC</w:t>
            </w:r>
          </w:p>
        </w:tc>
        <w:tc>
          <w:tcPr>
            <w:tcW w:w="1134" w:type="dxa"/>
            <w:shd w:val="clear" w:color="auto" w:fill="auto"/>
            <w:vAlign w:val="center"/>
            <w:hideMark/>
          </w:tcPr>
          <w:p w14:paraId="12C9FAA4"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69A1287D" w14:textId="496C7A9F"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669B251D" w14:textId="2B03ACE3"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68EBC457" w14:textId="3D4232EB"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37D832A5" w14:textId="62030EA9"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C1BB323" w14:textId="4DA86093"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4DB445B1" w14:textId="0F2F3730"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7E27A6F" w14:textId="346AD724"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67FB3B6" w14:textId="14B41FCD"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4C1E4095" w14:textId="494DE745"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3FA06A72" w14:textId="507C8D6A"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08207AD9" w14:textId="13DA0C0A"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61158BBB" w14:textId="0F6DBBC3"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29E67EB" w14:textId="57F9FF71"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620553D2" w14:textId="46F4D339"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016D9B00" w14:textId="02668409"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64DFFE34" w14:textId="1199011A"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0027FB5E" w14:textId="6C1F167B"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18E3085D" w14:textId="61CAAFD4"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58C488A4" w14:textId="17F95B8B"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06BACDE9" w14:textId="3F3C6D52"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477A1087" w14:textId="4412C1C8"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30D8DD51" w14:textId="1F0AED12"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0AAF30D7" w14:textId="7D8180AC" w:rsidR="00F136AD" w:rsidRPr="00A67C3B"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7DF1555C" w14:textId="5EC07761" w:rsidR="00F136AD" w:rsidRPr="00A67C3B" w:rsidRDefault="00F136AD" w:rsidP="00F136AD">
            <w:pPr>
              <w:rPr>
                <w:rFonts w:eastAsia="Arial" w:cs="Arial"/>
                <w:sz w:val="16"/>
                <w:szCs w:val="16"/>
              </w:rPr>
            </w:pPr>
            <w:r>
              <w:rPr>
                <w:rFonts w:cs="Arial"/>
                <w:color w:val="000000"/>
                <w:sz w:val="16"/>
                <w:szCs w:val="16"/>
              </w:rPr>
              <w:t> </w:t>
            </w:r>
          </w:p>
        </w:tc>
      </w:tr>
      <w:tr w:rsidR="00F136AD" w:rsidRPr="00B925F9" w14:paraId="4EA204BD" w14:textId="77777777" w:rsidTr="00F136AD">
        <w:tblPrEx>
          <w:shd w:val="clear" w:color="auto" w:fill="DBE5F1" w:themeFill="accent1" w:themeFillTint="33"/>
        </w:tblPrEx>
        <w:trPr>
          <w:trHeight w:val="402"/>
        </w:trPr>
        <w:tc>
          <w:tcPr>
            <w:tcW w:w="2694" w:type="dxa"/>
            <w:shd w:val="clear" w:color="auto" w:fill="auto"/>
            <w:vAlign w:val="center"/>
            <w:hideMark/>
          </w:tcPr>
          <w:p w14:paraId="65492103" w14:textId="77777777" w:rsidR="00F136AD" w:rsidRPr="006E7DA0" w:rsidRDefault="00F136AD" w:rsidP="00F136AD">
            <w:pPr>
              <w:rPr>
                <w:rFonts w:eastAsia="Arial" w:cs="Arial"/>
                <w:b/>
                <w:bCs/>
                <w:sz w:val="16"/>
                <w:szCs w:val="16"/>
              </w:rPr>
            </w:pPr>
            <w:r w:rsidRPr="006E7DA0">
              <w:rPr>
                <w:rFonts w:eastAsia="Arial" w:cs="Arial"/>
                <w:b/>
                <w:bCs/>
                <w:sz w:val="16"/>
                <w:szCs w:val="16"/>
              </w:rPr>
              <w:t>Vibration</w:t>
            </w:r>
          </w:p>
        </w:tc>
        <w:tc>
          <w:tcPr>
            <w:tcW w:w="1134" w:type="dxa"/>
            <w:shd w:val="clear" w:color="auto" w:fill="auto"/>
            <w:vAlign w:val="center"/>
            <w:hideMark/>
          </w:tcPr>
          <w:p w14:paraId="41844C8D"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0B799C9C" w14:textId="4C11A6E7"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5379C8EA" w14:textId="2092CB23"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021D9459" w14:textId="041565EC"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43D0DDEB" w14:textId="7ACD1382"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EDE5412" w14:textId="468A6F78"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724BFCE5" w14:textId="6E5CB579"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6831CC88" w14:textId="32F705D3"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9807A9C" w14:textId="301D4B12"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0ECA085" w14:textId="17C8FDDE"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00D6CCBC" w14:textId="1F51E421"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4B790789" w14:textId="3885D1D1"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7D22F84C" w14:textId="21B702BE"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419C65A2" w14:textId="2B7F3A61"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27F3D297" w14:textId="5BD20B63"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4FE2C36C" w14:textId="6EC24C11"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496FD489" w14:textId="58F11D0E"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62395E7D" w14:textId="21EFA886"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4DEACFA1" w14:textId="4076B959"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442C34BF" w14:textId="23353E22"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6EF05462" w14:textId="4D66E083"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14E21B01" w14:textId="1FFEABE5"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4132C251" w14:textId="31D77CD3"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535565CE" w14:textId="4DC00AE1" w:rsidR="00F136AD" w:rsidRPr="00A67C3B"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0E2F7B83" w14:textId="302A6A81" w:rsidR="00F136AD" w:rsidRPr="00A67C3B" w:rsidRDefault="00F136AD" w:rsidP="00F136AD">
            <w:pPr>
              <w:rPr>
                <w:rFonts w:eastAsia="Arial" w:cs="Arial"/>
                <w:sz w:val="16"/>
                <w:szCs w:val="16"/>
              </w:rPr>
            </w:pPr>
            <w:r>
              <w:rPr>
                <w:rFonts w:cs="Arial"/>
                <w:color w:val="000000"/>
                <w:sz w:val="16"/>
                <w:szCs w:val="16"/>
              </w:rPr>
              <w:t> </w:t>
            </w:r>
          </w:p>
        </w:tc>
      </w:tr>
      <w:tr w:rsidR="00F136AD" w:rsidRPr="00B925F9" w14:paraId="00786956" w14:textId="77777777" w:rsidTr="00F136AD">
        <w:tblPrEx>
          <w:shd w:val="clear" w:color="auto" w:fill="DBE5F1" w:themeFill="accent1" w:themeFillTint="33"/>
        </w:tblPrEx>
        <w:trPr>
          <w:trHeight w:val="402"/>
        </w:trPr>
        <w:tc>
          <w:tcPr>
            <w:tcW w:w="2694" w:type="dxa"/>
            <w:shd w:val="clear" w:color="auto" w:fill="auto"/>
            <w:vAlign w:val="center"/>
            <w:hideMark/>
          </w:tcPr>
          <w:p w14:paraId="389CB0AF" w14:textId="77777777" w:rsidR="00F136AD" w:rsidRPr="006E7DA0" w:rsidRDefault="00F136AD" w:rsidP="00F136AD">
            <w:pPr>
              <w:rPr>
                <w:rFonts w:eastAsia="Arial" w:cs="Arial"/>
                <w:b/>
                <w:bCs/>
                <w:sz w:val="16"/>
                <w:szCs w:val="16"/>
              </w:rPr>
            </w:pPr>
            <w:r w:rsidRPr="006E7DA0">
              <w:rPr>
                <w:rFonts w:eastAsia="Arial" w:cs="Arial"/>
                <w:b/>
                <w:bCs/>
                <w:sz w:val="16"/>
                <w:szCs w:val="16"/>
              </w:rPr>
              <w:t>Durability</w:t>
            </w:r>
          </w:p>
        </w:tc>
        <w:tc>
          <w:tcPr>
            <w:tcW w:w="1134" w:type="dxa"/>
            <w:shd w:val="clear" w:color="auto" w:fill="auto"/>
            <w:vAlign w:val="center"/>
            <w:hideMark/>
          </w:tcPr>
          <w:p w14:paraId="6E33043C"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363669C2" w14:textId="72FF8949"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608409F9" w14:textId="2922D8E3"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447F6EC6" w14:textId="1D6565D4"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67C9692F" w14:textId="63FEC1FF"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4D52650" w14:textId="2BF2606D"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702B96AA" w14:textId="5BCAEE43"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533FDC29" w14:textId="5288D75E"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3EDFA05" w14:textId="3236AB59"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B9D6595" w14:textId="33F94722"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104F082F" w14:textId="69E2A6E7"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42F99AB6" w14:textId="5E1AB585"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7CB11553" w14:textId="7A0DCC26"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08C0FDB" w14:textId="6CA717A6"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08492465" w14:textId="67CDE452"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7905F661" w14:textId="50659FC4"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74C9D036" w14:textId="06A8D0EB"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7D4593E3" w14:textId="26CB2D38"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7147576F" w14:textId="1DD944A0"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58F233C9" w14:textId="7D733128"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EB9869A" w14:textId="596DBEFB"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0E6DA0F5" w14:textId="79DEB0F1"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1EC496C5" w14:textId="2CCCE5A9"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76D8CD25" w14:textId="6BCD20EB" w:rsidR="00F136AD" w:rsidRPr="00A67C3B"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7642EC84" w14:textId="18F7AEB8" w:rsidR="00F136AD" w:rsidRPr="00A67C3B" w:rsidRDefault="00F136AD" w:rsidP="00F136AD">
            <w:pPr>
              <w:rPr>
                <w:rFonts w:eastAsia="Arial" w:cs="Arial"/>
                <w:sz w:val="16"/>
                <w:szCs w:val="16"/>
              </w:rPr>
            </w:pPr>
            <w:r>
              <w:rPr>
                <w:rFonts w:cs="Arial"/>
                <w:color w:val="000000"/>
                <w:sz w:val="16"/>
                <w:szCs w:val="16"/>
              </w:rPr>
              <w:t> </w:t>
            </w:r>
          </w:p>
        </w:tc>
      </w:tr>
      <w:tr w:rsidR="00F136AD" w:rsidRPr="00B925F9" w14:paraId="135CE942"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266DB294" w14:textId="77777777" w:rsidR="00F136AD" w:rsidRPr="006E7DA0" w:rsidRDefault="00F136AD" w:rsidP="00F136AD">
            <w:pPr>
              <w:rPr>
                <w:rFonts w:eastAsia="Arial" w:cs="Arial"/>
                <w:b/>
                <w:bCs/>
                <w:sz w:val="16"/>
                <w:szCs w:val="16"/>
              </w:rPr>
            </w:pPr>
            <w:r w:rsidRPr="006E7DA0">
              <w:rPr>
                <w:rFonts w:eastAsia="Arial" w:cs="Arial"/>
                <w:b/>
                <w:bCs/>
                <w:sz w:val="16"/>
                <w:szCs w:val="16"/>
              </w:rPr>
              <w:lastRenderedPageBreak/>
              <w:t>Endurance tests</w:t>
            </w:r>
          </w:p>
        </w:tc>
        <w:tc>
          <w:tcPr>
            <w:tcW w:w="1134" w:type="dxa"/>
            <w:tcBorders>
              <w:top w:val="single" w:sz="4" w:space="0" w:color="auto"/>
            </w:tcBorders>
            <w:shd w:val="clear" w:color="auto" w:fill="auto"/>
            <w:vAlign w:val="center"/>
            <w:hideMark/>
          </w:tcPr>
          <w:p w14:paraId="5968A34B"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1E4D5D30" w14:textId="3ED4DBE1" w:rsidR="00F136AD" w:rsidRPr="000C2B6A" w:rsidRDefault="00F136AD" w:rsidP="00F136AD">
            <w:pPr>
              <w:rPr>
                <w:rFonts w:eastAsia="Arial" w:cs="Arial"/>
                <w:sz w:val="16"/>
                <w:szCs w:val="16"/>
              </w:rPr>
            </w:pPr>
            <w:r>
              <w:rPr>
                <w:rFonts w:cs="Arial"/>
                <w:color w:val="000000"/>
                <w:sz w:val="16"/>
                <w:szCs w:val="16"/>
              </w:rPr>
              <w:t>$989</w:t>
            </w:r>
          </w:p>
        </w:tc>
        <w:tc>
          <w:tcPr>
            <w:tcW w:w="752" w:type="dxa"/>
            <w:tcBorders>
              <w:top w:val="nil"/>
              <w:left w:val="nil"/>
              <w:bottom w:val="single" w:sz="4" w:space="0" w:color="auto"/>
              <w:right w:val="single" w:sz="4" w:space="0" w:color="auto"/>
            </w:tcBorders>
            <w:shd w:val="clear" w:color="auto" w:fill="auto"/>
            <w:noWrap/>
            <w:vAlign w:val="center"/>
            <w:hideMark/>
          </w:tcPr>
          <w:p w14:paraId="18FCA9A5" w14:textId="432C2D68"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004E30D" w14:textId="187FA898" w:rsidR="00F136AD" w:rsidRPr="000C2B6A" w:rsidRDefault="00F136AD" w:rsidP="00F136AD">
            <w:pPr>
              <w:rPr>
                <w:rFonts w:eastAsia="Arial" w:cs="Arial"/>
                <w:sz w:val="16"/>
                <w:szCs w:val="16"/>
              </w:rPr>
            </w:pPr>
            <w:r>
              <w:rPr>
                <w:rFonts w:cs="Arial"/>
                <w:color w:val="000000"/>
                <w:sz w:val="16"/>
                <w:szCs w:val="16"/>
              </w:rPr>
              <w:t>$1,977</w:t>
            </w:r>
          </w:p>
        </w:tc>
        <w:tc>
          <w:tcPr>
            <w:tcW w:w="784" w:type="dxa"/>
            <w:tcBorders>
              <w:top w:val="nil"/>
              <w:left w:val="nil"/>
              <w:bottom w:val="single" w:sz="4" w:space="0" w:color="auto"/>
              <w:right w:val="single" w:sz="4" w:space="0" w:color="auto"/>
            </w:tcBorders>
            <w:shd w:val="clear" w:color="auto" w:fill="auto"/>
            <w:noWrap/>
            <w:vAlign w:val="center"/>
            <w:hideMark/>
          </w:tcPr>
          <w:p w14:paraId="468747D5" w14:textId="118E9421"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4EDB959D" w14:textId="06BD5199" w:rsidR="00F136AD" w:rsidRPr="000C2B6A" w:rsidRDefault="00F136AD" w:rsidP="00F136AD">
            <w:pPr>
              <w:rPr>
                <w:rFonts w:eastAsia="Arial" w:cs="Arial"/>
                <w:sz w:val="16"/>
                <w:szCs w:val="16"/>
              </w:rPr>
            </w:pPr>
            <w:r>
              <w:rPr>
                <w:rFonts w:cs="Arial"/>
                <w:color w:val="000000"/>
                <w:sz w:val="16"/>
                <w:szCs w:val="16"/>
              </w:rPr>
              <w:t>$2,424</w:t>
            </w:r>
          </w:p>
        </w:tc>
        <w:tc>
          <w:tcPr>
            <w:tcW w:w="810" w:type="dxa"/>
            <w:tcBorders>
              <w:top w:val="nil"/>
              <w:left w:val="nil"/>
              <w:bottom w:val="single" w:sz="4" w:space="0" w:color="auto"/>
              <w:right w:val="single" w:sz="4" w:space="0" w:color="auto"/>
            </w:tcBorders>
            <w:shd w:val="clear" w:color="auto" w:fill="auto"/>
            <w:noWrap/>
            <w:vAlign w:val="center"/>
            <w:hideMark/>
          </w:tcPr>
          <w:p w14:paraId="59077CB4" w14:textId="3DB47A01"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F47E8F9" w14:textId="11B07C4B" w:rsidR="00F136AD" w:rsidRPr="000C2B6A" w:rsidRDefault="00F136AD" w:rsidP="00F136AD">
            <w:pPr>
              <w:rPr>
                <w:rFonts w:eastAsia="Arial" w:cs="Arial"/>
                <w:sz w:val="16"/>
                <w:szCs w:val="16"/>
              </w:rPr>
            </w:pPr>
            <w:r>
              <w:rPr>
                <w:rFonts w:cs="Arial"/>
                <w:color w:val="000000"/>
                <w:sz w:val="16"/>
                <w:szCs w:val="16"/>
              </w:rPr>
              <w:t>$1,297</w:t>
            </w:r>
          </w:p>
        </w:tc>
        <w:tc>
          <w:tcPr>
            <w:tcW w:w="709" w:type="dxa"/>
            <w:tcBorders>
              <w:top w:val="nil"/>
              <w:left w:val="nil"/>
              <w:bottom w:val="single" w:sz="4" w:space="0" w:color="auto"/>
              <w:right w:val="single" w:sz="4" w:space="0" w:color="auto"/>
            </w:tcBorders>
            <w:shd w:val="clear" w:color="auto" w:fill="auto"/>
            <w:noWrap/>
            <w:vAlign w:val="center"/>
            <w:hideMark/>
          </w:tcPr>
          <w:p w14:paraId="54C15B4B" w14:textId="33CBD48D" w:rsidR="00F136AD" w:rsidRPr="000C2B6A"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8D826FD" w14:textId="548756DD" w:rsidR="00F136AD" w:rsidRPr="000C2B6A" w:rsidRDefault="00F136AD" w:rsidP="00F136AD">
            <w:pPr>
              <w:rPr>
                <w:rFonts w:eastAsia="Arial" w:cs="Arial"/>
                <w:sz w:val="16"/>
                <w:szCs w:val="16"/>
              </w:rPr>
            </w:pPr>
            <w:r>
              <w:rPr>
                <w:rFonts w:cs="Arial"/>
                <w:color w:val="000000"/>
                <w:sz w:val="16"/>
                <w:szCs w:val="16"/>
              </w:rPr>
              <w:t>$1,635</w:t>
            </w:r>
          </w:p>
        </w:tc>
        <w:tc>
          <w:tcPr>
            <w:tcW w:w="731" w:type="dxa"/>
            <w:tcBorders>
              <w:top w:val="nil"/>
              <w:left w:val="nil"/>
              <w:bottom w:val="single" w:sz="4" w:space="0" w:color="auto"/>
              <w:right w:val="single" w:sz="4" w:space="0" w:color="auto"/>
            </w:tcBorders>
            <w:shd w:val="clear" w:color="auto" w:fill="auto"/>
            <w:noWrap/>
            <w:vAlign w:val="center"/>
            <w:hideMark/>
          </w:tcPr>
          <w:p w14:paraId="375C6A1D" w14:textId="40387C97"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6F5FA8D5" w14:textId="5F682832" w:rsidR="00F136AD" w:rsidRPr="000C2B6A" w:rsidRDefault="00F136AD" w:rsidP="00F136AD">
            <w:pPr>
              <w:rPr>
                <w:rFonts w:eastAsia="Arial" w:cs="Arial"/>
                <w:sz w:val="16"/>
                <w:szCs w:val="16"/>
              </w:rPr>
            </w:pPr>
            <w:r>
              <w:rPr>
                <w:rFonts w:cs="Arial"/>
                <w:color w:val="000000"/>
                <w:sz w:val="16"/>
                <w:szCs w:val="16"/>
              </w:rPr>
              <w:t>$2,023</w:t>
            </w:r>
          </w:p>
        </w:tc>
        <w:tc>
          <w:tcPr>
            <w:tcW w:w="796" w:type="dxa"/>
            <w:tcBorders>
              <w:top w:val="nil"/>
              <w:left w:val="nil"/>
              <w:bottom w:val="single" w:sz="4" w:space="0" w:color="auto"/>
              <w:right w:val="single" w:sz="4" w:space="0" w:color="auto"/>
            </w:tcBorders>
            <w:shd w:val="clear" w:color="auto" w:fill="auto"/>
            <w:noWrap/>
            <w:vAlign w:val="center"/>
            <w:hideMark/>
          </w:tcPr>
          <w:p w14:paraId="43DCEC77" w14:textId="1FFAF391" w:rsidR="00F136AD" w:rsidRPr="000C2B6A"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D685917" w14:textId="4557BCCD"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72E823F" w14:textId="6BD78549"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4E47A23F" w14:textId="0361F94A"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2D28325D" w14:textId="3BFB7AEF"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7A20EDB4" w14:textId="7C417B2D"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5C4BFD03" w14:textId="0C52E50B"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6A364836" w14:textId="4D6701F9"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3F7D1D94" w14:textId="7D3616C8"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3DE48810" w14:textId="0077BCE2"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0344AABA" w14:textId="6B28F688"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7C565E09" w14:textId="556D4593" w:rsidR="00F136AD" w:rsidRPr="00A67C3B"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18626F84" w14:textId="5F459649" w:rsidR="00F136AD" w:rsidRPr="00A67C3B" w:rsidRDefault="00F136AD" w:rsidP="00F136AD">
            <w:pPr>
              <w:rPr>
                <w:rFonts w:eastAsia="Arial" w:cs="Arial"/>
                <w:sz w:val="16"/>
                <w:szCs w:val="16"/>
              </w:rPr>
            </w:pPr>
            <w:r>
              <w:rPr>
                <w:rFonts w:cs="Arial"/>
                <w:color w:val="000000"/>
                <w:sz w:val="16"/>
                <w:szCs w:val="16"/>
              </w:rPr>
              <w:t> </w:t>
            </w:r>
          </w:p>
        </w:tc>
      </w:tr>
      <w:tr w:rsidR="00F136AD" w:rsidRPr="00B925F9" w14:paraId="2B7ECD61"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6E6D3555" w14:textId="77777777" w:rsidR="00F136AD" w:rsidRPr="006E7DA0" w:rsidRDefault="00F136AD" w:rsidP="00F136AD">
            <w:pPr>
              <w:rPr>
                <w:rFonts w:eastAsia="Arial" w:cs="Arial"/>
                <w:b/>
                <w:bCs/>
                <w:sz w:val="16"/>
                <w:szCs w:val="16"/>
              </w:rPr>
            </w:pPr>
            <w:r w:rsidRPr="006E7DA0">
              <w:rPr>
                <w:rFonts w:eastAsia="Arial" w:cs="Arial"/>
                <w:b/>
                <w:bCs/>
                <w:sz w:val="16"/>
                <w:szCs w:val="16"/>
              </w:rPr>
              <w:t>Checklist</w:t>
            </w:r>
          </w:p>
        </w:tc>
        <w:tc>
          <w:tcPr>
            <w:tcW w:w="1134" w:type="dxa"/>
            <w:tcBorders>
              <w:top w:val="single" w:sz="4" w:space="0" w:color="auto"/>
            </w:tcBorders>
            <w:shd w:val="clear" w:color="auto" w:fill="auto"/>
            <w:vAlign w:val="center"/>
            <w:hideMark/>
          </w:tcPr>
          <w:p w14:paraId="6EA3EC19" w14:textId="77777777" w:rsidR="00F136AD" w:rsidRPr="00AF5F1F" w:rsidRDefault="00F136AD" w:rsidP="00F136AD">
            <w:pPr>
              <w:rPr>
                <w:rFonts w:eastAsia="Arial" w:cs="Arial"/>
                <w:sz w:val="16"/>
                <w:szCs w:val="16"/>
              </w:rPr>
            </w:pPr>
            <w:r w:rsidRPr="00AF5F1F">
              <w:rPr>
                <w:rFonts w:eastAsia="Arial" w:cs="Arial"/>
                <w:sz w:val="16"/>
                <w:szCs w:val="16"/>
              </w:rPr>
              <w:t>Certificate</w:t>
            </w:r>
          </w:p>
        </w:tc>
        <w:tc>
          <w:tcPr>
            <w:tcW w:w="850" w:type="dxa"/>
            <w:tcBorders>
              <w:top w:val="nil"/>
              <w:left w:val="nil"/>
              <w:bottom w:val="single" w:sz="4" w:space="0" w:color="auto"/>
              <w:right w:val="single" w:sz="4" w:space="0" w:color="auto"/>
            </w:tcBorders>
            <w:shd w:val="clear" w:color="auto" w:fill="auto"/>
            <w:noWrap/>
            <w:vAlign w:val="center"/>
            <w:hideMark/>
          </w:tcPr>
          <w:p w14:paraId="21A55C6B" w14:textId="1690EFC1" w:rsidR="00F136AD" w:rsidRPr="000C2B6A" w:rsidRDefault="00F136AD" w:rsidP="00F136AD">
            <w:pPr>
              <w:rPr>
                <w:rFonts w:eastAsia="Arial" w:cs="Arial"/>
                <w:sz w:val="16"/>
                <w:szCs w:val="16"/>
              </w:rPr>
            </w:pPr>
            <w:r>
              <w:rPr>
                <w:rFonts w:cs="Arial"/>
                <w:color w:val="000000"/>
                <w:sz w:val="16"/>
                <w:szCs w:val="16"/>
              </w:rPr>
              <w:t>$339</w:t>
            </w:r>
          </w:p>
        </w:tc>
        <w:tc>
          <w:tcPr>
            <w:tcW w:w="752" w:type="dxa"/>
            <w:tcBorders>
              <w:top w:val="nil"/>
              <w:left w:val="nil"/>
              <w:bottom w:val="single" w:sz="4" w:space="0" w:color="auto"/>
              <w:right w:val="single" w:sz="4" w:space="0" w:color="auto"/>
            </w:tcBorders>
            <w:shd w:val="clear" w:color="auto" w:fill="auto"/>
            <w:noWrap/>
            <w:vAlign w:val="center"/>
            <w:hideMark/>
          </w:tcPr>
          <w:p w14:paraId="5FD7268C" w14:textId="3211E5E5" w:rsidR="00F136AD" w:rsidRPr="00A67C3B"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5BEEB31B" w14:textId="5DC74408" w:rsidR="00F136AD" w:rsidRPr="000C2B6A" w:rsidRDefault="00F136AD" w:rsidP="00F136AD">
            <w:pPr>
              <w:rPr>
                <w:rFonts w:eastAsia="Arial" w:cs="Arial"/>
                <w:sz w:val="16"/>
                <w:szCs w:val="16"/>
              </w:rPr>
            </w:pPr>
            <w:r>
              <w:rPr>
                <w:rFonts w:cs="Arial"/>
                <w:color w:val="000000"/>
                <w:sz w:val="16"/>
                <w:szCs w:val="16"/>
              </w:rPr>
              <w:t>$339</w:t>
            </w:r>
          </w:p>
        </w:tc>
        <w:tc>
          <w:tcPr>
            <w:tcW w:w="784" w:type="dxa"/>
            <w:tcBorders>
              <w:top w:val="nil"/>
              <w:left w:val="nil"/>
              <w:bottom w:val="single" w:sz="4" w:space="0" w:color="auto"/>
              <w:right w:val="single" w:sz="4" w:space="0" w:color="auto"/>
            </w:tcBorders>
            <w:shd w:val="clear" w:color="auto" w:fill="auto"/>
            <w:noWrap/>
            <w:vAlign w:val="center"/>
            <w:hideMark/>
          </w:tcPr>
          <w:p w14:paraId="6F5A0260" w14:textId="02FB8B4D"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6B1A0878" w14:textId="4BEBB28A" w:rsidR="00F136AD" w:rsidRPr="000C2B6A" w:rsidRDefault="00F136AD" w:rsidP="00F136AD">
            <w:pPr>
              <w:rPr>
                <w:rFonts w:eastAsia="Arial" w:cs="Arial"/>
                <w:sz w:val="16"/>
                <w:szCs w:val="16"/>
              </w:rPr>
            </w:pPr>
            <w:r>
              <w:rPr>
                <w:rFonts w:cs="Arial"/>
                <w:color w:val="000000"/>
                <w:sz w:val="16"/>
                <w:szCs w:val="16"/>
              </w:rPr>
              <w:t>$339</w:t>
            </w:r>
          </w:p>
        </w:tc>
        <w:tc>
          <w:tcPr>
            <w:tcW w:w="810" w:type="dxa"/>
            <w:tcBorders>
              <w:top w:val="nil"/>
              <w:left w:val="nil"/>
              <w:bottom w:val="single" w:sz="4" w:space="0" w:color="auto"/>
              <w:right w:val="single" w:sz="4" w:space="0" w:color="auto"/>
            </w:tcBorders>
            <w:shd w:val="clear" w:color="auto" w:fill="auto"/>
            <w:noWrap/>
            <w:vAlign w:val="center"/>
            <w:hideMark/>
          </w:tcPr>
          <w:p w14:paraId="60C3DD80" w14:textId="5F5816CB" w:rsidR="00F136AD" w:rsidRPr="000C2B6A" w:rsidRDefault="00F136AD" w:rsidP="00F136AD">
            <w:pPr>
              <w:rPr>
                <w:rFonts w:eastAsia="Arial" w:cs="Arial"/>
                <w:sz w:val="16"/>
                <w:szCs w:val="16"/>
              </w:rPr>
            </w:pPr>
            <w:r>
              <w:rPr>
                <w:rFonts w:cs="Arial"/>
                <w:color w:val="000000"/>
                <w:sz w:val="16"/>
                <w:szCs w:val="16"/>
              </w:rPr>
              <w:t>per hour</w:t>
            </w:r>
          </w:p>
        </w:tc>
        <w:tc>
          <w:tcPr>
            <w:tcW w:w="850" w:type="dxa"/>
            <w:tcBorders>
              <w:top w:val="nil"/>
              <w:left w:val="nil"/>
              <w:bottom w:val="single" w:sz="4" w:space="0" w:color="auto"/>
              <w:right w:val="single" w:sz="4" w:space="0" w:color="auto"/>
            </w:tcBorders>
            <w:shd w:val="clear" w:color="auto" w:fill="auto"/>
            <w:noWrap/>
            <w:vAlign w:val="center"/>
            <w:hideMark/>
          </w:tcPr>
          <w:p w14:paraId="551565B8" w14:textId="36D96823"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30EC251A" w14:textId="481637E8" w:rsidR="00F136AD" w:rsidRPr="000C2B6A" w:rsidRDefault="00F136AD" w:rsidP="00F136AD">
            <w:pPr>
              <w:rPr>
                <w:rFonts w:eastAsia="Arial" w:cs="Arial"/>
                <w:sz w:val="16"/>
                <w:szCs w:val="16"/>
              </w:rPr>
            </w:pPr>
            <w:r>
              <w:rPr>
                <w:rFonts w:cs="Arial"/>
                <w:color w:val="000000"/>
                <w:sz w:val="16"/>
                <w:szCs w:val="16"/>
              </w:rPr>
              <w:t>per hour</w:t>
            </w:r>
          </w:p>
        </w:tc>
        <w:tc>
          <w:tcPr>
            <w:tcW w:w="709" w:type="dxa"/>
            <w:tcBorders>
              <w:top w:val="nil"/>
              <w:left w:val="nil"/>
              <w:bottom w:val="single" w:sz="4" w:space="0" w:color="auto"/>
              <w:right w:val="single" w:sz="4" w:space="0" w:color="auto"/>
            </w:tcBorders>
            <w:shd w:val="clear" w:color="auto" w:fill="auto"/>
            <w:noWrap/>
            <w:vAlign w:val="center"/>
            <w:hideMark/>
          </w:tcPr>
          <w:p w14:paraId="6E582771" w14:textId="18704E52" w:rsidR="00F136AD" w:rsidRPr="000C2B6A" w:rsidRDefault="00F136AD" w:rsidP="00F136AD">
            <w:pPr>
              <w:rPr>
                <w:rFonts w:eastAsia="Arial" w:cs="Arial"/>
                <w:sz w:val="16"/>
                <w:szCs w:val="16"/>
              </w:rPr>
            </w:pPr>
            <w:r>
              <w:rPr>
                <w:rFonts w:cs="Arial"/>
                <w:color w:val="000000"/>
                <w:sz w:val="16"/>
                <w:szCs w:val="16"/>
              </w:rPr>
              <w:t>$339</w:t>
            </w:r>
          </w:p>
        </w:tc>
        <w:tc>
          <w:tcPr>
            <w:tcW w:w="731" w:type="dxa"/>
            <w:tcBorders>
              <w:top w:val="nil"/>
              <w:left w:val="nil"/>
              <w:bottom w:val="single" w:sz="4" w:space="0" w:color="auto"/>
              <w:right w:val="single" w:sz="4" w:space="0" w:color="auto"/>
            </w:tcBorders>
            <w:shd w:val="clear" w:color="auto" w:fill="auto"/>
            <w:noWrap/>
            <w:vAlign w:val="center"/>
            <w:hideMark/>
          </w:tcPr>
          <w:p w14:paraId="46EE0174" w14:textId="76B82FA3"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33BA8C18" w14:textId="45F75447" w:rsidR="00F136AD" w:rsidRPr="000C2B6A" w:rsidRDefault="00F136AD" w:rsidP="00F136AD">
            <w:pPr>
              <w:rPr>
                <w:rFonts w:eastAsia="Arial" w:cs="Arial"/>
                <w:sz w:val="16"/>
                <w:szCs w:val="16"/>
              </w:rPr>
            </w:pPr>
            <w:r>
              <w:rPr>
                <w:rFonts w:cs="Arial"/>
                <w:color w:val="000000"/>
                <w:sz w:val="16"/>
                <w:szCs w:val="16"/>
              </w:rPr>
              <w:t>$339</w:t>
            </w:r>
          </w:p>
        </w:tc>
        <w:tc>
          <w:tcPr>
            <w:tcW w:w="796" w:type="dxa"/>
            <w:tcBorders>
              <w:top w:val="nil"/>
              <w:left w:val="nil"/>
              <w:bottom w:val="single" w:sz="4" w:space="0" w:color="auto"/>
              <w:right w:val="single" w:sz="4" w:space="0" w:color="auto"/>
            </w:tcBorders>
            <w:shd w:val="clear" w:color="auto" w:fill="auto"/>
            <w:noWrap/>
            <w:vAlign w:val="center"/>
            <w:hideMark/>
          </w:tcPr>
          <w:p w14:paraId="169D3D1A" w14:textId="2589FD57" w:rsidR="00F136AD" w:rsidRPr="000C2B6A" w:rsidRDefault="00F136AD" w:rsidP="00F136AD">
            <w:pPr>
              <w:rPr>
                <w:rFonts w:eastAsia="Arial" w:cs="Arial"/>
                <w:sz w:val="16"/>
                <w:szCs w:val="16"/>
              </w:rPr>
            </w:pPr>
            <w:r>
              <w:rPr>
                <w:rFonts w:cs="Arial"/>
                <w:color w:val="000000"/>
                <w:sz w:val="16"/>
                <w:szCs w:val="16"/>
              </w:rPr>
              <w:t>per hour</w:t>
            </w:r>
          </w:p>
        </w:tc>
        <w:tc>
          <w:tcPr>
            <w:tcW w:w="850" w:type="dxa"/>
            <w:tcBorders>
              <w:top w:val="nil"/>
              <w:left w:val="nil"/>
              <w:bottom w:val="single" w:sz="4" w:space="0" w:color="auto"/>
              <w:right w:val="single" w:sz="4" w:space="0" w:color="auto"/>
            </w:tcBorders>
            <w:shd w:val="clear" w:color="auto" w:fill="auto"/>
            <w:noWrap/>
            <w:vAlign w:val="center"/>
            <w:hideMark/>
          </w:tcPr>
          <w:p w14:paraId="293DD3C1" w14:textId="66C569AE" w:rsidR="00F136AD" w:rsidRPr="00A67C3B"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43F16DA0" w14:textId="08944F7D" w:rsidR="00F136AD" w:rsidRPr="00A67C3B"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20077D27" w14:textId="4D819E51" w:rsidR="00F136AD" w:rsidRPr="000C2B6A" w:rsidRDefault="00F136AD" w:rsidP="00F136AD">
            <w:pPr>
              <w:rPr>
                <w:rFonts w:eastAsia="Arial" w:cs="Arial"/>
                <w:sz w:val="16"/>
                <w:szCs w:val="16"/>
              </w:rPr>
            </w:pPr>
            <w:r>
              <w:rPr>
                <w:rFonts w:cs="Arial"/>
                <w:color w:val="000000"/>
                <w:sz w:val="16"/>
                <w:szCs w:val="16"/>
              </w:rPr>
              <w:t>$339</w:t>
            </w:r>
          </w:p>
        </w:tc>
        <w:tc>
          <w:tcPr>
            <w:tcW w:w="691" w:type="dxa"/>
            <w:tcBorders>
              <w:top w:val="nil"/>
              <w:left w:val="nil"/>
              <w:bottom w:val="single" w:sz="4" w:space="0" w:color="auto"/>
              <w:right w:val="single" w:sz="4" w:space="0" w:color="auto"/>
            </w:tcBorders>
            <w:shd w:val="clear" w:color="auto" w:fill="auto"/>
            <w:noWrap/>
            <w:vAlign w:val="center"/>
            <w:hideMark/>
          </w:tcPr>
          <w:p w14:paraId="5A58F577" w14:textId="1560ADAF" w:rsidR="00F136AD" w:rsidRPr="000C2B6A" w:rsidRDefault="00F136AD" w:rsidP="00F136AD">
            <w:pPr>
              <w:rPr>
                <w:rFonts w:eastAsia="Arial" w:cs="Arial"/>
                <w:sz w:val="16"/>
                <w:szCs w:val="16"/>
              </w:rPr>
            </w:pPr>
            <w:r>
              <w:rPr>
                <w:rFonts w:cs="Arial"/>
                <w:color w:val="000000"/>
                <w:sz w:val="16"/>
                <w:szCs w:val="16"/>
              </w:rPr>
              <w:t>per hour</w:t>
            </w:r>
          </w:p>
        </w:tc>
        <w:tc>
          <w:tcPr>
            <w:tcW w:w="702" w:type="dxa"/>
            <w:tcBorders>
              <w:top w:val="nil"/>
              <w:left w:val="nil"/>
              <w:bottom w:val="single" w:sz="4" w:space="0" w:color="auto"/>
              <w:right w:val="single" w:sz="4" w:space="0" w:color="auto"/>
            </w:tcBorders>
            <w:shd w:val="clear" w:color="auto" w:fill="auto"/>
            <w:noWrap/>
            <w:vAlign w:val="center"/>
            <w:hideMark/>
          </w:tcPr>
          <w:p w14:paraId="21CDCE31" w14:textId="7A2A2798"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6F6C0038" w14:textId="663FB0F2"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1D515D0E" w14:textId="68006014"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56BAD8A" w14:textId="5C5BCE23"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1EED5D9A" w14:textId="220FD9FA"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132CA7F4" w14:textId="4B66E7EA"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3333E84D" w14:textId="1C93C3EC" w:rsidR="00F136AD" w:rsidRPr="00A67C3B"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69638F56" w14:textId="23C6DD60" w:rsidR="00F136AD" w:rsidRPr="00A67C3B" w:rsidRDefault="00F136AD" w:rsidP="00F136AD">
            <w:pPr>
              <w:rPr>
                <w:rFonts w:eastAsia="Arial" w:cs="Arial"/>
                <w:sz w:val="16"/>
                <w:szCs w:val="16"/>
              </w:rPr>
            </w:pPr>
            <w:r>
              <w:rPr>
                <w:rFonts w:cs="Arial"/>
                <w:color w:val="000000"/>
                <w:sz w:val="16"/>
                <w:szCs w:val="16"/>
              </w:rPr>
              <w:t> </w:t>
            </w:r>
          </w:p>
        </w:tc>
      </w:tr>
      <w:tr w:rsidR="00F136AD" w:rsidRPr="00B925F9" w14:paraId="0084DC88"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3A99D4BC" w14:textId="77777777" w:rsidR="00F136AD" w:rsidRPr="006E7DA0" w:rsidRDefault="00F136AD" w:rsidP="00F136AD">
            <w:pPr>
              <w:rPr>
                <w:rFonts w:eastAsia="Arial" w:cs="Arial"/>
                <w:b/>
                <w:bCs/>
                <w:sz w:val="16"/>
                <w:szCs w:val="16"/>
              </w:rPr>
            </w:pPr>
            <w:r w:rsidRPr="006E7DA0">
              <w:rPr>
                <w:rFonts w:eastAsia="Arial" w:cs="Arial"/>
                <w:b/>
                <w:bCs/>
                <w:sz w:val="16"/>
                <w:szCs w:val="16"/>
              </w:rPr>
              <w:t>Summary report</w:t>
            </w:r>
          </w:p>
        </w:tc>
        <w:tc>
          <w:tcPr>
            <w:tcW w:w="1134" w:type="dxa"/>
            <w:tcBorders>
              <w:top w:val="single" w:sz="4" w:space="0" w:color="auto"/>
            </w:tcBorders>
            <w:shd w:val="clear" w:color="auto" w:fill="auto"/>
            <w:vAlign w:val="center"/>
            <w:hideMark/>
          </w:tcPr>
          <w:p w14:paraId="3A83099D" w14:textId="77777777" w:rsidR="00F136AD" w:rsidRPr="00AF5F1F" w:rsidRDefault="00F136AD" w:rsidP="00F136AD">
            <w:pPr>
              <w:rPr>
                <w:rFonts w:eastAsia="Arial" w:cs="Arial"/>
                <w:sz w:val="16"/>
                <w:szCs w:val="16"/>
              </w:rPr>
            </w:pPr>
            <w:r w:rsidRPr="00AF5F1F">
              <w:rPr>
                <w:rFonts w:eastAsia="Arial" w:cs="Arial"/>
                <w:sz w:val="16"/>
                <w:szCs w:val="16"/>
              </w:rPr>
              <w:t>Certificate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014934B" w14:textId="471133E1" w:rsidR="00F136AD" w:rsidRPr="000C2B6A" w:rsidRDefault="00F136AD" w:rsidP="00F136AD">
            <w:pPr>
              <w:rPr>
                <w:rFonts w:eastAsia="Arial" w:cs="Arial"/>
                <w:sz w:val="16"/>
                <w:szCs w:val="16"/>
              </w:rPr>
            </w:pPr>
            <w:r>
              <w:rPr>
                <w:rFonts w:cs="Arial"/>
                <w:color w:val="000000"/>
                <w:sz w:val="16"/>
                <w:szCs w:val="16"/>
              </w:rPr>
              <w:t>$339</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4063741F" w14:textId="7395D696" w:rsidR="00F136AD" w:rsidRPr="00A67C3B" w:rsidRDefault="00F136AD" w:rsidP="00F136AD">
            <w:pPr>
              <w:rPr>
                <w:rFonts w:eastAsia="Arial" w:cs="Arial"/>
                <w:sz w:val="16"/>
                <w:szCs w:val="16"/>
              </w:rPr>
            </w:pPr>
            <w:r>
              <w:rPr>
                <w:rFonts w:cs="Arial"/>
                <w:color w:val="000000"/>
                <w:sz w:val="16"/>
                <w:szCs w:val="16"/>
              </w:rPr>
              <w:t>per hour</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426A94DD" w14:textId="4314EA12" w:rsidR="00F136AD" w:rsidRPr="000C2B6A" w:rsidRDefault="00F136AD" w:rsidP="00F136AD">
            <w:pPr>
              <w:rPr>
                <w:rFonts w:eastAsia="Arial" w:cs="Arial"/>
                <w:sz w:val="16"/>
                <w:szCs w:val="16"/>
              </w:rPr>
            </w:pPr>
            <w:r>
              <w:rPr>
                <w:rFonts w:cs="Arial"/>
                <w:color w:val="000000"/>
                <w:sz w:val="16"/>
                <w:szCs w:val="16"/>
              </w:rPr>
              <w:t>$339</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0DDDC6B1" w14:textId="6DD43225"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101C3711" w14:textId="61B64762" w:rsidR="00F136AD" w:rsidRPr="000C2B6A" w:rsidRDefault="00F136AD" w:rsidP="00F136AD">
            <w:pPr>
              <w:rPr>
                <w:rFonts w:eastAsia="Arial" w:cs="Arial"/>
                <w:sz w:val="16"/>
                <w:szCs w:val="16"/>
              </w:rPr>
            </w:pPr>
            <w:r>
              <w:rPr>
                <w:rFonts w:cs="Arial"/>
                <w:color w:val="000000"/>
                <w:sz w:val="16"/>
                <w:szCs w:val="16"/>
              </w:rPr>
              <w:t>$339</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25793496" w14:textId="4F47E150" w:rsidR="00F136AD" w:rsidRPr="000C2B6A" w:rsidRDefault="00F136AD" w:rsidP="00F136AD">
            <w:pPr>
              <w:rPr>
                <w:rFonts w:eastAsia="Arial" w:cs="Arial"/>
                <w:sz w:val="16"/>
                <w:szCs w:val="16"/>
              </w:rPr>
            </w:pPr>
            <w:r>
              <w:rPr>
                <w:rFonts w:cs="Arial"/>
                <w:color w:val="000000"/>
                <w:sz w:val="16"/>
                <w:szCs w:val="16"/>
              </w:rPr>
              <w:t>per hour</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E314D1" w14:textId="54F87A65"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A263D9" w14:textId="4E24E350" w:rsidR="00F136AD" w:rsidRPr="000C2B6A" w:rsidRDefault="00F136AD" w:rsidP="00F136AD">
            <w:pPr>
              <w:rPr>
                <w:rFonts w:eastAsia="Arial" w:cs="Arial"/>
                <w:sz w:val="16"/>
                <w:szCs w:val="16"/>
              </w:rPr>
            </w:pPr>
            <w:r>
              <w:rPr>
                <w:rFonts w:cs="Arial"/>
                <w:color w:val="000000"/>
                <w:sz w:val="16"/>
                <w:szCs w:val="16"/>
              </w:rPr>
              <w:t>per hour</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DD7870" w14:textId="1A187F78" w:rsidR="00F136AD" w:rsidRPr="000C2B6A" w:rsidRDefault="00F136AD" w:rsidP="00F136AD">
            <w:pPr>
              <w:rPr>
                <w:rFonts w:eastAsia="Arial" w:cs="Arial"/>
                <w:sz w:val="16"/>
                <w:szCs w:val="16"/>
              </w:rPr>
            </w:pPr>
            <w:r>
              <w:rPr>
                <w:rFonts w:cs="Arial"/>
                <w:color w:val="000000"/>
                <w:sz w:val="16"/>
                <w:szCs w:val="16"/>
              </w:rPr>
              <w:t>$339</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14:paraId="36623D26" w14:textId="5630D997"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71D0BA30" w14:textId="613FD41B" w:rsidR="00F136AD" w:rsidRPr="000C2B6A" w:rsidRDefault="00F136AD" w:rsidP="00F136AD">
            <w:pPr>
              <w:rPr>
                <w:rFonts w:eastAsia="Arial" w:cs="Arial"/>
                <w:sz w:val="16"/>
                <w:szCs w:val="16"/>
              </w:rPr>
            </w:pPr>
            <w:r>
              <w:rPr>
                <w:rFonts w:cs="Arial"/>
                <w:color w:val="000000"/>
                <w:sz w:val="16"/>
                <w:szCs w:val="16"/>
              </w:rPr>
              <w:t>$339</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6F83A60A" w14:textId="1CFEA7E8" w:rsidR="00F136AD" w:rsidRPr="000C2B6A" w:rsidRDefault="00F136AD" w:rsidP="00F136AD">
            <w:pPr>
              <w:rPr>
                <w:rFonts w:eastAsia="Arial" w:cs="Arial"/>
                <w:sz w:val="16"/>
                <w:szCs w:val="16"/>
              </w:rPr>
            </w:pPr>
            <w:r>
              <w:rPr>
                <w:rFonts w:cs="Arial"/>
                <w:color w:val="000000"/>
                <w:sz w:val="16"/>
                <w:szCs w:val="16"/>
              </w:rPr>
              <w:t>per hour</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885CF56" w14:textId="64A785A6"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6FD9E7" w14:textId="025D4DA2"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14:paraId="4E074D95" w14:textId="247F7209" w:rsidR="00F136AD" w:rsidRPr="000C2B6A" w:rsidRDefault="00F136AD" w:rsidP="00F136AD">
            <w:pPr>
              <w:rPr>
                <w:rFonts w:eastAsia="Arial" w:cs="Arial"/>
                <w:sz w:val="16"/>
                <w:szCs w:val="16"/>
              </w:rPr>
            </w:pPr>
            <w:r>
              <w:rPr>
                <w:rFonts w:cs="Arial"/>
                <w:color w:val="000000"/>
                <w:sz w:val="16"/>
                <w:szCs w:val="16"/>
              </w:rPr>
              <w:t>$339</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9381EBB" w14:textId="57BE3013" w:rsidR="00F136AD" w:rsidRPr="000C2B6A" w:rsidRDefault="00F136AD" w:rsidP="00F136AD">
            <w:pPr>
              <w:rPr>
                <w:rFonts w:eastAsia="Arial" w:cs="Arial"/>
                <w:sz w:val="16"/>
                <w:szCs w:val="16"/>
              </w:rPr>
            </w:pPr>
            <w:r>
              <w:rPr>
                <w:rFonts w:cs="Arial"/>
                <w:color w:val="000000"/>
                <w:sz w:val="16"/>
                <w:szCs w:val="16"/>
              </w:rPr>
              <w:t>per hour</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48FF97FE" w14:textId="65EC5813" w:rsidR="00F136AD" w:rsidRPr="000C2B6A" w:rsidRDefault="00F136AD" w:rsidP="00F136AD">
            <w:pPr>
              <w:rPr>
                <w:rFonts w:eastAsia="Arial" w:cs="Arial"/>
                <w:sz w:val="16"/>
                <w:szCs w:val="16"/>
              </w:rPr>
            </w:pPr>
            <w:r>
              <w:rPr>
                <w:rFonts w:cs="Arial"/>
                <w:color w:val="000000"/>
                <w:sz w:val="16"/>
                <w:szCs w:val="16"/>
              </w:rPr>
              <w:t>$339</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1076BD9F" w14:textId="75276F43" w:rsidR="00F136AD" w:rsidRPr="000C2B6A" w:rsidRDefault="00F136AD" w:rsidP="00F136AD">
            <w:pPr>
              <w:rPr>
                <w:rFonts w:eastAsia="Arial" w:cs="Arial"/>
                <w:sz w:val="16"/>
                <w:szCs w:val="16"/>
              </w:rPr>
            </w:pPr>
            <w:r>
              <w:rPr>
                <w:rFonts w:cs="Arial"/>
                <w:color w:val="000000"/>
                <w:sz w:val="16"/>
                <w:szCs w:val="16"/>
              </w:rPr>
              <w:t>per hour</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14:paraId="36554824" w14:textId="47AED1A0"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00BD5C95" w14:textId="369EB377"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7B9568E3" w14:textId="195BAB78" w:rsidR="00F136AD" w:rsidRPr="000C2B6A" w:rsidRDefault="00F136AD" w:rsidP="00F136AD">
            <w:pPr>
              <w:rPr>
                <w:rFonts w:eastAsia="Arial" w:cs="Arial"/>
                <w:sz w:val="16"/>
                <w:szCs w:val="16"/>
              </w:rPr>
            </w:pPr>
            <w:r>
              <w:rPr>
                <w:rFonts w:cs="Arial"/>
                <w:color w:val="000000"/>
                <w:sz w:val="16"/>
                <w:szCs w:val="16"/>
              </w:rPr>
              <w:t>$339</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2DE5C57A" w14:textId="2FDFF4C6" w:rsidR="00F136AD" w:rsidRPr="000C2B6A" w:rsidRDefault="00F136AD" w:rsidP="00F136AD">
            <w:pPr>
              <w:rPr>
                <w:rFonts w:eastAsia="Arial" w:cs="Arial"/>
                <w:sz w:val="16"/>
                <w:szCs w:val="16"/>
              </w:rPr>
            </w:pPr>
            <w:r>
              <w:rPr>
                <w:rFonts w:cs="Arial"/>
                <w:color w:val="000000"/>
                <w:sz w:val="16"/>
                <w:szCs w:val="16"/>
              </w:rPr>
              <w:t>per hour</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14:paraId="62D5A5D2" w14:textId="3F502A8A" w:rsidR="00F136AD" w:rsidRPr="00A67C3B" w:rsidRDefault="00F136AD" w:rsidP="00F136AD">
            <w:pPr>
              <w:rPr>
                <w:rFonts w:eastAsia="Arial" w:cs="Arial"/>
                <w:sz w:val="16"/>
                <w:szCs w:val="16"/>
              </w:rPr>
            </w:pPr>
            <w:r>
              <w:rPr>
                <w:rFonts w:cs="Arial"/>
                <w:color w:val="000000"/>
                <w:sz w:val="16"/>
                <w:szCs w:val="16"/>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39475496" w14:textId="282CCBDC" w:rsidR="00F136AD" w:rsidRPr="00A67C3B" w:rsidRDefault="00F136AD" w:rsidP="00F136AD">
            <w:pPr>
              <w:rPr>
                <w:rFonts w:eastAsia="Arial" w:cs="Arial"/>
                <w:sz w:val="16"/>
                <w:szCs w:val="16"/>
              </w:rPr>
            </w:pPr>
            <w:r>
              <w:rPr>
                <w:rFonts w:cs="Arial"/>
                <w:color w:val="000000"/>
                <w:sz w:val="16"/>
                <w:szCs w:val="16"/>
              </w:rPr>
              <w:t> </w:t>
            </w:r>
          </w:p>
        </w:tc>
      </w:tr>
      <w:tr w:rsidR="00F136AD" w:rsidRPr="00B925F9" w14:paraId="154647CB"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040CFF50" w14:textId="77777777" w:rsidR="00F136AD" w:rsidRPr="006E7DA0" w:rsidRDefault="00F136AD" w:rsidP="00F136AD">
            <w:pPr>
              <w:rPr>
                <w:rFonts w:eastAsia="Arial" w:cs="Arial"/>
                <w:b/>
                <w:bCs/>
                <w:sz w:val="16"/>
                <w:szCs w:val="16"/>
              </w:rPr>
            </w:pPr>
            <w:r w:rsidRPr="006E7DA0">
              <w:rPr>
                <w:rFonts w:eastAsia="Arial" w:cs="Arial"/>
                <w:b/>
                <w:bCs/>
                <w:sz w:val="16"/>
                <w:szCs w:val="16"/>
              </w:rPr>
              <w:t>Certificate preparation</w:t>
            </w:r>
          </w:p>
        </w:tc>
        <w:tc>
          <w:tcPr>
            <w:tcW w:w="1134" w:type="dxa"/>
            <w:tcBorders>
              <w:top w:val="single" w:sz="4" w:space="0" w:color="auto"/>
            </w:tcBorders>
            <w:shd w:val="clear" w:color="auto" w:fill="auto"/>
            <w:vAlign w:val="center"/>
            <w:hideMark/>
          </w:tcPr>
          <w:p w14:paraId="01AB527F" w14:textId="77777777" w:rsidR="00F136AD" w:rsidRPr="00AF5F1F" w:rsidRDefault="00F136AD" w:rsidP="00F136AD">
            <w:pPr>
              <w:rPr>
                <w:rFonts w:eastAsia="Arial" w:cs="Arial"/>
                <w:sz w:val="16"/>
                <w:szCs w:val="16"/>
              </w:rPr>
            </w:pPr>
            <w:r w:rsidRPr="00AF5F1F">
              <w:rPr>
                <w:rFonts w:eastAsia="Arial" w:cs="Arial"/>
                <w:sz w:val="16"/>
                <w:szCs w:val="16"/>
              </w:rPr>
              <w:t>Certificate</w:t>
            </w:r>
          </w:p>
        </w:tc>
        <w:tc>
          <w:tcPr>
            <w:tcW w:w="850" w:type="dxa"/>
            <w:tcBorders>
              <w:top w:val="nil"/>
              <w:left w:val="nil"/>
              <w:bottom w:val="single" w:sz="4" w:space="0" w:color="auto"/>
              <w:right w:val="single" w:sz="4" w:space="0" w:color="auto"/>
            </w:tcBorders>
            <w:shd w:val="clear" w:color="auto" w:fill="auto"/>
            <w:noWrap/>
            <w:vAlign w:val="center"/>
            <w:hideMark/>
          </w:tcPr>
          <w:p w14:paraId="2488741D" w14:textId="56F9C761" w:rsidR="00F136AD" w:rsidRPr="000C2B6A" w:rsidRDefault="00F136AD" w:rsidP="00F136AD">
            <w:pPr>
              <w:rPr>
                <w:rFonts w:eastAsia="Arial" w:cs="Arial"/>
                <w:sz w:val="16"/>
                <w:szCs w:val="16"/>
              </w:rPr>
            </w:pPr>
            <w:r>
              <w:rPr>
                <w:rFonts w:cs="Arial"/>
                <w:color w:val="000000"/>
                <w:sz w:val="16"/>
                <w:szCs w:val="16"/>
              </w:rPr>
              <w:t>$339</w:t>
            </w:r>
          </w:p>
        </w:tc>
        <w:tc>
          <w:tcPr>
            <w:tcW w:w="752" w:type="dxa"/>
            <w:tcBorders>
              <w:top w:val="nil"/>
              <w:left w:val="nil"/>
              <w:bottom w:val="single" w:sz="4" w:space="0" w:color="auto"/>
              <w:right w:val="single" w:sz="4" w:space="0" w:color="auto"/>
            </w:tcBorders>
            <w:shd w:val="clear" w:color="auto" w:fill="auto"/>
            <w:noWrap/>
            <w:vAlign w:val="center"/>
            <w:hideMark/>
          </w:tcPr>
          <w:p w14:paraId="21DB49EB" w14:textId="3038A161" w:rsidR="00F136AD" w:rsidRPr="00A67C3B"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74AF790F" w14:textId="4B67BAB6" w:rsidR="00F136AD" w:rsidRPr="000C2B6A" w:rsidRDefault="00F136AD" w:rsidP="00F136AD">
            <w:pPr>
              <w:rPr>
                <w:rFonts w:eastAsia="Arial" w:cs="Arial"/>
                <w:sz w:val="16"/>
                <w:szCs w:val="16"/>
              </w:rPr>
            </w:pPr>
            <w:r>
              <w:rPr>
                <w:rFonts w:cs="Arial"/>
                <w:color w:val="000000"/>
                <w:sz w:val="16"/>
                <w:szCs w:val="16"/>
              </w:rPr>
              <w:t>$339</w:t>
            </w:r>
          </w:p>
        </w:tc>
        <w:tc>
          <w:tcPr>
            <w:tcW w:w="784" w:type="dxa"/>
            <w:tcBorders>
              <w:top w:val="nil"/>
              <w:left w:val="nil"/>
              <w:bottom w:val="single" w:sz="4" w:space="0" w:color="auto"/>
              <w:right w:val="single" w:sz="4" w:space="0" w:color="auto"/>
            </w:tcBorders>
            <w:shd w:val="clear" w:color="auto" w:fill="auto"/>
            <w:noWrap/>
            <w:vAlign w:val="center"/>
            <w:hideMark/>
          </w:tcPr>
          <w:p w14:paraId="0AC4399A" w14:textId="7A530A7E"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24E273E2" w14:textId="0262ACBE" w:rsidR="00F136AD" w:rsidRPr="000C2B6A" w:rsidRDefault="00F136AD" w:rsidP="00F136AD">
            <w:pPr>
              <w:rPr>
                <w:rFonts w:eastAsia="Arial" w:cs="Arial"/>
                <w:sz w:val="16"/>
                <w:szCs w:val="16"/>
              </w:rPr>
            </w:pPr>
            <w:r>
              <w:rPr>
                <w:rFonts w:cs="Arial"/>
                <w:color w:val="000000"/>
                <w:sz w:val="16"/>
                <w:szCs w:val="16"/>
              </w:rPr>
              <w:t>$339</w:t>
            </w:r>
          </w:p>
        </w:tc>
        <w:tc>
          <w:tcPr>
            <w:tcW w:w="810" w:type="dxa"/>
            <w:tcBorders>
              <w:top w:val="nil"/>
              <w:left w:val="nil"/>
              <w:bottom w:val="single" w:sz="4" w:space="0" w:color="auto"/>
              <w:right w:val="single" w:sz="4" w:space="0" w:color="auto"/>
            </w:tcBorders>
            <w:shd w:val="clear" w:color="auto" w:fill="auto"/>
            <w:noWrap/>
            <w:vAlign w:val="center"/>
            <w:hideMark/>
          </w:tcPr>
          <w:p w14:paraId="1E845BA7" w14:textId="24708CE3" w:rsidR="00F136AD" w:rsidRPr="000C2B6A" w:rsidRDefault="00F136AD" w:rsidP="00F136AD">
            <w:pPr>
              <w:rPr>
                <w:rFonts w:eastAsia="Arial" w:cs="Arial"/>
                <w:sz w:val="16"/>
                <w:szCs w:val="16"/>
              </w:rPr>
            </w:pPr>
            <w:r>
              <w:rPr>
                <w:rFonts w:cs="Arial"/>
                <w:color w:val="000000"/>
                <w:sz w:val="16"/>
                <w:szCs w:val="16"/>
              </w:rPr>
              <w:t>per hour</w:t>
            </w:r>
          </w:p>
        </w:tc>
        <w:tc>
          <w:tcPr>
            <w:tcW w:w="850" w:type="dxa"/>
            <w:tcBorders>
              <w:top w:val="nil"/>
              <w:left w:val="nil"/>
              <w:bottom w:val="single" w:sz="4" w:space="0" w:color="auto"/>
              <w:right w:val="single" w:sz="4" w:space="0" w:color="auto"/>
            </w:tcBorders>
            <w:shd w:val="clear" w:color="auto" w:fill="auto"/>
            <w:noWrap/>
            <w:vAlign w:val="center"/>
            <w:hideMark/>
          </w:tcPr>
          <w:p w14:paraId="56BCD222" w14:textId="175A192F"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24D65299" w14:textId="62584703" w:rsidR="00F136AD" w:rsidRPr="000C2B6A" w:rsidRDefault="00F136AD" w:rsidP="00F136AD">
            <w:pPr>
              <w:rPr>
                <w:rFonts w:eastAsia="Arial" w:cs="Arial"/>
                <w:sz w:val="16"/>
                <w:szCs w:val="16"/>
              </w:rPr>
            </w:pPr>
            <w:r>
              <w:rPr>
                <w:rFonts w:cs="Arial"/>
                <w:color w:val="000000"/>
                <w:sz w:val="16"/>
                <w:szCs w:val="16"/>
              </w:rPr>
              <w:t>per hour</w:t>
            </w:r>
          </w:p>
        </w:tc>
        <w:tc>
          <w:tcPr>
            <w:tcW w:w="709" w:type="dxa"/>
            <w:tcBorders>
              <w:top w:val="nil"/>
              <w:left w:val="nil"/>
              <w:bottom w:val="single" w:sz="4" w:space="0" w:color="auto"/>
              <w:right w:val="single" w:sz="4" w:space="0" w:color="auto"/>
            </w:tcBorders>
            <w:shd w:val="clear" w:color="auto" w:fill="auto"/>
            <w:noWrap/>
            <w:vAlign w:val="center"/>
            <w:hideMark/>
          </w:tcPr>
          <w:p w14:paraId="4D2B6ECE" w14:textId="46C842F5" w:rsidR="00F136AD" w:rsidRPr="000C2B6A" w:rsidRDefault="00F136AD" w:rsidP="00F136AD">
            <w:pPr>
              <w:rPr>
                <w:rFonts w:eastAsia="Arial" w:cs="Arial"/>
                <w:sz w:val="16"/>
                <w:szCs w:val="16"/>
              </w:rPr>
            </w:pPr>
            <w:r>
              <w:rPr>
                <w:rFonts w:cs="Arial"/>
                <w:color w:val="000000"/>
                <w:sz w:val="16"/>
                <w:szCs w:val="16"/>
              </w:rPr>
              <w:t>$339</w:t>
            </w:r>
          </w:p>
        </w:tc>
        <w:tc>
          <w:tcPr>
            <w:tcW w:w="731" w:type="dxa"/>
            <w:tcBorders>
              <w:top w:val="nil"/>
              <w:left w:val="nil"/>
              <w:bottom w:val="single" w:sz="4" w:space="0" w:color="auto"/>
              <w:right w:val="single" w:sz="4" w:space="0" w:color="auto"/>
            </w:tcBorders>
            <w:shd w:val="clear" w:color="auto" w:fill="auto"/>
            <w:noWrap/>
            <w:vAlign w:val="center"/>
            <w:hideMark/>
          </w:tcPr>
          <w:p w14:paraId="1646A9A8" w14:textId="02DD42A0"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2FE75D30" w14:textId="41274A27" w:rsidR="00F136AD" w:rsidRPr="000C2B6A" w:rsidRDefault="00F136AD" w:rsidP="00F136AD">
            <w:pPr>
              <w:rPr>
                <w:rFonts w:eastAsia="Arial" w:cs="Arial"/>
                <w:sz w:val="16"/>
                <w:szCs w:val="16"/>
              </w:rPr>
            </w:pPr>
            <w:r>
              <w:rPr>
                <w:rFonts w:cs="Arial"/>
                <w:color w:val="000000"/>
                <w:sz w:val="16"/>
                <w:szCs w:val="16"/>
              </w:rPr>
              <w:t>$339</w:t>
            </w:r>
          </w:p>
        </w:tc>
        <w:tc>
          <w:tcPr>
            <w:tcW w:w="796" w:type="dxa"/>
            <w:tcBorders>
              <w:top w:val="nil"/>
              <w:left w:val="nil"/>
              <w:bottom w:val="single" w:sz="4" w:space="0" w:color="auto"/>
              <w:right w:val="single" w:sz="4" w:space="0" w:color="auto"/>
            </w:tcBorders>
            <w:shd w:val="clear" w:color="auto" w:fill="auto"/>
            <w:noWrap/>
            <w:vAlign w:val="center"/>
            <w:hideMark/>
          </w:tcPr>
          <w:p w14:paraId="59EEB508" w14:textId="1800D3EB" w:rsidR="00F136AD" w:rsidRPr="000C2B6A" w:rsidRDefault="00F136AD" w:rsidP="00F136AD">
            <w:pPr>
              <w:rPr>
                <w:rFonts w:eastAsia="Arial" w:cs="Arial"/>
                <w:sz w:val="16"/>
                <w:szCs w:val="16"/>
              </w:rPr>
            </w:pPr>
            <w:r>
              <w:rPr>
                <w:rFonts w:cs="Arial"/>
                <w:color w:val="000000"/>
                <w:sz w:val="16"/>
                <w:szCs w:val="16"/>
              </w:rPr>
              <w:t>per hour</w:t>
            </w:r>
          </w:p>
        </w:tc>
        <w:tc>
          <w:tcPr>
            <w:tcW w:w="850" w:type="dxa"/>
            <w:tcBorders>
              <w:top w:val="nil"/>
              <w:left w:val="nil"/>
              <w:bottom w:val="single" w:sz="4" w:space="0" w:color="auto"/>
              <w:right w:val="single" w:sz="4" w:space="0" w:color="auto"/>
            </w:tcBorders>
            <w:shd w:val="clear" w:color="auto" w:fill="auto"/>
            <w:noWrap/>
            <w:vAlign w:val="center"/>
            <w:hideMark/>
          </w:tcPr>
          <w:p w14:paraId="35A3CF65" w14:textId="797EC659"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68582736" w14:textId="0F73B875"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18E53470" w14:textId="49AF00D9" w:rsidR="00F136AD" w:rsidRPr="000C2B6A" w:rsidRDefault="00F136AD" w:rsidP="00F136AD">
            <w:pPr>
              <w:rPr>
                <w:rFonts w:eastAsia="Arial" w:cs="Arial"/>
                <w:sz w:val="16"/>
                <w:szCs w:val="16"/>
              </w:rPr>
            </w:pPr>
            <w:r>
              <w:rPr>
                <w:rFonts w:cs="Arial"/>
                <w:color w:val="000000"/>
                <w:sz w:val="16"/>
                <w:szCs w:val="16"/>
              </w:rPr>
              <w:t>$339</w:t>
            </w:r>
          </w:p>
        </w:tc>
        <w:tc>
          <w:tcPr>
            <w:tcW w:w="691" w:type="dxa"/>
            <w:tcBorders>
              <w:top w:val="nil"/>
              <w:left w:val="nil"/>
              <w:bottom w:val="single" w:sz="4" w:space="0" w:color="auto"/>
              <w:right w:val="single" w:sz="4" w:space="0" w:color="auto"/>
            </w:tcBorders>
            <w:shd w:val="clear" w:color="auto" w:fill="auto"/>
            <w:noWrap/>
            <w:vAlign w:val="center"/>
            <w:hideMark/>
          </w:tcPr>
          <w:p w14:paraId="2C195CCB" w14:textId="44AC1644" w:rsidR="00F136AD" w:rsidRPr="000C2B6A" w:rsidRDefault="00F136AD" w:rsidP="00F136AD">
            <w:pPr>
              <w:rPr>
                <w:rFonts w:eastAsia="Arial" w:cs="Arial"/>
                <w:sz w:val="16"/>
                <w:szCs w:val="16"/>
              </w:rPr>
            </w:pPr>
            <w:r>
              <w:rPr>
                <w:rFonts w:cs="Arial"/>
                <w:color w:val="000000"/>
                <w:sz w:val="16"/>
                <w:szCs w:val="16"/>
              </w:rPr>
              <w:t>per hour</w:t>
            </w:r>
          </w:p>
        </w:tc>
        <w:tc>
          <w:tcPr>
            <w:tcW w:w="702" w:type="dxa"/>
            <w:tcBorders>
              <w:top w:val="nil"/>
              <w:left w:val="nil"/>
              <w:bottom w:val="single" w:sz="4" w:space="0" w:color="auto"/>
              <w:right w:val="single" w:sz="4" w:space="0" w:color="auto"/>
            </w:tcBorders>
            <w:shd w:val="clear" w:color="auto" w:fill="auto"/>
            <w:noWrap/>
            <w:vAlign w:val="center"/>
            <w:hideMark/>
          </w:tcPr>
          <w:p w14:paraId="6409A2BF" w14:textId="41D89154" w:rsidR="00F136AD" w:rsidRPr="000C2B6A" w:rsidRDefault="00F136AD" w:rsidP="00F136AD">
            <w:pPr>
              <w:rPr>
                <w:rFonts w:eastAsia="Arial" w:cs="Arial"/>
                <w:sz w:val="16"/>
                <w:szCs w:val="16"/>
              </w:rPr>
            </w:pPr>
            <w:r>
              <w:rPr>
                <w:rFonts w:cs="Arial"/>
                <w:color w:val="000000"/>
                <w:sz w:val="16"/>
                <w:szCs w:val="16"/>
              </w:rPr>
              <w:t>$339</w:t>
            </w:r>
          </w:p>
        </w:tc>
        <w:tc>
          <w:tcPr>
            <w:tcW w:w="716" w:type="dxa"/>
            <w:tcBorders>
              <w:top w:val="nil"/>
              <w:left w:val="nil"/>
              <w:bottom w:val="single" w:sz="4" w:space="0" w:color="auto"/>
              <w:right w:val="single" w:sz="4" w:space="0" w:color="auto"/>
            </w:tcBorders>
            <w:shd w:val="clear" w:color="auto" w:fill="auto"/>
            <w:noWrap/>
            <w:vAlign w:val="center"/>
            <w:hideMark/>
          </w:tcPr>
          <w:p w14:paraId="60B572C5" w14:textId="7F3FDB87" w:rsidR="00F136AD" w:rsidRPr="000C2B6A" w:rsidRDefault="00F136AD" w:rsidP="00F136AD">
            <w:pPr>
              <w:rPr>
                <w:rFonts w:eastAsia="Arial" w:cs="Arial"/>
                <w:sz w:val="16"/>
                <w:szCs w:val="16"/>
              </w:rPr>
            </w:pPr>
            <w:r>
              <w:rPr>
                <w:rFonts w:cs="Arial"/>
                <w:color w:val="000000"/>
                <w:sz w:val="16"/>
                <w:szCs w:val="16"/>
              </w:rPr>
              <w:t>per hour</w:t>
            </w:r>
          </w:p>
        </w:tc>
        <w:tc>
          <w:tcPr>
            <w:tcW w:w="633" w:type="dxa"/>
            <w:tcBorders>
              <w:top w:val="nil"/>
              <w:left w:val="nil"/>
              <w:bottom w:val="single" w:sz="4" w:space="0" w:color="auto"/>
              <w:right w:val="single" w:sz="4" w:space="0" w:color="auto"/>
            </w:tcBorders>
            <w:shd w:val="clear" w:color="auto" w:fill="auto"/>
            <w:noWrap/>
            <w:vAlign w:val="center"/>
            <w:hideMark/>
          </w:tcPr>
          <w:p w14:paraId="2C00D34C" w14:textId="58AB39F9"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36B6DB62" w14:textId="7F933B70"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200B111A" w14:textId="4309D54D" w:rsidR="00F136AD" w:rsidRPr="000C2B6A" w:rsidRDefault="00F136AD" w:rsidP="00F136AD">
            <w:pPr>
              <w:rPr>
                <w:rFonts w:eastAsia="Arial" w:cs="Arial"/>
                <w:sz w:val="16"/>
                <w:szCs w:val="16"/>
              </w:rPr>
            </w:pPr>
            <w:r>
              <w:rPr>
                <w:rFonts w:cs="Arial"/>
                <w:color w:val="000000"/>
                <w:sz w:val="16"/>
                <w:szCs w:val="16"/>
              </w:rPr>
              <w:t>$339</w:t>
            </w:r>
          </w:p>
        </w:tc>
        <w:tc>
          <w:tcPr>
            <w:tcW w:w="809" w:type="dxa"/>
            <w:tcBorders>
              <w:top w:val="nil"/>
              <w:left w:val="nil"/>
              <w:bottom w:val="single" w:sz="4" w:space="0" w:color="auto"/>
              <w:right w:val="single" w:sz="4" w:space="0" w:color="auto"/>
            </w:tcBorders>
            <w:shd w:val="clear" w:color="auto" w:fill="auto"/>
            <w:noWrap/>
            <w:vAlign w:val="center"/>
            <w:hideMark/>
          </w:tcPr>
          <w:p w14:paraId="639BC565" w14:textId="62A1C680" w:rsidR="00F136AD" w:rsidRPr="000C2B6A" w:rsidRDefault="00F136AD" w:rsidP="00F136AD">
            <w:pPr>
              <w:rPr>
                <w:rFonts w:eastAsia="Arial" w:cs="Arial"/>
                <w:sz w:val="16"/>
                <w:szCs w:val="16"/>
              </w:rPr>
            </w:pPr>
            <w:r>
              <w:rPr>
                <w:rFonts w:cs="Arial"/>
                <w:color w:val="000000"/>
                <w:sz w:val="16"/>
                <w:szCs w:val="16"/>
              </w:rPr>
              <w:t>per hour</w:t>
            </w:r>
          </w:p>
        </w:tc>
        <w:tc>
          <w:tcPr>
            <w:tcW w:w="584" w:type="dxa"/>
            <w:tcBorders>
              <w:top w:val="nil"/>
              <w:left w:val="nil"/>
              <w:bottom w:val="single" w:sz="4" w:space="0" w:color="auto"/>
              <w:right w:val="single" w:sz="4" w:space="0" w:color="auto"/>
            </w:tcBorders>
            <w:shd w:val="clear" w:color="auto" w:fill="auto"/>
            <w:noWrap/>
            <w:vAlign w:val="center"/>
            <w:hideMark/>
          </w:tcPr>
          <w:p w14:paraId="69F0A14F" w14:textId="518C745D" w:rsidR="00F136AD" w:rsidRPr="00A67C3B"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4F6949EF" w14:textId="3216EB01" w:rsidR="00F136AD" w:rsidRPr="00A67C3B" w:rsidRDefault="00F136AD" w:rsidP="00F136AD">
            <w:pPr>
              <w:rPr>
                <w:rFonts w:eastAsia="Arial" w:cs="Arial"/>
                <w:sz w:val="16"/>
                <w:szCs w:val="16"/>
              </w:rPr>
            </w:pPr>
            <w:r>
              <w:rPr>
                <w:rFonts w:cs="Arial"/>
                <w:color w:val="000000"/>
                <w:sz w:val="16"/>
                <w:szCs w:val="16"/>
              </w:rPr>
              <w:t> </w:t>
            </w:r>
          </w:p>
        </w:tc>
      </w:tr>
      <w:tr w:rsidR="00F136AD" w:rsidRPr="00B925F9" w14:paraId="69CB25DC"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vAlign w:val="center"/>
            <w:hideMark/>
          </w:tcPr>
          <w:p w14:paraId="443CF4C9" w14:textId="77777777" w:rsidR="00F136AD" w:rsidRPr="00AF5F1F" w:rsidRDefault="00F136AD" w:rsidP="00F136AD">
            <w:pPr>
              <w:rPr>
                <w:rFonts w:eastAsia="Arial" w:cs="Arial"/>
                <w:b/>
                <w:bCs/>
                <w:sz w:val="16"/>
                <w:szCs w:val="16"/>
              </w:rPr>
            </w:pPr>
            <w:r w:rsidRPr="006E7DA0">
              <w:rPr>
                <w:rFonts w:eastAsia="Arial" w:cs="Arial"/>
                <w:b/>
                <w:bCs/>
                <w:sz w:val="16"/>
                <w:szCs w:val="16"/>
              </w:rPr>
              <w:t>Consultations, performance and other tests</w:t>
            </w:r>
          </w:p>
        </w:tc>
        <w:tc>
          <w:tcPr>
            <w:tcW w:w="1134" w:type="dxa"/>
            <w:tcBorders>
              <w:top w:val="single" w:sz="4" w:space="0" w:color="auto"/>
            </w:tcBorders>
            <w:shd w:val="clear" w:color="auto" w:fill="auto"/>
            <w:noWrap/>
            <w:vAlign w:val="center"/>
            <w:hideMark/>
          </w:tcPr>
          <w:p w14:paraId="7187AC24" w14:textId="77777777" w:rsidR="00F136AD" w:rsidRPr="00B925F9" w:rsidRDefault="00F136AD" w:rsidP="00F136AD">
            <w:pPr>
              <w:rPr>
                <w:rFonts w:eastAsia="Arial" w:cs="Arial"/>
                <w:sz w:val="16"/>
                <w:szCs w:val="16"/>
              </w:rPr>
            </w:pPr>
            <w:r w:rsidRPr="00B925F9">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7CE3DB35" w14:textId="721FD5FD" w:rsidR="00F136AD" w:rsidRPr="000C2B6A" w:rsidRDefault="00F136AD" w:rsidP="00F136AD">
            <w:pPr>
              <w:rPr>
                <w:rFonts w:eastAsia="Arial" w:cs="Arial"/>
                <w:sz w:val="16"/>
                <w:szCs w:val="16"/>
              </w:rPr>
            </w:pPr>
            <w:r>
              <w:rPr>
                <w:rFonts w:cs="Arial"/>
                <w:color w:val="000000"/>
                <w:sz w:val="16"/>
                <w:szCs w:val="16"/>
              </w:rPr>
              <w:t>$339</w:t>
            </w:r>
          </w:p>
        </w:tc>
        <w:tc>
          <w:tcPr>
            <w:tcW w:w="752" w:type="dxa"/>
            <w:tcBorders>
              <w:top w:val="nil"/>
              <w:left w:val="nil"/>
              <w:bottom w:val="single" w:sz="4" w:space="0" w:color="auto"/>
              <w:right w:val="single" w:sz="4" w:space="0" w:color="auto"/>
            </w:tcBorders>
            <w:shd w:val="clear" w:color="auto" w:fill="auto"/>
            <w:noWrap/>
            <w:vAlign w:val="center"/>
            <w:hideMark/>
          </w:tcPr>
          <w:p w14:paraId="4C5D8374" w14:textId="11C4E6B3" w:rsidR="00F136AD" w:rsidRPr="00A67C3B"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3A88D514" w14:textId="41E6091D" w:rsidR="00F136AD" w:rsidRPr="000C2B6A" w:rsidRDefault="00F136AD" w:rsidP="00F136AD">
            <w:pPr>
              <w:rPr>
                <w:rFonts w:eastAsia="Arial" w:cs="Arial"/>
                <w:sz w:val="16"/>
                <w:szCs w:val="16"/>
              </w:rPr>
            </w:pPr>
            <w:r>
              <w:rPr>
                <w:rFonts w:cs="Arial"/>
                <w:color w:val="000000"/>
                <w:sz w:val="16"/>
                <w:szCs w:val="16"/>
              </w:rPr>
              <w:t>$339</w:t>
            </w:r>
          </w:p>
        </w:tc>
        <w:tc>
          <w:tcPr>
            <w:tcW w:w="784" w:type="dxa"/>
            <w:tcBorders>
              <w:top w:val="nil"/>
              <w:left w:val="nil"/>
              <w:bottom w:val="single" w:sz="4" w:space="0" w:color="auto"/>
              <w:right w:val="single" w:sz="4" w:space="0" w:color="auto"/>
            </w:tcBorders>
            <w:shd w:val="clear" w:color="auto" w:fill="auto"/>
            <w:noWrap/>
            <w:vAlign w:val="center"/>
            <w:hideMark/>
          </w:tcPr>
          <w:p w14:paraId="2E63353C" w14:textId="45EBDC5A"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2EFE17E3" w14:textId="05E78C68" w:rsidR="00F136AD" w:rsidRPr="000C2B6A" w:rsidRDefault="00F136AD" w:rsidP="00F136AD">
            <w:pPr>
              <w:rPr>
                <w:rFonts w:eastAsia="Arial" w:cs="Arial"/>
                <w:sz w:val="16"/>
                <w:szCs w:val="16"/>
              </w:rPr>
            </w:pPr>
            <w:r>
              <w:rPr>
                <w:rFonts w:cs="Arial"/>
                <w:color w:val="000000"/>
                <w:sz w:val="16"/>
                <w:szCs w:val="16"/>
              </w:rPr>
              <w:t>$339</w:t>
            </w:r>
          </w:p>
        </w:tc>
        <w:tc>
          <w:tcPr>
            <w:tcW w:w="810" w:type="dxa"/>
            <w:tcBorders>
              <w:top w:val="nil"/>
              <w:left w:val="nil"/>
              <w:bottom w:val="single" w:sz="4" w:space="0" w:color="auto"/>
              <w:right w:val="single" w:sz="4" w:space="0" w:color="auto"/>
            </w:tcBorders>
            <w:shd w:val="clear" w:color="auto" w:fill="auto"/>
            <w:noWrap/>
            <w:vAlign w:val="center"/>
            <w:hideMark/>
          </w:tcPr>
          <w:p w14:paraId="64E7382E" w14:textId="2EC11925" w:rsidR="00F136AD" w:rsidRPr="000C2B6A" w:rsidRDefault="00F136AD" w:rsidP="00F136AD">
            <w:pPr>
              <w:rPr>
                <w:rFonts w:eastAsia="Arial" w:cs="Arial"/>
                <w:sz w:val="16"/>
                <w:szCs w:val="16"/>
              </w:rPr>
            </w:pPr>
            <w:r>
              <w:rPr>
                <w:rFonts w:cs="Arial"/>
                <w:color w:val="000000"/>
                <w:sz w:val="16"/>
                <w:szCs w:val="16"/>
              </w:rPr>
              <w:t>per hour</w:t>
            </w:r>
          </w:p>
        </w:tc>
        <w:tc>
          <w:tcPr>
            <w:tcW w:w="850" w:type="dxa"/>
            <w:tcBorders>
              <w:top w:val="nil"/>
              <w:left w:val="nil"/>
              <w:bottom w:val="single" w:sz="4" w:space="0" w:color="auto"/>
              <w:right w:val="single" w:sz="4" w:space="0" w:color="auto"/>
            </w:tcBorders>
            <w:shd w:val="clear" w:color="auto" w:fill="auto"/>
            <w:noWrap/>
            <w:vAlign w:val="center"/>
            <w:hideMark/>
          </w:tcPr>
          <w:p w14:paraId="156318F3" w14:textId="1418B8E6"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15C0ECC2" w14:textId="49718B7C" w:rsidR="00F136AD" w:rsidRPr="000C2B6A" w:rsidRDefault="00F136AD" w:rsidP="00F136AD">
            <w:pPr>
              <w:rPr>
                <w:rFonts w:eastAsia="Arial" w:cs="Arial"/>
                <w:sz w:val="16"/>
                <w:szCs w:val="16"/>
              </w:rPr>
            </w:pPr>
            <w:r>
              <w:rPr>
                <w:rFonts w:cs="Arial"/>
                <w:color w:val="000000"/>
                <w:sz w:val="16"/>
                <w:szCs w:val="16"/>
              </w:rPr>
              <w:t>per hour</w:t>
            </w:r>
          </w:p>
        </w:tc>
        <w:tc>
          <w:tcPr>
            <w:tcW w:w="709" w:type="dxa"/>
            <w:tcBorders>
              <w:top w:val="nil"/>
              <w:left w:val="nil"/>
              <w:bottom w:val="single" w:sz="4" w:space="0" w:color="auto"/>
              <w:right w:val="single" w:sz="4" w:space="0" w:color="auto"/>
            </w:tcBorders>
            <w:shd w:val="clear" w:color="auto" w:fill="auto"/>
            <w:noWrap/>
            <w:vAlign w:val="center"/>
            <w:hideMark/>
          </w:tcPr>
          <w:p w14:paraId="25479716" w14:textId="53DB01D1" w:rsidR="00F136AD" w:rsidRPr="000C2B6A" w:rsidRDefault="00F136AD" w:rsidP="00F136AD">
            <w:pPr>
              <w:rPr>
                <w:rFonts w:eastAsia="Arial" w:cs="Arial"/>
                <w:sz w:val="16"/>
                <w:szCs w:val="16"/>
              </w:rPr>
            </w:pPr>
            <w:r>
              <w:rPr>
                <w:rFonts w:cs="Arial"/>
                <w:color w:val="000000"/>
                <w:sz w:val="16"/>
                <w:szCs w:val="16"/>
              </w:rPr>
              <w:t>$339</w:t>
            </w:r>
          </w:p>
        </w:tc>
        <w:tc>
          <w:tcPr>
            <w:tcW w:w="731" w:type="dxa"/>
            <w:tcBorders>
              <w:top w:val="nil"/>
              <w:left w:val="nil"/>
              <w:bottom w:val="single" w:sz="4" w:space="0" w:color="auto"/>
              <w:right w:val="single" w:sz="4" w:space="0" w:color="auto"/>
            </w:tcBorders>
            <w:shd w:val="clear" w:color="auto" w:fill="auto"/>
            <w:noWrap/>
            <w:vAlign w:val="center"/>
            <w:hideMark/>
          </w:tcPr>
          <w:p w14:paraId="467BDAD8" w14:textId="4DD87DEB" w:rsidR="00F136AD" w:rsidRPr="000C2B6A" w:rsidRDefault="00F136AD" w:rsidP="00F136AD">
            <w:pPr>
              <w:rPr>
                <w:rFonts w:eastAsia="Arial" w:cs="Arial"/>
                <w:sz w:val="16"/>
                <w:szCs w:val="16"/>
              </w:rPr>
            </w:pPr>
            <w:r>
              <w:rPr>
                <w:rFonts w:cs="Arial"/>
                <w:color w:val="000000"/>
                <w:sz w:val="16"/>
                <w:szCs w:val="16"/>
              </w:rPr>
              <w:t>per hour</w:t>
            </w:r>
          </w:p>
        </w:tc>
        <w:tc>
          <w:tcPr>
            <w:tcW w:w="741" w:type="dxa"/>
            <w:tcBorders>
              <w:top w:val="nil"/>
              <w:left w:val="nil"/>
              <w:bottom w:val="single" w:sz="4" w:space="0" w:color="auto"/>
              <w:right w:val="single" w:sz="4" w:space="0" w:color="auto"/>
            </w:tcBorders>
            <w:shd w:val="clear" w:color="auto" w:fill="auto"/>
            <w:noWrap/>
            <w:vAlign w:val="center"/>
            <w:hideMark/>
          </w:tcPr>
          <w:p w14:paraId="18875E9F" w14:textId="5559CF85" w:rsidR="00F136AD" w:rsidRPr="000C2B6A" w:rsidRDefault="00F136AD" w:rsidP="00F136AD">
            <w:pPr>
              <w:rPr>
                <w:rFonts w:eastAsia="Arial" w:cs="Arial"/>
                <w:sz w:val="16"/>
                <w:szCs w:val="16"/>
              </w:rPr>
            </w:pPr>
            <w:r>
              <w:rPr>
                <w:rFonts w:cs="Arial"/>
                <w:color w:val="000000"/>
                <w:sz w:val="16"/>
                <w:szCs w:val="16"/>
              </w:rPr>
              <w:t>$339</w:t>
            </w:r>
          </w:p>
        </w:tc>
        <w:tc>
          <w:tcPr>
            <w:tcW w:w="796" w:type="dxa"/>
            <w:tcBorders>
              <w:top w:val="nil"/>
              <w:left w:val="nil"/>
              <w:bottom w:val="single" w:sz="4" w:space="0" w:color="auto"/>
              <w:right w:val="single" w:sz="4" w:space="0" w:color="auto"/>
            </w:tcBorders>
            <w:shd w:val="clear" w:color="auto" w:fill="auto"/>
            <w:noWrap/>
            <w:vAlign w:val="center"/>
            <w:hideMark/>
          </w:tcPr>
          <w:p w14:paraId="1C45BE8C" w14:textId="173B511C" w:rsidR="00F136AD" w:rsidRPr="000C2B6A" w:rsidRDefault="00F136AD" w:rsidP="00F136AD">
            <w:pPr>
              <w:rPr>
                <w:rFonts w:eastAsia="Arial" w:cs="Arial"/>
                <w:sz w:val="16"/>
                <w:szCs w:val="16"/>
              </w:rPr>
            </w:pPr>
            <w:r>
              <w:rPr>
                <w:rFonts w:cs="Arial"/>
                <w:color w:val="000000"/>
                <w:sz w:val="16"/>
                <w:szCs w:val="16"/>
              </w:rPr>
              <w:t>per hour</w:t>
            </w:r>
          </w:p>
        </w:tc>
        <w:tc>
          <w:tcPr>
            <w:tcW w:w="850" w:type="dxa"/>
            <w:tcBorders>
              <w:top w:val="nil"/>
              <w:left w:val="nil"/>
              <w:bottom w:val="single" w:sz="4" w:space="0" w:color="auto"/>
              <w:right w:val="single" w:sz="4" w:space="0" w:color="auto"/>
            </w:tcBorders>
            <w:shd w:val="clear" w:color="auto" w:fill="auto"/>
            <w:noWrap/>
            <w:vAlign w:val="center"/>
            <w:hideMark/>
          </w:tcPr>
          <w:p w14:paraId="3AABD0F5" w14:textId="6B44695A" w:rsidR="00F136AD" w:rsidRPr="000C2B6A" w:rsidRDefault="00F136AD" w:rsidP="00F136AD">
            <w:pPr>
              <w:rPr>
                <w:rFonts w:eastAsia="Arial" w:cs="Arial"/>
                <w:sz w:val="16"/>
                <w:szCs w:val="16"/>
              </w:rPr>
            </w:pPr>
            <w:r>
              <w:rPr>
                <w:rFonts w:cs="Arial"/>
                <w:color w:val="000000"/>
                <w:sz w:val="16"/>
                <w:szCs w:val="16"/>
              </w:rPr>
              <w:t>$339</w:t>
            </w:r>
          </w:p>
        </w:tc>
        <w:tc>
          <w:tcPr>
            <w:tcW w:w="709" w:type="dxa"/>
            <w:tcBorders>
              <w:top w:val="nil"/>
              <w:left w:val="nil"/>
              <w:bottom w:val="single" w:sz="4" w:space="0" w:color="auto"/>
              <w:right w:val="single" w:sz="4" w:space="0" w:color="auto"/>
            </w:tcBorders>
            <w:shd w:val="clear" w:color="auto" w:fill="auto"/>
            <w:noWrap/>
            <w:vAlign w:val="center"/>
            <w:hideMark/>
          </w:tcPr>
          <w:p w14:paraId="6C7C2782" w14:textId="70AEA61D" w:rsidR="00F136AD" w:rsidRPr="000C2B6A" w:rsidRDefault="00F136AD" w:rsidP="00F136AD">
            <w:pPr>
              <w:rPr>
                <w:rFonts w:eastAsia="Arial" w:cs="Arial"/>
                <w:sz w:val="16"/>
                <w:szCs w:val="16"/>
              </w:rPr>
            </w:pPr>
            <w:r>
              <w:rPr>
                <w:rFonts w:cs="Arial"/>
                <w:color w:val="000000"/>
                <w:sz w:val="16"/>
                <w:szCs w:val="16"/>
              </w:rPr>
              <w:t>per hour</w:t>
            </w:r>
          </w:p>
        </w:tc>
        <w:tc>
          <w:tcPr>
            <w:tcW w:w="726" w:type="dxa"/>
            <w:tcBorders>
              <w:top w:val="nil"/>
              <w:left w:val="nil"/>
              <w:bottom w:val="single" w:sz="4" w:space="0" w:color="auto"/>
              <w:right w:val="single" w:sz="4" w:space="0" w:color="auto"/>
            </w:tcBorders>
            <w:shd w:val="clear" w:color="auto" w:fill="auto"/>
            <w:noWrap/>
            <w:vAlign w:val="center"/>
            <w:hideMark/>
          </w:tcPr>
          <w:p w14:paraId="7204A4A1" w14:textId="44E16D1A" w:rsidR="00F136AD" w:rsidRPr="000C2B6A" w:rsidRDefault="00F136AD" w:rsidP="00F136AD">
            <w:pPr>
              <w:rPr>
                <w:rFonts w:eastAsia="Arial" w:cs="Arial"/>
                <w:sz w:val="16"/>
                <w:szCs w:val="16"/>
              </w:rPr>
            </w:pPr>
            <w:r>
              <w:rPr>
                <w:rFonts w:cs="Arial"/>
                <w:color w:val="000000"/>
                <w:sz w:val="16"/>
                <w:szCs w:val="16"/>
              </w:rPr>
              <w:t>$339</w:t>
            </w:r>
          </w:p>
        </w:tc>
        <w:tc>
          <w:tcPr>
            <w:tcW w:w="691" w:type="dxa"/>
            <w:tcBorders>
              <w:top w:val="nil"/>
              <w:left w:val="nil"/>
              <w:bottom w:val="single" w:sz="4" w:space="0" w:color="auto"/>
              <w:right w:val="single" w:sz="4" w:space="0" w:color="auto"/>
            </w:tcBorders>
            <w:shd w:val="clear" w:color="auto" w:fill="auto"/>
            <w:noWrap/>
            <w:vAlign w:val="center"/>
            <w:hideMark/>
          </w:tcPr>
          <w:p w14:paraId="372C9ED0" w14:textId="434C2B31" w:rsidR="00F136AD" w:rsidRPr="000C2B6A" w:rsidRDefault="00F136AD" w:rsidP="00F136AD">
            <w:pPr>
              <w:rPr>
                <w:rFonts w:eastAsia="Arial" w:cs="Arial"/>
                <w:sz w:val="16"/>
                <w:szCs w:val="16"/>
              </w:rPr>
            </w:pPr>
            <w:r>
              <w:rPr>
                <w:rFonts w:cs="Arial"/>
                <w:color w:val="000000"/>
                <w:sz w:val="16"/>
                <w:szCs w:val="16"/>
              </w:rPr>
              <w:t>per hour</w:t>
            </w:r>
          </w:p>
        </w:tc>
        <w:tc>
          <w:tcPr>
            <w:tcW w:w="702" w:type="dxa"/>
            <w:tcBorders>
              <w:top w:val="nil"/>
              <w:left w:val="nil"/>
              <w:bottom w:val="single" w:sz="4" w:space="0" w:color="auto"/>
              <w:right w:val="single" w:sz="4" w:space="0" w:color="auto"/>
            </w:tcBorders>
            <w:shd w:val="clear" w:color="auto" w:fill="auto"/>
            <w:noWrap/>
            <w:vAlign w:val="center"/>
            <w:hideMark/>
          </w:tcPr>
          <w:p w14:paraId="45D561D0" w14:textId="1596548D" w:rsidR="00F136AD" w:rsidRPr="000C2B6A" w:rsidRDefault="00F136AD" w:rsidP="00F136AD">
            <w:pPr>
              <w:rPr>
                <w:rFonts w:eastAsia="Arial" w:cs="Arial"/>
                <w:sz w:val="16"/>
                <w:szCs w:val="16"/>
              </w:rPr>
            </w:pPr>
            <w:r>
              <w:rPr>
                <w:rFonts w:cs="Arial"/>
                <w:color w:val="000000"/>
                <w:sz w:val="16"/>
                <w:szCs w:val="16"/>
              </w:rPr>
              <w:t>$339</w:t>
            </w:r>
          </w:p>
        </w:tc>
        <w:tc>
          <w:tcPr>
            <w:tcW w:w="716" w:type="dxa"/>
            <w:tcBorders>
              <w:top w:val="nil"/>
              <w:left w:val="nil"/>
              <w:bottom w:val="single" w:sz="4" w:space="0" w:color="auto"/>
              <w:right w:val="single" w:sz="4" w:space="0" w:color="auto"/>
            </w:tcBorders>
            <w:shd w:val="clear" w:color="auto" w:fill="auto"/>
            <w:noWrap/>
            <w:vAlign w:val="center"/>
            <w:hideMark/>
          </w:tcPr>
          <w:p w14:paraId="261630A5" w14:textId="16DE9DBD" w:rsidR="00F136AD" w:rsidRPr="000C2B6A" w:rsidRDefault="00F136AD" w:rsidP="00F136AD">
            <w:pPr>
              <w:rPr>
                <w:rFonts w:eastAsia="Arial" w:cs="Arial"/>
                <w:sz w:val="16"/>
                <w:szCs w:val="16"/>
              </w:rPr>
            </w:pPr>
            <w:r>
              <w:rPr>
                <w:rFonts w:cs="Arial"/>
                <w:color w:val="000000"/>
                <w:sz w:val="16"/>
                <w:szCs w:val="16"/>
              </w:rPr>
              <w:t>per hour</w:t>
            </w:r>
          </w:p>
        </w:tc>
        <w:tc>
          <w:tcPr>
            <w:tcW w:w="633" w:type="dxa"/>
            <w:tcBorders>
              <w:top w:val="nil"/>
              <w:left w:val="nil"/>
              <w:bottom w:val="single" w:sz="4" w:space="0" w:color="auto"/>
              <w:right w:val="single" w:sz="4" w:space="0" w:color="auto"/>
            </w:tcBorders>
            <w:shd w:val="clear" w:color="auto" w:fill="auto"/>
            <w:noWrap/>
            <w:vAlign w:val="center"/>
            <w:hideMark/>
          </w:tcPr>
          <w:p w14:paraId="3C54F9BE" w14:textId="00AF4D7A"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22FDB2A9" w14:textId="79476F77"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79BBBF8E" w14:textId="507F1611" w:rsidR="00F136AD" w:rsidRPr="000C2B6A" w:rsidRDefault="00F136AD" w:rsidP="00F136AD">
            <w:pPr>
              <w:rPr>
                <w:rFonts w:eastAsia="Arial" w:cs="Arial"/>
                <w:sz w:val="16"/>
                <w:szCs w:val="16"/>
              </w:rPr>
            </w:pPr>
            <w:r>
              <w:rPr>
                <w:rFonts w:cs="Arial"/>
                <w:color w:val="000000"/>
                <w:sz w:val="16"/>
                <w:szCs w:val="16"/>
              </w:rPr>
              <w:t>$339</w:t>
            </w:r>
          </w:p>
        </w:tc>
        <w:tc>
          <w:tcPr>
            <w:tcW w:w="809" w:type="dxa"/>
            <w:tcBorders>
              <w:top w:val="nil"/>
              <w:left w:val="nil"/>
              <w:bottom w:val="single" w:sz="4" w:space="0" w:color="auto"/>
              <w:right w:val="single" w:sz="4" w:space="0" w:color="auto"/>
            </w:tcBorders>
            <w:shd w:val="clear" w:color="auto" w:fill="auto"/>
            <w:noWrap/>
            <w:vAlign w:val="center"/>
            <w:hideMark/>
          </w:tcPr>
          <w:p w14:paraId="32B09356" w14:textId="2B8D4B15" w:rsidR="00F136AD" w:rsidRPr="000C2B6A" w:rsidRDefault="00F136AD" w:rsidP="00F136AD">
            <w:pPr>
              <w:rPr>
                <w:rFonts w:eastAsia="Arial" w:cs="Arial"/>
                <w:sz w:val="16"/>
                <w:szCs w:val="16"/>
              </w:rPr>
            </w:pPr>
            <w:r>
              <w:rPr>
                <w:rFonts w:cs="Arial"/>
                <w:color w:val="000000"/>
                <w:sz w:val="16"/>
                <w:szCs w:val="16"/>
              </w:rPr>
              <w:t>per hour</w:t>
            </w:r>
          </w:p>
        </w:tc>
        <w:tc>
          <w:tcPr>
            <w:tcW w:w="584" w:type="dxa"/>
            <w:tcBorders>
              <w:top w:val="nil"/>
              <w:left w:val="nil"/>
              <w:bottom w:val="single" w:sz="4" w:space="0" w:color="auto"/>
              <w:right w:val="single" w:sz="4" w:space="0" w:color="auto"/>
            </w:tcBorders>
            <w:shd w:val="clear" w:color="auto" w:fill="auto"/>
            <w:noWrap/>
            <w:vAlign w:val="center"/>
            <w:hideMark/>
          </w:tcPr>
          <w:p w14:paraId="3B1121AF" w14:textId="4348DF1B" w:rsidR="00F136AD" w:rsidRPr="00A67C3B" w:rsidRDefault="00F136AD" w:rsidP="00F136AD">
            <w:pPr>
              <w:rPr>
                <w:rFonts w:eastAsia="Arial" w:cs="Arial"/>
                <w:sz w:val="16"/>
                <w:szCs w:val="16"/>
              </w:rPr>
            </w:pPr>
            <w:r>
              <w:rPr>
                <w:rFonts w:cs="Arial"/>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center"/>
            <w:hideMark/>
          </w:tcPr>
          <w:p w14:paraId="1B460F71" w14:textId="7673FF34" w:rsidR="00F136AD" w:rsidRPr="00A67C3B" w:rsidRDefault="00F136AD" w:rsidP="00F136AD">
            <w:pPr>
              <w:rPr>
                <w:rFonts w:eastAsia="Arial" w:cs="Arial"/>
                <w:sz w:val="16"/>
                <w:szCs w:val="16"/>
              </w:rPr>
            </w:pPr>
            <w:r>
              <w:rPr>
                <w:rFonts w:cs="Arial"/>
                <w:color w:val="000000"/>
                <w:sz w:val="16"/>
                <w:szCs w:val="16"/>
              </w:rPr>
              <w:t> </w:t>
            </w:r>
          </w:p>
        </w:tc>
      </w:tr>
      <w:tr w:rsidR="00F136AD" w:rsidRPr="00B925F9" w14:paraId="06672DFE"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noWrap/>
            <w:vAlign w:val="center"/>
            <w:hideMark/>
          </w:tcPr>
          <w:p w14:paraId="31785186" w14:textId="77777777" w:rsidR="00F136AD" w:rsidRPr="00AF5F1F" w:rsidRDefault="00F136AD" w:rsidP="00F136AD">
            <w:pPr>
              <w:rPr>
                <w:rFonts w:eastAsia="Arial" w:cs="Arial"/>
                <w:b/>
                <w:bCs/>
                <w:sz w:val="16"/>
                <w:szCs w:val="16"/>
              </w:rPr>
            </w:pPr>
            <w:r w:rsidRPr="006E7DA0">
              <w:rPr>
                <w:rFonts w:eastAsia="Arial" w:cs="Arial"/>
                <w:b/>
                <w:bCs/>
                <w:sz w:val="16"/>
                <w:szCs w:val="16"/>
              </w:rPr>
              <w:t>Large load cell facility (capacity 600 kg to 50 000 kg)</w:t>
            </w:r>
          </w:p>
        </w:tc>
        <w:tc>
          <w:tcPr>
            <w:tcW w:w="1134" w:type="dxa"/>
            <w:tcBorders>
              <w:top w:val="single" w:sz="4" w:space="0" w:color="auto"/>
            </w:tcBorders>
            <w:shd w:val="clear" w:color="auto" w:fill="auto"/>
            <w:noWrap/>
            <w:vAlign w:val="center"/>
            <w:hideMark/>
          </w:tcPr>
          <w:p w14:paraId="6FDC4B08" w14:textId="77777777" w:rsidR="00F136AD" w:rsidRPr="00B925F9" w:rsidRDefault="00F136AD" w:rsidP="00F136AD">
            <w:pPr>
              <w:rPr>
                <w:rFonts w:eastAsia="Arial" w:cs="Arial"/>
                <w:sz w:val="16"/>
                <w:szCs w:val="16"/>
              </w:rPr>
            </w:pPr>
            <w:r w:rsidRPr="00B925F9">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71376B70" w14:textId="6BA950D0"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76219980" w14:textId="3E785878"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020AC069" w14:textId="146723E4"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718427D3" w14:textId="36E782E1"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5F8C5E2" w14:textId="68A36653"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63CC6629" w14:textId="1BEDB920"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37824DD" w14:textId="00D72BBB"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232AF054" w14:textId="1E3B583E"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41528947" w14:textId="6A59AF27"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16693C91" w14:textId="02174A6A"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E453CFF" w14:textId="4024BEA2"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2141F6ED" w14:textId="39638765"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AAAB856" w14:textId="5F7DD2D3"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26EBE12" w14:textId="239CE2E6"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6D7E71B5" w14:textId="66546AA4"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26DD1D4D" w14:textId="4849D813"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0BB9D6C9" w14:textId="33A1825A"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73719F41" w14:textId="1DC49189"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68F77054" w14:textId="13F6F76C"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779D401F" w14:textId="08F95AD8"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66B1DDE5" w14:textId="7494E97B"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509A851D" w14:textId="6C79A444"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52F18B17" w14:textId="3715C3B1" w:rsidR="00F136AD" w:rsidRPr="000C2B6A" w:rsidRDefault="00F136AD" w:rsidP="00F136AD">
            <w:pPr>
              <w:rPr>
                <w:rFonts w:eastAsia="Arial" w:cs="Arial"/>
                <w:sz w:val="16"/>
                <w:szCs w:val="16"/>
              </w:rPr>
            </w:pPr>
            <w:r>
              <w:rPr>
                <w:rFonts w:cs="Arial"/>
                <w:color w:val="000000"/>
                <w:sz w:val="16"/>
                <w:szCs w:val="16"/>
              </w:rPr>
              <w:t>$178</w:t>
            </w:r>
          </w:p>
        </w:tc>
        <w:tc>
          <w:tcPr>
            <w:tcW w:w="787" w:type="dxa"/>
            <w:tcBorders>
              <w:top w:val="nil"/>
              <w:left w:val="nil"/>
              <w:bottom w:val="single" w:sz="4" w:space="0" w:color="auto"/>
              <w:right w:val="single" w:sz="4" w:space="0" w:color="auto"/>
            </w:tcBorders>
            <w:shd w:val="clear" w:color="auto" w:fill="auto"/>
            <w:noWrap/>
            <w:vAlign w:val="center"/>
            <w:hideMark/>
          </w:tcPr>
          <w:p w14:paraId="1771DE3B" w14:textId="1B06FBC9" w:rsidR="00F136AD" w:rsidRPr="000C2B6A" w:rsidRDefault="00F136AD" w:rsidP="00F136AD">
            <w:pPr>
              <w:rPr>
                <w:rFonts w:eastAsia="Arial" w:cs="Arial"/>
                <w:sz w:val="16"/>
                <w:szCs w:val="16"/>
              </w:rPr>
            </w:pPr>
            <w:r>
              <w:rPr>
                <w:rFonts w:cs="Arial"/>
                <w:color w:val="000000"/>
                <w:sz w:val="16"/>
                <w:szCs w:val="16"/>
              </w:rPr>
              <w:t>per hour</w:t>
            </w:r>
          </w:p>
        </w:tc>
      </w:tr>
      <w:tr w:rsidR="00F136AD" w:rsidRPr="00B925F9" w14:paraId="76306790"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noWrap/>
            <w:vAlign w:val="center"/>
            <w:hideMark/>
          </w:tcPr>
          <w:p w14:paraId="3F5C115C" w14:textId="77777777" w:rsidR="00F136AD" w:rsidRPr="00AF5F1F" w:rsidRDefault="00F136AD" w:rsidP="00F136AD">
            <w:pPr>
              <w:rPr>
                <w:rFonts w:eastAsia="Arial" w:cs="Arial"/>
                <w:b/>
                <w:bCs/>
                <w:sz w:val="16"/>
                <w:szCs w:val="16"/>
              </w:rPr>
            </w:pPr>
            <w:r w:rsidRPr="006E7DA0">
              <w:rPr>
                <w:rFonts w:eastAsia="Arial" w:cs="Arial"/>
                <w:b/>
                <w:bCs/>
                <w:sz w:val="16"/>
                <w:szCs w:val="16"/>
              </w:rPr>
              <w:t>Small load cell facility (capacity 50 kg to 500 kg)</w:t>
            </w:r>
          </w:p>
        </w:tc>
        <w:tc>
          <w:tcPr>
            <w:tcW w:w="1134" w:type="dxa"/>
            <w:tcBorders>
              <w:top w:val="single" w:sz="4" w:space="0" w:color="auto"/>
            </w:tcBorders>
            <w:shd w:val="clear" w:color="auto" w:fill="auto"/>
            <w:noWrap/>
            <w:vAlign w:val="center"/>
            <w:hideMark/>
          </w:tcPr>
          <w:p w14:paraId="4A12D714" w14:textId="77777777" w:rsidR="00F136AD" w:rsidRPr="00B925F9" w:rsidRDefault="00F136AD" w:rsidP="00F136AD">
            <w:pPr>
              <w:rPr>
                <w:rFonts w:eastAsia="Arial" w:cs="Arial"/>
                <w:sz w:val="16"/>
                <w:szCs w:val="16"/>
              </w:rPr>
            </w:pPr>
            <w:r w:rsidRPr="00B925F9">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4FD2003E" w14:textId="79119D67"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46602C88" w14:textId="5CA260AF"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299275C" w14:textId="03BA0173"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7887D8F9" w14:textId="62FC2505"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0E9BBFAC" w14:textId="70302884"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0814DCAA" w14:textId="4E7326BE"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3621B8F" w14:textId="13EFE324"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5C80077" w14:textId="3F2F4C84"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4C67B98" w14:textId="0A5558F9"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2D80500F" w14:textId="2EB99DA7"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E8C211F" w14:textId="73466C35"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50DF7BA7" w14:textId="1D482423"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89783E5" w14:textId="3B356400"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7ABB3F1" w14:textId="5C265342"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712316E4" w14:textId="656AB121"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6A3209B5" w14:textId="0CC3A5D3"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1CAB5FB7" w14:textId="200457D1"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7583A5BA" w14:textId="471337B5"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5679BDE4" w14:textId="6C17167F"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1776AE45" w14:textId="0606BA80"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3F0849C2" w14:textId="29B8B024"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3C027643" w14:textId="0F3C3E79"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457FB990" w14:textId="3B889CEB" w:rsidR="00F136AD" w:rsidRPr="000C2B6A" w:rsidRDefault="00F136AD" w:rsidP="00F136AD">
            <w:pPr>
              <w:rPr>
                <w:rFonts w:eastAsia="Arial" w:cs="Arial"/>
                <w:sz w:val="16"/>
                <w:szCs w:val="16"/>
              </w:rPr>
            </w:pPr>
            <w:r>
              <w:rPr>
                <w:rFonts w:cs="Arial"/>
                <w:color w:val="000000"/>
                <w:sz w:val="16"/>
                <w:szCs w:val="16"/>
              </w:rPr>
              <w:t>$134</w:t>
            </w:r>
          </w:p>
        </w:tc>
        <w:tc>
          <w:tcPr>
            <w:tcW w:w="787" w:type="dxa"/>
            <w:tcBorders>
              <w:top w:val="nil"/>
              <w:left w:val="nil"/>
              <w:bottom w:val="single" w:sz="4" w:space="0" w:color="auto"/>
              <w:right w:val="single" w:sz="4" w:space="0" w:color="auto"/>
            </w:tcBorders>
            <w:shd w:val="clear" w:color="auto" w:fill="auto"/>
            <w:noWrap/>
            <w:vAlign w:val="center"/>
            <w:hideMark/>
          </w:tcPr>
          <w:p w14:paraId="4FFE9F41" w14:textId="1B26764D" w:rsidR="00F136AD" w:rsidRPr="000C2B6A" w:rsidRDefault="00F136AD" w:rsidP="00F136AD">
            <w:pPr>
              <w:rPr>
                <w:rFonts w:eastAsia="Arial" w:cs="Arial"/>
                <w:sz w:val="16"/>
                <w:szCs w:val="16"/>
              </w:rPr>
            </w:pPr>
            <w:r>
              <w:rPr>
                <w:rFonts w:cs="Arial"/>
                <w:color w:val="000000"/>
                <w:sz w:val="16"/>
                <w:szCs w:val="16"/>
              </w:rPr>
              <w:t>per hour</w:t>
            </w:r>
          </w:p>
        </w:tc>
      </w:tr>
      <w:tr w:rsidR="00F136AD" w:rsidRPr="00B925F9" w14:paraId="02A8D79E"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noWrap/>
            <w:vAlign w:val="center"/>
            <w:hideMark/>
          </w:tcPr>
          <w:p w14:paraId="3A01EF2E" w14:textId="77777777" w:rsidR="00F136AD" w:rsidRPr="006E7DA0" w:rsidRDefault="00F136AD" w:rsidP="00F136AD">
            <w:pPr>
              <w:rPr>
                <w:rFonts w:eastAsia="Arial" w:cs="Arial"/>
                <w:b/>
                <w:bCs/>
                <w:sz w:val="16"/>
                <w:szCs w:val="16"/>
              </w:rPr>
            </w:pPr>
            <w:r w:rsidRPr="006E7DA0">
              <w:rPr>
                <w:rFonts w:eastAsia="Arial" w:cs="Arial"/>
                <w:b/>
                <w:bCs/>
                <w:sz w:val="16"/>
                <w:szCs w:val="16"/>
              </w:rPr>
              <w:t>Liquid hydrocarbons test facility</w:t>
            </w:r>
          </w:p>
        </w:tc>
        <w:tc>
          <w:tcPr>
            <w:tcW w:w="1134" w:type="dxa"/>
            <w:tcBorders>
              <w:top w:val="single" w:sz="4" w:space="0" w:color="auto"/>
            </w:tcBorders>
            <w:shd w:val="clear" w:color="auto" w:fill="auto"/>
            <w:noWrap/>
            <w:vAlign w:val="center"/>
            <w:hideMark/>
          </w:tcPr>
          <w:p w14:paraId="774198E4"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2A935339" w14:textId="4E1F7E5F"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70EC76DD" w14:textId="1359AA55"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A98EF3A" w14:textId="77B7B27F"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181E5020" w14:textId="240174CD"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DF49D1C" w14:textId="520B3325"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0C3C31F0" w14:textId="67983EF0"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C5473D7" w14:textId="3E45DDDB"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4EECED06" w14:textId="1C4433CF"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24DEB00" w14:textId="1268A08B"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323D4774" w14:textId="061F658F"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3EAE8B5" w14:textId="5F4CE982"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15EE511B" w14:textId="37F90BA3"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2AA3B44" w14:textId="04481EB6"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7B0A454" w14:textId="63FD208B"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1E9CF17A" w14:textId="3D731245"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05E88953" w14:textId="0503378F"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44E8EAE0" w14:textId="60C97BE8"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36877648" w14:textId="124AD37C"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05D17902" w14:textId="23BFE1D1"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01BF4D4" w14:textId="1F209E20"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5B8C3E35" w14:textId="701AAD07"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2E3B6540" w14:textId="4F1E1D7A"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37A8149A" w14:textId="1339A186" w:rsidR="00F136AD" w:rsidRPr="000C2B6A" w:rsidRDefault="00F136AD" w:rsidP="00F136AD">
            <w:pPr>
              <w:rPr>
                <w:rFonts w:eastAsia="Arial" w:cs="Arial"/>
                <w:sz w:val="16"/>
                <w:szCs w:val="16"/>
              </w:rPr>
            </w:pPr>
            <w:r>
              <w:rPr>
                <w:rFonts w:cs="Arial"/>
                <w:color w:val="000000"/>
                <w:sz w:val="16"/>
                <w:szCs w:val="16"/>
              </w:rPr>
              <w:t>$317</w:t>
            </w:r>
          </w:p>
        </w:tc>
        <w:tc>
          <w:tcPr>
            <w:tcW w:w="787" w:type="dxa"/>
            <w:tcBorders>
              <w:top w:val="nil"/>
              <w:left w:val="nil"/>
              <w:bottom w:val="single" w:sz="4" w:space="0" w:color="auto"/>
              <w:right w:val="single" w:sz="4" w:space="0" w:color="auto"/>
            </w:tcBorders>
            <w:shd w:val="clear" w:color="auto" w:fill="auto"/>
            <w:noWrap/>
            <w:vAlign w:val="center"/>
            <w:hideMark/>
          </w:tcPr>
          <w:p w14:paraId="462B354E" w14:textId="18B92AD5" w:rsidR="00F136AD" w:rsidRPr="000C2B6A" w:rsidRDefault="00F136AD" w:rsidP="00F136AD">
            <w:pPr>
              <w:rPr>
                <w:rFonts w:eastAsia="Arial" w:cs="Arial"/>
                <w:sz w:val="16"/>
                <w:szCs w:val="16"/>
              </w:rPr>
            </w:pPr>
            <w:r>
              <w:rPr>
                <w:rFonts w:cs="Arial"/>
                <w:color w:val="000000"/>
                <w:sz w:val="16"/>
                <w:szCs w:val="16"/>
              </w:rPr>
              <w:t>per hour</w:t>
            </w:r>
          </w:p>
        </w:tc>
      </w:tr>
      <w:tr w:rsidR="00F136AD" w:rsidRPr="00B925F9" w14:paraId="293E9EE1"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noWrap/>
            <w:vAlign w:val="center"/>
            <w:hideMark/>
          </w:tcPr>
          <w:p w14:paraId="2264798E" w14:textId="77777777" w:rsidR="00F136AD" w:rsidRPr="00AF5F1F" w:rsidRDefault="00F136AD" w:rsidP="00F136AD">
            <w:pPr>
              <w:rPr>
                <w:rFonts w:eastAsia="Arial" w:cs="Arial"/>
                <w:b/>
                <w:bCs/>
                <w:sz w:val="16"/>
                <w:szCs w:val="16"/>
              </w:rPr>
            </w:pPr>
            <w:r w:rsidRPr="006E7DA0">
              <w:rPr>
                <w:rFonts w:eastAsia="Arial" w:cs="Arial"/>
                <w:b/>
                <w:bCs/>
                <w:sz w:val="16"/>
                <w:szCs w:val="16"/>
              </w:rPr>
              <w:t>Liquefied petroleum gas test facility</w:t>
            </w:r>
          </w:p>
        </w:tc>
        <w:tc>
          <w:tcPr>
            <w:tcW w:w="1134" w:type="dxa"/>
            <w:tcBorders>
              <w:top w:val="single" w:sz="4" w:space="0" w:color="auto"/>
            </w:tcBorders>
            <w:shd w:val="clear" w:color="auto" w:fill="auto"/>
            <w:noWrap/>
            <w:vAlign w:val="center"/>
            <w:hideMark/>
          </w:tcPr>
          <w:p w14:paraId="0397F610" w14:textId="77777777" w:rsidR="00F136AD" w:rsidRPr="00B925F9" w:rsidRDefault="00F136AD" w:rsidP="00F136AD">
            <w:pPr>
              <w:rPr>
                <w:rFonts w:eastAsia="Arial" w:cs="Arial"/>
                <w:sz w:val="16"/>
                <w:szCs w:val="16"/>
              </w:rPr>
            </w:pPr>
            <w:r w:rsidRPr="00B925F9">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77C77423" w14:textId="0F8E0877"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39BF68FD" w14:textId="066E91DB"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F2B7890" w14:textId="17130D63"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41BD3788" w14:textId="6DAF0773"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130822C4" w14:textId="016D7E2C"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3A2A822F" w14:textId="47181855"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BD11BC5" w14:textId="4174F05F"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0230E1C" w14:textId="4407A9EE"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BE13532" w14:textId="5794C698"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59C27DBA" w14:textId="147C88C8"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155E3C1D" w14:textId="4C748318"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5B34DB75" w14:textId="2C0F7F84"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5D3F6D1" w14:textId="1510917E"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FB06532" w14:textId="1D59F948"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2D2734FD" w14:textId="30FF6824"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54289145" w14:textId="46C27221"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3359E938" w14:textId="3F10DDE5"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1B54EB6D" w14:textId="56CDDF02"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23D88586" w14:textId="690DEEC2"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44871FC0" w14:textId="0DD5977E"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0ED9D9D3" w14:textId="5AB1265F"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56863BA8" w14:textId="5245D7C3"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76AB8B39" w14:textId="4AB4B1FC" w:rsidR="00F136AD" w:rsidRPr="000C2B6A" w:rsidRDefault="00F136AD" w:rsidP="00F136AD">
            <w:pPr>
              <w:rPr>
                <w:rFonts w:eastAsia="Arial" w:cs="Arial"/>
                <w:sz w:val="16"/>
                <w:szCs w:val="16"/>
              </w:rPr>
            </w:pPr>
            <w:r>
              <w:rPr>
                <w:rFonts w:cs="Arial"/>
                <w:color w:val="000000"/>
                <w:sz w:val="16"/>
                <w:szCs w:val="16"/>
              </w:rPr>
              <w:t>$317</w:t>
            </w:r>
          </w:p>
        </w:tc>
        <w:tc>
          <w:tcPr>
            <w:tcW w:w="787" w:type="dxa"/>
            <w:tcBorders>
              <w:top w:val="nil"/>
              <w:left w:val="nil"/>
              <w:bottom w:val="single" w:sz="4" w:space="0" w:color="auto"/>
              <w:right w:val="single" w:sz="4" w:space="0" w:color="auto"/>
            </w:tcBorders>
            <w:shd w:val="clear" w:color="auto" w:fill="auto"/>
            <w:noWrap/>
            <w:vAlign w:val="center"/>
            <w:hideMark/>
          </w:tcPr>
          <w:p w14:paraId="2E08F8D4" w14:textId="1DF3E2A8" w:rsidR="00F136AD" w:rsidRPr="000C2B6A" w:rsidRDefault="00F136AD" w:rsidP="00F136AD">
            <w:pPr>
              <w:rPr>
                <w:rFonts w:eastAsia="Arial" w:cs="Arial"/>
                <w:sz w:val="16"/>
                <w:szCs w:val="16"/>
              </w:rPr>
            </w:pPr>
            <w:r>
              <w:rPr>
                <w:rFonts w:cs="Arial"/>
                <w:color w:val="000000"/>
                <w:sz w:val="16"/>
                <w:szCs w:val="16"/>
              </w:rPr>
              <w:t>per hour</w:t>
            </w:r>
          </w:p>
        </w:tc>
      </w:tr>
      <w:tr w:rsidR="00F136AD" w:rsidRPr="00B925F9" w14:paraId="0BB8D9EA"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noWrap/>
            <w:vAlign w:val="center"/>
            <w:hideMark/>
          </w:tcPr>
          <w:p w14:paraId="6261EA9D" w14:textId="77777777" w:rsidR="00F136AD" w:rsidRPr="00AF5F1F" w:rsidRDefault="00F136AD" w:rsidP="00F136AD">
            <w:pPr>
              <w:rPr>
                <w:rFonts w:eastAsia="Arial" w:cs="Arial"/>
                <w:b/>
                <w:bCs/>
                <w:sz w:val="16"/>
                <w:szCs w:val="16"/>
              </w:rPr>
            </w:pPr>
            <w:r w:rsidRPr="006E7DA0">
              <w:rPr>
                <w:rFonts w:eastAsia="Arial" w:cs="Arial"/>
                <w:b/>
                <w:bCs/>
                <w:sz w:val="16"/>
                <w:szCs w:val="16"/>
              </w:rPr>
              <w:t>Compresses natural gas test facility</w:t>
            </w:r>
          </w:p>
        </w:tc>
        <w:tc>
          <w:tcPr>
            <w:tcW w:w="1134" w:type="dxa"/>
            <w:tcBorders>
              <w:top w:val="single" w:sz="4" w:space="0" w:color="auto"/>
            </w:tcBorders>
            <w:shd w:val="clear" w:color="auto" w:fill="auto"/>
            <w:noWrap/>
            <w:vAlign w:val="center"/>
            <w:hideMark/>
          </w:tcPr>
          <w:p w14:paraId="617270CF" w14:textId="77777777" w:rsidR="00F136AD" w:rsidRPr="00B925F9" w:rsidRDefault="00F136AD" w:rsidP="00F136AD">
            <w:pPr>
              <w:rPr>
                <w:rFonts w:eastAsia="Arial" w:cs="Arial"/>
                <w:sz w:val="16"/>
                <w:szCs w:val="16"/>
              </w:rPr>
            </w:pPr>
            <w:r w:rsidRPr="00B925F9">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7E5EA4FD" w14:textId="488D127C"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0FEC7E6A" w14:textId="291DC39B"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EBA6FC3" w14:textId="0F726E61"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15E8213" w14:textId="2C4B706E"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1B10505" w14:textId="57932432"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6F1A5CCB" w14:textId="39879269"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6166B8A0" w14:textId="63449456"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CC5CD15" w14:textId="47FAA19B"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B597B3E" w14:textId="7D18F87E"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02D9C07C" w14:textId="5EDA54D8"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6BA090B" w14:textId="092E72E1"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59F9ED73" w14:textId="6D6CA587"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64172852" w14:textId="1E994F31"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772BFEE" w14:textId="114080A4"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383A0E1D" w14:textId="2BF1A29E"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263C43A8" w14:textId="27412CA0"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70FC44B1" w14:textId="319A9344"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18E43124" w14:textId="1BF1F265"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053DE8DB" w14:textId="368EEC88"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331AC492" w14:textId="53D6B820"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24F3D28F" w14:textId="33317059"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38E1704C" w14:textId="16F5D825"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3B9DDDDD" w14:textId="559FE5C0" w:rsidR="00F136AD" w:rsidRPr="000C2B6A" w:rsidRDefault="00F136AD" w:rsidP="00F136AD">
            <w:pPr>
              <w:rPr>
                <w:rFonts w:eastAsia="Arial" w:cs="Arial"/>
                <w:sz w:val="16"/>
                <w:szCs w:val="16"/>
              </w:rPr>
            </w:pPr>
            <w:r>
              <w:rPr>
                <w:rFonts w:cs="Arial"/>
                <w:color w:val="000000"/>
                <w:sz w:val="16"/>
                <w:szCs w:val="16"/>
              </w:rPr>
              <w:t>$317</w:t>
            </w:r>
          </w:p>
        </w:tc>
        <w:tc>
          <w:tcPr>
            <w:tcW w:w="787" w:type="dxa"/>
            <w:tcBorders>
              <w:top w:val="nil"/>
              <w:left w:val="nil"/>
              <w:bottom w:val="single" w:sz="4" w:space="0" w:color="auto"/>
              <w:right w:val="single" w:sz="4" w:space="0" w:color="auto"/>
            </w:tcBorders>
            <w:shd w:val="clear" w:color="auto" w:fill="auto"/>
            <w:noWrap/>
            <w:vAlign w:val="center"/>
            <w:hideMark/>
          </w:tcPr>
          <w:p w14:paraId="3255415A" w14:textId="47F98838" w:rsidR="00F136AD" w:rsidRPr="000C2B6A" w:rsidRDefault="00F136AD" w:rsidP="00F136AD">
            <w:pPr>
              <w:rPr>
                <w:rFonts w:eastAsia="Arial" w:cs="Arial"/>
                <w:sz w:val="16"/>
                <w:szCs w:val="16"/>
              </w:rPr>
            </w:pPr>
            <w:r>
              <w:rPr>
                <w:rFonts w:cs="Arial"/>
                <w:color w:val="000000"/>
                <w:sz w:val="16"/>
                <w:szCs w:val="16"/>
              </w:rPr>
              <w:t>per hour</w:t>
            </w:r>
          </w:p>
        </w:tc>
      </w:tr>
      <w:tr w:rsidR="00F136AD" w:rsidRPr="00B925F9" w14:paraId="38A94410"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noWrap/>
            <w:vAlign w:val="center"/>
            <w:hideMark/>
          </w:tcPr>
          <w:p w14:paraId="4D8C8CAC" w14:textId="77777777" w:rsidR="00F136AD" w:rsidRPr="006E7DA0" w:rsidRDefault="00F136AD" w:rsidP="00F136AD">
            <w:pPr>
              <w:rPr>
                <w:rFonts w:eastAsia="Arial" w:cs="Arial"/>
                <w:b/>
                <w:bCs/>
                <w:sz w:val="16"/>
                <w:szCs w:val="16"/>
              </w:rPr>
            </w:pPr>
            <w:r w:rsidRPr="006E7DA0">
              <w:rPr>
                <w:rFonts w:eastAsia="Arial" w:cs="Arial"/>
                <w:b/>
                <w:bCs/>
                <w:sz w:val="16"/>
                <w:szCs w:val="16"/>
              </w:rPr>
              <w:t>Temperature controlled chamber</w:t>
            </w:r>
          </w:p>
        </w:tc>
        <w:tc>
          <w:tcPr>
            <w:tcW w:w="1134" w:type="dxa"/>
            <w:tcBorders>
              <w:top w:val="single" w:sz="4" w:space="0" w:color="auto"/>
            </w:tcBorders>
            <w:shd w:val="clear" w:color="auto" w:fill="auto"/>
            <w:noWrap/>
            <w:vAlign w:val="center"/>
            <w:hideMark/>
          </w:tcPr>
          <w:p w14:paraId="23FD71D6"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4D04DFEE" w14:textId="4BB53D5E"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4F0F8859" w14:textId="386C1552"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1EEA4D6" w14:textId="70FBC6FD"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B366BCC" w14:textId="5BAD07C4"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1D26AF1" w14:textId="335EA373"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105D86BB" w14:textId="3A6B16E0"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6F066BFA" w14:textId="36A1CF18"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46950ED" w14:textId="2945BA65"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7527EB9" w14:textId="41F8DDC5"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72D444E3" w14:textId="2F31E38E"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463B5D2" w14:textId="47C69849"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10430EC9" w14:textId="5CF448AD"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79AF228" w14:textId="4A783ADD"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E48F121" w14:textId="4DC3CB32"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1F573790" w14:textId="065CA70A"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6FFB481B" w14:textId="0917F262"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160A27E0" w14:textId="649EC4C3"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1EA87DCA" w14:textId="2F76A4D8"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40EE77D0" w14:textId="669B152E"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177740B4" w14:textId="1E4136C9"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54FA0092" w14:textId="082D244F"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15F4D04F" w14:textId="318D80E2"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6BE8366C" w14:textId="49FE2972" w:rsidR="00F136AD" w:rsidRPr="000C2B6A" w:rsidRDefault="00F136AD" w:rsidP="00F136AD">
            <w:pPr>
              <w:rPr>
                <w:rFonts w:eastAsia="Arial" w:cs="Arial"/>
                <w:sz w:val="16"/>
                <w:szCs w:val="16"/>
              </w:rPr>
            </w:pPr>
            <w:r>
              <w:rPr>
                <w:rFonts w:cs="Arial"/>
                <w:color w:val="000000"/>
                <w:sz w:val="16"/>
                <w:szCs w:val="16"/>
              </w:rPr>
              <w:t>$144</w:t>
            </w:r>
          </w:p>
        </w:tc>
        <w:tc>
          <w:tcPr>
            <w:tcW w:w="787" w:type="dxa"/>
            <w:tcBorders>
              <w:top w:val="nil"/>
              <w:left w:val="nil"/>
              <w:bottom w:val="single" w:sz="4" w:space="0" w:color="auto"/>
              <w:right w:val="single" w:sz="4" w:space="0" w:color="auto"/>
            </w:tcBorders>
            <w:shd w:val="clear" w:color="auto" w:fill="auto"/>
            <w:noWrap/>
            <w:vAlign w:val="center"/>
            <w:hideMark/>
          </w:tcPr>
          <w:p w14:paraId="467CB143" w14:textId="3C3D7C86" w:rsidR="00F136AD" w:rsidRPr="000C2B6A" w:rsidRDefault="00F136AD" w:rsidP="00F136AD">
            <w:pPr>
              <w:rPr>
                <w:rFonts w:eastAsia="Arial" w:cs="Arial"/>
                <w:sz w:val="16"/>
                <w:szCs w:val="16"/>
              </w:rPr>
            </w:pPr>
            <w:r>
              <w:rPr>
                <w:rFonts w:cs="Arial"/>
                <w:color w:val="000000"/>
                <w:sz w:val="16"/>
                <w:szCs w:val="16"/>
              </w:rPr>
              <w:t>per hour</w:t>
            </w:r>
          </w:p>
        </w:tc>
      </w:tr>
      <w:tr w:rsidR="00F136AD" w:rsidRPr="00B925F9" w14:paraId="622CEB4F"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noWrap/>
            <w:vAlign w:val="center"/>
            <w:hideMark/>
          </w:tcPr>
          <w:p w14:paraId="50A4E2CB" w14:textId="77777777" w:rsidR="00F136AD" w:rsidRPr="006E7DA0" w:rsidRDefault="00F136AD" w:rsidP="00F136AD">
            <w:pPr>
              <w:rPr>
                <w:rFonts w:eastAsia="Arial" w:cs="Arial"/>
                <w:b/>
                <w:bCs/>
                <w:sz w:val="16"/>
                <w:szCs w:val="16"/>
              </w:rPr>
            </w:pPr>
            <w:r w:rsidRPr="006E7DA0">
              <w:rPr>
                <w:rFonts w:eastAsia="Arial" w:cs="Arial"/>
                <w:b/>
                <w:bCs/>
                <w:sz w:val="16"/>
                <w:szCs w:val="16"/>
              </w:rPr>
              <w:t>Humidity test chamber</w:t>
            </w:r>
          </w:p>
        </w:tc>
        <w:tc>
          <w:tcPr>
            <w:tcW w:w="1134" w:type="dxa"/>
            <w:tcBorders>
              <w:top w:val="single" w:sz="4" w:space="0" w:color="auto"/>
            </w:tcBorders>
            <w:shd w:val="clear" w:color="auto" w:fill="auto"/>
            <w:noWrap/>
            <w:vAlign w:val="center"/>
            <w:hideMark/>
          </w:tcPr>
          <w:p w14:paraId="609D5C70"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0FF01499" w14:textId="0EB64C8F"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0852F83E" w14:textId="616430B6"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720A2103" w14:textId="30F09F35"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09A15CAA" w14:textId="3B0D2085"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0E6CA0E1" w14:textId="422671DE"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78649746" w14:textId="725AE9C7"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460C59D5" w14:textId="12D2D9CD"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2DF0E87" w14:textId="460D4B44"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223D3C31" w14:textId="248BC281"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223AF3E7" w14:textId="596E40E6"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4AAB9F10" w14:textId="60E8A16B"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350200DB" w14:textId="35563C87"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8E79572" w14:textId="2D51999B"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75CFF9E" w14:textId="474C609B"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25C73BFF" w14:textId="4DBE4157"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6755792E" w14:textId="4D4D07CA"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5516C7DB" w14:textId="28F39EE6"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65FDF6D8" w14:textId="62E6D5E7"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5AF3B7F3" w14:textId="04905C27"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2E4CC4E" w14:textId="7EB70763"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2E7E9CCF" w14:textId="6AB718AE"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4A528E2F" w14:textId="1FF43D36"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5C258ADF" w14:textId="77BA32C5" w:rsidR="00F136AD" w:rsidRPr="000C2B6A" w:rsidRDefault="00F136AD" w:rsidP="00F136AD">
            <w:pPr>
              <w:rPr>
                <w:rFonts w:eastAsia="Arial" w:cs="Arial"/>
                <w:sz w:val="16"/>
                <w:szCs w:val="16"/>
              </w:rPr>
            </w:pPr>
            <w:r>
              <w:rPr>
                <w:rFonts w:cs="Arial"/>
                <w:color w:val="000000"/>
                <w:sz w:val="16"/>
                <w:szCs w:val="16"/>
              </w:rPr>
              <w:t>$167</w:t>
            </w:r>
          </w:p>
        </w:tc>
        <w:tc>
          <w:tcPr>
            <w:tcW w:w="787" w:type="dxa"/>
            <w:tcBorders>
              <w:top w:val="nil"/>
              <w:left w:val="nil"/>
              <w:bottom w:val="single" w:sz="4" w:space="0" w:color="auto"/>
              <w:right w:val="single" w:sz="4" w:space="0" w:color="auto"/>
            </w:tcBorders>
            <w:shd w:val="clear" w:color="auto" w:fill="auto"/>
            <w:noWrap/>
            <w:vAlign w:val="center"/>
            <w:hideMark/>
          </w:tcPr>
          <w:p w14:paraId="274D7923" w14:textId="0C680D7E" w:rsidR="00F136AD" w:rsidRPr="000C2B6A" w:rsidRDefault="00F136AD" w:rsidP="00F136AD">
            <w:pPr>
              <w:rPr>
                <w:rFonts w:eastAsia="Arial" w:cs="Arial"/>
                <w:sz w:val="16"/>
                <w:szCs w:val="16"/>
              </w:rPr>
            </w:pPr>
            <w:r>
              <w:rPr>
                <w:rFonts w:cs="Arial"/>
                <w:color w:val="000000"/>
                <w:sz w:val="16"/>
                <w:szCs w:val="16"/>
              </w:rPr>
              <w:t>per hour</w:t>
            </w:r>
          </w:p>
        </w:tc>
      </w:tr>
      <w:tr w:rsidR="00F136AD" w:rsidRPr="00B925F9" w14:paraId="1C32EDBC"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noWrap/>
            <w:vAlign w:val="center"/>
            <w:hideMark/>
          </w:tcPr>
          <w:p w14:paraId="704C2D5B" w14:textId="77777777" w:rsidR="00F136AD" w:rsidRPr="006E7DA0" w:rsidRDefault="00F136AD" w:rsidP="00F136AD">
            <w:pPr>
              <w:rPr>
                <w:rFonts w:eastAsia="Arial" w:cs="Arial"/>
                <w:b/>
                <w:bCs/>
                <w:sz w:val="16"/>
                <w:szCs w:val="16"/>
              </w:rPr>
            </w:pPr>
            <w:r w:rsidRPr="006E7DA0">
              <w:rPr>
                <w:rFonts w:eastAsia="Arial" w:cs="Arial"/>
                <w:b/>
                <w:bCs/>
                <w:sz w:val="16"/>
                <w:szCs w:val="16"/>
              </w:rPr>
              <w:t>Reliability test equipment</w:t>
            </w:r>
          </w:p>
        </w:tc>
        <w:tc>
          <w:tcPr>
            <w:tcW w:w="1134" w:type="dxa"/>
            <w:tcBorders>
              <w:top w:val="single" w:sz="4" w:space="0" w:color="auto"/>
            </w:tcBorders>
            <w:shd w:val="clear" w:color="auto" w:fill="auto"/>
            <w:noWrap/>
            <w:vAlign w:val="center"/>
            <w:hideMark/>
          </w:tcPr>
          <w:p w14:paraId="3574FF55" w14:textId="77777777" w:rsidR="00F136AD" w:rsidRPr="00AF5F1F" w:rsidRDefault="00F136AD" w:rsidP="00F136AD">
            <w:pPr>
              <w:rPr>
                <w:rFonts w:eastAsia="Arial" w:cs="Arial"/>
                <w:sz w:val="16"/>
                <w:szCs w:val="16"/>
              </w:rPr>
            </w:pPr>
            <w:r w:rsidRPr="00AF5F1F">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647442B5" w14:textId="6A34C52F"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5B3009FF" w14:textId="3CA51B34"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CFC5939" w14:textId="25EB68A3"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7F7B486" w14:textId="292DC45B"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4D56A32" w14:textId="39C87C88"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1A57E120" w14:textId="4CAED8BD"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8643DC0" w14:textId="0699487B"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8A1C045" w14:textId="24184245"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05A08E1" w14:textId="5C043731"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49139CA5" w14:textId="58A51EFA"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106D37FE" w14:textId="5A174089"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4909BAC7" w14:textId="12EEFB0B"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54F4447" w14:textId="2332737C"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CFB256C" w14:textId="49F90A9C"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69D75A9A" w14:textId="3D54F055"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05BBB2E5" w14:textId="2D954723"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0CCAB2B7" w14:textId="163E2EC8"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5736E0CF" w14:textId="01D6AD86"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6F5B463B" w14:textId="57A7398C"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1BA227E4" w14:textId="4BC8B880"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36E12361" w14:textId="2DA56F11"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76171A00" w14:textId="00538627"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6F4D6310" w14:textId="148DDD12" w:rsidR="00F136AD" w:rsidRPr="000C2B6A" w:rsidRDefault="00F136AD" w:rsidP="00F136AD">
            <w:pPr>
              <w:rPr>
                <w:rFonts w:eastAsia="Arial" w:cs="Arial"/>
                <w:sz w:val="16"/>
                <w:szCs w:val="16"/>
              </w:rPr>
            </w:pPr>
            <w:r>
              <w:rPr>
                <w:rFonts w:cs="Arial"/>
                <w:color w:val="000000"/>
                <w:sz w:val="16"/>
                <w:szCs w:val="16"/>
              </w:rPr>
              <w:t>$134</w:t>
            </w:r>
          </w:p>
        </w:tc>
        <w:tc>
          <w:tcPr>
            <w:tcW w:w="787" w:type="dxa"/>
            <w:tcBorders>
              <w:top w:val="nil"/>
              <w:left w:val="nil"/>
              <w:bottom w:val="single" w:sz="4" w:space="0" w:color="auto"/>
              <w:right w:val="single" w:sz="4" w:space="0" w:color="auto"/>
            </w:tcBorders>
            <w:shd w:val="clear" w:color="auto" w:fill="auto"/>
            <w:noWrap/>
            <w:vAlign w:val="center"/>
            <w:hideMark/>
          </w:tcPr>
          <w:p w14:paraId="06DE60C4" w14:textId="7B4F3E61" w:rsidR="00F136AD" w:rsidRPr="000C2B6A" w:rsidRDefault="00F136AD" w:rsidP="00F136AD">
            <w:pPr>
              <w:rPr>
                <w:rFonts w:eastAsia="Arial" w:cs="Arial"/>
                <w:sz w:val="16"/>
                <w:szCs w:val="16"/>
              </w:rPr>
            </w:pPr>
            <w:r>
              <w:rPr>
                <w:rFonts w:cs="Arial"/>
                <w:color w:val="000000"/>
                <w:sz w:val="16"/>
                <w:szCs w:val="16"/>
              </w:rPr>
              <w:t>per hour</w:t>
            </w:r>
          </w:p>
        </w:tc>
      </w:tr>
      <w:tr w:rsidR="00F136AD" w:rsidRPr="00B925F9" w14:paraId="2BEBD189"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noWrap/>
            <w:vAlign w:val="center"/>
            <w:hideMark/>
          </w:tcPr>
          <w:p w14:paraId="68D7176B" w14:textId="77777777" w:rsidR="00F136AD" w:rsidRPr="00AF5F1F" w:rsidRDefault="00F136AD" w:rsidP="00F136AD">
            <w:pPr>
              <w:rPr>
                <w:rFonts w:eastAsia="Arial" w:cs="Arial"/>
                <w:b/>
                <w:bCs/>
                <w:sz w:val="16"/>
                <w:szCs w:val="16"/>
              </w:rPr>
            </w:pPr>
            <w:r w:rsidRPr="006E7DA0">
              <w:rPr>
                <w:rFonts w:eastAsia="Arial" w:cs="Arial"/>
                <w:b/>
                <w:bCs/>
                <w:sz w:val="16"/>
                <w:szCs w:val="16"/>
              </w:rPr>
              <w:t>Line-borne interference test equipment</w:t>
            </w:r>
          </w:p>
        </w:tc>
        <w:tc>
          <w:tcPr>
            <w:tcW w:w="1134" w:type="dxa"/>
            <w:tcBorders>
              <w:top w:val="single" w:sz="4" w:space="0" w:color="auto"/>
            </w:tcBorders>
            <w:shd w:val="clear" w:color="auto" w:fill="auto"/>
            <w:noWrap/>
            <w:vAlign w:val="center"/>
            <w:hideMark/>
          </w:tcPr>
          <w:p w14:paraId="1EAA40B6" w14:textId="77777777" w:rsidR="00F136AD" w:rsidRPr="00B925F9" w:rsidRDefault="00F136AD" w:rsidP="00F136AD">
            <w:pPr>
              <w:rPr>
                <w:rFonts w:eastAsia="Arial" w:cs="Arial"/>
                <w:sz w:val="16"/>
                <w:szCs w:val="16"/>
              </w:rPr>
            </w:pPr>
            <w:r w:rsidRPr="00B925F9">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04813B9F" w14:textId="1F9D265A"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6CD8EA65" w14:textId="0824CFCA"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8A52844" w14:textId="5DE32220"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5306910B" w14:textId="5801A109"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3DF732C1" w14:textId="7734F0BD"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4F62F532" w14:textId="55B91116"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2656C43" w14:textId="77E73E92"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27F70BCD" w14:textId="3FD75160"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4B8C798F" w14:textId="06579191"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672044BB" w14:textId="64E41FC0"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5BF99558" w14:textId="6AB602B2"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10E341E4" w14:textId="017E6FF7"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9637109" w14:textId="308C7BB1"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6F462B9" w14:textId="66187F29"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187C482C" w14:textId="44CA4390"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72E9884A" w14:textId="639078F9"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041E6397" w14:textId="4BAD8E1E"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1CDF5021" w14:textId="02C038EA"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3E11C546" w14:textId="6BB8FF86"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4AC9EC9D" w14:textId="44361E52"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3F87293D" w14:textId="12AC1C35"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3F45D9B5" w14:textId="20D6DBB6"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75BDD8B5" w14:textId="35A0F9A6" w:rsidR="00F136AD" w:rsidRPr="000C2B6A" w:rsidRDefault="00F136AD" w:rsidP="00F136AD">
            <w:pPr>
              <w:rPr>
                <w:rFonts w:eastAsia="Arial" w:cs="Arial"/>
                <w:sz w:val="16"/>
                <w:szCs w:val="16"/>
              </w:rPr>
            </w:pPr>
            <w:r>
              <w:rPr>
                <w:rFonts w:cs="Arial"/>
                <w:color w:val="000000"/>
                <w:sz w:val="16"/>
                <w:szCs w:val="16"/>
              </w:rPr>
              <w:t>$144</w:t>
            </w:r>
          </w:p>
        </w:tc>
        <w:tc>
          <w:tcPr>
            <w:tcW w:w="787" w:type="dxa"/>
            <w:tcBorders>
              <w:top w:val="nil"/>
              <w:left w:val="nil"/>
              <w:bottom w:val="single" w:sz="4" w:space="0" w:color="auto"/>
              <w:right w:val="single" w:sz="4" w:space="0" w:color="auto"/>
            </w:tcBorders>
            <w:shd w:val="clear" w:color="auto" w:fill="auto"/>
            <w:noWrap/>
            <w:vAlign w:val="center"/>
            <w:hideMark/>
          </w:tcPr>
          <w:p w14:paraId="0F2F7D6F" w14:textId="4B78F1AA" w:rsidR="00F136AD" w:rsidRPr="000C2B6A" w:rsidRDefault="00F136AD" w:rsidP="00F136AD">
            <w:pPr>
              <w:rPr>
                <w:rFonts w:eastAsia="Arial" w:cs="Arial"/>
                <w:sz w:val="16"/>
                <w:szCs w:val="16"/>
              </w:rPr>
            </w:pPr>
            <w:r>
              <w:rPr>
                <w:rFonts w:cs="Arial"/>
                <w:color w:val="000000"/>
                <w:sz w:val="16"/>
                <w:szCs w:val="16"/>
              </w:rPr>
              <w:t>per hour</w:t>
            </w:r>
          </w:p>
        </w:tc>
      </w:tr>
      <w:tr w:rsidR="00F136AD" w:rsidRPr="00B925F9" w14:paraId="5709C000"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noWrap/>
            <w:vAlign w:val="center"/>
            <w:hideMark/>
          </w:tcPr>
          <w:p w14:paraId="10D22FD1" w14:textId="77777777" w:rsidR="00F136AD" w:rsidRPr="00AF5F1F" w:rsidRDefault="00F136AD" w:rsidP="00F136AD">
            <w:pPr>
              <w:rPr>
                <w:rFonts w:eastAsia="Arial" w:cs="Arial"/>
                <w:b/>
                <w:bCs/>
                <w:sz w:val="16"/>
                <w:szCs w:val="16"/>
              </w:rPr>
            </w:pPr>
            <w:r w:rsidRPr="006E7DA0">
              <w:rPr>
                <w:rFonts w:eastAsia="Arial" w:cs="Arial"/>
                <w:b/>
                <w:bCs/>
                <w:sz w:val="16"/>
                <w:szCs w:val="16"/>
              </w:rPr>
              <w:t>Electromagnetic susceptibility test chamber</w:t>
            </w:r>
          </w:p>
        </w:tc>
        <w:tc>
          <w:tcPr>
            <w:tcW w:w="1134" w:type="dxa"/>
            <w:tcBorders>
              <w:top w:val="single" w:sz="4" w:space="0" w:color="auto"/>
            </w:tcBorders>
            <w:shd w:val="clear" w:color="auto" w:fill="auto"/>
            <w:noWrap/>
            <w:vAlign w:val="center"/>
            <w:hideMark/>
          </w:tcPr>
          <w:p w14:paraId="6A811D7F" w14:textId="77777777" w:rsidR="00F136AD" w:rsidRPr="00B925F9" w:rsidRDefault="00F136AD" w:rsidP="00F136AD">
            <w:pPr>
              <w:rPr>
                <w:rFonts w:eastAsia="Arial" w:cs="Arial"/>
                <w:sz w:val="16"/>
                <w:szCs w:val="16"/>
              </w:rPr>
            </w:pPr>
            <w:r w:rsidRPr="00B925F9">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7655704B" w14:textId="04E20CA3"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46C1E14F" w14:textId="23FE0388"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16ED7B7A" w14:textId="67FD4152"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2FA6C0C0" w14:textId="50FF3C1A"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B3D5FE4" w14:textId="38B7BB80"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6C947502" w14:textId="6ABEC4F2"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659BCFF" w14:textId="2C350379"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BB45270" w14:textId="20ADDA03"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FCB5753" w14:textId="0F2CD43E"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56E1CD50" w14:textId="649CC9DC"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2F8E5ED0" w14:textId="011CA871"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03D828DC" w14:textId="3C7E3770"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6A4247D" w14:textId="115D38F3"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2189B77" w14:textId="06B7F22C"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7510E5B7" w14:textId="6FEF6652"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2449943E" w14:textId="6F46DF66"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35C8E49E" w14:textId="39A66FDC"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76F74FEC" w14:textId="3AF6CFB6"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08C1F85D" w14:textId="628FA070"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1461C35B" w14:textId="2BAC6EFA"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05903D0C" w14:textId="1C1C87A2"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0982B7AD" w14:textId="5019D4A9"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76CD11CE" w14:textId="45BDED56" w:rsidR="00F136AD" w:rsidRPr="000C2B6A" w:rsidRDefault="00F136AD" w:rsidP="00F136AD">
            <w:pPr>
              <w:rPr>
                <w:rFonts w:eastAsia="Arial" w:cs="Arial"/>
                <w:sz w:val="16"/>
                <w:szCs w:val="16"/>
              </w:rPr>
            </w:pPr>
            <w:r>
              <w:rPr>
                <w:rFonts w:cs="Arial"/>
                <w:color w:val="000000"/>
                <w:sz w:val="16"/>
                <w:szCs w:val="16"/>
              </w:rPr>
              <w:t>$402</w:t>
            </w:r>
          </w:p>
        </w:tc>
        <w:tc>
          <w:tcPr>
            <w:tcW w:w="787" w:type="dxa"/>
            <w:tcBorders>
              <w:top w:val="nil"/>
              <w:left w:val="nil"/>
              <w:bottom w:val="single" w:sz="4" w:space="0" w:color="auto"/>
              <w:right w:val="single" w:sz="4" w:space="0" w:color="auto"/>
            </w:tcBorders>
            <w:shd w:val="clear" w:color="auto" w:fill="auto"/>
            <w:noWrap/>
            <w:vAlign w:val="center"/>
            <w:hideMark/>
          </w:tcPr>
          <w:p w14:paraId="34310140" w14:textId="14F9B980" w:rsidR="00F136AD" w:rsidRPr="000C2B6A" w:rsidRDefault="00F136AD" w:rsidP="00F136AD">
            <w:pPr>
              <w:rPr>
                <w:rFonts w:eastAsia="Arial" w:cs="Arial"/>
                <w:sz w:val="16"/>
                <w:szCs w:val="16"/>
              </w:rPr>
            </w:pPr>
            <w:r>
              <w:rPr>
                <w:rFonts w:cs="Arial"/>
                <w:color w:val="000000"/>
                <w:sz w:val="16"/>
                <w:szCs w:val="16"/>
              </w:rPr>
              <w:t>per hour</w:t>
            </w:r>
          </w:p>
        </w:tc>
      </w:tr>
      <w:tr w:rsidR="00F136AD" w:rsidRPr="00B925F9" w14:paraId="668106C6" w14:textId="77777777" w:rsidTr="00F136AD">
        <w:tblPrEx>
          <w:shd w:val="clear" w:color="auto" w:fill="DBE5F1" w:themeFill="accent1" w:themeFillTint="33"/>
        </w:tblPrEx>
        <w:trPr>
          <w:trHeight w:val="402"/>
        </w:trPr>
        <w:tc>
          <w:tcPr>
            <w:tcW w:w="2694" w:type="dxa"/>
            <w:tcBorders>
              <w:top w:val="single" w:sz="4" w:space="0" w:color="auto"/>
            </w:tcBorders>
            <w:shd w:val="clear" w:color="auto" w:fill="auto"/>
            <w:noWrap/>
            <w:vAlign w:val="center"/>
            <w:hideMark/>
          </w:tcPr>
          <w:p w14:paraId="2C17B258" w14:textId="77777777" w:rsidR="00F136AD" w:rsidRPr="00AF5F1F" w:rsidRDefault="00F136AD" w:rsidP="00F136AD">
            <w:pPr>
              <w:rPr>
                <w:rFonts w:eastAsia="Arial" w:cs="Arial"/>
                <w:b/>
                <w:bCs/>
                <w:sz w:val="16"/>
                <w:szCs w:val="16"/>
              </w:rPr>
            </w:pPr>
            <w:r w:rsidRPr="006E7DA0">
              <w:rPr>
                <w:rFonts w:eastAsia="Arial" w:cs="Arial"/>
                <w:b/>
                <w:bCs/>
                <w:sz w:val="16"/>
                <w:szCs w:val="16"/>
              </w:rPr>
              <w:t>Electromagnetic discharge test equipment</w:t>
            </w:r>
          </w:p>
        </w:tc>
        <w:tc>
          <w:tcPr>
            <w:tcW w:w="1134" w:type="dxa"/>
            <w:tcBorders>
              <w:top w:val="single" w:sz="4" w:space="0" w:color="auto"/>
            </w:tcBorders>
            <w:shd w:val="clear" w:color="auto" w:fill="auto"/>
            <w:noWrap/>
            <w:vAlign w:val="center"/>
            <w:hideMark/>
          </w:tcPr>
          <w:p w14:paraId="2421947D" w14:textId="77777777" w:rsidR="00F136AD" w:rsidRPr="00B925F9" w:rsidRDefault="00F136AD" w:rsidP="00F136AD">
            <w:pPr>
              <w:rPr>
                <w:rFonts w:eastAsia="Arial" w:cs="Arial"/>
                <w:sz w:val="16"/>
                <w:szCs w:val="16"/>
              </w:rPr>
            </w:pPr>
            <w:r w:rsidRPr="00B925F9">
              <w:rPr>
                <w:rFonts w:eastAsia="Arial" w:cs="Arial"/>
                <w:sz w:val="16"/>
                <w:szCs w:val="16"/>
              </w:rPr>
              <w:t>Laboratory</w:t>
            </w:r>
          </w:p>
        </w:tc>
        <w:tc>
          <w:tcPr>
            <w:tcW w:w="850" w:type="dxa"/>
            <w:tcBorders>
              <w:top w:val="nil"/>
              <w:left w:val="nil"/>
              <w:bottom w:val="single" w:sz="4" w:space="0" w:color="auto"/>
              <w:right w:val="single" w:sz="4" w:space="0" w:color="auto"/>
            </w:tcBorders>
            <w:shd w:val="clear" w:color="auto" w:fill="auto"/>
            <w:noWrap/>
            <w:vAlign w:val="center"/>
            <w:hideMark/>
          </w:tcPr>
          <w:p w14:paraId="374A53EE" w14:textId="0D362D9C" w:rsidR="00F136AD" w:rsidRPr="000C2B6A" w:rsidRDefault="00F136AD" w:rsidP="00F136AD">
            <w:pPr>
              <w:rPr>
                <w:rFonts w:eastAsia="Arial" w:cs="Arial"/>
                <w:sz w:val="16"/>
                <w:szCs w:val="16"/>
              </w:rPr>
            </w:pPr>
            <w:r>
              <w:rPr>
                <w:rFonts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center"/>
            <w:hideMark/>
          </w:tcPr>
          <w:p w14:paraId="3982A71B" w14:textId="434FC355" w:rsidR="00F136AD" w:rsidRPr="000C2B6A"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645181E3" w14:textId="777D5277"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25F0BB75" w14:textId="0A5D5F6D"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1F5430C0" w14:textId="3595BB66" w:rsidR="00F136AD" w:rsidRPr="00A67C3B" w:rsidRDefault="00F136AD" w:rsidP="00F136AD">
            <w:pPr>
              <w:rPr>
                <w:rFonts w:eastAsia="Arial" w:cs="Arial"/>
                <w:sz w:val="16"/>
                <w:szCs w:val="16"/>
              </w:rPr>
            </w:pPr>
            <w:r>
              <w:rPr>
                <w:rFonts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center"/>
            <w:hideMark/>
          </w:tcPr>
          <w:p w14:paraId="7BDF06E5" w14:textId="3FF35F53"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6187488" w14:textId="7ACF82A7"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33B4A43" w14:textId="3CA6A74A"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49CE9C4" w14:textId="43902381" w:rsidR="00F136AD" w:rsidRPr="00A67C3B" w:rsidRDefault="00F136AD" w:rsidP="00F136AD">
            <w:pPr>
              <w:rPr>
                <w:rFonts w:eastAsia="Arial" w:cs="Arial"/>
                <w:sz w:val="16"/>
                <w:szCs w:val="16"/>
              </w:rPr>
            </w:pPr>
            <w:r>
              <w:rPr>
                <w:rFonts w:cs="Arial"/>
                <w:color w:val="000000"/>
                <w:sz w:val="16"/>
                <w:szCs w:val="16"/>
              </w:rPr>
              <w:t> </w:t>
            </w:r>
          </w:p>
        </w:tc>
        <w:tc>
          <w:tcPr>
            <w:tcW w:w="731" w:type="dxa"/>
            <w:tcBorders>
              <w:top w:val="nil"/>
              <w:left w:val="nil"/>
              <w:bottom w:val="single" w:sz="4" w:space="0" w:color="auto"/>
              <w:right w:val="single" w:sz="4" w:space="0" w:color="auto"/>
            </w:tcBorders>
            <w:shd w:val="clear" w:color="auto" w:fill="auto"/>
            <w:noWrap/>
            <w:vAlign w:val="center"/>
            <w:hideMark/>
          </w:tcPr>
          <w:p w14:paraId="42C106F4" w14:textId="5202014B" w:rsidR="00F136AD" w:rsidRPr="00A67C3B" w:rsidRDefault="00F136AD" w:rsidP="00F136AD">
            <w:pPr>
              <w:rPr>
                <w:rFonts w:eastAsia="Arial" w:cs="Arial"/>
                <w:sz w:val="16"/>
                <w:szCs w:val="16"/>
              </w:rPr>
            </w:pPr>
            <w:r>
              <w:rPr>
                <w:rFonts w:cs="Arial"/>
                <w:color w:val="000000"/>
                <w:sz w:val="16"/>
                <w:szCs w:val="16"/>
              </w:rPr>
              <w:t> </w:t>
            </w:r>
          </w:p>
        </w:tc>
        <w:tc>
          <w:tcPr>
            <w:tcW w:w="741" w:type="dxa"/>
            <w:tcBorders>
              <w:top w:val="nil"/>
              <w:left w:val="nil"/>
              <w:bottom w:val="single" w:sz="4" w:space="0" w:color="auto"/>
              <w:right w:val="single" w:sz="4" w:space="0" w:color="auto"/>
            </w:tcBorders>
            <w:shd w:val="clear" w:color="auto" w:fill="auto"/>
            <w:noWrap/>
            <w:vAlign w:val="center"/>
            <w:hideMark/>
          </w:tcPr>
          <w:p w14:paraId="02349723" w14:textId="221D3217" w:rsidR="00F136AD" w:rsidRPr="00A67C3B" w:rsidRDefault="00F136AD" w:rsidP="00F136AD">
            <w:pPr>
              <w:rPr>
                <w:rFonts w:eastAsia="Arial" w:cs="Arial"/>
                <w:sz w:val="16"/>
                <w:szCs w:val="16"/>
              </w:rPr>
            </w:pPr>
            <w:r>
              <w:rPr>
                <w:rFonts w:cs="Arial"/>
                <w:color w:val="000000"/>
                <w:sz w:val="16"/>
                <w:szCs w:val="16"/>
              </w:rPr>
              <w:t> </w:t>
            </w:r>
          </w:p>
        </w:tc>
        <w:tc>
          <w:tcPr>
            <w:tcW w:w="796" w:type="dxa"/>
            <w:tcBorders>
              <w:top w:val="nil"/>
              <w:left w:val="nil"/>
              <w:bottom w:val="single" w:sz="4" w:space="0" w:color="auto"/>
              <w:right w:val="single" w:sz="4" w:space="0" w:color="auto"/>
            </w:tcBorders>
            <w:shd w:val="clear" w:color="auto" w:fill="auto"/>
            <w:noWrap/>
            <w:vAlign w:val="center"/>
            <w:hideMark/>
          </w:tcPr>
          <w:p w14:paraId="3696BAAF" w14:textId="7DFEE646" w:rsidR="00F136AD" w:rsidRPr="00A67C3B" w:rsidRDefault="00F136AD" w:rsidP="00F136AD">
            <w:pPr>
              <w:rPr>
                <w:rFonts w:eastAsia="Arial" w:cs="Arial"/>
                <w:sz w:val="16"/>
                <w:szCs w:val="16"/>
              </w:rPr>
            </w:pPr>
            <w:r>
              <w:rPr>
                <w:rFonts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4F84A26B" w14:textId="27D86441" w:rsidR="00F136AD" w:rsidRPr="00A67C3B" w:rsidRDefault="00F136AD" w:rsidP="00F136AD">
            <w:pPr>
              <w:rPr>
                <w:rFonts w:eastAsia="Arial" w:cs="Arial"/>
                <w:sz w:val="16"/>
                <w:szCs w:val="16"/>
              </w:rPr>
            </w:pPr>
            <w:r>
              <w:rPr>
                <w:rFonts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2E57C15B" w14:textId="735DB3F9" w:rsidR="00F136AD" w:rsidRPr="00A67C3B" w:rsidRDefault="00F136AD" w:rsidP="00F136AD">
            <w:pPr>
              <w:rPr>
                <w:rFonts w:eastAsia="Arial" w:cs="Arial"/>
                <w:sz w:val="16"/>
                <w:szCs w:val="16"/>
              </w:rPr>
            </w:pPr>
            <w:r>
              <w:rPr>
                <w:rFonts w:cs="Arial"/>
                <w:color w:val="000000"/>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14:paraId="77A19BC5" w14:textId="42C3A30B" w:rsidR="00F136AD" w:rsidRPr="00A67C3B" w:rsidRDefault="00F136AD" w:rsidP="00F136AD">
            <w:pPr>
              <w:rPr>
                <w:rFonts w:eastAsia="Arial" w:cs="Arial"/>
                <w:sz w:val="16"/>
                <w:szCs w:val="16"/>
              </w:rPr>
            </w:pPr>
            <w:r>
              <w:rPr>
                <w:rFonts w:cs="Arial"/>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center"/>
            <w:hideMark/>
          </w:tcPr>
          <w:p w14:paraId="0DE1BAFF" w14:textId="0B23A51D" w:rsidR="00F136AD" w:rsidRPr="00A67C3B" w:rsidRDefault="00F136AD" w:rsidP="00F136AD">
            <w:pPr>
              <w:rPr>
                <w:rFonts w:eastAsia="Arial" w:cs="Arial"/>
                <w:sz w:val="16"/>
                <w:szCs w:val="16"/>
              </w:rPr>
            </w:pPr>
            <w:r>
              <w:rPr>
                <w:rFonts w:cs="Arial"/>
                <w:color w:val="000000"/>
                <w:sz w:val="16"/>
                <w:szCs w:val="16"/>
              </w:rPr>
              <w:t> </w:t>
            </w:r>
          </w:p>
        </w:tc>
        <w:tc>
          <w:tcPr>
            <w:tcW w:w="702" w:type="dxa"/>
            <w:tcBorders>
              <w:top w:val="nil"/>
              <w:left w:val="nil"/>
              <w:bottom w:val="single" w:sz="4" w:space="0" w:color="auto"/>
              <w:right w:val="single" w:sz="4" w:space="0" w:color="auto"/>
            </w:tcBorders>
            <w:shd w:val="clear" w:color="auto" w:fill="auto"/>
            <w:noWrap/>
            <w:vAlign w:val="center"/>
            <w:hideMark/>
          </w:tcPr>
          <w:p w14:paraId="27CF87CE" w14:textId="20BD85D2" w:rsidR="00F136AD" w:rsidRPr="00A67C3B" w:rsidRDefault="00F136AD" w:rsidP="00F136AD">
            <w:pPr>
              <w:rPr>
                <w:rFonts w:eastAsia="Arial" w:cs="Arial"/>
                <w:sz w:val="16"/>
                <w:szCs w:val="16"/>
              </w:rPr>
            </w:pPr>
            <w:r>
              <w:rPr>
                <w:rFonts w:cs="Arial"/>
                <w:color w:val="000000"/>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14:paraId="5F99A208" w14:textId="63683EF1" w:rsidR="00F136AD" w:rsidRPr="00A67C3B" w:rsidRDefault="00F136AD" w:rsidP="00F136AD">
            <w:pPr>
              <w:rPr>
                <w:rFonts w:eastAsia="Arial" w:cs="Arial"/>
                <w:sz w:val="16"/>
                <w:szCs w:val="16"/>
              </w:rPr>
            </w:pPr>
            <w:r>
              <w:rPr>
                <w:rFonts w:cs="Arial"/>
                <w:color w:val="000000"/>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14:paraId="23E9EF97" w14:textId="093EC830" w:rsidR="00F136AD" w:rsidRPr="00A67C3B" w:rsidRDefault="00F136AD" w:rsidP="00F136AD">
            <w:pPr>
              <w:rPr>
                <w:rFonts w:eastAsia="Arial" w:cs="Arial"/>
                <w:sz w:val="16"/>
                <w:szCs w:val="16"/>
              </w:rPr>
            </w:pPr>
            <w:r>
              <w:rPr>
                <w:rFonts w:cs="Arial"/>
                <w:color w:val="000000"/>
                <w:sz w:val="16"/>
                <w:szCs w:val="16"/>
              </w:rPr>
              <w:t> </w:t>
            </w:r>
          </w:p>
        </w:tc>
        <w:tc>
          <w:tcPr>
            <w:tcW w:w="784" w:type="dxa"/>
            <w:tcBorders>
              <w:top w:val="nil"/>
              <w:left w:val="nil"/>
              <w:bottom w:val="single" w:sz="4" w:space="0" w:color="auto"/>
              <w:right w:val="single" w:sz="4" w:space="0" w:color="auto"/>
            </w:tcBorders>
            <w:shd w:val="clear" w:color="auto" w:fill="auto"/>
            <w:noWrap/>
            <w:vAlign w:val="center"/>
            <w:hideMark/>
          </w:tcPr>
          <w:p w14:paraId="60992FCC" w14:textId="39CA37F5" w:rsidR="00F136AD" w:rsidRPr="00A67C3B" w:rsidRDefault="00F136AD" w:rsidP="00F136AD">
            <w:pPr>
              <w:rPr>
                <w:rFonts w:eastAsia="Arial" w:cs="Arial"/>
                <w:sz w:val="16"/>
                <w:szCs w:val="16"/>
              </w:rPr>
            </w:pPr>
            <w:r>
              <w:rPr>
                <w:rFonts w:cs="Arial"/>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center"/>
            <w:hideMark/>
          </w:tcPr>
          <w:p w14:paraId="6FCB8AEF" w14:textId="077F16B8" w:rsidR="00F136AD" w:rsidRPr="00A67C3B" w:rsidRDefault="00F136AD" w:rsidP="00F136AD">
            <w:pPr>
              <w:rPr>
                <w:rFonts w:eastAsia="Arial" w:cs="Arial"/>
                <w:sz w:val="16"/>
                <w:szCs w:val="16"/>
              </w:rPr>
            </w:pPr>
            <w:r>
              <w:rPr>
                <w:rFonts w:cs="Arial"/>
                <w:color w:val="000000"/>
                <w:sz w:val="16"/>
                <w:szCs w:val="16"/>
              </w:rPr>
              <w:t> </w:t>
            </w:r>
          </w:p>
        </w:tc>
        <w:tc>
          <w:tcPr>
            <w:tcW w:w="809" w:type="dxa"/>
            <w:tcBorders>
              <w:top w:val="nil"/>
              <w:left w:val="nil"/>
              <w:bottom w:val="single" w:sz="4" w:space="0" w:color="auto"/>
              <w:right w:val="single" w:sz="4" w:space="0" w:color="auto"/>
            </w:tcBorders>
            <w:shd w:val="clear" w:color="auto" w:fill="auto"/>
            <w:noWrap/>
            <w:vAlign w:val="center"/>
            <w:hideMark/>
          </w:tcPr>
          <w:p w14:paraId="6E9DED41" w14:textId="1255D8C7" w:rsidR="00F136AD" w:rsidRPr="00A67C3B" w:rsidRDefault="00F136AD" w:rsidP="00F136AD">
            <w:pPr>
              <w:rPr>
                <w:rFonts w:eastAsia="Arial" w:cs="Arial"/>
                <w:sz w:val="16"/>
                <w:szCs w:val="16"/>
              </w:rPr>
            </w:pPr>
            <w:r>
              <w:rPr>
                <w:rFonts w:cs="Arial"/>
                <w:color w:val="000000"/>
                <w:sz w:val="16"/>
                <w:szCs w:val="16"/>
              </w:rPr>
              <w:t> </w:t>
            </w:r>
          </w:p>
        </w:tc>
        <w:tc>
          <w:tcPr>
            <w:tcW w:w="584" w:type="dxa"/>
            <w:tcBorders>
              <w:top w:val="nil"/>
              <w:left w:val="nil"/>
              <w:bottom w:val="single" w:sz="4" w:space="0" w:color="auto"/>
              <w:right w:val="single" w:sz="4" w:space="0" w:color="auto"/>
            </w:tcBorders>
            <w:shd w:val="clear" w:color="auto" w:fill="auto"/>
            <w:noWrap/>
            <w:vAlign w:val="center"/>
            <w:hideMark/>
          </w:tcPr>
          <w:p w14:paraId="3BA3CF53" w14:textId="35A1129A" w:rsidR="00F136AD" w:rsidRPr="000C2B6A" w:rsidRDefault="00F136AD" w:rsidP="00F136AD">
            <w:pPr>
              <w:rPr>
                <w:rFonts w:eastAsia="Arial" w:cs="Arial"/>
                <w:sz w:val="16"/>
                <w:szCs w:val="16"/>
              </w:rPr>
            </w:pPr>
            <w:r>
              <w:rPr>
                <w:rFonts w:cs="Arial"/>
                <w:color w:val="000000"/>
                <w:sz w:val="16"/>
                <w:szCs w:val="16"/>
              </w:rPr>
              <w:t>$147</w:t>
            </w:r>
          </w:p>
        </w:tc>
        <w:tc>
          <w:tcPr>
            <w:tcW w:w="787" w:type="dxa"/>
            <w:tcBorders>
              <w:top w:val="nil"/>
              <w:left w:val="nil"/>
              <w:bottom w:val="single" w:sz="4" w:space="0" w:color="auto"/>
              <w:right w:val="single" w:sz="4" w:space="0" w:color="auto"/>
            </w:tcBorders>
            <w:shd w:val="clear" w:color="auto" w:fill="auto"/>
            <w:noWrap/>
            <w:vAlign w:val="center"/>
            <w:hideMark/>
          </w:tcPr>
          <w:p w14:paraId="16556E9C" w14:textId="418BB2A8" w:rsidR="00F136AD" w:rsidRPr="000C2B6A" w:rsidRDefault="00F136AD" w:rsidP="00F136AD">
            <w:pPr>
              <w:rPr>
                <w:rFonts w:eastAsia="Arial" w:cs="Arial"/>
                <w:sz w:val="16"/>
                <w:szCs w:val="16"/>
              </w:rPr>
            </w:pPr>
            <w:r>
              <w:rPr>
                <w:rFonts w:cs="Arial"/>
                <w:color w:val="000000"/>
                <w:sz w:val="16"/>
                <w:szCs w:val="16"/>
              </w:rPr>
              <w:t>per hour</w:t>
            </w:r>
          </w:p>
        </w:tc>
      </w:tr>
    </w:tbl>
    <w:p w14:paraId="757DB3A4" w14:textId="77777777" w:rsidR="00B377EA" w:rsidRPr="00B925F9" w:rsidRDefault="00B377EA" w:rsidP="006E7DA0">
      <w:pPr>
        <w:rPr>
          <w:rFonts w:eastAsia="Arial" w:cs="Arial"/>
          <w:sz w:val="16"/>
          <w:szCs w:val="16"/>
        </w:rPr>
      </w:pPr>
    </w:p>
    <w:p w14:paraId="726199F4" w14:textId="77777777" w:rsidR="00B377EA" w:rsidRPr="00B925F9" w:rsidRDefault="00B377EA" w:rsidP="00B377EA">
      <w:pPr>
        <w:rPr>
          <w:rFonts w:eastAsia="Arial" w:cs="Arial"/>
          <w:sz w:val="16"/>
          <w:szCs w:val="16"/>
        </w:rPr>
      </w:pPr>
    </w:p>
    <w:p w14:paraId="255C1DC1" w14:textId="77777777" w:rsidR="00303331" w:rsidRDefault="00303331" w:rsidP="00B925F9">
      <w:pPr>
        <w:rPr>
          <w:rFonts w:eastAsia="Arial" w:cs="Arial"/>
          <w:sz w:val="16"/>
          <w:szCs w:val="16"/>
        </w:rPr>
      </w:pPr>
    </w:p>
    <w:p w14:paraId="59EE2F2E" w14:textId="77777777" w:rsidR="003A2144" w:rsidRDefault="003A2144" w:rsidP="00B925F9">
      <w:pPr>
        <w:rPr>
          <w:rFonts w:eastAsia="Arial" w:cs="Arial"/>
          <w:sz w:val="16"/>
          <w:szCs w:val="16"/>
        </w:rPr>
      </w:pPr>
    </w:p>
    <w:p w14:paraId="523A9064" w14:textId="77777777" w:rsidR="001954B0" w:rsidRDefault="001954B0">
      <w:pPr>
        <w:spacing w:after="200" w:line="276" w:lineRule="auto"/>
        <w:rPr>
          <w:rFonts w:eastAsia="Arial" w:cs="Arial"/>
          <w:b/>
          <w:bCs/>
          <w:iCs/>
          <w:szCs w:val="28"/>
        </w:rPr>
      </w:pPr>
      <w:r>
        <w:rPr>
          <w:rFonts w:eastAsia="Arial"/>
        </w:rPr>
        <w:br w:type="page"/>
      </w:r>
    </w:p>
    <w:p w14:paraId="2BC23B73" w14:textId="6A2132F9" w:rsidR="003A2144" w:rsidRPr="003A2144" w:rsidRDefault="003A2144" w:rsidP="005A229D">
      <w:pPr>
        <w:pStyle w:val="Heading2"/>
        <w:numPr>
          <w:ilvl w:val="0"/>
          <w:numId w:val="0"/>
        </w:numPr>
        <w:jc w:val="both"/>
        <w:rPr>
          <w:rFonts w:eastAsia="Arial"/>
          <w:szCs w:val="20"/>
        </w:rPr>
      </w:pPr>
      <w:bookmarkStart w:id="90" w:name="_Toc85106100"/>
      <w:r>
        <w:rPr>
          <w:rFonts w:eastAsia="Arial"/>
        </w:rPr>
        <w:lastRenderedPageBreak/>
        <w:t>A.2 Pattern Approval fee for the financial year 20</w:t>
      </w:r>
      <w:r w:rsidR="00EC039C">
        <w:rPr>
          <w:rFonts w:eastAsia="Arial"/>
        </w:rPr>
        <w:t>2</w:t>
      </w:r>
      <w:r w:rsidR="00F136AD">
        <w:rPr>
          <w:rFonts w:eastAsia="Arial"/>
        </w:rPr>
        <w:t>1</w:t>
      </w:r>
      <w:r>
        <w:rPr>
          <w:rFonts w:eastAsia="Arial"/>
        </w:rPr>
        <w:t>-202</w:t>
      </w:r>
      <w:r w:rsidR="00F136AD">
        <w:rPr>
          <w:rFonts w:eastAsia="Arial"/>
        </w:rPr>
        <w:t>2</w:t>
      </w:r>
      <w:bookmarkEnd w:id="90"/>
    </w:p>
    <w:tbl>
      <w:tblPr>
        <w:tblStyle w:val="TableGrid"/>
        <w:tblW w:w="21642" w:type="dxa"/>
        <w:tblInd w:w="-714" w:type="dxa"/>
        <w:tblLayout w:type="fixed"/>
        <w:tblLook w:val="04A0" w:firstRow="1" w:lastRow="0" w:firstColumn="1" w:lastColumn="0" w:noHBand="0" w:noVBand="1"/>
      </w:tblPr>
      <w:tblGrid>
        <w:gridCol w:w="2694"/>
        <w:gridCol w:w="1135"/>
        <w:gridCol w:w="849"/>
        <w:gridCol w:w="752"/>
        <w:gridCol w:w="741"/>
        <w:gridCol w:w="784"/>
        <w:gridCol w:w="741"/>
        <w:gridCol w:w="810"/>
        <w:gridCol w:w="850"/>
        <w:gridCol w:w="709"/>
        <w:gridCol w:w="709"/>
        <w:gridCol w:w="731"/>
        <w:gridCol w:w="741"/>
        <w:gridCol w:w="796"/>
        <w:gridCol w:w="850"/>
        <w:gridCol w:w="709"/>
        <w:gridCol w:w="726"/>
        <w:gridCol w:w="691"/>
        <w:gridCol w:w="702"/>
        <w:gridCol w:w="716"/>
        <w:gridCol w:w="633"/>
        <w:gridCol w:w="784"/>
        <w:gridCol w:w="609"/>
        <w:gridCol w:w="809"/>
        <w:gridCol w:w="584"/>
        <w:gridCol w:w="787"/>
      </w:tblGrid>
      <w:tr w:rsidR="00B05B46" w:rsidRPr="006E7DA0" w14:paraId="0B3B2F20" w14:textId="77777777" w:rsidTr="00F626A9">
        <w:trPr>
          <w:cantSplit/>
          <w:trHeight w:val="327"/>
          <w:tblHeader/>
        </w:trPr>
        <w:tc>
          <w:tcPr>
            <w:tcW w:w="21642" w:type="dxa"/>
            <w:gridSpan w:val="26"/>
            <w:shd w:val="clear" w:color="auto" w:fill="FF0000"/>
            <w:noWrap/>
            <w:hideMark/>
          </w:tcPr>
          <w:p w14:paraId="0B88F2C9" w14:textId="77777777" w:rsidR="00B05B46" w:rsidRPr="004D5084" w:rsidRDefault="00B05B46" w:rsidP="00F626A9">
            <w:pPr>
              <w:jc w:val="center"/>
              <w:rPr>
                <w:rFonts w:eastAsia="Arial" w:cs="Arial"/>
                <w:b/>
                <w:bCs/>
                <w:color w:val="FFFFFF" w:themeColor="background1"/>
                <w:szCs w:val="20"/>
              </w:rPr>
            </w:pPr>
            <w:r w:rsidRPr="004D5084">
              <w:rPr>
                <w:rFonts w:eastAsia="Arial" w:cs="Arial"/>
                <w:b/>
                <w:bCs/>
                <w:color w:val="FFFFFF" w:themeColor="background1"/>
                <w:szCs w:val="20"/>
              </w:rPr>
              <w:t>Pattern Approval - National Measurement Regulations 1999 - Schedule 13-Fees</w:t>
            </w:r>
          </w:p>
          <w:p w14:paraId="1FD6B71A" w14:textId="77777777" w:rsidR="00B05B46" w:rsidRPr="006E7DA0" w:rsidRDefault="00B05B46" w:rsidP="00F626A9">
            <w:pPr>
              <w:rPr>
                <w:rFonts w:eastAsia="Arial" w:cs="Arial"/>
                <w:szCs w:val="20"/>
              </w:rPr>
            </w:pPr>
          </w:p>
        </w:tc>
      </w:tr>
      <w:tr w:rsidR="00B05B46" w:rsidRPr="00B925F9" w14:paraId="1BD8937C" w14:textId="77777777" w:rsidTr="00F626A9">
        <w:trPr>
          <w:cantSplit/>
          <w:trHeight w:val="375"/>
          <w:tblHeader/>
        </w:trPr>
        <w:tc>
          <w:tcPr>
            <w:tcW w:w="21642" w:type="dxa"/>
            <w:gridSpan w:val="26"/>
            <w:noWrap/>
            <w:hideMark/>
          </w:tcPr>
          <w:p w14:paraId="788B8775" w14:textId="1063BDE1" w:rsidR="00B05B46" w:rsidRPr="00B925F9" w:rsidRDefault="00B05B46" w:rsidP="00F136AD">
            <w:pPr>
              <w:rPr>
                <w:rFonts w:eastAsia="Arial" w:cs="Arial"/>
                <w:b/>
                <w:bCs/>
                <w:sz w:val="18"/>
                <w:szCs w:val="18"/>
              </w:rPr>
            </w:pPr>
            <w:r w:rsidRPr="00B925F9">
              <w:rPr>
                <w:rFonts w:eastAsia="Arial" w:cs="Arial"/>
                <w:b/>
                <w:bCs/>
                <w:sz w:val="18"/>
                <w:szCs w:val="18"/>
              </w:rPr>
              <w:t>Financial Year 20</w:t>
            </w:r>
            <w:r w:rsidR="00EC039C">
              <w:rPr>
                <w:rFonts w:eastAsia="Arial" w:cs="Arial"/>
                <w:b/>
                <w:bCs/>
                <w:sz w:val="18"/>
                <w:szCs w:val="18"/>
              </w:rPr>
              <w:t>2</w:t>
            </w:r>
            <w:r w:rsidR="00F136AD">
              <w:rPr>
                <w:rFonts w:eastAsia="Arial" w:cs="Arial"/>
                <w:b/>
                <w:bCs/>
                <w:sz w:val="18"/>
                <w:szCs w:val="18"/>
              </w:rPr>
              <w:t>1</w:t>
            </w:r>
            <w:r w:rsidRPr="00B925F9">
              <w:rPr>
                <w:rFonts w:eastAsia="Arial" w:cs="Arial"/>
                <w:b/>
                <w:bCs/>
                <w:sz w:val="18"/>
                <w:szCs w:val="18"/>
              </w:rPr>
              <w:t>-20</w:t>
            </w:r>
            <w:r w:rsidR="007C0A11">
              <w:rPr>
                <w:rFonts w:eastAsia="Arial" w:cs="Arial"/>
                <w:b/>
                <w:bCs/>
                <w:sz w:val="18"/>
                <w:szCs w:val="18"/>
              </w:rPr>
              <w:t>2</w:t>
            </w:r>
            <w:r w:rsidR="00F136AD">
              <w:rPr>
                <w:rFonts w:eastAsia="Arial" w:cs="Arial"/>
                <w:b/>
                <w:bCs/>
                <w:sz w:val="18"/>
                <w:szCs w:val="18"/>
              </w:rPr>
              <w:t>2</w:t>
            </w:r>
          </w:p>
        </w:tc>
      </w:tr>
      <w:tr w:rsidR="004D526C" w:rsidRPr="006B79BE" w14:paraId="5F009247" w14:textId="77777777" w:rsidTr="00F626A9">
        <w:tblPrEx>
          <w:shd w:val="clear" w:color="auto" w:fill="DBE5F1" w:themeFill="accent1" w:themeFillTint="33"/>
        </w:tblPrEx>
        <w:trPr>
          <w:trHeight w:val="1451"/>
          <w:tblHeader/>
        </w:trPr>
        <w:tc>
          <w:tcPr>
            <w:tcW w:w="2694" w:type="dxa"/>
            <w:shd w:val="clear" w:color="auto" w:fill="DBE5F1" w:themeFill="accent1" w:themeFillTint="33"/>
            <w:hideMark/>
          </w:tcPr>
          <w:p w14:paraId="00E38C08" w14:textId="77777777" w:rsidR="004D526C" w:rsidRPr="00AF5F1F" w:rsidRDefault="004D526C" w:rsidP="00A67C3B">
            <w:pPr>
              <w:rPr>
                <w:rFonts w:eastAsia="Arial" w:cs="Arial"/>
                <w:b/>
                <w:bCs/>
                <w:sz w:val="16"/>
                <w:szCs w:val="16"/>
              </w:rPr>
            </w:pPr>
            <w:r>
              <w:rPr>
                <w:rFonts w:eastAsia="Arial" w:cs="Arial"/>
                <w:b/>
                <w:bCs/>
                <w:sz w:val="16"/>
                <w:szCs w:val="16"/>
              </w:rPr>
              <w:t>Activity</w:t>
            </w:r>
          </w:p>
        </w:tc>
        <w:tc>
          <w:tcPr>
            <w:tcW w:w="1135" w:type="dxa"/>
            <w:shd w:val="clear" w:color="auto" w:fill="DBE5F1" w:themeFill="accent1" w:themeFillTint="33"/>
          </w:tcPr>
          <w:p w14:paraId="347FB199" w14:textId="77777777" w:rsidR="004D526C" w:rsidRPr="00AF5F1F" w:rsidRDefault="004D526C" w:rsidP="004D526C">
            <w:pPr>
              <w:rPr>
                <w:rFonts w:eastAsia="Arial" w:cs="Arial"/>
                <w:b/>
                <w:bCs/>
                <w:sz w:val="16"/>
                <w:szCs w:val="16"/>
              </w:rPr>
            </w:pPr>
            <w:r w:rsidRPr="00AF5F1F">
              <w:rPr>
                <w:rFonts w:eastAsia="Arial" w:cs="Arial"/>
                <w:b/>
                <w:bCs/>
                <w:sz w:val="16"/>
                <w:szCs w:val="16"/>
              </w:rPr>
              <w:t>Certificate or Laboratory Function</w:t>
            </w:r>
          </w:p>
        </w:tc>
        <w:tc>
          <w:tcPr>
            <w:tcW w:w="4677" w:type="dxa"/>
            <w:gridSpan w:val="6"/>
            <w:shd w:val="clear" w:color="auto" w:fill="DBE5F1" w:themeFill="accent1" w:themeFillTint="33"/>
            <w:hideMark/>
          </w:tcPr>
          <w:p w14:paraId="21CD183F" w14:textId="77777777" w:rsidR="004D526C" w:rsidRPr="006B79BE" w:rsidRDefault="004D526C" w:rsidP="00A67C3B">
            <w:pPr>
              <w:rPr>
                <w:rFonts w:eastAsia="Arial" w:cs="Arial"/>
                <w:b/>
                <w:bCs/>
                <w:sz w:val="16"/>
                <w:szCs w:val="16"/>
              </w:rPr>
            </w:pPr>
            <w:r w:rsidRPr="006B79BE">
              <w:rPr>
                <w:rFonts w:eastAsia="Arial" w:cs="Arial"/>
                <w:b/>
                <w:bCs/>
                <w:sz w:val="16"/>
                <w:szCs w:val="16"/>
              </w:rPr>
              <w:t>Part 1 - Examination and certification of patterns of volume measuring instruments</w:t>
            </w:r>
          </w:p>
        </w:tc>
        <w:tc>
          <w:tcPr>
            <w:tcW w:w="4536" w:type="dxa"/>
            <w:gridSpan w:val="6"/>
            <w:shd w:val="clear" w:color="auto" w:fill="DBE5F1" w:themeFill="accent1" w:themeFillTint="33"/>
            <w:hideMark/>
          </w:tcPr>
          <w:p w14:paraId="5427E9D0" w14:textId="77777777" w:rsidR="004D526C" w:rsidRPr="006B79BE" w:rsidRDefault="004D526C" w:rsidP="00A67C3B">
            <w:pPr>
              <w:rPr>
                <w:rFonts w:eastAsia="Arial" w:cs="Arial"/>
                <w:b/>
                <w:bCs/>
                <w:sz w:val="16"/>
                <w:szCs w:val="16"/>
              </w:rPr>
            </w:pPr>
            <w:r w:rsidRPr="006B79BE">
              <w:rPr>
                <w:rFonts w:eastAsia="Arial" w:cs="Arial"/>
                <w:b/>
                <w:bCs/>
                <w:sz w:val="16"/>
                <w:szCs w:val="16"/>
              </w:rPr>
              <w:t>Part 2 - Examination and certification of patterns of weighing and dimensional measuring instruments</w:t>
            </w:r>
          </w:p>
        </w:tc>
        <w:tc>
          <w:tcPr>
            <w:tcW w:w="1559" w:type="dxa"/>
            <w:gridSpan w:val="2"/>
            <w:shd w:val="clear" w:color="auto" w:fill="DBE5F1" w:themeFill="accent1" w:themeFillTint="33"/>
            <w:hideMark/>
          </w:tcPr>
          <w:p w14:paraId="1A41A63F" w14:textId="77777777" w:rsidR="004D526C" w:rsidRPr="006B79BE" w:rsidRDefault="004D526C" w:rsidP="00A67C3B">
            <w:pPr>
              <w:rPr>
                <w:rFonts w:eastAsia="Arial" w:cs="Arial"/>
                <w:b/>
                <w:bCs/>
                <w:sz w:val="16"/>
                <w:szCs w:val="16"/>
              </w:rPr>
            </w:pPr>
            <w:r w:rsidRPr="006B79BE">
              <w:rPr>
                <w:rFonts w:eastAsia="Arial" w:cs="Arial"/>
                <w:b/>
                <w:bCs/>
                <w:sz w:val="16"/>
                <w:szCs w:val="16"/>
              </w:rPr>
              <w:t>Part 3 - Examination and certification of patterns of evidential breath analysers</w:t>
            </w:r>
          </w:p>
        </w:tc>
        <w:tc>
          <w:tcPr>
            <w:tcW w:w="1417" w:type="dxa"/>
            <w:gridSpan w:val="2"/>
            <w:shd w:val="clear" w:color="auto" w:fill="DBE5F1" w:themeFill="accent1" w:themeFillTint="33"/>
            <w:hideMark/>
          </w:tcPr>
          <w:p w14:paraId="63937A3A" w14:textId="77777777" w:rsidR="004D526C" w:rsidRPr="006B79BE" w:rsidRDefault="004D526C" w:rsidP="00A67C3B">
            <w:pPr>
              <w:rPr>
                <w:rFonts w:eastAsia="Arial" w:cs="Arial"/>
                <w:b/>
                <w:bCs/>
                <w:sz w:val="16"/>
                <w:szCs w:val="16"/>
              </w:rPr>
            </w:pPr>
            <w:r w:rsidRPr="006B79BE">
              <w:rPr>
                <w:rFonts w:eastAsia="Arial" w:cs="Arial"/>
                <w:b/>
                <w:bCs/>
                <w:sz w:val="16"/>
                <w:szCs w:val="16"/>
              </w:rPr>
              <w:t>Part 4 - Examination and certification of patterns of grain protein measuring instruments</w:t>
            </w:r>
          </w:p>
        </w:tc>
        <w:tc>
          <w:tcPr>
            <w:tcW w:w="1418" w:type="dxa"/>
            <w:gridSpan w:val="2"/>
            <w:shd w:val="clear" w:color="auto" w:fill="DBE5F1" w:themeFill="accent1" w:themeFillTint="33"/>
            <w:hideMark/>
          </w:tcPr>
          <w:p w14:paraId="2BC4FDE1" w14:textId="77777777" w:rsidR="004D526C" w:rsidRPr="006B79BE" w:rsidRDefault="004D526C" w:rsidP="00A67C3B">
            <w:pPr>
              <w:rPr>
                <w:rFonts w:eastAsia="Arial" w:cs="Arial"/>
                <w:b/>
                <w:bCs/>
                <w:sz w:val="16"/>
                <w:szCs w:val="16"/>
              </w:rPr>
            </w:pPr>
            <w:r w:rsidRPr="006B79BE">
              <w:rPr>
                <w:rFonts w:eastAsia="Arial" w:cs="Arial"/>
                <w:b/>
                <w:bCs/>
                <w:sz w:val="16"/>
                <w:szCs w:val="16"/>
              </w:rPr>
              <w:t>Part 5 - Examination and certification of patterns of utility meters</w:t>
            </w:r>
          </w:p>
        </w:tc>
        <w:tc>
          <w:tcPr>
            <w:tcW w:w="1417" w:type="dxa"/>
            <w:gridSpan w:val="2"/>
            <w:shd w:val="clear" w:color="auto" w:fill="DBE5F1" w:themeFill="accent1" w:themeFillTint="33"/>
            <w:hideMark/>
          </w:tcPr>
          <w:p w14:paraId="3F4C6F6A" w14:textId="77777777" w:rsidR="004D526C" w:rsidRPr="006B79BE" w:rsidRDefault="004D526C" w:rsidP="00A67C3B">
            <w:pPr>
              <w:rPr>
                <w:rFonts w:eastAsia="Arial" w:cs="Arial"/>
                <w:b/>
                <w:bCs/>
                <w:sz w:val="16"/>
                <w:szCs w:val="16"/>
              </w:rPr>
            </w:pPr>
            <w:r w:rsidRPr="006B79BE">
              <w:rPr>
                <w:rFonts w:eastAsia="Arial" w:cs="Arial"/>
                <w:b/>
                <w:bCs/>
                <w:sz w:val="16"/>
                <w:szCs w:val="16"/>
              </w:rPr>
              <w:t>Part 6 - Examination and certification of patterns of point of sale systems</w:t>
            </w:r>
          </w:p>
        </w:tc>
        <w:tc>
          <w:tcPr>
            <w:tcW w:w="1418" w:type="dxa"/>
            <w:gridSpan w:val="2"/>
            <w:tcBorders>
              <w:top w:val="single" w:sz="4" w:space="0" w:color="auto"/>
              <w:bottom w:val="single" w:sz="4" w:space="0" w:color="auto"/>
              <w:right w:val="single" w:sz="4" w:space="0" w:color="auto"/>
              <w:tl2br w:val="nil"/>
              <w:tr2bl w:val="nil"/>
            </w:tcBorders>
            <w:shd w:val="clear" w:color="auto" w:fill="DBE5F1" w:themeFill="accent1" w:themeFillTint="33"/>
          </w:tcPr>
          <w:p w14:paraId="725B04B4" w14:textId="77777777" w:rsidR="004D526C" w:rsidRPr="006B79BE" w:rsidRDefault="004D526C">
            <w:pPr>
              <w:spacing w:after="200" w:line="276" w:lineRule="auto"/>
              <w:rPr>
                <w:rFonts w:eastAsia="Arial" w:cs="Arial"/>
                <w:b/>
                <w:bCs/>
                <w:sz w:val="16"/>
                <w:szCs w:val="16"/>
              </w:rPr>
            </w:pPr>
            <w:r w:rsidRPr="006B79BE">
              <w:rPr>
                <w:rFonts w:eastAsia="Arial" w:cs="Arial"/>
                <w:b/>
                <w:bCs/>
                <w:sz w:val="16"/>
                <w:szCs w:val="16"/>
              </w:rPr>
              <w:t>Part 7 - Examination and certification of patterns of other measuring instruments</w:t>
            </w:r>
          </w:p>
        </w:tc>
        <w:tc>
          <w:tcPr>
            <w:tcW w:w="1371" w:type="dxa"/>
            <w:gridSpan w:val="2"/>
            <w:shd w:val="clear" w:color="auto" w:fill="DBE5F1" w:themeFill="accent1" w:themeFillTint="33"/>
          </w:tcPr>
          <w:p w14:paraId="28D06D5F" w14:textId="77777777" w:rsidR="004D526C" w:rsidRPr="006B79BE" w:rsidRDefault="004D526C">
            <w:pPr>
              <w:spacing w:after="200" w:line="276" w:lineRule="auto"/>
              <w:rPr>
                <w:rFonts w:eastAsia="Arial" w:cs="Arial"/>
                <w:b/>
                <w:bCs/>
                <w:sz w:val="16"/>
                <w:szCs w:val="16"/>
              </w:rPr>
            </w:pPr>
            <w:r w:rsidRPr="006B79BE">
              <w:rPr>
                <w:rFonts w:eastAsia="Arial" w:cs="Arial"/>
                <w:b/>
                <w:bCs/>
                <w:sz w:val="16"/>
                <w:szCs w:val="16"/>
              </w:rPr>
              <w:t>Part 8 - Fees for use of particular equipment in examination and certification of patterns of instruments</w:t>
            </w:r>
          </w:p>
        </w:tc>
      </w:tr>
      <w:tr w:rsidR="00150904" w:rsidRPr="00B925F9" w14:paraId="18F6637F" w14:textId="77777777" w:rsidTr="00F626A9">
        <w:tblPrEx>
          <w:shd w:val="clear" w:color="auto" w:fill="DBE5F1" w:themeFill="accent1" w:themeFillTint="33"/>
        </w:tblPrEx>
        <w:trPr>
          <w:trHeight w:val="402"/>
          <w:tblHeader/>
        </w:trPr>
        <w:tc>
          <w:tcPr>
            <w:tcW w:w="2694" w:type="dxa"/>
            <w:vMerge w:val="restart"/>
            <w:shd w:val="clear" w:color="auto" w:fill="DBE5F1" w:themeFill="accent1" w:themeFillTint="33"/>
            <w:vAlign w:val="center"/>
            <w:hideMark/>
          </w:tcPr>
          <w:p w14:paraId="33F8938C" w14:textId="77777777" w:rsidR="00150904" w:rsidRPr="00B925F9" w:rsidRDefault="00150904" w:rsidP="00793A35">
            <w:pPr>
              <w:rPr>
                <w:rFonts w:eastAsia="Arial" w:cs="Arial"/>
                <w:b/>
                <w:bCs/>
                <w:sz w:val="16"/>
                <w:szCs w:val="16"/>
              </w:rPr>
            </w:pPr>
          </w:p>
        </w:tc>
        <w:tc>
          <w:tcPr>
            <w:tcW w:w="1135" w:type="dxa"/>
            <w:vMerge w:val="restart"/>
            <w:shd w:val="clear" w:color="auto" w:fill="DBE5F1" w:themeFill="accent1" w:themeFillTint="33"/>
            <w:vAlign w:val="center"/>
            <w:hideMark/>
          </w:tcPr>
          <w:p w14:paraId="62412EF5" w14:textId="77777777" w:rsidR="00150904" w:rsidRPr="00B925F9" w:rsidRDefault="00150904" w:rsidP="00793A35">
            <w:pPr>
              <w:rPr>
                <w:rFonts w:eastAsia="Arial" w:cs="Arial"/>
                <w:b/>
                <w:bCs/>
                <w:sz w:val="16"/>
                <w:szCs w:val="16"/>
              </w:rPr>
            </w:pPr>
          </w:p>
        </w:tc>
        <w:tc>
          <w:tcPr>
            <w:tcW w:w="1601" w:type="dxa"/>
            <w:gridSpan w:val="2"/>
            <w:shd w:val="clear" w:color="auto" w:fill="DBE5F1" w:themeFill="accent1" w:themeFillTint="33"/>
            <w:noWrap/>
            <w:vAlign w:val="center"/>
            <w:hideMark/>
          </w:tcPr>
          <w:p w14:paraId="79B369AE" w14:textId="77777777" w:rsidR="00150904" w:rsidRPr="00AF5F1F" w:rsidRDefault="00150904" w:rsidP="005A229D">
            <w:pPr>
              <w:jc w:val="center"/>
              <w:rPr>
                <w:rFonts w:eastAsia="Arial" w:cs="Arial"/>
                <w:b/>
                <w:bCs/>
                <w:sz w:val="16"/>
                <w:szCs w:val="16"/>
              </w:rPr>
            </w:pPr>
            <w:r w:rsidRPr="006E7DA0">
              <w:rPr>
                <w:rFonts w:eastAsia="Arial" w:cs="Arial"/>
                <w:b/>
                <w:bCs/>
                <w:sz w:val="16"/>
                <w:szCs w:val="16"/>
              </w:rPr>
              <w:t>Level 1</w:t>
            </w:r>
          </w:p>
          <w:p w14:paraId="72EA4200" w14:textId="77777777" w:rsidR="00150904" w:rsidRPr="00B925F9" w:rsidRDefault="00150904" w:rsidP="005A229D">
            <w:pPr>
              <w:jc w:val="center"/>
              <w:rPr>
                <w:rFonts w:eastAsia="Arial" w:cs="Arial"/>
                <w:b/>
                <w:bCs/>
                <w:sz w:val="16"/>
                <w:szCs w:val="16"/>
              </w:rPr>
            </w:pPr>
          </w:p>
        </w:tc>
        <w:tc>
          <w:tcPr>
            <w:tcW w:w="1525" w:type="dxa"/>
            <w:gridSpan w:val="2"/>
            <w:shd w:val="clear" w:color="auto" w:fill="DBE5F1" w:themeFill="accent1" w:themeFillTint="33"/>
            <w:noWrap/>
            <w:vAlign w:val="center"/>
            <w:hideMark/>
          </w:tcPr>
          <w:p w14:paraId="1FF2FBB4" w14:textId="77777777" w:rsidR="00150904" w:rsidRPr="00B925F9" w:rsidRDefault="00150904" w:rsidP="005A229D">
            <w:pPr>
              <w:jc w:val="center"/>
              <w:rPr>
                <w:rFonts w:eastAsia="Arial" w:cs="Arial"/>
                <w:b/>
                <w:bCs/>
                <w:sz w:val="16"/>
                <w:szCs w:val="16"/>
              </w:rPr>
            </w:pPr>
            <w:r w:rsidRPr="00B925F9">
              <w:rPr>
                <w:rFonts w:eastAsia="Arial" w:cs="Arial"/>
                <w:b/>
                <w:bCs/>
                <w:sz w:val="16"/>
                <w:szCs w:val="16"/>
              </w:rPr>
              <w:t>Level 2</w:t>
            </w:r>
          </w:p>
          <w:p w14:paraId="47AEEC0D" w14:textId="77777777" w:rsidR="00150904" w:rsidRPr="00B925F9" w:rsidRDefault="00150904" w:rsidP="005A229D">
            <w:pPr>
              <w:jc w:val="center"/>
              <w:rPr>
                <w:rFonts w:eastAsia="Arial" w:cs="Arial"/>
                <w:b/>
                <w:bCs/>
                <w:sz w:val="16"/>
                <w:szCs w:val="16"/>
              </w:rPr>
            </w:pPr>
          </w:p>
        </w:tc>
        <w:tc>
          <w:tcPr>
            <w:tcW w:w="1551" w:type="dxa"/>
            <w:gridSpan w:val="2"/>
            <w:shd w:val="clear" w:color="auto" w:fill="DBE5F1" w:themeFill="accent1" w:themeFillTint="33"/>
            <w:noWrap/>
            <w:vAlign w:val="center"/>
            <w:hideMark/>
          </w:tcPr>
          <w:p w14:paraId="1CA28963" w14:textId="77777777" w:rsidR="00150904" w:rsidRPr="00B925F9" w:rsidRDefault="00150904" w:rsidP="005A229D">
            <w:pPr>
              <w:jc w:val="center"/>
              <w:rPr>
                <w:rFonts w:eastAsia="Arial" w:cs="Arial"/>
                <w:b/>
                <w:bCs/>
                <w:sz w:val="16"/>
                <w:szCs w:val="16"/>
              </w:rPr>
            </w:pPr>
            <w:r w:rsidRPr="00B925F9">
              <w:rPr>
                <w:rFonts w:eastAsia="Arial" w:cs="Arial"/>
                <w:b/>
                <w:bCs/>
                <w:sz w:val="16"/>
                <w:szCs w:val="16"/>
              </w:rPr>
              <w:t>Level 3</w:t>
            </w:r>
          </w:p>
          <w:p w14:paraId="227D6C90" w14:textId="77777777" w:rsidR="00150904" w:rsidRPr="00B925F9" w:rsidRDefault="00150904" w:rsidP="005A229D">
            <w:pPr>
              <w:jc w:val="center"/>
              <w:rPr>
                <w:rFonts w:eastAsia="Arial" w:cs="Arial"/>
                <w:b/>
                <w:bCs/>
                <w:sz w:val="16"/>
                <w:szCs w:val="16"/>
              </w:rPr>
            </w:pPr>
          </w:p>
        </w:tc>
        <w:tc>
          <w:tcPr>
            <w:tcW w:w="1559" w:type="dxa"/>
            <w:gridSpan w:val="2"/>
            <w:shd w:val="clear" w:color="auto" w:fill="DBE5F1" w:themeFill="accent1" w:themeFillTint="33"/>
            <w:noWrap/>
            <w:vAlign w:val="center"/>
            <w:hideMark/>
          </w:tcPr>
          <w:p w14:paraId="40BAA2BC" w14:textId="77777777" w:rsidR="00150904" w:rsidRPr="00B925F9" w:rsidRDefault="00150904" w:rsidP="005A229D">
            <w:pPr>
              <w:jc w:val="center"/>
              <w:rPr>
                <w:rFonts w:eastAsia="Arial" w:cs="Arial"/>
                <w:b/>
                <w:bCs/>
                <w:sz w:val="16"/>
                <w:szCs w:val="16"/>
              </w:rPr>
            </w:pPr>
            <w:r w:rsidRPr="00B925F9">
              <w:rPr>
                <w:rFonts w:eastAsia="Arial" w:cs="Arial"/>
                <w:b/>
                <w:bCs/>
                <w:sz w:val="16"/>
                <w:szCs w:val="16"/>
              </w:rPr>
              <w:t>Level 1</w:t>
            </w:r>
          </w:p>
          <w:p w14:paraId="5301D8A4" w14:textId="77777777" w:rsidR="00150904" w:rsidRPr="00B925F9" w:rsidRDefault="00150904" w:rsidP="005A229D">
            <w:pPr>
              <w:jc w:val="center"/>
              <w:rPr>
                <w:rFonts w:eastAsia="Arial" w:cs="Arial"/>
                <w:b/>
                <w:bCs/>
                <w:sz w:val="16"/>
                <w:szCs w:val="16"/>
              </w:rPr>
            </w:pPr>
          </w:p>
        </w:tc>
        <w:tc>
          <w:tcPr>
            <w:tcW w:w="1440" w:type="dxa"/>
            <w:gridSpan w:val="2"/>
            <w:shd w:val="clear" w:color="auto" w:fill="DBE5F1" w:themeFill="accent1" w:themeFillTint="33"/>
            <w:noWrap/>
            <w:vAlign w:val="center"/>
            <w:hideMark/>
          </w:tcPr>
          <w:p w14:paraId="08E0FD53" w14:textId="77777777" w:rsidR="00150904" w:rsidRPr="00B925F9" w:rsidRDefault="00150904" w:rsidP="005A229D">
            <w:pPr>
              <w:jc w:val="center"/>
              <w:rPr>
                <w:rFonts w:eastAsia="Arial" w:cs="Arial"/>
                <w:b/>
                <w:bCs/>
                <w:sz w:val="16"/>
                <w:szCs w:val="16"/>
              </w:rPr>
            </w:pPr>
            <w:r w:rsidRPr="00B925F9">
              <w:rPr>
                <w:rFonts w:eastAsia="Arial" w:cs="Arial"/>
                <w:b/>
                <w:bCs/>
                <w:sz w:val="16"/>
                <w:szCs w:val="16"/>
              </w:rPr>
              <w:t>Level 2</w:t>
            </w:r>
          </w:p>
          <w:p w14:paraId="3A63024A" w14:textId="77777777" w:rsidR="00150904" w:rsidRPr="00B925F9" w:rsidRDefault="00150904" w:rsidP="005A229D">
            <w:pPr>
              <w:jc w:val="center"/>
              <w:rPr>
                <w:rFonts w:eastAsia="Arial" w:cs="Arial"/>
                <w:b/>
                <w:bCs/>
                <w:sz w:val="16"/>
                <w:szCs w:val="16"/>
              </w:rPr>
            </w:pPr>
          </w:p>
        </w:tc>
        <w:tc>
          <w:tcPr>
            <w:tcW w:w="1537" w:type="dxa"/>
            <w:gridSpan w:val="2"/>
            <w:shd w:val="clear" w:color="auto" w:fill="DBE5F1" w:themeFill="accent1" w:themeFillTint="33"/>
            <w:noWrap/>
            <w:vAlign w:val="center"/>
            <w:hideMark/>
          </w:tcPr>
          <w:p w14:paraId="035BA003" w14:textId="77777777" w:rsidR="00150904" w:rsidRPr="00B925F9" w:rsidRDefault="00150904" w:rsidP="005A229D">
            <w:pPr>
              <w:jc w:val="center"/>
              <w:rPr>
                <w:rFonts w:eastAsia="Arial" w:cs="Arial"/>
                <w:b/>
                <w:bCs/>
                <w:sz w:val="16"/>
                <w:szCs w:val="16"/>
              </w:rPr>
            </w:pPr>
            <w:r w:rsidRPr="00B925F9">
              <w:rPr>
                <w:rFonts w:eastAsia="Arial" w:cs="Arial"/>
                <w:b/>
                <w:bCs/>
                <w:sz w:val="16"/>
                <w:szCs w:val="16"/>
              </w:rPr>
              <w:t>Level 3</w:t>
            </w:r>
          </w:p>
          <w:p w14:paraId="6D163F5F" w14:textId="77777777" w:rsidR="00150904" w:rsidRPr="00B925F9" w:rsidRDefault="00150904" w:rsidP="005A229D">
            <w:pPr>
              <w:jc w:val="center"/>
              <w:rPr>
                <w:rFonts w:eastAsia="Arial" w:cs="Arial"/>
                <w:b/>
                <w:bCs/>
                <w:sz w:val="16"/>
                <w:szCs w:val="16"/>
              </w:rPr>
            </w:pPr>
          </w:p>
        </w:tc>
        <w:tc>
          <w:tcPr>
            <w:tcW w:w="1559" w:type="dxa"/>
            <w:gridSpan w:val="2"/>
            <w:shd w:val="clear" w:color="auto" w:fill="DBE5F1" w:themeFill="accent1" w:themeFillTint="33"/>
            <w:vAlign w:val="center"/>
            <w:hideMark/>
          </w:tcPr>
          <w:p w14:paraId="098A06C4" w14:textId="77777777" w:rsidR="00150904" w:rsidRPr="00B925F9" w:rsidRDefault="00150904" w:rsidP="00793A35">
            <w:pPr>
              <w:rPr>
                <w:rFonts w:eastAsia="Arial" w:cs="Arial"/>
                <w:b/>
                <w:bCs/>
                <w:sz w:val="16"/>
                <w:szCs w:val="16"/>
              </w:rPr>
            </w:pPr>
          </w:p>
        </w:tc>
        <w:tc>
          <w:tcPr>
            <w:tcW w:w="1417" w:type="dxa"/>
            <w:gridSpan w:val="2"/>
            <w:shd w:val="clear" w:color="auto" w:fill="DBE5F1" w:themeFill="accent1" w:themeFillTint="33"/>
            <w:vAlign w:val="center"/>
            <w:hideMark/>
          </w:tcPr>
          <w:p w14:paraId="0F324C5F" w14:textId="77777777" w:rsidR="00150904" w:rsidRPr="00B925F9" w:rsidRDefault="00150904" w:rsidP="00793A35">
            <w:pPr>
              <w:rPr>
                <w:rFonts w:eastAsia="Arial" w:cs="Arial"/>
                <w:b/>
                <w:bCs/>
                <w:sz w:val="16"/>
                <w:szCs w:val="16"/>
              </w:rPr>
            </w:pPr>
          </w:p>
        </w:tc>
        <w:tc>
          <w:tcPr>
            <w:tcW w:w="1418" w:type="dxa"/>
            <w:gridSpan w:val="2"/>
            <w:shd w:val="clear" w:color="auto" w:fill="DBE5F1" w:themeFill="accent1" w:themeFillTint="33"/>
            <w:vAlign w:val="center"/>
            <w:hideMark/>
          </w:tcPr>
          <w:p w14:paraId="17A890B6" w14:textId="77777777" w:rsidR="00150904" w:rsidRPr="00B925F9" w:rsidRDefault="00150904" w:rsidP="00793A35">
            <w:pPr>
              <w:rPr>
                <w:rFonts w:eastAsia="Arial" w:cs="Arial"/>
                <w:b/>
                <w:bCs/>
                <w:sz w:val="16"/>
                <w:szCs w:val="16"/>
              </w:rPr>
            </w:pPr>
          </w:p>
        </w:tc>
        <w:tc>
          <w:tcPr>
            <w:tcW w:w="1417" w:type="dxa"/>
            <w:gridSpan w:val="2"/>
            <w:shd w:val="clear" w:color="auto" w:fill="DBE5F1" w:themeFill="accent1" w:themeFillTint="33"/>
            <w:vAlign w:val="center"/>
            <w:hideMark/>
          </w:tcPr>
          <w:p w14:paraId="38C4526F" w14:textId="77777777" w:rsidR="00150904" w:rsidRPr="00B925F9" w:rsidRDefault="00150904" w:rsidP="00793A35">
            <w:pPr>
              <w:rPr>
                <w:rFonts w:eastAsia="Arial" w:cs="Arial"/>
                <w:b/>
                <w:bCs/>
                <w:sz w:val="16"/>
                <w:szCs w:val="16"/>
              </w:rPr>
            </w:pPr>
          </w:p>
        </w:tc>
        <w:tc>
          <w:tcPr>
            <w:tcW w:w="1418" w:type="dxa"/>
            <w:gridSpan w:val="2"/>
            <w:shd w:val="clear" w:color="auto" w:fill="DBE5F1" w:themeFill="accent1" w:themeFillTint="33"/>
            <w:vAlign w:val="center"/>
            <w:hideMark/>
          </w:tcPr>
          <w:p w14:paraId="5E9B4EA1" w14:textId="77777777" w:rsidR="00150904" w:rsidRPr="00B925F9" w:rsidRDefault="00150904" w:rsidP="00793A35">
            <w:pPr>
              <w:rPr>
                <w:rFonts w:eastAsia="Arial" w:cs="Arial"/>
                <w:b/>
                <w:bCs/>
                <w:sz w:val="16"/>
                <w:szCs w:val="16"/>
              </w:rPr>
            </w:pPr>
          </w:p>
        </w:tc>
        <w:tc>
          <w:tcPr>
            <w:tcW w:w="1371" w:type="dxa"/>
            <w:gridSpan w:val="2"/>
            <w:shd w:val="clear" w:color="auto" w:fill="DBE5F1" w:themeFill="accent1" w:themeFillTint="33"/>
            <w:vAlign w:val="center"/>
            <w:hideMark/>
          </w:tcPr>
          <w:p w14:paraId="07245C52" w14:textId="77777777" w:rsidR="00150904" w:rsidRPr="00B925F9" w:rsidRDefault="00150904" w:rsidP="00793A35">
            <w:pPr>
              <w:rPr>
                <w:rFonts w:eastAsia="Arial" w:cs="Arial"/>
                <w:b/>
                <w:bCs/>
                <w:sz w:val="16"/>
                <w:szCs w:val="16"/>
              </w:rPr>
            </w:pPr>
          </w:p>
        </w:tc>
      </w:tr>
      <w:tr w:rsidR="00BB00C8" w:rsidRPr="00B925F9" w14:paraId="58ED770C" w14:textId="77777777" w:rsidTr="00B20D1F">
        <w:tblPrEx>
          <w:shd w:val="clear" w:color="auto" w:fill="DBE5F1" w:themeFill="accent1" w:themeFillTint="33"/>
        </w:tblPrEx>
        <w:trPr>
          <w:trHeight w:val="295"/>
          <w:tblHeader/>
        </w:trPr>
        <w:tc>
          <w:tcPr>
            <w:tcW w:w="2694" w:type="dxa"/>
            <w:vMerge/>
            <w:shd w:val="clear" w:color="auto" w:fill="DBE5F1" w:themeFill="accent1" w:themeFillTint="33"/>
            <w:vAlign w:val="center"/>
            <w:hideMark/>
          </w:tcPr>
          <w:p w14:paraId="3F53D155" w14:textId="77777777" w:rsidR="003A2144" w:rsidRPr="00B925F9" w:rsidRDefault="003A2144" w:rsidP="00793A35">
            <w:pPr>
              <w:rPr>
                <w:rFonts w:eastAsia="Arial" w:cs="Arial"/>
                <w:b/>
                <w:bCs/>
                <w:sz w:val="16"/>
                <w:szCs w:val="16"/>
              </w:rPr>
            </w:pPr>
          </w:p>
        </w:tc>
        <w:tc>
          <w:tcPr>
            <w:tcW w:w="1135" w:type="dxa"/>
            <w:vMerge/>
            <w:shd w:val="clear" w:color="auto" w:fill="DBE5F1" w:themeFill="accent1" w:themeFillTint="33"/>
            <w:vAlign w:val="center"/>
            <w:hideMark/>
          </w:tcPr>
          <w:p w14:paraId="0D928DB0" w14:textId="77777777" w:rsidR="003A2144" w:rsidRPr="00B925F9" w:rsidRDefault="003A2144" w:rsidP="00793A35">
            <w:pPr>
              <w:rPr>
                <w:rFonts w:eastAsia="Arial" w:cs="Arial"/>
                <w:b/>
                <w:bCs/>
                <w:sz w:val="16"/>
                <w:szCs w:val="16"/>
              </w:rPr>
            </w:pPr>
          </w:p>
        </w:tc>
        <w:tc>
          <w:tcPr>
            <w:tcW w:w="849" w:type="dxa"/>
            <w:shd w:val="clear" w:color="auto" w:fill="DBE5F1" w:themeFill="accent1" w:themeFillTint="33"/>
            <w:noWrap/>
            <w:vAlign w:val="center"/>
            <w:hideMark/>
          </w:tcPr>
          <w:p w14:paraId="4A524A51" w14:textId="77777777" w:rsidR="003A2144" w:rsidRPr="006E7DA0" w:rsidRDefault="003A2144" w:rsidP="00793A35">
            <w:pPr>
              <w:rPr>
                <w:rFonts w:eastAsia="Arial" w:cs="Arial"/>
                <w:b/>
                <w:bCs/>
                <w:sz w:val="16"/>
                <w:szCs w:val="16"/>
              </w:rPr>
            </w:pPr>
            <w:r w:rsidRPr="006E7DA0">
              <w:rPr>
                <w:rFonts w:eastAsia="Arial" w:cs="Arial"/>
                <w:b/>
                <w:bCs/>
                <w:sz w:val="16"/>
                <w:szCs w:val="16"/>
              </w:rPr>
              <w:t>Fee</w:t>
            </w:r>
          </w:p>
        </w:tc>
        <w:tc>
          <w:tcPr>
            <w:tcW w:w="752" w:type="dxa"/>
            <w:shd w:val="clear" w:color="auto" w:fill="DBE5F1" w:themeFill="accent1" w:themeFillTint="33"/>
            <w:noWrap/>
            <w:vAlign w:val="center"/>
            <w:hideMark/>
          </w:tcPr>
          <w:p w14:paraId="51F9D3CD" w14:textId="77777777" w:rsidR="003A2144" w:rsidRPr="00AF5F1F" w:rsidRDefault="003A2144" w:rsidP="00793A35">
            <w:pPr>
              <w:rPr>
                <w:rFonts w:eastAsia="Arial" w:cs="Arial"/>
                <w:b/>
                <w:bCs/>
                <w:sz w:val="16"/>
                <w:szCs w:val="16"/>
              </w:rPr>
            </w:pPr>
            <w:r w:rsidRPr="00AF5F1F">
              <w:rPr>
                <w:rFonts w:eastAsia="Arial" w:cs="Arial"/>
                <w:b/>
                <w:bCs/>
                <w:sz w:val="16"/>
                <w:szCs w:val="16"/>
              </w:rPr>
              <w:t>Hourly</w:t>
            </w:r>
          </w:p>
        </w:tc>
        <w:tc>
          <w:tcPr>
            <w:tcW w:w="741" w:type="dxa"/>
            <w:shd w:val="clear" w:color="auto" w:fill="DBE5F1" w:themeFill="accent1" w:themeFillTint="33"/>
            <w:noWrap/>
            <w:vAlign w:val="center"/>
            <w:hideMark/>
          </w:tcPr>
          <w:p w14:paraId="783F3929" w14:textId="77777777" w:rsidR="003A2144" w:rsidRPr="00B925F9" w:rsidRDefault="003A2144" w:rsidP="00793A35">
            <w:pPr>
              <w:rPr>
                <w:rFonts w:eastAsia="Arial" w:cs="Arial"/>
                <w:b/>
                <w:bCs/>
                <w:sz w:val="16"/>
                <w:szCs w:val="16"/>
              </w:rPr>
            </w:pPr>
            <w:r w:rsidRPr="00B925F9">
              <w:rPr>
                <w:rFonts w:eastAsia="Arial" w:cs="Arial"/>
                <w:b/>
                <w:bCs/>
                <w:sz w:val="16"/>
                <w:szCs w:val="16"/>
              </w:rPr>
              <w:t>Fee</w:t>
            </w:r>
          </w:p>
        </w:tc>
        <w:tc>
          <w:tcPr>
            <w:tcW w:w="784" w:type="dxa"/>
            <w:shd w:val="clear" w:color="auto" w:fill="DBE5F1" w:themeFill="accent1" w:themeFillTint="33"/>
            <w:noWrap/>
            <w:vAlign w:val="center"/>
            <w:hideMark/>
          </w:tcPr>
          <w:p w14:paraId="2C80C3FF" w14:textId="77777777" w:rsidR="003A2144" w:rsidRPr="00B925F9" w:rsidRDefault="003A2144" w:rsidP="00793A35">
            <w:pPr>
              <w:rPr>
                <w:rFonts w:eastAsia="Arial" w:cs="Arial"/>
                <w:b/>
                <w:bCs/>
                <w:sz w:val="16"/>
                <w:szCs w:val="16"/>
              </w:rPr>
            </w:pPr>
            <w:r w:rsidRPr="00B925F9">
              <w:rPr>
                <w:rFonts w:eastAsia="Arial" w:cs="Arial"/>
                <w:b/>
                <w:bCs/>
                <w:sz w:val="16"/>
                <w:szCs w:val="16"/>
              </w:rPr>
              <w:t>Hours</w:t>
            </w:r>
          </w:p>
        </w:tc>
        <w:tc>
          <w:tcPr>
            <w:tcW w:w="741" w:type="dxa"/>
            <w:shd w:val="clear" w:color="auto" w:fill="DBE5F1" w:themeFill="accent1" w:themeFillTint="33"/>
            <w:noWrap/>
            <w:vAlign w:val="center"/>
            <w:hideMark/>
          </w:tcPr>
          <w:p w14:paraId="62EBC8E7" w14:textId="77777777" w:rsidR="003A2144" w:rsidRPr="00B925F9" w:rsidRDefault="003A2144" w:rsidP="00793A35">
            <w:pPr>
              <w:rPr>
                <w:rFonts w:eastAsia="Arial" w:cs="Arial"/>
                <w:b/>
                <w:bCs/>
                <w:sz w:val="16"/>
                <w:szCs w:val="16"/>
              </w:rPr>
            </w:pPr>
            <w:r w:rsidRPr="00B925F9">
              <w:rPr>
                <w:rFonts w:eastAsia="Arial" w:cs="Arial"/>
                <w:b/>
                <w:bCs/>
                <w:sz w:val="16"/>
                <w:szCs w:val="16"/>
              </w:rPr>
              <w:t>Fee</w:t>
            </w:r>
          </w:p>
        </w:tc>
        <w:tc>
          <w:tcPr>
            <w:tcW w:w="810" w:type="dxa"/>
            <w:shd w:val="clear" w:color="auto" w:fill="DBE5F1" w:themeFill="accent1" w:themeFillTint="33"/>
            <w:noWrap/>
            <w:vAlign w:val="center"/>
            <w:hideMark/>
          </w:tcPr>
          <w:p w14:paraId="0A8739C3" w14:textId="77777777" w:rsidR="003A2144" w:rsidRPr="00B925F9" w:rsidRDefault="003A2144" w:rsidP="00793A35">
            <w:pPr>
              <w:rPr>
                <w:rFonts w:eastAsia="Arial" w:cs="Arial"/>
                <w:b/>
                <w:bCs/>
                <w:sz w:val="16"/>
                <w:szCs w:val="16"/>
              </w:rPr>
            </w:pPr>
            <w:r w:rsidRPr="00B925F9">
              <w:rPr>
                <w:rFonts w:eastAsia="Arial" w:cs="Arial"/>
                <w:b/>
                <w:bCs/>
                <w:sz w:val="16"/>
                <w:szCs w:val="16"/>
              </w:rPr>
              <w:t>Hours</w:t>
            </w:r>
          </w:p>
        </w:tc>
        <w:tc>
          <w:tcPr>
            <w:tcW w:w="850" w:type="dxa"/>
            <w:shd w:val="clear" w:color="auto" w:fill="DBE5F1" w:themeFill="accent1" w:themeFillTint="33"/>
            <w:noWrap/>
            <w:vAlign w:val="center"/>
            <w:hideMark/>
          </w:tcPr>
          <w:p w14:paraId="00BF9A47" w14:textId="77777777" w:rsidR="003A2144" w:rsidRPr="00B925F9" w:rsidRDefault="003A2144" w:rsidP="00793A35">
            <w:pPr>
              <w:rPr>
                <w:rFonts w:eastAsia="Arial" w:cs="Arial"/>
                <w:b/>
                <w:bCs/>
                <w:sz w:val="16"/>
                <w:szCs w:val="16"/>
              </w:rPr>
            </w:pPr>
            <w:r w:rsidRPr="00B925F9">
              <w:rPr>
                <w:rFonts w:eastAsia="Arial" w:cs="Arial"/>
                <w:b/>
                <w:bCs/>
                <w:sz w:val="16"/>
                <w:szCs w:val="16"/>
              </w:rPr>
              <w:t>Fee</w:t>
            </w:r>
          </w:p>
        </w:tc>
        <w:tc>
          <w:tcPr>
            <w:tcW w:w="709" w:type="dxa"/>
            <w:shd w:val="clear" w:color="auto" w:fill="DBE5F1" w:themeFill="accent1" w:themeFillTint="33"/>
            <w:noWrap/>
            <w:vAlign w:val="center"/>
            <w:hideMark/>
          </w:tcPr>
          <w:p w14:paraId="518E3E41" w14:textId="77777777" w:rsidR="003A2144" w:rsidRPr="00B925F9" w:rsidRDefault="003A2144" w:rsidP="00793A35">
            <w:pPr>
              <w:rPr>
                <w:rFonts w:eastAsia="Arial" w:cs="Arial"/>
                <w:b/>
                <w:bCs/>
                <w:sz w:val="16"/>
                <w:szCs w:val="16"/>
              </w:rPr>
            </w:pPr>
            <w:r w:rsidRPr="00B925F9">
              <w:rPr>
                <w:rFonts w:eastAsia="Arial" w:cs="Arial"/>
                <w:b/>
                <w:bCs/>
                <w:sz w:val="16"/>
                <w:szCs w:val="16"/>
              </w:rPr>
              <w:t>Hours</w:t>
            </w:r>
          </w:p>
        </w:tc>
        <w:tc>
          <w:tcPr>
            <w:tcW w:w="709" w:type="dxa"/>
            <w:shd w:val="clear" w:color="auto" w:fill="DBE5F1" w:themeFill="accent1" w:themeFillTint="33"/>
            <w:noWrap/>
            <w:vAlign w:val="center"/>
            <w:hideMark/>
          </w:tcPr>
          <w:p w14:paraId="58F720C0" w14:textId="77777777" w:rsidR="003A2144" w:rsidRPr="00B925F9" w:rsidRDefault="003A2144" w:rsidP="00793A35">
            <w:pPr>
              <w:rPr>
                <w:rFonts w:eastAsia="Arial" w:cs="Arial"/>
                <w:b/>
                <w:bCs/>
                <w:sz w:val="16"/>
                <w:szCs w:val="16"/>
              </w:rPr>
            </w:pPr>
            <w:r w:rsidRPr="00B925F9">
              <w:rPr>
                <w:rFonts w:eastAsia="Arial" w:cs="Arial"/>
                <w:b/>
                <w:bCs/>
                <w:sz w:val="16"/>
                <w:szCs w:val="16"/>
              </w:rPr>
              <w:t>Fee</w:t>
            </w:r>
          </w:p>
        </w:tc>
        <w:tc>
          <w:tcPr>
            <w:tcW w:w="731" w:type="dxa"/>
            <w:shd w:val="clear" w:color="auto" w:fill="DBE5F1" w:themeFill="accent1" w:themeFillTint="33"/>
            <w:noWrap/>
            <w:vAlign w:val="center"/>
            <w:hideMark/>
          </w:tcPr>
          <w:p w14:paraId="1BB04297" w14:textId="77777777" w:rsidR="003A2144" w:rsidRPr="00B925F9" w:rsidRDefault="003A2144" w:rsidP="00793A35">
            <w:pPr>
              <w:rPr>
                <w:rFonts w:eastAsia="Arial" w:cs="Arial"/>
                <w:b/>
                <w:bCs/>
                <w:sz w:val="16"/>
                <w:szCs w:val="16"/>
              </w:rPr>
            </w:pPr>
            <w:r w:rsidRPr="00B925F9">
              <w:rPr>
                <w:rFonts w:eastAsia="Arial" w:cs="Arial"/>
                <w:b/>
                <w:bCs/>
                <w:sz w:val="16"/>
                <w:szCs w:val="16"/>
              </w:rPr>
              <w:t>Hours</w:t>
            </w:r>
          </w:p>
        </w:tc>
        <w:tc>
          <w:tcPr>
            <w:tcW w:w="741" w:type="dxa"/>
            <w:shd w:val="clear" w:color="auto" w:fill="DBE5F1" w:themeFill="accent1" w:themeFillTint="33"/>
            <w:noWrap/>
            <w:vAlign w:val="center"/>
            <w:hideMark/>
          </w:tcPr>
          <w:p w14:paraId="53F7505A" w14:textId="77777777" w:rsidR="003A2144" w:rsidRPr="00B925F9" w:rsidRDefault="003A2144" w:rsidP="00793A35">
            <w:pPr>
              <w:rPr>
                <w:rFonts w:eastAsia="Arial" w:cs="Arial"/>
                <w:b/>
                <w:bCs/>
                <w:sz w:val="16"/>
                <w:szCs w:val="16"/>
              </w:rPr>
            </w:pPr>
            <w:r w:rsidRPr="00B925F9">
              <w:rPr>
                <w:rFonts w:eastAsia="Arial" w:cs="Arial"/>
                <w:b/>
                <w:bCs/>
                <w:sz w:val="16"/>
                <w:szCs w:val="16"/>
              </w:rPr>
              <w:t>Fee</w:t>
            </w:r>
          </w:p>
        </w:tc>
        <w:tc>
          <w:tcPr>
            <w:tcW w:w="796" w:type="dxa"/>
            <w:shd w:val="clear" w:color="auto" w:fill="DBE5F1" w:themeFill="accent1" w:themeFillTint="33"/>
            <w:noWrap/>
            <w:vAlign w:val="center"/>
            <w:hideMark/>
          </w:tcPr>
          <w:p w14:paraId="51D2810F" w14:textId="77777777" w:rsidR="003A2144" w:rsidRPr="00B925F9" w:rsidRDefault="003A2144" w:rsidP="00793A35">
            <w:pPr>
              <w:rPr>
                <w:rFonts w:eastAsia="Arial" w:cs="Arial"/>
                <w:b/>
                <w:bCs/>
                <w:sz w:val="16"/>
                <w:szCs w:val="16"/>
              </w:rPr>
            </w:pPr>
            <w:r w:rsidRPr="00B925F9">
              <w:rPr>
                <w:rFonts w:eastAsia="Arial" w:cs="Arial"/>
                <w:b/>
                <w:bCs/>
                <w:sz w:val="16"/>
                <w:szCs w:val="16"/>
              </w:rPr>
              <w:t>Hours</w:t>
            </w:r>
          </w:p>
        </w:tc>
        <w:tc>
          <w:tcPr>
            <w:tcW w:w="850" w:type="dxa"/>
            <w:shd w:val="clear" w:color="auto" w:fill="DBE5F1" w:themeFill="accent1" w:themeFillTint="33"/>
            <w:noWrap/>
            <w:vAlign w:val="center"/>
            <w:hideMark/>
          </w:tcPr>
          <w:p w14:paraId="13ADF9AA" w14:textId="77777777" w:rsidR="003A2144" w:rsidRPr="00B925F9" w:rsidRDefault="003A2144" w:rsidP="00793A35">
            <w:pPr>
              <w:rPr>
                <w:rFonts w:eastAsia="Arial" w:cs="Arial"/>
                <w:b/>
                <w:bCs/>
                <w:sz w:val="16"/>
                <w:szCs w:val="16"/>
              </w:rPr>
            </w:pPr>
            <w:r w:rsidRPr="00B925F9">
              <w:rPr>
                <w:rFonts w:eastAsia="Arial" w:cs="Arial"/>
                <w:b/>
                <w:bCs/>
                <w:sz w:val="16"/>
                <w:szCs w:val="16"/>
              </w:rPr>
              <w:t>Fee</w:t>
            </w:r>
          </w:p>
        </w:tc>
        <w:tc>
          <w:tcPr>
            <w:tcW w:w="709" w:type="dxa"/>
            <w:shd w:val="clear" w:color="auto" w:fill="DBE5F1" w:themeFill="accent1" w:themeFillTint="33"/>
            <w:noWrap/>
            <w:vAlign w:val="center"/>
            <w:hideMark/>
          </w:tcPr>
          <w:p w14:paraId="144FA0BD" w14:textId="77777777" w:rsidR="003A2144" w:rsidRPr="00B925F9" w:rsidRDefault="003A2144" w:rsidP="00793A35">
            <w:pPr>
              <w:rPr>
                <w:rFonts w:eastAsia="Arial" w:cs="Arial"/>
                <w:b/>
                <w:bCs/>
                <w:sz w:val="16"/>
                <w:szCs w:val="16"/>
              </w:rPr>
            </w:pPr>
            <w:r w:rsidRPr="00B925F9">
              <w:rPr>
                <w:rFonts w:eastAsia="Arial" w:cs="Arial"/>
                <w:b/>
                <w:bCs/>
                <w:sz w:val="16"/>
                <w:szCs w:val="16"/>
              </w:rPr>
              <w:t>Hours</w:t>
            </w:r>
          </w:p>
        </w:tc>
        <w:tc>
          <w:tcPr>
            <w:tcW w:w="726" w:type="dxa"/>
            <w:shd w:val="clear" w:color="auto" w:fill="DBE5F1" w:themeFill="accent1" w:themeFillTint="33"/>
            <w:noWrap/>
            <w:vAlign w:val="center"/>
            <w:hideMark/>
          </w:tcPr>
          <w:p w14:paraId="4DD62C0E" w14:textId="77777777" w:rsidR="003A2144" w:rsidRPr="00B925F9" w:rsidRDefault="003A2144" w:rsidP="00793A35">
            <w:pPr>
              <w:rPr>
                <w:rFonts w:eastAsia="Arial" w:cs="Arial"/>
                <w:b/>
                <w:bCs/>
                <w:sz w:val="16"/>
                <w:szCs w:val="16"/>
              </w:rPr>
            </w:pPr>
            <w:r w:rsidRPr="00B925F9">
              <w:rPr>
                <w:rFonts w:eastAsia="Arial" w:cs="Arial"/>
                <w:b/>
                <w:bCs/>
                <w:sz w:val="16"/>
                <w:szCs w:val="16"/>
              </w:rPr>
              <w:t>Fee</w:t>
            </w:r>
          </w:p>
        </w:tc>
        <w:tc>
          <w:tcPr>
            <w:tcW w:w="691" w:type="dxa"/>
            <w:shd w:val="clear" w:color="auto" w:fill="DBE5F1" w:themeFill="accent1" w:themeFillTint="33"/>
            <w:noWrap/>
            <w:vAlign w:val="center"/>
            <w:hideMark/>
          </w:tcPr>
          <w:p w14:paraId="2C64F42C" w14:textId="77777777" w:rsidR="003A2144" w:rsidRPr="00B925F9" w:rsidRDefault="003A2144" w:rsidP="00793A35">
            <w:pPr>
              <w:rPr>
                <w:rFonts w:eastAsia="Arial" w:cs="Arial"/>
                <w:b/>
                <w:bCs/>
                <w:sz w:val="16"/>
                <w:szCs w:val="16"/>
              </w:rPr>
            </w:pPr>
            <w:r w:rsidRPr="00B925F9">
              <w:rPr>
                <w:rFonts w:eastAsia="Arial" w:cs="Arial"/>
                <w:b/>
                <w:bCs/>
                <w:sz w:val="16"/>
                <w:szCs w:val="16"/>
              </w:rPr>
              <w:t>Hours</w:t>
            </w:r>
          </w:p>
        </w:tc>
        <w:tc>
          <w:tcPr>
            <w:tcW w:w="702" w:type="dxa"/>
            <w:shd w:val="clear" w:color="auto" w:fill="DBE5F1" w:themeFill="accent1" w:themeFillTint="33"/>
            <w:noWrap/>
            <w:vAlign w:val="center"/>
            <w:hideMark/>
          </w:tcPr>
          <w:p w14:paraId="37F802B8" w14:textId="77777777" w:rsidR="003A2144" w:rsidRPr="00B925F9" w:rsidRDefault="003A2144" w:rsidP="00793A35">
            <w:pPr>
              <w:rPr>
                <w:rFonts w:eastAsia="Arial" w:cs="Arial"/>
                <w:b/>
                <w:bCs/>
                <w:sz w:val="16"/>
                <w:szCs w:val="16"/>
              </w:rPr>
            </w:pPr>
            <w:r w:rsidRPr="00B925F9">
              <w:rPr>
                <w:rFonts w:eastAsia="Arial" w:cs="Arial"/>
                <w:b/>
                <w:bCs/>
                <w:sz w:val="16"/>
                <w:szCs w:val="16"/>
              </w:rPr>
              <w:t>Fee</w:t>
            </w:r>
          </w:p>
        </w:tc>
        <w:tc>
          <w:tcPr>
            <w:tcW w:w="716" w:type="dxa"/>
            <w:shd w:val="clear" w:color="auto" w:fill="DBE5F1" w:themeFill="accent1" w:themeFillTint="33"/>
            <w:noWrap/>
            <w:vAlign w:val="center"/>
            <w:hideMark/>
          </w:tcPr>
          <w:p w14:paraId="408D124D" w14:textId="77777777" w:rsidR="003A2144" w:rsidRPr="00B925F9" w:rsidRDefault="003A2144" w:rsidP="00793A35">
            <w:pPr>
              <w:rPr>
                <w:rFonts w:eastAsia="Arial" w:cs="Arial"/>
                <w:b/>
                <w:bCs/>
                <w:sz w:val="16"/>
                <w:szCs w:val="16"/>
              </w:rPr>
            </w:pPr>
            <w:r w:rsidRPr="00B925F9">
              <w:rPr>
                <w:rFonts w:eastAsia="Arial" w:cs="Arial"/>
                <w:b/>
                <w:bCs/>
                <w:sz w:val="16"/>
                <w:szCs w:val="16"/>
              </w:rPr>
              <w:t>Hours</w:t>
            </w:r>
          </w:p>
        </w:tc>
        <w:tc>
          <w:tcPr>
            <w:tcW w:w="633" w:type="dxa"/>
            <w:shd w:val="clear" w:color="auto" w:fill="DBE5F1" w:themeFill="accent1" w:themeFillTint="33"/>
            <w:noWrap/>
            <w:vAlign w:val="center"/>
            <w:hideMark/>
          </w:tcPr>
          <w:p w14:paraId="7F03FC6B" w14:textId="77777777" w:rsidR="003A2144" w:rsidRPr="00B925F9" w:rsidRDefault="003A2144" w:rsidP="00793A35">
            <w:pPr>
              <w:rPr>
                <w:rFonts w:eastAsia="Arial" w:cs="Arial"/>
                <w:b/>
                <w:bCs/>
                <w:sz w:val="16"/>
                <w:szCs w:val="16"/>
              </w:rPr>
            </w:pPr>
            <w:r w:rsidRPr="00B925F9">
              <w:rPr>
                <w:rFonts w:eastAsia="Arial" w:cs="Arial"/>
                <w:b/>
                <w:bCs/>
                <w:sz w:val="16"/>
                <w:szCs w:val="16"/>
              </w:rPr>
              <w:t>Fee</w:t>
            </w:r>
          </w:p>
        </w:tc>
        <w:tc>
          <w:tcPr>
            <w:tcW w:w="784" w:type="dxa"/>
            <w:shd w:val="clear" w:color="auto" w:fill="DBE5F1" w:themeFill="accent1" w:themeFillTint="33"/>
            <w:noWrap/>
            <w:vAlign w:val="center"/>
            <w:hideMark/>
          </w:tcPr>
          <w:p w14:paraId="56F79D04" w14:textId="77777777" w:rsidR="003A2144" w:rsidRPr="00B925F9" w:rsidRDefault="003A2144" w:rsidP="00793A35">
            <w:pPr>
              <w:rPr>
                <w:rFonts w:eastAsia="Arial" w:cs="Arial"/>
                <w:b/>
                <w:bCs/>
                <w:sz w:val="16"/>
                <w:szCs w:val="16"/>
              </w:rPr>
            </w:pPr>
            <w:r w:rsidRPr="00B925F9">
              <w:rPr>
                <w:rFonts w:eastAsia="Arial" w:cs="Arial"/>
                <w:b/>
                <w:bCs/>
                <w:sz w:val="16"/>
                <w:szCs w:val="16"/>
              </w:rPr>
              <w:t>Hours</w:t>
            </w:r>
          </w:p>
        </w:tc>
        <w:tc>
          <w:tcPr>
            <w:tcW w:w="609" w:type="dxa"/>
            <w:shd w:val="clear" w:color="auto" w:fill="DBE5F1" w:themeFill="accent1" w:themeFillTint="33"/>
            <w:noWrap/>
            <w:vAlign w:val="center"/>
            <w:hideMark/>
          </w:tcPr>
          <w:p w14:paraId="744F7DF0" w14:textId="77777777" w:rsidR="003A2144" w:rsidRPr="00B925F9" w:rsidRDefault="003A2144" w:rsidP="00793A35">
            <w:pPr>
              <w:rPr>
                <w:rFonts w:eastAsia="Arial" w:cs="Arial"/>
                <w:b/>
                <w:bCs/>
                <w:sz w:val="16"/>
                <w:szCs w:val="16"/>
              </w:rPr>
            </w:pPr>
            <w:r w:rsidRPr="00B925F9">
              <w:rPr>
                <w:rFonts w:eastAsia="Arial" w:cs="Arial"/>
                <w:b/>
                <w:bCs/>
                <w:sz w:val="16"/>
                <w:szCs w:val="16"/>
              </w:rPr>
              <w:t>Fee</w:t>
            </w:r>
          </w:p>
        </w:tc>
        <w:tc>
          <w:tcPr>
            <w:tcW w:w="809" w:type="dxa"/>
            <w:shd w:val="clear" w:color="auto" w:fill="DBE5F1" w:themeFill="accent1" w:themeFillTint="33"/>
            <w:noWrap/>
            <w:vAlign w:val="center"/>
            <w:hideMark/>
          </w:tcPr>
          <w:p w14:paraId="289F5813" w14:textId="77777777" w:rsidR="003A2144" w:rsidRPr="00B925F9" w:rsidRDefault="003A2144" w:rsidP="00793A35">
            <w:pPr>
              <w:rPr>
                <w:rFonts w:eastAsia="Arial" w:cs="Arial"/>
                <w:b/>
                <w:bCs/>
                <w:sz w:val="16"/>
                <w:szCs w:val="16"/>
              </w:rPr>
            </w:pPr>
            <w:r w:rsidRPr="00B925F9">
              <w:rPr>
                <w:rFonts w:eastAsia="Arial" w:cs="Arial"/>
                <w:b/>
                <w:bCs/>
                <w:sz w:val="16"/>
                <w:szCs w:val="16"/>
              </w:rPr>
              <w:t>Hours</w:t>
            </w:r>
          </w:p>
        </w:tc>
        <w:tc>
          <w:tcPr>
            <w:tcW w:w="584" w:type="dxa"/>
            <w:shd w:val="clear" w:color="auto" w:fill="DBE5F1" w:themeFill="accent1" w:themeFillTint="33"/>
            <w:noWrap/>
            <w:vAlign w:val="center"/>
            <w:hideMark/>
          </w:tcPr>
          <w:p w14:paraId="04029C5C" w14:textId="77777777" w:rsidR="003A2144" w:rsidRPr="00B925F9" w:rsidRDefault="003A2144" w:rsidP="00793A35">
            <w:pPr>
              <w:rPr>
                <w:rFonts w:eastAsia="Arial" w:cs="Arial"/>
                <w:b/>
                <w:bCs/>
                <w:sz w:val="16"/>
                <w:szCs w:val="16"/>
              </w:rPr>
            </w:pPr>
            <w:r w:rsidRPr="00B925F9">
              <w:rPr>
                <w:rFonts w:eastAsia="Arial" w:cs="Arial"/>
                <w:b/>
                <w:bCs/>
                <w:sz w:val="16"/>
                <w:szCs w:val="16"/>
              </w:rPr>
              <w:t>Fee</w:t>
            </w:r>
          </w:p>
        </w:tc>
        <w:tc>
          <w:tcPr>
            <w:tcW w:w="787" w:type="dxa"/>
            <w:shd w:val="clear" w:color="auto" w:fill="DBE5F1" w:themeFill="accent1" w:themeFillTint="33"/>
            <w:noWrap/>
            <w:vAlign w:val="center"/>
            <w:hideMark/>
          </w:tcPr>
          <w:p w14:paraId="73352586" w14:textId="77777777" w:rsidR="003A2144" w:rsidRPr="00B925F9" w:rsidRDefault="003A2144" w:rsidP="00793A35">
            <w:pPr>
              <w:rPr>
                <w:rFonts w:eastAsia="Arial" w:cs="Arial"/>
                <w:b/>
                <w:bCs/>
                <w:sz w:val="16"/>
                <w:szCs w:val="16"/>
              </w:rPr>
            </w:pPr>
            <w:r w:rsidRPr="00B925F9">
              <w:rPr>
                <w:rFonts w:eastAsia="Arial" w:cs="Arial"/>
                <w:b/>
                <w:bCs/>
                <w:sz w:val="16"/>
                <w:szCs w:val="16"/>
              </w:rPr>
              <w:t>Hours</w:t>
            </w:r>
          </w:p>
        </w:tc>
      </w:tr>
      <w:tr w:rsidR="00F136AD" w:rsidRPr="00B925F9" w14:paraId="4D1788AF"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28FCDA75" w14:textId="77777777" w:rsidR="00F136AD" w:rsidRPr="006E7DA0" w:rsidRDefault="00F136AD" w:rsidP="00F136AD">
            <w:pPr>
              <w:rPr>
                <w:rFonts w:eastAsia="Arial" w:cs="Arial"/>
                <w:b/>
                <w:bCs/>
                <w:sz w:val="16"/>
                <w:szCs w:val="16"/>
              </w:rPr>
            </w:pPr>
            <w:r w:rsidRPr="006E7DA0">
              <w:rPr>
                <w:rFonts w:eastAsia="Arial" w:cs="Arial"/>
                <w:b/>
                <w:bCs/>
                <w:sz w:val="16"/>
                <w:szCs w:val="16"/>
              </w:rPr>
              <w:t>Application Processing</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7ED8" w14:textId="4C36BA14" w:rsidR="00F136AD" w:rsidRPr="00AF5F1F" w:rsidRDefault="00F136AD" w:rsidP="00F136AD">
            <w:pPr>
              <w:rPr>
                <w:rFonts w:eastAsia="Arial" w:cs="Arial"/>
                <w:sz w:val="16"/>
                <w:szCs w:val="16"/>
              </w:rPr>
            </w:pPr>
            <w:r>
              <w:rPr>
                <w:rFonts w:cs="Arial"/>
                <w:color w:val="000000"/>
                <w:sz w:val="16"/>
                <w:szCs w:val="16"/>
              </w:rPr>
              <w:t>Certificate</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75EFCAC1" w14:textId="154546CD" w:rsidR="00F136AD" w:rsidRPr="00BF41EC" w:rsidRDefault="00F136AD" w:rsidP="00F136AD">
            <w:pPr>
              <w:rPr>
                <w:rFonts w:eastAsia="Arial" w:cs="Arial"/>
                <w:sz w:val="16"/>
                <w:szCs w:val="16"/>
              </w:rPr>
            </w:pPr>
            <w:r w:rsidRPr="00BF41EC">
              <w:rPr>
                <w:rFonts w:cs="Arial"/>
                <w:color w:val="000000"/>
                <w:sz w:val="16"/>
                <w:szCs w:val="16"/>
              </w:rPr>
              <w:t>$584</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0B42475A" w14:textId="0129CB94"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08B7F747" w14:textId="5D83DFF2" w:rsidR="00F136AD" w:rsidRPr="00BF41EC" w:rsidRDefault="00F136AD" w:rsidP="00F136AD">
            <w:pPr>
              <w:rPr>
                <w:rFonts w:eastAsia="Arial" w:cs="Arial"/>
                <w:sz w:val="16"/>
                <w:szCs w:val="16"/>
              </w:rPr>
            </w:pPr>
            <w:r w:rsidRPr="00BF41EC">
              <w:rPr>
                <w:rFonts w:cs="Arial"/>
                <w:color w:val="000000"/>
                <w:sz w:val="16"/>
                <w:szCs w:val="16"/>
              </w:rPr>
              <w:t>$584</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14961F62" w14:textId="71CC8324"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E3EBC1B" w14:textId="3E3F3137" w:rsidR="00F136AD" w:rsidRPr="00BF41EC" w:rsidRDefault="00F136AD" w:rsidP="00F136AD">
            <w:pPr>
              <w:rPr>
                <w:rFonts w:eastAsia="Arial" w:cs="Arial"/>
                <w:sz w:val="16"/>
                <w:szCs w:val="16"/>
              </w:rPr>
            </w:pPr>
            <w:r w:rsidRPr="00BF41EC">
              <w:rPr>
                <w:rFonts w:cs="Arial"/>
                <w:color w:val="000000"/>
                <w:sz w:val="16"/>
                <w:szCs w:val="16"/>
              </w:rPr>
              <w:t>$584</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7C338EB" w14:textId="287D444D"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76B5270" w14:textId="0EFB69C5" w:rsidR="00F136AD" w:rsidRPr="00BF41EC" w:rsidRDefault="00F136AD" w:rsidP="00F136AD">
            <w:pPr>
              <w:rPr>
                <w:rFonts w:eastAsia="Arial" w:cs="Arial"/>
                <w:sz w:val="16"/>
                <w:szCs w:val="16"/>
              </w:rPr>
            </w:pPr>
            <w:r w:rsidRPr="00BF41EC">
              <w:rPr>
                <w:rFonts w:cs="Arial"/>
                <w:color w:val="000000"/>
                <w:sz w:val="16"/>
                <w:szCs w:val="16"/>
              </w:rPr>
              <w:t>$584</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46359B" w14:textId="75863500"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F834784" w14:textId="421AA767" w:rsidR="00F136AD" w:rsidRPr="00BF41EC" w:rsidRDefault="00F136AD" w:rsidP="00F136AD">
            <w:pPr>
              <w:rPr>
                <w:rFonts w:eastAsia="Arial" w:cs="Arial"/>
                <w:sz w:val="16"/>
                <w:szCs w:val="16"/>
              </w:rPr>
            </w:pPr>
            <w:r w:rsidRPr="00BF41EC">
              <w:rPr>
                <w:rFonts w:cs="Arial"/>
                <w:color w:val="000000"/>
                <w:sz w:val="16"/>
                <w:szCs w:val="16"/>
              </w:rPr>
              <w:t>$584</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3A5B3C04" w14:textId="51719BEB"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91A2D9C" w14:textId="17508B29" w:rsidR="00F136AD" w:rsidRPr="00BF41EC" w:rsidRDefault="00F136AD" w:rsidP="00F136AD">
            <w:pPr>
              <w:rPr>
                <w:rFonts w:eastAsia="Arial" w:cs="Arial"/>
                <w:sz w:val="16"/>
                <w:szCs w:val="16"/>
              </w:rPr>
            </w:pPr>
            <w:r w:rsidRPr="00BF41EC">
              <w:rPr>
                <w:rFonts w:cs="Arial"/>
                <w:color w:val="000000"/>
                <w:sz w:val="16"/>
                <w:szCs w:val="16"/>
              </w:rPr>
              <w:t>$584</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5C549070" w14:textId="36A34BE6"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335FF91" w14:textId="6C4E9432" w:rsidR="00F136AD" w:rsidRPr="00BF41EC" w:rsidRDefault="00F136AD" w:rsidP="00F136AD">
            <w:pPr>
              <w:rPr>
                <w:rFonts w:eastAsia="Arial" w:cs="Arial"/>
                <w:sz w:val="16"/>
                <w:szCs w:val="16"/>
              </w:rPr>
            </w:pPr>
            <w:r w:rsidRPr="00BF41EC">
              <w:rPr>
                <w:rFonts w:cs="Arial"/>
                <w:color w:val="000000"/>
                <w:sz w:val="16"/>
                <w:szCs w:val="16"/>
              </w:rPr>
              <w:t>$584</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99A2036" w14:textId="72B01F11"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68D29CD8" w14:textId="6FF44DBE" w:rsidR="00F136AD" w:rsidRPr="00BF41EC" w:rsidRDefault="00F136AD" w:rsidP="00F136AD">
            <w:pPr>
              <w:rPr>
                <w:rFonts w:eastAsia="Arial" w:cs="Arial"/>
                <w:sz w:val="16"/>
                <w:szCs w:val="16"/>
              </w:rPr>
            </w:pPr>
            <w:r w:rsidRPr="00BF41EC">
              <w:rPr>
                <w:rFonts w:cs="Arial"/>
                <w:color w:val="000000"/>
                <w:sz w:val="16"/>
                <w:szCs w:val="16"/>
              </w:rPr>
              <w:t>$584</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72D7F384" w14:textId="55E022BF"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61A6021E" w14:textId="6819A83F" w:rsidR="00F136AD" w:rsidRPr="00BF41EC" w:rsidRDefault="00F136AD" w:rsidP="00F136AD">
            <w:pPr>
              <w:rPr>
                <w:rFonts w:eastAsia="Arial" w:cs="Arial"/>
                <w:sz w:val="16"/>
                <w:szCs w:val="16"/>
              </w:rPr>
            </w:pPr>
            <w:r w:rsidRPr="00BF41EC">
              <w:rPr>
                <w:rFonts w:cs="Arial"/>
                <w:color w:val="000000"/>
                <w:sz w:val="16"/>
                <w:szCs w:val="16"/>
              </w:rPr>
              <w:t>$584</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8AC19C8" w14:textId="475ED040"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3D65E22D" w14:textId="7F2CCA77" w:rsidR="00F136AD" w:rsidRPr="00BF41EC" w:rsidRDefault="00F136AD" w:rsidP="00F136AD">
            <w:pPr>
              <w:rPr>
                <w:rFonts w:eastAsia="Arial" w:cs="Arial"/>
                <w:sz w:val="16"/>
                <w:szCs w:val="16"/>
              </w:rPr>
            </w:pPr>
            <w:r w:rsidRPr="00BF41EC">
              <w:rPr>
                <w:rFonts w:cs="Arial"/>
                <w:color w:val="000000"/>
                <w:sz w:val="16"/>
                <w:szCs w:val="16"/>
              </w:rPr>
              <w:t>$584</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08A2ADFF" w14:textId="29415A40"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63F9B45A" w14:textId="0CEDA700" w:rsidR="00F136AD" w:rsidRPr="00BF41EC" w:rsidRDefault="00F136AD" w:rsidP="00F136AD">
            <w:pPr>
              <w:rPr>
                <w:rFonts w:eastAsia="Arial" w:cs="Arial"/>
                <w:sz w:val="16"/>
                <w:szCs w:val="16"/>
              </w:rPr>
            </w:pPr>
            <w:r w:rsidRPr="00BF41EC">
              <w:rPr>
                <w:rFonts w:cs="Arial"/>
                <w:color w:val="000000"/>
                <w:sz w:val="16"/>
                <w:szCs w:val="16"/>
              </w:rPr>
              <w:t>$584</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7D88BAAE" w14:textId="08225E1D"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016EAB30" w14:textId="5B82791B"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0DA9FB3A" w14:textId="69657D6F"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3C298393"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1AE371CA" w14:textId="77777777" w:rsidR="00F136AD" w:rsidRPr="006E7DA0" w:rsidRDefault="00F136AD" w:rsidP="00F136AD">
            <w:pPr>
              <w:rPr>
                <w:rFonts w:eastAsia="Arial" w:cs="Arial"/>
                <w:b/>
                <w:bCs/>
                <w:sz w:val="16"/>
                <w:szCs w:val="16"/>
              </w:rPr>
            </w:pPr>
            <w:r w:rsidRPr="006E7DA0">
              <w:rPr>
                <w:rFonts w:eastAsia="Arial" w:cs="Arial"/>
                <w:b/>
                <w:bCs/>
                <w:sz w:val="16"/>
                <w:szCs w:val="16"/>
              </w:rPr>
              <w:t>Application Assessment</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229103D6" w14:textId="0B53D6D4" w:rsidR="00F136AD" w:rsidRPr="00AF5F1F" w:rsidRDefault="00F136AD" w:rsidP="00F136AD">
            <w:pPr>
              <w:rPr>
                <w:rFonts w:eastAsia="Arial" w:cs="Arial"/>
                <w:sz w:val="16"/>
                <w:szCs w:val="16"/>
              </w:rPr>
            </w:pPr>
            <w:r>
              <w:rPr>
                <w:rFonts w:cs="Arial"/>
                <w:color w:val="000000"/>
                <w:sz w:val="16"/>
                <w:szCs w:val="16"/>
              </w:rPr>
              <w:t>Certificate</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304CFE16" w14:textId="4BC68D44" w:rsidR="00F136AD" w:rsidRPr="00BF41EC" w:rsidRDefault="00F136AD" w:rsidP="00F136AD">
            <w:pPr>
              <w:rPr>
                <w:rFonts w:eastAsia="Arial" w:cs="Arial"/>
                <w:sz w:val="16"/>
                <w:szCs w:val="16"/>
              </w:rPr>
            </w:pPr>
            <w:r w:rsidRPr="00BF41EC">
              <w:rPr>
                <w:rFonts w:cs="Arial"/>
                <w:color w:val="000000"/>
                <w:sz w:val="16"/>
                <w:szCs w:val="16"/>
              </w:rPr>
              <w:t>$390</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14BC6790" w14:textId="2797EA8C"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ADDC36D" w14:textId="4D2F4283" w:rsidR="00F136AD" w:rsidRPr="00BF41EC" w:rsidRDefault="00F136AD" w:rsidP="00F136AD">
            <w:pPr>
              <w:rPr>
                <w:rFonts w:eastAsia="Arial" w:cs="Arial"/>
                <w:sz w:val="16"/>
                <w:szCs w:val="16"/>
              </w:rPr>
            </w:pPr>
            <w:r w:rsidRPr="00BF41EC">
              <w:rPr>
                <w:rFonts w:cs="Arial"/>
                <w:color w:val="000000"/>
                <w:sz w:val="16"/>
                <w:szCs w:val="16"/>
              </w:rPr>
              <w:t>$390</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489EE458" w14:textId="06623338"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2AAE335" w14:textId="243CE1BD" w:rsidR="00F136AD" w:rsidRPr="00BF41EC" w:rsidRDefault="00F136AD" w:rsidP="00F136AD">
            <w:pPr>
              <w:rPr>
                <w:rFonts w:eastAsia="Arial" w:cs="Arial"/>
                <w:sz w:val="16"/>
                <w:szCs w:val="16"/>
              </w:rPr>
            </w:pPr>
            <w:r w:rsidRPr="00BF41EC">
              <w:rPr>
                <w:rFonts w:cs="Arial"/>
                <w:color w:val="000000"/>
                <w:sz w:val="16"/>
                <w:szCs w:val="16"/>
              </w:rPr>
              <w:t>$390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0DB168F" w14:textId="55C3EA64" w:rsidR="00F136AD" w:rsidRPr="00BF41EC" w:rsidRDefault="00F136AD" w:rsidP="00F136AD">
            <w:pPr>
              <w:rPr>
                <w:rFonts w:eastAsia="Arial" w:cs="Arial"/>
                <w:sz w:val="16"/>
                <w:szCs w:val="16"/>
              </w:rPr>
            </w:pPr>
            <w:r w:rsidRPr="00BF41EC">
              <w:rPr>
                <w:rFonts w:cs="Arial"/>
                <w:color w:val="000000"/>
                <w:sz w:val="16"/>
                <w:szCs w:val="16"/>
              </w:rPr>
              <w:t>per hour</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FFD4F88" w14:textId="28E46023"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3E0D73F" w14:textId="732CD705" w:rsidR="00F136AD" w:rsidRPr="00BF41EC" w:rsidRDefault="00F136AD" w:rsidP="00F136AD">
            <w:pPr>
              <w:rPr>
                <w:rFonts w:eastAsia="Arial" w:cs="Arial"/>
                <w:sz w:val="16"/>
                <w:szCs w:val="16"/>
              </w:rPr>
            </w:pPr>
            <w:r w:rsidRPr="00BF41EC">
              <w:rPr>
                <w:rFonts w:cs="Arial"/>
                <w:color w:val="000000"/>
                <w:sz w:val="16"/>
                <w:szCs w:val="16"/>
              </w:rPr>
              <w:t>per hour</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3AE4044" w14:textId="67C78B3D" w:rsidR="00F136AD" w:rsidRPr="00BF41EC" w:rsidRDefault="00F136AD" w:rsidP="00F136AD">
            <w:pPr>
              <w:rPr>
                <w:rFonts w:eastAsia="Arial" w:cs="Arial"/>
                <w:sz w:val="16"/>
                <w:szCs w:val="16"/>
              </w:rPr>
            </w:pPr>
            <w:r w:rsidRPr="00BF41EC">
              <w:rPr>
                <w:rFonts w:cs="Arial"/>
                <w:color w:val="000000"/>
                <w:sz w:val="16"/>
                <w:szCs w:val="16"/>
              </w:rPr>
              <w:t>$390</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4EE422E8" w14:textId="3B9871AD"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211BEC95" w14:textId="5E62DCBF" w:rsidR="00F136AD" w:rsidRPr="00BF41EC" w:rsidRDefault="00F136AD" w:rsidP="00F136AD">
            <w:pPr>
              <w:rPr>
                <w:rFonts w:eastAsia="Arial" w:cs="Arial"/>
                <w:sz w:val="16"/>
                <w:szCs w:val="16"/>
              </w:rPr>
            </w:pPr>
            <w:r w:rsidRPr="00BF41EC">
              <w:rPr>
                <w:rFonts w:cs="Arial"/>
                <w:color w:val="000000"/>
                <w:sz w:val="16"/>
                <w:szCs w:val="16"/>
              </w:rPr>
              <w:t>$390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474FE2DA" w14:textId="5F99D78C" w:rsidR="00F136AD" w:rsidRPr="00BF41EC" w:rsidRDefault="00F136AD" w:rsidP="00F136AD">
            <w:pPr>
              <w:rPr>
                <w:rFonts w:eastAsia="Arial" w:cs="Arial"/>
                <w:sz w:val="16"/>
                <w:szCs w:val="16"/>
              </w:rPr>
            </w:pPr>
            <w:r w:rsidRPr="00BF41EC">
              <w:rPr>
                <w:rFonts w:cs="Arial"/>
                <w:color w:val="000000"/>
                <w:sz w:val="16"/>
                <w:szCs w:val="16"/>
              </w:rPr>
              <w:t>per hour</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EBE8D0D" w14:textId="0BB5D1F1"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360CFB" w14:textId="14B03D4F"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679CCA2E" w14:textId="74E5A266" w:rsidR="00F136AD" w:rsidRPr="00BF41EC" w:rsidRDefault="00F136AD" w:rsidP="00F136AD">
            <w:pPr>
              <w:rPr>
                <w:rFonts w:eastAsia="Arial" w:cs="Arial"/>
                <w:sz w:val="16"/>
                <w:szCs w:val="16"/>
              </w:rPr>
            </w:pPr>
            <w:r w:rsidRPr="00BF41EC">
              <w:rPr>
                <w:rFonts w:cs="Arial"/>
                <w:color w:val="000000"/>
                <w:sz w:val="16"/>
                <w:szCs w:val="16"/>
              </w:rPr>
              <w:t>$390</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05052E1E" w14:textId="52E351B6" w:rsidR="00F136AD" w:rsidRPr="00BF41EC" w:rsidRDefault="00F136AD" w:rsidP="00F136AD">
            <w:pPr>
              <w:rPr>
                <w:rFonts w:eastAsia="Arial" w:cs="Arial"/>
                <w:sz w:val="16"/>
                <w:szCs w:val="16"/>
              </w:rPr>
            </w:pPr>
            <w:r w:rsidRPr="00BF41EC">
              <w:rPr>
                <w:rFonts w:cs="Arial"/>
                <w:color w:val="000000"/>
                <w:sz w:val="16"/>
                <w:szCs w:val="16"/>
              </w:rPr>
              <w:t>per hour</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32C6DB7D" w14:textId="43084BCA" w:rsidR="00F136AD" w:rsidRPr="00BF41EC" w:rsidRDefault="00F136AD" w:rsidP="00F136AD">
            <w:pPr>
              <w:rPr>
                <w:rFonts w:eastAsia="Arial" w:cs="Arial"/>
                <w:sz w:val="16"/>
                <w:szCs w:val="16"/>
              </w:rPr>
            </w:pPr>
            <w:r w:rsidRPr="00BF41EC">
              <w:rPr>
                <w:rFonts w:cs="Arial"/>
                <w:color w:val="000000"/>
                <w:sz w:val="16"/>
                <w:szCs w:val="16"/>
              </w:rPr>
              <w:t>$390</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1DF12CB" w14:textId="15A6091B" w:rsidR="00F136AD" w:rsidRPr="00BF41EC" w:rsidRDefault="00F136AD" w:rsidP="00F136AD">
            <w:pPr>
              <w:rPr>
                <w:rFonts w:eastAsia="Arial" w:cs="Arial"/>
                <w:sz w:val="16"/>
                <w:szCs w:val="16"/>
              </w:rPr>
            </w:pPr>
            <w:r w:rsidRPr="00BF41EC">
              <w:rPr>
                <w:rFonts w:cs="Arial"/>
                <w:color w:val="000000"/>
                <w:sz w:val="16"/>
                <w:szCs w:val="16"/>
              </w:rPr>
              <w:t>per hour</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35E0BB0E" w14:textId="3AD6502C" w:rsidR="00F136AD" w:rsidRPr="00BF41EC" w:rsidRDefault="00F136AD" w:rsidP="00F136AD">
            <w:pPr>
              <w:rPr>
                <w:rFonts w:eastAsia="Arial" w:cs="Arial"/>
                <w:sz w:val="16"/>
                <w:szCs w:val="16"/>
              </w:rPr>
            </w:pPr>
            <w:r w:rsidRPr="00BF41EC">
              <w:rPr>
                <w:rFonts w:cs="Arial"/>
                <w:color w:val="000000"/>
                <w:sz w:val="16"/>
                <w:szCs w:val="16"/>
              </w:rPr>
              <w:t>$390</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0974E29A" w14:textId="6BED74A3" w:rsidR="00F136AD" w:rsidRPr="00BF41EC" w:rsidRDefault="00F136AD" w:rsidP="00F136AD">
            <w:pPr>
              <w:rPr>
                <w:rFonts w:eastAsia="Arial" w:cs="Arial"/>
                <w:sz w:val="16"/>
                <w:szCs w:val="16"/>
              </w:rPr>
            </w:pPr>
            <w:r w:rsidRPr="00BF41EC">
              <w:rPr>
                <w:rFonts w:cs="Arial"/>
                <w:color w:val="000000"/>
                <w:sz w:val="16"/>
                <w:szCs w:val="16"/>
              </w:rPr>
              <w:t>per hour</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6425F19B" w14:textId="1BEC5F28" w:rsidR="00F136AD" w:rsidRPr="00BF41EC" w:rsidRDefault="00F136AD" w:rsidP="00F136AD">
            <w:pPr>
              <w:rPr>
                <w:rFonts w:eastAsia="Arial" w:cs="Arial"/>
                <w:sz w:val="16"/>
                <w:szCs w:val="16"/>
              </w:rPr>
            </w:pPr>
            <w:r w:rsidRPr="00BF41EC">
              <w:rPr>
                <w:rFonts w:cs="Arial"/>
                <w:color w:val="000000"/>
                <w:sz w:val="16"/>
                <w:szCs w:val="16"/>
              </w:rPr>
              <w:t>$390</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1EB2A1F9" w14:textId="0B220FAE" w:rsidR="00F136AD" w:rsidRPr="00BF41EC" w:rsidRDefault="00F136AD" w:rsidP="00F136AD">
            <w:pPr>
              <w:rPr>
                <w:rFonts w:eastAsia="Arial" w:cs="Arial"/>
                <w:sz w:val="16"/>
                <w:szCs w:val="16"/>
              </w:rPr>
            </w:pPr>
            <w:r w:rsidRPr="00BF41EC">
              <w:rPr>
                <w:rFonts w:cs="Arial"/>
                <w:color w:val="000000"/>
                <w:sz w:val="16"/>
                <w:szCs w:val="16"/>
              </w:rPr>
              <w:t>per hour</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45FC9F0E" w14:textId="4F746F76"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076EAE83" w14:textId="256BF056"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31A768EC"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1FA969C8" w14:textId="77777777" w:rsidR="00F136AD" w:rsidRPr="006E7DA0" w:rsidRDefault="00F136AD" w:rsidP="00F136AD">
            <w:pPr>
              <w:rPr>
                <w:rFonts w:eastAsia="Arial" w:cs="Arial"/>
                <w:b/>
                <w:bCs/>
                <w:sz w:val="16"/>
                <w:szCs w:val="16"/>
              </w:rPr>
            </w:pPr>
            <w:r w:rsidRPr="006E7DA0">
              <w:rPr>
                <w:rFonts w:eastAsia="Arial" w:cs="Arial"/>
                <w:b/>
                <w:bCs/>
                <w:sz w:val="16"/>
                <w:szCs w:val="16"/>
              </w:rPr>
              <w:t>Instrument Performance</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14BED28" w14:textId="685BB694"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18D5E6A9" w14:textId="62CF6531" w:rsidR="00F136AD" w:rsidRPr="00BF41EC" w:rsidRDefault="00F136AD" w:rsidP="00F136AD">
            <w:pPr>
              <w:rPr>
                <w:rFonts w:eastAsia="Arial" w:cs="Arial"/>
                <w:sz w:val="16"/>
                <w:szCs w:val="16"/>
              </w:rPr>
            </w:pPr>
            <w:r w:rsidRPr="00BF41EC">
              <w:rPr>
                <w:rFonts w:cs="Arial"/>
                <w:color w:val="000000"/>
                <w:sz w:val="16"/>
                <w:szCs w:val="16"/>
              </w:rPr>
              <w:t>$390</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60FE8DAD" w14:textId="03782215"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208E0D1A" w14:textId="137AF8B7" w:rsidR="00F136AD" w:rsidRPr="00BF41EC" w:rsidRDefault="00F136AD" w:rsidP="00F136AD">
            <w:pPr>
              <w:rPr>
                <w:rFonts w:eastAsia="Arial" w:cs="Arial"/>
                <w:sz w:val="16"/>
                <w:szCs w:val="16"/>
              </w:rPr>
            </w:pPr>
            <w:r w:rsidRPr="00BF41EC">
              <w:rPr>
                <w:rFonts w:cs="Arial"/>
                <w:color w:val="000000"/>
                <w:sz w:val="16"/>
                <w:szCs w:val="16"/>
              </w:rPr>
              <w:t>$390</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04995D77" w14:textId="0B3CD595"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0AA3487E" w14:textId="5289C15B" w:rsidR="00F136AD" w:rsidRPr="00BF41EC" w:rsidRDefault="00F136AD" w:rsidP="00F136AD">
            <w:pPr>
              <w:rPr>
                <w:rFonts w:eastAsia="Arial" w:cs="Arial"/>
                <w:sz w:val="16"/>
                <w:szCs w:val="16"/>
              </w:rPr>
            </w:pPr>
            <w:r w:rsidRPr="00BF41EC">
              <w:rPr>
                <w:rFonts w:cs="Arial"/>
                <w:color w:val="000000"/>
                <w:sz w:val="16"/>
                <w:szCs w:val="16"/>
              </w:rPr>
              <w:t>$390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520CE55" w14:textId="65D87BD3" w:rsidR="00F136AD" w:rsidRPr="00BF41EC" w:rsidRDefault="00F136AD" w:rsidP="00F136AD">
            <w:pPr>
              <w:rPr>
                <w:rFonts w:eastAsia="Arial" w:cs="Arial"/>
                <w:sz w:val="16"/>
                <w:szCs w:val="16"/>
              </w:rPr>
            </w:pPr>
            <w:r w:rsidRPr="00BF41EC">
              <w:rPr>
                <w:rFonts w:cs="Arial"/>
                <w:color w:val="000000"/>
                <w:sz w:val="16"/>
                <w:szCs w:val="16"/>
              </w:rPr>
              <w:t>per hour</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698746F" w14:textId="25404308"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1B7B331" w14:textId="2E73DC0D" w:rsidR="00F136AD" w:rsidRPr="00BF41EC" w:rsidRDefault="00F136AD" w:rsidP="00F136AD">
            <w:pPr>
              <w:rPr>
                <w:rFonts w:eastAsia="Arial" w:cs="Arial"/>
                <w:sz w:val="16"/>
                <w:szCs w:val="16"/>
              </w:rPr>
            </w:pPr>
            <w:r w:rsidRPr="00BF41EC">
              <w:rPr>
                <w:rFonts w:cs="Arial"/>
                <w:color w:val="000000"/>
                <w:sz w:val="16"/>
                <w:szCs w:val="16"/>
              </w:rPr>
              <w:t>per hour</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625C14" w14:textId="436B74D2" w:rsidR="00F136AD" w:rsidRPr="00BF41EC" w:rsidRDefault="00F136AD" w:rsidP="00F136AD">
            <w:pPr>
              <w:rPr>
                <w:rFonts w:eastAsia="Arial" w:cs="Arial"/>
                <w:sz w:val="16"/>
                <w:szCs w:val="16"/>
              </w:rPr>
            </w:pPr>
            <w:r w:rsidRPr="00BF41EC">
              <w:rPr>
                <w:rFonts w:cs="Arial"/>
                <w:color w:val="000000"/>
                <w:sz w:val="16"/>
                <w:szCs w:val="16"/>
              </w:rPr>
              <w:t>$390</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5B736014" w14:textId="5BAD8070"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439BFEC" w14:textId="70DAC1FC" w:rsidR="00F136AD" w:rsidRPr="00BF41EC" w:rsidRDefault="00F136AD" w:rsidP="00F136AD">
            <w:pPr>
              <w:rPr>
                <w:rFonts w:eastAsia="Arial" w:cs="Arial"/>
                <w:sz w:val="16"/>
                <w:szCs w:val="16"/>
              </w:rPr>
            </w:pPr>
            <w:r w:rsidRPr="00BF41EC">
              <w:rPr>
                <w:rFonts w:cs="Arial"/>
                <w:color w:val="000000"/>
                <w:sz w:val="16"/>
                <w:szCs w:val="16"/>
              </w:rPr>
              <w:t>$390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6684A6B6" w14:textId="1DCE59E6" w:rsidR="00F136AD" w:rsidRPr="00BF41EC" w:rsidRDefault="00F136AD" w:rsidP="00F136AD">
            <w:pPr>
              <w:rPr>
                <w:rFonts w:eastAsia="Arial" w:cs="Arial"/>
                <w:sz w:val="16"/>
                <w:szCs w:val="16"/>
              </w:rPr>
            </w:pPr>
            <w:r w:rsidRPr="00BF41EC">
              <w:rPr>
                <w:rFonts w:cs="Arial"/>
                <w:color w:val="000000"/>
                <w:sz w:val="16"/>
                <w:szCs w:val="16"/>
              </w:rPr>
              <w:t>per hour</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9FC7634" w14:textId="2592B34F"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54F5373" w14:textId="73285902"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3F414336" w14:textId="01B8EFC5" w:rsidR="00F136AD" w:rsidRPr="00BF41EC" w:rsidRDefault="00F136AD" w:rsidP="00F136AD">
            <w:pPr>
              <w:rPr>
                <w:rFonts w:eastAsia="Arial" w:cs="Arial"/>
                <w:sz w:val="16"/>
                <w:szCs w:val="16"/>
              </w:rPr>
            </w:pPr>
            <w:r w:rsidRPr="00BF41EC">
              <w:rPr>
                <w:rFonts w:cs="Arial"/>
                <w:color w:val="000000"/>
                <w:sz w:val="16"/>
                <w:szCs w:val="16"/>
              </w:rPr>
              <w:t>$390</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45BC3FB1" w14:textId="704B61A3" w:rsidR="00F136AD" w:rsidRPr="00BF41EC" w:rsidRDefault="00F136AD" w:rsidP="00F136AD">
            <w:pPr>
              <w:rPr>
                <w:rFonts w:eastAsia="Arial" w:cs="Arial"/>
                <w:sz w:val="16"/>
                <w:szCs w:val="16"/>
              </w:rPr>
            </w:pPr>
            <w:r w:rsidRPr="00BF41EC">
              <w:rPr>
                <w:rFonts w:cs="Arial"/>
                <w:color w:val="000000"/>
                <w:sz w:val="16"/>
                <w:szCs w:val="16"/>
              </w:rPr>
              <w:t>per hour</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61E4314E" w14:textId="3206B237"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A446C88" w14:textId="1770238B"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E046628" w14:textId="427CD7E4"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09D01B0C" w14:textId="3D1CDA19"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0FAA616C" w14:textId="51E299A0"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16681958" w14:textId="2E0B2327"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32A105C8" w14:textId="2F27B975"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6667A810" w14:textId="57D3E3E2"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683CA465"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7E70E9EA" w14:textId="77777777" w:rsidR="00F136AD" w:rsidRPr="006E7DA0" w:rsidRDefault="00F136AD" w:rsidP="00F136AD">
            <w:pPr>
              <w:rPr>
                <w:rFonts w:eastAsia="Arial" w:cs="Arial"/>
                <w:b/>
                <w:bCs/>
                <w:sz w:val="16"/>
                <w:szCs w:val="16"/>
              </w:rPr>
            </w:pPr>
            <w:r w:rsidRPr="006E7DA0">
              <w:rPr>
                <w:rFonts w:eastAsia="Arial" w:cs="Arial"/>
                <w:b/>
                <w:bCs/>
                <w:sz w:val="16"/>
                <w:szCs w:val="16"/>
              </w:rPr>
              <w:t>Temperature test</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CCAC173" w14:textId="68A55B54"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196C33F8" w14:textId="7A5EA88E" w:rsidR="00F136AD" w:rsidRPr="00BF41EC" w:rsidRDefault="00F136AD" w:rsidP="008D6983">
            <w:pPr>
              <w:rPr>
                <w:rFonts w:eastAsia="Arial" w:cs="Arial"/>
                <w:sz w:val="16"/>
                <w:szCs w:val="16"/>
              </w:rPr>
            </w:pPr>
            <w:r w:rsidRPr="00BF41EC">
              <w:rPr>
                <w:rFonts w:cs="Arial"/>
                <w:color w:val="000000"/>
                <w:sz w:val="16"/>
                <w:szCs w:val="16"/>
              </w:rPr>
              <w:t>$2,34</w:t>
            </w:r>
            <w:r w:rsidR="008D6983">
              <w:rPr>
                <w:rFonts w:cs="Arial"/>
                <w:color w:val="000000"/>
                <w:sz w:val="16"/>
                <w:szCs w:val="16"/>
              </w:rPr>
              <w:t>1</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671266BE" w14:textId="20580EB7"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7FC62F6" w14:textId="234EF13C" w:rsidR="00F136AD" w:rsidRPr="00BF41EC" w:rsidRDefault="00F136AD" w:rsidP="008D6983">
            <w:pPr>
              <w:rPr>
                <w:rFonts w:eastAsia="Arial" w:cs="Arial"/>
                <w:sz w:val="16"/>
                <w:szCs w:val="16"/>
              </w:rPr>
            </w:pPr>
            <w:r w:rsidRPr="00BF41EC">
              <w:rPr>
                <w:rFonts w:cs="Arial"/>
                <w:color w:val="000000"/>
                <w:sz w:val="16"/>
                <w:szCs w:val="16"/>
              </w:rPr>
              <w:t>$3,70</w:t>
            </w:r>
            <w:r w:rsidR="008D6983">
              <w:rPr>
                <w:rFonts w:cs="Arial"/>
                <w:color w:val="000000"/>
                <w:sz w:val="16"/>
                <w:szCs w:val="16"/>
              </w:rPr>
              <w:t>6</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386D4C56" w14:textId="15F1C006"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4165855" w14:textId="7E234730" w:rsidR="00F136AD" w:rsidRPr="00BF41EC" w:rsidRDefault="00F136AD" w:rsidP="008D6983">
            <w:pPr>
              <w:rPr>
                <w:rFonts w:eastAsia="Arial" w:cs="Arial"/>
                <w:sz w:val="16"/>
                <w:szCs w:val="16"/>
              </w:rPr>
            </w:pPr>
            <w:r w:rsidRPr="00BF41EC">
              <w:rPr>
                <w:rFonts w:cs="Arial"/>
                <w:color w:val="000000"/>
                <w:sz w:val="16"/>
                <w:szCs w:val="16"/>
              </w:rPr>
              <w:t>$4,04</w:t>
            </w:r>
            <w:r w:rsidR="008D6983">
              <w:rPr>
                <w:rFonts w:cs="Arial"/>
                <w:color w:val="000000"/>
                <w:sz w:val="16"/>
                <w:szCs w:val="16"/>
              </w:rPr>
              <w:t>6</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78478D97" w14:textId="257BF20A"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C0FDC74" w14:textId="0E836AC3" w:rsidR="00F136AD" w:rsidRPr="00BF41EC" w:rsidRDefault="00F136AD" w:rsidP="00F136AD">
            <w:pPr>
              <w:rPr>
                <w:rFonts w:eastAsia="Arial" w:cs="Arial"/>
                <w:sz w:val="16"/>
                <w:szCs w:val="16"/>
              </w:rPr>
            </w:pPr>
            <w:r w:rsidRPr="00BF41EC">
              <w:rPr>
                <w:rFonts w:cs="Arial"/>
                <w:color w:val="000000"/>
                <w:sz w:val="16"/>
                <w:szCs w:val="16"/>
              </w:rPr>
              <w:t>$3,442</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893F0F" w14:textId="3358C4C3"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744F21A" w14:textId="254D7244" w:rsidR="00F136AD" w:rsidRPr="00BF41EC" w:rsidRDefault="00F136AD" w:rsidP="008D6983">
            <w:pPr>
              <w:rPr>
                <w:rFonts w:eastAsia="Arial" w:cs="Arial"/>
                <w:sz w:val="16"/>
                <w:szCs w:val="16"/>
              </w:rPr>
            </w:pPr>
            <w:r w:rsidRPr="00BF41EC">
              <w:rPr>
                <w:rFonts w:cs="Arial"/>
                <w:color w:val="000000"/>
                <w:sz w:val="16"/>
                <w:szCs w:val="16"/>
              </w:rPr>
              <w:t>$4,47</w:t>
            </w:r>
            <w:r w:rsidR="008D6983">
              <w:rPr>
                <w:rFonts w:cs="Arial"/>
                <w:color w:val="000000"/>
                <w:sz w:val="16"/>
                <w:szCs w:val="16"/>
              </w:rPr>
              <w:t>0</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1B088625" w14:textId="1B504048"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10F03D9" w14:textId="64B75BA6" w:rsidR="00F136AD" w:rsidRPr="00BF41EC" w:rsidRDefault="00F136AD" w:rsidP="008D6983">
            <w:pPr>
              <w:rPr>
                <w:rFonts w:eastAsia="Arial" w:cs="Arial"/>
                <w:sz w:val="16"/>
                <w:szCs w:val="16"/>
              </w:rPr>
            </w:pPr>
            <w:r w:rsidRPr="00BF41EC">
              <w:rPr>
                <w:rFonts w:cs="Arial"/>
                <w:color w:val="000000"/>
                <w:sz w:val="16"/>
                <w:szCs w:val="16"/>
              </w:rPr>
              <w:t>$4,6</w:t>
            </w:r>
            <w:r w:rsidR="008D6983">
              <w:rPr>
                <w:rFonts w:cs="Arial"/>
                <w:color w:val="000000"/>
                <w:sz w:val="16"/>
                <w:szCs w:val="16"/>
              </w:rPr>
              <w:t>49</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28135D79" w14:textId="0A24702C"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9F5A2EF" w14:textId="3DC7D5EF" w:rsidR="00F136AD" w:rsidRPr="00BF41EC" w:rsidRDefault="00F136AD" w:rsidP="00F136AD">
            <w:pPr>
              <w:rPr>
                <w:rFonts w:eastAsia="Arial" w:cs="Arial"/>
                <w:sz w:val="16"/>
                <w:szCs w:val="16"/>
              </w:rPr>
            </w:pPr>
            <w:r w:rsidRPr="00BF41EC">
              <w:rPr>
                <w:rFonts w:cs="Arial"/>
                <w:color w:val="000000"/>
                <w:sz w:val="16"/>
                <w:szCs w:val="16"/>
              </w:rPr>
              <w:t>$924</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F78523D" w14:textId="28995D0E"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35F7B678" w14:textId="231BB431" w:rsidR="00F136AD" w:rsidRPr="00BF41EC" w:rsidRDefault="00F136AD" w:rsidP="008D6983">
            <w:pPr>
              <w:rPr>
                <w:rFonts w:eastAsia="Arial" w:cs="Arial"/>
                <w:sz w:val="16"/>
                <w:szCs w:val="16"/>
              </w:rPr>
            </w:pPr>
            <w:r w:rsidRPr="00BF41EC">
              <w:rPr>
                <w:rFonts w:cs="Arial"/>
                <w:color w:val="000000"/>
                <w:sz w:val="16"/>
                <w:szCs w:val="16"/>
              </w:rPr>
              <w:t>$7,96</w:t>
            </w:r>
            <w:r w:rsidR="008D6983">
              <w:rPr>
                <w:rFonts w:cs="Arial"/>
                <w:color w:val="000000"/>
                <w:sz w:val="16"/>
                <w:szCs w:val="16"/>
              </w:rPr>
              <w:t>4</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7B1FD7EE" w14:textId="4558F6DC"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0FABCA76" w14:textId="7332132A"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C82D43A" w14:textId="621F9E3E"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52149A39" w14:textId="0283661B"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7B6D5EC9" w14:textId="7FBB9550"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2DDA3C4F" w14:textId="1CA81981"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28485CC5" w14:textId="7B45E2C7"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7B1BC2A3" w14:textId="5589CAC3"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7306D595" w14:textId="51086D69"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45DF20FF"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797BACDA" w14:textId="77777777" w:rsidR="00F136AD" w:rsidRPr="006E7DA0" w:rsidRDefault="00F136AD" w:rsidP="00F136AD">
            <w:pPr>
              <w:rPr>
                <w:rFonts w:eastAsia="Arial" w:cs="Arial"/>
                <w:b/>
                <w:bCs/>
                <w:sz w:val="16"/>
                <w:szCs w:val="16"/>
              </w:rPr>
            </w:pPr>
            <w:r w:rsidRPr="006E7DA0">
              <w:rPr>
                <w:rFonts w:eastAsia="Arial" w:cs="Arial"/>
                <w:b/>
                <w:bCs/>
                <w:sz w:val="16"/>
                <w:szCs w:val="16"/>
              </w:rPr>
              <w:t>Humidity test</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8A31232" w14:textId="0CBF10E8"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42FDCA53" w14:textId="59D39D87" w:rsidR="00F136AD" w:rsidRPr="00BF41EC" w:rsidRDefault="00F136AD" w:rsidP="008D6983">
            <w:pPr>
              <w:rPr>
                <w:rFonts w:eastAsia="Arial" w:cs="Arial"/>
                <w:sz w:val="16"/>
                <w:szCs w:val="16"/>
              </w:rPr>
            </w:pPr>
            <w:r w:rsidRPr="00BF41EC">
              <w:rPr>
                <w:rFonts w:cs="Arial"/>
                <w:color w:val="000000"/>
                <w:sz w:val="16"/>
                <w:szCs w:val="16"/>
              </w:rPr>
              <w:t>$2,67</w:t>
            </w:r>
            <w:r w:rsidR="008D6983">
              <w:rPr>
                <w:rFonts w:cs="Arial"/>
                <w:color w:val="000000"/>
                <w:sz w:val="16"/>
                <w:szCs w:val="16"/>
              </w:rPr>
              <w:t>6</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1D47BAE8" w14:textId="23E49C5E"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63DA0735" w14:textId="4A1DAD3E" w:rsidR="00F136AD" w:rsidRPr="00BF41EC" w:rsidRDefault="00F136AD" w:rsidP="00F136AD">
            <w:pPr>
              <w:rPr>
                <w:rFonts w:eastAsia="Arial" w:cs="Arial"/>
                <w:sz w:val="16"/>
                <w:szCs w:val="16"/>
              </w:rPr>
            </w:pPr>
            <w:r w:rsidRPr="00BF41EC">
              <w:rPr>
                <w:rFonts w:cs="Arial"/>
                <w:color w:val="000000"/>
                <w:sz w:val="16"/>
                <w:szCs w:val="16"/>
              </w:rPr>
              <w:t>$2,946</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3E536D8C" w14:textId="673BF933"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219E5FEA" w14:textId="7E075AF2" w:rsidR="00F136AD" w:rsidRPr="00BF41EC" w:rsidRDefault="00F136AD" w:rsidP="008D6983">
            <w:pPr>
              <w:rPr>
                <w:rFonts w:eastAsia="Arial" w:cs="Arial"/>
                <w:sz w:val="16"/>
                <w:szCs w:val="16"/>
              </w:rPr>
            </w:pPr>
            <w:r w:rsidRPr="00BF41EC">
              <w:rPr>
                <w:rFonts w:cs="Arial"/>
                <w:color w:val="000000"/>
                <w:sz w:val="16"/>
                <w:szCs w:val="16"/>
              </w:rPr>
              <w:t>$3,14</w:t>
            </w:r>
            <w:r w:rsidR="008D6983">
              <w:rPr>
                <w:rFonts w:cs="Arial"/>
                <w:color w:val="000000"/>
                <w:sz w:val="16"/>
                <w:szCs w:val="16"/>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53D2557F" w14:textId="04B21BC6"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726B989" w14:textId="589F4C78" w:rsidR="00F136AD" w:rsidRPr="00BF41EC" w:rsidRDefault="00F136AD" w:rsidP="008D6983">
            <w:pPr>
              <w:rPr>
                <w:rFonts w:eastAsia="Arial" w:cs="Arial"/>
                <w:sz w:val="16"/>
                <w:szCs w:val="16"/>
              </w:rPr>
            </w:pPr>
            <w:r w:rsidRPr="00BF41EC">
              <w:rPr>
                <w:rFonts w:cs="Arial"/>
                <w:color w:val="000000"/>
                <w:sz w:val="16"/>
                <w:szCs w:val="16"/>
              </w:rPr>
              <w:t>$1,89</w:t>
            </w:r>
            <w:r w:rsidR="008D6983">
              <w:rPr>
                <w:rFonts w:cs="Arial"/>
                <w:color w:val="000000"/>
                <w:sz w:val="16"/>
                <w:szCs w:val="16"/>
              </w:rPr>
              <w:t>6</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3A892CA" w14:textId="5CA87B2B"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51416F0" w14:textId="2861C0BB" w:rsidR="00F136AD" w:rsidRPr="00BF41EC" w:rsidRDefault="00F136AD" w:rsidP="008D6983">
            <w:pPr>
              <w:rPr>
                <w:rFonts w:eastAsia="Arial" w:cs="Arial"/>
                <w:sz w:val="16"/>
                <w:szCs w:val="16"/>
              </w:rPr>
            </w:pPr>
            <w:r w:rsidRPr="00BF41EC">
              <w:rPr>
                <w:rFonts w:cs="Arial"/>
                <w:color w:val="000000"/>
                <w:sz w:val="16"/>
                <w:szCs w:val="16"/>
              </w:rPr>
              <w:t>$2,3</w:t>
            </w:r>
            <w:r w:rsidR="008D6983">
              <w:rPr>
                <w:rFonts w:cs="Arial"/>
                <w:color w:val="000000"/>
                <w:sz w:val="16"/>
                <w:szCs w:val="16"/>
              </w:rPr>
              <w:t>59</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4EC0E0EF" w14:textId="4E96CBF1"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882124E" w14:textId="3F077E2A" w:rsidR="00F136AD" w:rsidRPr="00BF41EC" w:rsidRDefault="00F136AD" w:rsidP="00F136AD">
            <w:pPr>
              <w:rPr>
                <w:rFonts w:eastAsia="Arial" w:cs="Arial"/>
                <w:sz w:val="16"/>
                <w:szCs w:val="16"/>
              </w:rPr>
            </w:pPr>
            <w:r w:rsidRPr="00BF41EC">
              <w:rPr>
                <w:rFonts w:cs="Arial"/>
                <w:color w:val="000000"/>
                <w:sz w:val="16"/>
                <w:szCs w:val="16"/>
              </w:rPr>
              <w:t>$2,979</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1105203E" w14:textId="4C827140"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CB29F34" w14:textId="74BE3692" w:rsidR="00F136AD" w:rsidRPr="00BF41EC" w:rsidRDefault="00F136AD" w:rsidP="00F136AD">
            <w:pPr>
              <w:rPr>
                <w:rFonts w:eastAsia="Arial" w:cs="Arial"/>
                <w:sz w:val="16"/>
                <w:szCs w:val="16"/>
              </w:rPr>
            </w:pPr>
            <w:r w:rsidRPr="00BF41EC">
              <w:rPr>
                <w:rFonts w:cs="Arial"/>
                <w:color w:val="000000"/>
                <w:sz w:val="16"/>
                <w:szCs w:val="16"/>
              </w:rPr>
              <w:t>$957</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92359A" w14:textId="01F74663"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731F391F" w14:textId="3D8E727B" w:rsidR="00F136AD" w:rsidRPr="00BF41EC" w:rsidRDefault="00F136AD" w:rsidP="008D6983">
            <w:pPr>
              <w:rPr>
                <w:rFonts w:eastAsia="Arial" w:cs="Arial"/>
                <w:sz w:val="16"/>
                <w:szCs w:val="16"/>
              </w:rPr>
            </w:pPr>
            <w:r w:rsidRPr="00BF41EC">
              <w:rPr>
                <w:rFonts w:cs="Arial"/>
                <w:color w:val="000000"/>
                <w:sz w:val="16"/>
                <w:szCs w:val="16"/>
              </w:rPr>
              <w:t>$2,71</w:t>
            </w:r>
            <w:r w:rsidR="008D6983">
              <w:rPr>
                <w:rFonts w:cs="Arial"/>
                <w:color w:val="000000"/>
                <w:sz w:val="16"/>
                <w:szCs w:val="16"/>
              </w:rPr>
              <w:t>3</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0FDF54D9" w14:textId="43103509"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05C6C29B" w14:textId="36B1504F"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5246982" w14:textId="2345650D"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50F078B7" w14:textId="696A93E6"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3453F22D" w14:textId="21EE47B6"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137E7F31" w14:textId="6FD204DF"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76E24248" w14:textId="2FD03F37"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6115A8EF" w14:textId="5DF933D0"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16FEBE81" w14:textId="546CEE7A"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4ABFF44E"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1C01B114" w14:textId="77777777" w:rsidR="00F136AD" w:rsidRPr="006E7DA0" w:rsidRDefault="00F136AD" w:rsidP="00F136AD">
            <w:pPr>
              <w:rPr>
                <w:rFonts w:eastAsia="Arial" w:cs="Arial"/>
                <w:b/>
                <w:bCs/>
                <w:sz w:val="16"/>
                <w:szCs w:val="16"/>
              </w:rPr>
            </w:pPr>
            <w:r w:rsidRPr="006E7DA0">
              <w:rPr>
                <w:rFonts w:eastAsia="Arial" w:cs="Arial"/>
                <w:b/>
                <w:bCs/>
                <w:sz w:val="16"/>
                <w:szCs w:val="16"/>
              </w:rPr>
              <w:t>Cyclic Humidity test</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07F308F6" w14:textId="6A9DEDD7"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11AB7DCB" w14:textId="5ACDD886"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7B057F9A" w14:textId="4702FCA9"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CFD3341" w14:textId="19B01F5F"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38A40547" w14:textId="48898F99"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076B4545" w14:textId="78A82502"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94D1EB1" w14:textId="62CB6365"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E9F2FBC" w14:textId="71285270" w:rsidR="00F136AD" w:rsidRPr="00BF41EC" w:rsidRDefault="00F136AD" w:rsidP="008D6983">
            <w:pPr>
              <w:rPr>
                <w:rFonts w:eastAsia="Arial" w:cs="Arial"/>
                <w:sz w:val="16"/>
                <w:szCs w:val="16"/>
              </w:rPr>
            </w:pPr>
            <w:r w:rsidRPr="00BF41EC">
              <w:rPr>
                <w:rFonts w:cs="Arial"/>
                <w:color w:val="000000"/>
                <w:sz w:val="16"/>
                <w:szCs w:val="16"/>
              </w:rPr>
              <w:t>$5,76</w:t>
            </w:r>
            <w:r w:rsidR="008D6983">
              <w:rPr>
                <w:rFonts w:cs="Arial"/>
                <w:color w:val="000000"/>
                <w:sz w:val="16"/>
                <w:szCs w:val="16"/>
              </w:rPr>
              <w:t>4</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BF72B6C" w14:textId="00A31267"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44985D4" w14:textId="490BB216" w:rsidR="00F136AD" w:rsidRPr="00BF41EC" w:rsidRDefault="00F136AD" w:rsidP="008D6983">
            <w:pPr>
              <w:rPr>
                <w:rFonts w:eastAsia="Arial" w:cs="Arial"/>
                <w:sz w:val="16"/>
                <w:szCs w:val="16"/>
              </w:rPr>
            </w:pPr>
            <w:r w:rsidRPr="00BF41EC">
              <w:rPr>
                <w:rFonts w:cs="Arial"/>
                <w:color w:val="000000"/>
                <w:sz w:val="16"/>
                <w:szCs w:val="16"/>
              </w:rPr>
              <w:t>$6,2</w:t>
            </w:r>
            <w:r w:rsidR="008D6983">
              <w:rPr>
                <w:rFonts w:cs="Arial"/>
                <w:color w:val="000000"/>
                <w:sz w:val="16"/>
                <w:szCs w:val="16"/>
              </w:rPr>
              <w:t>08</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43A00DAD" w14:textId="6835B286"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6E3982D5" w14:textId="6DA44744" w:rsidR="00F136AD" w:rsidRPr="00BF41EC" w:rsidRDefault="00F136AD" w:rsidP="008D6983">
            <w:pPr>
              <w:rPr>
                <w:rFonts w:eastAsia="Arial" w:cs="Arial"/>
                <w:sz w:val="16"/>
                <w:szCs w:val="16"/>
              </w:rPr>
            </w:pPr>
            <w:r w:rsidRPr="00BF41EC">
              <w:rPr>
                <w:rFonts w:cs="Arial"/>
                <w:color w:val="000000"/>
                <w:sz w:val="16"/>
                <w:szCs w:val="16"/>
              </w:rPr>
              <w:t>$6,74</w:t>
            </w:r>
            <w:r w:rsidR="008D6983">
              <w:rPr>
                <w:rFonts w:cs="Arial"/>
                <w:color w:val="000000"/>
                <w:sz w:val="16"/>
                <w:szCs w:val="16"/>
              </w:rPr>
              <w:t>1</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2F5D0F2E" w14:textId="1E890939"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1C1D79" w14:textId="79138783"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1A3628D" w14:textId="035BA8F1"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2408B2E3" w14:textId="633B9747"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7CC36516" w14:textId="05095C48"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6F09E6CA" w14:textId="6E25270D"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9E7BF81" w14:textId="28810A6E"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AAA95E5" w14:textId="56A2EAF7"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7D4570D1" w14:textId="44B7015A"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6C06013A" w14:textId="28E97734"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3D69FF4A" w14:textId="468EA197"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26737F0B" w14:textId="0BC9C74E"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37DD9593" w14:textId="47764C2E"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4ACCD6E4"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410C2E40" w14:textId="77777777" w:rsidR="00F136AD" w:rsidRPr="006E7DA0" w:rsidRDefault="00F136AD" w:rsidP="00F136AD">
            <w:pPr>
              <w:rPr>
                <w:rFonts w:eastAsia="Arial" w:cs="Arial"/>
                <w:b/>
                <w:bCs/>
                <w:sz w:val="16"/>
                <w:szCs w:val="16"/>
              </w:rPr>
            </w:pPr>
            <w:r w:rsidRPr="006E7DA0">
              <w:rPr>
                <w:rFonts w:eastAsia="Arial" w:cs="Arial"/>
                <w:b/>
                <w:bCs/>
                <w:sz w:val="16"/>
                <w:szCs w:val="16"/>
              </w:rPr>
              <w:t>Voltage test</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0B5725E5" w14:textId="4A166787"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29557119" w14:textId="45DB0605" w:rsidR="00F136AD" w:rsidRPr="00BF41EC" w:rsidRDefault="00F136AD" w:rsidP="008D6983">
            <w:pPr>
              <w:rPr>
                <w:rFonts w:eastAsia="Arial" w:cs="Arial"/>
                <w:sz w:val="16"/>
                <w:szCs w:val="16"/>
              </w:rPr>
            </w:pPr>
            <w:r w:rsidRPr="00BF41EC">
              <w:rPr>
                <w:rFonts w:cs="Arial"/>
                <w:color w:val="000000"/>
                <w:sz w:val="16"/>
                <w:szCs w:val="16"/>
              </w:rPr>
              <w:t>$1,15</w:t>
            </w:r>
            <w:r w:rsidR="008D6983">
              <w:rPr>
                <w:rFonts w:cs="Arial"/>
                <w:color w:val="000000"/>
                <w:sz w:val="16"/>
                <w:szCs w:val="16"/>
              </w:rPr>
              <w:t>3</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4DE09AAE" w14:textId="67A47950"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C9AF3CE" w14:textId="77EF248F" w:rsidR="00F136AD" w:rsidRPr="00BF41EC" w:rsidRDefault="00F136AD" w:rsidP="008D6983">
            <w:pPr>
              <w:rPr>
                <w:rFonts w:eastAsia="Arial" w:cs="Arial"/>
                <w:sz w:val="16"/>
                <w:szCs w:val="16"/>
              </w:rPr>
            </w:pPr>
            <w:r w:rsidRPr="00BF41EC">
              <w:rPr>
                <w:rFonts w:cs="Arial"/>
                <w:color w:val="000000"/>
                <w:sz w:val="16"/>
                <w:szCs w:val="16"/>
              </w:rPr>
              <w:t>$1,57</w:t>
            </w:r>
            <w:r w:rsidR="008D6983">
              <w:rPr>
                <w:rFonts w:cs="Arial"/>
                <w:color w:val="000000"/>
                <w:sz w:val="16"/>
                <w:szCs w:val="16"/>
              </w:rPr>
              <w:t>9</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1F880393" w14:textId="21B19610"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FFDDACB" w14:textId="29B66281" w:rsidR="00F136AD" w:rsidRPr="00BF41EC" w:rsidRDefault="00F136AD" w:rsidP="008D6983">
            <w:pPr>
              <w:rPr>
                <w:rFonts w:eastAsia="Arial" w:cs="Arial"/>
                <w:sz w:val="16"/>
                <w:szCs w:val="16"/>
              </w:rPr>
            </w:pPr>
            <w:r w:rsidRPr="00BF41EC">
              <w:rPr>
                <w:rFonts w:cs="Arial"/>
                <w:color w:val="000000"/>
                <w:sz w:val="16"/>
                <w:szCs w:val="16"/>
              </w:rPr>
              <w:t>$1,7</w:t>
            </w:r>
            <w:r w:rsidR="008D6983">
              <w:rPr>
                <w:rFonts w:cs="Arial"/>
                <w:color w:val="000000"/>
                <w:sz w:val="16"/>
                <w:szCs w:val="16"/>
              </w:rPr>
              <w:t>39</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8BF8706" w14:textId="2AEB3E85"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6ABAC86" w14:textId="7003814D" w:rsidR="00F136AD" w:rsidRPr="00BF41EC" w:rsidRDefault="00F136AD" w:rsidP="00F136AD">
            <w:pPr>
              <w:rPr>
                <w:rFonts w:eastAsia="Arial" w:cs="Arial"/>
                <w:sz w:val="16"/>
                <w:szCs w:val="16"/>
              </w:rPr>
            </w:pPr>
            <w:r w:rsidRPr="00BF41EC">
              <w:rPr>
                <w:rFonts w:cs="Arial"/>
                <w:color w:val="000000"/>
                <w:sz w:val="16"/>
                <w:szCs w:val="16"/>
              </w:rPr>
              <w:t>$1,420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306651F" w14:textId="5FECD5B7"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7624B4C" w14:textId="0BAE3FCC" w:rsidR="00F136AD" w:rsidRPr="00BF41EC" w:rsidRDefault="00F136AD" w:rsidP="00F136AD">
            <w:pPr>
              <w:rPr>
                <w:rFonts w:eastAsia="Arial" w:cs="Arial"/>
                <w:sz w:val="16"/>
                <w:szCs w:val="16"/>
              </w:rPr>
            </w:pPr>
            <w:r w:rsidRPr="00BF41EC">
              <w:rPr>
                <w:rFonts w:cs="Arial"/>
                <w:color w:val="000000"/>
                <w:sz w:val="16"/>
                <w:szCs w:val="16"/>
              </w:rPr>
              <w:t>$1,630</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70EF9852" w14:textId="36AB3CD4"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2B36957" w14:textId="3BC69D95" w:rsidR="00F136AD" w:rsidRPr="00BF41EC" w:rsidRDefault="00F136AD" w:rsidP="008D6983">
            <w:pPr>
              <w:rPr>
                <w:rFonts w:eastAsia="Arial" w:cs="Arial"/>
                <w:sz w:val="16"/>
                <w:szCs w:val="16"/>
              </w:rPr>
            </w:pPr>
            <w:r w:rsidRPr="00BF41EC">
              <w:rPr>
                <w:rFonts w:cs="Arial"/>
                <w:color w:val="000000"/>
                <w:sz w:val="16"/>
                <w:szCs w:val="16"/>
              </w:rPr>
              <w:t>$1,75</w:t>
            </w:r>
            <w:r w:rsidR="008D6983">
              <w:rPr>
                <w:rFonts w:cs="Arial"/>
                <w:color w:val="000000"/>
                <w:sz w:val="16"/>
                <w:szCs w:val="16"/>
              </w:rPr>
              <w:t>4</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27DD09A5" w14:textId="2CEA2D24"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5C7CD04" w14:textId="3C54A66B" w:rsidR="00F136AD" w:rsidRPr="00BF41EC" w:rsidRDefault="00F136AD" w:rsidP="008D6983">
            <w:pPr>
              <w:rPr>
                <w:rFonts w:eastAsia="Arial" w:cs="Arial"/>
                <w:sz w:val="16"/>
                <w:szCs w:val="16"/>
              </w:rPr>
            </w:pPr>
            <w:r w:rsidRPr="00BF41EC">
              <w:rPr>
                <w:rFonts w:cs="Arial"/>
                <w:color w:val="000000"/>
                <w:sz w:val="16"/>
                <w:szCs w:val="16"/>
              </w:rPr>
              <w:t>$1,91</w:t>
            </w:r>
            <w:r w:rsidR="008D6983">
              <w:rPr>
                <w:rFonts w:cs="Arial"/>
                <w:color w:val="000000"/>
                <w:sz w:val="16"/>
                <w:szCs w:val="16"/>
              </w:rPr>
              <w:t>6</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D10F6A2" w14:textId="6D40B210"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4ED27912" w14:textId="10A36AED" w:rsidR="00F136AD" w:rsidRPr="00BF41EC" w:rsidRDefault="00F136AD" w:rsidP="00F136AD">
            <w:pPr>
              <w:rPr>
                <w:rFonts w:eastAsia="Arial" w:cs="Arial"/>
                <w:sz w:val="16"/>
                <w:szCs w:val="16"/>
              </w:rPr>
            </w:pPr>
            <w:r w:rsidRPr="00BF41EC">
              <w:rPr>
                <w:rFonts w:cs="Arial"/>
                <w:color w:val="000000"/>
                <w:sz w:val="16"/>
                <w:szCs w:val="16"/>
              </w:rPr>
              <w:t>$1,455</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7B7B87AB" w14:textId="716396EC"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4D10AD0C" w14:textId="1F1DC7C5"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3CB7E01" w14:textId="224F7E59"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00AD9B46" w14:textId="78B6ACB2"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1F2A74AB" w14:textId="558E32B3"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3ACA8C5B" w14:textId="54FECE2B"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077741F0" w14:textId="5C2049C0"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052938E8" w14:textId="4C4801ED"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1978CFE9" w14:textId="793793EE"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6FB87699"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2F5CB9FA" w14:textId="77777777" w:rsidR="00F136AD" w:rsidRPr="006E7DA0" w:rsidRDefault="00F136AD" w:rsidP="00F136AD">
            <w:pPr>
              <w:rPr>
                <w:rFonts w:eastAsia="Arial" w:cs="Arial"/>
                <w:b/>
                <w:bCs/>
                <w:sz w:val="16"/>
                <w:szCs w:val="16"/>
              </w:rPr>
            </w:pPr>
            <w:r w:rsidRPr="006E7DA0">
              <w:rPr>
                <w:rFonts w:eastAsia="Arial" w:cs="Arial"/>
                <w:b/>
                <w:bCs/>
                <w:sz w:val="16"/>
                <w:szCs w:val="16"/>
              </w:rPr>
              <w:t>Line-borne interference test</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3577ACC" w14:textId="3DAF1DF7"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1E0EA8D2" w14:textId="7C90CE69" w:rsidR="00F136AD" w:rsidRPr="00BF41EC" w:rsidRDefault="00F136AD" w:rsidP="008D6983">
            <w:pPr>
              <w:rPr>
                <w:rFonts w:eastAsia="Arial" w:cs="Arial"/>
                <w:sz w:val="16"/>
                <w:szCs w:val="16"/>
              </w:rPr>
            </w:pPr>
            <w:r w:rsidRPr="00BF41EC">
              <w:rPr>
                <w:rFonts w:cs="Arial"/>
                <w:color w:val="000000"/>
                <w:sz w:val="16"/>
                <w:szCs w:val="16"/>
              </w:rPr>
              <w:t>$2,78</w:t>
            </w:r>
            <w:r w:rsidR="008D6983">
              <w:rPr>
                <w:rFonts w:cs="Arial"/>
                <w:color w:val="000000"/>
                <w:sz w:val="16"/>
                <w:szCs w:val="16"/>
              </w:rPr>
              <w:t>4</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336F496C" w14:textId="46AFA331"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F607280" w14:textId="3B3853A5" w:rsidR="00F136AD" w:rsidRPr="00BF41EC" w:rsidRDefault="00F136AD" w:rsidP="00F136AD">
            <w:pPr>
              <w:rPr>
                <w:rFonts w:eastAsia="Arial" w:cs="Arial"/>
                <w:sz w:val="16"/>
                <w:szCs w:val="16"/>
              </w:rPr>
            </w:pPr>
            <w:r w:rsidRPr="00BF41EC">
              <w:rPr>
                <w:rFonts w:cs="Arial"/>
                <w:color w:val="000000"/>
                <w:sz w:val="16"/>
                <w:szCs w:val="16"/>
              </w:rPr>
              <w:t>$2,822</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4215702B" w14:textId="0B856EF4"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B7CE907" w14:textId="3DF7D891" w:rsidR="00F136AD" w:rsidRPr="00BF41EC" w:rsidRDefault="00F136AD" w:rsidP="008D6983">
            <w:pPr>
              <w:rPr>
                <w:rFonts w:eastAsia="Arial" w:cs="Arial"/>
                <w:sz w:val="16"/>
                <w:szCs w:val="16"/>
              </w:rPr>
            </w:pPr>
            <w:r w:rsidRPr="00BF41EC">
              <w:rPr>
                <w:rFonts w:cs="Arial"/>
                <w:color w:val="000000"/>
                <w:sz w:val="16"/>
                <w:szCs w:val="16"/>
              </w:rPr>
              <w:t>$2,85</w:t>
            </w:r>
            <w:r w:rsidR="008D6983">
              <w:rPr>
                <w:rFonts w:cs="Arial"/>
                <w:color w:val="000000"/>
                <w:sz w:val="16"/>
                <w:szCs w:val="16"/>
              </w:rPr>
              <w:t>6</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2048F5B" w14:textId="499FBE1D"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3FC596B" w14:textId="27FAB395" w:rsidR="00F136AD" w:rsidRPr="00BF41EC" w:rsidRDefault="00F136AD" w:rsidP="008D6983">
            <w:pPr>
              <w:rPr>
                <w:rFonts w:eastAsia="Arial" w:cs="Arial"/>
                <w:sz w:val="16"/>
                <w:szCs w:val="16"/>
              </w:rPr>
            </w:pPr>
            <w:r w:rsidRPr="00BF41EC">
              <w:rPr>
                <w:rFonts w:cs="Arial"/>
                <w:color w:val="000000"/>
                <w:sz w:val="16"/>
                <w:szCs w:val="16"/>
              </w:rPr>
              <w:t>$1,29</w:t>
            </w:r>
            <w:r w:rsidR="008D6983">
              <w:rPr>
                <w:rFonts w:cs="Arial"/>
                <w:color w:val="000000"/>
                <w:sz w:val="16"/>
                <w:szCs w:val="16"/>
              </w:rPr>
              <w:t>4</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2FF4307" w14:textId="70CE753C"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5BB1F42" w14:textId="272753BC" w:rsidR="00F136AD" w:rsidRPr="00BF41EC" w:rsidRDefault="00F136AD" w:rsidP="008D6983">
            <w:pPr>
              <w:rPr>
                <w:rFonts w:eastAsia="Arial" w:cs="Arial"/>
                <w:sz w:val="16"/>
                <w:szCs w:val="16"/>
              </w:rPr>
            </w:pPr>
            <w:r w:rsidRPr="00BF41EC">
              <w:rPr>
                <w:rFonts w:cs="Arial"/>
                <w:color w:val="000000"/>
                <w:sz w:val="16"/>
                <w:szCs w:val="16"/>
              </w:rPr>
              <w:t>$1,50</w:t>
            </w:r>
            <w:r w:rsidR="008D6983">
              <w:rPr>
                <w:rFonts w:cs="Arial"/>
                <w:color w:val="000000"/>
                <w:sz w:val="16"/>
                <w:szCs w:val="16"/>
              </w:rPr>
              <w:t>6</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56AB1E43" w14:textId="1230F308"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DB4D0C5" w14:textId="3A805EFC" w:rsidR="00F136AD" w:rsidRPr="00BF41EC" w:rsidRDefault="00F136AD" w:rsidP="00F136AD">
            <w:pPr>
              <w:rPr>
                <w:rFonts w:eastAsia="Arial" w:cs="Arial"/>
                <w:sz w:val="16"/>
                <w:szCs w:val="16"/>
              </w:rPr>
            </w:pPr>
            <w:r w:rsidRPr="00BF41EC">
              <w:rPr>
                <w:rFonts w:cs="Arial"/>
                <w:color w:val="000000"/>
                <w:sz w:val="16"/>
                <w:szCs w:val="16"/>
              </w:rPr>
              <w:t>$1,844</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1CBA0D01" w14:textId="57D9A92B"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891A785" w14:textId="74EEAB05" w:rsidR="00F136AD" w:rsidRPr="00BF41EC" w:rsidRDefault="00F136AD" w:rsidP="008D6983">
            <w:pPr>
              <w:rPr>
                <w:rFonts w:eastAsia="Arial" w:cs="Arial"/>
                <w:sz w:val="16"/>
                <w:szCs w:val="16"/>
              </w:rPr>
            </w:pPr>
            <w:r w:rsidRPr="00BF41EC">
              <w:rPr>
                <w:rFonts w:cs="Arial"/>
                <w:color w:val="000000"/>
                <w:sz w:val="16"/>
                <w:szCs w:val="16"/>
              </w:rPr>
              <w:t>$4,31</w:t>
            </w:r>
            <w:r w:rsidR="008D6983">
              <w:rPr>
                <w:rFonts w:cs="Arial"/>
                <w:color w:val="000000"/>
                <w:sz w:val="16"/>
                <w:szCs w:val="16"/>
              </w:rPr>
              <w:t>1</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D47015" w14:textId="1E4EEE21"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4EDCBC81" w14:textId="259D2276" w:rsidR="00F136AD" w:rsidRPr="00BF41EC" w:rsidRDefault="00F136AD" w:rsidP="008D6983">
            <w:pPr>
              <w:rPr>
                <w:rFonts w:eastAsia="Arial" w:cs="Arial"/>
                <w:sz w:val="16"/>
                <w:szCs w:val="16"/>
              </w:rPr>
            </w:pPr>
            <w:r w:rsidRPr="00BF41EC">
              <w:rPr>
                <w:rFonts w:cs="Arial"/>
                <w:color w:val="000000"/>
                <w:sz w:val="16"/>
                <w:szCs w:val="16"/>
              </w:rPr>
              <w:t>$1,34</w:t>
            </w:r>
            <w:r w:rsidR="008D6983">
              <w:rPr>
                <w:rFonts w:cs="Arial"/>
                <w:color w:val="000000"/>
                <w:sz w:val="16"/>
                <w:szCs w:val="16"/>
              </w:rPr>
              <w:t>8</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053889D7" w14:textId="44301AEF"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650CC2F0" w14:textId="284B7454"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59F561E" w14:textId="1A761FCA"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3CB78A13" w14:textId="79B39C24"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6838D830" w14:textId="34413395"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67CA88BF" w14:textId="6451B8DA"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5FECE306" w14:textId="2219BD1C"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1DCE3CA4" w14:textId="3E8EEAC0"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0BF922CB" w14:textId="5C2A82AB"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15193A82"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12AAB5E9" w14:textId="77777777" w:rsidR="00F136AD" w:rsidRPr="006E7DA0" w:rsidRDefault="00F136AD" w:rsidP="00F136AD">
            <w:pPr>
              <w:rPr>
                <w:rFonts w:eastAsia="Arial" w:cs="Arial"/>
                <w:b/>
                <w:bCs/>
                <w:sz w:val="16"/>
                <w:szCs w:val="16"/>
              </w:rPr>
            </w:pPr>
            <w:r w:rsidRPr="006E7DA0">
              <w:rPr>
                <w:rFonts w:eastAsia="Arial" w:cs="Arial"/>
                <w:b/>
                <w:bCs/>
                <w:sz w:val="16"/>
                <w:szCs w:val="16"/>
              </w:rPr>
              <w:t>Surges</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3A115588" w14:textId="77362295"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460B0A7D" w14:textId="6AD4FD8A"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309E2D36" w14:textId="54AFC3B8"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F393540" w14:textId="37A17911"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10BCC0C7" w14:textId="603D6449"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43C54AE" w14:textId="79CE0093"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9896E82" w14:textId="601BF448"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86115CA" w14:textId="34129D62" w:rsidR="00F136AD" w:rsidRPr="00BF41EC" w:rsidRDefault="00F136AD" w:rsidP="008D6983">
            <w:pPr>
              <w:rPr>
                <w:rFonts w:eastAsia="Arial" w:cs="Arial"/>
                <w:sz w:val="16"/>
                <w:szCs w:val="16"/>
              </w:rPr>
            </w:pPr>
            <w:r w:rsidRPr="00BF41EC">
              <w:rPr>
                <w:rFonts w:cs="Arial"/>
                <w:color w:val="000000"/>
                <w:sz w:val="16"/>
                <w:szCs w:val="16"/>
              </w:rPr>
              <w:t>$1,29</w:t>
            </w:r>
            <w:r w:rsidR="008D6983">
              <w:rPr>
                <w:rFonts w:cs="Arial"/>
                <w:color w:val="000000"/>
                <w:sz w:val="16"/>
                <w:szCs w:val="16"/>
              </w:rPr>
              <w:t>4</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F8DD8CC" w14:textId="217DEA38"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FC2F209" w14:textId="2EFCD926" w:rsidR="00F136AD" w:rsidRPr="00BF41EC" w:rsidRDefault="00F136AD" w:rsidP="008D6983">
            <w:pPr>
              <w:rPr>
                <w:rFonts w:eastAsia="Arial" w:cs="Arial"/>
                <w:sz w:val="16"/>
                <w:szCs w:val="16"/>
              </w:rPr>
            </w:pPr>
            <w:r w:rsidRPr="00BF41EC">
              <w:rPr>
                <w:rFonts w:cs="Arial"/>
                <w:color w:val="000000"/>
                <w:sz w:val="16"/>
                <w:szCs w:val="16"/>
              </w:rPr>
              <w:t>$1,50</w:t>
            </w:r>
            <w:r w:rsidR="008D6983">
              <w:rPr>
                <w:rFonts w:cs="Arial"/>
                <w:color w:val="000000"/>
                <w:sz w:val="16"/>
                <w:szCs w:val="16"/>
              </w:rPr>
              <w:t>6</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34CC1AA3" w14:textId="008622B7"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526B11D" w14:textId="3E11036D" w:rsidR="00F136AD" w:rsidRPr="00BF41EC" w:rsidRDefault="00F136AD" w:rsidP="00F136AD">
            <w:pPr>
              <w:rPr>
                <w:rFonts w:eastAsia="Arial" w:cs="Arial"/>
                <w:sz w:val="16"/>
                <w:szCs w:val="16"/>
              </w:rPr>
            </w:pPr>
            <w:r w:rsidRPr="00BF41EC">
              <w:rPr>
                <w:rFonts w:cs="Arial"/>
                <w:color w:val="000000"/>
                <w:sz w:val="16"/>
                <w:szCs w:val="16"/>
              </w:rPr>
              <w:t>$1,844</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08656D78" w14:textId="4E48DAA8"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6255675" w14:textId="056EB903"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1729361" w14:textId="6C119B58"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338CD804" w14:textId="54E74D82"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3D47DAE2" w14:textId="21D28002"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08A4EA3E" w14:textId="541296DF"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9BB13B5" w14:textId="7FEB2589"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58EFCFA8" w14:textId="1305551B"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02FE561F" w14:textId="396EC00D"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723AA0ED" w14:textId="3B5D1A8F"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4E3C90BF" w14:textId="47FEF3E3"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0489C87B" w14:textId="7E19EDD5"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34DCC909" w14:textId="1CE46E50"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11F4BE13"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03E657B6" w14:textId="77777777" w:rsidR="00F136AD" w:rsidRPr="006E7DA0" w:rsidRDefault="00F136AD" w:rsidP="00F136AD">
            <w:pPr>
              <w:rPr>
                <w:rFonts w:eastAsia="Arial" w:cs="Arial"/>
                <w:b/>
                <w:bCs/>
                <w:sz w:val="16"/>
                <w:szCs w:val="16"/>
              </w:rPr>
            </w:pPr>
            <w:r w:rsidRPr="006E7DA0">
              <w:rPr>
                <w:rFonts w:eastAsia="Arial" w:cs="Arial"/>
                <w:b/>
                <w:bCs/>
                <w:sz w:val="16"/>
                <w:szCs w:val="16"/>
              </w:rPr>
              <w:t>Static discharge test</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36BF835C" w14:textId="663E0D55"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6C1F3AA2" w14:textId="22175C9D" w:rsidR="00F136AD" w:rsidRPr="00BF41EC" w:rsidRDefault="00F136AD" w:rsidP="008D6983">
            <w:pPr>
              <w:rPr>
                <w:rFonts w:eastAsia="Arial" w:cs="Arial"/>
                <w:sz w:val="16"/>
                <w:szCs w:val="16"/>
              </w:rPr>
            </w:pPr>
            <w:r w:rsidRPr="00BF41EC">
              <w:rPr>
                <w:rFonts w:cs="Arial"/>
                <w:color w:val="000000"/>
                <w:sz w:val="16"/>
                <w:szCs w:val="16"/>
              </w:rPr>
              <w:t>$1,87</w:t>
            </w:r>
            <w:r w:rsidR="008D6983">
              <w:rPr>
                <w:rFonts w:cs="Arial"/>
                <w:color w:val="000000"/>
                <w:sz w:val="16"/>
                <w:szCs w:val="16"/>
              </w:rPr>
              <w:t>8</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05194D5E" w14:textId="50D54217"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6B9D402" w14:textId="2E0FA3AA" w:rsidR="00F136AD" w:rsidRPr="00BF41EC" w:rsidRDefault="00F136AD" w:rsidP="008D6983">
            <w:pPr>
              <w:rPr>
                <w:rFonts w:eastAsia="Arial" w:cs="Arial"/>
                <w:sz w:val="16"/>
                <w:szCs w:val="16"/>
              </w:rPr>
            </w:pPr>
            <w:r w:rsidRPr="00BF41EC">
              <w:rPr>
                <w:rFonts w:cs="Arial"/>
                <w:color w:val="000000"/>
                <w:sz w:val="16"/>
                <w:szCs w:val="16"/>
              </w:rPr>
              <w:t>$3,47</w:t>
            </w:r>
            <w:r w:rsidR="008D6983">
              <w:rPr>
                <w:rFonts w:cs="Arial"/>
                <w:color w:val="000000"/>
                <w:sz w:val="16"/>
                <w:szCs w:val="16"/>
              </w:rPr>
              <w:t>5</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120727CC" w14:textId="3F344966"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78E7322" w14:textId="6387EC50" w:rsidR="00F136AD" w:rsidRPr="00BF41EC" w:rsidRDefault="00F136AD" w:rsidP="008D6983">
            <w:pPr>
              <w:rPr>
                <w:rFonts w:eastAsia="Arial" w:cs="Arial"/>
                <w:sz w:val="16"/>
                <w:szCs w:val="16"/>
              </w:rPr>
            </w:pPr>
            <w:r w:rsidRPr="00BF41EC">
              <w:rPr>
                <w:rFonts w:cs="Arial"/>
                <w:color w:val="000000"/>
                <w:sz w:val="16"/>
                <w:szCs w:val="16"/>
              </w:rPr>
              <w:t>$3,84</w:t>
            </w:r>
            <w:r w:rsidR="008D6983">
              <w:rPr>
                <w:rFonts w:cs="Arial"/>
                <w:color w:val="000000"/>
                <w:sz w:val="16"/>
                <w:szCs w:val="16"/>
              </w:rPr>
              <w:t>8</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EE3B7C4" w14:textId="65FC5317"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10DC0EE" w14:textId="25B781D0" w:rsidR="00F136AD" w:rsidRPr="00BF41EC" w:rsidRDefault="00F136AD" w:rsidP="00F136AD">
            <w:pPr>
              <w:rPr>
                <w:rFonts w:eastAsia="Arial" w:cs="Arial"/>
                <w:sz w:val="16"/>
                <w:szCs w:val="16"/>
              </w:rPr>
            </w:pPr>
            <w:r w:rsidRPr="00BF41EC">
              <w:rPr>
                <w:rFonts w:cs="Arial"/>
                <w:color w:val="000000"/>
                <w:sz w:val="16"/>
                <w:szCs w:val="16"/>
              </w:rPr>
              <w:t>$1,420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AF457F" w14:textId="57CAAADE"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A0A0D94" w14:textId="1D92B5BF" w:rsidR="00F136AD" w:rsidRPr="00BF41EC" w:rsidRDefault="00F136AD" w:rsidP="008D6983">
            <w:pPr>
              <w:rPr>
                <w:rFonts w:eastAsia="Arial" w:cs="Arial"/>
                <w:sz w:val="16"/>
                <w:szCs w:val="16"/>
              </w:rPr>
            </w:pPr>
            <w:r w:rsidRPr="00BF41EC">
              <w:rPr>
                <w:rFonts w:cs="Arial"/>
                <w:color w:val="000000"/>
                <w:sz w:val="16"/>
                <w:szCs w:val="16"/>
              </w:rPr>
              <w:t>$1,56</w:t>
            </w:r>
            <w:r w:rsidR="008D6983">
              <w:rPr>
                <w:rFonts w:cs="Arial"/>
                <w:color w:val="000000"/>
                <w:sz w:val="16"/>
                <w:szCs w:val="16"/>
              </w:rPr>
              <w:t>3</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0EB7A4BC" w14:textId="78164FC5"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6377C17" w14:textId="62BB42B0" w:rsidR="00F136AD" w:rsidRPr="00BF41EC" w:rsidRDefault="00F136AD" w:rsidP="008D6983">
            <w:pPr>
              <w:rPr>
                <w:rFonts w:eastAsia="Arial" w:cs="Arial"/>
                <w:sz w:val="16"/>
                <w:szCs w:val="16"/>
              </w:rPr>
            </w:pPr>
            <w:r w:rsidRPr="00BF41EC">
              <w:rPr>
                <w:rFonts w:cs="Arial"/>
                <w:color w:val="000000"/>
                <w:sz w:val="16"/>
                <w:szCs w:val="16"/>
              </w:rPr>
              <w:t>$1,72</w:t>
            </w:r>
            <w:r w:rsidR="008D6983">
              <w:rPr>
                <w:rFonts w:cs="Arial"/>
                <w:color w:val="000000"/>
                <w:sz w:val="16"/>
                <w:szCs w:val="16"/>
              </w:rPr>
              <w:t>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09A05640" w14:textId="64BD0102"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7198B32" w14:textId="104F8A17" w:rsidR="00F136AD" w:rsidRPr="00BF41EC" w:rsidRDefault="00F136AD" w:rsidP="008D6983">
            <w:pPr>
              <w:rPr>
                <w:rFonts w:eastAsia="Arial" w:cs="Arial"/>
                <w:sz w:val="16"/>
                <w:szCs w:val="16"/>
              </w:rPr>
            </w:pPr>
            <w:r w:rsidRPr="00BF41EC">
              <w:rPr>
                <w:rFonts w:cs="Arial"/>
                <w:color w:val="000000"/>
                <w:sz w:val="16"/>
                <w:szCs w:val="16"/>
              </w:rPr>
              <w:t>$3,93</w:t>
            </w:r>
            <w:r w:rsidR="008D6983">
              <w:rPr>
                <w:rFonts w:cs="Arial"/>
                <w:color w:val="000000"/>
                <w:sz w:val="16"/>
                <w:szCs w:val="16"/>
              </w:rPr>
              <w:t>7</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9FDF4F9" w14:textId="7E556A89"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7EABDF4D" w14:textId="60518BD4" w:rsidR="00F136AD" w:rsidRPr="00BF41EC" w:rsidRDefault="00F136AD" w:rsidP="008D6983">
            <w:pPr>
              <w:rPr>
                <w:rFonts w:eastAsia="Arial" w:cs="Arial"/>
                <w:sz w:val="16"/>
                <w:szCs w:val="16"/>
              </w:rPr>
            </w:pPr>
            <w:r w:rsidRPr="00BF41EC">
              <w:rPr>
                <w:rFonts w:cs="Arial"/>
                <w:color w:val="000000"/>
                <w:sz w:val="16"/>
                <w:szCs w:val="16"/>
              </w:rPr>
              <w:t>$1,43</w:t>
            </w:r>
            <w:r w:rsidR="008D6983">
              <w:rPr>
                <w:rFonts w:cs="Arial"/>
                <w:color w:val="000000"/>
                <w:sz w:val="16"/>
                <w:szCs w:val="16"/>
              </w:rPr>
              <w:t>8</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22A28DED" w14:textId="53E22802"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512B87CD" w14:textId="11448438"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E05A0FD" w14:textId="3342EBAE"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08FDB167" w14:textId="3711F272"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078B6555" w14:textId="6EAAA162"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09BB281A" w14:textId="0732C440"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6BFE2617" w14:textId="2074043C"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1008267C" w14:textId="496C130A"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23B92CB4" w14:textId="2E394A73"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5190E9F1"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752C99B8" w14:textId="77777777" w:rsidR="00F136AD" w:rsidRPr="00AF5F1F" w:rsidRDefault="00F136AD" w:rsidP="00F136AD">
            <w:pPr>
              <w:rPr>
                <w:rFonts w:eastAsia="Arial" w:cs="Arial"/>
                <w:b/>
                <w:bCs/>
                <w:sz w:val="16"/>
                <w:szCs w:val="16"/>
              </w:rPr>
            </w:pPr>
            <w:r w:rsidRPr="006E7DA0">
              <w:rPr>
                <w:rFonts w:eastAsia="Arial" w:cs="Arial"/>
                <w:b/>
                <w:bCs/>
                <w:sz w:val="16"/>
                <w:szCs w:val="16"/>
              </w:rPr>
              <w:t>Electromagnetic susceptibility tests</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B12183C" w14:textId="1739A4C0" w:rsidR="00F136AD" w:rsidRPr="00B925F9"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1038A152" w14:textId="011A0AE4" w:rsidR="00F136AD" w:rsidRPr="00BF41EC" w:rsidRDefault="00F136AD" w:rsidP="008D6983">
            <w:pPr>
              <w:rPr>
                <w:rFonts w:eastAsia="Arial" w:cs="Arial"/>
                <w:sz w:val="16"/>
                <w:szCs w:val="16"/>
              </w:rPr>
            </w:pPr>
            <w:r w:rsidRPr="00BF41EC">
              <w:rPr>
                <w:rFonts w:cs="Arial"/>
                <w:color w:val="000000"/>
                <w:sz w:val="16"/>
                <w:szCs w:val="16"/>
              </w:rPr>
              <w:t>$6,24</w:t>
            </w:r>
            <w:r w:rsidR="008D6983">
              <w:rPr>
                <w:rFonts w:cs="Arial"/>
                <w:color w:val="000000"/>
                <w:sz w:val="16"/>
                <w:szCs w:val="16"/>
              </w:rPr>
              <w:t>3</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6791935D" w14:textId="6AF20F61"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6CF490D" w14:textId="7F3CE71B" w:rsidR="00F136AD" w:rsidRPr="00BF41EC" w:rsidRDefault="00F136AD" w:rsidP="008D6983">
            <w:pPr>
              <w:rPr>
                <w:rFonts w:eastAsia="Arial" w:cs="Arial"/>
                <w:sz w:val="16"/>
                <w:szCs w:val="16"/>
              </w:rPr>
            </w:pPr>
            <w:r w:rsidRPr="00BF41EC">
              <w:rPr>
                <w:rFonts w:cs="Arial"/>
                <w:color w:val="000000"/>
                <w:sz w:val="16"/>
                <w:szCs w:val="16"/>
              </w:rPr>
              <w:t>$6,79</w:t>
            </w:r>
            <w:r w:rsidR="008D6983">
              <w:rPr>
                <w:rFonts w:cs="Arial"/>
                <w:color w:val="000000"/>
                <w:sz w:val="16"/>
                <w:szCs w:val="16"/>
              </w:rPr>
              <w:t>2</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693251A2" w14:textId="3A855D83"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A72B2DB" w14:textId="376328C7" w:rsidR="00F136AD" w:rsidRPr="00BF41EC" w:rsidRDefault="00F136AD" w:rsidP="008D6983">
            <w:pPr>
              <w:rPr>
                <w:rFonts w:eastAsia="Arial" w:cs="Arial"/>
                <w:sz w:val="16"/>
                <w:szCs w:val="16"/>
              </w:rPr>
            </w:pPr>
            <w:r w:rsidRPr="00BF41EC">
              <w:rPr>
                <w:rFonts w:cs="Arial"/>
                <w:color w:val="000000"/>
                <w:sz w:val="16"/>
                <w:szCs w:val="16"/>
              </w:rPr>
              <w:t>$7,36</w:t>
            </w:r>
            <w:r w:rsidR="008D6983">
              <w:rPr>
                <w:rFonts w:cs="Arial"/>
                <w:color w:val="000000"/>
                <w:sz w:val="16"/>
                <w:szCs w:val="16"/>
              </w:rPr>
              <w:t>2</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D4450D4" w14:textId="1E09D871"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0DDA39E" w14:textId="4B9C4603" w:rsidR="00F136AD" w:rsidRPr="00BF41EC" w:rsidRDefault="00F136AD" w:rsidP="008D6983">
            <w:pPr>
              <w:rPr>
                <w:rFonts w:eastAsia="Arial" w:cs="Arial"/>
                <w:sz w:val="16"/>
                <w:szCs w:val="16"/>
              </w:rPr>
            </w:pPr>
            <w:r w:rsidRPr="00BF41EC">
              <w:rPr>
                <w:rFonts w:cs="Arial"/>
                <w:color w:val="000000"/>
                <w:sz w:val="16"/>
                <w:szCs w:val="16"/>
              </w:rPr>
              <w:t>$6,33</w:t>
            </w:r>
            <w:r w:rsidR="008D6983">
              <w:rPr>
                <w:rFonts w:cs="Arial"/>
                <w:color w:val="000000"/>
                <w:sz w:val="16"/>
                <w:szCs w:val="16"/>
              </w:rPr>
              <w:t>2</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1DAACA1" w14:textId="4510E6C3"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D1D7A38" w14:textId="0F6068C6" w:rsidR="00F136AD" w:rsidRPr="00BF41EC" w:rsidRDefault="00F136AD" w:rsidP="008D6983">
            <w:pPr>
              <w:rPr>
                <w:rFonts w:eastAsia="Arial" w:cs="Arial"/>
                <w:sz w:val="16"/>
                <w:szCs w:val="16"/>
              </w:rPr>
            </w:pPr>
            <w:r w:rsidRPr="00BF41EC">
              <w:rPr>
                <w:rFonts w:cs="Arial"/>
                <w:color w:val="000000"/>
                <w:sz w:val="16"/>
                <w:szCs w:val="16"/>
              </w:rPr>
              <w:t>$7,36</w:t>
            </w:r>
            <w:r w:rsidR="008D6983">
              <w:rPr>
                <w:rFonts w:cs="Arial"/>
                <w:color w:val="000000"/>
                <w:sz w:val="16"/>
                <w:szCs w:val="16"/>
              </w:rPr>
              <w:t>2</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6EE6BF76" w14:textId="47C8FFA0"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254BFB4B" w14:textId="4FEE7074" w:rsidR="00F136AD" w:rsidRPr="00BF41EC" w:rsidRDefault="00F136AD" w:rsidP="008D6983">
            <w:pPr>
              <w:rPr>
                <w:rFonts w:eastAsia="Arial" w:cs="Arial"/>
                <w:sz w:val="16"/>
                <w:szCs w:val="16"/>
              </w:rPr>
            </w:pPr>
            <w:r w:rsidRPr="00BF41EC">
              <w:rPr>
                <w:rFonts w:cs="Arial"/>
                <w:color w:val="000000"/>
                <w:sz w:val="16"/>
                <w:szCs w:val="16"/>
              </w:rPr>
              <w:t>$8,28</w:t>
            </w:r>
            <w:r w:rsidR="008D6983">
              <w:rPr>
                <w:rFonts w:cs="Arial"/>
                <w:color w:val="000000"/>
                <w:sz w:val="16"/>
                <w:szCs w:val="16"/>
              </w:rPr>
              <w:t>3</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6EF43599" w14:textId="5FF2BAA5"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9B9281E" w14:textId="2AFE5E75" w:rsidR="00F136AD" w:rsidRPr="00BF41EC" w:rsidRDefault="00F136AD" w:rsidP="008D6983">
            <w:pPr>
              <w:rPr>
                <w:rFonts w:eastAsia="Arial" w:cs="Arial"/>
                <w:sz w:val="16"/>
                <w:szCs w:val="16"/>
              </w:rPr>
            </w:pPr>
            <w:r w:rsidRPr="00BF41EC">
              <w:rPr>
                <w:rFonts w:cs="Arial"/>
                <w:color w:val="000000"/>
                <w:sz w:val="16"/>
                <w:szCs w:val="16"/>
              </w:rPr>
              <w:t>$41,2</w:t>
            </w:r>
            <w:r w:rsidR="008D6983">
              <w:rPr>
                <w:rFonts w:cs="Arial"/>
                <w:color w:val="000000"/>
                <w:sz w:val="16"/>
                <w:szCs w:val="16"/>
              </w:rPr>
              <w:t>05</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F44D25A" w14:textId="44275A05"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4E469D29" w14:textId="64F041B5" w:rsidR="00F136AD" w:rsidRPr="00BF41EC" w:rsidRDefault="00F136AD" w:rsidP="008D6983">
            <w:pPr>
              <w:rPr>
                <w:rFonts w:eastAsia="Arial" w:cs="Arial"/>
                <w:sz w:val="16"/>
                <w:szCs w:val="16"/>
              </w:rPr>
            </w:pPr>
            <w:r w:rsidRPr="00BF41EC">
              <w:rPr>
                <w:rFonts w:cs="Arial"/>
                <w:color w:val="000000"/>
                <w:sz w:val="16"/>
                <w:szCs w:val="16"/>
              </w:rPr>
              <w:t>$6,5</w:t>
            </w:r>
            <w:r w:rsidR="008D6983">
              <w:rPr>
                <w:rFonts w:cs="Arial"/>
                <w:color w:val="000000"/>
                <w:sz w:val="16"/>
                <w:szCs w:val="16"/>
              </w:rPr>
              <w:t>08</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06081F44" w14:textId="31F10608"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00A4205D" w14:textId="22ACB19E"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37A4D27" w14:textId="28B4D056"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5EEA1F0" w14:textId="67278582"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5EC7788C" w14:textId="2C1FC3C2"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25687AF0" w14:textId="4576E0CA"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34410821" w14:textId="4F1233BD"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3DE1A3A5" w14:textId="296571F7"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144FB9A0" w14:textId="13831E5B"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68A68725"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3F6BB2F2" w14:textId="77777777" w:rsidR="00F136AD" w:rsidRPr="00AF5F1F" w:rsidRDefault="00F136AD" w:rsidP="00F136AD">
            <w:pPr>
              <w:rPr>
                <w:rFonts w:eastAsia="Arial" w:cs="Arial"/>
                <w:b/>
                <w:bCs/>
                <w:sz w:val="16"/>
                <w:szCs w:val="16"/>
              </w:rPr>
            </w:pPr>
            <w:r w:rsidRPr="006E7DA0">
              <w:rPr>
                <w:rFonts w:eastAsia="Arial" w:cs="Arial"/>
                <w:b/>
                <w:bCs/>
                <w:sz w:val="16"/>
                <w:szCs w:val="16"/>
              </w:rPr>
              <w:t>Electromagnetic susceptibility tests</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21BCB313" w14:textId="3DEDCFF9" w:rsidR="00F136AD" w:rsidRPr="00B925F9"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5F2EAC7A" w14:textId="60E1FF29"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1C9BB697" w14:textId="6F912E4B"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CB87269" w14:textId="22D3F838"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6B09D86B" w14:textId="7679C6C5"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3C07C80" w14:textId="70057FA9"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A752F9D" w14:textId="67AFF45D"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CB07047" w14:textId="5DB14506" w:rsidR="00F136AD" w:rsidRPr="00BF41EC" w:rsidRDefault="00F136AD" w:rsidP="008D6983">
            <w:pPr>
              <w:rPr>
                <w:rFonts w:eastAsia="Arial" w:cs="Arial"/>
                <w:sz w:val="16"/>
                <w:szCs w:val="16"/>
              </w:rPr>
            </w:pPr>
            <w:r w:rsidRPr="00BF41EC">
              <w:rPr>
                <w:rFonts w:cs="Arial"/>
                <w:color w:val="000000"/>
                <w:sz w:val="16"/>
                <w:szCs w:val="16"/>
              </w:rPr>
              <w:t>$3,15</w:t>
            </w:r>
            <w:r w:rsidR="008D6983">
              <w:rPr>
                <w:rFonts w:cs="Arial"/>
                <w:color w:val="000000"/>
                <w:sz w:val="16"/>
                <w:szCs w:val="16"/>
              </w:rPr>
              <w:t>6</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7D03041" w14:textId="0E6FB827"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8D80CFF" w14:textId="64AF5E5B" w:rsidR="00F136AD" w:rsidRPr="00BF41EC" w:rsidRDefault="00F136AD" w:rsidP="008D6983">
            <w:pPr>
              <w:rPr>
                <w:rFonts w:eastAsia="Arial" w:cs="Arial"/>
                <w:sz w:val="16"/>
                <w:szCs w:val="16"/>
              </w:rPr>
            </w:pPr>
            <w:r w:rsidRPr="00BF41EC">
              <w:rPr>
                <w:rFonts w:cs="Arial"/>
                <w:color w:val="000000"/>
                <w:sz w:val="16"/>
                <w:szCs w:val="16"/>
              </w:rPr>
              <w:t>$3,92</w:t>
            </w:r>
            <w:r w:rsidR="008D6983">
              <w:rPr>
                <w:rFonts w:cs="Arial"/>
                <w:color w:val="000000"/>
                <w:sz w:val="16"/>
                <w:szCs w:val="16"/>
              </w:rPr>
              <w:t>1</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4377753E" w14:textId="476F4ACD"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8D9A6DC" w14:textId="6E9A1BCE" w:rsidR="00F136AD" w:rsidRPr="00BF41EC" w:rsidRDefault="00F136AD" w:rsidP="008D6983">
            <w:pPr>
              <w:rPr>
                <w:rFonts w:eastAsia="Arial" w:cs="Arial"/>
                <w:sz w:val="16"/>
                <w:szCs w:val="16"/>
              </w:rPr>
            </w:pPr>
            <w:r w:rsidRPr="00BF41EC">
              <w:rPr>
                <w:rFonts w:cs="Arial"/>
                <w:color w:val="000000"/>
                <w:sz w:val="16"/>
                <w:szCs w:val="16"/>
              </w:rPr>
              <w:t>$4,7</w:t>
            </w:r>
            <w:r w:rsidR="008D6983">
              <w:rPr>
                <w:rFonts w:cs="Arial"/>
                <w:color w:val="000000"/>
                <w:sz w:val="16"/>
                <w:szCs w:val="16"/>
              </w:rPr>
              <w:t>19</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30E32FDF" w14:textId="4B2B24C6"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6B051B6" w14:textId="0696CC2B"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53B627A" w14:textId="7F84D6BB"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523D8E01" w14:textId="6A63CD41"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1E7D923C" w14:textId="792C8462"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525FC16A" w14:textId="0CF24F24"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E8BF37F" w14:textId="21B7E2AA"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1A092FDF" w14:textId="7C24773B"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6D7E4497" w14:textId="5F3854FD"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201A591B" w14:textId="0ED253FF"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2DD92B37" w14:textId="65261B24"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7F5B9E9D" w14:textId="5BC4352A"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78E0F1BB" w14:textId="3FCAE68E"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0E5ECA7A"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579B8C27" w14:textId="77777777" w:rsidR="00F136AD" w:rsidRPr="006E7DA0" w:rsidRDefault="00F136AD" w:rsidP="00F136AD">
            <w:pPr>
              <w:rPr>
                <w:rFonts w:eastAsia="Arial" w:cs="Arial"/>
                <w:b/>
                <w:bCs/>
                <w:sz w:val="16"/>
                <w:szCs w:val="16"/>
              </w:rPr>
            </w:pPr>
            <w:r w:rsidRPr="006E7DA0">
              <w:rPr>
                <w:rFonts w:eastAsia="Arial" w:cs="Arial"/>
                <w:b/>
                <w:bCs/>
                <w:sz w:val="16"/>
                <w:szCs w:val="16"/>
              </w:rPr>
              <w:t>Mechanical Shock</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055C9BB9" w14:textId="23922B23"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4CCEBCBB" w14:textId="00E51889"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322B3870" w14:textId="243A8149"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F20E6BF" w14:textId="5988ECE4"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6C4100DB" w14:textId="6DD2234E"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4CAB8BD" w14:textId="17D46D78"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01DE2C8" w14:textId="62463721"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591EE5E" w14:textId="2041C501"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A727293" w14:textId="37FC7F6B"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3A256DA" w14:textId="5F06BF59"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35EAE727" w14:textId="6FE046D3"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0FB283AF" w14:textId="3D994AF2"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4E72931C" w14:textId="045DCB86"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C827E67" w14:textId="74A2018A"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537F81A" w14:textId="5ECCC572"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5F35F09C" w14:textId="7E68A69E"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335C717B" w14:textId="44AC6267"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7C7A493B" w14:textId="7259AA01"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A585C8F" w14:textId="2FDB1E03"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2AE3CB2B" w14:textId="218C3100"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7FF5F5C7" w14:textId="379ED938"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19E2C63C" w14:textId="6E26EF32"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2BDBB7DA" w14:textId="08BE0F78"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2728E7AF" w14:textId="6084D4D7"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674CF4F8" w14:textId="346E0257"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2100383E"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658A71E0" w14:textId="77777777" w:rsidR="00F136AD" w:rsidRPr="006E7DA0" w:rsidRDefault="00F136AD" w:rsidP="00F136AD">
            <w:pPr>
              <w:rPr>
                <w:rFonts w:eastAsia="Arial" w:cs="Arial"/>
                <w:b/>
                <w:bCs/>
                <w:sz w:val="16"/>
                <w:szCs w:val="16"/>
              </w:rPr>
            </w:pPr>
            <w:r w:rsidRPr="006E7DA0">
              <w:rPr>
                <w:rFonts w:eastAsia="Arial" w:cs="Arial"/>
                <w:b/>
                <w:bCs/>
                <w:sz w:val="16"/>
                <w:szCs w:val="16"/>
              </w:rPr>
              <w:t>Magnetic Effect</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0B3F8A20" w14:textId="5739FA4F"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1FA2A8BF" w14:textId="28B54B3F"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3E3066ED" w14:textId="02599440"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61E96D22" w14:textId="27528D32"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530CA5CA" w14:textId="78B5E433"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27411A90" w14:textId="2D6F57C1"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7A4DA89" w14:textId="73DDD259"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A60738A" w14:textId="43B0E74C"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13D50B2" w14:textId="268CE864"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84D9527" w14:textId="74ED6232"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035FE6DE" w14:textId="25B2914D"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1288321" w14:textId="2A68E1DF"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5A3B5078" w14:textId="70DD8D22"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08AF060" w14:textId="0248E6A6"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D34521D" w14:textId="4479B2A3"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3B3F0810" w14:textId="6C67BD3E"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7C252C5E" w14:textId="78091A96"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39241B31" w14:textId="1983CEB8"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934092F" w14:textId="00014150"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1C511682" w14:textId="0BED24E5"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6DD9492C" w14:textId="417B9699"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43D915EB" w14:textId="56424ADD"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7A2AB8CD" w14:textId="32677F94"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540087E8" w14:textId="6330190B"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336ABDCD" w14:textId="24E1D51C"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4C7DD492"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207A630A" w14:textId="77777777" w:rsidR="00F136AD" w:rsidRPr="006E7DA0" w:rsidRDefault="00F136AD" w:rsidP="00F136AD">
            <w:pPr>
              <w:rPr>
                <w:rFonts w:eastAsia="Arial" w:cs="Arial"/>
                <w:b/>
                <w:bCs/>
                <w:sz w:val="16"/>
                <w:szCs w:val="16"/>
              </w:rPr>
            </w:pPr>
            <w:r w:rsidRPr="006E7DA0">
              <w:rPr>
                <w:rFonts w:eastAsia="Arial" w:cs="Arial"/>
                <w:b/>
                <w:bCs/>
                <w:sz w:val="16"/>
                <w:szCs w:val="16"/>
              </w:rPr>
              <w:t>Hydrocarbons</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236392C" w14:textId="7B3A1FB2"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453C0BD9" w14:textId="0E0032A9"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2B9F6CE2" w14:textId="0D8391BB"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E20E6E8" w14:textId="72BD300C"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6F470CB9" w14:textId="303EC61B"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3C00920" w14:textId="6199A8B2"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92AC41A" w14:textId="44AA52E4"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8B1EB1F" w14:textId="4E61AD69"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C95B74A" w14:textId="6D89C64D"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6A5601D" w14:textId="094A2E4E"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1164DDED" w14:textId="74CE1CA2"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65A29913" w14:textId="44EE6E78"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29D74EC9" w14:textId="4383FA09"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3F6498A" w14:textId="047563E8"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A7008C6" w14:textId="0DD83FB6"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170D8560" w14:textId="71697CAB"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7CC2677F" w14:textId="21D5B9A2"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4909791C" w14:textId="5685F57F"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B77F853" w14:textId="52BC9129"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147E30C4" w14:textId="2247F5A8"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482193EA" w14:textId="6E6BB3E9"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4B344123" w14:textId="597575AF"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2EB3C058" w14:textId="05EE0A58"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40E6C7A3" w14:textId="2956775E"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70857F9E" w14:textId="061D2A21"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7ECA2FEA"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1250CEC4" w14:textId="77777777" w:rsidR="00F136AD" w:rsidRPr="006E7DA0" w:rsidRDefault="00F136AD" w:rsidP="00F136AD">
            <w:pPr>
              <w:rPr>
                <w:rFonts w:eastAsia="Arial" w:cs="Arial"/>
                <w:b/>
                <w:bCs/>
                <w:sz w:val="16"/>
                <w:szCs w:val="16"/>
              </w:rPr>
            </w:pPr>
            <w:r w:rsidRPr="006E7DA0">
              <w:rPr>
                <w:rFonts w:eastAsia="Arial" w:cs="Arial"/>
                <w:b/>
                <w:bCs/>
                <w:sz w:val="16"/>
                <w:szCs w:val="16"/>
              </w:rPr>
              <w:t>Supply Frequency</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118F3FE" w14:textId="57A45060"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7555395A" w14:textId="3C4936BF"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618628FB" w14:textId="4A2E8381"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2DF059D" w14:textId="10F38487"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70E74F78" w14:textId="6F95BD04"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4E09D1C" w14:textId="1F79BDB2"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7F83860" w14:textId="6C314B11"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897A8CC" w14:textId="059CF39D"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D335F7F" w14:textId="6D6A660B"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6E34642" w14:textId="2908BB20"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780B1183" w14:textId="3ACD6EFC"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BABCFFD" w14:textId="6711B15A"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6957116C" w14:textId="6971C025"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C444762" w14:textId="336EEED3"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2734AB2" w14:textId="6E47E50C"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4C059589" w14:textId="237CFB08"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0D4680D0" w14:textId="6AB8945C"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64C86F72" w14:textId="690E6E7E"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86857FB" w14:textId="66F98084"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560423C8" w14:textId="5E4AF825"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77DD8333" w14:textId="18B8824D"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07FF29AD" w14:textId="2C987404"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62EE85EC" w14:textId="0B7AE8E3"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739491C9" w14:textId="43DF096E"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25A9D12B" w14:textId="7862D118"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74F30AE8"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2D9D2749" w14:textId="77777777" w:rsidR="00F136AD" w:rsidRPr="006E7DA0" w:rsidRDefault="00F136AD" w:rsidP="00F136AD">
            <w:pPr>
              <w:rPr>
                <w:rFonts w:eastAsia="Arial" w:cs="Arial"/>
                <w:b/>
                <w:bCs/>
                <w:sz w:val="16"/>
                <w:szCs w:val="16"/>
              </w:rPr>
            </w:pPr>
            <w:r w:rsidRPr="006E7DA0">
              <w:rPr>
                <w:rFonts w:eastAsia="Arial" w:cs="Arial"/>
                <w:b/>
                <w:bCs/>
                <w:sz w:val="16"/>
                <w:szCs w:val="16"/>
              </w:rPr>
              <w:t>High Temperature Storage</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00F8D7FE" w14:textId="06FBC697"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6582CECA" w14:textId="4C29A8D5"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6643F8F8" w14:textId="0384FAD8"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8B32260" w14:textId="2155897C"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6B3AA65F" w14:textId="25D74432"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40D8120" w14:textId="5271F9CC"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551F70C8" w14:textId="1535C46A"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2367F6D" w14:textId="4A217D40"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FC3391C" w14:textId="77243AF0"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F72D013" w14:textId="513AA559"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62A527C4" w14:textId="03E9CE4A"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4F37340" w14:textId="5E43C57F"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3A99516A" w14:textId="381B8F43"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53064" w14:textId="6B709F8D" w:rsidR="00F136AD" w:rsidRPr="00BF41EC" w:rsidRDefault="00F136AD" w:rsidP="00F136AD">
            <w:pPr>
              <w:rPr>
                <w:rFonts w:eastAsia="Arial" w:cs="Arial"/>
                <w:sz w:val="16"/>
                <w:szCs w:val="16"/>
              </w:rPr>
            </w:pPr>
            <w:r w:rsidRPr="00BF41EC">
              <w:rPr>
                <w:rFonts w:cs="Arial"/>
                <w:color w:val="000000"/>
                <w:sz w:val="16"/>
                <w:szCs w:val="16"/>
              </w:rPr>
              <w:t>$584</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BAE40D9" w14:textId="256A871D"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46FA9A7A" w14:textId="39A8A4FE"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17050567" w14:textId="2C5BF7A3"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36ACF40B" w14:textId="7F388CD8"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41B299B" w14:textId="4F011717"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4117F075" w14:textId="5BAD88DC"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4E70877A" w14:textId="58D2FBA1"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4E0A3E64" w14:textId="3F011A7E"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7A0871D1" w14:textId="58CA79B9"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310369EB" w14:textId="7BA65B17"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6B03341C" w14:textId="2EB1473B"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6B146A91"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2AF6667C" w14:textId="77777777" w:rsidR="00F136AD" w:rsidRPr="006E7DA0" w:rsidRDefault="00F136AD" w:rsidP="00F136AD">
            <w:pPr>
              <w:rPr>
                <w:rFonts w:eastAsia="Arial" w:cs="Arial"/>
                <w:b/>
                <w:bCs/>
                <w:sz w:val="16"/>
                <w:szCs w:val="16"/>
              </w:rPr>
            </w:pPr>
            <w:r w:rsidRPr="006E7DA0">
              <w:rPr>
                <w:rFonts w:eastAsia="Arial" w:cs="Arial"/>
                <w:b/>
                <w:bCs/>
                <w:sz w:val="16"/>
                <w:szCs w:val="16"/>
              </w:rPr>
              <w:t>Damp Heat Cyclic</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49C674CB" w14:textId="397176B8"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5D7B701A" w14:textId="2A0BE6F2"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638885E9" w14:textId="2908243B"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07862E24" w14:textId="3EC9D087"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41A4BD2C" w14:textId="580FFC37"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67FA0D42" w14:textId="0A84CDB2"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7EDB99BB" w14:textId="11270CCA"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9A58555" w14:textId="193E17AF"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DF8E505" w14:textId="13385416"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076D42D" w14:textId="27DB71B8"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69B6706D" w14:textId="10C8B79A"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703FAA4" w14:textId="2C253D3C"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0EB319E2" w14:textId="59D1440F"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7F49E57" w14:textId="6F700EAC" w:rsidR="00F136AD" w:rsidRPr="00BF41EC" w:rsidRDefault="00F136AD" w:rsidP="00F136AD">
            <w:pPr>
              <w:rPr>
                <w:rFonts w:eastAsia="Arial" w:cs="Arial"/>
                <w:sz w:val="16"/>
                <w:szCs w:val="16"/>
              </w:rPr>
            </w:pPr>
            <w:r w:rsidRPr="00BF41EC">
              <w:rPr>
                <w:rFonts w:cs="Arial"/>
                <w:color w:val="000000"/>
                <w:sz w:val="16"/>
                <w:szCs w:val="16"/>
              </w:rPr>
              <w:t>$584</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E6B1BAA" w14:textId="60F2CBB9"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7E111B1A" w14:textId="547CECBE"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7149A62F" w14:textId="4188509E"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31794F16" w14:textId="2BFFDF60"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5DBDC22" w14:textId="508A232A"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2E98AF5D" w14:textId="1F310CD9"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328C404D" w14:textId="5CA99907"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498BA8AF" w14:textId="1F6139A5"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0DD30BD5" w14:textId="7867E7DE"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74799E14" w14:textId="6E1A33A2"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78B24BD7" w14:textId="56516CEF"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4AAB61D2"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0949396F" w14:textId="77777777" w:rsidR="00F136AD" w:rsidRPr="006E7DA0" w:rsidRDefault="00F136AD" w:rsidP="00F136AD">
            <w:pPr>
              <w:rPr>
                <w:rFonts w:eastAsia="Arial" w:cs="Arial"/>
                <w:b/>
                <w:bCs/>
                <w:sz w:val="16"/>
                <w:szCs w:val="16"/>
              </w:rPr>
            </w:pPr>
            <w:r w:rsidRPr="006E7DA0">
              <w:rPr>
                <w:rFonts w:eastAsia="Arial" w:cs="Arial"/>
                <w:b/>
                <w:bCs/>
                <w:sz w:val="16"/>
                <w:szCs w:val="16"/>
              </w:rPr>
              <w:t>DC Power Supply</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592D1B6F" w14:textId="1E6E9551"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32824F6F" w14:textId="2DB3C2AB"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4C2E348F" w14:textId="04F7B09C"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23A3269F" w14:textId="684C57EB"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450D5EFA" w14:textId="4BB471D1"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2D018605" w14:textId="010A795C"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E7F488E" w14:textId="36540FC3"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40F4826" w14:textId="1FB40B6B"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94FCE78" w14:textId="41A2AC54"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5B0A451" w14:textId="2D06CF41"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249C7F49" w14:textId="1B1D0187"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22CBCE6A" w14:textId="4DA2EB55"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7FBA8980" w14:textId="4F2D3C05"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23A0144" w14:textId="45C544EA"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4F5AA7" w14:textId="3D2316A1"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5D55A769" w14:textId="44A294E1"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3A0452F8" w14:textId="3C8094CC"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52EFB62E" w14:textId="47E8B9BD"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12CE47E" w14:textId="650D6499"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42469130" w14:textId="2050A9A1"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283CA8FE" w14:textId="7317E0BA"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3A2BE7D9" w14:textId="2523045F"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416A45ED" w14:textId="769EFC43"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250963A0" w14:textId="641E6CC7"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743FB262" w14:textId="763780D2"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2F97C9BD"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2BD497D2" w14:textId="77777777" w:rsidR="00F136AD" w:rsidRPr="006E7DA0" w:rsidRDefault="00F136AD" w:rsidP="00F136AD">
            <w:pPr>
              <w:rPr>
                <w:rFonts w:eastAsia="Arial" w:cs="Arial"/>
                <w:b/>
                <w:bCs/>
                <w:sz w:val="16"/>
                <w:szCs w:val="16"/>
              </w:rPr>
            </w:pPr>
            <w:r w:rsidRPr="006E7DA0">
              <w:rPr>
                <w:rFonts w:eastAsia="Arial" w:cs="Arial"/>
                <w:b/>
                <w:bCs/>
                <w:sz w:val="16"/>
                <w:szCs w:val="16"/>
              </w:rPr>
              <w:t>Ripple on DC</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5D127A9" w14:textId="25E380C9"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13EB461B" w14:textId="5D75DF2D"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43ED26C4" w14:textId="24CE5122"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BF50670" w14:textId="3EFCA73E"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020503B5" w14:textId="51728595"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56BE48A" w14:textId="6D6BD79A"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72B34EF" w14:textId="425E989F"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F9AAB82" w14:textId="42FE3DFD"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BB28FA3" w14:textId="55D72C0D"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C3D5255" w14:textId="3671B6E9"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178C52EF" w14:textId="0BC5086D"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D565C4F" w14:textId="705C59C5"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75203975" w14:textId="15807587"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04939F5" w14:textId="5DC4A62F"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44160F8" w14:textId="0F413525"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1B31D267" w14:textId="51DC0F13"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616177C2" w14:textId="31B6809C"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733C2C1C" w14:textId="1D17979D"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67517D2" w14:textId="423C7BE4"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351FB1A0" w14:textId="64FE8332"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1BEE14E7" w14:textId="6654A7CD"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17A4AA3A" w14:textId="641883B0"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2323316A" w14:textId="39C77D98"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182B67C8" w14:textId="2563FA91"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543926F1" w14:textId="484C980D"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24DBF34A"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6D23177F" w14:textId="77777777" w:rsidR="00F136AD" w:rsidRPr="006E7DA0" w:rsidRDefault="00F136AD" w:rsidP="00F136AD">
            <w:pPr>
              <w:rPr>
                <w:rFonts w:eastAsia="Arial" w:cs="Arial"/>
                <w:b/>
                <w:bCs/>
                <w:sz w:val="16"/>
                <w:szCs w:val="16"/>
              </w:rPr>
            </w:pPr>
            <w:r w:rsidRPr="006E7DA0">
              <w:rPr>
                <w:rFonts w:eastAsia="Arial" w:cs="Arial"/>
                <w:b/>
                <w:bCs/>
                <w:sz w:val="16"/>
                <w:szCs w:val="16"/>
              </w:rPr>
              <w:t>Vibration</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76495A0C" w14:textId="0873525C"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77106263" w14:textId="5806926D"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4A9B5CAF" w14:textId="30509C17"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53F94FE" w14:textId="31A48900"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3343B1EF" w14:textId="012052C2"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70DF99C" w14:textId="166A1924"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7E2DC310" w14:textId="3546AF6A"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CA14482" w14:textId="4AFCF3D6"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1CE0745" w14:textId="1024E927"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7F9A5F4" w14:textId="75C338C4"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2F604AD9" w14:textId="2011FB5C"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C242C11" w14:textId="20355398"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32BB5BB9" w14:textId="51D8A97D"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8BA8FFD" w14:textId="7580B00E"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832B734" w14:textId="41162FB3"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1CAAF4A6" w14:textId="6799A0B1"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657844F7" w14:textId="74028F60"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51FAAE91" w14:textId="2E83B803"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907CDAA" w14:textId="7334BFC7"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5B69B631" w14:textId="3B32FBB7"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017F61ED" w14:textId="54F64DA9"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0EDC78B3" w14:textId="2372EB3C"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3B0F15F7" w14:textId="30CF075D"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4CCA66C8" w14:textId="4FA4445C"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0BD5D1BD" w14:textId="7288127C"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03BD18DA" w14:textId="77777777" w:rsidTr="00BF41EC">
        <w:tblPrEx>
          <w:shd w:val="clear" w:color="auto" w:fill="DBE5F1" w:themeFill="accent1" w:themeFillTint="33"/>
        </w:tblPrEx>
        <w:trPr>
          <w:trHeight w:val="402"/>
        </w:trPr>
        <w:tc>
          <w:tcPr>
            <w:tcW w:w="2694" w:type="dxa"/>
            <w:shd w:val="clear" w:color="auto" w:fill="DBE5F1" w:themeFill="accent1" w:themeFillTint="33"/>
            <w:vAlign w:val="center"/>
            <w:hideMark/>
          </w:tcPr>
          <w:p w14:paraId="25111721" w14:textId="77777777" w:rsidR="00F136AD" w:rsidRPr="006E7DA0" w:rsidRDefault="00F136AD" w:rsidP="00F136AD">
            <w:pPr>
              <w:rPr>
                <w:rFonts w:eastAsia="Arial" w:cs="Arial"/>
                <w:b/>
                <w:bCs/>
                <w:sz w:val="16"/>
                <w:szCs w:val="16"/>
              </w:rPr>
            </w:pPr>
            <w:r w:rsidRPr="006E7DA0">
              <w:rPr>
                <w:rFonts w:eastAsia="Arial" w:cs="Arial"/>
                <w:b/>
                <w:bCs/>
                <w:sz w:val="16"/>
                <w:szCs w:val="16"/>
              </w:rPr>
              <w:t>Durability</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BB11E23" w14:textId="2C396E51"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74DDF3B0" w14:textId="71611EF3"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01DA9204" w14:textId="694CD1D9"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920464C" w14:textId="0DDBC17D"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263596D9" w14:textId="404E1A1C"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0E8C704" w14:textId="01E1C96B"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D27C988" w14:textId="57F0C99B"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A6B4197" w14:textId="19875941"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FC0403B" w14:textId="299A8821"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D6CF35E" w14:textId="48D6537D"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57C1587B" w14:textId="7C5E8A63"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2F6C3FED" w14:textId="7D07E743"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66DD2762" w14:textId="380943D4"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D3CD4F5" w14:textId="696BE892"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1C2AC99" w14:textId="276917E7"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14642B26" w14:textId="3448D3EA"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61D801CE" w14:textId="52916E2E"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36CA3419" w14:textId="266B39ED"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63D6B04" w14:textId="036817C7"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D3F3A50" w14:textId="78773294"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7DAD024C" w14:textId="13D9CED3"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713E2BE5" w14:textId="265E89E8"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7926EDFE" w14:textId="2EE8912B"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65852893" w14:textId="03098E24"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4072809F" w14:textId="0230F40D"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19CF8118"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086F0272" w14:textId="77777777" w:rsidR="00F136AD" w:rsidRPr="006E7DA0" w:rsidRDefault="00F136AD" w:rsidP="00F136AD">
            <w:pPr>
              <w:rPr>
                <w:rFonts w:eastAsia="Arial" w:cs="Arial"/>
                <w:b/>
                <w:bCs/>
                <w:sz w:val="16"/>
                <w:szCs w:val="16"/>
              </w:rPr>
            </w:pPr>
            <w:r w:rsidRPr="006E7DA0">
              <w:rPr>
                <w:rFonts w:eastAsia="Arial" w:cs="Arial"/>
                <w:b/>
                <w:bCs/>
                <w:sz w:val="16"/>
                <w:szCs w:val="16"/>
              </w:rPr>
              <w:t>Endurance tests</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25BD7913" w14:textId="062FFCA8"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70DAA770" w14:textId="021A752D" w:rsidR="00F136AD" w:rsidRPr="00BF41EC" w:rsidRDefault="00F136AD" w:rsidP="00F136AD">
            <w:pPr>
              <w:rPr>
                <w:rFonts w:eastAsia="Arial" w:cs="Arial"/>
                <w:sz w:val="16"/>
                <w:szCs w:val="16"/>
              </w:rPr>
            </w:pPr>
            <w:r w:rsidRPr="00BF41EC">
              <w:rPr>
                <w:rFonts w:cs="Arial"/>
                <w:color w:val="000000"/>
                <w:sz w:val="16"/>
                <w:szCs w:val="16"/>
              </w:rPr>
              <w:t>$1,136</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0F567637" w14:textId="4C26D17A"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0301DFA5" w14:textId="752735B8" w:rsidR="00F136AD" w:rsidRPr="00BF41EC" w:rsidRDefault="00F136AD" w:rsidP="00F136AD">
            <w:pPr>
              <w:rPr>
                <w:rFonts w:eastAsia="Arial" w:cs="Arial"/>
                <w:sz w:val="16"/>
                <w:szCs w:val="16"/>
              </w:rPr>
            </w:pPr>
            <w:r w:rsidRPr="00BF41EC">
              <w:rPr>
                <w:rFonts w:cs="Arial"/>
                <w:color w:val="000000"/>
                <w:sz w:val="16"/>
                <w:szCs w:val="16"/>
              </w:rPr>
              <w:t>$2,272</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79ED713D" w14:textId="78061C6A"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251E2920" w14:textId="5E79D297" w:rsidR="00F136AD" w:rsidRPr="00BF41EC" w:rsidRDefault="00F136AD" w:rsidP="00F136AD">
            <w:pPr>
              <w:rPr>
                <w:rFonts w:eastAsia="Arial" w:cs="Arial"/>
                <w:sz w:val="16"/>
                <w:szCs w:val="16"/>
              </w:rPr>
            </w:pPr>
            <w:r w:rsidRPr="00BF41EC">
              <w:rPr>
                <w:rFonts w:cs="Arial"/>
                <w:color w:val="000000"/>
                <w:sz w:val="16"/>
                <w:szCs w:val="16"/>
              </w:rPr>
              <w:t>$2,785</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11C73B0" w14:textId="0ABC2577"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B8EF039" w14:textId="6BD2F06E" w:rsidR="00F136AD" w:rsidRPr="00BF41EC" w:rsidRDefault="00F136AD" w:rsidP="00F136AD">
            <w:pPr>
              <w:rPr>
                <w:rFonts w:eastAsia="Arial" w:cs="Arial"/>
                <w:sz w:val="16"/>
                <w:szCs w:val="16"/>
              </w:rPr>
            </w:pPr>
            <w:r w:rsidRPr="00BF41EC">
              <w:rPr>
                <w:rFonts w:cs="Arial"/>
                <w:color w:val="000000"/>
                <w:sz w:val="16"/>
                <w:szCs w:val="16"/>
              </w:rPr>
              <w:t>$1,490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5A2608D" w14:textId="441A5164"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15EAA49" w14:textId="6B7339E7" w:rsidR="00F136AD" w:rsidRPr="00BF41EC" w:rsidRDefault="00F136AD" w:rsidP="00F136AD">
            <w:pPr>
              <w:rPr>
                <w:rFonts w:eastAsia="Arial" w:cs="Arial"/>
                <w:sz w:val="16"/>
                <w:szCs w:val="16"/>
              </w:rPr>
            </w:pPr>
            <w:r w:rsidRPr="00BF41EC">
              <w:rPr>
                <w:rFonts w:cs="Arial"/>
                <w:color w:val="000000"/>
                <w:sz w:val="16"/>
                <w:szCs w:val="16"/>
              </w:rPr>
              <w:t>$1,879</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67B77AAC" w14:textId="0073140D"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04EA159E" w14:textId="5A378088" w:rsidR="00F136AD" w:rsidRPr="00BF41EC" w:rsidRDefault="00F136AD" w:rsidP="00F136AD">
            <w:pPr>
              <w:rPr>
                <w:rFonts w:eastAsia="Arial" w:cs="Arial"/>
                <w:sz w:val="16"/>
                <w:szCs w:val="16"/>
              </w:rPr>
            </w:pPr>
            <w:r w:rsidRPr="00BF41EC">
              <w:rPr>
                <w:rFonts w:cs="Arial"/>
                <w:color w:val="000000"/>
                <w:sz w:val="16"/>
                <w:szCs w:val="16"/>
              </w:rPr>
              <w:t>$2,324</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234C0EEA" w14:textId="379BC7EB"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7E4E98C" w14:textId="3ED5FD1F"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3E05EB9" w14:textId="1E8579F2"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319EC842" w14:textId="0CAA1C39"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337558C7" w14:textId="0501ECD7"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37DBAB1A" w14:textId="1051B09E"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13FD200" w14:textId="4F19D7A1"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0867FD68" w14:textId="0DE53AF7"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18712320" w14:textId="4917BC8B"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475D4546" w14:textId="26AC237B"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60376AED" w14:textId="279D26D7"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490DFC2F" w14:textId="218A7AFD"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38907B1B" w14:textId="1AD45565"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2CA2E282"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489837BB" w14:textId="77777777" w:rsidR="00F136AD" w:rsidRPr="006E7DA0" w:rsidRDefault="00F136AD" w:rsidP="00F136AD">
            <w:pPr>
              <w:rPr>
                <w:rFonts w:eastAsia="Arial" w:cs="Arial"/>
                <w:b/>
                <w:bCs/>
                <w:sz w:val="16"/>
                <w:szCs w:val="16"/>
              </w:rPr>
            </w:pPr>
            <w:r w:rsidRPr="006E7DA0">
              <w:rPr>
                <w:rFonts w:eastAsia="Arial" w:cs="Arial"/>
                <w:b/>
                <w:bCs/>
                <w:sz w:val="16"/>
                <w:szCs w:val="16"/>
              </w:rPr>
              <w:t>Checklist</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129EDBC0" w14:textId="524C5DEE" w:rsidR="00F136AD" w:rsidRPr="00AF5F1F" w:rsidRDefault="00F136AD" w:rsidP="00F136AD">
            <w:pPr>
              <w:rPr>
                <w:rFonts w:eastAsia="Arial" w:cs="Arial"/>
                <w:sz w:val="16"/>
                <w:szCs w:val="16"/>
              </w:rPr>
            </w:pPr>
            <w:r>
              <w:rPr>
                <w:rFonts w:cs="Arial"/>
                <w:color w:val="000000"/>
                <w:sz w:val="16"/>
                <w:szCs w:val="16"/>
              </w:rPr>
              <w:t>Certificate</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73610DEB" w14:textId="54B67AEE" w:rsidR="00F136AD" w:rsidRPr="00BF41EC" w:rsidRDefault="00F136AD" w:rsidP="00F136AD">
            <w:pPr>
              <w:rPr>
                <w:rFonts w:eastAsia="Arial" w:cs="Arial"/>
                <w:sz w:val="16"/>
                <w:szCs w:val="16"/>
              </w:rPr>
            </w:pPr>
            <w:r w:rsidRPr="00BF41EC">
              <w:rPr>
                <w:rFonts w:cs="Arial"/>
                <w:color w:val="000000"/>
                <w:sz w:val="16"/>
                <w:szCs w:val="16"/>
              </w:rPr>
              <w:t>$390</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6D5FE0E9" w14:textId="71C78CB6"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2444442" w14:textId="0AD7A733" w:rsidR="00F136AD" w:rsidRPr="00BF41EC" w:rsidRDefault="00F136AD" w:rsidP="00F136AD">
            <w:pPr>
              <w:rPr>
                <w:rFonts w:eastAsia="Arial" w:cs="Arial"/>
                <w:sz w:val="16"/>
                <w:szCs w:val="16"/>
              </w:rPr>
            </w:pPr>
            <w:r w:rsidRPr="00BF41EC">
              <w:rPr>
                <w:rFonts w:cs="Arial"/>
                <w:color w:val="000000"/>
                <w:sz w:val="16"/>
                <w:szCs w:val="16"/>
              </w:rPr>
              <w:t>$390</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5FFB43F5" w14:textId="4B88133B"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56AFFBF" w14:textId="1A7E6E38" w:rsidR="00F136AD" w:rsidRPr="00BF41EC" w:rsidRDefault="00F136AD" w:rsidP="00F136AD">
            <w:pPr>
              <w:rPr>
                <w:rFonts w:eastAsia="Arial" w:cs="Arial"/>
                <w:sz w:val="16"/>
                <w:szCs w:val="16"/>
              </w:rPr>
            </w:pPr>
            <w:r w:rsidRPr="00BF41EC">
              <w:rPr>
                <w:rFonts w:cs="Arial"/>
                <w:color w:val="000000"/>
                <w:sz w:val="16"/>
                <w:szCs w:val="16"/>
              </w:rPr>
              <w:t>$390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4E211E3" w14:textId="4921A9D1" w:rsidR="00F136AD" w:rsidRPr="00BF41EC" w:rsidRDefault="00F136AD" w:rsidP="00F136AD">
            <w:pPr>
              <w:rPr>
                <w:rFonts w:eastAsia="Arial" w:cs="Arial"/>
                <w:sz w:val="16"/>
                <w:szCs w:val="16"/>
              </w:rPr>
            </w:pPr>
            <w:r w:rsidRPr="00BF41EC">
              <w:rPr>
                <w:rFonts w:cs="Arial"/>
                <w:color w:val="000000"/>
                <w:sz w:val="16"/>
                <w:szCs w:val="16"/>
              </w:rPr>
              <w:t>per hour</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FD50096" w14:textId="62F8D5D3"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9847381" w14:textId="6BF66E94" w:rsidR="00F136AD" w:rsidRPr="00BF41EC" w:rsidRDefault="00F136AD" w:rsidP="00F136AD">
            <w:pPr>
              <w:rPr>
                <w:rFonts w:eastAsia="Arial" w:cs="Arial"/>
                <w:sz w:val="16"/>
                <w:szCs w:val="16"/>
              </w:rPr>
            </w:pPr>
            <w:r w:rsidRPr="00BF41EC">
              <w:rPr>
                <w:rFonts w:cs="Arial"/>
                <w:color w:val="000000"/>
                <w:sz w:val="16"/>
                <w:szCs w:val="16"/>
              </w:rPr>
              <w:t>per hour</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94FDCC0" w14:textId="7285536E" w:rsidR="00F136AD" w:rsidRPr="00BF41EC" w:rsidRDefault="00F136AD" w:rsidP="00F136AD">
            <w:pPr>
              <w:rPr>
                <w:rFonts w:eastAsia="Arial" w:cs="Arial"/>
                <w:sz w:val="16"/>
                <w:szCs w:val="16"/>
              </w:rPr>
            </w:pPr>
            <w:r w:rsidRPr="00BF41EC">
              <w:rPr>
                <w:rFonts w:cs="Arial"/>
                <w:color w:val="000000"/>
                <w:sz w:val="16"/>
                <w:szCs w:val="16"/>
              </w:rPr>
              <w:t>$390</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47D49721" w14:textId="16C82664"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1B69D9D" w14:textId="12371033" w:rsidR="00F136AD" w:rsidRPr="00BF41EC" w:rsidRDefault="00F136AD" w:rsidP="00F136AD">
            <w:pPr>
              <w:rPr>
                <w:rFonts w:eastAsia="Arial" w:cs="Arial"/>
                <w:sz w:val="16"/>
                <w:szCs w:val="16"/>
              </w:rPr>
            </w:pPr>
            <w:r w:rsidRPr="00BF41EC">
              <w:rPr>
                <w:rFonts w:cs="Arial"/>
                <w:color w:val="000000"/>
                <w:sz w:val="16"/>
                <w:szCs w:val="16"/>
              </w:rPr>
              <w:t>$390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15C95499" w14:textId="5C022F39" w:rsidR="00F136AD" w:rsidRPr="00BF41EC" w:rsidRDefault="00F136AD" w:rsidP="00F136AD">
            <w:pPr>
              <w:rPr>
                <w:rFonts w:eastAsia="Arial" w:cs="Arial"/>
                <w:sz w:val="16"/>
                <w:szCs w:val="16"/>
              </w:rPr>
            </w:pPr>
            <w:r w:rsidRPr="00BF41EC">
              <w:rPr>
                <w:rFonts w:cs="Arial"/>
                <w:color w:val="000000"/>
                <w:sz w:val="16"/>
                <w:szCs w:val="16"/>
              </w:rPr>
              <w:t>per hour</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7BF2CC6" w14:textId="0A4B85FC"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C2594CD" w14:textId="09CEB3C5"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38CA5364" w14:textId="1B5A947E" w:rsidR="00F136AD" w:rsidRPr="00BF41EC" w:rsidRDefault="00F136AD" w:rsidP="00F136AD">
            <w:pPr>
              <w:rPr>
                <w:rFonts w:eastAsia="Arial" w:cs="Arial"/>
                <w:sz w:val="16"/>
                <w:szCs w:val="16"/>
              </w:rPr>
            </w:pPr>
            <w:r w:rsidRPr="00BF41EC">
              <w:rPr>
                <w:rFonts w:cs="Arial"/>
                <w:color w:val="000000"/>
                <w:sz w:val="16"/>
                <w:szCs w:val="16"/>
              </w:rPr>
              <w:t>$390</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44EDF1C7" w14:textId="6F7C4AF7" w:rsidR="00F136AD" w:rsidRPr="00BF41EC" w:rsidRDefault="00F136AD" w:rsidP="00F136AD">
            <w:pPr>
              <w:rPr>
                <w:rFonts w:eastAsia="Arial" w:cs="Arial"/>
                <w:sz w:val="16"/>
                <w:szCs w:val="16"/>
              </w:rPr>
            </w:pPr>
            <w:r w:rsidRPr="00BF41EC">
              <w:rPr>
                <w:rFonts w:cs="Arial"/>
                <w:color w:val="000000"/>
                <w:sz w:val="16"/>
                <w:szCs w:val="16"/>
              </w:rPr>
              <w:t>per hour</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77613FF3" w14:textId="681769D0"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8DF3341" w14:textId="6075F848"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55BE26B2" w14:textId="542E3ABA"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7ADF4B95" w14:textId="04E85C65"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636399EC" w14:textId="224D0668"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7F14EA3E" w14:textId="6CF59254"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606B41DC" w14:textId="03CAED34"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0DCA8026" w14:textId="19FB296B"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6B065E34"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7FD8719C" w14:textId="77777777" w:rsidR="00F136AD" w:rsidRPr="006E7DA0" w:rsidRDefault="00F136AD" w:rsidP="00F136AD">
            <w:pPr>
              <w:rPr>
                <w:rFonts w:eastAsia="Arial" w:cs="Arial"/>
                <w:b/>
                <w:bCs/>
                <w:sz w:val="16"/>
                <w:szCs w:val="16"/>
              </w:rPr>
            </w:pPr>
            <w:r w:rsidRPr="006E7DA0">
              <w:rPr>
                <w:rFonts w:eastAsia="Arial" w:cs="Arial"/>
                <w:b/>
                <w:bCs/>
                <w:sz w:val="16"/>
                <w:szCs w:val="16"/>
              </w:rPr>
              <w:lastRenderedPageBreak/>
              <w:t>Summary report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B6C74" w14:textId="439ACDA8" w:rsidR="00F136AD" w:rsidRPr="00AF5F1F" w:rsidRDefault="00F136AD" w:rsidP="00F136AD">
            <w:pPr>
              <w:rPr>
                <w:rFonts w:eastAsia="Arial" w:cs="Arial"/>
                <w:sz w:val="16"/>
                <w:szCs w:val="16"/>
              </w:rPr>
            </w:pPr>
            <w:r>
              <w:rPr>
                <w:rFonts w:cs="Arial"/>
                <w:color w:val="000000"/>
                <w:sz w:val="16"/>
                <w:szCs w:val="16"/>
              </w:rPr>
              <w:t>Certificate</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58CC5E81" w14:textId="2599A619" w:rsidR="00F136AD" w:rsidRPr="00BF41EC" w:rsidRDefault="00F136AD" w:rsidP="00F136AD">
            <w:pPr>
              <w:rPr>
                <w:rFonts w:eastAsia="Arial" w:cs="Arial"/>
                <w:sz w:val="16"/>
                <w:szCs w:val="16"/>
              </w:rPr>
            </w:pPr>
            <w:r w:rsidRPr="00BF41EC">
              <w:rPr>
                <w:rFonts w:cs="Arial"/>
                <w:color w:val="000000"/>
                <w:sz w:val="16"/>
                <w:szCs w:val="16"/>
              </w:rPr>
              <w:t>$390</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335255D4" w14:textId="3207CACD"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8B36D1F" w14:textId="2E15270A" w:rsidR="00F136AD" w:rsidRPr="00BF41EC" w:rsidRDefault="00F136AD" w:rsidP="00F136AD">
            <w:pPr>
              <w:rPr>
                <w:rFonts w:eastAsia="Arial" w:cs="Arial"/>
                <w:sz w:val="16"/>
                <w:szCs w:val="16"/>
              </w:rPr>
            </w:pPr>
            <w:r w:rsidRPr="00BF41EC">
              <w:rPr>
                <w:rFonts w:cs="Arial"/>
                <w:color w:val="000000"/>
                <w:sz w:val="16"/>
                <w:szCs w:val="16"/>
              </w:rPr>
              <w:t>$390</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166E2691" w14:textId="751D3132"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ACA3629" w14:textId="0BFD2B0A" w:rsidR="00F136AD" w:rsidRPr="00BF41EC" w:rsidRDefault="00F136AD" w:rsidP="00F136AD">
            <w:pPr>
              <w:rPr>
                <w:rFonts w:eastAsia="Arial" w:cs="Arial"/>
                <w:sz w:val="16"/>
                <w:szCs w:val="16"/>
              </w:rPr>
            </w:pPr>
            <w:r w:rsidRPr="00BF41EC">
              <w:rPr>
                <w:rFonts w:cs="Arial"/>
                <w:color w:val="000000"/>
                <w:sz w:val="16"/>
                <w:szCs w:val="16"/>
              </w:rPr>
              <w:t>$390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5A8C802F" w14:textId="701267B5" w:rsidR="00F136AD" w:rsidRPr="00BF41EC" w:rsidRDefault="00F136AD" w:rsidP="00F136AD">
            <w:pPr>
              <w:rPr>
                <w:rFonts w:eastAsia="Arial" w:cs="Arial"/>
                <w:sz w:val="16"/>
                <w:szCs w:val="16"/>
              </w:rPr>
            </w:pPr>
            <w:r w:rsidRPr="00BF41EC">
              <w:rPr>
                <w:rFonts w:cs="Arial"/>
                <w:color w:val="000000"/>
                <w:sz w:val="16"/>
                <w:szCs w:val="16"/>
              </w:rPr>
              <w:t>per hour</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B1E7B3E" w14:textId="57D48DAB"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6AD024" w14:textId="441D2D87" w:rsidR="00F136AD" w:rsidRPr="00BF41EC" w:rsidRDefault="00F136AD" w:rsidP="00F136AD">
            <w:pPr>
              <w:rPr>
                <w:rFonts w:eastAsia="Arial" w:cs="Arial"/>
                <w:sz w:val="16"/>
                <w:szCs w:val="16"/>
              </w:rPr>
            </w:pPr>
            <w:r w:rsidRPr="00BF41EC">
              <w:rPr>
                <w:rFonts w:cs="Arial"/>
                <w:color w:val="000000"/>
                <w:sz w:val="16"/>
                <w:szCs w:val="16"/>
              </w:rPr>
              <w:t>per hour</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BFCE06" w14:textId="79C1CC73" w:rsidR="00F136AD" w:rsidRPr="00BF41EC" w:rsidRDefault="00F136AD" w:rsidP="00F136AD">
            <w:pPr>
              <w:rPr>
                <w:rFonts w:eastAsia="Arial" w:cs="Arial"/>
                <w:sz w:val="16"/>
                <w:szCs w:val="16"/>
              </w:rPr>
            </w:pPr>
            <w:r w:rsidRPr="00BF41EC">
              <w:rPr>
                <w:rFonts w:cs="Arial"/>
                <w:color w:val="000000"/>
                <w:sz w:val="16"/>
                <w:szCs w:val="16"/>
              </w:rPr>
              <w:t>$390</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584F6098" w14:textId="4F9E8D6B"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8398BB2" w14:textId="05D2E3BF" w:rsidR="00F136AD" w:rsidRPr="00BF41EC" w:rsidRDefault="00F136AD" w:rsidP="00F136AD">
            <w:pPr>
              <w:rPr>
                <w:rFonts w:eastAsia="Arial" w:cs="Arial"/>
                <w:sz w:val="16"/>
                <w:szCs w:val="16"/>
              </w:rPr>
            </w:pPr>
            <w:r w:rsidRPr="00BF41EC">
              <w:rPr>
                <w:rFonts w:cs="Arial"/>
                <w:color w:val="000000"/>
                <w:sz w:val="16"/>
                <w:szCs w:val="16"/>
              </w:rPr>
              <w:t>$390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52B11BC2" w14:textId="3BD2DD1B" w:rsidR="00F136AD" w:rsidRPr="00BF41EC" w:rsidRDefault="00F136AD" w:rsidP="00F136AD">
            <w:pPr>
              <w:rPr>
                <w:rFonts w:eastAsia="Arial" w:cs="Arial"/>
                <w:sz w:val="16"/>
                <w:szCs w:val="16"/>
              </w:rPr>
            </w:pPr>
            <w:r w:rsidRPr="00BF41EC">
              <w:rPr>
                <w:rFonts w:cs="Arial"/>
                <w:color w:val="000000"/>
                <w:sz w:val="16"/>
                <w:szCs w:val="16"/>
              </w:rPr>
              <w:t>per hour</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F82B11F" w14:textId="79981824"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3D1F5B1" w14:textId="528BAB7F"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28CB2B7E" w14:textId="33B36161" w:rsidR="00F136AD" w:rsidRPr="00BF41EC" w:rsidRDefault="00F136AD" w:rsidP="00F136AD">
            <w:pPr>
              <w:rPr>
                <w:rFonts w:eastAsia="Arial" w:cs="Arial"/>
                <w:sz w:val="16"/>
                <w:szCs w:val="16"/>
              </w:rPr>
            </w:pPr>
            <w:r w:rsidRPr="00BF41EC">
              <w:rPr>
                <w:rFonts w:cs="Arial"/>
                <w:color w:val="000000"/>
                <w:sz w:val="16"/>
                <w:szCs w:val="16"/>
              </w:rPr>
              <w:t>$390</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1550505A" w14:textId="6A9ECBA2" w:rsidR="00F136AD" w:rsidRPr="00BF41EC" w:rsidRDefault="00F136AD" w:rsidP="00F136AD">
            <w:pPr>
              <w:rPr>
                <w:rFonts w:eastAsia="Arial" w:cs="Arial"/>
                <w:sz w:val="16"/>
                <w:szCs w:val="16"/>
              </w:rPr>
            </w:pPr>
            <w:r w:rsidRPr="00BF41EC">
              <w:rPr>
                <w:rFonts w:cs="Arial"/>
                <w:color w:val="000000"/>
                <w:sz w:val="16"/>
                <w:szCs w:val="16"/>
              </w:rPr>
              <w:t>per hour</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45273C6D" w14:textId="654BD44D" w:rsidR="00F136AD" w:rsidRPr="00BF41EC" w:rsidRDefault="00F136AD" w:rsidP="00F136AD">
            <w:pPr>
              <w:rPr>
                <w:rFonts w:eastAsia="Arial" w:cs="Arial"/>
                <w:sz w:val="16"/>
                <w:szCs w:val="16"/>
              </w:rPr>
            </w:pPr>
            <w:r w:rsidRPr="00BF41EC">
              <w:rPr>
                <w:rFonts w:cs="Arial"/>
                <w:color w:val="000000"/>
                <w:sz w:val="16"/>
                <w:szCs w:val="16"/>
              </w:rPr>
              <w:t>$390</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D45F020" w14:textId="46C68EAF" w:rsidR="00F136AD" w:rsidRPr="00BF41EC" w:rsidRDefault="00F136AD" w:rsidP="00F136AD">
            <w:pPr>
              <w:rPr>
                <w:rFonts w:eastAsia="Arial" w:cs="Arial"/>
                <w:sz w:val="16"/>
                <w:szCs w:val="16"/>
              </w:rPr>
            </w:pPr>
            <w:r w:rsidRPr="00BF41EC">
              <w:rPr>
                <w:rFonts w:cs="Arial"/>
                <w:color w:val="000000"/>
                <w:sz w:val="16"/>
                <w:szCs w:val="16"/>
              </w:rPr>
              <w:t>per hour</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4F19BCE3" w14:textId="60ED2CE4"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29703253" w14:textId="02071DF0"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5047562B" w14:textId="2F8D7841" w:rsidR="00F136AD" w:rsidRPr="00BF41EC" w:rsidRDefault="00F136AD" w:rsidP="00F136AD">
            <w:pPr>
              <w:rPr>
                <w:rFonts w:eastAsia="Arial" w:cs="Arial"/>
                <w:sz w:val="16"/>
                <w:szCs w:val="16"/>
              </w:rPr>
            </w:pPr>
            <w:r w:rsidRPr="00BF41EC">
              <w:rPr>
                <w:rFonts w:cs="Arial"/>
                <w:color w:val="000000"/>
                <w:sz w:val="16"/>
                <w:szCs w:val="16"/>
              </w:rPr>
              <w:t>$390</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5BC19C6A" w14:textId="19156D18" w:rsidR="00F136AD" w:rsidRPr="00BF41EC" w:rsidRDefault="00F136AD" w:rsidP="00F136AD">
            <w:pPr>
              <w:rPr>
                <w:rFonts w:eastAsia="Arial" w:cs="Arial"/>
                <w:sz w:val="16"/>
                <w:szCs w:val="16"/>
              </w:rPr>
            </w:pPr>
            <w:r w:rsidRPr="00BF41EC">
              <w:rPr>
                <w:rFonts w:cs="Arial"/>
                <w:color w:val="000000"/>
                <w:sz w:val="16"/>
                <w:szCs w:val="16"/>
              </w:rPr>
              <w:t>per hour</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2D9A84D2" w14:textId="36170CD9"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1BE63EDD" w14:textId="256AB717"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16A28EED"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6E58DA63" w14:textId="77777777" w:rsidR="00F136AD" w:rsidRPr="006E7DA0" w:rsidRDefault="00F136AD" w:rsidP="00F136AD">
            <w:pPr>
              <w:rPr>
                <w:rFonts w:eastAsia="Arial" w:cs="Arial"/>
                <w:b/>
                <w:bCs/>
                <w:sz w:val="16"/>
                <w:szCs w:val="16"/>
              </w:rPr>
            </w:pPr>
            <w:r w:rsidRPr="006E7DA0">
              <w:rPr>
                <w:rFonts w:eastAsia="Arial" w:cs="Arial"/>
                <w:b/>
                <w:bCs/>
                <w:sz w:val="16"/>
                <w:szCs w:val="16"/>
              </w:rPr>
              <w:t>Certificate preparation</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61BEFE93" w14:textId="6FB62D04" w:rsidR="00F136AD" w:rsidRPr="00AF5F1F" w:rsidRDefault="00F136AD" w:rsidP="00F136AD">
            <w:pPr>
              <w:rPr>
                <w:rFonts w:eastAsia="Arial" w:cs="Arial"/>
                <w:sz w:val="16"/>
                <w:szCs w:val="16"/>
              </w:rPr>
            </w:pPr>
            <w:r>
              <w:rPr>
                <w:rFonts w:cs="Arial"/>
                <w:color w:val="000000"/>
                <w:sz w:val="16"/>
                <w:szCs w:val="16"/>
              </w:rPr>
              <w:t>Certificate</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77393BEB" w14:textId="0C9FECB0" w:rsidR="00F136AD" w:rsidRPr="00BF41EC" w:rsidRDefault="00F136AD" w:rsidP="00F136AD">
            <w:pPr>
              <w:rPr>
                <w:rFonts w:eastAsia="Arial" w:cs="Arial"/>
                <w:sz w:val="16"/>
                <w:szCs w:val="16"/>
              </w:rPr>
            </w:pPr>
            <w:r w:rsidRPr="00BF41EC">
              <w:rPr>
                <w:rFonts w:cs="Arial"/>
                <w:color w:val="000000"/>
                <w:sz w:val="16"/>
                <w:szCs w:val="16"/>
              </w:rPr>
              <w:t>$390</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69BCA380" w14:textId="52D8F398"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04D94C88" w14:textId="4764C4F2" w:rsidR="00F136AD" w:rsidRPr="00BF41EC" w:rsidRDefault="00F136AD" w:rsidP="00F136AD">
            <w:pPr>
              <w:rPr>
                <w:rFonts w:eastAsia="Arial" w:cs="Arial"/>
                <w:sz w:val="16"/>
                <w:szCs w:val="16"/>
              </w:rPr>
            </w:pPr>
            <w:r w:rsidRPr="00BF41EC">
              <w:rPr>
                <w:rFonts w:cs="Arial"/>
                <w:color w:val="000000"/>
                <w:sz w:val="16"/>
                <w:szCs w:val="16"/>
              </w:rPr>
              <w:t>$390</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1F59A785" w14:textId="76745B86"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D7C4FF0" w14:textId="28C1945F" w:rsidR="00F136AD" w:rsidRPr="00BF41EC" w:rsidRDefault="00F136AD" w:rsidP="00F136AD">
            <w:pPr>
              <w:rPr>
                <w:rFonts w:eastAsia="Arial" w:cs="Arial"/>
                <w:sz w:val="16"/>
                <w:szCs w:val="16"/>
              </w:rPr>
            </w:pPr>
            <w:r w:rsidRPr="00BF41EC">
              <w:rPr>
                <w:rFonts w:cs="Arial"/>
                <w:color w:val="000000"/>
                <w:sz w:val="16"/>
                <w:szCs w:val="16"/>
              </w:rPr>
              <w:t>$390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51393FD" w14:textId="4F5CA188" w:rsidR="00F136AD" w:rsidRPr="00BF41EC" w:rsidRDefault="00F136AD" w:rsidP="00F136AD">
            <w:pPr>
              <w:rPr>
                <w:rFonts w:eastAsia="Arial" w:cs="Arial"/>
                <w:sz w:val="16"/>
                <w:szCs w:val="16"/>
              </w:rPr>
            </w:pPr>
            <w:r w:rsidRPr="00BF41EC">
              <w:rPr>
                <w:rFonts w:cs="Arial"/>
                <w:color w:val="000000"/>
                <w:sz w:val="16"/>
                <w:szCs w:val="16"/>
              </w:rPr>
              <w:t>per hour</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B2116AB" w14:textId="363FFD89"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6F7C15" w14:textId="0094D82C" w:rsidR="00F136AD" w:rsidRPr="00BF41EC" w:rsidRDefault="00F136AD" w:rsidP="00F136AD">
            <w:pPr>
              <w:rPr>
                <w:rFonts w:eastAsia="Arial" w:cs="Arial"/>
                <w:sz w:val="16"/>
                <w:szCs w:val="16"/>
              </w:rPr>
            </w:pPr>
            <w:r w:rsidRPr="00BF41EC">
              <w:rPr>
                <w:rFonts w:cs="Arial"/>
                <w:color w:val="000000"/>
                <w:sz w:val="16"/>
                <w:szCs w:val="16"/>
              </w:rPr>
              <w:t>per hour</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2F802EE" w14:textId="4D1FC87B" w:rsidR="00F136AD" w:rsidRPr="00BF41EC" w:rsidRDefault="00F136AD" w:rsidP="00F136AD">
            <w:pPr>
              <w:rPr>
                <w:rFonts w:eastAsia="Arial" w:cs="Arial"/>
                <w:sz w:val="16"/>
                <w:szCs w:val="16"/>
              </w:rPr>
            </w:pPr>
            <w:r w:rsidRPr="00BF41EC">
              <w:rPr>
                <w:rFonts w:cs="Arial"/>
                <w:color w:val="000000"/>
                <w:sz w:val="16"/>
                <w:szCs w:val="16"/>
              </w:rPr>
              <w:t>$390</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7F951B01" w14:textId="58DAFE8E"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639FE90" w14:textId="7C284386" w:rsidR="00F136AD" w:rsidRPr="00BF41EC" w:rsidRDefault="00F136AD" w:rsidP="00F136AD">
            <w:pPr>
              <w:rPr>
                <w:rFonts w:eastAsia="Arial" w:cs="Arial"/>
                <w:sz w:val="16"/>
                <w:szCs w:val="16"/>
              </w:rPr>
            </w:pPr>
            <w:r w:rsidRPr="00BF41EC">
              <w:rPr>
                <w:rFonts w:cs="Arial"/>
                <w:color w:val="000000"/>
                <w:sz w:val="16"/>
                <w:szCs w:val="16"/>
              </w:rPr>
              <w:t>$390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49E794D5" w14:textId="0FC31FEC" w:rsidR="00F136AD" w:rsidRPr="00BF41EC" w:rsidRDefault="00F136AD" w:rsidP="00F136AD">
            <w:pPr>
              <w:rPr>
                <w:rFonts w:eastAsia="Arial" w:cs="Arial"/>
                <w:sz w:val="16"/>
                <w:szCs w:val="16"/>
              </w:rPr>
            </w:pPr>
            <w:r w:rsidRPr="00BF41EC">
              <w:rPr>
                <w:rFonts w:cs="Arial"/>
                <w:color w:val="000000"/>
                <w:sz w:val="16"/>
                <w:szCs w:val="16"/>
              </w:rPr>
              <w:t>per hour</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44583E6" w14:textId="2F29F624"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9E1E434" w14:textId="313324F4"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39FC439B" w14:textId="0BF53B20" w:rsidR="00F136AD" w:rsidRPr="00BF41EC" w:rsidRDefault="00F136AD" w:rsidP="00F136AD">
            <w:pPr>
              <w:rPr>
                <w:rFonts w:eastAsia="Arial" w:cs="Arial"/>
                <w:sz w:val="16"/>
                <w:szCs w:val="16"/>
              </w:rPr>
            </w:pPr>
            <w:r w:rsidRPr="00BF41EC">
              <w:rPr>
                <w:rFonts w:cs="Arial"/>
                <w:color w:val="000000"/>
                <w:sz w:val="16"/>
                <w:szCs w:val="16"/>
              </w:rPr>
              <w:t>$390</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1DBA6B4D" w14:textId="7D51F945" w:rsidR="00F136AD" w:rsidRPr="00BF41EC" w:rsidRDefault="00F136AD" w:rsidP="00F136AD">
            <w:pPr>
              <w:rPr>
                <w:rFonts w:eastAsia="Arial" w:cs="Arial"/>
                <w:sz w:val="16"/>
                <w:szCs w:val="16"/>
              </w:rPr>
            </w:pPr>
            <w:r w:rsidRPr="00BF41EC">
              <w:rPr>
                <w:rFonts w:cs="Arial"/>
                <w:color w:val="000000"/>
                <w:sz w:val="16"/>
                <w:szCs w:val="16"/>
              </w:rPr>
              <w:t>per hour</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13B32239" w14:textId="1B2BBF20" w:rsidR="00F136AD" w:rsidRPr="00BF41EC" w:rsidRDefault="00F136AD" w:rsidP="00F136AD">
            <w:pPr>
              <w:rPr>
                <w:rFonts w:eastAsia="Arial" w:cs="Arial"/>
                <w:sz w:val="16"/>
                <w:szCs w:val="16"/>
              </w:rPr>
            </w:pPr>
            <w:r w:rsidRPr="00BF41EC">
              <w:rPr>
                <w:rFonts w:cs="Arial"/>
                <w:color w:val="000000"/>
                <w:sz w:val="16"/>
                <w:szCs w:val="16"/>
              </w:rPr>
              <w:t>$390</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A348F7D" w14:textId="2E2E53C3" w:rsidR="00F136AD" w:rsidRPr="00BF41EC" w:rsidRDefault="00F136AD" w:rsidP="00F136AD">
            <w:pPr>
              <w:rPr>
                <w:rFonts w:eastAsia="Arial" w:cs="Arial"/>
                <w:sz w:val="16"/>
                <w:szCs w:val="16"/>
              </w:rPr>
            </w:pPr>
            <w:r w:rsidRPr="00BF41EC">
              <w:rPr>
                <w:rFonts w:cs="Arial"/>
                <w:color w:val="000000"/>
                <w:sz w:val="16"/>
                <w:szCs w:val="16"/>
              </w:rPr>
              <w:t>per hour</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2D71A3C0" w14:textId="187CF402"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7BA3C175" w14:textId="6701030A"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544194FF" w14:textId="6D9057FD" w:rsidR="00F136AD" w:rsidRPr="00BF41EC" w:rsidRDefault="00F136AD" w:rsidP="00F136AD">
            <w:pPr>
              <w:rPr>
                <w:rFonts w:eastAsia="Arial" w:cs="Arial"/>
                <w:sz w:val="16"/>
                <w:szCs w:val="16"/>
              </w:rPr>
            </w:pPr>
            <w:r w:rsidRPr="00BF41EC">
              <w:rPr>
                <w:rFonts w:cs="Arial"/>
                <w:color w:val="000000"/>
                <w:sz w:val="16"/>
                <w:szCs w:val="16"/>
              </w:rPr>
              <w:t>$390</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72FDDF43" w14:textId="06F3284B" w:rsidR="00F136AD" w:rsidRPr="00BF41EC" w:rsidRDefault="00F136AD" w:rsidP="00F136AD">
            <w:pPr>
              <w:rPr>
                <w:rFonts w:eastAsia="Arial" w:cs="Arial"/>
                <w:sz w:val="16"/>
                <w:szCs w:val="16"/>
              </w:rPr>
            </w:pPr>
            <w:r w:rsidRPr="00BF41EC">
              <w:rPr>
                <w:rFonts w:cs="Arial"/>
                <w:color w:val="000000"/>
                <w:sz w:val="16"/>
                <w:szCs w:val="16"/>
              </w:rPr>
              <w:t>per hour</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106B0B5F" w14:textId="4F5AE07E"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75A00311" w14:textId="348860C8"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4874382B"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vAlign w:val="center"/>
            <w:hideMark/>
          </w:tcPr>
          <w:p w14:paraId="7551D55D" w14:textId="77777777" w:rsidR="00F136AD" w:rsidRPr="00AF5F1F" w:rsidRDefault="00F136AD" w:rsidP="00F136AD">
            <w:pPr>
              <w:rPr>
                <w:rFonts w:eastAsia="Arial" w:cs="Arial"/>
                <w:b/>
                <w:bCs/>
                <w:sz w:val="16"/>
                <w:szCs w:val="16"/>
              </w:rPr>
            </w:pPr>
            <w:r w:rsidRPr="006E7DA0">
              <w:rPr>
                <w:rFonts w:eastAsia="Arial" w:cs="Arial"/>
                <w:b/>
                <w:bCs/>
                <w:sz w:val="16"/>
                <w:szCs w:val="16"/>
              </w:rPr>
              <w:t>Consultations, performance and other tests</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F73449F" w14:textId="5B258356" w:rsidR="00F136AD" w:rsidRPr="00B925F9"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641C8112" w14:textId="60D39A91" w:rsidR="00F136AD" w:rsidRPr="00BF41EC" w:rsidRDefault="00F136AD" w:rsidP="00F136AD">
            <w:pPr>
              <w:rPr>
                <w:rFonts w:eastAsia="Arial" w:cs="Arial"/>
                <w:sz w:val="16"/>
                <w:szCs w:val="16"/>
              </w:rPr>
            </w:pPr>
            <w:r w:rsidRPr="00BF41EC">
              <w:rPr>
                <w:rFonts w:cs="Arial"/>
                <w:color w:val="000000"/>
                <w:sz w:val="16"/>
                <w:szCs w:val="16"/>
              </w:rPr>
              <w:t>$390</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34906C4D" w14:textId="42A88C23"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23979ADE" w14:textId="57841973" w:rsidR="00F136AD" w:rsidRPr="00BF41EC" w:rsidRDefault="00F136AD" w:rsidP="00F136AD">
            <w:pPr>
              <w:rPr>
                <w:rFonts w:eastAsia="Arial" w:cs="Arial"/>
                <w:sz w:val="16"/>
                <w:szCs w:val="16"/>
              </w:rPr>
            </w:pPr>
            <w:r w:rsidRPr="00BF41EC">
              <w:rPr>
                <w:rFonts w:cs="Arial"/>
                <w:color w:val="000000"/>
                <w:sz w:val="16"/>
                <w:szCs w:val="16"/>
              </w:rPr>
              <w:t>$390</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0A1D08C6" w14:textId="52B2A62B"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6E64A68" w14:textId="7EC9C1DC" w:rsidR="00F136AD" w:rsidRPr="00BF41EC" w:rsidRDefault="00F136AD" w:rsidP="00F136AD">
            <w:pPr>
              <w:rPr>
                <w:rFonts w:eastAsia="Arial" w:cs="Arial"/>
                <w:sz w:val="16"/>
                <w:szCs w:val="16"/>
              </w:rPr>
            </w:pPr>
            <w:r w:rsidRPr="00BF41EC">
              <w:rPr>
                <w:rFonts w:cs="Arial"/>
                <w:color w:val="000000"/>
                <w:sz w:val="16"/>
                <w:szCs w:val="16"/>
              </w:rPr>
              <w:t>$390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BC12D48" w14:textId="4E37CA67" w:rsidR="00F136AD" w:rsidRPr="00BF41EC" w:rsidRDefault="00F136AD" w:rsidP="00F136AD">
            <w:pPr>
              <w:rPr>
                <w:rFonts w:eastAsia="Arial" w:cs="Arial"/>
                <w:sz w:val="16"/>
                <w:szCs w:val="16"/>
              </w:rPr>
            </w:pPr>
            <w:r w:rsidRPr="00BF41EC">
              <w:rPr>
                <w:rFonts w:cs="Arial"/>
                <w:color w:val="000000"/>
                <w:sz w:val="16"/>
                <w:szCs w:val="16"/>
              </w:rPr>
              <w:t>per hour</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CF2F128" w14:textId="756B086F"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F1A68BD" w14:textId="059234DF" w:rsidR="00F136AD" w:rsidRPr="00BF41EC" w:rsidRDefault="00F136AD" w:rsidP="00F136AD">
            <w:pPr>
              <w:rPr>
                <w:rFonts w:eastAsia="Arial" w:cs="Arial"/>
                <w:sz w:val="16"/>
                <w:szCs w:val="16"/>
              </w:rPr>
            </w:pPr>
            <w:r w:rsidRPr="00BF41EC">
              <w:rPr>
                <w:rFonts w:cs="Arial"/>
                <w:color w:val="000000"/>
                <w:sz w:val="16"/>
                <w:szCs w:val="16"/>
              </w:rPr>
              <w:t>per hour</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331195D" w14:textId="6DA8FC6B" w:rsidR="00F136AD" w:rsidRPr="00BF41EC" w:rsidRDefault="00F136AD" w:rsidP="00F136AD">
            <w:pPr>
              <w:rPr>
                <w:rFonts w:eastAsia="Arial" w:cs="Arial"/>
                <w:sz w:val="16"/>
                <w:szCs w:val="16"/>
              </w:rPr>
            </w:pPr>
            <w:r w:rsidRPr="00BF41EC">
              <w:rPr>
                <w:rFonts w:cs="Arial"/>
                <w:color w:val="000000"/>
                <w:sz w:val="16"/>
                <w:szCs w:val="16"/>
              </w:rPr>
              <w:t>$390</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6DA6E49E" w14:textId="22053E96" w:rsidR="00F136AD" w:rsidRPr="00BF41EC" w:rsidRDefault="00F136AD" w:rsidP="00F136AD">
            <w:pPr>
              <w:rPr>
                <w:rFonts w:eastAsia="Arial" w:cs="Arial"/>
                <w:sz w:val="16"/>
                <w:szCs w:val="16"/>
              </w:rPr>
            </w:pPr>
            <w:r w:rsidRPr="00BF41EC">
              <w:rPr>
                <w:rFonts w:cs="Arial"/>
                <w:color w:val="000000"/>
                <w:sz w:val="16"/>
                <w:szCs w:val="16"/>
              </w:rPr>
              <w:t>per hour</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69D6774" w14:textId="0B05EF2B" w:rsidR="00F136AD" w:rsidRPr="00BF41EC" w:rsidRDefault="00F136AD" w:rsidP="00F136AD">
            <w:pPr>
              <w:rPr>
                <w:rFonts w:eastAsia="Arial" w:cs="Arial"/>
                <w:sz w:val="16"/>
                <w:szCs w:val="16"/>
              </w:rPr>
            </w:pPr>
            <w:r w:rsidRPr="00BF41EC">
              <w:rPr>
                <w:rFonts w:cs="Arial"/>
                <w:color w:val="000000"/>
                <w:sz w:val="16"/>
                <w:szCs w:val="16"/>
              </w:rPr>
              <w:t>$390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4F968FE7" w14:textId="2359805A" w:rsidR="00F136AD" w:rsidRPr="00BF41EC" w:rsidRDefault="00F136AD" w:rsidP="00F136AD">
            <w:pPr>
              <w:rPr>
                <w:rFonts w:eastAsia="Arial" w:cs="Arial"/>
                <w:sz w:val="16"/>
                <w:szCs w:val="16"/>
              </w:rPr>
            </w:pPr>
            <w:r w:rsidRPr="00BF41EC">
              <w:rPr>
                <w:rFonts w:cs="Arial"/>
                <w:color w:val="000000"/>
                <w:sz w:val="16"/>
                <w:szCs w:val="16"/>
              </w:rPr>
              <w:t>per hour</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E1B64B0" w14:textId="2B87D924" w:rsidR="00F136AD" w:rsidRPr="00BF41EC" w:rsidRDefault="00F136AD" w:rsidP="00F136AD">
            <w:pPr>
              <w:rPr>
                <w:rFonts w:eastAsia="Arial" w:cs="Arial"/>
                <w:sz w:val="16"/>
                <w:szCs w:val="16"/>
              </w:rPr>
            </w:pPr>
            <w:r w:rsidRPr="00BF41EC">
              <w:rPr>
                <w:rFonts w:cs="Arial"/>
                <w:color w:val="000000"/>
                <w:sz w:val="16"/>
                <w:szCs w:val="16"/>
              </w:rPr>
              <w:t>$390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BF2909F" w14:textId="03594D46" w:rsidR="00F136AD" w:rsidRPr="00BF41EC" w:rsidRDefault="00F136AD" w:rsidP="00F136AD">
            <w:pPr>
              <w:rPr>
                <w:rFonts w:eastAsia="Arial" w:cs="Arial"/>
                <w:sz w:val="16"/>
                <w:szCs w:val="16"/>
              </w:rPr>
            </w:pPr>
            <w:r w:rsidRPr="00BF41EC">
              <w:rPr>
                <w:rFonts w:cs="Arial"/>
                <w:color w:val="000000"/>
                <w:sz w:val="16"/>
                <w:szCs w:val="16"/>
              </w:rPr>
              <w:t>per hour</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03A3180E" w14:textId="6739695D" w:rsidR="00F136AD" w:rsidRPr="00BF41EC" w:rsidRDefault="00F136AD" w:rsidP="00F136AD">
            <w:pPr>
              <w:rPr>
                <w:rFonts w:eastAsia="Arial" w:cs="Arial"/>
                <w:sz w:val="16"/>
                <w:szCs w:val="16"/>
              </w:rPr>
            </w:pPr>
            <w:r w:rsidRPr="00BF41EC">
              <w:rPr>
                <w:rFonts w:cs="Arial"/>
                <w:color w:val="000000"/>
                <w:sz w:val="16"/>
                <w:szCs w:val="16"/>
              </w:rPr>
              <w:t>$390</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22DE80F8" w14:textId="357BE8B5" w:rsidR="00F136AD" w:rsidRPr="00BF41EC" w:rsidRDefault="00F136AD" w:rsidP="00F136AD">
            <w:pPr>
              <w:rPr>
                <w:rFonts w:eastAsia="Arial" w:cs="Arial"/>
                <w:sz w:val="16"/>
                <w:szCs w:val="16"/>
              </w:rPr>
            </w:pPr>
            <w:r w:rsidRPr="00BF41EC">
              <w:rPr>
                <w:rFonts w:cs="Arial"/>
                <w:color w:val="000000"/>
                <w:sz w:val="16"/>
                <w:szCs w:val="16"/>
              </w:rPr>
              <w:t>per hour</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4D066031" w14:textId="790AAC0F" w:rsidR="00F136AD" w:rsidRPr="00BF41EC" w:rsidRDefault="00F136AD" w:rsidP="00F136AD">
            <w:pPr>
              <w:rPr>
                <w:rFonts w:eastAsia="Arial" w:cs="Arial"/>
                <w:sz w:val="16"/>
                <w:szCs w:val="16"/>
              </w:rPr>
            </w:pPr>
            <w:r w:rsidRPr="00BF41EC">
              <w:rPr>
                <w:rFonts w:cs="Arial"/>
                <w:color w:val="000000"/>
                <w:sz w:val="16"/>
                <w:szCs w:val="16"/>
              </w:rPr>
              <w:t>$390</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8A51730" w14:textId="7069D2CB" w:rsidR="00F136AD" w:rsidRPr="00BF41EC" w:rsidRDefault="00F136AD" w:rsidP="00F136AD">
            <w:pPr>
              <w:rPr>
                <w:rFonts w:eastAsia="Arial" w:cs="Arial"/>
                <w:sz w:val="16"/>
                <w:szCs w:val="16"/>
              </w:rPr>
            </w:pPr>
            <w:r w:rsidRPr="00BF41EC">
              <w:rPr>
                <w:rFonts w:cs="Arial"/>
                <w:color w:val="000000"/>
                <w:sz w:val="16"/>
                <w:szCs w:val="16"/>
              </w:rPr>
              <w:t>per hour</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407748AE" w14:textId="7ACE360E"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3B2C168D" w14:textId="218BFE25"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2569E2CF" w14:textId="5DAAEC8B" w:rsidR="00F136AD" w:rsidRPr="00BF41EC" w:rsidRDefault="00F136AD" w:rsidP="00F136AD">
            <w:pPr>
              <w:rPr>
                <w:rFonts w:eastAsia="Arial" w:cs="Arial"/>
                <w:sz w:val="16"/>
                <w:szCs w:val="16"/>
              </w:rPr>
            </w:pPr>
            <w:r w:rsidRPr="00BF41EC">
              <w:rPr>
                <w:rFonts w:cs="Arial"/>
                <w:color w:val="000000"/>
                <w:sz w:val="16"/>
                <w:szCs w:val="16"/>
              </w:rPr>
              <w:t>$390</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6A2EF2E4" w14:textId="49A6E83A" w:rsidR="00F136AD" w:rsidRPr="00BF41EC" w:rsidRDefault="00F136AD" w:rsidP="00F136AD">
            <w:pPr>
              <w:rPr>
                <w:rFonts w:eastAsia="Arial" w:cs="Arial"/>
                <w:sz w:val="16"/>
                <w:szCs w:val="16"/>
              </w:rPr>
            </w:pPr>
            <w:r w:rsidRPr="00BF41EC">
              <w:rPr>
                <w:rFonts w:cs="Arial"/>
                <w:color w:val="000000"/>
                <w:sz w:val="16"/>
                <w:szCs w:val="16"/>
              </w:rPr>
              <w:t>per hour</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262910E9" w14:textId="4B06A3F1" w:rsidR="00F136AD" w:rsidRPr="00BF41EC" w:rsidRDefault="00F136AD" w:rsidP="00F136AD">
            <w:pPr>
              <w:rPr>
                <w:rFonts w:eastAsia="Arial" w:cs="Arial"/>
                <w:sz w:val="16"/>
                <w:szCs w:val="16"/>
              </w:rPr>
            </w:pPr>
            <w:r w:rsidRPr="00BF41EC">
              <w:rPr>
                <w:rFonts w:cs="Arial"/>
                <w:color w:val="000000"/>
                <w:sz w:val="16"/>
                <w:szCs w:val="16"/>
              </w:rPr>
              <w:t> </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107A8CB2" w14:textId="2DC0311F" w:rsidR="00F136AD" w:rsidRPr="00BF41EC" w:rsidRDefault="00F136AD" w:rsidP="00F136AD">
            <w:pPr>
              <w:rPr>
                <w:rFonts w:eastAsia="Arial" w:cs="Arial"/>
                <w:sz w:val="16"/>
                <w:szCs w:val="16"/>
              </w:rPr>
            </w:pPr>
            <w:r w:rsidRPr="00BF41EC">
              <w:rPr>
                <w:rFonts w:cs="Arial"/>
                <w:color w:val="000000"/>
                <w:sz w:val="16"/>
                <w:szCs w:val="16"/>
              </w:rPr>
              <w:t> </w:t>
            </w:r>
          </w:p>
        </w:tc>
      </w:tr>
      <w:tr w:rsidR="00F136AD" w:rsidRPr="00B925F9" w14:paraId="150358A8"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noWrap/>
            <w:vAlign w:val="center"/>
            <w:hideMark/>
          </w:tcPr>
          <w:p w14:paraId="2D9BA99B" w14:textId="77777777" w:rsidR="00F136AD" w:rsidRPr="00AF5F1F" w:rsidRDefault="00F136AD" w:rsidP="00F136AD">
            <w:pPr>
              <w:rPr>
                <w:rFonts w:eastAsia="Arial" w:cs="Arial"/>
                <w:b/>
                <w:bCs/>
                <w:sz w:val="16"/>
                <w:szCs w:val="16"/>
              </w:rPr>
            </w:pPr>
            <w:r w:rsidRPr="006E7DA0">
              <w:rPr>
                <w:rFonts w:eastAsia="Arial" w:cs="Arial"/>
                <w:b/>
                <w:bCs/>
                <w:sz w:val="16"/>
                <w:szCs w:val="16"/>
              </w:rPr>
              <w:t>Large load cell facility (capacity 600 kg to 50 000 kg)</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7C66CEF" w14:textId="7BF3A5F5" w:rsidR="00F136AD" w:rsidRPr="00B925F9"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224DED8F" w14:textId="645A0128"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229F4D89" w14:textId="3ABE7FEC"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46E384A" w14:textId="29F17662"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23725F94" w14:textId="4602F8EA"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5C96B6E" w14:textId="496D9420"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B2B63C8" w14:textId="0852CBE8"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A9FBD35" w14:textId="24E142ED"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D2A7405" w14:textId="280AFC2D"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0B1AE86" w14:textId="65C24CE8"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5B8101D3" w14:textId="1C5E1C30"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F2FEFDD" w14:textId="0E88FC5E"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6D11E6EC" w14:textId="7C91F554"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2D4CC77" w14:textId="1BA53A6C"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8B4DE41" w14:textId="3403E432"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6DBF221A" w14:textId="48B7D5FA"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588C2C04" w14:textId="2D972C94"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148176F0" w14:textId="65238255"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5BC94BA" w14:textId="602AF6A4"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6EA27E9B" w14:textId="4A3C6E08"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6ADFF4BF" w14:textId="002C8E9C"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2CBD27B8" w14:textId="4E026DF1"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6FA979B5" w14:textId="1CDC2A6B"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53AF19FA" w14:textId="729750FA" w:rsidR="00F136AD" w:rsidRPr="00BF41EC" w:rsidRDefault="00F136AD" w:rsidP="008D6983">
            <w:pPr>
              <w:rPr>
                <w:rFonts w:eastAsia="Arial" w:cs="Arial"/>
                <w:sz w:val="16"/>
                <w:szCs w:val="16"/>
              </w:rPr>
            </w:pPr>
            <w:r w:rsidRPr="00BF41EC">
              <w:rPr>
                <w:rFonts w:cs="Arial"/>
                <w:color w:val="000000"/>
                <w:sz w:val="16"/>
                <w:szCs w:val="16"/>
              </w:rPr>
              <w:t>$20</w:t>
            </w:r>
            <w:r w:rsidR="008D6983">
              <w:rPr>
                <w:rFonts w:cs="Arial"/>
                <w:color w:val="000000"/>
                <w:sz w:val="16"/>
                <w:szCs w:val="16"/>
              </w:rPr>
              <w:t>4</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7F846428" w14:textId="1AC9FA91" w:rsidR="00F136AD" w:rsidRPr="00BF41EC" w:rsidRDefault="00F136AD" w:rsidP="00F136AD">
            <w:pPr>
              <w:rPr>
                <w:rFonts w:eastAsia="Arial" w:cs="Arial"/>
                <w:sz w:val="16"/>
                <w:szCs w:val="16"/>
              </w:rPr>
            </w:pPr>
            <w:r w:rsidRPr="00BF41EC">
              <w:rPr>
                <w:rFonts w:cs="Arial"/>
                <w:color w:val="000000"/>
                <w:sz w:val="16"/>
                <w:szCs w:val="16"/>
              </w:rPr>
              <w:t>per hour</w:t>
            </w:r>
          </w:p>
        </w:tc>
      </w:tr>
      <w:tr w:rsidR="00F136AD" w:rsidRPr="00B925F9" w14:paraId="7C1C7D2F"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noWrap/>
            <w:vAlign w:val="center"/>
            <w:hideMark/>
          </w:tcPr>
          <w:p w14:paraId="3C6CDDE7" w14:textId="77777777" w:rsidR="00F136AD" w:rsidRPr="00AF5F1F" w:rsidRDefault="00F136AD" w:rsidP="00F136AD">
            <w:pPr>
              <w:rPr>
                <w:rFonts w:eastAsia="Arial" w:cs="Arial"/>
                <w:b/>
                <w:bCs/>
                <w:sz w:val="16"/>
                <w:szCs w:val="16"/>
              </w:rPr>
            </w:pPr>
            <w:r w:rsidRPr="006E7DA0">
              <w:rPr>
                <w:rFonts w:eastAsia="Arial" w:cs="Arial"/>
                <w:b/>
                <w:bCs/>
                <w:sz w:val="16"/>
                <w:szCs w:val="16"/>
              </w:rPr>
              <w:t>Small load cell facility (capacity 50 kg to 500 kg)</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789BB96" w14:textId="4605D98C" w:rsidR="00F136AD" w:rsidRPr="00B925F9"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39EE4D13" w14:textId="41EA08FE"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060F94BE" w14:textId="0A3F87DE"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EC9F167" w14:textId="7AF25F58"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443EAE9F" w14:textId="2DC50C26"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3BDD810" w14:textId="0EC31A5E"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516B089" w14:textId="75B273CF"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27F3FA1" w14:textId="78EF50BF"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6B8BE63" w14:textId="78002F1D"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86C8699" w14:textId="707A96AD"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767482FB" w14:textId="78BDD64B"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6ED1CA7F" w14:textId="299AE163"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015258F6" w14:textId="6E0C391F"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F2B7B5B" w14:textId="03FB35AC"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2282F6B" w14:textId="513CCCFE"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6AB00D9C" w14:textId="6C95A1D5"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7F070F88" w14:textId="7A423564"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4CEBC9E5" w14:textId="0679F49A"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CAD28D7" w14:textId="719EFF00"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6A0480FE" w14:textId="3182E621"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49D575A7" w14:textId="324E6C35"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1D0F584B" w14:textId="7DB65BED"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70BAF9CE" w14:textId="69ACC2B8"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500E3564" w14:textId="3BB6ADFF" w:rsidR="00F136AD" w:rsidRPr="00BF41EC" w:rsidRDefault="00F136AD" w:rsidP="00F136AD">
            <w:pPr>
              <w:rPr>
                <w:rFonts w:eastAsia="Arial" w:cs="Arial"/>
                <w:sz w:val="16"/>
                <w:szCs w:val="16"/>
              </w:rPr>
            </w:pPr>
            <w:r w:rsidRPr="00BF41EC">
              <w:rPr>
                <w:rFonts w:cs="Arial"/>
                <w:color w:val="000000"/>
                <w:sz w:val="16"/>
                <w:szCs w:val="16"/>
              </w:rPr>
              <w:t>$154</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4C232A59" w14:textId="6224B6A8" w:rsidR="00F136AD" w:rsidRPr="00BF41EC" w:rsidRDefault="00F136AD" w:rsidP="00F136AD">
            <w:pPr>
              <w:rPr>
                <w:rFonts w:eastAsia="Arial" w:cs="Arial"/>
                <w:sz w:val="16"/>
                <w:szCs w:val="16"/>
              </w:rPr>
            </w:pPr>
            <w:r w:rsidRPr="00BF41EC">
              <w:rPr>
                <w:rFonts w:cs="Arial"/>
                <w:color w:val="000000"/>
                <w:sz w:val="16"/>
                <w:szCs w:val="16"/>
              </w:rPr>
              <w:t>per hour</w:t>
            </w:r>
          </w:p>
        </w:tc>
      </w:tr>
      <w:tr w:rsidR="00F136AD" w:rsidRPr="00B925F9" w14:paraId="0EA7D3E8"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noWrap/>
            <w:vAlign w:val="center"/>
            <w:hideMark/>
          </w:tcPr>
          <w:p w14:paraId="6BFB60A5" w14:textId="77777777" w:rsidR="00F136AD" w:rsidRPr="006E7DA0" w:rsidRDefault="00F136AD" w:rsidP="00F136AD">
            <w:pPr>
              <w:rPr>
                <w:rFonts w:eastAsia="Arial" w:cs="Arial"/>
                <w:b/>
                <w:bCs/>
                <w:sz w:val="16"/>
                <w:szCs w:val="16"/>
              </w:rPr>
            </w:pPr>
            <w:r w:rsidRPr="006E7DA0">
              <w:rPr>
                <w:rFonts w:eastAsia="Arial" w:cs="Arial"/>
                <w:b/>
                <w:bCs/>
                <w:sz w:val="16"/>
                <w:szCs w:val="16"/>
              </w:rPr>
              <w:t>Liquid hydrocarbons test facility</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5B77B6D" w14:textId="28C12E53"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0B06C437" w14:textId="13CAC5E1"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1DA22DA0" w14:textId="19F4DF13"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71BD1D14" w14:textId="4ADC5D7C"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7F116CD1" w14:textId="7C989A3E"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A888523" w14:textId="249B3601"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2686941" w14:textId="77AF0EEB"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A9ABEC7" w14:textId="4AA75D03"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D959BCD" w14:textId="797AB054"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86FA90" w14:textId="01449D54"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08474028" w14:textId="7B65C9F2"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074E9D7" w14:textId="4C9267E2"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103BB680" w14:textId="777F72A9"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DD4F45C" w14:textId="1FA25382"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AF5F8A" w14:textId="595515D1"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5BF0FD1C" w14:textId="2AD76AFE"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472AFC0E" w14:textId="4CCA708D"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5714799B" w14:textId="54A3EFF2"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78A04F4" w14:textId="13566F57"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14ECCFB9" w14:textId="16DFF4F0"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5BE99FD5" w14:textId="124370CE"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2CA58DFD" w14:textId="25AB612A"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6644F40E" w14:textId="3C9BE536"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7E53B26C" w14:textId="14571271" w:rsidR="00F136AD" w:rsidRPr="00BF41EC" w:rsidRDefault="00F136AD" w:rsidP="00F136AD">
            <w:pPr>
              <w:rPr>
                <w:rFonts w:eastAsia="Arial" w:cs="Arial"/>
                <w:sz w:val="16"/>
                <w:szCs w:val="16"/>
              </w:rPr>
            </w:pPr>
            <w:r w:rsidRPr="00BF41EC">
              <w:rPr>
                <w:rFonts w:cs="Arial"/>
                <w:color w:val="000000"/>
                <w:sz w:val="16"/>
                <w:szCs w:val="16"/>
              </w:rPr>
              <w:t>$364</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6BF0C44E" w14:textId="0A500071" w:rsidR="00F136AD" w:rsidRPr="00BF41EC" w:rsidRDefault="00F136AD" w:rsidP="00F136AD">
            <w:pPr>
              <w:rPr>
                <w:rFonts w:eastAsia="Arial" w:cs="Arial"/>
                <w:sz w:val="16"/>
                <w:szCs w:val="16"/>
              </w:rPr>
            </w:pPr>
            <w:r w:rsidRPr="00BF41EC">
              <w:rPr>
                <w:rFonts w:cs="Arial"/>
                <w:color w:val="000000"/>
                <w:sz w:val="16"/>
                <w:szCs w:val="16"/>
              </w:rPr>
              <w:t>per hour</w:t>
            </w:r>
          </w:p>
        </w:tc>
      </w:tr>
      <w:tr w:rsidR="00F136AD" w:rsidRPr="00B925F9" w14:paraId="4A4F7F9F"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noWrap/>
            <w:vAlign w:val="center"/>
            <w:hideMark/>
          </w:tcPr>
          <w:p w14:paraId="57793097" w14:textId="77777777" w:rsidR="00F136AD" w:rsidRPr="00AF5F1F" w:rsidRDefault="00F136AD" w:rsidP="00F136AD">
            <w:pPr>
              <w:rPr>
                <w:rFonts w:eastAsia="Arial" w:cs="Arial"/>
                <w:b/>
                <w:bCs/>
                <w:sz w:val="16"/>
                <w:szCs w:val="16"/>
              </w:rPr>
            </w:pPr>
            <w:r w:rsidRPr="006E7DA0">
              <w:rPr>
                <w:rFonts w:eastAsia="Arial" w:cs="Arial"/>
                <w:b/>
                <w:bCs/>
                <w:sz w:val="16"/>
                <w:szCs w:val="16"/>
              </w:rPr>
              <w:t>Liquefied petroleum gas test facility</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F49EB5E" w14:textId="0C002D05" w:rsidR="00F136AD" w:rsidRPr="00B925F9"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31D75F2C" w14:textId="046D5EF6"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2E6AF5A6" w14:textId="2F32AC67"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85EB2E7" w14:textId="73B03E5E"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44021A57" w14:textId="2F02B2F1"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FB94DF4" w14:textId="74BE2F02"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2F05505" w14:textId="0767CC6C"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8FA7050" w14:textId="63648843"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AB3A28D" w14:textId="168A04BC"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86FCDDF" w14:textId="1DD34014"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1439A4E7" w14:textId="66B68590"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0277F0F0" w14:textId="35D21109"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4E62D172" w14:textId="11A9E1F6"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009ED57" w14:textId="03D8BD6F"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7E2F4CD" w14:textId="594F655A"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38D64047" w14:textId="77D8FC59"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0E6CBB8A" w14:textId="2A148836"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7C634524" w14:textId="3454F9BA"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7607622" w14:textId="1A13300C"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1AA0BA2A" w14:textId="0DF9064F"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23129F7F" w14:textId="639B65F3"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1C7D947E" w14:textId="172EFFBA"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18B678F2" w14:textId="26B8B12B"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2B4AA738" w14:textId="1EBF065F" w:rsidR="00F136AD" w:rsidRPr="00BF41EC" w:rsidRDefault="00F136AD" w:rsidP="00F136AD">
            <w:pPr>
              <w:rPr>
                <w:rFonts w:eastAsia="Arial" w:cs="Arial"/>
                <w:sz w:val="16"/>
                <w:szCs w:val="16"/>
              </w:rPr>
            </w:pPr>
            <w:r w:rsidRPr="00BF41EC">
              <w:rPr>
                <w:rFonts w:cs="Arial"/>
                <w:color w:val="000000"/>
                <w:sz w:val="16"/>
                <w:szCs w:val="16"/>
              </w:rPr>
              <w:t>$364</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69FDD7DF" w14:textId="1A9E4079" w:rsidR="00F136AD" w:rsidRPr="00BF41EC" w:rsidRDefault="00F136AD" w:rsidP="00F136AD">
            <w:pPr>
              <w:rPr>
                <w:rFonts w:eastAsia="Arial" w:cs="Arial"/>
                <w:sz w:val="16"/>
                <w:szCs w:val="16"/>
              </w:rPr>
            </w:pPr>
            <w:r w:rsidRPr="00BF41EC">
              <w:rPr>
                <w:rFonts w:cs="Arial"/>
                <w:color w:val="000000"/>
                <w:sz w:val="16"/>
                <w:szCs w:val="16"/>
              </w:rPr>
              <w:t>per hour</w:t>
            </w:r>
          </w:p>
        </w:tc>
      </w:tr>
      <w:tr w:rsidR="00F136AD" w:rsidRPr="00B925F9" w14:paraId="6C632F3A"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noWrap/>
            <w:vAlign w:val="center"/>
            <w:hideMark/>
          </w:tcPr>
          <w:p w14:paraId="66DFC908" w14:textId="77777777" w:rsidR="00F136AD" w:rsidRPr="00AF5F1F" w:rsidRDefault="00F136AD" w:rsidP="00F136AD">
            <w:pPr>
              <w:rPr>
                <w:rFonts w:eastAsia="Arial" w:cs="Arial"/>
                <w:b/>
                <w:bCs/>
                <w:sz w:val="16"/>
                <w:szCs w:val="16"/>
              </w:rPr>
            </w:pPr>
            <w:r w:rsidRPr="006E7DA0">
              <w:rPr>
                <w:rFonts w:eastAsia="Arial" w:cs="Arial"/>
                <w:b/>
                <w:bCs/>
                <w:sz w:val="16"/>
                <w:szCs w:val="16"/>
              </w:rPr>
              <w:t>Compresses natural gas test facility</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23022AE" w14:textId="5C043365" w:rsidR="00F136AD" w:rsidRPr="00B925F9"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7BAF40D4" w14:textId="08F13113"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0D56FA22" w14:textId="6623B83E"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CC69A3B" w14:textId="1647179B"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4A17A5E5" w14:textId="6E3DC3AE"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08442194" w14:textId="6A450E4A"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8C8E702" w14:textId="6089BC0A"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E531311" w14:textId="50AFA24D"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40F36C3" w14:textId="748AA29C"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B4AA88" w14:textId="16017629"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0BFF1F7E" w14:textId="22724A3F"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567D075" w14:textId="6006B67F"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0AB4EE60" w14:textId="56487A8D"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A29927E" w14:textId="482A75EA"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7E5DFC4" w14:textId="67E81465"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18C61C93" w14:textId="767E12BE"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0342F9FD" w14:textId="2C261106"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3B7D166F" w14:textId="6C365369"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8D26AA8" w14:textId="33EE26B5"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4B5280B4" w14:textId="597AE5F5"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372052C8" w14:textId="332DDE53"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6E1490E1" w14:textId="62B72E38"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2606F9DB" w14:textId="2C18BD1C"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74AC129C" w14:textId="5BD13EB8" w:rsidR="00F136AD" w:rsidRPr="00BF41EC" w:rsidRDefault="00F136AD" w:rsidP="00F136AD">
            <w:pPr>
              <w:rPr>
                <w:rFonts w:eastAsia="Arial" w:cs="Arial"/>
                <w:sz w:val="16"/>
                <w:szCs w:val="16"/>
              </w:rPr>
            </w:pPr>
            <w:r w:rsidRPr="00BF41EC">
              <w:rPr>
                <w:rFonts w:cs="Arial"/>
                <w:color w:val="000000"/>
                <w:sz w:val="16"/>
                <w:szCs w:val="16"/>
              </w:rPr>
              <w:t>$364</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0852D287" w14:textId="5112A586" w:rsidR="00F136AD" w:rsidRPr="00BF41EC" w:rsidRDefault="00F136AD" w:rsidP="00F136AD">
            <w:pPr>
              <w:rPr>
                <w:rFonts w:eastAsia="Arial" w:cs="Arial"/>
                <w:sz w:val="16"/>
                <w:szCs w:val="16"/>
              </w:rPr>
            </w:pPr>
            <w:r w:rsidRPr="00BF41EC">
              <w:rPr>
                <w:rFonts w:cs="Arial"/>
                <w:color w:val="000000"/>
                <w:sz w:val="16"/>
                <w:szCs w:val="16"/>
              </w:rPr>
              <w:t>per hour</w:t>
            </w:r>
          </w:p>
        </w:tc>
      </w:tr>
      <w:tr w:rsidR="00F136AD" w:rsidRPr="00B925F9" w14:paraId="4D39AD4C"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noWrap/>
            <w:vAlign w:val="center"/>
            <w:hideMark/>
          </w:tcPr>
          <w:p w14:paraId="3417A807" w14:textId="77777777" w:rsidR="00F136AD" w:rsidRPr="006E7DA0" w:rsidRDefault="00F136AD" w:rsidP="00F136AD">
            <w:pPr>
              <w:rPr>
                <w:rFonts w:eastAsia="Arial" w:cs="Arial"/>
                <w:b/>
                <w:bCs/>
                <w:sz w:val="16"/>
                <w:szCs w:val="16"/>
              </w:rPr>
            </w:pPr>
            <w:r w:rsidRPr="006E7DA0">
              <w:rPr>
                <w:rFonts w:eastAsia="Arial" w:cs="Arial"/>
                <w:b/>
                <w:bCs/>
                <w:sz w:val="16"/>
                <w:szCs w:val="16"/>
              </w:rPr>
              <w:t>Temperature controlled chamber</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A95D403" w14:textId="41C4C30D"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30F324CC" w14:textId="61E24BD6"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7AD7784D" w14:textId="0AC0957F"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72F2C24" w14:textId="76CB5762"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27BD38D2" w14:textId="5DA6778D"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21399EAB" w14:textId="39404996"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A88B973" w14:textId="16609C92"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A3F3484" w14:textId="62C2CD35"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5CE6738" w14:textId="5AEEB1A4"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A5AC32E" w14:textId="37B0B63A"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36FEB4DF" w14:textId="1DDE0CDB"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646D9DD6" w14:textId="12FBE2C5"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5C4CF7E0" w14:textId="3D7330E3"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FCE441D" w14:textId="09BA5A99"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17CA0C" w14:textId="1F726F12"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66AF336E" w14:textId="39478116"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6A54F393" w14:textId="591A2957"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58114ED4" w14:textId="2B7BE741"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B0A0198" w14:textId="4300B447"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39EBF13F" w14:textId="5DBDBDBA"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2B92CD3D" w14:textId="3727D913"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39D85E59" w14:textId="634BE6C4"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3CA85738" w14:textId="5837F78B"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2126E5D9" w14:textId="32EA414C" w:rsidR="00F136AD" w:rsidRPr="00BF41EC" w:rsidRDefault="00F136AD" w:rsidP="008D6983">
            <w:pPr>
              <w:rPr>
                <w:rFonts w:eastAsia="Arial" w:cs="Arial"/>
                <w:sz w:val="16"/>
                <w:szCs w:val="16"/>
              </w:rPr>
            </w:pPr>
            <w:r w:rsidRPr="00BF41EC">
              <w:rPr>
                <w:rFonts w:cs="Arial"/>
                <w:color w:val="000000"/>
                <w:sz w:val="16"/>
                <w:szCs w:val="16"/>
              </w:rPr>
              <w:t>$16</w:t>
            </w:r>
            <w:r w:rsidR="008D6983">
              <w:rPr>
                <w:rFonts w:cs="Arial"/>
                <w:color w:val="000000"/>
                <w:sz w:val="16"/>
                <w:szCs w:val="16"/>
              </w:rPr>
              <w:t>6</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6C4C7BE3" w14:textId="437A87E2" w:rsidR="00F136AD" w:rsidRPr="00BF41EC" w:rsidRDefault="00F136AD" w:rsidP="00F136AD">
            <w:pPr>
              <w:rPr>
                <w:rFonts w:eastAsia="Arial" w:cs="Arial"/>
                <w:sz w:val="16"/>
                <w:szCs w:val="16"/>
              </w:rPr>
            </w:pPr>
            <w:r w:rsidRPr="00BF41EC">
              <w:rPr>
                <w:rFonts w:cs="Arial"/>
                <w:color w:val="000000"/>
                <w:sz w:val="16"/>
                <w:szCs w:val="16"/>
              </w:rPr>
              <w:t>per hour</w:t>
            </w:r>
          </w:p>
        </w:tc>
      </w:tr>
      <w:tr w:rsidR="00F136AD" w:rsidRPr="00B925F9" w14:paraId="5EF88E41"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noWrap/>
            <w:vAlign w:val="center"/>
            <w:hideMark/>
          </w:tcPr>
          <w:p w14:paraId="38BA23F0" w14:textId="77777777" w:rsidR="00F136AD" w:rsidRPr="006E7DA0" w:rsidRDefault="00F136AD" w:rsidP="00F136AD">
            <w:pPr>
              <w:rPr>
                <w:rFonts w:eastAsia="Arial" w:cs="Arial"/>
                <w:b/>
                <w:bCs/>
                <w:sz w:val="16"/>
                <w:szCs w:val="16"/>
              </w:rPr>
            </w:pPr>
            <w:r w:rsidRPr="006E7DA0">
              <w:rPr>
                <w:rFonts w:eastAsia="Arial" w:cs="Arial"/>
                <w:b/>
                <w:bCs/>
                <w:sz w:val="16"/>
                <w:szCs w:val="16"/>
              </w:rPr>
              <w:t>Humidity test chamber</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801742B" w14:textId="6E0FA9AC"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4AD2887C" w14:textId="15299E1B"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09CAE859" w14:textId="246A43BF"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8405601" w14:textId="2786A3D1"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67303CA0" w14:textId="0FDC41F9"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092C547" w14:textId="7649D30C"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59A717FF" w14:textId="6E06FE63"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A507E5B" w14:textId="22766C22"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D0C5866" w14:textId="2AE8833A"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DA83E42" w14:textId="359D54AE"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1A6957E6" w14:textId="26DE2015"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565DD7F0" w14:textId="307C5F87"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6931F3AB" w14:textId="22062105"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C5DCD06" w14:textId="4CE5E023"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58F3A37" w14:textId="598E9552"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12B9446C" w14:textId="72F0322B"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6882A133" w14:textId="34644C55"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766F03AE" w14:textId="22123456"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BED2878" w14:textId="4120E012"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7436399D" w14:textId="455D468F"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5F4D3AD0" w14:textId="19FEB8F6"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30D6244A" w14:textId="1AA66721"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223B05D9" w14:textId="304CC4AB"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4D5C1CF0" w14:textId="02359264" w:rsidR="00F136AD" w:rsidRPr="00BF41EC" w:rsidRDefault="00F136AD" w:rsidP="00F136AD">
            <w:pPr>
              <w:rPr>
                <w:rFonts w:eastAsia="Arial" w:cs="Arial"/>
                <w:sz w:val="16"/>
                <w:szCs w:val="16"/>
              </w:rPr>
            </w:pPr>
            <w:r w:rsidRPr="00BF41EC">
              <w:rPr>
                <w:rFonts w:cs="Arial"/>
                <w:color w:val="000000"/>
                <w:sz w:val="16"/>
                <w:szCs w:val="16"/>
              </w:rPr>
              <w:t>$192</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61CF0B7C" w14:textId="44A6C130" w:rsidR="00F136AD" w:rsidRPr="00BF41EC" w:rsidRDefault="00F136AD" w:rsidP="00F136AD">
            <w:pPr>
              <w:rPr>
                <w:rFonts w:eastAsia="Arial" w:cs="Arial"/>
                <w:sz w:val="16"/>
                <w:szCs w:val="16"/>
              </w:rPr>
            </w:pPr>
            <w:r w:rsidRPr="00BF41EC">
              <w:rPr>
                <w:rFonts w:cs="Arial"/>
                <w:color w:val="000000"/>
                <w:sz w:val="16"/>
                <w:szCs w:val="16"/>
              </w:rPr>
              <w:t>per hour</w:t>
            </w:r>
          </w:p>
        </w:tc>
      </w:tr>
      <w:tr w:rsidR="00F136AD" w:rsidRPr="00B925F9" w14:paraId="569273E3"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noWrap/>
            <w:vAlign w:val="center"/>
            <w:hideMark/>
          </w:tcPr>
          <w:p w14:paraId="00763746" w14:textId="77777777" w:rsidR="00F136AD" w:rsidRPr="006E7DA0" w:rsidRDefault="00F136AD" w:rsidP="00F136AD">
            <w:pPr>
              <w:rPr>
                <w:rFonts w:eastAsia="Arial" w:cs="Arial"/>
                <w:b/>
                <w:bCs/>
                <w:sz w:val="16"/>
                <w:szCs w:val="16"/>
              </w:rPr>
            </w:pPr>
            <w:r w:rsidRPr="006E7DA0">
              <w:rPr>
                <w:rFonts w:eastAsia="Arial" w:cs="Arial"/>
                <w:b/>
                <w:bCs/>
                <w:sz w:val="16"/>
                <w:szCs w:val="16"/>
              </w:rPr>
              <w:t>Reliability test equipment</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2331BDF" w14:textId="0690AF93" w:rsidR="00F136AD" w:rsidRPr="00AF5F1F"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0DC110A2" w14:textId="6AFC3987"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42A7D4E4" w14:textId="1E0080FD"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B9F17F4" w14:textId="6FDEAC09"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6166BF69" w14:textId="1CFDCFEB"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DC9FBD5" w14:textId="322ED42E"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8CEE84F" w14:textId="04CD4CC5"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4B2CE95" w14:textId="4778808F"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AABE03A" w14:textId="1EA1E073"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EC5F075" w14:textId="174232C5"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5AA674BF" w14:textId="2E4E2834"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ED99EBA" w14:textId="66B26CF4"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3DAB0928" w14:textId="41E0CB83"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58B1739" w14:textId="6A627876"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406E1CA" w14:textId="42DE28D1"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3710D46E" w14:textId="6608A6CD"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1BB255D5" w14:textId="4F973931"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23938600" w14:textId="1D88D11C"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D887BA0" w14:textId="17A35214"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27FB89DC" w14:textId="161C8A8B"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77E48393" w14:textId="54138E5F"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1498A99F" w14:textId="5E6B8A1B"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3FAFFF1F" w14:textId="740A89C3"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5DDB113E" w14:textId="551B2236" w:rsidR="00F136AD" w:rsidRPr="00BF41EC" w:rsidRDefault="00F136AD" w:rsidP="00F136AD">
            <w:pPr>
              <w:rPr>
                <w:rFonts w:eastAsia="Arial" w:cs="Arial"/>
                <w:sz w:val="16"/>
                <w:szCs w:val="16"/>
              </w:rPr>
            </w:pPr>
            <w:r w:rsidRPr="00BF41EC">
              <w:rPr>
                <w:rFonts w:cs="Arial"/>
                <w:color w:val="000000"/>
                <w:sz w:val="16"/>
                <w:szCs w:val="16"/>
              </w:rPr>
              <w:t>$154</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38314E37" w14:textId="4890DA86" w:rsidR="00F136AD" w:rsidRPr="00BF41EC" w:rsidRDefault="00F136AD" w:rsidP="00F136AD">
            <w:pPr>
              <w:rPr>
                <w:rFonts w:eastAsia="Arial" w:cs="Arial"/>
                <w:sz w:val="16"/>
                <w:szCs w:val="16"/>
              </w:rPr>
            </w:pPr>
            <w:r w:rsidRPr="00BF41EC">
              <w:rPr>
                <w:rFonts w:cs="Arial"/>
                <w:color w:val="000000"/>
                <w:sz w:val="16"/>
                <w:szCs w:val="16"/>
              </w:rPr>
              <w:t>per hour</w:t>
            </w:r>
          </w:p>
        </w:tc>
      </w:tr>
      <w:tr w:rsidR="00F136AD" w:rsidRPr="00B925F9" w14:paraId="1A5F3492"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noWrap/>
            <w:vAlign w:val="center"/>
            <w:hideMark/>
          </w:tcPr>
          <w:p w14:paraId="4B74B87C" w14:textId="77777777" w:rsidR="00F136AD" w:rsidRPr="00AF5F1F" w:rsidRDefault="00F136AD" w:rsidP="00F136AD">
            <w:pPr>
              <w:rPr>
                <w:rFonts w:eastAsia="Arial" w:cs="Arial"/>
                <w:b/>
                <w:bCs/>
                <w:sz w:val="16"/>
                <w:szCs w:val="16"/>
              </w:rPr>
            </w:pPr>
            <w:r w:rsidRPr="006E7DA0">
              <w:rPr>
                <w:rFonts w:eastAsia="Arial" w:cs="Arial"/>
                <w:b/>
                <w:bCs/>
                <w:sz w:val="16"/>
                <w:szCs w:val="16"/>
              </w:rPr>
              <w:t>Line-borne interference test equipment</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7D651E6" w14:textId="3C3B357A" w:rsidR="00F136AD" w:rsidRPr="00B925F9"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5410D120" w14:textId="6D235CF0"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24339A09" w14:textId="2F8C8D18"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6AA903D7" w14:textId="2C815560"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71052E43" w14:textId="55A0F9E7"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6ECCB467" w14:textId="648C3AA4"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E31BB32" w14:textId="499D4631"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4E736AC" w14:textId="14022738"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5291F3B" w14:textId="7978FB6C"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59FDD7F" w14:textId="3F684729"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31011A6B" w14:textId="7FA6B322"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25F4714" w14:textId="75F2E2EC"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6C367353" w14:textId="34BC1CE6"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FF325AB" w14:textId="2A7D393A"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DF90E54" w14:textId="77424937"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46A77412" w14:textId="21BF0188"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211CC24A" w14:textId="2412F7EB"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67564C00" w14:textId="36B54ECE"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4AE81E6" w14:textId="753DD790"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65BA55F4" w14:textId="3783C62E"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38806628" w14:textId="786B974C"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30DBD151" w14:textId="3583652D"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7BF9E085" w14:textId="3830429F"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3C275530" w14:textId="6CB9E8CE" w:rsidR="00F136AD" w:rsidRPr="00BF41EC" w:rsidRDefault="00F136AD" w:rsidP="008D6983">
            <w:pPr>
              <w:rPr>
                <w:rFonts w:eastAsia="Arial" w:cs="Arial"/>
                <w:sz w:val="16"/>
                <w:szCs w:val="16"/>
              </w:rPr>
            </w:pPr>
            <w:r w:rsidRPr="00BF41EC">
              <w:rPr>
                <w:rFonts w:cs="Arial"/>
                <w:color w:val="000000"/>
                <w:sz w:val="16"/>
                <w:szCs w:val="16"/>
              </w:rPr>
              <w:t>$16</w:t>
            </w:r>
            <w:r w:rsidR="008D6983">
              <w:rPr>
                <w:rFonts w:cs="Arial"/>
                <w:color w:val="000000"/>
                <w:sz w:val="16"/>
                <w:szCs w:val="16"/>
              </w:rPr>
              <w:t>6</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4BFBEA7A" w14:textId="6DE4629F" w:rsidR="00F136AD" w:rsidRPr="00BF41EC" w:rsidRDefault="00F136AD" w:rsidP="00F136AD">
            <w:pPr>
              <w:rPr>
                <w:rFonts w:eastAsia="Arial" w:cs="Arial"/>
                <w:sz w:val="16"/>
                <w:szCs w:val="16"/>
              </w:rPr>
            </w:pPr>
            <w:r w:rsidRPr="00BF41EC">
              <w:rPr>
                <w:rFonts w:cs="Arial"/>
                <w:color w:val="000000"/>
                <w:sz w:val="16"/>
                <w:szCs w:val="16"/>
              </w:rPr>
              <w:t>per hour</w:t>
            </w:r>
          </w:p>
        </w:tc>
      </w:tr>
      <w:tr w:rsidR="00F136AD" w:rsidRPr="00B925F9" w14:paraId="7116D1AD"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noWrap/>
            <w:vAlign w:val="center"/>
            <w:hideMark/>
          </w:tcPr>
          <w:p w14:paraId="51708E3E" w14:textId="77777777" w:rsidR="00F136AD" w:rsidRPr="00AF5F1F" w:rsidRDefault="00F136AD" w:rsidP="00F136AD">
            <w:pPr>
              <w:rPr>
                <w:rFonts w:eastAsia="Arial" w:cs="Arial"/>
                <w:b/>
                <w:bCs/>
                <w:sz w:val="16"/>
                <w:szCs w:val="16"/>
              </w:rPr>
            </w:pPr>
            <w:r w:rsidRPr="006E7DA0">
              <w:rPr>
                <w:rFonts w:eastAsia="Arial" w:cs="Arial"/>
                <w:b/>
                <w:bCs/>
                <w:sz w:val="16"/>
                <w:szCs w:val="16"/>
              </w:rPr>
              <w:t>Electromagnetic susceptibility test chamber</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60DCC1E" w14:textId="4B7093D7" w:rsidR="00F136AD" w:rsidRPr="00B925F9"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3A5C94CF" w14:textId="6CCF851B"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0CC590FC" w14:textId="53DFB399"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257C77A" w14:textId="588A3336"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4C8C4213" w14:textId="289D1BAD"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3BCFB9EE" w14:textId="3ADF812B"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B1CAFEF" w14:textId="4707DF0B"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69640D0" w14:textId="0A44B2A1"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412EFF" w14:textId="01F99888"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8B4D8C2" w14:textId="178F6078"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2CEC6870" w14:textId="0116A3DF"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046F61FD" w14:textId="036B5753"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400EDD75" w14:textId="082B7EF2"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52B456" w14:textId="48F7D449"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0DD1120" w14:textId="674AA2CF"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5BE6AFD9" w14:textId="1259379F"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3BF4ECA7" w14:textId="333FC1FF"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3E278DD2" w14:textId="5BAEF47C"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E789240" w14:textId="57184A77"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428F5660" w14:textId="0C3BF62F"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0FF17266" w14:textId="4C4A9B54"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3CBE7E82" w14:textId="5C8FF9FC"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730817B1" w14:textId="404A1F04"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1881D2AC" w14:textId="07EE6F01" w:rsidR="00F136AD" w:rsidRPr="00BF41EC" w:rsidRDefault="00F136AD" w:rsidP="008D6983">
            <w:pPr>
              <w:rPr>
                <w:rFonts w:eastAsia="Arial" w:cs="Arial"/>
                <w:sz w:val="16"/>
                <w:szCs w:val="16"/>
              </w:rPr>
            </w:pPr>
            <w:r w:rsidRPr="00BF41EC">
              <w:rPr>
                <w:rFonts w:cs="Arial"/>
                <w:color w:val="000000"/>
                <w:sz w:val="16"/>
                <w:szCs w:val="16"/>
              </w:rPr>
              <w:t>$46</w:t>
            </w:r>
            <w:r w:rsidR="008D6983">
              <w:rPr>
                <w:rFonts w:cs="Arial"/>
                <w:color w:val="000000"/>
                <w:sz w:val="16"/>
                <w:szCs w:val="16"/>
              </w:rPr>
              <w:t>1</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477BBD37" w14:textId="6DFB512F" w:rsidR="00F136AD" w:rsidRPr="00BF41EC" w:rsidRDefault="00F136AD" w:rsidP="00F136AD">
            <w:pPr>
              <w:rPr>
                <w:rFonts w:eastAsia="Arial" w:cs="Arial"/>
                <w:sz w:val="16"/>
                <w:szCs w:val="16"/>
              </w:rPr>
            </w:pPr>
            <w:r w:rsidRPr="00BF41EC">
              <w:rPr>
                <w:rFonts w:cs="Arial"/>
                <w:color w:val="000000"/>
                <w:sz w:val="16"/>
                <w:szCs w:val="16"/>
              </w:rPr>
              <w:t>per hour</w:t>
            </w:r>
          </w:p>
        </w:tc>
      </w:tr>
      <w:tr w:rsidR="00F136AD" w:rsidRPr="00B925F9" w14:paraId="6825B564" w14:textId="77777777" w:rsidTr="00BF41EC">
        <w:tblPrEx>
          <w:shd w:val="clear" w:color="auto" w:fill="DBE5F1" w:themeFill="accent1" w:themeFillTint="33"/>
        </w:tblPrEx>
        <w:trPr>
          <w:trHeight w:val="402"/>
        </w:trPr>
        <w:tc>
          <w:tcPr>
            <w:tcW w:w="2694" w:type="dxa"/>
            <w:tcBorders>
              <w:top w:val="single" w:sz="4" w:space="0" w:color="auto"/>
            </w:tcBorders>
            <w:shd w:val="clear" w:color="auto" w:fill="DBE5F1" w:themeFill="accent1" w:themeFillTint="33"/>
            <w:noWrap/>
            <w:vAlign w:val="center"/>
            <w:hideMark/>
          </w:tcPr>
          <w:p w14:paraId="1376CCDE" w14:textId="77777777" w:rsidR="00F136AD" w:rsidRPr="00AF5F1F" w:rsidRDefault="00F136AD" w:rsidP="00F136AD">
            <w:pPr>
              <w:rPr>
                <w:rFonts w:eastAsia="Arial" w:cs="Arial"/>
                <w:b/>
                <w:bCs/>
                <w:sz w:val="16"/>
                <w:szCs w:val="16"/>
              </w:rPr>
            </w:pPr>
            <w:r w:rsidRPr="006E7DA0">
              <w:rPr>
                <w:rFonts w:eastAsia="Arial" w:cs="Arial"/>
                <w:b/>
                <w:bCs/>
                <w:sz w:val="16"/>
                <w:szCs w:val="16"/>
              </w:rPr>
              <w:t>Electromagnetic discharge test equipment</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F9E0D3B" w14:textId="4877F1D6" w:rsidR="00F136AD" w:rsidRPr="00B925F9" w:rsidRDefault="00F136AD" w:rsidP="00F136AD">
            <w:pPr>
              <w:rPr>
                <w:rFonts w:eastAsia="Arial" w:cs="Arial"/>
                <w:sz w:val="16"/>
                <w:szCs w:val="16"/>
              </w:rPr>
            </w:pPr>
            <w:r>
              <w:rPr>
                <w:rFonts w:cs="Arial"/>
                <w:color w:val="000000"/>
                <w:sz w:val="16"/>
                <w:szCs w:val="16"/>
              </w:rPr>
              <w:t>Laboratory</w:t>
            </w:r>
          </w:p>
        </w:tc>
        <w:tc>
          <w:tcPr>
            <w:tcW w:w="849" w:type="dxa"/>
            <w:tcBorders>
              <w:top w:val="nil"/>
              <w:left w:val="single" w:sz="8" w:space="0" w:color="auto"/>
              <w:bottom w:val="single" w:sz="4" w:space="0" w:color="auto"/>
              <w:right w:val="single" w:sz="4" w:space="0" w:color="auto"/>
            </w:tcBorders>
            <w:shd w:val="clear" w:color="auto" w:fill="auto"/>
            <w:noWrap/>
            <w:vAlign w:val="center"/>
            <w:hideMark/>
          </w:tcPr>
          <w:p w14:paraId="7D6E6D31" w14:textId="3A9D8188" w:rsidR="00F136AD" w:rsidRPr="00BF41EC" w:rsidRDefault="00F136AD" w:rsidP="00F136AD">
            <w:pPr>
              <w:rPr>
                <w:rFonts w:eastAsia="Arial" w:cs="Arial"/>
                <w:sz w:val="16"/>
                <w:szCs w:val="16"/>
              </w:rPr>
            </w:pPr>
            <w:r w:rsidRPr="00BF41EC">
              <w:rPr>
                <w:rFonts w:cs="Arial"/>
                <w:color w:val="000000"/>
                <w:sz w:val="16"/>
                <w:szCs w:val="16"/>
              </w:rPr>
              <w:t> </w:t>
            </w:r>
          </w:p>
        </w:tc>
        <w:tc>
          <w:tcPr>
            <w:tcW w:w="752" w:type="dxa"/>
            <w:tcBorders>
              <w:top w:val="nil"/>
              <w:left w:val="single" w:sz="8" w:space="0" w:color="auto"/>
              <w:bottom w:val="single" w:sz="4" w:space="0" w:color="auto"/>
              <w:right w:val="single" w:sz="4" w:space="0" w:color="auto"/>
            </w:tcBorders>
            <w:shd w:val="clear" w:color="auto" w:fill="auto"/>
            <w:noWrap/>
            <w:vAlign w:val="center"/>
            <w:hideMark/>
          </w:tcPr>
          <w:p w14:paraId="105FEC10" w14:textId="6E1A855D"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4AEFCDA5" w14:textId="32DB39DE"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6CB116BE" w14:textId="1DF9FD15"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60C27520" w14:textId="2655B4C4" w:rsidR="00F136AD" w:rsidRPr="00BF41EC" w:rsidRDefault="00F136AD" w:rsidP="00F136AD">
            <w:pPr>
              <w:rPr>
                <w:rFonts w:eastAsia="Arial" w:cs="Arial"/>
                <w:sz w:val="16"/>
                <w:szCs w:val="16"/>
              </w:rPr>
            </w:pPr>
            <w:r w:rsidRPr="00BF41EC">
              <w:rPr>
                <w:rFonts w:cs="Arial"/>
                <w:color w:val="000000"/>
                <w:sz w:val="16"/>
                <w:szCs w:val="16"/>
              </w:rPr>
              <w:t> </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F144171" w14:textId="677FB262"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71F4658" w14:textId="662EF909"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5DA83F2" w14:textId="3BB59E02"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B04BCEC" w14:textId="38E3E9D8" w:rsidR="00F136AD" w:rsidRPr="00BF41EC" w:rsidRDefault="00F136AD" w:rsidP="00F136AD">
            <w:pPr>
              <w:rPr>
                <w:rFonts w:eastAsia="Arial" w:cs="Arial"/>
                <w:sz w:val="16"/>
                <w:szCs w:val="16"/>
              </w:rPr>
            </w:pPr>
            <w:r w:rsidRPr="00BF41EC">
              <w:rPr>
                <w:rFonts w:cs="Arial"/>
                <w:color w:val="000000"/>
                <w:sz w:val="16"/>
                <w:szCs w:val="16"/>
              </w:rPr>
              <w:t> </w:t>
            </w:r>
          </w:p>
        </w:tc>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1FD073B1" w14:textId="74B61DEA" w:rsidR="00F136AD" w:rsidRPr="00BF41EC" w:rsidRDefault="00F136AD" w:rsidP="00F136AD">
            <w:pPr>
              <w:rPr>
                <w:rFonts w:eastAsia="Arial" w:cs="Arial"/>
                <w:sz w:val="16"/>
                <w:szCs w:val="16"/>
              </w:rPr>
            </w:pPr>
            <w:r w:rsidRPr="00BF41EC">
              <w:rPr>
                <w:rFonts w:cs="Arial"/>
                <w:color w:val="000000"/>
                <w:sz w:val="16"/>
                <w:szCs w:val="16"/>
              </w:rPr>
              <w:t> </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14:paraId="1AF30B7E" w14:textId="540FE279" w:rsidR="00F136AD" w:rsidRPr="00BF41EC" w:rsidRDefault="00F136AD" w:rsidP="00F136AD">
            <w:pPr>
              <w:rPr>
                <w:rFonts w:eastAsia="Arial" w:cs="Arial"/>
                <w:sz w:val="16"/>
                <w:szCs w:val="16"/>
              </w:rPr>
            </w:pPr>
            <w:r w:rsidRPr="00BF41EC">
              <w:rPr>
                <w:rFonts w:cs="Arial"/>
                <w:color w:val="000000"/>
                <w:sz w:val="16"/>
                <w:szCs w:val="16"/>
              </w:rPr>
              <w:t> </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790CB178" w14:textId="6A178137" w:rsidR="00F136AD" w:rsidRPr="00BF41EC" w:rsidRDefault="00F136AD" w:rsidP="00F136AD">
            <w:pPr>
              <w:rPr>
                <w:rFonts w:eastAsia="Arial" w:cs="Arial"/>
                <w:sz w:val="16"/>
                <w:szCs w:val="16"/>
              </w:rPr>
            </w:pPr>
            <w:r w:rsidRPr="00BF41EC">
              <w:rPr>
                <w:rFonts w:cs="Arial"/>
                <w:color w:val="000000"/>
                <w:sz w:val="16"/>
                <w:szCs w:val="16"/>
              </w:rPr>
              <w: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7013A7B" w14:textId="7B833BCE" w:rsidR="00F136AD" w:rsidRPr="00BF41EC" w:rsidRDefault="00F136AD" w:rsidP="00F136AD">
            <w:pPr>
              <w:rPr>
                <w:rFonts w:eastAsia="Arial" w:cs="Arial"/>
                <w:sz w:val="16"/>
                <w:szCs w:val="16"/>
              </w:rPr>
            </w:pPr>
            <w:r w:rsidRPr="00BF41EC">
              <w:rPr>
                <w:rFonts w:cs="Arial"/>
                <w:color w:val="000000"/>
                <w:sz w:val="16"/>
                <w:szCs w:val="16"/>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52D847D" w14:textId="5FB91B7B" w:rsidR="00F136AD" w:rsidRPr="00BF41EC" w:rsidRDefault="00F136AD" w:rsidP="00F136AD">
            <w:pPr>
              <w:rPr>
                <w:rFonts w:eastAsia="Arial" w:cs="Arial"/>
                <w:sz w:val="16"/>
                <w:szCs w:val="16"/>
              </w:rPr>
            </w:pPr>
            <w:r w:rsidRPr="00BF41EC">
              <w:rPr>
                <w:rFonts w:cs="Arial"/>
                <w:color w:val="000000"/>
                <w:sz w:val="16"/>
                <w:szCs w:val="16"/>
              </w:rPr>
              <w:t> </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3E405001" w14:textId="121CAE37" w:rsidR="00F136AD" w:rsidRPr="00BF41EC" w:rsidRDefault="00F136AD" w:rsidP="00F136AD">
            <w:pPr>
              <w:rPr>
                <w:rFonts w:eastAsia="Arial" w:cs="Arial"/>
                <w:sz w:val="16"/>
                <w:szCs w:val="16"/>
              </w:rPr>
            </w:pPr>
            <w:r w:rsidRPr="00BF41EC">
              <w:rPr>
                <w:rFonts w:cs="Arial"/>
                <w:color w:val="000000"/>
                <w:sz w:val="16"/>
                <w:szCs w:val="16"/>
              </w:rPr>
              <w:t> </w:t>
            </w:r>
          </w:p>
        </w:tc>
        <w:tc>
          <w:tcPr>
            <w:tcW w:w="691" w:type="dxa"/>
            <w:tcBorders>
              <w:top w:val="nil"/>
              <w:left w:val="single" w:sz="8" w:space="0" w:color="auto"/>
              <w:bottom w:val="single" w:sz="4" w:space="0" w:color="auto"/>
              <w:right w:val="single" w:sz="4" w:space="0" w:color="auto"/>
            </w:tcBorders>
            <w:shd w:val="clear" w:color="auto" w:fill="auto"/>
            <w:noWrap/>
            <w:vAlign w:val="center"/>
            <w:hideMark/>
          </w:tcPr>
          <w:p w14:paraId="444A10BA" w14:textId="44FEBF3A" w:rsidR="00F136AD" w:rsidRPr="00BF41EC" w:rsidRDefault="00F136AD" w:rsidP="00F136AD">
            <w:pPr>
              <w:rPr>
                <w:rFonts w:eastAsia="Arial" w:cs="Arial"/>
                <w:sz w:val="16"/>
                <w:szCs w:val="16"/>
              </w:rPr>
            </w:pPr>
            <w:r w:rsidRPr="00BF41EC">
              <w:rPr>
                <w:rFonts w:cs="Arial"/>
                <w:color w:val="000000"/>
                <w:sz w:val="16"/>
                <w:szCs w:val="16"/>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14:paraId="68708BA8" w14:textId="64CAD236" w:rsidR="00F136AD" w:rsidRPr="00BF41EC" w:rsidRDefault="00F136AD" w:rsidP="00F136AD">
            <w:pPr>
              <w:rPr>
                <w:rFonts w:eastAsia="Arial" w:cs="Arial"/>
                <w:sz w:val="16"/>
                <w:szCs w:val="16"/>
              </w:rPr>
            </w:pPr>
            <w:r w:rsidRPr="00BF41EC">
              <w:rPr>
                <w:rFonts w:cs="Arial"/>
                <w:color w:val="000000"/>
                <w:sz w:val="16"/>
                <w:szCs w:val="16"/>
              </w:rPr>
              <w:t> </w:t>
            </w:r>
          </w:p>
        </w:tc>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0AA8EF0" w14:textId="1E2A2DC3" w:rsidR="00F136AD" w:rsidRPr="00BF41EC" w:rsidRDefault="00F136AD" w:rsidP="00F136AD">
            <w:pPr>
              <w:rPr>
                <w:rFonts w:eastAsia="Arial" w:cs="Arial"/>
                <w:sz w:val="16"/>
                <w:szCs w:val="16"/>
              </w:rPr>
            </w:pPr>
            <w:r w:rsidRPr="00BF41EC">
              <w:rPr>
                <w:rFonts w:cs="Arial"/>
                <w:color w:val="000000"/>
                <w:sz w:val="16"/>
                <w:szCs w:val="16"/>
              </w:rPr>
              <w:t> </w:t>
            </w:r>
          </w:p>
        </w:tc>
        <w:tc>
          <w:tcPr>
            <w:tcW w:w="633" w:type="dxa"/>
            <w:tcBorders>
              <w:top w:val="nil"/>
              <w:left w:val="single" w:sz="8" w:space="0" w:color="auto"/>
              <w:bottom w:val="single" w:sz="4" w:space="0" w:color="auto"/>
              <w:right w:val="single" w:sz="4" w:space="0" w:color="auto"/>
            </w:tcBorders>
            <w:shd w:val="clear" w:color="auto" w:fill="auto"/>
            <w:noWrap/>
            <w:vAlign w:val="center"/>
            <w:hideMark/>
          </w:tcPr>
          <w:p w14:paraId="6A3A5E08" w14:textId="18EE37E0" w:rsidR="00F136AD" w:rsidRPr="00BF41EC" w:rsidRDefault="00F136AD" w:rsidP="00F136AD">
            <w:pPr>
              <w:rPr>
                <w:rFonts w:eastAsia="Arial" w:cs="Arial"/>
                <w:sz w:val="16"/>
                <w:szCs w:val="16"/>
              </w:rPr>
            </w:pPr>
            <w:r w:rsidRPr="00BF41EC">
              <w:rPr>
                <w:rFonts w:cs="Arial"/>
                <w:color w:val="000000"/>
                <w:sz w:val="16"/>
                <w:szCs w:val="16"/>
              </w:rPr>
              <w:t> </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14:paraId="5C3658BC" w14:textId="54B5547C" w:rsidR="00F136AD" w:rsidRPr="00BF41EC" w:rsidRDefault="00F136AD" w:rsidP="00F136AD">
            <w:pPr>
              <w:rPr>
                <w:rFonts w:eastAsia="Arial" w:cs="Arial"/>
                <w:sz w:val="16"/>
                <w:szCs w:val="16"/>
              </w:rPr>
            </w:pPr>
            <w:r w:rsidRPr="00BF41EC">
              <w:rPr>
                <w:rFonts w:cs="Arial"/>
                <w:color w:val="000000"/>
                <w:sz w:val="16"/>
                <w:szCs w:val="16"/>
              </w:rPr>
              <w:t> </w:t>
            </w:r>
          </w:p>
        </w:tc>
        <w:tc>
          <w:tcPr>
            <w:tcW w:w="609" w:type="dxa"/>
            <w:tcBorders>
              <w:top w:val="nil"/>
              <w:left w:val="single" w:sz="8" w:space="0" w:color="auto"/>
              <w:bottom w:val="single" w:sz="4" w:space="0" w:color="auto"/>
              <w:right w:val="single" w:sz="4" w:space="0" w:color="auto"/>
            </w:tcBorders>
            <w:shd w:val="clear" w:color="auto" w:fill="auto"/>
            <w:noWrap/>
            <w:vAlign w:val="center"/>
            <w:hideMark/>
          </w:tcPr>
          <w:p w14:paraId="2BF6F97E" w14:textId="30645CB4" w:rsidR="00F136AD" w:rsidRPr="00BF41EC" w:rsidRDefault="00F136AD" w:rsidP="00F136AD">
            <w:pPr>
              <w:rPr>
                <w:rFonts w:eastAsia="Arial" w:cs="Arial"/>
                <w:sz w:val="16"/>
                <w:szCs w:val="16"/>
              </w:rPr>
            </w:pPr>
            <w:r w:rsidRPr="00BF41EC">
              <w:rPr>
                <w:rFonts w:cs="Arial"/>
                <w:color w:val="000000"/>
                <w:sz w:val="16"/>
                <w:szCs w:val="16"/>
              </w:rPr>
              <w:t> </w:t>
            </w:r>
          </w:p>
        </w:tc>
        <w:tc>
          <w:tcPr>
            <w:tcW w:w="809" w:type="dxa"/>
            <w:tcBorders>
              <w:top w:val="nil"/>
              <w:left w:val="single" w:sz="8" w:space="0" w:color="auto"/>
              <w:bottom w:val="single" w:sz="4" w:space="0" w:color="auto"/>
              <w:right w:val="single" w:sz="4" w:space="0" w:color="auto"/>
            </w:tcBorders>
            <w:shd w:val="clear" w:color="auto" w:fill="auto"/>
            <w:noWrap/>
            <w:vAlign w:val="center"/>
            <w:hideMark/>
          </w:tcPr>
          <w:p w14:paraId="3CCE1E68" w14:textId="1A082998" w:rsidR="00F136AD" w:rsidRPr="00BF41EC" w:rsidRDefault="00F136AD" w:rsidP="00F136AD">
            <w:pPr>
              <w:rPr>
                <w:rFonts w:eastAsia="Arial" w:cs="Arial"/>
                <w:sz w:val="16"/>
                <w:szCs w:val="16"/>
              </w:rPr>
            </w:pPr>
            <w:r w:rsidRPr="00BF41EC">
              <w:rPr>
                <w:rFonts w:cs="Arial"/>
                <w:color w:val="000000"/>
                <w:sz w:val="16"/>
                <w:szCs w:val="16"/>
              </w:rPr>
              <w:t> </w:t>
            </w:r>
          </w:p>
        </w:tc>
        <w:tc>
          <w:tcPr>
            <w:tcW w:w="584" w:type="dxa"/>
            <w:tcBorders>
              <w:top w:val="nil"/>
              <w:left w:val="single" w:sz="8" w:space="0" w:color="auto"/>
              <w:bottom w:val="single" w:sz="4" w:space="0" w:color="auto"/>
              <w:right w:val="single" w:sz="4" w:space="0" w:color="auto"/>
            </w:tcBorders>
            <w:shd w:val="clear" w:color="auto" w:fill="auto"/>
            <w:noWrap/>
            <w:vAlign w:val="center"/>
            <w:hideMark/>
          </w:tcPr>
          <w:p w14:paraId="4A714822" w14:textId="4B972185" w:rsidR="00F136AD" w:rsidRPr="00BF41EC" w:rsidRDefault="00F136AD" w:rsidP="00F136AD">
            <w:pPr>
              <w:rPr>
                <w:rFonts w:eastAsia="Arial" w:cs="Arial"/>
                <w:sz w:val="16"/>
                <w:szCs w:val="16"/>
              </w:rPr>
            </w:pPr>
            <w:r w:rsidRPr="00BF41EC">
              <w:rPr>
                <w:rFonts w:cs="Arial"/>
                <w:color w:val="000000"/>
                <w:sz w:val="16"/>
                <w:szCs w:val="16"/>
              </w:rPr>
              <w:t>$169</w:t>
            </w:r>
          </w:p>
        </w:tc>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76E91DB6" w14:textId="62ED3BF5" w:rsidR="00F136AD" w:rsidRPr="00BF41EC" w:rsidRDefault="00F136AD" w:rsidP="00F136AD">
            <w:pPr>
              <w:rPr>
                <w:rFonts w:eastAsia="Arial" w:cs="Arial"/>
                <w:sz w:val="16"/>
                <w:szCs w:val="16"/>
              </w:rPr>
            </w:pPr>
            <w:r w:rsidRPr="00BF41EC">
              <w:rPr>
                <w:rFonts w:cs="Arial"/>
                <w:color w:val="000000"/>
                <w:sz w:val="16"/>
                <w:szCs w:val="16"/>
              </w:rPr>
              <w:t>per hour</w:t>
            </w:r>
          </w:p>
        </w:tc>
      </w:tr>
    </w:tbl>
    <w:p w14:paraId="09ACBB49" w14:textId="77777777" w:rsidR="003A2144" w:rsidRDefault="003A2144" w:rsidP="003A2144">
      <w:pPr>
        <w:rPr>
          <w:rFonts w:eastAsia="Arial" w:cs="Arial"/>
          <w:sz w:val="16"/>
          <w:szCs w:val="16"/>
        </w:rPr>
      </w:pPr>
    </w:p>
    <w:p w14:paraId="1B50D19D" w14:textId="77777777" w:rsidR="00C36F9A" w:rsidRDefault="00C36F9A" w:rsidP="003A2144">
      <w:pPr>
        <w:rPr>
          <w:rFonts w:eastAsia="Arial" w:cs="Arial"/>
          <w:sz w:val="16"/>
          <w:szCs w:val="16"/>
        </w:rPr>
      </w:pPr>
    </w:p>
    <w:p w14:paraId="06862EB5" w14:textId="77777777" w:rsidR="00C36F9A" w:rsidRDefault="00C36F9A" w:rsidP="003A2144">
      <w:pPr>
        <w:rPr>
          <w:rFonts w:eastAsia="Arial" w:cs="Arial"/>
          <w:sz w:val="16"/>
          <w:szCs w:val="16"/>
        </w:rPr>
      </w:pPr>
    </w:p>
    <w:p w14:paraId="64BA91D8" w14:textId="77777777" w:rsidR="00C36F9A" w:rsidRDefault="00C36F9A" w:rsidP="003A2144">
      <w:pPr>
        <w:rPr>
          <w:rFonts w:eastAsia="Arial" w:cs="Arial"/>
          <w:sz w:val="16"/>
          <w:szCs w:val="16"/>
        </w:rPr>
      </w:pPr>
    </w:p>
    <w:p w14:paraId="6479FF3B" w14:textId="77777777" w:rsidR="00C36F9A" w:rsidRPr="00B925F9" w:rsidRDefault="00C36F9A" w:rsidP="003A2144">
      <w:pPr>
        <w:rPr>
          <w:rFonts w:eastAsia="Arial" w:cs="Arial"/>
          <w:sz w:val="16"/>
          <w:szCs w:val="16"/>
        </w:rPr>
      </w:pPr>
    </w:p>
    <w:p w14:paraId="59FAAD11" w14:textId="77777777" w:rsidR="00797B2B" w:rsidRDefault="00797B2B" w:rsidP="003A2144">
      <w:pPr>
        <w:rPr>
          <w:rFonts w:eastAsia="Arial" w:cs="Arial"/>
          <w:sz w:val="16"/>
          <w:szCs w:val="16"/>
        </w:rPr>
        <w:sectPr w:rsidR="00797B2B" w:rsidSect="00797B2B">
          <w:footerReference w:type="default" r:id="rId24"/>
          <w:pgSz w:w="23814" w:h="16839" w:orient="landscape" w:code="8"/>
          <w:pgMar w:top="1134" w:right="1440" w:bottom="1700" w:left="1440" w:header="142" w:footer="923" w:gutter="0"/>
          <w:cols w:space="708"/>
          <w:docGrid w:linePitch="360"/>
        </w:sectPr>
      </w:pPr>
    </w:p>
    <w:p w14:paraId="2EC5C92D" w14:textId="77777777" w:rsidR="003A2144" w:rsidRDefault="00303331" w:rsidP="004D5084">
      <w:pPr>
        <w:pStyle w:val="Heading1"/>
        <w:numPr>
          <w:ilvl w:val="0"/>
          <w:numId w:val="0"/>
        </w:numPr>
        <w:spacing w:before="0"/>
        <w:rPr>
          <w:rFonts w:eastAsia="Arial"/>
        </w:rPr>
      </w:pPr>
      <w:bookmarkStart w:id="91" w:name="_Toc85106101"/>
      <w:bookmarkStart w:id="92" w:name="_Toc516468804"/>
      <w:r w:rsidRPr="003546AA">
        <w:rPr>
          <w:rFonts w:eastAsia="Arial"/>
        </w:rPr>
        <w:lastRenderedPageBreak/>
        <w:t xml:space="preserve">Appendix </w:t>
      </w:r>
      <w:r w:rsidR="00A67C3B">
        <w:rPr>
          <w:rFonts w:eastAsia="Arial"/>
        </w:rPr>
        <w:t>B</w:t>
      </w:r>
      <w:r w:rsidRPr="003546AA">
        <w:rPr>
          <w:rFonts w:eastAsia="Arial"/>
        </w:rPr>
        <w:t xml:space="preserve"> – Servicing Licence Fees</w:t>
      </w:r>
      <w:bookmarkEnd w:id="91"/>
      <w:r w:rsidRPr="003546AA">
        <w:rPr>
          <w:rFonts w:eastAsia="Arial"/>
        </w:rPr>
        <w:t xml:space="preserve"> </w:t>
      </w:r>
      <w:bookmarkEnd w:id="92"/>
    </w:p>
    <w:p w14:paraId="74C385A8" w14:textId="13B00E3E" w:rsidR="00303331" w:rsidRPr="003546AA" w:rsidRDefault="00A67C3B" w:rsidP="001954B0">
      <w:pPr>
        <w:pStyle w:val="Heading2"/>
        <w:numPr>
          <w:ilvl w:val="0"/>
          <w:numId w:val="0"/>
        </w:numPr>
        <w:ind w:left="993" w:hanging="993"/>
        <w:rPr>
          <w:rFonts w:eastAsia="Arial"/>
        </w:rPr>
      </w:pPr>
      <w:bookmarkStart w:id="93" w:name="_Toc85106102"/>
      <w:r>
        <w:rPr>
          <w:rFonts w:eastAsia="Arial"/>
        </w:rPr>
        <w:t>B</w:t>
      </w:r>
      <w:r w:rsidR="003A2144">
        <w:rPr>
          <w:rFonts w:eastAsia="Arial"/>
        </w:rPr>
        <w:t>.1 Servicing Licence fees for the financial year</w:t>
      </w:r>
      <w:r w:rsidR="00C74585">
        <w:rPr>
          <w:rFonts w:eastAsia="Arial"/>
        </w:rPr>
        <w:t xml:space="preserve"> 20</w:t>
      </w:r>
      <w:r w:rsidR="00BF41EC">
        <w:rPr>
          <w:rFonts w:eastAsia="Arial"/>
        </w:rPr>
        <w:t>20</w:t>
      </w:r>
      <w:r w:rsidR="00C74585">
        <w:rPr>
          <w:rFonts w:eastAsia="Arial"/>
        </w:rPr>
        <w:t>-20</w:t>
      </w:r>
      <w:r w:rsidR="00EC039C">
        <w:rPr>
          <w:rFonts w:eastAsia="Arial"/>
        </w:rPr>
        <w:t>2</w:t>
      </w:r>
      <w:r w:rsidR="00BF41EC">
        <w:rPr>
          <w:rFonts w:eastAsia="Arial"/>
        </w:rPr>
        <w:t>1</w:t>
      </w:r>
      <w:bookmarkEnd w:id="93"/>
    </w:p>
    <w:tbl>
      <w:tblPr>
        <w:tblW w:w="10055" w:type="dxa"/>
        <w:shd w:val="clear" w:color="000000" w:fill="DBE5F1" w:themeFill="accent1" w:themeFillTint="33"/>
        <w:tblLook w:val="04A0" w:firstRow="1" w:lastRow="0" w:firstColumn="1" w:lastColumn="0" w:noHBand="0" w:noVBand="1"/>
      </w:tblPr>
      <w:tblGrid>
        <w:gridCol w:w="2249"/>
        <w:gridCol w:w="4256"/>
        <w:gridCol w:w="3550"/>
      </w:tblGrid>
      <w:tr w:rsidR="00EC039C" w:rsidRPr="004D5084" w14:paraId="426A38A3" w14:textId="77777777" w:rsidTr="00EB019B">
        <w:trPr>
          <w:trHeight w:val="402"/>
        </w:trPr>
        <w:tc>
          <w:tcPr>
            <w:tcW w:w="100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2D1B71B" w14:textId="77777777" w:rsidR="00EC039C" w:rsidRPr="00F626A9" w:rsidRDefault="00EC039C" w:rsidP="00EC039C">
            <w:pPr>
              <w:jc w:val="center"/>
              <w:rPr>
                <w:rFonts w:cs="Arial"/>
                <w:b/>
                <w:bCs/>
                <w:color w:val="FFFFFF" w:themeColor="background1"/>
                <w:sz w:val="24"/>
              </w:rPr>
            </w:pPr>
            <w:r w:rsidRPr="00EB019B">
              <w:rPr>
                <w:rFonts w:cs="Arial"/>
                <w:b/>
                <w:bCs/>
                <w:sz w:val="24"/>
              </w:rPr>
              <w:t>Servicing Licensees</w:t>
            </w:r>
          </w:p>
        </w:tc>
      </w:tr>
      <w:tr w:rsidR="00EC039C" w:rsidRPr="00C74585" w14:paraId="57AE3299" w14:textId="77777777" w:rsidTr="00EC039C">
        <w:trPr>
          <w:trHeight w:val="402"/>
        </w:trPr>
        <w:tc>
          <w:tcPr>
            <w:tcW w:w="10055" w:type="dxa"/>
            <w:gridSpan w:val="3"/>
            <w:tcBorders>
              <w:top w:val="single" w:sz="8" w:space="0" w:color="auto"/>
              <w:left w:val="single" w:sz="8" w:space="0" w:color="auto"/>
              <w:bottom w:val="single" w:sz="8" w:space="0" w:color="auto"/>
              <w:right w:val="single" w:sz="8" w:space="0" w:color="000000"/>
            </w:tcBorders>
            <w:shd w:val="clear" w:color="000000" w:fill="DBE5F1" w:themeFill="accent1" w:themeFillTint="33"/>
            <w:vAlign w:val="center"/>
            <w:hideMark/>
          </w:tcPr>
          <w:p w14:paraId="000B970B" w14:textId="77777777" w:rsidR="00EC039C" w:rsidRPr="007C0A11" w:rsidRDefault="00EC039C" w:rsidP="00EC039C">
            <w:pPr>
              <w:jc w:val="center"/>
              <w:rPr>
                <w:rFonts w:cs="Arial"/>
                <w:b/>
                <w:bCs/>
                <w:szCs w:val="20"/>
                <w:lang w:eastAsia="en-AU"/>
              </w:rPr>
            </w:pPr>
            <w:r w:rsidRPr="007C0A11">
              <w:rPr>
                <w:rFonts w:cs="Arial"/>
                <w:b/>
                <w:bCs/>
                <w:szCs w:val="20"/>
                <w:lang w:eastAsia="en-AU"/>
              </w:rPr>
              <w:t>National Trade Measurement Regulations 2009 - Division 2.4</w:t>
            </w:r>
            <w:r w:rsidRPr="007C0A11">
              <w:rPr>
                <w:rFonts w:cs="Arial"/>
                <w:b/>
                <w:bCs/>
                <w:szCs w:val="20"/>
                <w:lang w:eastAsia="en-AU"/>
              </w:rPr>
              <w:br/>
              <w:t>2.41</w:t>
            </w:r>
            <w:r>
              <w:rPr>
                <w:rFonts w:cs="Arial"/>
                <w:b/>
                <w:bCs/>
                <w:szCs w:val="20"/>
                <w:lang w:eastAsia="en-AU"/>
              </w:rPr>
              <w:t>C</w:t>
            </w:r>
            <w:r w:rsidRPr="007C0A11">
              <w:rPr>
                <w:rFonts w:cs="Arial"/>
                <w:b/>
                <w:bCs/>
                <w:szCs w:val="20"/>
                <w:lang w:eastAsia="en-AU"/>
              </w:rPr>
              <w:t xml:space="preserve"> Prescribed fee - application for servicing licence (Act s18NA(3)(b))</w:t>
            </w:r>
          </w:p>
        </w:tc>
      </w:tr>
      <w:tr w:rsidR="00EC039C" w:rsidRPr="00716D7E" w14:paraId="08BFCB40" w14:textId="77777777" w:rsidTr="00EC039C">
        <w:trPr>
          <w:trHeight w:val="402"/>
        </w:trPr>
        <w:tc>
          <w:tcPr>
            <w:tcW w:w="10055" w:type="dxa"/>
            <w:gridSpan w:val="3"/>
            <w:tcBorders>
              <w:top w:val="single" w:sz="8" w:space="0" w:color="auto"/>
              <w:left w:val="single" w:sz="8" w:space="0" w:color="auto"/>
              <w:bottom w:val="single" w:sz="8" w:space="0" w:color="auto"/>
              <w:right w:val="single" w:sz="8" w:space="0" w:color="000000"/>
            </w:tcBorders>
            <w:shd w:val="clear" w:color="000000" w:fill="DBE5F1" w:themeFill="accent1" w:themeFillTint="33"/>
            <w:vAlign w:val="center"/>
            <w:hideMark/>
          </w:tcPr>
          <w:p w14:paraId="50D7FADD" w14:textId="5F1B48C8" w:rsidR="00EC039C" w:rsidRPr="007C0A11" w:rsidRDefault="00EC039C" w:rsidP="00BF41EC">
            <w:pPr>
              <w:jc w:val="center"/>
              <w:rPr>
                <w:rFonts w:cs="Arial"/>
                <w:b/>
                <w:bCs/>
                <w:szCs w:val="20"/>
                <w:lang w:eastAsia="en-AU"/>
              </w:rPr>
            </w:pPr>
            <w:r w:rsidRPr="007C0A11">
              <w:rPr>
                <w:rFonts w:cs="Arial"/>
                <w:b/>
                <w:bCs/>
                <w:szCs w:val="20"/>
                <w:lang w:eastAsia="en-AU"/>
              </w:rPr>
              <w:t>Financial Year 20</w:t>
            </w:r>
            <w:r w:rsidR="00BF41EC">
              <w:rPr>
                <w:rFonts w:cs="Arial"/>
                <w:b/>
                <w:bCs/>
                <w:szCs w:val="20"/>
                <w:lang w:eastAsia="en-AU"/>
              </w:rPr>
              <w:t>20</w:t>
            </w:r>
            <w:r w:rsidRPr="007C0A11">
              <w:rPr>
                <w:rFonts w:cs="Arial"/>
                <w:b/>
                <w:bCs/>
                <w:szCs w:val="20"/>
                <w:lang w:eastAsia="en-AU"/>
              </w:rPr>
              <w:t>-202</w:t>
            </w:r>
            <w:r w:rsidR="00BF41EC">
              <w:rPr>
                <w:rFonts w:cs="Arial"/>
                <w:b/>
                <w:bCs/>
                <w:szCs w:val="20"/>
                <w:lang w:eastAsia="en-AU"/>
              </w:rPr>
              <w:t>1</w:t>
            </w:r>
          </w:p>
        </w:tc>
      </w:tr>
      <w:tr w:rsidR="00EC039C" w:rsidRPr="00716D7E" w14:paraId="26A7D15C" w14:textId="77777777" w:rsidTr="00EC039C">
        <w:trPr>
          <w:trHeight w:val="402"/>
        </w:trPr>
        <w:tc>
          <w:tcPr>
            <w:tcW w:w="2249" w:type="dxa"/>
            <w:tcBorders>
              <w:top w:val="nil"/>
              <w:left w:val="single" w:sz="8" w:space="0" w:color="auto"/>
              <w:bottom w:val="single" w:sz="4" w:space="0" w:color="auto"/>
              <w:right w:val="single" w:sz="4" w:space="0" w:color="auto"/>
            </w:tcBorders>
            <w:shd w:val="clear" w:color="000000" w:fill="DBE5F1" w:themeFill="accent1" w:themeFillTint="33"/>
            <w:noWrap/>
            <w:vAlign w:val="center"/>
            <w:hideMark/>
          </w:tcPr>
          <w:p w14:paraId="40E51D5B" w14:textId="77777777" w:rsidR="00EC039C" w:rsidRPr="00716D7E" w:rsidRDefault="00EC039C" w:rsidP="00EC039C">
            <w:pPr>
              <w:rPr>
                <w:rFonts w:cs="Arial"/>
                <w:b/>
                <w:bCs/>
                <w:szCs w:val="20"/>
                <w:lang w:eastAsia="en-AU"/>
              </w:rPr>
            </w:pPr>
            <w:r w:rsidRPr="00716D7E">
              <w:rPr>
                <w:rFonts w:cs="Arial"/>
                <w:b/>
                <w:bCs/>
                <w:szCs w:val="20"/>
                <w:lang w:eastAsia="en-AU"/>
              </w:rPr>
              <w:t>Part 1 Kind of applicant</w:t>
            </w:r>
          </w:p>
        </w:tc>
        <w:tc>
          <w:tcPr>
            <w:tcW w:w="4256" w:type="dxa"/>
            <w:tcBorders>
              <w:top w:val="nil"/>
              <w:left w:val="nil"/>
              <w:bottom w:val="single" w:sz="4" w:space="0" w:color="auto"/>
              <w:right w:val="single" w:sz="4" w:space="0" w:color="auto"/>
            </w:tcBorders>
            <w:shd w:val="clear" w:color="000000" w:fill="DBE5F1" w:themeFill="accent1" w:themeFillTint="33"/>
            <w:noWrap/>
            <w:vAlign w:val="center"/>
            <w:hideMark/>
          </w:tcPr>
          <w:p w14:paraId="30A4145C" w14:textId="77777777" w:rsidR="00EC039C" w:rsidRPr="00716D7E" w:rsidRDefault="00EC039C" w:rsidP="00EC039C">
            <w:pPr>
              <w:rPr>
                <w:rFonts w:cs="Arial"/>
                <w:b/>
                <w:bCs/>
                <w:szCs w:val="20"/>
                <w:lang w:eastAsia="en-AU"/>
              </w:rPr>
            </w:pPr>
            <w:r w:rsidRPr="00716D7E">
              <w:rPr>
                <w:rFonts w:cs="Arial"/>
                <w:b/>
                <w:bCs/>
                <w:szCs w:val="20"/>
                <w:lang w:eastAsia="en-AU"/>
              </w:rPr>
              <w:t> </w:t>
            </w:r>
          </w:p>
        </w:tc>
        <w:tc>
          <w:tcPr>
            <w:tcW w:w="3550" w:type="dxa"/>
            <w:tcBorders>
              <w:top w:val="nil"/>
              <w:left w:val="nil"/>
              <w:bottom w:val="single" w:sz="4" w:space="0" w:color="auto"/>
              <w:right w:val="single" w:sz="8" w:space="0" w:color="auto"/>
            </w:tcBorders>
            <w:shd w:val="clear" w:color="000000" w:fill="DBE5F1" w:themeFill="accent1" w:themeFillTint="33"/>
            <w:noWrap/>
            <w:vAlign w:val="center"/>
            <w:hideMark/>
          </w:tcPr>
          <w:p w14:paraId="21ADE145" w14:textId="77777777" w:rsidR="00EC039C" w:rsidRPr="00716D7E" w:rsidRDefault="00EC039C" w:rsidP="00EC039C">
            <w:pPr>
              <w:rPr>
                <w:rFonts w:cs="Arial"/>
                <w:b/>
                <w:bCs/>
                <w:szCs w:val="20"/>
                <w:lang w:eastAsia="en-AU"/>
              </w:rPr>
            </w:pPr>
            <w:r w:rsidRPr="00716D7E">
              <w:rPr>
                <w:rFonts w:cs="Arial"/>
                <w:b/>
                <w:bCs/>
                <w:szCs w:val="20"/>
                <w:lang w:eastAsia="en-AU"/>
              </w:rPr>
              <w:t> </w:t>
            </w:r>
          </w:p>
        </w:tc>
      </w:tr>
      <w:tr w:rsidR="00EC039C" w:rsidRPr="00716D7E" w14:paraId="53C55984" w14:textId="77777777" w:rsidTr="00EC039C">
        <w:trPr>
          <w:trHeight w:val="402"/>
        </w:trPr>
        <w:tc>
          <w:tcPr>
            <w:tcW w:w="2249" w:type="dxa"/>
            <w:tcBorders>
              <w:top w:val="nil"/>
              <w:left w:val="single" w:sz="8" w:space="0" w:color="auto"/>
              <w:bottom w:val="single" w:sz="8" w:space="0" w:color="auto"/>
              <w:right w:val="single" w:sz="4" w:space="0" w:color="auto"/>
            </w:tcBorders>
            <w:shd w:val="clear" w:color="000000" w:fill="DBE5F1" w:themeFill="accent1" w:themeFillTint="33"/>
            <w:noWrap/>
            <w:vAlign w:val="center"/>
            <w:hideMark/>
          </w:tcPr>
          <w:p w14:paraId="0F17803B" w14:textId="77777777" w:rsidR="00EC039C" w:rsidRPr="00716D7E" w:rsidRDefault="00EC039C" w:rsidP="00EC039C">
            <w:pPr>
              <w:rPr>
                <w:rFonts w:cs="Arial"/>
                <w:b/>
                <w:bCs/>
                <w:szCs w:val="20"/>
                <w:lang w:eastAsia="en-AU"/>
              </w:rPr>
            </w:pPr>
            <w:r w:rsidRPr="00716D7E">
              <w:rPr>
                <w:rFonts w:cs="Arial"/>
                <w:b/>
                <w:bCs/>
                <w:szCs w:val="20"/>
                <w:lang w:eastAsia="en-AU"/>
              </w:rPr>
              <w:t>Item</w:t>
            </w:r>
          </w:p>
        </w:tc>
        <w:tc>
          <w:tcPr>
            <w:tcW w:w="4256" w:type="dxa"/>
            <w:tcBorders>
              <w:top w:val="nil"/>
              <w:left w:val="nil"/>
              <w:bottom w:val="single" w:sz="8" w:space="0" w:color="auto"/>
              <w:right w:val="single" w:sz="4" w:space="0" w:color="auto"/>
            </w:tcBorders>
            <w:shd w:val="clear" w:color="000000" w:fill="DBE5F1" w:themeFill="accent1" w:themeFillTint="33"/>
            <w:noWrap/>
            <w:vAlign w:val="center"/>
            <w:hideMark/>
          </w:tcPr>
          <w:p w14:paraId="139F07B1" w14:textId="77777777" w:rsidR="00EC039C" w:rsidRPr="00716D7E" w:rsidRDefault="00EC039C" w:rsidP="00EC039C">
            <w:pPr>
              <w:rPr>
                <w:rFonts w:cs="Arial"/>
                <w:b/>
                <w:bCs/>
                <w:szCs w:val="20"/>
                <w:lang w:eastAsia="en-AU"/>
              </w:rPr>
            </w:pPr>
            <w:r w:rsidRPr="00716D7E">
              <w:rPr>
                <w:rFonts w:cs="Arial"/>
                <w:b/>
                <w:bCs/>
                <w:szCs w:val="20"/>
                <w:lang w:eastAsia="en-AU"/>
              </w:rPr>
              <w:t>Applicant</w:t>
            </w:r>
          </w:p>
        </w:tc>
        <w:tc>
          <w:tcPr>
            <w:tcW w:w="3550" w:type="dxa"/>
            <w:tcBorders>
              <w:top w:val="nil"/>
              <w:left w:val="nil"/>
              <w:bottom w:val="single" w:sz="8" w:space="0" w:color="auto"/>
              <w:right w:val="single" w:sz="8" w:space="0" w:color="auto"/>
            </w:tcBorders>
            <w:shd w:val="clear" w:color="000000" w:fill="DBE5F1" w:themeFill="accent1" w:themeFillTint="33"/>
            <w:noWrap/>
            <w:vAlign w:val="center"/>
            <w:hideMark/>
          </w:tcPr>
          <w:p w14:paraId="56F6C3E0" w14:textId="77777777" w:rsidR="00EC039C" w:rsidRPr="00716D7E" w:rsidRDefault="00EC039C" w:rsidP="00EC039C">
            <w:pPr>
              <w:rPr>
                <w:rFonts w:cs="Arial"/>
                <w:b/>
                <w:bCs/>
                <w:szCs w:val="20"/>
                <w:lang w:eastAsia="en-AU"/>
              </w:rPr>
            </w:pPr>
            <w:r w:rsidRPr="00716D7E">
              <w:rPr>
                <w:rFonts w:cs="Arial"/>
                <w:b/>
                <w:bCs/>
                <w:szCs w:val="20"/>
                <w:lang w:eastAsia="en-AU"/>
              </w:rPr>
              <w:t>Fee</w:t>
            </w:r>
          </w:p>
        </w:tc>
      </w:tr>
      <w:tr w:rsidR="00EC039C" w:rsidRPr="00716D7E" w14:paraId="79C9225B" w14:textId="77777777" w:rsidTr="00EC039C">
        <w:trPr>
          <w:trHeight w:val="402"/>
        </w:trPr>
        <w:tc>
          <w:tcPr>
            <w:tcW w:w="2249" w:type="dxa"/>
            <w:tcBorders>
              <w:top w:val="nil"/>
              <w:left w:val="single" w:sz="8" w:space="0" w:color="auto"/>
              <w:bottom w:val="single" w:sz="4" w:space="0" w:color="auto"/>
              <w:right w:val="single" w:sz="4" w:space="0" w:color="auto"/>
            </w:tcBorders>
            <w:shd w:val="clear" w:color="000000" w:fill="DBE5F1" w:themeFill="accent1" w:themeFillTint="33"/>
            <w:noWrap/>
            <w:vAlign w:val="center"/>
            <w:hideMark/>
          </w:tcPr>
          <w:p w14:paraId="5508016E" w14:textId="77777777" w:rsidR="00EC039C" w:rsidRPr="00716D7E" w:rsidRDefault="00EC039C" w:rsidP="00EC039C">
            <w:pPr>
              <w:rPr>
                <w:rFonts w:cs="Arial"/>
                <w:szCs w:val="20"/>
                <w:lang w:eastAsia="en-AU"/>
              </w:rPr>
            </w:pPr>
            <w:r w:rsidRPr="00716D7E">
              <w:rPr>
                <w:rFonts w:cs="Arial"/>
                <w:szCs w:val="20"/>
                <w:lang w:eastAsia="en-AU"/>
              </w:rPr>
              <w:t>1.1</w:t>
            </w:r>
          </w:p>
        </w:tc>
        <w:tc>
          <w:tcPr>
            <w:tcW w:w="4256" w:type="dxa"/>
            <w:tcBorders>
              <w:top w:val="nil"/>
              <w:left w:val="nil"/>
              <w:bottom w:val="single" w:sz="4" w:space="0" w:color="auto"/>
              <w:right w:val="single" w:sz="4" w:space="0" w:color="auto"/>
            </w:tcBorders>
            <w:shd w:val="clear" w:color="000000" w:fill="DBE5F1" w:themeFill="accent1" w:themeFillTint="33"/>
            <w:noWrap/>
            <w:vAlign w:val="center"/>
            <w:hideMark/>
          </w:tcPr>
          <w:p w14:paraId="2F2BC90E" w14:textId="77777777" w:rsidR="00EC039C" w:rsidRPr="00716D7E" w:rsidRDefault="00EC039C" w:rsidP="00EC039C">
            <w:pPr>
              <w:rPr>
                <w:rFonts w:cs="Arial"/>
                <w:szCs w:val="20"/>
                <w:lang w:eastAsia="en-AU"/>
              </w:rPr>
            </w:pPr>
            <w:r w:rsidRPr="00716D7E">
              <w:rPr>
                <w:rFonts w:cs="Arial"/>
                <w:szCs w:val="20"/>
                <w:lang w:eastAsia="en-AU"/>
              </w:rPr>
              <w:t>Applicant that holds a servicing licence</w:t>
            </w:r>
          </w:p>
        </w:tc>
        <w:tc>
          <w:tcPr>
            <w:tcW w:w="3550" w:type="dxa"/>
            <w:tcBorders>
              <w:top w:val="nil"/>
              <w:left w:val="nil"/>
              <w:bottom w:val="single" w:sz="4" w:space="0" w:color="auto"/>
              <w:right w:val="single" w:sz="8" w:space="0" w:color="auto"/>
            </w:tcBorders>
            <w:shd w:val="clear" w:color="000000" w:fill="DBE5F1" w:themeFill="accent1" w:themeFillTint="33"/>
            <w:noWrap/>
            <w:vAlign w:val="center"/>
            <w:hideMark/>
          </w:tcPr>
          <w:p w14:paraId="3DCCEDBC" w14:textId="77777777" w:rsidR="00EC039C" w:rsidRPr="00716D7E" w:rsidRDefault="00EC039C" w:rsidP="00EC039C">
            <w:pPr>
              <w:rPr>
                <w:rFonts w:cs="Arial"/>
                <w:szCs w:val="20"/>
                <w:lang w:eastAsia="en-AU"/>
              </w:rPr>
            </w:pPr>
            <w:r w:rsidRPr="00716D7E">
              <w:rPr>
                <w:rFonts w:cs="Arial"/>
                <w:szCs w:val="20"/>
                <w:lang w:eastAsia="en-AU"/>
              </w:rPr>
              <w:t>Nil</w:t>
            </w:r>
          </w:p>
        </w:tc>
      </w:tr>
      <w:tr w:rsidR="00EC039C" w:rsidRPr="00716D7E" w14:paraId="42386608" w14:textId="77777777" w:rsidTr="00EC039C">
        <w:trPr>
          <w:trHeight w:val="402"/>
        </w:trPr>
        <w:tc>
          <w:tcPr>
            <w:tcW w:w="2249" w:type="dxa"/>
            <w:tcBorders>
              <w:top w:val="nil"/>
              <w:left w:val="single" w:sz="8" w:space="0" w:color="auto"/>
              <w:bottom w:val="single" w:sz="8" w:space="0" w:color="auto"/>
              <w:right w:val="single" w:sz="4" w:space="0" w:color="auto"/>
            </w:tcBorders>
            <w:shd w:val="clear" w:color="000000" w:fill="DBE5F1" w:themeFill="accent1" w:themeFillTint="33"/>
            <w:noWrap/>
            <w:vAlign w:val="center"/>
            <w:hideMark/>
          </w:tcPr>
          <w:p w14:paraId="3437EDD4" w14:textId="77777777" w:rsidR="00EC039C" w:rsidRPr="00716D7E" w:rsidRDefault="00EC039C" w:rsidP="00EC039C">
            <w:pPr>
              <w:rPr>
                <w:rFonts w:cs="Arial"/>
                <w:szCs w:val="20"/>
                <w:lang w:eastAsia="en-AU"/>
              </w:rPr>
            </w:pPr>
            <w:r w:rsidRPr="00716D7E">
              <w:rPr>
                <w:rFonts w:cs="Arial"/>
                <w:szCs w:val="20"/>
                <w:lang w:eastAsia="en-AU"/>
              </w:rPr>
              <w:t>1.2</w:t>
            </w:r>
          </w:p>
        </w:tc>
        <w:tc>
          <w:tcPr>
            <w:tcW w:w="4256" w:type="dxa"/>
            <w:tcBorders>
              <w:top w:val="nil"/>
              <w:left w:val="nil"/>
              <w:bottom w:val="single" w:sz="8" w:space="0" w:color="auto"/>
              <w:right w:val="single" w:sz="4" w:space="0" w:color="auto"/>
            </w:tcBorders>
            <w:shd w:val="clear" w:color="000000" w:fill="DBE5F1" w:themeFill="accent1" w:themeFillTint="33"/>
            <w:noWrap/>
            <w:vAlign w:val="center"/>
            <w:hideMark/>
          </w:tcPr>
          <w:p w14:paraId="60AB9FBA" w14:textId="77777777" w:rsidR="00EC039C" w:rsidRPr="00716D7E" w:rsidRDefault="00EC039C" w:rsidP="00EC039C">
            <w:pPr>
              <w:rPr>
                <w:rFonts w:cs="Arial"/>
                <w:szCs w:val="20"/>
                <w:lang w:eastAsia="en-AU"/>
              </w:rPr>
            </w:pPr>
            <w:r w:rsidRPr="00716D7E">
              <w:rPr>
                <w:rFonts w:cs="Arial"/>
                <w:szCs w:val="20"/>
                <w:lang w:eastAsia="en-AU"/>
              </w:rPr>
              <w:t>Applicant that does not hold a licence</w:t>
            </w:r>
          </w:p>
        </w:tc>
        <w:tc>
          <w:tcPr>
            <w:tcW w:w="3550" w:type="dxa"/>
            <w:tcBorders>
              <w:top w:val="nil"/>
              <w:left w:val="nil"/>
              <w:bottom w:val="single" w:sz="8" w:space="0" w:color="auto"/>
              <w:right w:val="single" w:sz="8" w:space="0" w:color="auto"/>
            </w:tcBorders>
            <w:shd w:val="clear" w:color="000000" w:fill="DBE5F1" w:themeFill="accent1" w:themeFillTint="33"/>
            <w:noWrap/>
            <w:vAlign w:val="center"/>
            <w:hideMark/>
          </w:tcPr>
          <w:p w14:paraId="331B87E0" w14:textId="40DB1263" w:rsidR="00EC039C" w:rsidRPr="00716D7E" w:rsidRDefault="00EC039C" w:rsidP="00BF41EC">
            <w:pPr>
              <w:rPr>
                <w:rFonts w:cs="Arial"/>
                <w:szCs w:val="20"/>
                <w:lang w:eastAsia="en-AU"/>
              </w:rPr>
            </w:pPr>
            <w:r w:rsidRPr="00716D7E">
              <w:rPr>
                <w:rFonts w:cs="Arial"/>
                <w:szCs w:val="20"/>
                <w:lang w:eastAsia="en-AU"/>
              </w:rPr>
              <w:t>$</w:t>
            </w:r>
            <w:r w:rsidR="00BF41EC">
              <w:rPr>
                <w:rFonts w:cs="Arial"/>
                <w:szCs w:val="20"/>
                <w:lang w:eastAsia="en-AU"/>
              </w:rPr>
              <w:t>643</w:t>
            </w:r>
          </w:p>
        </w:tc>
      </w:tr>
      <w:tr w:rsidR="00EC039C" w:rsidRPr="00716D7E" w14:paraId="3E0FA0AD" w14:textId="77777777" w:rsidTr="00EC039C">
        <w:trPr>
          <w:trHeight w:val="402"/>
        </w:trPr>
        <w:tc>
          <w:tcPr>
            <w:tcW w:w="10055" w:type="dxa"/>
            <w:gridSpan w:val="3"/>
            <w:tcBorders>
              <w:top w:val="single" w:sz="8" w:space="0" w:color="auto"/>
              <w:left w:val="single" w:sz="8" w:space="0" w:color="auto"/>
              <w:bottom w:val="single" w:sz="4" w:space="0" w:color="auto"/>
              <w:right w:val="single" w:sz="8" w:space="0" w:color="000000"/>
            </w:tcBorders>
            <w:shd w:val="clear" w:color="000000" w:fill="DBE5F1" w:themeFill="accent1" w:themeFillTint="33"/>
            <w:noWrap/>
            <w:vAlign w:val="center"/>
            <w:hideMark/>
          </w:tcPr>
          <w:p w14:paraId="08AF0997" w14:textId="77777777" w:rsidR="00EC039C" w:rsidRPr="00716D7E" w:rsidRDefault="00EC039C" w:rsidP="00EC039C">
            <w:pPr>
              <w:rPr>
                <w:rFonts w:cs="Arial"/>
                <w:b/>
                <w:bCs/>
                <w:szCs w:val="20"/>
                <w:lang w:eastAsia="en-AU"/>
              </w:rPr>
            </w:pPr>
            <w:r w:rsidRPr="00716D7E">
              <w:rPr>
                <w:rFonts w:cs="Arial"/>
                <w:b/>
                <w:bCs/>
                <w:szCs w:val="20"/>
                <w:lang w:eastAsia="en-AU"/>
              </w:rPr>
              <w:t>Part 2 Number of Verifiers</w:t>
            </w:r>
          </w:p>
        </w:tc>
      </w:tr>
      <w:tr w:rsidR="00EC039C" w:rsidRPr="00716D7E" w14:paraId="6877021F" w14:textId="77777777" w:rsidTr="00EC039C">
        <w:trPr>
          <w:trHeight w:val="402"/>
        </w:trPr>
        <w:tc>
          <w:tcPr>
            <w:tcW w:w="2249" w:type="dxa"/>
            <w:tcBorders>
              <w:top w:val="nil"/>
              <w:left w:val="single" w:sz="8" w:space="0" w:color="auto"/>
              <w:bottom w:val="single" w:sz="8" w:space="0" w:color="auto"/>
              <w:right w:val="single" w:sz="4" w:space="0" w:color="auto"/>
            </w:tcBorders>
            <w:shd w:val="clear" w:color="000000" w:fill="DBE5F1" w:themeFill="accent1" w:themeFillTint="33"/>
            <w:noWrap/>
            <w:vAlign w:val="center"/>
            <w:hideMark/>
          </w:tcPr>
          <w:p w14:paraId="7893D6E0" w14:textId="77777777" w:rsidR="00EC039C" w:rsidRPr="00716D7E" w:rsidRDefault="00EC039C" w:rsidP="00EC039C">
            <w:pPr>
              <w:rPr>
                <w:rFonts w:cs="Arial"/>
                <w:b/>
                <w:bCs/>
                <w:szCs w:val="20"/>
                <w:lang w:eastAsia="en-AU"/>
              </w:rPr>
            </w:pPr>
            <w:r w:rsidRPr="00716D7E">
              <w:rPr>
                <w:rFonts w:cs="Arial"/>
                <w:b/>
                <w:bCs/>
                <w:szCs w:val="20"/>
                <w:lang w:eastAsia="en-AU"/>
              </w:rPr>
              <w:t>Item</w:t>
            </w:r>
          </w:p>
        </w:tc>
        <w:tc>
          <w:tcPr>
            <w:tcW w:w="4256" w:type="dxa"/>
            <w:tcBorders>
              <w:top w:val="nil"/>
              <w:left w:val="nil"/>
              <w:bottom w:val="single" w:sz="8" w:space="0" w:color="auto"/>
              <w:right w:val="single" w:sz="4" w:space="0" w:color="auto"/>
            </w:tcBorders>
            <w:shd w:val="clear" w:color="000000" w:fill="DBE5F1" w:themeFill="accent1" w:themeFillTint="33"/>
            <w:noWrap/>
            <w:vAlign w:val="center"/>
            <w:hideMark/>
          </w:tcPr>
          <w:p w14:paraId="5AA73AE5" w14:textId="77777777" w:rsidR="00EC039C" w:rsidRPr="00716D7E" w:rsidRDefault="00EC039C" w:rsidP="00EC039C">
            <w:pPr>
              <w:rPr>
                <w:rFonts w:cs="Arial"/>
                <w:b/>
                <w:bCs/>
                <w:szCs w:val="20"/>
                <w:lang w:eastAsia="en-AU"/>
              </w:rPr>
            </w:pPr>
            <w:r w:rsidRPr="00716D7E">
              <w:rPr>
                <w:rFonts w:cs="Arial"/>
                <w:b/>
                <w:bCs/>
                <w:szCs w:val="20"/>
                <w:lang w:eastAsia="en-AU"/>
              </w:rPr>
              <w:t>Number of verifiers nominated in application</w:t>
            </w:r>
          </w:p>
        </w:tc>
        <w:tc>
          <w:tcPr>
            <w:tcW w:w="3550" w:type="dxa"/>
            <w:tcBorders>
              <w:top w:val="nil"/>
              <w:left w:val="nil"/>
              <w:bottom w:val="single" w:sz="8" w:space="0" w:color="auto"/>
              <w:right w:val="single" w:sz="8" w:space="0" w:color="auto"/>
            </w:tcBorders>
            <w:shd w:val="clear" w:color="000000" w:fill="DBE5F1" w:themeFill="accent1" w:themeFillTint="33"/>
            <w:noWrap/>
            <w:vAlign w:val="center"/>
            <w:hideMark/>
          </w:tcPr>
          <w:p w14:paraId="5C8B5634" w14:textId="77777777" w:rsidR="00EC039C" w:rsidRPr="00716D7E" w:rsidRDefault="00EC039C" w:rsidP="00EC039C">
            <w:pPr>
              <w:rPr>
                <w:rFonts w:cs="Arial"/>
                <w:b/>
                <w:bCs/>
                <w:szCs w:val="20"/>
                <w:lang w:eastAsia="en-AU"/>
              </w:rPr>
            </w:pPr>
            <w:r w:rsidRPr="00716D7E">
              <w:rPr>
                <w:rFonts w:cs="Arial"/>
                <w:b/>
                <w:bCs/>
                <w:szCs w:val="20"/>
                <w:lang w:eastAsia="en-AU"/>
              </w:rPr>
              <w:t>Fee</w:t>
            </w:r>
          </w:p>
        </w:tc>
      </w:tr>
      <w:tr w:rsidR="00BF41EC" w:rsidRPr="00716D7E" w14:paraId="54BD260D" w14:textId="77777777" w:rsidTr="000F46DB">
        <w:trPr>
          <w:trHeight w:val="402"/>
        </w:trPr>
        <w:tc>
          <w:tcPr>
            <w:tcW w:w="2249" w:type="dxa"/>
            <w:tcBorders>
              <w:top w:val="nil"/>
              <w:left w:val="single" w:sz="8" w:space="0" w:color="auto"/>
              <w:bottom w:val="single" w:sz="4" w:space="0" w:color="auto"/>
              <w:right w:val="single" w:sz="4" w:space="0" w:color="auto"/>
            </w:tcBorders>
            <w:shd w:val="clear" w:color="000000" w:fill="DBE5F1" w:themeFill="accent1" w:themeFillTint="33"/>
            <w:noWrap/>
            <w:vAlign w:val="center"/>
            <w:hideMark/>
          </w:tcPr>
          <w:p w14:paraId="38995B6B" w14:textId="77777777" w:rsidR="00BF41EC" w:rsidRPr="00716D7E" w:rsidRDefault="00BF41EC" w:rsidP="00BF41EC">
            <w:pPr>
              <w:rPr>
                <w:rFonts w:cs="Arial"/>
                <w:szCs w:val="20"/>
                <w:lang w:eastAsia="en-AU"/>
              </w:rPr>
            </w:pPr>
            <w:r w:rsidRPr="00716D7E">
              <w:rPr>
                <w:rFonts w:cs="Arial"/>
                <w:szCs w:val="20"/>
                <w:lang w:eastAsia="en-AU"/>
              </w:rPr>
              <w:t>2.1</w:t>
            </w:r>
          </w:p>
        </w:tc>
        <w:tc>
          <w:tcPr>
            <w:tcW w:w="4256" w:type="dxa"/>
            <w:tcBorders>
              <w:top w:val="nil"/>
              <w:left w:val="nil"/>
              <w:bottom w:val="single" w:sz="4" w:space="0" w:color="auto"/>
              <w:right w:val="single" w:sz="4" w:space="0" w:color="auto"/>
            </w:tcBorders>
            <w:shd w:val="clear" w:color="000000" w:fill="DBE5F1" w:themeFill="accent1" w:themeFillTint="33"/>
            <w:noWrap/>
            <w:vAlign w:val="center"/>
            <w:hideMark/>
          </w:tcPr>
          <w:p w14:paraId="6E54F0E2" w14:textId="77777777" w:rsidR="00BF41EC" w:rsidRPr="00716D7E" w:rsidRDefault="00BF41EC" w:rsidP="00BF41EC">
            <w:pPr>
              <w:rPr>
                <w:rFonts w:cs="Arial"/>
                <w:szCs w:val="20"/>
                <w:lang w:eastAsia="en-AU"/>
              </w:rPr>
            </w:pPr>
            <w:r w:rsidRPr="00716D7E">
              <w:rPr>
                <w:rFonts w:cs="Arial"/>
                <w:szCs w:val="20"/>
                <w:lang w:eastAsia="en-AU"/>
              </w:rPr>
              <w:t>1</w:t>
            </w:r>
          </w:p>
        </w:tc>
        <w:tc>
          <w:tcPr>
            <w:tcW w:w="3550" w:type="dxa"/>
            <w:tcBorders>
              <w:top w:val="nil"/>
              <w:left w:val="nil"/>
              <w:bottom w:val="single" w:sz="4" w:space="0" w:color="auto"/>
              <w:right w:val="single" w:sz="8" w:space="0" w:color="auto"/>
            </w:tcBorders>
            <w:shd w:val="clear" w:color="000000" w:fill="DBE5F1" w:themeFill="accent1" w:themeFillTint="33"/>
            <w:noWrap/>
            <w:hideMark/>
          </w:tcPr>
          <w:p w14:paraId="4BAA0636" w14:textId="12C242E9" w:rsidR="00BF41EC" w:rsidRPr="00716D7E" w:rsidRDefault="00BF41EC" w:rsidP="00BF41EC">
            <w:pPr>
              <w:spacing w:before="60" w:after="60"/>
              <w:rPr>
                <w:rFonts w:cs="Arial"/>
                <w:szCs w:val="20"/>
                <w:lang w:eastAsia="en-AU"/>
              </w:rPr>
            </w:pPr>
            <w:r w:rsidRPr="000A05C4">
              <w:t>$707 x number of years of licence (including any part of a year)</w:t>
            </w:r>
          </w:p>
        </w:tc>
      </w:tr>
      <w:tr w:rsidR="00BF41EC" w:rsidRPr="00716D7E" w14:paraId="4ECFF88F" w14:textId="77777777" w:rsidTr="000F46DB">
        <w:trPr>
          <w:trHeight w:val="402"/>
        </w:trPr>
        <w:tc>
          <w:tcPr>
            <w:tcW w:w="2249" w:type="dxa"/>
            <w:tcBorders>
              <w:top w:val="nil"/>
              <w:left w:val="single" w:sz="8" w:space="0" w:color="auto"/>
              <w:bottom w:val="single" w:sz="4" w:space="0" w:color="auto"/>
              <w:right w:val="single" w:sz="4" w:space="0" w:color="auto"/>
            </w:tcBorders>
            <w:shd w:val="clear" w:color="000000" w:fill="DBE5F1" w:themeFill="accent1" w:themeFillTint="33"/>
            <w:noWrap/>
            <w:vAlign w:val="center"/>
            <w:hideMark/>
          </w:tcPr>
          <w:p w14:paraId="776991CB" w14:textId="77777777" w:rsidR="00BF41EC" w:rsidRPr="00716D7E" w:rsidRDefault="00BF41EC" w:rsidP="00BF41EC">
            <w:pPr>
              <w:rPr>
                <w:rFonts w:cs="Arial"/>
                <w:szCs w:val="20"/>
                <w:lang w:eastAsia="en-AU"/>
              </w:rPr>
            </w:pPr>
            <w:r w:rsidRPr="00716D7E">
              <w:rPr>
                <w:rFonts w:cs="Arial"/>
                <w:szCs w:val="20"/>
                <w:lang w:eastAsia="en-AU"/>
              </w:rPr>
              <w:t>2.2</w:t>
            </w:r>
          </w:p>
        </w:tc>
        <w:tc>
          <w:tcPr>
            <w:tcW w:w="4256" w:type="dxa"/>
            <w:tcBorders>
              <w:top w:val="nil"/>
              <w:left w:val="nil"/>
              <w:bottom w:val="single" w:sz="4" w:space="0" w:color="auto"/>
              <w:right w:val="single" w:sz="4" w:space="0" w:color="auto"/>
            </w:tcBorders>
            <w:shd w:val="clear" w:color="000000" w:fill="DBE5F1" w:themeFill="accent1" w:themeFillTint="33"/>
            <w:noWrap/>
            <w:vAlign w:val="center"/>
            <w:hideMark/>
          </w:tcPr>
          <w:p w14:paraId="280B071E" w14:textId="77777777" w:rsidR="00BF41EC" w:rsidRPr="00716D7E" w:rsidRDefault="00BF41EC" w:rsidP="00BF41EC">
            <w:pPr>
              <w:rPr>
                <w:rFonts w:cs="Arial"/>
                <w:szCs w:val="20"/>
                <w:lang w:eastAsia="en-AU"/>
              </w:rPr>
            </w:pPr>
            <w:r w:rsidRPr="00716D7E">
              <w:rPr>
                <w:rFonts w:cs="Arial"/>
                <w:szCs w:val="20"/>
                <w:lang w:eastAsia="en-AU"/>
              </w:rPr>
              <w:t>At least 2 but no more than 10</w:t>
            </w:r>
          </w:p>
        </w:tc>
        <w:tc>
          <w:tcPr>
            <w:tcW w:w="3550" w:type="dxa"/>
            <w:tcBorders>
              <w:top w:val="nil"/>
              <w:left w:val="nil"/>
              <w:bottom w:val="single" w:sz="4" w:space="0" w:color="auto"/>
              <w:right w:val="single" w:sz="8" w:space="0" w:color="auto"/>
            </w:tcBorders>
            <w:shd w:val="clear" w:color="000000" w:fill="DBE5F1" w:themeFill="accent1" w:themeFillTint="33"/>
            <w:noWrap/>
            <w:hideMark/>
          </w:tcPr>
          <w:p w14:paraId="4A1CD2CE" w14:textId="46B504C4" w:rsidR="00BF41EC" w:rsidRPr="00716D7E" w:rsidRDefault="00BF41EC" w:rsidP="00BF41EC">
            <w:pPr>
              <w:spacing w:before="60" w:after="60"/>
              <w:rPr>
                <w:rFonts w:cs="Arial"/>
                <w:szCs w:val="20"/>
                <w:lang w:eastAsia="en-AU"/>
              </w:rPr>
            </w:pPr>
            <w:r w:rsidRPr="000A05C4">
              <w:t>$1</w:t>
            </w:r>
            <w:r>
              <w:t>,</w:t>
            </w:r>
            <w:r w:rsidRPr="000A05C4">
              <w:t>092 x number of years of licence (including any part of a year)</w:t>
            </w:r>
          </w:p>
        </w:tc>
      </w:tr>
      <w:tr w:rsidR="00BF41EC" w:rsidRPr="00716D7E" w14:paraId="0E888621" w14:textId="77777777" w:rsidTr="000F46DB">
        <w:trPr>
          <w:trHeight w:val="402"/>
        </w:trPr>
        <w:tc>
          <w:tcPr>
            <w:tcW w:w="2249" w:type="dxa"/>
            <w:tcBorders>
              <w:top w:val="nil"/>
              <w:left w:val="single" w:sz="8" w:space="0" w:color="auto"/>
              <w:bottom w:val="single" w:sz="4" w:space="0" w:color="auto"/>
              <w:right w:val="single" w:sz="4" w:space="0" w:color="auto"/>
            </w:tcBorders>
            <w:shd w:val="clear" w:color="000000" w:fill="DBE5F1" w:themeFill="accent1" w:themeFillTint="33"/>
            <w:noWrap/>
            <w:vAlign w:val="center"/>
            <w:hideMark/>
          </w:tcPr>
          <w:p w14:paraId="1B7F69FB" w14:textId="77777777" w:rsidR="00BF41EC" w:rsidRPr="00716D7E" w:rsidRDefault="00BF41EC" w:rsidP="00BF41EC">
            <w:pPr>
              <w:rPr>
                <w:rFonts w:cs="Arial"/>
                <w:szCs w:val="20"/>
                <w:lang w:eastAsia="en-AU"/>
              </w:rPr>
            </w:pPr>
            <w:r w:rsidRPr="00716D7E">
              <w:rPr>
                <w:rFonts w:cs="Arial"/>
                <w:szCs w:val="20"/>
                <w:lang w:eastAsia="en-AU"/>
              </w:rPr>
              <w:t>2.3</w:t>
            </w:r>
          </w:p>
        </w:tc>
        <w:tc>
          <w:tcPr>
            <w:tcW w:w="4256" w:type="dxa"/>
            <w:tcBorders>
              <w:top w:val="nil"/>
              <w:left w:val="nil"/>
              <w:bottom w:val="single" w:sz="4" w:space="0" w:color="auto"/>
              <w:right w:val="single" w:sz="4" w:space="0" w:color="auto"/>
            </w:tcBorders>
            <w:shd w:val="clear" w:color="000000" w:fill="DBE5F1" w:themeFill="accent1" w:themeFillTint="33"/>
            <w:noWrap/>
            <w:vAlign w:val="center"/>
            <w:hideMark/>
          </w:tcPr>
          <w:p w14:paraId="02118878" w14:textId="77777777" w:rsidR="00BF41EC" w:rsidRPr="00716D7E" w:rsidRDefault="00BF41EC" w:rsidP="00BF41EC">
            <w:pPr>
              <w:rPr>
                <w:rFonts w:cs="Arial"/>
                <w:szCs w:val="20"/>
                <w:lang w:eastAsia="en-AU"/>
              </w:rPr>
            </w:pPr>
            <w:r w:rsidRPr="00716D7E">
              <w:rPr>
                <w:rFonts w:cs="Arial"/>
                <w:szCs w:val="20"/>
                <w:lang w:eastAsia="en-AU"/>
              </w:rPr>
              <w:t>At least 11 but no more than 50</w:t>
            </w:r>
          </w:p>
        </w:tc>
        <w:tc>
          <w:tcPr>
            <w:tcW w:w="3550" w:type="dxa"/>
            <w:tcBorders>
              <w:top w:val="nil"/>
              <w:left w:val="nil"/>
              <w:bottom w:val="single" w:sz="4" w:space="0" w:color="auto"/>
              <w:right w:val="single" w:sz="8" w:space="0" w:color="auto"/>
            </w:tcBorders>
            <w:shd w:val="clear" w:color="000000" w:fill="DBE5F1" w:themeFill="accent1" w:themeFillTint="33"/>
            <w:noWrap/>
            <w:hideMark/>
          </w:tcPr>
          <w:p w14:paraId="75AD259A" w14:textId="2984BD14" w:rsidR="00BF41EC" w:rsidRPr="00716D7E" w:rsidRDefault="00BF41EC" w:rsidP="00BF41EC">
            <w:pPr>
              <w:spacing w:before="60" w:after="60"/>
              <w:rPr>
                <w:rFonts w:cs="Arial"/>
                <w:szCs w:val="20"/>
                <w:lang w:eastAsia="en-AU"/>
              </w:rPr>
            </w:pPr>
            <w:r w:rsidRPr="000A05C4">
              <w:t>$2</w:t>
            </w:r>
            <w:r>
              <w:t>,</w:t>
            </w:r>
            <w:r w:rsidRPr="000A05C4">
              <w:t>634 x number of years of licence (including any part of a year)</w:t>
            </w:r>
          </w:p>
        </w:tc>
      </w:tr>
      <w:tr w:rsidR="00BF41EC" w:rsidRPr="00716D7E" w14:paraId="0116BAF9" w14:textId="77777777" w:rsidTr="000F46DB">
        <w:trPr>
          <w:trHeight w:val="402"/>
        </w:trPr>
        <w:tc>
          <w:tcPr>
            <w:tcW w:w="2249" w:type="dxa"/>
            <w:tcBorders>
              <w:top w:val="nil"/>
              <w:left w:val="single" w:sz="8" w:space="0" w:color="auto"/>
              <w:bottom w:val="single" w:sz="4" w:space="0" w:color="auto"/>
              <w:right w:val="single" w:sz="4" w:space="0" w:color="auto"/>
            </w:tcBorders>
            <w:shd w:val="clear" w:color="000000" w:fill="DBE5F1" w:themeFill="accent1" w:themeFillTint="33"/>
            <w:noWrap/>
            <w:vAlign w:val="center"/>
            <w:hideMark/>
          </w:tcPr>
          <w:p w14:paraId="268E49E0" w14:textId="77777777" w:rsidR="00BF41EC" w:rsidRPr="00716D7E" w:rsidRDefault="00BF41EC" w:rsidP="00BF41EC">
            <w:pPr>
              <w:rPr>
                <w:rFonts w:cs="Arial"/>
                <w:szCs w:val="20"/>
                <w:lang w:eastAsia="en-AU"/>
              </w:rPr>
            </w:pPr>
            <w:r w:rsidRPr="00716D7E">
              <w:rPr>
                <w:rFonts w:cs="Arial"/>
                <w:szCs w:val="20"/>
                <w:lang w:eastAsia="en-AU"/>
              </w:rPr>
              <w:t>2.4</w:t>
            </w:r>
          </w:p>
        </w:tc>
        <w:tc>
          <w:tcPr>
            <w:tcW w:w="4256" w:type="dxa"/>
            <w:tcBorders>
              <w:top w:val="nil"/>
              <w:left w:val="nil"/>
              <w:bottom w:val="single" w:sz="4" w:space="0" w:color="auto"/>
              <w:right w:val="single" w:sz="4" w:space="0" w:color="auto"/>
            </w:tcBorders>
            <w:shd w:val="clear" w:color="000000" w:fill="DBE5F1" w:themeFill="accent1" w:themeFillTint="33"/>
            <w:noWrap/>
            <w:vAlign w:val="center"/>
            <w:hideMark/>
          </w:tcPr>
          <w:p w14:paraId="3BB4DE75" w14:textId="77777777" w:rsidR="00BF41EC" w:rsidRPr="00716D7E" w:rsidRDefault="00BF41EC" w:rsidP="00BF41EC">
            <w:pPr>
              <w:rPr>
                <w:rFonts w:cs="Arial"/>
                <w:szCs w:val="20"/>
                <w:lang w:eastAsia="en-AU"/>
              </w:rPr>
            </w:pPr>
            <w:r w:rsidRPr="00716D7E">
              <w:rPr>
                <w:rFonts w:cs="Arial"/>
                <w:szCs w:val="20"/>
                <w:lang w:eastAsia="en-AU"/>
              </w:rPr>
              <w:t>At least 51 but no more than 100</w:t>
            </w:r>
          </w:p>
        </w:tc>
        <w:tc>
          <w:tcPr>
            <w:tcW w:w="3550" w:type="dxa"/>
            <w:tcBorders>
              <w:top w:val="nil"/>
              <w:left w:val="nil"/>
              <w:bottom w:val="single" w:sz="4" w:space="0" w:color="auto"/>
              <w:right w:val="single" w:sz="8" w:space="0" w:color="auto"/>
            </w:tcBorders>
            <w:shd w:val="clear" w:color="000000" w:fill="DBE5F1" w:themeFill="accent1" w:themeFillTint="33"/>
            <w:noWrap/>
            <w:hideMark/>
          </w:tcPr>
          <w:p w14:paraId="24C6FE4E" w14:textId="645674FE" w:rsidR="00BF41EC" w:rsidRPr="00716D7E" w:rsidRDefault="00BF41EC" w:rsidP="00BF41EC">
            <w:pPr>
              <w:spacing w:before="60" w:after="60"/>
              <w:rPr>
                <w:rFonts w:cs="Arial"/>
                <w:szCs w:val="20"/>
                <w:lang w:eastAsia="en-AU"/>
              </w:rPr>
            </w:pPr>
            <w:r w:rsidRPr="000A05C4">
              <w:t>$4</w:t>
            </w:r>
            <w:r>
              <w:t>,</w:t>
            </w:r>
            <w:r w:rsidRPr="000A05C4">
              <w:t>562 x number of years of licence (including any part of a year)</w:t>
            </w:r>
          </w:p>
        </w:tc>
      </w:tr>
      <w:tr w:rsidR="00BF41EC" w:rsidRPr="00716D7E" w14:paraId="33C01539" w14:textId="77777777" w:rsidTr="000F46DB">
        <w:trPr>
          <w:trHeight w:val="402"/>
        </w:trPr>
        <w:tc>
          <w:tcPr>
            <w:tcW w:w="2249" w:type="dxa"/>
            <w:tcBorders>
              <w:top w:val="nil"/>
              <w:left w:val="single" w:sz="8" w:space="0" w:color="auto"/>
              <w:bottom w:val="single" w:sz="8" w:space="0" w:color="auto"/>
              <w:right w:val="single" w:sz="4" w:space="0" w:color="auto"/>
            </w:tcBorders>
            <w:shd w:val="clear" w:color="000000" w:fill="DBE5F1" w:themeFill="accent1" w:themeFillTint="33"/>
            <w:noWrap/>
            <w:vAlign w:val="center"/>
            <w:hideMark/>
          </w:tcPr>
          <w:p w14:paraId="600FA49E" w14:textId="77777777" w:rsidR="00BF41EC" w:rsidRPr="00716D7E" w:rsidRDefault="00BF41EC" w:rsidP="00BF41EC">
            <w:pPr>
              <w:rPr>
                <w:rFonts w:cs="Arial"/>
                <w:szCs w:val="20"/>
                <w:lang w:eastAsia="en-AU"/>
              </w:rPr>
            </w:pPr>
            <w:r w:rsidRPr="00716D7E">
              <w:rPr>
                <w:rFonts w:cs="Arial"/>
                <w:szCs w:val="20"/>
                <w:lang w:eastAsia="en-AU"/>
              </w:rPr>
              <w:t>2.5</w:t>
            </w:r>
          </w:p>
        </w:tc>
        <w:tc>
          <w:tcPr>
            <w:tcW w:w="4256" w:type="dxa"/>
            <w:tcBorders>
              <w:top w:val="nil"/>
              <w:left w:val="nil"/>
              <w:bottom w:val="single" w:sz="8" w:space="0" w:color="auto"/>
              <w:right w:val="single" w:sz="4" w:space="0" w:color="auto"/>
            </w:tcBorders>
            <w:shd w:val="clear" w:color="000000" w:fill="DBE5F1" w:themeFill="accent1" w:themeFillTint="33"/>
            <w:noWrap/>
            <w:vAlign w:val="center"/>
            <w:hideMark/>
          </w:tcPr>
          <w:p w14:paraId="532B2A26" w14:textId="77777777" w:rsidR="00BF41EC" w:rsidRPr="00716D7E" w:rsidRDefault="00BF41EC" w:rsidP="00BF41EC">
            <w:pPr>
              <w:rPr>
                <w:rFonts w:cs="Arial"/>
                <w:szCs w:val="20"/>
                <w:lang w:eastAsia="en-AU"/>
              </w:rPr>
            </w:pPr>
            <w:r w:rsidRPr="00716D7E">
              <w:rPr>
                <w:rFonts w:cs="Arial"/>
                <w:szCs w:val="20"/>
                <w:lang w:eastAsia="en-AU"/>
              </w:rPr>
              <w:t>At least 101</w:t>
            </w:r>
          </w:p>
        </w:tc>
        <w:tc>
          <w:tcPr>
            <w:tcW w:w="3550" w:type="dxa"/>
            <w:tcBorders>
              <w:top w:val="nil"/>
              <w:left w:val="nil"/>
              <w:bottom w:val="single" w:sz="8" w:space="0" w:color="auto"/>
              <w:right w:val="single" w:sz="8" w:space="0" w:color="auto"/>
            </w:tcBorders>
            <w:shd w:val="clear" w:color="000000" w:fill="DBE5F1" w:themeFill="accent1" w:themeFillTint="33"/>
            <w:noWrap/>
            <w:hideMark/>
          </w:tcPr>
          <w:p w14:paraId="39FCD690" w14:textId="63D30E1C" w:rsidR="00BF41EC" w:rsidRPr="00716D7E" w:rsidRDefault="00BF41EC" w:rsidP="00BF41EC">
            <w:pPr>
              <w:spacing w:before="60" w:after="60"/>
              <w:rPr>
                <w:rFonts w:cs="Arial"/>
                <w:szCs w:val="20"/>
                <w:lang w:eastAsia="en-AU"/>
              </w:rPr>
            </w:pPr>
            <w:r w:rsidRPr="000A05C4">
              <w:t>$7</w:t>
            </w:r>
            <w:r>
              <w:t>,</w:t>
            </w:r>
            <w:r w:rsidRPr="000A05C4">
              <w:t>453 x number of years of licence (including any part of a year)</w:t>
            </w:r>
          </w:p>
        </w:tc>
      </w:tr>
      <w:tr w:rsidR="00EC039C" w:rsidRPr="00716D7E" w14:paraId="3C3E6FF4" w14:textId="77777777" w:rsidTr="00EC039C">
        <w:trPr>
          <w:trHeight w:val="402"/>
        </w:trPr>
        <w:tc>
          <w:tcPr>
            <w:tcW w:w="10055" w:type="dxa"/>
            <w:gridSpan w:val="3"/>
            <w:tcBorders>
              <w:top w:val="single" w:sz="8" w:space="0" w:color="auto"/>
              <w:left w:val="single" w:sz="8" w:space="0" w:color="auto"/>
              <w:bottom w:val="single" w:sz="4" w:space="0" w:color="auto"/>
              <w:right w:val="single" w:sz="8" w:space="0" w:color="000000"/>
            </w:tcBorders>
            <w:shd w:val="clear" w:color="000000" w:fill="DBE5F1" w:themeFill="accent1" w:themeFillTint="33"/>
            <w:noWrap/>
            <w:vAlign w:val="center"/>
            <w:hideMark/>
          </w:tcPr>
          <w:p w14:paraId="6AFB0D69" w14:textId="77777777" w:rsidR="00EC039C" w:rsidRPr="00716D7E" w:rsidRDefault="00EC039C" w:rsidP="00EC039C">
            <w:pPr>
              <w:rPr>
                <w:rFonts w:cs="Arial"/>
                <w:b/>
                <w:bCs/>
                <w:szCs w:val="20"/>
                <w:lang w:eastAsia="en-AU"/>
              </w:rPr>
            </w:pPr>
            <w:r w:rsidRPr="00716D7E">
              <w:rPr>
                <w:rFonts w:cs="Arial"/>
                <w:b/>
                <w:bCs/>
                <w:szCs w:val="20"/>
                <w:lang w:eastAsia="en-AU"/>
              </w:rPr>
              <w:t>Part 3 Categories of Licence</w:t>
            </w:r>
          </w:p>
        </w:tc>
      </w:tr>
      <w:tr w:rsidR="00EC039C" w:rsidRPr="00716D7E" w14:paraId="343DE9A2" w14:textId="77777777" w:rsidTr="00EC039C">
        <w:trPr>
          <w:trHeight w:val="402"/>
        </w:trPr>
        <w:tc>
          <w:tcPr>
            <w:tcW w:w="2249" w:type="dxa"/>
            <w:tcBorders>
              <w:top w:val="nil"/>
              <w:left w:val="single" w:sz="8" w:space="0" w:color="auto"/>
              <w:bottom w:val="single" w:sz="8" w:space="0" w:color="auto"/>
              <w:right w:val="single" w:sz="4" w:space="0" w:color="auto"/>
            </w:tcBorders>
            <w:shd w:val="clear" w:color="000000" w:fill="DBE5F1" w:themeFill="accent1" w:themeFillTint="33"/>
            <w:noWrap/>
            <w:vAlign w:val="center"/>
            <w:hideMark/>
          </w:tcPr>
          <w:p w14:paraId="4259B264" w14:textId="77777777" w:rsidR="00EC039C" w:rsidRPr="00716D7E" w:rsidRDefault="00EC039C" w:rsidP="00EC039C">
            <w:pPr>
              <w:rPr>
                <w:rFonts w:cs="Arial"/>
                <w:b/>
                <w:bCs/>
                <w:szCs w:val="20"/>
                <w:lang w:eastAsia="en-AU"/>
              </w:rPr>
            </w:pPr>
            <w:r w:rsidRPr="00716D7E">
              <w:rPr>
                <w:rFonts w:cs="Arial"/>
                <w:b/>
                <w:bCs/>
                <w:szCs w:val="20"/>
                <w:lang w:eastAsia="en-AU"/>
              </w:rPr>
              <w:t>Item</w:t>
            </w:r>
          </w:p>
        </w:tc>
        <w:tc>
          <w:tcPr>
            <w:tcW w:w="7806" w:type="dxa"/>
            <w:gridSpan w:val="2"/>
            <w:tcBorders>
              <w:top w:val="single" w:sz="4" w:space="0" w:color="auto"/>
              <w:left w:val="nil"/>
              <w:bottom w:val="single" w:sz="8" w:space="0" w:color="auto"/>
              <w:right w:val="single" w:sz="8" w:space="0" w:color="000000"/>
            </w:tcBorders>
            <w:shd w:val="clear" w:color="000000" w:fill="DBE5F1" w:themeFill="accent1" w:themeFillTint="33"/>
            <w:noWrap/>
            <w:vAlign w:val="center"/>
            <w:hideMark/>
          </w:tcPr>
          <w:p w14:paraId="061D7C80" w14:textId="77777777" w:rsidR="00EC039C" w:rsidRPr="00716D7E" w:rsidRDefault="00EC039C" w:rsidP="00EC039C">
            <w:pPr>
              <w:rPr>
                <w:rFonts w:cs="Arial"/>
                <w:b/>
                <w:bCs/>
                <w:szCs w:val="20"/>
                <w:lang w:eastAsia="en-AU"/>
              </w:rPr>
            </w:pPr>
            <w:r w:rsidRPr="00716D7E">
              <w:rPr>
                <w:rFonts w:cs="Arial"/>
                <w:b/>
                <w:bCs/>
                <w:szCs w:val="20"/>
                <w:lang w:eastAsia="en-AU"/>
              </w:rPr>
              <w:t>Fee</w:t>
            </w:r>
          </w:p>
        </w:tc>
      </w:tr>
      <w:tr w:rsidR="00EC039C" w:rsidRPr="00716D7E" w14:paraId="5B1205B9" w14:textId="77777777" w:rsidTr="00EC039C">
        <w:trPr>
          <w:trHeight w:val="402"/>
        </w:trPr>
        <w:tc>
          <w:tcPr>
            <w:tcW w:w="2249" w:type="dxa"/>
            <w:tcBorders>
              <w:top w:val="nil"/>
              <w:left w:val="single" w:sz="8" w:space="0" w:color="auto"/>
              <w:bottom w:val="single" w:sz="8" w:space="0" w:color="auto"/>
              <w:right w:val="single" w:sz="4" w:space="0" w:color="auto"/>
            </w:tcBorders>
            <w:shd w:val="clear" w:color="000000" w:fill="DBE5F1" w:themeFill="accent1" w:themeFillTint="33"/>
            <w:noWrap/>
            <w:vAlign w:val="center"/>
            <w:hideMark/>
          </w:tcPr>
          <w:p w14:paraId="4638A8FE" w14:textId="77777777" w:rsidR="00EC039C" w:rsidRPr="00716D7E" w:rsidRDefault="00EC039C" w:rsidP="00EC039C">
            <w:pPr>
              <w:rPr>
                <w:rFonts w:cs="Arial"/>
                <w:szCs w:val="20"/>
                <w:lang w:eastAsia="en-AU"/>
              </w:rPr>
            </w:pPr>
            <w:r w:rsidRPr="00716D7E">
              <w:rPr>
                <w:rFonts w:cs="Arial"/>
                <w:szCs w:val="20"/>
                <w:lang w:eastAsia="en-AU"/>
              </w:rPr>
              <w:t>3.1</w:t>
            </w:r>
          </w:p>
        </w:tc>
        <w:tc>
          <w:tcPr>
            <w:tcW w:w="7806" w:type="dxa"/>
            <w:gridSpan w:val="2"/>
            <w:tcBorders>
              <w:top w:val="nil"/>
              <w:left w:val="nil"/>
              <w:bottom w:val="single" w:sz="8" w:space="0" w:color="auto"/>
              <w:right w:val="single" w:sz="8" w:space="0" w:color="000000"/>
            </w:tcBorders>
            <w:shd w:val="clear" w:color="000000" w:fill="DBE5F1" w:themeFill="accent1" w:themeFillTint="33"/>
            <w:noWrap/>
            <w:vAlign w:val="center"/>
            <w:hideMark/>
          </w:tcPr>
          <w:p w14:paraId="06B7FA82" w14:textId="2068C108" w:rsidR="00EC039C" w:rsidRPr="00716D7E" w:rsidRDefault="00EC039C" w:rsidP="00BF41EC">
            <w:pPr>
              <w:rPr>
                <w:rFonts w:cs="Arial"/>
                <w:szCs w:val="20"/>
                <w:lang w:eastAsia="en-AU"/>
              </w:rPr>
            </w:pPr>
            <w:r w:rsidRPr="00716D7E">
              <w:rPr>
                <w:rFonts w:cs="Arial"/>
                <w:szCs w:val="20"/>
                <w:lang w:eastAsia="en-AU"/>
              </w:rPr>
              <w:t>Number of classes of servicing licence to which the application relates x $1</w:t>
            </w:r>
            <w:r w:rsidR="00BF41EC">
              <w:rPr>
                <w:rFonts w:cs="Arial"/>
                <w:szCs w:val="20"/>
                <w:lang w:eastAsia="en-AU"/>
              </w:rPr>
              <w:t>61</w:t>
            </w:r>
          </w:p>
        </w:tc>
      </w:tr>
    </w:tbl>
    <w:p w14:paraId="72FF45C2" w14:textId="3232EBD8" w:rsidR="003A2144" w:rsidRDefault="003A2144">
      <w:pPr>
        <w:spacing w:after="200" w:line="276" w:lineRule="auto"/>
        <w:rPr>
          <w:rFonts w:eastAsia="Arial" w:cs="Arial"/>
          <w:szCs w:val="20"/>
        </w:rPr>
      </w:pPr>
    </w:p>
    <w:p w14:paraId="46240F86" w14:textId="77777777" w:rsidR="00716D7E" w:rsidRDefault="00716D7E">
      <w:pPr>
        <w:spacing w:after="200" w:line="276" w:lineRule="auto"/>
        <w:rPr>
          <w:rFonts w:eastAsia="Arial" w:cs="Arial"/>
          <w:szCs w:val="20"/>
        </w:rPr>
      </w:pPr>
    </w:p>
    <w:p w14:paraId="70745ED2" w14:textId="77777777" w:rsidR="00716D7E" w:rsidRDefault="00716D7E">
      <w:pPr>
        <w:spacing w:after="200" w:line="276" w:lineRule="auto"/>
        <w:rPr>
          <w:rFonts w:eastAsia="Arial" w:cs="Arial"/>
          <w:szCs w:val="20"/>
        </w:rPr>
      </w:pPr>
    </w:p>
    <w:p w14:paraId="3B6681A5" w14:textId="77777777" w:rsidR="00716D7E" w:rsidRDefault="00716D7E">
      <w:pPr>
        <w:spacing w:after="200" w:line="276" w:lineRule="auto"/>
        <w:rPr>
          <w:rFonts w:eastAsia="Arial" w:cs="Arial"/>
          <w:szCs w:val="20"/>
        </w:rPr>
      </w:pPr>
    </w:p>
    <w:p w14:paraId="66886B62" w14:textId="77777777" w:rsidR="00716D7E" w:rsidRDefault="00716D7E">
      <w:pPr>
        <w:spacing w:after="200" w:line="276" w:lineRule="auto"/>
        <w:rPr>
          <w:rFonts w:eastAsia="Arial" w:cs="Arial"/>
          <w:szCs w:val="20"/>
        </w:rPr>
      </w:pPr>
    </w:p>
    <w:p w14:paraId="1A8C83A4" w14:textId="77777777" w:rsidR="00716D7E" w:rsidRDefault="00716D7E">
      <w:pPr>
        <w:spacing w:after="200" w:line="276" w:lineRule="auto"/>
        <w:rPr>
          <w:rFonts w:eastAsia="Arial" w:cs="Arial"/>
          <w:szCs w:val="20"/>
        </w:rPr>
      </w:pPr>
    </w:p>
    <w:p w14:paraId="0AEDAA80" w14:textId="77777777" w:rsidR="007C0A11" w:rsidRDefault="007C0A11">
      <w:pPr>
        <w:spacing w:after="200" w:line="276" w:lineRule="auto"/>
        <w:rPr>
          <w:rFonts w:eastAsia="Arial" w:cs="Arial"/>
          <w:szCs w:val="20"/>
        </w:rPr>
      </w:pPr>
    </w:p>
    <w:p w14:paraId="5AB2B236" w14:textId="77777777" w:rsidR="007C0A11" w:rsidRDefault="007C0A11">
      <w:pPr>
        <w:spacing w:after="200" w:line="276" w:lineRule="auto"/>
        <w:rPr>
          <w:rFonts w:eastAsia="Arial" w:cs="Arial"/>
          <w:szCs w:val="20"/>
        </w:rPr>
      </w:pPr>
    </w:p>
    <w:p w14:paraId="146BA6EC" w14:textId="77777777" w:rsidR="007C0A11" w:rsidRDefault="007C0A11">
      <w:pPr>
        <w:spacing w:after="200" w:line="276" w:lineRule="auto"/>
        <w:rPr>
          <w:rFonts w:eastAsia="Arial" w:cs="Arial"/>
          <w:szCs w:val="20"/>
        </w:rPr>
      </w:pPr>
    </w:p>
    <w:p w14:paraId="1BA2F9C8" w14:textId="77777777" w:rsidR="00716D7E" w:rsidRDefault="00716D7E">
      <w:pPr>
        <w:spacing w:after="200" w:line="276" w:lineRule="auto"/>
        <w:rPr>
          <w:rFonts w:eastAsia="Arial" w:cs="Arial"/>
          <w:szCs w:val="20"/>
        </w:rPr>
      </w:pPr>
    </w:p>
    <w:p w14:paraId="1ADC476A" w14:textId="6622E38E" w:rsidR="00A67C3B" w:rsidRDefault="002A7945" w:rsidP="00A67C3B">
      <w:pPr>
        <w:pStyle w:val="Heading2"/>
        <w:numPr>
          <w:ilvl w:val="0"/>
          <w:numId w:val="0"/>
        </w:numPr>
        <w:ind w:left="576" w:hanging="576"/>
        <w:rPr>
          <w:rFonts w:eastAsia="Arial"/>
        </w:rPr>
      </w:pPr>
      <w:bookmarkStart w:id="94" w:name="_Toc85106103"/>
      <w:r>
        <w:rPr>
          <w:rFonts w:eastAsia="Arial"/>
        </w:rPr>
        <w:lastRenderedPageBreak/>
        <w:t>B.2 Servicing</w:t>
      </w:r>
      <w:r w:rsidR="00A67C3B">
        <w:rPr>
          <w:rFonts w:eastAsia="Arial"/>
        </w:rPr>
        <w:t xml:space="preserve"> Licence fees for the financial year 20</w:t>
      </w:r>
      <w:r w:rsidR="00EC039C">
        <w:rPr>
          <w:rFonts w:eastAsia="Arial"/>
        </w:rPr>
        <w:t>2</w:t>
      </w:r>
      <w:r w:rsidR="00BF41EC">
        <w:rPr>
          <w:rFonts w:eastAsia="Arial"/>
        </w:rPr>
        <w:t>1</w:t>
      </w:r>
      <w:r w:rsidR="00A67C3B">
        <w:rPr>
          <w:rFonts w:eastAsia="Arial"/>
        </w:rPr>
        <w:t>-202</w:t>
      </w:r>
      <w:r w:rsidR="00BF41EC">
        <w:rPr>
          <w:rFonts w:eastAsia="Arial"/>
        </w:rPr>
        <w:t>2</w:t>
      </w:r>
      <w:bookmarkEnd w:id="94"/>
    </w:p>
    <w:p w14:paraId="0FAC6CE7" w14:textId="77777777" w:rsidR="00A67C3B" w:rsidRDefault="00A67C3B" w:rsidP="00A67C3B">
      <w:pPr>
        <w:rPr>
          <w:rFonts w:eastAsia="Arial"/>
        </w:rPr>
      </w:pPr>
    </w:p>
    <w:tbl>
      <w:tblPr>
        <w:tblW w:w="10055" w:type="dxa"/>
        <w:shd w:val="clear" w:color="000000" w:fill="DBE5F1" w:themeFill="accent1" w:themeFillTint="33"/>
        <w:tblLook w:val="04A0" w:firstRow="1" w:lastRow="0" w:firstColumn="1" w:lastColumn="0" w:noHBand="0" w:noVBand="1"/>
      </w:tblPr>
      <w:tblGrid>
        <w:gridCol w:w="2249"/>
        <w:gridCol w:w="4256"/>
        <w:gridCol w:w="3550"/>
      </w:tblGrid>
      <w:tr w:rsidR="007C0A11" w:rsidRPr="004D5084" w14:paraId="3DE7B4BB" w14:textId="77777777" w:rsidTr="00F626A9">
        <w:trPr>
          <w:trHeight w:val="402"/>
        </w:trPr>
        <w:tc>
          <w:tcPr>
            <w:tcW w:w="10055" w:type="dxa"/>
            <w:gridSpan w:val="3"/>
            <w:tcBorders>
              <w:top w:val="single" w:sz="8" w:space="0" w:color="auto"/>
              <w:left w:val="single" w:sz="8" w:space="0" w:color="auto"/>
              <w:bottom w:val="single" w:sz="8" w:space="0" w:color="auto"/>
              <w:right w:val="single" w:sz="8" w:space="0" w:color="000000"/>
            </w:tcBorders>
            <w:shd w:val="clear" w:color="auto" w:fill="FF0000"/>
            <w:vAlign w:val="center"/>
            <w:hideMark/>
          </w:tcPr>
          <w:p w14:paraId="460160B4" w14:textId="77777777" w:rsidR="007C0A11" w:rsidRPr="00F626A9" w:rsidRDefault="007C0A11" w:rsidP="00F626A9">
            <w:pPr>
              <w:jc w:val="center"/>
              <w:rPr>
                <w:rFonts w:cs="Arial"/>
                <w:b/>
                <w:bCs/>
                <w:color w:val="FFFFFF" w:themeColor="background1"/>
                <w:sz w:val="24"/>
              </w:rPr>
            </w:pPr>
            <w:r w:rsidRPr="00F626A9">
              <w:rPr>
                <w:rFonts w:cs="Arial"/>
                <w:b/>
                <w:bCs/>
                <w:color w:val="FFFFFF" w:themeColor="background1"/>
                <w:sz w:val="24"/>
              </w:rPr>
              <w:t>Servicing Licensees</w:t>
            </w:r>
          </w:p>
        </w:tc>
      </w:tr>
      <w:tr w:rsidR="007C0A11" w:rsidRPr="00C74585" w14:paraId="7D981B02" w14:textId="77777777" w:rsidTr="007C0A11">
        <w:trPr>
          <w:trHeight w:val="402"/>
        </w:trPr>
        <w:tc>
          <w:tcPr>
            <w:tcW w:w="10055" w:type="dxa"/>
            <w:gridSpan w:val="3"/>
            <w:tcBorders>
              <w:top w:val="single" w:sz="8" w:space="0" w:color="auto"/>
              <w:left w:val="single" w:sz="8" w:space="0" w:color="auto"/>
              <w:bottom w:val="single" w:sz="8" w:space="0" w:color="auto"/>
              <w:right w:val="single" w:sz="8" w:space="0" w:color="000000"/>
            </w:tcBorders>
            <w:shd w:val="clear" w:color="000000" w:fill="DBE5F1" w:themeFill="accent1" w:themeFillTint="33"/>
            <w:vAlign w:val="center"/>
            <w:hideMark/>
          </w:tcPr>
          <w:p w14:paraId="7D0D2D84" w14:textId="292962C7" w:rsidR="007C0A11" w:rsidRPr="007C0A11" w:rsidRDefault="007C0A11" w:rsidP="00F626A9">
            <w:pPr>
              <w:jc w:val="center"/>
              <w:rPr>
                <w:rFonts w:cs="Arial"/>
                <w:b/>
                <w:bCs/>
                <w:szCs w:val="20"/>
                <w:lang w:eastAsia="en-AU"/>
              </w:rPr>
            </w:pPr>
            <w:r w:rsidRPr="007C0A11">
              <w:rPr>
                <w:rFonts w:cs="Arial"/>
                <w:b/>
                <w:bCs/>
                <w:szCs w:val="20"/>
                <w:lang w:eastAsia="en-AU"/>
              </w:rPr>
              <w:t>National Trade Measurement Regulations 2009 - Division 2.4</w:t>
            </w:r>
            <w:r w:rsidRPr="007C0A11">
              <w:rPr>
                <w:rFonts w:cs="Arial"/>
                <w:b/>
                <w:bCs/>
                <w:szCs w:val="20"/>
                <w:lang w:eastAsia="en-AU"/>
              </w:rPr>
              <w:br/>
              <w:t>2.41</w:t>
            </w:r>
            <w:r w:rsidR="009453F8">
              <w:rPr>
                <w:rFonts w:cs="Arial"/>
                <w:b/>
                <w:bCs/>
                <w:szCs w:val="20"/>
                <w:lang w:eastAsia="en-AU"/>
              </w:rPr>
              <w:t>C</w:t>
            </w:r>
            <w:r w:rsidRPr="007C0A11">
              <w:rPr>
                <w:rFonts w:cs="Arial"/>
                <w:b/>
                <w:bCs/>
                <w:szCs w:val="20"/>
                <w:lang w:eastAsia="en-AU"/>
              </w:rPr>
              <w:t xml:space="preserve"> Prescribed fee - application for servicing licence (Act s18NA(3)(b))</w:t>
            </w:r>
          </w:p>
        </w:tc>
      </w:tr>
      <w:tr w:rsidR="00716D7E" w:rsidRPr="00716D7E" w14:paraId="1C69D0C4" w14:textId="77777777" w:rsidTr="005A229D">
        <w:trPr>
          <w:trHeight w:val="402"/>
        </w:trPr>
        <w:tc>
          <w:tcPr>
            <w:tcW w:w="10055" w:type="dxa"/>
            <w:gridSpan w:val="3"/>
            <w:tcBorders>
              <w:top w:val="single" w:sz="8" w:space="0" w:color="auto"/>
              <w:left w:val="single" w:sz="8" w:space="0" w:color="auto"/>
              <w:bottom w:val="single" w:sz="8" w:space="0" w:color="auto"/>
              <w:right w:val="single" w:sz="8" w:space="0" w:color="000000"/>
            </w:tcBorders>
            <w:shd w:val="clear" w:color="000000" w:fill="DBE5F1" w:themeFill="accent1" w:themeFillTint="33"/>
            <w:vAlign w:val="center"/>
            <w:hideMark/>
          </w:tcPr>
          <w:p w14:paraId="2D86835A" w14:textId="53FC89A4" w:rsidR="00716D7E" w:rsidRPr="007C0A11" w:rsidRDefault="00716D7E" w:rsidP="00BF41EC">
            <w:pPr>
              <w:jc w:val="center"/>
              <w:rPr>
                <w:rFonts w:cs="Arial"/>
                <w:b/>
                <w:bCs/>
                <w:szCs w:val="20"/>
                <w:lang w:eastAsia="en-AU"/>
              </w:rPr>
            </w:pPr>
            <w:r w:rsidRPr="007C0A11">
              <w:rPr>
                <w:rFonts w:cs="Arial"/>
                <w:b/>
                <w:bCs/>
                <w:szCs w:val="20"/>
                <w:lang w:eastAsia="en-AU"/>
              </w:rPr>
              <w:t>Financial Year 20</w:t>
            </w:r>
            <w:r w:rsidR="00BF41EC">
              <w:rPr>
                <w:rFonts w:cs="Arial"/>
                <w:b/>
                <w:bCs/>
                <w:szCs w:val="20"/>
                <w:lang w:eastAsia="en-AU"/>
              </w:rPr>
              <w:t>21</w:t>
            </w:r>
            <w:r w:rsidRPr="007C0A11">
              <w:rPr>
                <w:rFonts w:cs="Arial"/>
                <w:b/>
                <w:bCs/>
                <w:szCs w:val="20"/>
                <w:lang w:eastAsia="en-AU"/>
              </w:rPr>
              <w:t>-202</w:t>
            </w:r>
            <w:r w:rsidR="00BF41EC">
              <w:rPr>
                <w:rFonts w:cs="Arial"/>
                <w:b/>
                <w:bCs/>
                <w:szCs w:val="20"/>
                <w:lang w:eastAsia="en-AU"/>
              </w:rPr>
              <w:t>2</w:t>
            </w:r>
          </w:p>
        </w:tc>
      </w:tr>
      <w:tr w:rsidR="00716D7E" w:rsidRPr="00716D7E" w14:paraId="4DBE4CDA" w14:textId="77777777" w:rsidTr="005A229D">
        <w:trPr>
          <w:trHeight w:val="402"/>
        </w:trPr>
        <w:tc>
          <w:tcPr>
            <w:tcW w:w="2249" w:type="dxa"/>
            <w:tcBorders>
              <w:top w:val="nil"/>
              <w:left w:val="single" w:sz="8" w:space="0" w:color="auto"/>
              <w:bottom w:val="single" w:sz="4" w:space="0" w:color="auto"/>
              <w:right w:val="single" w:sz="4" w:space="0" w:color="auto"/>
            </w:tcBorders>
            <w:shd w:val="clear" w:color="000000" w:fill="DBE5F1" w:themeFill="accent1" w:themeFillTint="33"/>
            <w:noWrap/>
            <w:vAlign w:val="center"/>
            <w:hideMark/>
          </w:tcPr>
          <w:p w14:paraId="227AA41B" w14:textId="77777777" w:rsidR="00716D7E" w:rsidRPr="00716D7E" w:rsidRDefault="00716D7E" w:rsidP="00716D7E">
            <w:pPr>
              <w:rPr>
                <w:rFonts w:cs="Arial"/>
                <w:b/>
                <w:bCs/>
                <w:szCs w:val="20"/>
                <w:lang w:eastAsia="en-AU"/>
              </w:rPr>
            </w:pPr>
            <w:r w:rsidRPr="00716D7E">
              <w:rPr>
                <w:rFonts w:cs="Arial"/>
                <w:b/>
                <w:bCs/>
                <w:szCs w:val="20"/>
                <w:lang w:eastAsia="en-AU"/>
              </w:rPr>
              <w:t>Part 1 Kind of applicant</w:t>
            </w:r>
          </w:p>
        </w:tc>
        <w:tc>
          <w:tcPr>
            <w:tcW w:w="4256" w:type="dxa"/>
            <w:tcBorders>
              <w:top w:val="nil"/>
              <w:left w:val="nil"/>
              <w:bottom w:val="single" w:sz="4" w:space="0" w:color="auto"/>
              <w:right w:val="single" w:sz="4" w:space="0" w:color="auto"/>
            </w:tcBorders>
            <w:shd w:val="clear" w:color="000000" w:fill="DBE5F1" w:themeFill="accent1" w:themeFillTint="33"/>
            <w:noWrap/>
            <w:vAlign w:val="center"/>
            <w:hideMark/>
          </w:tcPr>
          <w:p w14:paraId="55F65C6D" w14:textId="77777777" w:rsidR="00716D7E" w:rsidRPr="00716D7E" w:rsidRDefault="00716D7E" w:rsidP="00716D7E">
            <w:pPr>
              <w:rPr>
                <w:rFonts w:cs="Arial"/>
                <w:b/>
                <w:bCs/>
                <w:szCs w:val="20"/>
                <w:lang w:eastAsia="en-AU"/>
              </w:rPr>
            </w:pPr>
            <w:r w:rsidRPr="00716D7E">
              <w:rPr>
                <w:rFonts w:cs="Arial"/>
                <w:b/>
                <w:bCs/>
                <w:szCs w:val="20"/>
                <w:lang w:eastAsia="en-AU"/>
              </w:rPr>
              <w:t> </w:t>
            </w:r>
          </w:p>
        </w:tc>
        <w:tc>
          <w:tcPr>
            <w:tcW w:w="3550" w:type="dxa"/>
            <w:tcBorders>
              <w:top w:val="nil"/>
              <w:left w:val="nil"/>
              <w:bottom w:val="single" w:sz="4" w:space="0" w:color="auto"/>
              <w:right w:val="single" w:sz="8" w:space="0" w:color="auto"/>
            </w:tcBorders>
            <w:shd w:val="clear" w:color="000000" w:fill="DBE5F1" w:themeFill="accent1" w:themeFillTint="33"/>
            <w:noWrap/>
            <w:vAlign w:val="center"/>
            <w:hideMark/>
          </w:tcPr>
          <w:p w14:paraId="67449969" w14:textId="77777777" w:rsidR="00716D7E" w:rsidRPr="00716D7E" w:rsidRDefault="00716D7E" w:rsidP="00716D7E">
            <w:pPr>
              <w:rPr>
                <w:rFonts w:cs="Arial"/>
                <w:b/>
                <w:bCs/>
                <w:szCs w:val="20"/>
                <w:lang w:eastAsia="en-AU"/>
              </w:rPr>
            </w:pPr>
            <w:r w:rsidRPr="00716D7E">
              <w:rPr>
                <w:rFonts w:cs="Arial"/>
                <w:b/>
                <w:bCs/>
                <w:szCs w:val="20"/>
                <w:lang w:eastAsia="en-AU"/>
              </w:rPr>
              <w:t> </w:t>
            </w:r>
          </w:p>
        </w:tc>
      </w:tr>
      <w:tr w:rsidR="00716D7E" w:rsidRPr="00716D7E" w14:paraId="4D5D0D38" w14:textId="77777777" w:rsidTr="005A229D">
        <w:trPr>
          <w:trHeight w:val="402"/>
        </w:trPr>
        <w:tc>
          <w:tcPr>
            <w:tcW w:w="2249" w:type="dxa"/>
            <w:tcBorders>
              <w:top w:val="nil"/>
              <w:left w:val="single" w:sz="8" w:space="0" w:color="auto"/>
              <w:bottom w:val="single" w:sz="8" w:space="0" w:color="auto"/>
              <w:right w:val="single" w:sz="4" w:space="0" w:color="auto"/>
            </w:tcBorders>
            <w:shd w:val="clear" w:color="000000" w:fill="DBE5F1" w:themeFill="accent1" w:themeFillTint="33"/>
            <w:noWrap/>
            <w:vAlign w:val="center"/>
            <w:hideMark/>
          </w:tcPr>
          <w:p w14:paraId="18971CC4" w14:textId="77777777" w:rsidR="00716D7E" w:rsidRPr="00716D7E" w:rsidRDefault="00716D7E" w:rsidP="00716D7E">
            <w:pPr>
              <w:rPr>
                <w:rFonts w:cs="Arial"/>
                <w:b/>
                <w:bCs/>
                <w:szCs w:val="20"/>
                <w:lang w:eastAsia="en-AU"/>
              </w:rPr>
            </w:pPr>
            <w:r w:rsidRPr="00716D7E">
              <w:rPr>
                <w:rFonts w:cs="Arial"/>
                <w:b/>
                <w:bCs/>
                <w:szCs w:val="20"/>
                <w:lang w:eastAsia="en-AU"/>
              </w:rPr>
              <w:t>Item</w:t>
            </w:r>
          </w:p>
        </w:tc>
        <w:tc>
          <w:tcPr>
            <w:tcW w:w="4256" w:type="dxa"/>
            <w:tcBorders>
              <w:top w:val="nil"/>
              <w:left w:val="nil"/>
              <w:bottom w:val="single" w:sz="8" w:space="0" w:color="auto"/>
              <w:right w:val="single" w:sz="4" w:space="0" w:color="auto"/>
            </w:tcBorders>
            <w:shd w:val="clear" w:color="000000" w:fill="DBE5F1" w:themeFill="accent1" w:themeFillTint="33"/>
            <w:noWrap/>
            <w:vAlign w:val="center"/>
            <w:hideMark/>
          </w:tcPr>
          <w:p w14:paraId="78374F4F" w14:textId="77777777" w:rsidR="00716D7E" w:rsidRPr="00716D7E" w:rsidRDefault="00716D7E" w:rsidP="00716D7E">
            <w:pPr>
              <w:rPr>
                <w:rFonts w:cs="Arial"/>
                <w:b/>
                <w:bCs/>
                <w:szCs w:val="20"/>
                <w:lang w:eastAsia="en-AU"/>
              </w:rPr>
            </w:pPr>
            <w:r w:rsidRPr="00716D7E">
              <w:rPr>
                <w:rFonts w:cs="Arial"/>
                <w:b/>
                <w:bCs/>
                <w:szCs w:val="20"/>
                <w:lang w:eastAsia="en-AU"/>
              </w:rPr>
              <w:t>Applicant</w:t>
            </w:r>
          </w:p>
        </w:tc>
        <w:tc>
          <w:tcPr>
            <w:tcW w:w="3550" w:type="dxa"/>
            <w:tcBorders>
              <w:top w:val="nil"/>
              <w:left w:val="nil"/>
              <w:bottom w:val="single" w:sz="8" w:space="0" w:color="auto"/>
              <w:right w:val="single" w:sz="8" w:space="0" w:color="auto"/>
            </w:tcBorders>
            <w:shd w:val="clear" w:color="000000" w:fill="DBE5F1" w:themeFill="accent1" w:themeFillTint="33"/>
            <w:noWrap/>
            <w:vAlign w:val="center"/>
            <w:hideMark/>
          </w:tcPr>
          <w:p w14:paraId="7CEA8E2B" w14:textId="77777777" w:rsidR="00716D7E" w:rsidRPr="00716D7E" w:rsidRDefault="00716D7E" w:rsidP="00716D7E">
            <w:pPr>
              <w:rPr>
                <w:rFonts w:cs="Arial"/>
                <w:b/>
                <w:bCs/>
                <w:szCs w:val="20"/>
                <w:lang w:eastAsia="en-AU"/>
              </w:rPr>
            </w:pPr>
            <w:r w:rsidRPr="00716D7E">
              <w:rPr>
                <w:rFonts w:cs="Arial"/>
                <w:b/>
                <w:bCs/>
                <w:szCs w:val="20"/>
                <w:lang w:eastAsia="en-AU"/>
              </w:rPr>
              <w:t>Fee</w:t>
            </w:r>
          </w:p>
        </w:tc>
      </w:tr>
      <w:tr w:rsidR="00716D7E" w:rsidRPr="00716D7E" w14:paraId="43D679BB" w14:textId="77777777" w:rsidTr="005A229D">
        <w:trPr>
          <w:trHeight w:val="402"/>
        </w:trPr>
        <w:tc>
          <w:tcPr>
            <w:tcW w:w="2249" w:type="dxa"/>
            <w:tcBorders>
              <w:top w:val="nil"/>
              <w:left w:val="single" w:sz="8" w:space="0" w:color="auto"/>
              <w:bottom w:val="single" w:sz="4" w:space="0" w:color="auto"/>
              <w:right w:val="single" w:sz="4" w:space="0" w:color="auto"/>
            </w:tcBorders>
            <w:shd w:val="clear" w:color="000000" w:fill="DBE5F1" w:themeFill="accent1" w:themeFillTint="33"/>
            <w:noWrap/>
            <w:vAlign w:val="center"/>
            <w:hideMark/>
          </w:tcPr>
          <w:p w14:paraId="05D0F217" w14:textId="77777777" w:rsidR="00716D7E" w:rsidRPr="00716D7E" w:rsidRDefault="00716D7E" w:rsidP="00716D7E">
            <w:pPr>
              <w:rPr>
                <w:rFonts w:cs="Arial"/>
                <w:szCs w:val="20"/>
                <w:lang w:eastAsia="en-AU"/>
              </w:rPr>
            </w:pPr>
            <w:r w:rsidRPr="00716D7E">
              <w:rPr>
                <w:rFonts w:cs="Arial"/>
                <w:szCs w:val="20"/>
                <w:lang w:eastAsia="en-AU"/>
              </w:rPr>
              <w:t>1.1</w:t>
            </w:r>
          </w:p>
        </w:tc>
        <w:tc>
          <w:tcPr>
            <w:tcW w:w="4256" w:type="dxa"/>
            <w:tcBorders>
              <w:top w:val="nil"/>
              <w:left w:val="nil"/>
              <w:bottom w:val="single" w:sz="4" w:space="0" w:color="auto"/>
              <w:right w:val="single" w:sz="4" w:space="0" w:color="auto"/>
            </w:tcBorders>
            <w:shd w:val="clear" w:color="000000" w:fill="DBE5F1" w:themeFill="accent1" w:themeFillTint="33"/>
            <w:noWrap/>
            <w:vAlign w:val="center"/>
            <w:hideMark/>
          </w:tcPr>
          <w:p w14:paraId="3BE4208A" w14:textId="77777777" w:rsidR="00716D7E" w:rsidRPr="00716D7E" w:rsidRDefault="00716D7E" w:rsidP="00716D7E">
            <w:pPr>
              <w:rPr>
                <w:rFonts w:cs="Arial"/>
                <w:szCs w:val="20"/>
                <w:lang w:eastAsia="en-AU"/>
              </w:rPr>
            </w:pPr>
            <w:r w:rsidRPr="00716D7E">
              <w:rPr>
                <w:rFonts w:cs="Arial"/>
                <w:szCs w:val="20"/>
                <w:lang w:eastAsia="en-AU"/>
              </w:rPr>
              <w:t>Applicant that holds a servicing licence</w:t>
            </w:r>
          </w:p>
        </w:tc>
        <w:tc>
          <w:tcPr>
            <w:tcW w:w="3550" w:type="dxa"/>
            <w:tcBorders>
              <w:top w:val="nil"/>
              <w:left w:val="nil"/>
              <w:bottom w:val="single" w:sz="4" w:space="0" w:color="auto"/>
              <w:right w:val="single" w:sz="8" w:space="0" w:color="auto"/>
            </w:tcBorders>
            <w:shd w:val="clear" w:color="000000" w:fill="DBE5F1" w:themeFill="accent1" w:themeFillTint="33"/>
            <w:noWrap/>
            <w:vAlign w:val="center"/>
            <w:hideMark/>
          </w:tcPr>
          <w:p w14:paraId="39C13336" w14:textId="77777777" w:rsidR="00716D7E" w:rsidRPr="00716D7E" w:rsidRDefault="00716D7E" w:rsidP="00716D7E">
            <w:pPr>
              <w:rPr>
                <w:rFonts w:cs="Arial"/>
                <w:szCs w:val="20"/>
                <w:lang w:eastAsia="en-AU"/>
              </w:rPr>
            </w:pPr>
            <w:r w:rsidRPr="00716D7E">
              <w:rPr>
                <w:rFonts w:cs="Arial"/>
                <w:szCs w:val="20"/>
                <w:lang w:eastAsia="en-AU"/>
              </w:rPr>
              <w:t>Nil</w:t>
            </w:r>
          </w:p>
        </w:tc>
      </w:tr>
      <w:tr w:rsidR="00716D7E" w:rsidRPr="00716D7E" w14:paraId="7EB20690" w14:textId="77777777" w:rsidTr="005A229D">
        <w:trPr>
          <w:trHeight w:val="402"/>
        </w:trPr>
        <w:tc>
          <w:tcPr>
            <w:tcW w:w="2249" w:type="dxa"/>
            <w:tcBorders>
              <w:top w:val="nil"/>
              <w:left w:val="single" w:sz="8" w:space="0" w:color="auto"/>
              <w:bottom w:val="single" w:sz="8" w:space="0" w:color="auto"/>
              <w:right w:val="single" w:sz="4" w:space="0" w:color="auto"/>
            </w:tcBorders>
            <w:shd w:val="clear" w:color="000000" w:fill="DBE5F1" w:themeFill="accent1" w:themeFillTint="33"/>
            <w:noWrap/>
            <w:vAlign w:val="center"/>
            <w:hideMark/>
          </w:tcPr>
          <w:p w14:paraId="1608CFFB" w14:textId="77777777" w:rsidR="00716D7E" w:rsidRPr="00716D7E" w:rsidRDefault="00716D7E" w:rsidP="00716D7E">
            <w:pPr>
              <w:rPr>
                <w:rFonts w:cs="Arial"/>
                <w:szCs w:val="20"/>
                <w:lang w:eastAsia="en-AU"/>
              </w:rPr>
            </w:pPr>
            <w:r w:rsidRPr="00716D7E">
              <w:rPr>
                <w:rFonts w:cs="Arial"/>
                <w:szCs w:val="20"/>
                <w:lang w:eastAsia="en-AU"/>
              </w:rPr>
              <w:t>1.2</w:t>
            </w:r>
          </w:p>
        </w:tc>
        <w:tc>
          <w:tcPr>
            <w:tcW w:w="4256" w:type="dxa"/>
            <w:tcBorders>
              <w:top w:val="nil"/>
              <w:left w:val="nil"/>
              <w:bottom w:val="single" w:sz="8" w:space="0" w:color="auto"/>
              <w:right w:val="single" w:sz="4" w:space="0" w:color="auto"/>
            </w:tcBorders>
            <w:shd w:val="clear" w:color="000000" w:fill="DBE5F1" w:themeFill="accent1" w:themeFillTint="33"/>
            <w:noWrap/>
            <w:vAlign w:val="center"/>
            <w:hideMark/>
          </w:tcPr>
          <w:p w14:paraId="6B1F89E0" w14:textId="77777777" w:rsidR="00716D7E" w:rsidRPr="00716D7E" w:rsidRDefault="00716D7E" w:rsidP="00716D7E">
            <w:pPr>
              <w:rPr>
                <w:rFonts w:cs="Arial"/>
                <w:szCs w:val="20"/>
                <w:lang w:eastAsia="en-AU"/>
              </w:rPr>
            </w:pPr>
            <w:r w:rsidRPr="00716D7E">
              <w:rPr>
                <w:rFonts w:cs="Arial"/>
                <w:szCs w:val="20"/>
                <w:lang w:eastAsia="en-AU"/>
              </w:rPr>
              <w:t>Applicant that does not hold a licence</w:t>
            </w:r>
          </w:p>
        </w:tc>
        <w:tc>
          <w:tcPr>
            <w:tcW w:w="3550" w:type="dxa"/>
            <w:tcBorders>
              <w:top w:val="nil"/>
              <w:left w:val="nil"/>
              <w:bottom w:val="single" w:sz="8" w:space="0" w:color="auto"/>
              <w:right w:val="single" w:sz="8" w:space="0" w:color="auto"/>
            </w:tcBorders>
            <w:shd w:val="clear" w:color="000000" w:fill="DBE5F1" w:themeFill="accent1" w:themeFillTint="33"/>
            <w:noWrap/>
            <w:vAlign w:val="center"/>
            <w:hideMark/>
          </w:tcPr>
          <w:p w14:paraId="33F95155" w14:textId="3C9BB11D" w:rsidR="00716D7E" w:rsidRPr="00716D7E" w:rsidRDefault="00716D7E" w:rsidP="00BF41EC">
            <w:pPr>
              <w:rPr>
                <w:rFonts w:cs="Arial"/>
                <w:szCs w:val="20"/>
                <w:lang w:eastAsia="en-AU"/>
              </w:rPr>
            </w:pPr>
            <w:r w:rsidRPr="00716D7E">
              <w:rPr>
                <w:rFonts w:cs="Arial"/>
                <w:szCs w:val="20"/>
                <w:lang w:eastAsia="en-AU"/>
              </w:rPr>
              <w:t>$</w:t>
            </w:r>
            <w:r w:rsidR="00BF41EC">
              <w:rPr>
                <w:rFonts w:cs="Arial"/>
                <w:szCs w:val="20"/>
                <w:lang w:eastAsia="en-AU"/>
              </w:rPr>
              <w:t>714</w:t>
            </w:r>
          </w:p>
        </w:tc>
      </w:tr>
      <w:tr w:rsidR="00716D7E" w:rsidRPr="00716D7E" w14:paraId="7914082F" w14:textId="77777777" w:rsidTr="005A229D">
        <w:trPr>
          <w:trHeight w:val="402"/>
        </w:trPr>
        <w:tc>
          <w:tcPr>
            <w:tcW w:w="10055" w:type="dxa"/>
            <w:gridSpan w:val="3"/>
            <w:tcBorders>
              <w:top w:val="single" w:sz="8" w:space="0" w:color="auto"/>
              <w:left w:val="single" w:sz="8" w:space="0" w:color="auto"/>
              <w:bottom w:val="single" w:sz="4" w:space="0" w:color="auto"/>
              <w:right w:val="single" w:sz="8" w:space="0" w:color="000000"/>
            </w:tcBorders>
            <w:shd w:val="clear" w:color="000000" w:fill="DBE5F1" w:themeFill="accent1" w:themeFillTint="33"/>
            <w:noWrap/>
            <w:vAlign w:val="center"/>
            <w:hideMark/>
          </w:tcPr>
          <w:p w14:paraId="0EB2B69B" w14:textId="77777777" w:rsidR="00716D7E" w:rsidRPr="00716D7E" w:rsidRDefault="00716D7E" w:rsidP="00716D7E">
            <w:pPr>
              <w:rPr>
                <w:rFonts w:cs="Arial"/>
                <w:b/>
                <w:bCs/>
                <w:szCs w:val="20"/>
                <w:lang w:eastAsia="en-AU"/>
              </w:rPr>
            </w:pPr>
            <w:r w:rsidRPr="00716D7E">
              <w:rPr>
                <w:rFonts w:cs="Arial"/>
                <w:b/>
                <w:bCs/>
                <w:szCs w:val="20"/>
                <w:lang w:eastAsia="en-AU"/>
              </w:rPr>
              <w:t>Part 2 Number of Verifiers</w:t>
            </w:r>
          </w:p>
        </w:tc>
      </w:tr>
      <w:tr w:rsidR="00716D7E" w:rsidRPr="00716D7E" w14:paraId="5E743EDD" w14:textId="77777777" w:rsidTr="005A229D">
        <w:trPr>
          <w:trHeight w:val="402"/>
        </w:trPr>
        <w:tc>
          <w:tcPr>
            <w:tcW w:w="2249" w:type="dxa"/>
            <w:tcBorders>
              <w:top w:val="nil"/>
              <w:left w:val="single" w:sz="8" w:space="0" w:color="auto"/>
              <w:bottom w:val="single" w:sz="8" w:space="0" w:color="auto"/>
              <w:right w:val="single" w:sz="4" w:space="0" w:color="auto"/>
            </w:tcBorders>
            <w:shd w:val="clear" w:color="000000" w:fill="DBE5F1" w:themeFill="accent1" w:themeFillTint="33"/>
            <w:noWrap/>
            <w:vAlign w:val="center"/>
            <w:hideMark/>
          </w:tcPr>
          <w:p w14:paraId="108AF5E7" w14:textId="77777777" w:rsidR="00716D7E" w:rsidRPr="00716D7E" w:rsidRDefault="00716D7E" w:rsidP="00716D7E">
            <w:pPr>
              <w:rPr>
                <w:rFonts w:cs="Arial"/>
                <w:b/>
                <w:bCs/>
                <w:szCs w:val="20"/>
                <w:lang w:eastAsia="en-AU"/>
              </w:rPr>
            </w:pPr>
            <w:r w:rsidRPr="00716D7E">
              <w:rPr>
                <w:rFonts w:cs="Arial"/>
                <w:b/>
                <w:bCs/>
                <w:szCs w:val="20"/>
                <w:lang w:eastAsia="en-AU"/>
              </w:rPr>
              <w:t>Item</w:t>
            </w:r>
          </w:p>
        </w:tc>
        <w:tc>
          <w:tcPr>
            <w:tcW w:w="4256" w:type="dxa"/>
            <w:tcBorders>
              <w:top w:val="nil"/>
              <w:left w:val="nil"/>
              <w:bottom w:val="single" w:sz="8" w:space="0" w:color="auto"/>
              <w:right w:val="single" w:sz="4" w:space="0" w:color="auto"/>
            </w:tcBorders>
            <w:shd w:val="clear" w:color="000000" w:fill="DBE5F1" w:themeFill="accent1" w:themeFillTint="33"/>
            <w:noWrap/>
            <w:vAlign w:val="center"/>
            <w:hideMark/>
          </w:tcPr>
          <w:p w14:paraId="3E085817" w14:textId="77777777" w:rsidR="00716D7E" w:rsidRPr="00716D7E" w:rsidRDefault="00716D7E" w:rsidP="00716D7E">
            <w:pPr>
              <w:rPr>
                <w:rFonts w:cs="Arial"/>
                <w:b/>
                <w:bCs/>
                <w:szCs w:val="20"/>
                <w:lang w:eastAsia="en-AU"/>
              </w:rPr>
            </w:pPr>
            <w:r w:rsidRPr="00716D7E">
              <w:rPr>
                <w:rFonts w:cs="Arial"/>
                <w:b/>
                <w:bCs/>
                <w:szCs w:val="20"/>
                <w:lang w:eastAsia="en-AU"/>
              </w:rPr>
              <w:t>Number of verifiers nominated in application</w:t>
            </w:r>
          </w:p>
        </w:tc>
        <w:tc>
          <w:tcPr>
            <w:tcW w:w="3550" w:type="dxa"/>
            <w:tcBorders>
              <w:top w:val="nil"/>
              <w:left w:val="nil"/>
              <w:bottom w:val="single" w:sz="8" w:space="0" w:color="auto"/>
              <w:right w:val="single" w:sz="8" w:space="0" w:color="auto"/>
            </w:tcBorders>
            <w:shd w:val="clear" w:color="000000" w:fill="DBE5F1" w:themeFill="accent1" w:themeFillTint="33"/>
            <w:noWrap/>
            <w:vAlign w:val="center"/>
            <w:hideMark/>
          </w:tcPr>
          <w:p w14:paraId="61283488" w14:textId="77777777" w:rsidR="00716D7E" w:rsidRPr="00716D7E" w:rsidRDefault="00716D7E" w:rsidP="00716D7E">
            <w:pPr>
              <w:rPr>
                <w:rFonts w:cs="Arial"/>
                <w:b/>
                <w:bCs/>
                <w:szCs w:val="20"/>
                <w:lang w:eastAsia="en-AU"/>
              </w:rPr>
            </w:pPr>
            <w:r w:rsidRPr="00716D7E">
              <w:rPr>
                <w:rFonts w:cs="Arial"/>
                <w:b/>
                <w:bCs/>
                <w:szCs w:val="20"/>
                <w:lang w:eastAsia="en-AU"/>
              </w:rPr>
              <w:t>Fee</w:t>
            </w:r>
          </w:p>
        </w:tc>
      </w:tr>
      <w:tr w:rsidR="00716D7E" w:rsidRPr="00716D7E" w14:paraId="52372FD9" w14:textId="77777777" w:rsidTr="005A229D">
        <w:trPr>
          <w:trHeight w:val="402"/>
        </w:trPr>
        <w:tc>
          <w:tcPr>
            <w:tcW w:w="2249" w:type="dxa"/>
            <w:tcBorders>
              <w:top w:val="nil"/>
              <w:left w:val="single" w:sz="8" w:space="0" w:color="auto"/>
              <w:bottom w:val="single" w:sz="4" w:space="0" w:color="auto"/>
              <w:right w:val="single" w:sz="4" w:space="0" w:color="auto"/>
            </w:tcBorders>
            <w:shd w:val="clear" w:color="000000" w:fill="DBE5F1" w:themeFill="accent1" w:themeFillTint="33"/>
            <w:noWrap/>
            <w:vAlign w:val="center"/>
            <w:hideMark/>
          </w:tcPr>
          <w:p w14:paraId="2C9C8EFC" w14:textId="77777777" w:rsidR="00716D7E" w:rsidRPr="00716D7E" w:rsidRDefault="00716D7E" w:rsidP="00716D7E">
            <w:pPr>
              <w:rPr>
                <w:rFonts w:cs="Arial"/>
                <w:szCs w:val="20"/>
                <w:lang w:eastAsia="en-AU"/>
              </w:rPr>
            </w:pPr>
            <w:r w:rsidRPr="00716D7E">
              <w:rPr>
                <w:rFonts w:cs="Arial"/>
                <w:szCs w:val="20"/>
                <w:lang w:eastAsia="en-AU"/>
              </w:rPr>
              <w:t>2.1</w:t>
            </w:r>
          </w:p>
        </w:tc>
        <w:tc>
          <w:tcPr>
            <w:tcW w:w="4256" w:type="dxa"/>
            <w:tcBorders>
              <w:top w:val="nil"/>
              <w:left w:val="nil"/>
              <w:bottom w:val="single" w:sz="4" w:space="0" w:color="auto"/>
              <w:right w:val="single" w:sz="4" w:space="0" w:color="auto"/>
            </w:tcBorders>
            <w:shd w:val="clear" w:color="000000" w:fill="DBE5F1" w:themeFill="accent1" w:themeFillTint="33"/>
            <w:noWrap/>
            <w:vAlign w:val="center"/>
            <w:hideMark/>
          </w:tcPr>
          <w:p w14:paraId="0D262634" w14:textId="77777777" w:rsidR="00716D7E" w:rsidRPr="00716D7E" w:rsidRDefault="00716D7E" w:rsidP="00716D7E">
            <w:pPr>
              <w:rPr>
                <w:rFonts w:cs="Arial"/>
                <w:szCs w:val="20"/>
                <w:lang w:eastAsia="en-AU"/>
              </w:rPr>
            </w:pPr>
            <w:r w:rsidRPr="00716D7E">
              <w:rPr>
                <w:rFonts w:cs="Arial"/>
                <w:szCs w:val="20"/>
                <w:lang w:eastAsia="en-AU"/>
              </w:rPr>
              <w:t>1</w:t>
            </w:r>
          </w:p>
        </w:tc>
        <w:tc>
          <w:tcPr>
            <w:tcW w:w="3550" w:type="dxa"/>
            <w:tcBorders>
              <w:top w:val="nil"/>
              <w:left w:val="nil"/>
              <w:bottom w:val="single" w:sz="4" w:space="0" w:color="auto"/>
              <w:right w:val="single" w:sz="8" w:space="0" w:color="auto"/>
            </w:tcBorders>
            <w:shd w:val="clear" w:color="000000" w:fill="DBE5F1" w:themeFill="accent1" w:themeFillTint="33"/>
            <w:noWrap/>
            <w:vAlign w:val="center"/>
            <w:hideMark/>
          </w:tcPr>
          <w:p w14:paraId="0B944567" w14:textId="199A467E" w:rsidR="00716D7E" w:rsidRPr="00716D7E" w:rsidRDefault="00716D7E" w:rsidP="00BF41EC">
            <w:pPr>
              <w:spacing w:before="60" w:after="60"/>
              <w:rPr>
                <w:rFonts w:cs="Arial"/>
                <w:szCs w:val="20"/>
                <w:lang w:eastAsia="en-AU"/>
              </w:rPr>
            </w:pPr>
            <w:r w:rsidRPr="00716D7E">
              <w:rPr>
                <w:rFonts w:cs="Arial"/>
                <w:szCs w:val="20"/>
                <w:lang w:eastAsia="en-AU"/>
              </w:rPr>
              <w:t>$</w:t>
            </w:r>
            <w:r w:rsidR="00EC039C">
              <w:rPr>
                <w:rFonts w:cs="Arial"/>
                <w:szCs w:val="20"/>
                <w:lang w:eastAsia="en-AU"/>
              </w:rPr>
              <w:t>7</w:t>
            </w:r>
            <w:r w:rsidR="00BF41EC">
              <w:rPr>
                <w:rFonts w:cs="Arial"/>
                <w:szCs w:val="20"/>
                <w:lang w:eastAsia="en-AU"/>
              </w:rPr>
              <w:t>85</w:t>
            </w:r>
            <w:r w:rsidRPr="00716D7E">
              <w:rPr>
                <w:rFonts w:cs="Arial"/>
                <w:szCs w:val="20"/>
                <w:lang w:eastAsia="en-AU"/>
              </w:rPr>
              <w:t xml:space="preserve"> x number of years of licence (including any part of a year)</w:t>
            </w:r>
          </w:p>
        </w:tc>
      </w:tr>
      <w:tr w:rsidR="00716D7E" w:rsidRPr="00716D7E" w14:paraId="767961BA" w14:textId="77777777" w:rsidTr="005A229D">
        <w:trPr>
          <w:trHeight w:val="402"/>
        </w:trPr>
        <w:tc>
          <w:tcPr>
            <w:tcW w:w="2249" w:type="dxa"/>
            <w:tcBorders>
              <w:top w:val="nil"/>
              <w:left w:val="single" w:sz="8" w:space="0" w:color="auto"/>
              <w:bottom w:val="single" w:sz="4" w:space="0" w:color="auto"/>
              <w:right w:val="single" w:sz="4" w:space="0" w:color="auto"/>
            </w:tcBorders>
            <w:shd w:val="clear" w:color="000000" w:fill="DBE5F1" w:themeFill="accent1" w:themeFillTint="33"/>
            <w:noWrap/>
            <w:vAlign w:val="center"/>
            <w:hideMark/>
          </w:tcPr>
          <w:p w14:paraId="2A3370D9" w14:textId="77777777" w:rsidR="00716D7E" w:rsidRPr="00716D7E" w:rsidRDefault="00716D7E" w:rsidP="00716D7E">
            <w:pPr>
              <w:rPr>
                <w:rFonts w:cs="Arial"/>
                <w:szCs w:val="20"/>
                <w:lang w:eastAsia="en-AU"/>
              </w:rPr>
            </w:pPr>
            <w:r w:rsidRPr="00716D7E">
              <w:rPr>
                <w:rFonts w:cs="Arial"/>
                <w:szCs w:val="20"/>
                <w:lang w:eastAsia="en-AU"/>
              </w:rPr>
              <w:t>2.2</w:t>
            </w:r>
          </w:p>
        </w:tc>
        <w:tc>
          <w:tcPr>
            <w:tcW w:w="4256" w:type="dxa"/>
            <w:tcBorders>
              <w:top w:val="nil"/>
              <w:left w:val="nil"/>
              <w:bottom w:val="single" w:sz="4" w:space="0" w:color="auto"/>
              <w:right w:val="single" w:sz="4" w:space="0" w:color="auto"/>
            </w:tcBorders>
            <w:shd w:val="clear" w:color="000000" w:fill="DBE5F1" w:themeFill="accent1" w:themeFillTint="33"/>
            <w:noWrap/>
            <w:vAlign w:val="center"/>
            <w:hideMark/>
          </w:tcPr>
          <w:p w14:paraId="127D0695" w14:textId="77777777" w:rsidR="00716D7E" w:rsidRPr="00716D7E" w:rsidRDefault="00716D7E" w:rsidP="00716D7E">
            <w:pPr>
              <w:rPr>
                <w:rFonts w:cs="Arial"/>
                <w:szCs w:val="20"/>
                <w:lang w:eastAsia="en-AU"/>
              </w:rPr>
            </w:pPr>
            <w:r w:rsidRPr="00716D7E">
              <w:rPr>
                <w:rFonts w:cs="Arial"/>
                <w:szCs w:val="20"/>
                <w:lang w:eastAsia="en-AU"/>
              </w:rPr>
              <w:t>At least 2 but no more than 10</w:t>
            </w:r>
          </w:p>
        </w:tc>
        <w:tc>
          <w:tcPr>
            <w:tcW w:w="3550" w:type="dxa"/>
            <w:tcBorders>
              <w:top w:val="nil"/>
              <w:left w:val="nil"/>
              <w:bottom w:val="single" w:sz="4" w:space="0" w:color="auto"/>
              <w:right w:val="single" w:sz="8" w:space="0" w:color="auto"/>
            </w:tcBorders>
            <w:shd w:val="clear" w:color="000000" w:fill="DBE5F1" w:themeFill="accent1" w:themeFillTint="33"/>
            <w:noWrap/>
            <w:vAlign w:val="center"/>
            <w:hideMark/>
          </w:tcPr>
          <w:p w14:paraId="61723C1F" w14:textId="0238AB3D" w:rsidR="00716D7E" w:rsidRPr="00716D7E" w:rsidRDefault="00716D7E" w:rsidP="00BF41EC">
            <w:pPr>
              <w:spacing w:before="60" w:after="60"/>
              <w:rPr>
                <w:rFonts w:cs="Arial"/>
                <w:szCs w:val="20"/>
                <w:lang w:eastAsia="en-AU"/>
              </w:rPr>
            </w:pPr>
            <w:r w:rsidRPr="00716D7E">
              <w:rPr>
                <w:rFonts w:cs="Arial"/>
                <w:szCs w:val="20"/>
                <w:lang w:eastAsia="en-AU"/>
              </w:rPr>
              <w:t>$</w:t>
            </w:r>
            <w:r w:rsidR="00EC039C">
              <w:rPr>
                <w:rFonts w:cs="Arial"/>
                <w:szCs w:val="20"/>
                <w:lang w:eastAsia="en-AU"/>
              </w:rPr>
              <w:t>1</w:t>
            </w:r>
            <w:r w:rsidR="00BF41EC">
              <w:rPr>
                <w:rFonts w:cs="Arial"/>
                <w:szCs w:val="20"/>
                <w:lang w:eastAsia="en-AU"/>
              </w:rPr>
              <w:t>,213</w:t>
            </w:r>
            <w:r w:rsidR="00EC039C">
              <w:rPr>
                <w:rFonts w:cs="Arial"/>
                <w:szCs w:val="20"/>
                <w:lang w:eastAsia="en-AU"/>
              </w:rPr>
              <w:t xml:space="preserve"> </w:t>
            </w:r>
            <w:r w:rsidRPr="00716D7E">
              <w:rPr>
                <w:rFonts w:cs="Arial"/>
                <w:szCs w:val="20"/>
                <w:lang w:eastAsia="en-AU"/>
              </w:rPr>
              <w:t>x number of years of licence (including any part of a year)</w:t>
            </w:r>
          </w:p>
        </w:tc>
      </w:tr>
      <w:tr w:rsidR="00716D7E" w:rsidRPr="00716D7E" w14:paraId="5890265C" w14:textId="77777777" w:rsidTr="005A229D">
        <w:trPr>
          <w:trHeight w:val="402"/>
        </w:trPr>
        <w:tc>
          <w:tcPr>
            <w:tcW w:w="2249" w:type="dxa"/>
            <w:tcBorders>
              <w:top w:val="nil"/>
              <w:left w:val="single" w:sz="8" w:space="0" w:color="auto"/>
              <w:bottom w:val="single" w:sz="4" w:space="0" w:color="auto"/>
              <w:right w:val="single" w:sz="4" w:space="0" w:color="auto"/>
            </w:tcBorders>
            <w:shd w:val="clear" w:color="000000" w:fill="DBE5F1" w:themeFill="accent1" w:themeFillTint="33"/>
            <w:noWrap/>
            <w:vAlign w:val="center"/>
            <w:hideMark/>
          </w:tcPr>
          <w:p w14:paraId="29A70F10" w14:textId="77777777" w:rsidR="00716D7E" w:rsidRPr="00716D7E" w:rsidRDefault="00716D7E" w:rsidP="00716D7E">
            <w:pPr>
              <w:rPr>
                <w:rFonts w:cs="Arial"/>
                <w:szCs w:val="20"/>
                <w:lang w:eastAsia="en-AU"/>
              </w:rPr>
            </w:pPr>
            <w:r w:rsidRPr="00716D7E">
              <w:rPr>
                <w:rFonts w:cs="Arial"/>
                <w:szCs w:val="20"/>
                <w:lang w:eastAsia="en-AU"/>
              </w:rPr>
              <w:t>2.3</w:t>
            </w:r>
          </w:p>
        </w:tc>
        <w:tc>
          <w:tcPr>
            <w:tcW w:w="4256" w:type="dxa"/>
            <w:tcBorders>
              <w:top w:val="nil"/>
              <w:left w:val="nil"/>
              <w:bottom w:val="single" w:sz="4" w:space="0" w:color="auto"/>
              <w:right w:val="single" w:sz="4" w:space="0" w:color="auto"/>
            </w:tcBorders>
            <w:shd w:val="clear" w:color="000000" w:fill="DBE5F1" w:themeFill="accent1" w:themeFillTint="33"/>
            <w:noWrap/>
            <w:vAlign w:val="center"/>
            <w:hideMark/>
          </w:tcPr>
          <w:p w14:paraId="08F9A146" w14:textId="77777777" w:rsidR="00716D7E" w:rsidRPr="00716D7E" w:rsidRDefault="00716D7E" w:rsidP="00716D7E">
            <w:pPr>
              <w:rPr>
                <w:rFonts w:cs="Arial"/>
                <w:szCs w:val="20"/>
                <w:lang w:eastAsia="en-AU"/>
              </w:rPr>
            </w:pPr>
            <w:r w:rsidRPr="00716D7E">
              <w:rPr>
                <w:rFonts w:cs="Arial"/>
                <w:szCs w:val="20"/>
                <w:lang w:eastAsia="en-AU"/>
              </w:rPr>
              <w:t>At least 11 but no more than 50</w:t>
            </w:r>
          </w:p>
        </w:tc>
        <w:tc>
          <w:tcPr>
            <w:tcW w:w="3550" w:type="dxa"/>
            <w:tcBorders>
              <w:top w:val="nil"/>
              <w:left w:val="nil"/>
              <w:bottom w:val="single" w:sz="4" w:space="0" w:color="auto"/>
              <w:right w:val="single" w:sz="8" w:space="0" w:color="auto"/>
            </w:tcBorders>
            <w:shd w:val="clear" w:color="000000" w:fill="DBE5F1" w:themeFill="accent1" w:themeFillTint="33"/>
            <w:noWrap/>
            <w:vAlign w:val="center"/>
            <w:hideMark/>
          </w:tcPr>
          <w:p w14:paraId="6BACA057" w14:textId="530DF390" w:rsidR="00716D7E" w:rsidRPr="00716D7E" w:rsidRDefault="00716D7E" w:rsidP="00BF41EC">
            <w:pPr>
              <w:spacing w:before="60" w:after="60"/>
              <w:rPr>
                <w:rFonts w:cs="Arial"/>
                <w:szCs w:val="20"/>
                <w:lang w:eastAsia="en-AU"/>
              </w:rPr>
            </w:pPr>
            <w:r w:rsidRPr="00716D7E">
              <w:rPr>
                <w:rFonts w:cs="Arial"/>
                <w:szCs w:val="20"/>
                <w:lang w:eastAsia="en-AU"/>
              </w:rPr>
              <w:t>$</w:t>
            </w:r>
            <w:r w:rsidR="00EC039C">
              <w:rPr>
                <w:rFonts w:cs="Arial"/>
                <w:szCs w:val="20"/>
                <w:lang w:eastAsia="en-AU"/>
              </w:rPr>
              <w:t>2</w:t>
            </w:r>
            <w:r w:rsidR="00BF41EC">
              <w:rPr>
                <w:rFonts w:cs="Arial"/>
                <w:szCs w:val="20"/>
                <w:lang w:eastAsia="en-AU"/>
              </w:rPr>
              <w:t>,926</w:t>
            </w:r>
            <w:r w:rsidRPr="00716D7E">
              <w:rPr>
                <w:rFonts w:cs="Arial"/>
                <w:szCs w:val="20"/>
                <w:lang w:eastAsia="en-AU"/>
              </w:rPr>
              <w:t xml:space="preserve"> x number of years of licence (including any part of a year)</w:t>
            </w:r>
          </w:p>
        </w:tc>
      </w:tr>
      <w:tr w:rsidR="00716D7E" w:rsidRPr="00716D7E" w14:paraId="4A9E56EC" w14:textId="77777777" w:rsidTr="005A229D">
        <w:trPr>
          <w:trHeight w:val="402"/>
        </w:trPr>
        <w:tc>
          <w:tcPr>
            <w:tcW w:w="2249" w:type="dxa"/>
            <w:tcBorders>
              <w:top w:val="nil"/>
              <w:left w:val="single" w:sz="8" w:space="0" w:color="auto"/>
              <w:bottom w:val="single" w:sz="4" w:space="0" w:color="auto"/>
              <w:right w:val="single" w:sz="4" w:space="0" w:color="auto"/>
            </w:tcBorders>
            <w:shd w:val="clear" w:color="000000" w:fill="DBE5F1" w:themeFill="accent1" w:themeFillTint="33"/>
            <w:noWrap/>
            <w:vAlign w:val="center"/>
            <w:hideMark/>
          </w:tcPr>
          <w:p w14:paraId="2D1C81E5" w14:textId="77777777" w:rsidR="00716D7E" w:rsidRPr="00716D7E" w:rsidRDefault="00716D7E" w:rsidP="00716D7E">
            <w:pPr>
              <w:rPr>
                <w:rFonts w:cs="Arial"/>
                <w:szCs w:val="20"/>
                <w:lang w:eastAsia="en-AU"/>
              </w:rPr>
            </w:pPr>
            <w:r w:rsidRPr="00716D7E">
              <w:rPr>
                <w:rFonts w:cs="Arial"/>
                <w:szCs w:val="20"/>
                <w:lang w:eastAsia="en-AU"/>
              </w:rPr>
              <w:t>2.4</w:t>
            </w:r>
          </w:p>
        </w:tc>
        <w:tc>
          <w:tcPr>
            <w:tcW w:w="4256" w:type="dxa"/>
            <w:tcBorders>
              <w:top w:val="nil"/>
              <w:left w:val="nil"/>
              <w:bottom w:val="single" w:sz="4" w:space="0" w:color="auto"/>
              <w:right w:val="single" w:sz="4" w:space="0" w:color="auto"/>
            </w:tcBorders>
            <w:shd w:val="clear" w:color="000000" w:fill="DBE5F1" w:themeFill="accent1" w:themeFillTint="33"/>
            <w:noWrap/>
            <w:vAlign w:val="center"/>
            <w:hideMark/>
          </w:tcPr>
          <w:p w14:paraId="39B00C4D" w14:textId="77777777" w:rsidR="00716D7E" w:rsidRPr="00716D7E" w:rsidRDefault="00716D7E" w:rsidP="00716D7E">
            <w:pPr>
              <w:rPr>
                <w:rFonts w:cs="Arial"/>
                <w:szCs w:val="20"/>
                <w:lang w:eastAsia="en-AU"/>
              </w:rPr>
            </w:pPr>
            <w:r w:rsidRPr="00716D7E">
              <w:rPr>
                <w:rFonts w:cs="Arial"/>
                <w:szCs w:val="20"/>
                <w:lang w:eastAsia="en-AU"/>
              </w:rPr>
              <w:t>At least 51 but no more than 100</w:t>
            </w:r>
          </w:p>
        </w:tc>
        <w:tc>
          <w:tcPr>
            <w:tcW w:w="3550" w:type="dxa"/>
            <w:tcBorders>
              <w:top w:val="nil"/>
              <w:left w:val="nil"/>
              <w:bottom w:val="single" w:sz="4" w:space="0" w:color="auto"/>
              <w:right w:val="single" w:sz="8" w:space="0" w:color="auto"/>
            </w:tcBorders>
            <w:shd w:val="clear" w:color="000000" w:fill="DBE5F1" w:themeFill="accent1" w:themeFillTint="33"/>
            <w:noWrap/>
            <w:vAlign w:val="center"/>
            <w:hideMark/>
          </w:tcPr>
          <w:p w14:paraId="31D4C535" w14:textId="5945C231" w:rsidR="00716D7E" w:rsidRPr="00716D7E" w:rsidRDefault="00716D7E" w:rsidP="00BF41EC">
            <w:pPr>
              <w:spacing w:before="60" w:after="60"/>
              <w:rPr>
                <w:rFonts w:cs="Arial"/>
                <w:szCs w:val="20"/>
                <w:lang w:eastAsia="en-AU"/>
              </w:rPr>
            </w:pPr>
            <w:r w:rsidRPr="00716D7E">
              <w:rPr>
                <w:rFonts w:cs="Arial"/>
                <w:szCs w:val="20"/>
                <w:lang w:eastAsia="en-AU"/>
              </w:rPr>
              <w:t>$</w:t>
            </w:r>
            <w:r w:rsidR="00BF41EC">
              <w:rPr>
                <w:rFonts w:cs="Arial"/>
                <w:szCs w:val="20"/>
                <w:lang w:eastAsia="en-AU"/>
              </w:rPr>
              <w:t>5,068</w:t>
            </w:r>
            <w:r w:rsidRPr="00716D7E">
              <w:rPr>
                <w:rFonts w:cs="Arial"/>
                <w:szCs w:val="20"/>
                <w:lang w:eastAsia="en-AU"/>
              </w:rPr>
              <w:t xml:space="preserve"> x number of years of licence (including any part of a year)</w:t>
            </w:r>
          </w:p>
        </w:tc>
      </w:tr>
      <w:tr w:rsidR="00716D7E" w:rsidRPr="00716D7E" w14:paraId="485119D5" w14:textId="77777777" w:rsidTr="005A229D">
        <w:trPr>
          <w:trHeight w:val="402"/>
        </w:trPr>
        <w:tc>
          <w:tcPr>
            <w:tcW w:w="2249" w:type="dxa"/>
            <w:tcBorders>
              <w:top w:val="nil"/>
              <w:left w:val="single" w:sz="8" w:space="0" w:color="auto"/>
              <w:bottom w:val="single" w:sz="8" w:space="0" w:color="auto"/>
              <w:right w:val="single" w:sz="4" w:space="0" w:color="auto"/>
            </w:tcBorders>
            <w:shd w:val="clear" w:color="000000" w:fill="DBE5F1" w:themeFill="accent1" w:themeFillTint="33"/>
            <w:noWrap/>
            <w:vAlign w:val="center"/>
            <w:hideMark/>
          </w:tcPr>
          <w:p w14:paraId="37797F51" w14:textId="77777777" w:rsidR="00716D7E" w:rsidRPr="00716D7E" w:rsidRDefault="00716D7E" w:rsidP="00716D7E">
            <w:pPr>
              <w:rPr>
                <w:rFonts w:cs="Arial"/>
                <w:szCs w:val="20"/>
                <w:lang w:eastAsia="en-AU"/>
              </w:rPr>
            </w:pPr>
            <w:r w:rsidRPr="00716D7E">
              <w:rPr>
                <w:rFonts w:cs="Arial"/>
                <w:szCs w:val="20"/>
                <w:lang w:eastAsia="en-AU"/>
              </w:rPr>
              <w:t>2.5</w:t>
            </w:r>
          </w:p>
        </w:tc>
        <w:tc>
          <w:tcPr>
            <w:tcW w:w="4256" w:type="dxa"/>
            <w:tcBorders>
              <w:top w:val="nil"/>
              <w:left w:val="nil"/>
              <w:bottom w:val="single" w:sz="8" w:space="0" w:color="auto"/>
              <w:right w:val="single" w:sz="4" w:space="0" w:color="auto"/>
            </w:tcBorders>
            <w:shd w:val="clear" w:color="000000" w:fill="DBE5F1" w:themeFill="accent1" w:themeFillTint="33"/>
            <w:noWrap/>
            <w:vAlign w:val="center"/>
            <w:hideMark/>
          </w:tcPr>
          <w:p w14:paraId="4B160943" w14:textId="77777777" w:rsidR="00716D7E" w:rsidRPr="00716D7E" w:rsidRDefault="00716D7E" w:rsidP="00716D7E">
            <w:pPr>
              <w:rPr>
                <w:rFonts w:cs="Arial"/>
                <w:szCs w:val="20"/>
                <w:lang w:eastAsia="en-AU"/>
              </w:rPr>
            </w:pPr>
            <w:r w:rsidRPr="00716D7E">
              <w:rPr>
                <w:rFonts w:cs="Arial"/>
                <w:szCs w:val="20"/>
                <w:lang w:eastAsia="en-AU"/>
              </w:rPr>
              <w:t>At least 101</w:t>
            </w:r>
          </w:p>
        </w:tc>
        <w:tc>
          <w:tcPr>
            <w:tcW w:w="3550" w:type="dxa"/>
            <w:tcBorders>
              <w:top w:val="nil"/>
              <w:left w:val="nil"/>
              <w:bottom w:val="single" w:sz="8" w:space="0" w:color="auto"/>
              <w:right w:val="single" w:sz="8" w:space="0" w:color="auto"/>
            </w:tcBorders>
            <w:shd w:val="clear" w:color="000000" w:fill="DBE5F1" w:themeFill="accent1" w:themeFillTint="33"/>
            <w:noWrap/>
            <w:vAlign w:val="center"/>
            <w:hideMark/>
          </w:tcPr>
          <w:p w14:paraId="276E2A14" w14:textId="6437AB57" w:rsidR="00716D7E" w:rsidRPr="00716D7E" w:rsidRDefault="00716D7E" w:rsidP="00BF41EC">
            <w:pPr>
              <w:spacing w:before="60" w:after="60"/>
              <w:rPr>
                <w:rFonts w:cs="Arial"/>
                <w:szCs w:val="20"/>
                <w:lang w:eastAsia="en-AU"/>
              </w:rPr>
            </w:pPr>
            <w:r w:rsidRPr="00716D7E">
              <w:rPr>
                <w:rFonts w:cs="Arial"/>
                <w:szCs w:val="20"/>
                <w:lang w:eastAsia="en-AU"/>
              </w:rPr>
              <w:t>$</w:t>
            </w:r>
            <w:r w:rsidR="00BF41EC">
              <w:rPr>
                <w:rFonts w:cs="Arial"/>
                <w:szCs w:val="20"/>
                <w:lang w:eastAsia="en-AU"/>
              </w:rPr>
              <w:t>8,280</w:t>
            </w:r>
            <w:r w:rsidRPr="00716D7E">
              <w:rPr>
                <w:rFonts w:cs="Arial"/>
                <w:szCs w:val="20"/>
                <w:lang w:eastAsia="en-AU"/>
              </w:rPr>
              <w:t xml:space="preserve"> x number of years of licence (including any part of a year)</w:t>
            </w:r>
          </w:p>
        </w:tc>
      </w:tr>
      <w:tr w:rsidR="00716D7E" w:rsidRPr="00716D7E" w14:paraId="6BFDBBEE" w14:textId="77777777" w:rsidTr="005A229D">
        <w:trPr>
          <w:trHeight w:val="402"/>
        </w:trPr>
        <w:tc>
          <w:tcPr>
            <w:tcW w:w="10055" w:type="dxa"/>
            <w:gridSpan w:val="3"/>
            <w:tcBorders>
              <w:top w:val="single" w:sz="8" w:space="0" w:color="auto"/>
              <w:left w:val="single" w:sz="8" w:space="0" w:color="auto"/>
              <w:bottom w:val="single" w:sz="4" w:space="0" w:color="auto"/>
              <w:right w:val="single" w:sz="8" w:space="0" w:color="000000"/>
            </w:tcBorders>
            <w:shd w:val="clear" w:color="000000" w:fill="DBE5F1" w:themeFill="accent1" w:themeFillTint="33"/>
            <w:noWrap/>
            <w:vAlign w:val="center"/>
            <w:hideMark/>
          </w:tcPr>
          <w:p w14:paraId="6A58CEAD" w14:textId="77777777" w:rsidR="00716D7E" w:rsidRPr="00716D7E" w:rsidRDefault="00716D7E" w:rsidP="00716D7E">
            <w:pPr>
              <w:rPr>
                <w:rFonts w:cs="Arial"/>
                <w:b/>
                <w:bCs/>
                <w:szCs w:val="20"/>
                <w:lang w:eastAsia="en-AU"/>
              </w:rPr>
            </w:pPr>
            <w:r w:rsidRPr="00716D7E">
              <w:rPr>
                <w:rFonts w:cs="Arial"/>
                <w:b/>
                <w:bCs/>
                <w:szCs w:val="20"/>
                <w:lang w:eastAsia="en-AU"/>
              </w:rPr>
              <w:t>Part 3 Categories of Licence</w:t>
            </w:r>
          </w:p>
        </w:tc>
      </w:tr>
      <w:tr w:rsidR="00716D7E" w:rsidRPr="00716D7E" w14:paraId="58EC4F76" w14:textId="77777777" w:rsidTr="005A229D">
        <w:trPr>
          <w:trHeight w:val="402"/>
        </w:trPr>
        <w:tc>
          <w:tcPr>
            <w:tcW w:w="2249" w:type="dxa"/>
            <w:tcBorders>
              <w:top w:val="nil"/>
              <w:left w:val="single" w:sz="8" w:space="0" w:color="auto"/>
              <w:bottom w:val="single" w:sz="8" w:space="0" w:color="auto"/>
              <w:right w:val="single" w:sz="4" w:space="0" w:color="auto"/>
            </w:tcBorders>
            <w:shd w:val="clear" w:color="000000" w:fill="DBE5F1" w:themeFill="accent1" w:themeFillTint="33"/>
            <w:noWrap/>
            <w:vAlign w:val="center"/>
            <w:hideMark/>
          </w:tcPr>
          <w:p w14:paraId="001F87AF" w14:textId="77777777" w:rsidR="00716D7E" w:rsidRPr="00716D7E" w:rsidRDefault="00716D7E" w:rsidP="00716D7E">
            <w:pPr>
              <w:rPr>
                <w:rFonts w:cs="Arial"/>
                <w:b/>
                <w:bCs/>
                <w:szCs w:val="20"/>
                <w:lang w:eastAsia="en-AU"/>
              </w:rPr>
            </w:pPr>
            <w:r w:rsidRPr="00716D7E">
              <w:rPr>
                <w:rFonts w:cs="Arial"/>
                <w:b/>
                <w:bCs/>
                <w:szCs w:val="20"/>
                <w:lang w:eastAsia="en-AU"/>
              </w:rPr>
              <w:t>Item</w:t>
            </w:r>
          </w:p>
        </w:tc>
        <w:tc>
          <w:tcPr>
            <w:tcW w:w="7806" w:type="dxa"/>
            <w:gridSpan w:val="2"/>
            <w:tcBorders>
              <w:top w:val="single" w:sz="4" w:space="0" w:color="auto"/>
              <w:left w:val="nil"/>
              <w:bottom w:val="single" w:sz="8" w:space="0" w:color="auto"/>
              <w:right w:val="single" w:sz="8" w:space="0" w:color="000000"/>
            </w:tcBorders>
            <w:shd w:val="clear" w:color="000000" w:fill="DBE5F1" w:themeFill="accent1" w:themeFillTint="33"/>
            <w:noWrap/>
            <w:vAlign w:val="center"/>
            <w:hideMark/>
          </w:tcPr>
          <w:p w14:paraId="54A4FF8B" w14:textId="77777777" w:rsidR="00716D7E" w:rsidRPr="00716D7E" w:rsidRDefault="00716D7E" w:rsidP="00716D7E">
            <w:pPr>
              <w:rPr>
                <w:rFonts w:cs="Arial"/>
                <w:b/>
                <w:bCs/>
                <w:szCs w:val="20"/>
                <w:lang w:eastAsia="en-AU"/>
              </w:rPr>
            </w:pPr>
            <w:r w:rsidRPr="00716D7E">
              <w:rPr>
                <w:rFonts w:cs="Arial"/>
                <w:b/>
                <w:bCs/>
                <w:szCs w:val="20"/>
                <w:lang w:eastAsia="en-AU"/>
              </w:rPr>
              <w:t>Fee</w:t>
            </w:r>
          </w:p>
        </w:tc>
      </w:tr>
      <w:tr w:rsidR="00716D7E" w:rsidRPr="00716D7E" w14:paraId="26939838" w14:textId="77777777" w:rsidTr="005A229D">
        <w:trPr>
          <w:trHeight w:val="402"/>
        </w:trPr>
        <w:tc>
          <w:tcPr>
            <w:tcW w:w="2249" w:type="dxa"/>
            <w:tcBorders>
              <w:top w:val="nil"/>
              <w:left w:val="single" w:sz="8" w:space="0" w:color="auto"/>
              <w:bottom w:val="single" w:sz="8" w:space="0" w:color="auto"/>
              <w:right w:val="single" w:sz="4" w:space="0" w:color="auto"/>
            </w:tcBorders>
            <w:shd w:val="clear" w:color="000000" w:fill="DBE5F1" w:themeFill="accent1" w:themeFillTint="33"/>
            <w:noWrap/>
            <w:vAlign w:val="center"/>
            <w:hideMark/>
          </w:tcPr>
          <w:p w14:paraId="7CB15388" w14:textId="77777777" w:rsidR="00716D7E" w:rsidRPr="00716D7E" w:rsidRDefault="00716D7E" w:rsidP="00716D7E">
            <w:pPr>
              <w:rPr>
                <w:rFonts w:cs="Arial"/>
                <w:szCs w:val="20"/>
                <w:lang w:eastAsia="en-AU"/>
              </w:rPr>
            </w:pPr>
            <w:r w:rsidRPr="00716D7E">
              <w:rPr>
                <w:rFonts w:cs="Arial"/>
                <w:szCs w:val="20"/>
                <w:lang w:eastAsia="en-AU"/>
              </w:rPr>
              <w:t>3.1</w:t>
            </w:r>
          </w:p>
        </w:tc>
        <w:tc>
          <w:tcPr>
            <w:tcW w:w="7806" w:type="dxa"/>
            <w:gridSpan w:val="2"/>
            <w:tcBorders>
              <w:top w:val="nil"/>
              <w:left w:val="nil"/>
              <w:bottom w:val="single" w:sz="8" w:space="0" w:color="auto"/>
              <w:right w:val="single" w:sz="8" w:space="0" w:color="000000"/>
            </w:tcBorders>
            <w:shd w:val="clear" w:color="000000" w:fill="DBE5F1" w:themeFill="accent1" w:themeFillTint="33"/>
            <w:noWrap/>
            <w:vAlign w:val="center"/>
            <w:hideMark/>
          </w:tcPr>
          <w:p w14:paraId="39DE774D" w14:textId="418F8929" w:rsidR="00716D7E" w:rsidRPr="00716D7E" w:rsidRDefault="00716D7E" w:rsidP="000F46DB">
            <w:pPr>
              <w:rPr>
                <w:rFonts w:cs="Arial"/>
                <w:szCs w:val="20"/>
                <w:lang w:eastAsia="en-AU"/>
              </w:rPr>
            </w:pPr>
            <w:r w:rsidRPr="00716D7E">
              <w:rPr>
                <w:rFonts w:cs="Arial"/>
                <w:szCs w:val="20"/>
                <w:lang w:eastAsia="en-AU"/>
              </w:rPr>
              <w:t>Number of classes of servicing licence to which the application relates x $1</w:t>
            </w:r>
            <w:r w:rsidR="000F46DB">
              <w:rPr>
                <w:rFonts w:cs="Arial"/>
                <w:szCs w:val="20"/>
                <w:lang w:eastAsia="en-AU"/>
              </w:rPr>
              <w:t>78</w:t>
            </w:r>
          </w:p>
        </w:tc>
      </w:tr>
    </w:tbl>
    <w:p w14:paraId="07436E9E" w14:textId="77777777" w:rsidR="003A2144" w:rsidRDefault="003A2144">
      <w:pPr>
        <w:spacing w:after="200" w:line="276" w:lineRule="auto"/>
        <w:rPr>
          <w:rFonts w:eastAsia="Arial" w:cs="Arial"/>
          <w:szCs w:val="20"/>
        </w:rPr>
      </w:pPr>
    </w:p>
    <w:p w14:paraId="40F767CF" w14:textId="77777777" w:rsidR="00303331" w:rsidRDefault="00303331">
      <w:pPr>
        <w:spacing w:after="200" w:line="276" w:lineRule="auto"/>
        <w:rPr>
          <w:rFonts w:eastAsia="Arial" w:cs="Arial"/>
          <w:szCs w:val="20"/>
        </w:rPr>
      </w:pPr>
      <w:r>
        <w:rPr>
          <w:rFonts w:eastAsia="Arial" w:cs="Arial"/>
          <w:szCs w:val="20"/>
        </w:rPr>
        <w:br w:type="page"/>
      </w:r>
    </w:p>
    <w:p w14:paraId="6E5643D1" w14:textId="77777777" w:rsidR="00303331" w:rsidRDefault="00303331" w:rsidP="00743530">
      <w:pPr>
        <w:pStyle w:val="Heading1"/>
        <w:numPr>
          <w:ilvl w:val="0"/>
          <w:numId w:val="0"/>
        </w:numPr>
        <w:rPr>
          <w:rFonts w:eastAsia="Arial"/>
        </w:rPr>
      </w:pPr>
      <w:bookmarkStart w:id="95" w:name="_Toc85106104"/>
      <w:bookmarkStart w:id="96" w:name="_Toc516468805"/>
      <w:r w:rsidRPr="003546AA">
        <w:rPr>
          <w:rFonts w:eastAsia="Arial"/>
        </w:rPr>
        <w:lastRenderedPageBreak/>
        <w:t xml:space="preserve">Appendix </w:t>
      </w:r>
      <w:r w:rsidR="00716D7E">
        <w:rPr>
          <w:rFonts w:eastAsia="Arial"/>
        </w:rPr>
        <w:t>C</w:t>
      </w:r>
      <w:r w:rsidRPr="003546AA">
        <w:rPr>
          <w:rFonts w:eastAsia="Arial"/>
        </w:rPr>
        <w:t xml:space="preserve"> </w:t>
      </w:r>
      <w:r w:rsidRPr="00743530">
        <w:rPr>
          <w:rFonts w:eastAsia="Arial"/>
        </w:rPr>
        <w:t>– Public Weighbridge Licence Fees</w:t>
      </w:r>
      <w:bookmarkEnd w:id="95"/>
      <w:r w:rsidRPr="00743530">
        <w:rPr>
          <w:rFonts w:eastAsia="Arial"/>
        </w:rPr>
        <w:t xml:space="preserve"> </w:t>
      </w:r>
      <w:bookmarkEnd w:id="96"/>
    </w:p>
    <w:p w14:paraId="455F8430" w14:textId="5546CA1B" w:rsidR="0069230F" w:rsidRDefault="00716D7E" w:rsidP="00716D7E">
      <w:pPr>
        <w:pStyle w:val="Heading2"/>
        <w:numPr>
          <w:ilvl w:val="0"/>
          <w:numId w:val="0"/>
        </w:numPr>
        <w:ind w:left="576" w:hanging="576"/>
        <w:rPr>
          <w:rFonts w:eastAsia="Arial"/>
          <w:lang w:val="en-US"/>
        </w:rPr>
      </w:pPr>
      <w:bookmarkStart w:id="97" w:name="_Toc85106105"/>
      <w:r>
        <w:rPr>
          <w:rFonts w:eastAsia="Arial"/>
          <w:lang w:val="en-US"/>
        </w:rPr>
        <w:t>C.</w:t>
      </w:r>
      <w:r w:rsidR="00EC039C">
        <w:rPr>
          <w:rFonts w:eastAsia="Arial"/>
          <w:lang w:val="en-US"/>
        </w:rPr>
        <w:t>1</w:t>
      </w:r>
      <w:r>
        <w:rPr>
          <w:rFonts w:eastAsia="Arial"/>
          <w:lang w:val="en-US"/>
        </w:rPr>
        <w:t xml:space="preserve"> Public Weighbridge Licence fees for the financial year 20</w:t>
      </w:r>
      <w:r w:rsidR="00EC039C">
        <w:rPr>
          <w:rFonts w:eastAsia="Arial"/>
          <w:lang w:val="en-US"/>
        </w:rPr>
        <w:t>2</w:t>
      </w:r>
      <w:r w:rsidR="00BF41EC">
        <w:rPr>
          <w:rFonts w:eastAsia="Arial"/>
          <w:lang w:val="en-US"/>
        </w:rPr>
        <w:t>1</w:t>
      </w:r>
      <w:r>
        <w:rPr>
          <w:rFonts w:eastAsia="Arial"/>
          <w:lang w:val="en-US"/>
        </w:rPr>
        <w:t>-20</w:t>
      </w:r>
      <w:r w:rsidR="00173FDE">
        <w:rPr>
          <w:rFonts w:eastAsia="Arial"/>
          <w:lang w:val="en-US"/>
        </w:rPr>
        <w:t>2</w:t>
      </w:r>
      <w:r w:rsidR="00BF41EC">
        <w:rPr>
          <w:rFonts w:eastAsia="Arial"/>
          <w:lang w:val="en-US"/>
        </w:rPr>
        <w:t>2</w:t>
      </w:r>
      <w:bookmarkEnd w:id="97"/>
    </w:p>
    <w:p w14:paraId="16798256" w14:textId="77777777" w:rsidR="009453F8" w:rsidRDefault="009453F8" w:rsidP="00F626A9">
      <w:pPr>
        <w:rPr>
          <w:rFonts w:eastAsia="Arial"/>
          <w:lang w:val="en-US"/>
        </w:rPr>
      </w:pPr>
    </w:p>
    <w:tbl>
      <w:tblPr>
        <w:tblStyle w:val="TableGrid"/>
        <w:tblW w:w="0" w:type="auto"/>
        <w:tblLook w:val="04A0" w:firstRow="1" w:lastRow="0" w:firstColumn="1" w:lastColumn="0" w:noHBand="0" w:noVBand="1"/>
      </w:tblPr>
      <w:tblGrid>
        <w:gridCol w:w="9063"/>
      </w:tblGrid>
      <w:tr w:rsidR="009453F8" w:rsidRPr="004D5084" w14:paraId="41E8678B" w14:textId="77777777" w:rsidTr="00EB019B">
        <w:trPr>
          <w:trHeight w:val="630"/>
        </w:trPr>
        <w:tc>
          <w:tcPr>
            <w:tcW w:w="9063" w:type="dxa"/>
            <w:shd w:val="clear" w:color="auto" w:fill="FF0000"/>
            <w:noWrap/>
            <w:hideMark/>
          </w:tcPr>
          <w:p w14:paraId="49259596" w14:textId="77777777" w:rsidR="009453F8" w:rsidRPr="004D5084" w:rsidRDefault="009453F8">
            <w:pPr>
              <w:spacing w:after="120" w:line="276" w:lineRule="auto"/>
              <w:ind w:firstLine="142"/>
              <w:jc w:val="center"/>
              <w:rPr>
                <w:rFonts w:eastAsia="Arial" w:cs="Arial"/>
                <w:b/>
                <w:bCs/>
                <w:sz w:val="24"/>
              </w:rPr>
            </w:pPr>
            <w:r w:rsidRPr="00EB019B">
              <w:rPr>
                <w:rFonts w:eastAsia="Arial" w:cs="Arial"/>
                <w:b/>
                <w:bCs/>
                <w:color w:val="FFFFFF" w:themeColor="background1"/>
                <w:sz w:val="24"/>
              </w:rPr>
              <w:t>Public Weighbridge Licences</w:t>
            </w:r>
          </w:p>
        </w:tc>
      </w:tr>
      <w:tr w:rsidR="009453F8" w:rsidRPr="00C74585" w14:paraId="24C751BB" w14:textId="77777777" w:rsidTr="00F626A9">
        <w:trPr>
          <w:trHeight w:val="483"/>
        </w:trPr>
        <w:tc>
          <w:tcPr>
            <w:tcW w:w="9063" w:type="dxa"/>
            <w:hideMark/>
          </w:tcPr>
          <w:p w14:paraId="0BD9275A" w14:textId="77777777" w:rsidR="009453F8" w:rsidRPr="00C74585" w:rsidRDefault="009453F8" w:rsidP="00F626A9">
            <w:pPr>
              <w:spacing w:before="60" w:after="60" w:line="276" w:lineRule="auto"/>
              <w:rPr>
                <w:rFonts w:eastAsia="Arial" w:cs="Arial"/>
                <w:b/>
                <w:bCs/>
                <w:szCs w:val="20"/>
              </w:rPr>
            </w:pPr>
            <w:r w:rsidRPr="00C74585">
              <w:rPr>
                <w:rFonts w:eastAsia="Arial" w:cs="Arial"/>
                <w:b/>
                <w:bCs/>
                <w:szCs w:val="20"/>
              </w:rPr>
              <w:t>National Trade Measurement Regulations 2009 - Division 3.2</w:t>
            </w:r>
          </w:p>
        </w:tc>
      </w:tr>
    </w:tbl>
    <w:tbl>
      <w:tblPr>
        <w:tblW w:w="9062" w:type="dxa"/>
        <w:tblBorders>
          <w:top w:val="single" w:sz="8" w:space="0" w:color="auto"/>
          <w:left w:val="single" w:sz="8" w:space="0" w:color="auto"/>
          <w:bottom w:val="single" w:sz="8" w:space="0" w:color="auto"/>
          <w:right w:val="single" w:sz="8" w:space="0" w:color="000000"/>
          <w:insideH w:val="single" w:sz="8" w:space="0" w:color="auto"/>
          <w:insideV w:val="single" w:sz="8" w:space="0" w:color="auto"/>
        </w:tblBorders>
        <w:tblLook w:val="04A0" w:firstRow="1" w:lastRow="0" w:firstColumn="1" w:lastColumn="0" w:noHBand="0" w:noVBand="1"/>
      </w:tblPr>
      <w:tblGrid>
        <w:gridCol w:w="9062"/>
      </w:tblGrid>
      <w:tr w:rsidR="00365606" w:rsidRPr="00365606" w14:paraId="6209E8C2" w14:textId="77777777" w:rsidTr="005A229D">
        <w:trPr>
          <w:trHeight w:val="402"/>
        </w:trPr>
        <w:tc>
          <w:tcPr>
            <w:tcW w:w="9062" w:type="dxa"/>
            <w:shd w:val="clear" w:color="000000" w:fill="DDEBF7"/>
            <w:vAlign w:val="center"/>
            <w:hideMark/>
          </w:tcPr>
          <w:p w14:paraId="7C5EF5D5" w14:textId="485B52AA" w:rsidR="00365606" w:rsidRPr="00F626A9" w:rsidRDefault="00365606" w:rsidP="00EC039C">
            <w:pPr>
              <w:spacing w:before="60" w:after="60"/>
              <w:rPr>
                <w:rFonts w:cs="Arial"/>
                <w:b/>
                <w:bCs/>
                <w:szCs w:val="20"/>
                <w:lang w:eastAsia="en-AU"/>
              </w:rPr>
            </w:pPr>
            <w:r w:rsidRPr="00F626A9">
              <w:rPr>
                <w:rFonts w:cs="Arial"/>
                <w:b/>
                <w:bCs/>
                <w:szCs w:val="20"/>
                <w:lang w:eastAsia="en-AU"/>
              </w:rPr>
              <w:t>Financial Year 20</w:t>
            </w:r>
            <w:r w:rsidR="00EC039C">
              <w:rPr>
                <w:rFonts w:cs="Arial"/>
                <w:b/>
                <w:bCs/>
                <w:szCs w:val="20"/>
                <w:lang w:eastAsia="en-AU"/>
              </w:rPr>
              <w:t>20</w:t>
            </w:r>
            <w:r w:rsidRPr="00F626A9">
              <w:rPr>
                <w:rFonts w:cs="Arial"/>
                <w:b/>
                <w:bCs/>
                <w:szCs w:val="20"/>
                <w:lang w:eastAsia="en-AU"/>
              </w:rPr>
              <w:t>-20</w:t>
            </w:r>
            <w:r w:rsidR="00173FDE" w:rsidRPr="00F626A9">
              <w:rPr>
                <w:rFonts w:cs="Arial"/>
                <w:b/>
                <w:bCs/>
                <w:szCs w:val="20"/>
                <w:lang w:eastAsia="en-AU"/>
              </w:rPr>
              <w:t>2</w:t>
            </w:r>
            <w:r w:rsidR="00EC039C">
              <w:rPr>
                <w:rFonts w:cs="Arial"/>
                <w:b/>
                <w:bCs/>
                <w:szCs w:val="20"/>
                <w:lang w:eastAsia="en-AU"/>
              </w:rPr>
              <w:t>1</w:t>
            </w:r>
          </w:p>
        </w:tc>
      </w:tr>
      <w:tr w:rsidR="00365606" w:rsidRPr="00365606" w14:paraId="176D3671" w14:textId="77777777" w:rsidTr="005A229D">
        <w:trPr>
          <w:trHeight w:val="1725"/>
        </w:trPr>
        <w:tc>
          <w:tcPr>
            <w:tcW w:w="9062" w:type="dxa"/>
            <w:shd w:val="clear" w:color="000000" w:fill="DDEBF7"/>
            <w:hideMark/>
          </w:tcPr>
          <w:p w14:paraId="31334866" w14:textId="7C992F18" w:rsidR="00365606" w:rsidRPr="00365606" w:rsidRDefault="00B20D1F" w:rsidP="000B2CCC">
            <w:pPr>
              <w:spacing w:before="60" w:after="60"/>
              <w:rPr>
                <w:rFonts w:cs="Arial"/>
                <w:b/>
                <w:bCs/>
                <w:szCs w:val="20"/>
                <w:lang w:eastAsia="en-AU"/>
              </w:rPr>
            </w:pPr>
            <w:r>
              <w:rPr>
                <w:rFonts w:cs="Arial"/>
                <w:b/>
                <w:bCs/>
                <w:szCs w:val="20"/>
                <w:lang w:eastAsia="en-AU"/>
              </w:rPr>
              <w:t xml:space="preserve">3.12 </w:t>
            </w:r>
            <w:r w:rsidR="00365606" w:rsidRPr="00365606">
              <w:rPr>
                <w:rFonts w:cs="Arial"/>
                <w:b/>
                <w:bCs/>
                <w:szCs w:val="20"/>
                <w:lang w:eastAsia="en-AU"/>
              </w:rPr>
              <w:t>Prescribed fee - application for public weighbridge licence (Act s 18PA (3)</w:t>
            </w:r>
            <w:r w:rsidR="001827AD">
              <w:rPr>
                <w:rFonts w:cs="Arial"/>
                <w:b/>
                <w:bCs/>
                <w:szCs w:val="20"/>
                <w:lang w:eastAsia="en-AU"/>
              </w:rPr>
              <w:t xml:space="preserve"> </w:t>
            </w:r>
            <w:r w:rsidR="00365606" w:rsidRPr="00365606">
              <w:rPr>
                <w:rFonts w:cs="Arial"/>
                <w:b/>
                <w:bCs/>
                <w:szCs w:val="20"/>
                <w:lang w:eastAsia="en-AU"/>
              </w:rPr>
              <w:t>(b))</w:t>
            </w:r>
            <w:r w:rsidR="00365606" w:rsidRPr="00365606">
              <w:rPr>
                <w:rFonts w:cs="Arial"/>
                <w:b/>
                <w:bCs/>
                <w:szCs w:val="20"/>
                <w:lang w:eastAsia="en-AU"/>
              </w:rPr>
              <w:br/>
            </w:r>
            <w:r w:rsidR="00365606" w:rsidRPr="00365606">
              <w:rPr>
                <w:rFonts w:cs="Arial"/>
                <w:b/>
                <w:bCs/>
                <w:szCs w:val="20"/>
                <w:lang w:eastAsia="en-AU"/>
              </w:rPr>
              <w:br/>
            </w:r>
            <w:r w:rsidR="00365606" w:rsidRPr="00365606">
              <w:rPr>
                <w:rFonts w:cs="Arial"/>
                <w:bCs/>
                <w:szCs w:val="20"/>
                <w:lang w:eastAsia="en-AU"/>
              </w:rPr>
              <w:t>For paragraph 18PA (3) (b) of the Act, the fee for an application for a public weighbridge licence is the sum of</w:t>
            </w:r>
            <w:r w:rsidR="00B42981">
              <w:rPr>
                <w:rFonts w:cs="Arial"/>
                <w:bCs/>
                <w:szCs w:val="20"/>
                <w:lang w:eastAsia="en-AU"/>
              </w:rPr>
              <w:t xml:space="preserve">: </w:t>
            </w:r>
            <w:r w:rsidR="00365606" w:rsidRPr="00365606">
              <w:rPr>
                <w:rFonts w:cs="Arial"/>
                <w:bCs/>
                <w:szCs w:val="20"/>
                <w:lang w:eastAsia="en-AU"/>
              </w:rPr>
              <w:br/>
              <w:t>(a) $</w:t>
            </w:r>
            <w:r w:rsidR="00A36C6D">
              <w:rPr>
                <w:rFonts w:cs="Arial"/>
                <w:bCs/>
                <w:szCs w:val="20"/>
                <w:lang w:eastAsia="en-AU"/>
              </w:rPr>
              <w:t>785</w:t>
            </w:r>
            <w:r w:rsidR="00365606" w:rsidRPr="00365606">
              <w:rPr>
                <w:rFonts w:cs="Arial"/>
                <w:bCs/>
                <w:szCs w:val="20"/>
                <w:lang w:eastAsia="en-AU"/>
              </w:rPr>
              <w:t xml:space="preserve">; </w:t>
            </w:r>
            <w:r w:rsidR="001827AD" w:rsidRPr="00365606">
              <w:rPr>
                <w:rFonts w:cs="Arial"/>
                <w:bCs/>
                <w:szCs w:val="20"/>
                <w:lang w:eastAsia="en-AU"/>
              </w:rPr>
              <w:t xml:space="preserve">and </w:t>
            </w:r>
            <w:r w:rsidR="00365606" w:rsidRPr="00365606">
              <w:rPr>
                <w:rFonts w:cs="Arial"/>
                <w:bCs/>
                <w:szCs w:val="20"/>
                <w:lang w:eastAsia="en-AU"/>
              </w:rPr>
              <w:br/>
              <w:t>(b) $</w:t>
            </w:r>
            <w:r w:rsidR="003318C1">
              <w:rPr>
                <w:rFonts w:cs="Arial"/>
                <w:bCs/>
                <w:szCs w:val="20"/>
                <w:lang w:eastAsia="en-AU"/>
              </w:rPr>
              <w:t>5</w:t>
            </w:r>
            <w:r w:rsidR="00A36C6D">
              <w:rPr>
                <w:rFonts w:cs="Arial"/>
                <w:bCs/>
                <w:szCs w:val="20"/>
                <w:lang w:eastAsia="en-AU"/>
              </w:rPr>
              <w:t>50</w:t>
            </w:r>
            <w:r w:rsidR="00365606" w:rsidRPr="00365606">
              <w:rPr>
                <w:rFonts w:cs="Arial"/>
                <w:bCs/>
                <w:szCs w:val="20"/>
                <w:lang w:eastAsia="en-AU"/>
              </w:rPr>
              <w:t xml:space="preserve"> multiplied by each year, or part of a year, of the licence.</w:t>
            </w:r>
            <w:r w:rsidR="00365606" w:rsidRPr="00365606">
              <w:rPr>
                <w:rFonts w:cs="Arial"/>
                <w:bCs/>
                <w:szCs w:val="20"/>
                <w:lang w:eastAsia="en-AU"/>
              </w:rPr>
              <w:br/>
              <w:t>Note: The amount of $</w:t>
            </w:r>
            <w:r w:rsidR="003318C1">
              <w:rPr>
                <w:rFonts w:cs="Arial"/>
                <w:bCs/>
                <w:szCs w:val="20"/>
                <w:lang w:eastAsia="en-AU"/>
              </w:rPr>
              <w:t>1</w:t>
            </w:r>
            <w:r w:rsidR="000B2CCC">
              <w:rPr>
                <w:rFonts w:cs="Arial"/>
                <w:bCs/>
                <w:szCs w:val="20"/>
                <w:lang w:eastAsia="en-AU"/>
              </w:rPr>
              <w:t>335</w:t>
            </w:r>
            <w:r w:rsidR="00365606" w:rsidRPr="00365606">
              <w:rPr>
                <w:rFonts w:cs="Arial"/>
                <w:bCs/>
                <w:szCs w:val="20"/>
                <w:lang w:eastAsia="en-AU"/>
              </w:rPr>
              <w:t xml:space="preserve"> is the component of the total fee covering the first year of the licence.</w:t>
            </w:r>
          </w:p>
        </w:tc>
      </w:tr>
      <w:tr w:rsidR="00365606" w:rsidRPr="00365606" w14:paraId="2BB37F86" w14:textId="77777777" w:rsidTr="005A229D">
        <w:trPr>
          <w:trHeight w:val="975"/>
        </w:trPr>
        <w:tc>
          <w:tcPr>
            <w:tcW w:w="9062" w:type="dxa"/>
            <w:shd w:val="clear" w:color="000000" w:fill="DDEBF7"/>
            <w:hideMark/>
          </w:tcPr>
          <w:p w14:paraId="53CE482B" w14:textId="2931043D" w:rsidR="00365606" w:rsidRPr="00365606" w:rsidRDefault="00B20D1F" w:rsidP="000B2CCC">
            <w:pPr>
              <w:spacing w:before="60" w:after="60"/>
              <w:rPr>
                <w:rFonts w:cs="Arial"/>
                <w:b/>
                <w:bCs/>
                <w:szCs w:val="20"/>
                <w:lang w:eastAsia="en-AU"/>
              </w:rPr>
            </w:pPr>
            <w:r>
              <w:rPr>
                <w:rFonts w:cs="Arial"/>
                <w:b/>
                <w:bCs/>
                <w:szCs w:val="20"/>
                <w:lang w:eastAsia="en-AU"/>
              </w:rPr>
              <w:t xml:space="preserve">3.13 </w:t>
            </w:r>
            <w:r w:rsidR="00365606" w:rsidRPr="00365606">
              <w:rPr>
                <w:rFonts w:cs="Arial"/>
                <w:b/>
                <w:bCs/>
                <w:szCs w:val="20"/>
                <w:lang w:eastAsia="en-AU"/>
              </w:rPr>
              <w:t>Prescribed fee—application to amend condition of public weighbridge licence (Act s 18PI (2) (b))</w:t>
            </w:r>
            <w:r w:rsidR="00365606" w:rsidRPr="00365606">
              <w:rPr>
                <w:rFonts w:cs="Arial"/>
                <w:b/>
                <w:bCs/>
                <w:szCs w:val="20"/>
                <w:lang w:eastAsia="en-AU"/>
              </w:rPr>
              <w:br/>
            </w:r>
            <w:r w:rsidR="00365606" w:rsidRPr="00365606">
              <w:rPr>
                <w:rFonts w:cs="Arial"/>
                <w:b/>
                <w:bCs/>
                <w:szCs w:val="20"/>
                <w:lang w:eastAsia="en-AU"/>
              </w:rPr>
              <w:br/>
            </w:r>
            <w:r w:rsidR="00365606" w:rsidRPr="00365606">
              <w:rPr>
                <w:rFonts w:cs="Arial"/>
                <w:bCs/>
                <w:szCs w:val="20"/>
                <w:lang w:eastAsia="en-AU"/>
              </w:rPr>
              <w:t>For paragraph 18PI (2) (b) of the Act, the fee for an application to amend a condition of a public weighbridge licence is $</w:t>
            </w:r>
            <w:r w:rsidR="000B2CCC">
              <w:rPr>
                <w:rFonts w:cs="Arial"/>
                <w:bCs/>
                <w:szCs w:val="20"/>
                <w:lang w:eastAsia="en-AU"/>
              </w:rPr>
              <w:t>196</w:t>
            </w:r>
            <w:r w:rsidR="00365606" w:rsidRPr="00365606">
              <w:rPr>
                <w:rFonts w:cs="Arial"/>
                <w:bCs/>
                <w:szCs w:val="20"/>
                <w:lang w:eastAsia="en-AU"/>
              </w:rPr>
              <w:t>.</w:t>
            </w:r>
          </w:p>
        </w:tc>
      </w:tr>
      <w:tr w:rsidR="00365606" w:rsidRPr="00365606" w14:paraId="6F4AEAEB" w14:textId="77777777" w:rsidTr="005A229D">
        <w:trPr>
          <w:trHeight w:val="1335"/>
        </w:trPr>
        <w:tc>
          <w:tcPr>
            <w:tcW w:w="9062" w:type="dxa"/>
            <w:shd w:val="clear" w:color="000000" w:fill="DDEBF7"/>
            <w:hideMark/>
          </w:tcPr>
          <w:p w14:paraId="203012B8" w14:textId="587C5154" w:rsidR="00365606" w:rsidRPr="00365606" w:rsidRDefault="00B20D1F" w:rsidP="00A36C6D">
            <w:pPr>
              <w:spacing w:before="60" w:after="60"/>
              <w:rPr>
                <w:rFonts w:cs="Arial"/>
                <w:b/>
                <w:bCs/>
                <w:szCs w:val="20"/>
                <w:lang w:eastAsia="en-AU"/>
              </w:rPr>
            </w:pPr>
            <w:r>
              <w:rPr>
                <w:rFonts w:cs="Arial"/>
                <w:b/>
                <w:bCs/>
                <w:szCs w:val="20"/>
                <w:lang w:eastAsia="en-AU"/>
              </w:rPr>
              <w:t xml:space="preserve">3.14 </w:t>
            </w:r>
            <w:r w:rsidR="00365606" w:rsidRPr="00365606">
              <w:rPr>
                <w:rFonts w:cs="Arial"/>
                <w:b/>
                <w:bCs/>
                <w:szCs w:val="20"/>
                <w:lang w:eastAsia="en-AU"/>
              </w:rPr>
              <w:t>Prescribed fee—application to amend public weighbridge licence due to change of partnership (Act s 18PJ (3) (d))</w:t>
            </w:r>
            <w:r w:rsidR="00365606" w:rsidRPr="00365606">
              <w:rPr>
                <w:rFonts w:cs="Arial"/>
                <w:b/>
                <w:bCs/>
                <w:szCs w:val="20"/>
                <w:lang w:eastAsia="en-AU"/>
              </w:rPr>
              <w:br/>
            </w:r>
            <w:r w:rsidR="00365606" w:rsidRPr="00365606">
              <w:rPr>
                <w:rFonts w:cs="Arial"/>
                <w:b/>
                <w:bCs/>
                <w:szCs w:val="20"/>
                <w:lang w:eastAsia="en-AU"/>
              </w:rPr>
              <w:br/>
            </w:r>
            <w:r w:rsidR="00365606" w:rsidRPr="00365606">
              <w:rPr>
                <w:rFonts w:cs="Arial"/>
                <w:bCs/>
                <w:szCs w:val="20"/>
                <w:lang w:eastAsia="en-AU"/>
              </w:rPr>
              <w:t>For paragraph 18PJ (3) (d) of the Act, the fee for an application to amend a public weighbridge licence to state the people who are or</w:t>
            </w:r>
            <w:r w:rsidR="00365606">
              <w:rPr>
                <w:rFonts w:cs="Arial"/>
                <w:bCs/>
                <w:szCs w:val="20"/>
                <w:lang w:eastAsia="en-AU"/>
              </w:rPr>
              <w:t xml:space="preserve"> </w:t>
            </w:r>
            <w:r w:rsidR="00365606" w:rsidRPr="00365606">
              <w:rPr>
                <w:rFonts w:cs="Arial"/>
                <w:bCs/>
                <w:szCs w:val="20"/>
                <w:lang w:eastAsia="en-AU"/>
              </w:rPr>
              <w:t>will be the partners is $</w:t>
            </w:r>
            <w:r w:rsidR="00A36C6D">
              <w:rPr>
                <w:rFonts w:cs="Arial"/>
                <w:bCs/>
                <w:szCs w:val="20"/>
                <w:lang w:eastAsia="en-AU"/>
              </w:rPr>
              <w:t>785</w:t>
            </w:r>
            <w:r w:rsidR="00365606" w:rsidRPr="00365606">
              <w:rPr>
                <w:rFonts w:cs="Arial"/>
                <w:bCs/>
                <w:szCs w:val="20"/>
                <w:lang w:eastAsia="en-AU"/>
              </w:rPr>
              <w:t>.</w:t>
            </w:r>
          </w:p>
        </w:tc>
      </w:tr>
      <w:tr w:rsidR="00365606" w:rsidRPr="00365606" w14:paraId="66317E84" w14:textId="77777777" w:rsidTr="005A229D">
        <w:trPr>
          <w:trHeight w:val="1560"/>
        </w:trPr>
        <w:tc>
          <w:tcPr>
            <w:tcW w:w="9062" w:type="dxa"/>
            <w:shd w:val="clear" w:color="000000" w:fill="DDEBF7"/>
            <w:hideMark/>
          </w:tcPr>
          <w:p w14:paraId="28231D8D" w14:textId="3448F40F" w:rsidR="00365606" w:rsidRPr="00365606" w:rsidRDefault="00B20D1F" w:rsidP="00A36C6D">
            <w:pPr>
              <w:spacing w:before="60" w:after="60"/>
              <w:rPr>
                <w:rFonts w:cs="Arial"/>
                <w:b/>
                <w:bCs/>
                <w:szCs w:val="20"/>
                <w:lang w:eastAsia="en-AU"/>
              </w:rPr>
            </w:pPr>
            <w:r>
              <w:rPr>
                <w:rFonts w:cs="Arial"/>
                <w:b/>
                <w:bCs/>
                <w:szCs w:val="20"/>
                <w:lang w:eastAsia="en-AU"/>
              </w:rPr>
              <w:t xml:space="preserve">3.15 </w:t>
            </w:r>
            <w:r w:rsidR="00365606" w:rsidRPr="00365606">
              <w:rPr>
                <w:rFonts w:cs="Arial"/>
                <w:b/>
                <w:bCs/>
                <w:szCs w:val="20"/>
                <w:lang w:eastAsia="en-AU"/>
              </w:rPr>
              <w:t>Prescribed fee—application to contract out public weighbridge operation (Act s 18PK (3) (d))</w:t>
            </w:r>
            <w:r w:rsidR="00365606" w:rsidRPr="00365606">
              <w:rPr>
                <w:rFonts w:cs="Arial"/>
                <w:b/>
                <w:bCs/>
                <w:szCs w:val="20"/>
                <w:lang w:eastAsia="en-AU"/>
              </w:rPr>
              <w:br/>
            </w:r>
            <w:r w:rsidR="00365606" w:rsidRPr="00365606">
              <w:rPr>
                <w:rFonts w:cs="Arial"/>
                <w:b/>
                <w:bCs/>
                <w:szCs w:val="20"/>
                <w:lang w:eastAsia="en-AU"/>
              </w:rPr>
              <w:br/>
            </w:r>
            <w:r w:rsidR="00365606" w:rsidRPr="00365606">
              <w:rPr>
                <w:rFonts w:cs="Arial"/>
                <w:bCs/>
                <w:szCs w:val="20"/>
                <w:lang w:eastAsia="en-AU"/>
              </w:rPr>
              <w:t>For paragraph 18PK (3) (d) of the Act, the fee for an application to amend a public weighbridge licence to state the person who will</w:t>
            </w:r>
            <w:r w:rsidR="00365606">
              <w:rPr>
                <w:rFonts w:cs="Arial"/>
                <w:bCs/>
                <w:szCs w:val="20"/>
                <w:lang w:eastAsia="en-AU"/>
              </w:rPr>
              <w:t xml:space="preserve"> </w:t>
            </w:r>
            <w:r w:rsidR="00365606" w:rsidRPr="00365606">
              <w:rPr>
                <w:rFonts w:cs="Arial"/>
                <w:bCs/>
                <w:szCs w:val="20"/>
                <w:lang w:eastAsia="en-AU"/>
              </w:rPr>
              <w:t>operate the public weighbridge is $</w:t>
            </w:r>
            <w:r w:rsidR="003318C1">
              <w:rPr>
                <w:rFonts w:cs="Arial"/>
                <w:bCs/>
                <w:szCs w:val="20"/>
                <w:lang w:eastAsia="en-AU"/>
              </w:rPr>
              <w:t>5</w:t>
            </w:r>
            <w:r w:rsidR="00A36C6D">
              <w:rPr>
                <w:rFonts w:cs="Arial"/>
                <w:bCs/>
                <w:szCs w:val="20"/>
                <w:lang w:eastAsia="en-AU"/>
              </w:rPr>
              <w:t>50</w:t>
            </w:r>
            <w:r w:rsidR="00365606" w:rsidRPr="00365606">
              <w:rPr>
                <w:rFonts w:cs="Arial"/>
                <w:bCs/>
                <w:szCs w:val="20"/>
                <w:lang w:eastAsia="en-AU"/>
              </w:rPr>
              <w:t xml:space="preserve"> multiplied by each year, or part of a year, of the licence remaining after the application is made.</w:t>
            </w:r>
          </w:p>
        </w:tc>
      </w:tr>
      <w:tr w:rsidR="00365606" w:rsidRPr="00365606" w14:paraId="18CA7188" w14:textId="77777777" w:rsidTr="005A229D">
        <w:trPr>
          <w:trHeight w:val="1125"/>
        </w:trPr>
        <w:tc>
          <w:tcPr>
            <w:tcW w:w="9062" w:type="dxa"/>
            <w:shd w:val="clear" w:color="000000" w:fill="DDEBF7"/>
            <w:hideMark/>
          </w:tcPr>
          <w:p w14:paraId="13CF750F" w14:textId="6DC7B68B" w:rsidR="00365606" w:rsidRPr="00365606" w:rsidRDefault="00B20D1F" w:rsidP="00A36C6D">
            <w:pPr>
              <w:spacing w:before="60" w:after="60"/>
              <w:rPr>
                <w:rFonts w:cs="Arial"/>
                <w:b/>
                <w:bCs/>
                <w:szCs w:val="20"/>
                <w:lang w:eastAsia="en-AU"/>
              </w:rPr>
            </w:pPr>
            <w:r>
              <w:rPr>
                <w:rFonts w:cs="Arial"/>
                <w:b/>
                <w:bCs/>
                <w:szCs w:val="20"/>
                <w:lang w:eastAsia="en-AU"/>
              </w:rPr>
              <w:t xml:space="preserve">3.16 </w:t>
            </w:r>
            <w:r w:rsidR="00365606" w:rsidRPr="00365606">
              <w:rPr>
                <w:rFonts w:cs="Arial"/>
                <w:b/>
                <w:bCs/>
                <w:szCs w:val="20"/>
                <w:lang w:eastAsia="en-AU"/>
              </w:rPr>
              <w:t>Prescribed fee—application for renewal of public weighbridge licence (Act s 18PL (2) (b))</w:t>
            </w:r>
            <w:r w:rsidR="00365606" w:rsidRPr="00365606">
              <w:rPr>
                <w:rFonts w:cs="Arial"/>
                <w:b/>
                <w:bCs/>
                <w:szCs w:val="20"/>
                <w:lang w:eastAsia="en-AU"/>
              </w:rPr>
              <w:br/>
            </w:r>
            <w:r w:rsidR="00365606" w:rsidRPr="00365606">
              <w:rPr>
                <w:rFonts w:cs="Arial"/>
                <w:b/>
                <w:bCs/>
                <w:szCs w:val="20"/>
                <w:lang w:eastAsia="en-AU"/>
              </w:rPr>
              <w:br/>
            </w:r>
            <w:r w:rsidR="00365606" w:rsidRPr="00365606">
              <w:rPr>
                <w:rFonts w:cs="Arial"/>
                <w:bCs/>
                <w:szCs w:val="20"/>
                <w:lang w:eastAsia="en-AU"/>
              </w:rPr>
              <w:t>For paragraph 18PL (2) (b) of the Act, the fee for an application for the renewal of a public weighbridge licence is $</w:t>
            </w:r>
            <w:r w:rsidR="00DA4BAB">
              <w:rPr>
                <w:rFonts w:cs="Arial"/>
                <w:bCs/>
                <w:szCs w:val="20"/>
                <w:lang w:eastAsia="en-AU"/>
              </w:rPr>
              <w:t>5</w:t>
            </w:r>
            <w:r w:rsidR="00A36C6D">
              <w:rPr>
                <w:rFonts w:cs="Arial"/>
                <w:bCs/>
                <w:szCs w:val="20"/>
                <w:lang w:eastAsia="en-AU"/>
              </w:rPr>
              <w:t>50</w:t>
            </w:r>
            <w:r w:rsidR="00365606" w:rsidRPr="00365606">
              <w:rPr>
                <w:rFonts w:cs="Arial"/>
                <w:bCs/>
                <w:szCs w:val="20"/>
                <w:lang w:eastAsia="en-AU"/>
              </w:rPr>
              <w:t xml:space="preserve"> multiplied by each year of the licence.</w:t>
            </w:r>
          </w:p>
        </w:tc>
      </w:tr>
    </w:tbl>
    <w:p w14:paraId="297220E9" w14:textId="77777777" w:rsidR="0069230F" w:rsidRDefault="0069230F" w:rsidP="00303331">
      <w:pPr>
        <w:spacing w:after="120" w:line="276" w:lineRule="auto"/>
        <w:ind w:firstLine="142"/>
        <w:rPr>
          <w:rFonts w:eastAsia="Arial" w:cs="Arial"/>
          <w:szCs w:val="20"/>
        </w:rPr>
      </w:pPr>
    </w:p>
    <w:p w14:paraId="1A654E75" w14:textId="77777777" w:rsidR="00365606" w:rsidRDefault="00365606" w:rsidP="00303331">
      <w:pPr>
        <w:spacing w:after="120" w:line="276" w:lineRule="auto"/>
        <w:ind w:firstLine="142"/>
        <w:rPr>
          <w:rFonts w:eastAsia="Arial" w:cs="Arial"/>
          <w:szCs w:val="20"/>
        </w:rPr>
      </w:pPr>
    </w:p>
    <w:p w14:paraId="3B7FA0BE" w14:textId="77777777" w:rsidR="00365606" w:rsidRDefault="00365606" w:rsidP="00303331">
      <w:pPr>
        <w:spacing w:after="120" w:line="276" w:lineRule="auto"/>
        <w:ind w:firstLine="142"/>
        <w:rPr>
          <w:rFonts w:eastAsia="Arial" w:cs="Arial"/>
          <w:szCs w:val="20"/>
        </w:rPr>
      </w:pPr>
    </w:p>
    <w:p w14:paraId="2A466261" w14:textId="77777777" w:rsidR="00365606" w:rsidRDefault="00365606" w:rsidP="00303331">
      <w:pPr>
        <w:spacing w:after="120" w:line="276" w:lineRule="auto"/>
        <w:ind w:firstLine="142"/>
        <w:rPr>
          <w:rFonts w:eastAsia="Arial" w:cs="Arial"/>
          <w:szCs w:val="20"/>
        </w:rPr>
      </w:pPr>
    </w:p>
    <w:p w14:paraId="6938F668" w14:textId="77777777" w:rsidR="00365606" w:rsidRDefault="00365606" w:rsidP="00303331">
      <w:pPr>
        <w:spacing w:after="120" w:line="276" w:lineRule="auto"/>
        <w:ind w:firstLine="142"/>
        <w:rPr>
          <w:rFonts w:eastAsia="Arial" w:cs="Arial"/>
          <w:szCs w:val="20"/>
        </w:rPr>
      </w:pPr>
    </w:p>
    <w:p w14:paraId="4951E572" w14:textId="77777777" w:rsidR="00365606" w:rsidRDefault="00365606" w:rsidP="00303331">
      <w:pPr>
        <w:spacing w:after="120" w:line="276" w:lineRule="auto"/>
        <w:ind w:firstLine="142"/>
        <w:rPr>
          <w:rFonts w:eastAsia="Arial" w:cs="Arial"/>
          <w:szCs w:val="20"/>
        </w:rPr>
      </w:pPr>
    </w:p>
    <w:p w14:paraId="65DC354E" w14:textId="77777777" w:rsidR="00365606" w:rsidRDefault="00365606" w:rsidP="00303331">
      <w:pPr>
        <w:spacing w:after="120" w:line="276" w:lineRule="auto"/>
        <w:ind w:firstLine="142"/>
        <w:rPr>
          <w:rFonts w:eastAsia="Arial" w:cs="Arial"/>
          <w:szCs w:val="20"/>
        </w:rPr>
      </w:pPr>
    </w:p>
    <w:p w14:paraId="4BF5EAF2" w14:textId="77777777" w:rsidR="00365606" w:rsidRDefault="00365606" w:rsidP="00303331">
      <w:pPr>
        <w:spacing w:after="120" w:line="276" w:lineRule="auto"/>
        <w:ind w:firstLine="142"/>
        <w:rPr>
          <w:rFonts w:eastAsia="Arial" w:cs="Arial"/>
          <w:szCs w:val="20"/>
        </w:rPr>
      </w:pPr>
    </w:p>
    <w:p w14:paraId="34431830" w14:textId="77777777" w:rsidR="00365606" w:rsidRDefault="00365606" w:rsidP="00303331">
      <w:pPr>
        <w:spacing w:after="120" w:line="276" w:lineRule="auto"/>
        <w:ind w:firstLine="142"/>
        <w:rPr>
          <w:rFonts w:eastAsia="Arial" w:cs="Arial"/>
          <w:szCs w:val="20"/>
        </w:rPr>
      </w:pPr>
    </w:p>
    <w:p w14:paraId="0D03ADDA" w14:textId="77777777" w:rsidR="00365606" w:rsidRDefault="00365606" w:rsidP="00303331">
      <w:pPr>
        <w:spacing w:after="120" w:line="276" w:lineRule="auto"/>
        <w:ind w:firstLine="142"/>
        <w:rPr>
          <w:rFonts w:eastAsia="Arial" w:cs="Arial"/>
          <w:szCs w:val="20"/>
        </w:rPr>
      </w:pPr>
    </w:p>
    <w:p w14:paraId="10A7B122" w14:textId="77777777" w:rsidR="00365606" w:rsidRDefault="0069230F" w:rsidP="0069230F">
      <w:pPr>
        <w:pStyle w:val="Heading1"/>
        <w:numPr>
          <w:ilvl w:val="0"/>
          <w:numId w:val="0"/>
        </w:numPr>
        <w:rPr>
          <w:rFonts w:eastAsia="Arial"/>
        </w:rPr>
      </w:pPr>
      <w:bookmarkStart w:id="98" w:name="_Toc85106106"/>
      <w:r w:rsidRPr="003546AA">
        <w:rPr>
          <w:rFonts w:eastAsia="Arial"/>
        </w:rPr>
        <w:lastRenderedPageBreak/>
        <w:t xml:space="preserve">Appendix </w:t>
      </w:r>
      <w:r w:rsidR="00365606">
        <w:rPr>
          <w:rFonts w:eastAsia="Arial"/>
        </w:rPr>
        <w:t>D</w:t>
      </w:r>
      <w:r w:rsidRPr="003546AA">
        <w:rPr>
          <w:rFonts w:eastAsia="Arial"/>
        </w:rPr>
        <w:t xml:space="preserve"> </w:t>
      </w:r>
      <w:r w:rsidRPr="00743530">
        <w:rPr>
          <w:rFonts w:eastAsia="Arial"/>
        </w:rPr>
        <w:t xml:space="preserve">– </w:t>
      </w:r>
      <w:r>
        <w:rPr>
          <w:rFonts w:eastAsia="Arial"/>
        </w:rPr>
        <w:t>Legal Metrology Authority Appointment</w:t>
      </w:r>
      <w:r w:rsidRPr="00743530">
        <w:rPr>
          <w:rFonts w:eastAsia="Arial"/>
        </w:rPr>
        <w:t xml:space="preserve"> Fees</w:t>
      </w:r>
      <w:bookmarkEnd w:id="98"/>
      <w:r w:rsidRPr="00743530">
        <w:rPr>
          <w:rFonts w:eastAsia="Arial"/>
        </w:rPr>
        <w:t xml:space="preserve"> </w:t>
      </w:r>
    </w:p>
    <w:p w14:paraId="10536F22" w14:textId="032DE323" w:rsidR="00365606" w:rsidRDefault="00365606" w:rsidP="00365606">
      <w:pPr>
        <w:pStyle w:val="Heading2"/>
        <w:numPr>
          <w:ilvl w:val="0"/>
          <w:numId w:val="0"/>
        </w:numPr>
        <w:ind w:left="576" w:hanging="576"/>
        <w:rPr>
          <w:rFonts w:eastAsia="Arial"/>
        </w:rPr>
      </w:pPr>
      <w:bookmarkStart w:id="99" w:name="_Toc85106107"/>
      <w:r>
        <w:rPr>
          <w:rFonts w:eastAsia="Arial"/>
        </w:rPr>
        <w:t>D.</w:t>
      </w:r>
      <w:r w:rsidR="00EC039C">
        <w:rPr>
          <w:rFonts w:eastAsia="Arial"/>
        </w:rPr>
        <w:t>1</w:t>
      </w:r>
      <w:r>
        <w:rPr>
          <w:rFonts w:eastAsia="Arial"/>
        </w:rPr>
        <w:t xml:space="preserve"> Legal Metrology Authority Appointment fees for the financial year 20</w:t>
      </w:r>
      <w:r w:rsidR="00BF41EC">
        <w:rPr>
          <w:rFonts w:eastAsia="Arial"/>
        </w:rPr>
        <w:t>20</w:t>
      </w:r>
      <w:r>
        <w:rPr>
          <w:rFonts w:eastAsia="Arial"/>
        </w:rPr>
        <w:t>-202</w:t>
      </w:r>
      <w:r w:rsidR="00BF41EC">
        <w:rPr>
          <w:rFonts w:eastAsia="Arial"/>
        </w:rPr>
        <w:t>1</w:t>
      </w:r>
      <w:bookmarkEnd w:id="99"/>
    </w:p>
    <w:p w14:paraId="6BDB325F" w14:textId="77777777" w:rsidR="00365606" w:rsidRDefault="00365606" w:rsidP="00365606">
      <w:pPr>
        <w:rPr>
          <w:rFonts w:eastAsia="Arial"/>
        </w:rPr>
      </w:pPr>
    </w:p>
    <w:tbl>
      <w:tblPr>
        <w:tblStyle w:val="TableGrid"/>
        <w:tblW w:w="0" w:type="auto"/>
        <w:tblLook w:val="04A0" w:firstRow="1" w:lastRow="0" w:firstColumn="1" w:lastColumn="0" w:noHBand="0" w:noVBand="1"/>
      </w:tblPr>
      <w:tblGrid>
        <w:gridCol w:w="1982"/>
        <w:gridCol w:w="1613"/>
        <w:gridCol w:w="1866"/>
        <w:gridCol w:w="1646"/>
        <w:gridCol w:w="1956"/>
      </w:tblGrid>
      <w:tr w:rsidR="00B20D1F" w:rsidRPr="008065EE" w14:paraId="6D401650" w14:textId="77777777" w:rsidTr="00EB019B">
        <w:trPr>
          <w:trHeight w:val="630"/>
        </w:trPr>
        <w:tc>
          <w:tcPr>
            <w:tcW w:w="9063" w:type="dxa"/>
            <w:gridSpan w:val="5"/>
            <w:shd w:val="clear" w:color="auto" w:fill="auto"/>
            <w:noWrap/>
            <w:hideMark/>
          </w:tcPr>
          <w:p w14:paraId="281FF67E" w14:textId="77777777" w:rsidR="00B20D1F" w:rsidRPr="008065EE" w:rsidRDefault="00B20D1F" w:rsidP="00F626A9">
            <w:pPr>
              <w:spacing w:after="120" w:line="276" w:lineRule="auto"/>
              <w:ind w:firstLine="142"/>
              <w:jc w:val="center"/>
              <w:rPr>
                <w:rFonts w:eastAsia="Arial" w:cs="Arial"/>
                <w:b/>
                <w:bCs/>
                <w:sz w:val="24"/>
              </w:rPr>
            </w:pPr>
            <w:r w:rsidRPr="00EB019B">
              <w:rPr>
                <w:rFonts w:eastAsia="Arial" w:cs="Arial"/>
                <w:b/>
                <w:bCs/>
                <w:sz w:val="24"/>
              </w:rPr>
              <w:t>Legal Metrology Authority Appointments</w:t>
            </w:r>
          </w:p>
        </w:tc>
      </w:tr>
      <w:tr w:rsidR="00B20D1F" w:rsidRPr="0069230F" w14:paraId="291A5F1B" w14:textId="77777777" w:rsidTr="00EC039C">
        <w:trPr>
          <w:trHeight w:val="885"/>
        </w:trPr>
        <w:tc>
          <w:tcPr>
            <w:tcW w:w="9063" w:type="dxa"/>
            <w:gridSpan w:val="5"/>
            <w:tcBorders>
              <w:bottom w:val="single" w:sz="4" w:space="0" w:color="auto"/>
            </w:tcBorders>
            <w:hideMark/>
          </w:tcPr>
          <w:p w14:paraId="4EA4F366" w14:textId="77777777" w:rsidR="00B20D1F" w:rsidRPr="0069230F" w:rsidRDefault="00B20D1F" w:rsidP="00F626A9">
            <w:pPr>
              <w:spacing w:after="120" w:line="276" w:lineRule="auto"/>
              <w:ind w:firstLine="142"/>
              <w:rPr>
                <w:rFonts w:eastAsia="Arial" w:cs="Arial"/>
                <w:b/>
                <w:bCs/>
                <w:szCs w:val="20"/>
              </w:rPr>
            </w:pPr>
            <w:r w:rsidRPr="0069230F">
              <w:rPr>
                <w:rFonts w:eastAsia="Arial" w:cs="Arial"/>
                <w:b/>
                <w:bCs/>
                <w:szCs w:val="20"/>
              </w:rPr>
              <w:t>No legislative Pricing Framework</w:t>
            </w:r>
          </w:p>
        </w:tc>
      </w:tr>
      <w:tr w:rsidR="00365606" w:rsidRPr="008065EE" w14:paraId="4ECFC993" w14:textId="77777777" w:rsidTr="00EC039C">
        <w:tblPrEx>
          <w:shd w:val="clear" w:color="auto" w:fill="DBE5F1" w:themeFill="accent1" w:themeFillTint="33"/>
        </w:tblPrEx>
        <w:trPr>
          <w:trHeight w:val="630"/>
        </w:trPr>
        <w:tc>
          <w:tcPr>
            <w:tcW w:w="9063" w:type="dxa"/>
            <w:gridSpan w:val="5"/>
            <w:shd w:val="clear" w:color="auto" w:fill="auto"/>
            <w:noWrap/>
            <w:hideMark/>
          </w:tcPr>
          <w:p w14:paraId="53285EF5" w14:textId="4DF20F43" w:rsidR="00365606" w:rsidRPr="00F626A9" w:rsidRDefault="00485BF7" w:rsidP="00BF41EC">
            <w:pPr>
              <w:spacing w:after="120" w:line="276" w:lineRule="auto"/>
              <w:ind w:firstLine="142"/>
              <w:rPr>
                <w:rFonts w:eastAsia="Arial" w:cs="Arial"/>
                <w:b/>
                <w:bCs/>
                <w:szCs w:val="20"/>
              </w:rPr>
            </w:pPr>
            <w:r w:rsidRPr="00F626A9">
              <w:rPr>
                <w:rFonts w:eastAsia="Arial" w:cs="Arial"/>
                <w:b/>
                <w:bCs/>
                <w:szCs w:val="20"/>
              </w:rPr>
              <w:t>Financial Year 20</w:t>
            </w:r>
            <w:r w:rsidR="00BF41EC">
              <w:rPr>
                <w:rFonts w:eastAsia="Arial" w:cs="Arial"/>
                <w:b/>
                <w:bCs/>
                <w:szCs w:val="20"/>
              </w:rPr>
              <w:t>20</w:t>
            </w:r>
            <w:r w:rsidRPr="00F626A9">
              <w:rPr>
                <w:rFonts w:eastAsia="Arial" w:cs="Arial"/>
                <w:b/>
                <w:bCs/>
                <w:szCs w:val="20"/>
              </w:rPr>
              <w:t>-202</w:t>
            </w:r>
            <w:r w:rsidR="00BF41EC">
              <w:rPr>
                <w:rFonts w:eastAsia="Arial" w:cs="Arial"/>
                <w:b/>
                <w:bCs/>
                <w:szCs w:val="20"/>
              </w:rPr>
              <w:t>1</w:t>
            </w:r>
          </w:p>
        </w:tc>
      </w:tr>
      <w:tr w:rsidR="00485BF7" w:rsidRPr="0069230F" w14:paraId="732709F3" w14:textId="77777777" w:rsidTr="00EC039C">
        <w:tblPrEx>
          <w:shd w:val="clear" w:color="auto" w:fill="DBE5F1" w:themeFill="accent1" w:themeFillTint="33"/>
        </w:tblPrEx>
        <w:trPr>
          <w:trHeight w:val="402"/>
        </w:trPr>
        <w:tc>
          <w:tcPr>
            <w:tcW w:w="1982" w:type="dxa"/>
            <w:shd w:val="clear" w:color="auto" w:fill="auto"/>
            <w:noWrap/>
            <w:hideMark/>
          </w:tcPr>
          <w:p w14:paraId="1474EDD0" w14:textId="77777777" w:rsidR="00365606" w:rsidRPr="0069230F" w:rsidRDefault="00365606" w:rsidP="0080651F">
            <w:pPr>
              <w:spacing w:after="120" w:line="276" w:lineRule="auto"/>
              <w:ind w:firstLine="142"/>
              <w:rPr>
                <w:rFonts w:eastAsia="Arial" w:cs="Arial"/>
                <w:b/>
                <w:bCs/>
                <w:szCs w:val="20"/>
              </w:rPr>
            </w:pPr>
            <w:r w:rsidRPr="0069230F">
              <w:rPr>
                <w:rFonts w:eastAsia="Arial" w:cs="Arial"/>
                <w:b/>
                <w:bCs/>
                <w:szCs w:val="20"/>
              </w:rPr>
              <w:t xml:space="preserve">Appointment </w:t>
            </w:r>
          </w:p>
        </w:tc>
        <w:tc>
          <w:tcPr>
            <w:tcW w:w="1613" w:type="dxa"/>
            <w:shd w:val="clear" w:color="auto" w:fill="auto"/>
            <w:hideMark/>
          </w:tcPr>
          <w:p w14:paraId="64D3FD22" w14:textId="77777777" w:rsidR="00365606" w:rsidRPr="0069230F" w:rsidRDefault="00365606" w:rsidP="0080651F">
            <w:pPr>
              <w:spacing w:after="120" w:line="276" w:lineRule="auto"/>
              <w:jc w:val="center"/>
              <w:rPr>
                <w:rFonts w:eastAsia="Arial" w:cs="Arial"/>
                <w:b/>
                <w:bCs/>
                <w:szCs w:val="20"/>
              </w:rPr>
            </w:pPr>
            <w:r w:rsidRPr="0069230F">
              <w:rPr>
                <w:rFonts w:eastAsia="Arial" w:cs="Arial"/>
                <w:b/>
                <w:bCs/>
                <w:szCs w:val="20"/>
              </w:rPr>
              <w:t>Certifying</w:t>
            </w:r>
            <w:r>
              <w:rPr>
                <w:rFonts w:eastAsia="Arial" w:cs="Arial"/>
                <w:b/>
                <w:bCs/>
                <w:szCs w:val="20"/>
              </w:rPr>
              <w:t xml:space="preserve"> A</w:t>
            </w:r>
            <w:r w:rsidRPr="0069230F">
              <w:rPr>
                <w:rFonts w:eastAsia="Arial" w:cs="Arial"/>
                <w:b/>
                <w:bCs/>
                <w:szCs w:val="20"/>
              </w:rPr>
              <w:t>uthority</w:t>
            </w:r>
          </w:p>
        </w:tc>
        <w:tc>
          <w:tcPr>
            <w:tcW w:w="1866" w:type="dxa"/>
            <w:shd w:val="clear" w:color="auto" w:fill="auto"/>
            <w:noWrap/>
            <w:hideMark/>
          </w:tcPr>
          <w:p w14:paraId="33A2E083" w14:textId="77777777" w:rsidR="00365606" w:rsidRPr="0069230F" w:rsidRDefault="00365606" w:rsidP="0080651F">
            <w:pPr>
              <w:spacing w:after="120" w:line="276" w:lineRule="auto"/>
              <w:jc w:val="center"/>
              <w:rPr>
                <w:rFonts w:eastAsia="Arial" w:cs="Arial"/>
                <w:b/>
                <w:bCs/>
                <w:szCs w:val="20"/>
              </w:rPr>
            </w:pPr>
            <w:r w:rsidRPr="0069230F">
              <w:rPr>
                <w:rFonts w:eastAsia="Arial" w:cs="Arial"/>
                <w:b/>
                <w:bCs/>
                <w:szCs w:val="20"/>
              </w:rPr>
              <w:t>Verifying Authority</w:t>
            </w:r>
          </w:p>
        </w:tc>
        <w:tc>
          <w:tcPr>
            <w:tcW w:w="1646" w:type="dxa"/>
            <w:shd w:val="clear" w:color="auto" w:fill="auto"/>
            <w:hideMark/>
          </w:tcPr>
          <w:p w14:paraId="0A8BCF4B" w14:textId="77777777" w:rsidR="00365606" w:rsidRPr="0069230F" w:rsidRDefault="00365606" w:rsidP="0080651F">
            <w:pPr>
              <w:spacing w:after="120" w:line="276" w:lineRule="auto"/>
              <w:jc w:val="center"/>
              <w:rPr>
                <w:rFonts w:eastAsia="Arial" w:cs="Arial"/>
                <w:b/>
                <w:bCs/>
                <w:szCs w:val="20"/>
              </w:rPr>
            </w:pPr>
            <w:r w:rsidRPr="0069230F">
              <w:rPr>
                <w:rFonts w:eastAsia="Arial" w:cs="Arial"/>
                <w:b/>
                <w:bCs/>
                <w:szCs w:val="20"/>
              </w:rPr>
              <w:t>Approving Authority</w:t>
            </w:r>
          </w:p>
        </w:tc>
        <w:tc>
          <w:tcPr>
            <w:tcW w:w="1956" w:type="dxa"/>
            <w:shd w:val="clear" w:color="auto" w:fill="auto"/>
            <w:noWrap/>
            <w:hideMark/>
          </w:tcPr>
          <w:p w14:paraId="309C3196" w14:textId="77777777" w:rsidR="00365606" w:rsidRPr="0069230F" w:rsidRDefault="00365606" w:rsidP="0080651F">
            <w:pPr>
              <w:spacing w:after="120" w:line="276" w:lineRule="auto"/>
              <w:jc w:val="center"/>
              <w:rPr>
                <w:rFonts w:eastAsia="Arial" w:cs="Arial"/>
                <w:b/>
                <w:bCs/>
                <w:szCs w:val="20"/>
              </w:rPr>
            </w:pPr>
            <w:r w:rsidRPr="0069230F">
              <w:rPr>
                <w:rFonts w:eastAsia="Arial" w:cs="Arial"/>
                <w:b/>
                <w:bCs/>
                <w:szCs w:val="20"/>
              </w:rPr>
              <w:t>Utility Meter Verifier</w:t>
            </w:r>
          </w:p>
        </w:tc>
      </w:tr>
      <w:tr w:rsidR="00485BF7" w:rsidRPr="0069230F" w14:paraId="4EDAD818" w14:textId="77777777" w:rsidTr="00EC039C">
        <w:tblPrEx>
          <w:shd w:val="clear" w:color="auto" w:fill="DBE5F1" w:themeFill="accent1" w:themeFillTint="33"/>
        </w:tblPrEx>
        <w:trPr>
          <w:trHeight w:val="402"/>
        </w:trPr>
        <w:tc>
          <w:tcPr>
            <w:tcW w:w="1982" w:type="dxa"/>
            <w:shd w:val="clear" w:color="auto" w:fill="auto"/>
            <w:hideMark/>
          </w:tcPr>
          <w:p w14:paraId="3BB5B3E7" w14:textId="77777777" w:rsidR="00365606" w:rsidRPr="0069230F" w:rsidRDefault="00365606" w:rsidP="0080651F">
            <w:pPr>
              <w:spacing w:after="120" w:line="276" w:lineRule="auto"/>
              <w:ind w:firstLine="142"/>
              <w:rPr>
                <w:rFonts w:eastAsia="Arial" w:cs="Arial"/>
                <w:b/>
                <w:bCs/>
                <w:szCs w:val="20"/>
              </w:rPr>
            </w:pPr>
          </w:p>
        </w:tc>
        <w:tc>
          <w:tcPr>
            <w:tcW w:w="1613" w:type="dxa"/>
            <w:shd w:val="clear" w:color="auto" w:fill="auto"/>
            <w:noWrap/>
            <w:hideMark/>
          </w:tcPr>
          <w:p w14:paraId="44C36BE0" w14:textId="03B22AE3" w:rsidR="00365606" w:rsidRPr="0069230F" w:rsidRDefault="00365606" w:rsidP="00BF41EC">
            <w:pPr>
              <w:spacing w:after="120" w:line="276" w:lineRule="auto"/>
              <w:ind w:firstLine="32"/>
              <w:jc w:val="center"/>
              <w:rPr>
                <w:rFonts w:eastAsia="Arial" w:cs="Arial"/>
                <w:szCs w:val="20"/>
              </w:rPr>
            </w:pPr>
            <w:r w:rsidRPr="0069230F">
              <w:rPr>
                <w:rFonts w:eastAsia="Arial" w:cs="Arial"/>
                <w:szCs w:val="20"/>
              </w:rPr>
              <w:t>$</w:t>
            </w:r>
            <w:r w:rsidR="00BF41EC">
              <w:rPr>
                <w:rFonts w:eastAsia="Arial" w:cs="Arial"/>
                <w:szCs w:val="20"/>
              </w:rPr>
              <w:t>2,650</w:t>
            </w:r>
          </w:p>
        </w:tc>
        <w:tc>
          <w:tcPr>
            <w:tcW w:w="1866" w:type="dxa"/>
            <w:shd w:val="clear" w:color="auto" w:fill="auto"/>
            <w:noWrap/>
            <w:hideMark/>
          </w:tcPr>
          <w:p w14:paraId="180E4ABE" w14:textId="6A6BE69A" w:rsidR="00365606" w:rsidRPr="0069230F" w:rsidRDefault="00365606" w:rsidP="00365606">
            <w:pPr>
              <w:spacing w:after="120" w:line="276" w:lineRule="auto"/>
              <w:ind w:hanging="21"/>
              <w:jc w:val="center"/>
              <w:rPr>
                <w:rFonts w:eastAsia="Arial" w:cs="Arial"/>
                <w:szCs w:val="20"/>
              </w:rPr>
            </w:pPr>
            <w:r w:rsidRPr="0069230F">
              <w:rPr>
                <w:rFonts w:eastAsia="Arial" w:cs="Arial"/>
                <w:szCs w:val="20"/>
              </w:rPr>
              <w:t>$</w:t>
            </w:r>
            <w:r w:rsidR="00BF41EC">
              <w:rPr>
                <w:rFonts w:eastAsia="Arial" w:cs="Arial"/>
                <w:szCs w:val="20"/>
              </w:rPr>
              <w:t>2,650</w:t>
            </w:r>
          </w:p>
        </w:tc>
        <w:tc>
          <w:tcPr>
            <w:tcW w:w="1646" w:type="dxa"/>
            <w:shd w:val="clear" w:color="auto" w:fill="auto"/>
            <w:noWrap/>
            <w:hideMark/>
          </w:tcPr>
          <w:p w14:paraId="775610BE" w14:textId="1A97597F" w:rsidR="00365606" w:rsidRPr="0069230F" w:rsidRDefault="00365606" w:rsidP="00365606">
            <w:pPr>
              <w:spacing w:after="120" w:line="276" w:lineRule="auto"/>
              <w:ind w:firstLine="32"/>
              <w:jc w:val="center"/>
              <w:rPr>
                <w:rFonts w:eastAsia="Arial" w:cs="Arial"/>
                <w:szCs w:val="20"/>
              </w:rPr>
            </w:pPr>
            <w:r w:rsidRPr="0069230F">
              <w:rPr>
                <w:rFonts w:eastAsia="Arial" w:cs="Arial"/>
                <w:szCs w:val="20"/>
              </w:rPr>
              <w:t>$</w:t>
            </w:r>
            <w:r w:rsidR="00BF41EC">
              <w:rPr>
                <w:rFonts w:eastAsia="Arial" w:cs="Arial"/>
                <w:szCs w:val="20"/>
              </w:rPr>
              <w:t>2,650</w:t>
            </w:r>
          </w:p>
        </w:tc>
        <w:tc>
          <w:tcPr>
            <w:tcW w:w="1956" w:type="dxa"/>
            <w:shd w:val="clear" w:color="auto" w:fill="auto"/>
            <w:noWrap/>
            <w:hideMark/>
          </w:tcPr>
          <w:p w14:paraId="3BCD524B" w14:textId="3266ECA5" w:rsidR="00365606" w:rsidRPr="0069230F" w:rsidRDefault="00365606" w:rsidP="00365606">
            <w:pPr>
              <w:spacing w:after="120" w:line="276" w:lineRule="auto"/>
              <w:ind w:firstLine="32"/>
              <w:jc w:val="center"/>
              <w:rPr>
                <w:rFonts w:eastAsia="Arial" w:cs="Arial"/>
                <w:szCs w:val="20"/>
              </w:rPr>
            </w:pPr>
            <w:r w:rsidRPr="0069230F">
              <w:rPr>
                <w:rFonts w:eastAsia="Arial" w:cs="Arial"/>
                <w:szCs w:val="20"/>
              </w:rPr>
              <w:t>$</w:t>
            </w:r>
            <w:r w:rsidR="00BF41EC">
              <w:rPr>
                <w:rFonts w:eastAsia="Arial" w:cs="Arial"/>
                <w:szCs w:val="20"/>
              </w:rPr>
              <w:t>2,650</w:t>
            </w:r>
          </w:p>
        </w:tc>
      </w:tr>
    </w:tbl>
    <w:p w14:paraId="6B7F167F" w14:textId="73AC2DDC" w:rsidR="00EC039C" w:rsidRDefault="00EC039C" w:rsidP="00EC039C">
      <w:pPr>
        <w:pStyle w:val="Heading2"/>
        <w:numPr>
          <w:ilvl w:val="0"/>
          <w:numId w:val="0"/>
        </w:numPr>
        <w:ind w:left="576" w:hanging="576"/>
        <w:rPr>
          <w:rFonts w:eastAsia="Arial"/>
        </w:rPr>
      </w:pPr>
      <w:bookmarkStart w:id="100" w:name="_Toc85106108"/>
      <w:r>
        <w:rPr>
          <w:rFonts w:eastAsia="Arial"/>
        </w:rPr>
        <w:t>D.2 Legal Metrology Authority Appointment fees for the financial year 20</w:t>
      </w:r>
      <w:r w:rsidR="00BF41EC">
        <w:rPr>
          <w:rFonts w:eastAsia="Arial"/>
        </w:rPr>
        <w:t>21</w:t>
      </w:r>
      <w:r>
        <w:rPr>
          <w:rFonts w:eastAsia="Arial"/>
        </w:rPr>
        <w:t>-20</w:t>
      </w:r>
      <w:r w:rsidR="00BF41EC">
        <w:rPr>
          <w:rFonts w:eastAsia="Arial"/>
        </w:rPr>
        <w:t>22</w:t>
      </w:r>
      <w:bookmarkEnd w:id="100"/>
    </w:p>
    <w:p w14:paraId="058EF1F6" w14:textId="77777777" w:rsidR="00EC039C" w:rsidRDefault="00EC039C" w:rsidP="00EC039C">
      <w:pPr>
        <w:rPr>
          <w:rFonts w:eastAsia="Arial"/>
        </w:rPr>
      </w:pPr>
    </w:p>
    <w:tbl>
      <w:tblPr>
        <w:tblStyle w:val="TableGrid"/>
        <w:tblW w:w="0" w:type="auto"/>
        <w:tblLook w:val="04A0" w:firstRow="1" w:lastRow="0" w:firstColumn="1" w:lastColumn="0" w:noHBand="0" w:noVBand="1"/>
      </w:tblPr>
      <w:tblGrid>
        <w:gridCol w:w="1982"/>
        <w:gridCol w:w="1613"/>
        <w:gridCol w:w="1866"/>
        <w:gridCol w:w="1646"/>
        <w:gridCol w:w="1956"/>
      </w:tblGrid>
      <w:tr w:rsidR="00EC039C" w:rsidRPr="008065EE" w14:paraId="0DEA1FCC" w14:textId="77777777" w:rsidTr="00EC039C">
        <w:trPr>
          <w:trHeight w:val="630"/>
        </w:trPr>
        <w:tc>
          <w:tcPr>
            <w:tcW w:w="9063" w:type="dxa"/>
            <w:gridSpan w:val="5"/>
            <w:shd w:val="clear" w:color="auto" w:fill="FF0000"/>
            <w:noWrap/>
            <w:hideMark/>
          </w:tcPr>
          <w:p w14:paraId="57E52C87" w14:textId="77777777" w:rsidR="00EC039C" w:rsidRPr="008065EE" w:rsidRDefault="00EC039C" w:rsidP="00EC039C">
            <w:pPr>
              <w:spacing w:after="120" w:line="276" w:lineRule="auto"/>
              <w:ind w:firstLine="142"/>
              <w:jc w:val="center"/>
              <w:rPr>
                <w:rFonts w:eastAsia="Arial" w:cs="Arial"/>
                <w:b/>
                <w:bCs/>
                <w:sz w:val="24"/>
              </w:rPr>
            </w:pPr>
            <w:r w:rsidRPr="008065EE">
              <w:rPr>
                <w:rFonts w:eastAsia="Arial" w:cs="Arial"/>
                <w:b/>
                <w:bCs/>
                <w:color w:val="FFFFFF" w:themeColor="background1"/>
                <w:sz w:val="24"/>
              </w:rPr>
              <w:t>Legal Metrology Authority Appointments</w:t>
            </w:r>
          </w:p>
        </w:tc>
      </w:tr>
      <w:tr w:rsidR="00EC039C" w:rsidRPr="0069230F" w14:paraId="4C6CF890" w14:textId="77777777" w:rsidTr="00EC039C">
        <w:trPr>
          <w:trHeight w:val="885"/>
        </w:trPr>
        <w:tc>
          <w:tcPr>
            <w:tcW w:w="9063" w:type="dxa"/>
            <w:gridSpan w:val="5"/>
            <w:hideMark/>
          </w:tcPr>
          <w:p w14:paraId="69D28609" w14:textId="77777777" w:rsidR="00EC039C" w:rsidRPr="0069230F" w:rsidRDefault="00EC039C" w:rsidP="00EC039C">
            <w:pPr>
              <w:spacing w:after="120" w:line="276" w:lineRule="auto"/>
              <w:ind w:firstLine="142"/>
              <w:rPr>
                <w:rFonts w:eastAsia="Arial" w:cs="Arial"/>
                <w:b/>
                <w:bCs/>
                <w:szCs w:val="20"/>
              </w:rPr>
            </w:pPr>
            <w:r w:rsidRPr="0069230F">
              <w:rPr>
                <w:rFonts w:eastAsia="Arial" w:cs="Arial"/>
                <w:b/>
                <w:bCs/>
                <w:szCs w:val="20"/>
              </w:rPr>
              <w:t>No legislative Pricing Framework</w:t>
            </w:r>
          </w:p>
        </w:tc>
      </w:tr>
      <w:tr w:rsidR="00EC039C" w:rsidRPr="008065EE" w14:paraId="0D7E6FA4" w14:textId="77777777" w:rsidTr="00EC039C">
        <w:tblPrEx>
          <w:shd w:val="clear" w:color="auto" w:fill="DBE5F1" w:themeFill="accent1" w:themeFillTint="33"/>
        </w:tblPrEx>
        <w:trPr>
          <w:trHeight w:val="630"/>
        </w:trPr>
        <w:tc>
          <w:tcPr>
            <w:tcW w:w="9063" w:type="dxa"/>
            <w:gridSpan w:val="5"/>
            <w:shd w:val="clear" w:color="auto" w:fill="DBE5F1" w:themeFill="accent1" w:themeFillTint="33"/>
            <w:noWrap/>
            <w:hideMark/>
          </w:tcPr>
          <w:p w14:paraId="0B88785E" w14:textId="0BA3706C" w:rsidR="00EC039C" w:rsidRPr="00F626A9" w:rsidRDefault="00EC039C" w:rsidP="00BF41EC">
            <w:pPr>
              <w:spacing w:after="120" w:line="276" w:lineRule="auto"/>
              <w:ind w:firstLine="142"/>
              <w:rPr>
                <w:rFonts w:eastAsia="Arial" w:cs="Arial"/>
                <w:b/>
                <w:bCs/>
                <w:szCs w:val="20"/>
              </w:rPr>
            </w:pPr>
            <w:r w:rsidRPr="00F626A9">
              <w:rPr>
                <w:rFonts w:eastAsia="Arial" w:cs="Arial"/>
                <w:b/>
                <w:bCs/>
                <w:szCs w:val="20"/>
              </w:rPr>
              <w:t>Financial Year 20</w:t>
            </w:r>
            <w:r w:rsidR="00BF41EC">
              <w:rPr>
                <w:rFonts w:eastAsia="Arial" w:cs="Arial"/>
                <w:b/>
                <w:bCs/>
                <w:szCs w:val="20"/>
              </w:rPr>
              <w:t>21</w:t>
            </w:r>
            <w:r w:rsidRPr="00F626A9">
              <w:rPr>
                <w:rFonts w:eastAsia="Arial" w:cs="Arial"/>
                <w:b/>
                <w:bCs/>
                <w:szCs w:val="20"/>
              </w:rPr>
              <w:t>-20</w:t>
            </w:r>
            <w:r w:rsidR="00BF41EC">
              <w:rPr>
                <w:rFonts w:eastAsia="Arial" w:cs="Arial"/>
                <w:b/>
                <w:bCs/>
                <w:szCs w:val="20"/>
              </w:rPr>
              <w:t>22</w:t>
            </w:r>
          </w:p>
        </w:tc>
      </w:tr>
      <w:tr w:rsidR="00EC039C" w:rsidRPr="0069230F" w14:paraId="4CC4EDC1" w14:textId="77777777" w:rsidTr="00EC039C">
        <w:tblPrEx>
          <w:shd w:val="clear" w:color="auto" w:fill="DBE5F1" w:themeFill="accent1" w:themeFillTint="33"/>
        </w:tblPrEx>
        <w:trPr>
          <w:trHeight w:val="402"/>
        </w:trPr>
        <w:tc>
          <w:tcPr>
            <w:tcW w:w="1982" w:type="dxa"/>
            <w:shd w:val="clear" w:color="auto" w:fill="DBE5F1" w:themeFill="accent1" w:themeFillTint="33"/>
            <w:noWrap/>
            <w:hideMark/>
          </w:tcPr>
          <w:p w14:paraId="468D909D" w14:textId="77777777" w:rsidR="00EC039C" w:rsidRPr="0069230F" w:rsidRDefault="00EC039C" w:rsidP="00EC039C">
            <w:pPr>
              <w:spacing w:after="120" w:line="276" w:lineRule="auto"/>
              <w:ind w:firstLine="142"/>
              <w:rPr>
                <w:rFonts w:eastAsia="Arial" w:cs="Arial"/>
                <w:b/>
                <w:bCs/>
                <w:szCs w:val="20"/>
              </w:rPr>
            </w:pPr>
            <w:r w:rsidRPr="0069230F">
              <w:rPr>
                <w:rFonts w:eastAsia="Arial" w:cs="Arial"/>
                <w:b/>
                <w:bCs/>
                <w:szCs w:val="20"/>
              </w:rPr>
              <w:t xml:space="preserve">Appointment </w:t>
            </w:r>
          </w:p>
        </w:tc>
        <w:tc>
          <w:tcPr>
            <w:tcW w:w="1613" w:type="dxa"/>
            <w:shd w:val="clear" w:color="auto" w:fill="DBE5F1" w:themeFill="accent1" w:themeFillTint="33"/>
            <w:hideMark/>
          </w:tcPr>
          <w:p w14:paraId="3FF1AD0E" w14:textId="77777777" w:rsidR="00EC039C" w:rsidRPr="0069230F" w:rsidRDefault="00EC039C" w:rsidP="00EC039C">
            <w:pPr>
              <w:spacing w:after="120" w:line="276" w:lineRule="auto"/>
              <w:jc w:val="center"/>
              <w:rPr>
                <w:rFonts w:eastAsia="Arial" w:cs="Arial"/>
                <w:b/>
                <w:bCs/>
                <w:szCs w:val="20"/>
              </w:rPr>
            </w:pPr>
            <w:r w:rsidRPr="0069230F">
              <w:rPr>
                <w:rFonts w:eastAsia="Arial" w:cs="Arial"/>
                <w:b/>
                <w:bCs/>
                <w:szCs w:val="20"/>
              </w:rPr>
              <w:t>Certifying</w:t>
            </w:r>
            <w:r>
              <w:rPr>
                <w:rFonts w:eastAsia="Arial" w:cs="Arial"/>
                <w:b/>
                <w:bCs/>
                <w:szCs w:val="20"/>
              </w:rPr>
              <w:t xml:space="preserve"> A</w:t>
            </w:r>
            <w:r w:rsidRPr="0069230F">
              <w:rPr>
                <w:rFonts w:eastAsia="Arial" w:cs="Arial"/>
                <w:b/>
                <w:bCs/>
                <w:szCs w:val="20"/>
              </w:rPr>
              <w:t>uthority</w:t>
            </w:r>
          </w:p>
        </w:tc>
        <w:tc>
          <w:tcPr>
            <w:tcW w:w="1866" w:type="dxa"/>
            <w:shd w:val="clear" w:color="auto" w:fill="DBE5F1" w:themeFill="accent1" w:themeFillTint="33"/>
            <w:noWrap/>
            <w:hideMark/>
          </w:tcPr>
          <w:p w14:paraId="3588B9A5" w14:textId="77777777" w:rsidR="00EC039C" w:rsidRPr="0069230F" w:rsidRDefault="00EC039C" w:rsidP="00EC039C">
            <w:pPr>
              <w:spacing w:after="120" w:line="276" w:lineRule="auto"/>
              <w:jc w:val="center"/>
              <w:rPr>
                <w:rFonts w:eastAsia="Arial" w:cs="Arial"/>
                <w:b/>
                <w:bCs/>
                <w:szCs w:val="20"/>
              </w:rPr>
            </w:pPr>
            <w:r w:rsidRPr="0069230F">
              <w:rPr>
                <w:rFonts w:eastAsia="Arial" w:cs="Arial"/>
                <w:b/>
                <w:bCs/>
                <w:szCs w:val="20"/>
              </w:rPr>
              <w:t>Verifying Authority</w:t>
            </w:r>
          </w:p>
        </w:tc>
        <w:tc>
          <w:tcPr>
            <w:tcW w:w="1646" w:type="dxa"/>
            <w:shd w:val="clear" w:color="auto" w:fill="DBE5F1" w:themeFill="accent1" w:themeFillTint="33"/>
            <w:hideMark/>
          </w:tcPr>
          <w:p w14:paraId="5946B453" w14:textId="77777777" w:rsidR="00EC039C" w:rsidRPr="0069230F" w:rsidRDefault="00EC039C" w:rsidP="00EC039C">
            <w:pPr>
              <w:spacing w:after="120" w:line="276" w:lineRule="auto"/>
              <w:jc w:val="center"/>
              <w:rPr>
                <w:rFonts w:eastAsia="Arial" w:cs="Arial"/>
                <w:b/>
                <w:bCs/>
                <w:szCs w:val="20"/>
              </w:rPr>
            </w:pPr>
            <w:r w:rsidRPr="0069230F">
              <w:rPr>
                <w:rFonts w:eastAsia="Arial" w:cs="Arial"/>
                <w:b/>
                <w:bCs/>
                <w:szCs w:val="20"/>
              </w:rPr>
              <w:t>Approving Authority</w:t>
            </w:r>
          </w:p>
        </w:tc>
        <w:tc>
          <w:tcPr>
            <w:tcW w:w="1956" w:type="dxa"/>
            <w:shd w:val="clear" w:color="auto" w:fill="DBE5F1" w:themeFill="accent1" w:themeFillTint="33"/>
            <w:noWrap/>
            <w:hideMark/>
          </w:tcPr>
          <w:p w14:paraId="0880B5A3" w14:textId="77777777" w:rsidR="00EC039C" w:rsidRPr="0069230F" w:rsidRDefault="00EC039C" w:rsidP="00EC039C">
            <w:pPr>
              <w:spacing w:after="120" w:line="276" w:lineRule="auto"/>
              <w:jc w:val="center"/>
              <w:rPr>
                <w:rFonts w:eastAsia="Arial" w:cs="Arial"/>
                <w:b/>
                <w:bCs/>
                <w:szCs w:val="20"/>
              </w:rPr>
            </w:pPr>
            <w:r w:rsidRPr="0069230F">
              <w:rPr>
                <w:rFonts w:eastAsia="Arial" w:cs="Arial"/>
                <w:b/>
                <w:bCs/>
                <w:szCs w:val="20"/>
              </w:rPr>
              <w:t>Utility Meter Verifier</w:t>
            </w:r>
          </w:p>
        </w:tc>
      </w:tr>
      <w:tr w:rsidR="00EC039C" w:rsidRPr="0069230F" w14:paraId="576EBB66" w14:textId="77777777" w:rsidTr="00EC039C">
        <w:tblPrEx>
          <w:shd w:val="clear" w:color="auto" w:fill="DBE5F1" w:themeFill="accent1" w:themeFillTint="33"/>
        </w:tblPrEx>
        <w:trPr>
          <w:trHeight w:val="402"/>
        </w:trPr>
        <w:tc>
          <w:tcPr>
            <w:tcW w:w="1982" w:type="dxa"/>
            <w:shd w:val="clear" w:color="auto" w:fill="DBE5F1" w:themeFill="accent1" w:themeFillTint="33"/>
            <w:hideMark/>
          </w:tcPr>
          <w:p w14:paraId="39E1E027" w14:textId="77777777" w:rsidR="00EC039C" w:rsidRPr="0069230F" w:rsidRDefault="00EC039C" w:rsidP="00EC039C">
            <w:pPr>
              <w:spacing w:after="120" w:line="276" w:lineRule="auto"/>
              <w:ind w:firstLine="142"/>
              <w:rPr>
                <w:rFonts w:eastAsia="Arial" w:cs="Arial"/>
                <w:b/>
                <w:bCs/>
                <w:szCs w:val="20"/>
              </w:rPr>
            </w:pPr>
          </w:p>
        </w:tc>
        <w:tc>
          <w:tcPr>
            <w:tcW w:w="1613" w:type="dxa"/>
            <w:shd w:val="clear" w:color="auto" w:fill="DBE5F1" w:themeFill="accent1" w:themeFillTint="33"/>
            <w:noWrap/>
            <w:hideMark/>
          </w:tcPr>
          <w:p w14:paraId="2961063F" w14:textId="4F809199" w:rsidR="00EC039C" w:rsidRPr="0069230F" w:rsidRDefault="00EC039C" w:rsidP="00BF41EC">
            <w:pPr>
              <w:spacing w:after="120" w:line="276" w:lineRule="auto"/>
              <w:ind w:firstLine="32"/>
              <w:jc w:val="center"/>
              <w:rPr>
                <w:rFonts w:eastAsia="Arial" w:cs="Arial"/>
                <w:szCs w:val="20"/>
              </w:rPr>
            </w:pPr>
            <w:r w:rsidRPr="0069230F">
              <w:rPr>
                <w:rFonts w:eastAsia="Arial" w:cs="Arial"/>
                <w:szCs w:val="20"/>
              </w:rPr>
              <w:t>$</w:t>
            </w:r>
            <w:r w:rsidR="00BF41EC">
              <w:rPr>
                <w:rFonts w:eastAsia="Arial" w:cs="Arial"/>
                <w:szCs w:val="20"/>
              </w:rPr>
              <w:t>3,426</w:t>
            </w:r>
          </w:p>
        </w:tc>
        <w:tc>
          <w:tcPr>
            <w:tcW w:w="1866" w:type="dxa"/>
            <w:shd w:val="clear" w:color="auto" w:fill="DBE5F1" w:themeFill="accent1" w:themeFillTint="33"/>
            <w:noWrap/>
            <w:hideMark/>
          </w:tcPr>
          <w:p w14:paraId="0A395CB5" w14:textId="585E3EE3" w:rsidR="00EC039C" w:rsidRPr="0069230F" w:rsidRDefault="00EC039C" w:rsidP="00EC039C">
            <w:pPr>
              <w:spacing w:after="120" w:line="276" w:lineRule="auto"/>
              <w:ind w:hanging="21"/>
              <w:jc w:val="center"/>
              <w:rPr>
                <w:rFonts w:eastAsia="Arial" w:cs="Arial"/>
                <w:szCs w:val="20"/>
              </w:rPr>
            </w:pPr>
            <w:r w:rsidRPr="00676E5D">
              <w:rPr>
                <w:rFonts w:eastAsia="Arial" w:cs="Arial"/>
                <w:szCs w:val="20"/>
              </w:rPr>
              <w:t>$</w:t>
            </w:r>
            <w:r w:rsidR="00BF41EC">
              <w:rPr>
                <w:rFonts w:eastAsia="Arial" w:cs="Arial"/>
                <w:szCs w:val="20"/>
              </w:rPr>
              <w:t>3,426</w:t>
            </w:r>
          </w:p>
        </w:tc>
        <w:tc>
          <w:tcPr>
            <w:tcW w:w="1646" w:type="dxa"/>
            <w:shd w:val="clear" w:color="auto" w:fill="DBE5F1" w:themeFill="accent1" w:themeFillTint="33"/>
            <w:noWrap/>
            <w:hideMark/>
          </w:tcPr>
          <w:p w14:paraId="55A6399C" w14:textId="2BAEE9C8" w:rsidR="00EC039C" w:rsidRPr="0069230F" w:rsidRDefault="00EC039C" w:rsidP="00EC039C">
            <w:pPr>
              <w:spacing w:after="120" w:line="276" w:lineRule="auto"/>
              <w:ind w:firstLine="32"/>
              <w:jc w:val="center"/>
              <w:rPr>
                <w:rFonts w:eastAsia="Arial" w:cs="Arial"/>
                <w:szCs w:val="20"/>
              </w:rPr>
            </w:pPr>
            <w:r w:rsidRPr="00676E5D">
              <w:rPr>
                <w:rFonts w:eastAsia="Arial" w:cs="Arial"/>
                <w:szCs w:val="20"/>
              </w:rPr>
              <w:t>$</w:t>
            </w:r>
            <w:r w:rsidR="00BF41EC">
              <w:rPr>
                <w:rFonts w:eastAsia="Arial" w:cs="Arial"/>
                <w:szCs w:val="20"/>
              </w:rPr>
              <w:t>3,426</w:t>
            </w:r>
          </w:p>
        </w:tc>
        <w:tc>
          <w:tcPr>
            <w:tcW w:w="1956" w:type="dxa"/>
            <w:shd w:val="clear" w:color="auto" w:fill="DBE5F1" w:themeFill="accent1" w:themeFillTint="33"/>
            <w:noWrap/>
            <w:hideMark/>
          </w:tcPr>
          <w:p w14:paraId="64FCF5CE" w14:textId="7C3C3AF5" w:rsidR="00EC039C" w:rsidRPr="0069230F" w:rsidRDefault="00EC039C" w:rsidP="00EC039C">
            <w:pPr>
              <w:spacing w:after="120" w:line="276" w:lineRule="auto"/>
              <w:ind w:firstLine="32"/>
              <w:jc w:val="center"/>
              <w:rPr>
                <w:rFonts w:eastAsia="Arial" w:cs="Arial"/>
                <w:szCs w:val="20"/>
              </w:rPr>
            </w:pPr>
            <w:r w:rsidRPr="00676E5D">
              <w:rPr>
                <w:rFonts w:eastAsia="Arial" w:cs="Arial"/>
                <w:szCs w:val="20"/>
              </w:rPr>
              <w:t>$</w:t>
            </w:r>
            <w:r w:rsidR="00BF41EC">
              <w:rPr>
                <w:rFonts w:eastAsia="Arial" w:cs="Arial"/>
                <w:szCs w:val="20"/>
              </w:rPr>
              <w:t>3,426</w:t>
            </w:r>
          </w:p>
        </w:tc>
      </w:tr>
    </w:tbl>
    <w:p w14:paraId="3CA0EA2F" w14:textId="77777777" w:rsidR="00365606" w:rsidRPr="008366B0" w:rsidRDefault="00365606" w:rsidP="00365606">
      <w:pPr>
        <w:spacing w:after="120" w:line="276" w:lineRule="auto"/>
        <w:ind w:firstLine="142"/>
        <w:rPr>
          <w:rFonts w:eastAsia="Arial" w:cs="Arial"/>
          <w:szCs w:val="20"/>
        </w:rPr>
      </w:pPr>
    </w:p>
    <w:sectPr w:rsidR="00365606" w:rsidRPr="008366B0" w:rsidSect="00797B2B">
      <w:footerReference w:type="default" r:id="rId25"/>
      <w:pgSz w:w="11907" w:h="16839" w:code="9"/>
      <w:pgMar w:top="1440" w:right="1700" w:bottom="1440" w:left="1134" w:header="142" w:footer="9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B5BF6" w14:textId="77777777" w:rsidR="00955F8A" w:rsidRDefault="00955F8A" w:rsidP="008B679D">
      <w:r>
        <w:separator/>
      </w:r>
    </w:p>
  </w:endnote>
  <w:endnote w:type="continuationSeparator" w:id="0">
    <w:p w14:paraId="01BC3172" w14:textId="77777777" w:rsidR="00955F8A" w:rsidRDefault="00955F8A" w:rsidP="008B679D">
      <w:r>
        <w:continuationSeparator/>
      </w:r>
    </w:p>
  </w:endnote>
  <w:endnote w:type="continuationNotice" w:id="1">
    <w:p w14:paraId="3F0D0191" w14:textId="77777777" w:rsidR="00955F8A" w:rsidRDefault="00955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9A90" w14:textId="77777777" w:rsidR="00955F8A" w:rsidRDefault="00955F8A" w:rsidP="00B87D9E">
    <w:pPr>
      <w:pStyle w:val="Footer"/>
      <w:tabs>
        <w:tab w:val="clear" w:pos="4513"/>
        <w:tab w:val="clear" w:pos="9026"/>
        <w:tab w:val="left" w:pos="4005"/>
        <w:tab w:val="left" w:pos="6300"/>
      </w:tabs>
      <w:rPr>
        <w:color w:val="7F7F7F" w:themeColor="background1" w:themeShade="7F"/>
        <w:spacing w:val="60"/>
      </w:rPr>
    </w:pPr>
  </w:p>
  <w:p w14:paraId="5B7F4999" w14:textId="5530985E" w:rsidR="00955F8A" w:rsidRDefault="00955F8A" w:rsidP="00B87D9E">
    <w:pPr>
      <w:pStyle w:val="Footer"/>
      <w:tabs>
        <w:tab w:val="clear" w:pos="4513"/>
        <w:tab w:val="clear" w:pos="9026"/>
        <w:tab w:val="left" w:pos="4005"/>
        <w:tab w:val="left" w:pos="6300"/>
      </w:tabs>
    </w:pPr>
    <w:r>
      <w:rPr>
        <w:color w:val="7F7F7F" w:themeColor="background1" w:themeShade="7F"/>
        <w:spacing w:val="60"/>
      </w:rPr>
      <w:t xml:space="preserve"> Page</w:t>
    </w:r>
    <w:r>
      <w:t xml:space="preserve"> | </w:t>
    </w:r>
    <w:r>
      <w:fldChar w:fldCharType="begin"/>
    </w:r>
    <w:r>
      <w:instrText xml:space="preserve"> PAGE   \* MERGEFORMAT </w:instrText>
    </w:r>
    <w:r>
      <w:fldChar w:fldCharType="separate"/>
    </w:r>
    <w:r w:rsidR="001D7B33" w:rsidRPr="001D7B33">
      <w:rPr>
        <w:b/>
        <w:bCs/>
        <w:noProof/>
      </w:rPr>
      <w:t>21</w:t>
    </w:r>
    <w:r>
      <w:rPr>
        <w:b/>
        <w:bCs/>
        <w:noProof/>
      </w:rPr>
      <w:fldChar w:fldCharType="end"/>
    </w:r>
  </w:p>
  <w:p w14:paraId="3D3750C4" w14:textId="44523E2B" w:rsidR="00955F8A" w:rsidRPr="00B87D9E" w:rsidRDefault="00955F8A" w:rsidP="00B87D9E">
    <w:pPr>
      <w:pStyle w:val="Footer"/>
    </w:pPr>
    <w:r>
      <w:rPr>
        <w:noProof/>
        <w:lang w:eastAsia="en-AU"/>
      </w:rPr>
      <w:drawing>
        <wp:anchor distT="0" distB="0" distL="114300" distR="114300" simplePos="0" relativeHeight="251657216" behindDoc="1" locked="0" layoutInCell="1" allowOverlap="1" wp14:anchorId="739BF3CD" wp14:editId="27B27F7D">
          <wp:simplePos x="0" y="0"/>
          <wp:positionH relativeFrom="margin">
            <wp:posOffset>-238622</wp:posOffset>
          </wp:positionH>
          <wp:positionV relativeFrom="paragraph">
            <wp:posOffset>107011</wp:posOffset>
          </wp:positionV>
          <wp:extent cx="6734755" cy="37909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rotWithShape="1">
                  <a:blip r:embed="rId1">
                    <a:extLst>
                      <a:ext uri="{28A0092B-C50C-407E-A947-70E740481C1C}">
                        <a14:useLocalDpi xmlns:a14="http://schemas.microsoft.com/office/drawing/2010/main" val="0"/>
                      </a:ext>
                    </a:extLst>
                  </a:blip>
                  <a:srcRect t="1" b="28731"/>
                  <a:stretch/>
                </pic:blipFill>
                <pic:spPr bwMode="auto">
                  <a:xfrm>
                    <a:off x="0" y="0"/>
                    <a:ext cx="6740317" cy="379408"/>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34754" w14:textId="77777777" w:rsidR="00955F8A" w:rsidRDefault="00955F8A" w:rsidP="00B7409D">
    <w:pPr>
      <w:pStyle w:val="Footer"/>
      <w:tabs>
        <w:tab w:val="clear" w:pos="4513"/>
        <w:tab w:val="clear" w:pos="9026"/>
        <w:tab w:val="left" w:pos="4005"/>
        <w:tab w:val="left" w:pos="6300"/>
      </w:tabs>
      <w:rPr>
        <w:color w:val="7F7F7F" w:themeColor="background1" w:themeShade="7F"/>
        <w:spacing w:val="60"/>
      </w:rPr>
    </w:pPr>
  </w:p>
  <w:p w14:paraId="08444579" w14:textId="77777777" w:rsidR="00955F8A" w:rsidRDefault="00955F8A" w:rsidP="00B7409D">
    <w:pPr>
      <w:pStyle w:val="Footer"/>
      <w:tabs>
        <w:tab w:val="clear" w:pos="4513"/>
        <w:tab w:val="clear" w:pos="9026"/>
        <w:tab w:val="left" w:pos="4005"/>
        <w:tab w:val="left" w:pos="6300"/>
      </w:tabs>
    </w:pPr>
    <w:r>
      <w:rPr>
        <w:color w:val="7F7F7F" w:themeColor="background1" w:themeShade="7F"/>
        <w:spacing w:val="60"/>
      </w:rPr>
      <w:t xml:space="preserve"> Page</w:t>
    </w:r>
    <w:r>
      <w:t xml:space="preserve"> | </w:t>
    </w:r>
    <w:r>
      <w:fldChar w:fldCharType="begin"/>
    </w:r>
    <w:r>
      <w:instrText xml:space="preserve"> PAGE   \* MERGEFORMAT </w:instrText>
    </w:r>
    <w:r>
      <w:fldChar w:fldCharType="separate"/>
    </w:r>
    <w:r w:rsidR="001D7B33" w:rsidRPr="001D7B33">
      <w:rPr>
        <w:b/>
        <w:bCs/>
        <w:noProof/>
      </w:rPr>
      <w:t>26</w:t>
    </w:r>
    <w:r>
      <w:rPr>
        <w:b/>
        <w:bCs/>
        <w:noProof/>
      </w:rPr>
      <w:fldChar w:fldCharType="end"/>
    </w:r>
  </w:p>
  <w:p w14:paraId="3E29F246" w14:textId="77777777" w:rsidR="00955F8A" w:rsidRDefault="00955F8A" w:rsidP="00B7409D">
    <w:pPr>
      <w:pStyle w:val="Footer"/>
      <w:tabs>
        <w:tab w:val="clear" w:pos="4513"/>
        <w:tab w:val="clear" w:pos="9026"/>
        <w:tab w:val="left" w:pos="4005"/>
        <w:tab w:val="left" w:pos="6300"/>
      </w:tabs>
    </w:pPr>
    <w:r>
      <w:tab/>
      <w:t xml:space="preserve"> </w:t>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D43F6" w14:textId="77777777" w:rsidR="00955F8A" w:rsidRDefault="00955F8A" w:rsidP="00B7409D">
    <w:pPr>
      <w:pStyle w:val="Footer"/>
      <w:tabs>
        <w:tab w:val="clear" w:pos="4513"/>
        <w:tab w:val="clear" w:pos="9026"/>
        <w:tab w:val="left" w:pos="4005"/>
        <w:tab w:val="left" w:pos="6300"/>
      </w:tabs>
      <w:rPr>
        <w:color w:val="7F7F7F" w:themeColor="background1" w:themeShade="7F"/>
        <w:spacing w:val="60"/>
      </w:rPr>
    </w:pPr>
  </w:p>
  <w:p w14:paraId="53751B65" w14:textId="77777777" w:rsidR="00955F8A" w:rsidRDefault="00955F8A" w:rsidP="00B7409D">
    <w:pPr>
      <w:pStyle w:val="Footer"/>
      <w:tabs>
        <w:tab w:val="clear" w:pos="4513"/>
        <w:tab w:val="clear" w:pos="9026"/>
        <w:tab w:val="left" w:pos="4005"/>
        <w:tab w:val="left" w:pos="6300"/>
      </w:tabs>
    </w:pPr>
    <w:r>
      <w:rPr>
        <w:color w:val="7F7F7F" w:themeColor="background1" w:themeShade="7F"/>
        <w:spacing w:val="60"/>
      </w:rPr>
      <w:t xml:space="preserve"> Page</w:t>
    </w:r>
    <w:r>
      <w:t xml:space="preserve"> | </w:t>
    </w:r>
    <w:r>
      <w:fldChar w:fldCharType="begin"/>
    </w:r>
    <w:r>
      <w:instrText xml:space="preserve"> PAGE   \* MERGEFORMAT </w:instrText>
    </w:r>
    <w:r>
      <w:fldChar w:fldCharType="separate"/>
    </w:r>
    <w:r w:rsidR="001D7B33" w:rsidRPr="001D7B33">
      <w:rPr>
        <w:b/>
        <w:bCs/>
        <w:noProof/>
      </w:rPr>
      <w:t>30</w:t>
    </w:r>
    <w:r>
      <w:rPr>
        <w:b/>
        <w:bCs/>
        <w:noProof/>
      </w:rPr>
      <w:fldChar w:fldCharType="end"/>
    </w:r>
  </w:p>
  <w:p w14:paraId="4EA8C23D" w14:textId="171008D9" w:rsidR="00955F8A" w:rsidRDefault="00955F8A" w:rsidP="00B7409D">
    <w:pPr>
      <w:pStyle w:val="Footer"/>
      <w:tabs>
        <w:tab w:val="clear" w:pos="4513"/>
        <w:tab w:val="clear" w:pos="9026"/>
        <w:tab w:val="left" w:pos="4005"/>
        <w:tab w:val="left" w:pos="6300"/>
      </w:tabs>
    </w:pPr>
    <w:r>
      <w:rPr>
        <w:noProof/>
        <w:lang w:eastAsia="en-AU"/>
      </w:rPr>
      <w:drawing>
        <wp:anchor distT="0" distB="0" distL="114300" distR="114300" simplePos="0" relativeHeight="251659264" behindDoc="1" locked="0" layoutInCell="1" allowOverlap="1" wp14:anchorId="5D303716" wp14:editId="1DBE210F">
          <wp:simplePos x="0" y="0"/>
          <wp:positionH relativeFrom="margin">
            <wp:posOffset>0</wp:posOffset>
          </wp:positionH>
          <wp:positionV relativeFrom="paragraph">
            <wp:posOffset>0</wp:posOffset>
          </wp:positionV>
          <wp:extent cx="6734755" cy="379095"/>
          <wp:effectExtent l="0" t="0" r="952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rotWithShape="1">
                  <a:blip r:embed="rId1">
                    <a:extLst>
                      <a:ext uri="{28A0092B-C50C-407E-A947-70E740481C1C}">
                        <a14:useLocalDpi xmlns:a14="http://schemas.microsoft.com/office/drawing/2010/main" val="0"/>
                      </a:ext>
                    </a:extLst>
                  </a:blip>
                  <a:srcRect t="1" b="28731"/>
                  <a:stretch/>
                </pic:blipFill>
                <pic:spPr bwMode="auto">
                  <a:xfrm>
                    <a:off x="0" y="0"/>
                    <a:ext cx="6740317" cy="379408"/>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ab/>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7A640" w14:textId="77777777" w:rsidR="00955F8A" w:rsidRDefault="00955F8A" w:rsidP="008B679D">
      <w:r>
        <w:separator/>
      </w:r>
    </w:p>
  </w:footnote>
  <w:footnote w:type="continuationSeparator" w:id="0">
    <w:p w14:paraId="62406906" w14:textId="77777777" w:rsidR="00955F8A" w:rsidRDefault="00955F8A" w:rsidP="008B679D">
      <w:r>
        <w:continuationSeparator/>
      </w:r>
    </w:p>
  </w:footnote>
  <w:footnote w:type="continuationNotice" w:id="1">
    <w:p w14:paraId="06249A24" w14:textId="77777777" w:rsidR="00955F8A" w:rsidRDefault="00955F8A"/>
  </w:footnote>
  <w:footnote w:id="2">
    <w:p w14:paraId="2CEF190F" w14:textId="5A85DCC8" w:rsidR="00955F8A" w:rsidRPr="007704C5" w:rsidRDefault="00955F8A">
      <w:pPr>
        <w:pStyle w:val="FootnoteText"/>
        <w:rPr>
          <w:rFonts w:ascii="Arial" w:hAnsi="Arial" w:cs="Arial"/>
        </w:rPr>
      </w:pPr>
      <w:r w:rsidRPr="007704C5">
        <w:rPr>
          <w:rStyle w:val="FootnoteReference"/>
          <w:rFonts w:ascii="Arial" w:hAnsi="Arial" w:cs="Arial"/>
        </w:rPr>
        <w:footnoteRef/>
      </w:r>
      <w:r w:rsidRPr="007704C5">
        <w:rPr>
          <w:rFonts w:ascii="Arial" w:hAnsi="Arial" w:cs="Arial"/>
        </w:rPr>
        <w:t xml:space="preserve"> Information on the Australian Government Charging Framework is available on the Department of Finance website (</w:t>
      </w:r>
      <w:hyperlink r:id="rId1" w:history="1">
        <w:r w:rsidRPr="007C1D01">
          <w:rPr>
            <w:rStyle w:val="Hyperlink"/>
            <w:rFonts w:ascii="Arial" w:hAnsi="Arial" w:cs="Arial"/>
          </w:rPr>
          <w:t>finance.gov.au/resource-management/charging-framework/)</w:t>
        </w:r>
      </w:hyperlink>
    </w:p>
    <w:p w14:paraId="6BA1315C" w14:textId="77777777" w:rsidR="00955F8A" w:rsidRDefault="00955F8A">
      <w:pPr>
        <w:pStyle w:val="FootnoteText"/>
      </w:pPr>
    </w:p>
    <w:p w14:paraId="21EF7941" w14:textId="77777777" w:rsidR="00955F8A" w:rsidRDefault="00955F8A">
      <w:pPr>
        <w:pStyle w:val="FootnoteText"/>
      </w:pPr>
    </w:p>
    <w:p w14:paraId="7B0B7C90" w14:textId="77777777" w:rsidR="00955F8A" w:rsidRDefault="00955F8A">
      <w:pPr>
        <w:pStyle w:val="FootnoteText"/>
      </w:pPr>
    </w:p>
  </w:footnote>
  <w:footnote w:id="3">
    <w:p w14:paraId="02B6AB3C" w14:textId="5153F367" w:rsidR="00955F8A" w:rsidRDefault="00955F8A">
      <w:pPr>
        <w:pStyle w:val="FootnoteText"/>
      </w:pPr>
      <w:r>
        <w:rPr>
          <w:rStyle w:val="FootnoteReference"/>
        </w:rPr>
        <w:footnoteRef/>
      </w:r>
      <w:r>
        <w:t xml:space="preserve"> </w:t>
      </w:r>
      <w:r w:rsidRPr="001D5D9A">
        <w:t xml:space="preserve">The Measurement Law Review, announced in 2017, will comprehensively review the </w:t>
      </w:r>
      <w:r w:rsidRPr="00AB35AB">
        <w:rPr>
          <w:i/>
        </w:rPr>
        <w:t xml:space="preserve">National Measurement Act 1960 </w:t>
      </w:r>
      <w:r w:rsidRPr="001D5D9A">
        <w:t>and its subordinate regulations against the Terms of Reference at</w:t>
      </w:r>
      <w:r>
        <w:t xml:space="preserve"> </w:t>
      </w:r>
      <w:r w:rsidRPr="001D5D9A">
        <w:t>industry.gov.au/regulation-and-standards/measurement-standards/measurement-law-review. Reform options are expected to be provided to Government in 202</w:t>
      </w:r>
      <w:r>
        <w:t>1-22</w:t>
      </w:r>
      <w:r w:rsidRPr="001D5D9A">
        <w:t xml:space="preserve"> after public consultation.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4F81BD" w:themeColor="accent1"/>
      </w:rPr>
    </w:lvl>
  </w:abstractNum>
  <w:abstractNum w:abstractNumId="1" w15:restartNumberingAfterBreak="0">
    <w:nsid w:val="0483565C"/>
    <w:multiLevelType w:val="hybridMultilevel"/>
    <w:tmpl w:val="C38EAB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5CF0682"/>
    <w:multiLevelType w:val="hybridMultilevel"/>
    <w:tmpl w:val="D10C61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34FCA"/>
    <w:multiLevelType w:val="hybridMultilevel"/>
    <w:tmpl w:val="5B28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74F1B"/>
    <w:multiLevelType w:val="hybridMultilevel"/>
    <w:tmpl w:val="265E6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C74BE"/>
    <w:multiLevelType w:val="hybridMultilevel"/>
    <w:tmpl w:val="FCB69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C188C"/>
    <w:multiLevelType w:val="hybridMultilevel"/>
    <w:tmpl w:val="B7A4A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3149A4"/>
    <w:multiLevelType w:val="multilevel"/>
    <w:tmpl w:val="9A34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66105"/>
    <w:multiLevelType w:val="hybridMultilevel"/>
    <w:tmpl w:val="AA5628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8971CB0"/>
    <w:multiLevelType w:val="hybridMultilevel"/>
    <w:tmpl w:val="93222BAC"/>
    <w:lvl w:ilvl="0" w:tplc="11403578">
      <w:start w:val="1"/>
      <w:numFmt w:val="bullet"/>
      <w:lvlText w:val="•"/>
      <w:lvlJc w:val="left"/>
      <w:pPr>
        <w:tabs>
          <w:tab w:val="num" w:pos="720"/>
        </w:tabs>
        <w:ind w:left="720" w:hanging="360"/>
      </w:pPr>
      <w:rPr>
        <w:rFonts w:ascii="Times New Roman" w:hAnsi="Times New Roman" w:cs="Times New Roman" w:hint="default"/>
      </w:rPr>
    </w:lvl>
    <w:lvl w:ilvl="1" w:tplc="9C862BBE">
      <w:start w:val="1"/>
      <w:numFmt w:val="bullet"/>
      <w:lvlText w:val="•"/>
      <w:lvlJc w:val="left"/>
      <w:pPr>
        <w:tabs>
          <w:tab w:val="num" w:pos="1440"/>
        </w:tabs>
        <w:ind w:left="1440" w:hanging="360"/>
      </w:pPr>
      <w:rPr>
        <w:rFonts w:ascii="Times New Roman" w:hAnsi="Times New Roman"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CD2A6322">
      <w:start w:val="1"/>
      <w:numFmt w:val="bullet"/>
      <w:lvlText w:val="•"/>
      <w:lvlJc w:val="left"/>
      <w:pPr>
        <w:tabs>
          <w:tab w:val="num" w:pos="2880"/>
        </w:tabs>
        <w:ind w:left="2880" w:hanging="360"/>
      </w:pPr>
      <w:rPr>
        <w:rFonts w:ascii="Times New Roman" w:hAnsi="Times New Roman" w:cs="Times New Roman" w:hint="default"/>
      </w:rPr>
    </w:lvl>
    <w:lvl w:ilvl="4" w:tplc="A7BA09DA">
      <w:start w:val="1"/>
      <w:numFmt w:val="bullet"/>
      <w:lvlText w:val="•"/>
      <w:lvlJc w:val="left"/>
      <w:pPr>
        <w:tabs>
          <w:tab w:val="num" w:pos="3600"/>
        </w:tabs>
        <w:ind w:left="3600" w:hanging="360"/>
      </w:pPr>
      <w:rPr>
        <w:rFonts w:ascii="Times New Roman" w:hAnsi="Times New Roman" w:cs="Times New Roman" w:hint="default"/>
      </w:rPr>
    </w:lvl>
    <w:lvl w:ilvl="5" w:tplc="59D0EAE4">
      <w:start w:val="1"/>
      <w:numFmt w:val="bullet"/>
      <w:lvlText w:val="•"/>
      <w:lvlJc w:val="left"/>
      <w:pPr>
        <w:tabs>
          <w:tab w:val="num" w:pos="4320"/>
        </w:tabs>
        <w:ind w:left="4320" w:hanging="360"/>
      </w:pPr>
      <w:rPr>
        <w:rFonts w:ascii="Times New Roman" w:hAnsi="Times New Roman" w:cs="Times New Roman" w:hint="default"/>
      </w:rPr>
    </w:lvl>
    <w:lvl w:ilvl="6" w:tplc="ADB6A3FE">
      <w:start w:val="1"/>
      <w:numFmt w:val="bullet"/>
      <w:lvlText w:val="•"/>
      <w:lvlJc w:val="left"/>
      <w:pPr>
        <w:tabs>
          <w:tab w:val="num" w:pos="5040"/>
        </w:tabs>
        <w:ind w:left="5040" w:hanging="360"/>
      </w:pPr>
      <w:rPr>
        <w:rFonts w:ascii="Times New Roman" w:hAnsi="Times New Roman" w:cs="Times New Roman" w:hint="default"/>
      </w:rPr>
    </w:lvl>
    <w:lvl w:ilvl="7" w:tplc="D2D269EC">
      <w:start w:val="1"/>
      <w:numFmt w:val="bullet"/>
      <w:lvlText w:val="•"/>
      <w:lvlJc w:val="left"/>
      <w:pPr>
        <w:tabs>
          <w:tab w:val="num" w:pos="5760"/>
        </w:tabs>
        <w:ind w:left="5760" w:hanging="360"/>
      </w:pPr>
      <w:rPr>
        <w:rFonts w:ascii="Times New Roman" w:hAnsi="Times New Roman" w:cs="Times New Roman" w:hint="default"/>
      </w:rPr>
    </w:lvl>
    <w:lvl w:ilvl="8" w:tplc="DD20B4C8">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18DD7E6A"/>
    <w:multiLevelType w:val="hybridMultilevel"/>
    <w:tmpl w:val="5F9EBAE6"/>
    <w:lvl w:ilvl="0" w:tplc="B6F0C81C">
      <w:start w:val="1"/>
      <w:numFmt w:val="bullet"/>
      <w:lvlText w:val=""/>
      <w:lvlJc w:val="left"/>
      <w:pPr>
        <w:ind w:left="780" w:hanging="360"/>
      </w:pPr>
      <w:rPr>
        <w:rFonts w:ascii="Arial"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DC134AA"/>
    <w:multiLevelType w:val="hybridMultilevel"/>
    <w:tmpl w:val="5E3A4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901369"/>
    <w:multiLevelType w:val="hybridMultilevel"/>
    <w:tmpl w:val="B19AD0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32B5D4A"/>
    <w:multiLevelType w:val="hybridMultilevel"/>
    <w:tmpl w:val="74D22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DE7A1A"/>
    <w:multiLevelType w:val="hybridMultilevel"/>
    <w:tmpl w:val="FBB86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7E4D4B"/>
    <w:multiLevelType w:val="hybridMultilevel"/>
    <w:tmpl w:val="F098B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986C8C"/>
    <w:multiLevelType w:val="hybridMultilevel"/>
    <w:tmpl w:val="F5A0C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B308BD"/>
    <w:multiLevelType w:val="hybridMultilevel"/>
    <w:tmpl w:val="E5128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7813DE"/>
    <w:multiLevelType w:val="hybridMultilevel"/>
    <w:tmpl w:val="E42C3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FC24D4"/>
    <w:multiLevelType w:val="hybridMultilevel"/>
    <w:tmpl w:val="4940A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CF5663"/>
    <w:multiLevelType w:val="hybridMultilevel"/>
    <w:tmpl w:val="74F8D2C0"/>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1" w15:restartNumberingAfterBreak="0">
    <w:nsid w:val="35570673"/>
    <w:multiLevelType w:val="hybridMultilevel"/>
    <w:tmpl w:val="133C4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49137D"/>
    <w:multiLevelType w:val="hybridMultilevel"/>
    <w:tmpl w:val="B1A69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E90EAB"/>
    <w:multiLevelType w:val="hybridMultilevel"/>
    <w:tmpl w:val="A2DC4072"/>
    <w:lvl w:ilvl="0" w:tplc="C7B6305C">
      <w:start w:val="1"/>
      <w:numFmt w:val="bullet"/>
      <w:lvlText w:val=""/>
      <w:lvlJc w:val="left"/>
      <w:pPr>
        <w:ind w:left="945" w:hanging="360"/>
      </w:pPr>
      <w:rPr>
        <w:rFonts w:ascii="Symbol" w:hAnsi="Symbol" w:hint="default"/>
        <w:sz w:val="20"/>
        <w:szCs w:val="20"/>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24" w15:restartNumberingAfterBreak="0">
    <w:nsid w:val="3B707A30"/>
    <w:multiLevelType w:val="hybridMultilevel"/>
    <w:tmpl w:val="8C82C6A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CA1BD3"/>
    <w:multiLevelType w:val="hybridMultilevel"/>
    <w:tmpl w:val="6C381320"/>
    <w:lvl w:ilvl="0" w:tplc="11403578">
      <w:start w:val="1"/>
      <w:numFmt w:val="bullet"/>
      <w:lvlText w:val="•"/>
      <w:lvlJc w:val="left"/>
      <w:pPr>
        <w:tabs>
          <w:tab w:val="num" w:pos="720"/>
        </w:tabs>
        <w:ind w:left="720" w:hanging="360"/>
      </w:pPr>
      <w:rPr>
        <w:rFonts w:ascii="Times New Roman" w:hAnsi="Times New Roman" w:cs="Times New Roman" w:hint="default"/>
      </w:rPr>
    </w:lvl>
    <w:lvl w:ilvl="1" w:tplc="9C862BBE">
      <w:start w:val="1"/>
      <w:numFmt w:val="bullet"/>
      <w:lvlText w:val="•"/>
      <w:lvlJc w:val="left"/>
      <w:pPr>
        <w:tabs>
          <w:tab w:val="num" w:pos="1440"/>
        </w:tabs>
        <w:ind w:left="1440" w:hanging="360"/>
      </w:pPr>
      <w:rPr>
        <w:rFonts w:ascii="Times New Roman" w:hAnsi="Times New Roman" w:cs="Times New Roman" w:hint="default"/>
      </w:rPr>
    </w:lvl>
    <w:lvl w:ilvl="2" w:tplc="5CE423E0">
      <w:start w:val="61"/>
      <w:numFmt w:val="bullet"/>
      <w:lvlText w:val="•"/>
      <w:lvlJc w:val="left"/>
      <w:pPr>
        <w:tabs>
          <w:tab w:val="num" w:pos="2160"/>
        </w:tabs>
        <w:ind w:left="2160" w:hanging="360"/>
      </w:pPr>
      <w:rPr>
        <w:rFonts w:ascii="Times New Roman" w:hAnsi="Times New Roman" w:cs="Times New Roman" w:hint="default"/>
      </w:rPr>
    </w:lvl>
    <w:lvl w:ilvl="3" w:tplc="CD2A6322">
      <w:start w:val="1"/>
      <w:numFmt w:val="bullet"/>
      <w:lvlText w:val="•"/>
      <w:lvlJc w:val="left"/>
      <w:pPr>
        <w:tabs>
          <w:tab w:val="num" w:pos="2880"/>
        </w:tabs>
        <w:ind w:left="2880" w:hanging="360"/>
      </w:pPr>
      <w:rPr>
        <w:rFonts w:ascii="Times New Roman" w:hAnsi="Times New Roman" w:cs="Times New Roman" w:hint="default"/>
      </w:rPr>
    </w:lvl>
    <w:lvl w:ilvl="4" w:tplc="A7BA09DA">
      <w:start w:val="1"/>
      <w:numFmt w:val="bullet"/>
      <w:lvlText w:val="•"/>
      <w:lvlJc w:val="left"/>
      <w:pPr>
        <w:tabs>
          <w:tab w:val="num" w:pos="3600"/>
        </w:tabs>
        <w:ind w:left="3600" w:hanging="360"/>
      </w:pPr>
      <w:rPr>
        <w:rFonts w:ascii="Times New Roman" w:hAnsi="Times New Roman" w:cs="Times New Roman" w:hint="default"/>
      </w:rPr>
    </w:lvl>
    <w:lvl w:ilvl="5" w:tplc="59D0EAE4">
      <w:start w:val="1"/>
      <w:numFmt w:val="bullet"/>
      <w:lvlText w:val="•"/>
      <w:lvlJc w:val="left"/>
      <w:pPr>
        <w:tabs>
          <w:tab w:val="num" w:pos="4320"/>
        </w:tabs>
        <w:ind w:left="4320" w:hanging="360"/>
      </w:pPr>
      <w:rPr>
        <w:rFonts w:ascii="Times New Roman" w:hAnsi="Times New Roman" w:cs="Times New Roman" w:hint="default"/>
      </w:rPr>
    </w:lvl>
    <w:lvl w:ilvl="6" w:tplc="ADB6A3FE">
      <w:start w:val="1"/>
      <w:numFmt w:val="bullet"/>
      <w:lvlText w:val="•"/>
      <w:lvlJc w:val="left"/>
      <w:pPr>
        <w:tabs>
          <w:tab w:val="num" w:pos="5040"/>
        </w:tabs>
        <w:ind w:left="5040" w:hanging="360"/>
      </w:pPr>
      <w:rPr>
        <w:rFonts w:ascii="Times New Roman" w:hAnsi="Times New Roman" w:cs="Times New Roman" w:hint="default"/>
      </w:rPr>
    </w:lvl>
    <w:lvl w:ilvl="7" w:tplc="D2D269EC">
      <w:start w:val="1"/>
      <w:numFmt w:val="bullet"/>
      <w:lvlText w:val="•"/>
      <w:lvlJc w:val="left"/>
      <w:pPr>
        <w:tabs>
          <w:tab w:val="num" w:pos="5760"/>
        </w:tabs>
        <w:ind w:left="5760" w:hanging="360"/>
      </w:pPr>
      <w:rPr>
        <w:rFonts w:ascii="Times New Roman" w:hAnsi="Times New Roman" w:cs="Times New Roman" w:hint="default"/>
      </w:rPr>
    </w:lvl>
    <w:lvl w:ilvl="8" w:tplc="DD20B4C8">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41D268E6"/>
    <w:multiLevelType w:val="hybridMultilevel"/>
    <w:tmpl w:val="FB0A3C30"/>
    <w:lvl w:ilvl="0" w:tplc="E6FCF82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1B1F30"/>
    <w:multiLevelType w:val="hybridMultilevel"/>
    <w:tmpl w:val="58E0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1E550B"/>
    <w:multiLevelType w:val="multilevel"/>
    <w:tmpl w:val="BE36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22F13"/>
    <w:multiLevelType w:val="hybridMultilevel"/>
    <w:tmpl w:val="1FEAB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586409"/>
    <w:multiLevelType w:val="hybridMultilevel"/>
    <w:tmpl w:val="1DB29E1A"/>
    <w:lvl w:ilvl="0" w:tplc="C04CA26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590E7D"/>
    <w:multiLevelType w:val="hybridMultilevel"/>
    <w:tmpl w:val="280EE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6F52FF"/>
    <w:multiLevelType w:val="hybridMultilevel"/>
    <w:tmpl w:val="8A9E4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EA779A"/>
    <w:multiLevelType w:val="hybridMultilevel"/>
    <w:tmpl w:val="C5946C82"/>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34" w15:restartNumberingAfterBreak="0">
    <w:nsid w:val="51D51A45"/>
    <w:multiLevelType w:val="hybridMultilevel"/>
    <w:tmpl w:val="E49E2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5015B6"/>
    <w:multiLevelType w:val="hybridMultilevel"/>
    <w:tmpl w:val="2CBE0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318099B"/>
    <w:multiLevelType w:val="hybridMultilevel"/>
    <w:tmpl w:val="6B620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796901"/>
    <w:multiLevelType w:val="hybridMultilevel"/>
    <w:tmpl w:val="0ECCF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334FE3"/>
    <w:multiLevelType w:val="hybridMultilevel"/>
    <w:tmpl w:val="0B507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79003E"/>
    <w:multiLevelType w:val="hybridMultilevel"/>
    <w:tmpl w:val="DF9A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1B3083"/>
    <w:multiLevelType w:val="hybridMultilevel"/>
    <w:tmpl w:val="BD82AD00"/>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41" w15:restartNumberingAfterBreak="0">
    <w:nsid w:val="600F69B6"/>
    <w:multiLevelType w:val="hybridMultilevel"/>
    <w:tmpl w:val="5680D1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C813AD"/>
    <w:multiLevelType w:val="hybridMultilevel"/>
    <w:tmpl w:val="2856B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0A4887"/>
    <w:multiLevelType w:val="hybridMultilevel"/>
    <w:tmpl w:val="4BA2D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A63A55"/>
    <w:multiLevelType w:val="hybridMultilevel"/>
    <w:tmpl w:val="38DA8A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DCE3716"/>
    <w:multiLevelType w:val="hybridMultilevel"/>
    <w:tmpl w:val="0720948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0D0D95"/>
    <w:multiLevelType w:val="hybridMultilevel"/>
    <w:tmpl w:val="7846B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776DE2"/>
    <w:multiLevelType w:val="hybridMultilevel"/>
    <w:tmpl w:val="ED30D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817059"/>
    <w:multiLevelType w:val="hybridMultilevel"/>
    <w:tmpl w:val="A04E7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FC6B5B"/>
    <w:multiLevelType w:val="hybridMultilevel"/>
    <w:tmpl w:val="8FD4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144BE5"/>
    <w:multiLevelType w:val="hybridMultilevel"/>
    <w:tmpl w:val="A03EEB8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E37E82"/>
    <w:multiLevelType w:val="hybridMultilevel"/>
    <w:tmpl w:val="38D84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7E7265C"/>
    <w:multiLevelType w:val="hybridMultilevel"/>
    <w:tmpl w:val="8E5A9C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3" w15:restartNumberingAfterBreak="0">
    <w:nsid w:val="7AD765CC"/>
    <w:multiLevelType w:val="hybridMultilevel"/>
    <w:tmpl w:val="048A8F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4" w15:restartNumberingAfterBreak="0">
    <w:nsid w:val="7B11059A"/>
    <w:multiLevelType w:val="hybridMultilevel"/>
    <w:tmpl w:val="48C2D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3624C8"/>
    <w:multiLevelType w:val="hybridMultilevel"/>
    <w:tmpl w:val="83386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A648DB"/>
    <w:multiLevelType w:val="multilevel"/>
    <w:tmpl w:val="AAECAC40"/>
    <w:lvl w:ilvl="0">
      <w:start w:val="1"/>
      <w:numFmt w:val="decimal"/>
      <w:pStyle w:val="Heading1"/>
      <w:lvlText w:val="%1."/>
      <w:lvlJc w:val="left"/>
      <w:pPr>
        <w:ind w:left="502"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569"/>
        </w:tabs>
        <w:ind w:left="1569" w:hanging="576"/>
      </w:pPr>
      <w:rPr>
        <w:rFonts w:cs="Times New Roman" w:hint="default"/>
        <w:color w:val="auto"/>
      </w:rPr>
    </w:lvl>
    <w:lvl w:ilvl="2">
      <w:start w:val="1"/>
      <w:numFmt w:val="decimal"/>
      <w:pStyle w:val="Heading3"/>
      <w:lvlText w:val="%1.%2.%3"/>
      <w:lvlJc w:val="left"/>
      <w:pPr>
        <w:tabs>
          <w:tab w:val="num" w:pos="862"/>
        </w:tabs>
        <w:ind w:left="862"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cs="Times New Roman" w:hint="default"/>
        <w:b w:val="0"/>
        <w:sz w:val="22"/>
        <w:szCs w:val="22"/>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7" w15:restartNumberingAfterBreak="0">
    <w:nsid w:val="7E6A0D43"/>
    <w:multiLevelType w:val="hybridMultilevel"/>
    <w:tmpl w:val="DA826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0D68FF"/>
    <w:multiLevelType w:val="hybridMultilevel"/>
    <w:tmpl w:val="9BD0F4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6"/>
  </w:num>
  <w:num w:numId="2">
    <w:abstractNumId w:val="0"/>
  </w:num>
  <w:num w:numId="3">
    <w:abstractNumId w:val="37"/>
  </w:num>
  <w:num w:numId="4">
    <w:abstractNumId w:val="2"/>
  </w:num>
  <w:num w:numId="5">
    <w:abstractNumId w:val="18"/>
  </w:num>
  <w:num w:numId="6">
    <w:abstractNumId w:val="57"/>
  </w:num>
  <w:num w:numId="7">
    <w:abstractNumId w:val="21"/>
  </w:num>
  <w:num w:numId="8">
    <w:abstractNumId w:val="16"/>
  </w:num>
  <w:num w:numId="9">
    <w:abstractNumId w:val="22"/>
  </w:num>
  <w:num w:numId="10">
    <w:abstractNumId w:val="54"/>
  </w:num>
  <w:num w:numId="11">
    <w:abstractNumId w:val="45"/>
  </w:num>
  <w:num w:numId="12">
    <w:abstractNumId w:val="58"/>
  </w:num>
  <w:num w:numId="13">
    <w:abstractNumId w:val="29"/>
  </w:num>
  <w:num w:numId="14">
    <w:abstractNumId w:val="19"/>
  </w:num>
  <w:num w:numId="15">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41"/>
  </w:num>
  <w:num w:numId="18">
    <w:abstractNumId w:val="4"/>
  </w:num>
  <w:num w:numId="19">
    <w:abstractNumId w:val="7"/>
  </w:num>
  <w:num w:numId="20">
    <w:abstractNumId w:val="53"/>
  </w:num>
  <w:num w:numId="21">
    <w:abstractNumId w:val="47"/>
  </w:num>
  <w:num w:numId="22">
    <w:abstractNumId w:val="52"/>
  </w:num>
  <w:num w:numId="23">
    <w:abstractNumId w:val="13"/>
  </w:num>
  <w:num w:numId="24">
    <w:abstractNumId w:val="32"/>
  </w:num>
  <w:num w:numId="25">
    <w:abstractNumId w:val="34"/>
  </w:num>
  <w:num w:numId="26">
    <w:abstractNumId w:val="1"/>
  </w:num>
  <w:num w:numId="27">
    <w:abstractNumId w:val="23"/>
  </w:num>
  <w:num w:numId="28">
    <w:abstractNumId w:val="43"/>
  </w:num>
  <w:num w:numId="29">
    <w:abstractNumId w:val="6"/>
  </w:num>
  <w:num w:numId="30">
    <w:abstractNumId w:val="33"/>
  </w:num>
  <w:num w:numId="31">
    <w:abstractNumId w:val="14"/>
  </w:num>
  <w:num w:numId="32">
    <w:abstractNumId w:val="31"/>
  </w:num>
  <w:num w:numId="33">
    <w:abstractNumId w:val="56"/>
  </w:num>
  <w:num w:numId="34">
    <w:abstractNumId w:val="56"/>
  </w:num>
  <w:num w:numId="35">
    <w:abstractNumId w:val="56"/>
  </w:num>
  <w:num w:numId="36">
    <w:abstractNumId w:val="17"/>
  </w:num>
  <w:num w:numId="37">
    <w:abstractNumId w:val="15"/>
  </w:num>
  <w:num w:numId="38">
    <w:abstractNumId w:val="51"/>
  </w:num>
  <w:num w:numId="39">
    <w:abstractNumId w:val="11"/>
  </w:num>
  <w:num w:numId="40">
    <w:abstractNumId w:val="8"/>
  </w:num>
  <w:num w:numId="41">
    <w:abstractNumId w:val="39"/>
  </w:num>
  <w:num w:numId="42">
    <w:abstractNumId w:val="55"/>
  </w:num>
  <w:num w:numId="43">
    <w:abstractNumId w:val="28"/>
  </w:num>
  <w:num w:numId="44">
    <w:abstractNumId w:val="42"/>
  </w:num>
  <w:num w:numId="45">
    <w:abstractNumId w:val="27"/>
  </w:num>
  <w:num w:numId="46">
    <w:abstractNumId w:val="3"/>
  </w:num>
  <w:num w:numId="47">
    <w:abstractNumId w:val="20"/>
  </w:num>
  <w:num w:numId="48">
    <w:abstractNumId w:val="38"/>
  </w:num>
  <w:num w:numId="49">
    <w:abstractNumId w:val="26"/>
  </w:num>
  <w:num w:numId="50">
    <w:abstractNumId w:val="48"/>
  </w:num>
  <w:num w:numId="51">
    <w:abstractNumId w:val="30"/>
  </w:num>
  <w:num w:numId="52">
    <w:abstractNumId w:val="24"/>
  </w:num>
  <w:num w:numId="53">
    <w:abstractNumId w:val="25"/>
  </w:num>
  <w:num w:numId="54">
    <w:abstractNumId w:val="9"/>
  </w:num>
  <w:num w:numId="55">
    <w:abstractNumId w:val="10"/>
  </w:num>
  <w:num w:numId="56">
    <w:abstractNumId w:val="12"/>
  </w:num>
  <w:num w:numId="57">
    <w:abstractNumId w:val="46"/>
  </w:num>
  <w:num w:numId="58">
    <w:abstractNumId w:val="5"/>
  </w:num>
  <w:num w:numId="59">
    <w:abstractNumId w:val="40"/>
  </w:num>
  <w:num w:numId="60">
    <w:abstractNumId w:val="49"/>
  </w:num>
  <w:num w:numId="61">
    <w:abstractNumId w:val="35"/>
  </w:num>
  <w:num w:numId="62">
    <w:abstractNumId w:val="36"/>
  </w:num>
  <w:num w:numId="63">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9D"/>
    <w:rsid w:val="0000307D"/>
    <w:rsid w:val="00003086"/>
    <w:rsid w:val="0001000F"/>
    <w:rsid w:val="000126B8"/>
    <w:rsid w:val="00013B5F"/>
    <w:rsid w:val="0001482D"/>
    <w:rsid w:val="000153A1"/>
    <w:rsid w:val="000170BD"/>
    <w:rsid w:val="00021C01"/>
    <w:rsid w:val="0002245F"/>
    <w:rsid w:val="00022664"/>
    <w:rsid w:val="000250B6"/>
    <w:rsid w:val="000256D9"/>
    <w:rsid w:val="00030753"/>
    <w:rsid w:val="00031718"/>
    <w:rsid w:val="0003199B"/>
    <w:rsid w:val="00033DB6"/>
    <w:rsid w:val="00033F1A"/>
    <w:rsid w:val="00035E51"/>
    <w:rsid w:val="0003617E"/>
    <w:rsid w:val="00036892"/>
    <w:rsid w:val="00040C09"/>
    <w:rsid w:val="000424CB"/>
    <w:rsid w:val="00043131"/>
    <w:rsid w:val="00045552"/>
    <w:rsid w:val="0004722C"/>
    <w:rsid w:val="0005218A"/>
    <w:rsid w:val="0005223D"/>
    <w:rsid w:val="000525B4"/>
    <w:rsid w:val="00052A2B"/>
    <w:rsid w:val="00056802"/>
    <w:rsid w:val="00060AC1"/>
    <w:rsid w:val="00061403"/>
    <w:rsid w:val="000621C1"/>
    <w:rsid w:val="00062A94"/>
    <w:rsid w:val="00064256"/>
    <w:rsid w:val="000659FA"/>
    <w:rsid w:val="00066F61"/>
    <w:rsid w:val="00073F11"/>
    <w:rsid w:val="00076936"/>
    <w:rsid w:val="000772FF"/>
    <w:rsid w:val="00077C41"/>
    <w:rsid w:val="000816A5"/>
    <w:rsid w:val="00087054"/>
    <w:rsid w:val="00087741"/>
    <w:rsid w:val="0008799C"/>
    <w:rsid w:val="0009487B"/>
    <w:rsid w:val="00096C1C"/>
    <w:rsid w:val="00097660"/>
    <w:rsid w:val="000A13AE"/>
    <w:rsid w:val="000A2E2B"/>
    <w:rsid w:val="000A35E6"/>
    <w:rsid w:val="000A70F5"/>
    <w:rsid w:val="000A76BE"/>
    <w:rsid w:val="000B05A6"/>
    <w:rsid w:val="000B06BE"/>
    <w:rsid w:val="000B2CCC"/>
    <w:rsid w:val="000B2E9F"/>
    <w:rsid w:val="000B3E0B"/>
    <w:rsid w:val="000B4500"/>
    <w:rsid w:val="000C2B6A"/>
    <w:rsid w:val="000C4361"/>
    <w:rsid w:val="000C5160"/>
    <w:rsid w:val="000D386B"/>
    <w:rsid w:val="000D5FC4"/>
    <w:rsid w:val="000D65A5"/>
    <w:rsid w:val="000D7C0F"/>
    <w:rsid w:val="000E2DC6"/>
    <w:rsid w:val="000E6628"/>
    <w:rsid w:val="000E7777"/>
    <w:rsid w:val="000F0F96"/>
    <w:rsid w:val="000F34A8"/>
    <w:rsid w:val="000F46DB"/>
    <w:rsid w:val="00101163"/>
    <w:rsid w:val="0010181F"/>
    <w:rsid w:val="00104EA1"/>
    <w:rsid w:val="00105D60"/>
    <w:rsid w:val="0010784F"/>
    <w:rsid w:val="00107AB0"/>
    <w:rsid w:val="00107E5C"/>
    <w:rsid w:val="00111001"/>
    <w:rsid w:val="00111611"/>
    <w:rsid w:val="00112640"/>
    <w:rsid w:val="00113386"/>
    <w:rsid w:val="00113C9D"/>
    <w:rsid w:val="0011419D"/>
    <w:rsid w:val="001158FA"/>
    <w:rsid w:val="00120169"/>
    <w:rsid w:val="001235CC"/>
    <w:rsid w:val="00123BE9"/>
    <w:rsid w:val="00124D15"/>
    <w:rsid w:val="00124D2E"/>
    <w:rsid w:val="00125863"/>
    <w:rsid w:val="00126E99"/>
    <w:rsid w:val="00131AC8"/>
    <w:rsid w:val="001324FA"/>
    <w:rsid w:val="00137622"/>
    <w:rsid w:val="00141654"/>
    <w:rsid w:val="00141B60"/>
    <w:rsid w:val="00143AA2"/>
    <w:rsid w:val="00143C2E"/>
    <w:rsid w:val="001465EF"/>
    <w:rsid w:val="00150904"/>
    <w:rsid w:val="00150D39"/>
    <w:rsid w:val="0015339A"/>
    <w:rsid w:val="00154478"/>
    <w:rsid w:val="00157B97"/>
    <w:rsid w:val="00157F78"/>
    <w:rsid w:val="001609D2"/>
    <w:rsid w:val="00160B5A"/>
    <w:rsid w:val="00161A4C"/>
    <w:rsid w:val="00165910"/>
    <w:rsid w:val="0016634A"/>
    <w:rsid w:val="0016712E"/>
    <w:rsid w:val="00171608"/>
    <w:rsid w:val="00173012"/>
    <w:rsid w:val="00173FDE"/>
    <w:rsid w:val="0017533E"/>
    <w:rsid w:val="001813A3"/>
    <w:rsid w:val="00181CA6"/>
    <w:rsid w:val="001827AD"/>
    <w:rsid w:val="001829CD"/>
    <w:rsid w:val="00183D20"/>
    <w:rsid w:val="00185599"/>
    <w:rsid w:val="00190C84"/>
    <w:rsid w:val="00191176"/>
    <w:rsid w:val="001929F4"/>
    <w:rsid w:val="001954B0"/>
    <w:rsid w:val="001965C0"/>
    <w:rsid w:val="00197648"/>
    <w:rsid w:val="001A2EE4"/>
    <w:rsid w:val="001A6497"/>
    <w:rsid w:val="001A6662"/>
    <w:rsid w:val="001A7D05"/>
    <w:rsid w:val="001B0211"/>
    <w:rsid w:val="001B165D"/>
    <w:rsid w:val="001B2667"/>
    <w:rsid w:val="001C67CD"/>
    <w:rsid w:val="001D1065"/>
    <w:rsid w:val="001D1ECC"/>
    <w:rsid w:val="001D217C"/>
    <w:rsid w:val="001D55C1"/>
    <w:rsid w:val="001D5D9A"/>
    <w:rsid w:val="001D7B33"/>
    <w:rsid w:val="001E75E7"/>
    <w:rsid w:val="001E7A29"/>
    <w:rsid w:val="001F00D0"/>
    <w:rsid w:val="001F2C50"/>
    <w:rsid w:val="001F3DFD"/>
    <w:rsid w:val="001F7EF0"/>
    <w:rsid w:val="002019CD"/>
    <w:rsid w:val="00203700"/>
    <w:rsid w:val="00203F30"/>
    <w:rsid w:val="002072B1"/>
    <w:rsid w:val="002109CC"/>
    <w:rsid w:val="002131E4"/>
    <w:rsid w:val="002179D5"/>
    <w:rsid w:val="0022032F"/>
    <w:rsid w:val="002278E1"/>
    <w:rsid w:val="00230CF9"/>
    <w:rsid w:val="00231A27"/>
    <w:rsid w:val="0023246F"/>
    <w:rsid w:val="002324C3"/>
    <w:rsid w:val="00236122"/>
    <w:rsid w:val="00240816"/>
    <w:rsid w:val="002445EE"/>
    <w:rsid w:val="00245A16"/>
    <w:rsid w:val="00245DA7"/>
    <w:rsid w:val="00247FF2"/>
    <w:rsid w:val="00250B03"/>
    <w:rsid w:val="00250C19"/>
    <w:rsid w:val="00250D90"/>
    <w:rsid w:val="00252339"/>
    <w:rsid w:val="00254CED"/>
    <w:rsid w:val="00260C92"/>
    <w:rsid w:val="00263A25"/>
    <w:rsid w:val="002654D2"/>
    <w:rsid w:val="00271553"/>
    <w:rsid w:val="0027357A"/>
    <w:rsid w:val="002763CC"/>
    <w:rsid w:val="00276957"/>
    <w:rsid w:val="0027791B"/>
    <w:rsid w:val="00283C39"/>
    <w:rsid w:val="00284234"/>
    <w:rsid w:val="00285F10"/>
    <w:rsid w:val="00286136"/>
    <w:rsid w:val="00291E1E"/>
    <w:rsid w:val="0029328B"/>
    <w:rsid w:val="00296FB3"/>
    <w:rsid w:val="002A48A7"/>
    <w:rsid w:val="002A4D0E"/>
    <w:rsid w:val="002A51EB"/>
    <w:rsid w:val="002A5F41"/>
    <w:rsid w:val="002A7945"/>
    <w:rsid w:val="002B1DBC"/>
    <w:rsid w:val="002B1EBF"/>
    <w:rsid w:val="002B4167"/>
    <w:rsid w:val="002B6560"/>
    <w:rsid w:val="002C11CB"/>
    <w:rsid w:val="002C172E"/>
    <w:rsid w:val="002C295A"/>
    <w:rsid w:val="002C4F32"/>
    <w:rsid w:val="002C5D92"/>
    <w:rsid w:val="002C738F"/>
    <w:rsid w:val="002D679C"/>
    <w:rsid w:val="002E4C0A"/>
    <w:rsid w:val="002F0754"/>
    <w:rsid w:val="002F448A"/>
    <w:rsid w:val="002F465A"/>
    <w:rsid w:val="002F5613"/>
    <w:rsid w:val="002F680E"/>
    <w:rsid w:val="003000E0"/>
    <w:rsid w:val="00301171"/>
    <w:rsid w:val="0030300B"/>
    <w:rsid w:val="00303281"/>
    <w:rsid w:val="00303331"/>
    <w:rsid w:val="0031138A"/>
    <w:rsid w:val="003115A0"/>
    <w:rsid w:val="003130A3"/>
    <w:rsid w:val="00314066"/>
    <w:rsid w:val="00316A15"/>
    <w:rsid w:val="003175A1"/>
    <w:rsid w:val="00320B75"/>
    <w:rsid w:val="003219CB"/>
    <w:rsid w:val="00324785"/>
    <w:rsid w:val="00325B9B"/>
    <w:rsid w:val="003318C1"/>
    <w:rsid w:val="00334812"/>
    <w:rsid w:val="0033516E"/>
    <w:rsid w:val="0033561D"/>
    <w:rsid w:val="003372B7"/>
    <w:rsid w:val="00341862"/>
    <w:rsid w:val="0034253E"/>
    <w:rsid w:val="00342C80"/>
    <w:rsid w:val="00344E86"/>
    <w:rsid w:val="003477D5"/>
    <w:rsid w:val="00350BD7"/>
    <w:rsid w:val="00352391"/>
    <w:rsid w:val="003546AA"/>
    <w:rsid w:val="00355C27"/>
    <w:rsid w:val="00364B91"/>
    <w:rsid w:val="00365606"/>
    <w:rsid w:val="00365906"/>
    <w:rsid w:val="00365EEA"/>
    <w:rsid w:val="003667D0"/>
    <w:rsid w:val="00366F16"/>
    <w:rsid w:val="003715B0"/>
    <w:rsid w:val="00371873"/>
    <w:rsid w:val="003760A3"/>
    <w:rsid w:val="0037765A"/>
    <w:rsid w:val="00377E20"/>
    <w:rsid w:val="00382078"/>
    <w:rsid w:val="0038242F"/>
    <w:rsid w:val="00382484"/>
    <w:rsid w:val="003915D0"/>
    <w:rsid w:val="00391E77"/>
    <w:rsid w:val="003927B2"/>
    <w:rsid w:val="00393248"/>
    <w:rsid w:val="003933B9"/>
    <w:rsid w:val="003960A3"/>
    <w:rsid w:val="00397DF0"/>
    <w:rsid w:val="003A03B3"/>
    <w:rsid w:val="003A2144"/>
    <w:rsid w:val="003A30F1"/>
    <w:rsid w:val="003A3855"/>
    <w:rsid w:val="003A3B3C"/>
    <w:rsid w:val="003A41D3"/>
    <w:rsid w:val="003A584C"/>
    <w:rsid w:val="003A6F48"/>
    <w:rsid w:val="003B0C02"/>
    <w:rsid w:val="003B2141"/>
    <w:rsid w:val="003B4085"/>
    <w:rsid w:val="003B691E"/>
    <w:rsid w:val="003B74B5"/>
    <w:rsid w:val="003C240F"/>
    <w:rsid w:val="003C246E"/>
    <w:rsid w:val="003C60CC"/>
    <w:rsid w:val="003C63B9"/>
    <w:rsid w:val="003D258B"/>
    <w:rsid w:val="003D520D"/>
    <w:rsid w:val="003D65C7"/>
    <w:rsid w:val="003E0D73"/>
    <w:rsid w:val="003E2C95"/>
    <w:rsid w:val="003E4070"/>
    <w:rsid w:val="003E49EF"/>
    <w:rsid w:val="003E4F32"/>
    <w:rsid w:val="003E5D59"/>
    <w:rsid w:val="003E7454"/>
    <w:rsid w:val="003F0A66"/>
    <w:rsid w:val="003F2521"/>
    <w:rsid w:val="003F3183"/>
    <w:rsid w:val="003F32D0"/>
    <w:rsid w:val="003F345B"/>
    <w:rsid w:val="003F364A"/>
    <w:rsid w:val="003F486B"/>
    <w:rsid w:val="00402FA0"/>
    <w:rsid w:val="0040361D"/>
    <w:rsid w:val="004130BE"/>
    <w:rsid w:val="004149DD"/>
    <w:rsid w:val="00415153"/>
    <w:rsid w:val="00422A61"/>
    <w:rsid w:val="004272D0"/>
    <w:rsid w:val="004277F4"/>
    <w:rsid w:val="00427A84"/>
    <w:rsid w:val="00427B93"/>
    <w:rsid w:val="0043164E"/>
    <w:rsid w:val="00432B6D"/>
    <w:rsid w:val="004359B3"/>
    <w:rsid w:val="00437B98"/>
    <w:rsid w:val="00440E67"/>
    <w:rsid w:val="004429F8"/>
    <w:rsid w:val="004478BE"/>
    <w:rsid w:val="00451BE9"/>
    <w:rsid w:val="00452AAF"/>
    <w:rsid w:val="00452E92"/>
    <w:rsid w:val="00460095"/>
    <w:rsid w:val="0046123B"/>
    <w:rsid w:val="00461267"/>
    <w:rsid w:val="004637D0"/>
    <w:rsid w:val="004653A0"/>
    <w:rsid w:val="00465D27"/>
    <w:rsid w:val="00467E66"/>
    <w:rsid w:val="00471A4D"/>
    <w:rsid w:val="00476994"/>
    <w:rsid w:val="00477ED5"/>
    <w:rsid w:val="0048079B"/>
    <w:rsid w:val="004825BF"/>
    <w:rsid w:val="00483D5F"/>
    <w:rsid w:val="004846E7"/>
    <w:rsid w:val="00485BF7"/>
    <w:rsid w:val="00487577"/>
    <w:rsid w:val="00487D23"/>
    <w:rsid w:val="004901E1"/>
    <w:rsid w:val="0049138D"/>
    <w:rsid w:val="00491BAD"/>
    <w:rsid w:val="0049314F"/>
    <w:rsid w:val="00494B36"/>
    <w:rsid w:val="00495AD4"/>
    <w:rsid w:val="004A609B"/>
    <w:rsid w:val="004B3C92"/>
    <w:rsid w:val="004B4210"/>
    <w:rsid w:val="004B5A21"/>
    <w:rsid w:val="004C14A8"/>
    <w:rsid w:val="004C2605"/>
    <w:rsid w:val="004C5CA4"/>
    <w:rsid w:val="004C6006"/>
    <w:rsid w:val="004C7112"/>
    <w:rsid w:val="004D241F"/>
    <w:rsid w:val="004D2BB0"/>
    <w:rsid w:val="004D5084"/>
    <w:rsid w:val="004D526C"/>
    <w:rsid w:val="004D6DBC"/>
    <w:rsid w:val="004E1B13"/>
    <w:rsid w:val="004E1E4D"/>
    <w:rsid w:val="004E27FE"/>
    <w:rsid w:val="004E318B"/>
    <w:rsid w:val="004E3440"/>
    <w:rsid w:val="004E3741"/>
    <w:rsid w:val="004E53AD"/>
    <w:rsid w:val="004E5449"/>
    <w:rsid w:val="004F106C"/>
    <w:rsid w:val="004F186E"/>
    <w:rsid w:val="004F2067"/>
    <w:rsid w:val="004F2D75"/>
    <w:rsid w:val="004F3E9A"/>
    <w:rsid w:val="005030A8"/>
    <w:rsid w:val="00504E70"/>
    <w:rsid w:val="0051086F"/>
    <w:rsid w:val="00514212"/>
    <w:rsid w:val="005200BE"/>
    <w:rsid w:val="00520C18"/>
    <w:rsid w:val="00520C77"/>
    <w:rsid w:val="0052263D"/>
    <w:rsid w:val="00523044"/>
    <w:rsid w:val="005253CB"/>
    <w:rsid w:val="0052557C"/>
    <w:rsid w:val="0052581D"/>
    <w:rsid w:val="005274FC"/>
    <w:rsid w:val="00527784"/>
    <w:rsid w:val="0053125A"/>
    <w:rsid w:val="005319BB"/>
    <w:rsid w:val="00531FA1"/>
    <w:rsid w:val="00532023"/>
    <w:rsid w:val="00532A5A"/>
    <w:rsid w:val="00533AB6"/>
    <w:rsid w:val="0053638E"/>
    <w:rsid w:val="00536A04"/>
    <w:rsid w:val="00537010"/>
    <w:rsid w:val="005402B1"/>
    <w:rsid w:val="0054408F"/>
    <w:rsid w:val="00546EF7"/>
    <w:rsid w:val="00552337"/>
    <w:rsid w:val="00553DFC"/>
    <w:rsid w:val="00553E6C"/>
    <w:rsid w:val="00554742"/>
    <w:rsid w:val="00557A28"/>
    <w:rsid w:val="00557D2A"/>
    <w:rsid w:val="005615D6"/>
    <w:rsid w:val="00564EBA"/>
    <w:rsid w:val="005668A7"/>
    <w:rsid w:val="005729E9"/>
    <w:rsid w:val="00572A05"/>
    <w:rsid w:val="00572DBD"/>
    <w:rsid w:val="00573115"/>
    <w:rsid w:val="00573BED"/>
    <w:rsid w:val="00574A53"/>
    <w:rsid w:val="00575655"/>
    <w:rsid w:val="00576B13"/>
    <w:rsid w:val="00580788"/>
    <w:rsid w:val="00582489"/>
    <w:rsid w:val="005857C5"/>
    <w:rsid w:val="00590FC4"/>
    <w:rsid w:val="00592C2B"/>
    <w:rsid w:val="005936A2"/>
    <w:rsid w:val="0059392C"/>
    <w:rsid w:val="005953FB"/>
    <w:rsid w:val="005A229D"/>
    <w:rsid w:val="005A57B0"/>
    <w:rsid w:val="005B0022"/>
    <w:rsid w:val="005B1B66"/>
    <w:rsid w:val="005B1CCA"/>
    <w:rsid w:val="005B1CE3"/>
    <w:rsid w:val="005B33A5"/>
    <w:rsid w:val="005B3C52"/>
    <w:rsid w:val="005B5CE6"/>
    <w:rsid w:val="005B5D99"/>
    <w:rsid w:val="005C0801"/>
    <w:rsid w:val="005C2617"/>
    <w:rsid w:val="005C26EE"/>
    <w:rsid w:val="005C2BF4"/>
    <w:rsid w:val="005C4D1A"/>
    <w:rsid w:val="005C715A"/>
    <w:rsid w:val="005C7164"/>
    <w:rsid w:val="005C735C"/>
    <w:rsid w:val="005D13C1"/>
    <w:rsid w:val="005D1904"/>
    <w:rsid w:val="005D285C"/>
    <w:rsid w:val="005D28E8"/>
    <w:rsid w:val="005D2CDB"/>
    <w:rsid w:val="005D54FE"/>
    <w:rsid w:val="005E283C"/>
    <w:rsid w:val="005E3E46"/>
    <w:rsid w:val="005F5178"/>
    <w:rsid w:val="00600CB8"/>
    <w:rsid w:val="00601D2F"/>
    <w:rsid w:val="0060783D"/>
    <w:rsid w:val="00607DA9"/>
    <w:rsid w:val="00611556"/>
    <w:rsid w:val="006118BD"/>
    <w:rsid w:val="006143E3"/>
    <w:rsid w:val="006225D8"/>
    <w:rsid w:val="00623186"/>
    <w:rsid w:val="00624DC4"/>
    <w:rsid w:val="0062663A"/>
    <w:rsid w:val="006266FF"/>
    <w:rsid w:val="00631E38"/>
    <w:rsid w:val="00632871"/>
    <w:rsid w:val="006355DB"/>
    <w:rsid w:val="00636085"/>
    <w:rsid w:val="00637D1C"/>
    <w:rsid w:val="00640B75"/>
    <w:rsid w:val="00644544"/>
    <w:rsid w:val="006452B0"/>
    <w:rsid w:val="00646D7B"/>
    <w:rsid w:val="00647364"/>
    <w:rsid w:val="006473D6"/>
    <w:rsid w:val="00650649"/>
    <w:rsid w:val="00650B25"/>
    <w:rsid w:val="00651990"/>
    <w:rsid w:val="006525D8"/>
    <w:rsid w:val="0065375A"/>
    <w:rsid w:val="00653BB4"/>
    <w:rsid w:val="0065546A"/>
    <w:rsid w:val="0066549F"/>
    <w:rsid w:val="00673153"/>
    <w:rsid w:val="0067355C"/>
    <w:rsid w:val="00673F56"/>
    <w:rsid w:val="00674A7C"/>
    <w:rsid w:val="0068060C"/>
    <w:rsid w:val="0068234A"/>
    <w:rsid w:val="00683E21"/>
    <w:rsid w:val="0068464E"/>
    <w:rsid w:val="00684B77"/>
    <w:rsid w:val="00687F98"/>
    <w:rsid w:val="006913DA"/>
    <w:rsid w:val="0069230F"/>
    <w:rsid w:val="00692351"/>
    <w:rsid w:val="00694B67"/>
    <w:rsid w:val="00695E7B"/>
    <w:rsid w:val="00697B83"/>
    <w:rsid w:val="006A0290"/>
    <w:rsid w:val="006A043E"/>
    <w:rsid w:val="006A2116"/>
    <w:rsid w:val="006A3E88"/>
    <w:rsid w:val="006A4FDE"/>
    <w:rsid w:val="006A524C"/>
    <w:rsid w:val="006A6798"/>
    <w:rsid w:val="006A7B39"/>
    <w:rsid w:val="006B72D5"/>
    <w:rsid w:val="006B7679"/>
    <w:rsid w:val="006B79BE"/>
    <w:rsid w:val="006C00D6"/>
    <w:rsid w:val="006C044F"/>
    <w:rsid w:val="006C1DCD"/>
    <w:rsid w:val="006C2B7C"/>
    <w:rsid w:val="006C2F23"/>
    <w:rsid w:val="006C3D55"/>
    <w:rsid w:val="006C5C37"/>
    <w:rsid w:val="006C5CE3"/>
    <w:rsid w:val="006D1BAA"/>
    <w:rsid w:val="006D2553"/>
    <w:rsid w:val="006D2F22"/>
    <w:rsid w:val="006D386A"/>
    <w:rsid w:val="006D3D85"/>
    <w:rsid w:val="006D4BA4"/>
    <w:rsid w:val="006D56F4"/>
    <w:rsid w:val="006D6FCF"/>
    <w:rsid w:val="006D7543"/>
    <w:rsid w:val="006E0D51"/>
    <w:rsid w:val="006E1574"/>
    <w:rsid w:val="006E604F"/>
    <w:rsid w:val="006E7DA0"/>
    <w:rsid w:val="006F2061"/>
    <w:rsid w:val="00701C1B"/>
    <w:rsid w:val="007033FE"/>
    <w:rsid w:val="00703D51"/>
    <w:rsid w:val="00704E85"/>
    <w:rsid w:val="0070745E"/>
    <w:rsid w:val="00716CA3"/>
    <w:rsid w:val="00716D7E"/>
    <w:rsid w:val="00717AEE"/>
    <w:rsid w:val="0072518F"/>
    <w:rsid w:val="0072686A"/>
    <w:rsid w:val="00727BD1"/>
    <w:rsid w:val="00732215"/>
    <w:rsid w:val="007409DC"/>
    <w:rsid w:val="00740F91"/>
    <w:rsid w:val="00741225"/>
    <w:rsid w:val="00741D9C"/>
    <w:rsid w:val="00743530"/>
    <w:rsid w:val="00744006"/>
    <w:rsid w:val="00745BF7"/>
    <w:rsid w:val="007464B5"/>
    <w:rsid w:val="007521FD"/>
    <w:rsid w:val="0075362C"/>
    <w:rsid w:val="007545E0"/>
    <w:rsid w:val="00754879"/>
    <w:rsid w:val="00754F3D"/>
    <w:rsid w:val="007551F7"/>
    <w:rsid w:val="00755ECC"/>
    <w:rsid w:val="007575A9"/>
    <w:rsid w:val="007602CD"/>
    <w:rsid w:val="00760FFC"/>
    <w:rsid w:val="00761A1F"/>
    <w:rsid w:val="00761BD8"/>
    <w:rsid w:val="00761F68"/>
    <w:rsid w:val="0076236B"/>
    <w:rsid w:val="00764B06"/>
    <w:rsid w:val="0076692C"/>
    <w:rsid w:val="00766EDB"/>
    <w:rsid w:val="007704C5"/>
    <w:rsid w:val="00773EA9"/>
    <w:rsid w:val="007749F4"/>
    <w:rsid w:val="00776A11"/>
    <w:rsid w:val="007771D5"/>
    <w:rsid w:val="00777698"/>
    <w:rsid w:val="00784EF0"/>
    <w:rsid w:val="00785069"/>
    <w:rsid w:val="00791AC8"/>
    <w:rsid w:val="00791D54"/>
    <w:rsid w:val="00793A35"/>
    <w:rsid w:val="00794559"/>
    <w:rsid w:val="00795E62"/>
    <w:rsid w:val="00795E68"/>
    <w:rsid w:val="00796105"/>
    <w:rsid w:val="007962C8"/>
    <w:rsid w:val="007964CB"/>
    <w:rsid w:val="00797B2B"/>
    <w:rsid w:val="007A125B"/>
    <w:rsid w:val="007A1A49"/>
    <w:rsid w:val="007A4138"/>
    <w:rsid w:val="007A427A"/>
    <w:rsid w:val="007A7585"/>
    <w:rsid w:val="007B329D"/>
    <w:rsid w:val="007B412C"/>
    <w:rsid w:val="007B7CE9"/>
    <w:rsid w:val="007C096D"/>
    <w:rsid w:val="007C0A11"/>
    <w:rsid w:val="007C0D1F"/>
    <w:rsid w:val="007C1D01"/>
    <w:rsid w:val="007C2355"/>
    <w:rsid w:val="007C370B"/>
    <w:rsid w:val="007C6400"/>
    <w:rsid w:val="007C7FBC"/>
    <w:rsid w:val="007D3384"/>
    <w:rsid w:val="007D3EA4"/>
    <w:rsid w:val="007D5FD9"/>
    <w:rsid w:val="007D7850"/>
    <w:rsid w:val="007E2536"/>
    <w:rsid w:val="007E337D"/>
    <w:rsid w:val="007E5D4D"/>
    <w:rsid w:val="007F17B7"/>
    <w:rsid w:val="00802113"/>
    <w:rsid w:val="00802167"/>
    <w:rsid w:val="00803B7B"/>
    <w:rsid w:val="00803D1B"/>
    <w:rsid w:val="00805477"/>
    <w:rsid w:val="0080651F"/>
    <w:rsid w:val="008065EE"/>
    <w:rsid w:val="0080690F"/>
    <w:rsid w:val="00810913"/>
    <w:rsid w:val="00811AFA"/>
    <w:rsid w:val="00811B0F"/>
    <w:rsid w:val="00812743"/>
    <w:rsid w:val="00813B66"/>
    <w:rsid w:val="00815606"/>
    <w:rsid w:val="00822A84"/>
    <w:rsid w:val="00823D9F"/>
    <w:rsid w:val="008251EE"/>
    <w:rsid w:val="00825A75"/>
    <w:rsid w:val="008274B0"/>
    <w:rsid w:val="008314C9"/>
    <w:rsid w:val="00831818"/>
    <w:rsid w:val="008358B0"/>
    <w:rsid w:val="008366B0"/>
    <w:rsid w:val="00841DA4"/>
    <w:rsid w:val="00842D24"/>
    <w:rsid w:val="0084370C"/>
    <w:rsid w:val="00845B95"/>
    <w:rsid w:val="008504FA"/>
    <w:rsid w:val="00851BEE"/>
    <w:rsid w:val="008540DC"/>
    <w:rsid w:val="00860888"/>
    <w:rsid w:val="0086625E"/>
    <w:rsid w:val="008663CE"/>
    <w:rsid w:val="008669CC"/>
    <w:rsid w:val="008753F2"/>
    <w:rsid w:val="00875938"/>
    <w:rsid w:val="00880523"/>
    <w:rsid w:val="00880B1A"/>
    <w:rsid w:val="00882BD6"/>
    <w:rsid w:val="00883263"/>
    <w:rsid w:val="00886D1A"/>
    <w:rsid w:val="00887506"/>
    <w:rsid w:val="008905EE"/>
    <w:rsid w:val="00890D32"/>
    <w:rsid w:val="00892409"/>
    <w:rsid w:val="00892600"/>
    <w:rsid w:val="00894BCA"/>
    <w:rsid w:val="00896E40"/>
    <w:rsid w:val="00897B03"/>
    <w:rsid w:val="008A0281"/>
    <w:rsid w:val="008A09AA"/>
    <w:rsid w:val="008A1EA3"/>
    <w:rsid w:val="008A2046"/>
    <w:rsid w:val="008A5EBD"/>
    <w:rsid w:val="008A5F7E"/>
    <w:rsid w:val="008A77AF"/>
    <w:rsid w:val="008B1154"/>
    <w:rsid w:val="008B1FB3"/>
    <w:rsid w:val="008B3F16"/>
    <w:rsid w:val="008B679D"/>
    <w:rsid w:val="008C0E75"/>
    <w:rsid w:val="008C1313"/>
    <w:rsid w:val="008C1329"/>
    <w:rsid w:val="008C3197"/>
    <w:rsid w:val="008C3588"/>
    <w:rsid w:val="008C37EF"/>
    <w:rsid w:val="008C637B"/>
    <w:rsid w:val="008C66B9"/>
    <w:rsid w:val="008C7174"/>
    <w:rsid w:val="008D0E5C"/>
    <w:rsid w:val="008D292A"/>
    <w:rsid w:val="008D37F4"/>
    <w:rsid w:val="008D4190"/>
    <w:rsid w:val="008D4975"/>
    <w:rsid w:val="008D572B"/>
    <w:rsid w:val="008D6983"/>
    <w:rsid w:val="008D7C6D"/>
    <w:rsid w:val="008E063D"/>
    <w:rsid w:val="008E18B7"/>
    <w:rsid w:val="008E4091"/>
    <w:rsid w:val="008E74FB"/>
    <w:rsid w:val="008E7B2E"/>
    <w:rsid w:val="008E7B8A"/>
    <w:rsid w:val="008F491D"/>
    <w:rsid w:val="008F57A4"/>
    <w:rsid w:val="008F5F69"/>
    <w:rsid w:val="008F6738"/>
    <w:rsid w:val="008F69B5"/>
    <w:rsid w:val="008F69E0"/>
    <w:rsid w:val="008F6D07"/>
    <w:rsid w:val="0090103A"/>
    <w:rsid w:val="0090416A"/>
    <w:rsid w:val="009052E9"/>
    <w:rsid w:val="009053F3"/>
    <w:rsid w:val="00911083"/>
    <w:rsid w:val="0091193E"/>
    <w:rsid w:val="00913E35"/>
    <w:rsid w:val="0091466C"/>
    <w:rsid w:val="00914DCD"/>
    <w:rsid w:val="00914FBB"/>
    <w:rsid w:val="00915A95"/>
    <w:rsid w:val="00916783"/>
    <w:rsid w:val="00917DD9"/>
    <w:rsid w:val="00920685"/>
    <w:rsid w:val="009212A9"/>
    <w:rsid w:val="009217E4"/>
    <w:rsid w:val="00921F0B"/>
    <w:rsid w:val="00922B7A"/>
    <w:rsid w:val="00923196"/>
    <w:rsid w:val="0092479B"/>
    <w:rsid w:val="00925014"/>
    <w:rsid w:val="009263B0"/>
    <w:rsid w:val="00927720"/>
    <w:rsid w:val="00932739"/>
    <w:rsid w:val="00932964"/>
    <w:rsid w:val="00940E5A"/>
    <w:rsid w:val="009453F8"/>
    <w:rsid w:val="00945B1B"/>
    <w:rsid w:val="00955A4D"/>
    <w:rsid w:val="00955F8A"/>
    <w:rsid w:val="00956928"/>
    <w:rsid w:val="00956BC2"/>
    <w:rsid w:val="009570D2"/>
    <w:rsid w:val="009573F2"/>
    <w:rsid w:val="009627C3"/>
    <w:rsid w:val="00962AC4"/>
    <w:rsid w:val="0096304A"/>
    <w:rsid w:val="0096489B"/>
    <w:rsid w:val="00965191"/>
    <w:rsid w:val="0096642F"/>
    <w:rsid w:val="00970B5B"/>
    <w:rsid w:val="00970BBE"/>
    <w:rsid w:val="00971236"/>
    <w:rsid w:val="00976282"/>
    <w:rsid w:val="00977687"/>
    <w:rsid w:val="009819E9"/>
    <w:rsid w:val="00985EA1"/>
    <w:rsid w:val="00986B76"/>
    <w:rsid w:val="009877F6"/>
    <w:rsid w:val="00991E84"/>
    <w:rsid w:val="009949C9"/>
    <w:rsid w:val="0099618C"/>
    <w:rsid w:val="009A05C6"/>
    <w:rsid w:val="009A0E83"/>
    <w:rsid w:val="009A1311"/>
    <w:rsid w:val="009A1C09"/>
    <w:rsid w:val="009A5584"/>
    <w:rsid w:val="009A58B4"/>
    <w:rsid w:val="009A59DD"/>
    <w:rsid w:val="009A6970"/>
    <w:rsid w:val="009A6F94"/>
    <w:rsid w:val="009A70F6"/>
    <w:rsid w:val="009B2095"/>
    <w:rsid w:val="009B5274"/>
    <w:rsid w:val="009B6769"/>
    <w:rsid w:val="009C1A52"/>
    <w:rsid w:val="009C2A92"/>
    <w:rsid w:val="009C5BDD"/>
    <w:rsid w:val="009C6976"/>
    <w:rsid w:val="009C6C59"/>
    <w:rsid w:val="009C76DC"/>
    <w:rsid w:val="009D3390"/>
    <w:rsid w:val="009D4CF7"/>
    <w:rsid w:val="009D7066"/>
    <w:rsid w:val="009D7B55"/>
    <w:rsid w:val="009E0FE9"/>
    <w:rsid w:val="009E3862"/>
    <w:rsid w:val="009E4F07"/>
    <w:rsid w:val="009E602A"/>
    <w:rsid w:val="009F2312"/>
    <w:rsid w:val="009F237D"/>
    <w:rsid w:val="009F280E"/>
    <w:rsid w:val="009F2FEF"/>
    <w:rsid w:val="009F5C69"/>
    <w:rsid w:val="00A01B27"/>
    <w:rsid w:val="00A037C4"/>
    <w:rsid w:val="00A16A80"/>
    <w:rsid w:val="00A17693"/>
    <w:rsid w:val="00A20B71"/>
    <w:rsid w:val="00A24344"/>
    <w:rsid w:val="00A2544A"/>
    <w:rsid w:val="00A25914"/>
    <w:rsid w:val="00A25E57"/>
    <w:rsid w:val="00A26164"/>
    <w:rsid w:val="00A26813"/>
    <w:rsid w:val="00A27AD0"/>
    <w:rsid w:val="00A32097"/>
    <w:rsid w:val="00A328CA"/>
    <w:rsid w:val="00A3384A"/>
    <w:rsid w:val="00A33E44"/>
    <w:rsid w:val="00A35995"/>
    <w:rsid w:val="00A36C6D"/>
    <w:rsid w:val="00A379F5"/>
    <w:rsid w:val="00A42015"/>
    <w:rsid w:val="00A45A45"/>
    <w:rsid w:val="00A47846"/>
    <w:rsid w:val="00A54BF4"/>
    <w:rsid w:val="00A55532"/>
    <w:rsid w:val="00A60044"/>
    <w:rsid w:val="00A62BB6"/>
    <w:rsid w:val="00A63E3E"/>
    <w:rsid w:val="00A63F04"/>
    <w:rsid w:val="00A65DAF"/>
    <w:rsid w:val="00A67C3B"/>
    <w:rsid w:val="00A7148D"/>
    <w:rsid w:val="00A71907"/>
    <w:rsid w:val="00A72F8D"/>
    <w:rsid w:val="00A7366B"/>
    <w:rsid w:val="00A73F16"/>
    <w:rsid w:val="00A77F0E"/>
    <w:rsid w:val="00A840C9"/>
    <w:rsid w:val="00A84F03"/>
    <w:rsid w:val="00A90F2F"/>
    <w:rsid w:val="00A91339"/>
    <w:rsid w:val="00A914F5"/>
    <w:rsid w:val="00A91DC2"/>
    <w:rsid w:val="00A93C42"/>
    <w:rsid w:val="00A941AF"/>
    <w:rsid w:val="00A9503B"/>
    <w:rsid w:val="00A95462"/>
    <w:rsid w:val="00AA0A41"/>
    <w:rsid w:val="00AA1040"/>
    <w:rsid w:val="00AA2FAF"/>
    <w:rsid w:val="00AA431C"/>
    <w:rsid w:val="00AA7258"/>
    <w:rsid w:val="00AB0215"/>
    <w:rsid w:val="00AB20F0"/>
    <w:rsid w:val="00AB2A7F"/>
    <w:rsid w:val="00AB2BAC"/>
    <w:rsid w:val="00AB35AB"/>
    <w:rsid w:val="00AB5D3B"/>
    <w:rsid w:val="00AC0175"/>
    <w:rsid w:val="00AC213E"/>
    <w:rsid w:val="00AC5F4A"/>
    <w:rsid w:val="00AC608F"/>
    <w:rsid w:val="00AC6893"/>
    <w:rsid w:val="00AC6D22"/>
    <w:rsid w:val="00AD0E80"/>
    <w:rsid w:val="00AD1E73"/>
    <w:rsid w:val="00AD689A"/>
    <w:rsid w:val="00AE17A5"/>
    <w:rsid w:val="00AE2A2D"/>
    <w:rsid w:val="00AE605D"/>
    <w:rsid w:val="00AE635A"/>
    <w:rsid w:val="00AF1CD1"/>
    <w:rsid w:val="00AF1ECD"/>
    <w:rsid w:val="00AF261E"/>
    <w:rsid w:val="00AF3B8E"/>
    <w:rsid w:val="00AF5F1F"/>
    <w:rsid w:val="00AF72A9"/>
    <w:rsid w:val="00AF77FA"/>
    <w:rsid w:val="00B00B61"/>
    <w:rsid w:val="00B01151"/>
    <w:rsid w:val="00B0227F"/>
    <w:rsid w:val="00B02495"/>
    <w:rsid w:val="00B04209"/>
    <w:rsid w:val="00B04EC1"/>
    <w:rsid w:val="00B0518A"/>
    <w:rsid w:val="00B05B46"/>
    <w:rsid w:val="00B1073B"/>
    <w:rsid w:val="00B11DDB"/>
    <w:rsid w:val="00B12159"/>
    <w:rsid w:val="00B140FE"/>
    <w:rsid w:val="00B16484"/>
    <w:rsid w:val="00B17707"/>
    <w:rsid w:val="00B17A37"/>
    <w:rsid w:val="00B20B8F"/>
    <w:rsid w:val="00B20D1F"/>
    <w:rsid w:val="00B21A13"/>
    <w:rsid w:val="00B23E01"/>
    <w:rsid w:val="00B25213"/>
    <w:rsid w:val="00B27126"/>
    <w:rsid w:val="00B2738F"/>
    <w:rsid w:val="00B27B74"/>
    <w:rsid w:val="00B300BD"/>
    <w:rsid w:val="00B3534F"/>
    <w:rsid w:val="00B358B1"/>
    <w:rsid w:val="00B372EB"/>
    <w:rsid w:val="00B377EA"/>
    <w:rsid w:val="00B407CE"/>
    <w:rsid w:val="00B41EA9"/>
    <w:rsid w:val="00B42981"/>
    <w:rsid w:val="00B43193"/>
    <w:rsid w:val="00B4392E"/>
    <w:rsid w:val="00B43A91"/>
    <w:rsid w:val="00B545D6"/>
    <w:rsid w:val="00B54F17"/>
    <w:rsid w:val="00B60D22"/>
    <w:rsid w:val="00B654CA"/>
    <w:rsid w:val="00B67643"/>
    <w:rsid w:val="00B7082E"/>
    <w:rsid w:val="00B7409D"/>
    <w:rsid w:val="00B767A5"/>
    <w:rsid w:val="00B83321"/>
    <w:rsid w:val="00B84372"/>
    <w:rsid w:val="00B86A84"/>
    <w:rsid w:val="00B87D9E"/>
    <w:rsid w:val="00B906F9"/>
    <w:rsid w:val="00B925F9"/>
    <w:rsid w:val="00B93CC1"/>
    <w:rsid w:val="00B94DDB"/>
    <w:rsid w:val="00B9527D"/>
    <w:rsid w:val="00B964E8"/>
    <w:rsid w:val="00B973D3"/>
    <w:rsid w:val="00BA1FDE"/>
    <w:rsid w:val="00BA4472"/>
    <w:rsid w:val="00BA787E"/>
    <w:rsid w:val="00BA7BBF"/>
    <w:rsid w:val="00BB00C8"/>
    <w:rsid w:val="00BB1069"/>
    <w:rsid w:val="00BB3486"/>
    <w:rsid w:val="00BB64B7"/>
    <w:rsid w:val="00BC0295"/>
    <w:rsid w:val="00BC062B"/>
    <w:rsid w:val="00BC27D9"/>
    <w:rsid w:val="00BD3171"/>
    <w:rsid w:val="00BD5711"/>
    <w:rsid w:val="00BD7A99"/>
    <w:rsid w:val="00BE1B3B"/>
    <w:rsid w:val="00BE1C86"/>
    <w:rsid w:val="00BE4AB7"/>
    <w:rsid w:val="00BE5E87"/>
    <w:rsid w:val="00BE702C"/>
    <w:rsid w:val="00BF0FEA"/>
    <w:rsid w:val="00BF190B"/>
    <w:rsid w:val="00BF41EC"/>
    <w:rsid w:val="00BF4E91"/>
    <w:rsid w:val="00BF6DA5"/>
    <w:rsid w:val="00C00960"/>
    <w:rsid w:val="00C04A78"/>
    <w:rsid w:val="00C13C62"/>
    <w:rsid w:val="00C14195"/>
    <w:rsid w:val="00C14FF5"/>
    <w:rsid w:val="00C20E2F"/>
    <w:rsid w:val="00C21DCE"/>
    <w:rsid w:val="00C223A5"/>
    <w:rsid w:val="00C225F9"/>
    <w:rsid w:val="00C23607"/>
    <w:rsid w:val="00C244BC"/>
    <w:rsid w:val="00C3105B"/>
    <w:rsid w:val="00C3211A"/>
    <w:rsid w:val="00C3603B"/>
    <w:rsid w:val="00C36DB5"/>
    <w:rsid w:val="00C36F9A"/>
    <w:rsid w:val="00C378EB"/>
    <w:rsid w:val="00C37B34"/>
    <w:rsid w:val="00C47B2F"/>
    <w:rsid w:val="00C47FF8"/>
    <w:rsid w:val="00C5050F"/>
    <w:rsid w:val="00C50549"/>
    <w:rsid w:val="00C50FFE"/>
    <w:rsid w:val="00C5271E"/>
    <w:rsid w:val="00C53804"/>
    <w:rsid w:val="00C53A8A"/>
    <w:rsid w:val="00C551F1"/>
    <w:rsid w:val="00C57F0E"/>
    <w:rsid w:val="00C6177E"/>
    <w:rsid w:val="00C6227B"/>
    <w:rsid w:val="00C64184"/>
    <w:rsid w:val="00C666CC"/>
    <w:rsid w:val="00C66899"/>
    <w:rsid w:val="00C714DF"/>
    <w:rsid w:val="00C7220A"/>
    <w:rsid w:val="00C7360A"/>
    <w:rsid w:val="00C74585"/>
    <w:rsid w:val="00C75710"/>
    <w:rsid w:val="00C7634C"/>
    <w:rsid w:val="00C775B4"/>
    <w:rsid w:val="00C77712"/>
    <w:rsid w:val="00C807FE"/>
    <w:rsid w:val="00C82CFB"/>
    <w:rsid w:val="00C84F33"/>
    <w:rsid w:val="00C8526D"/>
    <w:rsid w:val="00C87E72"/>
    <w:rsid w:val="00C94CAE"/>
    <w:rsid w:val="00C95B3F"/>
    <w:rsid w:val="00C97B6F"/>
    <w:rsid w:val="00C97B7E"/>
    <w:rsid w:val="00CA003F"/>
    <w:rsid w:val="00CA0BDD"/>
    <w:rsid w:val="00CA48B5"/>
    <w:rsid w:val="00CA4E33"/>
    <w:rsid w:val="00CA7F3E"/>
    <w:rsid w:val="00CB3BDF"/>
    <w:rsid w:val="00CB5ACA"/>
    <w:rsid w:val="00CC0D2B"/>
    <w:rsid w:val="00CC1785"/>
    <w:rsid w:val="00CC2273"/>
    <w:rsid w:val="00CC4E80"/>
    <w:rsid w:val="00CC7E93"/>
    <w:rsid w:val="00CD07E4"/>
    <w:rsid w:val="00CD0B35"/>
    <w:rsid w:val="00CD1581"/>
    <w:rsid w:val="00CD3FDE"/>
    <w:rsid w:val="00CD4333"/>
    <w:rsid w:val="00CD486A"/>
    <w:rsid w:val="00CE024F"/>
    <w:rsid w:val="00CE07F3"/>
    <w:rsid w:val="00CE3506"/>
    <w:rsid w:val="00CE5D1E"/>
    <w:rsid w:val="00CE62DF"/>
    <w:rsid w:val="00CF16F1"/>
    <w:rsid w:val="00CF1905"/>
    <w:rsid w:val="00CF21AA"/>
    <w:rsid w:val="00CF3391"/>
    <w:rsid w:val="00CF523F"/>
    <w:rsid w:val="00D0156F"/>
    <w:rsid w:val="00D01E61"/>
    <w:rsid w:val="00D0364F"/>
    <w:rsid w:val="00D03AA3"/>
    <w:rsid w:val="00D07A1D"/>
    <w:rsid w:val="00D07FBF"/>
    <w:rsid w:val="00D112E2"/>
    <w:rsid w:val="00D1274B"/>
    <w:rsid w:val="00D1781E"/>
    <w:rsid w:val="00D17D71"/>
    <w:rsid w:val="00D207D2"/>
    <w:rsid w:val="00D20850"/>
    <w:rsid w:val="00D20A7A"/>
    <w:rsid w:val="00D22352"/>
    <w:rsid w:val="00D2325D"/>
    <w:rsid w:val="00D24423"/>
    <w:rsid w:val="00D25B16"/>
    <w:rsid w:val="00D30CAD"/>
    <w:rsid w:val="00D32E37"/>
    <w:rsid w:val="00D33B6F"/>
    <w:rsid w:val="00D35FCB"/>
    <w:rsid w:val="00D36D32"/>
    <w:rsid w:val="00D376DC"/>
    <w:rsid w:val="00D41AEA"/>
    <w:rsid w:val="00D452FF"/>
    <w:rsid w:val="00D45C06"/>
    <w:rsid w:val="00D4666C"/>
    <w:rsid w:val="00D50F8D"/>
    <w:rsid w:val="00D51E27"/>
    <w:rsid w:val="00D54433"/>
    <w:rsid w:val="00D54FE0"/>
    <w:rsid w:val="00D6292A"/>
    <w:rsid w:val="00D64701"/>
    <w:rsid w:val="00D647AB"/>
    <w:rsid w:val="00D6510F"/>
    <w:rsid w:val="00D66D72"/>
    <w:rsid w:val="00D70C94"/>
    <w:rsid w:val="00D71E7C"/>
    <w:rsid w:val="00D72582"/>
    <w:rsid w:val="00D74108"/>
    <w:rsid w:val="00D758BF"/>
    <w:rsid w:val="00D75D66"/>
    <w:rsid w:val="00D76A78"/>
    <w:rsid w:val="00D77BA9"/>
    <w:rsid w:val="00D83BA6"/>
    <w:rsid w:val="00D85F9E"/>
    <w:rsid w:val="00D9012F"/>
    <w:rsid w:val="00D911AA"/>
    <w:rsid w:val="00D92768"/>
    <w:rsid w:val="00D928A6"/>
    <w:rsid w:val="00D95E28"/>
    <w:rsid w:val="00D96527"/>
    <w:rsid w:val="00DA2214"/>
    <w:rsid w:val="00DA425B"/>
    <w:rsid w:val="00DA4BAB"/>
    <w:rsid w:val="00DA4EC0"/>
    <w:rsid w:val="00DB1260"/>
    <w:rsid w:val="00DB7AD9"/>
    <w:rsid w:val="00DC0E3D"/>
    <w:rsid w:val="00DC56BC"/>
    <w:rsid w:val="00DC613D"/>
    <w:rsid w:val="00DC6D09"/>
    <w:rsid w:val="00DD0CBE"/>
    <w:rsid w:val="00DD34E4"/>
    <w:rsid w:val="00DD50AA"/>
    <w:rsid w:val="00DD66E6"/>
    <w:rsid w:val="00DD7ABC"/>
    <w:rsid w:val="00DE02AA"/>
    <w:rsid w:val="00DE0B2C"/>
    <w:rsid w:val="00DE138E"/>
    <w:rsid w:val="00DE6386"/>
    <w:rsid w:val="00DE79B3"/>
    <w:rsid w:val="00DF3FE5"/>
    <w:rsid w:val="00DF5F12"/>
    <w:rsid w:val="00DF6A23"/>
    <w:rsid w:val="00E031A1"/>
    <w:rsid w:val="00E049E4"/>
    <w:rsid w:val="00E05EC0"/>
    <w:rsid w:val="00E05FE4"/>
    <w:rsid w:val="00E06B6F"/>
    <w:rsid w:val="00E07A10"/>
    <w:rsid w:val="00E100E0"/>
    <w:rsid w:val="00E129DD"/>
    <w:rsid w:val="00E141D4"/>
    <w:rsid w:val="00E1456C"/>
    <w:rsid w:val="00E157FF"/>
    <w:rsid w:val="00E15E16"/>
    <w:rsid w:val="00E16136"/>
    <w:rsid w:val="00E17FE8"/>
    <w:rsid w:val="00E20B0F"/>
    <w:rsid w:val="00E22BE5"/>
    <w:rsid w:val="00E22D21"/>
    <w:rsid w:val="00E252DF"/>
    <w:rsid w:val="00E2687D"/>
    <w:rsid w:val="00E26B47"/>
    <w:rsid w:val="00E26CA3"/>
    <w:rsid w:val="00E30119"/>
    <w:rsid w:val="00E34CCF"/>
    <w:rsid w:val="00E3599A"/>
    <w:rsid w:val="00E36079"/>
    <w:rsid w:val="00E46B76"/>
    <w:rsid w:val="00E47976"/>
    <w:rsid w:val="00E50A62"/>
    <w:rsid w:val="00E52C87"/>
    <w:rsid w:val="00E5354E"/>
    <w:rsid w:val="00E5423C"/>
    <w:rsid w:val="00E561AC"/>
    <w:rsid w:val="00E578AB"/>
    <w:rsid w:val="00E605E8"/>
    <w:rsid w:val="00E6144A"/>
    <w:rsid w:val="00E62173"/>
    <w:rsid w:val="00E6306B"/>
    <w:rsid w:val="00E63703"/>
    <w:rsid w:val="00E63712"/>
    <w:rsid w:val="00E67898"/>
    <w:rsid w:val="00E716E2"/>
    <w:rsid w:val="00E76480"/>
    <w:rsid w:val="00E765E2"/>
    <w:rsid w:val="00E7784D"/>
    <w:rsid w:val="00E81034"/>
    <w:rsid w:val="00E81DB2"/>
    <w:rsid w:val="00E820B6"/>
    <w:rsid w:val="00E832CE"/>
    <w:rsid w:val="00E84412"/>
    <w:rsid w:val="00E9459E"/>
    <w:rsid w:val="00E967B9"/>
    <w:rsid w:val="00EA075A"/>
    <w:rsid w:val="00EA2964"/>
    <w:rsid w:val="00EA3479"/>
    <w:rsid w:val="00EB019B"/>
    <w:rsid w:val="00EB1CA5"/>
    <w:rsid w:val="00EB2D34"/>
    <w:rsid w:val="00EC039C"/>
    <w:rsid w:val="00EC050F"/>
    <w:rsid w:val="00EC3001"/>
    <w:rsid w:val="00EC3933"/>
    <w:rsid w:val="00EC771B"/>
    <w:rsid w:val="00ED03A4"/>
    <w:rsid w:val="00ED0BFF"/>
    <w:rsid w:val="00ED0C7A"/>
    <w:rsid w:val="00ED0DA2"/>
    <w:rsid w:val="00ED0F9F"/>
    <w:rsid w:val="00ED1959"/>
    <w:rsid w:val="00ED333C"/>
    <w:rsid w:val="00ED6606"/>
    <w:rsid w:val="00ED691E"/>
    <w:rsid w:val="00EE10F9"/>
    <w:rsid w:val="00EE1E60"/>
    <w:rsid w:val="00EE2CAA"/>
    <w:rsid w:val="00EE4F30"/>
    <w:rsid w:val="00EE574F"/>
    <w:rsid w:val="00EE64CE"/>
    <w:rsid w:val="00EE6C82"/>
    <w:rsid w:val="00EE6FA7"/>
    <w:rsid w:val="00EF3C7E"/>
    <w:rsid w:val="00EF44F7"/>
    <w:rsid w:val="00EF48A5"/>
    <w:rsid w:val="00EF56F5"/>
    <w:rsid w:val="00F001D8"/>
    <w:rsid w:val="00F01666"/>
    <w:rsid w:val="00F06F0C"/>
    <w:rsid w:val="00F12237"/>
    <w:rsid w:val="00F1255A"/>
    <w:rsid w:val="00F136AD"/>
    <w:rsid w:val="00F142D0"/>
    <w:rsid w:val="00F20580"/>
    <w:rsid w:val="00F21689"/>
    <w:rsid w:val="00F21BAB"/>
    <w:rsid w:val="00F221C7"/>
    <w:rsid w:val="00F228F3"/>
    <w:rsid w:val="00F23BE3"/>
    <w:rsid w:val="00F2576E"/>
    <w:rsid w:val="00F305BF"/>
    <w:rsid w:val="00F30BBA"/>
    <w:rsid w:val="00F3182D"/>
    <w:rsid w:val="00F350B7"/>
    <w:rsid w:val="00F3541D"/>
    <w:rsid w:val="00F37967"/>
    <w:rsid w:val="00F37A25"/>
    <w:rsid w:val="00F4219B"/>
    <w:rsid w:val="00F4283A"/>
    <w:rsid w:val="00F430BF"/>
    <w:rsid w:val="00F45353"/>
    <w:rsid w:val="00F50290"/>
    <w:rsid w:val="00F614F3"/>
    <w:rsid w:val="00F626A9"/>
    <w:rsid w:val="00F6581D"/>
    <w:rsid w:val="00F65B72"/>
    <w:rsid w:val="00F70411"/>
    <w:rsid w:val="00F72C5C"/>
    <w:rsid w:val="00F7400A"/>
    <w:rsid w:val="00F75561"/>
    <w:rsid w:val="00F760F9"/>
    <w:rsid w:val="00F7664D"/>
    <w:rsid w:val="00F77512"/>
    <w:rsid w:val="00F8230E"/>
    <w:rsid w:val="00F84C33"/>
    <w:rsid w:val="00F855BA"/>
    <w:rsid w:val="00F86756"/>
    <w:rsid w:val="00F8784F"/>
    <w:rsid w:val="00F87BC1"/>
    <w:rsid w:val="00F914FA"/>
    <w:rsid w:val="00F926B1"/>
    <w:rsid w:val="00F95259"/>
    <w:rsid w:val="00F96019"/>
    <w:rsid w:val="00FA1138"/>
    <w:rsid w:val="00FA2C57"/>
    <w:rsid w:val="00FA38EB"/>
    <w:rsid w:val="00FB1F18"/>
    <w:rsid w:val="00FB4120"/>
    <w:rsid w:val="00FB4B98"/>
    <w:rsid w:val="00FB583B"/>
    <w:rsid w:val="00FB5BD8"/>
    <w:rsid w:val="00FB6FEE"/>
    <w:rsid w:val="00FC07E0"/>
    <w:rsid w:val="00FC2ADE"/>
    <w:rsid w:val="00FC43E7"/>
    <w:rsid w:val="00FC6053"/>
    <w:rsid w:val="00FC74D1"/>
    <w:rsid w:val="00FD0521"/>
    <w:rsid w:val="00FD3253"/>
    <w:rsid w:val="00FD3EDA"/>
    <w:rsid w:val="00FD6E47"/>
    <w:rsid w:val="00FD71C2"/>
    <w:rsid w:val="00FD79E8"/>
    <w:rsid w:val="00FD7D1D"/>
    <w:rsid w:val="00FE2FE9"/>
    <w:rsid w:val="00FF5110"/>
    <w:rsid w:val="00FF61F7"/>
    <w:rsid w:val="00FF7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0A37B1F"/>
  <w15:docId w15:val="{32B3DFC8-E139-4396-A891-C21E7E8B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9F4"/>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D54433"/>
    <w:pPr>
      <w:keepNext/>
      <w:numPr>
        <w:numId w:val="1"/>
      </w:numPr>
      <w:spacing w:before="360" w:line="276" w:lineRule="auto"/>
      <w:ind w:left="357" w:hanging="357"/>
      <w:outlineLvl w:val="0"/>
    </w:pPr>
    <w:rPr>
      <w:b/>
      <w:iCs/>
      <w:sz w:val="28"/>
      <w:lang w:val="en-US"/>
    </w:rPr>
  </w:style>
  <w:style w:type="paragraph" w:styleId="Heading2">
    <w:name w:val="heading 2"/>
    <w:basedOn w:val="Normal"/>
    <w:next w:val="Normal"/>
    <w:link w:val="Heading2Char"/>
    <w:uiPriority w:val="99"/>
    <w:qFormat/>
    <w:rsid w:val="002A5F41"/>
    <w:pPr>
      <w:keepNext/>
      <w:numPr>
        <w:ilvl w:val="1"/>
        <w:numId w:val="1"/>
      </w:numPr>
      <w:tabs>
        <w:tab w:val="clear" w:pos="1569"/>
        <w:tab w:val="num" w:pos="576"/>
      </w:tabs>
      <w:spacing w:before="240" w:after="60"/>
      <w:ind w:left="576"/>
      <w:outlineLvl w:val="1"/>
    </w:pPr>
    <w:rPr>
      <w:rFonts w:cs="Arial"/>
      <w:b/>
      <w:bCs/>
      <w:iCs/>
      <w:szCs w:val="28"/>
    </w:rPr>
  </w:style>
  <w:style w:type="paragraph" w:styleId="Heading3">
    <w:name w:val="heading 3"/>
    <w:basedOn w:val="Normal"/>
    <w:next w:val="Normal"/>
    <w:link w:val="Heading3Char"/>
    <w:uiPriority w:val="99"/>
    <w:qFormat/>
    <w:rsid w:val="002A5F41"/>
    <w:pPr>
      <w:keepNext/>
      <w:numPr>
        <w:ilvl w:val="2"/>
        <w:numId w:val="1"/>
      </w:numPr>
      <w:spacing w:before="240" w:after="60"/>
      <w:ind w:left="720"/>
      <w:outlineLvl w:val="2"/>
    </w:pPr>
    <w:rPr>
      <w:rFonts w:cs="Arial"/>
      <w:b/>
      <w:bCs/>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4433"/>
    <w:rPr>
      <w:rFonts w:ascii="Arial" w:eastAsia="Times New Roman" w:hAnsi="Arial" w:cs="Times New Roman"/>
      <w:b/>
      <w:iCs/>
      <w:sz w:val="28"/>
      <w:szCs w:val="24"/>
      <w:lang w:val="en-US"/>
    </w:rPr>
  </w:style>
  <w:style w:type="character" w:customStyle="1" w:styleId="Heading2Char">
    <w:name w:val="Heading 2 Char"/>
    <w:basedOn w:val="DefaultParagraphFont"/>
    <w:link w:val="Heading2"/>
    <w:uiPriority w:val="99"/>
    <w:rsid w:val="00AB5D3B"/>
    <w:rPr>
      <w:rFonts w:ascii="Arial" w:eastAsia="Times New Roman" w:hAnsi="Arial" w:cs="Arial"/>
      <w:b/>
      <w:bCs/>
      <w:iCs/>
      <w:sz w:val="20"/>
      <w:szCs w:val="28"/>
    </w:rPr>
  </w:style>
  <w:style w:type="character" w:customStyle="1" w:styleId="Heading3Char">
    <w:name w:val="Heading 3 Char"/>
    <w:basedOn w:val="DefaultParagraphFont"/>
    <w:link w:val="Heading3"/>
    <w:uiPriority w:val="99"/>
    <w:rsid w:val="00D54433"/>
    <w:rPr>
      <w:rFonts w:ascii="Arial" w:eastAsia="Times New Roman" w:hAnsi="Arial" w:cs="Arial"/>
      <w:b/>
      <w:bCs/>
      <w:sz w:val="20"/>
      <w:szCs w:val="26"/>
    </w:rPr>
  </w:style>
  <w:style w:type="character" w:customStyle="1" w:styleId="Heading4Char">
    <w:name w:val="Heading 4 Char"/>
    <w:basedOn w:val="DefaultParagraphFont"/>
    <w:link w:val="Heading4"/>
    <w:uiPriority w:val="99"/>
    <w:rsid w:val="008B679D"/>
    <w:rPr>
      <w:rFonts w:ascii="Arial" w:eastAsia="Times New Roman" w:hAnsi="Arial" w:cs="Times New Roman"/>
      <w:b/>
      <w:bCs/>
      <w:sz w:val="28"/>
      <w:szCs w:val="28"/>
    </w:rPr>
  </w:style>
  <w:style w:type="character" w:customStyle="1" w:styleId="Heading5Char">
    <w:name w:val="Heading 5 Char"/>
    <w:basedOn w:val="DefaultParagraphFont"/>
    <w:link w:val="Heading5"/>
    <w:uiPriority w:val="99"/>
    <w:rsid w:val="008B679D"/>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8B679D"/>
    <w:rPr>
      <w:rFonts w:ascii="Arial" w:eastAsia="Times New Roman" w:hAnsi="Arial" w:cs="Times New Roman"/>
      <w:b/>
      <w:bCs/>
    </w:rPr>
  </w:style>
  <w:style w:type="character" w:customStyle="1" w:styleId="Heading7Char">
    <w:name w:val="Heading 7 Char"/>
    <w:basedOn w:val="DefaultParagraphFont"/>
    <w:link w:val="Heading7"/>
    <w:uiPriority w:val="99"/>
    <w:rsid w:val="008B679D"/>
    <w:rPr>
      <w:rFonts w:ascii="Arial" w:eastAsia="Times New Roman" w:hAnsi="Arial" w:cs="Times New Roman"/>
      <w:sz w:val="20"/>
      <w:szCs w:val="24"/>
    </w:rPr>
  </w:style>
  <w:style w:type="character" w:customStyle="1" w:styleId="Heading8Char">
    <w:name w:val="Heading 8 Char"/>
    <w:basedOn w:val="DefaultParagraphFont"/>
    <w:link w:val="Heading8"/>
    <w:uiPriority w:val="99"/>
    <w:rsid w:val="008B679D"/>
    <w:rPr>
      <w:rFonts w:ascii="Arial" w:eastAsia="Times New Roman" w:hAnsi="Arial" w:cs="Times New Roman"/>
      <w:i/>
      <w:iCs/>
      <w:sz w:val="20"/>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5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rFonts w:asciiTheme="minorHAnsi" w:hAnsiTheme="minorHAnsi"/>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semiHidden/>
    <w:unhideWhenUsed/>
    <w:rsid w:val="0086625E"/>
    <w:rPr>
      <w:sz w:val="16"/>
      <w:szCs w:val="16"/>
    </w:rPr>
  </w:style>
  <w:style w:type="paragraph" w:styleId="CommentText">
    <w:name w:val="annotation text"/>
    <w:basedOn w:val="Normal"/>
    <w:link w:val="CommentTextChar"/>
    <w:uiPriority w:val="99"/>
    <w:unhideWhenUsed/>
    <w:rsid w:val="0086625E"/>
    <w:rPr>
      <w:szCs w:val="20"/>
    </w:rPr>
  </w:style>
  <w:style w:type="character" w:customStyle="1" w:styleId="CommentTextChar">
    <w:name w:val="Comment Text Char"/>
    <w:basedOn w:val="DefaultParagraphFont"/>
    <w:link w:val="CommentText"/>
    <w:uiPriority w:val="99"/>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3A03B3"/>
    <w:pPr>
      <w:keepLines/>
      <w:numPr>
        <w:numId w:val="0"/>
      </w:numPr>
      <w:spacing w:after="240"/>
      <w:outlineLvl w:val="9"/>
    </w:pPr>
    <w:rPr>
      <w:rFonts w:asciiTheme="majorHAnsi" w:eastAsiaTheme="majorEastAsia" w:hAnsiTheme="majorHAnsi" w:cstheme="majorBidi"/>
      <w:b w:val="0"/>
      <w:bCs/>
      <w:i/>
      <w:iCs w:val="0"/>
      <w:color w:val="365F91" w:themeColor="accent1" w:themeShade="BF"/>
      <w:szCs w:val="28"/>
      <w:lang w:eastAsia="ja-JP"/>
    </w:rPr>
  </w:style>
  <w:style w:type="paragraph" w:styleId="TOC1">
    <w:name w:val="toc 1"/>
    <w:basedOn w:val="Normal"/>
    <w:next w:val="Normal"/>
    <w:autoRedefine/>
    <w:uiPriority w:val="39"/>
    <w:unhideWhenUsed/>
    <w:qFormat/>
    <w:rsid w:val="002A5F41"/>
    <w:pPr>
      <w:tabs>
        <w:tab w:val="left" w:pos="480"/>
        <w:tab w:val="right" w:leader="dot" w:pos="9736"/>
      </w:tabs>
      <w:spacing w:before="120" w:after="120"/>
    </w:pPr>
    <w:rPr>
      <w:b/>
      <w:bCs/>
      <w:szCs w:val="20"/>
    </w:rPr>
  </w:style>
  <w:style w:type="paragraph" w:styleId="TOC2">
    <w:name w:val="toc 2"/>
    <w:basedOn w:val="Normal"/>
    <w:next w:val="Normal"/>
    <w:autoRedefine/>
    <w:uiPriority w:val="39"/>
    <w:unhideWhenUsed/>
    <w:qFormat/>
    <w:rsid w:val="002A5F41"/>
    <w:pPr>
      <w:ind w:left="240"/>
    </w:pPr>
    <w:rPr>
      <w:szCs w:val="20"/>
    </w:rPr>
  </w:style>
  <w:style w:type="paragraph" w:customStyle="1" w:styleId="Style1">
    <w:name w:val="Style1"/>
    <w:basedOn w:val="Normal"/>
    <w:link w:val="Style1Char"/>
    <w:qFormat/>
    <w:rsid w:val="00FC2ADE"/>
    <w:pPr>
      <w:spacing w:line="480" w:lineRule="auto"/>
    </w:pPr>
    <w:rPr>
      <w:rFonts w:cs="Arial"/>
      <w:b/>
      <w:sz w:val="28"/>
      <w:szCs w:val="22"/>
    </w:rPr>
  </w:style>
  <w:style w:type="character" w:customStyle="1" w:styleId="Style1Char">
    <w:name w:val="Style1 Char"/>
    <w:basedOn w:val="DefaultParagraphFont"/>
    <w:link w:val="Style1"/>
    <w:rsid w:val="00FC2ADE"/>
    <w:rPr>
      <w:rFonts w:ascii="Arial" w:eastAsia="Times New Roman" w:hAnsi="Arial" w:cs="Arial"/>
      <w:b/>
      <w:sz w:val="28"/>
    </w:rPr>
  </w:style>
  <w:style w:type="paragraph" w:customStyle="1" w:styleId="Default">
    <w:name w:val="Default"/>
    <w:rsid w:val="00FC2ADE"/>
    <w:pPr>
      <w:autoSpaceDE w:val="0"/>
      <w:autoSpaceDN w:val="0"/>
      <w:adjustRightInd w:val="0"/>
      <w:spacing w:after="0" w:line="240" w:lineRule="auto"/>
    </w:pPr>
    <w:rPr>
      <w:rFonts w:ascii="Arial" w:hAnsi="Arial" w:cs="Arial"/>
      <w:color w:val="000000"/>
      <w:sz w:val="24"/>
      <w:szCs w:val="24"/>
    </w:rPr>
  </w:style>
  <w:style w:type="table" w:styleId="TableClassic3">
    <w:name w:val="Table Classic 3"/>
    <w:basedOn w:val="TableNormal"/>
    <w:rsid w:val="00B86A84"/>
    <w:pPr>
      <w:spacing w:after="0" w:line="300" w:lineRule="auto"/>
    </w:pPr>
    <w:rPr>
      <w:rFonts w:ascii="Arial" w:eastAsia="Times New Roman" w:hAnsi="Arial" w:cs="Times New Roman"/>
      <w:color w:val="000080"/>
      <w:lang w:eastAsia="en-AU"/>
    </w:rPr>
    <w:tblPr>
      <w:tblBorders>
        <w:top w:val="single" w:sz="4" w:space="0" w:color="005677"/>
        <w:bottom w:val="single" w:sz="4" w:space="0" w:color="005677"/>
        <w:insideH w:val="single" w:sz="4" w:space="0" w:color="005677"/>
      </w:tblBorders>
    </w:tblPr>
    <w:tcPr>
      <w:shd w:val="clear" w:color="C0C0C0" w:fill="auto"/>
    </w:tcPr>
    <w:tblStylePr w:type="firstRow">
      <w:rPr>
        <w:rFonts w:ascii="Courier New" w:hAnsi="Courier New"/>
        <w:b/>
        <w:bCs/>
        <w:i w:val="0"/>
        <w:iCs/>
        <w:color w:val="FFFFFF"/>
        <w:sz w:val="22"/>
      </w:rPr>
      <w:tblPr/>
      <w:tcPr>
        <w:tcBorders>
          <w:top w:val="nil"/>
          <w:bottom w:val="nil"/>
        </w:tcBorders>
        <w:shd w:val="clear" w:color="C0C0C0" w:fill="3A87AE"/>
      </w:tcPr>
    </w:tblStylePr>
    <w:tblStylePr w:type="lastRow">
      <w:rPr>
        <w:rFonts w:ascii="Courier New" w:hAnsi="Courier New"/>
        <w:b/>
        <w:i w:val="0"/>
        <w:color w:val="auto"/>
        <w:sz w:val="24"/>
      </w:rPr>
      <w:tblPr/>
      <w:tcPr>
        <w:tcBorders>
          <w:top w:val="single" w:sz="12" w:space="0" w:color="000000"/>
        </w:tcBorders>
        <w:shd w:val="solid" w:color="FFFFFF" w:fill="FFFFFF"/>
      </w:tcPr>
    </w:tblStylePr>
    <w:tblStylePr w:type="firstCol">
      <w:rPr>
        <w:b/>
        <w:bCs/>
        <w:color w:val="000000"/>
      </w:rPr>
    </w:tblStylePr>
  </w:style>
  <w:style w:type="paragraph" w:styleId="ListBullet">
    <w:name w:val="List Bullet"/>
    <w:basedOn w:val="Normal"/>
    <w:uiPriority w:val="99"/>
    <w:unhideWhenUsed/>
    <w:rsid w:val="00B86A84"/>
    <w:pPr>
      <w:numPr>
        <w:numId w:val="2"/>
      </w:numPr>
      <w:spacing w:after="120" w:line="276" w:lineRule="auto"/>
      <w:ind w:left="284" w:hanging="284"/>
      <w:contextualSpacing/>
    </w:pPr>
    <w:rPr>
      <w:rFonts w:asciiTheme="minorHAnsi" w:eastAsiaTheme="minorHAnsi" w:hAnsiTheme="minorHAnsi" w:cstheme="minorBidi"/>
      <w:szCs w:val="22"/>
    </w:rPr>
  </w:style>
  <w:style w:type="character" w:customStyle="1" w:styleId="Figuretitle">
    <w:name w:val="Figure title"/>
    <w:basedOn w:val="DefaultParagraphFont"/>
    <w:uiPriority w:val="1"/>
    <w:qFormat/>
    <w:rsid w:val="00B86A84"/>
    <w:rPr>
      <w:b/>
      <w:color w:val="4F81BD" w:themeColor="accent1"/>
    </w:rPr>
  </w:style>
  <w:style w:type="paragraph" w:styleId="ListParagraph">
    <w:name w:val="List Paragraph"/>
    <w:basedOn w:val="Normal"/>
    <w:uiPriority w:val="34"/>
    <w:qFormat/>
    <w:rsid w:val="00B86A84"/>
    <w:pPr>
      <w:spacing w:after="120" w:line="276" w:lineRule="auto"/>
      <w:ind w:left="720"/>
      <w:contextualSpacing/>
    </w:pPr>
    <w:rPr>
      <w:rFonts w:asciiTheme="minorHAnsi" w:eastAsiaTheme="minorHAnsi" w:hAnsiTheme="minorHAnsi" w:cstheme="minorBidi"/>
      <w:szCs w:val="22"/>
    </w:rPr>
  </w:style>
  <w:style w:type="table" w:customStyle="1" w:styleId="TableGrid1">
    <w:name w:val="Table Grid1"/>
    <w:basedOn w:val="TableNormal"/>
    <w:next w:val="TableGrid"/>
    <w:uiPriority w:val="39"/>
    <w:rsid w:val="00A9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9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A5F41"/>
    <w:pPr>
      <w:ind w:left="480"/>
    </w:pPr>
    <w:rPr>
      <w:i/>
      <w:iCs/>
      <w:szCs w:val="20"/>
    </w:rPr>
  </w:style>
  <w:style w:type="paragraph" w:styleId="TOC4">
    <w:name w:val="toc 4"/>
    <w:basedOn w:val="Normal"/>
    <w:next w:val="Normal"/>
    <w:autoRedefine/>
    <w:uiPriority w:val="39"/>
    <w:unhideWhenUsed/>
    <w:rsid w:val="008C1329"/>
    <w:pPr>
      <w:ind w:left="720"/>
    </w:pPr>
    <w:rPr>
      <w:rFonts w:asciiTheme="minorHAnsi" w:hAnsiTheme="minorHAnsi"/>
      <w:sz w:val="18"/>
      <w:szCs w:val="18"/>
    </w:rPr>
  </w:style>
  <w:style w:type="paragraph" w:styleId="TOC5">
    <w:name w:val="toc 5"/>
    <w:basedOn w:val="Normal"/>
    <w:next w:val="Normal"/>
    <w:autoRedefine/>
    <w:uiPriority w:val="39"/>
    <w:unhideWhenUsed/>
    <w:rsid w:val="008C1329"/>
    <w:pPr>
      <w:ind w:left="960"/>
    </w:pPr>
    <w:rPr>
      <w:rFonts w:asciiTheme="minorHAnsi" w:hAnsiTheme="minorHAnsi"/>
      <w:sz w:val="18"/>
      <w:szCs w:val="18"/>
    </w:rPr>
  </w:style>
  <w:style w:type="paragraph" w:styleId="TOC6">
    <w:name w:val="toc 6"/>
    <w:basedOn w:val="Normal"/>
    <w:next w:val="Normal"/>
    <w:autoRedefine/>
    <w:uiPriority w:val="39"/>
    <w:unhideWhenUsed/>
    <w:rsid w:val="008C1329"/>
    <w:pPr>
      <w:ind w:left="1200"/>
    </w:pPr>
    <w:rPr>
      <w:rFonts w:asciiTheme="minorHAnsi" w:hAnsiTheme="minorHAnsi"/>
      <w:sz w:val="18"/>
      <w:szCs w:val="18"/>
    </w:rPr>
  </w:style>
  <w:style w:type="paragraph" w:styleId="TOC7">
    <w:name w:val="toc 7"/>
    <w:basedOn w:val="Normal"/>
    <w:next w:val="Normal"/>
    <w:autoRedefine/>
    <w:uiPriority w:val="39"/>
    <w:unhideWhenUsed/>
    <w:rsid w:val="008C1329"/>
    <w:pPr>
      <w:ind w:left="1440"/>
    </w:pPr>
    <w:rPr>
      <w:rFonts w:asciiTheme="minorHAnsi" w:hAnsiTheme="minorHAnsi"/>
      <w:sz w:val="18"/>
      <w:szCs w:val="18"/>
    </w:rPr>
  </w:style>
  <w:style w:type="paragraph" w:styleId="TOC8">
    <w:name w:val="toc 8"/>
    <w:basedOn w:val="Normal"/>
    <w:next w:val="Normal"/>
    <w:autoRedefine/>
    <w:uiPriority w:val="39"/>
    <w:unhideWhenUsed/>
    <w:rsid w:val="008C1329"/>
    <w:pPr>
      <w:ind w:left="1680"/>
    </w:pPr>
    <w:rPr>
      <w:rFonts w:asciiTheme="minorHAnsi" w:hAnsiTheme="minorHAnsi"/>
      <w:sz w:val="18"/>
      <w:szCs w:val="18"/>
    </w:rPr>
  </w:style>
  <w:style w:type="paragraph" w:styleId="TOC9">
    <w:name w:val="toc 9"/>
    <w:basedOn w:val="Normal"/>
    <w:next w:val="Normal"/>
    <w:autoRedefine/>
    <w:uiPriority w:val="39"/>
    <w:unhideWhenUsed/>
    <w:rsid w:val="008C1329"/>
    <w:pPr>
      <w:ind w:left="1920"/>
    </w:pPr>
    <w:rPr>
      <w:rFonts w:asciiTheme="minorHAnsi" w:hAnsiTheme="minorHAnsi"/>
      <w:sz w:val="18"/>
      <w:szCs w:val="18"/>
    </w:rPr>
  </w:style>
  <w:style w:type="character" w:styleId="IntenseEmphasis">
    <w:name w:val="Intense Emphasis"/>
    <w:basedOn w:val="DefaultParagraphFont"/>
    <w:uiPriority w:val="21"/>
    <w:qFormat/>
    <w:rsid w:val="00644544"/>
    <w:rPr>
      <w:i/>
      <w:iCs/>
      <w:color w:val="4F81BD" w:themeColor="accent1"/>
    </w:rPr>
  </w:style>
  <w:style w:type="paragraph" w:styleId="Revision">
    <w:name w:val="Revision"/>
    <w:hidden/>
    <w:uiPriority w:val="99"/>
    <w:semiHidden/>
    <w:rsid w:val="007521FD"/>
    <w:pPr>
      <w:spacing w:after="0" w:line="240" w:lineRule="auto"/>
    </w:pPr>
    <w:rPr>
      <w:rFonts w:ascii="Arial" w:eastAsia="Times New Roman" w:hAnsi="Arial" w:cs="Times New Roman"/>
      <w:sz w:val="20"/>
      <w:szCs w:val="24"/>
    </w:rPr>
  </w:style>
  <w:style w:type="character" w:styleId="FollowedHyperlink">
    <w:name w:val="FollowedHyperlink"/>
    <w:basedOn w:val="DefaultParagraphFont"/>
    <w:uiPriority w:val="99"/>
    <w:semiHidden/>
    <w:unhideWhenUsed/>
    <w:rsid w:val="00D24423"/>
    <w:rPr>
      <w:color w:val="800080" w:themeColor="followedHyperlink"/>
      <w:u w:val="single"/>
    </w:rPr>
  </w:style>
  <w:style w:type="character" w:styleId="PlaceholderText">
    <w:name w:val="Placeholder Text"/>
    <w:basedOn w:val="DefaultParagraphFont"/>
    <w:uiPriority w:val="99"/>
    <w:semiHidden/>
    <w:rsid w:val="00624D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7134">
      <w:bodyDiv w:val="1"/>
      <w:marLeft w:val="0"/>
      <w:marRight w:val="0"/>
      <w:marTop w:val="0"/>
      <w:marBottom w:val="0"/>
      <w:divBdr>
        <w:top w:val="none" w:sz="0" w:space="0" w:color="auto"/>
        <w:left w:val="none" w:sz="0" w:space="0" w:color="auto"/>
        <w:bottom w:val="none" w:sz="0" w:space="0" w:color="auto"/>
        <w:right w:val="none" w:sz="0" w:space="0" w:color="auto"/>
      </w:divBdr>
      <w:divsChild>
        <w:div w:id="1449007316">
          <w:marLeft w:val="0"/>
          <w:marRight w:val="0"/>
          <w:marTop w:val="0"/>
          <w:marBottom w:val="0"/>
          <w:divBdr>
            <w:top w:val="none" w:sz="0" w:space="0" w:color="auto"/>
            <w:left w:val="none" w:sz="0" w:space="0" w:color="auto"/>
            <w:bottom w:val="none" w:sz="0" w:space="0" w:color="auto"/>
            <w:right w:val="none" w:sz="0" w:space="0" w:color="auto"/>
          </w:divBdr>
          <w:divsChild>
            <w:div w:id="619344062">
              <w:marLeft w:val="0"/>
              <w:marRight w:val="0"/>
              <w:marTop w:val="0"/>
              <w:marBottom w:val="0"/>
              <w:divBdr>
                <w:top w:val="none" w:sz="0" w:space="0" w:color="auto"/>
                <w:left w:val="none" w:sz="0" w:space="0" w:color="auto"/>
                <w:bottom w:val="none" w:sz="0" w:space="0" w:color="auto"/>
                <w:right w:val="none" w:sz="0" w:space="0" w:color="auto"/>
              </w:divBdr>
              <w:divsChild>
                <w:div w:id="1465387203">
                  <w:marLeft w:val="0"/>
                  <w:marRight w:val="0"/>
                  <w:marTop w:val="0"/>
                  <w:marBottom w:val="0"/>
                  <w:divBdr>
                    <w:top w:val="none" w:sz="0" w:space="0" w:color="auto"/>
                    <w:left w:val="none" w:sz="0" w:space="0" w:color="auto"/>
                    <w:bottom w:val="none" w:sz="0" w:space="0" w:color="auto"/>
                    <w:right w:val="none" w:sz="0" w:space="0" w:color="auto"/>
                  </w:divBdr>
                  <w:divsChild>
                    <w:div w:id="1941912639">
                      <w:marLeft w:val="0"/>
                      <w:marRight w:val="0"/>
                      <w:marTop w:val="0"/>
                      <w:marBottom w:val="0"/>
                      <w:divBdr>
                        <w:top w:val="none" w:sz="0" w:space="0" w:color="auto"/>
                        <w:left w:val="none" w:sz="0" w:space="0" w:color="auto"/>
                        <w:bottom w:val="none" w:sz="0" w:space="0" w:color="auto"/>
                        <w:right w:val="none" w:sz="0" w:space="0" w:color="auto"/>
                      </w:divBdr>
                      <w:divsChild>
                        <w:div w:id="1797261159">
                          <w:marLeft w:val="0"/>
                          <w:marRight w:val="0"/>
                          <w:marTop w:val="0"/>
                          <w:marBottom w:val="0"/>
                          <w:divBdr>
                            <w:top w:val="none" w:sz="0" w:space="0" w:color="auto"/>
                            <w:left w:val="none" w:sz="0" w:space="0" w:color="auto"/>
                            <w:bottom w:val="none" w:sz="0" w:space="0" w:color="auto"/>
                            <w:right w:val="none" w:sz="0" w:space="0" w:color="auto"/>
                          </w:divBdr>
                          <w:divsChild>
                            <w:div w:id="1044402708">
                              <w:marLeft w:val="0"/>
                              <w:marRight w:val="0"/>
                              <w:marTop w:val="0"/>
                              <w:marBottom w:val="0"/>
                              <w:divBdr>
                                <w:top w:val="none" w:sz="0" w:space="0" w:color="auto"/>
                                <w:left w:val="none" w:sz="0" w:space="0" w:color="auto"/>
                                <w:bottom w:val="none" w:sz="0" w:space="0" w:color="auto"/>
                                <w:right w:val="none" w:sz="0" w:space="0" w:color="auto"/>
                              </w:divBdr>
                              <w:divsChild>
                                <w:div w:id="75708525">
                                  <w:marLeft w:val="0"/>
                                  <w:marRight w:val="0"/>
                                  <w:marTop w:val="0"/>
                                  <w:marBottom w:val="0"/>
                                  <w:divBdr>
                                    <w:top w:val="none" w:sz="0" w:space="0" w:color="auto"/>
                                    <w:left w:val="none" w:sz="0" w:space="0" w:color="auto"/>
                                    <w:bottom w:val="none" w:sz="0" w:space="0" w:color="auto"/>
                                    <w:right w:val="none" w:sz="0" w:space="0" w:color="auto"/>
                                  </w:divBdr>
                                  <w:divsChild>
                                    <w:div w:id="507060603">
                                      <w:marLeft w:val="0"/>
                                      <w:marRight w:val="0"/>
                                      <w:marTop w:val="0"/>
                                      <w:marBottom w:val="0"/>
                                      <w:divBdr>
                                        <w:top w:val="none" w:sz="0" w:space="0" w:color="auto"/>
                                        <w:left w:val="none" w:sz="0" w:space="0" w:color="auto"/>
                                        <w:bottom w:val="none" w:sz="0" w:space="0" w:color="auto"/>
                                        <w:right w:val="none" w:sz="0" w:space="0" w:color="auto"/>
                                      </w:divBdr>
                                      <w:divsChild>
                                        <w:div w:id="4981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89870">
      <w:bodyDiv w:val="1"/>
      <w:marLeft w:val="0"/>
      <w:marRight w:val="0"/>
      <w:marTop w:val="0"/>
      <w:marBottom w:val="0"/>
      <w:divBdr>
        <w:top w:val="none" w:sz="0" w:space="0" w:color="auto"/>
        <w:left w:val="none" w:sz="0" w:space="0" w:color="auto"/>
        <w:bottom w:val="none" w:sz="0" w:space="0" w:color="auto"/>
        <w:right w:val="none" w:sz="0" w:space="0" w:color="auto"/>
      </w:divBdr>
    </w:div>
    <w:div w:id="79838253">
      <w:bodyDiv w:val="1"/>
      <w:marLeft w:val="0"/>
      <w:marRight w:val="0"/>
      <w:marTop w:val="0"/>
      <w:marBottom w:val="0"/>
      <w:divBdr>
        <w:top w:val="none" w:sz="0" w:space="0" w:color="auto"/>
        <w:left w:val="none" w:sz="0" w:space="0" w:color="auto"/>
        <w:bottom w:val="none" w:sz="0" w:space="0" w:color="auto"/>
        <w:right w:val="none" w:sz="0" w:space="0" w:color="auto"/>
      </w:divBdr>
    </w:div>
    <w:div w:id="111487544">
      <w:bodyDiv w:val="1"/>
      <w:marLeft w:val="0"/>
      <w:marRight w:val="0"/>
      <w:marTop w:val="0"/>
      <w:marBottom w:val="0"/>
      <w:divBdr>
        <w:top w:val="none" w:sz="0" w:space="0" w:color="auto"/>
        <w:left w:val="none" w:sz="0" w:space="0" w:color="auto"/>
        <w:bottom w:val="none" w:sz="0" w:space="0" w:color="auto"/>
        <w:right w:val="none" w:sz="0" w:space="0" w:color="auto"/>
      </w:divBdr>
      <w:divsChild>
        <w:div w:id="721710074">
          <w:marLeft w:val="547"/>
          <w:marRight w:val="0"/>
          <w:marTop w:val="0"/>
          <w:marBottom w:val="0"/>
          <w:divBdr>
            <w:top w:val="none" w:sz="0" w:space="0" w:color="auto"/>
            <w:left w:val="none" w:sz="0" w:space="0" w:color="auto"/>
            <w:bottom w:val="none" w:sz="0" w:space="0" w:color="auto"/>
            <w:right w:val="none" w:sz="0" w:space="0" w:color="auto"/>
          </w:divBdr>
        </w:div>
      </w:divsChild>
    </w:div>
    <w:div w:id="293297919">
      <w:bodyDiv w:val="1"/>
      <w:marLeft w:val="0"/>
      <w:marRight w:val="0"/>
      <w:marTop w:val="0"/>
      <w:marBottom w:val="0"/>
      <w:divBdr>
        <w:top w:val="none" w:sz="0" w:space="0" w:color="auto"/>
        <w:left w:val="none" w:sz="0" w:space="0" w:color="auto"/>
        <w:bottom w:val="none" w:sz="0" w:space="0" w:color="auto"/>
        <w:right w:val="none" w:sz="0" w:space="0" w:color="auto"/>
      </w:divBdr>
    </w:div>
    <w:div w:id="548684674">
      <w:bodyDiv w:val="1"/>
      <w:marLeft w:val="0"/>
      <w:marRight w:val="0"/>
      <w:marTop w:val="0"/>
      <w:marBottom w:val="0"/>
      <w:divBdr>
        <w:top w:val="none" w:sz="0" w:space="0" w:color="auto"/>
        <w:left w:val="none" w:sz="0" w:space="0" w:color="auto"/>
        <w:bottom w:val="none" w:sz="0" w:space="0" w:color="auto"/>
        <w:right w:val="none" w:sz="0" w:space="0" w:color="auto"/>
      </w:divBdr>
      <w:divsChild>
        <w:div w:id="1055397830">
          <w:marLeft w:val="0"/>
          <w:marRight w:val="0"/>
          <w:marTop w:val="0"/>
          <w:marBottom w:val="0"/>
          <w:divBdr>
            <w:top w:val="none" w:sz="0" w:space="0" w:color="auto"/>
            <w:left w:val="none" w:sz="0" w:space="0" w:color="auto"/>
            <w:bottom w:val="none" w:sz="0" w:space="0" w:color="auto"/>
            <w:right w:val="none" w:sz="0" w:space="0" w:color="auto"/>
          </w:divBdr>
          <w:divsChild>
            <w:div w:id="163589632">
              <w:marLeft w:val="0"/>
              <w:marRight w:val="0"/>
              <w:marTop w:val="0"/>
              <w:marBottom w:val="0"/>
              <w:divBdr>
                <w:top w:val="none" w:sz="0" w:space="0" w:color="auto"/>
                <w:left w:val="none" w:sz="0" w:space="0" w:color="auto"/>
                <w:bottom w:val="none" w:sz="0" w:space="0" w:color="auto"/>
                <w:right w:val="none" w:sz="0" w:space="0" w:color="auto"/>
              </w:divBdr>
              <w:divsChild>
                <w:div w:id="998726766">
                  <w:marLeft w:val="0"/>
                  <w:marRight w:val="0"/>
                  <w:marTop w:val="0"/>
                  <w:marBottom w:val="0"/>
                  <w:divBdr>
                    <w:top w:val="none" w:sz="0" w:space="0" w:color="auto"/>
                    <w:left w:val="none" w:sz="0" w:space="0" w:color="auto"/>
                    <w:bottom w:val="none" w:sz="0" w:space="0" w:color="auto"/>
                    <w:right w:val="none" w:sz="0" w:space="0" w:color="auto"/>
                  </w:divBdr>
                  <w:divsChild>
                    <w:div w:id="1159687684">
                      <w:marLeft w:val="0"/>
                      <w:marRight w:val="0"/>
                      <w:marTop w:val="0"/>
                      <w:marBottom w:val="0"/>
                      <w:divBdr>
                        <w:top w:val="none" w:sz="0" w:space="0" w:color="auto"/>
                        <w:left w:val="none" w:sz="0" w:space="0" w:color="auto"/>
                        <w:bottom w:val="none" w:sz="0" w:space="0" w:color="auto"/>
                        <w:right w:val="none" w:sz="0" w:space="0" w:color="auto"/>
                      </w:divBdr>
                      <w:divsChild>
                        <w:div w:id="51586192">
                          <w:marLeft w:val="0"/>
                          <w:marRight w:val="0"/>
                          <w:marTop w:val="0"/>
                          <w:marBottom w:val="0"/>
                          <w:divBdr>
                            <w:top w:val="none" w:sz="0" w:space="0" w:color="auto"/>
                            <w:left w:val="none" w:sz="0" w:space="0" w:color="auto"/>
                            <w:bottom w:val="none" w:sz="0" w:space="0" w:color="auto"/>
                            <w:right w:val="none" w:sz="0" w:space="0" w:color="auto"/>
                          </w:divBdr>
                          <w:divsChild>
                            <w:div w:id="1438253653">
                              <w:marLeft w:val="0"/>
                              <w:marRight w:val="0"/>
                              <w:marTop w:val="0"/>
                              <w:marBottom w:val="0"/>
                              <w:divBdr>
                                <w:top w:val="none" w:sz="0" w:space="0" w:color="auto"/>
                                <w:left w:val="none" w:sz="0" w:space="0" w:color="auto"/>
                                <w:bottom w:val="none" w:sz="0" w:space="0" w:color="auto"/>
                                <w:right w:val="none" w:sz="0" w:space="0" w:color="auto"/>
                              </w:divBdr>
                              <w:divsChild>
                                <w:div w:id="927497140">
                                  <w:marLeft w:val="0"/>
                                  <w:marRight w:val="0"/>
                                  <w:marTop w:val="0"/>
                                  <w:marBottom w:val="0"/>
                                  <w:divBdr>
                                    <w:top w:val="none" w:sz="0" w:space="0" w:color="auto"/>
                                    <w:left w:val="none" w:sz="0" w:space="0" w:color="auto"/>
                                    <w:bottom w:val="none" w:sz="0" w:space="0" w:color="auto"/>
                                    <w:right w:val="none" w:sz="0" w:space="0" w:color="auto"/>
                                  </w:divBdr>
                                  <w:divsChild>
                                    <w:div w:id="1333870778">
                                      <w:marLeft w:val="0"/>
                                      <w:marRight w:val="0"/>
                                      <w:marTop w:val="0"/>
                                      <w:marBottom w:val="0"/>
                                      <w:divBdr>
                                        <w:top w:val="none" w:sz="0" w:space="0" w:color="auto"/>
                                        <w:left w:val="none" w:sz="0" w:space="0" w:color="auto"/>
                                        <w:bottom w:val="none" w:sz="0" w:space="0" w:color="auto"/>
                                        <w:right w:val="none" w:sz="0" w:space="0" w:color="auto"/>
                                      </w:divBdr>
                                      <w:divsChild>
                                        <w:div w:id="4691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827089">
      <w:bodyDiv w:val="1"/>
      <w:marLeft w:val="0"/>
      <w:marRight w:val="0"/>
      <w:marTop w:val="0"/>
      <w:marBottom w:val="0"/>
      <w:divBdr>
        <w:top w:val="none" w:sz="0" w:space="0" w:color="auto"/>
        <w:left w:val="none" w:sz="0" w:space="0" w:color="auto"/>
        <w:bottom w:val="none" w:sz="0" w:space="0" w:color="auto"/>
        <w:right w:val="none" w:sz="0" w:space="0" w:color="auto"/>
      </w:divBdr>
    </w:div>
    <w:div w:id="795105128">
      <w:bodyDiv w:val="1"/>
      <w:marLeft w:val="0"/>
      <w:marRight w:val="0"/>
      <w:marTop w:val="0"/>
      <w:marBottom w:val="0"/>
      <w:divBdr>
        <w:top w:val="none" w:sz="0" w:space="0" w:color="auto"/>
        <w:left w:val="none" w:sz="0" w:space="0" w:color="auto"/>
        <w:bottom w:val="none" w:sz="0" w:space="0" w:color="auto"/>
        <w:right w:val="none" w:sz="0" w:space="0" w:color="auto"/>
      </w:divBdr>
    </w:div>
    <w:div w:id="796487454">
      <w:bodyDiv w:val="1"/>
      <w:marLeft w:val="0"/>
      <w:marRight w:val="0"/>
      <w:marTop w:val="0"/>
      <w:marBottom w:val="0"/>
      <w:divBdr>
        <w:top w:val="none" w:sz="0" w:space="0" w:color="auto"/>
        <w:left w:val="none" w:sz="0" w:space="0" w:color="auto"/>
        <w:bottom w:val="none" w:sz="0" w:space="0" w:color="auto"/>
        <w:right w:val="none" w:sz="0" w:space="0" w:color="auto"/>
      </w:divBdr>
    </w:div>
    <w:div w:id="821966363">
      <w:bodyDiv w:val="1"/>
      <w:marLeft w:val="0"/>
      <w:marRight w:val="0"/>
      <w:marTop w:val="100"/>
      <w:marBottom w:val="100"/>
      <w:divBdr>
        <w:top w:val="none" w:sz="0" w:space="0" w:color="auto"/>
        <w:left w:val="none" w:sz="0" w:space="0" w:color="auto"/>
        <w:bottom w:val="none" w:sz="0" w:space="0" w:color="auto"/>
        <w:right w:val="none" w:sz="0" w:space="0" w:color="auto"/>
      </w:divBdr>
      <w:divsChild>
        <w:div w:id="1209605116">
          <w:marLeft w:val="0"/>
          <w:marRight w:val="0"/>
          <w:marTop w:val="0"/>
          <w:marBottom w:val="0"/>
          <w:divBdr>
            <w:top w:val="none" w:sz="0" w:space="0" w:color="auto"/>
            <w:left w:val="none" w:sz="0" w:space="0" w:color="auto"/>
            <w:bottom w:val="none" w:sz="0" w:space="0" w:color="auto"/>
            <w:right w:val="none" w:sz="0" w:space="0" w:color="auto"/>
          </w:divBdr>
          <w:divsChild>
            <w:div w:id="634674301">
              <w:marLeft w:val="0"/>
              <w:marRight w:val="0"/>
              <w:marTop w:val="0"/>
              <w:marBottom w:val="0"/>
              <w:divBdr>
                <w:top w:val="none" w:sz="0" w:space="0" w:color="auto"/>
                <w:left w:val="none" w:sz="0" w:space="0" w:color="auto"/>
                <w:bottom w:val="none" w:sz="0" w:space="0" w:color="auto"/>
                <w:right w:val="none" w:sz="0" w:space="0" w:color="auto"/>
              </w:divBdr>
              <w:divsChild>
                <w:div w:id="521552821">
                  <w:marLeft w:val="0"/>
                  <w:marRight w:val="0"/>
                  <w:marTop w:val="0"/>
                  <w:marBottom w:val="0"/>
                  <w:divBdr>
                    <w:top w:val="none" w:sz="0" w:space="0" w:color="auto"/>
                    <w:left w:val="none" w:sz="0" w:space="0" w:color="auto"/>
                    <w:bottom w:val="none" w:sz="0" w:space="0" w:color="auto"/>
                    <w:right w:val="none" w:sz="0" w:space="0" w:color="auto"/>
                  </w:divBdr>
                  <w:divsChild>
                    <w:div w:id="10842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19676">
      <w:bodyDiv w:val="1"/>
      <w:marLeft w:val="0"/>
      <w:marRight w:val="0"/>
      <w:marTop w:val="0"/>
      <w:marBottom w:val="0"/>
      <w:divBdr>
        <w:top w:val="none" w:sz="0" w:space="0" w:color="auto"/>
        <w:left w:val="none" w:sz="0" w:space="0" w:color="auto"/>
        <w:bottom w:val="none" w:sz="0" w:space="0" w:color="auto"/>
        <w:right w:val="none" w:sz="0" w:space="0" w:color="auto"/>
      </w:divBdr>
      <w:divsChild>
        <w:div w:id="1940989939">
          <w:marLeft w:val="0"/>
          <w:marRight w:val="0"/>
          <w:marTop w:val="0"/>
          <w:marBottom w:val="0"/>
          <w:divBdr>
            <w:top w:val="none" w:sz="0" w:space="0" w:color="auto"/>
            <w:left w:val="none" w:sz="0" w:space="0" w:color="auto"/>
            <w:bottom w:val="none" w:sz="0" w:space="0" w:color="auto"/>
            <w:right w:val="none" w:sz="0" w:space="0" w:color="auto"/>
          </w:divBdr>
          <w:divsChild>
            <w:div w:id="491458160">
              <w:marLeft w:val="0"/>
              <w:marRight w:val="0"/>
              <w:marTop w:val="0"/>
              <w:marBottom w:val="0"/>
              <w:divBdr>
                <w:top w:val="none" w:sz="0" w:space="0" w:color="auto"/>
                <w:left w:val="none" w:sz="0" w:space="0" w:color="auto"/>
                <w:bottom w:val="none" w:sz="0" w:space="0" w:color="auto"/>
                <w:right w:val="none" w:sz="0" w:space="0" w:color="auto"/>
              </w:divBdr>
              <w:divsChild>
                <w:div w:id="191187393">
                  <w:marLeft w:val="0"/>
                  <w:marRight w:val="0"/>
                  <w:marTop w:val="0"/>
                  <w:marBottom w:val="0"/>
                  <w:divBdr>
                    <w:top w:val="none" w:sz="0" w:space="0" w:color="auto"/>
                    <w:left w:val="none" w:sz="0" w:space="0" w:color="auto"/>
                    <w:bottom w:val="none" w:sz="0" w:space="0" w:color="auto"/>
                    <w:right w:val="none" w:sz="0" w:space="0" w:color="auto"/>
                  </w:divBdr>
                  <w:divsChild>
                    <w:div w:id="1316571815">
                      <w:marLeft w:val="0"/>
                      <w:marRight w:val="0"/>
                      <w:marTop w:val="0"/>
                      <w:marBottom w:val="0"/>
                      <w:divBdr>
                        <w:top w:val="none" w:sz="0" w:space="0" w:color="auto"/>
                        <w:left w:val="none" w:sz="0" w:space="0" w:color="auto"/>
                        <w:bottom w:val="none" w:sz="0" w:space="0" w:color="auto"/>
                        <w:right w:val="none" w:sz="0" w:space="0" w:color="auto"/>
                      </w:divBdr>
                      <w:divsChild>
                        <w:div w:id="1851600411">
                          <w:marLeft w:val="0"/>
                          <w:marRight w:val="0"/>
                          <w:marTop w:val="0"/>
                          <w:marBottom w:val="0"/>
                          <w:divBdr>
                            <w:top w:val="none" w:sz="0" w:space="0" w:color="auto"/>
                            <w:left w:val="none" w:sz="0" w:space="0" w:color="auto"/>
                            <w:bottom w:val="none" w:sz="0" w:space="0" w:color="auto"/>
                            <w:right w:val="none" w:sz="0" w:space="0" w:color="auto"/>
                          </w:divBdr>
                          <w:divsChild>
                            <w:div w:id="286934798">
                              <w:marLeft w:val="0"/>
                              <w:marRight w:val="0"/>
                              <w:marTop w:val="0"/>
                              <w:marBottom w:val="0"/>
                              <w:divBdr>
                                <w:top w:val="none" w:sz="0" w:space="0" w:color="auto"/>
                                <w:left w:val="none" w:sz="0" w:space="0" w:color="auto"/>
                                <w:bottom w:val="none" w:sz="0" w:space="0" w:color="auto"/>
                                <w:right w:val="none" w:sz="0" w:space="0" w:color="auto"/>
                              </w:divBdr>
                              <w:divsChild>
                                <w:div w:id="1090808042">
                                  <w:marLeft w:val="0"/>
                                  <w:marRight w:val="0"/>
                                  <w:marTop w:val="0"/>
                                  <w:marBottom w:val="0"/>
                                  <w:divBdr>
                                    <w:top w:val="none" w:sz="0" w:space="0" w:color="auto"/>
                                    <w:left w:val="none" w:sz="0" w:space="0" w:color="auto"/>
                                    <w:bottom w:val="none" w:sz="0" w:space="0" w:color="auto"/>
                                    <w:right w:val="none" w:sz="0" w:space="0" w:color="auto"/>
                                  </w:divBdr>
                                  <w:divsChild>
                                    <w:div w:id="1648512394">
                                      <w:marLeft w:val="0"/>
                                      <w:marRight w:val="0"/>
                                      <w:marTop w:val="0"/>
                                      <w:marBottom w:val="0"/>
                                      <w:divBdr>
                                        <w:top w:val="none" w:sz="0" w:space="0" w:color="auto"/>
                                        <w:left w:val="none" w:sz="0" w:space="0" w:color="auto"/>
                                        <w:bottom w:val="none" w:sz="0" w:space="0" w:color="auto"/>
                                        <w:right w:val="none" w:sz="0" w:space="0" w:color="auto"/>
                                      </w:divBdr>
                                      <w:divsChild>
                                        <w:div w:id="7614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063152">
      <w:bodyDiv w:val="1"/>
      <w:marLeft w:val="0"/>
      <w:marRight w:val="0"/>
      <w:marTop w:val="0"/>
      <w:marBottom w:val="0"/>
      <w:divBdr>
        <w:top w:val="none" w:sz="0" w:space="0" w:color="auto"/>
        <w:left w:val="none" w:sz="0" w:space="0" w:color="auto"/>
        <w:bottom w:val="none" w:sz="0" w:space="0" w:color="auto"/>
        <w:right w:val="none" w:sz="0" w:space="0" w:color="auto"/>
      </w:divBdr>
    </w:div>
    <w:div w:id="1004475288">
      <w:bodyDiv w:val="1"/>
      <w:marLeft w:val="0"/>
      <w:marRight w:val="0"/>
      <w:marTop w:val="0"/>
      <w:marBottom w:val="0"/>
      <w:divBdr>
        <w:top w:val="none" w:sz="0" w:space="0" w:color="auto"/>
        <w:left w:val="none" w:sz="0" w:space="0" w:color="auto"/>
        <w:bottom w:val="none" w:sz="0" w:space="0" w:color="auto"/>
        <w:right w:val="none" w:sz="0" w:space="0" w:color="auto"/>
      </w:divBdr>
    </w:div>
    <w:div w:id="1011614118">
      <w:bodyDiv w:val="1"/>
      <w:marLeft w:val="0"/>
      <w:marRight w:val="0"/>
      <w:marTop w:val="0"/>
      <w:marBottom w:val="0"/>
      <w:divBdr>
        <w:top w:val="none" w:sz="0" w:space="0" w:color="auto"/>
        <w:left w:val="none" w:sz="0" w:space="0" w:color="auto"/>
        <w:bottom w:val="none" w:sz="0" w:space="0" w:color="auto"/>
        <w:right w:val="none" w:sz="0" w:space="0" w:color="auto"/>
      </w:divBdr>
      <w:divsChild>
        <w:div w:id="1836335570">
          <w:marLeft w:val="0"/>
          <w:marRight w:val="0"/>
          <w:marTop w:val="0"/>
          <w:marBottom w:val="0"/>
          <w:divBdr>
            <w:top w:val="none" w:sz="0" w:space="0" w:color="auto"/>
            <w:left w:val="none" w:sz="0" w:space="0" w:color="auto"/>
            <w:bottom w:val="none" w:sz="0" w:space="0" w:color="auto"/>
            <w:right w:val="none" w:sz="0" w:space="0" w:color="auto"/>
          </w:divBdr>
          <w:divsChild>
            <w:div w:id="1390375693">
              <w:marLeft w:val="0"/>
              <w:marRight w:val="0"/>
              <w:marTop w:val="0"/>
              <w:marBottom w:val="0"/>
              <w:divBdr>
                <w:top w:val="none" w:sz="0" w:space="0" w:color="auto"/>
                <w:left w:val="none" w:sz="0" w:space="0" w:color="auto"/>
                <w:bottom w:val="none" w:sz="0" w:space="0" w:color="auto"/>
                <w:right w:val="none" w:sz="0" w:space="0" w:color="auto"/>
              </w:divBdr>
              <w:divsChild>
                <w:div w:id="730881296">
                  <w:marLeft w:val="0"/>
                  <w:marRight w:val="0"/>
                  <w:marTop w:val="0"/>
                  <w:marBottom w:val="0"/>
                  <w:divBdr>
                    <w:top w:val="none" w:sz="0" w:space="0" w:color="auto"/>
                    <w:left w:val="none" w:sz="0" w:space="0" w:color="auto"/>
                    <w:bottom w:val="none" w:sz="0" w:space="0" w:color="auto"/>
                    <w:right w:val="none" w:sz="0" w:space="0" w:color="auto"/>
                  </w:divBdr>
                  <w:divsChild>
                    <w:div w:id="2115199110">
                      <w:marLeft w:val="0"/>
                      <w:marRight w:val="0"/>
                      <w:marTop w:val="0"/>
                      <w:marBottom w:val="0"/>
                      <w:divBdr>
                        <w:top w:val="none" w:sz="0" w:space="0" w:color="auto"/>
                        <w:left w:val="none" w:sz="0" w:space="0" w:color="auto"/>
                        <w:bottom w:val="none" w:sz="0" w:space="0" w:color="auto"/>
                        <w:right w:val="none" w:sz="0" w:space="0" w:color="auto"/>
                      </w:divBdr>
                      <w:divsChild>
                        <w:div w:id="1992979674">
                          <w:marLeft w:val="0"/>
                          <w:marRight w:val="0"/>
                          <w:marTop w:val="0"/>
                          <w:marBottom w:val="0"/>
                          <w:divBdr>
                            <w:top w:val="none" w:sz="0" w:space="0" w:color="auto"/>
                            <w:left w:val="none" w:sz="0" w:space="0" w:color="auto"/>
                            <w:bottom w:val="none" w:sz="0" w:space="0" w:color="auto"/>
                            <w:right w:val="none" w:sz="0" w:space="0" w:color="auto"/>
                          </w:divBdr>
                          <w:divsChild>
                            <w:div w:id="408697423">
                              <w:marLeft w:val="0"/>
                              <w:marRight w:val="0"/>
                              <w:marTop w:val="0"/>
                              <w:marBottom w:val="0"/>
                              <w:divBdr>
                                <w:top w:val="none" w:sz="0" w:space="0" w:color="auto"/>
                                <w:left w:val="none" w:sz="0" w:space="0" w:color="auto"/>
                                <w:bottom w:val="none" w:sz="0" w:space="0" w:color="auto"/>
                                <w:right w:val="none" w:sz="0" w:space="0" w:color="auto"/>
                              </w:divBdr>
                              <w:divsChild>
                                <w:div w:id="1311789709">
                                  <w:marLeft w:val="0"/>
                                  <w:marRight w:val="0"/>
                                  <w:marTop w:val="0"/>
                                  <w:marBottom w:val="0"/>
                                  <w:divBdr>
                                    <w:top w:val="none" w:sz="0" w:space="0" w:color="auto"/>
                                    <w:left w:val="none" w:sz="0" w:space="0" w:color="auto"/>
                                    <w:bottom w:val="none" w:sz="0" w:space="0" w:color="auto"/>
                                    <w:right w:val="none" w:sz="0" w:space="0" w:color="auto"/>
                                  </w:divBdr>
                                  <w:divsChild>
                                    <w:div w:id="1852259681">
                                      <w:marLeft w:val="0"/>
                                      <w:marRight w:val="0"/>
                                      <w:marTop w:val="0"/>
                                      <w:marBottom w:val="0"/>
                                      <w:divBdr>
                                        <w:top w:val="none" w:sz="0" w:space="0" w:color="auto"/>
                                        <w:left w:val="none" w:sz="0" w:space="0" w:color="auto"/>
                                        <w:bottom w:val="none" w:sz="0" w:space="0" w:color="auto"/>
                                        <w:right w:val="none" w:sz="0" w:space="0" w:color="auto"/>
                                      </w:divBdr>
                                      <w:divsChild>
                                        <w:div w:id="1873152450">
                                          <w:marLeft w:val="0"/>
                                          <w:marRight w:val="0"/>
                                          <w:marTop w:val="0"/>
                                          <w:marBottom w:val="0"/>
                                          <w:divBdr>
                                            <w:top w:val="none" w:sz="0" w:space="0" w:color="auto"/>
                                            <w:left w:val="none" w:sz="0" w:space="0" w:color="auto"/>
                                            <w:bottom w:val="none" w:sz="0" w:space="0" w:color="auto"/>
                                            <w:right w:val="none" w:sz="0" w:space="0" w:color="auto"/>
                                          </w:divBdr>
                                          <w:divsChild>
                                            <w:div w:id="290091025">
                                              <w:marLeft w:val="0"/>
                                              <w:marRight w:val="0"/>
                                              <w:marTop w:val="0"/>
                                              <w:marBottom w:val="0"/>
                                              <w:divBdr>
                                                <w:top w:val="none" w:sz="0" w:space="0" w:color="auto"/>
                                                <w:left w:val="none" w:sz="0" w:space="0" w:color="auto"/>
                                                <w:bottom w:val="none" w:sz="0" w:space="0" w:color="auto"/>
                                                <w:right w:val="none" w:sz="0" w:space="0" w:color="auto"/>
                                              </w:divBdr>
                                              <w:divsChild>
                                                <w:div w:id="699937806">
                                                  <w:marLeft w:val="0"/>
                                                  <w:marRight w:val="0"/>
                                                  <w:marTop w:val="0"/>
                                                  <w:marBottom w:val="0"/>
                                                  <w:divBdr>
                                                    <w:top w:val="none" w:sz="0" w:space="0" w:color="auto"/>
                                                    <w:left w:val="none" w:sz="0" w:space="0" w:color="auto"/>
                                                    <w:bottom w:val="none" w:sz="0" w:space="0" w:color="auto"/>
                                                    <w:right w:val="none" w:sz="0" w:space="0" w:color="auto"/>
                                                  </w:divBdr>
                                                  <w:divsChild>
                                                    <w:div w:id="1286111005">
                                                      <w:marLeft w:val="0"/>
                                                      <w:marRight w:val="0"/>
                                                      <w:marTop w:val="0"/>
                                                      <w:marBottom w:val="0"/>
                                                      <w:divBdr>
                                                        <w:top w:val="none" w:sz="0" w:space="0" w:color="auto"/>
                                                        <w:left w:val="none" w:sz="0" w:space="0" w:color="auto"/>
                                                        <w:bottom w:val="none" w:sz="0" w:space="0" w:color="auto"/>
                                                        <w:right w:val="none" w:sz="0" w:space="0" w:color="auto"/>
                                                      </w:divBdr>
                                                      <w:divsChild>
                                                        <w:div w:id="1889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157362">
      <w:bodyDiv w:val="1"/>
      <w:marLeft w:val="0"/>
      <w:marRight w:val="0"/>
      <w:marTop w:val="0"/>
      <w:marBottom w:val="0"/>
      <w:divBdr>
        <w:top w:val="none" w:sz="0" w:space="0" w:color="auto"/>
        <w:left w:val="none" w:sz="0" w:space="0" w:color="auto"/>
        <w:bottom w:val="none" w:sz="0" w:space="0" w:color="auto"/>
        <w:right w:val="none" w:sz="0" w:space="0" w:color="auto"/>
      </w:divBdr>
    </w:div>
    <w:div w:id="1126312777">
      <w:bodyDiv w:val="1"/>
      <w:marLeft w:val="0"/>
      <w:marRight w:val="0"/>
      <w:marTop w:val="0"/>
      <w:marBottom w:val="0"/>
      <w:divBdr>
        <w:top w:val="none" w:sz="0" w:space="0" w:color="auto"/>
        <w:left w:val="none" w:sz="0" w:space="0" w:color="auto"/>
        <w:bottom w:val="none" w:sz="0" w:space="0" w:color="auto"/>
        <w:right w:val="none" w:sz="0" w:space="0" w:color="auto"/>
      </w:divBdr>
    </w:div>
    <w:div w:id="1156453661">
      <w:bodyDiv w:val="1"/>
      <w:marLeft w:val="0"/>
      <w:marRight w:val="0"/>
      <w:marTop w:val="0"/>
      <w:marBottom w:val="0"/>
      <w:divBdr>
        <w:top w:val="none" w:sz="0" w:space="0" w:color="auto"/>
        <w:left w:val="none" w:sz="0" w:space="0" w:color="auto"/>
        <w:bottom w:val="none" w:sz="0" w:space="0" w:color="auto"/>
        <w:right w:val="none" w:sz="0" w:space="0" w:color="auto"/>
      </w:divBdr>
    </w:div>
    <w:div w:id="1170172908">
      <w:bodyDiv w:val="1"/>
      <w:marLeft w:val="0"/>
      <w:marRight w:val="0"/>
      <w:marTop w:val="0"/>
      <w:marBottom w:val="0"/>
      <w:divBdr>
        <w:top w:val="none" w:sz="0" w:space="0" w:color="auto"/>
        <w:left w:val="none" w:sz="0" w:space="0" w:color="auto"/>
        <w:bottom w:val="none" w:sz="0" w:space="0" w:color="auto"/>
        <w:right w:val="none" w:sz="0" w:space="0" w:color="auto"/>
      </w:divBdr>
    </w:div>
    <w:div w:id="1213343129">
      <w:bodyDiv w:val="1"/>
      <w:marLeft w:val="0"/>
      <w:marRight w:val="0"/>
      <w:marTop w:val="0"/>
      <w:marBottom w:val="0"/>
      <w:divBdr>
        <w:top w:val="none" w:sz="0" w:space="0" w:color="auto"/>
        <w:left w:val="none" w:sz="0" w:space="0" w:color="auto"/>
        <w:bottom w:val="none" w:sz="0" w:space="0" w:color="auto"/>
        <w:right w:val="none" w:sz="0" w:space="0" w:color="auto"/>
      </w:divBdr>
    </w:div>
    <w:div w:id="1237134282">
      <w:bodyDiv w:val="1"/>
      <w:marLeft w:val="0"/>
      <w:marRight w:val="0"/>
      <w:marTop w:val="0"/>
      <w:marBottom w:val="0"/>
      <w:divBdr>
        <w:top w:val="none" w:sz="0" w:space="0" w:color="auto"/>
        <w:left w:val="none" w:sz="0" w:space="0" w:color="auto"/>
        <w:bottom w:val="none" w:sz="0" w:space="0" w:color="auto"/>
        <w:right w:val="none" w:sz="0" w:space="0" w:color="auto"/>
      </w:divBdr>
    </w:div>
    <w:div w:id="1301156117">
      <w:bodyDiv w:val="1"/>
      <w:marLeft w:val="0"/>
      <w:marRight w:val="0"/>
      <w:marTop w:val="0"/>
      <w:marBottom w:val="0"/>
      <w:divBdr>
        <w:top w:val="none" w:sz="0" w:space="0" w:color="auto"/>
        <w:left w:val="none" w:sz="0" w:space="0" w:color="auto"/>
        <w:bottom w:val="none" w:sz="0" w:space="0" w:color="auto"/>
        <w:right w:val="none" w:sz="0" w:space="0" w:color="auto"/>
      </w:divBdr>
    </w:div>
    <w:div w:id="1317537204">
      <w:bodyDiv w:val="1"/>
      <w:marLeft w:val="0"/>
      <w:marRight w:val="0"/>
      <w:marTop w:val="0"/>
      <w:marBottom w:val="0"/>
      <w:divBdr>
        <w:top w:val="none" w:sz="0" w:space="0" w:color="auto"/>
        <w:left w:val="none" w:sz="0" w:space="0" w:color="auto"/>
        <w:bottom w:val="none" w:sz="0" w:space="0" w:color="auto"/>
        <w:right w:val="none" w:sz="0" w:space="0" w:color="auto"/>
      </w:divBdr>
    </w:div>
    <w:div w:id="1319962042">
      <w:bodyDiv w:val="1"/>
      <w:marLeft w:val="0"/>
      <w:marRight w:val="0"/>
      <w:marTop w:val="0"/>
      <w:marBottom w:val="0"/>
      <w:divBdr>
        <w:top w:val="none" w:sz="0" w:space="0" w:color="auto"/>
        <w:left w:val="none" w:sz="0" w:space="0" w:color="auto"/>
        <w:bottom w:val="none" w:sz="0" w:space="0" w:color="auto"/>
        <w:right w:val="none" w:sz="0" w:space="0" w:color="auto"/>
      </w:divBdr>
    </w:div>
    <w:div w:id="1465847409">
      <w:bodyDiv w:val="1"/>
      <w:marLeft w:val="0"/>
      <w:marRight w:val="0"/>
      <w:marTop w:val="0"/>
      <w:marBottom w:val="0"/>
      <w:divBdr>
        <w:top w:val="none" w:sz="0" w:space="0" w:color="auto"/>
        <w:left w:val="none" w:sz="0" w:space="0" w:color="auto"/>
        <w:bottom w:val="none" w:sz="0" w:space="0" w:color="auto"/>
        <w:right w:val="none" w:sz="0" w:space="0" w:color="auto"/>
      </w:divBdr>
    </w:div>
    <w:div w:id="1467308686">
      <w:bodyDiv w:val="1"/>
      <w:marLeft w:val="0"/>
      <w:marRight w:val="0"/>
      <w:marTop w:val="0"/>
      <w:marBottom w:val="0"/>
      <w:divBdr>
        <w:top w:val="none" w:sz="0" w:space="0" w:color="auto"/>
        <w:left w:val="none" w:sz="0" w:space="0" w:color="auto"/>
        <w:bottom w:val="none" w:sz="0" w:space="0" w:color="auto"/>
        <w:right w:val="none" w:sz="0" w:space="0" w:color="auto"/>
      </w:divBdr>
      <w:divsChild>
        <w:div w:id="2109348668">
          <w:marLeft w:val="0"/>
          <w:marRight w:val="0"/>
          <w:marTop w:val="0"/>
          <w:marBottom w:val="0"/>
          <w:divBdr>
            <w:top w:val="none" w:sz="0" w:space="0" w:color="auto"/>
            <w:left w:val="none" w:sz="0" w:space="0" w:color="auto"/>
            <w:bottom w:val="none" w:sz="0" w:space="0" w:color="auto"/>
            <w:right w:val="none" w:sz="0" w:space="0" w:color="auto"/>
          </w:divBdr>
          <w:divsChild>
            <w:div w:id="750009134">
              <w:marLeft w:val="0"/>
              <w:marRight w:val="0"/>
              <w:marTop w:val="0"/>
              <w:marBottom w:val="0"/>
              <w:divBdr>
                <w:top w:val="none" w:sz="0" w:space="0" w:color="auto"/>
                <w:left w:val="none" w:sz="0" w:space="0" w:color="auto"/>
                <w:bottom w:val="none" w:sz="0" w:space="0" w:color="auto"/>
                <w:right w:val="none" w:sz="0" w:space="0" w:color="auto"/>
              </w:divBdr>
              <w:divsChild>
                <w:div w:id="791170108">
                  <w:marLeft w:val="0"/>
                  <w:marRight w:val="0"/>
                  <w:marTop w:val="0"/>
                  <w:marBottom w:val="0"/>
                  <w:divBdr>
                    <w:top w:val="none" w:sz="0" w:space="0" w:color="auto"/>
                    <w:left w:val="none" w:sz="0" w:space="0" w:color="auto"/>
                    <w:bottom w:val="none" w:sz="0" w:space="0" w:color="auto"/>
                    <w:right w:val="none" w:sz="0" w:space="0" w:color="auto"/>
                  </w:divBdr>
                  <w:divsChild>
                    <w:div w:id="1143739915">
                      <w:marLeft w:val="0"/>
                      <w:marRight w:val="0"/>
                      <w:marTop w:val="0"/>
                      <w:marBottom w:val="0"/>
                      <w:divBdr>
                        <w:top w:val="none" w:sz="0" w:space="0" w:color="auto"/>
                        <w:left w:val="none" w:sz="0" w:space="0" w:color="auto"/>
                        <w:bottom w:val="none" w:sz="0" w:space="0" w:color="auto"/>
                        <w:right w:val="none" w:sz="0" w:space="0" w:color="auto"/>
                      </w:divBdr>
                      <w:divsChild>
                        <w:div w:id="63839019">
                          <w:marLeft w:val="0"/>
                          <w:marRight w:val="0"/>
                          <w:marTop w:val="0"/>
                          <w:marBottom w:val="0"/>
                          <w:divBdr>
                            <w:top w:val="none" w:sz="0" w:space="0" w:color="auto"/>
                            <w:left w:val="none" w:sz="0" w:space="0" w:color="auto"/>
                            <w:bottom w:val="none" w:sz="0" w:space="0" w:color="auto"/>
                            <w:right w:val="none" w:sz="0" w:space="0" w:color="auto"/>
                          </w:divBdr>
                          <w:divsChild>
                            <w:div w:id="1725566904">
                              <w:marLeft w:val="0"/>
                              <w:marRight w:val="0"/>
                              <w:marTop w:val="0"/>
                              <w:marBottom w:val="0"/>
                              <w:divBdr>
                                <w:top w:val="none" w:sz="0" w:space="0" w:color="auto"/>
                                <w:left w:val="none" w:sz="0" w:space="0" w:color="auto"/>
                                <w:bottom w:val="none" w:sz="0" w:space="0" w:color="auto"/>
                                <w:right w:val="none" w:sz="0" w:space="0" w:color="auto"/>
                              </w:divBdr>
                              <w:divsChild>
                                <w:div w:id="1804687619">
                                  <w:marLeft w:val="0"/>
                                  <w:marRight w:val="0"/>
                                  <w:marTop w:val="0"/>
                                  <w:marBottom w:val="0"/>
                                  <w:divBdr>
                                    <w:top w:val="none" w:sz="0" w:space="0" w:color="auto"/>
                                    <w:left w:val="none" w:sz="0" w:space="0" w:color="auto"/>
                                    <w:bottom w:val="none" w:sz="0" w:space="0" w:color="auto"/>
                                    <w:right w:val="none" w:sz="0" w:space="0" w:color="auto"/>
                                  </w:divBdr>
                                  <w:divsChild>
                                    <w:div w:id="1299265706">
                                      <w:marLeft w:val="0"/>
                                      <w:marRight w:val="0"/>
                                      <w:marTop w:val="0"/>
                                      <w:marBottom w:val="0"/>
                                      <w:divBdr>
                                        <w:top w:val="none" w:sz="0" w:space="0" w:color="auto"/>
                                        <w:left w:val="none" w:sz="0" w:space="0" w:color="auto"/>
                                        <w:bottom w:val="none" w:sz="0" w:space="0" w:color="auto"/>
                                        <w:right w:val="none" w:sz="0" w:space="0" w:color="auto"/>
                                      </w:divBdr>
                                      <w:divsChild>
                                        <w:div w:id="1975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959362">
      <w:bodyDiv w:val="1"/>
      <w:marLeft w:val="0"/>
      <w:marRight w:val="0"/>
      <w:marTop w:val="0"/>
      <w:marBottom w:val="0"/>
      <w:divBdr>
        <w:top w:val="none" w:sz="0" w:space="0" w:color="auto"/>
        <w:left w:val="none" w:sz="0" w:space="0" w:color="auto"/>
        <w:bottom w:val="none" w:sz="0" w:space="0" w:color="auto"/>
        <w:right w:val="none" w:sz="0" w:space="0" w:color="auto"/>
      </w:divBdr>
    </w:div>
    <w:div w:id="1511794025">
      <w:bodyDiv w:val="1"/>
      <w:marLeft w:val="0"/>
      <w:marRight w:val="0"/>
      <w:marTop w:val="0"/>
      <w:marBottom w:val="0"/>
      <w:divBdr>
        <w:top w:val="none" w:sz="0" w:space="0" w:color="auto"/>
        <w:left w:val="none" w:sz="0" w:space="0" w:color="auto"/>
        <w:bottom w:val="none" w:sz="0" w:space="0" w:color="auto"/>
        <w:right w:val="none" w:sz="0" w:space="0" w:color="auto"/>
      </w:divBdr>
    </w:div>
    <w:div w:id="1513448303">
      <w:bodyDiv w:val="1"/>
      <w:marLeft w:val="0"/>
      <w:marRight w:val="0"/>
      <w:marTop w:val="0"/>
      <w:marBottom w:val="0"/>
      <w:divBdr>
        <w:top w:val="none" w:sz="0" w:space="0" w:color="auto"/>
        <w:left w:val="none" w:sz="0" w:space="0" w:color="auto"/>
        <w:bottom w:val="none" w:sz="0" w:space="0" w:color="auto"/>
        <w:right w:val="none" w:sz="0" w:space="0" w:color="auto"/>
      </w:divBdr>
    </w:div>
    <w:div w:id="1514757450">
      <w:bodyDiv w:val="1"/>
      <w:marLeft w:val="0"/>
      <w:marRight w:val="0"/>
      <w:marTop w:val="0"/>
      <w:marBottom w:val="0"/>
      <w:divBdr>
        <w:top w:val="none" w:sz="0" w:space="0" w:color="auto"/>
        <w:left w:val="none" w:sz="0" w:space="0" w:color="auto"/>
        <w:bottom w:val="none" w:sz="0" w:space="0" w:color="auto"/>
        <w:right w:val="none" w:sz="0" w:space="0" w:color="auto"/>
      </w:divBdr>
    </w:div>
    <w:div w:id="1554921225">
      <w:bodyDiv w:val="1"/>
      <w:marLeft w:val="0"/>
      <w:marRight w:val="0"/>
      <w:marTop w:val="0"/>
      <w:marBottom w:val="0"/>
      <w:divBdr>
        <w:top w:val="none" w:sz="0" w:space="0" w:color="auto"/>
        <w:left w:val="none" w:sz="0" w:space="0" w:color="auto"/>
        <w:bottom w:val="none" w:sz="0" w:space="0" w:color="auto"/>
        <w:right w:val="none" w:sz="0" w:space="0" w:color="auto"/>
      </w:divBdr>
    </w:div>
    <w:div w:id="1567958420">
      <w:bodyDiv w:val="1"/>
      <w:marLeft w:val="0"/>
      <w:marRight w:val="0"/>
      <w:marTop w:val="0"/>
      <w:marBottom w:val="0"/>
      <w:divBdr>
        <w:top w:val="none" w:sz="0" w:space="0" w:color="auto"/>
        <w:left w:val="none" w:sz="0" w:space="0" w:color="auto"/>
        <w:bottom w:val="none" w:sz="0" w:space="0" w:color="auto"/>
        <w:right w:val="none" w:sz="0" w:space="0" w:color="auto"/>
      </w:divBdr>
    </w:div>
    <w:div w:id="1592352560">
      <w:bodyDiv w:val="1"/>
      <w:marLeft w:val="0"/>
      <w:marRight w:val="0"/>
      <w:marTop w:val="0"/>
      <w:marBottom w:val="0"/>
      <w:divBdr>
        <w:top w:val="none" w:sz="0" w:space="0" w:color="auto"/>
        <w:left w:val="none" w:sz="0" w:space="0" w:color="auto"/>
        <w:bottom w:val="none" w:sz="0" w:space="0" w:color="auto"/>
        <w:right w:val="none" w:sz="0" w:space="0" w:color="auto"/>
      </w:divBdr>
    </w:div>
    <w:div w:id="1638561683">
      <w:bodyDiv w:val="1"/>
      <w:marLeft w:val="0"/>
      <w:marRight w:val="0"/>
      <w:marTop w:val="0"/>
      <w:marBottom w:val="0"/>
      <w:divBdr>
        <w:top w:val="none" w:sz="0" w:space="0" w:color="auto"/>
        <w:left w:val="none" w:sz="0" w:space="0" w:color="auto"/>
        <w:bottom w:val="none" w:sz="0" w:space="0" w:color="auto"/>
        <w:right w:val="none" w:sz="0" w:space="0" w:color="auto"/>
      </w:divBdr>
      <w:divsChild>
        <w:div w:id="594442404">
          <w:marLeft w:val="547"/>
          <w:marRight w:val="0"/>
          <w:marTop w:val="0"/>
          <w:marBottom w:val="0"/>
          <w:divBdr>
            <w:top w:val="none" w:sz="0" w:space="0" w:color="auto"/>
            <w:left w:val="none" w:sz="0" w:space="0" w:color="auto"/>
            <w:bottom w:val="none" w:sz="0" w:space="0" w:color="auto"/>
            <w:right w:val="none" w:sz="0" w:space="0" w:color="auto"/>
          </w:divBdr>
        </w:div>
      </w:divsChild>
    </w:div>
    <w:div w:id="1786928766">
      <w:bodyDiv w:val="1"/>
      <w:marLeft w:val="0"/>
      <w:marRight w:val="0"/>
      <w:marTop w:val="0"/>
      <w:marBottom w:val="0"/>
      <w:divBdr>
        <w:top w:val="none" w:sz="0" w:space="0" w:color="auto"/>
        <w:left w:val="none" w:sz="0" w:space="0" w:color="auto"/>
        <w:bottom w:val="none" w:sz="0" w:space="0" w:color="auto"/>
        <w:right w:val="none" w:sz="0" w:space="0" w:color="auto"/>
      </w:divBdr>
    </w:div>
    <w:div w:id="1792745382">
      <w:bodyDiv w:val="1"/>
      <w:marLeft w:val="0"/>
      <w:marRight w:val="0"/>
      <w:marTop w:val="0"/>
      <w:marBottom w:val="0"/>
      <w:divBdr>
        <w:top w:val="none" w:sz="0" w:space="0" w:color="auto"/>
        <w:left w:val="none" w:sz="0" w:space="0" w:color="auto"/>
        <w:bottom w:val="none" w:sz="0" w:space="0" w:color="auto"/>
        <w:right w:val="none" w:sz="0" w:space="0" w:color="auto"/>
      </w:divBdr>
    </w:div>
    <w:div w:id="1827284290">
      <w:bodyDiv w:val="1"/>
      <w:marLeft w:val="0"/>
      <w:marRight w:val="0"/>
      <w:marTop w:val="0"/>
      <w:marBottom w:val="0"/>
      <w:divBdr>
        <w:top w:val="none" w:sz="0" w:space="0" w:color="auto"/>
        <w:left w:val="none" w:sz="0" w:space="0" w:color="auto"/>
        <w:bottom w:val="none" w:sz="0" w:space="0" w:color="auto"/>
        <w:right w:val="none" w:sz="0" w:space="0" w:color="auto"/>
      </w:divBdr>
    </w:div>
    <w:div w:id="1846940516">
      <w:bodyDiv w:val="1"/>
      <w:marLeft w:val="0"/>
      <w:marRight w:val="0"/>
      <w:marTop w:val="0"/>
      <w:marBottom w:val="0"/>
      <w:divBdr>
        <w:top w:val="none" w:sz="0" w:space="0" w:color="auto"/>
        <w:left w:val="none" w:sz="0" w:space="0" w:color="auto"/>
        <w:bottom w:val="none" w:sz="0" w:space="0" w:color="auto"/>
        <w:right w:val="none" w:sz="0" w:space="0" w:color="auto"/>
      </w:divBdr>
    </w:div>
    <w:div w:id="1851334549">
      <w:bodyDiv w:val="1"/>
      <w:marLeft w:val="0"/>
      <w:marRight w:val="0"/>
      <w:marTop w:val="0"/>
      <w:marBottom w:val="0"/>
      <w:divBdr>
        <w:top w:val="none" w:sz="0" w:space="0" w:color="auto"/>
        <w:left w:val="none" w:sz="0" w:space="0" w:color="auto"/>
        <w:bottom w:val="none" w:sz="0" w:space="0" w:color="auto"/>
        <w:right w:val="none" w:sz="0" w:space="0" w:color="auto"/>
      </w:divBdr>
    </w:div>
    <w:div w:id="1969041502">
      <w:bodyDiv w:val="1"/>
      <w:marLeft w:val="0"/>
      <w:marRight w:val="0"/>
      <w:marTop w:val="0"/>
      <w:marBottom w:val="0"/>
      <w:divBdr>
        <w:top w:val="none" w:sz="0" w:space="0" w:color="auto"/>
        <w:left w:val="none" w:sz="0" w:space="0" w:color="auto"/>
        <w:bottom w:val="none" w:sz="0" w:space="0" w:color="auto"/>
        <w:right w:val="none" w:sz="0" w:space="0" w:color="auto"/>
      </w:divBdr>
    </w:div>
    <w:div w:id="2062556056">
      <w:bodyDiv w:val="1"/>
      <w:marLeft w:val="0"/>
      <w:marRight w:val="0"/>
      <w:marTop w:val="0"/>
      <w:marBottom w:val="0"/>
      <w:divBdr>
        <w:top w:val="none" w:sz="0" w:space="0" w:color="auto"/>
        <w:left w:val="none" w:sz="0" w:space="0" w:color="auto"/>
        <w:bottom w:val="none" w:sz="0" w:space="0" w:color="auto"/>
        <w:right w:val="none" w:sz="0" w:space="0" w:color="auto"/>
      </w:divBdr>
    </w:div>
    <w:div w:id="20910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gov.au/resource-management/charging-framework/)" TargetMode="External"/><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dustry.gov.au/data-and-publications/measurement-law-review" TargetMode="External"/><Relationship Id="rId7" Type="http://schemas.openxmlformats.org/officeDocument/2006/relationships/settings" Target="settings.xml"/><Relationship Id="rId12" Type="http://schemas.openxmlformats.org/officeDocument/2006/relationships/hyperlink" Target="https://www.finance.gov.au/resource-management/charging-framework/" TargetMode="External"/><Relationship Id="rId17" Type="http://schemas.openxmlformats.org/officeDocument/2006/relationships/diagramQuickStyle" Target="diagrams/quickStyle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measurementlawreview@industr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industry.gov.au/science/ScienceAgencies/Pages/Measurement-Law-Review.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file:///C:\Users\pdessi\AppData\Local\Microsoft\Windows\INetCache\Content.Outlook\226JEMMO\finance.gov.au\resource-management\charging-framewor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2A29CD-6E2E-4951-9999-772F07B622FC}" type="doc">
      <dgm:prSet loTypeId="urn:microsoft.com/office/officeart/2005/8/layout/process5" loCatId="process" qsTypeId="urn:microsoft.com/office/officeart/2005/8/quickstyle/simple1" qsCatId="simple" csTypeId="urn:microsoft.com/office/officeart/2005/8/colors/accent1_2" csCatId="accent1" phldr="1"/>
      <dgm:spPr/>
    </dgm:pt>
    <dgm:pt modelId="{565FCB3F-B8CF-45E1-9F93-61B3CCA26DBE}">
      <dgm:prSet phldrT="[Text]"/>
      <dgm:spPr>
        <a:solidFill>
          <a:srgbClr val="C00000"/>
        </a:solidFill>
      </dgm:spPr>
      <dgm:t>
        <a:bodyPr/>
        <a:lstStyle/>
        <a:p>
          <a:r>
            <a:rPr lang="en-AU"/>
            <a:t>Identifying tasks related to regulatory charging activities</a:t>
          </a:r>
        </a:p>
      </dgm:t>
    </dgm:pt>
    <dgm:pt modelId="{22D1F967-D8CD-4D1F-8E03-F8AA67E07D96}" type="parTrans" cxnId="{EAF4BD78-F301-4E53-894D-334806FC50DD}">
      <dgm:prSet/>
      <dgm:spPr/>
      <dgm:t>
        <a:bodyPr/>
        <a:lstStyle/>
        <a:p>
          <a:endParaRPr lang="en-AU"/>
        </a:p>
      </dgm:t>
    </dgm:pt>
    <dgm:pt modelId="{2B285335-2F10-4467-84AC-9BE43538F799}" type="sibTrans" cxnId="{EAF4BD78-F301-4E53-894D-334806FC50DD}">
      <dgm:prSet/>
      <dgm:spPr>
        <a:solidFill>
          <a:schemeClr val="accent2">
            <a:lumMod val="60000"/>
            <a:lumOff val="40000"/>
          </a:schemeClr>
        </a:solidFill>
      </dgm:spPr>
      <dgm:t>
        <a:bodyPr/>
        <a:lstStyle/>
        <a:p>
          <a:endParaRPr lang="en-AU"/>
        </a:p>
      </dgm:t>
    </dgm:pt>
    <dgm:pt modelId="{4F9669A7-5B2F-46BB-8EC3-78162A45628F}">
      <dgm:prSet phldrT="[Text]"/>
      <dgm:spPr>
        <a:solidFill>
          <a:srgbClr val="C00000"/>
        </a:solidFill>
      </dgm:spPr>
      <dgm:t>
        <a:bodyPr/>
        <a:lstStyle/>
        <a:p>
          <a:r>
            <a:rPr lang="en-AU"/>
            <a:t>Time taken to complete the task</a:t>
          </a:r>
        </a:p>
      </dgm:t>
    </dgm:pt>
    <dgm:pt modelId="{3C1302AA-5353-4CC4-A1CD-BA07CC10BABA}" type="parTrans" cxnId="{8A8CA2C3-9F4B-427B-974C-EF52E1F57DB7}">
      <dgm:prSet/>
      <dgm:spPr/>
      <dgm:t>
        <a:bodyPr/>
        <a:lstStyle/>
        <a:p>
          <a:endParaRPr lang="en-AU"/>
        </a:p>
      </dgm:t>
    </dgm:pt>
    <dgm:pt modelId="{1B737826-F8ED-4423-95C7-290618F2C3CF}" type="sibTrans" cxnId="{8A8CA2C3-9F4B-427B-974C-EF52E1F57DB7}">
      <dgm:prSet/>
      <dgm:spPr>
        <a:solidFill>
          <a:schemeClr val="accent2">
            <a:lumMod val="60000"/>
            <a:lumOff val="40000"/>
          </a:schemeClr>
        </a:solidFill>
      </dgm:spPr>
      <dgm:t>
        <a:bodyPr/>
        <a:lstStyle/>
        <a:p>
          <a:endParaRPr lang="en-AU"/>
        </a:p>
      </dgm:t>
    </dgm:pt>
    <dgm:pt modelId="{3E39C786-AF50-4641-BDA2-A1CE8BC1EEEF}">
      <dgm:prSet phldrT="[Text]"/>
      <dgm:spPr>
        <a:solidFill>
          <a:srgbClr val="C00000"/>
        </a:solidFill>
      </dgm:spPr>
      <dgm:t>
        <a:bodyPr/>
        <a:lstStyle/>
        <a:p>
          <a:r>
            <a:rPr lang="en-AU"/>
            <a:t>Resource plan </a:t>
          </a:r>
          <a:br>
            <a:rPr lang="en-AU"/>
          </a:br>
          <a:r>
            <a:rPr lang="en-AU"/>
            <a:t/>
          </a:r>
          <a:br>
            <a:rPr lang="en-AU"/>
          </a:br>
          <a:r>
            <a:rPr lang="en-AU"/>
            <a:t>The number and classification of FTEs required to deliver the output </a:t>
          </a:r>
        </a:p>
      </dgm:t>
    </dgm:pt>
    <dgm:pt modelId="{52C609E3-9558-4384-989F-A5918777A17C}" type="parTrans" cxnId="{214284CB-D503-4DCE-87F8-17DD715FA787}">
      <dgm:prSet/>
      <dgm:spPr/>
      <dgm:t>
        <a:bodyPr/>
        <a:lstStyle/>
        <a:p>
          <a:endParaRPr lang="en-AU"/>
        </a:p>
      </dgm:t>
    </dgm:pt>
    <dgm:pt modelId="{EA7646B8-755B-4C61-9ED8-2AD7F0026A98}" type="sibTrans" cxnId="{214284CB-D503-4DCE-87F8-17DD715FA787}">
      <dgm:prSet/>
      <dgm:spPr>
        <a:solidFill>
          <a:schemeClr val="accent2">
            <a:lumMod val="60000"/>
            <a:lumOff val="40000"/>
          </a:schemeClr>
        </a:solidFill>
      </dgm:spPr>
      <dgm:t>
        <a:bodyPr/>
        <a:lstStyle/>
        <a:p>
          <a:endParaRPr lang="en-AU"/>
        </a:p>
      </dgm:t>
    </dgm:pt>
    <dgm:pt modelId="{F70655AF-7E24-4F30-9834-024D5BD4DBA2}">
      <dgm:prSet/>
      <dgm:spPr>
        <a:solidFill>
          <a:srgbClr val="C00000"/>
        </a:solidFill>
      </dgm:spPr>
      <dgm:t>
        <a:bodyPr/>
        <a:lstStyle/>
        <a:p>
          <a:r>
            <a:rPr lang="en-AU"/>
            <a:t>Cost of tasks</a:t>
          </a:r>
          <a:br>
            <a:rPr lang="en-AU"/>
          </a:br>
          <a:r>
            <a:rPr lang="en-AU"/>
            <a:t/>
          </a:r>
          <a:br>
            <a:rPr lang="en-AU"/>
          </a:br>
          <a:r>
            <a:rPr lang="en-AU"/>
            <a:t>Fully-loaded cost of each task is calculated as the sum of associated direct and indirect costs</a:t>
          </a:r>
        </a:p>
      </dgm:t>
    </dgm:pt>
    <dgm:pt modelId="{578C2332-3CE9-489B-B4BD-388AA7323FB3}" type="parTrans" cxnId="{C65C60B0-56FF-4310-AF71-9DA080B8F31A}">
      <dgm:prSet/>
      <dgm:spPr/>
      <dgm:t>
        <a:bodyPr/>
        <a:lstStyle/>
        <a:p>
          <a:endParaRPr lang="en-AU"/>
        </a:p>
      </dgm:t>
    </dgm:pt>
    <dgm:pt modelId="{1A0885A2-FA58-483B-ACE4-2A05E4F0FD62}" type="sibTrans" cxnId="{C65C60B0-56FF-4310-AF71-9DA080B8F31A}">
      <dgm:prSet/>
      <dgm:spPr>
        <a:solidFill>
          <a:schemeClr val="accent2">
            <a:lumMod val="60000"/>
            <a:lumOff val="40000"/>
          </a:schemeClr>
        </a:solidFill>
      </dgm:spPr>
      <dgm:t>
        <a:bodyPr/>
        <a:lstStyle/>
        <a:p>
          <a:endParaRPr lang="en-AU"/>
        </a:p>
      </dgm:t>
    </dgm:pt>
    <dgm:pt modelId="{E37A018F-D761-4C3E-A402-D3F11EAA5068}">
      <dgm:prSet/>
      <dgm:spPr>
        <a:solidFill>
          <a:srgbClr val="C00000"/>
        </a:solidFill>
      </dgm:spPr>
      <dgm:t>
        <a:bodyPr/>
        <a:lstStyle/>
        <a:p>
          <a:r>
            <a:rPr lang="en-AU"/>
            <a:t>Allocation of direct costs to the regulatory team</a:t>
          </a:r>
          <a:br>
            <a:rPr lang="en-AU"/>
          </a:br>
          <a:r>
            <a:rPr lang="en-AU"/>
            <a:t/>
          </a:r>
          <a:br>
            <a:rPr lang="en-AU"/>
          </a:br>
          <a:r>
            <a:rPr lang="en-AU"/>
            <a:t>Proportional allocation based on resource plan</a:t>
          </a:r>
        </a:p>
      </dgm:t>
    </dgm:pt>
    <dgm:pt modelId="{46F7CCD8-C01C-482E-B625-0D9987957A4B}" type="parTrans" cxnId="{66A293EE-981A-4448-BE34-51F1DDF6BF92}">
      <dgm:prSet/>
      <dgm:spPr/>
      <dgm:t>
        <a:bodyPr/>
        <a:lstStyle/>
        <a:p>
          <a:endParaRPr lang="en-AU"/>
        </a:p>
      </dgm:t>
    </dgm:pt>
    <dgm:pt modelId="{80B843CE-6243-42AD-A995-5E4D4FBA9A82}" type="sibTrans" cxnId="{66A293EE-981A-4448-BE34-51F1DDF6BF92}">
      <dgm:prSet/>
      <dgm:spPr>
        <a:solidFill>
          <a:schemeClr val="accent2">
            <a:lumMod val="60000"/>
            <a:lumOff val="40000"/>
          </a:schemeClr>
        </a:solidFill>
      </dgm:spPr>
      <dgm:t>
        <a:bodyPr/>
        <a:lstStyle/>
        <a:p>
          <a:endParaRPr lang="en-AU"/>
        </a:p>
      </dgm:t>
    </dgm:pt>
    <dgm:pt modelId="{D6AC911F-1666-405A-BBAC-F02133D1514E}">
      <dgm:prSet/>
      <dgm:spPr>
        <a:solidFill>
          <a:srgbClr val="C00000"/>
        </a:solidFill>
      </dgm:spPr>
      <dgm:t>
        <a:bodyPr/>
        <a:lstStyle/>
        <a:p>
          <a:r>
            <a:rPr lang="en-AU"/>
            <a:t>Allocation of indirect costs to the regulatory team</a:t>
          </a:r>
          <a:br>
            <a:rPr lang="en-AU"/>
          </a:br>
          <a:r>
            <a:rPr lang="en-AU"/>
            <a:t/>
          </a:r>
          <a:br>
            <a:rPr lang="en-AU"/>
          </a:br>
          <a:r>
            <a:rPr lang="en-AU"/>
            <a:t>Proportional allocation based on Resource plan</a:t>
          </a:r>
        </a:p>
      </dgm:t>
    </dgm:pt>
    <dgm:pt modelId="{D5F25FFC-1EB0-4E90-B0C8-911BF37A0203}" type="parTrans" cxnId="{BF39BFAD-77F1-4B80-9163-4C8F51741035}">
      <dgm:prSet/>
      <dgm:spPr/>
      <dgm:t>
        <a:bodyPr/>
        <a:lstStyle/>
        <a:p>
          <a:endParaRPr lang="en-AU"/>
        </a:p>
      </dgm:t>
    </dgm:pt>
    <dgm:pt modelId="{5A549A4C-C823-4611-86A9-A627E51F18AA}" type="sibTrans" cxnId="{BF39BFAD-77F1-4B80-9163-4C8F51741035}">
      <dgm:prSet/>
      <dgm:spPr>
        <a:solidFill>
          <a:schemeClr val="accent2">
            <a:lumMod val="60000"/>
            <a:lumOff val="40000"/>
          </a:schemeClr>
        </a:solidFill>
      </dgm:spPr>
      <dgm:t>
        <a:bodyPr/>
        <a:lstStyle/>
        <a:p>
          <a:endParaRPr lang="en-AU"/>
        </a:p>
      </dgm:t>
    </dgm:pt>
    <dgm:pt modelId="{744800A0-7D7F-4628-B58E-626B1C01FE67}">
      <dgm:prSet/>
      <dgm:spPr>
        <a:solidFill>
          <a:srgbClr val="C00000"/>
        </a:solidFill>
      </dgm:spPr>
      <dgm:t>
        <a:bodyPr/>
        <a:lstStyle/>
        <a:p>
          <a:r>
            <a:rPr lang="en-AU"/>
            <a:t>Cost of regulatory activity</a:t>
          </a:r>
          <a:br>
            <a:rPr lang="en-AU"/>
          </a:br>
          <a:r>
            <a:rPr lang="en-AU"/>
            <a:t/>
          </a:r>
          <a:br>
            <a:rPr lang="en-AU"/>
          </a:br>
          <a:r>
            <a:rPr lang="en-AU"/>
            <a:t>Costs associated with the output of each regulatory activity is caluclated as the sum of associated tasks</a:t>
          </a:r>
        </a:p>
      </dgm:t>
    </dgm:pt>
    <dgm:pt modelId="{2199E3B0-4FAD-4B2C-A2B2-D405BEB03424}" type="parTrans" cxnId="{3BB3EFE4-332B-4773-A7B1-AF45E19CE4E5}">
      <dgm:prSet/>
      <dgm:spPr/>
      <dgm:t>
        <a:bodyPr/>
        <a:lstStyle/>
        <a:p>
          <a:endParaRPr lang="en-AU"/>
        </a:p>
      </dgm:t>
    </dgm:pt>
    <dgm:pt modelId="{6AA9E4F9-6971-42DE-9666-ADCB557CD828}" type="sibTrans" cxnId="{3BB3EFE4-332B-4773-A7B1-AF45E19CE4E5}">
      <dgm:prSet/>
      <dgm:spPr/>
      <dgm:t>
        <a:bodyPr/>
        <a:lstStyle/>
        <a:p>
          <a:endParaRPr lang="en-AU"/>
        </a:p>
      </dgm:t>
    </dgm:pt>
    <dgm:pt modelId="{8D0AE268-0DC2-4A7A-9C6A-8D39FA179F1B}" type="pres">
      <dgm:prSet presAssocID="{A62A29CD-6E2E-4951-9999-772F07B622FC}" presName="diagram" presStyleCnt="0">
        <dgm:presLayoutVars>
          <dgm:dir/>
          <dgm:resizeHandles val="exact"/>
        </dgm:presLayoutVars>
      </dgm:prSet>
      <dgm:spPr/>
    </dgm:pt>
    <dgm:pt modelId="{D451202C-3F83-481C-810C-A7DB9085BBF5}" type="pres">
      <dgm:prSet presAssocID="{565FCB3F-B8CF-45E1-9F93-61B3CCA26DBE}" presName="node" presStyleLbl="node1" presStyleIdx="0" presStyleCnt="7">
        <dgm:presLayoutVars>
          <dgm:bulletEnabled val="1"/>
        </dgm:presLayoutVars>
      </dgm:prSet>
      <dgm:spPr/>
      <dgm:t>
        <a:bodyPr/>
        <a:lstStyle/>
        <a:p>
          <a:endParaRPr lang="en-AU"/>
        </a:p>
      </dgm:t>
    </dgm:pt>
    <dgm:pt modelId="{53B1A87B-BAB4-4413-AC85-CA97BC64EE12}" type="pres">
      <dgm:prSet presAssocID="{2B285335-2F10-4467-84AC-9BE43538F799}" presName="sibTrans" presStyleLbl="sibTrans2D1" presStyleIdx="0" presStyleCnt="6"/>
      <dgm:spPr/>
      <dgm:t>
        <a:bodyPr/>
        <a:lstStyle/>
        <a:p>
          <a:endParaRPr lang="en-AU"/>
        </a:p>
      </dgm:t>
    </dgm:pt>
    <dgm:pt modelId="{0DAA101F-1847-49D1-A72C-064AD19602AF}" type="pres">
      <dgm:prSet presAssocID="{2B285335-2F10-4467-84AC-9BE43538F799}" presName="connectorText" presStyleLbl="sibTrans2D1" presStyleIdx="0" presStyleCnt="6"/>
      <dgm:spPr/>
      <dgm:t>
        <a:bodyPr/>
        <a:lstStyle/>
        <a:p>
          <a:endParaRPr lang="en-AU"/>
        </a:p>
      </dgm:t>
    </dgm:pt>
    <dgm:pt modelId="{0A5ADDF9-B932-47B2-B486-B6F94860DA2A}" type="pres">
      <dgm:prSet presAssocID="{4F9669A7-5B2F-46BB-8EC3-78162A45628F}" presName="node" presStyleLbl="node1" presStyleIdx="1" presStyleCnt="7">
        <dgm:presLayoutVars>
          <dgm:bulletEnabled val="1"/>
        </dgm:presLayoutVars>
      </dgm:prSet>
      <dgm:spPr/>
      <dgm:t>
        <a:bodyPr/>
        <a:lstStyle/>
        <a:p>
          <a:endParaRPr lang="en-AU"/>
        </a:p>
      </dgm:t>
    </dgm:pt>
    <dgm:pt modelId="{BF87DC6C-F258-418E-A072-9E9D41D60570}" type="pres">
      <dgm:prSet presAssocID="{1B737826-F8ED-4423-95C7-290618F2C3CF}" presName="sibTrans" presStyleLbl="sibTrans2D1" presStyleIdx="1" presStyleCnt="6"/>
      <dgm:spPr/>
      <dgm:t>
        <a:bodyPr/>
        <a:lstStyle/>
        <a:p>
          <a:endParaRPr lang="en-AU"/>
        </a:p>
      </dgm:t>
    </dgm:pt>
    <dgm:pt modelId="{CB872F7A-503E-4AC8-A22D-78D69090C4EA}" type="pres">
      <dgm:prSet presAssocID="{1B737826-F8ED-4423-95C7-290618F2C3CF}" presName="connectorText" presStyleLbl="sibTrans2D1" presStyleIdx="1" presStyleCnt="6"/>
      <dgm:spPr/>
      <dgm:t>
        <a:bodyPr/>
        <a:lstStyle/>
        <a:p>
          <a:endParaRPr lang="en-AU"/>
        </a:p>
      </dgm:t>
    </dgm:pt>
    <dgm:pt modelId="{06A3E7FA-FE6C-43FE-931D-3D8C8D3AE927}" type="pres">
      <dgm:prSet presAssocID="{3E39C786-AF50-4641-BDA2-A1CE8BC1EEEF}" presName="node" presStyleLbl="node1" presStyleIdx="2" presStyleCnt="7">
        <dgm:presLayoutVars>
          <dgm:bulletEnabled val="1"/>
        </dgm:presLayoutVars>
      </dgm:prSet>
      <dgm:spPr/>
      <dgm:t>
        <a:bodyPr/>
        <a:lstStyle/>
        <a:p>
          <a:endParaRPr lang="en-AU"/>
        </a:p>
      </dgm:t>
    </dgm:pt>
    <dgm:pt modelId="{D49A8DA3-A14E-46D1-8CA4-BB7499910640}" type="pres">
      <dgm:prSet presAssocID="{EA7646B8-755B-4C61-9ED8-2AD7F0026A98}" presName="sibTrans" presStyleLbl="sibTrans2D1" presStyleIdx="2" presStyleCnt="6"/>
      <dgm:spPr/>
      <dgm:t>
        <a:bodyPr/>
        <a:lstStyle/>
        <a:p>
          <a:endParaRPr lang="en-AU"/>
        </a:p>
      </dgm:t>
    </dgm:pt>
    <dgm:pt modelId="{73DF85DD-6EC6-4F3B-A59A-14A34F48171D}" type="pres">
      <dgm:prSet presAssocID="{EA7646B8-755B-4C61-9ED8-2AD7F0026A98}" presName="connectorText" presStyleLbl="sibTrans2D1" presStyleIdx="2" presStyleCnt="6"/>
      <dgm:spPr/>
      <dgm:t>
        <a:bodyPr/>
        <a:lstStyle/>
        <a:p>
          <a:endParaRPr lang="en-AU"/>
        </a:p>
      </dgm:t>
    </dgm:pt>
    <dgm:pt modelId="{5A08AE6D-317E-4594-9AEE-010EB543F28A}" type="pres">
      <dgm:prSet presAssocID="{E37A018F-D761-4C3E-A402-D3F11EAA5068}" presName="node" presStyleLbl="node1" presStyleIdx="3" presStyleCnt="7">
        <dgm:presLayoutVars>
          <dgm:bulletEnabled val="1"/>
        </dgm:presLayoutVars>
      </dgm:prSet>
      <dgm:spPr/>
      <dgm:t>
        <a:bodyPr/>
        <a:lstStyle/>
        <a:p>
          <a:endParaRPr lang="en-AU"/>
        </a:p>
      </dgm:t>
    </dgm:pt>
    <dgm:pt modelId="{3B8A3C48-7558-453C-8C51-AB445BA04F75}" type="pres">
      <dgm:prSet presAssocID="{80B843CE-6243-42AD-A995-5E4D4FBA9A82}" presName="sibTrans" presStyleLbl="sibTrans2D1" presStyleIdx="3" presStyleCnt="6"/>
      <dgm:spPr/>
      <dgm:t>
        <a:bodyPr/>
        <a:lstStyle/>
        <a:p>
          <a:endParaRPr lang="en-AU"/>
        </a:p>
      </dgm:t>
    </dgm:pt>
    <dgm:pt modelId="{E971500A-BD8F-4555-98B9-36B49322A2AE}" type="pres">
      <dgm:prSet presAssocID="{80B843CE-6243-42AD-A995-5E4D4FBA9A82}" presName="connectorText" presStyleLbl="sibTrans2D1" presStyleIdx="3" presStyleCnt="6"/>
      <dgm:spPr/>
      <dgm:t>
        <a:bodyPr/>
        <a:lstStyle/>
        <a:p>
          <a:endParaRPr lang="en-AU"/>
        </a:p>
      </dgm:t>
    </dgm:pt>
    <dgm:pt modelId="{55F70AFF-8FDE-44D8-9134-512D4E1160FD}" type="pres">
      <dgm:prSet presAssocID="{D6AC911F-1666-405A-BBAC-F02133D1514E}" presName="node" presStyleLbl="node1" presStyleIdx="4" presStyleCnt="7">
        <dgm:presLayoutVars>
          <dgm:bulletEnabled val="1"/>
        </dgm:presLayoutVars>
      </dgm:prSet>
      <dgm:spPr/>
      <dgm:t>
        <a:bodyPr/>
        <a:lstStyle/>
        <a:p>
          <a:endParaRPr lang="en-AU"/>
        </a:p>
      </dgm:t>
    </dgm:pt>
    <dgm:pt modelId="{17735C8B-85F4-4D61-8ED3-4349E2DA8899}" type="pres">
      <dgm:prSet presAssocID="{5A549A4C-C823-4611-86A9-A627E51F18AA}" presName="sibTrans" presStyleLbl="sibTrans2D1" presStyleIdx="4" presStyleCnt="6"/>
      <dgm:spPr/>
      <dgm:t>
        <a:bodyPr/>
        <a:lstStyle/>
        <a:p>
          <a:endParaRPr lang="en-AU"/>
        </a:p>
      </dgm:t>
    </dgm:pt>
    <dgm:pt modelId="{EAE24D29-40C8-4296-89EC-840F4E124DA7}" type="pres">
      <dgm:prSet presAssocID="{5A549A4C-C823-4611-86A9-A627E51F18AA}" presName="connectorText" presStyleLbl="sibTrans2D1" presStyleIdx="4" presStyleCnt="6"/>
      <dgm:spPr/>
      <dgm:t>
        <a:bodyPr/>
        <a:lstStyle/>
        <a:p>
          <a:endParaRPr lang="en-AU"/>
        </a:p>
      </dgm:t>
    </dgm:pt>
    <dgm:pt modelId="{5C522421-0428-4DD7-8346-DC8D9903E2C3}" type="pres">
      <dgm:prSet presAssocID="{F70655AF-7E24-4F30-9834-024D5BD4DBA2}" presName="node" presStyleLbl="node1" presStyleIdx="5" presStyleCnt="7">
        <dgm:presLayoutVars>
          <dgm:bulletEnabled val="1"/>
        </dgm:presLayoutVars>
      </dgm:prSet>
      <dgm:spPr/>
      <dgm:t>
        <a:bodyPr/>
        <a:lstStyle/>
        <a:p>
          <a:endParaRPr lang="en-AU"/>
        </a:p>
      </dgm:t>
    </dgm:pt>
    <dgm:pt modelId="{A7891935-44F4-4461-9831-7FE033F5150A}" type="pres">
      <dgm:prSet presAssocID="{1A0885A2-FA58-483B-ACE4-2A05E4F0FD62}" presName="sibTrans" presStyleLbl="sibTrans2D1" presStyleIdx="5" presStyleCnt="6"/>
      <dgm:spPr/>
      <dgm:t>
        <a:bodyPr/>
        <a:lstStyle/>
        <a:p>
          <a:endParaRPr lang="en-AU"/>
        </a:p>
      </dgm:t>
    </dgm:pt>
    <dgm:pt modelId="{0961766A-DFCA-404F-958D-EA172C062943}" type="pres">
      <dgm:prSet presAssocID="{1A0885A2-FA58-483B-ACE4-2A05E4F0FD62}" presName="connectorText" presStyleLbl="sibTrans2D1" presStyleIdx="5" presStyleCnt="6"/>
      <dgm:spPr/>
      <dgm:t>
        <a:bodyPr/>
        <a:lstStyle/>
        <a:p>
          <a:endParaRPr lang="en-AU"/>
        </a:p>
      </dgm:t>
    </dgm:pt>
    <dgm:pt modelId="{8F2E2CB7-903F-4AAB-8413-0E4DE7B6B845}" type="pres">
      <dgm:prSet presAssocID="{744800A0-7D7F-4628-B58E-626B1C01FE67}" presName="node" presStyleLbl="node1" presStyleIdx="6" presStyleCnt="7">
        <dgm:presLayoutVars>
          <dgm:bulletEnabled val="1"/>
        </dgm:presLayoutVars>
      </dgm:prSet>
      <dgm:spPr/>
      <dgm:t>
        <a:bodyPr/>
        <a:lstStyle/>
        <a:p>
          <a:endParaRPr lang="en-AU"/>
        </a:p>
      </dgm:t>
    </dgm:pt>
  </dgm:ptLst>
  <dgm:cxnLst>
    <dgm:cxn modelId="{80E7E5DA-89C8-415B-817B-C77054808D99}" type="presOf" srcId="{E37A018F-D761-4C3E-A402-D3F11EAA5068}" destId="{5A08AE6D-317E-4594-9AEE-010EB543F28A}" srcOrd="0" destOrd="0" presId="urn:microsoft.com/office/officeart/2005/8/layout/process5"/>
    <dgm:cxn modelId="{5950B183-2653-46DD-ACAE-94294607A2AE}" type="presOf" srcId="{4F9669A7-5B2F-46BB-8EC3-78162A45628F}" destId="{0A5ADDF9-B932-47B2-B486-B6F94860DA2A}" srcOrd="0" destOrd="0" presId="urn:microsoft.com/office/officeart/2005/8/layout/process5"/>
    <dgm:cxn modelId="{2EDE2848-12D7-4CBF-A4A9-E418097240B7}" type="presOf" srcId="{80B843CE-6243-42AD-A995-5E4D4FBA9A82}" destId="{3B8A3C48-7558-453C-8C51-AB445BA04F75}" srcOrd="0" destOrd="0" presId="urn:microsoft.com/office/officeart/2005/8/layout/process5"/>
    <dgm:cxn modelId="{1E020B45-E31E-434C-9C82-D75AC072CAC3}" type="presOf" srcId="{5A549A4C-C823-4611-86A9-A627E51F18AA}" destId="{EAE24D29-40C8-4296-89EC-840F4E124DA7}" srcOrd="1" destOrd="0" presId="urn:microsoft.com/office/officeart/2005/8/layout/process5"/>
    <dgm:cxn modelId="{C65C60B0-56FF-4310-AF71-9DA080B8F31A}" srcId="{A62A29CD-6E2E-4951-9999-772F07B622FC}" destId="{F70655AF-7E24-4F30-9834-024D5BD4DBA2}" srcOrd="5" destOrd="0" parTransId="{578C2332-3CE9-489B-B4BD-388AA7323FB3}" sibTransId="{1A0885A2-FA58-483B-ACE4-2A05E4F0FD62}"/>
    <dgm:cxn modelId="{50BED778-B709-40F7-850D-42DD49DF9C20}" type="presOf" srcId="{2B285335-2F10-4467-84AC-9BE43538F799}" destId="{53B1A87B-BAB4-4413-AC85-CA97BC64EE12}" srcOrd="0" destOrd="0" presId="urn:microsoft.com/office/officeart/2005/8/layout/process5"/>
    <dgm:cxn modelId="{D5D236C4-8982-43B2-AAFE-B2F345081AAE}" type="presOf" srcId="{1A0885A2-FA58-483B-ACE4-2A05E4F0FD62}" destId="{0961766A-DFCA-404F-958D-EA172C062943}" srcOrd="1" destOrd="0" presId="urn:microsoft.com/office/officeart/2005/8/layout/process5"/>
    <dgm:cxn modelId="{BE1EB4D1-8A53-4409-8958-1424B9A0E8C5}" type="presOf" srcId="{565FCB3F-B8CF-45E1-9F93-61B3CCA26DBE}" destId="{D451202C-3F83-481C-810C-A7DB9085BBF5}" srcOrd="0" destOrd="0" presId="urn:microsoft.com/office/officeart/2005/8/layout/process5"/>
    <dgm:cxn modelId="{EBD073DB-0185-4710-8B62-E2403418C7E5}" type="presOf" srcId="{EA7646B8-755B-4C61-9ED8-2AD7F0026A98}" destId="{D49A8DA3-A14E-46D1-8CA4-BB7499910640}" srcOrd="0" destOrd="0" presId="urn:microsoft.com/office/officeart/2005/8/layout/process5"/>
    <dgm:cxn modelId="{8A8CA2C3-9F4B-427B-974C-EF52E1F57DB7}" srcId="{A62A29CD-6E2E-4951-9999-772F07B622FC}" destId="{4F9669A7-5B2F-46BB-8EC3-78162A45628F}" srcOrd="1" destOrd="0" parTransId="{3C1302AA-5353-4CC4-A1CD-BA07CC10BABA}" sibTransId="{1B737826-F8ED-4423-95C7-290618F2C3CF}"/>
    <dgm:cxn modelId="{214284CB-D503-4DCE-87F8-17DD715FA787}" srcId="{A62A29CD-6E2E-4951-9999-772F07B622FC}" destId="{3E39C786-AF50-4641-BDA2-A1CE8BC1EEEF}" srcOrd="2" destOrd="0" parTransId="{52C609E3-9558-4384-989F-A5918777A17C}" sibTransId="{EA7646B8-755B-4C61-9ED8-2AD7F0026A98}"/>
    <dgm:cxn modelId="{BF39BFAD-77F1-4B80-9163-4C8F51741035}" srcId="{A62A29CD-6E2E-4951-9999-772F07B622FC}" destId="{D6AC911F-1666-405A-BBAC-F02133D1514E}" srcOrd="4" destOrd="0" parTransId="{D5F25FFC-1EB0-4E90-B0C8-911BF37A0203}" sibTransId="{5A549A4C-C823-4611-86A9-A627E51F18AA}"/>
    <dgm:cxn modelId="{66A293EE-981A-4448-BE34-51F1DDF6BF92}" srcId="{A62A29CD-6E2E-4951-9999-772F07B622FC}" destId="{E37A018F-D761-4C3E-A402-D3F11EAA5068}" srcOrd="3" destOrd="0" parTransId="{46F7CCD8-C01C-482E-B625-0D9987957A4B}" sibTransId="{80B843CE-6243-42AD-A995-5E4D4FBA9A82}"/>
    <dgm:cxn modelId="{EAF4BD78-F301-4E53-894D-334806FC50DD}" srcId="{A62A29CD-6E2E-4951-9999-772F07B622FC}" destId="{565FCB3F-B8CF-45E1-9F93-61B3CCA26DBE}" srcOrd="0" destOrd="0" parTransId="{22D1F967-D8CD-4D1F-8E03-F8AA67E07D96}" sibTransId="{2B285335-2F10-4467-84AC-9BE43538F799}"/>
    <dgm:cxn modelId="{A7766C39-17AA-4CB2-9800-CC7A4F7D4F44}" type="presOf" srcId="{A62A29CD-6E2E-4951-9999-772F07B622FC}" destId="{8D0AE268-0DC2-4A7A-9C6A-8D39FA179F1B}" srcOrd="0" destOrd="0" presId="urn:microsoft.com/office/officeart/2005/8/layout/process5"/>
    <dgm:cxn modelId="{9A3A7FF6-4665-46E2-A832-45C107494FB9}" type="presOf" srcId="{D6AC911F-1666-405A-BBAC-F02133D1514E}" destId="{55F70AFF-8FDE-44D8-9134-512D4E1160FD}" srcOrd="0" destOrd="0" presId="urn:microsoft.com/office/officeart/2005/8/layout/process5"/>
    <dgm:cxn modelId="{5D1A8005-0357-45FC-AFA6-F23E1A00437D}" type="presOf" srcId="{1B737826-F8ED-4423-95C7-290618F2C3CF}" destId="{BF87DC6C-F258-418E-A072-9E9D41D60570}" srcOrd="0" destOrd="0" presId="urn:microsoft.com/office/officeart/2005/8/layout/process5"/>
    <dgm:cxn modelId="{856829C6-9552-42C8-B207-B288C6AD6F41}" type="presOf" srcId="{3E39C786-AF50-4641-BDA2-A1CE8BC1EEEF}" destId="{06A3E7FA-FE6C-43FE-931D-3D8C8D3AE927}" srcOrd="0" destOrd="0" presId="urn:microsoft.com/office/officeart/2005/8/layout/process5"/>
    <dgm:cxn modelId="{75438418-C53B-4560-80B6-92579BB1FB80}" type="presOf" srcId="{1A0885A2-FA58-483B-ACE4-2A05E4F0FD62}" destId="{A7891935-44F4-4461-9831-7FE033F5150A}" srcOrd="0" destOrd="0" presId="urn:microsoft.com/office/officeart/2005/8/layout/process5"/>
    <dgm:cxn modelId="{3BB3EFE4-332B-4773-A7B1-AF45E19CE4E5}" srcId="{A62A29CD-6E2E-4951-9999-772F07B622FC}" destId="{744800A0-7D7F-4628-B58E-626B1C01FE67}" srcOrd="6" destOrd="0" parTransId="{2199E3B0-4FAD-4B2C-A2B2-D405BEB03424}" sibTransId="{6AA9E4F9-6971-42DE-9666-ADCB557CD828}"/>
    <dgm:cxn modelId="{1DDBC75E-68F9-4EA9-97A1-47E0620C2C9B}" type="presOf" srcId="{744800A0-7D7F-4628-B58E-626B1C01FE67}" destId="{8F2E2CB7-903F-4AAB-8413-0E4DE7B6B845}" srcOrd="0" destOrd="0" presId="urn:microsoft.com/office/officeart/2005/8/layout/process5"/>
    <dgm:cxn modelId="{06FAFF41-F3DE-4486-8A36-CDEF03108C1A}" type="presOf" srcId="{5A549A4C-C823-4611-86A9-A627E51F18AA}" destId="{17735C8B-85F4-4D61-8ED3-4349E2DA8899}" srcOrd="0" destOrd="0" presId="urn:microsoft.com/office/officeart/2005/8/layout/process5"/>
    <dgm:cxn modelId="{29EFA633-5425-4243-85D9-E969FC300E91}" type="presOf" srcId="{80B843CE-6243-42AD-A995-5E4D4FBA9A82}" destId="{E971500A-BD8F-4555-98B9-36B49322A2AE}" srcOrd="1" destOrd="0" presId="urn:microsoft.com/office/officeart/2005/8/layout/process5"/>
    <dgm:cxn modelId="{25064571-E7A2-49E4-94A1-2A1677E2D70A}" type="presOf" srcId="{EA7646B8-755B-4C61-9ED8-2AD7F0026A98}" destId="{73DF85DD-6EC6-4F3B-A59A-14A34F48171D}" srcOrd="1" destOrd="0" presId="urn:microsoft.com/office/officeart/2005/8/layout/process5"/>
    <dgm:cxn modelId="{89920276-1B6A-4E64-8941-83531C409E32}" type="presOf" srcId="{1B737826-F8ED-4423-95C7-290618F2C3CF}" destId="{CB872F7A-503E-4AC8-A22D-78D69090C4EA}" srcOrd="1" destOrd="0" presId="urn:microsoft.com/office/officeart/2005/8/layout/process5"/>
    <dgm:cxn modelId="{B7902E6E-62B7-4A23-9E6E-A70B6B4D482C}" type="presOf" srcId="{2B285335-2F10-4467-84AC-9BE43538F799}" destId="{0DAA101F-1847-49D1-A72C-064AD19602AF}" srcOrd="1" destOrd="0" presId="urn:microsoft.com/office/officeart/2005/8/layout/process5"/>
    <dgm:cxn modelId="{CA90A11B-EBB6-44CB-B597-5B5B53AF4FE5}" type="presOf" srcId="{F70655AF-7E24-4F30-9834-024D5BD4DBA2}" destId="{5C522421-0428-4DD7-8346-DC8D9903E2C3}" srcOrd="0" destOrd="0" presId="urn:microsoft.com/office/officeart/2005/8/layout/process5"/>
    <dgm:cxn modelId="{4B028F46-D77F-44D7-8286-1F0A8FCBA5FC}" type="presParOf" srcId="{8D0AE268-0DC2-4A7A-9C6A-8D39FA179F1B}" destId="{D451202C-3F83-481C-810C-A7DB9085BBF5}" srcOrd="0" destOrd="0" presId="urn:microsoft.com/office/officeart/2005/8/layout/process5"/>
    <dgm:cxn modelId="{E7A314D9-4294-454E-A8FE-2DD79F99A0D9}" type="presParOf" srcId="{8D0AE268-0DC2-4A7A-9C6A-8D39FA179F1B}" destId="{53B1A87B-BAB4-4413-AC85-CA97BC64EE12}" srcOrd="1" destOrd="0" presId="urn:microsoft.com/office/officeart/2005/8/layout/process5"/>
    <dgm:cxn modelId="{C171EF58-3D62-4EFD-A86A-852BDBF16535}" type="presParOf" srcId="{53B1A87B-BAB4-4413-AC85-CA97BC64EE12}" destId="{0DAA101F-1847-49D1-A72C-064AD19602AF}" srcOrd="0" destOrd="0" presId="urn:microsoft.com/office/officeart/2005/8/layout/process5"/>
    <dgm:cxn modelId="{B0B2C406-5077-4A00-99F9-F0EB8A87EF65}" type="presParOf" srcId="{8D0AE268-0DC2-4A7A-9C6A-8D39FA179F1B}" destId="{0A5ADDF9-B932-47B2-B486-B6F94860DA2A}" srcOrd="2" destOrd="0" presId="urn:microsoft.com/office/officeart/2005/8/layout/process5"/>
    <dgm:cxn modelId="{54AE8424-FF4C-4D8C-8941-990F43703B57}" type="presParOf" srcId="{8D0AE268-0DC2-4A7A-9C6A-8D39FA179F1B}" destId="{BF87DC6C-F258-418E-A072-9E9D41D60570}" srcOrd="3" destOrd="0" presId="urn:microsoft.com/office/officeart/2005/8/layout/process5"/>
    <dgm:cxn modelId="{8ED94E91-F777-4A26-B757-9A6BC37EEAF4}" type="presParOf" srcId="{BF87DC6C-F258-418E-A072-9E9D41D60570}" destId="{CB872F7A-503E-4AC8-A22D-78D69090C4EA}" srcOrd="0" destOrd="0" presId="urn:microsoft.com/office/officeart/2005/8/layout/process5"/>
    <dgm:cxn modelId="{BF7521B3-D67D-454D-B49D-EDBDCAA58748}" type="presParOf" srcId="{8D0AE268-0DC2-4A7A-9C6A-8D39FA179F1B}" destId="{06A3E7FA-FE6C-43FE-931D-3D8C8D3AE927}" srcOrd="4" destOrd="0" presId="urn:microsoft.com/office/officeart/2005/8/layout/process5"/>
    <dgm:cxn modelId="{69E59C79-80B3-47D9-8CBA-3A7BB3B3514B}" type="presParOf" srcId="{8D0AE268-0DC2-4A7A-9C6A-8D39FA179F1B}" destId="{D49A8DA3-A14E-46D1-8CA4-BB7499910640}" srcOrd="5" destOrd="0" presId="urn:microsoft.com/office/officeart/2005/8/layout/process5"/>
    <dgm:cxn modelId="{186F4B4F-0C3E-44A4-AEF8-873FD2AC01D4}" type="presParOf" srcId="{D49A8DA3-A14E-46D1-8CA4-BB7499910640}" destId="{73DF85DD-6EC6-4F3B-A59A-14A34F48171D}" srcOrd="0" destOrd="0" presId="urn:microsoft.com/office/officeart/2005/8/layout/process5"/>
    <dgm:cxn modelId="{59C7642A-770A-4B50-9804-327812D1CC7B}" type="presParOf" srcId="{8D0AE268-0DC2-4A7A-9C6A-8D39FA179F1B}" destId="{5A08AE6D-317E-4594-9AEE-010EB543F28A}" srcOrd="6" destOrd="0" presId="urn:microsoft.com/office/officeart/2005/8/layout/process5"/>
    <dgm:cxn modelId="{CC9A8946-2598-424A-B8D4-6AC46B6DF575}" type="presParOf" srcId="{8D0AE268-0DC2-4A7A-9C6A-8D39FA179F1B}" destId="{3B8A3C48-7558-453C-8C51-AB445BA04F75}" srcOrd="7" destOrd="0" presId="urn:microsoft.com/office/officeart/2005/8/layout/process5"/>
    <dgm:cxn modelId="{8138D432-6E7E-41F7-AC82-81B4FF55E53B}" type="presParOf" srcId="{3B8A3C48-7558-453C-8C51-AB445BA04F75}" destId="{E971500A-BD8F-4555-98B9-36B49322A2AE}" srcOrd="0" destOrd="0" presId="urn:microsoft.com/office/officeart/2005/8/layout/process5"/>
    <dgm:cxn modelId="{8034C7BA-1C3F-44AC-8BBD-BA25E76C6F5E}" type="presParOf" srcId="{8D0AE268-0DC2-4A7A-9C6A-8D39FA179F1B}" destId="{55F70AFF-8FDE-44D8-9134-512D4E1160FD}" srcOrd="8" destOrd="0" presId="urn:microsoft.com/office/officeart/2005/8/layout/process5"/>
    <dgm:cxn modelId="{9366F92E-7BC4-4859-8906-1428E7D09156}" type="presParOf" srcId="{8D0AE268-0DC2-4A7A-9C6A-8D39FA179F1B}" destId="{17735C8B-85F4-4D61-8ED3-4349E2DA8899}" srcOrd="9" destOrd="0" presId="urn:microsoft.com/office/officeart/2005/8/layout/process5"/>
    <dgm:cxn modelId="{0E7699E8-09F0-46C5-9434-69276C7EF6C4}" type="presParOf" srcId="{17735C8B-85F4-4D61-8ED3-4349E2DA8899}" destId="{EAE24D29-40C8-4296-89EC-840F4E124DA7}" srcOrd="0" destOrd="0" presId="urn:microsoft.com/office/officeart/2005/8/layout/process5"/>
    <dgm:cxn modelId="{B027096C-C35F-4160-81EA-BEDF04958430}" type="presParOf" srcId="{8D0AE268-0DC2-4A7A-9C6A-8D39FA179F1B}" destId="{5C522421-0428-4DD7-8346-DC8D9903E2C3}" srcOrd="10" destOrd="0" presId="urn:microsoft.com/office/officeart/2005/8/layout/process5"/>
    <dgm:cxn modelId="{ACD787B3-5D3D-4B17-A859-E0036A696B67}" type="presParOf" srcId="{8D0AE268-0DC2-4A7A-9C6A-8D39FA179F1B}" destId="{A7891935-44F4-4461-9831-7FE033F5150A}" srcOrd="11" destOrd="0" presId="urn:microsoft.com/office/officeart/2005/8/layout/process5"/>
    <dgm:cxn modelId="{65529270-68C2-4776-AA89-3E60C1D19385}" type="presParOf" srcId="{A7891935-44F4-4461-9831-7FE033F5150A}" destId="{0961766A-DFCA-404F-958D-EA172C062943}" srcOrd="0" destOrd="0" presId="urn:microsoft.com/office/officeart/2005/8/layout/process5"/>
    <dgm:cxn modelId="{5EBECA3F-3701-445B-88C1-AA58D5735E40}" type="presParOf" srcId="{8D0AE268-0DC2-4A7A-9C6A-8D39FA179F1B}" destId="{8F2E2CB7-903F-4AAB-8413-0E4DE7B6B845}" srcOrd="12"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51202C-3F83-481C-810C-A7DB9085BBF5}">
      <dsp:nvSpPr>
        <dsp:cNvPr id="0" name=""/>
        <dsp:cNvSpPr/>
      </dsp:nvSpPr>
      <dsp:spPr>
        <a:xfrm>
          <a:off x="419226" y="1216"/>
          <a:ext cx="1366018" cy="819611"/>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Identifying tasks related to regulatory charging activities</a:t>
          </a:r>
        </a:p>
      </dsp:txBody>
      <dsp:txXfrm>
        <a:off x="443232" y="25222"/>
        <a:ext cx="1318006" cy="771599"/>
      </dsp:txXfrm>
    </dsp:sp>
    <dsp:sp modelId="{53B1A87B-BAB4-4413-AC85-CA97BC64EE12}">
      <dsp:nvSpPr>
        <dsp:cNvPr id="0" name=""/>
        <dsp:cNvSpPr/>
      </dsp:nvSpPr>
      <dsp:spPr>
        <a:xfrm>
          <a:off x="1905455" y="241636"/>
          <a:ext cx="289596" cy="338772"/>
        </a:xfrm>
        <a:prstGeom prst="rightArrow">
          <a:avLst>
            <a:gd name="adj1" fmla="val 60000"/>
            <a:gd name="adj2" fmla="val 50000"/>
          </a:avLst>
        </a:prstGeom>
        <a:solidFill>
          <a:schemeClr val="accent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1905455" y="309390"/>
        <a:ext cx="202717" cy="203264"/>
      </dsp:txXfrm>
    </dsp:sp>
    <dsp:sp modelId="{0A5ADDF9-B932-47B2-B486-B6F94860DA2A}">
      <dsp:nvSpPr>
        <dsp:cNvPr id="0" name=""/>
        <dsp:cNvSpPr/>
      </dsp:nvSpPr>
      <dsp:spPr>
        <a:xfrm>
          <a:off x="2331653" y="1216"/>
          <a:ext cx="1366018" cy="819611"/>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Time taken to complete the task</a:t>
          </a:r>
        </a:p>
      </dsp:txBody>
      <dsp:txXfrm>
        <a:off x="2355659" y="25222"/>
        <a:ext cx="1318006" cy="771599"/>
      </dsp:txXfrm>
    </dsp:sp>
    <dsp:sp modelId="{BF87DC6C-F258-418E-A072-9E9D41D60570}">
      <dsp:nvSpPr>
        <dsp:cNvPr id="0" name=""/>
        <dsp:cNvSpPr/>
      </dsp:nvSpPr>
      <dsp:spPr>
        <a:xfrm>
          <a:off x="3817881" y="241636"/>
          <a:ext cx="289596" cy="338772"/>
        </a:xfrm>
        <a:prstGeom prst="rightArrow">
          <a:avLst>
            <a:gd name="adj1" fmla="val 60000"/>
            <a:gd name="adj2" fmla="val 50000"/>
          </a:avLst>
        </a:prstGeom>
        <a:solidFill>
          <a:schemeClr val="accent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3817881" y="309390"/>
        <a:ext cx="202717" cy="203264"/>
      </dsp:txXfrm>
    </dsp:sp>
    <dsp:sp modelId="{06A3E7FA-FE6C-43FE-931D-3D8C8D3AE927}">
      <dsp:nvSpPr>
        <dsp:cNvPr id="0" name=""/>
        <dsp:cNvSpPr/>
      </dsp:nvSpPr>
      <dsp:spPr>
        <a:xfrm>
          <a:off x="4244079" y="1216"/>
          <a:ext cx="1366018" cy="819611"/>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Resource plan </a:t>
          </a:r>
          <a:br>
            <a:rPr lang="en-AU" sz="800" kern="1200"/>
          </a:br>
          <a:r>
            <a:rPr lang="en-AU" sz="800" kern="1200"/>
            <a:t/>
          </a:r>
          <a:br>
            <a:rPr lang="en-AU" sz="800" kern="1200"/>
          </a:br>
          <a:r>
            <a:rPr lang="en-AU" sz="800" kern="1200"/>
            <a:t>The number and classification of FTEs required to deliver the output </a:t>
          </a:r>
        </a:p>
      </dsp:txBody>
      <dsp:txXfrm>
        <a:off x="4268085" y="25222"/>
        <a:ext cx="1318006" cy="771599"/>
      </dsp:txXfrm>
    </dsp:sp>
    <dsp:sp modelId="{D49A8DA3-A14E-46D1-8CA4-BB7499910640}">
      <dsp:nvSpPr>
        <dsp:cNvPr id="0" name=""/>
        <dsp:cNvSpPr/>
      </dsp:nvSpPr>
      <dsp:spPr>
        <a:xfrm rot="5400000">
          <a:off x="4782291" y="916449"/>
          <a:ext cx="289596" cy="338772"/>
        </a:xfrm>
        <a:prstGeom prst="rightArrow">
          <a:avLst>
            <a:gd name="adj1" fmla="val 60000"/>
            <a:gd name="adj2" fmla="val 50000"/>
          </a:avLst>
        </a:prstGeom>
        <a:solidFill>
          <a:schemeClr val="accent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rot="-5400000">
        <a:off x="4825458" y="941037"/>
        <a:ext cx="203264" cy="202717"/>
      </dsp:txXfrm>
    </dsp:sp>
    <dsp:sp modelId="{5A08AE6D-317E-4594-9AEE-010EB543F28A}">
      <dsp:nvSpPr>
        <dsp:cNvPr id="0" name=""/>
        <dsp:cNvSpPr/>
      </dsp:nvSpPr>
      <dsp:spPr>
        <a:xfrm>
          <a:off x="4244079" y="1367235"/>
          <a:ext cx="1366018" cy="819611"/>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Allocation of direct costs to the regulatory team</a:t>
          </a:r>
          <a:br>
            <a:rPr lang="en-AU" sz="800" kern="1200"/>
          </a:br>
          <a:r>
            <a:rPr lang="en-AU" sz="800" kern="1200"/>
            <a:t/>
          </a:r>
          <a:br>
            <a:rPr lang="en-AU" sz="800" kern="1200"/>
          </a:br>
          <a:r>
            <a:rPr lang="en-AU" sz="800" kern="1200"/>
            <a:t>Proportional allocation based on resource plan</a:t>
          </a:r>
        </a:p>
      </dsp:txBody>
      <dsp:txXfrm>
        <a:off x="4268085" y="1391241"/>
        <a:ext cx="1318006" cy="771599"/>
      </dsp:txXfrm>
    </dsp:sp>
    <dsp:sp modelId="{3B8A3C48-7558-453C-8C51-AB445BA04F75}">
      <dsp:nvSpPr>
        <dsp:cNvPr id="0" name=""/>
        <dsp:cNvSpPr/>
      </dsp:nvSpPr>
      <dsp:spPr>
        <a:xfrm rot="10800000">
          <a:off x="3834273" y="1607655"/>
          <a:ext cx="289596" cy="338772"/>
        </a:xfrm>
        <a:prstGeom prst="rightArrow">
          <a:avLst>
            <a:gd name="adj1" fmla="val 60000"/>
            <a:gd name="adj2" fmla="val 50000"/>
          </a:avLst>
        </a:prstGeom>
        <a:solidFill>
          <a:schemeClr val="accent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rot="10800000">
        <a:off x="3921152" y="1675409"/>
        <a:ext cx="202717" cy="203264"/>
      </dsp:txXfrm>
    </dsp:sp>
    <dsp:sp modelId="{55F70AFF-8FDE-44D8-9134-512D4E1160FD}">
      <dsp:nvSpPr>
        <dsp:cNvPr id="0" name=""/>
        <dsp:cNvSpPr/>
      </dsp:nvSpPr>
      <dsp:spPr>
        <a:xfrm>
          <a:off x="2331653" y="1367235"/>
          <a:ext cx="1366018" cy="819611"/>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Allocation of indirect costs to the regulatory team</a:t>
          </a:r>
          <a:br>
            <a:rPr lang="en-AU" sz="800" kern="1200"/>
          </a:br>
          <a:r>
            <a:rPr lang="en-AU" sz="800" kern="1200"/>
            <a:t/>
          </a:r>
          <a:br>
            <a:rPr lang="en-AU" sz="800" kern="1200"/>
          </a:br>
          <a:r>
            <a:rPr lang="en-AU" sz="800" kern="1200"/>
            <a:t>Proportional allocation based on Resource plan</a:t>
          </a:r>
        </a:p>
      </dsp:txBody>
      <dsp:txXfrm>
        <a:off x="2355659" y="1391241"/>
        <a:ext cx="1318006" cy="771599"/>
      </dsp:txXfrm>
    </dsp:sp>
    <dsp:sp modelId="{17735C8B-85F4-4D61-8ED3-4349E2DA8899}">
      <dsp:nvSpPr>
        <dsp:cNvPr id="0" name=""/>
        <dsp:cNvSpPr/>
      </dsp:nvSpPr>
      <dsp:spPr>
        <a:xfrm rot="10800000">
          <a:off x="1921847" y="1607655"/>
          <a:ext cx="289596" cy="338772"/>
        </a:xfrm>
        <a:prstGeom prst="rightArrow">
          <a:avLst>
            <a:gd name="adj1" fmla="val 60000"/>
            <a:gd name="adj2" fmla="val 50000"/>
          </a:avLst>
        </a:prstGeom>
        <a:solidFill>
          <a:schemeClr val="accent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rot="10800000">
        <a:off x="2008726" y="1675409"/>
        <a:ext cx="202717" cy="203264"/>
      </dsp:txXfrm>
    </dsp:sp>
    <dsp:sp modelId="{5C522421-0428-4DD7-8346-DC8D9903E2C3}">
      <dsp:nvSpPr>
        <dsp:cNvPr id="0" name=""/>
        <dsp:cNvSpPr/>
      </dsp:nvSpPr>
      <dsp:spPr>
        <a:xfrm>
          <a:off x="419226" y="1367235"/>
          <a:ext cx="1366018" cy="819611"/>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Cost of tasks</a:t>
          </a:r>
          <a:br>
            <a:rPr lang="en-AU" sz="800" kern="1200"/>
          </a:br>
          <a:r>
            <a:rPr lang="en-AU" sz="800" kern="1200"/>
            <a:t/>
          </a:r>
          <a:br>
            <a:rPr lang="en-AU" sz="800" kern="1200"/>
          </a:br>
          <a:r>
            <a:rPr lang="en-AU" sz="800" kern="1200"/>
            <a:t>Fully-loaded cost of each task is calculated as the sum of associated direct and indirect costs</a:t>
          </a:r>
        </a:p>
      </dsp:txBody>
      <dsp:txXfrm>
        <a:off x="443232" y="1391241"/>
        <a:ext cx="1318006" cy="771599"/>
      </dsp:txXfrm>
    </dsp:sp>
    <dsp:sp modelId="{A7891935-44F4-4461-9831-7FE033F5150A}">
      <dsp:nvSpPr>
        <dsp:cNvPr id="0" name=""/>
        <dsp:cNvSpPr/>
      </dsp:nvSpPr>
      <dsp:spPr>
        <a:xfrm rot="5400000">
          <a:off x="957437" y="2282468"/>
          <a:ext cx="289596" cy="338772"/>
        </a:xfrm>
        <a:prstGeom prst="rightArrow">
          <a:avLst>
            <a:gd name="adj1" fmla="val 60000"/>
            <a:gd name="adj2" fmla="val 50000"/>
          </a:avLst>
        </a:prstGeom>
        <a:solidFill>
          <a:schemeClr val="accent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rot="-5400000">
        <a:off x="1000604" y="2307056"/>
        <a:ext cx="203264" cy="202717"/>
      </dsp:txXfrm>
    </dsp:sp>
    <dsp:sp modelId="{8F2E2CB7-903F-4AAB-8413-0E4DE7B6B845}">
      <dsp:nvSpPr>
        <dsp:cNvPr id="0" name=""/>
        <dsp:cNvSpPr/>
      </dsp:nvSpPr>
      <dsp:spPr>
        <a:xfrm>
          <a:off x="419226" y="2733254"/>
          <a:ext cx="1366018" cy="819611"/>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Cost of regulatory activity</a:t>
          </a:r>
          <a:br>
            <a:rPr lang="en-AU" sz="800" kern="1200"/>
          </a:br>
          <a:r>
            <a:rPr lang="en-AU" sz="800" kern="1200"/>
            <a:t/>
          </a:r>
          <a:br>
            <a:rPr lang="en-AU" sz="800" kern="1200"/>
          </a:br>
          <a:r>
            <a:rPr lang="en-AU" sz="800" kern="1200"/>
            <a:t>Costs associated with the output of each regulatory activity is caluclated as the sum of associated tasks</a:t>
          </a:r>
        </a:p>
      </dsp:txBody>
      <dsp:txXfrm>
        <a:off x="443232" y="2757260"/>
        <a:ext cx="1318006" cy="7715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E7F3D52-3C79-415A-96DB-B2FFBF5729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36138016D53FD419F024CAB4C4D166E" ma:contentTypeVersion="" ma:contentTypeDescription="PDMS Document Site Content Type" ma:contentTypeScope="" ma:versionID="2edd0ff60983894bcfbf82928acc8efe">
  <xsd:schema xmlns:xsd="http://www.w3.org/2001/XMLSchema" xmlns:xs="http://www.w3.org/2001/XMLSchema" xmlns:p="http://schemas.microsoft.com/office/2006/metadata/properties" xmlns:ns2="BE7F3D52-3C79-415A-96DB-B2FFBF572955" targetNamespace="http://schemas.microsoft.com/office/2006/metadata/properties" ma:root="true" ma:fieldsID="2aeacd3327ce4e72ff200f62337b028a" ns2:_="">
    <xsd:import namespace="BE7F3D52-3C79-415A-96DB-B2FFBF5729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F3D52-3C79-415A-96DB-B2FFBF5729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6E859-1437-418B-BA75-357B1BF52BA2}">
  <ds:schemaRefs>
    <ds:schemaRef ds:uri="http://schemas.microsoft.com/sharepoint/v3/contenttype/forms"/>
  </ds:schemaRefs>
</ds:datastoreItem>
</file>

<file path=customXml/itemProps2.xml><?xml version="1.0" encoding="utf-8"?>
<ds:datastoreItem xmlns:ds="http://schemas.openxmlformats.org/officeDocument/2006/customXml" ds:itemID="{648F84CA-0CB7-4BAF-B70E-FEBB159D8520}">
  <ds:schemaRefs>
    <ds:schemaRef ds:uri="BE7F3D52-3C79-415A-96DB-B2FFBF572955"/>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3A60F11-D788-46AD-98AF-72E018611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F3D52-3C79-415A-96DB-B2FFBF572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E3280-9E78-4675-85B4-79A57FC6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8907</Words>
  <Characters>50771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Cost Recovery Implementation Statement Template</vt:lpstr>
    </vt:vector>
  </TitlesOfParts>
  <Company>FINANCE</Company>
  <LinksUpToDate>false</LinksUpToDate>
  <CharactersWithSpaces>59559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Template</dc:title>
  <dc:subject/>
  <dc:creator>Department of Finance</dc:creator>
  <cp:keywords/>
  <dc:description/>
  <cp:lastModifiedBy>Ramakrishnan, Sowmya</cp:lastModifiedBy>
  <cp:revision>3</cp:revision>
  <cp:lastPrinted>2021-11-11T07:11:00Z</cp:lastPrinted>
  <dcterms:created xsi:type="dcterms:W3CDTF">2021-11-11T07:11:00Z</dcterms:created>
  <dcterms:modified xsi:type="dcterms:W3CDTF">2021-11-11T07:11:00Z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0x010100266966F133664895A6EE3632470D45F500C36138016D53FD419F024CAB4C4D166E</vt:lpwstr>
  </property>
  <property fmtid="{D5CDD505-2E9C-101B-9397-08002B2CF9AE}" pid="3" name="DocHub_Year">
    <vt:lpwstr/>
  </property>
  <property fmtid="{D5CDD505-2E9C-101B-9397-08002B2CF9AE}" pid="4" name="DocHub_ProgrammeName">
    <vt:lpwstr/>
  </property>
  <property fmtid="{D5CDD505-2E9C-101B-9397-08002B2CF9AE}" pid="5" name="DocHub_DocumentType">
    <vt:lpwstr>108;#Statement|ae910bea-4712-4caf-9c51-fbe8648fbf7b</vt:lpwstr>
  </property>
  <property fmtid="{D5CDD505-2E9C-101B-9397-08002B2CF9AE}" pid="6" name="DocHub_SecurityClassification">
    <vt:lpwstr>3;#UNCLASSIFIED|6106d03b-a1a0-4e30-9d91-d5e9fb4314f9</vt:lpwstr>
  </property>
  <property fmtid="{D5CDD505-2E9C-101B-9397-08002B2CF9AE}" pid="7" name="DocHub_DepartmentalDivisions">
    <vt:lpwstr/>
  </property>
  <property fmtid="{D5CDD505-2E9C-101B-9397-08002B2CF9AE}" pid="8" name="DocHub_GovernmentEntities">
    <vt:lpwstr/>
  </property>
  <property fmtid="{D5CDD505-2E9C-101B-9397-08002B2CF9AE}" pid="9" name="DocHub_FinanceTopic">
    <vt:lpwstr/>
  </property>
  <property fmtid="{D5CDD505-2E9C-101B-9397-08002B2CF9AE}" pid="10" name="DocHub_WorkActivity">
    <vt:lpwstr/>
  </property>
  <property fmtid="{D5CDD505-2E9C-101B-9397-08002B2CF9AE}" pid="11" name="DocHub_FinanceActivity">
    <vt:lpwstr/>
  </property>
  <property fmtid="{D5CDD505-2E9C-101B-9397-08002B2CF9AE}" pid="12" name="DocHub_FinanceAssignment">
    <vt:lpwstr/>
  </property>
  <property fmtid="{D5CDD505-2E9C-101B-9397-08002B2CF9AE}" pid="13" name="DocHub_Keywords">
    <vt:lpwstr/>
  </property>
  <property fmtid="{D5CDD505-2E9C-101B-9397-08002B2CF9AE}" pid="14" name="_dlc_DocIdItemGuid">
    <vt:lpwstr>1292311b-61c7-492f-9b7e-23704a949e7c</vt:lpwstr>
  </property>
</Properties>
</file>