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023741" w:displacedByCustomXml="next"/>
    <w:bookmarkStart w:id="1" w:name="_Toc19107846" w:displacedByCustomXml="next"/>
    <w:sdt>
      <w:sdtPr>
        <w:rPr>
          <w:sz w:val="44"/>
        </w:rPr>
        <w:alias w:val="Title"/>
        <w:tag w:val=""/>
        <w:id w:val="-2134860153"/>
        <w:placeholder>
          <w:docPart w:val="D5D87866C2551243ACC06F30B478B9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C00A2" w:rsidRPr="00AA5CF8" w:rsidRDefault="00AA5CF8" w:rsidP="00EC00A2">
          <w:pPr>
            <w:pStyle w:val="Title"/>
            <w:rPr>
              <w:sz w:val="44"/>
            </w:rPr>
          </w:pPr>
          <w:r>
            <w:rPr>
              <w:sz w:val="44"/>
            </w:rPr>
            <w:t>Community Conversation:</w:t>
          </w:r>
          <w:r w:rsidRPr="00AA5CF8">
            <w:rPr>
              <w:sz w:val="44"/>
            </w:rPr>
            <w:t xml:space="preserve"> economic development</w:t>
          </w:r>
        </w:p>
      </w:sdtContent>
    </w:sdt>
    <w:p w:rsidR="00AA5CF8" w:rsidRDefault="00AA5CF8" w:rsidP="004E2A71">
      <w:bookmarkStart w:id="2" w:name="_Toc19023744"/>
      <w:bookmarkEnd w:id="1"/>
      <w:bookmarkEnd w:id="0"/>
      <w:r>
        <w:t xml:space="preserve">Community conversations aim to provide a forum for sociable conversation where a small group can come together and discuss opportunities and challenges around a single topic, and help inform the National Radioactive Waste Management Facility project as it progresses. </w:t>
      </w:r>
    </w:p>
    <w:p w:rsidR="00AA740C" w:rsidRDefault="00AA5CF8" w:rsidP="004E2A71">
      <w:r>
        <w:t>This inaugural community conversation was held on 11 August 2021, with Councillors and staff from the District Council of Kimba</w:t>
      </w:r>
      <w:r w:rsidR="00CB7392">
        <w:t>,</w:t>
      </w:r>
      <w:r>
        <w:t xml:space="preserve"> and a focus on economic development. </w:t>
      </w:r>
    </w:p>
    <w:p w:rsidR="00AA5CF8" w:rsidRDefault="00AA5CF8" w:rsidP="00A46D35">
      <w:pPr>
        <w:pStyle w:val="Heading2"/>
      </w:pPr>
      <w:r>
        <w:t>Attendees</w:t>
      </w:r>
    </w:p>
    <w:p w:rsidR="00AA5CF8" w:rsidRDefault="00AA5CF8" w:rsidP="004E2A71">
      <w:pPr>
        <w:sectPr w:rsidR="00AA5CF8" w:rsidSect="00EC00A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40" w:bottom="1440" w:left="1440" w:header="851" w:footer="708" w:gutter="0"/>
          <w:pgNumType w:start="1"/>
          <w:cols w:space="708"/>
          <w:titlePg/>
          <w:docGrid w:linePitch="360"/>
        </w:sectPr>
      </w:pPr>
    </w:p>
    <w:p w:rsidR="00AA5CF8" w:rsidRDefault="00AA5CF8" w:rsidP="00C703EC">
      <w:pPr>
        <w:spacing w:after="60"/>
      </w:pPr>
      <w:r>
        <w:t>Mayor Dean Johnson</w:t>
      </w:r>
    </w:p>
    <w:p w:rsidR="00AA5CF8" w:rsidRDefault="00AA5CF8" w:rsidP="00C703EC">
      <w:pPr>
        <w:spacing w:after="60"/>
      </w:pPr>
      <w:r>
        <w:t xml:space="preserve">Deputy Mayor Megan </w:t>
      </w:r>
      <w:proofErr w:type="spellStart"/>
      <w:r>
        <w:t>Lienert</w:t>
      </w:r>
      <w:proofErr w:type="spellEnd"/>
    </w:p>
    <w:p w:rsidR="00AA5CF8" w:rsidRDefault="00AA5CF8" w:rsidP="00C703EC">
      <w:pPr>
        <w:spacing w:after="60"/>
      </w:pPr>
      <w:r>
        <w:t>Councillor Graeme Baldock</w:t>
      </w:r>
    </w:p>
    <w:p w:rsidR="00AA5CF8" w:rsidRDefault="00AA5CF8" w:rsidP="00C703EC">
      <w:pPr>
        <w:spacing w:after="60"/>
      </w:pPr>
      <w:proofErr w:type="spellStart"/>
      <w:r>
        <w:t>Councilllor</w:t>
      </w:r>
      <w:proofErr w:type="spellEnd"/>
      <w:r>
        <w:t xml:space="preserve"> Peter </w:t>
      </w:r>
      <w:proofErr w:type="spellStart"/>
      <w:r>
        <w:t>Rayson</w:t>
      </w:r>
      <w:proofErr w:type="spellEnd"/>
    </w:p>
    <w:p w:rsidR="00AA5CF8" w:rsidRDefault="00AA5CF8" w:rsidP="00C703EC">
      <w:pPr>
        <w:spacing w:after="60"/>
      </w:pPr>
      <w:r>
        <w:t>Councillor Brian Cant</w:t>
      </w:r>
    </w:p>
    <w:p w:rsidR="00AA5CF8" w:rsidRDefault="00AA5CF8" w:rsidP="00C703EC">
      <w:pPr>
        <w:spacing w:after="60"/>
      </w:pPr>
      <w:r>
        <w:t>Councillor Peta Willmott</w:t>
      </w:r>
    </w:p>
    <w:p w:rsidR="00AA5CF8" w:rsidRDefault="00AA5CF8" w:rsidP="00C703EC">
      <w:pPr>
        <w:spacing w:after="60"/>
      </w:pPr>
      <w:r>
        <w:t>Councillor Tom Harris</w:t>
      </w:r>
    </w:p>
    <w:p w:rsidR="00AA5CF8" w:rsidRDefault="00AA5CF8" w:rsidP="00C703EC">
      <w:pPr>
        <w:spacing w:after="60"/>
      </w:pPr>
      <w:r>
        <w:t>Deb Larwood, Chief Executive Officer</w:t>
      </w:r>
    </w:p>
    <w:p w:rsidR="00AA5CF8" w:rsidRDefault="00AA5CF8" w:rsidP="00C703EC">
      <w:pPr>
        <w:spacing w:after="60"/>
      </w:pPr>
      <w:r>
        <w:t>Michael Inglis, Works Manager</w:t>
      </w:r>
    </w:p>
    <w:p w:rsidR="00AA5CF8" w:rsidRDefault="00AA5CF8" w:rsidP="00A46D35">
      <w:pPr>
        <w:sectPr w:rsidR="00AA5CF8" w:rsidSect="00AA5CF8">
          <w:type w:val="continuous"/>
          <w:pgSz w:w="11906" w:h="16838"/>
          <w:pgMar w:top="1276" w:right="1440" w:bottom="1440" w:left="1440" w:header="851" w:footer="708" w:gutter="0"/>
          <w:pgNumType w:start="1"/>
          <w:cols w:num="2" w:space="708"/>
          <w:titlePg/>
          <w:docGrid w:linePitch="360"/>
        </w:sectPr>
      </w:pPr>
      <w:r>
        <w:t>Mel Garibal</w:t>
      </w:r>
      <w:r w:rsidR="00A46D35">
        <w:t>di, Economic Development Officer</w:t>
      </w:r>
      <w:bookmarkStart w:id="3" w:name="_GoBack"/>
      <w:bookmarkEnd w:id="3"/>
    </w:p>
    <w:p w:rsidR="00AA5CF8" w:rsidRDefault="007E6F3C" w:rsidP="00A46D35">
      <w:pPr>
        <w:pStyle w:val="Heading2"/>
      </w:pPr>
      <w:r>
        <w:t>Areas of discussion</w:t>
      </w:r>
    </w:p>
    <w:p w:rsidR="006E7731" w:rsidRDefault="007E6F3C" w:rsidP="006E7731">
      <w:pPr>
        <w:spacing w:after="0"/>
        <w:rPr>
          <w:b/>
        </w:rPr>
      </w:pPr>
      <w:r w:rsidRPr="007E6F3C">
        <w:rPr>
          <w:b/>
        </w:rPr>
        <w:t>Development opportunities in Kimba</w:t>
      </w:r>
    </w:p>
    <w:p w:rsidR="006E7731" w:rsidRDefault="007E6F3C" w:rsidP="006E7731">
      <w:pPr>
        <w:pStyle w:val="ListParagraph"/>
        <w:numPr>
          <w:ilvl w:val="0"/>
          <w:numId w:val="16"/>
        </w:numPr>
      </w:pPr>
      <w:r>
        <w:t xml:space="preserve">Land, housing, and accommodation for future workers were identified as key </w:t>
      </w:r>
      <w:r w:rsidR="00CB7392">
        <w:t>areas</w:t>
      </w:r>
      <w:r>
        <w:t xml:space="preserve"> where further development could be focussed. </w:t>
      </w:r>
    </w:p>
    <w:p w:rsidR="007E6F3C" w:rsidRDefault="006E7731" w:rsidP="006E7731">
      <w:pPr>
        <w:pStyle w:val="ListParagraph"/>
        <w:numPr>
          <w:ilvl w:val="0"/>
          <w:numId w:val="16"/>
        </w:numPr>
      </w:pPr>
      <w:r>
        <w:t>A range of future tourism opportunities were discussed, including promoting Kimba as the central stopover point,</w:t>
      </w:r>
      <w:r w:rsidR="006A44EF">
        <w:t xml:space="preserve"> and better promoting</w:t>
      </w:r>
      <w:r>
        <w:t xml:space="preserve"> ‘the wins’ such as the free camp being the best free camp in Australia. </w:t>
      </w:r>
    </w:p>
    <w:p w:rsidR="006E7731" w:rsidRDefault="006E7731" w:rsidP="006E7731">
      <w:pPr>
        <w:pStyle w:val="ListParagraph"/>
        <w:numPr>
          <w:ilvl w:val="0"/>
          <w:numId w:val="16"/>
        </w:numPr>
      </w:pPr>
      <w:r>
        <w:t xml:space="preserve">Long term projects to bring people to Kimba could be considered, such as a trades training hub, aviation training, diversification of existing businesses, and tapping into the trucking industry. </w:t>
      </w:r>
    </w:p>
    <w:p w:rsidR="006E7731" w:rsidRDefault="006E7731" w:rsidP="006E7731">
      <w:pPr>
        <w:spacing w:after="0"/>
        <w:rPr>
          <w:b/>
        </w:rPr>
      </w:pPr>
      <w:r>
        <w:rPr>
          <w:b/>
        </w:rPr>
        <w:t>Support required to construct and operate a National Radioactive Waste Management Facility</w:t>
      </w:r>
    </w:p>
    <w:p w:rsidR="006E7731" w:rsidRDefault="00F4219E" w:rsidP="006E7731">
      <w:pPr>
        <w:pStyle w:val="ListParagraph"/>
        <w:numPr>
          <w:ilvl w:val="0"/>
          <w:numId w:val="17"/>
        </w:numPr>
      </w:pPr>
      <w:r>
        <w:t xml:space="preserve">Advice on labour retention, support for increase and decrease in demand, business development, and endorsement of (and confidence in) local contractors were all priorities. </w:t>
      </w:r>
    </w:p>
    <w:p w:rsidR="00F4219E" w:rsidRDefault="00F4219E" w:rsidP="006E7731">
      <w:pPr>
        <w:pStyle w:val="ListParagraph"/>
        <w:numPr>
          <w:ilvl w:val="0"/>
          <w:numId w:val="17"/>
        </w:numPr>
      </w:pPr>
      <w:r>
        <w:t xml:space="preserve">Improved education and training in a range of areas will also be key. </w:t>
      </w:r>
    </w:p>
    <w:p w:rsidR="00F4219E" w:rsidRDefault="00F4219E" w:rsidP="006E7731">
      <w:pPr>
        <w:pStyle w:val="ListParagraph"/>
        <w:numPr>
          <w:ilvl w:val="0"/>
          <w:numId w:val="17"/>
        </w:numPr>
      </w:pPr>
      <w:r>
        <w:t xml:space="preserve">Increases to and improvements of health services are necessary to support a larger population in and around the town. </w:t>
      </w:r>
    </w:p>
    <w:p w:rsidR="00F4219E" w:rsidRDefault="00F4219E" w:rsidP="00F4219E">
      <w:pPr>
        <w:spacing w:after="0"/>
      </w:pPr>
      <w:r>
        <w:rPr>
          <w:b/>
        </w:rPr>
        <w:t>Economic development challenges in Kimba</w:t>
      </w:r>
    </w:p>
    <w:p w:rsidR="00F4219E" w:rsidRDefault="004C50B7" w:rsidP="00F4219E">
      <w:pPr>
        <w:pStyle w:val="ListParagraph"/>
        <w:numPr>
          <w:ilvl w:val="0"/>
          <w:numId w:val="18"/>
        </w:numPr>
      </w:pPr>
      <w:r>
        <w:t xml:space="preserve">Cost of housing, demand for and supply of workers, and town sustainability were identified as key challenges for Kimba. </w:t>
      </w:r>
    </w:p>
    <w:p w:rsidR="004C50B7" w:rsidRDefault="004C50B7" w:rsidP="00F4219E">
      <w:pPr>
        <w:pStyle w:val="ListParagraph"/>
        <w:numPr>
          <w:ilvl w:val="0"/>
          <w:numId w:val="18"/>
        </w:numPr>
      </w:pPr>
      <w:r>
        <w:t xml:space="preserve">Services such as internet, electricity, energy, and telecommunications all provide challenges. </w:t>
      </w:r>
    </w:p>
    <w:p w:rsidR="004C50B7" w:rsidRPr="004C50B7" w:rsidRDefault="00B700CD" w:rsidP="00B700CD">
      <w:pPr>
        <w:spacing w:after="0"/>
        <w:rPr>
          <w:b/>
        </w:rPr>
      </w:pPr>
      <w:r>
        <w:rPr>
          <w:b/>
        </w:rPr>
        <w:t>Other considerations</w:t>
      </w:r>
    </w:p>
    <w:p w:rsidR="005E53F0" w:rsidRDefault="00B700CD" w:rsidP="00C703EC">
      <w:pPr>
        <w:pStyle w:val="ListParagraph"/>
        <w:numPr>
          <w:ilvl w:val="0"/>
          <w:numId w:val="19"/>
        </w:numPr>
      </w:pPr>
      <w:r>
        <w:t>The need</w:t>
      </w:r>
      <w:r w:rsidR="00CE62B1">
        <w:t xml:space="preserve"> for a permanent doctor in town</w:t>
      </w:r>
      <w:r>
        <w:t xml:space="preserve"> and potential for volunteer burnout within Kimba were also raised </w:t>
      </w:r>
      <w:r w:rsidR="00CE62B1">
        <w:t xml:space="preserve">as being vital considerations for economic development activities in the town. </w:t>
      </w:r>
      <w:r>
        <w:t xml:space="preserve"> </w:t>
      </w:r>
      <w:bookmarkEnd w:id="2"/>
    </w:p>
    <w:sectPr w:rsidR="005E53F0" w:rsidSect="00AA5CF8">
      <w:type w:val="continuous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E8" w:rsidRDefault="002423E8" w:rsidP="00B251DB">
      <w:pPr>
        <w:spacing w:after="0" w:line="240" w:lineRule="auto"/>
      </w:pPr>
      <w:r>
        <w:separator/>
      </w:r>
    </w:p>
  </w:endnote>
  <w:endnote w:type="continuationSeparator" w:id="0">
    <w:p w:rsidR="002423E8" w:rsidRDefault="002423E8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8A" w:rsidRDefault="00616F75" w:rsidP="00BD0F8A">
    <w:pPr>
      <w:pStyle w:val="Footer"/>
      <w:jc w:val="right"/>
      <w:rPr>
        <w:noProof/>
      </w:rPr>
    </w:pPr>
    <w:sdt>
      <w:sdtPr>
        <w:alias w:val="Title"/>
        <w:tag w:val=""/>
        <w:id w:val="-806242154"/>
        <w:placeholder>
          <w:docPart w:val="D5D87866C2551243ACC06F30B478B9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5CF8">
          <w:t>Community Conversation: economic development</w:t>
        </w:r>
      </w:sdtContent>
    </w:sdt>
    <w:r w:rsidR="00BD0F8A">
      <w:tab/>
      <w:t>industry.gov.au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A46D35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  <w:p w:rsidR="006C0396" w:rsidRPr="006C0396" w:rsidRDefault="006C0396" w:rsidP="006C0396">
    <w:pPr>
      <w:pStyle w:val="Footer"/>
      <w:jc w:val="center"/>
      <w:rPr>
        <w:b/>
        <w:color w:val="FF0000"/>
        <w:sz w:val="28"/>
      </w:rPr>
    </w:pPr>
    <w:r w:rsidRPr="006C0396">
      <w:rPr>
        <w:b/>
        <w:color w:val="FF0000"/>
        <w:sz w:val="28"/>
      </w:rPr>
      <w:t>CLASSIFICATION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88" w:rsidRDefault="00AA5CF8" w:rsidP="00AA5CF8">
    <w:pPr>
      <w:pStyle w:val="Footer"/>
      <w:rPr>
        <w:noProof/>
      </w:rPr>
    </w:pPr>
    <w:r>
      <w:tab/>
    </w:r>
    <w:r w:rsidR="00EC00A2">
      <w:t>industry.gov.au</w:t>
    </w:r>
    <w:r w:rsidR="00FD1214">
      <w:t>/arwa</w:t>
    </w:r>
    <w:r w:rsidR="00EC00A2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0A2">
          <w:fldChar w:fldCharType="begin"/>
        </w:r>
        <w:r w:rsidR="00EC00A2">
          <w:instrText xml:space="preserve"> PAGE   \* MERGEFORMAT </w:instrText>
        </w:r>
        <w:r w:rsidR="00EC00A2">
          <w:fldChar w:fldCharType="separate"/>
        </w:r>
        <w:r w:rsidR="00616F75">
          <w:rPr>
            <w:noProof/>
          </w:rPr>
          <w:t>1</w:t>
        </w:r>
        <w:r w:rsidR="00EC00A2">
          <w:rPr>
            <w:noProof/>
          </w:rPr>
          <w:fldChar w:fldCharType="end"/>
        </w:r>
      </w:sdtContent>
    </w:sdt>
  </w:p>
  <w:p w:rsidR="006C0396" w:rsidRPr="006C0396" w:rsidRDefault="005E53F0" w:rsidP="006C0396">
    <w:pPr>
      <w:pStyle w:val="Footer"/>
      <w:jc w:val="center"/>
      <w:rPr>
        <w:b/>
        <w:color w:val="FF0000"/>
        <w:sz w:val="28"/>
      </w:rPr>
    </w:pPr>
    <w:r>
      <w:rPr>
        <w:b/>
        <w:color w:val="FF0000"/>
        <w:sz w:val="28"/>
      </w:rPr>
      <w:t>OFFICIAL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E8" w:rsidRDefault="002423E8" w:rsidP="00B251DB">
      <w:pPr>
        <w:spacing w:after="0" w:line="240" w:lineRule="auto"/>
      </w:pPr>
      <w:r>
        <w:separator/>
      </w:r>
    </w:p>
  </w:footnote>
  <w:footnote w:type="continuationSeparator" w:id="0">
    <w:p w:rsidR="002423E8" w:rsidRDefault="002423E8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85" w:rsidRPr="00B818F6" w:rsidRDefault="007B0385" w:rsidP="007B0385">
    <w:pPr>
      <w:pStyle w:val="Footer"/>
      <w:jc w:val="center"/>
      <w:rPr>
        <w:b/>
        <w:color w:val="FF0000"/>
        <w:sz w:val="28"/>
      </w:rPr>
    </w:pPr>
    <w:r w:rsidRPr="00B818F6">
      <w:rPr>
        <w:b/>
        <w:color w:val="FF0000"/>
        <w:sz w:val="28"/>
      </w:rPr>
      <w:t>CLASSIFICATION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85" w:rsidRPr="00B818F6" w:rsidRDefault="005E53F0" w:rsidP="007B0385">
    <w:pPr>
      <w:pStyle w:val="Header"/>
      <w:jc w:val="center"/>
      <w:rPr>
        <w:b/>
        <w:color w:val="FF0000"/>
        <w:sz w:val="24"/>
      </w:rPr>
    </w:pPr>
    <w:r>
      <w:rPr>
        <w:b/>
        <w:color w:val="FF0000"/>
        <w:sz w:val="24"/>
      </w:rPr>
      <w:t>OFFICIAL</w:t>
    </w:r>
  </w:p>
  <w:p w:rsidR="00806473" w:rsidRDefault="00806473">
    <w:pPr>
      <w:pStyle w:val="Header"/>
    </w:pPr>
    <w:r w:rsidRPr="00180BF8">
      <w:rPr>
        <w:noProof/>
        <w:lang w:eastAsia="en-AU"/>
      </w:rPr>
      <w:drawing>
        <wp:inline distT="0" distB="0" distL="0" distR="0" wp14:anchorId="340B52FB" wp14:editId="317B4020">
          <wp:extent cx="3994040" cy="622300"/>
          <wp:effectExtent l="0" t="0" r="6985" b="6350"/>
          <wp:docPr id="2" name="Picture 2" descr="Department of Industry, Science, Energy and Resources logo, next to the Australian Radioactive Waste Agency logo" title="DISER and ARW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1988" cy="625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621E"/>
    <w:multiLevelType w:val="hybridMultilevel"/>
    <w:tmpl w:val="EEA4A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23F3"/>
    <w:multiLevelType w:val="hybridMultilevel"/>
    <w:tmpl w:val="ADECE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86BC5"/>
    <w:multiLevelType w:val="hybridMultilevel"/>
    <w:tmpl w:val="6A98A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A0DB6"/>
    <w:multiLevelType w:val="hybridMultilevel"/>
    <w:tmpl w:val="84508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18"/>
  </w:num>
  <w:num w:numId="13">
    <w:abstractNumId w:val="14"/>
  </w:num>
  <w:num w:numId="14">
    <w:abstractNumId w:val="7"/>
  </w:num>
  <w:num w:numId="15">
    <w:abstractNumId w:val="15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80"/>
    <w:rsid w:val="00032995"/>
    <w:rsid w:val="00046C20"/>
    <w:rsid w:val="000552B3"/>
    <w:rsid w:val="0007067B"/>
    <w:rsid w:val="00081D07"/>
    <w:rsid w:val="000C3494"/>
    <w:rsid w:val="000E599A"/>
    <w:rsid w:val="000F2564"/>
    <w:rsid w:val="00153C15"/>
    <w:rsid w:val="001D216A"/>
    <w:rsid w:val="001D2E82"/>
    <w:rsid w:val="001F5AB1"/>
    <w:rsid w:val="00205DF3"/>
    <w:rsid w:val="0022083E"/>
    <w:rsid w:val="00222D0B"/>
    <w:rsid w:val="00225FEB"/>
    <w:rsid w:val="00241D3D"/>
    <w:rsid w:val="002423E8"/>
    <w:rsid w:val="0025218F"/>
    <w:rsid w:val="00254DA8"/>
    <w:rsid w:val="00272B04"/>
    <w:rsid w:val="002B5C69"/>
    <w:rsid w:val="002D230B"/>
    <w:rsid w:val="003D38ED"/>
    <w:rsid w:val="004632E9"/>
    <w:rsid w:val="0046678C"/>
    <w:rsid w:val="004B4254"/>
    <w:rsid w:val="004C05FA"/>
    <w:rsid w:val="004C50B7"/>
    <w:rsid w:val="004D3B0F"/>
    <w:rsid w:val="004E2A71"/>
    <w:rsid w:val="00516B0E"/>
    <w:rsid w:val="00584B74"/>
    <w:rsid w:val="005E53F0"/>
    <w:rsid w:val="005E7DA1"/>
    <w:rsid w:val="00603DDF"/>
    <w:rsid w:val="00607188"/>
    <w:rsid w:val="00616F75"/>
    <w:rsid w:val="00671D1D"/>
    <w:rsid w:val="0068286F"/>
    <w:rsid w:val="006A44EF"/>
    <w:rsid w:val="006C0396"/>
    <w:rsid w:val="006C4C9C"/>
    <w:rsid w:val="006C5288"/>
    <w:rsid w:val="006D2221"/>
    <w:rsid w:val="006E1E6A"/>
    <w:rsid w:val="006E4001"/>
    <w:rsid w:val="006E7731"/>
    <w:rsid w:val="006F58A5"/>
    <w:rsid w:val="00711349"/>
    <w:rsid w:val="00723C5D"/>
    <w:rsid w:val="007833EE"/>
    <w:rsid w:val="007B0385"/>
    <w:rsid w:val="007B553F"/>
    <w:rsid w:val="007E6F3C"/>
    <w:rsid w:val="00806473"/>
    <w:rsid w:val="00853A7A"/>
    <w:rsid w:val="00892B6E"/>
    <w:rsid w:val="008B2ADB"/>
    <w:rsid w:val="00955980"/>
    <w:rsid w:val="009A549D"/>
    <w:rsid w:val="00A46D35"/>
    <w:rsid w:val="00A52F3D"/>
    <w:rsid w:val="00A731BB"/>
    <w:rsid w:val="00AA5CF8"/>
    <w:rsid w:val="00AA740C"/>
    <w:rsid w:val="00B251DB"/>
    <w:rsid w:val="00B26C25"/>
    <w:rsid w:val="00B35C0C"/>
    <w:rsid w:val="00B700CD"/>
    <w:rsid w:val="00B818F6"/>
    <w:rsid w:val="00BD0F8A"/>
    <w:rsid w:val="00BE6EEA"/>
    <w:rsid w:val="00C703EC"/>
    <w:rsid w:val="00CB7392"/>
    <w:rsid w:val="00CE62B1"/>
    <w:rsid w:val="00D220CF"/>
    <w:rsid w:val="00D77A51"/>
    <w:rsid w:val="00D841E9"/>
    <w:rsid w:val="00E01D7D"/>
    <w:rsid w:val="00E3027E"/>
    <w:rsid w:val="00EC00A2"/>
    <w:rsid w:val="00F06749"/>
    <w:rsid w:val="00F22BB9"/>
    <w:rsid w:val="00F4219E"/>
    <w:rsid w:val="00FD1214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C7594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1C7594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7594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C7594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7594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759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1C7594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1C7594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C7594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1C7594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FFFFFF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FFFFFF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1C7594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1C7594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1C7594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1C7594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1C7594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1C7594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2C6E4" w:themeColor="text1" w:themeTint="80"/>
        <w:bottom w:val="single" w:sz="4" w:space="0" w:color="72C6E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2C6E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2C6E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2C6E4" w:themeColor="text1" w:themeTint="80"/>
          <w:right w:val="single" w:sz="4" w:space="0" w:color="72C6E4" w:themeColor="text1" w:themeTint="80"/>
        </w:tcBorders>
      </w:tcPr>
    </w:tblStylePr>
    <w:tblStylePr w:type="band2Vert">
      <w:tblPr/>
      <w:tcPr>
        <w:tcBorders>
          <w:left w:val="single" w:sz="4" w:space="0" w:color="72C6E4" w:themeColor="text1" w:themeTint="80"/>
          <w:right w:val="single" w:sz="4" w:space="0" w:color="72C6E4" w:themeColor="text1" w:themeTint="80"/>
        </w:tcBorders>
      </w:tcPr>
    </w:tblStylePr>
    <w:tblStylePr w:type="band1Horz">
      <w:tblPr/>
      <w:tcPr>
        <w:tcBorders>
          <w:top w:val="single" w:sz="4" w:space="0" w:color="72C6E4" w:themeColor="text1" w:themeTint="80"/>
          <w:bottom w:val="single" w:sz="4" w:space="0" w:color="72C6E4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8ED2E9" w:themeColor="text1" w:themeTint="66"/>
        <w:left w:val="single" w:sz="4" w:space="0" w:color="8ED2E9" w:themeColor="text1" w:themeTint="66"/>
        <w:bottom w:val="single" w:sz="4" w:space="0" w:color="8ED2E9" w:themeColor="text1" w:themeTint="66"/>
        <w:right w:val="single" w:sz="4" w:space="0" w:color="8ED2E9" w:themeColor="text1" w:themeTint="66"/>
        <w:insideH w:val="single" w:sz="4" w:space="0" w:color="8ED2E9" w:themeColor="text1" w:themeTint="66"/>
        <w:insideV w:val="single" w:sz="4" w:space="0" w:color="8ED2E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6BBD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BBD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1C7594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52321C" w:themeColor="accent2"/>
        <w:left w:val="single" w:sz="4" w:space="0" w:color="52321C" w:themeColor="accent2"/>
        <w:bottom w:val="single" w:sz="4" w:space="0" w:color="52321C" w:themeColor="accent2"/>
        <w:right w:val="single" w:sz="4" w:space="0" w:color="52321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2321C" w:themeFill="accent2"/>
      </w:tcPr>
    </w:tblStylePr>
    <w:tblStylePr w:type="lastRow">
      <w:rPr>
        <w:b/>
        <w:bCs/>
      </w:rPr>
      <w:tblPr/>
      <w:tcPr>
        <w:tcBorders>
          <w:top w:val="double" w:sz="4" w:space="0" w:color="52321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2321C" w:themeColor="accent2"/>
          <w:right w:val="single" w:sz="4" w:space="0" w:color="52321C" w:themeColor="accent2"/>
        </w:tcBorders>
      </w:tcPr>
    </w:tblStylePr>
    <w:tblStylePr w:type="band1Horz">
      <w:tblPr/>
      <w:tcPr>
        <w:tcBorders>
          <w:top w:val="single" w:sz="4" w:space="0" w:color="52321C" w:themeColor="accent2"/>
          <w:bottom w:val="single" w:sz="4" w:space="0" w:color="52321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2321C" w:themeColor="accent2"/>
          <w:left w:val="nil"/>
        </w:tcBorders>
      </w:tcPr>
    </w:tblStylePr>
    <w:tblStylePr w:type="swCell">
      <w:tblPr/>
      <w:tcPr>
        <w:tcBorders>
          <w:top w:val="double" w:sz="4" w:space="0" w:color="52321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39C6C" w:themeColor="accent3"/>
        <w:left w:val="single" w:sz="4" w:space="0" w:color="039C6C" w:themeColor="accent3"/>
        <w:bottom w:val="single" w:sz="4" w:space="0" w:color="039C6C" w:themeColor="accent3"/>
        <w:right w:val="single" w:sz="4" w:space="0" w:color="039C6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9C6C" w:themeFill="accent3"/>
      </w:tcPr>
    </w:tblStylePr>
    <w:tblStylePr w:type="lastRow">
      <w:rPr>
        <w:b/>
        <w:bCs/>
      </w:rPr>
      <w:tblPr/>
      <w:tcPr>
        <w:tcBorders>
          <w:top w:val="double" w:sz="4" w:space="0" w:color="039C6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9C6C" w:themeColor="accent3"/>
          <w:right w:val="single" w:sz="4" w:space="0" w:color="039C6C" w:themeColor="accent3"/>
        </w:tcBorders>
      </w:tcPr>
    </w:tblStylePr>
    <w:tblStylePr w:type="band1Horz">
      <w:tblPr/>
      <w:tcPr>
        <w:tcBorders>
          <w:top w:val="single" w:sz="4" w:space="0" w:color="039C6C" w:themeColor="accent3"/>
          <w:bottom w:val="single" w:sz="4" w:space="0" w:color="039C6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9C6C" w:themeColor="accent3"/>
          <w:left w:val="nil"/>
        </w:tcBorders>
      </w:tcPr>
    </w:tblStylePr>
    <w:tblStylePr w:type="swCell">
      <w:tblPr/>
      <w:tcPr>
        <w:tcBorders>
          <w:top w:val="double" w:sz="4" w:space="0" w:color="039C6C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FCF2D6" w:themeColor="accent4" w:themeTint="33"/>
        <w:left w:val="single" w:sz="4" w:space="4" w:color="FCF2D6" w:themeColor="accent4" w:themeTint="33"/>
        <w:bottom w:val="single" w:sz="4" w:space="6" w:color="FCF2D6" w:themeColor="accent4" w:themeTint="33"/>
        <w:right w:val="single" w:sz="4" w:space="4" w:color="FCF2D6" w:themeColor="accent4" w:themeTint="33"/>
      </w:pBdr>
      <w:shd w:val="clear" w:color="auto" w:fill="FCF2D6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FCF2D6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FCF2D6" w:themeColor="accent4" w:themeTint="33"/>
        <w:left w:val="single" w:sz="4" w:space="4" w:color="FCF2D6" w:themeColor="accent4" w:themeTint="33"/>
        <w:bottom w:val="single" w:sz="4" w:space="6" w:color="FCF2D6" w:themeColor="accent4" w:themeTint="33"/>
        <w:right w:val="single" w:sz="4" w:space="4" w:color="FCF2D6" w:themeColor="accent4" w:themeTint="33"/>
      </w:pBdr>
      <w:shd w:val="clear" w:color="auto" w:fill="FCF2D6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1C7594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27B4C" w:themeColor="accent2" w:themeTint="99"/>
        <w:left w:val="single" w:sz="4" w:space="0" w:color="C27B4C" w:themeColor="accent2" w:themeTint="99"/>
        <w:bottom w:val="single" w:sz="4" w:space="0" w:color="C27B4C" w:themeColor="accent2" w:themeTint="99"/>
        <w:right w:val="single" w:sz="4" w:space="0" w:color="C27B4C" w:themeColor="accent2" w:themeTint="99"/>
        <w:insideH w:val="single" w:sz="4" w:space="0" w:color="C27B4C" w:themeColor="accent2" w:themeTint="99"/>
        <w:insideV w:val="single" w:sz="4" w:space="0" w:color="C27B4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321C" w:themeColor="accent2"/>
          <w:left w:val="single" w:sz="4" w:space="0" w:color="52321C" w:themeColor="accent2"/>
          <w:bottom w:val="single" w:sz="4" w:space="0" w:color="52321C" w:themeColor="accent2"/>
          <w:right w:val="single" w:sz="4" w:space="0" w:color="52321C" w:themeColor="accent2"/>
          <w:insideH w:val="nil"/>
          <w:insideV w:val="nil"/>
        </w:tcBorders>
        <w:shd w:val="clear" w:color="auto" w:fill="52321C" w:themeFill="accent2"/>
      </w:tcPr>
    </w:tblStylePr>
    <w:tblStylePr w:type="lastRow">
      <w:rPr>
        <w:b/>
        <w:bCs/>
      </w:rPr>
      <w:tblPr/>
      <w:tcPr>
        <w:tcBorders>
          <w:top w:val="double" w:sz="4" w:space="0" w:color="5232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C3" w:themeFill="accent2" w:themeFillTint="33"/>
      </w:tcPr>
    </w:tblStylePr>
    <w:tblStylePr w:type="band1Horz">
      <w:tblPr/>
      <w:tcPr>
        <w:shd w:val="clear" w:color="auto" w:fill="EAD3C3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D6A787" w:themeColor="accent2" w:themeTint="66"/>
        <w:left w:val="single" w:sz="4" w:space="0" w:color="D6A787" w:themeColor="accent2" w:themeTint="66"/>
        <w:bottom w:val="single" w:sz="4" w:space="0" w:color="D6A787" w:themeColor="accent2" w:themeTint="66"/>
        <w:right w:val="single" w:sz="4" w:space="0" w:color="D6A787" w:themeColor="accent2" w:themeTint="66"/>
        <w:insideH w:val="single" w:sz="4" w:space="0" w:color="D6A787" w:themeColor="accent2" w:themeTint="66"/>
        <w:insideV w:val="single" w:sz="4" w:space="0" w:color="D6A78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27B4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7B4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A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1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1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1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12E" w:themeFill="accent1"/>
      </w:tcPr>
    </w:tblStylePr>
    <w:tblStylePr w:type="band1Vert">
      <w:tblPr/>
      <w:tcPr>
        <w:shd w:val="clear" w:color="auto" w:fill="DEB59C" w:themeFill="accent1" w:themeFillTint="66"/>
      </w:tcPr>
    </w:tblStylePr>
    <w:tblStylePr w:type="band1Horz">
      <w:tblPr/>
      <w:tcPr>
        <w:shd w:val="clear" w:color="auto" w:fill="DEB59C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D916C" w:themeColor="accent1" w:themeTint="99"/>
        <w:left w:val="single" w:sz="4" w:space="0" w:color="CD916C" w:themeColor="accent1" w:themeTint="99"/>
        <w:bottom w:val="single" w:sz="4" w:space="0" w:color="CD916C" w:themeColor="accent1" w:themeTint="99"/>
        <w:right w:val="single" w:sz="4" w:space="0" w:color="CD916C" w:themeColor="accent1" w:themeTint="99"/>
        <w:insideH w:val="single" w:sz="4" w:space="0" w:color="CD916C" w:themeColor="accent1" w:themeTint="99"/>
        <w:insideV w:val="single" w:sz="4" w:space="0" w:color="CD91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512E" w:themeColor="accent1"/>
          <w:left w:val="single" w:sz="4" w:space="0" w:color="89512E" w:themeColor="accent1"/>
          <w:bottom w:val="single" w:sz="4" w:space="0" w:color="89512E" w:themeColor="accent1"/>
          <w:right w:val="single" w:sz="4" w:space="0" w:color="89512E" w:themeColor="accent1"/>
          <w:insideH w:val="nil"/>
          <w:insideV w:val="nil"/>
        </w:tcBorders>
        <w:shd w:val="clear" w:color="auto" w:fill="89512E" w:themeFill="accent1"/>
      </w:tcPr>
    </w:tblStylePr>
    <w:tblStylePr w:type="lastRow">
      <w:rPr>
        <w:b/>
        <w:bCs/>
      </w:rPr>
      <w:tblPr/>
      <w:tcPr>
        <w:tcBorders>
          <w:top w:val="double" w:sz="4" w:space="0" w:color="8951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ACD" w:themeFill="accent1" w:themeFillTint="33"/>
      </w:tcPr>
    </w:tblStylePr>
    <w:tblStylePr w:type="band1Horz">
      <w:tblPr/>
      <w:tcPr>
        <w:shd w:val="clear" w:color="auto" w:fill="EEDACD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6AAC5" w:themeColor="accent5" w:themeTint="99"/>
        <w:left w:val="single" w:sz="4" w:space="0" w:color="56AAC5" w:themeColor="accent5" w:themeTint="99"/>
        <w:bottom w:val="single" w:sz="4" w:space="0" w:color="56AAC5" w:themeColor="accent5" w:themeTint="99"/>
        <w:right w:val="single" w:sz="4" w:space="0" w:color="56AAC5" w:themeColor="accent5" w:themeTint="99"/>
        <w:insideH w:val="single" w:sz="4" w:space="0" w:color="56AAC5" w:themeColor="accent5" w:themeTint="99"/>
        <w:insideV w:val="single" w:sz="4" w:space="0" w:color="56AA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464" w:themeColor="accent5"/>
          <w:left w:val="single" w:sz="4" w:space="0" w:color="225464" w:themeColor="accent5"/>
          <w:bottom w:val="single" w:sz="4" w:space="0" w:color="225464" w:themeColor="accent5"/>
          <w:right w:val="single" w:sz="4" w:space="0" w:color="225464" w:themeColor="accent5"/>
          <w:insideH w:val="nil"/>
          <w:insideV w:val="nil"/>
        </w:tcBorders>
        <w:shd w:val="clear" w:color="auto" w:fill="225464" w:themeFill="accent5"/>
      </w:tcPr>
    </w:tblStylePr>
    <w:tblStylePr w:type="lastRow">
      <w:rPr>
        <w:b/>
        <w:bCs/>
      </w:rPr>
      <w:tblPr/>
      <w:tcPr>
        <w:tcBorders>
          <w:top w:val="double" w:sz="4" w:space="0" w:color="2254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2EC" w:themeFill="accent5" w:themeFillTint="33"/>
      </w:tcPr>
    </w:tblStylePr>
    <w:tblStylePr w:type="band1Horz">
      <w:tblPr/>
      <w:tcPr>
        <w:shd w:val="clear" w:color="auto" w:fill="C6E2E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8D886" w:themeColor="accent4" w:themeTint="99"/>
        <w:left w:val="single" w:sz="4" w:space="0" w:color="F8D886" w:themeColor="accent4" w:themeTint="99"/>
        <w:bottom w:val="single" w:sz="4" w:space="0" w:color="F8D886" w:themeColor="accent4" w:themeTint="99"/>
        <w:right w:val="single" w:sz="4" w:space="0" w:color="F8D886" w:themeColor="accent4" w:themeTint="99"/>
        <w:insideH w:val="single" w:sz="4" w:space="0" w:color="F8D886" w:themeColor="accent4" w:themeTint="99"/>
        <w:insideV w:val="single" w:sz="4" w:space="0" w:color="F8D8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F37" w:themeColor="accent4"/>
          <w:left w:val="single" w:sz="4" w:space="0" w:color="F4BF37" w:themeColor="accent4"/>
          <w:bottom w:val="single" w:sz="4" w:space="0" w:color="F4BF37" w:themeColor="accent4"/>
          <w:right w:val="single" w:sz="4" w:space="0" w:color="F4BF37" w:themeColor="accent4"/>
          <w:insideH w:val="nil"/>
          <w:insideV w:val="nil"/>
        </w:tcBorders>
        <w:shd w:val="clear" w:color="auto" w:fill="F4BF37" w:themeFill="accent4"/>
      </w:tcPr>
    </w:tblStylePr>
    <w:tblStylePr w:type="lastRow">
      <w:rPr>
        <w:b/>
        <w:bCs/>
      </w:rPr>
      <w:tblPr/>
      <w:tcPr>
        <w:tcBorders>
          <w:top w:val="double" w:sz="4" w:space="0" w:color="F4BF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6" w:themeFill="accent4" w:themeFillTint="33"/>
      </w:tcPr>
    </w:tblStylePr>
    <w:tblStylePr w:type="band1Horz">
      <w:tblPr/>
      <w:tcPr>
        <w:shd w:val="clear" w:color="auto" w:fill="FCF2D6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30FBBB" w:themeColor="accent3" w:themeTint="99"/>
        <w:left w:val="single" w:sz="4" w:space="0" w:color="30FBBB" w:themeColor="accent3" w:themeTint="99"/>
        <w:bottom w:val="single" w:sz="4" w:space="0" w:color="30FBBB" w:themeColor="accent3" w:themeTint="99"/>
        <w:right w:val="single" w:sz="4" w:space="0" w:color="30FBBB" w:themeColor="accent3" w:themeTint="99"/>
        <w:insideH w:val="single" w:sz="4" w:space="0" w:color="30FBBB" w:themeColor="accent3" w:themeTint="99"/>
        <w:insideV w:val="single" w:sz="4" w:space="0" w:color="30F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9C6C" w:themeColor="accent3"/>
          <w:left w:val="single" w:sz="4" w:space="0" w:color="039C6C" w:themeColor="accent3"/>
          <w:bottom w:val="single" w:sz="4" w:space="0" w:color="039C6C" w:themeColor="accent3"/>
          <w:right w:val="single" w:sz="4" w:space="0" w:color="039C6C" w:themeColor="accent3"/>
          <w:insideH w:val="nil"/>
          <w:insideV w:val="nil"/>
        </w:tcBorders>
        <w:shd w:val="clear" w:color="auto" w:fill="039C6C" w:themeFill="accent3"/>
      </w:tcPr>
    </w:tblStylePr>
    <w:tblStylePr w:type="lastRow">
      <w:rPr>
        <w:b/>
        <w:bCs/>
      </w:rPr>
      <w:tblPr/>
      <w:tcPr>
        <w:tcBorders>
          <w:top w:val="double" w:sz="4" w:space="0" w:color="039C6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DE8" w:themeFill="accent3" w:themeFillTint="33"/>
      </w:tcPr>
    </w:tblStylePr>
    <w:tblStylePr w:type="band1Horz">
      <w:tblPr/>
      <w:tcPr>
        <w:shd w:val="clear" w:color="auto" w:fill="B9FDE8" w:themeFill="accent3" w:themeFillTint="33"/>
      </w:tcPr>
    </w:tblStylePr>
  </w:style>
  <w:style w:type="table" w:styleId="GridTable4">
    <w:name w:val="Grid Table 4"/>
    <w:basedOn w:val="TableNormal"/>
    <w:uiPriority w:val="49"/>
    <w:rsid w:val="00FD1214"/>
    <w:pPr>
      <w:spacing w:after="0" w:line="240" w:lineRule="auto"/>
    </w:pPr>
    <w:tblPr>
      <w:tblStyleRowBandSize w:val="1"/>
      <w:tblStyleColBandSize w:val="1"/>
      <w:tblBorders>
        <w:top w:val="single" w:sz="4" w:space="0" w:color="56BBDF" w:themeColor="text1" w:themeTint="99"/>
        <w:left w:val="single" w:sz="4" w:space="0" w:color="56BBDF" w:themeColor="text1" w:themeTint="99"/>
        <w:bottom w:val="single" w:sz="4" w:space="0" w:color="56BBDF" w:themeColor="text1" w:themeTint="99"/>
        <w:right w:val="single" w:sz="4" w:space="0" w:color="56BBDF" w:themeColor="text1" w:themeTint="99"/>
        <w:insideH w:val="single" w:sz="4" w:space="0" w:color="56BBDF" w:themeColor="text1" w:themeTint="99"/>
        <w:insideV w:val="single" w:sz="4" w:space="0" w:color="56BBD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594" w:themeColor="text1"/>
          <w:left w:val="single" w:sz="4" w:space="0" w:color="1C7594" w:themeColor="text1"/>
          <w:bottom w:val="single" w:sz="4" w:space="0" w:color="1C7594" w:themeColor="text1"/>
          <w:right w:val="single" w:sz="4" w:space="0" w:color="1C7594" w:themeColor="text1"/>
          <w:insideH w:val="nil"/>
          <w:insideV w:val="nil"/>
        </w:tcBorders>
        <w:shd w:val="clear" w:color="auto" w:fill="1C7594" w:themeFill="text1"/>
      </w:tcPr>
    </w:tblStylePr>
    <w:tblStylePr w:type="lastRow">
      <w:rPr>
        <w:b/>
        <w:bCs/>
      </w:rPr>
      <w:tblPr/>
      <w:tcPr>
        <w:tcBorders>
          <w:top w:val="double" w:sz="4" w:space="0" w:color="1C759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text1" w:themeFillTint="33"/>
      </w:tcPr>
    </w:tblStylePr>
    <w:tblStylePr w:type="band1Horz">
      <w:tblPr/>
      <w:tcPr>
        <w:shd w:val="clear" w:color="auto" w:fill="C6E8F4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D87866C2551243ACC06F30B478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A494-71F4-7146-8553-9A6FC828110B}"/>
      </w:docPartPr>
      <w:docPartBody>
        <w:p w:rsidR="00371C7A" w:rsidRDefault="00430FD4">
          <w:pPr>
            <w:pStyle w:val="D5D87866C2551243ACC06F30B478B9EE"/>
          </w:pPr>
          <w:r w:rsidRPr="000172F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D4"/>
    <w:rsid w:val="00371C7A"/>
    <w:rsid w:val="004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D87866C2551243ACC06F30B478B9EE">
    <w:name w:val="D5D87866C2551243ACC06F30B478B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WA">
      <a:dk1>
        <a:srgbClr val="1C7594"/>
      </a:dk1>
      <a:lt1>
        <a:srgbClr val="FFFFFF"/>
      </a:lt1>
      <a:dk2>
        <a:srgbClr val="1C7594"/>
      </a:dk2>
      <a:lt2>
        <a:srgbClr val="FFFFFF"/>
      </a:lt2>
      <a:accent1>
        <a:srgbClr val="89512E"/>
      </a:accent1>
      <a:accent2>
        <a:srgbClr val="52321C"/>
      </a:accent2>
      <a:accent3>
        <a:srgbClr val="039C6C"/>
      </a:accent3>
      <a:accent4>
        <a:srgbClr val="F4BF37"/>
      </a:accent4>
      <a:accent5>
        <a:srgbClr val="225464"/>
      </a:accent5>
      <a:accent6>
        <a:srgbClr val="1C7594"/>
      </a:accent6>
      <a:hlink>
        <a:srgbClr val="0000FF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25" ma:contentTypeDescription="Create a new document." ma:contentTypeScope="" ma:versionID="477fa0d782f794d0d5668f60c1afc0a7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e950eb60-a35e-4b14-88a9-41f408f74491" xmlns:ns4="http://schemas.microsoft.com/sharepoint/v4" targetNamespace="http://schemas.microsoft.com/office/2006/metadata/properties" ma:root="true" ma:fieldsID="35558c0d107022ea39abb085c5eff894" ns1:_="" ns2:_="" ns3:_="" ns4:_="">
    <xsd:import namespace="http://schemas.microsoft.com/sharepoint/v3"/>
    <xsd:import namespace="f7542fce-ffe0-493b-b9b7-89db4158a116"/>
    <xsd:import namespace="e950eb60-a35e-4b14-88a9-41f408f74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DocHub_MeetingDate" minOccurs="0"/>
                <xsd:element ref="ns1:Comments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_dlc_DocId" minOccurs="0"/>
                <xsd:element ref="ns2:n99e4c9942c6404eb103464a00e6097b" minOccurs="0"/>
                <xsd:element ref="ns2:_dlc_DocIdPersistId" minOccurs="0"/>
                <xsd:element ref="ns3:aa5fa014b87d4b048690c94782029ae4" minOccurs="0"/>
                <xsd:element ref="ns4:IconOverlay" minOccurs="0"/>
                <xsd:element ref="ns3:SharedWithUsers" minOccurs="0"/>
                <xsd:element ref="ns2:_dlc_DocIdUrl" minOccurs="0"/>
                <xsd:element ref="ns3:p2bcbb28d69440bca2475ef0ee27df1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aa25a1a23adf4c92a153145de6afe324" ma:index="10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3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5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7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DocHub_MeetingDate" ma:index="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aa5fa014b87d4b048690c94782029ae4" ma:index="22" nillable="true" ma:taxonomy="true" ma:internalName="aa5fa014b87d4b048690c94782029ae4" ma:taxonomyFieldName="DocHub_NRWMSite" ma:displayName="NRWM Site" ma:indexed="true" ma:readOnly="false" ma:default="" ma:fieldId="{aa5fa014-b87d-4b04-8690-c94782029ae4}" ma:sspId="fb0313f7-9433-48c0-866e-9e0bbee59a50" ma:termSetId="c8a6cead-2440-4384-b356-51efe190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bcbb28d69440bca2475ef0ee27df16" ma:index="29" nillable="true" ma:taxonomy="true" ma:internalName="p2bcbb28d69440bca2475ef0ee27df16" ma:taxonomyFieldName="DocHub_NRWMCommunityEngagementWorkTopic" ma:displayName="Work Topic" ma:indexed="true" ma:default="" ma:fieldId="{92bcbb28-d694-40bc-a247-5ef0ee27df16}" ma:sspId="fb0313f7-9433-48c0-866e-9e0bbee59a50" ma:termSetId="311f9ddb-62b0-41ca-b78a-15e18e51047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Consultation</TermName>
          <TermId xmlns="http://schemas.microsoft.com/office/infopath/2007/PartnerControls">17d90010-c935-42db-8a8f-6892073f30c0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f148b2ff-1323-42eb-ae2d-717c5374ed80</TermId>
        </TermInfo>
      </Terms>
    </adb9bed2e36e4a93af574aeb444da63e>
    <TaxCatchAll xmlns="f7542fce-ffe0-493b-b9b7-89db4158a116">
      <Value>2873</Value>
      <Value>3005</Value>
      <Value>2587</Value>
      <Value>1234</Value>
      <Value>819</Value>
      <Value>3</Value>
      <Value>34</Value>
    </TaxCatchAll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116a9244-cef6-47ce-a9a5-088c9cf21292</TermId>
        </TermInfo>
      </Terms>
    </pe2555c81638466f9eb614edb9ecde52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70267ed8-6bd2-4b96-bc60-cce33581fb54</TermId>
        </TermInfo>
      </Terms>
    </g7bcb40ba23249a78edca7d43a67c1c9>
    <_dlc_DocId xmlns="f7542fce-ffe0-493b-b9b7-89db4158a116">CVP4KWCTENUR-618223089-5322</_dlc_DocId>
    <_dlc_DocIdUrl xmlns="f7542fce-ffe0-493b-b9b7-89db4158a116">
      <Url>https://dochub/div/officeofnorthernaustralia/programmesprojectstaskforces/nrwmft/_layouts/15/DocIdRedir.aspx?ID=CVP4KWCTENUR-618223089-5322</Url>
      <Description>CVP4KWCTENUR-618223089-5322</Description>
    </_dlc_DocIdUrl>
    <p2bcbb28d69440bca2475ef0ee27df16 xmlns="e950eb60-a35e-4b14-88a9-41f408f744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Sentiment Gathering</TermName>
          <TermId xmlns="http://schemas.microsoft.com/office/infopath/2007/PartnerControls">94399b35-e8ec-4d2b-9f8d-8e1b3a694490</TermId>
        </TermInfo>
      </Terms>
    </p2bcbb28d69440bca2475ef0ee27df16>
    <IconOverlay xmlns="http://schemas.microsoft.com/sharepoint/v4" xsi:nil="true"/>
    <aa5fa014b87d4b048690c94782029ae4 xmlns="e950eb60-a35e-4b14-88a9-41f408f74491">
      <Terms xmlns="http://schemas.microsoft.com/office/infopath/2007/PartnerControls"/>
    </aa5fa014b87d4b048690c94782029ae4>
    <DocHub_MeetingDate xmlns="e950eb60-a35e-4b14-88a9-41f408f744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B307-66AF-47A7-A15C-60B5C022F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41219-2302-4C9A-B07F-676C09C654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7F4C08-B6CB-4639-B5BF-6FBA7BFB7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e950eb60-a35e-4b14-88a9-41f408f74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2AA4B-B044-4AFB-B420-306851BDF1B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50eb60-a35e-4b14-88a9-41f408f74491"/>
    <ds:schemaRef ds:uri="f7542fce-ffe0-493b-b9b7-89db4158a11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D0E8FA-F515-461B-A010-816B9940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Conversation: economic development</vt:lpstr>
    </vt:vector>
  </TitlesOfParts>
  <Manager/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Conversation: economic development</dc:title>
  <dc:subject/>
  <dc:creator/>
  <cp:keywords/>
  <dc:description/>
  <cp:lastModifiedBy/>
  <cp:revision>1</cp:revision>
  <dcterms:created xsi:type="dcterms:W3CDTF">2021-10-12T00:03:00Z</dcterms:created>
  <dcterms:modified xsi:type="dcterms:W3CDTF">2021-10-12T00:04:00Z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_dlc_DocIdItemGuid">
    <vt:lpwstr>d67a0e99-192d-4bc1-94fa-312b646e3c44</vt:lpwstr>
  </property>
  <property fmtid="{D5CDD505-2E9C-101B-9397-08002B2CF9AE}" pid="4" name="DocHub_Year">
    <vt:lpwstr>3005;#2021|712d5b50-1b62-44de-9d3e-74234783b265</vt:lpwstr>
  </property>
  <property fmtid="{D5CDD505-2E9C-101B-9397-08002B2CF9AE}" pid="5" name="DocHub_DocumentType">
    <vt:lpwstr>34;#Report|116a9244-cef6-47ce-a9a5-088c9cf21292</vt:lpwstr>
  </property>
  <property fmtid="{D5CDD505-2E9C-101B-9397-08002B2CF9AE}" pid="6" name="DocHub_NRWMCommunityEngagementWorkTopic">
    <vt:lpwstr>2873;#Sentiment Gathering|94399b35-e8ec-4d2b-9f8d-8e1b3a694490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NRWMSite">
    <vt:lpwstr/>
  </property>
  <property fmtid="{D5CDD505-2E9C-101B-9397-08002B2CF9AE}" pid="9" name="DocHub_Keywords">
    <vt:lpwstr>1234;#Community Consultation|17d90010-c935-42db-8a8f-6892073f30c0;#2587;#engagement|f148b2ff-1323-42eb-ae2d-717c5374ed80</vt:lpwstr>
  </property>
  <property fmtid="{D5CDD505-2E9C-101B-9397-08002B2CF9AE}" pid="10" name="DocHub_WorkActivity">
    <vt:lpwstr>819;#Engagement|70267ed8-6bd2-4b96-bc60-cce33581fb54</vt:lpwstr>
  </property>
  <property fmtid="{D5CDD505-2E9C-101B-9397-08002B2CF9AE}" pid="11" name="DocHub_Branch">
    <vt:lpwstr/>
  </property>
</Properties>
</file>