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2767" w14:textId="77777777" w:rsidR="00FB3E4F" w:rsidRPr="00353B95" w:rsidRDefault="00F154BC" w:rsidP="006A2F8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color w:val="2E74B5" w:themeColor="accent1" w:themeShade="BF"/>
          <w:sz w:val="32"/>
          <w:szCs w:val="32"/>
        </w:rPr>
        <w:br/>
      </w:r>
      <w:r w:rsidR="00FB3E4F" w:rsidRPr="00353B95">
        <w:rPr>
          <w:b/>
          <w:sz w:val="32"/>
          <w:szCs w:val="32"/>
        </w:rPr>
        <w:t>International Trade Remedies Forum</w:t>
      </w:r>
    </w:p>
    <w:p w14:paraId="21929454" w14:textId="77777777" w:rsidR="00FB3E4F" w:rsidRPr="00353B95" w:rsidRDefault="00975A4E" w:rsidP="006A2F87">
      <w:pPr>
        <w:spacing w:after="0" w:line="240" w:lineRule="auto"/>
        <w:jc w:val="center"/>
        <w:rPr>
          <w:b/>
          <w:sz w:val="32"/>
          <w:szCs w:val="32"/>
        </w:rPr>
      </w:pPr>
      <w:r w:rsidRPr="00353B95">
        <w:rPr>
          <w:b/>
          <w:sz w:val="32"/>
          <w:szCs w:val="32"/>
        </w:rPr>
        <w:t>5 July 2021</w:t>
      </w:r>
    </w:p>
    <w:p w14:paraId="0F512260" w14:textId="77777777" w:rsidR="00486D46" w:rsidRDefault="00486D46" w:rsidP="006A2F87">
      <w:pPr>
        <w:spacing w:after="0" w:line="240" w:lineRule="auto"/>
        <w:jc w:val="center"/>
        <w:rPr>
          <w:b/>
          <w:sz w:val="32"/>
          <w:szCs w:val="32"/>
        </w:rPr>
      </w:pPr>
      <w:r w:rsidRPr="00353B95">
        <w:rPr>
          <w:b/>
          <w:sz w:val="32"/>
          <w:szCs w:val="32"/>
        </w:rPr>
        <w:t>Meeting Minutes</w:t>
      </w:r>
    </w:p>
    <w:p w14:paraId="36A077C5" w14:textId="77777777" w:rsidR="00FB3E4F" w:rsidRPr="00F154BC" w:rsidRDefault="00FB3E4F" w:rsidP="006A2F87">
      <w:pPr>
        <w:pStyle w:val="Heading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1F9190" w14:textId="77777777" w:rsidR="00A01A8C" w:rsidRPr="00F154BC" w:rsidRDefault="00A01A8C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 xml:space="preserve">Agenda Item 1 – Introduction and </w:t>
      </w:r>
      <w:r w:rsidR="00486D46" w:rsidRPr="00F154BC">
        <w:rPr>
          <w:rFonts w:asciiTheme="minorHAnsi" w:hAnsiTheme="minorHAnsi" w:cstheme="minorHAnsi"/>
          <w:b/>
          <w:sz w:val="22"/>
          <w:szCs w:val="22"/>
        </w:rPr>
        <w:t>W</w:t>
      </w:r>
      <w:r w:rsidRPr="00F154BC">
        <w:rPr>
          <w:rFonts w:asciiTheme="minorHAnsi" w:hAnsiTheme="minorHAnsi" w:cstheme="minorHAnsi"/>
          <w:b/>
          <w:sz w:val="22"/>
          <w:szCs w:val="22"/>
        </w:rPr>
        <w:t>elcome</w:t>
      </w:r>
    </w:p>
    <w:p w14:paraId="672028B6" w14:textId="77777777" w:rsidR="00A01A8C" w:rsidRPr="00F154BC" w:rsidRDefault="006A2F87" w:rsidP="006A2F87">
      <w:pPr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Dr Bradley Armstrong PSM, </w:t>
      </w:r>
      <w:r w:rsidR="00A01A8C" w:rsidRPr="00F154BC">
        <w:rPr>
          <w:rFonts w:cstheme="minorHAnsi"/>
        </w:rPr>
        <w:t>Commissioner of the Anti-Dumping Commission (Commission)</w:t>
      </w:r>
      <w:r>
        <w:rPr>
          <w:rFonts w:cstheme="minorHAnsi"/>
        </w:rPr>
        <w:t>,</w:t>
      </w:r>
      <w:r w:rsidR="00A01A8C" w:rsidRPr="00F154BC">
        <w:rPr>
          <w:rFonts w:cstheme="minorHAnsi"/>
        </w:rPr>
        <w:t xml:space="preserve"> opened the meeting and thanked members for </w:t>
      </w:r>
      <w:r w:rsidR="008016C3" w:rsidRPr="00F154BC">
        <w:rPr>
          <w:rFonts w:cstheme="minorHAnsi"/>
        </w:rPr>
        <w:t>attending</w:t>
      </w:r>
      <w:r w:rsidR="00A01A8C" w:rsidRPr="00F154BC">
        <w:rPr>
          <w:rFonts w:cstheme="minorHAnsi"/>
        </w:rPr>
        <w:t xml:space="preserve">. </w:t>
      </w:r>
      <w:r w:rsidR="00287FCF" w:rsidRPr="00F154BC">
        <w:rPr>
          <w:rFonts w:cstheme="minorHAnsi"/>
        </w:rPr>
        <w:t>Commissioner Armstrong</w:t>
      </w:r>
      <w:r w:rsidR="00A01A8C" w:rsidRPr="00F154BC">
        <w:rPr>
          <w:rFonts w:cstheme="minorHAnsi"/>
        </w:rPr>
        <w:t xml:space="preserve"> welcomed </w:t>
      </w:r>
      <w:r w:rsidR="00A97ABE">
        <w:rPr>
          <w:rFonts w:cstheme="minorHAnsi"/>
        </w:rPr>
        <w:t xml:space="preserve">and introduced </w:t>
      </w:r>
      <w:r w:rsidR="00A01A8C" w:rsidRPr="00F154BC">
        <w:rPr>
          <w:rFonts w:cstheme="minorHAnsi"/>
        </w:rPr>
        <w:t>the</w:t>
      </w:r>
      <w:r w:rsidR="00486D46" w:rsidRPr="00F154BC">
        <w:rPr>
          <w:rFonts w:cstheme="minorHAnsi"/>
        </w:rPr>
        <w:t> </w:t>
      </w:r>
      <w:r w:rsidR="00EE3A35" w:rsidRPr="00F154BC">
        <w:rPr>
          <w:rFonts w:cstheme="minorHAnsi"/>
        </w:rPr>
        <w:t>Hon </w:t>
      </w:r>
      <w:r w:rsidR="00A01A8C" w:rsidRPr="00F154BC">
        <w:rPr>
          <w:rFonts w:cstheme="minorHAnsi"/>
        </w:rPr>
        <w:t>Christian Porter</w:t>
      </w:r>
      <w:r w:rsidR="00AD3B7A" w:rsidRPr="00F154BC">
        <w:rPr>
          <w:rFonts w:cstheme="minorHAnsi"/>
        </w:rPr>
        <w:t xml:space="preserve"> MP</w:t>
      </w:r>
      <w:r w:rsidR="00A01A8C" w:rsidRPr="00F154BC">
        <w:rPr>
          <w:rFonts w:cstheme="minorHAnsi"/>
        </w:rPr>
        <w:t>, Minister for Industry, Science and Technology.</w:t>
      </w:r>
    </w:p>
    <w:p w14:paraId="57C6C16E" w14:textId="77777777" w:rsidR="00295D2E" w:rsidRPr="00F154BC" w:rsidRDefault="00295D2E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>Agenda Item 2 – Minister’s Opening Remarks</w:t>
      </w:r>
    </w:p>
    <w:p w14:paraId="7EF787B4" w14:textId="77777777" w:rsidR="00D06DF0" w:rsidRPr="00F154BC" w:rsidRDefault="00D06DF0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</w:rPr>
        <w:t xml:space="preserve">Minister Porter </w:t>
      </w:r>
      <w:r w:rsidR="00EE3A35" w:rsidRPr="00F154BC">
        <w:rPr>
          <w:rFonts w:cstheme="minorHAnsi"/>
        </w:rPr>
        <w:t xml:space="preserve">discussed the </w:t>
      </w:r>
      <w:r w:rsidR="00A57C43" w:rsidRPr="00F154BC">
        <w:rPr>
          <w:rFonts w:cstheme="minorHAnsi"/>
        </w:rPr>
        <w:t xml:space="preserve">package of anti-dumping </w:t>
      </w:r>
      <w:r w:rsidR="00EE3A35" w:rsidRPr="00F154BC">
        <w:rPr>
          <w:rFonts w:cstheme="minorHAnsi"/>
        </w:rPr>
        <w:t>reforms</w:t>
      </w:r>
      <w:r w:rsidRPr="00F154BC">
        <w:rPr>
          <w:rFonts w:cstheme="minorHAnsi"/>
        </w:rPr>
        <w:t xml:space="preserve"> </w:t>
      </w:r>
      <w:r w:rsidR="00EE3A35" w:rsidRPr="00F154BC">
        <w:rPr>
          <w:rFonts w:cstheme="minorHAnsi"/>
        </w:rPr>
        <w:t>included</w:t>
      </w:r>
      <w:r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>in</w:t>
      </w:r>
      <w:r w:rsidRPr="00F154BC">
        <w:rPr>
          <w:rFonts w:cstheme="minorHAnsi"/>
        </w:rPr>
        <w:t xml:space="preserve"> </w:t>
      </w:r>
      <w:r w:rsidR="00EE3A35" w:rsidRPr="00F154BC">
        <w:rPr>
          <w:rFonts w:cstheme="minorHAnsi"/>
        </w:rPr>
        <w:t xml:space="preserve">Budget </w:t>
      </w:r>
      <w:r w:rsidRPr="00F154BC">
        <w:rPr>
          <w:rFonts w:cstheme="minorHAnsi"/>
        </w:rPr>
        <w:t>2021-2</w:t>
      </w:r>
      <w:r w:rsidR="002D53D7" w:rsidRPr="00F154BC">
        <w:rPr>
          <w:rFonts w:cstheme="minorHAnsi"/>
        </w:rPr>
        <w:t xml:space="preserve">022 </w:t>
      </w:r>
      <w:r w:rsidRPr="00F154BC">
        <w:rPr>
          <w:rFonts w:cstheme="minorHAnsi"/>
        </w:rPr>
        <w:t xml:space="preserve">to </w:t>
      </w:r>
      <w:r w:rsidR="00EE3A35" w:rsidRPr="00F154BC">
        <w:rPr>
          <w:rFonts w:cstheme="minorHAnsi"/>
        </w:rPr>
        <w:t xml:space="preserve">improve the efficiency and effectiveness </w:t>
      </w:r>
      <w:r w:rsidR="00A57C43" w:rsidRPr="00F154BC">
        <w:rPr>
          <w:rFonts w:cstheme="minorHAnsi"/>
        </w:rPr>
        <w:t>of trade remedies</w:t>
      </w:r>
      <w:r w:rsidR="006E389E" w:rsidRPr="00F154BC">
        <w:rPr>
          <w:rFonts w:cstheme="minorHAnsi"/>
        </w:rPr>
        <w:t>.</w:t>
      </w:r>
      <w:r w:rsidR="002D53D7" w:rsidRPr="00F154BC">
        <w:rPr>
          <w:rFonts w:cstheme="minorHAnsi"/>
        </w:rPr>
        <w:t xml:space="preserve"> The Minister thanked</w:t>
      </w:r>
      <w:r w:rsidRPr="00F154BC">
        <w:rPr>
          <w:rFonts w:cstheme="minorHAnsi"/>
        </w:rPr>
        <w:t xml:space="preserve"> ITRF members for </w:t>
      </w:r>
      <w:r w:rsidR="00897A90" w:rsidRPr="00F154BC">
        <w:rPr>
          <w:rFonts w:cstheme="minorHAnsi"/>
        </w:rPr>
        <w:t xml:space="preserve">their contributions </w:t>
      </w:r>
      <w:r w:rsidR="00A57C43" w:rsidRPr="00F154BC">
        <w:rPr>
          <w:rFonts w:cstheme="minorHAnsi"/>
        </w:rPr>
        <w:t>to this work</w:t>
      </w:r>
      <w:r w:rsidR="00897A90" w:rsidRPr="00F154BC">
        <w:rPr>
          <w:rFonts w:cstheme="minorHAnsi"/>
        </w:rPr>
        <w:t xml:space="preserve"> and </w:t>
      </w:r>
      <w:r w:rsidR="00B87706" w:rsidRPr="00F154BC">
        <w:rPr>
          <w:rFonts w:cstheme="minorHAnsi"/>
        </w:rPr>
        <w:t xml:space="preserve">their </w:t>
      </w:r>
      <w:r w:rsidR="008016C3" w:rsidRPr="00F154BC">
        <w:rPr>
          <w:rFonts w:cstheme="minorHAnsi"/>
        </w:rPr>
        <w:t>advice on</w:t>
      </w:r>
      <w:r w:rsidRPr="00F154BC">
        <w:rPr>
          <w:rFonts w:cstheme="minorHAnsi"/>
        </w:rPr>
        <w:t xml:space="preserve"> how </w:t>
      </w:r>
      <w:r w:rsidR="00897A90" w:rsidRPr="00F154BC">
        <w:rPr>
          <w:rFonts w:cstheme="minorHAnsi"/>
        </w:rPr>
        <w:t>the system works for businesses</w:t>
      </w:r>
      <w:r w:rsidR="00AE189C" w:rsidRPr="00F154BC">
        <w:rPr>
          <w:rFonts w:cstheme="minorHAnsi"/>
        </w:rPr>
        <w:t xml:space="preserve">. </w:t>
      </w:r>
    </w:p>
    <w:p w14:paraId="791DF00F" w14:textId="77777777" w:rsidR="00BA296A" w:rsidRPr="00F154BC" w:rsidRDefault="006E389E" w:rsidP="006A2F87">
      <w:pPr>
        <w:spacing w:after="240" w:line="240" w:lineRule="auto"/>
        <w:rPr>
          <w:rFonts w:cstheme="minorHAnsi"/>
        </w:rPr>
      </w:pPr>
      <w:r w:rsidRPr="00F154BC">
        <w:rPr>
          <w:rFonts w:cstheme="minorHAnsi"/>
        </w:rPr>
        <w:t xml:space="preserve">He </w:t>
      </w:r>
      <w:r w:rsidR="00B87706" w:rsidRPr="00F154BC">
        <w:rPr>
          <w:rFonts w:cstheme="minorHAnsi"/>
        </w:rPr>
        <w:t>noted that the</w:t>
      </w:r>
      <w:r w:rsidR="00086FDA" w:rsidRPr="00F154BC">
        <w:rPr>
          <w:rFonts w:cstheme="minorHAnsi"/>
        </w:rPr>
        <w:t xml:space="preserve"> COVID-19 pandemic had </w:t>
      </w:r>
      <w:r w:rsidRPr="00F154BC">
        <w:rPr>
          <w:rFonts w:cstheme="minorHAnsi"/>
        </w:rPr>
        <w:t>dis</w:t>
      </w:r>
      <w:r w:rsidR="00D04204" w:rsidRPr="00F154BC">
        <w:rPr>
          <w:rFonts w:cstheme="minorHAnsi"/>
        </w:rPr>
        <w:t>rupted</w:t>
      </w:r>
      <w:r w:rsidRPr="00F154BC">
        <w:rPr>
          <w:rFonts w:cstheme="minorHAnsi"/>
        </w:rPr>
        <w:t xml:space="preserve"> global </w:t>
      </w:r>
      <w:r w:rsidR="00086FDA" w:rsidRPr="00F154BC">
        <w:rPr>
          <w:rFonts w:cstheme="minorHAnsi"/>
        </w:rPr>
        <w:t xml:space="preserve">supply chains and </w:t>
      </w:r>
      <w:r w:rsidRPr="00F154BC">
        <w:rPr>
          <w:rFonts w:cstheme="minorHAnsi"/>
        </w:rPr>
        <w:t>that</w:t>
      </w:r>
      <w:r w:rsidR="002D53D7" w:rsidRPr="00F154BC">
        <w:rPr>
          <w:rFonts w:cstheme="minorHAnsi"/>
        </w:rPr>
        <w:t xml:space="preserve"> the anti</w:t>
      </w:r>
      <w:r w:rsidR="002D53D7" w:rsidRPr="00F154BC">
        <w:rPr>
          <w:rFonts w:cstheme="minorHAnsi"/>
        </w:rPr>
        <w:noBreakHyphen/>
      </w:r>
      <w:r w:rsidR="00086FDA" w:rsidRPr="00F154BC">
        <w:rPr>
          <w:rFonts w:cstheme="minorHAnsi"/>
        </w:rPr>
        <w:t xml:space="preserve">dumping system </w:t>
      </w:r>
      <w:r w:rsidRPr="00F154BC">
        <w:rPr>
          <w:rFonts w:cstheme="minorHAnsi"/>
        </w:rPr>
        <w:t xml:space="preserve">must </w:t>
      </w:r>
      <w:r w:rsidR="00EE3A35" w:rsidRPr="00F154BC">
        <w:rPr>
          <w:rFonts w:cstheme="minorHAnsi"/>
        </w:rPr>
        <w:t>be</w:t>
      </w:r>
      <w:r w:rsidR="00086FDA" w:rsidRPr="00F154BC">
        <w:rPr>
          <w:rFonts w:cstheme="minorHAnsi"/>
        </w:rPr>
        <w:t xml:space="preserve"> agil</w:t>
      </w:r>
      <w:r w:rsidR="002D53D7" w:rsidRPr="00F154BC">
        <w:rPr>
          <w:rFonts w:cstheme="minorHAnsi"/>
        </w:rPr>
        <w:t>e and responsive to</w:t>
      </w:r>
      <w:r w:rsidRPr="00F154BC">
        <w:rPr>
          <w:rFonts w:cstheme="minorHAnsi"/>
        </w:rPr>
        <w:t xml:space="preserve"> </w:t>
      </w:r>
      <w:r w:rsidR="00086FDA" w:rsidRPr="00F154BC">
        <w:rPr>
          <w:rFonts w:cstheme="minorHAnsi"/>
        </w:rPr>
        <w:t>rapidly changing global circumstances</w:t>
      </w:r>
      <w:r w:rsidRPr="00F154BC">
        <w:rPr>
          <w:rFonts w:cstheme="minorHAnsi"/>
        </w:rPr>
        <w:t>.</w:t>
      </w:r>
    </w:p>
    <w:p w14:paraId="0C8F7067" w14:textId="77777777" w:rsidR="00295D2E" w:rsidRPr="00F154BC" w:rsidRDefault="00295D2E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>Agenda Item 3 – D</w:t>
      </w:r>
      <w:r w:rsidR="00004C4A" w:rsidRPr="00F154BC">
        <w:rPr>
          <w:rFonts w:asciiTheme="minorHAnsi" w:hAnsiTheme="minorHAnsi" w:cstheme="minorHAnsi"/>
          <w:b/>
          <w:sz w:val="22"/>
          <w:szCs w:val="22"/>
        </w:rPr>
        <w:t>epartment of Industry, Science, Energy and Resources (DI</w:t>
      </w:r>
      <w:r w:rsidRPr="00F154BC">
        <w:rPr>
          <w:rFonts w:asciiTheme="minorHAnsi" w:hAnsiTheme="minorHAnsi" w:cstheme="minorHAnsi"/>
          <w:b/>
          <w:sz w:val="22"/>
          <w:szCs w:val="22"/>
        </w:rPr>
        <w:t>SER</w:t>
      </w:r>
      <w:r w:rsidR="00004C4A" w:rsidRPr="00F154BC">
        <w:rPr>
          <w:rFonts w:asciiTheme="minorHAnsi" w:hAnsiTheme="minorHAnsi" w:cstheme="minorHAnsi"/>
          <w:b/>
          <w:sz w:val="22"/>
          <w:szCs w:val="22"/>
        </w:rPr>
        <w:t>)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 Update</w:t>
      </w:r>
    </w:p>
    <w:p w14:paraId="75D7EA1E" w14:textId="77777777" w:rsidR="00295D2E" w:rsidRPr="00F154BC" w:rsidRDefault="00A57C43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  <w:b/>
        </w:rPr>
        <w:t>Implementation of the current package of reforms</w:t>
      </w:r>
      <w:r w:rsidR="00F154BC">
        <w:rPr>
          <w:rFonts w:cstheme="minorHAnsi"/>
        </w:rPr>
        <w:t xml:space="preserve">: </w:t>
      </w:r>
      <w:r w:rsidR="00295D2E" w:rsidRPr="00F154BC">
        <w:rPr>
          <w:rFonts w:cstheme="minorHAnsi"/>
        </w:rPr>
        <w:t xml:space="preserve">Alison Drury, General Manager, Trade and International Branch </w:t>
      </w:r>
      <w:r w:rsidR="00287FCF" w:rsidRPr="00F154BC">
        <w:rPr>
          <w:rFonts w:cstheme="minorHAnsi"/>
        </w:rPr>
        <w:t xml:space="preserve">(DISER) </w:t>
      </w:r>
      <w:r w:rsidR="0093380F" w:rsidRPr="00F154BC">
        <w:rPr>
          <w:rFonts w:cstheme="minorHAnsi"/>
        </w:rPr>
        <w:t xml:space="preserve">advised that DISER </w:t>
      </w:r>
      <w:r w:rsidR="00004C4A" w:rsidRPr="00F154BC">
        <w:rPr>
          <w:rFonts w:cstheme="minorHAnsi"/>
        </w:rPr>
        <w:t>is</w:t>
      </w:r>
      <w:r w:rsidR="002D53D7" w:rsidRPr="00F154BC">
        <w:rPr>
          <w:rFonts w:cstheme="minorHAnsi"/>
        </w:rPr>
        <w:t xml:space="preserve"> drafting legislation to implement the </w:t>
      </w:r>
      <w:r w:rsidR="0089461E" w:rsidRPr="00F154BC">
        <w:rPr>
          <w:rFonts w:cstheme="minorHAnsi"/>
        </w:rPr>
        <w:t>reforms</w:t>
      </w:r>
      <w:r w:rsidR="00C12670" w:rsidRPr="00F154BC">
        <w:rPr>
          <w:rFonts w:cstheme="minorHAnsi"/>
        </w:rPr>
        <w:t xml:space="preserve"> </w:t>
      </w:r>
      <w:r w:rsidR="003A67C1" w:rsidRPr="00F154BC">
        <w:rPr>
          <w:rFonts w:cstheme="minorHAnsi"/>
        </w:rPr>
        <w:t>as soon as possible. She</w:t>
      </w:r>
      <w:r w:rsidR="0093380F" w:rsidRPr="00F154BC">
        <w:rPr>
          <w:rFonts w:cstheme="minorHAnsi"/>
        </w:rPr>
        <w:t xml:space="preserve"> thanked</w:t>
      </w:r>
      <w:r w:rsidR="0089461E" w:rsidRPr="00F154BC">
        <w:rPr>
          <w:rFonts w:cstheme="minorHAnsi"/>
        </w:rPr>
        <w:t xml:space="preserve"> ITRF members for their </w:t>
      </w:r>
      <w:r w:rsidR="00C12670" w:rsidRPr="00F154BC">
        <w:rPr>
          <w:rFonts w:cstheme="minorHAnsi"/>
        </w:rPr>
        <w:t>contribution</w:t>
      </w:r>
      <w:r w:rsidR="0093380F" w:rsidRPr="00F154BC">
        <w:rPr>
          <w:rFonts w:cstheme="minorHAnsi"/>
        </w:rPr>
        <w:t>s</w:t>
      </w:r>
      <w:r w:rsidR="00585A23">
        <w:rPr>
          <w:rFonts w:cstheme="minorHAnsi"/>
        </w:rPr>
        <w:t xml:space="preserve"> to the reforms to date.</w:t>
      </w:r>
      <w:r w:rsidR="00585A23" w:rsidRPr="00585A23">
        <w:t xml:space="preserve"> </w:t>
      </w:r>
      <w:r w:rsidR="006B462F">
        <w:t xml:space="preserve">DISER </w:t>
      </w:r>
      <w:r w:rsidR="0015222E">
        <w:t>will</w:t>
      </w:r>
      <w:r w:rsidR="006B462F">
        <w:t xml:space="preserve"> seek stakeholder feedback </w:t>
      </w:r>
      <w:r w:rsidR="006B462F" w:rsidRPr="00F154BC">
        <w:rPr>
          <w:rFonts w:cstheme="minorHAnsi"/>
        </w:rPr>
        <w:t>around October</w:t>
      </w:r>
      <w:r w:rsidR="006B462F">
        <w:rPr>
          <w:rFonts w:cstheme="minorHAnsi"/>
        </w:rPr>
        <w:t> </w:t>
      </w:r>
      <w:r w:rsidR="006B462F" w:rsidRPr="00F154BC">
        <w:rPr>
          <w:rFonts w:cstheme="minorHAnsi"/>
        </w:rPr>
        <w:t>2021</w:t>
      </w:r>
      <w:r w:rsidR="006B462F">
        <w:rPr>
          <w:rFonts w:cstheme="minorHAnsi"/>
        </w:rPr>
        <w:t xml:space="preserve"> if </w:t>
      </w:r>
      <w:r w:rsidR="006B462F">
        <w:t xml:space="preserve">it </w:t>
      </w:r>
      <w:r w:rsidR="00592F0B">
        <w:t>obtains</w:t>
      </w:r>
      <w:r w:rsidR="006B462F">
        <w:t xml:space="preserve"> </w:t>
      </w:r>
      <w:r w:rsidR="00400190">
        <w:t xml:space="preserve">approval </w:t>
      </w:r>
      <w:r w:rsidR="006B462F">
        <w:t>t</w:t>
      </w:r>
      <w:r w:rsidR="00400190">
        <w:t>o release an exposure draft</w:t>
      </w:r>
      <w:r w:rsidR="00DF04E0" w:rsidRPr="00F154BC">
        <w:rPr>
          <w:rFonts w:cstheme="minorHAnsi"/>
        </w:rPr>
        <w:t xml:space="preserve">. </w:t>
      </w:r>
    </w:p>
    <w:p w14:paraId="773D84C5" w14:textId="77777777" w:rsidR="00A57C43" w:rsidRPr="00F154BC" w:rsidRDefault="00BF7CC6" w:rsidP="006A2F87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 xml:space="preserve">International </w:t>
      </w:r>
      <w:r w:rsidR="00A57C43" w:rsidRPr="00F154BC">
        <w:rPr>
          <w:rFonts w:cstheme="minorHAnsi"/>
          <w:b/>
        </w:rPr>
        <w:t>T</w:t>
      </w:r>
      <w:r>
        <w:rPr>
          <w:rFonts w:cstheme="minorHAnsi"/>
          <w:b/>
        </w:rPr>
        <w:t xml:space="preserve">rade </w:t>
      </w:r>
      <w:r w:rsidR="00A57C43" w:rsidRPr="00F154BC">
        <w:rPr>
          <w:rFonts w:cstheme="minorHAnsi"/>
          <w:b/>
        </w:rPr>
        <w:t>R</w:t>
      </w:r>
      <w:r>
        <w:rPr>
          <w:rFonts w:cstheme="minorHAnsi"/>
          <w:b/>
        </w:rPr>
        <w:t xml:space="preserve">emedies </w:t>
      </w:r>
      <w:r w:rsidR="00A57C43" w:rsidRPr="00F154BC">
        <w:rPr>
          <w:rFonts w:cstheme="minorHAnsi"/>
          <w:b/>
        </w:rPr>
        <w:t>F</w:t>
      </w:r>
      <w:r>
        <w:rPr>
          <w:rFonts w:cstheme="minorHAnsi"/>
          <w:b/>
        </w:rPr>
        <w:t>orum (ITRF)</w:t>
      </w:r>
      <w:r w:rsidR="00A57C43" w:rsidRPr="00F154BC">
        <w:rPr>
          <w:rFonts w:cstheme="minorHAnsi"/>
          <w:b/>
        </w:rPr>
        <w:t xml:space="preserve"> evaluation</w:t>
      </w:r>
      <w:r w:rsidR="00A57C43" w:rsidRPr="00F154BC">
        <w:rPr>
          <w:rFonts w:cstheme="minorHAnsi"/>
        </w:rPr>
        <w:t xml:space="preserve">: </w:t>
      </w:r>
      <w:r w:rsidR="00954F03" w:rsidRPr="00F154BC">
        <w:rPr>
          <w:rFonts w:cstheme="minorHAnsi"/>
        </w:rPr>
        <w:t>Michael Amon, Acting General Manager, Evaluation and Research Branch</w:t>
      </w:r>
      <w:r w:rsidR="00DF04E0" w:rsidRPr="00F154BC">
        <w:rPr>
          <w:rFonts w:cstheme="minorHAnsi"/>
        </w:rPr>
        <w:t xml:space="preserve"> </w:t>
      </w:r>
      <w:r w:rsidR="004B5223" w:rsidRPr="00F154BC">
        <w:rPr>
          <w:rFonts w:cstheme="minorHAnsi"/>
        </w:rPr>
        <w:t xml:space="preserve">(DISER) </w:t>
      </w:r>
      <w:r w:rsidR="00912F86" w:rsidRPr="00F154BC">
        <w:rPr>
          <w:rFonts w:cstheme="minorHAnsi"/>
        </w:rPr>
        <w:t>advised t</w:t>
      </w:r>
      <w:r w:rsidR="006F61BE" w:rsidRPr="00F154BC">
        <w:rPr>
          <w:rFonts w:cstheme="minorHAnsi"/>
        </w:rPr>
        <w:t xml:space="preserve">hat the </w:t>
      </w:r>
      <w:r w:rsidR="00C056A5" w:rsidRPr="00F154BC">
        <w:rPr>
          <w:rFonts w:cstheme="minorHAnsi"/>
        </w:rPr>
        <w:t xml:space="preserve">department expects to provide the </w:t>
      </w:r>
      <w:r w:rsidR="006F61BE" w:rsidRPr="00F154BC">
        <w:rPr>
          <w:rFonts w:cstheme="minorHAnsi"/>
        </w:rPr>
        <w:t>ITRF evaluation report to Minister Porter shortly</w:t>
      </w:r>
      <w:r w:rsidR="00912F86" w:rsidRPr="00F154BC">
        <w:rPr>
          <w:rFonts w:cstheme="minorHAnsi"/>
        </w:rPr>
        <w:t xml:space="preserve">. </w:t>
      </w:r>
    </w:p>
    <w:p w14:paraId="0E1B6DC9" w14:textId="77777777" w:rsidR="00AC30E5" w:rsidRPr="00F154BC" w:rsidRDefault="00A57C43" w:rsidP="006A2F87">
      <w:pPr>
        <w:spacing w:after="120" w:line="240" w:lineRule="auto"/>
        <w:rPr>
          <w:rFonts w:cstheme="minorHAnsi"/>
          <w:b/>
        </w:rPr>
      </w:pPr>
      <w:r w:rsidRPr="00F154BC">
        <w:rPr>
          <w:rFonts w:cstheme="minorHAnsi"/>
          <w:b/>
        </w:rPr>
        <w:t>Consultation on future system improvements</w:t>
      </w:r>
      <w:r w:rsidR="00BF7CC6" w:rsidRPr="00BF7CC6">
        <w:rPr>
          <w:rFonts w:cstheme="minorHAnsi"/>
        </w:rPr>
        <w:t>:</w:t>
      </w:r>
      <w:r w:rsidR="00BF7CC6">
        <w:rPr>
          <w:rFonts w:cstheme="minorHAnsi"/>
          <w:b/>
        </w:rPr>
        <w:t xml:space="preserve"> </w:t>
      </w:r>
      <w:r w:rsidRPr="00F154BC">
        <w:rPr>
          <w:rFonts w:cstheme="minorHAnsi"/>
        </w:rPr>
        <w:t>t</w:t>
      </w:r>
      <w:r w:rsidR="00167D3F" w:rsidRPr="00F154BC">
        <w:rPr>
          <w:rFonts w:cstheme="minorHAnsi"/>
        </w:rPr>
        <w:t xml:space="preserve">he </w:t>
      </w:r>
      <w:r w:rsidR="00ED4D53" w:rsidRPr="00F154BC">
        <w:rPr>
          <w:rFonts w:cstheme="minorHAnsi"/>
        </w:rPr>
        <w:t>Department</w:t>
      </w:r>
      <w:r w:rsidR="002D53D7" w:rsidRPr="00F154BC">
        <w:rPr>
          <w:rFonts w:cstheme="minorHAnsi"/>
        </w:rPr>
        <w:t xml:space="preserve"> </w:t>
      </w:r>
      <w:r w:rsidR="00070D85" w:rsidRPr="00F154BC">
        <w:rPr>
          <w:rFonts w:cstheme="minorHAnsi"/>
        </w:rPr>
        <w:t>noted</w:t>
      </w:r>
      <w:r w:rsidR="00167D3F" w:rsidRPr="00F154BC">
        <w:rPr>
          <w:rFonts w:cstheme="minorHAnsi"/>
        </w:rPr>
        <w:t xml:space="preserve"> </w:t>
      </w:r>
      <w:r w:rsidR="002063A2" w:rsidRPr="00F154BC">
        <w:rPr>
          <w:rFonts w:cstheme="minorHAnsi"/>
        </w:rPr>
        <w:t xml:space="preserve">it had distributed </w:t>
      </w:r>
      <w:r w:rsidR="00167D3F" w:rsidRPr="00F154BC">
        <w:rPr>
          <w:rFonts w:cstheme="minorHAnsi"/>
        </w:rPr>
        <w:t xml:space="preserve">a discussion paper </w:t>
      </w:r>
      <w:r w:rsidR="00ED4D53" w:rsidRPr="00F154BC">
        <w:rPr>
          <w:rFonts w:cstheme="minorHAnsi"/>
        </w:rPr>
        <w:t xml:space="preserve">to </w:t>
      </w:r>
      <w:r w:rsidR="002063A2" w:rsidRPr="00F154BC">
        <w:rPr>
          <w:rFonts w:cstheme="minorHAnsi"/>
        </w:rPr>
        <w:t xml:space="preserve">ITRF members </w:t>
      </w:r>
      <w:r w:rsidR="00167D3F" w:rsidRPr="00F154BC">
        <w:rPr>
          <w:rFonts w:cstheme="minorHAnsi"/>
        </w:rPr>
        <w:t xml:space="preserve">to </w:t>
      </w:r>
      <w:r w:rsidR="00ED4D53" w:rsidRPr="00F154BC">
        <w:rPr>
          <w:rFonts w:cstheme="minorHAnsi"/>
        </w:rPr>
        <w:t>identify opportunities for future</w:t>
      </w:r>
      <w:r w:rsidR="002D53D7" w:rsidRPr="00F154BC">
        <w:rPr>
          <w:rFonts w:cstheme="minorHAnsi"/>
        </w:rPr>
        <w:t xml:space="preserve"> system</w:t>
      </w:r>
      <w:r w:rsidR="00ED4D53" w:rsidRPr="00F154BC">
        <w:rPr>
          <w:rFonts w:cstheme="minorHAnsi"/>
        </w:rPr>
        <w:t xml:space="preserve"> improvements</w:t>
      </w:r>
      <w:r w:rsidR="008E038A" w:rsidRPr="00F154BC">
        <w:rPr>
          <w:rFonts w:cstheme="minorHAnsi"/>
        </w:rPr>
        <w:t xml:space="preserve">. ITRF members </w:t>
      </w:r>
      <w:r w:rsidR="002D53D7" w:rsidRPr="00F154BC">
        <w:rPr>
          <w:rFonts w:cstheme="minorHAnsi"/>
        </w:rPr>
        <w:t>can</w:t>
      </w:r>
      <w:r w:rsidR="000B254D" w:rsidRPr="00F154BC">
        <w:rPr>
          <w:rFonts w:cstheme="minorHAnsi"/>
        </w:rPr>
        <w:t xml:space="preserve"> </w:t>
      </w:r>
      <w:r w:rsidR="008E038A" w:rsidRPr="00F154BC">
        <w:rPr>
          <w:rFonts w:cstheme="minorHAnsi"/>
        </w:rPr>
        <w:t xml:space="preserve">provide </w:t>
      </w:r>
      <w:r w:rsidR="002D53D7" w:rsidRPr="00F154BC">
        <w:rPr>
          <w:rFonts w:cstheme="minorHAnsi"/>
        </w:rPr>
        <w:t xml:space="preserve">initial </w:t>
      </w:r>
      <w:r w:rsidR="00B87706" w:rsidRPr="00F154BC">
        <w:rPr>
          <w:rFonts w:cstheme="minorHAnsi"/>
        </w:rPr>
        <w:t>feedback by 30 July </w:t>
      </w:r>
      <w:r w:rsidR="008E038A" w:rsidRPr="00F154BC">
        <w:rPr>
          <w:rFonts w:cstheme="minorHAnsi"/>
        </w:rPr>
        <w:t xml:space="preserve">2021. </w:t>
      </w:r>
      <w:r w:rsidR="00D04204" w:rsidRPr="00F154BC">
        <w:rPr>
          <w:rFonts w:cstheme="minorHAnsi"/>
        </w:rPr>
        <w:t xml:space="preserve">Further </w:t>
      </w:r>
      <w:r w:rsidR="008E038A" w:rsidRPr="00F154BC">
        <w:rPr>
          <w:rFonts w:cstheme="minorHAnsi"/>
        </w:rPr>
        <w:t>consultation</w:t>
      </w:r>
      <w:r w:rsidR="00D04204" w:rsidRPr="00F154BC">
        <w:rPr>
          <w:rFonts w:cstheme="minorHAnsi"/>
        </w:rPr>
        <w:t>s</w:t>
      </w:r>
      <w:r w:rsidR="008E038A" w:rsidRPr="00F154BC">
        <w:rPr>
          <w:rFonts w:cstheme="minorHAnsi"/>
        </w:rPr>
        <w:t xml:space="preserve"> will </w:t>
      </w:r>
      <w:r w:rsidR="00D04204" w:rsidRPr="00F154BC">
        <w:rPr>
          <w:rFonts w:cstheme="minorHAnsi"/>
        </w:rPr>
        <w:t>follow</w:t>
      </w:r>
      <w:r w:rsidR="008E038A" w:rsidRPr="00F154BC">
        <w:rPr>
          <w:rFonts w:cstheme="minorHAnsi"/>
        </w:rPr>
        <w:t xml:space="preserve"> through the Department’s Consultation Hub. </w:t>
      </w:r>
    </w:p>
    <w:p w14:paraId="4D4F6101" w14:textId="77777777" w:rsidR="008061D7" w:rsidRPr="00F154BC" w:rsidRDefault="00954F03" w:rsidP="006A2F87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F154BC">
        <w:rPr>
          <w:rFonts w:cstheme="minorHAnsi"/>
        </w:rPr>
        <w:t>Travis Wacey</w:t>
      </w:r>
      <w:r w:rsidR="00B94F33" w:rsidRPr="00F154BC">
        <w:rPr>
          <w:rFonts w:cstheme="minorHAnsi"/>
        </w:rPr>
        <w:t xml:space="preserve">, </w:t>
      </w:r>
      <w:r w:rsidR="00A160C7" w:rsidRPr="00F154BC">
        <w:rPr>
          <w:rFonts w:cstheme="minorHAnsi"/>
        </w:rPr>
        <w:t>representing the</w:t>
      </w:r>
      <w:r w:rsidR="006A2F87">
        <w:rPr>
          <w:rFonts w:cstheme="minorHAnsi"/>
        </w:rPr>
        <w:t xml:space="preserve"> Construction Forestry Maritime </w:t>
      </w:r>
      <w:r w:rsidRPr="00F154BC">
        <w:rPr>
          <w:rFonts w:cstheme="minorHAnsi"/>
        </w:rPr>
        <w:t>Mining and Energy Union</w:t>
      </w:r>
      <w:r w:rsidR="00070D85" w:rsidRPr="00F154BC">
        <w:rPr>
          <w:rFonts w:cstheme="minorHAnsi"/>
        </w:rPr>
        <w:t>,</w:t>
      </w:r>
      <w:r w:rsidR="00A160C7" w:rsidRPr="00F154BC">
        <w:rPr>
          <w:rFonts w:cstheme="minorHAnsi"/>
        </w:rPr>
        <w:t xml:space="preserve"> </w:t>
      </w:r>
      <w:r w:rsidR="006F61BE" w:rsidRPr="00F154BC">
        <w:rPr>
          <w:rFonts w:cstheme="minorHAnsi"/>
        </w:rPr>
        <w:t>said</w:t>
      </w:r>
      <w:r w:rsidR="008061D7" w:rsidRPr="00F154BC">
        <w:rPr>
          <w:rFonts w:cstheme="minorHAnsi"/>
        </w:rPr>
        <w:t xml:space="preserve"> </w:t>
      </w:r>
      <w:r w:rsidR="006F61BE" w:rsidRPr="00F154BC">
        <w:rPr>
          <w:rFonts w:cstheme="minorHAnsi"/>
        </w:rPr>
        <w:t>he would welcome</w:t>
      </w:r>
      <w:r w:rsidR="008061D7" w:rsidRPr="00F154BC">
        <w:rPr>
          <w:rFonts w:cstheme="minorHAnsi"/>
        </w:rPr>
        <w:t xml:space="preserve"> an opportunity to provide feedback. </w:t>
      </w:r>
      <w:r w:rsidR="00815EB3" w:rsidRPr="00F154BC">
        <w:rPr>
          <w:rFonts w:cstheme="minorHAnsi"/>
        </w:rPr>
        <w:t>Ms</w:t>
      </w:r>
      <w:r w:rsidR="006F61BE" w:rsidRPr="00F154BC">
        <w:rPr>
          <w:rFonts w:cstheme="minorHAnsi"/>
        </w:rPr>
        <w:t> </w:t>
      </w:r>
      <w:r w:rsidR="008061D7" w:rsidRPr="00F154BC">
        <w:rPr>
          <w:rFonts w:cstheme="minorHAnsi"/>
        </w:rPr>
        <w:t>Drury</w:t>
      </w:r>
      <w:r w:rsidR="00C775A9" w:rsidRPr="00F154BC">
        <w:rPr>
          <w:rFonts w:cstheme="minorHAnsi"/>
        </w:rPr>
        <w:t xml:space="preserve"> </w:t>
      </w:r>
      <w:r w:rsidR="008061D7" w:rsidRPr="00F154BC">
        <w:rPr>
          <w:rFonts w:cstheme="minorHAnsi"/>
        </w:rPr>
        <w:t xml:space="preserve">affirmed the Department’s </w:t>
      </w:r>
      <w:r w:rsidR="00841A5B" w:rsidRPr="00F154BC">
        <w:rPr>
          <w:rFonts w:cstheme="minorHAnsi"/>
        </w:rPr>
        <w:t xml:space="preserve">desire </w:t>
      </w:r>
      <w:r w:rsidR="00C056A5" w:rsidRPr="00F154BC">
        <w:rPr>
          <w:rFonts w:cstheme="minorHAnsi"/>
        </w:rPr>
        <w:t xml:space="preserve">to be </w:t>
      </w:r>
      <w:r w:rsidR="002D53D7" w:rsidRPr="00F154BC">
        <w:rPr>
          <w:rFonts w:cstheme="minorHAnsi"/>
        </w:rPr>
        <w:t>as consultative as possible</w:t>
      </w:r>
      <w:r w:rsidR="00815EB3" w:rsidRPr="00F154BC">
        <w:rPr>
          <w:rFonts w:cstheme="minorHAnsi"/>
        </w:rPr>
        <w:t xml:space="preserve">. </w:t>
      </w:r>
    </w:p>
    <w:p w14:paraId="79494AE9" w14:textId="53C8C3ED" w:rsidR="00B87706" w:rsidRPr="00F154BC" w:rsidRDefault="008061D7" w:rsidP="006A2F87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F154BC">
        <w:rPr>
          <w:rFonts w:cstheme="minorHAnsi"/>
        </w:rPr>
        <w:t>Mat</w:t>
      </w:r>
      <w:r w:rsidR="00801CC6" w:rsidRPr="00F154BC">
        <w:rPr>
          <w:rFonts w:cstheme="minorHAnsi"/>
        </w:rPr>
        <w:t>t</w:t>
      </w:r>
      <w:r w:rsidRPr="00F154BC">
        <w:rPr>
          <w:rFonts w:cstheme="minorHAnsi"/>
        </w:rPr>
        <w:t xml:space="preserve"> Co</w:t>
      </w:r>
      <w:r w:rsidR="00A160C7" w:rsidRPr="00F154BC">
        <w:rPr>
          <w:rFonts w:cstheme="minorHAnsi"/>
        </w:rPr>
        <w:t>ndon, representing</w:t>
      </w:r>
      <w:r w:rsidR="00954F03" w:rsidRPr="00F154BC">
        <w:rPr>
          <w:rFonts w:cstheme="minorHAnsi"/>
        </w:rPr>
        <w:t xml:space="preserve"> </w:t>
      </w:r>
      <w:r w:rsidR="00C775A9" w:rsidRPr="00F154BC">
        <w:rPr>
          <w:rFonts w:cstheme="minorHAnsi"/>
        </w:rPr>
        <w:t>InfraB</w:t>
      </w:r>
      <w:r w:rsidR="00954F03" w:rsidRPr="00F154BC">
        <w:rPr>
          <w:rFonts w:cstheme="minorHAnsi"/>
        </w:rPr>
        <w:t>uild</w:t>
      </w:r>
      <w:r w:rsidR="00C775A9" w:rsidRPr="00F154BC">
        <w:rPr>
          <w:rFonts w:cstheme="minorHAnsi"/>
        </w:rPr>
        <w:t>,</w:t>
      </w:r>
      <w:r w:rsidR="00954F03" w:rsidRPr="00F154BC">
        <w:rPr>
          <w:rFonts w:cstheme="minorHAnsi"/>
        </w:rPr>
        <w:t xml:space="preserve"> </w:t>
      </w:r>
      <w:r w:rsidR="002D53D7" w:rsidRPr="00F154BC">
        <w:rPr>
          <w:rFonts w:cstheme="minorHAnsi"/>
        </w:rPr>
        <w:t>asked</w:t>
      </w:r>
      <w:r w:rsidR="00DF2026" w:rsidRPr="00F154BC">
        <w:rPr>
          <w:rFonts w:cstheme="minorHAnsi"/>
        </w:rPr>
        <w:t xml:space="preserve"> </w:t>
      </w:r>
      <w:r w:rsidR="00463334" w:rsidRPr="00F154BC">
        <w:rPr>
          <w:rFonts w:cstheme="minorHAnsi"/>
        </w:rPr>
        <w:t>if</w:t>
      </w:r>
      <w:r w:rsidR="00815EB3" w:rsidRPr="00F154BC">
        <w:rPr>
          <w:rFonts w:cstheme="minorHAnsi"/>
        </w:rPr>
        <w:t xml:space="preserve"> </w:t>
      </w:r>
      <w:r w:rsidR="00A06D8F" w:rsidRPr="00F154BC">
        <w:rPr>
          <w:rFonts w:cstheme="minorHAnsi"/>
        </w:rPr>
        <w:t xml:space="preserve">the </w:t>
      </w:r>
      <w:r w:rsidR="00463334" w:rsidRPr="00F154BC">
        <w:rPr>
          <w:rFonts w:cstheme="minorHAnsi"/>
        </w:rPr>
        <w:t>discussion paper had been shared bey</w:t>
      </w:r>
      <w:r w:rsidR="002D53D7" w:rsidRPr="00F154BC">
        <w:rPr>
          <w:rFonts w:cstheme="minorHAnsi"/>
        </w:rPr>
        <w:t xml:space="preserve">ond </w:t>
      </w:r>
      <w:r w:rsidR="00CB1564" w:rsidRPr="00F154BC">
        <w:rPr>
          <w:rFonts w:cstheme="minorHAnsi"/>
        </w:rPr>
        <w:t xml:space="preserve">the </w:t>
      </w:r>
      <w:r w:rsidR="002D53D7" w:rsidRPr="00F154BC">
        <w:rPr>
          <w:rFonts w:cstheme="minorHAnsi"/>
        </w:rPr>
        <w:t>ITRF</w:t>
      </w:r>
      <w:r w:rsidR="00EE38F2" w:rsidRPr="00F154BC">
        <w:rPr>
          <w:rFonts w:cstheme="minorHAnsi"/>
        </w:rPr>
        <w:t>, and noted it</w:t>
      </w:r>
      <w:r w:rsidR="002D53D7" w:rsidRPr="00F154BC">
        <w:rPr>
          <w:rFonts w:cstheme="minorHAnsi"/>
        </w:rPr>
        <w:t xml:space="preserve"> </w:t>
      </w:r>
      <w:r w:rsidR="00EE38F2" w:rsidRPr="00F154BC">
        <w:rPr>
          <w:rFonts w:cstheme="minorHAnsi"/>
        </w:rPr>
        <w:t xml:space="preserve">referred </w:t>
      </w:r>
      <w:r w:rsidR="002D53D7" w:rsidRPr="00F154BC">
        <w:rPr>
          <w:rFonts w:cstheme="minorHAnsi"/>
        </w:rPr>
        <w:t xml:space="preserve">to </w:t>
      </w:r>
      <w:r w:rsidR="005A0C96">
        <w:rPr>
          <w:rFonts w:cstheme="minorHAnsi"/>
        </w:rPr>
        <w:t>33%</w:t>
      </w:r>
      <w:r w:rsidR="002D53D7" w:rsidRPr="00F154BC">
        <w:rPr>
          <w:rFonts w:cstheme="minorHAnsi"/>
        </w:rPr>
        <w:t xml:space="preserve"> higher </w:t>
      </w:r>
      <w:r w:rsidR="00463334" w:rsidRPr="00F154BC">
        <w:rPr>
          <w:rFonts w:cstheme="minorHAnsi"/>
        </w:rPr>
        <w:t>number of</w:t>
      </w:r>
      <w:r w:rsidR="00815EB3" w:rsidRPr="00F154BC">
        <w:rPr>
          <w:rFonts w:cstheme="minorHAnsi"/>
        </w:rPr>
        <w:t xml:space="preserve"> </w:t>
      </w:r>
      <w:r w:rsidR="009C3C25" w:rsidRPr="00F154BC">
        <w:rPr>
          <w:rFonts w:cstheme="minorHAnsi"/>
        </w:rPr>
        <w:t>Anti-Dumping Review Panel (</w:t>
      </w:r>
      <w:r w:rsidR="00815EB3" w:rsidRPr="00F154BC">
        <w:rPr>
          <w:rFonts w:cstheme="minorHAnsi"/>
        </w:rPr>
        <w:t>ADRP</w:t>
      </w:r>
      <w:r w:rsidR="009C3C25" w:rsidRPr="00F154BC">
        <w:rPr>
          <w:rFonts w:cstheme="minorHAnsi"/>
        </w:rPr>
        <w:t>)</w:t>
      </w:r>
      <w:r w:rsidR="00815EB3" w:rsidRPr="00F154BC">
        <w:rPr>
          <w:rFonts w:cstheme="minorHAnsi"/>
        </w:rPr>
        <w:t xml:space="preserve"> decisions </w:t>
      </w:r>
      <w:r w:rsidR="002D53D7" w:rsidRPr="00F154BC">
        <w:rPr>
          <w:rFonts w:cstheme="minorHAnsi"/>
        </w:rPr>
        <w:t>t</w:t>
      </w:r>
      <w:r w:rsidR="00CB1564" w:rsidRPr="00F154BC">
        <w:rPr>
          <w:rFonts w:cstheme="minorHAnsi"/>
        </w:rPr>
        <w:t xml:space="preserve">han </w:t>
      </w:r>
      <w:r w:rsidR="00463334" w:rsidRPr="00F154BC">
        <w:rPr>
          <w:rFonts w:cstheme="minorHAnsi"/>
        </w:rPr>
        <w:t>on the public record</w:t>
      </w:r>
      <w:r w:rsidR="00EE38F2" w:rsidRPr="00F154BC">
        <w:rPr>
          <w:rFonts w:cstheme="minorHAnsi"/>
        </w:rPr>
        <w:t xml:space="preserve">. He also </w:t>
      </w:r>
      <w:r w:rsidR="008002FD">
        <w:rPr>
          <w:rFonts w:cstheme="minorHAnsi"/>
        </w:rPr>
        <w:t xml:space="preserve">noted </w:t>
      </w:r>
      <w:r w:rsidR="007B46DE">
        <w:rPr>
          <w:rFonts w:cstheme="minorHAnsi"/>
        </w:rPr>
        <w:t>the paper didn’t include a number of recommendations already put to the ITRF but included a</w:t>
      </w:r>
      <w:r w:rsidR="005A0C96">
        <w:rPr>
          <w:rFonts w:cstheme="minorHAnsi"/>
        </w:rPr>
        <w:t xml:space="preserve"> </w:t>
      </w:r>
      <w:r w:rsidR="00A06D8F" w:rsidRPr="00F154BC">
        <w:rPr>
          <w:rFonts w:cstheme="minorHAnsi"/>
        </w:rPr>
        <w:t xml:space="preserve"> proposal</w:t>
      </w:r>
      <w:r w:rsidR="007B46DE">
        <w:rPr>
          <w:rFonts w:cstheme="minorHAnsi"/>
        </w:rPr>
        <w:t xml:space="preserve"> </w:t>
      </w:r>
      <w:r w:rsidR="00CB1564" w:rsidRPr="00F154BC">
        <w:rPr>
          <w:rFonts w:cstheme="minorHAnsi"/>
        </w:rPr>
        <w:t xml:space="preserve">on </w:t>
      </w:r>
      <w:r w:rsidR="005A0C96">
        <w:rPr>
          <w:rFonts w:cstheme="minorHAnsi"/>
        </w:rPr>
        <w:t xml:space="preserve">increasing </w:t>
      </w:r>
      <w:r w:rsidR="00CB1564" w:rsidRPr="00F154BC">
        <w:rPr>
          <w:rFonts w:cstheme="minorHAnsi"/>
        </w:rPr>
        <w:t xml:space="preserve">de minimis thresholds </w:t>
      </w:r>
      <w:r w:rsidR="008002FD">
        <w:rPr>
          <w:rFonts w:cstheme="minorHAnsi"/>
        </w:rPr>
        <w:t>which</w:t>
      </w:r>
      <w:r w:rsidR="00D40768">
        <w:rPr>
          <w:rFonts w:cstheme="minorHAnsi"/>
        </w:rPr>
        <w:t xml:space="preserve"> </w:t>
      </w:r>
      <w:r w:rsidR="00627E39">
        <w:rPr>
          <w:rFonts w:cstheme="minorHAnsi"/>
        </w:rPr>
        <w:t>InfraB</w:t>
      </w:r>
      <w:r w:rsidR="00416EB1">
        <w:rPr>
          <w:rFonts w:cstheme="minorHAnsi"/>
        </w:rPr>
        <w:t>u</w:t>
      </w:r>
      <w:r w:rsidR="00627E39">
        <w:rPr>
          <w:rFonts w:cstheme="minorHAnsi"/>
        </w:rPr>
        <w:t xml:space="preserve">ild considers </w:t>
      </w:r>
      <w:r w:rsidR="00EF456E">
        <w:rPr>
          <w:rFonts w:cstheme="minorHAnsi"/>
        </w:rPr>
        <w:t>are</w:t>
      </w:r>
      <w:r w:rsidR="008002FD">
        <w:rPr>
          <w:rFonts w:cstheme="minorHAnsi"/>
        </w:rPr>
        <w:t xml:space="preserve"> </w:t>
      </w:r>
      <w:r w:rsidR="007B46DE">
        <w:rPr>
          <w:rFonts w:cstheme="minorHAnsi"/>
        </w:rPr>
        <w:t xml:space="preserve">outside the </w:t>
      </w:r>
      <w:r w:rsidR="006B7345">
        <w:rPr>
          <w:rFonts w:cstheme="minorHAnsi"/>
        </w:rPr>
        <w:t xml:space="preserve"> World Trade Organization (WTO)</w:t>
      </w:r>
      <w:r w:rsidR="006F61BE" w:rsidRPr="00F154BC">
        <w:rPr>
          <w:rFonts w:cstheme="minorHAnsi"/>
        </w:rPr>
        <w:t xml:space="preserve"> </w:t>
      </w:r>
      <w:r w:rsidR="00CB1564" w:rsidRPr="00F154BC">
        <w:rPr>
          <w:rFonts w:cstheme="minorHAnsi"/>
        </w:rPr>
        <w:t>rules</w:t>
      </w:r>
      <w:r w:rsidR="007B46DE">
        <w:rPr>
          <w:rFonts w:cstheme="minorHAnsi"/>
        </w:rPr>
        <w:t xml:space="preserve"> and had </w:t>
      </w:r>
      <w:r w:rsidR="008002FD">
        <w:rPr>
          <w:rFonts w:cstheme="minorHAnsi"/>
        </w:rPr>
        <w:t xml:space="preserve">not </w:t>
      </w:r>
      <w:r w:rsidR="007B46DE">
        <w:rPr>
          <w:rFonts w:cstheme="minorHAnsi"/>
        </w:rPr>
        <w:t>been raised in the ITRF forum or its subcommittee</w:t>
      </w:r>
      <w:r w:rsidR="00EF456E">
        <w:rPr>
          <w:rFonts w:cstheme="minorHAnsi"/>
        </w:rPr>
        <w:t>s</w:t>
      </w:r>
      <w:r w:rsidR="007B46DE">
        <w:rPr>
          <w:rFonts w:cstheme="minorHAnsi"/>
        </w:rPr>
        <w:t>.</w:t>
      </w:r>
    </w:p>
    <w:p w14:paraId="0BCBCDE6" w14:textId="5811366F" w:rsidR="009F27A7" w:rsidRDefault="00F154BC" w:rsidP="006A2F87">
      <w:pPr>
        <w:spacing w:after="120" w:line="240" w:lineRule="auto"/>
        <w:ind w:left="714"/>
        <w:rPr>
          <w:rFonts w:cstheme="minorHAnsi"/>
        </w:rPr>
      </w:pPr>
      <w:r w:rsidRPr="00F154BC">
        <w:rPr>
          <w:rFonts w:cstheme="minorHAnsi"/>
        </w:rPr>
        <w:t>M</w:t>
      </w:r>
      <w:r w:rsidR="00C71D2F">
        <w:rPr>
          <w:rFonts w:cstheme="minorHAnsi"/>
        </w:rPr>
        <w:t>s</w:t>
      </w:r>
      <w:r w:rsidR="00815EB3" w:rsidRPr="00F154BC">
        <w:rPr>
          <w:rFonts w:cstheme="minorHAnsi"/>
        </w:rPr>
        <w:t xml:space="preserve"> Drury </w:t>
      </w:r>
      <w:r w:rsidR="00463334" w:rsidRPr="00F154BC">
        <w:rPr>
          <w:rFonts w:cstheme="minorHAnsi"/>
        </w:rPr>
        <w:t xml:space="preserve">advised </w:t>
      </w:r>
      <w:r w:rsidR="00C056A5" w:rsidRPr="00F154BC">
        <w:rPr>
          <w:rFonts w:cstheme="minorHAnsi"/>
        </w:rPr>
        <w:t xml:space="preserve">that the </w:t>
      </w:r>
      <w:r w:rsidR="00815EB3" w:rsidRPr="00F154BC">
        <w:rPr>
          <w:rFonts w:cstheme="minorHAnsi"/>
        </w:rPr>
        <w:t xml:space="preserve">discussion paper </w:t>
      </w:r>
      <w:r>
        <w:rPr>
          <w:rFonts w:cstheme="minorHAnsi"/>
        </w:rPr>
        <w:t xml:space="preserve">had only been circulated </w:t>
      </w:r>
      <w:r w:rsidR="00815EB3" w:rsidRPr="00F154BC">
        <w:rPr>
          <w:rFonts w:cstheme="minorHAnsi"/>
        </w:rPr>
        <w:t xml:space="preserve">to ITRF </w:t>
      </w:r>
      <w:r w:rsidR="00AA7AD8" w:rsidRPr="00F154BC">
        <w:rPr>
          <w:rFonts w:cstheme="minorHAnsi"/>
        </w:rPr>
        <w:t>members</w:t>
      </w:r>
      <w:r w:rsidR="00F97767">
        <w:rPr>
          <w:rFonts w:cstheme="minorHAnsi"/>
        </w:rPr>
        <w:t xml:space="preserve"> </w:t>
      </w:r>
      <w:r>
        <w:rPr>
          <w:rFonts w:cstheme="minorHAnsi"/>
        </w:rPr>
        <w:t xml:space="preserve">but </w:t>
      </w:r>
      <w:r w:rsidR="00CB1564" w:rsidRPr="00F154BC">
        <w:rPr>
          <w:rFonts w:cstheme="minorHAnsi"/>
        </w:rPr>
        <w:t xml:space="preserve">broader feedback </w:t>
      </w:r>
      <w:r>
        <w:rPr>
          <w:rFonts w:cstheme="minorHAnsi"/>
        </w:rPr>
        <w:t xml:space="preserve">would be sought on </w:t>
      </w:r>
      <w:r w:rsidR="00801CC6" w:rsidRPr="00F154BC">
        <w:rPr>
          <w:rFonts w:cstheme="minorHAnsi"/>
        </w:rPr>
        <w:t>any specific reforms developed</w:t>
      </w:r>
      <w:r w:rsidR="00815EB3" w:rsidRPr="00F154BC">
        <w:rPr>
          <w:rFonts w:cstheme="minorHAnsi"/>
        </w:rPr>
        <w:t xml:space="preserve">. </w:t>
      </w:r>
      <w:r w:rsidR="00463334" w:rsidRPr="00F154BC">
        <w:rPr>
          <w:rFonts w:cstheme="minorHAnsi"/>
        </w:rPr>
        <w:t xml:space="preserve">The Department </w:t>
      </w:r>
      <w:r w:rsidR="00B94F33" w:rsidRPr="00F154BC">
        <w:rPr>
          <w:rFonts w:cstheme="minorHAnsi"/>
        </w:rPr>
        <w:t xml:space="preserve">noted </w:t>
      </w:r>
      <w:r w:rsidR="00EE38F2" w:rsidRPr="00F154BC">
        <w:rPr>
          <w:rFonts w:cstheme="minorHAnsi"/>
        </w:rPr>
        <w:lastRenderedPageBreak/>
        <w:t xml:space="preserve">confidential </w:t>
      </w:r>
      <w:r w:rsidR="00801CC6" w:rsidRPr="00F154BC">
        <w:rPr>
          <w:rFonts w:cstheme="minorHAnsi"/>
        </w:rPr>
        <w:t>duty a</w:t>
      </w:r>
      <w:r w:rsidR="00815EB3" w:rsidRPr="00F154BC">
        <w:rPr>
          <w:rFonts w:cstheme="minorHAnsi"/>
        </w:rPr>
        <w:t>ssessments</w:t>
      </w:r>
      <w:r>
        <w:rPr>
          <w:rFonts w:cstheme="minorHAnsi"/>
        </w:rPr>
        <w:t xml:space="preserve"> are not included </w:t>
      </w:r>
      <w:r w:rsidR="009F27A7">
        <w:rPr>
          <w:rFonts w:cstheme="minorHAnsi"/>
        </w:rPr>
        <w:t>on the public record</w:t>
      </w:r>
      <w:r w:rsidR="00D71F47">
        <w:rPr>
          <w:rFonts w:cstheme="minorHAnsi"/>
        </w:rPr>
        <w:t xml:space="preserve"> </w:t>
      </w:r>
      <w:r w:rsidR="006A2F87">
        <w:rPr>
          <w:rFonts w:cstheme="minorHAnsi"/>
        </w:rPr>
        <w:t xml:space="preserve">but they are </w:t>
      </w:r>
      <w:r w:rsidR="00815EB3" w:rsidRPr="00F154BC">
        <w:rPr>
          <w:rFonts w:cstheme="minorHAnsi"/>
        </w:rPr>
        <w:t xml:space="preserve">willing to </w:t>
      </w:r>
      <w:r w:rsidR="000E621C" w:rsidRPr="00F154BC">
        <w:rPr>
          <w:rFonts w:cstheme="minorHAnsi"/>
        </w:rPr>
        <w:t>discuss</w:t>
      </w:r>
      <w:r w:rsidR="001E6E5A" w:rsidRPr="00F154BC">
        <w:rPr>
          <w:rFonts w:cstheme="minorHAnsi"/>
        </w:rPr>
        <w:t xml:space="preserve"> how affected parties could</w:t>
      </w:r>
      <w:r w:rsidR="00815EB3" w:rsidRPr="00F154BC">
        <w:rPr>
          <w:rFonts w:cstheme="minorHAnsi"/>
        </w:rPr>
        <w:t>, whe</w:t>
      </w:r>
      <w:r w:rsidR="00AD5C3E" w:rsidRPr="00F154BC">
        <w:rPr>
          <w:rFonts w:cstheme="minorHAnsi"/>
        </w:rPr>
        <w:t xml:space="preserve">re possible, </w:t>
      </w:r>
      <w:r w:rsidR="00815EB3" w:rsidRPr="00F154BC">
        <w:rPr>
          <w:rFonts w:cstheme="minorHAnsi"/>
        </w:rPr>
        <w:t>remain informed</w:t>
      </w:r>
      <w:r w:rsidR="000E621C" w:rsidRPr="00F154BC">
        <w:rPr>
          <w:rFonts w:cstheme="minorHAnsi"/>
        </w:rPr>
        <w:t xml:space="preserve"> of these decisions</w:t>
      </w:r>
      <w:r w:rsidR="00815EB3" w:rsidRPr="00F154BC">
        <w:rPr>
          <w:rFonts w:cstheme="minorHAnsi"/>
        </w:rPr>
        <w:t>.</w:t>
      </w:r>
      <w:r w:rsidR="003A76BF">
        <w:rPr>
          <w:rStyle w:val="FootnoteReference"/>
          <w:rFonts w:cstheme="minorHAnsi"/>
        </w:rPr>
        <w:footnoteReference w:id="2"/>
      </w:r>
      <w:r w:rsidR="00815EB3" w:rsidRPr="00F154BC">
        <w:rPr>
          <w:rFonts w:cstheme="minorHAnsi"/>
        </w:rPr>
        <w:t xml:space="preserve"> </w:t>
      </w:r>
    </w:p>
    <w:p w14:paraId="24A6B0C5" w14:textId="77777777" w:rsidR="008061D7" w:rsidRPr="00F154BC" w:rsidRDefault="000E621C" w:rsidP="006A2F87">
      <w:pPr>
        <w:spacing w:after="120" w:line="240" w:lineRule="auto"/>
        <w:ind w:left="714"/>
        <w:rPr>
          <w:rFonts w:cstheme="minorHAnsi"/>
        </w:rPr>
      </w:pPr>
      <w:r w:rsidRPr="00F154BC">
        <w:rPr>
          <w:rFonts w:cstheme="minorHAnsi"/>
        </w:rPr>
        <w:t>The Department noted t</w:t>
      </w:r>
      <w:r w:rsidR="00EE38F2" w:rsidRPr="00F154BC">
        <w:rPr>
          <w:rFonts w:cstheme="minorHAnsi"/>
        </w:rPr>
        <w:t>he</w:t>
      </w:r>
      <w:r w:rsidRPr="00F154BC">
        <w:rPr>
          <w:rFonts w:cstheme="minorHAnsi"/>
        </w:rPr>
        <w:t xml:space="preserve"> </w:t>
      </w:r>
      <w:r w:rsidR="00EE38F2" w:rsidRPr="00F154BC">
        <w:rPr>
          <w:rFonts w:cstheme="minorHAnsi"/>
        </w:rPr>
        <w:t xml:space="preserve">discussion </w:t>
      </w:r>
      <w:r w:rsidRPr="00F154BC">
        <w:rPr>
          <w:rFonts w:cstheme="minorHAnsi"/>
        </w:rPr>
        <w:t>paper sought views on the level of remedy provided by de minimis thresholds in a review, and advised that WTO consistency remained</w:t>
      </w:r>
      <w:r w:rsidR="00EE38F2" w:rsidRPr="00F154BC">
        <w:rPr>
          <w:rFonts w:cstheme="minorHAnsi"/>
        </w:rPr>
        <w:t xml:space="preserve"> a priority for</w:t>
      </w:r>
      <w:r w:rsidRPr="00F154BC">
        <w:rPr>
          <w:rFonts w:cstheme="minorHAnsi"/>
        </w:rPr>
        <w:t xml:space="preserve"> government when considering changes to the system</w:t>
      </w:r>
      <w:r w:rsidR="00A06D8F" w:rsidRPr="00F154BC">
        <w:rPr>
          <w:rFonts w:cstheme="minorHAnsi"/>
        </w:rPr>
        <w:t xml:space="preserve">. </w:t>
      </w:r>
    </w:p>
    <w:p w14:paraId="29D84298" w14:textId="77777777" w:rsidR="009300E9" w:rsidRPr="00F154BC" w:rsidRDefault="009300E9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 xml:space="preserve">Agenda Item 4 – </w:t>
      </w:r>
      <w:r w:rsidR="00287FCF" w:rsidRPr="00F154BC">
        <w:rPr>
          <w:rFonts w:asciiTheme="minorHAnsi" w:hAnsiTheme="minorHAnsi" w:cstheme="minorHAnsi"/>
          <w:b/>
          <w:sz w:val="22"/>
          <w:szCs w:val="22"/>
        </w:rPr>
        <w:t>Commission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 Update</w:t>
      </w:r>
    </w:p>
    <w:p w14:paraId="687F9091" w14:textId="77777777" w:rsidR="009300E9" w:rsidRPr="00F154BC" w:rsidRDefault="00A57C43" w:rsidP="006A2F87">
      <w:pPr>
        <w:spacing w:after="120" w:line="240" w:lineRule="auto"/>
        <w:rPr>
          <w:rFonts w:cstheme="minorHAnsi"/>
          <w:b/>
        </w:rPr>
      </w:pPr>
      <w:r w:rsidRPr="00F154BC">
        <w:rPr>
          <w:rFonts w:cstheme="minorHAnsi"/>
          <w:b/>
        </w:rPr>
        <w:t xml:space="preserve">Meeting minutes: </w:t>
      </w:r>
      <w:r w:rsidR="008016C3" w:rsidRPr="00F154BC">
        <w:rPr>
          <w:rFonts w:cstheme="minorHAnsi"/>
        </w:rPr>
        <w:t>Members endorsed t</w:t>
      </w:r>
      <w:r w:rsidR="009300E9" w:rsidRPr="00F154BC">
        <w:rPr>
          <w:rFonts w:cstheme="minorHAnsi"/>
        </w:rPr>
        <w:t xml:space="preserve">he minutes of </w:t>
      </w:r>
      <w:r w:rsidR="00BC4303" w:rsidRPr="00F154BC">
        <w:rPr>
          <w:rFonts w:cstheme="minorHAnsi"/>
        </w:rPr>
        <w:t>the</w:t>
      </w:r>
      <w:r w:rsidR="009300E9" w:rsidRPr="00F154BC">
        <w:rPr>
          <w:rFonts w:cstheme="minorHAnsi"/>
        </w:rPr>
        <w:t xml:space="preserve"> last meeting. Commissioner </w:t>
      </w:r>
      <w:r w:rsidR="00287FCF" w:rsidRPr="00F154BC">
        <w:rPr>
          <w:rFonts w:cstheme="minorHAnsi"/>
        </w:rPr>
        <w:t xml:space="preserve">Armstrong </w:t>
      </w:r>
      <w:r w:rsidR="000E621C" w:rsidRPr="00F154BC">
        <w:rPr>
          <w:rFonts w:cstheme="minorHAnsi"/>
        </w:rPr>
        <w:t>said</w:t>
      </w:r>
      <w:r w:rsidR="00645A4B" w:rsidRPr="00F154BC">
        <w:rPr>
          <w:rFonts w:cstheme="minorHAnsi"/>
        </w:rPr>
        <w:t xml:space="preserve"> he would like the ITRF minutes to be published on the Commission website </w:t>
      </w:r>
      <w:r w:rsidR="000E621C" w:rsidRPr="00F154BC">
        <w:rPr>
          <w:rFonts w:cstheme="minorHAnsi"/>
        </w:rPr>
        <w:t>four weeks after the meeting</w:t>
      </w:r>
      <w:r w:rsidR="00645A4B" w:rsidRPr="00F154BC">
        <w:rPr>
          <w:rFonts w:cstheme="minorHAnsi"/>
        </w:rPr>
        <w:t>.</w:t>
      </w:r>
      <w:r w:rsidR="009300E9" w:rsidRPr="00F154BC">
        <w:rPr>
          <w:rFonts w:cstheme="minorHAnsi"/>
        </w:rPr>
        <w:t xml:space="preserve"> </w:t>
      </w:r>
      <w:r w:rsidR="000E621C" w:rsidRPr="00F154BC">
        <w:rPr>
          <w:rFonts w:cstheme="minorHAnsi"/>
        </w:rPr>
        <w:t>D</w:t>
      </w:r>
      <w:r w:rsidR="00801CC6" w:rsidRPr="00F154BC">
        <w:rPr>
          <w:rFonts w:cstheme="minorHAnsi"/>
        </w:rPr>
        <w:t xml:space="preserve">raft </w:t>
      </w:r>
      <w:r w:rsidR="00377D38" w:rsidRPr="00F154BC">
        <w:rPr>
          <w:rFonts w:cstheme="minorHAnsi"/>
        </w:rPr>
        <w:t xml:space="preserve">minutes would be distributed </w:t>
      </w:r>
      <w:r w:rsidR="00645A4B" w:rsidRPr="00F154BC">
        <w:rPr>
          <w:rFonts w:cstheme="minorHAnsi"/>
        </w:rPr>
        <w:t xml:space="preserve">to members </w:t>
      </w:r>
      <w:r w:rsidR="00377D38" w:rsidRPr="00F154BC">
        <w:rPr>
          <w:rFonts w:cstheme="minorHAnsi"/>
        </w:rPr>
        <w:t xml:space="preserve">within two weeks </w:t>
      </w:r>
      <w:r w:rsidR="00645A4B" w:rsidRPr="00F154BC">
        <w:rPr>
          <w:rFonts w:cstheme="minorHAnsi"/>
        </w:rPr>
        <w:t>of the meeting</w:t>
      </w:r>
      <w:r w:rsidR="00EE38F2" w:rsidRPr="00F154BC">
        <w:rPr>
          <w:rFonts w:cstheme="minorHAnsi"/>
        </w:rPr>
        <w:t>,</w:t>
      </w:r>
      <w:r w:rsidR="000E621C" w:rsidRPr="00F154BC">
        <w:rPr>
          <w:rFonts w:cstheme="minorHAnsi"/>
        </w:rPr>
        <w:t xml:space="preserve"> and </w:t>
      </w:r>
      <w:r w:rsidR="00377D38" w:rsidRPr="00F154BC">
        <w:rPr>
          <w:rFonts w:cstheme="minorHAnsi"/>
        </w:rPr>
        <w:t xml:space="preserve">members </w:t>
      </w:r>
      <w:r w:rsidR="00645A4B" w:rsidRPr="00F154BC">
        <w:rPr>
          <w:rFonts w:cstheme="minorHAnsi"/>
        </w:rPr>
        <w:t xml:space="preserve">would </w:t>
      </w:r>
      <w:r w:rsidR="000E621C" w:rsidRPr="00F154BC">
        <w:rPr>
          <w:rFonts w:cstheme="minorHAnsi"/>
        </w:rPr>
        <w:t xml:space="preserve">have one week to comment. </w:t>
      </w:r>
    </w:p>
    <w:p w14:paraId="00D9F23B" w14:textId="77777777" w:rsidR="00A5734E" w:rsidRPr="00F154BC" w:rsidRDefault="00A57C43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  <w:b/>
        </w:rPr>
        <w:t>Case load</w:t>
      </w:r>
      <w:r w:rsidRPr="00F154BC">
        <w:rPr>
          <w:rFonts w:cstheme="minorHAnsi"/>
        </w:rPr>
        <w:t xml:space="preserve">: </w:t>
      </w:r>
      <w:r w:rsidR="009300E9" w:rsidRPr="00F154BC">
        <w:rPr>
          <w:rFonts w:cstheme="minorHAnsi"/>
        </w:rPr>
        <w:t>Paul Sexton, General Manager</w:t>
      </w:r>
      <w:r w:rsidR="00645A4B" w:rsidRPr="00F154BC">
        <w:rPr>
          <w:rFonts w:cstheme="minorHAnsi"/>
        </w:rPr>
        <w:t xml:space="preserve">, </w:t>
      </w:r>
      <w:r w:rsidR="009300E9" w:rsidRPr="00F154BC">
        <w:rPr>
          <w:rFonts w:cstheme="minorHAnsi"/>
        </w:rPr>
        <w:t>Investigations</w:t>
      </w:r>
      <w:r w:rsidR="004B5223" w:rsidRPr="00F154BC">
        <w:rPr>
          <w:rFonts w:cstheme="minorHAnsi"/>
        </w:rPr>
        <w:t xml:space="preserve"> (Commission)</w:t>
      </w:r>
      <w:r w:rsidR="009300E9" w:rsidRPr="00F154BC">
        <w:rPr>
          <w:rFonts w:cstheme="minorHAnsi"/>
        </w:rPr>
        <w:t>,</w:t>
      </w:r>
      <w:r w:rsidR="004B5223" w:rsidRPr="00F154BC">
        <w:rPr>
          <w:rFonts w:cstheme="minorHAnsi"/>
        </w:rPr>
        <w:t xml:space="preserve"> </w:t>
      </w:r>
      <w:r w:rsidR="00EE38F2" w:rsidRPr="00F154BC">
        <w:rPr>
          <w:rFonts w:cstheme="minorHAnsi"/>
        </w:rPr>
        <w:t>advised</w:t>
      </w:r>
      <w:r w:rsidR="007B72F7" w:rsidRPr="00F154BC">
        <w:rPr>
          <w:rFonts w:cstheme="minorHAnsi"/>
        </w:rPr>
        <w:t xml:space="preserve"> </w:t>
      </w:r>
      <w:r w:rsidR="00563A11" w:rsidRPr="00F154BC">
        <w:rPr>
          <w:rFonts w:cstheme="minorHAnsi"/>
        </w:rPr>
        <w:t xml:space="preserve">that the Commission has 54 cases on hand as well as 2 </w:t>
      </w:r>
      <w:r w:rsidR="007E15D2" w:rsidRPr="00F154BC">
        <w:rPr>
          <w:rFonts w:cstheme="minorHAnsi"/>
        </w:rPr>
        <w:t>reinvestigations</w:t>
      </w:r>
      <w:r w:rsidR="00563A11" w:rsidRPr="00F154BC">
        <w:rPr>
          <w:rFonts w:cstheme="minorHAnsi"/>
        </w:rPr>
        <w:t xml:space="preserve">. </w:t>
      </w:r>
    </w:p>
    <w:p w14:paraId="442E75F5" w14:textId="77777777" w:rsidR="00A5734E" w:rsidRPr="00F154BC" w:rsidRDefault="007E15D2" w:rsidP="006A2F87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</w:rPr>
      </w:pPr>
      <w:r w:rsidRPr="00F154BC">
        <w:rPr>
          <w:rFonts w:cstheme="minorHAnsi"/>
        </w:rPr>
        <w:t>Almost 50 per cent of cases rel</w:t>
      </w:r>
      <w:r w:rsidR="001D47BF" w:rsidRPr="00F154BC">
        <w:rPr>
          <w:rFonts w:cstheme="minorHAnsi"/>
        </w:rPr>
        <w:t>ate to steel product</w:t>
      </w:r>
      <w:r w:rsidR="00BC4303" w:rsidRPr="00F154BC">
        <w:rPr>
          <w:rFonts w:cstheme="minorHAnsi"/>
        </w:rPr>
        <w:t>s</w:t>
      </w:r>
      <w:r w:rsidR="001D47BF" w:rsidRPr="00F154BC">
        <w:rPr>
          <w:rFonts w:cstheme="minorHAnsi"/>
        </w:rPr>
        <w:t xml:space="preserve">, 20 </w:t>
      </w:r>
      <w:r w:rsidR="000E621C" w:rsidRPr="00F154BC">
        <w:rPr>
          <w:rFonts w:cstheme="minorHAnsi"/>
        </w:rPr>
        <w:t>per cent to</w:t>
      </w:r>
      <w:r w:rsidRPr="00F154BC">
        <w:rPr>
          <w:rFonts w:cstheme="minorHAnsi"/>
        </w:rPr>
        <w:t xml:space="preserve"> aluminium products</w:t>
      </w:r>
      <w:r w:rsidR="000E621C" w:rsidRPr="00F154BC">
        <w:rPr>
          <w:rFonts w:cstheme="minorHAnsi"/>
        </w:rPr>
        <w:t xml:space="preserve"> and around 12 per cent to</w:t>
      </w:r>
      <w:r w:rsidR="001D47BF" w:rsidRPr="00F154BC">
        <w:rPr>
          <w:rFonts w:cstheme="minorHAnsi"/>
        </w:rPr>
        <w:t xml:space="preserve"> A4 copy paper</w:t>
      </w:r>
      <w:r w:rsidRPr="00F154BC">
        <w:rPr>
          <w:rFonts w:cstheme="minorHAnsi"/>
        </w:rPr>
        <w:t xml:space="preserve">. </w:t>
      </w:r>
    </w:p>
    <w:p w14:paraId="45701E82" w14:textId="77777777" w:rsidR="000A71DC" w:rsidRPr="006C287A" w:rsidRDefault="007E15D2" w:rsidP="006A2F87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</w:rPr>
      </w:pPr>
      <w:r w:rsidRPr="00F154BC">
        <w:rPr>
          <w:rFonts w:cstheme="minorHAnsi"/>
        </w:rPr>
        <w:t>The caseload ha</w:t>
      </w:r>
      <w:r w:rsidR="008016C3" w:rsidRPr="00F154BC">
        <w:rPr>
          <w:rFonts w:cstheme="minorHAnsi"/>
        </w:rPr>
        <w:t>d</w:t>
      </w:r>
      <w:r w:rsidRPr="00F154BC">
        <w:rPr>
          <w:rFonts w:cstheme="minorHAnsi"/>
        </w:rPr>
        <w:t xml:space="preserve"> d</w:t>
      </w:r>
      <w:r w:rsidR="000E621C" w:rsidRPr="00F154BC">
        <w:rPr>
          <w:rFonts w:cstheme="minorHAnsi"/>
        </w:rPr>
        <w:t>eclined</w:t>
      </w:r>
      <w:r w:rsidRPr="00F154BC">
        <w:rPr>
          <w:rFonts w:cstheme="minorHAnsi"/>
        </w:rPr>
        <w:t xml:space="preserve"> since the last ITRF meeting </w:t>
      </w:r>
      <w:r w:rsidR="00853ED2" w:rsidRPr="00F154BC">
        <w:rPr>
          <w:rFonts w:cstheme="minorHAnsi"/>
        </w:rPr>
        <w:t>but</w:t>
      </w:r>
      <w:r w:rsidRPr="00F154BC">
        <w:rPr>
          <w:rFonts w:cstheme="minorHAnsi"/>
        </w:rPr>
        <w:t xml:space="preserve"> remains high</w:t>
      </w:r>
      <w:r w:rsidR="000E621C" w:rsidRPr="00F154BC">
        <w:rPr>
          <w:rFonts w:cstheme="minorHAnsi"/>
        </w:rPr>
        <w:t xml:space="preserve"> by historical levels. </w:t>
      </w:r>
      <w:r w:rsidR="007A4FFB" w:rsidRPr="006C287A">
        <w:rPr>
          <w:rFonts w:cstheme="minorHAnsi"/>
        </w:rPr>
        <w:t xml:space="preserve">The </w:t>
      </w:r>
      <w:r w:rsidR="000E621C" w:rsidRPr="006C287A">
        <w:rPr>
          <w:rFonts w:cstheme="minorHAnsi"/>
        </w:rPr>
        <w:t>Commission initiated 72 cases in</w:t>
      </w:r>
      <w:r w:rsidR="009D36B1" w:rsidRPr="006C287A">
        <w:rPr>
          <w:rFonts w:cstheme="minorHAnsi"/>
        </w:rPr>
        <w:t xml:space="preserve"> 2020</w:t>
      </w:r>
      <w:r w:rsidR="000E621C" w:rsidRPr="006C287A">
        <w:rPr>
          <w:rFonts w:cstheme="minorHAnsi"/>
        </w:rPr>
        <w:t xml:space="preserve">, down from </w:t>
      </w:r>
      <w:r w:rsidR="007A4FFB" w:rsidRPr="006C287A">
        <w:rPr>
          <w:rFonts w:cstheme="minorHAnsi"/>
        </w:rPr>
        <w:t xml:space="preserve">131 in 2019. </w:t>
      </w:r>
    </w:p>
    <w:p w14:paraId="794F32BF" w14:textId="77777777" w:rsidR="00A153B6" w:rsidRDefault="00A5734E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  <w:b/>
        </w:rPr>
        <w:t>Continuations</w:t>
      </w:r>
      <w:r w:rsidRPr="00F154BC">
        <w:rPr>
          <w:rFonts w:cstheme="minorHAnsi"/>
        </w:rPr>
        <w:t xml:space="preserve">: </w:t>
      </w:r>
      <w:r w:rsidR="000A71DC" w:rsidRPr="00F154BC">
        <w:rPr>
          <w:rFonts w:cstheme="minorHAnsi"/>
        </w:rPr>
        <w:t>Mr Sexton</w:t>
      </w:r>
      <w:r w:rsidR="00AB23E8" w:rsidRPr="00F154BC">
        <w:rPr>
          <w:rFonts w:cstheme="minorHAnsi"/>
        </w:rPr>
        <w:t xml:space="preserve"> </w:t>
      </w:r>
      <w:r w:rsidR="002C22A4" w:rsidRPr="00F154BC">
        <w:rPr>
          <w:rFonts w:cstheme="minorHAnsi"/>
        </w:rPr>
        <w:t>advised</w:t>
      </w:r>
      <w:r w:rsidR="00AB23E8" w:rsidRPr="00F154BC">
        <w:rPr>
          <w:rFonts w:cstheme="minorHAnsi"/>
        </w:rPr>
        <w:t xml:space="preserve"> members </w:t>
      </w:r>
      <w:r w:rsidR="00A50344" w:rsidRPr="00F154BC">
        <w:rPr>
          <w:rFonts w:cstheme="minorHAnsi"/>
        </w:rPr>
        <w:t xml:space="preserve">that continuation inquiries </w:t>
      </w:r>
      <w:r w:rsidR="000E621C" w:rsidRPr="00F154BC">
        <w:rPr>
          <w:rFonts w:cstheme="minorHAnsi"/>
        </w:rPr>
        <w:t>were</w:t>
      </w:r>
      <w:r w:rsidR="002C22A4" w:rsidRPr="00F154BC">
        <w:rPr>
          <w:rFonts w:cstheme="minorHAnsi"/>
        </w:rPr>
        <w:t xml:space="preserve"> increasingly complex and attracting more submissions</w:t>
      </w:r>
      <w:r w:rsidR="000E621C" w:rsidRPr="00F154BC">
        <w:rPr>
          <w:rFonts w:cstheme="minorHAnsi"/>
        </w:rPr>
        <w:t>.</w:t>
      </w:r>
      <w:r w:rsidR="002C22A4" w:rsidRPr="00F154BC">
        <w:rPr>
          <w:rFonts w:cstheme="minorHAnsi"/>
        </w:rPr>
        <w:t xml:space="preserve"> </w:t>
      </w:r>
      <w:r w:rsidR="006C287A">
        <w:rPr>
          <w:rFonts w:cstheme="minorHAnsi"/>
        </w:rPr>
        <w:t>Accordingly</w:t>
      </w:r>
      <w:r w:rsidR="00EE38F2" w:rsidRPr="00F154BC">
        <w:rPr>
          <w:rFonts w:cstheme="minorHAnsi"/>
        </w:rPr>
        <w:t>, the Commission will now</w:t>
      </w:r>
      <w:r w:rsidR="000A71DC" w:rsidRPr="00F154BC">
        <w:rPr>
          <w:rFonts w:cstheme="minorHAnsi"/>
        </w:rPr>
        <w:t xml:space="preserve"> i</w:t>
      </w:r>
      <w:r w:rsidR="002C22A4" w:rsidRPr="00F154BC">
        <w:rPr>
          <w:rFonts w:cstheme="minorHAnsi"/>
        </w:rPr>
        <w:t xml:space="preserve">nvite </w:t>
      </w:r>
      <w:r w:rsidR="000A71DC" w:rsidRPr="00F154BC">
        <w:rPr>
          <w:rFonts w:cstheme="minorHAnsi"/>
        </w:rPr>
        <w:t xml:space="preserve">an application </w:t>
      </w:r>
      <w:r w:rsidR="00BE4530" w:rsidRPr="00F154BC">
        <w:rPr>
          <w:rFonts w:cstheme="minorHAnsi"/>
        </w:rPr>
        <w:t xml:space="preserve">14 months prior to </w:t>
      </w:r>
      <w:r w:rsidR="008016C3" w:rsidRPr="00F154BC">
        <w:rPr>
          <w:rFonts w:cstheme="minorHAnsi"/>
        </w:rPr>
        <w:t xml:space="preserve">the </w:t>
      </w:r>
      <w:r w:rsidR="00EE38F2" w:rsidRPr="00F154BC">
        <w:rPr>
          <w:rFonts w:cstheme="minorHAnsi"/>
        </w:rPr>
        <w:t>measures expiring</w:t>
      </w:r>
      <w:r w:rsidR="006C287A">
        <w:rPr>
          <w:rFonts w:cstheme="minorHAnsi"/>
        </w:rPr>
        <w:t xml:space="preserve">, </w:t>
      </w:r>
      <w:r w:rsidR="00C056A5" w:rsidRPr="00F154BC">
        <w:rPr>
          <w:rFonts w:cstheme="minorHAnsi"/>
        </w:rPr>
        <w:t>instead of 12</w:t>
      </w:r>
      <w:r w:rsidR="008016C3" w:rsidRPr="00F154BC">
        <w:rPr>
          <w:rFonts w:cstheme="minorHAnsi"/>
        </w:rPr>
        <w:t xml:space="preserve"> months</w:t>
      </w:r>
      <w:r w:rsidR="000A71DC" w:rsidRPr="00F154BC">
        <w:rPr>
          <w:rFonts w:cstheme="minorHAnsi"/>
        </w:rPr>
        <w:t xml:space="preserve">. </w:t>
      </w:r>
    </w:p>
    <w:p w14:paraId="6E5ABB33" w14:textId="77777777" w:rsidR="00F641C8" w:rsidRPr="00F154BC" w:rsidRDefault="00A153B6" w:rsidP="006A2F87">
      <w:pPr>
        <w:spacing w:after="120" w:line="240" w:lineRule="auto"/>
        <w:rPr>
          <w:rFonts w:cstheme="minorHAnsi"/>
        </w:rPr>
      </w:pPr>
      <w:r w:rsidRPr="00A153B6">
        <w:rPr>
          <w:rFonts w:cstheme="minorHAnsi"/>
          <w:b/>
        </w:rPr>
        <w:t>Manual update:</w:t>
      </w:r>
      <w:r>
        <w:rPr>
          <w:rFonts w:cstheme="minorHAnsi"/>
        </w:rPr>
        <w:t xml:space="preserve"> </w:t>
      </w:r>
      <w:r w:rsidR="000A71DC" w:rsidRPr="00F154BC">
        <w:rPr>
          <w:rFonts w:cstheme="minorHAnsi"/>
        </w:rPr>
        <w:t>Mr </w:t>
      </w:r>
      <w:r w:rsidR="00A50344" w:rsidRPr="00F154BC">
        <w:rPr>
          <w:rFonts w:cstheme="minorHAnsi"/>
        </w:rPr>
        <w:t>Sexton al</w:t>
      </w:r>
      <w:r w:rsidR="00E9624E" w:rsidRPr="00F154BC">
        <w:rPr>
          <w:rFonts w:cstheme="minorHAnsi"/>
        </w:rPr>
        <w:t xml:space="preserve">so </w:t>
      </w:r>
      <w:r w:rsidR="00EE38F2" w:rsidRPr="00F154BC">
        <w:rPr>
          <w:rFonts w:cstheme="minorHAnsi"/>
        </w:rPr>
        <w:t>advised</w:t>
      </w:r>
      <w:r w:rsidR="00E9624E" w:rsidRPr="00F154BC">
        <w:rPr>
          <w:rFonts w:cstheme="minorHAnsi"/>
        </w:rPr>
        <w:t xml:space="preserve"> that</w:t>
      </w:r>
      <w:r w:rsidR="00A50344" w:rsidRPr="00F154BC">
        <w:rPr>
          <w:rFonts w:cstheme="minorHAnsi"/>
        </w:rPr>
        <w:t xml:space="preserve"> </w:t>
      </w:r>
      <w:r w:rsidR="00DF11D0" w:rsidRPr="00F154BC">
        <w:rPr>
          <w:rFonts w:cstheme="minorHAnsi"/>
        </w:rPr>
        <w:t xml:space="preserve">proposed </w:t>
      </w:r>
      <w:r w:rsidR="00A50344" w:rsidRPr="00F154BC">
        <w:rPr>
          <w:rFonts w:cstheme="minorHAnsi"/>
        </w:rPr>
        <w:t>update</w:t>
      </w:r>
      <w:r w:rsidR="00DF11D0" w:rsidRPr="00F154BC">
        <w:rPr>
          <w:rFonts w:cstheme="minorHAnsi"/>
        </w:rPr>
        <w:t>s</w:t>
      </w:r>
      <w:r w:rsidR="00A50344" w:rsidRPr="00F154BC">
        <w:rPr>
          <w:rFonts w:cstheme="minorHAnsi"/>
        </w:rPr>
        <w:t xml:space="preserve"> to the manual will be release</w:t>
      </w:r>
      <w:r w:rsidR="00BC4303" w:rsidRPr="00F154BC">
        <w:rPr>
          <w:rFonts w:cstheme="minorHAnsi"/>
        </w:rPr>
        <w:t>d</w:t>
      </w:r>
      <w:r w:rsidR="00A50344" w:rsidRPr="00F154BC">
        <w:rPr>
          <w:rFonts w:cstheme="minorHAnsi"/>
        </w:rPr>
        <w:t xml:space="preserve"> to ITRF members </w:t>
      </w:r>
      <w:r w:rsidR="005A2755" w:rsidRPr="00F154BC">
        <w:rPr>
          <w:rFonts w:cstheme="minorHAnsi"/>
        </w:rPr>
        <w:t xml:space="preserve">for feedback </w:t>
      </w:r>
      <w:r w:rsidR="000A71DC" w:rsidRPr="00F154BC">
        <w:rPr>
          <w:rFonts w:cstheme="minorHAnsi"/>
        </w:rPr>
        <w:t>shortly</w:t>
      </w:r>
      <w:r w:rsidR="00A50344" w:rsidRPr="00F154BC">
        <w:rPr>
          <w:rFonts w:cstheme="minorHAnsi"/>
        </w:rPr>
        <w:t xml:space="preserve">. </w:t>
      </w:r>
      <w:r w:rsidR="00EE38F2" w:rsidRPr="00F154BC">
        <w:rPr>
          <w:rFonts w:cstheme="minorHAnsi"/>
        </w:rPr>
        <w:t xml:space="preserve">The updates </w:t>
      </w:r>
      <w:r w:rsidR="000A71DC" w:rsidRPr="00F154BC">
        <w:rPr>
          <w:rFonts w:cstheme="minorHAnsi"/>
        </w:rPr>
        <w:t xml:space="preserve">reflected </w:t>
      </w:r>
      <w:r w:rsidR="008016C3" w:rsidRPr="00F154BC">
        <w:rPr>
          <w:rFonts w:cstheme="minorHAnsi"/>
        </w:rPr>
        <w:t xml:space="preserve">the Commission’s </w:t>
      </w:r>
      <w:r w:rsidR="00A50344" w:rsidRPr="00F154BC">
        <w:rPr>
          <w:rFonts w:cstheme="minorHAnsi"/>
        </w:rPr>
        <w:t>current practice</w:t>
      </w:r>
      <w:r w:rsidR="000A71DC" w:rsidRPr="00F154BC">
        <w:rPr>
          <w:rFonts w:cstheme="minorHAnsi"/>
        </w:rPr>
        <w:t>s</w:t>
      </w:r>
      <w:r w:rsidR="00A50344" w:rsidRPr="00F154BC">
        <w:rPr>
          <w:rFonts w:cstheme="minorHAnsi"/>
        </w:rPr>
        <w:t xml:space="preserve">. </w:t>
      </w:r>
    </w:p>
    <w:p w14:paraId="29CC906F" w14:textId="77777777" w:rsidR="006A45F3" w:rsidRPr="00F154BC" w:rsidRDefault="00287FCF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  <w:b/>
        </w:rPr>
        <w:t>Verification</w:t>
      </w:r>
      <w:r w:rsidRPr="00F154BC">
        <w:rPr>
          <w:rFonts w:cstheme="minorHAnsi"/>
        </w:rPr>
        <w:t xml:space="preserve"> </w:t>
      </w:r>
      <w:r w:rsidRPr="00F154BC">
        <w:rPr>
          <w:rFonts w:cstheme="minorHAnsi"/>
          <w:b/>
        </w:rPr>
        <w:t>of exporters’ data</w:t>
      </w:r>
      <w:r w:rsidRPr="00F154BC">
        <w:rPr>
          <w:rFonts w:cstheme="minorHAnsi"/>
        </w:rPr>
        <w:t xml:space="preserve">: </w:t>
      </w:r>
      <w:r w:rsidR="00A160C7" w:rsidRPr="00F154BC">
        <w:rPr>
          <w:rFonts w:cstheme="minorHAnsi"/>
        </w:rPr>
        <w:t xml:space="preserve">Mr </w:t>
      </w:r>
      <w:r w:rsidR="00931401" w:rsidRPr="00F154BC">
        <w:rPr>
          <w:rFonts w:cstheme="minorHAnsi"/>
        </w:rPr>
        <w:t xml:space="preserve">Wacey </w:t>
      </w:r>
      <w:r w:rsidR="00C056A5" w:rsidRPr="00F154BC">
        <w:rPr>
          <w:rFonts w:cstheme="minorHAnsi"/>
        </w:rPr>
        <w:t>asked</w:t>
      </w:r>
      <w:r w:rsidR="007A7AB3" w:rsidRPr="00F154BC">
        <w:rPr>
          <w:rFonts w:cstheme="minorHAnsi"/>
        </w:rPr>
        <w:t xml:space="preserve"> if the Commission has applied for </w:t>
      </w:r>
      <w:r w:rsidR="00DF11D0" w:rsidRPr="00F154BC">
        <w:rPr>
          <w:rFonts w:cstheme="minorHAnsi"/>
        </w:rPr>
        <w:t xml:space="preserve">permission </w:t>
      </w:r>
      <w:r w:rsidR="007A7AB3" w:rsidRPr="00F154BC">
        <w:rPr>
          <w:rFonts w:cstheme="minorHAnsi"/>
        </w:rPr>
        <w:t xml:space="preserve">to travel </w:t>
      </w:r>
      <w:r w:rsidR="00DF11D0" w:rsidRPr="00F154BC">
        <w:rPr>
          <w:rFonts w:cstheme="minorHAnsi"/>
        </w:rPr>
        <w:t xml:space="preserve">overseas </w:t>
      </w:r>
      <w:r w:rsidR="00EE38F2" w:rsidRPr="00F154BC">
        <w:rPr>
          <w:rFonts w:cstheme="minorHAnsi"/>
        </w:rPr>
        <w:t>for</w:t>
      </w:r>
      <w:r w:rsidR="00272C59" w:rsidRPr="00F154BC">
        <w:rPr>
          <w:rFonts w:cstheme="minorHAnsi"/>
        </w:rPr>
        <w:t xml:space="preserve"> verifications. </w:t>
      </w:r>
      <w:r w:rsidR="008016C3" w:rsidRPr="00F154BC">
        <w:rPr>
          <w:rFonts w:cstheme="minorHAnsi"/>
        </w:rPr>
        <w:t>Mr </w:t>
      </w:r>
      <w:r w:rsidR="00DF11D0" w:rsidRPr="00F154BC">
        <w:rPr>
          <w:rFonts w:cstheme="minorHAnsi"/>
        </w:rPr>
        <w:t>Sexton</w:t>
      </w:r>
      <w:r w:rsidR="007A7AB3" w:rsidRPr="00F154BC">
        <w:rPr>
          <w:rFonts w:cstheme="minorHAnsi"/>
        </w:rPr>
        <w:t xml:space="preserve"> </w:t>
      </w:r>
      <w:r w:rsidR="00EE38F2" w:rsidRPr="00F154BC">
        <w:rPr>
          <w:rFonts w:cstheme="minorHAnsi"/>
        </w:rPr>
        <w:t>advised</w:t>
      </w:r>
      <w:r w:rsidR="00DF11D0" w:rsidRPr="00F154BC">
        <w:rPr>
          <w:rFonts w:cstheme="minorHAnsi"/>
        </w:rPr>
        <w:t xml:space="preserve"> the Commission had not applied for travel exceptions</w:t>
      </w:r>
      <w:r w:rsidR="00C056A5" w:rsidRPr="00F154BC">
        <w:rPr>
          <w:rFonts w:cstheme="minorHAnsi"/>
        </w:rPr>
        <w:t>. He noted</w:t>
      </w:r>
      <w:r w:rsidR="00204D3E" w:rsidRPr="00F154BC">
        <w:rPr>
          <w:rFonts w:cstheme="minorHAnsi"/>
        </w:rPr>
        <w:t xml:space="preserve"> offsite</w:t>
      </w:r>
      <w:r w:rsidR="007A7AB3" w:rsidRPr="00F154BC">
        <w:rPr>
          <w:rFonts w:cstheme="minorHAnsi"/>
        </w:rPr>
        <w:t xml:space="preserve"> verification ha</w:t>
      </w:r>
      <w:r w:rsidR="00EE38F2" w:rsidRPr="00F154BC">
        <w:rPr>
          <w:rFonts w:cstheme="minorHAnsi"/>
        </w:rPr>
        <w:t xml:space="preserve">d initially </w:t>
      </w:r>
      <w:r w:rsidR="008016C3" w:rsidRPr="00F154BC">
        <w:rPr>
          <w:rFonts w:cstheme="minorHAnsi"/>
        </w:rPr>
        <w:t>been slow</w:t>
      </w:r>
      <w:r w:rsidR="0013325B" w:rsidRPr="00F154BC">
        <w:rPr>
          <w:rFonts w:cstheme="minorHAnsi"/>
        </w:rPr>
        <w:t xml:space="preserve"> </w:t>
      </w:r>
      <w:r w:rsidR="00204D3E" w:rsidRPr="00F154BC">
        <w:rPr>
          <w:rFonts w:cstheme="minorHAnsi"/>
        </w:rPr>
        <w:t>via email</w:t>
      </w:r>
      <w:r w:rsidR="006C287A">
        <w:rPr>
          <w:rFonts w:cstheme="minorHAnsi"/>
        </w:rPr>
        <w:t xml:space="preserve"> but that the</w:t>
      </w:r>
      <w:r w:rsidR="006A45F3" w:rsidRPr="00F154BC">
        <w:rPr>
          <w:rFonts w:cstheme="minorHAnsi"/>
        </w:rPr>
        <w:t xml:space="preserve"> </w:t>
      </w:r>
      <w:r w:rsidR="00545847" w:rsidRPr="00F154BC">
        <w:rPr>
          <w:rFonts w:cstheme="minorHAnsi"/>
        </w:rPr>
        <w:t>virtual</w:t>
      </w:r>
      <w:r w:rsidR="006A45F3" w:rsidRPr="00F154BC">
        <w:rPr>
          <w:rFonts w:cstheme="minorHAnsi"/>
        </w:rPr>
        <w:t xml:space="preserve"> verification process </w:t>
      </w:r>
      <w:r w:rsidR="006C287A">
        <w:rPr>
          <w:rFonts w:cstheme="minorHAnsi"/>
        </w:rPr>
        <w:t>was much quicker.</w:t>
      </w:r>
    </w:p>
    <w:p w14:paraId="27CDC45F" w14:textId="77777777" w:rsidR="002F6CE8" w:rsidRPr="006C287A" w:rsidRDefault="00931401" w:rsidP="006A2F87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theme="minorHAnsi"/>
        </w:rPr>
      </w:pPr>
      <w:r w:rsidRPr="006C287A">
        <w:rPr>
          <w:rFonts w:cstheme="minorHAnsi"/>
        </w:rPr>
        <w:t>Matt Decarne</w:t>
      </w:r>
      <w:r w:rsidR="00A160C7" w:rsidRPr="006C287A">
        <w:rPr>
          <w:rFonts w:cstheme="minorHAnsi"/>
        </w:rPr>
        <w:t>, representing</w:t>
      </w:r>
      <w:r w:rsidRPr="006C287A">
        <w:rPr>
          <w:rFonts w:cstheme="minorHAnsi"/>
        </w:rPr>
        <w:t xml:space="preserve"> Opal Specialty Packaging</w:t>
      </w:r>
      <w:r w:rsidR="00204D3E" w:rsidRPr="006C287A">
        <w:rPr>
          <w:rFonts w:cstheme="minorHAnsi"/>
        </w:rPr>
        <w:t>,</w:t>
      </w:r>
      <w:r w:rsidR="00233C85" w:rsidRPr="006C287A">
        <w:rPr>
          <w:rFonts w:cstheme="minorHAnsi"/>
        </w:rPr>
        <w:t xml:space="preserve"> </w:t>
      </w:r>
      <w:r w:rsidR="00545847" w:rsidRPr="006C287A">
        <w:rPr>
          <w:rFonts w:cstheme="minorHAnsi"/>
        </w:rPr>
        <w:t>asked</w:t>
      </w:r>
      <w:r w:rsidR="006A45F3" w:rsidRPr="006C287A">
        <w:rPr>
          <w:rFonts w:cstheme="minorHAnsi"/>
        </w:rPr>
        <w:t xml:space="preserve"> if the </w:t>
      </w:r>
      <w:r w:rsidR="00204D3E" w:rsidRPr="006C287A">
        <w:rPr>
          <w:rFonts w:cstheme="minorHAnsi"/>
        </w:rPr>
        <w:t xml:space="preserve">Commission will continue to issue </w:t>
      </w:r>
      <w:r w:rsidR="002F6CE8" w:rsidRPr="006C287A">
        <w:rPr>
          <w:rFonts w:cstheme="minorHAnsi"/>
        </w:rPr>
        <w:t>extended exporter question</w:t>
      </w:r>
      <w:r w:rsidR="00204D3E" w:rsidRPr="006C287A">
        <w:rPr>
          <w:rFonts w:cstheme="minorHAnsi"/>
        </w:rPr>
        <w:t>naires</w:t>
      </w:r>
      <w:r w:rsidR="00545847" w:rsidRPr="006C287A">
        <w:rPr>
          <w:rFonts w:cstheme="minorHAnsi"/>
        </w:rPr>
        <w:t xml:space="preserve"> </w:t>
      </w:r>
      <w:r w:rsidR="006A45F3" w:rsidRPr="006C287A">
        <w:rPr>
          <w:rFonts w:cstheme="minorHAnsi"/>
        </w:rPr>
        <w:t xml:space="preserve">once on-site verification resumes. </w:t>
      </w:r>
      <w:r w:rsidR="002F6CE8" w:rsidRPr="006C287A">
        <w:rPr>
          <w:rFonts w:cstheme="minorHAnsi"/>
        </w:rPr>
        <w:t xml:space="preserve">Mr Sexton noted </w:t>
      </w:r>
      <w:r w:rsidR="00204D3E" w:rsidRPr="006C287A">
        <w:rPr>
          <w:rFonts w:cstheme="minorHAnsi"/>
        </w:rPr>
        <w:t xml:space="preserve">that </w:t>
      </w:r>
      <w:r w:rsidR="002F6CE8" w:rsidRPr="006C287A">
        <w:rPr>
          <w:rFonts w:cstheme="minorHAnsi"/>
        </w:rPr>
        <w:t xml:space="preserve">extended </w:t>
      </w:r>
      <w:r w:rsidR="00EE6C65" w:rsidRPr="006C287A">
        <w:rPr>
          <w:rFonts w:cstheme="minorHAnsi"/>
        </w:rPr>
        <w:t>questionnaires</w:t>
      </w:r>
      <w:r w:rsidR="00272C59" w:rsidRPr="006C287A">
        <w:rPr>
          <w:rFonts w:cstheme="minorHAnsi"/>
        </w:rPr>
        <w:t xml:space="preserve"> </w:t>
      </w:r>
      <w:r w:rsidR="008016C3" w:rsidRPr="006C287A">
        <w:rPr>
          <w:rFonts w:cstheme="minorHAnsi"/>
        </w:rPr>
        <w:t xml:space="preserve">generally </w:t>
      </w:r>
      <w:r w:rsidR="00545847" w:rsidRPr="006C287A">
        <w:rPr>
          <w:rFonts w:cstheme="minorHAnsi"/>
        </w:rPr>
        <w:t xml:space="preserve">do not relate to offsite verification, and instead seek information for analysis in line with the WTO decision </w:t>
      </w:r>
      <w:r w:rsidR="008016C3" w:rsidRPr="006C287A">
        <w:rPr>
          <w:rFonts w:cstheme="minorHAnsi"/>
        </w:rPr>
        <w:t>on</w:t>
      </w:r>
      <w:r w:rsidR="00545847" w:rsidRPr="006C287A">
        <w:rPr>
          <w:rFonts w:cstheme="minorHAnsi"/>
        </w:rPr>
        <w:t xml:space="preserve"> A4 copy paper</w:t>
      </w:r>
      <w:r w:rsidR="00EE6C65" w:rsidRPr="006C287A">
        <w:rPr>
          <w:rFonts w:cstheme="minorHAnsi"/>
        </w:rPr>
        <w:t xml:space="preserve">. </w:t>
      </w:r>
    </w:p>
    <w:p w14:paraId="1BF34662" w14:textId="77777777" w:rsidR="00204D3E" w:rsidRPr="00F154BC" w:rsidRDefault="00287FCF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  <w:b/>
        </w:rPr>
        <w:t>Online application form</w:t>
      </w:r>
      <w:r w:rsidR="00756744" w:rsidRPr="00F154BC">
        <w:rPr>
          <w:rFonts w:cstheme="minorHAnsi"/>
          <w:b/>
        </w:rPr>
        <w:t xml:space="preserve"> for dumping and subsidy investigations</w:t>
      </w:r>
      <w:r w:rsidRPr="00F154BC">
        <w:rPr>
          <w:rFonts w:cstheme="minorHAnsi"/>
          <w:b/>
        </w:rPr>
        <w:t xml:space="preserve">: </w:t>
      </w:r>
      <w:r w:rsidR="002B71C4" w:rsidRPr="00F154BC">
        <w:rPr>
          <w:rFonts w:cstheme="minorHAnsi"/>
        </w:rPr>
        <w:t xml:space="preserve">The </w:t>
      </w:r>
      <w:r w:rsidR="00746D54" w:rsidRPr="00F154BC">
        <w:rPr>
          <w:rFonts w:cstheme="minorHAnsi"/>
        </w:rPr>
        <w:t>proposed new</w:t>
      </w:r>
      <w:r w:rsidR="002B71C4" w:rsidRPr="00F154BC">
        <w:rPr>
          <w:rFonts w:cstheme="minorHAnsi"/>
        </w:rPr>
        <w:t xml:space="preserve"> online smart form </w:t>
      </w:r>
      <w:r w:rsidR="00233C85" w:rsidRPr="00F154BC">
        <w:rPr>
          <w:rFonts w:cstheme="minorHAnsi"/>
        </w:rPr>
        <w:t>aim</w:t>
      </w:r>
      <w:r w:rsidR="00746D54" w:rsidRPr="00F154BC">
        <w:rPr>
          <w:rFonts w:cstheme="minorHAnsi"/>
        </w:rPr>
        <w:t>s</w:t>
      </w:r>
      <w:r w:rsidR="00233C85" w:rsidRPr="00F154BC">
        <w:rPr>
          <w:rFonts w:cstheme="minorHAnsi"/>
        </w:rPr>
        <w:t xml:space="preserve"> </w:t>
      </w:r>
      <w:r w:rsidR="00746D54" w:rsidRPr="00F154BC">
        <w:rPr>
          <w:rFonts w:cstheme="minorHAnsi"/>
        </w:rPr>
        <w:t>to</w:t>
      </w:r>
      <w:r w:rsidR="00233C85" w:rsidRPr="00F154BC">
        <w:rPr>
          <w:rFonts w:cstheme="minorHAnsi"/>
        </w:rPr>
        <w:t xml:space="preserve"> </w:t>
      </w:r>
      <w:r w:rsidR="00746D54" w:rsidRPr="00F154BC">
        <w:rPr>
          <w:rFonts w:cstheme="minorHAnsi"/>
        </w:rPr>
        <w:t>streamline</w:t>
      </w:r>
      <w:r w:rsidR="001D07DC" w:rsidRPr="00F154BC">
        <w:rPr>
          <w:rFonts w:cstheme="minorHAnsi"/>
        </w:rPr>
        <w:t xml:space="preserve"> the application process</w:t>
      </w:r>
      <w:r w:rsidR="00746D54" w:rsidRPr="00F154BC">
        <w:rPr>
          <w:rFonts w:cstheme="minorHAnsi"/>
        </w:rPr>
        <w:t xml:space="preserve">, reduce the burden to perform calculations </w:t>
      </w:r>
      <w:r w:rsidR="000B1E88" w:rsidRPr="00F154BC">
        <w:rPr>
          <w:rFonts w:cstheme="minorHAnsi"/>
        </w:rPr>
        <w:t>and facilitate joint applications.</w:t>
      </w:r>
      <w:r w:rsidR="00B225D1" w:rsidRPr="00F154BC">
        <w:rPr>
          <w:rFonts w:cstheme="minorHAnsi"/>
        </w:rPr>
        <w:t xml:space="preserve"> </w:t>
      </w:r>
      <w:r w:rsidR="006C287A">
        <w:rPr>
          <w:rFonts w:cstheme="minorHAnsi"/>
        </w:rPr>
        <w:t>F</w:t>
      </w:r>
      <w:r w:rsidR="00746D54" w:rsidRPr="00F154BC">
        <w:rPr>
          <w:rFonts w:cstheme="minorHAnsi"/>
        </w:rPr>
        <w:t>eedback</w:t>
      </w:r>
      <w:r w:rsidR="006C287A">
        <w:rPr>
          <w:rFonts w:cstheme="minorHAnsi"/>
        </w:rPr>
        <w:t xml:space="preserve"> from ITRF members has been sought</w:t>
      </w:r>
      <w:r w:rsidR="00746D54" w:rsidRPr="00F154BC">
        <w:rPr>
          <w:rFonts w:cstheme="minorHAnsi"/>
        </w:rPr>
        <w:t>, with a</w:t>
      </w:r>
      <w:r w:rsidR="00D06A8B" w:rsidRPr="00F154BC">
        <w:rPr>
          <w:rFonts w:cstheme="minorHAnsi"/>
        </w:rPr>
        <w:t xml:space="preserve"> </w:t>
      </w:r>
      <w:r w:rsidR="00A5734E" w:rsidRPr="00F154BC">
        <w:rPr>
          <w:rFonts w:cstheme="minorHAnsi"/>
        </w:rPr>
        <w:t xml:space="preserve">broader round of </w:t>
      </w:r>
      <w:r w:rsidR="00C056A5" w:rsidRPr="00F154BC">
        <w:rPr>
          <w:rFonts w:cstheme="minorHAnsi"/>
        </w:rPr>
        <w:t xml:space="preserve">public </w:t>
      </w:r>
      <w:r w:rsidR="00D06A8B" w:rsidRPr="00F154BC">
        <w:rPr>
          <w:rFonts w:cstheme="minorHAnsi"/>
        </w:rPr>
        <w:t xml:space="preserve">consultation </w:t>
      </w:r>
      <w:r w:rsidR="00746D54" w:rsidRPr="00F154BC">
        <w:rPr>
          <w:rFonts w:cstheme="minorHAnsi"/>
        </w:rPr>
        <w:t>to follow</w:t>
      </w:r>
      <w:r w:rsidR="00D06A8B" w:rsidRPr="00F154BC">
        <w:rPr>
          <w:rFonts w:cstheme="minorHAnsi"/>
        </w:rPr>
        <w:t xml:space="preserve">. </w:t>
      </w:r>
      <w:r w:rsidR="005E5806" w:rsidRPr="00F154BC">
        <w:rPr>
          <w:rFonts w:cstheme="minorHAnsi"/>
        </w:rPr>
        <w:t>The</w:t>
      </w:r>
      <w:r w:rsidR="00D06A8B" w:rsidRPr="00F154BC">
        <w:rPr>
          <w:rFonts w:cstheme="minorHAnsi"/>
        </w:rPr>
        <w:t xml:space="preserve"> Commission expects the form to go live early next year, with a grace period </w:t>
      </w:r>
      <w:r w:rsidR="00746D54" w:rsidRPr="00F154BC">
        <w:rPr>
          <w:rFonts w:cstheme="minorHAnsi"/>
        </w:rPr>
        <w:t>for submission</w:t>
      </w:r>
      <w:r w:rsidR="00D06A8B" w:rsidRPr="00F154BC">
        <w:rPr>
          <w:rFonts w:cstheme="minorHAnsi"/>
        </w:rPr>
        <w:t xml:space="preserve"> of the previous form.</w:t>
      </w:r>
      <w:r w:rsidR="005E5806" w:rsidRPr="00F154BC">
        <w:rPr>
          <w:rFonts w:cstheme="minorHAnsi"/>
        </w:rPr>
        <w:t xml:space="preserve"> </w:t>
      </w:r>
    </w:p>
    <w:p w14:paraId="5EDFD738" w14:textId="77777777" w:rsidR="006A45F3" w:rsidRPr="00F154BC" w:rsidRDefault="00756744" w:rsidP="006A2F87">
      <w:pPr>
        <w:pStyle w:val="ListParagraph"/>
        <w:numPr>
          <w:ilvl w:val="0"/>
          <w:numId w:val="12"/>
        </w:numPr>
        <w:spacing w:after="240" w:line="240" w:lineRule="auto"/>
        <w:ind w:left="714" w:hanging="357"/>
        <w:contextualSpacing w:val="0"/>
        <w:rPr>
          <w:rFonts w:cstheme="minorHAnsi"/>
        </w:rPr>
      </w:pPr>
      <w:r w:rsidRPr="00F154BC">
        <w:rPr>
          <w:rFonts w:cstheme="minorHAnsi"/>
        </w:rPr>
        <w:t xml:space="preserve">There was agreement that </w:t>
      </w:r>
      <w:r w:rsidR="007B46DE">
        <w:rPr>
          <w:rFonts w:cstheme="minorHAnsi"/>
        </w:rPr>
        <w:t xml:space="preserve">an iterative </w:t>
      </w:r>
      <w:r w:rsidRPr="00F154BC">
        <w:rPr>
          <w:rFonts w:cstheme="minorHAnsi"/>
        </w:rPr>
        <w:t xml:space="preserve">consultation </w:t>
      </w:r>
      <w:r w:rsidR="007B46DE">
        <w:rPr>
          <w:rFonts w:cstheme="minorHAnsi"/>
        </w:rPr>
        <w:t xml:space="preserve">process </w:t>
      </w:r>
      <w:r w:rsidRPr="00F154BC">
        <w:rPr>
          <w:rFonts w:cstheme="minorHAnsi"/>
        </w:rPr>
        <w:t xml:space="preserve">through a </w:t>
      </w:r>
      <w:r w:rsidR="005C0B5E" w:rsidRPr="00F154BC">
        <w:rPr>
          <w:rFonts w:cstheme="minorHAnsi"/>
        </w:rPr>
        <w:t>round</w:t>
      </w:r>
      <w:r w:rsidR="00D06A8B" w:rsidRPr="00F154BC">
        <w:rPr>
          <w:rFonts w:cstheme="minorHAnsi"/>
        </w:rPr>
        <w:t>table</w:t>
      </w:r>
      <w:r w:rsidR="00A6157D" w:rsidRPr="00F154BC">
        <w:rPr>
          <w:rFonts w:cstheme="minorHAnsi"/>
        </w:rPr>
        <w:t xml:space="preserve"> </w:t>
      </w:r>
      <w:r w:rsidRPr="00F154BC">
        <w:rPr>
          <w:rFonts w:cstheme="minorHAnsi"/>
        </w:rPr>
        <w:t xml:space="preserve">or similar forum would be useful. The Commission undertook to </w:t>
      </w:r>
      <w:r w:rsidR="002779F7" w:rsidRPr="00F154BC">
        <w:rPr>
          <w:rFonts w:cstheme="minorHAnsi"/>
        </w:rPr>
        <w:t xml:space="preserve">come back to </w:t>
      </w:r>
      <w:r w:rsidR="00F06469" w:rsidRPr="00F154BC">
        <w:rPr>
          <w:rFonts w:cstheme="minorHAnsi"/>
        </w:rPr>
        <w:t>members with a propos</w:t>
      </w:r>
      <w:r w:rsidR="002779F7" w:rsidRPr="00F154BC">
        <w:rPr>
          <w:rFonts w:cstheme="minorHAnsi"/>
        </w:rPr>
        <w:t>ed approach</w:t>
      </w:r>
      <w:r w:rsidR="00F06469" w:rsidRPr="00F154BC">
        <w:rPr>
          <w:rFonts w:cstheme="minorHAnsi"/>
        </w:rPr>
        <w:t xml:space="preserve">. </w:t>
      </w:r>
      <w:r w:rsidRPr="00F154BC">
        <w:rPr>
          <w:rFonts w:cstheme="minorHAnsi"/>
        </w:rPr>
        <w:t>Mr </w:t>
      </w:r>
      <w:r w:rsidR="00C23FC7" w:rsidRPr="00F154BC">
        <w:rPr>
          <w:rFonts w:cstheme="minorHAnsi"/>
        </w:rPr>
        <w:t>Gibbs</w:t>
      </w:r>
      <w:r w:rsidR="00204D3E" w:rsidRPr="00F154BC">
        <w:rPr>
          <w:rFonts w:cstheme="minorHAnsi"/>
        </w:rPr>
        <w:t xml:space="preserve"> noted the number of issues currently </w:t>
      </w:r>
      <w:r w:rsidR="00C056A5" w:rsidRPr="00F154BC">
        <w:rPr>
          <w:rFonts w:cstheme="minorHAnsi"/>
        </w:rPr>
        <w:t xml:space="preserve">before </w:t>
      </w:r>
      <w:r w:rsidR="00204D3E" w:rsidRPr="00F154BC">
        <w:rPr>
          <w:rFonts w:cstheme="minorHAnsi"/>
        </w:rPr>
        <w:t xml:space="preserve">ITRF </w:t>
      </w:r>
      <w:r w:rsidR="00AB7F27" w:rsidRPr="00F154BC">
        <w:rPr>
          <w:rFonts w:cstheme="minorHAnsi"/>
        </w:rPr>
        <w:t xml:space="preserve">members </w:t>
      </w:r>
      <w:r w:rsidR="00393671" w:rsidRPr="00F154BC">
        <w:rPr>
          <w:rFonts w:cstheme="minorHAnsi"/>
        </w:rPr>
        <w:t>and ask</w:t>
      </w:r>
      <w:r w:rsidR="00204D3E" w:rsidRPr="00F154BC">
        <w:rPr>
          <w:rFonts w:cstheme="minorHAnsi"/>
        </w:rPr>
        <w:t>ed</w:t>
      </w:r>
      <w:r w:rsidR="00393671" w:rsidRPr="00F154BC">
        <w:rPr>
          <w:rFonts w:cstheme="minorHAnsi"/>
        </w:rPr>
        <w:t xml:space="preserve"> the Commission to </w:t>
      </w:r>
      <w:r w:rsidRPr="00F154BC">
        <w:rPr>
          <w:rFonts w:cstheme="minorHAnsi"/>
        </w:rPr>
        <w:t>take this into account</w:t>
      </w:r>
      <w:r w:rsidR="00D24FE0" w:rsidRPr="00F154BC">
        <w:rPr>
          <w:rFonts w:cstheme="minorHAnsi"/>
        </w:rPr>
        <w:t xml:space="preserve">. </w:t>
      </w:r>
      <w:r w:rsidR="00233C85" w:rsidRPr="00F154BC">
        <w:rPr>
          <w:rFonts w:cstheme="minorHAnsi"/>
        </w:rPr>
        <w:t xml:space="preserve">Commissioner </w:t>
      </w:r>
      <w:r w:rsidR="006B7345">
        <w:rPr>
          <w:rFonts w:cstheme="minorHAnsi"/>
        </w:rPr>
        <w:t xml:space="preserve">Armstrong </w:t>
      </w:r>
      <w:r w:rsidR="00C056A5" w:rsidRPr="00F154BC">
        <w:rPr>
          <w:rFonts w:cstheme="minorHAnsi"/>
        </w:rPr>
        <w:t>supported this request</w:t>
      </w:r>
      <w:r w:rsidR="00D24FE0" w:rsidRPr="00F154BC">
        <w:rPr>
          <w:rFonts w:cstheme="minorHAnsi"/>
        </w:rPr>
        <w:t xml:space="preserve">. </w:t>
      </w:r>
    </w:p>
    <w:p w14:paraId="4C507355" w14:textId="77777777" w:rsidR="00BB671C" w:rsidRPr="00F154BC" w:rsidRDefault="00BB671C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lastRenderedPageBreak/>
        <w:t>Agenda Item 5 – A</w:t>
      </w:r>
      <w:r w:rsidR="00FA501A" w:rsidRPr="00F154BC">
        <w:rPr>
          <w:rFonts w:asciiTheme="minorHAnsi" w:hAnsiTheme="minorHAnsi" w:cstheme="minorHAnsi"/>
          <w:b/>
          <w:sz w:val="22"/>
          <w:szCs w:val="22"/>
        </w:rPr>
        <w:t xml:space="preserve">ustralian </w:t>
      </w:r>
      <w:r w:rsidRPr="00F154BC">
        <w:rPr>
          <w:rFonts w:asciiTheme="minorHAnsi" w:hAnsiTheme="minorHAnsi" w:cstheme="minorHAnsi"/>
          <w:b/>
          <w:sz w:val="22"/>
          <w:szCs w:val="22"/>
        </w:rPr>
        <w:t>B</w:t>
      </w:r>
      <w:r w:rsidR="00FA501A" w:rsidRPr="00F154BC">
        <w:rPr>
          <w:rFonts w:asciiTheme="minorHAnsi" w:hAnsiTheme="minorHAnsi" w:cstheme="minorHAnsi"/>
          <w:b/>
          <w:sz w:val="22"/>
          <w:szCs w:val="22"/>
        </w:rPr>
        <w:t xml:space="preserve">order </w:t>
      </w:r>
      <w:r w:rsidRPr="00F154BC">
        <w:rPr>
          <w:rFonts w:asciiTheme="minorHAnsi" w:hAnsiTheme="minorHAnsi" w:cstheme="minorHAnsi"/>
          <w:b/>
          <w:sz w:val="22"/>
          <w:szCs w:val="22"/>
        </w:rPr>
        <w:t>F</w:t>
      </w:r>
      <w:r w:rsidR="00FA501A" w:rsidRPr="00F154BC">
        <w:rPr>
          <w:rFonts w:asciiTheme="minorHAnsi" w:hAnsiTheme="minorHAnsi" w:cstheme="minorHAnsi"/>
          <w:b/>
          <w:sz w:val="22"/>
          <w:szCs w:val="22"/>
        </w:rPr>
        <w:t>orce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501A" w:rsidRPr="00F154BC">
        <w:rPr>
          <w:rFonts w:asciiTheme="minorHAnsi" w:hAnsiTheme="minorHAnsi" w:cstheme="minorHAnsi"/>
          <w:b/>
          <w:sz w:val="22"/>
          <w:szCs w:val="22"/>
        </w:rPr>
        <w:t xml:space="preserve">(ABF) </w:t>
      </w:r>
      <w:r w:rsidRPr="00F154BC">
        <w:rPr>
          <w:rFonts w:asciiTheme="minorHAnsi" w:hAnsiTheme="minorHAnsi" w:cstheme="minorHAnsi"/>
          <w:b/>
          <w:sz w:val="22"/>
          <w:szCs w:val="22"/>
        </w:rPr>
        <w:t>Compliance Update</w:t>
      </w:r>
    </w:p>
    <w:p w14:paraId="4565649C" w14:textId="77777777" w:rsidR="00BB671C" w:rsidRPr="00F154BC" w:rsidRDefault="00BB671C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</w:rPr>
        <w:t>Brett Cox</w:t>
      </w:r>
      <w:r w:rsidR="00267905" w:rsidRPr="00F154BC">
        <w:rPr>
          <w:rFonts w:cstheme="minorHAnsi"/>
        </w:rPr>
        <w:t>, Assistant Secretary, Trusted Trader and Trade Compliance Branch</w:t>
      </w:r>
      <w:r w:rsidR="00FA501A" w:rsidRPr="00F154BC">
        <w:rPr>
          <w:rFonts w:cstheme="minorHAnsi"/>
        </w:rPr>
        <w:t xml:space="preserve"> (ABF)</w:t>
      </w:r>
      <w:r w:rsidR="00267905" w:rsidRPr="00F154BC">
        <w:rPr>
          <w:rFonts w:cstheme="minorHAnsi"/>
        </w:rPr>
        <w:t>,</w:t>
      </w:r>
      <w:r w:rsidRPr="00F154BC">
        <w:rPr>
          <w:rFonts w:cstheme="minorHAnsi"/>
        </w:rPr>
        <w:t xml:space="preserve"> noted the Customs T</w:t>
      </w:r>
      <w:r w:rsidR="00233C85" w:rsidRPr="00F154BC">
        <w:rPr>
          <w:rFonts w:cstheme="minorHAnsi"/>
        </w:rPr>
        <w:t xml:space="preserve">ariff Amendment Act </w:t>
      </w:r>
      <w:r w:rsidR="00267905" w:rsidRPr="00F154BC">
        <w:rPr>
          <w:rFonts w:cstheme="minorHAnsi"/>
        </w:rPr>
        <w:t>would</w:t>
      </w:r>
      <w:r w:rsidR="008016C3" w:rsidRPr="00F154BC">
        <w:rPr>
          <w:rFonts w:cstheme="minorHAnsi"/>
        </w:rPr>
        <w:t xml:space="preserve"> ensure Australia’s</w:t>
      </w:r>
      <w:r w:rsidRPr="00F154BC">
        <w:rPr>
          <w:rFonts w:cstheme="minorHAnsi"/>
        </w:rPr>
        <w:t xml:space="preserve"> classification practice conforms to international practice</w:t>
      </w:r>
      <w:r w:rsidR="008016C3" w:rsidRPr="00F154BC">
        <w:rPr>
          <w:rFonts w:cstheme="minorHAnsi"/>
        </w:rPr>
        <w:t xml:space="preserve">, and </w:t>
      </w:r>
      <w:r w:rsidRPr="00F154BC">
        <w:rPr>
          <w:rFonts w:cstheme="minorHAnsi"/>
        </w:rPr>
        <w:t>that anti-dumping</w:t>
      </w:r>
      <w:r w:rsidR="008016C3" w:rsidRPr="00F154BC">
        <w:rPr>
          <w:rFonts w:cstheme="minorHAnsi"/>
        </w:rPr>
        <w:t xml:space="preserve"> measures continue to apply to certain </w:t>
      </w:r>
      <w:r w:rsidRPr="00F154BC">
        <w:rPr>
          <w:rFonts w:cstheme="minorHAnsi"/>
        </w:rPr>
        <w:t xml:space="preserve">goods as intended. </w:t>
      </w:r>
      <w:r w:rsidR="008016C3" w:rsidRPr="00F154BC">
        <w:rPr>
          <w:rFonts w:cstheme="minorHAnsi"/>
        </w:rPr>
        <w:t>The ABF is</w:t>
      </w:r>
      <w:r w:rsidR="00710AD6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 xml:space="preserve">also </w:t>
      </w:r>
      <w:r w:rsidR="00710AD6" w:rsidRPr="00F154BC">
        <w:rPr>
          <w:rFonts w:cstheme="minorHAnsi"/>
        </w:rPr>
        <w:t xml:space="preserve">rolling out a new benefit </w:t>
      </w:r>
      <w:r w:rsidR="00267905" w:rsidRPr="00F154BC">
        <w:rPr>
          <w:rFonts w:cstheme="minorHAnsi"/>
        </w:rPr>
        <w:t xml:space="preserve">to </w:t>
      </w:r>
      <w:r w:rsidR="00710AD6" w:rsidRPr="00F154BC">
        <w:rPr>
          <w:rFonts w:cstheme="minorHAnsi"/>
        </w:rPr>
        <w:t xml:space="preserve">help </w:t>
      </w:r>
      <w:r w:rsidR="00267905" w:rsidRPr="00F154BC">
        <w:rPr>
          <w:rFonts w:cstheme="minorHAnsi"/>
        </w:rPr>
        <w:t>t</w:t>
      </w:r>
      <w:r w:rsidR="00710AD6" w:rsidRPr="00F154BC">
        <w:rPr>
          <w:rFonts w:cstheme="minorHAnsi"/>
        </w:rPr>
        <w:t xml:space="preserve">rusted </w:t>
      </w:r>
      <w:r w:rsidR="00267905" w:rsidRPr="00F154BC">
        <w:rPr>
          <w:rFonts w:cstheme="minorHAnsi"/>
        </w:rPr>
        <w:t xml:space="preserve">traders </w:t>
      </w:r>
      <w:r w:rsidR="00710AD6" w:rsidRPr="00F154BC">
        <w:rPr>
          <w:rFonts w:cstheme="minorHAnsi"/>
        </w:rPr>
        <w:t xml:space="preserve">manage cash </w:t>
      </w:r>
      <w:r w:rsidR="00267905" w:rsidRPr="00F154BC">
        <w:rPr>
          <w:rFonts w:cstheme="minorHAnsi"/>
        </w:rPr>
        <w:t>flow</w:t>
      </w:r>
      <w:r w:rsidR="00613111" w:rsidRPr="00F154BC">
        <w:rPr>
          <w:rFonts w:cstheme="minorHAnsi"/>
        </w:rPr>
        <w:t xml:space="preserve">. </w:t>
      </w:r>
    </w:p>
    <w:p w14:paraId="5DD1A19E" w14:textId="77777777" w:rsidR="00A160C7" w:rsidRPr="00F154BC" w:rsidRDefault="000A3961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</w:rPr>
        <w:t>Mr Cox advised</w:t>
      </w:r>
      <w:r w:rsidR="008B07B2" w:rsidRPr="00F154BC">
        <w:rPr>
          <w:rFonts w:cstheme="minorHAnsi"/>
        </w:rPr>
        <w:t xml:space="preserve"> the ABF conducted 69 compliance activities </w:t>
      </w:r>
      <w:r w:rsidR="008016C3" w:rsidRPr="00F154BC">
        <w:rPr>
          <w:rFonts w:cstheme="minorHAnsi"/>
        </w:rPr>
        <w:t>on</w:t>
      </w:r>
      <w:r w:rsidR="00267905" w:rsidRPr="00F154BC">
        <w:rPr>
          <w:rFonts w:cstheme="minorHAnsi"/>
        </w:rPr>
        <w:t xml:space="preserve"> </w:t>
      </w:r>
      <w:r w:rsidR="008B07B2" w:rsidRPr="00F154BC">
        <w:rPr>
          <w:rFonts w:cstheme="minorHAnsi"/>
        </w:rPr>
        <w:t>trade re</w:t>
      </w:r>
      <w:r w:rsidR="00CA5EDF" w:rsidRPr="00F154BC">
        <w:rPr>
          <w:rFonts w:cstheme="minorHAnsi"/>
        </w:rPr>
        <w:t>medy measures</w:t>
      </w:r>
      <w:r w:rsidR="00267905" w:rsidRPr="00F154BC">
        <w:rPr>
          <w:rFonts w:cstheme="minorHAnsi"/>
        </w:rPr>
        <w:t xml:space="preserve"> in 2020-21</w:t>
      </w:r>
      <w:r w:rsidR="00B84327" w:rsidRPr="00F154BC">
        <w:rPr>
          <w:rFonts w:cstheme="minorHAnsi"/>
        </w:rPr>
        <w:t>.</w:t>
      </w:r>
      <w:r w:rsidR="008B07B2" w:rsidRPr="00F154BC">
        <w:rPr>
          <w:rFonts w:cstheme="minorHAnsi"/>
        </w:rPr>
        <w:t xml:space="preserve"> The reduction in </w:t>
      </w:r>
      <w:r w:rsidR="00990E5E" w:rsidRPr="00F154BC">
        <w:rPr>
          <w:rFonts w:cstheme="minorHAnsi"/>
        </w:rPr>
        <w:t xml:space="preserve">understatements </w:t>
      </w:r>
      <w:r w:rsidR="00585C40" w:rsidRPr="00F154BC">
        <w:rPr>
          <w:rFonts w:cstheme="minorHAnsi"/>
        </w:rPr>
        <w:t>since</w:t>
      </w:r>
      <w:r w:rsidR="00990E5E" w:rsidRPr="00F154BC">
        <w:rPr>
          <w:rFonts w:cstheme="minorHAnsi"/>
        </w:rPr>
        <w:t xml:space="preserve"> 2019-20 could</w:t>
      </w:r>
      <w:r w:rsidR="008B07B2" w:rsidRPr="00F154BC">
        <w:rPr>
          <w:rFonts w:cstheme="minorHAnsi"/>
        </w:rPr>
        <w:t xml:space="preserve"> be attributed partly to the ABF’s success in targeting evasion of duties. Mr Cox </w:t>
      </w:r>
      <w:r w:rsidR="0021104A" w:rsidRPr="00F154BC">
        <w:rPr>
          <w:rFonts w:cstheme="minorHAnsi"/>
        </w:rPr>
        <w:t xml:space="preserve">noted he </w:t>
      </w:r>
      <w:r w:rsidR="004B4607" w:rsidRPr="00F154BC">
        <w:rPr>
          <w:rFonts w:cstheme="minorHAnsi"/>
        </w:rPr>
        <w:t xml:space="preserve">is keen to engage with </w:t>
      </w:r>
      <w:r w:rsidR="008B07B2" w:rsidRPr="00F154BC">
        <w:rPr>
          <w:rFonts w:cstheme="minorHAnsi"/>
        </w:rPr>
        <w:t>anti-dumping system</w:t>
      </w:r>
      <w:r w:rsidR="0021104A" w:rsidRPr="00F154BC">
        <w:rPr>
          <w:rFonts w:cstheme="minorHAnsi"/>
        </w:rPr>
        <w:t xml:space="preserve"> stakeholders </w:t>
      </w:r>
      <w:r w:rsidR="008016C3" w:rsidRPr="00F154BC">
        <w:rPr>
          <w:rFonts w:cstheme="minorHAnsi"/>
        </w:rPr>
        <w:t>and</w:t>
      </w:r>
      <w:r w:rsidR="00A160C7" w:rsidRPr="00F154BC">
        <w:rPr>
          <w:rFonts w:cstheme="minorHAnsi"/>
        </w:rPr>
        <w:t xml:space="preserve"> </w:t>
      </w:r>
      <w:r w:rsidR="00585C40" w:rsidRPr="00F154BC">
        <w:rPr>
          <w:rFonts w:cstheme="minorHAnsi"/>
        </w:rPr>
        <w:t>further strengthen the</w:t>
      </w:r>
      <w:r w:rsidR="0021104A" w:rsidRPr="00F154BC">
        <w:rPr>
          <w:rFonts w:cstheme="minorHAnsi"/>
        </w:rPr>
        <w:t xml:space="preserve"> </w:t>
      </w:r>
      <w:r w:rsidR="00A160C7" w:rsidRPr="00F154BC">
        <w:rPr>
          <w:rFonts w:cstheme="minorHAnsi"/>
        </w:rPr>
        <w:t>relati</w:t>
      </w:r>
      <w:r w:rsidR="00287FCF" w:rsidRPr="00F154BC">
        <w:rPr>
          <w:rFonts w:cstheme="minorHAnsi"/>
        </w:rPr>
        <w:t>onship between the ABF and the Commission</w:t>
      </w:r>
      <w:r w:rsidR="004B4607" w:rsidRPr="00F154BC">
        <w:rPr>
          <w:rFonts w:cstheme="minorHAnsi"/>
        </w:rPr>
        <w:t>.</w:t>
      </w:r>
      <w:r w:rsidR="00A160C7" w:rsidRPr="00F154BC">
        <w:rPr>
          <w:rFonts w:cstheme="minorHAnsi"/>
        </w:rPr>
        <w:t xml:space="preserve"> </w:t>
      </w:r>
    </w:p>
    <w:p w14:paraId="4E320848" w14:textId="77777777" w:rsidR="0041019C" w:rsidRPr="00F154BC" w:rsidRDefault="00A160C7" w:rsidP="006A2F87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F154BC">
        <w:rPr>
          <w:rFonts w:cstheme="minorHAnsi"/>
        </w:rPr>
        <w:t xml:space="preserve">Mr Wacey </w:t>
      </w:r>
      <w:r w:rsidR="0041019C" w:rsidRPr="00F154BC">
        <w:rPr>
          <w:rFonts w:cstheme="minorHAnsi"/>
        </w:rPr>
        <w:t xml:space="preserve">suggested </w:t>
      </w:r>
      <w:r w:rsidR="008016C3" w:rsidRPr="00F154BC">
        <w:rPr>
          <w:rFonts w:cstheme="minorHAnsi"/>
        </w:rPr>
        <w:t xml:space="preserve">collaboration between the ABF and </w:t>
      </w:r>
      <w:r w:rsidR="00287FCF" w:rsidRPr="00F154BC">
        <w:rPr>
          <w:rFonts w:cstheme="minorHAnsi"/>
        </w:rPr>
        <w:t>the Commission</w:t>
      </w:r>
      <w:r w:rsidR="0041019C" w:rsidRPr="00F154BC">
        <w:rPr>
          <w:rFonts w:cstheme="minorHAnsi"/>
        </w:rPr>
        <w:t xml:space="preserve"> could extend to </w:t>
      </w:r>
      <w:r w:rsidR="00550AD9" w:rsidRPr="00F154BC">
        <w:rPr>
          <w:rFonts w:cstheme="minorHAnsi"/>
        </w:rPr>
        <w:t>consultation on</w:t>
      </w:r>
      <w:r w:rsidR="0041019C" w:rsidRPr="00F154BC">
        <w:rPr>
          <w:rFonts w:cstheme="minorHAnsi"/>
        </w:rPr>
        <w:t xml:space="preserve"> penalties for non-compliance. </w:t>
      </w:r>
      <w:r w:rsidR="00550AD9" w:rsidRPr="00F154BC">
        <w:rPr>
          <w:rFonts w:cstheme="minorHAnsi"/>
        </w:rPr>
        <w:t>Andrew</w:t>
      </w:r>
      <w:r w:rsidR="0041019C" w:rsidRPr="00F154BC">
        <w:rPr>
          <w:rFonts w:cstheme="minorHAnsi"/>
        </w:rPr>
        <w:t xml:space="preserve"> Hudson</w:t>
      </w:r>
      <w:r w:rsidR="00F3341A" w:rsidRPr="00F154BC">
        <w:rPr>
          <w:rFonts w:cstheme="minorHAnsi"/>
        </w:rPr>
        <w:t xml:space="preserve"> from the </w:t>
      </w:r>
      <w:r w:rsidR="00550AD9" w:rsidRPr="00F154BC">
        <w:rPr>
          <w:rFonts w:cstheme="minorHAnsi"/>
        </w:rPr>
        <w:t>Food and</w:t>
      </w:r>
      <w:r w:rsidR="00F3341A" w:rsidRPr="00F154BC">
        <w:rPr>
          <w:rFonts w:cstheme="minorHAnsi"/>
        </w:rPr>
        <w:t xml:space="preserve"> Beverage Importers Association</w:t>
      </w:r>
      <w:r w:rsidR="0041019C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>commented</w:t>
      </w:r>
      <w:r w:rsidR="00550AD9" w:rsidRPr="00F154BC">
        <w:rPr>
          <w:rFonts w:cstheme="minorHAnsi"/>
        </w:rPr>
        <w:t xml:space="preserve"> </w:t>
      </w:r>
      <w:r w:rsidR="0041019C" w:rsidRPr="00F154BC">
        <w:rPr>
          <w:rFonts w:cstheme="minorHAnsi"/>
        </w:rPr>
        <w:t xml:space="preserve">that </w:t>
      </w:r>
      <w:r w:rsidR="00550AD9" w:rsidRPr="00F154BC">
        <w:rPr>
          <w:rFonts w:cstheme="minorHAnsi"/>
        </w:rPr>
        <w:t xml:space="preserve">the ABF was responsible </w:t>
      </w:r>
      <w:r w:rsidR="00F3341A" w:rsidRPr="00F154BC">
        <w:rPr>
          <w:rFonts w:cstheme="minorHAnsi"/>
        </w:rPr>
        <w:t>for</w:t>
      </w:r>
      <w:r w:rsidR="00550AD9" w:rsidRPr="00F154BC">
        <w:rPr>
          <w:rFonts w:cstheme="minorHAnsi"/>
        </w:rPr>
        <w:t xml:space="preserve"> the infringement notice scheme</w:t>
      </w:r>
      <w:r w:rsidR="00F3341A" w:rsidRPr="00F154BC">
        <w:rPr>
          <w:rFonts w:cstheme="minorHAnsi"/>
        </w:rPr>
        <w:t>,</w:t>
      </w:r>
      <w:r w:rsidR="00550AD9" w:rsidRPr="00F154BC">
        <w:rPr>
          <w:rFonts w:cstheme="minorHAnsi"/>
        </w:rPr>
        <w:t xml:space="preserve"> and that </w:t>
      </w:r>
      <w:r w:rsidR="0041019C" w:rsidRPr="00F154BC">
        <w:rPr>
          <w:rFonts w:cstheme="minorHAnsi"/>
        </w:rPr>
        <w:t>non-compliance is often inadvertent</w:t>
      </w:r>
      <w:r w:rsidR="00550AD9" w:rsidRPr="00F154BC">
        <w:rPr>
          <w:rFonts w:cstheme="minorHAnsi"/>
        </w:rPr>
        <w:t>. He said the</w:t>
      </w:r>
      <w:r w:rsidR="0041019C" w:rsidRPr="00F154BC">
        <w:rPr>
          <w:rFonts w:cstheme="minorHAnsi"/>
        </w:rPr>
        <w:t xml:space="preserve"> </w:t>
      </w:r>
      <w:r w:rsidR="00F3341A" w:rsidRPr="00F154BC">
        <w:rPr>
          <w:rFonts w:cstheme="minorHAnsi"/>
        </w:rPr>
        <w:t>impact of penalties on</w:t>
      </w:r>
      <w:r w:rsidR="00550AD9" w:rsidRPr="00F154BC">
        <w:rPr>
          <w:rFonts w:cstheme="minorHAnsi"/>
        </w:rPr>
        <w:t xml:space="preserve"> brokers and end users</w:t>
      </w:r>
      <w:r w:rsidR="008016C3" w:rsidRPr="00F154BC">
        <w:rPr>
          <w:rFonts w:cstheme="minorHAnsi"/>
        </w:rPr>
        <w:t xml:space="preserve"> should be considered. </w:t>
      </w:r>
      <w:r w:rsidR="00550AD9" w:rsidRPr="00F154BC">
        <w:rPr>
          <w:rFonts w:cstheme="minorHAnsi"/>
        </w:rPr>
        <w:t>David Buchanan</w:t>
      </w:r>
      <w:r w:rsidR="00F3341A" w:rsidRPr="00F154BC">
        <w:rPr>
          <w:rFonts w:cstheme="minorHAnsi"/>
        </w:rPr>
        <w:t xml:space="preserve"> from</w:t>
      </w:r>
      <w:r w:rsidR="00550AD9" w:rsidRPr="00F154BC">
        <w:rPr>
          <w:rFonts w:cstheme="minorHAnsi"/>
        </w:rPr>
        <w:t xml:space="preserve"> the Australian Steel Association </w:t>
      </w:r>
      <w:r w:rsidR="00173986" w:rsidRPr="00F154BC">
        <w:rPr>
          <w:rFonts w:cstheme="minorHAnsi"/>
        </w:rPr>
        <w:t xml:space="preserve">and </w:t>
      </w:r>
      <w:r w:rsidR="00550AD9" w:rsidRPr="00F154BC">
        <w:rPr>
          <w:rFonts w:cstheme="minorHAnsi"/>
        </w:rPr>
        <w:t xml:space="preserve">Bryan Clark from the Australian Chamber of Commerce and Industry </w:t>
      </w:r>
      <w:r w:rsidR="00173986" w:rsidRPr="00F154BC">
        <w:rPr>
          <w:rFonts w:cstheme="minorHAnsi"/>
        </w:rPr>
        <w:t>agreed</w:t>
      </w:r>
      <w:r w:rsidR="00550AD9" w:rsidRPr="00F154BC">
        <w:rPr>
          <w:rFonts w:cstheme="minorHAnsi"/>
        </w:rPr>
        <w:t xml:space="preserve"> with </w:t>
      </w:r>
      <w:r w:rsidR="00173986" w:rsidRPr="00F154BC">
        <w:rPr>
          <w:rFonts w:cstheme="minorHAnsi"/>
        </w:rPr>
        <w:t>Mr Hudson and stated their support for</w:t>
      </w:r>
      <w:r w:rsidR="000E6AA0" w:rsidRPr="00F154BC">
        <w:rPr>
          <w:rFonts w:cstheme="minorHAnsi"/>
        </w:rPr>
        <w:t xml:space="preserve"> education initiatives in this area.</w:t>
      </w:r>
      <w:r w:rsidR="00173986" w:rsidRPr="00F154BC">
        <w:rPr>
          <w:rFonts w:cstheme="minorHAnsi"/>
        </w:rPr>
        <w:t xml:space="preserve"> </w:t>
      </w:r>
    </w:p>
    <w:p w14:paraId="7074A2D9" w14:textId="77777777" w:rsidR="007A26C8" w:rsidRPr="00F154BC" w:rsidRDefault="008016C3" w:rsidP="006A2F87">
      <w:pPr>
        <w:pStyle w:val="ListParagraph"/>
        <w:numPr>
          <w:ilvl w:val="0"/>
          <w:numId w:val="14"/>
        </w:numPr>
        <w:spacing w:after="240" w:line="240" w:lineRule="auto"/>
        <w:ind w:left="714" w:hanging="357"/>
        <w:contextualSpacing w:val="0"/>
        <w:rPr>
          <w:rFonts w:cstheme="minorHAnsi"/>
        </w:rPr>
      </w:pPr>
      <w:r w:rsidRPr="00F154BC">
        <w:rPr>
          <w:rFonts w:cstheme="minorHAnsi"/>
        </w:rPr>
        <w:t xml:space="preserve">Mr Cox </w:t>
      </w:r>
      <w:r w:rsidR="006B7345">
        <w:rPr>
          <w:rFonts w:cstheme="minorHAnsi"/>
        </w:rPr>
        <w:t>outlined that</w:t>
      </w:r>
      <w:r w:rsidRPr="00F154BC">
        <w:rPr>
          <w:rFonts w:cstheme="minorHAnsi"/>
        </w:rPr>
        <w:t xml:space="preserve"> total understatements </w:t>
      </w:r>
      <w:r w:rsidR="000E6AA0" w:rsidRPr="00F154BC">
        <w:rPr>
          <w:rFonts w:cstheme="minorHAnsi"/>
        </w:rPr>
        <w:t>for 20</w:t>
      </w:r>
      <w:r w:rsidR="00F3341A" w:rsidRPr="00F154BC">
        <w:rPr>
          <w:rFonts w:cstheme="minorHAnsi"/>
        </w:rPr>
        <w:t xml:space="preserve">20-21 would be provided in the </w:t>
      </w:r>
      <w:r w:rsidR="000E6AA0" w:rsidRPr="00F154BC">
        <w:rPr>
          <w:rFonts w:cstheme="minorHAnsi"/>
        </w:rPr>
        <w:t>next Goods Compli</w:t>
      </w:r>
      <w:r w:rsidRPr="00F154BC">
        <w:rPr>
          <w:rFonts w:cstheme="minorHAnsi"/>
        </w:rPr>
        <w:t xml:space="preserve">ance Update, and that he would </w:t>
      </w:r>
      <w:r w:rsidR="000E6AA0" w:rsidRPr="00F154BC">
        <w:rPr>
          <w:rFonts w:cstheme="minorHAnsi"/>
        </w:rPr>
        <w:t>seek advice on</w:t>
      </w:r>
      <w:r w:rsidR="00A160C7" w:rsidRPr="00F154BC">
        <w:rPr>
          <w:rFonts w:cstheme="minorHAnsi"/>
        </w:rPr>
        <w:t xml:space="preserve"> t</w:t>
      </w:r>
      <w:r w:rsidR="00475E25" w:rsidRPr="00F154BC">
        <w:rPr>
          <w:rFonts w:cstheme="minorHAnsi"/>
        </w:rPr>
        <w:t xml:space="preserve">he </w:t>
      </w:r>
      <w:r w:rsidR="00597E9F" w:rsidRPr="00F154BC">
        <w:rPr>
          <w:rFonts w:cstheme="minorHAnsi"/>
        </w:rPr>
        <w:t xml:space="preserve">coverage of </w:t>
      </w:r>
      <w:r w:rsidR="00A160C7" w:rsidRPr="00F154BC">
        <w:rPr>
          <w:rFonts w:cstheme="minorHAnsi"/>
        </w:rPr>
        <w:t>the Trusted Traded program.</w:t>
      </w:r>
      <w:r w:rsidR="003178C0" w:rsidRPr="00F154BC">
        <w:rPr>
          <w:rFonts w:cstheme="minorHAnsi"/>
        </w:rPr>
        <w:t xml:space="preserve"> </w:t>
      </w:r>
    </w:p>
    <w:p w14:paraId="45983FDD" w14:textId="77777777" w:rsidR="00BD4922" w:rsidRPr="00F154BC" w:rsidRDefault="00BD4922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>Agenda Item 6 – D</w:t>
      </w:r>
      <w:r w:rsidR="00756744" w:rsidRPr="00F154BC">
        <w:rPr>
          <w:rFonts w:asciiTheme="minorHAnsi" w:hAnsiTheme="minorHAnsi" w:cstheme="minorHAnsi"/>
          <w:b/>
          <w:sz w:val="22"/>
          <w:szCs w:val="22"/>
        </w:rPr>
        <w:t xml:space="preserve">epartment of Foreign Affairs and Trade (DFAT) 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Update </w:t>
      </w:r>
    </w:p>
    <w:p w14:paraId="7CD6E3D0" w14:textId="77777777" w:rsidR="0041736C" w:rsidRPr="00F154BC" w:rsidRDefault="00FB3E4F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</w:rPr>
        <w:t xml:space="preserve">David Brightling, Assistant Secretary, </w:t>
      </w:r>
      <w:r w:rsidR="008016C3" w:rsidRPr="00F154BC">
        <w:rPr>
          <w:rFonts w:cstheme="minorHAnsi"/>
        </w:rPr>
        <w:t xml:space="preserve">Trade Disputes Branch (DFAT), </w:t>
      </w:r>
      <w:r w:rsidR="009F34F4" w:rsidRPr="00F154BC">
        <w:rPr>
          <w:rFonts w:cstheme="minorHAnsi"/>
        </w:rPr>
        <w:t xml:space="preserve">provided an update on the </w:t>
      </w:r>
      <w:r w:rsidR="006B7345">
        <w:rPr>
          <w:rFonts w:cstheme="minorHAnsi"/>
        </w:rPr>
        <w:t>WTO</w:t>
      </w:r>
      <w:r w:rsidR="00756744" w:rsidRPr="00F154BC">
        <w:rPr>
          <w:rFonts w:cstheme="minorHAnsi"/>
        </w:rPr>
        <w:t xml:space="preserve"> </w:t>
      </w:r>
      <w:r w:rsidR="00704905" w:rsidRPr="00F154BC">
        <w:rPr>
          <w:rFonts w:cstheme="minorHAnsi"/>
        </w:rPr>
        <w:t xml:space="preserve">disputes </w:t>
      </w:r>
      <w:r w:rsidR="008016C3" w:rsidRPr="00F154BC">
        <w:rPr>
          <w:rFonts w:cstheme="minorHAnsi"/>
        </w:rPr>
        <w:t xml:space="preserve">relating to </w:t>
      </w:r>
      <w:r w:rsidR="007B685E">
        <w:rPr>
          <w:rFonts w:cstheme="minorHAnsi"/>
        </w:rPr>
        <w:t>China’s anti-dumping and countervailing</w:t>
      </w:r>
      <w:r w:rsidR="000B42D4" w:rsidRPr="00F154BC">
        <w:rPr>
          <w:rFonts w:cstheme="minorHAnsi"/>
        </w:rPr>
        <w:t xml:space="preserve"> </w:t>
      </w:r>
      <w:r w:rsidR="00704905" w:rsidRPr="00F154BC">
        <w:rPr>
          <w:rFonts w:cstheme="minorHAnsi"/>
        </w:rPr>
        <w:t xml:space="preserve">measures on Australian exports of </w:t>
      </w:r>
      <w:r w:rsidR="009F34F4" w:rsidRPr="00F154BC">
        <w:rPr>
          <w:rFonts w:cstheme="minorHAnsi"/>
        </w:rPr>
        <w:t xml:space="preserve">barley </w:t>
      </w:r>
      <w:r w:rsidR="002274D3" w:rsidRPr="00F154BC">
        <w:rPr>
          <w:rFonts w:cstheme="minorHAnsi"/>
        </w:rPr>
        <w:t>and wine.</w:t>
      </w:r>
      <w:r w:rsidR="009F34F4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>In May 2021, a WTO Panel had been establishe</w:t>
      </w:r>
      <w:r w:rsidR="009F27A7">
        <w:rPr>
          <w:rFonts w:cstheme="minorHAnsi"/>
        </w:rPr>
        <w:t xml:space="preserve">d </w:t>
      </w:r>
      <w:r w:rsidR="007B685E">
        <w:rPr>
          <w:rFonts w:cstheme="minorHAnsi"/>
        </w:rPr>
        <w:t>to consider Australia’s claims on barley</w:t>
      </w:r>
      <w:r w:rsidR="009F27A7">
        <w:rPr>
          <w:rFonts w:cstheme="minorHAnsi"/>
        </w:rPr>
        <w:t>. On 19 </w:t>
      </w:r>
      <w:r w:rsidR="008016C3" w:rsidRPr="00F154BC">
        <w:rPr>
          <w:rFonts w:cstheme="minorHAnsi"/>
        </w:rPr>
        <w:t xml:space="preserve">June 2021, </w:t>
      </w:r>
      <w:r w:rsidR="007B685E">
        <w:rPr>
          <w:rFonts w:cstheme="minorHAnsi"/>
        </w:rPr>
        <w:t>the G</w:t>
      </w:r>
      <w:r w:rsidR="000B42D4" w:rsidRPr="00F154BC">
        <w:rPr>
          <w:rFonts w:cstheme="minorHAnsi"/>
        </w:rPr>
        <w:t>overnment</w:t>
      </w:r>
      <w:r w:rsidR="008016C3" w:rsidRPr="00F154BC">
        <w:rPr>
          <w:rFonts w:cstheme="minorHAnsi"/>
        </w:rPr>
        <w:t xml:space="preserve"> announced it would request WTO consultations with China on </w:t>
      </w:r>
      <w:r w:rsidR="007B685E">
        <w:rPr>
          <w:rFonts w:cstheme="minorHAnsi"/>
        </w:rPr>
        <w:t>measures imposed on Australian bottled wine exports.</w:t>
      </w:r>
      <w:r w:rsidR="008016C3" w:rsidRPr="00F154BC">
        <w:rPr>
          <w:rFonts w:cstheme="minorHAnsi"/>
        </w:rPr>
        <w:t xml:space="preserve"> Mr Brightling</w:t>
      </w:r>
      <w:r w:rsidR="00A53988" w:rsidRPr="00F154BC">
        <w:rPr>
          <w:rFonts w:cstheme="minorHAnsi"/>
        </w:rPr>
        <w:t xml:space="preserve"> noted </w:t>
      </w:r>
      <w:r w:rsidR="00647032" w:rsidRPr="00F154BC">
        <w:rPr>
          <w:rFonts w:eastAsia="Times New Roman" w:cstheme="minorHAnsi"/>
          <w:color w:val="000000"/>
          <w:lang w:eastAsia="en-AU"/>
        </w:rPr>
        <w:t>t</w:t>
      </w:r>
      <w:r w:rsidR="007B685E">
        <w:rPr>
          <w:rFonts w:eastAsia="Times New Roman" w:cstheme="minorHAnsi"/>
          <w:color w:val="000000"/>
          <w:lang w:eastAsia="en-AU"/>
        </w:rPr>
        <w:t>he G</w:t>
      </w:r>
      <w:r w:rsidR="00B90F49" w:rsidRPr="00F154BC">
        <w:rPr>
          <w:rFonts w:eastAsia="Times New Roman" w:cstheme="minorHAnsi"/>
          <w:color w:val="000000"/>
          <w:lang w:eastAsia="en-AU"/>
        </w:rPr>
        <w:t>overnment</w:t>
      </w:r>
      <w:r w:rsidR="007C7872" w:rsidRPr="00F154BC">
        <w:rPr>
          <w:rFonts w:eastAsia="Times New Roman" w:cstheme="minorHAnsi"/>
          <w:color w:val="000000"/>
          <w:lang w:eastAsia="en-AU"/>
        </w:rPr>
        <w:t xml:space="preserve"> </w:t>
      </w:r>
      <w:r w:rsidR="007B685E">
        <w:rPr>
          <w:rFonts w:eastAsia="Times New Roman" w:cstheme="minorHAnsi"/>
          <w:color w:val="000000"/>
          <w:lang w:eastAsia="en-AU"/>
        </w:rPr>
        <w:t>stood</w:t>
      </w:r>
      <w:r w:rsidR="00C775A9" w:rsidRPr="00F154BC">
        <w:rPr>
          <w:rFonts w:eastAsia="Times New Roman" w:cstheme="minorHAnsi"/>
          <w:color w:val="000000"/>
          <w:lang w:eastAsia="en-AU"/>
        </w:rPr>
        <w:t xml:space="preserve"> ready to engage with China to resolve the</w:t>
      </w:r>
      <w:r w:rsidR="00647032" w:rsidRPr="00F154BC">
        <w:rPr>
          <w:rFonts w:eastAsia="Times New Roman" w:cstheme="minorHAnsi"/>
          <w:color w:val="000000"/>
          <w:lang w:eastAsia="en-AU"/>
        </w:rPr>
        <w:t>se</w:t>
      </w:r>
      <w:r w:rsidR="00C775A9" w:rsidRPr="00F154BC">
        <w:rPr>
          <w:rFonts w:eastAsia="Times New Roman" w:cstheme="minorHAnsi"/>
          <w:color w:val="000000"/>
          <w:lang w:eastAsia="en-AU"/>
        </w:rPr>
        <w:t xml:space="preserve"> issue</w:t>
      </w:r>
      <w:r w:rsidR="00ED5F48" w:rsidRPr="00F154BC">
        <w:rPr>
          <w:rFonts w:eastAsia="Times New Roman" w:cstheme="minorHAnsi"/>
          <w:color w:val="000000"/>
          <w:lang w:eastAsia="en-AU"/>
        </w:rPr>
        <w:t>s</w:t>
      </w:r>
      <w:r w:rsidR="007B685E">
        <w:rPr>
          <w:rFonts w:eastAsia="Times New Roman" w:cstheme="minorHAnsi"/>
          <w:color w:val="000000"/>
          <w:lang w:eastAsia="en-AU"/>
        </w:rPr>
        <w:t xml:space="preserve"> bilaterally</w:t>
      </w:r>
      <w:r w:rsidR="007C7872" w:rsidRPr="00F154BC">
        <w:rPr>
          <w:rFonts w:cstheme="minorHAnsi"/>
        </w:rPr>
        <w:t xml:space="preserve">. </w:t>
      </w:r>
    </w:p>
    <w:p w14:paraId="5AEE9D4B" w14:textId="77777777" w:rsidR="001E2CA9" w:rsidRPr="00F154BC" w:rsidRDefault="00722A7C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</w:rPr>
        <w:t>DFAT</w:t>
      </w:r>
      <w:r w:rsidR="001E2CA9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 xml:space="preserve">also </w:t>
      </w:r>
      <w:r w:rsidR="00F3485A" w:rsidRPr="00F154BC">
        <w:rPr>
          <w:rFonts w:cstheme="minorHAnsi"/>
        </w:rPr>
        <w:t>advised</w:t>
      </w:r>
      <w:r w:rsidR="008016C3" w:rsidRPr="00F154BC">
        <w:rPr>
          <w:rFonts w:cstheme="minorHAnsi"/>
        </w:rPr>
        <w:t xml:space="preserve"> that on</w:t>
      </w:r>
      <w:r w:rsidR="001E2CA9" w:rsidRPr="00F154BC">
        <w:rPr>
          <w:rFonts w:cstheme="minorHAnsi"/>
        </w:rPr>
        <w:t xml:space="preserve"> 24 June </w:t>
      </w:r>
      <w:r w:rsidR="00F3485A" w:rsidRPr="00F154BC">
        <w:rPr>
          <w:rFonts w:cstheme="minorHAnsi"/>
        </w:rPr>
        <w:t xml:space="preserve">2021 </w:t>
      </w:r>
      <w:r w:rsidR="001E2CA9" w:rsidRPr="00F154BC">
        <w:rPr>
          <w:rFonts w:cstheme="minorHAnsi"/>
        </w:rPr>
        <w:t xml:space="preserve">China initiated dispute proceedings </w:t>
      </w:r>
      <w:r w:rsidR="008016C3" w:rsidRPr="00F154BC">
        <w:rPr>
          <w:rFonts w:cstheme="minorHAnsi"/>
        </w:rPr>
        <w:t>regarding</w:t>
      </w:r>
      <w:r w:rsidR="001E2CA9" w:rsidRPr="00F154BC">
        <w:rPr>
          <w:rFonts w:cstheme="minorHAnsi"/>
        </w:rPr>
        <w:t xml:space="preserve"> </w:t>
      </w:r>
      <w:r w:rsidR="00666210" w:rsidRPr="00F154BC">
        <w:rPr>
          <w:rFonts w:cstheme="minorHAnsi"/>
        </w:rPr>
        <w:t>Australian</w:t>
      </w:r>
      <w:r w:rsidR="001E2CA9" w:rsidRPr="00F154BC">
        <w:rPr>
          <w:rFonts w:cstheme="minorHAnsi"/>
        </w:rPr>
        <w:t xml:space="preserve"> anti-dumpin</w:t>
      </w:r>
      <w:r w:rsidR="008016C3" w:rsidRPr="00F154BC">
        <w:rPr>
          <w:rFonts w:cstheme="minorHAnsi"/>
        </w:rPr>
        <w:t>g and countervailing duties on</w:t>
      </w:r>
      <w:r w:rsidR="001E2CA9" w:rsidRPr="00F154BC">
        <w:rPr>
          <w:rFonts w:cstheme="minorHAnsi"/>
        </w:rPr>
        <w:t xml:space="preserve"> wind towers, deep drawn stainless steel sinks and railway wheels</w:t>
      </w:r>
      <w:r w:rsidR="008016C3" w:rsidRPr="00F154BC">
        <w:rPr>
          <w:rFonts w:cstheme="minorHAnsi"/>
        </w:rPr>
        <w:t xml:space="preserve">. </w:t>
      </w:r>
      <w:r w:rsidR="001E2CA9" w:rsidRPr="00F154BC">
        <w:rPr>
          <w:rFonts w:cstheme="minorHAnsi"/>
        </w:rPr>
        <w:t xml:space="preserve">DFAT </w:t>
      </w:r>
      <w:r w:rsidR="007B685E">
        <w:rPr>
          <w:rFonts w:cstheme="minorHAnsi"/>
        </w:rPr>
        <w:t xml:space="preserve">would </w:t>
      </w:r>
      <w:r w:rsidR="00666210" w:rsidRPr="00F154BC">
        <w:rPr>
          <w:rFonts w:cstheme="minorHAnsi"/>
        </w:rPr>
        <w:t>engage</w:t>
      </w:r>
      <w:r w:rsidR="001E2CA9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>in</w:t>
      </w:r>
      <w:r w:rsidR="00F3485A" w:rsidRPr="00F154BC">
        <w:rPr>
          <w:rFonts w:cstheme="minorHAnsi"/>
        </w:rPr>
        <w:t xml:space="preserve"> the consultations </w:t>
      </w:r>
      <w:r w:rsidR="001E2CA9" w:rsidRPr="00F154BC">
        <w:rPr>
          <w:rFonts w:cstheme="minorHAnsi"/>
        </w:rPr>
        <w:t xml:space="preserve">in good faith </w:t>
      </w:r>
      <w:r w:rsidR="00666210" w:rsidRPr="00F154BC">
        <w:rPr>
          <w:rFonts w:cstheme="minorHAnsi"/>
        </w:rPr>
        <w:t>to</w:t>
      </w:r>
      <w:r w:rsidR="008016C3" w:rsidRPr="00F154BC">
        <w:rPr>
          <w:rFonts w:cstheme="minorHAnsi"/>
        </w:rPr>
        <w:t xml:space="preserve"> attempt to resolve the</w:t>
      </w:r>
      <w:r w:rsidR="00F3485A" w:rsidRPr="00F154BC">
        <w:rPr>
          <w:rFonts w:cstheme="minorHAnsi"/>
        </w:rPr>
        <w:t xml:space="preserve"> concerns</w:t>
      </w:r>
      <w:r w:rsidR="00C775A9" w:rsidRPr="00F154BC">
        <w:rPr>
          <w:rFonts w:cstheme="minorHAnsi"/>
        </w:rPr>
        <w:t xml:space="preserve"> </w:t>
      </w:r>
      <w:r w:rsidR="00AD3B7A" w:rsidRPr="00F154BC">
        <w:rPr>
          <w:rFonts w:cstheme="minorHAnsi"/>
        </w:rPr>
        <w:t>before they proceed to a Panel</w:t>
      </w:r>
      <w:r w:rsidR="001E2CA9" w:rsidRPr="00F154BC">
        <w:rPr>
          <w:rFonts w:cstheme="minorHAnsi"/>
        </w:rPr>
        <w:t xml:space="preserve">. </w:t>
      </w:r>
    </w:p>
    <w:p w14:paraId="0F153478" w14:textId="77777777" w:rsidR="00C86E93" w:rsidRPr="00F154BC" w:rsidRDefault="00BC7253" w:rsidP="006A2F87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F154BC">
        <w:rPr>
          <w:rFonts w:cstheme="minorHAnsi"/>
        </w:rPr>
        <w:t>Mr</w:t>
      </w:r>
      <w:r w:rsidR="00C86E93" w:rsidRPr="00F154BC">
        <w:rPr>
          <w:rFonts w:cstheme="minorHAnsi"/>
        </w:rPr>
        <w:t xml:space="preserve"> Condon</w:t>
      </w:r>
      <w:r w:rsidR="008016C3" w:rsidRPr="00F154BC">
        <w:rPr>
          <w:rFonts w:cstheme="minorHAnsi"/>
        </w:rPr>
        <w:t xml:space="preserve"> asked </w:t>
      </w:r>
      <w:r w:rsidRPr="00F154BC">
        <w:rPr>
          <w:rFonts w:cstheme="minorHAnsi"/>
        </w:rPr>
        <w:t xml:space="preserve">how </w:t>
      </w:r>
      <w:r w:rsidR="0044479C" w:rsidRPr="00F154BC">
        <w:rPr>
          <w:rFonts w:cstheme="minorHAnsi"/>
        </w:rPr>
        <w:t>WTO</w:t>
      </w:r>
      <w:r w:rsidRPr="00F154BC">
        <w:rPr>
          <w:rFonts w:cstheme="minorHAnsi"/>
        </w:rPr>
        <w:t xml:space="preserve"> </w:t>
      </w:r>
      <w:r w:rsidR="00C86E93" w:rsidRPr="00F154BC">
        <w:rPr>
          <w:rFonts w:cstheme="minorHAnsi"/>
        </w:rPr>
        <w:t xml:space="preserve">Panel </w:t>
      </w:r>
      <w:r w:rsidRPr="00F154BC">
        <w:rPr>
          <w:rFonts w:cstheme="minorHAnsi"/>
        </w:rPr>
        <w:t xml:space="preserve">members </w:t>
      </w:r>
      <w:r w:rsidR="0044479C" w:rsidRPr="00F154BC">
        <w:rPr>
          <w:rFonts w:cstheme="minorHAnsi"/>
        </w:rPr>
        <w:t>are</w:t>
      </w:r>
      <w:r w:rsidRPr="00F154BC">
        <w:rPr>
          <w:rFonts w:cstheme="minorHAnsi"/>
        </w:rPr>
        <w:t xml:space="preserve"> chosen</w:t>
      </w:r>
      <w:r w:rsidR="008016C3" w:rsidRPr="00F154BC">
        <w:rPr>
          <w:rFonts w:cstheme="minorHAnsi"/>
        </w:rPr>
        <w:t xml:space="preserve">. </w:t>
      </w:r>
      <w:r w:rsidR="00332B1A" w:rsidRPr="00F154BC">
        <w:rPr>
          <w:rFonts w:cstheme="minorHAnsi"/>
        </w:rPr>
        <w:t>DFA</w:t>
      </w:r>
      <w:r w:rsidR="008016C3" w:rsidRPr="00F154BC">
        <w:rPr>
          <w:rFonts w:cstheme="minorHAnsi"/>
        </w:rPr>
        <w:t>T advised i</w:t>
      </w:r>
      <w:r w:rsidR="00332B1A" w:rsidRPr="00F154BC">
        <w:rPr>
          <w:rFonts w:cstheme="minorHAnsi"/>
        </w:rPr>
        <w:t>t</w:t>
      </w:r>
      <w:r w:rsidR="00DF5129" w:rsidRPr="00F154BC">
        <w:rPr>
          <w:rFonts w:cstheme="minorHAnsi"/>
        </w:rPr>
        <w:t xml:space="preserve"> </w:t>
      </w:r>
      <w:r w:rsidR="0044479C" w:rsidRPr="00F154BC">
        <w:rPr>
          <w:rFonts w:cstheme="minorHAnsi"/>
        </w:rPr>
        <w:t>w</w:t>
      </w:r>
      <w:r w:rsidR="008016C3" w:rsidRPr="00F154BC">
        <w:rPr>
          <w:rFonts w:cstheme="minorHAnsi"/>
        </w:rPr>
        <w:t>ill</w:t>
      </w:r>
      <w:r w:rsidR="0044479C" w:rsidRPr="00F154BC">
        <w:rPr>
          <w:rFonts w:cstheme="minorHAnsi"/>
        </w:rPr>
        <w:t xml:space="preserve"> seek</w:t>
      </w:r>
      <w:r w:rsidR="00C86E93" w:rsidRPr="00F154BC">
        <w:rPr>
          <w:rFonts w:cstheme="minorHAnsi"/>
        </w:rPr>
        <w:t xml:space="preserve"> to reach </w:t>
      </w:r>
      <w:r w:rsidR="008016C3" w:rsidRPr="00F154BC">
        <w:rPr>
          <w:rFonts w:cstheme="minorHAnsi"/>
        </w:rPr>
        <w:t>agreement</w:t>
      </w:r>
      <w:r w:rsidR="00C86E93" w:rsidRPr="00F154BC">
        <w:rPr>
          <w:rFonts w:cstheme="minorHAnsi"/>
        </w:rPr>
        <w:t xml:space="preserve"> on the Panel members with China</w:t>
      </w:r>
      <w:r w:rsidR="008016C3" w:rsidRPr="00F154BC">
        <w:rPr>
          <w:rFonts w:cstheme="minorHAnsi"/>
        </w:rPr>
        <w:t xml:space="preserve">, and that </w:t>
      </w:r>
      <w:r w:rsidR="007B685E">
        <w:rPr>
          <w:rFonts w:cstheme="minorHAnsi"/>
        </w:rPr>
        <w:t xml:space="preserve">it assesses </w:t>
      </w:r>
      <w:r w:rsidRPr="00F154BC">
        <w:rPr>
          <w:rFonts w:cstheme="minorHAnsi"/>
        </w:rPr>
        <w:t>potential candidates</w:t>
      </w:r>
      <w:r w:rsidR="008016C3" w:rsidRPr="00F154BC">
        <w:rPr>
          <w:rFonts w:cstheme="minorHAnsi"/>
        </w:rPr>
        <w:t xml:space="preserve"> before expressing</w:t>
      </w:r>
      <w:r w:rsidR="00C86E93" w:rsidRPr="00F154BC">
        <w:rPr>
          <w:rFonts w:cstheme="minorHAnsi"/>
        </w:rPr>
        <w:t xml:space="preserve"> preference</w:t>
      </w:r>
      <w:r w:rsidRPr="00F154BC">
        <w:rPr>
          <w:rFonts w:cstheme="minorHAnsi"/>
        </w:rPr>
        <w:t>s</w:t>
      </w:r>
      <w:r w:rsidR="00C86E93" w:rsidRPr="00F154BC">
        <w:rPr>
          <w:rFonts w:cstheme="minorHAnsi"/>
        </w:rPr>
        <w:t xml:space="preserve">. </w:t>
      </w:r>
    </w:p>
    <w:p w14:paraId="3B8A9A7D" w14:textId="77777777" w:rsidR="00BC7253" w:rsidRPr="00F154BC" w:rsidRDefault="007B685E" w:rsidP="006A2F87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Mr Wacey asked if the G</w:t>
      </w:r>
      <w:r w:rsidR="008016C3" w:rsidRPr="00F154BC">
        <w:rPr>
          <w:rFonts w:cstheme="minorHAnsi"/>
        </w:rPr>
        <w:t xml:space="preserve">overnment had utilised any </w:t>
      </w:r>
      <w:r w:rsidR="00BC7253" w:rsidRPr="00F154BC">
        <w:rPr>
          <w:rFonts w:cstheme="minorHAnsi"/>
        </w:rPr>
        <w:t>consultation mechanisms</w:t>
      </w:r>
      <w:r w:rsidR="00C86E93" w:rsidRPr="00F154BC">
        <w:rPr>
          <w:rFonts w:cstheme="minorHAnsi"/>
        </w:rPr>
        <w:t xml:space="preserve"> in the C</w:t>
      </w:r>
      <w:r w:rsidR="00BC7253" w:rsidRPr="00F154BC">
        <w:rPr>
          <w:rFonts w:cstheme="minorHAnsi"/>
        </w:rPr>
        <w:t>hina Australia Free Trade Agreement in relation to t</w:t>
      </w:r>
      <w:r w:rsidR="00C86E93" w:rsidRPr="00F154BC">
        <w:rPr>
          <w:rFonts w:cstheme="minorHAnsi"/>
        </w:rPr>
        <w:t>he disputes</w:t>
      </w:r>
      <w:r w:rsidR="00413501">
        <w:rPr>
          <w:rFonts w:cstheme="minorHAnsi"/>
        </w:rPr>
        <w:t xml:space="preserve">, noting previous advice that the High Level Dialogue on Trade Remedies had been held up due to COVID-19. </w:t>
      </w:r>
      <w:r w:rsidR="001B4DB1" w:rsidRPr="00F154BC">
        <w:rPr>
          <w:rFonts w:cstheme="minorHAnsi"/>
        </w:rPr>
        <w:t xml:space="preserve">DFAT </w:t>
      </w:r>
      <w:r w:rsidR="00BC7253" w:rsidRPr="00F154BC">
        <w:rPr>
          <w:rFonts w:cstheme="minorHAnsi"/>
        </w:rPr>
        <w:t xml:space="preserve">advised that the WTO </w:t>
      </w:r>
      <w:r w:rsidR="00B90F49" w:rsidRPr="00F154BC">
        <w:rPr>
          <w:rFonts w:cstheme="minorHAnsi"/>
        </w:rPr>
        <w:t xml:space="preserve">was </w:t>
      </w:r>
      <w:r w:rsidR="008016C3" w:rsidRPr="00F154BC">
        <w:rPr>
          <w:rFonts w:cstheme="minorHAnsi"/>
        </w:rPr>
        <w:t xml:space="preserve">considered </w:t>
      </w:r>
      <w:r w:rsidR="00BC7253" w:rsidRPr="00F154BC">
        <w:rPr>
          <w:rFonts w:cstheme="minorHAnsi"/>
        </w:rPr>
        <w:t xml:space="preserve">the most effective avenue for resolving these </w:t>
      </w:r>
      <w:r w:rsidR="005D5485" w:rsidRPr="00F154BC">
        <w:rPr>
          <w:rFonts w:cstheme="minorHAnsi"/>
        </w:rPr>
        <w:t>issues</w:t>
      </w:r>
      <w:r w:rsidR="00413501">
        <w:rPr>
          <w:rFonts w:cstheme="minorHAnsi"/>
        </w:rPr>
        <w:t xml:space="preserve"> and confirmed that the High Level Dialogue had not been held despite an invitation from China in November 2019.</w:t>
      </w:r>
      <w:r w:rsidR="00BC7253" w:rsidRPr="00F154BC">
        <w:rPr>
          <w:rFonts w:cstheme="minorHAnsi"/>
        </w:rPr>
        <w:t xml:space="preserve"> </w:t>
      </w:r>
      <w:r w:rsidR="00E4796F" w:rsidRPr="00F154BC">
        <w:rPr>
          <w:rFonts w:cstheme="minorHAnsi"/>
        </w:rPr>
        <w:t>I</w:t>
      </w:r>
      <w:r w:rsidR="005D5485" w:rsidRPr="00F154BC">
        <w:rPr>
          <w:rFonts w:cstheme="minorHAnsi"/>
        </w:rPr>
        <w:t>n</w:t>
      </w:r>
      <w:r w:rsidR="00E4796F" w:rsidRPr="00F154BC">
        <w:rPr>
          <w:rFonts w:cstheme="minorHAnsi"/>
        </w:rPr>
        <w:t xml:space="preserve"> response to a further qu</w:t>
      </w:r>
      <w:r w:rsidR="00B90F49" w:rsidRPr="00F154BC">
        <w:rPr>
          <w:rFonts w:cstheme="minorHAnsi"/>
        </w:rPr>
        <w:t>e</w:t>
      </w:r>
      <w:r w:rsidR="00E4796F" w:rsidRPr="00F154BC">
        <w:rPr>
          <w:rFonts w:cstheme="minorHAnsi"/>
        </w:rPr>
        <w:t xml:space="preserve">ry from Mr Wacey, DFAT advised the </w:t>
      </w:r>
      <w:r w:rsidR="00BC7253" w:rsidRPr="00F154BC">
        <w:rPr>
          <w:rFonts w:cstheme="minorHAnsi"/>
        </w:rPr>
        <w:t xml:space="preserve">concerns raised by China </w:t>
      </w:r>
      <w:r w:rsidR="00E4796F" w:rsidRPr="00F154BC">
        <w:rPr>
          <w:rFonts w:cstheme="minorHAnsi"/>
        </w:rPr>
        <w:t xml:space="preserve">in regard to Australia’s measures </w:t>
      </w:r>
      <w:r w:rsidR="00BC7253" w:rsidRPr="00F154BC">
        <w:rPr>
          <w:rFonts w:cstheme="minorHAnsi"/>
        </w:rPr>
        <w:t xml:space="preserve">were slightly different to those in the </w:t>
      </w:r>
      <w:r w:rsidR="00E4796F" w:rsidRPr="00F154BC">
        <w:rPr>
          <w:rFonts w:cstheme="minorHAnsi"/>
        </w:rPr>
        <w:t>A4 copy paper</w:t>
      </w:r>
      <w:r w:rsidR="005D5485" w:rsidRPr="00F154BC">
        <w:rPr>
          <w:rFonts w:cstheme="minorHAnsi"/>
        </w:rPr>
        <w:t xml:space="preserve"> dispute</w:t>
      </w:r>
      <w:r w:rsidR="00BC7253" w:rsidRPr="00F154BC">
        <w:rPr>
          <w:rFonts w:cstheme="minorHAnsi"/>
        </w:rPr>
        <w:t xml:space="preserve">.  </w:t>
      </w:r>
    </w:p>
    <w:p w14:paraId="4F557E68" w14:textId="77777777" w:rsidR="00E73FAD" w:rsidRPr="00F154BC" w:rsidRDefault="006B7345" w:rsidP="006A2F87">
      <w:pPr>
        <w:pStyle w:val="ListParagraph"/>
        <w:numPr>
          <w:ilvl w:val="0"/>
          <w:numId w:val="15"/>
        </w:numPr>
        <w:spacing w:after="240" w:line="24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Commissioner Armstrong</w:t>
      </w:r>
      <w:r w:rsidR="001B4DB1" w:rsidRPr="00F154BC">
        <w:rPr>
          <w:rFonts w:cstheme="minorHAnsi"/>
        </w:rPr>
        <w:t xml:space="preserve"> </w:t>
      </w:r>
      <w:r w:rsidR="00B225D1" w:rsidRPr="00F154BC">
        <w:rPr>
          <w:rFonts w:cstheme="minorHAnsi"/>
        </w:rPr>
        <w:t>outlined that</w:t>
      </w:r>
      <w:r w:rsidR="001B4DB1" w:rsidRPr="00F154BC">
        <w:rPr>
          <w:rFonts w:cstheme="minorHAnsi"/>
        </w:rPr>
        <w:t xml:space="preserve"> the </w:t>
      </w:r>
      <w:r w:rsidR="00287FCF" w:rsidRPr="00F154BC">
        <w:rPr>
          <w:rFonts w:cstheme="minorHAnsi"/>
        </w:rPr>
        <w:t>Commission</w:t>
      </w:r>
      <w:r w:rsidR="001B4DB1" w:rsidRPr="00F154BC">
        <w:rPr>
          <w:rFonts w:cstheme="minorHAnsi"/>
        </w:rPr>
        <w:t xml:space="preserve"> and DFAT </w:t>
      </w:r>
      <w:r w:rsidR="005D5485" w:rsidRPr="00F154BC">
        <w:rPr>
          <w:rFonts w:cstheme="minorHAnsi"/>
        </w:rPr>
        <w:t xml:space="preserve">would </w:t>
      </w:r>
      <w:r w:rsidR="001B4DB1" w:rsidRPr="00F154BC">
        <w:rPr>
          <w:rFonts w:cstheme="minorHAnsi"/>
        </w:rPr>
        <w:t>w</w:t>
      </w:r>
      <w:r w:rsidR="0044479C" w:rsidRPr="00F154BC">
        <w:rPr>
          <w:rFonts w:cstheme="minorHAnsi"/>
        </w:rPr>
        <w:t>ork closely together</w:t>
      </w:r>
      <w:r w:rsidR="009F27A7">
        <w:rPr>
          <w:rFonts w:cstheme="minorHAnsi"/>
        </w:rPr>
        <w:t>.</w:t>
      </w:r>
    </w:p>
    <w:p w14:paraId="1DDF432F" w14:textId="77777777" w:rsidR="003D5AAD" w:rsidRPr="00F154BC" w:rsidRDefault="001B4DB1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Agenda Item </w:t>
      </w:r>
      <w:r w:rsidR="001678A6" w:rsidRPr="00F154BC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="003D5AAD" w:rsidRPr="00F154BC">
        <w:rPr>
          <w:rFonts w:asciiTheme="minorHAnsi" w:hAnsiTheme="minorHAnsi" w:cstheme="minorHAnsi"/>
          <w:b/>
          <w:sz w:val="22"/>
          <w:szCs w:val="22"/>
        </w:rPr>
        <w:t>– Sub-</w:t>
      </w:r>
      <w:r w:rsidR="00486D46" w:rsidRPr="00F154BC">
        <w:rPr>
          <w:rFonts w:asciiTheme="minorHAnsi" w:hAnsiTheme="minorHAnsi" w:cstheme="minorHAnsi"/>
          <w:b/>
          <w:sz w:val="22"/>
          <w:szCs w:val="22"/>
        </w:rPr>
        <w:t>C</w:t>
      </w:r>
      <w:r w:rsidR="003D5AAD" w:rsidRPr="00F154BC">
        <w:rPr>
          <w:rFonts w:asciiTheme="minorHAnsi" w:hAnsiTheme="minorHAnsi" w:cstheme="minorHAnsi"/>
          <w:b/>
          <w:sz w:val="22"/>
          <w:szCs w:val="22"/>
        </w:rPr>
        <w:t>ommittee Update</w:t>
      </w:r>
    </w:p>
    <w:p w14:paraId="19212F07" w14:textId="77777777" w:rsidR="00F47391" w:rsidRPr="004972F4" w:rsidRDefault="001678A6" w:rsidP="006A2F87">
      <w:pPr>
        <w:spacing w:before="40" w:after="120" w:line="240" w:lineRule="auto"/>
        <w:outlineLvl w:val="2"/>
        <w:rPr>
          <w:rFonts w:cstheme="minorHAnsi"/>
          <w:b/>
        </w:rPr>
      </w:pPr>
      <w:r w:rsidRPr="00F154BC">
        <w:rPr>
          <w:rFonts w:cstheme="minorHAnsi"/>
          <w:b/>
        </w:rPr>
        <w:t>Complia</w:t>
      </w:r>
      <w:r w:rsidR="009F27A7">
        <w:rPr>
          <w:rFonts w:cstheme="minorHAnsi"/>
          <w:b/>
        </w:rPr>
        <w:t>nce and Anti-Circumvention Sub-C</w:t>
      </w:r>
      <w:r w:rsidRPr="00F154BC">
        <w:rPr>
          <w:rFonts w:cstheme="minorHAnsi"/>
          <w:b/>
        </w:rPr>
        <w:t xml:space="preserve">ommittee </w:t>
      </w:r>
      <w:r w:rsidR="009F27A7">
        <w:rPr>
          <w:rFonts w:cstheme="minorHAnsi"/>
          <w:b/>
        </w:rPr>
        <w:t>Update</w:t>
      </w:r>
      <w:r w:rsidR="004972F4">
        <w:rPr>
          <w:rFonts w:cstheme="minorHAnsi"/>
          <w:b/>
        </w:rPr>
        <w:t xml:space="preserve">: </w:t>
      </w:r>
      <w:r w:rsidR="00F47391" w:rsidRPr="00F154BC">
        <w:rPr>
          <w:rFonts w:cstheme="minorHAnsi"/>
        </w:rPr>
        <w:t xml:space="preserve">Mr Condon </w:t>
      </w:r>
      <w:r w:rsidR="008016C3" w:rsidRPr="00F154BC">
        <w:rPr>
          <w:rFonts w:cstheme="minorHAnsi"/>
        </w:rPr>
        <w:t>welcomed the ABF’s Goods Compliance Update as a valuable tool to inform stakeholders and improve compliance. He noted</w:t>
      </w:r>
      <w:r w:rsidR="00F47391" w:rsidRPr="00F154BC">
        <w:rPr>
          <w:rFonts w:cstheme="minorHAnsi"/>
        </w:rPr>
        <w:t xml:space="preserve"> the sub-committee had discussed possible reforms to two aspects of anti-circumvention inquiries on the avoidance of the intended effect of duty: </w:t>
      </w:r>
    </w:p>
    <w:p w14:paraId="2915E7ED" w14:textId="77777777" w:rsidR="00F47391" w:rsidRPr="00F154BC" w:rsidRDefault="004972F4" w:rsidP="006A2F87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That a</w:t>
      </w:r>
      <w:r w:rsidR="00F47391" w:rsidRPr="00F154BC">
        <w:rPr>
          <w:rFonts w:cstheme="minorHAnsi"/>
        </w:rPr>
        <w:t>n application cannot be made until the final d</w:t>
      </w:r>
      <w:r w:rsidR="00BF7CC6">
        <w:rPr>
          <w:rFonts w:cstheme="minorHAnsi"/>
        </w:rPr>
        <w:t>uty payable has been determined.</w:t>
      </w:r>
      <w:r w:rsidR="00F47391" w:rsidRPr="00F154BC">
        <w:rPr>
          <w:rFonts w:cstheme="minorHAnsi"/>
        </w:rPr>
        <w:t xml:space="preserve"> </w:t>
      </w:r>
    </w:p>
    <w:p w14:paraId="486F3468" w14:textId="77777777" w:rsidR="00F47391" w:rsidRPr="00F154BC" w:rsidRDefault="004972F4" w:rsidP="006A2F87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That </w:t>
      </w:r>
      <w:r w:rsidR="00BE1ABE">
        <w:rPr>
          <w:rFonts w:cstheme="minorHAnsi"/>
        </w:rPr>
        <w:t>t</w:t>
      </w:r>
      <w:r w:rsidR="00F47391" w:rsidRPr="00F154BC">
        <w:rPr>
          <w:rFonts w:cstheme="minorHAnsi"/>
        </w:rPr>
        <w:t xml:space="preserve">he current test focuses on the activity of an importer and not the exporter. </w:t>
      </w:r>
    </w:p>
    <w:p w14:paraId="6D3A544B" w14:textId="67164BBA" w:rsidR="00F47391" w:rsidRPr="00F154BC" w:rsidRDefault="0044479C" w:rsidP="006A2F87">
      <w:pPr>
        <w:spacing w:after="120" w:line="240" w:lineRule="auto"/>
        <w:rPr>
          <w:rFonts w:cstheme="minorHAnsi"/>
        </w:rPr>
      </w:pPr>
      <w:r w:rsidRPr="00F154BC">
        <w:rPr>
          <w:rFonts w:cstheme="minorHAnsi"/>
        </w:rPr>
        <w:t>Mr Condon</w:t>
      </w:r>
      <w:r w:rsidR="00F47391" w:rsidRPr="00F154BC">
        <w:rPr>
          <w:rFonts w:cstheme="minorHAnsi"/>
        </w:rPr>
        <w:t xml:space="preserve"> noted the sub-committee’s </w:t>
      </w:r>
      <w:r w:rsidR="008002FD">
        <w:rPr>
          <w:rFonts w:cstheme="minorHAnsi"/>
        </w:rPr>
        <w:t>recommendation</w:t>
      </w:r>
      <w:r w:rsidR="007B46DE">
        <w:rPr>
          <w:rFonts w:cstheme="minorHAnsi"/>
        </w:rPr>
        <w:t xml:space="preserve"> </w:t>
      </w:r>
      <w:r w:rsidR="00F47391" w:rsidRPr="00F154BC">
        <w:rPr>
          <w:rFonts w:cstheme="minorHAnsi"/>
        </w:rPr>
        <w:t>of reforms to transhipment inquiries</w:t>
      </w:r>
      <w:r w:rsidR="008016C3" w:rsidRPr="00F154BC">
        <w:rPr>
          <w:rFonts w:cstheme="minorHAnsi"/>
        </w:rPr>
        <w:t xml:space="preserve"> to enable measures to be extended to an entire country</w:t>
      </w:r>
      <w:r w:rsidR="002274D3" w:rsidRPr="00F154BC">
        <w:rPr>
          <w:rFonts w:cstheme="minorHAnsi"/>
        </w:rPr>
        <w:t>.</w:t>
      </w:r>
      <w:r w:rsidR="00F47391" w:rsidRPr="00F154BC">
        <w:rPr>
          <w:rFonts w:cstheme="minorHAnsi"/>
        </w:rPr>
        <w:t xml:space="preserve"> </w:t>
      </w:r>
      <w:r w:rsidRPr="00F154BC">
        <w:rPr>
          <w:rFonts w:cstheme="minorHAnsi"/>
        </w:rPr>
        <w:t>He</w:t>
      </w:r>
      <w:r w:rsidR="008016C3" w:rsidRPr="00F154BC">
        <w:rPr>
          <w:rFonts w:cstheme="minorHAnsi"/>
        </w:rPr>
        <w:t xml:space="preserve"> advised </w:t>
      </w:r>
      <w:r w:rsidR="006B7345">
        <w:rPr>
          <w:rFonts w:cstheme="minorHAnsi"/>
        </w:rPr>
        <w:t xml:space="preserve">the sub-committee was also considering </w:t>
      </w:r>
      <w:r w:rsidR="00F47391" w:rsidRPr="00F154BC">
        <w:rPr>
          <w:rFonts w:cstheme="minorHAnsi"/>
        </w:rPr>
        <w:t>options to improve the effectiveness of measures</w:t>
      </w:r>
      <w:r w:rsidR="00D727EC" w:rsidRPr="00F154BC">
        <w:rPr>
          <w:rFonts w:cstheme="minorHAnsi"/>
        </w:rPr>
        <w:t>, including</w:t>
      </w:r>
      <w:r w:rsidR="00F47391" w:rsidRPr="00F154BC">
        <w:rPr>
          <w:rFonts w:cstheme="minorHAnsi"/>
        </w:rPr>
        <w:t xml:space="preserve"> </w:t>
      </w:r>
      <w:r w:rsidR="008002FD">
        <w:rPr>
          <w:rFonts w:cstheme="minorHAnsi"/>
        </w:rPr>
        <w:t xml:space="preserve">the recommendation of </w:t>
      </w:r>
      <w:r w:rsidR="00F47391" w:rsidRPr="00F154BC">
        <w:rPr>
          <w:rFonts w:cstheme="minorHAnsi"/>
        </w:rPr>
        <w:t xml:space="preserve"> minimum level of profit </w:t>
      </w:r>
      <w:r w:rsidR="00D727EC" w:rsidRPr="00F154BC">
        <w:rPr>
          <w:rFonts w:cstheme="minorHAnsi"/>
        </w:rPr>
        <w:t>in the calculation on the non-injurious price</w:t>
      </w:r>
      <w:r w:rsidR="008002FD">
        <w:rPr>
          <w:rFonts w:cstheme="minorHAnsi"/>
        </w:rPr>
        <w:t xml:space="preserve"> similar to that adopted by the European Commission.</w:t>
      </w:r>
    </w:p>
    <w:p w14:paraId="71C0AB44" w14:textId="77777777" w:rsidR="006D6818" w:rsidRPr="004972F4" w:rsidRDefault="00B456ED" w:rsidP="006A2F87">
      <w:pPr>
        <w:spacing w:before="40" w:after="120" w:line="240" w:lineRule="auto"/>
        <w:outlineLvl w:val="2"/>
        <w:rPr>
          <w:rFonts w:cstheme="minorHAnsi"/>
        </w:rPr>
      </w:pPr>
      <w:r w:rsidRPr="00F154BC">
        <w:rPr>
          <w:rFonts w:cstheme="minorHAnsi"/>
          <w:b/>
        </w:rPr>
        <w:t xml:space="preserve">Access </w:t>
      </w:r>
      <w:r w:rsidR="009F27A7">
        <w:rPr>
          <w:rFonts w:cstheme="minorHAnsi"/>
          <w:b/>
        </w:rPr>
        <w:t>to Import Data Sub-C</w:t>
      </w:r>
      <w:r w:rsidRPr="00F154BC">
        <w:rPr>
          <w:rFonts w:cstheme="minorHAnsi"/>
          <w:b/>
        </w:rPr>
        <w:t>ommittee</w:t>
      </w:r>
      <w:r w:rsidR="00B225D1" w:rsidRPr="00F154BC">
        <w:rPr>
          <w:rFonts w:cstheme="minorHAnsi"/>
        </w:rPr>
        <w:t xml:space="preserve">: </w:t>
      </w:r>
      <w:r w:rsidR="006D6818" w:rsidRPr="00F154BC">
        <w:rPr>
          <w:rFonts w:cstheme="minorHAnsi"/>
        </w:rPr>
        <w:t xml:space="preserve">Mr </w:t>
      </w:r>
      <w:r w:rsidR="00756744" w:rsidRPr="00F154BC">
        <w:rPr>
          <w:rFonts w:cstheme="minorHAnsi"/>
        </w:rPr>
        <w:t xml:space="preserve">Wacey noted that </w:t>
      </w:r>
      <w:r w:rsidR="006D6818" w:rsidRPr="00F154BC">
        <w:rPr>
          <w:rFonts w:cstheme="minorHAnsi"/>
        </w:rPr>
        <w:t xml:space="preserve">non-government members </w:t>
      </w:r>
      <w:r w:rsidR="008016C3" w:rsidRPr="00F154BC">
        <w:rPr>
          <w:rFonts w:cstheme="minorHAnsi"/>
        </w:rPr>
        <w:t xml:space="preserve">of the sub-committee </w:t>
      </w:r>
      <w:r w:rsidR="006D6818" w:rsidRPr="00F154BC">
        <w:rPr>
          <w:rFonts w:cstheme="minorHAnsi"/>
        </w:rPr>
        <w:t xml:space="preserve">had tabled a discussion paper </w:t>
      </w:r>
      <w:r w:rsidR="0044479C" w:rsidRPr="00F154BC">
        <w:rPr>
          <w:rFonts w:cstheme="minorHAnsi"/>
        </w:rPr>
        <w:t xml:space="preserve">in 2020 </w:t>
      </w:r>
      <w:r w:rsidR="006D6818" w:rsidRPr="00F154BC">
        <w:rPr>
          <w:rFonts w:cstheme="minorHAnsi"/>
        </w:rPr>
        <w:t xml:space="preserve">with several proposals to increase information available prior to lodgement of an application. </w:t>
      </w:r>
      <w:r w:rsidR="006A2F87">
        <w:rPr>
          <w:rFonts w:cstheme="minorHAnsi"/>
        </w:rPr>
        <w:t>Preliminary feedback from the Commission was that</w:t>
      </w:r>
      <w:r w:rsidR="006D6818" w:rsidRPr="00F154BC">
        <w:rPr>
          <w:rFonts w:cstheme="minorHAnsi"/>
        </w:rPr>
        <w:t xml:space="preserve"> many of them were not considered feasible. </w:t>
      </w:r>
      <w:r w:rsidR="008016C3" w:rsidRPr="00F154BC">
        <w:rPr>
          <w:rFonts w:cstheme="minorHAnsi"/>
        </w:rPr>
        <w:t>S</w:t>
      </w:r>
      <w:r w:rsidR="006D6818" w:rsidRPr="00F154BC">
        <w:rPr>
          <w:rFonts w:cstheme="minorHAnsi"/>
        </w:rPr>
        <w:t xml:space="preserve">ub-committee members </w:t>
      </w:r>
      <w:r w:rsidR="008016C3" w:rsidRPr="00F154BC">
        <w:rPr>
          <w:rFonts w:cstheme="minorHAnsi"/>
        </w:rPr>
        <w:t>a</w:t>
      </w:r>
      <w:r w:rsidR="006D6818" w:rsidRPr="00F154BC">
        <w:rPr>
          <w:rFonts w:cstheme="minorHAnsi"/>
        </w:rPr>
        <w:t xml:space="preserve">re </w:t>
      </w:r>
      <w:r w:rsidR="008016C3" w:rsidRPr="00F154BC">
        <w:rPr>
          <w:rFonts w:cstheme="minorHAnsi"/>
        </w:rPr>
        <w:t xml:space="preserve">therefore </w:t>
      </w:r>
      <w:r w:rsidR="00756744" w:rsidRPr="00F154BC">
        <w:rPr>
          <w:rFonts w:cstheme="minorHAnsi"/>
        </w:rPr>
        <w:t>looking at alternatives including if the</w:t>
      </w:r>
      <w:r w:rsidR="006D6818" w:rsidRPr="00F154BC">
        <w:rPr>
          <w:rFonts w:cstheme="minorHAnsi"/>
        </w:rPr>
        <w:t xml:space="preserve"> terms of reference could be reviewed, or </w:t>
      </w:r>
      <w:r w:rsidR="00BE1ABE">
        <w:rPr>
          <w:rFonts w:cstheme="minorHAnsi"/>
        </w:rPr>
        <w:t xml:space="preserve">whether </w:t>
      </w:r>
      <w:r w:rsidR="006D6818" w:rsidRPr="00F154BC">
        <w:rPr>
          <w:rFonts w:cstheme="minorHAnsi"/>
        </w:rPr>
        <w:t>the sub-committee’s work</w:t>
      </w:r>
      <w:r w:rsidR="00666210" w:rsidRPr="00F154BC">
        <w:rPr>
          <w:rFonts w:cstheme="minorHAnsi"/>
        </w:rPr>
        <w:t xml:space="preserve"> should conclude</w:t>
      </w:r>
      <w:r w:rsidR="006D6818" w:rsidRPr="00F154BC">
        <w:rPr>
          <w:rFonts w:cstheme="minorHAnsi"/>
        </w:rPr>
        <w:t xml:space="preserve">.  </w:t>
      </w:r>
    </w:p>
    <w:p w14:paraId="077750CF" w14:textId="77777777" w:rsidR="00BB671C" w:rsidRPr="00F154BC" w:rsidRDefault="006B7345" w:rsidP="006A2F87">
      <w:pPr>
        <w:pStyle w:val="ListParagraph"/>
        <w:numPr>
          <w:ilvl w:val="0"/>
          <w:numId w:val="16"/>
        </w:numPr>
        <w:spacing w:after="240" w:line="24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Commissioner Armstrong</w:t>
      </w:r>
      <w:r w:rsidR="003F3C4F" w:rsidRPr="00F154BC">
        <w:rPr>
          <w:rFonts w:cstheme="minorHAnsi"/>
        </w:rPr>
        <w:t xml:space="preserve"> acknowledged the </w:t>
      </w:r>
      <w:r w:rsidR="00A26052" w:rsidRPr="00F154BC">
        <w:rPr>
          <w:rFonts w:cstheme="minorHAnsi"/>
        </w:rPr>
        <w:t>work</w:t>
      </w:r>
      <w:r w:rsidR="003F3C4F" w:rsidRPr="00F154BC">
        <w:rPr>
          <w:rFonts w:cstheme="minorHAnsi"/>
        </w:rPr>
        <w:t xml:space="preserve"> of the sub-commit</w:t>
      </w:r>
      <w:r>
        <w:rPr>
          <w:rFonts w:cstheme="minorHAnsi"/>
        </w:rPr>
        <w:t>tees</w:t>
      </w:r>
      <w:r w:rsidR="006A2F87">
        <w:rPr>
          <w:rFonts w:cstheme="minorHAnsi"/>
        </w:rPr>
        <w:t>.</w:t>
      </w:r>
      <w:r w:rsidR="003F3C4F" w:rsidRPr="00F154BC">
        <w:rPr>
          <w:rFonts w:cstheme="minorHAnsi"/>
        </w:rPr>
        <w:t xml:space="preserve"> </w:t>
      </w:r>
    </w:p>
    <w:p w14:paraId="0763C77B" w14:textId="77777777" w:rsidR="00BB671C" w:rsidRPr="00F154BC" w:rsidRDefault="001678A6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 w:rsidR="000F63CF" w:rsidRPr="00F154BC">
        <w:rPr>
          <w:rFonts w:asciiTheme="minorHAnsi" w:hAnsiTheme="minorHAnsi" w:cstheme="minorHAnsi"/>
          <w:b/>
          <w:sz w:val="22"/>
          <w:szCs w:val="22"/>
        </w:rPr>
        <w:t>8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 – Other </w:t>
      </w:r>
      <w:r w:rsidR="00486D46" w:rsidRPr="00F154BC">
        <w:rPr>
          <w:rFonts w:asciiTheme="minorHAnsi" w:hAnsiTheme="minorHAnsi" w:cstheme="minorHAnsi"/>
          <w:b/>
          <w:sz w:val="22"/>
          <w:szCs w:val="22"/>
        </w:rPr>
        <w:t>B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usiness </w:t>
      </w:r>
    </w:p>
    <w:p w14:paraId="19E86897" w14:textId="77777777" w:rsidR="001678A6" w:rsidRPr="00F154BC" w:rsidRDefault="006B7345" w:rsidP="006A2F87">
      <w:pPr>
        <w:spacing w:after="240" w:line="240" w:lineRule="auto"/>
        <w:rPr>
          <w:rFonts w:cstheme="minorHAnsi"/>
        </w:rPr>
      </w:pPr>
      <w:r>
        <w:rPr>
          <w:rFonts w:cstheme="minorHAnsi"/>
        </w:rPr>
        <w:t>Commissioner Armstrong</w:t>
      </w:r>
      <w:r w:rsidR="009C35FA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>asked</w:t>
      </w:r>
      <w:r w:rsidR="0051401F" w:rsidRPr="00F154BC">
        <w:rPr>
          <w:rFonts w:cstheme="minorHAnsi"/>
        </w:rPr>
        <w:t xml:space="preserve"> members </w:t>
      </w:r>
      <w:r w:rsidR="008016C3" w:rsidRPr="00F154BC">
        <w:rPr>
          <w:rFonts w:cstheme="minorHAnsi"/>
        </w:rPr>
        <w:t xml:space="preserve">for feedback </w:t>
      </w:r>
      <w:r w:rsidR="0051401F" w:rsidRPr="00F154BC">
        <w:rPr>
          <w:rFonts w:cstheme="minorHAnsi"/>
        </w:rPr>
        <w:t>on their preferences for the length of the meeting</w:t>
      </w:r>
      <w:r w:rsidR="008016C3" w:rsidRPr="00F154BC">
        <w:rPr>
          <w:rFonts w:cstheme="minorHAnsi"/>
        </w:rPr>
        <w:t>,</w:t>
      </w:r>
      <w:r w:rsidR="0051401F" w:rsidRPr="00F154BC">
        <w:rPr>
          <w:rFonts w:cstheme="minorHAnsi"/>
        </w:rPr>
        <w:t xml:space="preserve"> and whether it is held in person or virtually once </w:t>
      </w:r>
      <w:r w:rsidR="00A26052" w:rsidRPr="00F154BC">
        <w:rPr>
          <w:rFonts w:cstheme="minorHAnsi"/>
        </w:rPr>
        <w:t>travel is possible</w:t>
      </w:r>
      <w:r w:rsidR="0051401F" w:rsidRPr="00F154BC">
        <w:rPr>
          <w:rFonts w:cstheme="minorHAnsi"/>
        </w:rPr>
        <w:t xml:space="preserve">. </w:t>
      </w:r>
    </w:p>
    <w:p w14:paraId="04013776" w14:textId="77777777" w:rsidR="000F63CF" w:rsidRPr="00F154BC" w:rsidRDefault="000F63CF" w:rsidP="006A2F87">
      <w:pPr>
        <w:pStyle w:val="Heading2"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154BC">
        <w:rPr>
          <w:rFonts w:asciiTheme="minorHAnsi" w:hAnsiTheme="minorHAnsi" w:cstheme="minorHAnsi"/>
          <w:b/>
          <w:sz w:val="22"/>
          <w:szCs w:val="22"/>
        </w:rPr>
        <w:t xml:space="preserve">Agenda Item 9 – </w:t>
      </w:r>
      <w:r w:rsidR="006379A4" w:rsidRPr="00F154BC">
        <w:rPr>
          <w:rFonts w:asciiTheme="minorHAnsi" w:hAnsiTheme="minorHAnsi" w:cstheme="minorHAnsi"/>
          <w:b/>
          <w:sz w:val="22"/>
          <w:szCs w:val="22"/>
        </w:rPr>
        <w:t xml:space="preserve">Next </w:t>
      </w:r>
      <w:r w:rsidR="00486D46" w:rsidRPr="00F154BC">
        <w:rPr>
          <w:rFonts w:asciiTheme="minorHAnsi" w:hAnsiTheme="minorHAnsi" w:cstheme="minorHAnsi"/>
          <w:b/>
          <w:sz w:val="22"/>
          <w:szCs w:val="22"/>
        </w:rPr>
        <w:t>M</w:t>
      </w:r>
      <w:r w:rsidR="006379A4" w:rsidRPr="00F154BC">
        <w:rPr>
          <w:rFonts w:asciiTheme="minorHAnsi" w:hAnsiTheme="minorHAnsi" w:cstheme="minorHAnsi"/>
          <w:b/>
          <w:sz w:val="22"/>
          <w:szCs w:val="22"/>
        </w:rPr>
        <w:t xml:space="preserve">eeting and </w:t>
      </w:r>
      <w:r w:rsidR="00486D46" w:rsidRPr="00F154BC">
        <w:rPr>
          <w:rFonts w:asciiTheme="minorHAnsi" w:hAnsiTheme="minorHAnsi" w:cstheme="minorHAnsi"/>
          <w:b/>
          <w:sz w:val="22"/>
          <w:szCs w:val="22"/>
        </w:rPr>
        <w:t>C</w:t>
      </w:r>
      <w:r w:rsidR="006379A4" w:rsidRPr="00F154BC">
        <w:rPr>
          <w:rFonts w:asciiTheme="minorHAnsi" w:hAnsiTheme="minorHAnsi" w:cstheme="minorHAnsi"/>
          <w:b/>
          <w:sz w:val="22"/>
          <w:szCs w:val="22"/>
        </w:rPr>
        <w:t xml:space="preserve">losing </w:t>
      </w:r>
      <w:r w:rsidR="00486D46" w:rsidRPr="00F154BC">
        <w:rPr>
          <w:rFonts w:asciiTheme="minorHAnsi" w:hAnsiTheme="minorHAnsi" w:cstheme="minorHAnsi"/>
          <w:b/>
          <w:sz w:val="22"/>
          <w:szCs w:val="22"/>
        </w:rPr>
        <w:t>R</w:t>
      </w:r>
      <w:r w:rsidR="006379A4" w:rsidRPr="00F154BC">
        <w:rPr>
          <w:rFonts w:asciiTheme="minorHAnsi" w:hAnsiTheme="minorHAnsi" w:cstheme="minorHAnsi"/>
          <w:b/>
          <w:sz w:val="22"/>
          <w:szCs w:val="22"/>
        </w:rPr>
        <w:t>emarks</w:t>
      </w:r>
      <w:r w:rsidRPr="00F15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B94BBC" w14:textId="77777777" w:rsidR="00A01A8C" w:rsidRPr="006B7345" w:rsidRDefault="006B7345" w:rsidP="00CD50F9">
      <w:pPr>
        <w:spacing w:after="120" w:line="240" w:lineRule="auto"/>
        <w:rPr>
          <w:rFonts w:cstheme="minorHAnsi"/>
        </w:rPr>
      </w:pPr>
      <w:r>
        <w:rPr>
          <w:rFonts w:cstheme="minorHAnsi"/>
        </w:rPr>
        <w:t>Commissioner Armstrong</w:t>
      </w:r>
      <w:r w:rsidR="009C35FA" w:rsidRPr="00F154BC">
        <w:rPr>
          <w:rFonts w:cstheme="minorHAnsi"/>
        </w:rPr>
        <w:t xml:space="preserve"> thanked members for their participation</w:t>
      </w:r>
      <w:r w:rsidR="008016C3" w:rsidRPr="00F154BC">
        <w:rPr>
          <w:rFonts w:cstheme="minorHAnsi"/>
        </w:rPr>
        <w:t>, and said</w:t>
      </w:r>
      <w:r w:rsidR="009C35FA" w:rsidRPr="00F154BC">
        <w:rPr>
          <w:rFonts w:cstheme="minorHAnsi"/>
        </w:rPr>
        <w:t xml:space="preserve"> </w:t>
      </w:r>
      <w:r w:rsidR="008016C3" w:rsidRPr="00F154BC">
        <w:rPr>
          <w:rFonts w:cstheme="minorHAnsi"/>
        </w:rPr>
        <w:t xml:space="preserve">the Commission would notify members </w:t>
      </w:r>
      <w:r w:rsidR="009C35FA" w:rsidRPr="00F154BC">
        <w:rPr>
          <w:rFonts w:cstheme="minorHAnsi"/>
        </w:rPr>
        <w:t xml:space="preserve">of the date for the </w:t>
      </w:r>
      <w:r w:rsidR="00A26052" w:rsidRPr="00F154BC">
        <w:rPr>
          <w:rFonts w:cstheme="minorHAnsi"/>
        </w:rPr>
        <w:t>second</w:t>
      </w:r>
      <w:r w:rsidR="009C35FA" w:rsidRPr="00F154BC">
        <w:rPr>
          <w:rFonts w:cstheme="minorHAnsi"/>
        </w:rPr>
        <w:t xml:space="preserve"> meeting for 2021.</w:t>
      </w:r>
    </w:p>
    <w:sectPr w:rsidR="00A01A8C" w:rsidRPr="006B7345" w:rsidSect="00497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0767B" w14:textId="77777777" w:rsidR="0062194D" w:rsidRDefault="0062194D">
      <w:pPr>
        <w:spacing w:after="0" w:line="240" w:lineRule="auto"/>
      </w:pPr>
      <w:r>
        <w:separator/>
      </w:r>
    </w:p>
  </w:endnote>
  <w:endnote w:type="continuationSeparator" w:id="0">
    <w:p w14:paraId="7B170D8D" w14:textId="77777777" w:rsidR="0062194D" w:rsidRDefault="0062194D">
      <w:pPr>
        <w:spacing w:after="0" w:line="240" w:lineRule="auto"/>
      </w:pPr>
      <w:r>
        <w:continuationSeparator/>
      </w:r>
    </w:p>
  </w:endnote>
  <w:endnote w:type="continuationNotice" w:id="1">
    <w:p w14:paraId="62BCA91F" w14:textId="77777777" w:rsidR="0062194D" w:rsidRDefault="00621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7FD9" w14:textId="77777777" w:rsidR="00847107" w:rsidRDefault="0084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490865"/>
      <w:docPartObj>
        <w:docPartGallery w:val="Page Numbers (Bottom of Page)"/>
        <w:docPartUnique/>
      </w:docPartObj>
    </w:sdtPr>
    <w:sdtEndPr/>
    <w:sdtContent>
      <w:sdt>
        <w:sdtPr>
          <w:id w:val="-584303286"/>
          <w:docPartObj>
            <w:docPartGallery w:val="Page Numbers (Top of Page)"/>
            <w:docPartUnique/>
          </w:docPartObj>
        </w:sdtPr>
        <w:sdtEndPr/>
        <w:sdtContent>
          <w:p w14:paraId="2CFD0209" w14:textId="77777777" w:rsidR="00585C40" w:rsidRDefault="00585C40" w:rsidP="00A260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C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C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FE61" w14:textId="77777777" w:rsidR="00847107" w:rsidRDefault="0084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ED32B" w14:textId="77777777" w:rsidR="0062194D" w:rsidRDefault="0062194D">
      <w:pPr>
        <w:spacing w:after="0" w:line="240" w:lineRule="auto"/>
      </w:pPr>
      <w:r>
        <w:separator/>
      </w:r>
    </w:p>
  </w:footnote>
  <w:footnote w:type="continuationSeparator" w:id="0">
    <w:p w14:paraId="35E789B1" w14:textId="77777777" w:rsidR="0062194D" w:rsidRDefault="0062194D">
      <w:pPr>
        <w:spacing w:after="0" w:line="240" w:lineRule="auto"/>
      </w:pPr>
      <w:r>
        <w:continuationSeparator/>
      </w:r>
    </w:p>
  </w:footnote>
  <w:footnote w:type="continuationNotice" w:id="1">
    <w:p w14:paraId="48DABB68" w14:textId="77777777" w:rsidR="0062194D" w:rsidRDefault="0062194D">
      <w:pPr>
        <w:spacing w:after="0" w:line="240" w:lineRule="auto"/>
      </w:pPr>
    </w:p>
  </w:footnote>
  <w:footnote w:id="2">
    <w:p w14:paraId="6C1A865B" w14:textId="27E4527E" w:rsidR="003A76BF" w:rsidRPr="00416EB1" w:rsidRDefault="003A76BF">
      <w:pPr>
        <w:pStyle w:val="FootnoteText"/>
        <w:rPr>
          <w:sz w:val="18"/>
          <w:szCs w:val="18"/>
        </w:rPr>
      </w:pPr>
      <w:r w:rsidRPr="00416EB1">
        <w:rPr>
          <w:rStyle w:val="FootnoteReference"/>
          <w:sz w:val="18"/>
          <w:szCs w:val="18"/>
        </w:rPr>
        <w:footnoteRef/>
      </w:r>
      <w:r w:rsidRPr="00416EB1">
        <w:rPr>
          <w:sz w:val="18"/>
          <w:szCs w:val="18"/>
        </w:rPr>
        <w:t xml:space="preserve"> The Department has subsequently clarified that with regard to the ADRP’s public record, in the period covered by the discussion paper statistics (i.e. reviews initiated from 1 January 2016 and finalised by 30 June 2021), there were 26 confidential duty assessments, 2 reviews were captured on the same ADRP webpage and 3 reviews were located on a separate part of the ADRP website as they were subject to judicial review proceedings.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2FBF3" w14:textId="69258AE7" w:rsidR="00847107" w:rsidRDefault="0084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475D6" w14:textId="604E9E53" w:rsidR="00585C40" w:rsidRDefault="00585C40" w:rsidP="00A26052">
    <w:pPr>
      <w:pStyle w:val="Header"/>
    </w:pPr>
  </w:p>
  <w:p w14:paraId="5CA94B03" w14:textId="77777777" w:rsidR="00585C40" w:rsidRDefault="00585C40" w:rsidP="00A2605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6D9A" w14:textId="37664303" w:rsidR="00585C40" w:rsidRDefault="00585C40" w:rsidP="00A26052">
    <w:pPr>
      <w:pStyle w:val="Header"/>
      <w:jc w:val="center"/>
    </w:pPr>
    <w:r w:rsidRPr="009C30B9">
      <w:rPr>
        <w:b/>
        <w:noProof/>
        <w:sz w:val="24"/>
        <w:lang w:eastAsia="en-AU"/>
      </w:rPr>
      <w:drawing>
        <wp:anchor distT="0" distB="0" distL="114300" distR="114300" simplePos="0" relativeHeight="251658240" behindDoc="0" locked="0" layoutInCell="1" allowOverlap="1" wp14:anchorId="1B69D5AE" wp14:editId="4637322D">
          <wp:simplePos x="0" y="0"/>
          <wp:positionH relativeFrom="column">
            <wp:posOffset>-529276</wp:posOffset>
          </wp:positionH>
          <wp:positionV relativeFrom="paragraph">
            <wp:posOffset>-116205</wp:posOffset>
          </wp:positionV>
          <wp:extent cx="3590925" cy="544185"/>
          <wp:effectExtent l="0" t="0" r="0" b="8890"/>
          <wp:wrapNone/>
          <wp:docPr id="18" name="Picture 18" descr="Australian Government Department of Industry, Science, Energy and Resources: Anti-Dumping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vavramidis\Desktop\DISER-ADC-inline-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697315" w14:textId="77777777" w:rsidR="00585C40" w:rsidRDefault="00585C40" w:rsidP="00A26052">
    <w:pPr>
      <w:pStyle w:val="Header"/>
      <w:jc w:val="center"/>
    </w:pPr>
  </w:p>
  <w:p w14:paraId="5070AC34" w14:textId="77777777" w:rsidR="00585C40" w:rsidRDefault="00585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494"/>
    <w:multiLevelType w:val="hybridMultilevel"/>
    <w:tmpl w:val="3224EE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AE5"/>
    <w:multiLevelType w:val="hybridMultilevel"/>
    <w:tmpl w:val="DCBCA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D88"/>
    <w:multiLevelType w:val="hybridMultilevel"/>
    <w:tmpl w:val="47AAA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3268"/>
    <w:multiLevelType w:val="hybridMultilevel"/>
    <w:tmpl w:val="DA965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343"/>
    <w:multiLevelType w:val="hybridMultilevel"/>
    <w:tmpl w:val="CED43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C2C9B"/>
    <w:multiLevelType w:val="hybridMultilevel"/>
    <w:tmpl w:val="EEF01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1BF3"/>
    <w:multiLevelType w:val="hybridMultilevel"/>
    <w:tmpl w:val="BA409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22D9"/>
    <w:multiLevelType w:val="hybridMultilevel"/>
    <w:tmpl w:val="01A6B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A1431"/>
    <w:multiLevelType w:val="hybridMultilevel"/>
    <w:tmpl w:val="BBF2E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A506D"/>
    <w:multiLevelType w:val="hybridMultilevel"/>
    <w:tmpl w:val="2DE02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A481D"/>
    <w:multiLevelType w:val="hybridMultilevel"/>
    <w:tmpl w:val="F1EEC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C3A27"/>
    <w:multiLevelType w:val="hybridMultilevel"/>
    <w:tmpl w:val="0A50F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C0C11"/>
    <w:multiLevelType w:val="hybridMultilevel"/>
    <w:tmpl w:val="182CD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04519"/>
    <w:multiLevelType w:val="hybridMultilevel"/>
    <w:tmpl w:val="46EEA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4792"/>
    <w:multiLevelType w:val="hybridMultilevel"/>
    <w:tmpl w:val="5406DA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075E8"/>
    <w:multiLevelType w:val="hybridMultilevel"/>
    <w:tmpl w:val="42C4E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A4E4F"/>
    <w:multiLevelType w:val="hybridMultilevel"/>
    <w:tmpl w:val="8E92E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8C"/>
    <w:rsid w:val="000045D6"/>
    <w:rsid w:val="00004C4A"/>
    <w:rsid w:val="00006B45"/>
    <w:rsid w:val="0002061B"/>
    <w:rsid w:val="00030056"/>
    <w:rsid w:val="00037F4C"/>
    <w:rsid w:val="0006463A"/>
    <w:rsid w:val="000668E1"/>
    <w:rsid w:val="00066A45"/>
    <w:rsid w:val="00070D85"/>
    <w:rsid w:val="000869A0"/>
    <w:rsid w:val="00086FDA"/>
    <w:rsid w:val="00092E3F"/>
    <w:rsid w:val="000A3961"/>
    <w:rsid w:val="000A71DC"/>
    <w:rsid w:val="000B1E88"/>
    <w:rsid w:val="000B254D"/>
    <w:rsid w:val="000B42D4"/>
    <w:rsid w:val="000C3D4F"/>
    <w:rsid w:val="000C3EC9"/>
    <w:rsid w:val="000C6D74"/>
    <w:rsid w:val="000E5C28"/>
    <w:rsid w:val="000E621C"/>
    <w:rsid w:val="000E6AA0"/>
    <w:rsid w:val="000F63CF"/>
    <w:rsid w:val="000F6C0D"/>
    <w:rsid w:val="00105251"/>
    <w:rsid w:val="001078BB"/>
    <w:rsid w:val="001129E0"/>
    <w:rsid w:val="001207B5"/>
    <w:rsid w:val="00121F34"/>
    <w:rsid w:val="001230A9"/>
    <w:rsid w:val="001304E6"/>
    <w:rsid w:val="0013325B"/>
    <w:rsid w:val="00144FE7"/>
    <w:rsid w:val="0015024E"/>
    <w:rsid w:val="0015222E"/>
    <w:rsid w:val="00157716"/>
    <w:rsid w:val="00165957"/>
    <w:rsid w:val="001678A6"/>
    <w:rsid w:val="00167D3F"/>
    <w:rsid w:val="00173986"/>
    <w:rsid w:val="0018783F"/>
    <w:rsid w:val="001B25CC"/>
    <w:rsid w:val="001B4DB1"/>
    <w:rsid w:val="001C5F0D"/>
    <w:rsid w:val="001D07DC"/>
    <w:rsid w:val="001D47BF"/>
    <w:rsid w:val="001D5565"/>
    <w:rsid w:val="001D694E"/>
    <w:rsid w:val="001E0868"/>
    <w:rsid w:val="001E2CA9"/>
    <w:rsid w:val="001E6E5A"/>
    <w:rsid w:val="00204D3E"/>
    <w:rsid w:val="002063A2"/>
    <w:rsid w:val="0021104A"/>
    <w:rsid w:val="00220C27"/>
    <w:rsid w:val="002274D3"/>
    <w:rsid w:val="00233C85"/>
    <w:rsid w:val="00234A38"/>
    <w:rsid w:val="002379A4"/>
    <w:rsid w:val="00261E08"/>
    <w:rsid w:val="00264541"/>
    <w:rsid w:val="00267905"/>
    <w:rsid w:val="00272C59"/>
    <w:rsid w:val="002775D2"/>
    <w:rsid w:val="002779F7"/>
    <w:rsid w:val="00287FCF"/>
    <w:rsid w:val="0029043B"/>
    <w:rsid w:val="0029574F"/>
    <w:rsid w:val="00295D2E"/>
    <w:rsid w:val="00296B21"/>
    <w:rsid w:val="002A2688"/>
    <w:rsid w:val="002A5581"/>
    <w:rsid w:val="002B71C4"/>
    <w:rsid w:val="002C22A4"/>
    <w:rsid w:val="002C2D5D"/>
    <w:rsid w:val="002D08F1"/>
    <w:rsid w:val="002D53D7"/>
    <w:rsid w:val="002F6CE8"/>
    <w:rsid w:val="003033D8"/>
    <w:rsid w:val="003178C0"/>
    <w:rsid w:val="00322581"/>
    <w:rsid w:val="00324AAC"/>
    <w:rsid w:val="00324F3F"/>
    <w:rsid w:val="00332B1A"/>
    <w:rsid w:val="00347A55"/>
    <w:rsid w:val="00353B95"/>
    <w:rsid w:val="00355C90"/>
    <w:rsid w:val="00372AC5"/>
    <w:rsid w:val="0037707D"/>
    <w:rsid w:val="00377D38"/>
    <w:rsid w:val="003872E0"/>
    <w:rsid w:val="00390E09"/>
    <w:rsid w:val="00393671"/>
    <w:rsid w:val="003A67C1"/>
    <w:rsid w:val="003A76BF"/>
    <w:rsid w:val="003B01C7"/>
    <w:rsid w:val="003B0B0C"/>
    <w:rsid w:val="003B3A09"/>
    <w:rsid w:val="003B5805"/>
    <w:rsid w:val="003C7221"/>
    <w:rsid w:val="003D5AAD"/>
    <w:rsid w:val="003E42A7"/>
    <w:rsid w:val="003E4501"/>
    <w:rsid w:val="003E5C59"/>
    <w:rsid w:val="003F287D"/>
    <w:rsid w:val="003F3C4F"/>
    <w:rsid w:val="003F5D69"/>
    <w:rsid w:val="00400190"/>
    <w:rsid w:val="0041019C"/>
    <w:rsid w:val="00410825"/>
    <w:rsid w:val="00413501"/>
    <w:rsid w:val="0041467B"/>
    <w:rsid w:val="00416EB1"/>
    <w:rsid w:val="0041736C"/>
    <w:rsid w:val="00420416"/>
    <w:rsid w:val="00423AB2"/>
    <w:rsid w:val="00434C93"/>
    <w:rsid w:val="0044479C"/>
    <w:rsid w:val="00452532"/>
    <w:rsid w:val="004555BD"/>
    <w:rsid w:val="004571AE"/>
    <w:rsid w:val="00463334"/>
    <w:rsid w:val="00475E25"/>
    <w:rsid w:val="00486D46"/>
    <w:rsid w:val="004972F4"/>
    <w:rsid w:val="004A6B21"/>
    <w:rsid w:val="004B4607"/>
    <w:rsid w:val="004B5223"/>
    <w:rsid w:val="004C0F45"/>
    <w:rsid w:val="004C3024"/>
    <w:rsid w:val="004C79AC"/>
    <w:rsid w:val="004D119D"/>
    <w:rsid w:val="0051401F"/>
    <w:rsid w:val="0052581A"/>
    <w:rsid w:val="0054242E"/>
    <w:rsid w:val="00545847"/>
    <w:rsid w:val="00546DE4"/>
    <w:rsid w:val="00550AD9"/>
    <w:rsid w:val="00554995"/>
    <w:rsid w:val="00555F29"/>
    <w:rsid w:val="00563A11"/>
    <w:rsid w:val="005701A9"/>
    <w:rsid w:val="00583CC9"/>
    <w:rsid w:val="00585A23"/>
    <w:rsid w:val="00585C40"/>
    <w:rsid w:val="005900D6"/>
    <w:rsid w:val="00592F0B"/>
    <w:rsid w:val="00595452"/>
    <w:rsid w:val="00597E9F"/>
    <w:rsid w:val="005A0C96"/>
    <w:rsid w:val="005A2755"/>
    <w:rsid w:val="005A39DD"/>
    <w:rsid w:val="005A44A2"/>
    <w:rsid w:val="005C0B5E"/>
    <w:rsid w:val="005D0BE0"/>
    <w:rsid w:val="005D5485"/>
    <w:rsid w:val="005E5806"/>
    <w:rsid w:val="005F6E3D"/>
    <w:rsid w:val="00606306"/>
    <w:rsid w:val="00613111"/>
    <w:rsid w:val="0062194D"/>
    <w:rsid w:val="00624C92"/>
    <w:rsid w:val="00627E39"/>
    <w:rsid w:val="00633A8A"/>
    <w:rsid w:val="00635E89"/>
    <w:rsid w:val="006379A4"/>
    <w:rsid w:val="00640B06"/>
    <w:rsid w:val="00644E8D"/>
    <w:rsid w:val="00645A4B"/>
    <w:rsid w:val="00647032"/>
    <w:rsid w:val="006527D6"/>
    <w:rsid w:val="006607F9"/>
    <w:rsid w:val="00666210"/>
    <w:rsid w:val="0066717F"/>
    <w:rsid w:val="00680602"/>
    <w:rsid w:val="00681F5E"/>
    <w:rsid w:val="006924E2"/>
    <w:rsid w:val="0069306B"/>
    <w:rsid w:val="00695A52"/>
    <w:rsid w:val="00697885"/>
    <w:rsid w:val="006A2F87"/>
    <w:rsid w:val="006A45F3"/>
    <w:rsid w:val="006B462F"/>
    <w:rsid w:val="006B7345"/>
    <w:rsid w:val="006B76FB"/>
    <w:rsid w:val="006C0913"/>
    <w:rsid w:val="006C15EB"/>
    <w:rsid w:val="006C2575"/>
    <w:rsid w:val="006C287A"/>
    <w:rsid w:val="006D6818"/>
    <w:rsid w:val="006E389E"/>
    <w:rsid w:val="006F6139"/>
    <w:rsid w:val="006F61BE"/>
    <w:rsid w:val="00704905"/>
    <w:rsid w:val="00710AD6"/>
    <w:rsid w:val="00717781"/>
    <w:rsid w:val="00722A7C"/>
    <w:rsid w:val="00730B8A"/>
    <w:rsid w:val="00746D54"/>
    <w:rsid w:val="00747062"/>
    <w:rsid w:val="00756744"/>
    <w:rsid w:val="00770361"/>
    <w:rsid w:val="007A26C8"/>
    <w:rsid w:val="007A4FFB"/>
    <w:rsid w:val="007A5CAA"/>
    <w:rsid w:val="007A7AB3"/>
    <w:rsid w:val="007B46DE"/>
    <w:rsid w:val="007B685E"/>
    <w:rsid w:val="007B72F7"/>
    <w:rsid w:val="007C00E0"/>
    <w:rsid w:val="007C0717"/>
    <w:rsid w:val="007C7872"/>
    <w:rsid w:val="007D04E7"/>
    <w:rsid w:val="007D60AB"/>
    <w:rsid w:val="007E15D2"/>
    <w:rsid w:val="007F494A"/>
    <w:rsid w:val="008002FD"/>
    <w:rsid w:val="008016C3"/>
    <w:rsid w:val="00801CC6"/>
    <w:rsid w:val="00801EAC"/>
    <w:rsid w:val="008061D7"/>
    <w:rsid w:val="00813360"/>
    <w:rsid w:val="00815EB3"/>
    <w:rsid w:val="00825A0A"/>
    <w:rsid w:val="00841A5B"/>
    <w:rsid w:val="00847107"/>
    <w:rsid w:val="0085161C"/>
    <w:rsid w:val="00853ED2"/>
    <w:rsid w:val="0086080E"/>
    <w:rsid w:val="00863CF5"/>
    <w:rsid w:val="00871C2E"/>
    <w:rsid w:val="00872290"/>
    <w:rsid w:val="00877EDD"/>
    <w:rsid w:val="00884D01"/>
    <w:rsid w:val="00885DCD"/>
    <w:rsid w:val="00887779"/>
    <w:rsid w:val="00887B6B"/>
    <w:rsid w:val="0089461E"/>
    <w:rsid w:val="00894BCA"/>
    <w:rsid w:val="00895FB2"/>
    <w:rsid w:val="00897A90"/>
    <w:rsid w:val="008B07B2"/>
    <w:rsid w:val="008C34B7"/>
    <w:rsid w:val="008D566D"/>
    <w:rsid w:val="008E038A"/>
    <w:rsid w:val="008F1C3C"/>
    <w:rsid w:val="008F1F39"/>
    <w:rsid w:val="008F4206"/>
    <w:rsid w:val="00912F86"/>
    <w:rsid w:val="009300E9"/>
    <w:rsid w:val="00931329"/>
    <w:rsid w:val="00931401"/>
    <w:rsid w:val="0093380F"/>
    <w:rsid w:val="00947756"/>
    <w:rsid w:val="00953BA9"/>
    <w:rsid w:val="00954F03"/>
    <w:rsid w:val="00961436"/>
    <w:rsid w:val="0096301F"/>
    <w:rsid w:val="009652FA"/>
    <w:rsid w:val="00966AFA"/>
    <w:rsid w:val="009707CB"/>
    <w:rsid w:val="00971BBE"/>
    <w:rsid w:val="00975035"/>
    <w:rsid w:val="00975A4E"/>
    <w:rsid w:val="00990033"/>
    <w:rsid w:val="00990B7D"/>
    <w:rsid w:val="00990E5E"/>
    <w:rsid w:val="00990F7F"/>
    <w:rsid w:val="009A34EE"/>
    <w:rsid w:val="009C35FA"/>
    <w:rsid w:val="009C3C25"/>
    <w:rsid w:val="009D17C8"/>
    <w:rsid w:val="009D29C4"/>
    <w:rsid w:val="009D36B1"/>
    <w:rsid w:val="009F27A7"/>
    <w:rsid w:val="009F34F4"/>
    <w:rsid w:val="00A01A8C"/>
    <w:rsid w:val="00A04DA9"/>
    <w:rsid w:val="00A06D8F"/>
    <w:rsid w:val="00A102CD"/>
    <w:rsid w:val="00A153B6"/>
    <w:rsid w:val="00A160C7"/>
    <w:rsid w:val="00A26052"/>
    <w:rsid w:val="00A260D8"/>
    <w:rsid w:val="00A4226C"/>
    <w:rsid w:val="00A50344"/>
    <w:rsid w:val="00A53988"/>
    <w:rsid w:val="00A5734E"/>
    <w:rsid w:val="00A57C43"/>
    <w:rsid w:val="00A6157D"/>
    <w:rsid w:val="00A7326D"/>
    <w:rsid w:val="00A83B24"/>
    <w:rsid w:val="00A87918"/>
    <w:rsid w:val="00A90432"/>
    <w:rsid w:val="00A97ABE"/>
    <w:rsid w:val="00AA7AD8"/>
    <w:rsid w:val="00AB0CD7"/>
    <w:rsid w:val="00AB23E8"/>
    <w:rsid w:val="00AB2B5E"/>
    <w:rsid w:val="00AB7F27"/>
    <w:rsid w:val="00AC30E5"/>
    <w:rsid w:val="00AC476B"/>
    <w:rsid w:val="00AC753A"/>
    <w:rsid w:val="00AD3B7A"/>
    <w:rsid w:val="00AD405D"/>
    <w:rsid w:val="00AD5C3E"/>
    <w:rsid w:val="00AE189C"/>
    <w:rsid w:val="00AF2AFF"/>
    <w:rsid w:val="00AF5AF8"/>
    <w:rsid w:val="00B01700"/>
    <w:rsid w:val="00B04230"/>
    <w:rsid w:val="00B06C46"/>
    <w:rsid w:val="00B0739A"/>
    <w:rsid w:val="00B1781C"/>
    <w:rsid w:val="00B225D1"/>
    <w:rsid w:val="00B22E2D"/>
    <w:rsid w:val="00B377B9"/>
    <w:rsid w:val="00B42FE3"/>
    <w:rsid w:val="00B456ED"/>
    <w:rsid w:val="00B64C29"/>
    <w:rsid w:val="00B66512"/>
    <w:rsid w:val="00B66FBB"/>
    <w:rsid w:val="00B70054"/>
    <w:rsid w:val="00B707B7"/>
    <w:rsid w:val="00B70B89"/>
    <w:rsid w:val="00B7593D"/>
    <w:rsid w:val="00B84327"/>
    <w:rsid w:val="00B87706"/>
    <w:rsid w:val="00B87C03"/>
    <w:rsid w:val="00B90C34"/>
    <w:rsid w:val="00B90F49"/>
    <w:rsid w:val="00B94F33"/>
    <w:rsid w:val="00BA296A"/>
    <w:rsid w:val="00BA2A9E"/>
    <w:rsid w:val="00BA2B7B"/>
    <w:rsid w:val="00BB3DEB"/>
    <w:rsid w:val="00BB671C"/>
    <w:rsid w:val="00BB78F0"/>
    <w:rsid w:val="00BC25B9"/>
    <w:rsid w:val="00BC4303"/>
    <w:rsid w:val="00BC7253"/>
    <w:rsid w:val="00BD3258"/>
    <w:rsid w:val="00BD4922"/>
    <w:rsid w:val="00BD6603"/>
    <w:rsid w:val="00BE1ABE"/>
    <w:rsid w:val="00BE4530"/>
    <w:rsid w:val="00BE71D5"/>
    <w:rsid w:val="00BF795A"/>
    <w:rsid w:val="00BF7CC6"/>
    <w:rsid w:val="00C00372"/>
    <w:rsid w:val="00C056A5"/>
    <w:rsid w:val="00C113B0"/>
    <w:rsid w:val="00C12670"/>
    <w:rsid w:val="00C23023"/>
    <w:rsid w:val="00C23FC7"/>
    <w:rsid w:val="00C24A54"/>
    <w:rsid w:val="00C37E4B"/>
    <w:rsid w:val="00C40BF3"/>
    <w:rsid w:val="00C71371"/>
    <w:rsid w:val="00C71D2F"/>
    <w:rsid w:val="00C775A9"/>
    <w:rsid w:val="00C86E93"/>
    <w:rsid w:val="00C8724C"/>
    <w:rsid w:val="00C87EC9"/>
    <w:rsid w:val="00CA5EDF"/>
    <w:rsid w:val="00CA6D45"/>
    <w:rsid w:val="00CB1564"/>
    <w:rsid w:val="00CC2BB6"/>
    <w:rsid w:val="00CC2E0B"/>
    <w:rsid w:val="00CD3867"/>
    <w:rsid w:val="00CD50F9"/>
    <w:rsid w:val="00CE0E02"/>
    <w:rsid w:val="00CE7FB6"/>
    <w:rsid w:val="00D00538"/>
    <w:rsid w:val="00D04204"/>
    <w:rsid w:val="00D06A8B"/>
    <w:rsid w:val="00D06DF0"/>
    <w:rsid w:val="00D07CF2"/>
    <w:rsid w:val="00D23698"/>
    <w:rsid w:val="00D24FE0"/>
    <w:rsid w:val="00D40768"/>
    <w:rsid w:val="00D4575F"/>
    <w:rsid w:val="00D50C1C"/>
    <w:rsid w:val="00D61FB4"/>
    <w:rsid w:val="00D62CAF"/>
    <w:rsid w:val="00D635FC"/>
    <w:rsid w:val="00D65CD6"/>
    <w:rsid w:val="00D66B1E"/>
    <w:rsid w:val="00D7116B"/>
    <w:rsid w:val="00D71F47"/>
    <w:rsid w:val="00D727EC"/>
    <w:rsid w:val="00D81F57"/>
    <w:rsid w:val="00D861E7"/>
    <w:rsid w:val="00D8731E"/>
    <w:rsid w:val="00D93639"/>
    <w:rsid w:val="00DB62FF"/>
    <w:rsid w:val="00DB668D"/>
    <w:rsid w:val="00DE58E8"/>
    <w:rsid w:val="00DF04E0"/>
    <w:rsid w:val="00DF11D0"/>
    <w:rsid w:val="00DF2026"/>
    <w:rsid w:val="00DF5129"/>
    <w:rsid w:val="00DF5F27"/>
    <w:rsid w:val="00E01735"/>
    <w:rsid w:val="00E320E5"/>
    <w:rsid w:val="00E340D6"/>
    <w:rsid w:val="00E46A07"/>
    <w:rsid w:val="00E4796F"/>
    <w:rsid w:val="00E533E1"/>
    <w:rsid w:val="00E64643"/>
    <w:rsid w:val="00E65408"/>
    <w:rsid w:val="00E73FAD"/>
    <w:rsid w:val="00E94985"/>
    <w:rsid w:val="00E9624E"/>
    <w:rsid w:val="00EC0983"/>
    <w:rsid w:val="00EC75EF"/>
    <w:rsid w:val="00ED4D53"/>
    <w:rsid w:val="00ED5F48"/>
    <w:rsid w:val="00EE38F2"/>
    <w:rsid w:val="00EE3A35"/>
    <w:rsid w:val="00EE6C65"/>
    <w:rsid w:val="00EF0C47"/>
    <w:rsid w:val="00EF1C49"/>
    <w:rsid w:val="00EF456E"/>
    <w:rsid w:val="00F0046F"/>
    <w:rsid w:val="00F06469"/>
    <w:rsid w:val="00F1446E"/>
    <w:rsid w:val="00F154BC"/>
    <w:rsid w:val="00F3156D"/>
    <w:rsid w:val="00F3341A"/>
    <w:rsid w:val="00F3485A"/>
    <w:rsid w:val="00F40199"/>
    <w:rsid w:val="00F40414"/>
    <w:rsid w:val="00F40542"/>
    <w:rsid w:val="00F42562"/>
    <w:rsid w:val="00F465E4"/>
    <w:rsid w:val="00F47391"/>
    <w:rsid w:val="00F52172"/>
    <w:rsid w:val="00F52AF4"/>
    <w:rsid w:val="00F560C5"/>
    <w:rsid w:val="00F5724C"/>
    <w:rsid w:val="00F57DC1"/>
    <w:rsid w:val="00F641C8"/>
    <w:rsid w:val="00F659AC"/>
    <w:rsid w:val="00F85374"/>
    <w:rsid w:val="00F97767"/>
    <w:rsid w:val="00FA501A"/>
    <w:rsid w:val="00FB3E4F"/>
    <w:rsid w:val="00FC64AD"/>
    <w:rsid w:val="00FD26CD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8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1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C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D"/>
  </w:style>
  <w:style w:type="paragraph" w:styleId="Footer">
    <w:name w:val="footer"/>
    <w:basedOn w:val="Normal"/>
    <w:link w:val="FooterChar"/>
    <w:uiPriority w:val="99"/>
    <w:unhideWhenUsed/>
    <w:rsid w:val="002C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D"/>
  </w:style>
  <w:style w:type="paragraph" w:styleId="FootnoteText">
    <w:name w:val="footnote text"/>
    <w:basedOn w:val="Normal"/>
    <w:link w:val="FootnoteTextChar"/>
    <w:uiPriority w:val="99"/>
    <w:semiHidden/>
    <w:unhideWhenUsed/>
    <w:rsid w:val="002C2D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D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D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9612</Characters>
  <Application>Microsoft Office Word</Application>
  <DocSecurity>0</DocSecurity>
  <Lines>145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2021-08-02T01:45:00Z</dcterms:created>
  <dcterms:modified xsi:type="dcterms:W3CDTF">2021-08-02T02:05:00Z</dcterms:modified>
</cp:coreProperties>
</file>