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34B00" w14:textId="690B6AB8" w:rsidR="00A14DFA" w:rsidRDefault="002206ED" w:rsidP="00A14DFA">
      <w:pPr>
        <w:pStyle w:val="CoverTitle"/>
      </w:pPr>
      <w:bookmarkStart w:id="0" w:name="_GoBack"/>
      <w:bookmarkEnd w:id="0"/>
      <w:r>
        <w:t>Economic s</w:t>
      </w:r>
      <w:r w:rsidR="006737FA">
        <w:t xml:space="preserve">napshot of the </w:t>
      </w:r>
      <w:r w:rsidR="00415468">
        <w:br/>
      </w:r>
      <w:r w:rsidR="00A14DFA">
        <w:t xml:space="preserve">Australian </w:t>
      </w:r>
      <w:r w:rsidR="009D48A7">
        <w:t>s</w:t>
      </w:r>
      <w:r w:rsidR="00A14DFA">
        <w:t xml:space="preserve">pace </w:t>
      </w:r>
      <w:r w:rsidR="009D48A7">
        <w:t>s</w:t>
      </w:r>
      <w:r w:rsidR="00A14DFA">
        <w:t>ector</w:t>
      </w:r>
      <w:r w:rsidR="000C631F">
        <w:t xml:space="preserve">: </w:t>
      </w:r>
      <w:r w:rsidR="00415468">
        <w:br/>
      </w:r>
      <w:r w:rsidR="000C631F">
        <w:t>2016-17 to 2018-19</w:t>
      </w:r>
    </w:p>
    <w:p w14:paraId="09D08E20" w14:textId="0AE01AD9" w:rsidR="00A14DFA" w:rsidRDefault="00336E4E" w:rsidP="00DB16C3">
      <w:pPr>
        <w:pStyle w:val="CoverDate"/>
        <w:spacing w:before="1280" w:after="440"/>
      </w:pPr>
      <w:r w:rsidRPr="00336E4E">
        <w:t>February 2021</w:t>
      </w:r>
    </w:p>
    <w:p w14:paraId="7B3F2EE1" w14:textId="4A978C70" w:rsidR="00D35518" w:rsidRDefault="00A14DFA" w:rsidP="00DB16C3">
      <w:pPr>
        <w:spacing w:before="480"/>
      </w:pPr>
      <w:r w:rsidRPr="00A14DFA">
        <w:rPr>
          <w:color w:val="FFFFFF" w:themeColor="background1"/>
          <w:sz w:val="29"/>
          <w:szCs w:val="29"/>
        </w:rPr>
        <w:t>space.gov.au</w:t>
      </w:r>
    </w:p>
    <w:p w14:paraId="41F654C4" w14:textId="77777777" w:rsidR="00D35518" w:rsidRDefault="00D35518" w:rsidP="00D35518">
      <w:pPr>
        <w:sectPr w:rsidR="00D35518" w:rsidSect="006323E8">
          <w:headerReference w:type="even" r:id="rId8"/>
          <w:headerReference w:type="default" r:id="rId9"/>
          <w:footerReference w:type="even" r:id="rId10"/>
          <w:footerReference w:type="default" r:id="rId11"/>
          <w:headerReference w:type="first" r:id="rId12"/>
          <w:footerReference w:type="first" r:id="rId13"/>
          <w:pgSz w:w="11906" w:h="16838" w:code="9"/>
          <w:pgMar w:top="3969" w:right="1021" w:bottom="1701" w:left="1021" w:header="284" w:footer="539" w:gutter="0"/>
          <w:cols w:space="708"/>
          <w:titlePg/>
          <w:docGrid w:linePitch="360"/>
        </w:sectPr>
      </w:pPr>
    </w:p>
    <w:p w14:paraId="1210946E" w14:textId="2466C56D" w:rsidR="00DB16C3" w:rsidRDefault="00DB16C3" w:rsidP="00DB16C3">
      <w:pPr>
        <w:pStyle w:val="Heading1"/>
      </w:pPr>
      <w:r>
        <w:lastRenderedPageBreak/>
        <w:t>Contents</w:t>
      </w:r>
    </w:p>
    <w:p w14:paraId="3AB0A472" w14:textId="211B03A0" w:rsidR="00DB16C3" w:rsidRDefault="00DB16C3">
      <w:pPr>
        <w:pStyle w:val="TOC1"/>
        <w:tabs>
          <w:tab w:val="left" w:pos="660"/>
        </w:tabs>
        <w:rPr>
          <w:rFonts w:asciiTheme="minorHAnsi" w:eastAsiaTheme="minorEastAsia" w:hAnsiTheme="minorHAnsi" w:cstheme="minorBidi"/>
          <w:b w:val="0"/>
          <w:noProof/>
          <w:color w:val="auto"/>
          <w:sz w:val="22"/>
          <w:szCs w:val="22"/>
          <w:lang w:eastAsia="en-AU"/>
        </w:rPr>
      </w:pPr>
      <w:r>
        <w:rPr>
          <w:b w:val="0"/>
          <w:bCs/>
          <w:noProof/>
        </w:rPr>
        <w:fldChar w:fldCharType="begin"/>
      </w:r>
      <w:r>
        <w:rPr>
          <w:b w:val="0"/>
          <w:bCs/>
          <w:noProof/>
        </w:rPr>
        <w:instrText xml:space="preserve"> TOC \o "2-2" \h \z \t "Heading 1,1" </w:instrText>
      </w:r>
      <w:r>
        <w:rPr>
          <w:b w:val="0"/>
          <w:bCs/>
          <w:noProof/>
        </w:rPr>
        <w:fldChar w:fldCharType="separate"/>
      </w:r>
      <w:hyperlink w:anchor="_Toc62635432" w:history="1">
        <w:r w:rsidRPr="00F73E0E">
          <w:rPr>
            <w:rStyle w:val="Hyperlink"/>
            <w:noProof/>
          </w:rPr>
          <w:t>1.</w:t>
        </w:r>
        <w:r>
          <w:rPr>
            <w:rFonts w:asciiTheme="minorHAnsi" w:eastAsiaTheme="minorEastAsia" w:hAnsiTheme="minorHAnsi" w:cstheme="minorBidi"/>
            <w:b w:val="0"/>
            <w:noProof/>
            <w:color w:val="auto"/>
            <w:sz w:val="22"/>
            <w:szCs w:val="22"/>
            <w:lang w:eastAsia="en-AU"/>
          </w:rPr>
          <w:tab/>
        </w:r>
        <w:r w:rsidRPr="00F73E0E">
          <w:rPr>
            <w:rStyle w:val="Hyperlink"/>
            <w:noProof/>
          </w:rPr>
          <w:t>Overview</w:t>
        </w:r>
        <w:r>
          <w:rPr>
            <w:noProof/>
            <w:webHidden/>
          </w:rPr>
          <w:tab/>
        </w:r>
        <w:r>
          <w:rPr>
            <w:noProof/>
            <w:webHidden/>
          </w:rPr>
          <w:fldChar w:fldCharType="begin"/>
        </w:r>
        <w:r>
          <w:rPr>
            <w:noProof/>
            <w:webHidden/>
          </w:rPr>
          <w:instrText xml:space="preserve"> PAGEREF _Toc62635432 \h </w:instrText>
        </w:r>
        <w:r>
          <w:rPr>
            <w:noProof/>
            <w:webHidden/>
          </w:rPr>
        </w:r>
        <w:r>
          <w:rPr>
            <w:noProof/>
            <w:webHidden/>
          </w:rPr>
          <w:fldChar w:fldCharType="separate"/>
        </w:r>
        <w:r w:rsidR="003C418F">
          <w:rPr>
            <w:noProof/>
            <w:webHidden/>
          </w:rPr>
          <w:t>3</w:t>
        </w:r>
        <w:r>
          <w:rPr>
            <w:noProof/>
            <w:webHidden/>
          </w:rPr>
          <w:fldChar w:fldCharType="end"/>
        </w:r>
      </w:hyperlink>
    </w:p>
    <w:p w14:paraId="25A16C2D" w14:textId="77777777" w:rsidR="00DB16C3" w:rsidRDefault="003C418F">
      <w:pPr>
        <w:pStyle w:val="TOC1"/>
        <w:tabs>
          <w:tab w:val="left" w:pos="660"/>
        </w:tabs>
        <w:rPr>
          <w:rFonts w:asciiTheme="minorHAnsi" w:eastAsiaTheme="minorEastAsia" w:hAnsiTheme="minorHAnsi" w:cstheme="minorBidi"/>
          <w:b w:val="0"/>
          <w:noProof/>
          <w:color w:val="auto"/>
          <w:sz w:val="22"/>
          <w:szCs w:val="22"/>
          <w:lang w:eastAsia="en-AU"/>
        </w:rPr>
      </w:pPr>
      <w:hyperlink w:anchor="_Toc62635433" w:history="1">
        <w:r w:rsidR="00DB16C3" w:rsidRPr="00F73E0E">
          <w:rPr>
            <w:rStyle w:val="Hyperlink"/>
            <w:noProof/>
          </w:rPr>
          <w:t>2.</w:t>
        </w:r>
        <w:r w:rsidR="00DB16C3">
          <w:rPr>
            <w:rFonts w:asciiTheme="minorHAnsi" w:eastAsiaTheme="minorEastAsia" w:hAnsiTheme="minorHAnsi" w:cstheme="minorBidi"/>
            <w:b w:val="0"/>
            <w:noProof/>
            <w:color w:val="auto"/>
            <w:sz w:val="22"/>
            <w:szCs w:val="22"/>
            <w:lang w:eastAsia="en-AU"/>
          </w:rPr>
          <w:tab/>
        </w:r>
        <w:r w:rsidR="00DB16C3" w:rsidRPr="00F73E0E">
          <w:rPr>
            <w:rStyle w:val="Hyperlink"/>
            <w:noProof/>
          </w:rPr>
          <w:t>Measuring Australia’s space sector</w:t>
        </w:r>
        <w:r w:rsidR="00DB16C3">
          <w:rPr>
            <w:noProof/>
            <w:webHidden/>
          </w:rPr>
          <w:tab/>
        </w:r>
        <w:r w:rsidR="00DB16C3">
          <w:rPr>
            <w:noProof/>
            <w:webHidden/>
          </w:rPr>
          <w:fldChar w:fldCharType="begin"/>
        </w:r>
        <w:r w:rsidR="00DB16C3">
          <w:rPr>
            <w:noProof/>
            <w:webHidden/>
          </w:rPr>
          <w:instrText xml:space="preserve"> PAGEREF _Toc62635433 \h </w:instrText>
        </w:r>
        <w:r w:rsidR="00DB16C3">
          <w:rPr>
            <w:noProof/>
            <w:webHidden/>
          </w:rPr>
        </w:r>
        <w:r w:rsidR="00DB16C3">
          <w:rPr>
            <w:noProof/>
            <w:webHidden/>
          </w:rPr>
          <w:fldChar w:fldCharType="separate"/>
        </w:r>
        <w:r>
          <w:rPr>
            <w:noProof/>
            <w:webHidden/>
          </w:rPr>
          <w:t>5</w:t>
        </w:r>
        <w:r w:rsidR="00DB16C3">
          <w:rPr>
            <w:noProof/>
            <w:webHidden/>
          </w:rPr>
          <w:fldChar w:fldCharType="end"/>
        </w:r>
      </w:hyperlink>
    </w:p>
    <w:p w14:paraId="3CBFCE1E"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34" w:history="1">
        <w:r w:rsidR="00DB16C3" w:rsidRPr="00F73E0E">
          <w:rPr>
            <w:rStyle w:val="Hyperlink"/>
            <w:noProof/>
          </w:rPr>
          <w:t>2.1</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Defining the sector and value chain</w:t>
        </w:r>
        <w:r w:rsidR="00DB16C3">
          <w:rPr>
            <w:noProof/>
            <w:webHidden/>
          </w:rPr>
          <w:tab/>
        </w:r>
        <w:r w:rsidR="00DB16C3">
          <w:rPr>
            <w:noProof/>
            <w:webHidden/>
          </w:rPr>
          <w:fldChar w:fldCharType="begin"/>
        </w:r>
        <w:r w:rsidR="00DB16C3">
          <w:rPr>
            <w:noProof/>
            <w:webHidden/>
          </w:rPr>
          <w:instrText xml:space="preserve"> PAGEREF _Toc62635434 \h </w:instrText>
        </w:r>
        <w:r w:rsidR="00DB16C3">
          <w:rPr>
            <w:noProof/>
            <w:webHidden/>
          </w:rPr>
        </w:r>
        <w:r w:rsidR="00DB16C3">
          <w:rPr>
            <w:noProof/>
            <w:webHidden/>
          </w:rPr>
          <w:fldChar w:fldCharType="separate"/>
        </w:r>
        <w:r>
          <w:rPr>
            <w:noProof/>
            <w:webHidden/>
          </w:rPr>
          <w:t>5</w:t>
        </w:r>
        <w:r w:rsidR="00DB16C3">
          <w:rPr>
            <w:noProof/>
            <w:webHidden/>
          </w:rPr>
          <w:fldChar w:fldCharType="end"/>
        </w:r>
      </w:hyperlink>
    </w:p>
    <w:p w14:paraId="25533196"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35" w:history="1">
        <w:r w:rsidR="00DB16C3" w:rsidRPr="00F73E0E">
          <w:rPr>
            <w:rStyle w:val="Hyperlink"/>
            <w:noProof/>
          </w:rPr>
          <w:t>2.2</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Defining the space economy</w:t>
        </w:r>
        <w:r w:rsidR="00DB16C3">
          <w:rPr>
            <w:noProof/>
            <w:webHidden/>
          </w:rPr>
          <w:tab/>
        </w:r>
        <w:r w:rsidR="00DB16C3">
          <w:rPr>
            <w:noProof/>
            <w:webHidden/>
          </w:rPr>
          <w:fldChar w:fldCharType="begin"/>
        </w:r>
        <w:r w:rsidR="00DB16C3">
          <w:rPr>
            <w:noProof/>
            <w:webHidden/>
          </w:rPr>
          <w:instrText xml:space="preserve"> PAGEREF _Toc62635435 \h </w:instrText>
        </w:r>
        <w:r w:rsidR="00DB16C3">
          <w:rPr>
            <w:noProof/>
            <w:webHidden/>
          </w:rPr>
        </w:r>
        <w:r w:rsidR="00DB16C3">
          <w:rPr>
            <w:noProof/>
            <w:webHidden/>
          </w:rPr>
          <w:fldChar w:fldCharType="separate"/>
        </w:r>
        <w:r>
          <w:rPr>
            <w:noProof/>
            <w:webHidden/>
          </w:rPr>
          <w:t>7</w:t>
        </w:r>
        <w:r w:rsidR="00DB16C3">
          <w:rPr>
            <w:noProof/>
            <w:webHidden/>
          </w:rPr>
          <w:fldChar w:fldCharType="end"/>
        </w:r>
      </w:hyperlink>
    </w:p>
    <w:p w14:paraId="03A2156C"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36" w:history="1">
        <w:r w:rsidR="00DB16C3" w:rsidRPr="00F73E0E">
          <w:rPr>
            <w:rStyle w:val="Hyperlink"/>
            <w:noProof/>
          </w:rPr>
          <w:t>2.3</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Key indicators</w:t>
        </w:r>
        <w:r w:rsidR="00DB16C3">
          <w:rPr>
            <w:noProof/>
            <w:webHidden/>
          </w:rPr>
          <w:tab/>
        </w:r>
        <w:r w:rsidR="00DB16C3">
          <w:rPr>
            <w:noProof/>
            <w:webHidden/>
          </w:rPr>
          <w:fldChar w:fldCharType="begin"/>
        </w:r>
        <w:r w:rsidR="00DB16C3">
          <w:rPr>
            <w:noProof/>
            <w:webHidden/>
          </w:rPr>
          <w:instrText xml:space="preserve"> PAGEREF _Toc62635436 \h </w:instrText>
        </w:r>
        <w:r w:rsidR="00DB16C3">
          <w:rPr>
            <w:noProof/>
            <w:webHidden/>
          </w:rPr>
        </w:r>
        <w:r w:rsidR="00DB16C3">
          <w:rPr>
            <w:noProof/>
            <w:webHidden/>
          </w:rPr>
          <w:fldChar w:fldCharType="separate"/>
        </w:r>
        <w:r>
          <w:rPr>
            <w:noProof/>
            <w:webHidden/>
          </w:rPr>
          <w:t>7</w:t>
        </w:r>
        <w:r w:rsidR="00DB16C3">
          <w:rPr>
            <w:noProof/>
            <w:webHidden/>
          </w:rPr>
          <w:fldChar w:fldCharType="end"/>
        </w:r>
      </w:hyperlink>
    </w:p>
    <w:p w14:paraId="7C1C801C"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37" w:history="1">
        <w:r w:rsidR="00DB16C3" w:rsidRPr="00F73E0E">
          <w:rPr>
            <w:rStyle w:val="Hyperlink"/>
            <w:noProof/>
          </w:rPr>
          <w:t>2.4</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Ongoing measurement</w:t>
        </w:r>
        <w:r w:rsidR="00DB16C3">
          <w:rPr>
            <w:noProof/>
            <w:webHidden/>
          </w:rPr>
          <w:tab/>
        </w:r>
        <w:r w:rsidR="00DB16C3">
          <w:rPr>
            <w:noProof/>
            <w:webHidden/>
          </w:rPr>
          <w:fldChar w:fldCharType="begin"/>
        </w:r>
        <w:r w:rsidR="00DB16C3">
          <w:rPr>
            <w:noProof/>
            <w:webHidden/>
          </w:rPr>
          <w:instrText xml:space="preserve"> PAGEREF _Toc62635437 \h </w:instrText>
        </w:r>
        <w:r w:rsidR="00DB16C3">
          <w:rPr>
            <w:noProof/>
            <w:webHidden/>
          </w:rPr>
        </w:r>
        <w:r w:rsidR="00DB16C3">
          <w:rPr>
            <w:noProof/>
            <w:webHidden/>
          </w:rPr>
          <w:fldChar w:fldCharType="separate"/>
        </w:r>
        <w:r>
          <w:rPr>
            <w:noProof/>
            <w:webHidden/>
          </w:rPr>
          <w:t>8</w:t>
        </w:r>
        <w:r w:rsidR="00DB16C3">
          <w:rPr>
            <w:noProof/>
            <w:webHidden/>
          </w:rPr>
          <w:fldChar w:fldCharType="end"/>
        </w:r>
      </w:hyperlink>
    </w:p>
    <w:p w14:paraId="6C6BB4FF" w14:textId="77777777" w:rsidR="00DB16C3" w:rsidRDefault="003C418F">
      <w:pPr>
        <w:pStyle w:val="TOC1"/>
        <w:tabs>
          <w:tab w:val="left" w:pos="660"/>
        </w:tabs>
        <w:rPr>
          <w:rFonts w:asciiTheme="minorHAnsi" w:eastAsiaTheme="minorEastAsia" w:hAnsiTheme="minorHAnsi" w:cstheme="minorBidi"/>
          <w:b w:val="0"/>
          <w:noProof/>
          <w:color w:val="auto"/>
          <w:sz w:val="22"/>
          <w:szCs w:val="22"/>
          <w:lang w:eastAsia="en-AU"/>
        </w:rPr>
      </w:pPr>
      <w:hyperlink w:anchor="_Toc62635438" w:history="1">
        <w:r w:rsidR="00DB16C3" w:rsidRPr="00F73E0E">
          <w:rPr>
            <w:rStyle w:val="Hyperlink"/>
            <w:noProof/>
          </w:rPr>
          <w:t>3.</w:t>
        </w:r>
        <w:r w:rsidR="00DB16C3">
          <w:rPr>
            <w:rFonts w:asciiTheme="minorHAnsi" w:eastAsiaTheme="minorEastAsia" w:hAnsiTheme="minorHAnsi" w:cstheme="minorBidi"/>
            <w:b w:val="0"/>
            <w:noProof/>
            <w:color w:val="auto"/>
            <w:sz w:val="22"/>
            <w:szCs w:val="22"/>
            <w:lang w:eastAsia="en-AU"/>
          </w:rPr>
          <w:tab/>
        </w:r>
        <w:r w:rsidR="00DB16C3" w:rsidRPr="00F73E0E">
          <w:rPr>
            <w:rStyle w:val="Hyperlink"/>
            <w:noProof/>
          </w:rPr>
          <w:t>Australia’s space sector in 2016-17</w:t>
        </w:r>
        <w:r w:rsidR="00DB16C3">
          <w:rPr>
            <w:noProof/>
            <w:webHidden/>
          </w:rPr>
          <w:tab/>
        </w:r>
        <w:r w:rsidR="00DB16C3">
          <w:rPr>
            <w:noProof/>
            <w:webHidden/>
          </w:rPr>
          <w:fldChar w:fldCharType="begin"/>
        </w:r>
        <w:r w:rsidR="00DB16C3">
          <w:rPr>
            <w:noProof/>
            <w:webHidden/>
          </w:rPr>
          <w:instrText xml:space="preserve"> PAGEREF _Toc62635438 \h </w:instrText>
        </w:r>
        <w:r w:rsidR="00DB16C3">
          <w:rPr>
            <w:noProof/>
            <w:webHidden/>
          </w:rPr>
        </w:r>
        <w:r w:rsidR="00DB16C3">
          <w:rPr>
            <w:noProof/>
            <w:webHidden/>
          </w:rPr>
          <w:fldChar w:fldCharType="separate"/>
        </w:r>
        <w:r>
          <w:rPr>
            <w:noProof/>
            <w:webHidden/>
          </w:rPr>
          <w:t>9</w:t>
        </w:r>
        <w:r w:rsidR="00DB16C3">
          <w:rPr>
            <w:noProof/>
            <w:webHidden/>
          </w:rPr>
          <w:fldChar w:fldCharType="end"/>
        </w:r>
      </w:hyperlink>
    </w:p>
    <w:p w14:paraId="7B0B7A2B" w14:textId="77777777" w:rsidR="00DB16C3" w:rsidRDefault="003C418F">
      <w:pPr>
        <w:pStyle w:val="TOC1"/>
        <w:tabs>
          <w:tab w:val="left" w:pos="660"/>
        </w:tabs>
        <w:rPr>
          <w:rFonts w:asciiTheme="minorHAnsi" w:eastAsiaTheme="minorEastAsia" w:hAnsiTheme="minorHAnsi" w:cstheme="minorBidi"/>
          <w:b w:val="0"/>
          <w:noProof/>
          <w:color w:val="auto"/>
          <w:sz w:val="22"/>
          <w:szCs w:val="22"/>
          <w:lang w:eastAsia="en-AU"/>
        </w:rPr>
      </w:pPr>
      <w:hyperlink w:anchor="_Toc62635439" w:history="1">
        <w:r w:rsidR="00DB16C3" w:rsidRPr="00F73E0E">
          <w:rPr>
            <w:rStyle w:val="Hyperlink"/>
            <w:noProof/>
          </w:rPr>
          <w:t>4.</w:t>
        </w:r>
        <w:r w:rsidR="00DB16C3">
          <w:rPr>
            <w:rFonts w:asciiTheme="minorHAnsi" w:eastAsiaTheme="minorEastAsia" w:hAnsiTheme="minorHAnsi" w:cstheme="minorBidi"/>
            <w:b w:val="0"/>
            <w:noProof/>
            <w:color w:val="auto"/>
            <w:sz w:val="22"/>
            <w:szCs w:val="22"/>
            <w:lang w:eastAsia="en-AU"/>
          </w:rPr>
          <w:tab/>
        </w:r>
        <w:r w:rsidR="00DB16C3" w:rsidRPr="00F73E0E">
          <w:rPr>
            <w:rStyle w:val="Hyperlink"/>
            <w:noProof/>
          </w:rPr>
          <w:t>Australia’s space sector in 2018-19</w:t>
        </w:r>
        <w:r w:rsidR="00DB16C3">
          <w:rPr>
            <w:noProof/>
            <w:webHidden/>
          </w:rPr>
          <w:tab/>
        </w:r>
        <w:r w:rsidR="00DB16C3">
          <w:rPr>
            <w:noProof/>
            <w:webHidden/>
          </w:rPr>
          <w:fldChar w:fldCharType="begin"/>
        </w:r>
        <w:r w:rsidR="00DB16C3">
          <w:rPr>
            <w:noProof/>
            <w:webHidden/>
          </w:rPr>
          <w:instrText xml:space="preserve"> PAGEREF _Toc62635439 \h </w:instrText>
        </w:r>
        <w:r w:rsidR="00DB16C3">
          <w:rPr>
            <w:noProof/>
            <w:webHidden/>
          </w:rPr>
        </w:r>
        <w:r w:rsidR="00DB16C3">
          <w:rPr>
            <w:noProof/>
            <w:webHidden/>
          </w:rPr>
          <w:fldChar w:fldCharType="separate"/>
        </w:r>
        <w:r>
          <w:rPr>
            <w:noProof/>
            <w:webHidden/>
          </w:rPr>
          <w:t>10</w:t>
        </w:r>
        <w:r w:rsidR="00DB16C3">
          <w:rPr>
            <w:noProof/>
            <w:webHidden/>
          </w:rPr>
          <w:fldChar w:fldCharType="end"/>
        </w:r>
      </w:hyperlink>
    </w:p>
    <w:p w14:paraId="025AB43E"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0" w:history="1">
        <w:r w:rsidR="00DB16C3" w:rsidRPr="00F73E0E">
          <w:rPr>
            <w:rStyle w:val="Hyperlink"/>
            <w:noProof/>
          </w:rPr>
          <w:t>4.1</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Sector activities and organisations</w:t>
        </w:r>
        <w:r w:rsidR="00DB16C3">
          <w:rPr>
            <w:noProof/>
            <w:webHidden/>
          </w:rPr>
          <w:tab/>
        </w:r>
        <w:r w:rsidR="00DB16C3">
          <w:rPr>
            <w:noProof/>
            <w:webHidden/>
          </w:rPr>
          <w:fldChar w:fldCharType="begin"/>
        </w:r>
        <w:r w:rsidR="00DB16C3">
          <w:rPr>
            <w:noProof/>
            <w:webHidden/>
          </w:rPr>
          <w:instrText xml:space="preserve"> PAGEREF _Toc62635440 \h </w:instrText>
        </w:r>
        <w:r w:rsidR="00DB16C3">
          <w:rPr>
            <w:noProof/>
            <w:webHidden/>
          </w:rPr>
        </w:r>
        <w:r w:rsidR="00DB16C3">
          <w:rPr>
            <w:noProof/>
            <w:webHidden/>
          </w:rPr>
          <w:fldChar w:fldCharType="separate"/>
        </w:r>
        <w:r>
          <w:rPr>
            <w:noProof/>
            <w:webHidden/>
          </w:rPr>
          <w:t>12</w:t>
        </w:r>
        <w:r w:rsidR="00DB16C3">
          <w:rPr>
            <w:noProof/>
            <w:webHidden/>
          </w:rPr>
          <w:fldChar w:fldCharType="end"/>
        </w:r>
      </w:hyperlink>
    </w:p>
    <w:p w14:paraId="6CC1624C"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1" w:history="1">
        <w:r w:rsidR="00DB16C3" w:rsidRPr="00F73E0E">
          <w:rPr>
            <w:rStyle w:val="Hyperlink"/>
            <w:noProof/>
          </w:rPr>
          <w:t>4.2</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Sector employment</w:t>
        </w:r>
        <w:r w:rsidR="00DB16C3">
          <w:rPr>
            <w:noProof/>
            <w:webHidden/>
          </w:rPr>
          <w:tab/>
        </w:r>
        <w:r w:rsidR="00DB16C3">
          <w:rPr>
            <w:noProof/>
            <w:webHidden/>
          </w:rPr>
          <w:fldChar w:fldCharType="begin"/>
        </w:r>
        <w:r w:rsidR="00DB16C3">
          <w:rPr>
            <w:noProof/>
            <w:webHidden/>
          </w:rPr>
          <w:instrText xml:space="preserve"> PAGEREF _Toc62635441 \h </w:instrText>
        </w:r>
        <w:r w:rsidR="00DB16C3">
          <w:rPr>
            <w:noProof/>
            <w:webHidden/>
          </w:rPr>
        </w:r>
        <w:r w:rsidR="00DB16C3">
          <w:rPr>
            <w:noProof/>
            <w:webHidden/>
          </w:rPr>
          <w:fldChar w:fldCharType="separate"/>
        </w:r>
        <w:r>
          <w:rPr>
            <w:noProof/>
            <w:webHidden/>
          </w:rPr>
          <w:t>14</w:t>
        </w:r>
        <w:r w:rsidR="00DB16C3">
          <w:rPr>
            <w:noProof/>
            <w:webHidden/>
          </w:rPr>
          <w:fldChar w:fldCharType="end"/>
        </w:r>
      </w:hyperlink>
    </w:p>
    <w:p w14:paraId="51E4EB28"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2" w:history="1">
        <w:r w:rsidR="00DB16C3" w:rsidRPr="00F73E0E">
          <w:rPr>
            <w:rStyle w:val="Hyperlink"/>
            <w:noProof/>
          </w:rPr>
          <w:t>4.3</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Sector revenue (value)</w:t>
        </w:r>
        <w:r w:rsidR="00DB16C3">
          <w:rPr>
            <w:noProof/>
            <w:webHidden/>
          </w:rPr>
          <w:tab/>
        </w:r>
        <w:r w:rsidR="00DB16C3">
          <w:rPr>
            <w:noProof/>
            <w:webHidden/>
          </w:rPr>
          <w:fldChar w:fldCharType="begin"/>
        </w:r>
        <w:r w:rsidR="00DB16C3">
          <w:rPr>
            <w:noProof/>
            <w:webHidden/>
          </w:rPr>
          <w:instrText xml:space="preserve"> PAGEREF _Toc62635442 \h </w:instrText>
        </w:r>
        <w:r w:rsidR="00DB16C3">
          <w:rPr>
            <w:noProof/>
            <w:webHidden/>
          </w:rPr>
        </w:r>
        <w:r w:rsidR="00DB16C3">
          <w:rPr>
            <w:noProof/>
            <w:webHidden/>
          </w:rPr>
          <w:fldChar w:fldCharType="separate"/>
        </w:r>
        <w:r>
          <w:rPr>
            <w:noProof/>
            <w:webHidden/>
          </w:rPr>
          <w:t>15</w:t>
        </w:r>
        <w:r w:rsidR="00DB16C3">
          <w:rPr>
            <w:noProof/>
            <w:webHidden/>
          </w:rPr>
          <w:fldChar w:fldCharType="end"/>
        </w:r>
      </w:hyperlink>
    </w:p>
    <w:p w14:paraId="561E3D83"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3" w:history="1">
        <w:r w:rsidR="00DB16C3" w:rsidRPr="00F73E0E">
          <w:rPr>
            <w:rStyle w:val="Hyperlink"/>
            <w:noProof/>
          </w:rPr>
          <w:t>4.4</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Spillover benefits</w:t>
        </w:r>
        <w:r w:rsidR="00DB16C3">
          <w:rPr>
            <w:noProof/>
            <w:webHidden/>
          </w:rPr>
          <w:tab/>
        </w:r>
        <w:r w:rsidR="00DB16C3">
          <w:rPr>
            <w:noProof/>
            <w:webHidden/>
          </w:rPr>
          <w:fldChar w:fldCharType="begin"/>
        </w:r>
        <w:r w:rsidR="00DB16C3">
          <w:rPr>
            <w:noProof/>
            <w:webHidden/>
          </w:rPr>
          <w:instrText xml:space="preserve"> PAGEREF _Toc62635443 \h </w:instrText>
        </w:r>
        <w:r w:rsidR="00DB16C3">
          <w:rPr>
            <w:noProof/>
            <w:webHidden/>
          </w:rPr>
        </w:r>
        <w:r w:rsidR="00DB16C3">
          <w:rPr>
            <w:noProof/>
            <w:webHidden/>
          </w:rPr>
          <w:fldChar w:fldCharType="separate"/>
        </w:r>
        <w:r>
          <w:rPr>
            <w:noProof/>
            <w:webHidden/>
          </w:rPr>
          <w:t>17</w:t>
        </w:r>
        <w:r w:rsidR="00DB16C3">
          <w:rPr>
            <w:noProof/>
            <w:webHidden/>
          </w:rPr>
          <w:fldChar w:fldCharType="end"/>
        </w:r>
      </w:hyperlink>
    </w:p>
    <w:p w14:paraId="612ABE94" w14:textId="77777777" w:rsidR="00DB16C3" w:rsidRDefault="003C418F">
      <w:pPr>
        <w:pStyle w:val="TOC1"/>
        <w:tabs>
          <w:tab w:val="left" w:pos="660"/>
        </w:tabs>
        <w:rPr>
          <w:rFonts w:asciiTheme="minorHAnsi" w:eastAsiaTheme="minorEastAsia" w:hAnsiTheme="minorHAnsi" w:cstheme="minorBidi"/>
          <w:b w:val="0"/>
          <w:noProof/>
          <w:color w:val="auto"/>
          <w:sz w:val="22"/>
          <w:szCs w:val="22"/>
          <w:lang w:eastAsia="en-AU"/>
        </w:rPr>
      </w:pPr>
      <w:hyperlink w:anchor="_Toc62635444" w:history="1">
        <w:r w:rsidR="00DB16C3" w:rsidRPr="00F73E0E">
          <w:rPr>
            <w:rStyle w:val="Hyperlink"/>
            <w:noProof/>
          </w:rPr>
          <w:t>5.</w:t>
        </w:r>
        <w:r w:rsidR="00DB16C3">
          <w:rPr>
            <w:rFonts w:asciiTheme="minorHAnsi" w:eastAsiaTheme="minorEastAsia" w:hAnsiTheme="minorHAnsi" w:cstheme="minorBidi"/>
            <w:b w:val="0"/>
            <w:noProof/>
            <w:color w:val="auto"/>
            <w:sz w:val="22"/>
            <w:szCs w:val="22"/>
            <w:lang w:eastAsia="en-AU"/>
          </w:rPr>
          <w:tab/>
        </w:r>
        <w:r w:rsidR="00DB16C3" w:rsidRPr="00F73E0E">
          <w:rPr>
            <w:rStyle w:val="Hyperlink"/>
            <w:noProof/>
          </w:rPr>
          <w:t>Looking forward</w:t>
        </w:r>
        <w:r w:rsidR="00DB16C3">
          <w:rPr>
            <w:noProof/>
            <w:webHidden/>
          </w:rPr>
          <w:tab/>
        </w:r>
        <w:r w:rsidR="00DB16C3">
          <w:rPr>
            <w:noProof/>
            <w:webHidden/>
          </w:rPr>
          <w:fldChar w:fldCharType="begin"/>
        </w:r>
        <w:r w:rsidR="00DB16C3">
          <w:rPr>
            <w:noProof/>
            <w:webHidden/>
          </w:rPr>
          <w:instrText xml:space="preserve"> PAGEREF _Toc62635444 \h </w:instrText>
        </w:r>
        <w:r w:rsidR="00DB16C3">
          <w:rPr>
            <w:noProof/>
            <w:webHidden/>
          </w:rPr>
        </w:r>
        <w:r w:rsidR="00DB16C3">
          <w:rPr>
            <w:noProof/>
            <w:webHidden/>
          </w:rPr>
          <w:fldChar w:fldCharType="separate"/>
        </w:r>
        <w:r>
          <w:rPr>
            <w:noProof/>
            <w:webHidden/>
          </w:rPr>
          <w:t>18</w:t>
        </w:r>
        <w:r w:rsidR="00DB16C3">
          <w:rPr>
            <w:noProof/>
            <w:webHidden/>
          </w:rPr>
          <w:fldChar w:fldCharType="end"/>
        </w:r>
      </w:hyperlink>
    </w:p>
    <w:p w14:paraId="3FDE1480"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5" w:history="1">
        <w:r w:rsidR="00DB16C3" w:rsidRPr="00F73E0E">
          <w:rPr>
            <w:rStyle w:val="Hyperlink"/>
            <w:noProof/>
          </w:rPr>
          <w:t>5.1</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Investment pipeline</w:t>
        </w:r>
        <w:r w:rsidR="00DB16C3">
          <w:rPr>
            <w:noProof/>
            <w:webHidden/>
          </w:rPr>
          <w:tab/>
        </w:r>
        <w:r w:rsidR="00DB16C3">
          <w:rPr>
            <w:noProof/>
            <w:webHidden/>
          </w:rPr>
          <w:fldChar w:fldCharType="begin"/>
        </w:r>
        <w:r w:rsidR="00DB16C3">
          <w:rPr>
            <w:noProof/>
            <w:webHidden/>
          </w:rPr>
          <w:instrText xml:space="preserve"> PAGEREF _Toc62635445 \h </w:instrText>
        </w:r>
        <w:r w:rsidR="00DB16C3">
          <w:rPr>
            <w:noProof/>
            <w:webHidden/>
          </w:rPr>
        </w:r>
        <w:r w:rsidR="00DB16C3">
          <w:rPr>
            <w:noProof/>
            <w:webHidden/>
          </w:rPr>
          <w:fldChar w:fldCharType="separate"/>
        </w:r>
        <w:r>
          <w:rPr>
            <w:noProof/>
            <w:webHidden/>
          </w:rPr>
          <w:t>18</w:t>
        </w:r>
        <w:r w:rsidR="00DB16C3">
          <w:rPr>
            <w:noProof/>
            <w:webHidden/>
          </w:rPr>
          <w:fldChar w:fldCharType="end"/>
        </w:r>
      </w:hyperlink>
    </w:p>
    <w:p w14:paraId="45C53915" w14:textId="77777777" w:rsidR="00DB16C3" w:rsidRDefault="003C418F">
      <w:pPr>
        <w:pStyle w:val="TOC2"/>
        <w:tabs>
          <w:tab w:val="left" w:pos="800"/>
        </w:tabs>
        <w:rPr>
          <w:rFonts w:asciiTheme="minorHAnsi" w:eastAsiaTheme="minorEastAsia" w:hAnsiTheme="minorHAnsi" w:cstheme="minorBidi"/>
          <w:noProof/>
          <w:color w:val="auto"/>
          <w:sz w:val="22"/>
          <w:szCs w:val="22"/>
          <w:lang w:eastAsia="en-AU"/>
        </w:rPr>
      </w:pPr>
      <w:hyperlink w:anchor="_Toc62635446" w:history="1">
        <w:r w:rsidR="00DB16C3" w:rsidRPr="00F73E0E">
          <w:rPr>
            <w:rStyle w:val="Hyperlink"/>
            <w:noProof/>
          </w:rPr>
          <w:t>5.2</w:t>
        </w:r>
        <w:r w:rsidR="00DB16C3">
          <w:rPr>
            <w:rFonts w:asciiTheme="minorHAnsi" w:eastAsiaTheme="minorEastAsia" w:hAnsiTheme="minorHAnsi" w:cstheme="minorBidi"/>
            <w:noProof/>
            <w:color w:val="auto"/>
            <w:sz w:val="22"/>
            <w:szCs w:val="22"/>
            <w:lang w:eastAsia="en-AU"/>
          </w:rPr>
          <w:tab/>
        </w:r>
        <w:r w:rsidR="00DB16C3" w:rsidRPr="00F73E0E">
          <w:rPr>
            <w:rStyle w:val="Hyperlink"/>
            <w:noProof/>
          </w:rPr>
          <w:t>Impacts of COVID-19</w:t>
        </w:r>
        <w:r w:rsidR="00DB16C3">
          <w:rPr>
            <w:noProof/>
            <w:webHidden/>
          </w:rPr>
          <w:tab/>
        </w:r>
        <w:r w:rsidR="00DB16C3">
          <w:rPr>
            <w:noProof/>
            <w:webHidden/>
          </w:rPr>
          <w:fldChar w:fldCharType="begin"/>
        </w:r>
        <w:r w:rsidR="00DB16C3">
          <w:rPr>
            <w:noProof/>
            <w:webHidden/>
          </w:rPr>
          <w:instrText xml:space="preserve"> PAGEREF _Toc62635446 \h </w:instrText>
        </w:r>
        <w:r w:rsidR="00DB16C3">
          <w:rPr>
            <w:noProof/>
            <w:webHidden/>
          </w:rPr>
        </w:r>
        <w:r w:rsidR="00DB16C3">
          <w:rPr>
            <w:noProof/>
            <w:webHidden/>
          </w:rPr>
          <w:fldChar w:fldCharType="separate"/>
        </w:r>
        <w:r>
          <w:rPr>
            <w:noProof/>
            <w:webHidden/>
          </w:rPr>
          <w:t>21</w:t>
        </w:r>
        <w:r w:rsidR="00DB16C3">
          <w:rPr>
            <w:noProof/>
            <w:webHidden/>
          </w:rPr>
          <w:fldChar w:fldCharType="end"/>
        </w:r>
      </w:hyperlink>
    </w:p>
    <w:p w14:paraId="3A2BB884" w14:textId="77777777" w:rsidR="00DB16C3" w:rsidRDefault="003C418F">
      <w:pPr>
        <w:pStyle w:val="TOC1"/>
        <w:rPr>
          <w:rFonts w:asciiTheme="minorHAnsi" w:eastAsiaTheme="minorEastAsia" w:hAnsiTheme="minorHAnsi" w:cstheme="minorBidi"/>
          <w:b w:val="0"/>
          <w:noProof/>
          <w:color w:val="auto"/>
          <w:sz w:val="22"/>
          <w:szCs w:val="22"/>
          <w:lang w:eastAsia="en-AU"/>
        </w:rPr>
      </w:pPr>
      <w:hyperlink w:anchor="_Toc62635447" w:history="1">
        <w:r w:rsidR="00DB16C3" w:rsidRPr="00F73E0E">
          <w:rPr>
            <w:rStyle w:val="Hyperlink"/>
            <w:noProof/>
          </w:rPr>
          <w:t>Appendix A – Methodology and data</w:t>
        </w:r>
        <w:r w:rsidR="00DB16C3">
          <w:rPr>
            <w:noProof/>
            <w:webHidden/>
          </w:rPr>
          <w:tab/>
        </w:r>
        <w:r w:rsidR="00DB16C3">
          <w:rPr>
            <w:noProof/>
            <w:webHidden/>
          </w:rPr>
          <w:fldChar w:fldCharType="begin"/>
        </w:r>
        <w:r w:rsidR="00DB16C3">
          <w:rPr>
            <w:noProof/>
            <w:webHidden/>
          </w:rPr>
          <w:instrText xml:space="preserve"> PAGEREF _Toc62635447 \h </w:instrText>
        </w:r>
        <w:r w:rsidR="00DB16C3">
          <w:rPr>
            <w:noProof/>
            <w:webHidden/>
          </w:rPr>
        </w:r>
        <w:r w:rsidR="00DB16C3">
          <w:rPr>
            <w:noProof/>
            <w:webHidden/>
          </w:rPr>
          <w:fldChar w:fldCharType="separate"/>
        </w:r>
        <w:r>
          <w:rPr>
            <w:noProof/>
            <w:webHidden/>
          </w:rPr>
          <w:t>23</w:t>
        </w:r>
        <w:r w:rsidR="00DB16C3">
          <w:rPr>
            <w:noProof/>
            <w:webHidden/>
          </w:rPr>
          <w:fldChar w:fldCharType="end"/>
        </w:r>
      </w:hyperlink>
    </w:p>
    <w:p w14:paraId="3A526A48" w14:textId="77777777" w:rsidR="00DB16C3" w:rsidRDefault="003C418F">
      <w:pPr>
        <w:pStyle w:val="TOC2"/>
        <w:rPr>
          <w:rFonts w:asciiTheme="minorHAnsi" w:eastAsiaTheme="minorEastAsia" w:hAnsiTheme="minorHAnsi" w:cstheme="minorBidi"/>
          <w:noProof/>
          <w:color w:val="auto"/>
          <w:sz w:val="22"/>
          <w:szCs w:val="22"/>
          <w:lang w:eastAsia="en-AU"/>
        </w:rPr>
      </w:pPr>
      <w:hyperlink w:anchor="_Toc62635448" w:history="1">
        <w:r w:rsidR="00DB16C3" w:rsidRPr="00F73E0E">
          <w:rPr>
            <w:rStyle w:val="Hyperlink"/>
            <w:noProof/>
          </w:rPr>
          <w:t>Methodology</w:t>
        </w:r>
        <w:r w:rsidR="00DB16C3">
          <w:rPr>
            <w:noProof/>
            <w:webHidden/>
          </w:rPr>
          <w:tab/>
        </w:r>
        <w:r w:rsidR="00DB16C3">
          <w:rPr>
            <w:noProof/>
            <w:webHidden/>
          </w:rPr>
          <w:fldChar w:fldCharType="begin"/>
        </w:r>
        <w:r w:rsidR="00DB16C3">
          <w:rPr>
            <w:noProof/>
            <w:webHidden/>
          </w:rPr>
          <w:instrText xml:space="preserve"> PAGEREF _Toc62635448 \h </w:instrText>
        </w:r>
        <w:r w:rsidR="00DB16C3">
          <w:rPr>
            <w:noProof/>
            <w:webHidden/>
          </w:rPr>
        </w:r>
        <w:r w:rsidR="00DB16C3">
          <w:rPr>
            <w:noProof/>
            <w:webHidden/>
          </w:rPr>
          <w:fldChar w:fldCharType="separate"/>
        </w:r>
        <w:r>
          <w:rPr>
            <w:noProof/>
            <w:webHidden/>
          </w:rPr>
          <w:t>23</w:t>
        </w:r>
        <w:r w:rsidR="00DB16C3">
          <w:rPr>
            <w:noProof/>
            <w:webHidden/>
          </w:rPr>
          <w:fldChar w:fldCharType="end"/>
        </w:r>
      </w:hyperlink>
    </w:p>
    <w:p w14:paraId="06C42D31" w14:textId="77777777" w:rsidR="00DB16C3" w:rsidRDefault="003C418F">
      <w:pPr>
        <w:pStyle w:val="TOC2"/>
        <w:rPr>
          <w:rFonts w:asciiTheme="minorHAnsi" w:eastAsiaTheme="minorEastAsia" w:hAnsiTheme="minorHAnsi" w:cstheme="minorBidi"/>
          <w:noProof/>
          <w:color w:val="auto"/>
          <w:sz w:val="22"/>
          <w:szCs w:val="22"/>
          <w:lang w:eastAsia="en-AU"/>
        </w:rPr>
      </w:pPr>
      <w:hyperlink w:anchor="_Toc62635449" w:history="1">
        <w:r w:rsidR="00DB16C3" w:rsidRPr="00F73E0E">
          <w:rPr>
            <w:rStyle w:val="Hyperlink"/>
            <w:noProof/>
          </w:rPr>
          <w:t>Data</w:t>
        </w:r>
        <w:r w:rsidR="00DB16C3">
          <w:rPr>
            <w:noProof/>
            <w:webHidden/>
          </w:rPr>
          <w:tab/>
        </w:r>
        <w:r w:rsidR="00DB16C3">
          <w:rPr>
            <w:noProof/>
            <w:webHidden/>
          </w:rPr>
          <w:fldChar w:fldCharType="begin"/>
        </w:r>
        <w:r w:rsidR="00DB16C3">
          <w:rPr>
            <w:noProof/>
            <w:webHidden/>
          </w:rPr>
          <w:instrText xml:space="preserve"> PAGEREF _Toc62635449 \h </w:instrText>
        </w:r>
        <w:r w:rsidR="00DB16C3">
          <w:rPr>
            <w:noProof/>
            <w:webHidden/>
          </w:rPr>
        </w:r>
        <w:r w:rsidR="00DB16C3">
          <w:rPr>
            <w:noProof/>
            <w:webHidden/>
          </w:rPr>
          <w:fldChar w:fldCharType="separate"/>
        </w:r>
        <w:r>
          <w:rPr>
            <w:noProof/>
            <w:webHidden/>
          </w:rPr>
          <w:t>23</w:t>
        </w:r>
        <w:r w:rsidR="00DB16C3">
          <w:rPr>
            <w:noProof/>
            <w:webHidden/>
          </w:rPr>
          <w:fldChar w:fldCharType="end"/>
        </w:r>
      </w:hyperlink>
    </w:p>
    <w:p w14:paraId="2F066CE5" w14:textId="77777777" w:rsidR="00DB16C3" w:rsidRDefault="003C418F">
      <w:pPr>
        <w:pStyle w:val="TOC2"/>
        <w:rPr>
          <w:rFonts w:asciiTheme="minorHAnsi" w:eastAsiaTheme="minorEastAsia" w:hAnsiTheme="minorHAnsi" w:cstheme="minorBidi"/>
          <w:noProof/>
          <w:color w:val="auto"/>
          <w:sz w:val="22"/>
          <w:szCs w:val="22"/>
          <w:lang w:eastAsia="en-AU"/>
        </w:rPr>
      </w:pPr>
      <w:hyperlink w:anchor="_Toc62635450" w:history="1">
        <w:r w:rsidR="00DB16C3" w:rsidRPr="00F73E0E">
          <w:rPr>
            <w:rStyle w:val="Hyperlink"/>
            <w:noProof/>
          </w:rPr>
          <w:t>Assumptions</w:t>
        </w:r>
        <w:r w:rsidR="00DB16C3">
          <w:rPr>
            <w:noProof/>
            <w:webHidden/>
          </w:rPr>
          <w:tab/>
        </w:r>
        <w:r w:rsidR="00DB16C3">
          <w:rPr>
            <w:noProof/>
            <w:webHidden/>
          </w:rPr>
          <w:fldChar w:fldCharType="begin"/>
        </w:r>
        <w:r w:rsidR="00DB16C3">
          <w:rPr>
            <w:noProof/>
            <w:webHidden/>
          </w:rPr>
          <w:instrText xml:space="preserve"> PAGEREF _Toc62635450 \h </w:instrText>
        </w:r>
        <w:r w:rsidR="00DB16C3">
          <w:rPr>
            <w:noProof/>
            <w:webHidden/>
          </w:rPr>
        </w:r>
        <w:r w:rsidR="00DB16C3">
          <w:rPr>
            <w:noProof/>
            <w:webHidden/>
          </w:rPr>
          <w:fldChar w:fldCharType="separate"/>
        </w:r>
        <w:r>
          <w:rPr>
            <w:noProof/>
            <w:webHidden/>
          </w:rPr>
          <w:t>24</w:t>
        </w:r>
        <w:r w:rsidR="00DB16C3">
          <w:rPr>
            <w:noProof/>
            <w:webHidden/>
          </w:rPr>
          <w:fldChar w:fldCharType="end"/>
        </w:r>
      </w:hyperlink>
    </w:p>
    <w:p w14:paraId="248C5A98" w14:textId="77777777" w:rsidR="00DB16C3" w:rsidRDefault="003C418F">
      <w:pPr>
        <w:pStyle w:val="TOC1"/>
        <w:rPr>
          <w:rFonts w:asciiTheme="minorHAnsi" w:eastAsiaTheme="minorEastAsia" w:hAnsiTheme="minorHAnsi" w:cstheme="minorBidi"/>
          <w:b w:val="0"/>
          <w:noProof/>
          <w:color w:val="auto"/>
          <w:sz w:val="22"/>
          <w:szCs w:val="22"/>
          <w:lang w:eastAsia="en-AU"/>
        </w:rPr>
      </w:pPr>
      <w:hyperlink w:anchor="_Toc62635451" w:history="1">
        <w:r w:rsidR="00DB16C3" w:rsidRPr="00F73E0E">
          <w:rPr>
            <w:rStyle w:val="Hyperlink"/>
            <w:noProof/>
          </w:rPr>
          <w:t>Appendix B - Previous studies</w:t>
        </w:r>
        <w:r w:rsidR="00DB16C3">
          <w:rPr>
            <w:noProof/>
            <w:webHidden/>
          </w:rPr>
          <w:tab/>
        </w:r>
        <w:r w:rsidR="00DB16C3">
          <w:rPr>
            <w:noProof/>
            <w:webHidden/>
          </w:rPr>
          <w:fldChar w:fldCharType="begin"/>
        </w:r>
        <w:r w:rsidR="00DB16C3">
          <w:rPr>
            <w:noProof/>
            <w:webHidden/>
          </w:rPr>
          <w:instrText xml:space="preserve"> PAGEREF _Toc62635451 \h </w:instrText>
        </w:r>
        <w:r w:rsidR="00DB16C3">
          <w:rPr>
            <w:noProof/>
            <w:webHidden/>
          </w:rPr>
        </w:r>
        <w:r w:rsidR="00DB16C3">
          <w:rPr>
            <w:noProof/>
            <w:webHidden/>
          </w:rPr>
          <w:fldChar w:fldCharType="separate"/>
        </w:r>
        <w:r>
          <w:rPr>
            <w:noProof/>
            <w:webHidden/>
          </w:rPr>
          <w:t>26</w:t>
        </w:r>
        <w:r w:rsidR="00DB16C3">
          <w:rPr>
            <w:noProof/>
            <w:webHidden/>
          </w:rPr>
          <w:fldChar w:fldCharType="end"/>
        </w:r>
      </w:hyperlink>
    </w:p>
    <w:p w14:paraId="520D1F5D" w14:textId="2331FAE3" w:rsidR="007249C2" w:rsidRDefault="00DB16C3" w:rsidP="00DB16C3">
      <w:pPr>
        <w:rPr>
          <w:rFonts w:asciiTheme="majorHAnsi" w:hAnsiTheme="majorHAnsi" w:cstheme="majorHAnsi"/>
          <w:b/>
          <w:bCs/>
          <w:color w:val="004976" w:themeColor="background2"/>
          <w:kern w:val="32"/>
          <w:sz w:val="56"/>
          <w:szCs w:val="32"/>
        </w:rPr>
      </w:pPr>
      <w:r>
        <w:rPr>
          <w:b/>
          <w:bCs/>
          <w:noProof/>
        </w:rPr>
        <w:fldChar w:fldCharType="end"/>
      </w:r>
      <w:r w:rsidR="007249C2">
        <w:br w:type="page"/>
      </w:r>
    </w:p>
    <w:p w14:paraId="221EB3C1" w14:textId="7D2970A5" w:rsidR="00D35518" w:rsidRPr="004D24B8" w:rsidRDefault="00D35518" w:rsidP="009C2A55">
      <w:pPr>
        <w:pStyle w:val="Heading1"/>
        <w:numPr>
          <w:ilvl w:val="0"/>
          <w:numId w:val="49"/>
        </w:numPr>
        <w:ind w:hanging="720"/>
      </w:pPr>
      <w:bookmarkStart w:id="2" w:name="_Toc37941690"/>
      <w:bookmarkStart w:id="3" w:name="_Toc38007850"/>
      <w:bookmarkStart w:id="4" w:name="_Toc54794973"/>
      <w:bookmarkStart w:id="5" w:name="_Toc54342159"/>
      <w:bookmarkStart w:id="6" w:name="_Toc55990303"/>
      <w:bookmarkStart w:id="7" w:name="_Toc62635432"/>
      <w:r>
        <w:lastRenderedPageBreak/>
        <w:t>Overview</w:t>
      </w:r>
      <w:bookmarkEnd w:id="2"/>
      <w:bookmarkEnd w:id="3"/>
      <w:bookmarkEnd w:id="4"/>
      <w:bookmarkEnd w:id="5"/>
      <w:bookmarkEnd w:id="6"/>
      <w:bookmarkEnd w:id="7"/>
    </w:p>
    <w:p w14:paraId="6F698C9F" w14:textId="28F1697A" w:rsidR="00470E98" w:rsidRDefault="000C631F" w:rsidP="003350DE">
      <w:r>
        <w:t xml:space="preserve">The Australian Government’s </w:t>
      </w:r>
      <w:r w:rsidRPr="00F5572C">
        <w:rPr>
          <w:i/>
          <w:iCs/>
        </w:rPr>
        <w:t>Advancing Space: Australian Civil Space Strategy 2019-2028</w:t>
      </w:r>
      <w:r>
        <w:rPr>
          <w:i/>
          <w:iCs/>
        </w:rPr>
        <w:t xml:space="preserve"> </w:t>
      </w:r>
      <w:r>
        <w:rPr>
          <w:iCs/>
        </w:rPr>
        <w:t xml:space="preserve">(the Strategy) </w:t>
      </w:r>
      <w:r>
        <w:t>sets overarching goal</w:t>
      </w:r>
      <w:r w:rsidR="00415EF9">
        <w:t>s</w:t>
      </w:r>
      <w:r w:rsidR="00B941CA">
        <w:t xml:space="preserve"> – </w:t>
      </w:r>
      <w:r>
        <w:t>to triple the size of the Australian space sector to AU$12</w:t>
      </w:r>
      <w:r w:rsidR="00470E98">
        <w:t> </w:t>
      </w:r>
      <w:r>
        <w:t xml:space="preserve">billion and create up to 20,000 new direct and indirect </w:t>
      </w:r>
      <w:r w:rsidR="00FE1A5D">
        <w:t xml:space="preserve">space </w:t>
      </w:r>
      <w:r>
        <w:t>jobs</w:t>
      </w:r>
      <w:r w:rsidRPr="00B526AE">
        <w:t xml:space="preserve"> </w:t>
      </w:r>
      <w:r>
        <w:t>by 2030</w:t>
      </w:r>
      <w:r w:rsidR="00A26D8F">
        <w:rPr>
          <w:rStyle w:val="FootnoteReference"/>
        </w:rPr>
        <w:footnoteReference w:id="2"/>
      </w:r>
      <w:r>
        <w:t xml:space="preserve">. </w:t>
      </w:r>
      <w:r w:rsidR="00470E98">
        <w:t xml:space="preserve">The Strategy, released in April 2019, </w:t>
      </w:r>
      <w:r w:rsidR="00585652">
        <w:t>also</w:t>
      </w:r>
      <w:r w:rsidR="00470E98">
        <w:t xml:space="preserve"> sets targets </w:t>
      </w:r>
      <w:r w:rsidR="00FE1A5D">
        <w:t xml:space="preserve">against key indicators </w:t>
      </w:r>
      <w:r w:rsidR="00B941CA">
        <w:t xml:space="preserve">– </w:t>
      </w:r>
      <w:r w:rsidR="00470E98">
        <w:t>sector grow</w:t>
      </w:r>
      <w:r w:rsidR="004B601C">
        <w:t>th</w:t>
      </w:r>
      <w:r w:rsidR="00470E98">
        <w:t xml:space="preserve"> at an annual rate of 8.5 percent</w:t>
      </w:r>
      <w:r w:rsidR="003C5410">
        <w:t>,</w:t>
      </w:r>
      <w:r w:rsidR="00470E98">
        <w:t xml:space="preserve"> and for inbound investment</w:t>
      </w:r>
      <w:r w:rsidR="00470E98">
        <w:rPr>
          <w:rStyle w:val="FootnoteReference"/>
        </w:rPr>
        <w:footnoteReference w:id="3"/>
      </w:r>
      <w:r w:rsidR="00470E98">
        <w:t xml:space="preserve"> to reach $</w:t>
      </w:r>
      <w:r w:rsidR="00630A0E">
        <w:t>1 </w:t>
      </w:r>
      <w:r w:rsidR="00470E98">
        <w:t>billion</w:t>
      </w:r>
      <w:r w:rsidR="00A26D8F">
        <w:rPr>
          <w:rStyle w:val="FootnoteReference"/>
        </w:rPr>
        <w:footnoteReference w:id="4"/>
      </w:r>
      <w:r w:rsidR="00470E98">
        <w:t xml:space="preserve"> by </w:t>
      </w:r>
      <w:r w:rsidR="003C5410">
        <w:t>2025</w:t>
      </w:r>
      <w:r w:rsidR="00470E98">
        <w:t xml:space="preserve">. </w:t>
      </w:r>
    </w:p>
    <w:p w14:paraId="609D78F8" w14:textId="498B1146" w:rsidR="00681A36" w:rsidRDefault="00681A36" w:rsidP="00681A36">
      <w:r>
        <w:t>This report establishes a 2016-17 financial year (FY17) starting point of the sector’s size and characteristics, and tracks its growth to financial year 2018-19 (FY19) – providing the first snapshot of the sector’s progress towards the Australian Government’s goals</w:t>
      </w:r>
      <w:r>
        <w:rPr>
          <w:rStyle w:val="FootnoteReference"/>
        </w:rPr>
        <w:footnoteReference w:id="5"/>
      </w:r>
      <w:r>
        <w:t xml:space="preserve">. </w:t>
      </w:r>
      <w:r w:rsidR="00470E98">
        <w:t>This initial report details a methodology to operationalise these targets and allow consistent tracking of the sector over time</w:t>
      </w:r>
      <w:r>
        <w:t>.</w:t>
      </w:r>
      <w:r w:rsidR="00585652">
        <w:t xml:space="preserve"> </w:t>
      </w:r>
      <w:r>
        <w:t xml:space="preserve">This methodology is repeatable to inform </w:t>
      </w:r>
      <w:r w:rsidR="00585652">
        <w:t xml:space="preserve">a series of </w:t>
      </w:r>
      <w:r>
        <w:t>future economic snapshots approximately every two years, providing regular visibility of the changes in Australia’s space sector.</w:t>
      </w:r>
    </w:p>
    <w:p w14:paraId="76BBD1BE" w14:textId="1BEE62E1" w:rsidR="00630A0E" w:rsidRDefault="000E04A8" w:rsidP="00470E98">
      <w:pPr>
        <w:tabs>
          <w:tab w:val="left" w:pos="2696"/>
        </w:tabs>
      </w:pPr>
      <w:r>
        <w:t xml:space="preserve">The </w:t>
      </w:r>
      <w:r w:rsidR="00630A0E">
        <w:t xml:space="preserve">report draws on information from a number of sources including, independent data providers: IBISWorld and </w:t>
      </w:r>
      <w:proofErr w:type="spellStart"/>
      <w:r w:rsidR="00630A0E">
        <w:t>Illion</w:t>
      </w:r>
      <w:proofErr w:type="spellEnd"/>
      <w:r w:rsidR="00630A0E">
        <w:t xml:space="preserve">, consultants Nous Group and </w:t>
      </w:r>
      <w:proofErr w:type="spellStart"/>
      <w:r w:rsidR="00630A0E">
        <w:t>AlphaBeta</w:t>
      </w:r>
      <w:proofErr w:type="spellEnd"/>
      <w:r w:rsidR="00630A0E">
        <w:t xml:space="preserve"> and the</w:t>
      </w:r>
      <w:r w:rsidR="00630A0E" w:rsidRPr="000E04A8">
        <w:t xml:space="preserve"> </w:t>
      </w:r>
      <w:r w:rsidR="00630A0E">
        <w:t>Space Industry Association of Australia (SIAA), and the Department of Industry, Science, Energy and Resources’</w:t>
      </w:r>
      <w:r w:rsidR="00630A0E" w:rsidRPr="000E04A8">
        <w:t xml:space="preserve"> </w:t>
      </w:r>
      <w:r w:rsidR="00630A0E">
        <w:t xml:space="preserve">Customer Relationship Manager (CRM) system. The dataset includes </w:t>
      </w:r>
      <w:r>
        <w:t xml:space="preserve">816 organisations </w:t>
      </w:r>
      <w:r w:rsidR="00630A0E">
        <w:t xml:space="preserve">– </w:t>
      </w:r>
      <w:r w:rsidR="00387297">
        <w:t xml:space="preserve">some </w:t>
      </w:r>
      <w:r w:rsidR="00630A0E">
        <w:t xml:space="preserve">of which </w:t>
      </w:r>
      <w:r>
        <w:t>operate</w:t>
      </w:r>
      <w:r w:rsidR="00630A0E">
        <w:t>d</w:t>
      </w:r>
      <w:r>
        <w:t xml:space="preserve"> in the Australian space sector</w:t>
      </w:r>
      <w:r w:rsidR="00387297">
        <w:t xml:space="preserve"> and others that </w:t>
      </w:r>
      <w:r w:rsidR="00630A0E">
        <w:t>have a close connection with it</w:t>
      </w:r>
      <w:r>
        <w:t>.</w:t>
      </w:r>
    </w:p>
    <w:p w14:paraId="3A56A6FF" w14:textId="3BD94B88" w:rsidR="00FE1A5D" w:rsidRDefault="00585652" w:rsidP="00470E98">
      <w:pPr>
        <w:tabs>
          <w:tab w:val="left" w:pos="2696"/>
        </w:tabs>
      </w:pPr>
      <w:r>
        <w:t xml:space="preserve">The time period covered by this report captures the Agency’s first year of operations and phase one of the Strategy. </w:t>
      </w:r>
      <w:r w:rsidR="00470E98">
        <w:t>The Agency was established on 1 July 2018, to transform and grow a globally respected Australian space industry that lifts the broader economy, inspires and improves the lives of Australians – underpinned by strong national and international engagement. While the Agency achieved a great deal in its first year</w:t>
      </w:r>
      <w:r w:rsidR="00470E98">
        <w:rPr>
          <w:rStyle w:val="FootnoteReference"/>
        </w:rPr>
        <w:footnoteReference w:id="6"/>
      </w:r>
      <w:r w:rsidR="00470E98">
        <w:t xml:space="preserve">, at the end of </w:t>
      </w:r>
      <w:r w:rsidR="00FE53E7">
        <w:t>FY19</w:t>
      </w:r>
      <w:r w:rsidR="00470E98">
        <w:t>, the Agency was just moving from p</w:t>
      </w:r>
      <w:r w:rsidR="00470E98" w:rsidRPr="004A6D9E">
        <w:t xml:space="preserve">hase </w:t>
      </w:r>
      <w:r w:rsidR="00470E98">
        <w:t xml:space="preserve">one of the Strategy </w:t>
      </w:r>
      <w:r w:rsidR="00470E98" w:rsidRPr="00D5136D">
        <w:rPr>
          <w:i/>
        </w:rPr>
        <w:t>–</w:t>
      </w:r>
      <w:r w:rsidR="00B941CA">
        <w:rPr>
          <w:i/>
        </w:rPr>
        <w:t xml:space="preserve"> </w:t>
      </w:r>
      <w:r w:rsidR="00470E98" w:rsidRPr="00D5136D">
        <w:rPr>
          <w:i/>
        </w:rPr>
        <w:t>Setting conditions for growth</w:t>
      </w:r>
      <w:r w:rsidR="00470E98">
        <w:t xml:space="preserve"> </w:t>
      </w:r>
      <w:r w:rsidR="00470E98" w:rsidRPr="004A6D9E">
        <w:rPr>
          <w:i/>
        </w:rPr>
        <w:t>(2018-19)</w:t>
      </w:r>
      <w:r w:rsidR="00470E98">
        <w:t xml:space="preserve"> into phase two </w:t>
      </w:r>
      <w:r w:rsidR="00470E98" w:rsidRPr="00D5136D">
        <w:rPr>
          <w:i/>
        </w:rPr>
        <w:t>Engaging with opportunity</w:t>
      </w:r>
      <w:r w:rsidR="00470E98">
        <w:t xml:space="preserve"> </w:t>
      </w:r>
      <w:r w:rsidR="00470E98" w:rsidRPr="00D5136D">
        <w:rPr>
          <w:i/>
        </w:rPr>
        <w:t>(2019-2021)</w:t>
      </w:r>
      <w:r w:rsidR="00470E98">
        <w:rPr>
          <w:i/>
        </w:rPr>
        <w:t xml:space="preserve"> </w:t>
      </w:r>
      <w:r w:rsidR="00470E98">
        <w:t>of the Australian Government’s plan to grow Australia’s space sector.</w:t>
      </w:r>
    </w:p>
    <w:p w14:paraId="67A7454A" w14:textId="1FCD5121" w:rsidR="00356199" w:rsidRDefault="003A28AE" w:rsidP="00470E98">
      <w:pPr>
        <w:tabs>
          <w:tab w:val="left" w:pos="2696"/>
        </w:tabs>
        <w:rPr>
          <w:color w:val="auto"/>
        </w:rPr>
      </w:pPr>
      <w:r>
        <w:t>T</w:t>
      </w:r>
      <w:r w:rsidR="00470E98">
        <w:t>h</w:t>
      </w:r>
      <w:r w:rsidR="0086401C">
        <w:t>e period covered by th</w:t>
      </w:r>
      <w:r w:rsidR="00470E98">
        <w:t xml:space="preserve">is report, therefore, ends before significant Australian Government investments </w:t>
      </w:r>
      <w:r w:rsidR="0086401C">
        <w:t xml:space="preserve">targeted to transform </w:t>
      </w:r>
      <w:r w:rsidR="00470E98">
        <w:t>Australia’s space sector began to reach the sector. Giv</w:t>
      </w:r>
      <w:r w:rsidR="00681A36">
        <w:t>en the time period covered, the figures in this</w:t>
      </w:r>
      <w:r w:rsidR="00470E98">
        <w:t xml:space="preserve"> report </w:t>
      </w:r>
      <w:r w:rsidR="00681A36">
        <w:t>do</w:t>
      </w:r>
      <w:r w:rsidR="00470E98">
        <w:t xml:space="preserve"> not reflect impacts of COVID-19. </w:t>
      </w:r>
      <w:r w:rsidR="00554D0C" w:rsidRPr="00A534D6">
        <w:rPr>
          <w:color w:val="auto"/>
        </w:rPr>
        <w:t>Table</w:t>
      </w:r>
      <w:r w:rsidR="0022163C">
        <w:rPr>
          <w:color w:val="auto"/>
        </w:rPr>
        <w:t> </w:t>
      </w:r>
      <w:r w:rsidR="00554D0C" w:rsidRPr="00A534D6">
        <w:rPr>
          <w:color w:val="auto"/>
        </w:rPr>
        <w:t>1</w:t>
      </w:r>
      <w:r w:rsidR="00554D0C">
        <w:rPr>
          <w:color w:val="auto"/>
        </w:rPr>
        <w:t xml:space="preserve"> provides a</w:t>
      </w:r>
      <w:r w:rsidR="00B15829">
        <w:t xml:space="preserve"> summary</w:t>
      </w:r>
      <w:r w:rsidR="002D755C">
        <w:t xml:space="preserve"> of </w:t>
      </w:r>
      <w:r w:rsidR="00554D0C">
        <w:t>the sector’s progress against key</w:t>
      </w:r>
      <w:r w:rsidR="00981ACD">
        <w:t xml:space="preserve"> indicators</w:t>
      </w:r>
      <w:r>
        <w:t xml:space="preserve"> for the FY17 to FY19 period</w:t>
      </w:r>
      <w:r w:rsidR="00B15829" w:rsidRPr="00A534D6">
        <w:rPr>
          <w:color w:val="auto"/>
        </w:rPr>
        <w:t>.</w:t>
      </w:r>
      <w:r w:rsidR="008033F7">
        <w:rPr>
          <w:color w:val="auto"/>
        </w:rPr>
        <w:t xml:space="preserve"> </w:t>
      </w:r>
    </w:p>
    <w:p w14:paraId="0CC88E81" w14:textId="54B286DE" w:rsidR="004845D2" w:rsidRDefault="004845D2" w:rsidP="00F51B5B">
      <w:pPr>
        <w:pStyle w:val="TableHeading"/>
      </w:pPr>
      <w:r w:rsidRPr="00F5572C">
        <w:t>Table</w:t>
      </w:r>
      <w:r w:rsidR="004852D0">
        <w:t> </w:t>
      </w:r>
      <w:r w:rsidRPr="00F5572C">
        <w:t>1</w:t>
      </w:r>
      <w:r>
        <w:t>:</w:t>
      </w:r>
      <w:r w:rsidRPr="00F5572C">
        <w:t xml:space="preserve"> </w:t>
      </w:r>
      <w:r>
        <w:t>Australian space sector performance</w:t>
      </w:r>
      <w:r w:rsidRPr="00F5572C">
        <w:t xml:space="preserve"> </w:t>
      </w:r>
      <w:r>
        <w:t xml:space="preserve">– </w:t>
      </w:r>
      <w:r w:rsidRPr="00F5572C">
        <w:t>Snapshot of</w:t>
      </w:r>
      <w:r>
        <w:t xml:space="preserve"> the</w:t>
      </w:r>
      <w:r w:rsidRPr="00F5572C">
        <w:t xml:space="preserve"> key indicators</w:t>
      </w:r>
    </w:p>
    <w:tbl>
      <w:tblPr>
        <w:tblpPr w:leftFromText="180" w:rightFromText="180" w:vertAnchor="text" w:tblpY="1"/>
        <w:tblOverlap w:val="never"/>
        <w:tblW w:w="10108" w:type="dxa"/>
        <w:tblCellMar>
          <w:left w:w="0" w:type="dxa"/>
          <w:right w:w="0" w:type="dxa"/>
        </w:tblCellMar>
        <w:tblLook w:val="0420" w:firstRow="1" w:lastRow="0" w:firstColumn="0" w:lastColumn="0" w:noHBand="0" w:noVBand="1"/>
      </w:tblPr>
      <w:tblGrid>
        <w:gridCol w:w="1550"/>
        <w:gridCol w:w="1842"/>
        <w:gridCol w:w="2976"/>
        <w:gridCol w:w="3740"/>
      </w:tblGrid>
      <w:tr w:rsidR="004356FB" w:rsidRPr="004356FB" w14:paraId="5A104E0D" w14:textId="77777777" w:rsidTr="008C08CF">
        <w:trPr>
          <w:trHeight w:val="340"/>
          <w:tblHeader/>
        </w:trPr>
        <w:tc>
          <w:tcPr>
            <w:tcW w:w="1550" w:type="dxa"/>
            <w:tcBorders>
              <w:top w:val="single" w:sz="8" w:space="0" w:color="FFFFFF"/>
              <w:left w:val="single" w:sz="8" w:space="0" w:color="FFFFFF"/>
              <w:bottom w:val="single" w:sz="24" w:space="0" w:color="FFFFFF"/>
              <w:right w:val="single" w:sz="8" w:space="0" w:color="FFFFFF"/>
            </w:tcBorders>
            <w:shd w:val="clear" w:color="auto" w:fill="004976"/>
            <w:tcMar>
              <w:top w:w="43" w:type="dxa"/>
              <w:left w:w="86" w:type="dxa"/>
              <w:bottom w:w="43" w:type="dxa"/>
              <w:right w:w="86" w:type="dxa"/>
            </w:tcMar>
            <w:vAlign w:val="center"/>
            <w:hideMark/>
          </w:tcPr>
          <w:p w14:paraId="74042445" w14:textId="28E3BA3D" w:rsidR="004356FB" w:rsidRPr="00B621F9" w:rsidRDefault="00B621F9" w:rsidP="008C08CF">
            <w:pPr>
              <w:adjustRightInd/>
              <w:snapToGrid/>
              <w:spacing w:after="0" w:line="240" w:lineRule="auto"/>
              <w:rPr>
                <w:b/>
                <w:color w:val="FFFFFF" w:themeColor="background1"/>
              </w:rPr>
            </w:pPr>
            <w:r w:rsidRPr="00B621F9">
              <w:rPr>
                <w:b/>
                <w:color w:val="FFFFFF" w:themeColor="background1"/>
              </w:rPr>
              <w:t>Indicator</w:t>
            </w:r>
          </w:p>
        </w:tc>
        <w:tc>
          <w:tcPr>
            <w:tcW w:w="1842" w:type="dxa"/>
            <w:tcBorders>
              <w:top w:val="single" w:sz="8" w:space="0" w:color="FFFFFF"/>
              <w:left w:val="single" w:sz="8" w:space="0" w:color="FFFFFF"/>
              <w:bottom w:val="single" w:sz="24" w:space="0" w:color="FFFFFF"/>
              <w:right w:val="single" w:sz="8" w:space="0" w:color="FFFFFF"/>
            </w:tcBorders>
            <w:shd w:val="clear" w:color="auto" w:fill="004976"/>
            <w:tcMar>
              <w:top w:w="15" w:type="dxa"/>
              <w:left w:w="65" w:type="dxa"/>
              <w:bottom w:w="0" w:type="dxa"/>
              <w:right w:w="65" w:type="dxa"/>
            </w:tcMar>
            <w:vAlign w:val="center"/>
            <w:hideMark/>
          </w:tcPr>
          <w:p w14:paraId="5DF058E9" w14:textId="1E1CCDBA" w:rsidR="004356FB" w:rsidRPr="00F51B5B" w:rsidRDefault="00F7627B" w:rsidP="008C08CF">
            <w:pPr>
              <w:adjustRightInd/>
              <w:snapToGrid/>
              <w:spacing w:after="0" w:line="240" w:lineRule="auto"/>
              <w:rPr>
                <w:color w:val="FFFFFF" w:themeColor="background1"/>
              </w:rPr>
            </w:pPr>
            <w:r>
              <w:rPr>
                <w:b/>
                <w:bCs/>
                <w:color w:val="FFFFFF" w:themeColor="background1"/>
              </w:rPr>
              <w:t>FY</w:t>
            </w:r>
            <w:r w:rsidR="004356FB" w:rsidRPr="00F51B5B">
              <w:rPr>
                <w:b/>
                <w:bCs/>
                <w:color w:val="FFFFFF" w:themeColor="background1"/>
              </w:rPr>
              <w:t>17</w:t>
            </w:r>
          </w:p>
        </w:tc>
        <w:tc>
          <w:tcPr>
            <w:tcW w:w="2976" w:type="dxa"/>
            <w:tcBorders>
              <w:top w:val="single" w:sz="8" w:space="0" w:color="FFFFFF"/>
              <w:left w:val="single" w:sz="8" w:space="0" w:color="FFFFFF"/>
              <w:bottom w:val="single" w:sz="24" w:space="0" w:color="FFFFFF"/>
              <w:right w:val="single" w:sz="8" w:space="0" w:color="FFFFFF"/>
            </w:tcBorders>
            <w:shd w:val="clear" w:color="auto" w:fill="004976"/>
            <w:tcMar>
              <w:top w:w="15" w:type="dxa"/>
              <w:left w:w="65" w:type="dxa"/>
              <w:bottom w:w="0" w:type="dxa"/>
              <w:right w:w="65" w:type="dxa"/>
            </w:tcMar>
            <w:vAlign w:val="center"/>
            <w:hideMark/>
          </w:tcPr>
          <w:p w14:paraId="688FC792" w14:textId="5B08BD2A" w:rsidR="004356FB" w:rsidRPr="00F51B5B" w:rsidRDefault="00F7627B" w:rsidP="008C08CF">
            <w:pPr>
              <w:adjustRightInd/>
              <w:snapToGrid/>
              <w:spacing w:after="0" w:line="240" w:lineRule="auto"/>
              <w:rPr>
                <w:color w:val="FFFFFF" w:themeColor="background1"/>
              </w:rPr>
            </w:pPr>
            <w:r>
              <w:rPr>
                <w:b/>
                <w:bCs/>
                <w:color w:val="FFFFFF" w:themeColor="background1"/>
              </w:rPr>
              <w:t>FY</w:t>
            </w:r>
            <w:r w:rsidR="004356FB" w:rsidRPr="00F51B5B">
              <w:rPr>
                <w:b/>
                <w:bCs/>
                <w:color w:val="FFFFFF" w:themeColor="background1"/>
              </w:rPr>
              <w:t>19</w:t>
            </w:r>
          </w:p>
        </w:tc>
        <w:tc>
          <w:tcPr>
            <w:tcW w:w="3740" w:type="dxa"/>
            <w:tcBorders>
              <w:top w:val="single" w:sz="8" w:space="0" w:color="FFFFFF"/>
              <w:left w:val="single" w:sz="8" w:space="0" w:color="FFFFFF"/>
              <w:bottom w:val="single" w:sz="24" w:space="0" w:color="FFFFFF"/>
              <w:right w:val="single" w:sz="8" w:space="0" w:color="FFFFFF"/>
            </w:tcBorders>
            <w:shd w:val="clear" w:color="auto" w:fill="004976"/>
            <w:tcMar>
              <w:top w:w="43" w:type="dxa"/>
              <w:left w:w="86" w:type="dxa"/>
              <w:bottom w:w="43" w:type="dxa"/>
              <w:right w:w="86" w:type="dxa"/>
            </w:tcMar>
            <w:vAlign w:val="center"/>
            <w:hideMark/>
          </w:tcPr>
          <w:p w14:paraId="6EE81F93"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2030 Target</w:t>
            </w:r>
          </w:p>
        </w:tc>
      </w:tr>
      <w:tr w:rsidR="004356FB" w:rsidRPr="004356FB" w14:paraId="4E95B791" w14:textId="77777777" w:rsidTr="008C08CF">
        <w:trPr>
          <w:trHeight w:val="440"/>
        </w:trPr>
        <w:tc>
          <w:tcPr>
            <w:tcW w:w="1550" w:type="dxa"/>
            <w:vMerge w:val="restart"/>
            <w:tcBorders>
              <w:top w:val="single" w:sz="24" w:space="0" w:color="FFFFFF"/>
              <w:left w:val="single" w:sz="8" w:space="0" w:color="FFFFFF"/>
              <w:bottom w:val="single" w:sz="8" w:space="0" w:color="FFFFFF"/>
              <w:right w:val="single" w:sz="8" w:space="0" w:color="FFFFFF"/>
            </w:tcBorders>
            <w:shd w:val="clear" w:color="auto" w:fill="004976"/>
            <w:tcMar>
              <w:top w:w="43" w:type="dxa"/>
              <w:left w:w="86" w:type="dxa"/>
              <w:bottom w:w="43" w:type="dxa"/>
              <w:right w:w="86" w:type="dxa"/>
            </w:tcMar>
            <w:vAlign w:val="center"/>
            <w:hideMark/>
          </w:tcPr>
          <w:p w14:paraId="3E8F281B"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Revenue</w:t>
            </w:r>
          </w:p>
        </w:tc>
        <w:tc>
          <w:tcPr>
            <w:tcW w:w="1842" w:type="dxa"/>
            <w:tcBorders>
              <w:top w:val="single" w:sz="24"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1502766B" w14:textId="0D696DB0" w:rsidR="004356FB" w:rsidRPr="004356FB" w:rsidRDefault="004356FB" w:rsidP="008C08CF">
            <w:pPr>
              <w:adjustRightInd/>
              <w:snapToGrid/>
              <w:spacing w:after="0" w:line="240" w:lineRule="auto"/>
            </w:pPr>
            <w:r w:rsidRPr="004356FB">
              <w:rPr>
                <w:b/>
                <w:bCs/>
              </w:rPr>
              <w:t xml:space="preserve">$4.3 </w:t>
            </w:r>
            <w:r w:rsidRPr="004356FB">
              <w:t xml:space="preserve">billion </w:t>
            </w:r>
          </w:p>
        </w:tc>
        <w:tc>
          <w:tcPr>
            <w:tcW w:w="2976" w:type="dxa"/>
            <w:tcBorders>
              <w:top w:val="single" w:sz="24"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1A859BD9" w14:textId="20A1AAFE" w:rsidR="004356FB" w:rsidRPr="004356FB" w:rsidRDefault="004356FB" w:rsidP="008C08CF">
            <w:pPr>
              <w:adjustRightInd/>
              <w:snapToGrid/>
              <w:spacing w:after="0" w:line="240" w:lineRule="auto"/>
            </w:pPr>
            <w:r w:rsidRPr="004356FB">
              <w:rPr>
                <w:b/>
                <w:bCs/>
              </w:rPr>
              <w:t xml:space="preserve">$4.6 </w:t>
            </w:r>
            <w:r w:rsidRPr="004356FB">
              <w:t xml:space="preserve">billion </w:t>
            </w:r>
          </w:p>
        </w:tc>
        <w:tc>
          <w:tcPr>
            <w:tcW w:w="3740" w:type="dxa"/>
            <w:tcBorders>
              <w:top w:val="single" w:sz="24" w:space="0" w:color="FFFFFF"/>
              <w:left w:val="single" w:sz="8" w:space="0" w:color="FFFFFF"/>
              <w:bottom w:val="single" w:sz="8" w:space="0" w:color="FFFFFF"/>
              <w:right w:val="single" w:sz="8" w:space="0" w:color="FFFFFF"/>
            </w:tcBorders>
            <w:shd w:val="clear" w:color="auto" w:fill="B0E0FF" w:themeFill="accent1" w:themeFillTint="33"/>
            <w:tcMar>
              <w:top w:w="15" w:type="dxa"/>
              <w:left w:w="65" w:type="dxa"/>
              <w:bottom w:w="0" w:type="dxa"/>
              <w:right w:w="65" w:type="dxa"/>
            </w:tcMar>
            <w:vAlign w:val="center"/>
            <w:hideMark/>
          </w:tcPr>
          <w:p w14:paraId="12B8976C" w14:textId="77777777" w:rsidR="004356FB" w:rsidRPr="004356FB" w:rsidRDefault="004356FB" w:rsidP="008C08CF">
            <w:pPr>
              <w:adjustRightInd/>
              <w:snapToGrid/>
              <w:spacing w:after="0" w:line="240" w:lineRule="auto"/>
            </w:pPr>
            <w:r w:rsidRPr="004356FB">
              <w:rPr>
                <w:b/>
                <w:bCs/>
              </w:rPr>
              <w:t xml:space="preserve">$12 </w:t>
            </w:r>
            <w:r w:rsidRPr="004356FB">
              <w:t>billion</w:t>
            </w:r>
          </w:p>
        </w:tc>
      </w:tr>
      <w:tr w:rsidR="004356FB" w:rsidRPr="004356FB" w14:paraId="77BE83A3" w14:textId="77777777" w:rsidTr="008C08CF">
        <w:trPr>
          <w:trHeight w:val="605"/>
        </w:trPr>
        <w:tc>
          <w:tcPr>
            <w:tcW w:w="1550" w:type="dxa"/>
            <w:vMerge/>
            <w:tcBorders>
              <w:top w:val="single" w:sz="24" w:space="0" w:color="FFFFFF"/>
              <w:left w:val="single" w:sz="8" w:space="0" w:color="FFFFFF"/>
              <w:bottom w:val="single" w:sz="8" w:space="0" w:color="FFFFFF"/>
              <w:right w:val="single" w:sz="8" w:space="0" w:color="FFFFFF"/>
            </w:tcBorders>
            <w:vAlign w:val="center"/>
            <w:hideMark/>
          </w:tcPr>
          <w:p w14:paraId="60B00B64" w14:textId="77777777" w:rsidR="004356FB" w:rsidRPr="00F51B5B" w:rsidRDefault="004356FB" w:rsidP="008C08CF">
            <w:pPr>
              <w:adjustRightInd/>
              <w:snapToGrid/>
              <w:spacing w:after="0" w:line="240" w:lineRule="auto"/>
              <w:rPr>
                <w:color w:val="FFFFFF" w:themeColor="background1"/>
              </w:rPr>
            </w:pPr>
          </w:p>
        </w:tc>
        <w:tc>
          <w:tcPr>
            <w:tcW w:w="1842" w:type="dxa"/>
            <w:tcBorders>
              <w:top w:val="single" w:sz="8" w:space="0" w:color="FFFFFF"/>
              <w:left w:val="single" w:sz="8" w:space="0" w:color="FFFFFF"/>
              <w:bottom w:val="single" w:sz="8" w:space="0" w:color="FFFFFF"/>
              <w:right w:val="single" w:sz="8" w:space="0" w:color="FFFFFF"/>
            </w:tcBorders>
            <w:shd w:val="clear" w:color="auto" w:fill="E7E9EC"/>
            <w:tcMar>
              <w:top w:w="15" w:type="dxa"/>
              <w:left w:w="65" w:type="dxa"/>
              <w:bottom w:w="0" w:type="dxa"/>
              <w:right w:w="65" w:type="dxa"/>
            </w:tcMar>
            <w:vAlign w:val="center"/>
            <w:hideMark/>
          </w:tcPr>
          <w:p w14:paraId="5CB1F3BD" w14:textId="77777777" w:rsidR="004356FB" w:rsidRPr="004356FB" w:rsidRDefault="004356FB" w:rsidP="008C08CF">
            <w:pPr>
              <w:adjustRightInd/>
              <w:snapToGrid/>
              <w:spacing w:after="0" w:line="240" w:lineRule="auto"/>
            </w:pPr>
          </w:p>
        </w:tc>
        <w:tc>
          <w:tcPr>
            <w:tcW w:w="2976" w:type="dxa"/>
            <w:tcBorders>
              <w:top w:val="single" w:sz="8" w:space="0" w:color="FFFFFF"/>
              <w:left w:val="single" w:sz="8" w:space="0" w:color="FFFFFF"/>
              <w:bottom w:val="single" w:sz="8" w:space="0" w:color="FFFFFF"/>
              <w:right w:val="single" w:sz="8" w:space="0" w:color="FFFFFF"/>
            </w:tcBorders>
            <w:shd w:val="clear" w:color="auto" w:fill="E7E9EC"/>
            <w:tcMar>
              <w:top w:w="15" w:type="dxa"/>
              <w:left w:w="65" w:type="dxa"/>
              <w:bottom w:w="0" w:type="dxa"/>
              <w:right w:w="65" w:type="dxa"/>
            </w:tcMar>
            <w:vAlign w:val="center"/>
            <w:hideMark/>
          </w:tcPr>
          <w:p w14:paraId="31E06F87" w14:textId="77777777" w:rsidR="004356FB" w:rsidRPr="004356FB" w:rsidRDefault="004356FB" w:rsidP="008C08CF">
            <w:pPr>
              <w:adjustRightInd/>
              <w:snapToGrid/>
              <w:spacing w:after="0" w:line="240" w:lineRule="auto"/>
            </w:pPr>
            <w:r w:rsidRPr="004356FB">
              <w:rPr>
                <w:b/>
                <w:bCs/>
              </w:rPr>
              <w:t>+2.9%</w:t>
            </w:r>
          </w:p>
          <w:p w14:paraId="0A236E08" w14:textId="77777777" w:rsidR="004356FB" w:rsidRPr="004356FB" w:rsidRDefault="004356FB" w:rsidP="008C08CF">
            <w:pPr>
              <w:adjustRightInd/>
              <w:snapToGrid/>
              <w:spacing w:after="0" w:line="240" w:lineRule="auto"/>
            </w:pPr>
            <w:r w:rsidRPr="004356FB">
              <w:t>average annual growth</w:t>
            </w:r>
          </w:p>
        </w:tc>
        <w:tc>
          <w:tcPr>
            <w:tcW w:w="3740" w:type="dxa"/>
            <w:tcBorders>
              <w:top w:val="single" w:sz="8" w:space="0" w:color="FFFFFF"/>
              <w:left w:val="single" w:sz="8" w:space="0" w:color="FFFFFF"/>
              <w:bottom w:val="single" w:sz="8" w:space="0" w:color="FFFFFF"/>
              <w:right w:val="single" w:sz="8" w:space="0" w:color="FFFFFF"/>
            </w:tcBorders>
            <w:shd w:val="clear" w:color="auto" w:fill="B0E0FF" w:themeFill="accent1" w:themeFillTint="33"/>
            <w:tcMar>
              <w:top w:w="15" w:type="dxa"/>
              <w:left w:w="65" w:type="dxa"/>
              <w:bottom w:w="0" w:type="dxa"/>
              <w:right w:w="65" w:type="dxa"/>
            </w:tcMar>
            <w:vAlign w:val="center"/>
            <w:hideMark/>
          </w:tcPr>
          <w:p w14:paraId="0C40D02C" w14:textId="77777777" w:rsidR="004356FB" w:rsidRPr="004356FB" w:rsidRDefault="004356FB" w:rsidP="008C08CF">
            <w:pPr>
              <w:adjustRightInd/>
              <w:snapToGrid/>
              <w:spacing w:after="0" w:line="240" w:lineRule="auto"/>
            </w:pPr>
            <w:r w:rsidRPr="004356FB">
              <w:rPr>
                <w:b/>
                <w:bCs/>
              </w:rPr>
              <w:t xml:space="preserve">+8.5% </w:t>
            </w:r>
          </w:p>
          <w:p w14:paraId="2D7EE25B" w14:textId="77777777" w:rsidR="004356FB" w:rsidRPr="004356FB" w:rsidRDefault="004356FB" w:rsidP="008C08CF">
            <w:pPr>
              <w:adjustRightInd/>
              <w:snapToGrid/>
              <w:spacing w:after="0" w:line="240" w:lineRule="auto"/>
            </w:pPr>
            <w:r w:rsidRPr="004356FB">
              <w:t>annual</w:t>
            </w:r>
            <w:r w:rsidRPr="004356FB">
              <w:rPr>
                <w:b/>
                <w:bCs/>
              </w:rPr>
              <w:t xml:space="preserve"> </w:t>
            </w:r>
            <w:r w:rsidRPr="004356FB">
              <w:t>growth</w:t>
            </w:r>
          </w:p>
        </w:tc>
      </w:tr>
      <w:tr w:rsidR="004356FB" w:rsidRPr="004356FB" w14:paraId="6204A90E" w14:textId="77777777" w:rsidTr="008C08CF">
        <w:trPr>
          <w:trHeight w:val="653"/>
        </w:trPr>
        <w:tc>
          <w:tcPr>
            <w:tcW w:w="1550" w:type="dxa"/>
            <w:tcBorders>
              <w:top w:val="single" w:sz="8" w:space="0" w:color="FFFFFF"/>
              <w:left w:val="single" w:sz="8" w:space="0" w:color="FFFFFF"/>
              <w:bottom w:val="single" w:sz="8" w:space="0" w:color="FFFFFF"/>
              <w:right w:val="single" w:sz="8" w:space="0" w:color="FFFFFF"/>
            </w:tcBorders>
            <w:shd w:val="clear" w:color="auto" w:fill="004976"/>
            <w:tcMar>
              <w:top w:w="43" w:type="dxa"/>
              <w:left w:w="86" w:type="dxa"/>
              <w:bottom w:w="43" w:type="dxa"/>
              <w:right w:w="86" w:type="dxa"/>
            </w:tcMar>
            <w:vAlign w:val="center"/>
            <w:hideMark/>
          </w:tcPr>
          <w:p w14:paraId="62CD0876"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Jobs</w:t>
            </w:r>
          </w:p>
        </w:tc>
        <w:tc>
          <w:tcPr>
            <w:tcW w:w="1842" w:type="dxa"/>
            <w:tcBorders>
              <w:top w:val="single" w:sz="8"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6ECA87A2" w14:textId="752992A2" w:rsidR="004356FB" w:rsidRPr="004356FB" w:rsidRDefault="004356FB" w:rsidP="008C08CF">
            <w:pPr>
              <w:adjustRightInd/>
              <w:snapToGrid/>
              <w:spacing w:after="0" w:line="240" w:lineRule="auto"/>
            </w:pPr>
            <w:r w:rsidRPr="004356FB">
              <w:rPr>
                <w:b/>
                <w:bCs/>
              </w:rPr>
              <w:t>10,</w:t>
            </w:r>
            <w:r w:rsidR="004845D2">
              <w:rPr>
                <w:b/>
                <w:bCs/>
              </w:rPr>
              <w:t>43</w:t>
            </w:r>
            <w:r w:rsidRPr="004356FB">
              <w:rPr>
                <w:b/>
                <w:bCs/>
              </w:rPr>
              <w:t xml:space="preserve">0 </w:t>
            </w:r>
          </w:p>
          <w:p w14:paraId="6AC239DA" w14:textId="56EB522D" w:rsidR="004356FB" w:rsidRPr="004356FB" w:rsidRDefault="00176E05" w:rsidP="008C08CF">
            <w:pPr>
              <w:adjustRightInd/>
              <w:snapToGrid/>
              <w:spacing w:after="0" w:line="240" w:lineRule="auto"/>
            </w:pPr>
            <w:r>
              <w:t>d</w:t>
            </w:r>
            <w:r w:rsidR="004356FB" w:rsidRPr="004356FB">
              <w:t>irect jobs</w:t>
            </w:r>
          </w:p>
        </w:tc>
        <w:tc>
          <w:tcPr>
            <w:tcW w:w="2976" w:type="dxa"/>
            <w:tcBorders>
              <w:top w:val="single" w:sz="8"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38323E88" w14:textId="05067AF9" w:rsidR="004356FB" w:rsidRPr="004356FB" w:rsidRDefault="004356FB" w:rsidP="008C08CF">
            <w:pPr>
              <w:adjustRightInd/>
              <w:snapToGrid/>
              <w:spacing w:after="0" w:line="240" w:lineRule="auto"/>
            </w:pPr>
            <w:r w:rsidRPr="004356FB">
              <w:rPr>
                <w:b/>
                <w:bCs/>
              </w:rPr>
              <w:t>11,</w:t>
            </w:r>
            <w:r w:rsidR="004845D2">
              <w:rPr>
                <w:b/>
                <w:bCs/>
              </w:rPr>
              <w:t>56</w:t>
            </w:r>
            <w:r w:rsidRPr="004356FB">
              <w:rPr>
                <w:b/>
                <w:bCs/>
              </w:rPr>
              <w:t xml:space="preserve">0 </w:t>
            </w:r>
            <w:r w:rsidR="00176E05">
              <w:t>d</w:t>
            </w:r>
            <w:r w:rsidRPr="004356FB">
              <w:t>irect jobs</w:t>
            </w:r>
          </w:p>
          <w:p w14:paraId="7A95B52E" w14:textId="77777777" w:rsidR="004356FB" w:rsidRPr="004356FB" w:rsidRDefault="004356FB" w:rsidP="008C08CF">
            <w:pPr>
              <w:adjustRightInd/>
              <w:snapToGrid/>
              <w:spacing w:after="0" w:line="240" w:lineRule="auto"/>
            </w:pPr>
            <w:r w:rsidRPr="004356FB">
              <w:rPr>
                <w:b/>
                <w:bCs/>
              </w:rPr>
              <w:t xml:space="preserve">+5.4% </w:t>
            </w:r>
            <w:r w:rsidRPr="004356FB">
              <w:t>average</w:t>
            </w:r>
            <w:r w:rsidRPr="004356FB">
              <w:rPr>
                <w:b/>
                <w:bCs/>
              </w:rPr>
              <w:t xml:space="preserve"> </w:t>
            </w:r>
            <w:r w:rsidRPr="004356FB">
              <w:t>annual growth</w:t>
            </w:r>
          </w:p>
        </w:tc>
        <w:tc>
          <w:tcPr>
            <w:tcW w:w="3740" w:type="dxa"/>
            <w:tcBorders>
              <w:top w:val="single" w:sz="8" w:space="0" w:color="FFFFFF"/>
              <w:left w:val="single" w:sz="8" w:space="0" w:color="FFFFFF"/>
              <w:bottom w:val="single" w:sz="8" w:space="0" w:color="FFFFFF"/>
              <w:right w:val="single" w:sz="8" w:space="0" w:color="FFFFFF"/>
            </w:tcBorders>
            <w:shd w:val="clear" w:color="auto" w:fill="B0E0FF" w:themeFill="accent1" w:themeFillTint="33"/>
            <w:tcMar>
              <w:top w:w="15" w:type="dxa"/>
              <w:left w:w="65" w:type="dxa"/>
              <w:bottom w:w="0" w:type="dxa"/>
              <w:right w:w="65" w:type="dxa"/>
            </w:tcMar>
            <w:vAlign w:val="center"/>
            <w:hideMark/>
          </w:tcPr>
          <w:p w14:paraId="648CA8C3" w14:textId="07DB5F0C" w:rsidR="002800C4" w:rsidRDefault="004356FB" w:rsidP="008C08CF">
            <w:pPr>
              <w:adjustRightInd/>
              <w:snapToGrid/>
              <w:spacing w:after="0" w:line="240" w:lineRule="auto"/>
            </w:pPr>
            <w:r w:rsidRPr="004356FB">
              <w:rPr>
                <w:b/>
                <w:bCs/>
              </w:rPr>
              <w:t xml:space="preserve">30,000 </w:t>
            </w:r>
            <w:r w:rsidR="00176E05">
              <w:t>d</w:t>
            </w:r>
            <w:r w:rsidRPr="004356FB">
              <w:t>irect &amp; indirect jobs</w:t>
            </w:r>
            <w:r w:rsidR="002800C4">
              <w:t xml:space="preserve"> </w:t>
            </w:r>
          </w:p>
          <w:p w14:paraId="33CD3205" w14:textId="033333C9" w:rsidR="004356FB" w:rsidRPr="004356FB" w:rsidRDefault="002800C4" w:rsidP="008C08CF">
            <w:pPr>
              <w:adjustRightInd/>
              <w:snapToGrid/>
              <w:spacing w:after="0" w:line="240" w:lineRule="auto"/>
            </w:pPr>
            <w:r>
              <w:t>(which includes 20,000 new jobs)</w:t>
            </w:r>
          </w:p>
        </w:tc>
      </w:tr>
      <w:tr w:rsidR="004356FB" w:rsidRPr="004356FB" w14:paraId="75C42CD1" w14:textId="77777777" w:rsidTr="008C08CF">
        <w:trPr>
          <w:trHeight w:val="593"/>
        </w:trPr>
        <w:tc>
          <w:tcPr>
            <w:tcW w:w="1550" w:type="dxa"/>
            <w:tcBorders>
              <w:top w:val="single" w:sz="8" w:space="0" w:color="FFFFFF"/>
              <w:left w:val="single" w:sz="8" w:space="0" w:color="FFFFFF"/>
              <w:bottom w:val="single" w:sz="8" w:space="0" w:color="FFFFFF"/>
              <w:right w:val="single" w:sz="8" w:space="0" w:color="FFFFFF"/>
            </w:tcBorders>
            <w:shd w:val="clear" w:color="auto" w:fill="004976"/>
            <w:tcMar>
              <w:top w:w="43" w:type="dxa"/>
              <w:left w:w="86" w:type="dxa"/>
              <w:bottom w:w="43" w:type="dxa"/>
              <w:right w:w="86" w:type="dxa"/>
            </w:tcMar>
            <w:vAlign w:val="center"/>
            <w:hideMark/>
          </w:tcPr>
          <w:p w14:paraId="67D6639D"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Total Investment</w:t>
            </w:r>
          </w:p>
        </w:tc>
        <w:tc>
          <w:tcPr>
            <w:tcW w:w="1842" w:type="dxa"/>
            <w:tcBorders>
              <w:top w:val="single" w:sz="8" w:space="0" w:color="FFFFFF"/>
              <w:left w:val="single" w:sz="8" w:space="0" w:color="FFFFFF"/>
              <w:bottom w:val="single" w:sz="8" w:space="0" w:color="FFFFFF"/>
              <w:right w:val="single" w:sz="8" w:space="0" w:color="FFFFFF"/>
            </w:tcBorders>
            <w:shd w:val="clear" w:color="auto" w:fill="E7E9EC"/>
            <w:tcMar>
              <w:top w:w="15" w:type="dxa"/>
              <w:left w:w="65" w:type="dxa"/>
              <w:bottom w:w="0" w:type="dxa"/>
              <w:right w:w="65" w:type="dxa"/>
            </w:tcMar>
            <w:vAlign w:val="center"/>
            <w:hideMark/>
          </w:tcPr>
          <w:p w14:paraId="26B85C99" w14:textId="77777777" w:rsidR="004356FB" w:rsidRPr="004356FB" w:rsidRDefault="004356FB" w:rsidP="008C08CF">
            <w:pPr>
              <w:adjustRightInd/>
              <w:snapToGrid/>
              <w:spacing w:after="0" w:line="240" w:lineRule="auto"/>
            </w:pPr>
          </w:p>
        </w:tc>
        <w:tc>
          <w:tcPr>
            <w:tcW w:w="2976" w:type="dxa"/>
            <w:tcBorders>
              <w:top w:val="single" w:sz="8" w:space="0" w:color="FFFFFF"/>
              <w:left w:val="single" w:sz="8" w:space="0" w:color="FFFFFF"/>
              <w:bottom w:val="single" w:sz="8" w:space="0" w:color="FFFFFF"/>
              <w:right w:val="single" w:sz="8" w:space="0" w:color="FFFFFF"/>
            </w:tcBorders>
            <w:shd w:val="clear" w:color="auto" w:fill="E7E9EC"/>
            <w:tcMar>
              <w:top w:w="15" w:type="dxa"/>
              <w:left w:w="65" w:type="dxa"/>
              <w:bottom w:w="0" w:type="dxa"/>
              <w:right w:w="65" w:type="dxa"/>
            </w:tcMar>
            <w:vAlign w:val="center"/>
            <w:hideMark/>
          </w:tcPr>
          <w:p w14:paraId="09C515E7" w14:textId="77777777" w:rsidR="004356FB" w:rsidRPr="004356FB" w:rsidRDefault="004356FB" w:rsidP="008C08CF">
            <w:pPr>
              <w:adjustRightInd/>
              <w:snapToGrid/>
              <w:spacing w:after="0" w:line="240" w:lineRule="auto"/>
            </w:pPr>
            <w:r w:rsidRPr="004356FB">
              <w:rPr>
                <w:b/>
                <w:bCs/>
              </w:rPr>
              <w:t xml:space="preserve">$2.02 </w:t>
            </w:r>
            <w:r w:rsidRPr="004356FB">
              <w:t>billion</w:t>
            </w:r>
          </w:p>
          <w:p w14:paraId="68E5FADC" w14:textId="77777777" w:rsidR="004356FB" w:rsidRPr="004356FB" w:rsidRDefault="004356FB" w:rsidP="008C08CF">
            <w:pPr>
              <w:adjustRightInd/>
              <w:snapToGrid/>
              <w:spacing w:after="0" w:line="240" w:lineRule="auto"/>
            </w:pPr>
            <w:r w:rsidRPr="004356FB">
              <w:t>(at September 2020)</w:t>
            </w:r>
          </w:p>
        </w:tc>
        <w:tc>
          <w:tcPr>
            <w:tcW w:w="3740" w:type="dxa"/>
            <w:tcBorders>
              <w:top w:val="single" w:sz="8" w:space="0" w:color="FFFFFF"/>
              <w:left w:val="single" w:sz="8" w:space="0" w:color="FFFFFF"/>
              <w:bottom w:val="single" w:sz="8" w:space="0" w:color="FFFFFF"/>
              <w:right w:val="single" w:sz="8" w:space="0" w:color="FFFFFF"/>
            </w:tcBorders>
            <w:shd w:val="clear" w:color="auto" w:fill="B0E0FF" w:themeFill="accent1" w:themeFillTint="33"/>
            <w:tcMar>
              <w:top w:w="15" w:type="dxa"/>
              <w:left w:w="65" w:type="dxa"/>
              <w:bottom w:w="0" w:type="dxa"/>
              <w:right w:w="65" w:type="dxa"/>
            </w:tcMar>
            <w:vAlign w:val="center"/>
            <w:hideMark/>
          </w:tcPr>
          <w:p w14:paraId="59D5AFC0" w14:textId="77777777" w:rsidR="004356FB" w:rsidRPr="004356FB" w:rsidRDefault="004356FB" w:rsidP="008C08CF">
            <w:pPr>
              <w:adjustRightInd/>
              <w:snapToGrid/>
              <w:spacing w:after="0" w:line="240" w:lineRule="auto"/>
            </w:pPr>
            <w:r w:rsidRPr="004356FB">
              <w:rPr>
                <w:b/>
                <w:bCs/>
              </w:rPr>
              <w:t>N/A</w:t>
            </w:r>
          </w:p>
        </w:tc>
      </w:tr>
      <w:tr w:rsidR="004356FB" w:rsidRPr="004356FB" w14:paraId="715DB0F9" w14:textId="77777777" w:rsidTr="008C08CF">
        <w:trPr>
          <w:trHeight w:val="476"/>
        </w:trPr>
        <w:tc>
          <w:tcPr>
            <w:tcW w:w="1550" w:type="dxa"/>
            <w:tcBorders>
              <w:top w:val="single" w:sz="8" w:space="0" w:color="FFFFFF"/>
              <w:left w:val="single" w:sz="8" w:space="0" w:color="FFFFFF"/>
              <w:bottom w:val="single" w:sz="8" w:space="0" w:color="FFFFFF"/>
              <w:right w:val="single" w:sz="8" w:space="0" w:color="FFFFFF"/>
            </w:tcBorders>
            <w:shd w:val="clear" w:color="auto" w:fill="004976"/>
            <w:tcMar>
              <w:top w:w="43" w:type="dxa"/>
              <w:left w:w="86" w:type="dxa"/>
              <w:bottom w:w="43" w:type="dxa"/>
              <w:right w:w="86" w:type="dxa"/>
            </w:tcMar>
            <w:vAlign w:val="center"/>
            <w:hideMark/>
          </w:tcPr>
          <w:p w14:paraId="01F8467D"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Inbound</w:t>
            </w:r>
          </w:p>
          <w:p w14:paraId="2CB4E6EE" w14:textId="77777777" w:rsidR="004356FB" w:rsidRPr="00F51B5B" w:rsidRDefault="004356FB" w:rsidP="008C08CF">
            <w:pPr>
              <w:adjustRightInd/>
              <w:snapToGrid/>
              <w:spacing w:after="0" w:line="240" w:lineRule="auto"/>
              <w:rPr>
                <w:color w:val="FFFFFF" w:themeColor="background1"/>
              </w:rPr>
            </w:pPr>
            <w:r w:rsidRPr="00F51B5B">
              <w:rPr>
                <w:b/>
                <w:bCs/>
                <w:color w:val="FFFFFF" w:themeColor="background1"/>
              </w:rPr>
              <w:t>Investment</w:t>
            </w:r>
          </w:p>
        </w:tc>
        <w:tc>
          <w:tcPr>
            <w:tcW w:w="1842" w:type="dxa"/>
            <w:tcBorders>
              <w:top w:val="single" w:sz="8"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330BF0CF" w14:textId="77777777" w:rsidR="004356FB" w:rsidRPr="004356FB" w:rsidRDefault="004356FB" w:rsidP="008C08CF">
            <w:pPr>
              <w:adjustRightInd/>
              <w:snapToGrid/>
              <w:spacing w:after="0" w:line="240" w:lineRule="auto"/>
            </w:pPr>
          </w:p>
        </w:tc>
        <w:tc>
          <w:tcPr>
            <w:tcW w:w="2976" w:type="dxa"/>
            <w:tcBorders>
              <w:top w:val="single" w:sz="8" w:space="0" w:color="FFFFFF"/>
              <w:left w:val="single" w:sz="8" w:space="0" w:color="FFFFFF"/>
              <w:bottom w:val="single" w:sz="8" w:space="0" w:color="FFFFFF"/>
              <w:right w:val="single" w:sz="8" w:space="0" w:color="FFFFFF"/>
            </w:tcBorders>
            <w:shd w:val="clear" w:color="auto" w:fill="CBCFD6"/>
            <w:tcMar>
              <w:top w:w="15" w:type="dxa"/>
              <w:left w:w="65" w:type="dxa"/>
              <w:bottom w:w="0" w:type="dxa"/>
              <w:right w:w="65" w:type="dxa"/>
            </w:tcMar>
            <w:vAlign w:val="center"/>
            <w:hideMark/>
          </w:tcPr>
          <w:p w14:paraId="6C221674" w14:textId="77777777" w:rsidR="004356FB" w:rsidRPr="004356FB" w:rsidRDefault="004356FB" w:rsidP="008C08CF">
            <w:pPr>
              <w:adjustRightInd/>
              <w:snapToGrid/>
              <w:spacing w:after="0" w:line="240" w:lineRule="auto"/>
            </w:pPr>
            <w:r w:rsidRPr="004356FB">
              <w:rPr>
                <w:b/>
                <w:bCs/>
              </w:rPr>
              <w:t xml:space="preserve">$774.6 </w:t>
            </w:r>
            <w:r w:rsidRPr="004356FB">
              <w:t>million</w:t>
            </w:r>
          </w:p>
        </w:tc>
        <w:tc>
          <w:tcPr>
            <w:tcW w:w="3740" w:type="dxa"/>
            <w:tcBorders>
              <w:top w:val="single" w:sz="8" w:space="0" w:color="FFFFFF"/>
              <w:left w:val="single" w:sz="8" w:space="0" w:color="FFFFFF"/>
              <w:bottom w:val="single" w:sz="8" w:space="0" w:color="FFFFFF"/>
              <w:right w:val="single" w:sz="8" w:space="0" w:color="FFFFFF"/>
            </w:tcBorders>
            <w:shd w:val="clear" w:color="auto" w:fill="B0E0FF" w:themeFill="accent1" w:themeFillTint="33"/>
            <w:tcMar>
              <w:top w:w="15" w:type="dxa"/>
              <w:left w:w="65" w:type="dxa"/>
              <w:bottom w:w="0" w:type="dxa"/>
              <w:right w:w="65" w:type="dxa"/>
            </w:tcMar>
            <w:vAlign w:val="center"/>
            <w:hideMark/>
          </w:tcPr>
          <w:p w14:paraId="72C45780" w14:textId="62EB599B" w:rsidR="004356FB" w:rsidRPr="004356FB" w:rsidRDefault="004356FB" w:rsidP="008C08CF">
            <w:pPr>
              <w:adjustRightInd/>
              <w:snapToGrid/>
              <w:spacing w:after="0" w:line="240" w:lineRule="auto"/>
            </w:pPr>
            <w:r w:rsidRPr="004356FB">
              <w:rPr>
                <w:b/>
                <w:bCs/>
              </w:rPr>
              <w:t xml:space="preserve">$1 </w:t>
            </w:r>
            <w:r w:rsidRPr="004356FB">
              <w:t>billion</w:t>
            </w:r>
            <w:r w:rsidR="003C5410">
              <w:t xml:space="preserve"> (2025 Target)</w:t>
            </w:r>
          </w:p>
        </w:tc>
      </w:tr>
    </w:tbl>
    <w:p w14:paraId="2D2FFD63" w14:textId="4DBE5A8F" w:rsidR="00470E98" w:rsidRDefault="004B5330" w:rsidP="00470E98">
      <w:pPr>
        <w:adjustRightInd/>
        <w:snapToGrid/>
        <w:spacing w:after="0" w:line="240" w:lineRule="auto"/>
      </w:pPr>
      <w:r>
        <w:br w:type="textWrapping" w:clear="all"/>
      </w:r>
    </w:p>
    <w:p w14:paraId="6F12EDD7" w14:textId="7553A9B2" w:rsidR="00470E98" w:rsidRDefault="00470E98" w:rsidP="00F1397F">
      <w:pPr>
        <w:adjustRightInd/>
        <w:snapToGrid/>
        <w:spacing w:after="60" w:line="240" w:lineRule="auto"/>
      </w:pPr>
      <w:r w:rsidRPr="00BD2472">
        <w:t xml:space="preserve">Changes in the sector summarised in </w:t>
      </w:r>
      <w:r>
        <w:t>T</w:t>
      </w:r>
      <w:r w:rsidRPr="00BD2472">
        <w:t>able</w:t>
      </w:r>
      <w:r w:rsidR="004852D0">
        <w:t> </w:t>
      </w:r>
      <w:r w:rsidRPr="00BD2472">
        <w:t xml:space="preserve">1 </w:t>
      </w:r>
      <w:r w:rsidR="003621E6">
        <w:t xml:space="preserve">show </w:t>
      </w:r>
      <w:r w:rsidRPr="00BD2472">
        <w:t>that the sector is making positive progress towards the</w:t>
      </w:r>
      <w:r>
        <w:t xml:space="preserve"> Australian</w:t>
      </w:r>
      <w:r w:rsidRPr="00BD2472">
        <w:t xml:space="preserve"> Government’s goals to triple the size of the sector</w:t>
      </w:r>
      <w:r w:rsidR="00F55461">
        <w:t xml:space="preserve"> by 2030.</w:t>
      </w:r>
      <w:r w:rsidR="007141FF">
        <w:t xml:space="preserve"> </w:t>
      </w:r>
      <w:r>
        <w:t>The two years to FY19</w:t>
      </w:r>
      <w:r w:rsidR="007141FF">
        <w:t> </w:t>
      </w:r>
      <w:r>
        <w:t>saw:</w:t>
      </w:r>
    </w:p>
    <w:p w14:paraId="443B4385" w14:textId="7486929D" w:rsidR="00470E98" w:rsidRDefault="00470E98" w:rsidP="003621E6">
      <w:pPr>
        <w:numPr>
          <w:ilvl w:val="0"/>
          <w:numId w:val="37"/>
        </w:numPr>
        <w:adjustRightInd/>
        <w:snapToGrid/>
        <w:spacing w:after="60" w:line="240" w:lineRule="auto"/>
        <w:ind w:left="538" w:hanging="357"/>
        <w:textAlignment w:val="center"/>
        <w:rPr>
          <w:rFonts w:ascii="Calibri" w:eastAsia="Times New Roman" w:hAnsi="Calibri" w:cs="Calibri"/>
          <w:color w:val="000000"/>
          <w:szCs w:val="22"/>
          <w:lang w:eastAsia="en-AU"/>
        </w:rPr>
      </w:pPr>
      <w:r w:rsidRPr="00F6103F">
        <w:rPr>
          <w:rFonts w:ascii="Calibri" w:eastAsia="Times New Roman" w:hAnsi="Calibri" w:cs="Calibri"/>
          <w:color w:val="000000"/>
          <w:szCs w:val="22"/>
          <w:lang w:eastAsia="en-AU"/>
        </w:rPr>
        <w:t>An 1</w:t>
      </w:r>
      <w:r>
        <w:rPr>
          <w:rFonts w:ascii="Calibri" w:eastAsia="Times New Roman" w:hAnsi="Calibri" w:cs="Calibri"/>
          <w:color w:val="000000"/>
          <w:szCs w:val="22"/>
          <w:lang w:eastAsia="en-AU"/>
        </w:rPr>
        <w:t>1.3</w:t>
      </w:r>
      <w:r w:rsidRPr="00F6103F">
        <w:rPr>
          <w:rFonts w:ascii="Calibri" w:eastAsia="Times New Roman" w:hAnsi="Calibri" w:cs="Calibri"/>
          <w:color w:val="000000"/>
          <w:szCs w:val="22"/>
          <w:lang w:eastAsia="en-AU"/>
        </w:rPr>
        <w:t xml:space="preserve"> </w:t>
      </w:r>
      <w:r>
        <w:rPr>
          <w:rFonts w:ascii="Calibri" w:eastAsia="Times New Roman" w:hAnsi="Calibri" w:cs="Calibri"/>
          <w:color w:val="000000"/>
          <w:szCs w:val="22"/>
          <w:lang w:eastAsia="en-AU"/>
        </w:rPr>
        <w:t>per cent</w:t>
      </w:r>
      <w:r w:rsidRPr="00060C63">
        <w:rPr>
          <w:rFonts w:ascii="Calibri" w:eastAsia="Times New Roman" w:hAnsi="Calibri" w:cs="Calibri"/>
          <w:color w:val="000000"/>
          <w:szCs w:val="22"/>
          <w:lang w:eastAsia="en-AU"/>
        </w:rPr>
        <w:t xml:space="preserve"> increase in the number of organisations operating in the</w:t>
      </w:r>
      <w:r w:rsidRPr="000C42B5">
        <w:rPr>
          <w:rFonts w:ascii="Calibri" w:eastAsia="Times New Roman" w:hAnsi="Calibri" w:cs="Calibri"/>
          <w:color w:val="000000"/>
          <w:szCs w:val="22"/>
          <w:lang w:eastAsia="en-AU"/>
        </w:rPr>
        <w:t xml:space="preserve"> Australian space sector from </w:t>
      </w:r>
      <w:r w:rsidRPr="00C50C5F">
        <w:rPr>
          <w:rFonts w:ascii="Calibri" w:eastAsia="Times New Roman" w:hAnsi="Calibri" w:cs="Calibri"/>
          <w:color w:val="000000"/>
          <w:szCs w:val="22"/>
          <w:lang w:eastAsia="en-AU"/>
        </w:rPr>
        <w:t>FY17 to FY19.</w:t>
      </w:r>
    </w:p>
    <w:p w14:paraId="25C67AE4" w14:textId="77777777" w:rsidR="00470E98" w:rsidRPr="00B64DC4" w:rsidRDefault="00470E98" w:rsidP="003621E6">
      <w:pPr>
        <w:numPr>
          <w:ilvl w:val="0"/>
          <w:numId w:val="37"/>
        </w:numPr>
        <w:adjustRightInd/>
        <w:snapToGrid/>
        <w:spacing w:after="60" w:line="240" w:lineRule="auto"/>
        <w:ind w:left="538" w:hanging="357"/>
        <w:textAlignment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Increased employment with over 1,100 direct space jobs created between FY17 and FY19.</w:t>
      </w:r>
    </w:p>
    <w:p w14:paraId="4A654EB9" w14:textId="0E98F78E" w:rsidR="00470E98" w:rsidRPr="00406AE7" w:rsidRDefault="00F55461" w:rsidP="003621E6">
      <w:pPr>
        <w:numPr>
          <w:ilvl w:val="0"/>
          <w:numId w:val="37"/>
        </w:numPr>
        <w:adjustRightInd/>
        <w:snapToGrid/>
        <w:spacing w:after="60" w:line="240" w:lineRule="auto"/>
        <w:ind w:left="538" w:hanging="357"/>
        <w:textAlignment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Steady</w:t>
      </w:r>
      <w:r w:rsidR="00470E98" w:rsidRPr="00B64DC4">
        <w:rPr>
          <w:rFonts w:ascii="Calibri" w:eastAsia="Times New Roman" w:hAnsi="Calibri" w:cs="Calibri"/>
          <w:color w:val="000000"/>
          <w:szCs w:val="22"/>
          <w:lang w:eastAsia="en-AU"/>
        </w:rPr>
        <w:t xml:space="preserve"> </w:t>
      </w:r>
      <w:r>
        <w:rPr>
          <w:rFonts w:ascii="Calibri" w:eastAsia="Times New Roman" w:hAnsi="Calibri" w:cs="Calibri"/>
          <w:color w:val="000000"/>
          <w:szCs w:val="22"/>
          <w:lang w:eastAsia="en-AU"/>
        </w:rPr>
        <w:t>increase in s</w:t>
      </w:r>
      <w:r w:rsidR="00470E98">
        <w:rPr>
          <w:rFonts w:ascii="Calibri" w:eastAsia="Times New Roman" w:hAnsi="Calibri" w:cs="Calibri"/>
          <w:color w:val="000000"/>
          <w:szCs w:val="22"/>
          <w:lang w:eastAsia="en-AU"/>
        </w:rPr>
        <w:t>pace sector revenue</w:t>
      </w:r>
      <w:r>
        <w:rPr>
          <w:rFonts w:ascii="Calibri" w:eastAsia="Times New Roman" w:hAnsi="Calibri" w:cs="Calibri"/>
          <w:color w:val="000000"/>
          <w:szCs w:val="22"/>
          <w:lang w:eastAsia="en-AU"/>
        </w:rPr>
        <w:t>,</w:t>
      </w:r>
      <w:r w:rsidR="00470E98">
        <w:rPr>
          <w:rFonts w:ascii="Calibri" w:eastAsia="Times New Roman" w:hAnsi="Calibri" w:cs="Calibri"/>
          <w:color w:val="000000"/>
          <w:szCs w:val="22"/>
          <w:lang w:eastAsia="en-AU"/>
        </w:rPr>
        <w:t xml:space="preserve"> from $4.3 billion in FY17 to $4.6 billion in FY19, a 5.8 per cent </w:t>
      </w:r>
      <w:r w:rsidR="00470E98" w:rsidRPr="00406AE7">
        <w:rPr>
          <w:rFonts w:ascii="Calibri" w:eastAsia="Times New Roman" w:hAnsi="Calibri" w:cs="Calibri"/>
          <w:color w:val="000000"/>
          <w:szCs w:val="22"/>
          <w:lang w:eastAsia="en-AU"/>
        </w:rPr>
        <w:t>increase over the two years</w:t>
      </w:r>
      <w:r w:rsidRPr="00406AE7">
        <w:rPr>
          <w:rFonts w:ascii="Calibri" w:eastAsia="Times New Roman" w:hAnsi="Calibri" w:cs="Calibri"/>
          <w:color w:val="000000"/>
          <w:szCs w:val="22"/>
          <w:lang w:eastAsia="en-AU"/>
        </w:rPr>
        <w:t xml:space="preserve"> (</w:t>
      </w:r>
      <w:r w:rsidR="00470E98" w:rsidRPr="00406AE7">
        <w:rPr>
          <w:rFonts w:ascii="Calibri" w:eastAsia="Times New Roman" w:hAnsi="Calibri" w:cs="Calibri"/>
          <w:color w:val="000000"/>
          <w:szCs w:val="22"/>
          <w:lang w:eastAsia="en-AU"/>
        </w:rPr>
        <w:t>an average annual growth rate of 2.9 per cent</w:t>
      </w:r>
      <w:r w:rsidRPr="00406AE7">
        <w:rPr>
          <w:rFonts w:ascii="Calibri" w:eastAsia="Times New Roman" w:hAnsi="Calibri" w:cs="Calibri"/>
          <w:color w:val="000000"/>
          <w:szCs w:val="22"/>
          <w:lang w:eastAsia="en-AU"/>
        </w:rPr>
        <w:t>)</w:t>
      </w:r>
      <w:r w:rsidR="00470E98" w:rsidRPr="00406AE7">
        <w:rPr>
          <w:rFonts w:ascii="Calibri" w:eastAsia="Times New Roman" w:hAnsi="Calibri" w:cs="Calibri"/>
          <w:color w:val="000000"/>
          <w:szCs w:val="22"/>
          <w:lang w:eastAsia="en-AU"/>
        </w:rPr>
        <w:t>.</w:t>
      </w:r>
    </w:p>
    <w:p w14:paraId="2B89FD81" w14:textId="3182E299" w:rsidR="00470E98" w:rsidRPr="00406AE7" w:rsidRDefault="00470E98" w:rsidP="00F1397F">
      <w:pPr>
        <w:numPr>
          <w:ilvl w:val="0"/>
          <w:numId w:val="37"/>
        </w:numPr>
        <w:adjustRightInd/>
        <w:snapToGrid/>
        <w:spacing w:after="120" w:line="240" w:lineRule="auto"/>
        <w:ind w:left="538" w:hanging="357"/>
        <w:textAlignment w:val="center"/>
        <w:rPr>
          <w:rFonts w:ascii="Calibri" w:eastAsia="Times New Roman" w:hAnsi="Calibri" w:cs="Calibri"/>
          <w:color w:val="000000"/>
          <w:szCs w:val="22"/>
          <w:lang w:eastAsia="en-AU"/>
        </w:rPr>
      </w:pPr>
      <w:r w:rsidRPr="00406AE7">
        <w:rPr>
          <w:rFonts w:ascii="Calibri" w:eastAsia="Times New Roman" w:hAnsi="Calibri" w:cs="Calibri"/>
          <w:color w:val="000000"/>
          <w:szCs w:val="22"/>
          <w:lang w:eastAsia="en-AU"/>
        </w:rPr>
        <w:t>Australia’s space industry revenue as a percentage of Gross Domestic Product (GDP) is small (relative to the OECD average)</w:t>
      </w:r>
      <w:r w:rsidR="00720114">
        <w:rPr>
          <w:rFonts w:ascii="Calibri" w:eastAsia="Times New Roman" w:hAnsi="Calibri" w:cs="Calibri"/>
          <w:color w:val="000000"/>
          <w:szCs w:val="22"/>
          <w:lang w:eastAsia="en-AU"/>
        </w:rPr>
        <w:t xml:space="preserve"> at approximately 0.25 per cent</w:t>
      </w:r>
      <w:r w:rsidRPr="00406AE7">
        <w:rPr>
          <w:rStyle w:val="FootnoteReference"/>
          <w:rFonts w:eastAsia="Times New Roman"/>
          <w:color w:val="000000"/>
          <w:szCs w:val="22"/>
          <w:lang w:eastAsia="en-AU"/>
        </w:rPr>
        <w:footnoteReference w:id="7"/>
      </w:r>
      <w:r w:rsidRPr="00406AE7">
        <w:rPr>
          <w:rFonts w:ascii="Calibri" w:eastAsia="Times New Roman" w:hAnsi="Calibri" w:cs="Calibri"/>
          <w:color w:val="000000"/>
          <w:szCs w:val="22"/>
          <w:lang w:eastAsia="en-AU"/>
        </w:rPr>
        <w:t>.</w:t>
      </w:r>
    </w:p>
    <w:p w14:paraId="67CEFFB9" w14:textId="4B3D4084" w:rsidR="00470E98" w:rsidRDefault="00F55461" w:rsidP="00F55461">
      <w:pPr>
        <w:adjustRightInd/>
        <w:snapToGrid/>
        <w:spacing w:after="220" w:line="240" w:lineRule="auto"/>
        <w:textAlignment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 xml:space="preserve">Further, a </w:t>
      </w:r>
      <w:r w:rsidR="00470E98">
        <w:rPr>
          <w:rFonts w:ascii="Calibri" w:eastAsia="Times New Roman" w:hAnsi="Calibri" w:cs="Calibri"/>
          <w:color w:val="000000"/>
          <w:szCs w:val="22"/>
          <w:lang w:eastAsia="en-AU"/>
        </w:rPr>
        <w:t>g</w:t>
      </w:r>
      <w:r w:rsidR="00470E98" w:rsidRPr="00B64DC4">
        <w:rPr>
          <w:rFonts w:ascii="Calibri" w:eastAsia="Times New Roman" w:hAnsi="Calibri" w:cs="Calibri"/>
          <w:color w:val="000000"/>
          <w:szCs w:val="22"/>
          <w:lang w:eastAsia="en-AU"/>
        </w:rPr>
        <w:t xml:space="preserve">rowing investment </w:t>
      </w:r>
      <w:r w:rsidR="00470E98">
        <w:rPr>
          <w:rFonts w:ascii="Calibri" w:eastAsia="Times New Roman" w:hAnsi="Calibri" w:cs="Calibri"/>
          <w:color w:val="000000"/>
          <w:szCs w:val="22"/>
          <w:lang w:eastAsia="en-AU"/>
        </w:rPr>
        <w:t>pipeline</w:t>
      </w:r>
      <w:r w:rsidR="00470E98" w:rsidRPr="00B64DC4">
        <w:rPr>
          <w:rFonts w:ascii="Calibri" w:eastAsia="Times New Roman" w:hAnsi="Calibri" w:cs="Calibri"/>
          <w:color w:val="000000"/>
          <w:szCs w:val="22"/>
          <w:lang w:eastAsia="en-AU"/>
        </w:rPr>
        <w:t xml:space="preserve"> into the Australian civil space sector</w:t>
      </w:r>
      <w:r>
        <w:rPr>
          <w:rFonts w:ascii="Calibri" w:eastAsia="Times New Roman" w:hAnsi="Calibri" w:cs="Calibri"/>
          <w:color w:val="000000"/>
          <w:szCs w:val="22"/>
          <w:lang w:eastAsia="en-AU"/>
        </w:rPr>
        <w:t xml:space="preserve"> has been identified, valued at </w:t>
      </w:r>
      <w:r w:rsidR="005767CD">
        <w:rPr>
          <w:rFonts w:ascii="Calibri" w:eastAsia="Times New Roman" w:hAnsi="Calibri" w:cs="Calibri"/>
          <w:color w:val="000000"/>
          <w:szCs w:val="22"/>
          <w:lang w:eastAsia="en-AU"/>
        </w:rPr>
        <w:t xml:space="preserve">a total of approximately </w:t>
      </w:r>
      <w:r>
        <w:rPr>
          <w:rFonts w:ascii="Calibri" w:eastAsia="Times New Roman" w:hAnsi="Calibri" w:cs="Calibri"/>
          <w:color w:val="000000"/>
          <w:szCs w:val="22"/>
          <w:lang w:eastAsia="en-AU"/>
        </w:rPr>
        <w:t>$2.02 billion. This</w:t>
      </w:r>
      <w:r w:rsidR="00470E98">
        <w:rPr>
          <w:rFonts w:ascii="Calibri" w:eastAsia="Times New Roman" w:hAnsi="Calibri" w:cs="Calibri"/>
          <w:color w:val="000000"/>
          <w:szCs w:val="22"/>
          <w:lang w:eastAsia="en-AU"/>
        </w:rPr>
        <w:t xml:space="preserve"> includes $774.6 million inbound investment from private industry and international space agencies</w:t>
      </w:r>
      <w:r w:rsidR="00470E98" w:rsidRPr="00B64DC4">
        <w:rPr>
          <w:rFonts w:ascii="Calibri" w:eastAsia="Times New Roman" w:hAnsi="Calibri" w:cs="Calibri"/>
          <w:color w:val="000000"/>
          <w:szCs w:val="22"/>
          <w:lang w:eastAsia="en-AU"/>
        </w:rPr>
        <w:t>.</w:t>
      </w:r>
    </w:p>
    <w:p w14:paraId="7E1143C5" w14:textId="1B7CF5A1" w:rsidR="00F55461" w:rsidRDefault="00F55461" w:rsidP="00470E98">
      <w:r>
        <w:t xml:space="preserve">While these results indicate progress to </w:t>
      </w:r>
      <w:r w:rsidR="00FE1A5D">
        <w:t>FY19</w:t>
      </w:r>
      <w:r w:rsidR="00A34B4D">
        <w:t xml:space="preserve"> </w:t>
      </w:r>
      <w:r>
        <w:t xml:space="preserve">and a promising pipeline of future investment, the Agency has </w:t>
      </w:r>
      <w:r w:rsidR="00FE1A5D">
        <w:t xml:space="preserve">since </w:t>
      </w:r>
      <w:r>
        <w:t xml:space="preserve">been implementing a national plan to achieve the goals </w:t>
      </w:r>
      <w:r w:rsidR="000865F0">
        <w:t>a</w:t>
      </w:r>
      <w:r>
        <w:t xml:space="preserve">s set out in the Strategy under four strategic pillars: International, National, Responsible and Inspire. </w:t>
      </w:r>
      <w:r w:rsidR="00B633F9">
        <w:t xml:space="preserve">Since </w:t>
      </w:r>
      <w:r w:rsidR="0096557B">
        <w:t>FY</w:t>
      </w:r>
      <w:r w:rsidR="00B633F9">
        <w:t>19, t</w:t>
      </w:r>
      <w:r>
        <w:t xml:space="preserve">he </w:t>
      </w:r>
      <w:r w:rsidR="00B633F9">
        <w:t xml:space="preserve">Agency has been delivering </w:t>
      </w:r>
      <w:r w:rsidR="007A06CE">
        <w:t xml:space="preserve">the Australian Government’s civil space programs </w:t>
      </w:r>
      <w:r w:rsidR="0047293C">
        <w:t>the $</w:t>
      </w:r>
      <w:r w:rsidR="00AC405B">
        <w:t>15</w:t>
      </w:r>
      <w:r w:rsidR="0047293C">
        <w:t> million International Space Investment (ISI) Initiative</w:t>
      </w:r>
      <w:r w:rsidR="00B66DBA">
        <w:t>,</w:t>
      </w:r>
      <w:r w:rsidR="0047293C">
        <w:t xml:space="preserve"> the $19.5 </w:t>
      </w:r>
      <w:r w:rsidR="0047293C" w:rsidRPr="00AC405B">
        <w:t>million Space Infrastructure Fund (SIF</w:t>
      </w:r>
      <w:r w:rsidR="0047293C">
        <w:t>)</w:t>
      </w:r>
      <w:r w:rsidR="00B66DBA">
        <w:t xml:space="preserve"> and the $150 million Moon to Mars initiative to accelerate the growth of Australia’s space sector</w:t>
      </w:r>
      <w:r w:rsidR="0047293C">
        <w:t>.</w:t>
      </w:r>
      <w:r w:rsidR="00286618">
        <w:t xml:space="preserve"> </w:t>
      </w:r>
      <w:r w:rsidR="00286618" w:rsidRPr="00286618">
        <w:t>Further, the Australian Government’s Modern Manufacturing Strategy</w:t>
      </w:r>
      <w:r w:rsidR="00286618" w:rsidRPr="00286618">
        <w:rPr>
          <w:rStyle w:val="FootnoteReference"/>
        </w:rPr>
        <w:footnoteReference w:id="8"/>
      </w:r>
      <w:r w:rsidR="00286618" w:rsidRPr="00286618">
        <w:t xml:space="preserve"> </w:t>
      </w:r>
      <w:r w:rsidR="00D445E0">
        <w:t xml:space="preserve">identifies space as a priority area for action, </w:t>
      </w:r>
      <w:r w:rsidR="00286618" w:rsidRPr="00286618">
        <w:t xml:space="preserve">as part of its commitment to </w:t>
      </w:r>
      <w:r w:rsidR="00455295">
        <w:t>scaling</w:t>
      </w:r>
      <w:r w:rsidR="00286618" w:rsidRPr="00286618">
        <w:t xml:space="preserve"> a strong</w:t>
      </w:r>
      <w:r w:rsidR="00D445E0">
        <w:t>,</w:t>
      </w:r>
      <w:r w:rsidR="00286618" w:rsidRPr="00286618">
        <w:t xml:space="preserve"> modern and resilient economy.</w:t>
      </w:r>
      <w:r w:rsidR="007141FF">
        <w:t xml:space="preserve"> </w:t>
      </w:r>
      <w:r w:rsidR="00B633F9">
        <w:t xml:space="preserve">The impacts of these and other initiatives </w:t>
      </w:r>
      <w:r w:rsidR="00B633F9" w:rsidRPr="00B633F9">
        <w:t>will</w:t>
      </w:r>
      <w:r w:rsidR="00B633F9">
        <w:rPr>
          <w:i/>
        </w:rPr>
        <w:t xml:space="preserve"> </w:t>
      </w:r>
      <w:r w:rsidR="00B633F9">
        <w:t xml:space="preserve">be presented in the next report, </w:t>
      </w:r>
      <w:r w:rsidR="00220137">
        <w:t xml:space="preserve">anticipated to </w:t>
      </w:r>
      <w:r w:rsidR="00B633F9">
        <w:t xml:space="preserve">cover the period </w:t>
      </w:r>
      <w:r w:rsidR="0096557B">
        <w:t>FY</w:t>
      </w:r>
      <w:r w:rsidR="00B633F9">
        <w:t xml:space="preserve">19 to 2020-21, when the Agency will be </w:t>
      </w:r>
      <w:r w:rsidR="00220137">
        <w:t>entering</w:t>
      </w:r>
      <w:r w:rsidR="00B633F9">
        <w:t xml:space="preserve"> Phase 3 of the Strategy: </w:t>
      </w:r>
      <w:r w:rsidR="00B633F9" w:rsidRPr="00B633F9">
        <w:rPr>
          <w:i/>
        </w:rPr>
        <w:t>Delivering success</w:t>
      </w:r>
      <w:r w:rsidR="00B633F9">
        <w:rPr>
          <w:i/>
        </w:rPr>
        <w:t xml:space="preserve"> (2021-2028)</w:t>
      </w:r>
      <w:r w:rsidR="00B633F9">
        <w:t>.</w:t>
      </w:r>
    </w:p>
    <w:p w14:paraId="4BDDE1B0" w14:textId="54B546A9" w:rsidR="00D74550" w:rsidRPr="00470E98" w:rsidRDefault="00F55461" w:rsidP="00470E98">
      <w:bookmarkStart w:id="8" w:name="_Toc37336900"/>
      <w:bookmarkStart w:id="9" w:name="_Toc37691787"/>
      <w:bookmarkStart w:id="10" w:name="_Toc37941691"/>
      <w:bookmarkStart w:id="11" w:name="_Toc38007851"/>
      <w:r w:rsidRPr="00470E98">
        <w:t>Following t</w:t>
      </w:r>
      <w:r>
        <w:t>his</w:t>
      </w:r>
      <w:r w:rsidRPr="00470E98">
        <w:t xml:space="preserve"> Overview, </w:t>
      </w:r>
      <w:r>
        <w:t>Chapter</w:t>
      </w:r>
      <w:r w:rsidR="00D25145">
        <w:t> </w:t>
      </w:r>
      <w:r>
        <w:t xml:space="preserve">2 </w:t>
      </w:r>
      <w:r w:rsidR="00B66DBA">
        <w:t xml:space="preserve">sets </w:t>
      </w:r>
      <w:r>
        <w:t xml:space="preserve">out the tools to be used to measure Australia’s space sector, including defining the space sector and identifying analytical frameworks and key indicators. Chapter 3 examines the space sector in </w:t>
      </w:r>
      <w:r w:rsidR="005C6BDD">
        <w:t>FY</w:t>
      </w:r>
      <w:r>
        <w:t>17, while Chapter</w:t>
      </w:r>
      <w:r w:rsidR="00C3089E">
        <w:t> </w:t>
      </w:r>
      <w:r>
        <w:t xml:space="preserve">4 assesses </w:t>
      </w:r>
      <w:r w:rsidR="005C6BDD">
        <w:t>FY</w:t>
      </w:r>
      <w:r>
        <w:t>19</w:t>
      </w:r>
      <w:r w:rsidR="005C6BDD">
        <w:t xml:space="preserve"> </w:t>
      </w:r>
      <w:r>
        <w:t xml:space="preserve">– and presents a comparative analysis of the sector between the two years. Chapter 5 looks to the future, presenting an analysis of an identified pipeline of future investment in Australia’s space sector and an overview of the possible impacts of the COVID-19 global pandemic on the sector. </w:t>
      </w:r>
      <w:r w:rsidR="00D74550">
        <w:br w:type="page"/>
      </w:r>
    </w:p>
    <w:p w14:paraId="0C6A7BB0" w14:textId="16A2331A" w:rsidR="00015C35" w:rsidRDefault="00056FC0" w:rsidP="00F51B5B">
      <w:pPr>
        <w:pStyle w:val="Heading1"/>
        <w:numPr>
          <w:ilvl w:val="0"/>
          <w:numId w:val="49"/>
        </w:numPr>
        <w:ind w:hanging="720"/>
      </w:pPr>
      <w:bookmarkStart w:id="12" w:name="_Toc54342160"/>
      <w:bookmarkStart w:id="13" w:name="_Toc54794974"/>
      <w:bookmarkStart w:id="14" w:name="_Toc55990304"/>
      <w:bookmarkStart w:id="15" w:name="_Toc62635433"/>
      <w:r>
        <w:lastRenderedPageBreak/>
        <w:t>Measuring Australia’s</w:t>
      </w:r>
      <w:r w:rsidR="00015C35">
        <w:t xml:space="preserve"> space </w:t>
      </w:r>
      <w:bookmarkEnd w:id="12"/>
      <w:bookmarkEnd w:id="13"/>
      <w:r>
        <w:t>sector</w:t>
      </w:r>
      <w:bookmarkEnd w:id="14"/>
      <w:bookmarkEnd w:id="15"/>
    </w:p>
    <w:p w14:paraId="2ED84FAC" w14:textId="2A30998C" w:rsidR="00176EC7" w:rsidRDefault="00F807BB" w:rsidP="00277A62">
      <w:pPr>
        <w:rPr>
          <w:rFonts w:cstheme="minorHAnsi"/>
          <w:szCs w:val="22"/>
        </w:rPr>
      </w:pPr>
      <w:r>
        <w:t xml:space="preserve">This </w:t>
      </w:r>
      <w:r w:rsidR="00170FEC">
        <w:t>chapter</w:t>
      </w:r>
      <w:r>
        <w:t xml:space="preserve"> of the report sets out </w:t>
      </w:r>
      <w:r w:rsidR="00330D2F">
        <w:t xml:space="preserve">definitions </w:t>
      </w:r>
      <w:r w:rsidR="00C0030F">
        <w:t xml:space="preserve">for </w:t>
      </w:r>
      <w:r w:rsidR="00537312">
        <w:t xml:space="preserve">the </w:t>
      </w:r>
      <w:r w:rsidR="00537312" w:rsidRPr="00E5470A">
        <w:rPr>
          <w:rFonts w:cstheme="minorHAnsi"/>
          <w:szCs w:val="22"/>
        </w:rPr>
        <w:t xml:space="preserve">space sector and </w:t>
      </w:r>
      <w:r w:rsidR="00C0030F" w:rsidRPr="00E5470A">
        <w:rPr>
          <w:rFonts w:cstheme="minorHAnsi"/>
          <w:szCs w:val="22"/>
        </w:rPr>
        <w:t xml:space="preserve">the broader </w:t>
      </w:r>
      <w:r w:rsidR="00537312" w:rsidRPr="00E5470A">
        <w:rPr>
          <w:rFonts w:cstheme="minorHAnsi"/>
          <w:szCs w:val="22"/>
        </w:rPr>
        <w:t xml:space="preserve">space economy </w:t>
      </w:r>
      <w:r>
        <w:rPr>
          <w:rFonts w:cstheme="minorHAnsi"/>
          <w:szCs w:val="22"/>
        </w:rPr>
        <w:t>t</w:t>
      </w:r>
      <w:r>
        <w:t xml:space="preserve">o ensure </w:t>
      </w:r>
      <w:r w:rsidR="008C51EB">
        <w:t xml:space="preserve">a common understanding and consistent measurement of </w:t>
      </w:r>
      <w:r>
        <w:t xml:space="preserve">the complex dynamics of Australia’s space </w:t>
      </w:r>
      <w:r w:rsidR="00396FD5">
        <w:t>sector</w:t>
      </w:r>
      <w:r w:rsidR="00C0030F" w:rsidRPr="00E5470A">
        <w:rPr>
          <w:rFonts w:cstheme="minorHAnsi"/>
          <w:szCs w:val="22"/>
        </w:rPr>
        <w:t>.</w:t>
      </w:r>
      <w:r w:rsidR="00143AFA">
        <w:rPr>
          <w:rFonts w:cstheme="minorHAnsi"/>
          <w:szCs w:val="22"/>
        </w:rPr>
        <w:t xml:space="preserve"> This chapter also explains key indicators used to track the progress towards Australian Government targets.</w:t>
      </w:r>
    </w:p>
    <w:p w14:paraId="40C03D75" w14:textId="54190E71" w:rsidR="00373020" w:rsidRPr="00F55461" w:rsidRDefault="00C0030F" w:rsidP="00277A62">
      <w:pPr>
        <w:rPr>
          <w:color w:val="auto"/>
        </w:rPr>
      </w:pPr>
      <w:r w:rsidRPr="00F55461">
        <w:rPr>
          <w:rFonts w:cstheme="minorHAnsi"/>
          <w:color w:val="auto"/>
          <w:szCs w:val="22"/>
        </w:rPr>
        <w:t>Th</w:t>
      </w:r>
      <w:r w:rsidR="00396FD5">
        <w:rPr>
          <w:rFonts w:cstheme="minorHAnsi"/>
          <w:color w:val="auto"/>
          <w:szCs w:val="22"/>
        </w:rPr>
        <w:t>e</w:t>
      </w:r>
      <w:r w:rsidR="00176EC7" w:rsidRPr="00F55461">
        <w:rPr>
          <w:rFonts w:cstheme="minorHAnsi"/>
          <w:color w:val="auto"/>
          <w:szCs w:val="22"/>
        </w:rPr>
        <w:t xml:space="preserve"> definition of the space sector</w:t>
      </w:r>
      <w:r w:rsidRPr="00F55461">
        <w:rPr>
          <w:rFonts w:cstheme="minorHAnsi"/>
          <w:color w:val="auto"/>
          <w:szCs w:val="22"/>
        </w:rPr>
        <w:t xml:space="preserve"> </w:t>
      </w:r>
      <w:r w:rsidR="00396FD5">
        <w:rPr>
          <w:rFonts w:cstheme="minorHAnsi"/>
          <w:color w:val="auto"/>
          <w:szCs w:val="22"/>
        </w:rPr>
        <w:t xml:space="preserve">used in this report </w:t>
      </w:r>
      <w:r w:rsidR="009C5953">
        <w:rPr>
          <w:rFonts w:cstheme="minorHAnsi"/>
          <w:color w:val="auto"/>
          <w:szCs w:val="22"/>
        </w:rPr>
        <w:t xml:space="preserve">(see 2.1) </w:t>
      </w:r>
      <w:r w:rsidRPr="00F55461">
        <w:rPr>
          <w:rFonts w:cstheme="minorHAnsi"/>
          <w:color w:val="auto"/>
          <w:szCs w:val="22"/>
        </w:rPr>
        <w:t>draw</w:t>
      </w:r>
      <w:r w:rsidR="00176EC7" w:rsidRPr="00F55461">
        <w:rPr>
          <w:rFonts w:cstheme="minorHAnsi"/>
          <w:color w:val="auto"/>
          <w:szCs w:val="22"/>
        </w:rPr>
        <w:t>s</w:t>
      </w:r>
      <w:r w:rsidRPr="00F55461">
        <w:rPr>
          <w:rFonts w:cstheme="minorHAnsi"/>
          <w:color w:val="auto"/>
          <w:szCs w:val="22"/>
        </w:rPr>
        <w:t xml:space="preserve"> upon </w:t>
      </w:r>
      <w:r w:rsidR="00176EC7" w:rsidRPr="00F55461">
        <w:rPr>
          <w:rFonts w:cstheme="minorHAnsi"/>
          <w:color w:val="auto"/>
          <w:szCs w:val="22"/>
          <w:shd w:val="clear" w:color="auto" w:fill="FFFFFF"/>
        </w:rPr>
        <w:t>the current Organisation for Economic Cooperation and Development (OECD) definition for the space economy</w:t>
      </w:r>
      <w:r w:rsidR="009C5953">
        <w:rPr>
          <w:rFonts w:cstheme="minorHAnsi"/>
          <w:color w:val="auto"/>
          <w:szCs w:val="22"/>
          <w:shd w:val="clear" w:color="auto" w:fill="FFFFFF"/>
        </w:rPr>
        <w:t xml:space="preserve"> (see 2.2)</w:t>
      </w:r>
      <w:r w:rsidR="00176EC7" w:rsidRPr="00F55461">
        <w:rPr>
          <w:rFonts w:cstheme="minorHAnsi"/>
          <w:color w:val="auto"/>
          <w:szCs w:val="22"/>
          <w:shd w:val="clear" w:color="auto" w:fill="FFFFFF"/>
        </w:rPr>
        <w:t xml:space="preserve">. The OECD </w:t>
      </w:r>
      <w:r w:rsidR="00A214E5">
        <w:rPr>
          <w:rFonts w:cstheme="minorHAnsi"/>
          <w:color w:val="auto"/>
          <w:szCs w:val="22"/>
          <w:shd w:val="clear" w:color="auto" w:fill="FFFFFF"/>
        </w:rPr>
        <w:t xml:space="preserve">space economy </w:t>
      </w:r>
      <w:r w:rsidR="00176EC7" w:rsidRPr="00F55461">
        <w:rPr>
          <w:rFonts w:cstheme="minorHAnsi"/>
          <w:color w:val="auto"/>
          <w:szCs w:val="22"/>
          <w:shd w:val="clear" w:color="auto" w:fill="FFFFFF"/>
        </w:rPr>
        <w:t>definition has also been used by New</w:t>
      </w:r>
      <w:r w:rsidR="00294122" w:rsidRPr="00F55461">
        <w:rPr>
          <w:rFonts w:cstheme="minorHAnsi"/>
          <w:color w:val="auto"/>
          <w:szCs w:val="22"/>
          <w:shd w:val="clear" w:color="auto" w:fill="FFFFFF"/>
        </w:rPr>
        <w:t> </w:t>
      </w:r>
      <w:r w:rsidR="00176EC7" w:rsidRPr="00F55461">
        <w:rPr>
          <w:rFonts w:cstheme="minorHAnsi"/>
          <w:color w:val="auto"/>
          <w:szCs w:val="22"/>
          <w:shd w:val="clear" w:color="auto" w:fill="FFFFFF"/>
        </w:rPr>
        <w:t>Zealand</w:t>
      </w:r>
      <w:r w:rsidR="00FE4EAA">
        <w:rPr>
          <w:rStyle w:val="FootnoteReference"/>
          <w:color w:val="auto"/>
          <w:szCs w:val="22"/>
          <w:shd w:val="clear" w:color="auto" w:fill="FFFFFF"/>
        </w:rPr>
        <w:footnoteReference w:id="9"/>
      </w:r>
      <w:r w:rsidR="00176EC7" w:rsidRPr="00F55461">
        <w:rPr>
          <w:rFonts w:cstheme="minorHAnsi"/>
          <w:color w:val="auto"/>
          <w:szCs w:val="22"/>
          <w:shd w:val="clear" w:color="auto" w:fill="FFFFFF"/>
        </w:rPr>
        <w:t>, Canada</w:t>
      </w:r>
      <w:r w:rsidR="00FE4EAA">
        <w:rPr>
          <w:rStyle w:val="FootnoteReference"/>
          <w:color w:val="auto"/>
          <w:szCs w:val="22"/>
          <w:shd w:val="clear" w:color="auto" w:fill="FFFFFF"/>
        </w:rPr>
        <w:footnoteReference w:id="10"/>
      </w:r>
      <w:r w:rsidR="00A04C5F">
        <w:rPr>
          <w:rFonts w:cstheme="minorHAnsi"/>
          <w:color w:val="auto"/>
          <w:szCs w:val="22"/>
          <w:shd w:val="clear" w:color="auto" w:fill="FFFFFF"/>
        </w:rPr>
        <w:t xml:space="preserve"> </w:t>
      </w:r>
      <w:r w:rsidR="00176EC7" w:rsidRPr="00F55461">
        <w:rPr>
          <w:rFonts w:cstheme="minorHAnsi"/>
          <w:color w:val="auto"/>
          <w:szCs w:val="22"/>
          <w:shd w:val="clear" w:color="auto" w:fill="FFFFFF"/>
        </w:rPr>
        <w:t>and the United Kingdom</w:t>
      </w:r>
      <w:r w:rsidR="00FE4EAA">
        <w:rPr>
          <w:rStyle w:val="FootnoteReference"/>
          <w:color w:val="auto"/>
          <w:szCs w:val="22"/>
          <w:shd w:val="clear" w:color="auto" w:fill="FFFFFF"/>
        </w:rPr>
        <w:footnoteReference w:id="11"/>
      </w:r>
      <w:r w:rsidR="00176EC7" w:rsidRPr="00F55461">
        <w:rPr>
          <w:rFonts w:cstheme="minorHAnsi"/>
          <w:color w:val="auto"/>
          <w:szCs w:val="22"/>
          <w:shd w:val="clear" w:color="auto" w:fill="FFFFFF"/>
        </w:rPr>
        <w:t>. Us</w:t>
      </w:r>
      <w:r w:rsidR="00396FD5">
        <w:rPr>
          <w:rFonts w:cstheme="minorHAnsi"/>
          <w:color w:val="auto"/>
          <w:szCs w:val="22"/>
          <w:shd w:val="clear" w:color="auto" w:fill="FFFFFF"/>
        </w:rPr>
        <w:t>ing</w:t>
      </w:r>
      <w:r w:rsidR="00176EC7" w:rsidRPr="00F55461">
        <w:rPr>
          <w:rFonts w:cstheme="minorHAnsi"/>
          <w:color w:val="auto"/>
          <w:szCs w:val="22"/>
          <w:shd w:val="clear" w:color="auto" w:fill="FFFFFF"/>
        </w:rPr>
        <w:t xml:space="preserve"> th</w:t>
      </w:r>
      <w:r w:rsidR="00176EC7" w:rsidRPr="00F55461">
        <w:rPr>
          <w:color w:val="auto"/>
        </w:rPr>
        <w:t>is definition ensures consistency in measurement in Australia’s space sector as it grows and evolves</w:t>
      </w:r>
      <w:r w:rsidR="00A34B4D">
        <w:rPr>
          <w:color w:val="auto"/>
        </w:rPr>
        <w:t>,</w:t>
      </w:r>
      <w:r w:rsidR="00176EC7" w:rsidRPr="00F55461">
        <w:rPr>
          <w:color w:val="auto"/>
        </w:rPr>
        <w:t xml:space="preserve"> and allows for comparability and consistency with other international space sectors.</w:t>
      </w:r>
    </w:p>
    <w:p w14:paraId="0C838D1D" w14:textId="3A770B6F" w:rsidR="004D34B5" w:rsidRPr="004D34B5" w:rsidRDefault="00056FC0" w:rsidP="009D4DEA">
      <w:pPr>
        <w:pStyle w:val="Heading2"/>
        <w:numPr>
          <w:ilvl w:val="1"/>
          <w:numId w:val="49"/>
        </w:numPr>
      </w:pPr>
      <w:bookmarkStart w:id="16" w:name="_Toc54794975"/>
      <w:bookmarkStart w:id="17" w:name="_Toc55990305"/>
      <w:bookmarkStart w:id="18" w:name="_Toc62635434"/>
      <w:r>
        <w:t xml:space="preserve">Defining </w:t>
      </w:r>
      <w:r w:rsidR="004D34B5" w:rsidRPr="00277A62">
        <w:t xml:space="preserve">the </w:t>
      </w:r>
      <w:r w:rsidR="00176E05">
        <w:t>s</w:t>
      </w:r>
      <w:r w:rsidR="00176E05" w:rsidRPr="00277A62">
        <w:t>ector</w:t>
      </w:r>
      <w:bookmarkEnd w:id="16"/>
      <w:r w:rsidR="00AE26D5">
        <w:t xml:space="preserve"> and value chain</w:t>
      </w:r>
      <w:bookmarkEnd w:id="17"/>
      <w:bookmarkEnd w:id="18"/>
    </w:p>
    <w:p w14:paraId="2DC93A5F" w14:textId="77777777" w:rsidR="004D34B5" w:rsidRPr="00FB3F3D" w:rsidRDefault="004D34B5" w:rsidP="00F51B5B">
      <w:pPr>
        <w:pStyle w:val="CaseStudy"/>
      </w:pPr>
      <w:r w:rsidRPr="00F5572C">
        <w:t xml:space="preserve">The Australian space sector is defined as a set of space-related activities along the space value chain and is part of the broader space economy. </w:t>
      </w:r>
    </w:p>
    <w:p w14:paraId="1BD12821" w14:textId="77777777" w:rsidR="004D34B5" w:rsidRPr="00FB3F3D" w:rsidRDefault="004D34B5" w:rsidP="00F51B5B">
      <w:pPr>
        <w:pStyle w:val="CaseStudy"/>
      </w:pPr>
      <w:r w:rsidRPr="00F5572C">
        <w:t>All actors (private, public and academic) participating in production, operation, supply and enablement activities that form the space value chain are part of the space sector. Space value chain segments broadly include: Manufacturing and core inputs (Ground a</w:t>
      </w:r>
      <w:r w:rsidRPr="009E786F">
        <w:t xml:space="preserve">nd Space segment manufacturing and services); space operations; space applications; and enablers (such as regulation and essential service delivery, infrastructure and capabilities, research, development and engineering, and specialised support services). </w:t>
      </w:r>
    </w:p>
    <w:p w14:paraId="12AF39EB" w14:textId="630B404C" w:rsidR="004D34B5" w:rsidRDefault="004D34B5" w:rsidP="00F51B5B">
      <w:pPr>
        <w:pStyle w:val="CaseStudy"/>
      </w:pPr>
      <w:r w:rsidRPr="00F5572C">
        <w:t>While the space sector captures the provision of space related goods, services and applications to broader industries, it does not include subsequent non-space (value adding) activities that are enabled by space activities (such as food grown using precis</w:t>
      </w:r>
      <w:r w:rsidRPr="009E786F">
        <w:t>ion agriculture techniques). These flow-on activities are captured by the broader space economy.</w:t>
      </w:r>
    </w:p>
    <w:p w14:paraId="1994BF3A" w14:textId="45C5FE7C" w:rsidR="00056FC0" w:rsidRDefault="001A2828" w:rsidP="00176EC7">
      <w:r>
        <w:t xml:space="preserve">The Agency commissioned the </w:t>
      </w:r>
      <w:r w:rsidR="00176EC7">
        <w:t>Nous Group</w:t>
      </w:r>
      <w:r>
        <w:t xml:space="preserve"> to develop</w:t>
      </w:r>
      <w:r w:rsidR="00176EC7">
        <w:t xml:space="preserve"> </w:t>
      </w:r>
      <w:r>
        <w:t xml:space="preserve">a value chain </w:t>
      </w:r>
      <w:r w:rsidR="00176EC7">
        <w:t>framework to categoris</w:t>
      </w:r>
      <w:r>
        <w:t>e</w:t>
      </w:r>
      <w:r w:rsidR="00176EC7">
        <w:t xml:space="preserve"> activities </w:t>
      </w:r>
      <w:r>
        <w:t xml:space="preserve">within </w:t>
      </w:r>
      <w:r w:rsidR="00176EC7">
        <w:t>the Australian space sector</w:t>
      </w:r>
      <w:r w:rsidR="00176EC7">
        <w:rPr>
          <w:rStyle w:val="FootnoteReference"/>
        </w:rPr>
        <w:footnoteReference w:id="12"/>
      </w:r>
      <w:r w:rsidR="00056FC0">
        <w:t>.</w:t>
      </w:r>
      <w:r w:rsidR="00AE26D5">
        <w:t xml:space="preserve"> </w:t>
      </w:r>
      <w:r w:rsidR="00056FC0">
        <w:t>This framework categorises activities into three main value chain segments: manufacturing and core inputs, space operations and space applicati</w:t>
      </w:r>
      <w:r w:rsidR="006A3FFD">
        <w:t xml:space="preserve">ons; all supported by a fourth </w:t>
      </w:r>
      <w:r w:rsidR="00056FC0">
        <w:t>enablers value chain segment.</w:t>
      </w:r>
    </w:p>
    <w:p w14:paraId="706AA1EB" w14:textId="050EC757" w:rsidR="00080FD0" w:rsidRPr="00080FD0" w:rsidRDefault="00056FC0" w:rsidP="000C631F">
      <w:pPr>
        <w:pStyle w:val="ListParagraph"/>
        <w:numPr>
          <w:ilvl w:val="0"/>
          <w:numId w:val="53"/>
        </w:numPr>
        <w:tabs>
          <w:tab w:val="left" w:pos="2696"/>
        </w:tabs>
      </w:pPr>
      <w:r w:rsidRPr="00080FD0">
        <w:rPr>
          <w:b/>
        </w:rPr>
        <w:t>Manufacturing and core input activities</w:t>
      </w:r>
      <w:r w:rsidRPr="00080FD0">
        <w:t xml:space="preserve"> </w:t>
      </w:r>
      <w:r w:rsidR="00080FD0">
        <w:t xml:space="preserve">comprise the building and integration </w:t>
      </w:r>
      <w:r w:rsidR="00080FD0" w:rsidRPr="00396FD5">
        <w:t>of ground-based</w:t>
      </w:r>
      <w:r w:rsidR="00080FD0">
        <w:t xml:space="preserve"> facilities and equipment that perform space-related activities and the building and integration of items to go into space, including spacecraft, satellites, payloads and products to be used in space.</w:t>
      </w:r>
    </w:p>
    <w:p w14:paraId="2CA6A693" w14:textId="202008A9" w:rsidR="00056FC0" w:rsidRPr="00080FD0" w:rsidRDefault="00056FC0" w:rsidP="00056FC0">
      <w:pPr>
        <w:pStyle w:val="ListParagraph"/>
        <w:numPr>
          <w:ilvl w:val="0"/>
          <w:numId w:val="53"/>
        </w:numPr>
        <w:tabs>
          <w:tab w:val="left" w:pos="2696"/>
        </w:tabs>
      </w:pPr>
      <w:r w:rsidRPr="00080FD0">
        <w:rPr>
          <w:b/>
        </w:rPr>
        <w:t>Space operations</w:t>
      </w:r>
      <w:r w:rsidR="003656F9" w:rsidRPr="00080FD0">
        <w:t xml:space="preserve"> activities </w:t>
      </w:r>
      <w:r w:rsidR="00080FD0" w:rsidRPr="00080FD0">
        <w:t xml:space="preserve">include </w:t>
      </w:r>
      <w:r w:rsidR="00080FD0">
        <w:t>l</w:t>
      </w:r>
      <w:r w:rsidR="00080FD0" w:rsidRPr="00502314">
        <w:t>aunch activities, the management of objects in space, and activities associated with using and managing satellites in space. It also includes operations and remote operations conducted in space</w:t>
      </w:r>
      <w:r w:rsidR="00080FD0">
        <w:t>.</w:t>
      </w:r>
    </w:p>
    <w:p w14:paraId="44D7FA35" w14:textId="1CE1B0E8" w:rsidR="00056FC0" w:rsidRPr="00056FC0" w:rsidRDefault="00056FC0" w:rsidP="00056FC0">
      <w:pPr>
        <w:pStyle w:val="ListParagraph"/>
        <w:numPr>
          <w:ilvl w:val="0"/>
          <w:numId w:val="53"/>
        </w:numPr>
        <w:tabs>
          <w:tab w:val="left" w:pos="2696"/>
        </w:tabs>
      </w:pPr>
      <w:r w:rsidRPr="00080FD0">
        <w:rPr>
          <w:b/>
        </w:rPr>
        <w:t>Space applications</w:t>
      </w:r>
      <w:r w:rsidRPr="00056FC0">
        <w:t xml:space="preserve"> activities refer to the use of space-derived resources to create usable and useful products and services, including software, hardware and publications, and services to be provided across the economy.</w:t>
      </w:r>
    </w:p>
    <w:p w14:paraId="0727508D" w14:textId="398E22A8" w:rsidR="00056FC0" w:rsidRPr="00056FC0" w:rsidRDefault="00056FC0" w:rsidP="00C56168">
      <w:pPr>
        <w:pStyle w:val="ListParagraph"/>
        <w:numPr>
          <w:ilvl w:val="0"/>
          <w:numId w:val="53"/>
        </w:numPr>
        <w:tabs>
          <w:tab w:val="left" w:pos="2696"/>
        </w:tabs>
      </w:pPr>
      <w:r w:rsidRPr="00056FC0">
        <w:lastRenderedPageBreak/>
        <w:t xml:space="preserve">Activities in the </w:t>
      </w:r>
      <w:r w:rsidRPr="00056FC0">
        <w:rPr>
          <w:b/>
        </w:rPr>
        <w:t>space enablers</w:t>
      </w:r>
      <w:r w:rsidRPr="00056FC0">
        <w:t xml:space="preserve"> segment include a variety of product delivery and services which support the space activities within the other three value chain segments</w:t>
      </w:r>
      <w:r w:rsidR="00C56168">
        <w:t xml:space="preserve">. These include </w:t>
      </w:r>
      <w:r w:rsidR="00C56168" w:rsidRPr="005C4C01">
        <w:t>essential service delivery, infrastructure and capabilities, research, development and engineering, and specialised support services</w:t>
      </w:r>
      <w:r w:rsidR="00C56168">
        <w:t xml:space="preserve">, </w:t>
      </w:r>
      <w:r w:rsidR="000865F0">
        <w:t xml:space="preserve">which </w:t>
      </w:r>
      <w:r w:rsidR="00C56168">
        <w:t>facilitate and contribute to delivery of the products and services from manufacturing and core inputs, operations and applications segments.</w:t>
      </w:r>
    </w:p>
    <w:p w14:paraId="77244CF6" w14:textId="7A78CB97" w:rsidR="00176EC7" w:rsidRDefault="00AE26D5" w:rsidP="00176EC7">
      <w:r>
        <w:t xml:space="preserve">This framework is presented </w:t>
      </w:r>
      <w:r w:rsidR="00056FC0">
        <w:t xml:space="preserve">visually </w:t>
      </w:r>
      <w:r>
        <w:t>in Figure 1.</w:t>
      </w:r>
    </w:p>
    <w:p w14:paraId="47967F84" w14:textId="39CEA627" w:rsidR="004D34B5" w:rsidRPr="000340F1" w:rsidRDefault="004D34B5" w:rsidP="00F51B5B">
      <w:pPr>
        <w:pStyle w:val="TableHeading"/>
      </w:pPr>
      <w:r w:rsidRPr="00F5572C">
        <w:t>Figure 1: Value chain of the space sector</w:t>
      </w:r>
    </w:p>
    <w:p w14:paraId="3365B307" w14:textId="043EF53D" w:rsidR="00244622" w:rsidRPr="00693867" w:rsidRDefault="00244622">
      <w:pPr>
        <w:pStyle w:val="NormalWeb"/>
        <w:rPr>
          <w:rFonts w:ascii="roboto" w:eastAsia="Times New Roman" w:hAnsi="roboto" w:cs="Arial"/>
          <w:color w:val="333333"/>
          <w:lang w:val="en" w:eastAsia="en-AU"/>
        </w:rPr>
      </w:pPr>
      <w:r>
        <w:rPr>
          <w:rFonts w:ascii="roboto" w:hAnsi="roboto" w:cs="Arial"/>
          <w:noProof/>
          <w:color w:val="333333"/>
          <w:szCs w:val="24"/>
          <w:lang w:eastAsia="en-AU"/>
        </w:rPr>
        <w:drawing>
          <wp:inline distT="0" distB="0" distL="0" distR="0" wp14:anchorId="7950FF79" wp14:editId="6A75FDBE">
            <wp:extent cx="6065982" cy="4057650"/>
            <wp:effectExtent l="0" t="0" r="0" b="0"/>
            <wp:docPr id="16" name="Picture 16" descr="Graphic overview of the activities included in the space sector. Detailed information is provided in the following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overview of the activities included in the space sector. Detailed information is provided in the following table be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745" cy="4066187"/>
                    </a:xfrm>
                    <a:prstGeom prst="rect">
                      <a:avLst/>
                    </a:prstGeom>
                    <a:noFill/>
                    <a:ln>
                      <a:noFill/>
                    </a:ln>
                  </pic:spPr>
                </pic:pic>
              </a:graphicData>
            </a:graphic>
          </wp:inline>
        </w:drawing>
      </w:r>
    </w:p>
    <w:p w14:paraId="407489F3" w14:textId="78F4F002" w:rsidR="00AE26D5" w:rsidRDefault="00996F15" w:rsidP="00AE26D5">
      <w:r>
        <w:t>For the purposes of this report, t</w:t>
      </w:r>
      <w:r w:rsidR="00AE26D5">
        <w:t>he</w:t>
      </w:r>
      <w:r w:rsidR="00AE26D5" w:rsidRPr="007D5D15">
        <w:t xml:space="preserve"> </w:t>
      </w:r>
      <w:r w:rsidR="00AE26D5">
        <w:t xml:space="preserve">Agency has </w:t>
      </w:r>
      <w:r>
        <w:t xml:space="preserve">captured </w:t>
      </w:r>
      <w:r w:rsidR="00AE26D5">
        <w:t xml:space="preserve">space-related organisations and activities that fall within the </w:t>
      </w:r>
      <w:r>
        <w:t>value chain of the space sector</w:t>
      </w:r>
      <w:r w:rsidR="00AE26D5">
        <w:t xml:space="preserve">. </w:t>
      </w:r>
      <w:r w:rsidR="00DE2D9A">
        <w:t>S</w:t>
      </w:r>
      <w:r w:rsidR="00AE26D5">
        <w:t>pace sector organisations can undertake activities in one or more segments of the value chain</w:t>
      </w:r>
      <w:r w:rsidR="00AE26D5">
        <w:rPr>
          <w:rStyle w:val="FootnoteReference"/>
        </w:rPr>
        <w:footnoteReference w:id="13"/>
      </w:r>
      <w:r w:rsidR="00AE26D5">
        <w:t>.</w:t>
      </w:r>
    </w:p>
    <w:p w14:paraId="4C715B01" w14:textId="1CD7A975" w:rsidR="0048264E" w:rsidRDefault="0048264E" w:rsidP="00AE26D5">
      <w:r>
        <w:t>The Agency has also developed sub-sectors to further disaggregate the sector for analysis</w:t>
      </w:r>
      <w:r w:rsidR="00BD4DF5">
        <w:t xml:space="preserve">, building on the civil space priority areas identified </w:t>
      </w:r>
      <w:r w:rsidR="000865F0">
        <w:t xml:space="preserve">in </w:t>
      </w:r>
      <w:r w:rsidR="00ED4AF0" w:rsidRPr="00F56D1D">
        <w:t>the</w:t>
      </w:r>
      <w:r w:rsidR="00BD4DF5" w:rsidRPr="00F56D1D">
        <w:rPr>
          <w:i/>
        </w:rPr>
        <w:t xml:space="preserve"> </w:t>
      </w:r>
      <w:r w:rsidR="00BD4DF5" w:rsidRPr="00F56D1D">
        <w:t>Strategy</w:t>
      </w:r>
      <w:r w:rsidRPr="00F56D1D">
        <w:t xml:space="preserve">. These sub-sectors were identified by the Agency drawing on </w:t>
      </w:r>
      <w:r w:rsidR="00F141BB" w:rsidRPr="00F56D1D">
        <w:t xml:space="preserve">analysis of </w:t>
      </w:r>
      <w:r w:rsidRPr="00F56D1D">
        <w:t xml:space="preserve">Australia’s space sector and include: Advanced manufacturing (e.g. space </w:t>
      </w:r>
      <w:r w:rsidR="00F141BB" w:rsidRPr="00F56D1D">
        <w:t>objects</w:t>
      </w:r>
      <w:r w:rsidRPr="00F56D1D">
        <w:t>)</w:t>
      </w:r>
      <w:r w:rsidR="00A83E91">
        <w:t>;</w:t>
      </w:r>
      <w:r w:rsidRPr="00F56D1D">
        <w:t xml:space="preserve"> Communication </w:t>
      </w:r>
      <w:r w:rsidR="00F56D1D" w:rsidRPr="00F56D1D">
        <w:t xml:space="preserve">technologies and services (including </w:t>
      </w:r>
      <w:r w:rsidRPr="00F56D1D">
        <w:t>ground stations</w:t>
      </w:r>
      <w:r w:rsidR="00F56D1D" w:rsidRPr="00F56D1D">
        <w:t>)</w:t>
      </w:r>
      <w:r w:rsidR="00A83E91">
        <w:t>;</w:t>
      </w:r>
      <w:r w:rsidRPr="00F56D1D">
        <w:t xml:space="preserve"> Earth observation</w:t>
      </w:r>
      <w:r w:rsidR="00A83E91">
        <w:t>;</w:t>
      </w:r>
      <w:r w:rsidRPr="00F56D1D">
        <w:t xml:space="preserve"> Education</w:t>
      </w:r>
      <w:r w:rsidR="009C5953" w:rsidRPr="00F56D1D">
        <w:t xml:space="preserve"> and training</w:t>
      </w:r>
      <w:r w:rsidR="00A83E91">
        <w:t>;</w:t>
      </w:r>
      <w:r w:rsidRPr="00F56D1D">
        <w:t xml:space="preserve"> Infrastructure</w:t>
      </w:r>
      <w:r w:rsidR="00A83E91">
        <w:t>;</w:t>
      </w:r>
      <w:r w:rsidRPr="00F56D1D">
        <w:t xml:space="preserve"> Launch, rockets and </w:t>
      </w:r>
      <w:proofErr w:type="spellStart"/>
      <w:r w:rsidRPr="00F56D1D">
        <w:t>hypersonics</w:t>
      </w:r>
      <w:proofErr w:type="spellEnd"/>
      <w:r w:rsidR="00A83E91">
        <w:t>;</w:t>
      </w:r>
      <w:r w:rsidRPr="00F56D1D">
        <w:t xml:space="preserve"> Leapfrog </w:t>
      </w:r>
      <w:r w:rsidR="00643673" w:rsidRPr="00F56D1D">
        <w:t>research and development (</w:t>
      </w:r>
      <w:r w:rsidRPr="00F56D1D">
        <w:t>R&amp;D</w:t>
      </w:r>
      <w:r w:rsidR="00643673" w:rsidRPr="00F56D1D">
        <w:t>)</w:t>
      </w:r>
      <w:r w:rsidR="00A83E91">
        <w:t>;</w:t>
      </w:r>
      <w:r w:rsidRPr="00F56D1D">
        <w:t xml:space="preserve"> Planetary science and astronomy</w:t>
      </w:r>
      <w:r w:rsidR="00A83E91">
        <w:t>;</w:t>
      </w:r>
      <w:r w:rsidRPr="00F56D1D">
        <w:t xml:space="preserve"> Position, navigation and timing</w:t>
      </w:r>
      <w:r w:rsidR="00A83E91">
        <w:t>;</w:t>
      </w:r>
      <w:r w:rsidRPr="00F56D1D">
        <w:t xml:space="preserve"> Robotics and remote asset management</w:t>
      </w:r>
      <w:r w:rsidR="00A83E91">
        <w:t>;</w:t>
      </w:r>
      <w:r w:rsidRPr="00F56D1D">
        <w:t xml:space="preserve"> Software and data</w:t>
      </w:r>
      <w:r w:rsidR="00A83E91">
        <w:t>;</w:t>
      </w:r>
      <w:r w:rsidRPr="00F56D1D">
        <w:t xml:space="preserve"> Space medicine</w:t>
      </w:r>
      <w:r w:rsidR="00A83E91">
        <w:t>;</w:t>
      </w:r>
      <w:r w:rsidRPr="00F56D1D">
        <w:t xml:space="preserve"> and Space situational awareness</w:t>
      </w:r>
      <w:r w:rsidR="00F56D1D" w:rsidRPr="00F56D1D">
        <w:t xml:space="preserve"> and debris monitoring.</w:t>
      </w:r>
      <w:r w:rsidRPr="00F56D1D">
        <w:t xml:space="preserve"> In some cases, </w:t>
      </w:r>
      <w:r w:rsidRPr="00F56D1D">
        <w:lastRenderedPageBreak/>
        <w:t>where insufficient detail is available, activities, revenue or investment may be not be categorised within a sub-sector. Instead, these are grouped as “unallocated”.</w:t>
      </w:r>
    </w:p>
    <w:p w14:paraId="58744A61" w14:textId="39708AFE" w:rsidR="00373020" w:rsidRDefault="00373020" w:rsidP="009D4DEA">
      <w:pPr>
        <w:pStyle w:val="Heading2"/>
        <w:numPr>
          <w:ilvl w:val="1"/>
          <w:numId w:val="49"/>
        </w:numPr>
      </w:pPr>
      <w:bookmarkStart w:id="19" w:name="_Toc54794976"/>
      <w:bookmarkStart w:id="20" w:name="_Toc55990306"/>
      <w:bookmarkStart w:id="21" w:name="_Toc62635435"/>
      <w:r w:rsidRPr="007537C7">
        <w:t>Defini</w:t>
      </w:r>
      <w:r w:rsidR="00056FC0">
        <w:t xml:space="preserve">ng </w:t>
      </w:r>
      <w:r w:rsidRPr="007537C7">
        <w:t xml:space="preserve">the </w:t>
      </w:r>
      <w:r w:rsidR="00176E05">
        <w:t>s</w:t>
      </w:r>
      <w:r w:rsidR="00176E05" w:rsidRPr="007537C7">
        <w:t xml:space="preserve">pace </w:t>
      </w:r>
      <w:r w:rsidR="00176E05">
        <w:t>e</w:t>
      </w:r>
      <w:r w:rsidR="00176E05" w:rsidRPr="007537C7">
        <w:t>conomy</w:t>
      </w:r>
      <w:bookmarkEnd w:id="19"/>
      <w:bookmarkEnd w:id="20"/>
      <w:bookmarkEnd w:id="21"/>
    </w:p>
    <w:p w14:paraId="52AAA869" w14:textId="78C27FEE" w:rsidR="00AE26D5" w:rsidRPr="00E5470A" w:rsidRDefault="009F36B2" w:rsidP="00056FC0">
      <w:r>
        <w:t>Using the OECD’s definition, t</w:t>
      </w:r>
      <w:r w:rsidR="00AE26D5">
        <w:t xml:space="preserve">he space sector is a part of the broader space economy. As described below, the space economy captures </w:t>
      </w:r>
      <w:r>
        <w:t xml:space="preserve">the space sector and also the </w:t>
      </w:r>
      <w:r w:rsidR="00AE26D5">
        <w:t xml:space="preserve">users of space technologies and </w:t>
      </w:r>
      <w:proofErr w:type="spellStart"/>
      <w:r w:rsidR="00AE26D5">
        <w:t>spillover</w:t>
      </w:r>
      <w:proofErr w:type="spellEnd"/>
      <w:r w:rsidR="00AE26D5">
        <w:t xml:space="preserve"> benefits to other parts of the economy. </w:t>
      </w:r>
    </w:p>
    <w:p w14:paraId="00564D2C" w14:textId="1CD44AEB" w:rsidR="00373020" w:rsidRDefault="00373020" w:rsidP="00F51B5B">
      <w:pPr>
        <w:pStyle w:val="CaseStudy"/>
      </w:pPr>
      <w:r w:rsidRPr="007537C7">
        <w:t xml:space="preserve">The </w:t>
      </w:r>
      <w:r w:rsidR="00176E05">
        <w:t>s</w:t>
      </w:r>
      <w:r w:rsidR="00176E05" w:rsidRPr="007537C7">
        <w:t xml:space="preserve">pace </w:t>
      </w:r>
      <w:r w:rsidR="00176E05">
        <w:t>e</w:t>
      </w:r>
      <w:r w:rsidR="00176E05" w:rsidRPr="007537C7">
        <w:t xml:space="preserve">conomy </w:t>
      </w:r>
      <w:r w:rsidRPr="00EF7E1B">
        <w:t>is the full range of activities and the use of resources that create and provide value and benefits to human beings in the course of exploring, understanding, managing and utilising space. Hence, it includes all public and private actors involved in developing, providing and using space-related products and services, ranging fr</w:t>
      </w:r>
      <w:r w:rsidRPr="009C2A55">
        <w:t>om research and developme</w:t>
      </w:r>
      <w:r w:rsidRPr="00270D29">
        <w:t>nt, the manufacture and use of space infrastructure ([such as] ground stations, launch vehicles and satellites) to space-enabled applications ([such as] navigation equipment, satellite phones, meteorological services</w:t>
      </w:r>
      <w:r w:rsidR="000865F0">
        <w:t>,</w:t>
      </w:r>
      <w:r w:rsidRPr="00270D29">
        <w:t xml:space="preserve"> etc.) and the scientific knowledge generated by such activities. It follows that the space economy goes well beyond the space sector itself, since it also comprises the increasingly pervasive and continually changing impacts (both quantitative</w:t>
      </w:r>
      <w:r w:rsidRPr="00EF48AF">
        <w:t xml:space="preserve"> and qualitative) of space-derived products, services and knowledge on economy and society.</w:t>
      </w:r>
      <w:r w:rsidRPr="00EF48AF">
        <w:rPr>
          <w:vertAlign w:val="superscript"/>
        </w:rPr>
        <w:t xml:space="preserve"> </w:t>
      </w:r>
      <w:r w:rsidRPr="00CE7537">
        <w:rPr>
          <w:vertAlign w:val="superscript"/>
        </w:rPr>
        <w:footnoteReference w:id="14"/>
      </w:r>
    </w:p>
    <w:p w14:paraId="0CF15E1E" w14:textId="32C74400" w:rsidR="001E0E53" w:rsidRDefault="00CF11FA" w:rsidP="009D4DEA">
      <w:pPr>
        <w:pStyle w:val="Heading2"/>
        <w:numPr>
          <w:ilvl w:val="1"/>
          <w:numId w:val="49"/>
        </w:numPr>
      </w:pPr>
      <w:bookmarkStart w:id="22" w:name="_Toc55990307"/>
      <w:bookmarkStart w:id="23" w:name="_Toc62635436"/>
      <w:r>
        <w:t>Key i</w:t>
      </w:r>
      <w:r w:rsidR="001E0E53">
        <w:t>ndicators</w:t>
      </w:r>
      <w:bookmarkEnd w:id="22"/>
      <w:bookmarkEnd w:id="23"/>
    </w:p>
    <w:p w14:paraId="64823D24" w14:textId="28567175" w:rsidR="001E0E53" w:rsidRDefault="001E0E53" w:rsidP="00D95F76">
      <w:r>
        <w:t xml:space="preserve">Using </w:t>
      </w:r>
      <w:r w:rsidR="003127B8">
        <w:t>the definitions and parameters outlined above, t</w:t>
      </w:r>
      <w:r w:rsidR="007D5D15">
        <w:t xml:space="preserve">he Agency </w:t>
      </w:r>
      <w:r w:rsidR="00C720DF">
        <w:t>has commenced analysing</w:t>
      </w:r>
      <w:r w:rsidR="007D5D15">
        <w:t xml:space="preserve"> </w:t>
      </w:r>
      <w:r>
        <w:t xml:space="preserve">key indicators </w:t>
      </w:r>
      <w:r w:rsidR="00ED4AF0">
        <w:t>for the space sector</w:t>
      </w:r>
      <w:r w:rsidR="00C35EB1">
        <w:t xml:space="preserve"> aligned with targets </w:t>
      </w:r>
      <w:r w:rsidR="00DE6F8C" w:rsidRPr="00ED4AF0">
        <w:t xml:space="preserve">identified in </w:t>
      </w:r>
      <w:r w:rsidR="00ED4AF0" w:rsidRPr="00ED4AF0">
        <w:t>the</w:t>
      </w:r>
      <w:r w:rsidR="00DE6F8C" w:rsidRPr="00ED4AF0">
        <w:t xml:space="preserve"> Strategy</w:t>
      </w:r>
      <w:r w:rsidR="00DE6F8C">
        <w:t>.</w:t>
      </w:r>
      <w:r w:rsidR="00AE6F93">
        <w:t xml:space="preserve"> </w:t>
      </w:r>
    </w:p>
    <w:p w14:paraId="7DF4E349" w14:textId="56944D86" w:rsidR="00C720DF" w:rsidRDefault="0082299B" w:rsidP="00D95F76">
      <w:r>
        <w:t>P</w:t>
      </w:r>
      <w:r w:rsidR="00C720DF">
        <w:t xml:space="preserve">rimary indicators </w:t>
      </w:r>
      <w:r>
        <w:t xml:space="preserve">used </w:t>
      </w:r>
      <w:r w:rsidR="00C720DF">
        <w:t xml:space="preserve">are the quantity of </w:t>
      </w:r>
      <w:r w:rsidR="00C30180">
        <w:t xml:space="preserve">space-related </w:t>
      </w:r>
      <w:r w:rsidR="00C720DF">
        <w:t xml:space="preserve">jobs in the sector and </w:t>
      </w:r>
      <w:r w:rsidR="00C30180">
        <w:t xml:space="preserve">space-related </w:t>
      </w:r>
      <w:r w:rsidR="00C720DF">
        <w:t xml:space="preserve">revenue from organisations in the sector. These are lag indicators for the sector’s historical performance. Notably, </w:t>
      </w:r>
      <w:r w:rsidR="00DE4BFB">
        <w:t>returns on</w:t>
      </w:r>
      <w:r w:rsidR="00217B38">
        <w:t xml:space="preserve"> investment and </w:t>
      </w:r>
      <w:r w:rsidR="00C720DF">
        <w:t xml:space="preserve">the impacts of </w:t>
      </w:r>
      <w:r w:rsidR="00217B38">
        <w:t xml:space="preserve">government policy </w:t>
      </w:r>
      <w:r w:rsidR="00C720DF">
        <w:t xml:space="preserve">interventions </w:t>
      </w:r>
      <w:r w:rsidR="00217B38">
        <w:t>usually take several years to be reflected in</w:t>
      </w:r>
      <w:r w:rsidR="00DE4BFB">
        <w:t xml:space="preserve"> these</w:t>
      </w:r>
      <w:r w:rsidR="00D749BB">
        <w:t xml:space="preserve"> lag indicators.</w:t>
      </w:r>
    </w:p>
    <w:p w14:paraId="1E5AD60D" w14:textId="7F15719F" w:rsidR="00373020" w:rsidRPr="00FE7729" w:rsidRDefault="0082299B" w:rsidP="00D95F76">
      <w:pPr>
        <w:rPr>
          <w:rFonts w:ascii="Calibri" w:eastAsia="Times New Roman" w:hAnsi="Calibri" w:cs="Calibri"/>
          <w:b/>
          <w:bCs/>
          <w:color w:val="auto"/>
          <w:lang w:eastAsia="en-AU"/>
        </w:rPr>
      </w:pPr>
      <w:r>
        <w:t>In this report</w:t>
      </w:r>
      <w:r w:rsidR="000865F0">
        <w:t>,</w:t>
      </w:r>
      <w:r>
        <w:t xml:space="preserve"> j</w:t>
      </w:r>
      <w:r w:rsidR="00AE6F93">
        <w:t xml:space="preserve">obs in the </w:t>
      </w:r>
      <w:r w:rsidR="002540E1">
        <w:t xml:space="preserve">space </w:t>
      </w:r>
      <w:r w:rsidR="00AE6F93">
        <w:t>sector are indicated by</w:t>
      </w:r>
      <w:r w:rsidR="002540E1">
        <w:t xml:space="preserve"> a head count of </w:t>
      </w:r>
      <w:r w:rsidR="00EB5E9A">
        <w:t>employees</w:t>
      </w:r>
      <w:r w:rsidR="002540E1">
        <w:t xml:space="preserve"> </w:t>
      </w:r>
      <w:r w:rsidR="00412260">
        <w:t xml:space="preserve">that </w:t>
      </w:r>
      <w:r w:rsidR="002540E1">
        <w:t xml:space="preserve">perform some space-related work in one or more categories of </w:t>
      </w:r>
      <w:r w:rsidR="00DE4BFB">
        <w:t xml:space="preserve">the </w:t>
      </w:r>
      <w:r w:rsidR="002540E1">
        <w:t xml:space="preserve">space value chain. </w:t>
      </w:r>
      <w:r w:rsidR="00FE7729">
        <w:t>This report does not measure indirect jobs</w:t>
      </w:r>
      <w:r w:rsidR="008E2030">
        <w:t>.</w:t>
      </w:r>
      <w:r w:rsidR="00FE7729">
        <w:t xml:space="preserve"> International research suggests that a large portion of value from space activities is realised through indirect jobs, indirect revenues and other </w:t>
      </w:r>
      <w:proofErr w:type="spellStart"/>
      <w:r w:rsidR="00FE7729">
        <w:t>spillovers</w:t>
      </w:r>
      <w:proofErr w:type="spellEnd"/>
      <w:r w:rsidR="00FE7729">
        <w:rPr>
          <w:rStyle w:val="FootnoteReference"/>
        </w:rPr>
        <w:footnoteReference w:id="15"/>
      </w:r>
      <w:r w:rsidR="00FE7729">
        <w:t xml:space="preserve">, </w:t>
      </w:r>
      <w:r w:rsidR="00FE7729" w:rsidRPr="00FE7729">
        <w:t xml:space="preserve">suggesting this report’s estimates </w:t>
      </w:r>
      <w:r w:rsidR="00FE7729">
        <w:t xml:space="preserve">of jobs in the space sector </w:t>
      </w:r>
      <w:r w:rsidR="00FE7729" w:rsidRPr="00FE7729">
        <w:t xml:space="preserve">are </w:t>
      </w:r>
      <w:r w:rsidR="00FE7729">
        <w:t xml:space="preserve">likely </w:t>
      </w:r>
      <w:r w:rsidR="00FE7729" w:rsidRPr="00FE7729">
        <w:t>conservative.</w:t>
      </w:r>
      <w:r w:rsidR="00FE7729">
        <w:t xml:space="preserve"> Quantifying indirect jobs associated with Australia’s space sector may be explored for future </w:t>
      </w:r>
      <w:r w:rsidR="00184D76">
        <w:t>economic snapshots</w:t>
      </w:r>
      <w:r w:rsidR="00FE7729">
        <w:t>.</w:t>
      </w:r>
    </w:p>
    <w:p w14:paraId="31BA72B2" w14:textId="5264D24E" w:rsidR="00FE7729" w:rsidRDefault="00D443CD" w:rsidP="00CF11FA">
      <w:r>
        <w:t xml:space="preserve">Revenue, in this report, </w:t>
      </w:r>
      <w:r w:rsidR="00D749BB">
        <w:t xml:space="preserve">indicates </w:t>
      </w:r>
      <w:r>
        <w:t xml:space="preserve">the revenue organisations </w:t>
      </w:r>
      <w:r w:rsidR="00906059">
        <w:t xml:space="preserve">collect </w:t>
      </w:r>
      <w:r>
        <w:t xml:space="preserve">from </w:t>
      </w:r>
      <w:r w:rsidR="00A37F16">
        <w:t xml:space="preserve">the sale of space-related goods and services. </w:t>
      </w:r>
      <w:r w:rsidR="00681A36">
        <w:t xml:space="preserve">Revenue provides an indication of the value generated from </w:t>
      </w:r>
      <w:r w:rsidR="00A37F16">
        <w:t>activities</w:t>
      </w:r>
      <w:r w:rsidR="00681A36">
        <w:t>.</w:t>
      </w:r>
    </w:p>
    <w:p w14:paraId="386DF7DA" w14:textId="5D78BF55" w:rsidR="00E616B2" w:rsidRDefault="00E616B2" w:rsidP="00E616B2">
      <w:r>
        <w:t>To complement these lag indicators, an estimate of future capital investment</w:t>
      </w:r>
      <w:r w:rsidR="00A83370">
        <w:t xml:space="preserve"> in the civil space sector</w:t>
      </w:r>
      <w:r>
        <w:t xml:space="preserve"> provides a leading indicator of the sector’s potential future growth.</w:t>
      </w:r>
      <w:r w:rsidR="003912A4">
        <w:t xml:space="preserve"> </w:t>
      </w:r>
    </w:p>
    <w:p w14:paraId="73AAAC81" w14:textId="43824B9B" w:rsidR="00A83370" w:rsidRDefault="00E616B2" w:rsidP="00CF11FA">
      <w:r w:rsidRPr="00A83370">
        <w:t>In this report</w:t>
      </w:r>
      <w:r w:rsidR="000865F0">
        <w:t>,</w:t>
      </w:r>
      <w:r w:rsidRPr="00A83370">
        <w:t xml:space="preserve"> investmen</w:t>
      </w:r>
      <w:r w:rsidR="003912A4">
        <w:t xml:space="preserve">t is </w:t>
      </w:r>
      <w:r w:rsidR="003912A4" w:rsidRPr="003912A4">
        <w:t xml:space="preserve">the sum of </w:t>
      </w:r>
      <w:r w:rsidR="00280E83">
        <w:t xml:space="preserve">commitments of </w:t>
      </w:r>
      <w:r w:rsidR="00A83370">
        <w:t xml:space="preserve">capital </w:t>
      </w:r>
      <w:r w:rsidR="00A83370" w:rsidRPr="001B24BF">
        <w:t xml:space="preserve">from </w:t>
      </w:r>
      <w:r w:rsidR="00A83370">
        <w:t>the Australian Government (excluding</w:t>
      </w:r>
      <w:r w:rsidR="00D749BB">
        <w:t> </w:t>
      </w:r>
      <w:r w:rsidR="00A83370">
        <w:t xml:space="preserve">Defence), state and territory governments, universities, </w:t>
      </w:r>
      <w:r w:rsidR="00A83370" w:rsidRPr="001B24BF">
        <w:t>private industry,</w:t>
      </w:r>
      <w:r w:rsidR="00A83370">
        <w:t xml:space="preserve"> private foundations and </w:t>
      </w:r>
      <w:r w:rsidR="00A83370">
        <w:lastRenderedPageBreak/>
        <w:t>international space agencies.</w:t>
      </w:r>
      <w:r w:rsidR="00813C72">
        <w:t xml:space="preserve"> Inbound investment is the proportion of these commitments from non-Government sources (</w:t>
      </w:r>
      <w:r w:rsidR="00813C72" w:rsidRPr="001B24BF">
        <w:t>private industry,</w:t>
      </w:r>
      <w:r w:rsidR="00813C72">
        <w:t xml:space="preserve"> private foundations and international space agencies).</w:t>
      </w:r>
    </w:p>
    <w:p w14:paraId="77D0E8E4" w14:textId="6325654B" w:rsidR="00CF11FA" w:rsidRDefault="00C720DF" w:rsidP="009D4DEA">
      <w:pPr>
        <w:pStyle w:val="Heading2"/>
        <w:numPr>
          <w:ilvl w:val="1"/>
          <w:numId w:val="49"/>
        </w:numPr>
      </w:pPr>
      <w:bookmarkStart w:id="24" w:name="_Toc55990308"/>
      <w:bookmarkStart w:id="25" w:name="_Toc62635437"/>
      <w:r>
        <w:t>Ongoing measurement</w:t>
      </w:r>
      <w:bookmarkEnd w:id="24"/>
      <w:bookmarkEnd w:id="25"/>
    </w:p>
    <w:p w14:paraId="15CEF74A" w14:textId="2385442C" w:rsidR="00AE6F93" w:rsidRDefault="00AE6F93" w:rsidP="009F36B2">
      <w:r>
        <w:t xml:space="preserve">The direct jobs, revenue and investment </w:t>
      </w:r>
      <w:r w:rsidR="003F2E47">
        <w:t>figures</w:t>
      </w:r>
      <w:r>
        <w:t xml:space="preserve"> in this report are the result of the most </w:t>
      </w:r>
      <w:r w:rsidR="00294122">
        <w:t xml:space="preserve">detailed </w:t>
      </w:r>
      <w:r>
        <w:t xml:space="preserve">analysis of the Australian space sector since the </w:t>
      </w:r>
      <w:r w:rsidR="00FE7729">
        <w:t xml:space="preserve">2018 </w:t>
      </w:r>
      <w:r>
        <w:t>ERG Review of Australia’s space industry capability.</w:t>
      </w:r>
    </w:p>
    <w:p w14:paraId="6862564D" w14:textId="5033F616" w:rsidR="00AE6F93" w:rsidRPr="00C720DF" w:rsidRDefault="00AE6F93" w:rsidP="00AE6F93">
      <w:r>
        <w:t>Details of the methodology, data and assumptions underpinni</w:t>
      </w:r>
      <w:r w:rsidR="001C7C43">
        <w:t>ng this analysis are set out in</w:t>
      </w:r>
      <w:r w:rsidR="00C050B4">
        <w:t xml:space="preserve"> </w:t>
      </w:r>
      <w:r>
        <w:t>Appendix</w:t>
      </w:r>
      <w:r w:rsidR="001C7C43">
        <w:t> A</w:t>
      </w:r>
      <w:r>
        <w:t xml:space="preserve">. This </w:t>
      </w:r>
      <w:r w:rsidR="008E2030">
        <w:t xml:space="preserve">provides a starting point for a repeatable </w:t>
      </w:r>
      <w:r>
        <w:t>methodology to inform future economic snapshots approximately every two years, providing continued insights into the changes in Australia’s space sector.</w:t>
      </w:r>
    </w:p>
    <w:p w14:paraId="21602EEE" w14:textId="7CA6730F" w:rsidR="00943B7D" w:rsidRDefault="00943B7D" w:rsidP="009F36B2">
      <w:r>
        <w:t xml:space="preserve">Space sectors are not easily defined by traditional industry codes (such as the ANZSIC codes used by the Australian Bureau of Statistics) and many organisations active in space sectors are also active in other sectors. Differentiating space and non-space activities is critical to ensuring accuracy of space-related jobs and revenue estimates. These definitional and data issues are common across the world and therefore analysts generally rely on surveys to </w:t>
      </w:r>
      <w:r w:rsidR="00AB51CF">
        <w:t xml:space="preserve">capture firm-level data from which to estimate </w:t>
      </w:r>
      <w:r>
        <w:t>the size and contribution of space sectors.</w:t>
      </w:r>
    </w:p>
    <w:p w14:paraId="64776FE3" w14:textId="01F522DA" w:rsidR="00927FEA" w:rsidRDefault="00FE7729" w:rsidP="009F36B2">
      <w:r>
        <w:t>In developing this report</w:t>
      </w:r>
      <w:r w:rsidR="000865F0">
        <w:t>,</w:t>
      </w:r>
      <w:r>
        <w:t xml:space="preserve"> the Agency created the most comprehensive firm-level database of space organisations in Australia, drawing on a range of sources</w:t>
      </w:r>
      <w:r>
        <w:rPr>
          <w:rStyle w:val="FootnoteReference"/>
        </w:rPr>
        <w:footnoteReference w:id="16"/>
      </w:r>
      <w:r>
        <w:t xml:space="preserve">. </w:t>
      </w:r>
      <w:r w:rsidR="00927FEA">
        <w:t xml:space="preserve">To ensure rigor, the Agency’s estimates have been informed by independent studies, including complementary analysis commissioned from </w:t>
      </w:r>
      <w:proofErr w:type="spellStart"/>
      <w:r w:rsidR="00927FEA">
        <w:t>AlphaBeta</w:t>
      </w:r>
      <w:proofErr w:type="spellEnd"/>
      <w:r w:rsidR="0012687C">
        <w:rPr>
          <w:rStyle w:val="FootnoteReference"/>
        </w:rPr>
        <w:footnoteReference w:id="17"/>
      </w:r>
      <w:r w:rsidR="00927FEA">
        <w:t>, to ensure the</w:t>
      </w:r>
      <w:r w:rsidR="00513A70">
        <w:t xml:space="preserve"> results </w:t>
      </w:r>
      <w:r w:rsidR="00927FEA">
        <w:t>can be interpreted and used within the limitations of the data.</w:t>
      </w:r>
    </w:p>
    <w:p w14:paraId="499428B5" w14:textId="61D3E29A" w:rsidR="00C720DF" w:rsidRDefault="00316986" w:rsidP="009F36B2">
      <w:r>
        <w:t>The Agency</w:t>
      </w:r>
      <w:r w:rsidR="00A07421">
        <w:t xml:space="preserve"> continues to track committed cash investments for Australian civil space projects. </w:t>
      </w:r>
      <w:r w:rsidR="001A564D">
        <w:t xml:space="preserve">The Agency will </w:t>
      </w:r>
      <w:r w:rsidR="00AE6F93">
        <w:t xml:space="preserve">also </w:t>
      </w:r>
      <w:r w:rsidR="001A564D">
        <w:t>continue to maintain</w:t>
      </w:r>
      <w:r w:rsidR="00AE6F93">
        <w:t>, refine and update</w:t>
      </w:r>
      <w:r w:rsidR="001A564D">
        <w:t xml:space="preserve"> </w:t>
      </w:r>
      <w:r w:rsidR="00A07421">
        <w:t xml:space="preserve">these </w:t>
      </w:r>
      <w:r w:rsidR="00AE6F93">
        <w:t>dataset</w:t>
      </w:r>
      <w:r w:rsidR="00A07421">
        <w:t>s</w:t>
      </w:r>
      <w:r w:rsidR="00AE6F93">
        <w:t xml:space="preserve"> </w:t>
      </w:r>
      <w:r w:rsidR="001A564D">
        <w:t>to ensure consistent measurements of the Australian space sector into the future.</w:t>
      </w:r>
      <w:bookmarkStart w:id="26" w:name="_Toc53500596"/>
      <w:bookmarkStart w:id="27" w:name="_Toc53583892"/>
      <w:bookmarkStart w:id="28" w:name="_Toc54342161"/>
      <w:bookmarkStart w:id="29" w:name="_Toc54794977"/>
      <w:bookmarkEnd w:id="26"/>
      <w:bookmarkEnd w:id="27"/>
    </w:p>
    <w:p w14:paraId="66925C2F" w14:textId="5C41D439" w:rsidR="00C0030F" w:rsidRPr="009F36B2" w:rsidRDefault="00C050B4" w:rsidP="00FE7729">
      <w:r>
        <w:t xml:space="preserve">Measuring space sector activity is a complex task and </w:t>
      </w:r>
      <w:r w:rsidRPr="00592CE5">
        <w:t xml:space="preserve">variation of estimates </w:t>
      </w:r>
      <w:r>
        <w:t xml:space="preserve">between studies </w:t>
      </w:r>
      <w:r w:rsidRPr="00592CE5">
        <w:t xml:space="preserve">is </w:t>
      </w:r>
      <w:r>
        <w:t xml:space="preserve">to be </w:t>
      </w:r>
      <w:r w:rsidRPr="00592CE5">
        <w:t>expected</w:t>
      </w:r>
      <w:r>
        <w:t>, reflecting the use</w:t>
      </w:r>
      <w:r w:rsidRPr="00592CE5">
        <w:t xml:space="preserve"> </w:t>
      </w:r>
      <w:r>
        <w:t xml:space="preserve">of </w:t>
      </w:r>
      <w:r w:rsidRPr="00592CE5">
        <w:t>different data samples, sc</w:t>
      </w:r>
      <w:r>
        <w:t xml:space="preserve">ope, assumptions, methodologies and indicators. </w:t>
      </w:r>
      <w:r w:rsidRPr="00592CE5">
        <w:t>These are common issues for valuation of emerging sectors in Australia and around the world</w:t>
      </w:r>
      <w:r>
        <w:t>. Further detail on these issues and a comparison of this analysis with previous studies is included in Appendix</w:t>
      </w:r>
      <w:r w:rsidR="001C7C43">
        <w:t> </w:t>
      </w:r>
      <w:r w:rsidR="001C7C43" w:rsidRPr="001C7C43">
        <w:t>B</w:t>
      </w:r>
      <w:r>
        <w:t>.</w:t>
      </w:r>
      <w:r w:rsidR="00C0030F">
        <w:br w:type="page"/>
      </w:r>
    </w:p>
    <w:p w14:paraId="2891481C" w14:textId="12ED1E02" w:rsidR="00D35518" w:rsidRPr="00EF7E1B" w:rsidRDefault="0017596E" w:rsidP="00F31579">
      <w:pPr>
        <w:pStyle w:val="Heading1"/>
        <w:numPr>
          <w:ilvl w:val="0"/>
          <w:numId w:val="49"/>
        </w:numPr>
        <w:ind w:hanging="720"/>
      </w:pPr>
      <w:bookmarkStart w:id="30" w:name="_Toc55990309"/>
      <w:bookmarkStart w:id="31" w:name="_Toc62635438"/>
      <w:r>
        <w:lastRenderedPageBreak/>
        <w:t xml:space="preserve">Australia’s space sector in </w:t>
      </w:r>
      <w:r w:rsidR="00E56584" w:rsidRPr="00EF7E1B">
        <w:t>2016</w:t>
      </w:r>
      <w:r w:rsidR="00957AA6" w:rsidRPr="00EF7E1B">
        <w:t>-17</w:t>
      </w:r>
      <w:bookmarkEnd w:id="8"/>
      <w:bookmarkEnd w:id="9"/>
      <w:bookmarkEnd w:id="10"/>
      <w:bookmarkEnd w:id="11"/>
      <w:bookmarkEnd w:id="28"/>
      <w:bookmarkEnd w:id="29"/>
      <w:bookmarkEnd w:id="30"/>
      <w:bookmarkEnd w:id="31"/>
    </w:p>
    <w:p w14:paraId="794FFAB0" w14:textId="5EA80D5A" w:rsidR="00EA52D0" w:rsidRDefault="00EA52D0" w:rsidP="00EA52D0">
      <w:pPr>
        <w:tabs>
          <w:tab w:val="left" w:pos="2696"/>
        </w:tabs>
      </w:pPr>
      <w:r>
        <w:t xml:space="preserve">This </w:t>
      </w:r>
      <w:r w:rsidR="00170FEC">
        <w:t>c</w:t>
      </w:r>
      <w:r w:rsidR="00C3089E">
        <w:t xml:space="preserve">hapter </w:t>
      </w:r>
      <w:r>
        <w:t xml:space="preserve">of the report provides an overview of Australia’s space sector, </w:t>
      </w:r>
      <w:r w:rsidR="00610B4C">
        <w:t>using the definition</w:t>
      </w:r>
      <w:r>
        <w:t xml:space="preserve"> in Chapter</w:t>
      </w:r>
      <w:r w:rsidR="00610B4C">
        <w:t> </w:t>
      </w:r>
      <w:r>
        <w:t xml:space="preserve">2, </w:t>
      </w:r>
      <w:r w:rsidR="00396FD5">
        <w:t>in</w:t>
      </w:r>
      <w:r w:rsidR="00C3089E">
        <w:t xml:space="preserve"> </w:t>
      </w:r>
      <w:r w:rsidR="005C6BDD">
        <w:t>FY17</w:t>
      </w:r>
      <w:r>
        <w:t>. This retrospective analysis indicates the scale, nature and composition of space activities in Australia at this time</w:t>
      </w:r>
      <w:r w:rsidR="00610B4C">
        <w:t xml:space="preserve"> and provides a starting point for future analysis</w:t>
      </w:r>
      <w:r>
        <w:t>.</w:t>
      </w:r>
    </w:p>
    <w:p w14:paraId="6A258D3F" w14:textId="68C3CA74" w:rsidR="00EA52D0" w:rsidRPr="004A345F" w:rsidRDefault="00FE53E7" w:rsidP="004A345F">
      <w:pPr>
        <w:spacing w:before="240"/>
        <w:rPr>
          <w:rFonts w:eastAsia="Calibri"/>
        </w:rPr>
      </w:pPr>
      <w:r>
        <w:t>FY17</w:t>
      </w:r>
      <w:r w:rsidR="00470E98">
        <w:t xml:space="preserve"> saw global </w:t>
      </w:r>
      <w:r w:rsidR="007F1823">
        <w:t xml:space="preserve">optimism about </w:t>
      </w:r>
      <w:r w:rsidR="00470E98">
        <w:t>space sector growth. Estimations were that the global space sector could reach US$600 (AU$837) billion by 2030</w:t>
      </w:r>
      <w:r w:rsidR="00470E98">
        <w:rPr>
          <w:rStyle w:val="FootnoteReference"/>
        </w:rPr>
        <w:footnoteReference w:id="18"/>
      </w:r>
      <w:r w:rsidR="00470E98">
        <w:t>, and trends indicated increasing numbers of commercial actors, driven by the evolution of smaller, more cost effective technology, lowering costs and access to space.</w:t>
      </w:r>
      <w:r w:rsidR="004A345F" w:rsidRPr="004A345F">
        <w:t xml:space="preserve"> </w:t>
      </w:r>
      <w:r w:rsidR="004A345F">
        <w:t xml:space="preserve">The </w:t>
      </w:r>
      <w:r w:rsidR="004A345F" w:rsidRPr="004A345F">
        <w:rPr>
          <w:i/>
        </w:rPr>
        <w:t>2016 State of Space</w:t>
      </w:r>
      <w:r w:rsidR="004A345F">
        <w:t xml:space="preserve"> </w:t>
      </w:r>
      <w:r w:rsidR="004A345F" w:rsidRPr="004A345F">
        <w:rPr>
          <w:i/>
        </w:rPr>
        <w:t>Report</w:t>
      </w:r>
      <w:r w:rsidR="004A345F">
        <w:t xml:space="preserve"> noted that “Australia is increasingly reliant on space-enabled services” while cautioning that </w:t>
      </w:r>
      <w:r w:rsidR="00E1706D">
        <w:t xml:space="preserve">Australia’s </w:t>
      </w:r>
      <w:r w:rsidR="004A345F">
        <w:t>ability to capitalise on the benefits that satellite data provid</w:t>
      </w:r>
      <w:r w:rsidR="00E1706D">
        <w:t xml:space="preserve">es was </w:t>
      </w:r>
      <w:r w:rsidR="004A345F">
        <w:t>at risk</w:t>
      </w:r>
      <w:r w:rsidR="00E1706D">
        <w:t>. This was due to both</w:t>
      </w:r>
      <w:r w:rsidR="004A345F">
        <w:t xml:space="preserve"> Australia</w:t>
      </w:r>
      <w:r w:rsidR="00E1706D">
        <w:t>’s</w:t>
      </w:r>
      <w:r w:rsidR="004A345F">
        <w:t xml:space="preserve"> </w:t>
      </w:r>
      <w:r w:rsidR="00E1706D">
        <w:t>reliance</w:t>
      </w:r>
      <w:r w:rsidR="004A345F">
        <w:t xml:space="preserve"> on satellites systems owned and operated by foreign entities and less than optimum ground infrastructure</w:t>
      </w:r>
      <w:r w:rsidR="004A345F">
        <w:rPr>
          <w:rStyle w:val="FootnoteReference"/>
        </w:rPr>
        <w:footnoteReference w:id="19"/>
      </w:r>
      <w:r w:rsidR="004A345F">
        <w:t>.</w:t>
      </w:r>
      <w:r w:rsidR="004852D0">
        <w:t xml:space="preserve"> Table 2 provides summary results for Australia’s space sector in </w:t>
      </w:r>
      <w:r>
        <w:t>FY</w:t>
      </w:r>
      <w:r w:rsidR="004852D0">
        <w:t>17.</w:t>
      </w:r>
    </w:p>
    <w:p w14:paraId="53DF0B72" w14:textId="4E839454" w:rsidR="00C85226" w:rsidRPr="00EA52D0" w:rsidRDefault="00957AA6" w:rsidP="00EA52D0">
      <w:pPr>
        <w:pStyle w:val="TableHeading"/>
      </w:pPr>
      <w:r w:rsidRPr="00EA52D0">
        <w:t>Table</w:t>
      </w:r>
      <w:r w:rsidR="004852D0">
        <w:t> </w:t>
      </w:r>
      <w:r w:rsidRPr="00EA52D0">
        <w:t>2</w:t>
      </w:r>
      <w:r w:rsidR="00835317" w:rsidRPr="00EA52D0">
        <w:t>:</w:t>
      </w:r>
      <w:r w:rsidRPr="00EA52D0">
        <w:t xml:space="preserve"> </w:t>
      </w:r>
      <w:r w:rsidR="00B621F9" w:rsidRPr="00EA52D0">
        <w:t>Australian s</w:t>
      </w:r>
      <w:r w:rsidR="00C62EAE" w:rsidRPr="00EA52D0">
        <w:t xml:space="preserve">pace sector </w:t>
      </w:r>
      <w:r w:rsidR="00B621F9" w:rsidRPr="00EA52D0">
        <w:t>summary</w:t>
      </w:r>
      <w:r w:rsidRPr="00EA52D0">
        <w:t xml:space="preserve"> </w:t>
      </w:r>
      <w:r w:rsidR="00B621F9" w:rsidRPr="00EA52D0">
        <w:t>results</w:t>
      </w:r>
      <w:r w:rsidR="00EC6465">
        <w:t xml:space="preserve"> 2016-17 (</w:t>
      </w:r>
      <w:r w:rsidR="00EC6465" w:rsidRPr="00EA52D0">
        <w:t>FY17</w:t>
      </w:r>
      <w:r w:rsidR="00EC6465">
        <w:t>)</w:t>
      </w:r>
    </w:p>
    <w:tbl>
      <w:tblPr>
        <w:tblStyle w:val="TableGrid"/>
        <w:tblW w:w="0" w:type="auto"/>
        <w:tblLook w:val="04A0" w:firstRow="1" w:lastRow="0" w:firstColumn="1" w:lastColumn="0" w:noHBand="0" w:noVBand="1"/>
        <w:tblCaption w:val="FY17 Australian space sector baseline"/>
        <w:tblDescription w:val="Number of organisations = 432&#10;Jobs = 10,430&#10;Space sector revenue = $4.3 billion&#10;GDP contribution = 0.24%"/>
      </w:tblPr>
      <w:tblGrid>
        <w:gridCol w:w="5665"/>
        <w:gridCol w:w="4077"/>
      </w:tblGrid>
      <w:tr w:rsidR="00B621F9" w14:paraId="3F9A9B04" w14:textId="77777777" w:rsidTr="00B621F9">
        <w:trPr>
          <w:tblHeader/>
        </w:trPr>
        <w:tc>
          <w:tcPr>
            <w:tcW w:w="5665" w:type="dxa"/>
            <w:tcBorders>
              <w:right w:val="nil"/>
            </w:tcBorders>
            <w:shd w:val="clear" w:color="auto" w:fill="004976" w:themeFill="accent1"/>
          </w:tcPr>
          <w:p w14:paraId="5086047B" w14:textId="1DC22CD7" w:rsidR="00B621F9" w:rsidRPr="005B1A4D" w:rsidRDefault="00B621F9" w:rsidP="00FE4D9B">
            <w:pPr>
              <w:tabs>
                <w:tab w:val="left" w:pos="2696"/>
              </w:tabs>
              <w:rPr>
                <w:b/>
                <w:bCs/>
                <w:color w:val="FFFFFF" w:themeColor="background1"/>
                <w:szCs w:val="22"/>
              </w:rPr>
            </w:pPr>
            <w:r w:rsidRPr="005B1A4D">
              <w:rPr>
                <w:b/>
                <w:bCs/>
                <w:color w:val="FFFFFF" w:themeColor="background1"/>
                <w:szCs w:val="22"/>
              </w:rPr>
              <w:t>Indicator</w:t>
            </w:r>
          </w:p>
        </w:tc>
        <w:tc>
          <w:tcPr>
            <w:tcW w:w="4077" w:type="dxa"/>
            <w:tcBorders>
              <w:left w:val="nil"/>
            </w:tcBorders>
            <w:shd w:val="clear" w:color="auto" w:fill="004976" w:themeFill="accent1"/>
          </w:tcPr>
          <w:p w14:paraId="4066B781" w14:textId="660A6598" w:rsidR="00B621F9" w:rsidRPr="005B1A4D" w:rsidRDefault="00B621F9" w:rsidP="00FE4D9B">
            <w:pPr>
              <w:tabs>
                <w:tab w:val="left" w:pos="2696"/>
              </w:tabs>
              <w:rPr>
                <w:b/>
                <w:bCs/>
                <w:color w:val="FFFFFF" w:themeColor="background1"/>
                <w:szCs w:val="22"/>
              </w:rPr>
            </w:pPr>
            <w:r w:rsidRPr="005B1A4D">
              <w:rPr>
                <w:b/>
                <w:bCs/>
                <w:color w:val="FFFFFF" w:themeColor="background1"/>
                <w:szCs w:val="22"/>
              </w:rPr>
              <w:t>Result</w:t>
            </w:r>
          </w:p>
        </w:tc>
      </w:tr>
      <w:tr w:rsidR="00C85226" w14:paraId="2AFA06ED" w14:textId="77777777" w:rsidTr="00B621F9">
        <w:tc>
          <w:tcPr>
            <w:tcW w:w="5665" w:type="dxa"/>
            <w:shd w:val="clear" w:color="auto" w:fill="F2F2F2" w:themeFill="background1" w:themeFillShade="F2"/>
          </w:tcPr>
          <w:p w14:paraId="0DA977A6" w14:textId="024A22E1" w:rsidR="00C85226" w:rsidRDefault="00C85226" w:rsidP="006961D0">
            <w:pPr>
              <w:tabs>
                <w:tab w:val="left" w:pos="2696"/>
              </w:tabs>
            </w:pPr>
            <w:r>
              <w:t xml:space="preserve">Number of organisations in the </w:t>
            </w:r>
            <w:r w:rsidR="005441FD">
              <w:t xml:space="preserve">space </w:t>
            </w:r>
            <w:r>
              <w:t>sector:</w:t>
            </w:r>
          </w:p>
        </w:tc>
        <w:tc>
          <w:tcPr>
            <w:tcW w:w="4077" w:type="dxa"/>
          </w:tcPr>
          <w:p w14:paraId="395FCAF6" w14:textId="21A63E38" w:rsidR="00C85226" w:rsidRDefault="009A3CBF" w:rsidP="001F062C">
            <w:pPr>
              <w:tabs>
                <w:tab w:val="left" w:pos="2696"/>
              </w:tabs>
            </w:pPr>
            <w:r w:rsidRPr="00535771">
              <w:t>43</w:t>
            </w:r>
            <w:r w:rsidR="001F062C" w:rsidRPr="00535771">
              <w:t>2</w:t>
            </w:r>
          </w:p>
        </w:tc>
      </w:tr>
      <w:tr w:rsidR="00C85226" w14:paraId="2EB3B029" w14:textId="77777777" w:rsidTr="00B621F9">
        <w:tc>
          <w:tcPr>
            <w:tcW w:w="5665" w:type="dxa"/>
            <w:shd w:val="clear" w:color="auto" w:fill="F2F2F2" w:themeFill="background1" w:themeFillShade="F2"/>
          </w:tcPr>
          <w:p w14:paraId="54E8777B" w14:textId="3C28C319" w:rsidR="00C85226" w:rsidRDefault="006638E4" w:rsidP="00C85226">
            <w:pPr>
              <w:tabs>
                <w:tab w:val="left" w:pos="2696"/>
              </w:tabs>
            </w:pPr>
            <w:r>
              <w:t>Jobs (</w:t>
            </w:r>
            <w:r w:rsidR="00870A1F">
              <w:t xml:space="preserve">direct </w:t>
            </w:r>
            <w:r w:rsidR="00323045">
              <w:t>only</w:t>
            </w:r>
            <w:r w:rsidR="00224FFF">
              <w:t>,</w:t>
            </w:r>
            <w:r w:rsidR="00323045">
              <w:t xml:space="preserve"> </w:t>
            </w:r>
            <w:r>
              <w:t>headcount):</w:t>
            </w:r>
          </w:p>
        </w:tc>
        <w:tc>
          <w:tcPr>
            <w:tcW w:w="4077" w:type="dxa"/>
          </w:tcPr>
          <w:p w14:paraId="753C8B2A" w14:textId="7AFB42FC" w:rsidR="00C85226" w:rsidRDefault="00C81524" w:rsidP="00A3316A">
            <w:pPr>
              <w:tabs>
                <w:tab w:val="left" w:pos="2696"/>
              </w:tabs>
            </w:pPr>
            <w:r>
              <w:t>10,</w:t>
            </w:r>
            <w:r w:rsidR="00BE23F9">
              <w:t>4</w:t>
            </w:r>
            <w:r w:rsidR="00A05270">
              <w:t>3</w:t>
            </w:r>
            <w:r w:rsidR="00BE23F9">
              <w:t>0</w:t>
            </w:r>
          </w:p>
        </w:tc>
      </w:tr>
      <w:tr w:rsidR="00C85226" w14:paraId="177C68BD" w14:textId="77777777" w:rsidTr="00B621F9">
        <w:tc>
          <w:tcPr>
            <w:tcW w:w="5665" w:type="dxa"/>
            <w:shd w:val="clear" w:color="auto" w:fill="F2F2F2" w:themeFill="background1" w:themeFillShade="F2"/>
          </w:tcPr>
          <w:p w14:paraId="3E79EFEF" w14:textId="6291D9F3" w:rsidR="00C85226" w:rsidRDefault="006638E4" w:rsidP="00C85226">
            <w:pPr>
              <w:tabs>
                <w:tab w:val="left" w:pos="2696"/>
              </w:tabs>
            </w:pPr>
            <w:r>
              <w:t>Space sector revenue</w:t>
            </w:r>
            <w:r w:rsidR="00413540">
              <w:t xml:space="preserve"> (AU$)</w:t>
            </w:r>
            <w:r>
              <w:t>:</w:t>
            </w:r>
          </w:p>
        </w:tc>
        <w:tc>
          <w:tcPr>
            <w:tcW w:w="4077" w:type="dxa"/>
          </w:tcPr>
          <w:p w14:paraId="66F671E6" w14:textId="1445B044" w:rsidR="00C85226" w:rsidRDefault="00E84936" w:rsidP="00F5498C">
            <w:pPr>
              <w:tabs>
                <w:tab w:val="left" w:pos="2696"/>
              </w:tabs>
            </w:pPr>
            <w:r>
              <w:t>$</w:t>
            </w:r>
            <w:r w:rsidR="00C81524">
              <w:t xml:space="preserve">4.3 </w:t>
            </w:r>
            <w:r>
              <w:t>billion</w:t>
            </w:r>
          </w:p>
        </w:tc>
      </w:tr>
    </w:tbl>
    <w:p w14:paraId="7D13FCD4" w14:textId="77777777" w:rsidR="00971085" w:rsidRDefault="00971085" w:rsidP="000340F1">
      <w:pPr>
        <w:tabs>
          <w:tab w:val="left" w:pos="2696"/>
        </w:tabs>
        <w:spacing w:after="0"/>
      </w:pPr>
    </w:p>
    <w:p w14:paraId="11DC406D" w14:textId="24DE128D" w:rsidR="007B5ED5" w:rsidRDefault="007B5ED5" w:rsidP="007B5ED5">
      <w:pPr>
        <w:tabs>
          <w:tab w:val="left" w:pos="2696"/>
        </w:tabs>
      </w:pPr>
      <w:r>
        <w:t>These summary results align with previous studies of the sector, which estimated the Australian space sector to have at least 388 organisations, generating $3 billion to $4 billion in revenue, and around 10,000 jobs (with an estimated range between 9,500 and 11,500 full-time employees) in 2015-16 (FY16)</w:t>
      </w:r>
      <w:r w:rsidRPr="007B5ED5">
        <w:rPr>
          <w:rStyle w:val="FootnoteReference"/>
        </w:rPr>
        <w:t xml:space="preserve"> </w:t>
      </w:r>
      <w:r>
        <w:rPr>
          <w:rStyle w:val="FootnoteReference"/>
        </w:rPr>
        <w:footnoteReference w:id="20"/>
      </w:r>
      <w:r>
        <w:t>.</w:t>
      </w:r>
    </w:p>
    <w:p w14:paraId="0B72B8E5" w14:textId="4BD53D47" w:rsidR="00375230" w:rsidRDefault="007B5ED5" w:rsidP="00EB3C0D">
      <w:pPr>
        <w:tabs>
          <w:tab w:val="left" w:pos="2696"/>
        </w:tabs>
      </w:pPr>
      <w:r>
        <w:t>O</w:t>
      </w:r>
      <w:r w:rsidR="00EC6465">
        <w:t>f the 432 organisations in Australia’s space sector</w:t>
      </w:r>
      <w:r>
        <w:t xml:space="preserve"> in </w:t>
      </w:r>
      <w:r w:rsidR="00B05B38">
        <w:t>FY</w:t>
      </w:r>
      <w:r>
        <w:t>17</w:t>
      </w:r>
      <w:r w:rsidR="00EC6465">
        <w:t xml:space="preserve">, many </w:t>
      </w:r>
      <w:r>
        <w:t xml:space="preserve">organisations </w:t>
      </w:r>
      <w:r w:rsidR="00EC6465">
        <w:t xml:space="preserve">were active in </w:t>
      </w:r>
      <w:r w:rsidR="00610B4C">
        <w:t xml:space="preserve">more than one </w:t>
      </w:r>
      <w:r w:rsidR="00EC6465">
        <w:t>segment of the space value chain</w:t>
      </w:r>
      <w:r w:rsidR="00EB3C0D" w:rsidRPr="00E838C3">
        <w:rPr>
          <w:rStyle w:val="FootnoteReference"/>
        </w:rPr>
        <w:footnoteReference w:id="21"/>
      </w:r>
      <w:r w:rsidR="00EB3C0D">
        <w:t>. The distribution of organisations’ activities across the value chain is set out in Table</w:t>
      </w:r>
      <w:r w:rsidR="0022163C">
        <w:t> </w:t>
      </w:r>
      <w:r w:rsidR="00EB3C0D">
        <w:t>3.</w:t>
      </w:r>
    </w:p>
    <w:p w14:paraId="1A1C228B" w14:textId="1C85E621" w:rsidR="00EB3C0D" w:rsidRDefault="00EB3C0D" w:rsidP="00EB3C0D">
      <w:pPr>
        <w:pStyle w:val="TableHeading"/>
      </w:pPr>
      <w:r>
        <w:t>Table</w:t>
      </w:r>
      <w:r w:rsidR="0022163C">
        <w:t> </w:t>
      </w:r>
      <w:r>
        <w:t>3</w:t>
      </w:r>
      <w:r w:rsidRPr="00EA52D0">
        <w:t xml:space="preserve">: Australian space sector </w:t>
      </w:r>
      <w:r w:rsidR="008E2030">
        <w:t xml:space="preserve">organisations (all sizes) by value chain segment </w:t>
      </w:r>
      <w:r>
        <w:t>2016-17 (</w:t>
      </w:r>
      <w:r w:rsidRPr="00EA52D0">
        <w:t>FY17</w:t>
      </w:r>
      <w:r>
        <w:t>)</w:t>
      </w:r>
    </w:p>
    <w:tbl>
      <w:tblPr>
        <w:tblW w:w="9923" w:type="dxa"/>
        <w:tblInd w:w="-10" w:type="dxa"/>
        <w:tblLayout w:type="fixed"/>
        <w:tblLook w:val="04A0" w:firstRow="1" w:lastRow="0" w:firstColumn="1" w:lastColumn="0" w:noHBand="0" w:noVBand="1"/>
      </w:tblPr>
      <w:tblGrid>
        <w:gridCol w:w="3686"/>
        <w:gridCol w:w="1346"/>
        <w:gridCol w:w="1630"/>
        <w:gridCol w:w="1630"/>
        <w:gridCol w:w="1631"/>
      </w:tblGrid>
      <w:tr w:rsidR="00EB3C0D" w:rsidRPr="00D95F76" w14:paraId="0FCD7DEB" w14:textId="77777777" w:rsidTr="008E2030">
        <w:trPr>
          <w:trHeight w:val="300"/>
        </w:trPr>
        <w:tc>
          <w:tcPr>
            <w:tcW w:w="3686" w:type="dxa"/>
            <w:tcBorders>
              <w:top w:val="single" w:sz="8" w:space="0" w:color="auto"/>
              <w:left w:val="single" w:sz="8" w:space="0" w:color="auto"/>
              <w:bottom w:val="single" w:sz="4" w:space="0" w:color="auto"/>
              <w:right w:val="nil"/>
            </w:tcBorders>
            <w:shd w:val="clear" w:color="auto" w:fill="004976" w:themeFill="accent1"/>
            <w:noWrap/>
            <w:hideMark/>
          </w:tcPr>
          <w:p w14:paraId="4E34507C" w14:textId="77777777" w:rsidR="00EB3C0D" w:rsidRDefault="00EB3C0D" w:rsidP="00056FC0">
            <w:pPr>
              <w:adjustRightInd/>
              <w:snapToGrid/>
              <w:spacing w:after="0" w:line="240" w:lineRule="auto"/>
              <w:jc w:val="center"/>
              <w:rPr>
                <w:rFonts w:eastAsia="Times New Roman" w:cstheme="minorHAnsi"/>
                <w:b/>
                <w:bCs/>
                <w:color w:val="FFFFFF" w:themeColor="background1"/>
                <w:sz w:val="20"/>
                <w:lang w:eastAsia="en-AU"/>
              </w:rPr>
            </w:pPr>
            <w:r>
              <w:rPr>
                <w:rFonts w:eastAsia="Times New Roman" w:cstheme="minorHAnsi"/>
                <w:b/>
                <w:bCs/>
                <w:color w:val="FFFFFF" w:themeColor="background1"/>
                <w:sz w:val="20"/>
                <w:lang w:eastAsia="en-AU"/>
              </w:rPr>
              <w:t>Value chain</w:t>
            </w:r>
            <w:r w:rsidRPr="0077014F">
              <w:rPr>
                <w:rFonts w:eastAsia="Times New Roman" w:cstheme="minorHAnsi"/>
                <w:b/>
                <w:bCs/>
                <w:color w:val="FFFFFF" w:themeColor="background1"/>
                <w:sz w:val="20"/>
                <w:lang w:eastAsia="en-AU"/>
              </w:rPr>
              <w:t xml:space="preserve"> segment breakdown</w:t>
            </w:r>
          </w:p>
          <w:p w14:paraId="68BBA2C5" w14:textId="3E995A08" w:rsidR="00EB3C0D" w:rsidRPr="00D95F76" w:rsidRDefault="00EE546E" w:rsidP="00056FC0">
            <w:pPr>
              <w:adjustRightInd/>
              <w:snapToGrid/>
              <w:spacing w:after="0" w:line="240" w:lineRule="auto"/>
              <w:jc w:val="center"/>
              <w:rPr>
                <w:rFonts w:eastAsia="Times New Roman" w:cstheme="minorHAnsi"/>
                <w:b/>
                <w:bCs/>
                <w:color w:val="FFFFFF" w:themeColor="background1"/>
                <w:sz w:val="20"/>
                <w:lang w:eastAsia="en-AU"/>
              </w:rPr>
            </w:pPr>
            <w:r>
              <w:rPr>
                <w:rFonts w:eastAsia="Times New Roman" w:cstheme="minorHAnsi"/>
                <w:b/>
                <w:bCs/>
                <w:color w:val="FFFFFF" w:themeColor="background1"/>
                <w:sz w:val="20"/>
                <w:lang w:eastAsia="en-AU"/>
              </w:rPr>
              <w:t>(by number of organisations)</w:t>
            </w:r>
          </w:p>
        </w:tc>
        <w:tc>
          <w:tcPr>
            <w:tcW w:w="1346" w:type="dxa"/>
            <w:tcBorders>
              <w:top w:val="single" w:sz="8" w:space="0" w:color="auto"/>
              <w:left w:val="nil"/>
              <w:bottom w:val="single" w:sz="4" w:space="0" w:color="auto"/>
              <w:right w:val="nil"/>
            </w:tcBorders>
            <w:shd w:val="clear" w:color="auto" w:fill="004976" w:themeFill="accent1"/>
            <w:noWrap/>
            <w:hideMark/>
          </w:tcPr>
          <w:p w14:paraId="01605BCD" w14:textId="77777777" w:rsidR="00EB3C0D" w:rsidRPr="00D95F76"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F1823">
              <w:rPr>
                <w:rFonts w:eastAsia="Times New Roman" w:cstheme="minorHAnsi"/>
                <w:b/>
                <w:bCs/>
                <w:color w:val="FFFFFF" w:themeColor="background1"/>
                <w:sz w:val="18"/>
                <w:lang w:eastAsia="en-AU"/>
              </w:rPr>
              <w:t>Manufacturing &amp; core inputs</w:t>
            </w:r>
          </w:p>
        </w:tc>
        <w:tc>
          <w:tcPr>
            <w:tcW w:w="1630" w:type="dxa"/>
            <w:tcBorders>
              <w:top w:val="single" w:sz="8" w:space="0" w:color="auto"/>
              <w:left w:val="nil"/>
              <w:bottom w:val="single" w:sz="4" w:space="0" w:color="auto"/>
              <w:right w:val="nil"/>
            </w:tcBorders>
            <w:shd w:val="clear" w:color="auto" w:fill="004976" w:themeFill="accent1"/>
            <w:noWrap/>
            <w:hideMark/>
          </w:tcPr>
          <w:p w14:paraId="68AE8117" w14:textId="77777777" w:rsidR="00EB3C0D" w:rsidRPr="0077014F"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099B4359" w14:textId="77777777" w:rsidR="00EB3C0D" w:rsidRPr="00D95F76"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operations</w:t>
            </w:r>
          </w:p>
        </w:tc>
        <w:tc>
          <w:tcPr>
            <w:tcW w:w="1630" w:type="dxa"/>
            <w:tcBorders>
              <w:top w:val="single" w:sz="8" w:space="0" w:color="auto"/>
              <w:left w:val="nil"/>
              <w:bottom w:val="single" w:sz="4" w:space="0" w:color="auto"/>
              <w:right w:val="nil"/>
            </w:tcBorders>
            <w:shd w:val="clear" w:color="auto" w:fill="004976" w:themeFill="accent1"/>
            <w:noWrap/>
            <w:hideMark/>
          </w:tcPr>
          <w:p w14:paraId="2473732B" w14:textId="77777777" w:rsidR="00EB3C0D" w:rsidRPr="0077014F"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7C15F72F" w14:textId="77777777" w:rsidR="00EB3C0D" w:rsidRPr="00D95F76"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applications</w:t>
            </w:r>
          </w:p>
        </w:tc>
        <w:tc>
          <w:tcPr>
            <w:tcW w:w="1631" w:type="dxa"/>
            <w:tcBorders>
              <w:top w:val="single" w:sz="8" w:space="0" w:color="auto"/>
              <w:left w:val="nil"/>
              <w:bottom w:val="single" w:sz="4" w:space="0" w:color="auto"/>
              <w:right w:val="single" w:sz="8" w:space="0" w:color="auto"/>
            </w:tcBorders>
            <w:shd w:val="clear" w:color="auto" w:fill="004976" w:themeFill="accent1"/>
            <w:noWrap/>
            <w:hideMark/>
          </w:tcPr>
          <w:p w14:paraId="71B8B99C" w14:textId="77777777" w:rsidR="00EB3C0D" w:rsidRPr="0077014F"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56B59978" w14:textId="77777777" w:rsidR="00EB3C0D" w:rsidRPr="00D95F76" w:rsidRDefault="00EB3C0D"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enablers</w:t>
            </w:r>
          </w:p>
        </w:tc>
      </w:tr>
      <w:tr w:rsidR="008E2030" w:rsidRPr="002A28D6" w14:paraId="626F4A53" w14:textId="77777777" w:rsidTr="008E2030">
        <w:trPr>
          <w:trHeight w:val="300"/>
        </w:trPr>
        <w:tc>
          <w:tcPr>
            <w:tcW w:w="3686" w:type="dxa"/>
            <w:tcBorders>
              <w:top w:val="single" w:sz="8" w:space="0" w:color="auto"/>
              <w:left w:val="single" w:sz="8" w:space="0" w:color="auto"/>
              <w:bottom w:val="single" w:sz="8" w:space="0" w:color="auto"/>
              <w:right w:val="nil"/>
            </w:tcBorders>
            <w:shd w:val="clear" w:color="000000" w:fill="D9D9D9"/>
            <w:noWrap/>
            <w:vAlign w:val="bottom"/>
          </w:tcPr>
          <w:p w14:paraId="480D2AC5" w14:textId="199AA641" w:rsidR="008E2030" w:rsidRDefault="008E2030" w:rsidP="008E2030">
            <w:pPr>
              <w:adjustRightInd/>
              <w:snapToGrid/>
              <w:spacing w:after="0" w:line="240" w:lineRule="auto"/>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Active in value chain segment (count)</w:t>
            </w:r>
          </w:p>
        </w:tc>
        <w:tc>
          <w:tcPr>
            <w:tcW w:w="1346" w:type="dxa"/>
            <w:tcBorders>
              <w:top w:val="single" w:sz="8" w:space="0" w:color="auto"/>
              <w:left w:val="nil"/>
              <w:bottom w:val="single" w:sz="8" w:space="0" w:color="auto"/>
              <w:right w:val="nil"/>
            </w:tcBorders>
            <w:shd w:val="clear" w:color="000000" w:fill="D9D9D9"/>
            <w:noWrap/>
            <w:vAlign w:val="center"/>
          </w:tcPr>
          <w:p w14:paraId="3C2EA66D" w14:textId="56F534F2" w:rsidR="008E2030"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87</w:t>
            </w:r>
          </w:p>
        </w:tc>
        <w:tc>
          <w:tcPr>
            <w:tcW w:w="1630" w:type="dxa"/>
            <w:tcBorders>
              <w:top w:val="single" w:sz="8" w:space="0" w:color="auto"/>
              <w:left w:val="nil"/>
              <w:bottom w:val="single" w:sz="8" w:space="0" w:color="auto"/>
              <w:right w:val="nil"/>
            </w:tcBorders>
            <w:shd w:val="clear" w:color="000000" w:fill="D9D9D9"/>
            <w:noWrap/>
            <w:vAlign w:val="center"/>
          </w:tcPr>
          <w:p w14:paraId="64B37BC9" w14:textId="17FD0D72" w:rsidR="008E2030"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48</w:t>
            </w:r>
          </w:p>
        </w:tc>
        <w:tc>
          <w:tcPr>
            <w:tcW w:w="1630" w:type="dxa"/>
            <w:tcBorders>
              <w:top w:val="single" w:sz="8" w:space="0" w:color="auto"/>
              <w:left w:val="nil"/>
              <w:bottom w:val="single" w:sz="8" w:space="0" w:color="auto"/>
              <w:right w:val="nil"/>
            </w:tcBorders>
            <w:shd w:val="clear" w:color="000000" w:fill="D9D9D9"/>
            <w:noWrap/>
            <w:vAlign w:val="center"/>
          </w:tcPr>
          <w:p w14:paraId="54A0C634" w14:textId="61F9869C" w:rsidR="008E2030"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169</w:t>
            </w:r>
          </w:p>
        </w:tc>
        <w:tc>
          <w:tcPr>
            <w:tcW w:w="1631" w:type="dxa"/>
            <w:tcBorders>
              <w:top w:val="single" w:sz="8" w:space="0" w:color="auto"/>
              <w:left w:val="nil"/>
              <w:bottom w:val="single" w:sz="8" w:space="0" w:color="auto"/>
              <w:right w:val="single" w:sz="8" w:space="0" w:color="auto"/>
            </w:tcBorders>
            <w:shd w:val="clear" w:color="000000" w:fill="D9D9D9"/>
            <w:noWrap/>
            <w:vAlign w:val="center"/>
          </w:tcPr>
          <w:p w14:paraId="36E0A038" w14:textId="4318B460" w:rsidR="008E2030"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221</w:t>
            </w:r>
          </w:p>
        </w:tc>
      </w:tr>
      <w:tr w:rsidR="008E2030" w:rsidRPr="002A28D6" w14:paraId="13028796" w14:textId="77777777" w:rsidTr="008E2030">
        <w:trPr>
          <w:trHeight w:val="300"/>
        </w:trPr>
        <w:tc>
          <w:tcPr>
            <w:tcW w:w="3686" w:type="dxa"/>
            <w:tcBorders>
              <w:top w:val="single" w:sz="8" w:space="0" w:color="auto"/>
              <w:left w:val="single" w:sz="8" w:space="0" w:color="auto"/>
              <w:bottom w:val="single" w:sz="8" w:space="0" w:color="auto"/>
              <w:right w:val="nil"/>
            </w:tcBorders>
            <w:shd w:val="clear" w:color="000000" w:fill="D9D9D9"/>
            <w:noWrap/>
            <w:vAlign w:val="bottom"/>
          </w:tcPr>
          <w:p w14:paraId="12DDC507" w14:textId="131B25D1" w:rsidR="008E2030" w:rsidRPr="002A28D6" w:rsidRDefault="008E2030" w:rsidP="008E2030">
            <w:pPr>
              <w:adjustRightInd/>
              <w:snapToGrid/>
              <w:spacing w:after="0" w:line="240" w:lineRule="auto"/>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Active in value chain segment (%)</w:t>
            </w:r>
          </w:p>
        </w:tc>
        <w:tc>
          <w:tcPr>
            <w:tcW w:w="1346" w:type="dxa"/>
            <w:tcBorders>
              <w:top w:val="single" w:sz="8" w:space="0" w:color="auto"/>
              <w:left w:val="nil"/>
              <w:bottom w:val="single" w:sz="8" w:space="0" w:color="auto"/>
              <w:right w:val="nil"/>
            </w:tcBorders>
            <w:shd w:val="clear" w:color="000000" w:fill="D9D9D9"/>
            <w:noWrap/>
            <w:vAlign w:val="center"/>
          </w:tcPr>
          <w:p w14:paraId="60DC52D1" w14:textId="702F9365" w:rsidR="008E2030" w:rsidRPr="002A28D6"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20 %</w:t>
            </w:r>
          </w:p>
        </w:tc>
        <w:tc>
          <w:tcPr>
            <w:tcW w:w="1630" w:type="dxa"/>
            <w:tcBorders>
              <w:top w:val="single" w:sz="8" w:space="0" w:color="auto"/>
              <w:left w:val="nil"/>
              <w:bottom w:val="single" w:sz="8" w:space="0" w:color="auto"/>
              <w:right w:val="nil"/>
            </w:tcBorders>
            <w:shd w:val="clear" w:color="000000" w:fill="D9D9D9"/>
            <w:noWrap/>
            <w:vAlign w:val="center"/>
          </w:tcPr>
          <w:p w14:paraId="7F61FB62" w14:textId="6C3676B6" w:rsidR="008E2030" w:rsidRPr="002A28D6"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11 %</w:t>
            </w:r>
          </w:p>
        </w:tc>
        <w:tc>
          <w:tcPr>
            <w:tcW w:w="1630" w:type="dxa"/>
            <w:tcBorders>
              <w:top w:val="single" w:sz="8" w:space="0" w:color="auto"/>
              <w:left w:val="nil"/>
              <w:bottom w:val="single" w:sz="8" w:space="0" w:color="auto"/>
              <w:right w:val="nil"/>
            </w:tcBorders>
            <w:shd w:val="clear" w:color="000000" w:fill="D9D9D9"/>
            <w:noWrap/>
            <w:vAlign w:val="center"/>
          </w:tcPr>
          <w:p w14:paraId="6CF5C82C" w14:textId="0075090D" w:rsidR="008E2030" w:rsidRPr="002A28D6"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39 %</w:t>
            </w:r>
          </w:p>
        </w:tc>
        <w:tc>
          <w:tcPr>
            <w:tcW w:w="1631" w:type="dxa"/>
            <w:tcBorders>
              <w:top w:val="single" w:sz="8" w:space="0" w:color="auto"/>
              <w:left w:val="nil"/>
              <w:bottom w:val="single" w:sz="8" w:space="0" w:color="auto"/>
              <w:right w:val="single" w:sz="8" w:space="0" w:color="auto"/>
            </w:tcBorders>
            <w:shd w:val="clear" w:color="000000" w:fill="D9D9D9"/>
            <w:noWrap/>
            <w:vAlign w:val="center"/>
          </w:tcPr>
          <w:p w14:paraId="2C0D3DA4" w14:textId="33CB3883" w:rsidR="008E2030" w:rsidRPr="002A28D6" w:rsidRDefault="008E2030" w:rsidP="008E203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51 %</w:t>
            </w:r>
          </w:p>
        </w:tc>
      </w:tr>
    </w:tbl>
    <w:p w14:paraId="11192F1B" w14:textId="08B96157" w:rsidR="0017596E" w:rsidRPr="00610B4C" w:rsidRDefault="00610B4C" w:rsidP="00610B4C">
      <w:pPr>
        <w:tabs>
          <w:tab w:val="left" w:pos="2696"/>
        </w:tabs>
      </w:pPr>
      <w:r>
        <w:t xml:space="preserve">Identifying the size and nature of activities in the sector in FY17 provides a robust </w:t>
      </w:r>
      <w:r w:rsidR="00EC445B">
        <w:t xml:space="preserve">initial </w:t>
      </w:r>
      <w:r w:rsidR="00584C9B">
        <w:t xml:space="preserve">starting </w:t>
      </w:r>
      <w:r w:rsidR="00EC445B">
        <w:t>point against which</w:t>
      </w:r>
      <w:r>
        <w:t xml:space="preserve"> to identify and </w:t>
      </w:r>
      <w:r w:rsidR="007B5ED5">
        <w:t xml:space="preserve">analyse </w:t>
      </w:r>
      <w:r>
        <w:t>future changes in the sector.</w:t>
      </w:r>
      <w:bookmarkStart w:id="32" w:name="_Toc49509717"/>
      <w:bookmarkStart w:id="33" w:name="_Toc49845092"/>
      <w:bookmarkStart w:id="34" w:name="_Toc49848144"/>
      <w:bookmarkStart w:id="35" w:name="_Toc54342162"/>
      <w:bookmarkStart w:id="36" w:name="_Toc54794978"/>
      <w:bookmarkEnd w:id="32"/>
      <w:bookmarkEnd w:id="33"/>
      <w:bookmarkEnd w:id="34"/>
      <w:r w:rsidR="0017596E">
        <w:br w:type="page"/>
      </w:r>
    </w:p>
    <w:p w14:paraId="7FA8C79E" w14:textId="6D95A44C" w:rsidR="004E4427" w:rsidRDefault="0017596E" w:rsidP="00336F2F">
      <w:pPr>
        <w:pStyle w:val="Heading1"/>
        <w:numPr>
          <w:ilvl w:val="0"/>
          <w:numId w:val="49"/>
        </w:numPr>
        <w:ind w:hanging="720"/>
      </w:pPr>
      <w:bookmarkStart w:id="37" w:name="_Toc55990310"/>
      <w:bookmarkStart w:id="38" w:name="_Toc62635439"/>
      <w:r>
        <w:lastRenderedPageBreak/>
        <w:t xml:space="preserve">Australia’s </w:t>
      </w:r>
      <w:r w:rsidR="00C85226">
        <w:t xml:space="preserve">space </w:t>
      </w:r>
      <w:r w:rsidR="004A58F5">
        <w:t>sector</w:t>
      </w:r>
      <w:bookmarkEnd w:id="35"/>
      <w:bookmarkEnd w:id="36"/>
      <w:r>
        <w:t xml:space="preserve"> </w:t>
      </w:r>
      <w:r w:rsidR="00A6372D">
        <w:t>in 2018-19</w:t>
      </w:r>
      <w:bookmarkEnd w:id="37"/>
      <w:bookmarkEnd w:id="38"/>
    </w:p>
    <w:p w14:paraId="1AC2B474" w14:textId="1F90C31F" w:rsidR="005B1A4D" w:rsidRDefault="005B1A4D" w:rsidP="2D6B30A0">
      <w:pPr>
        <w:tabs>
          <w:tab w:val="left" w:pos="2696"/>
        </w:tabs>
      </w:pPr>
      <w:r>
        <w:t xml:space="preserve">This </w:t>
      </w:r>
      <w:r w:rsidR="00170FEC">
        <w:t>c</w:t>
      </w:r>
      <w:r w:rsidR="009705AC">
        <w:t xml:space="preserve">hapter </w:t>
      </w:r>
      <w:r>
        <w:t xml:space="preserve">provides an overview of Australia’s space sector, using the definition in Chapter 2, from </w:t>
      </w:r>
      <w:r w:rsidR="005C6BDD">
        <w:t xml:space="preserve">FY17 </w:t>
      </w:r>
      <w:r>
        <w:t xml:space="preserve">to </w:t>
      </w:r>
      <w:r w:rsidR="005C6BDD">
        <w:t>FY19</w:t>
      </w:r>
      <w:r>
        <w:t>.</w:t>
      </w:r>
      <w:r w:rsidR="0026510C">
        <w:t xml:space="preserve"> The analysis includes comparison with </w:t>
      </w:r>
      <w:r w:rsidR="005C6BDD">
        <w:t xml:space="preserve">FY17 </w:t>
      </w:r>
      <w:r w:rsidR="00C3089E">
        <w:t>(</w:t>
      </w:r>
      <w:r w:rsidR="004671B4">
        <w:t>outlined in Chapter 3</w:t>
      </w:r>
      <w:r w:rsidR="00C3089E">
        <w:t>)</w:t>
      </w:r>
      <w:r w:rsidR="004671B4">
        <w:t xml:space="preserve"> </w:t>
      </w:r>
      <w:r w:rsidR="0026510C">
        <w:t xml:space="preserve">and a more detailed examination of the sector’s organisations, jobs and revenue in </w:t>
      </w:r>
      <w:r w:rsidR="005C6BDD">
        <w:t>FY19</w:t>
      </w:r>
      <w:r w:rsidR="00506E65">
        <w:rPr>
          <w:rStyle w:val="FootnoteReference"/>
        </w:rPr>
        <w:footnoteReference w:id="22"/>
      </w:r>
      <w:r w:rsidR="0026510C">
        <w:t>.</w:t>
      </w:r>
    </w:p>
    <w:p w14:paraId="5A686365" w14:textId="6F0BDC66" w:rsidR="00957D3A" w:rsidRDefault="004D2599" w:rsidP="2D6B30A0">
      <w:pPr>
        <w:tabs>
          <w:tab w:val="left" w:pos="2696"/>
        </w:tabs>
      </w:pPr>
      <w:r>
        <w:t>From July 2017</w:t>
      </w:r>
      <w:r w:rsidR="000865F0">
        <w:t>,</w:t>
      </w:r>
      <w:r>
        <w:t xml:space="preserve"> an </w:t>
      </w:r>
      <w:r w:rsidR="005B1A4D">
        <w:t xml:space="preserve">Expert Review Group </w:t>
      </w:r>
      <w:r w:rsidR="00534159">
        <w:t xml:space="preserve">(ERG) </w:t>
      </w:r>
      <w:r w:rsidR="004A6D9E">
        <w:t>conducted</w:t>
      </w:r>
      <w:r w:rsidR="005B1A4D">
        <w:t xml:space="preserve"> a review of Australia’s space industry, </w:t>
      </w:r>
      <w:r>
        <w:t xml:space="preserve">commissioned by the Australian Government, </w:t>
      </w:r>
      <w:r w:rsidR="005B1A4D">
        <w:t>which was completed in March 2018. The ERG found that while Australia’s space sector had strong potential, it was lacking strategic direction and coordination, and had limited access to global supply chains.</w:t>
      </w:r>
      <w:r w:rsidR="008B1350">
        <w:rPr>
          <w:rStyle w:val="FootnoteReference"/>
        </w:rPr>
        <w:footnoteReference w:id="23"/>
      </w:r>
      <w:r w:rsidR="005B1A4D">
        <w:t xml:space="preserve"> </w:t>
      </w:r>
      <w:r w:rsidR="00120583">
        <w:t xml:space="preserve">Recognising the potential of this sector, the Australian Government </w:t>
      </w:r>
      <w:r w:rsidR="00E179C8">
        <w:t xml:space="preserve">established the </w:t>
      </w:r>
      <w:r w:rsidR="00246206">
        <w:t xml:space="preserve">Agency </w:t>
      </w:r>
      <w:r w:rsidR="005B1A4D">
        <w:t xml:space="preserve">on 1 July 2018, </w:t>
      </w:r>
      <w:r w:rsidR="00E179C8">
        <w:t xml:space="preserve">to deliver </w:t>
      </w:r>
      <w:r w:rsidR="008B1350">
        <w:t xml:space="preserve">initial </w:t>
      </w:r>
      <w:r w:rsidR="00E179C8">
        <w:t>measures targeted at growing the sector</w:t>
      </w:r>
      <w:r w:rsidR="008B1350">
        <w:t xml:space="preserve"> </w:t>
      </w:r>
      <w:r w:rsidR="00EA6155">
        <w:t>and transform</w:t>
      </w:r>
      <w:r w:rsidR="004A6D9E">
        <w:t>ing</w:t>
      </w:r>
      <w:r w:rsidR="00EA6155">
        <w:t xml:space="preserve"> the use of space in other</w:t>
      </w:r>
      <w:r w:rsidR="00963CB0">
        <w:t xml:space="preserve"> areas</w:t>
      </w:r>
      <w:r w:rsidR="00375B4D">
        <w:t xml:space="preserve"> of the economy</w:t>
      </w:r>
      <w:r w:rsidR="00120583">
        <w:t xml:space="preserve">. </w:t>
      </w:r>
      <w:r w:rsidR="008B1350">
        <w:t>In April</w:t>
      </w:r>
      <w:r w:rsidR="00220137">
        <w:t xml:space="preserve"> </w:t>
      </w:r>
      <w:r w:rsidR="008B1350">
        <w:t xml:space="preserve">2019 the Australian Government released </w:t>
      </w:r>
      <w:r w:rsidR="00FA5B2E">
        <w:rPr>
          <w:i/>
        </w:rPr>
        <w:t xml:space="preserve">the </w:t>
      </w:r>
      <w:r w:rsidR="008B1350" w:rsidRPr="008B1350">
        <w:rPr>
          <w:i/>
        </w:rPr>
        <w:t xml:space="preserve">Strategy </w:t>
      </w:r>
      <w:r w:rsidR="008B1350">
        <w:t xml:space="preserve">outlining its </w:t>
      </w:r>
      <w:r w:rsidR="004A6D9E">
        <w:t xml:space="preserve">goals </w:t>
      </w:r>
      <w:r w:rsidR="008B1350" w:rsidRPr="008B1350">
        <w:t>to triple the size of the Australian space sector to $12 billion and create 20,000 more jobs by 2030</w:t>
      </w:r>
      <w:r w:rsidR="008B1350">
        <w:t xml:space="preserve">. </w:t>
      </w:r>
      <w:r>
        <w:t xml:space="preserve">At the end of 2018-19, the Agency </w:t>
      </w:r>
      <w:r w:rsidR="004A6D9E">
        <w:t>had achieved a great deal in its first year</w:t>
      </w:r>
      <w:r w:rsidR="003175CF">
        <w:rPr>
          <w:rStyle w:val="FootnoteReference"/>
        </w:rPr>
        <w:footnoteReference w:id="24"/>
      </w:r>
      <w:r>
        <w:t xml:space="preserve">, and was just moving from </w:t>
      </w:r>
      <w:r w:rsidR="004A6D9E">
        <w:t>p</w:t>
      </w:r>
      <w:r w:rsidRPr="004A6D9E">
        <w:t xml:space="preserve">hase </w:t>
      </w:r>
      <w:r w:rsidR="004A6D9E">
        <w:t xml:space="preserve">one of the Strategy </w:t>
      </w:r>
      <w:r w:rsidRPr="00D5136D">
        <w:rPr>
          <w:i/>
        </w:rPr>
        <w:t>–</w:t>
      </w:r>
      <w:r w:rsidR="00214BF3">
        <w:rPr>
          <w:i/>
        </w:rPr>
        <w:t xml:space="preserve"> </w:t>
      </w:r>
      <w:r w:rsidRPr="00D5136D">
        <w:rPr>
          <w:i/>
        </w:rPr>
        <w:t>Setting conditions for growth</w:t>
      </w:r>
      <w:r>
        <w:t xml:space="preserve"> </w:t>
      </w:r>
      <w:r w:rsidR="004A6D9E" w:rsidRPr="004A6D9E">
        <w:rPr>
          <w:i/>
        </w:rPr>
        <w:t>(2018-19)</w:t>
      </w:r>
      <w:r w:rsidR="004A6D9E">
        <w:t xml:space="preserve"> </w:t>
      </w:r>
      <w:r>
        <w:t xml:space="preserve">into </w:t>
      </w:r>
      <w:r w:rsidR="004A6D9E">
        <w:t xml:space="preserve">phase two </w:t>
      </w:r>
      <w:r w:rsidR="00B941CA">
        <w:t xml:space="preserve">– </w:t>
      </w:r>
      <w:r w:rsidRPr="00D5136D">
        <w:rPr>
          <w:i/>
        </w:rPr>
        <w:t>Engaging with opportunity</w:t>
      </w:r>
      <w:r>
        <w:t xml:space="preserve"> </w:t>
      </w:r>
      <w:r w:rsidR="004A6D9E" w:rsidRPr="00D5136D">
        <w:rPr>
          <w:i/>
        </w:rPr>
        <w:t>(2019-2021)</w:t>
      </w:r>
      <w:r w:rsidR="004A6D9E">
        <w:rPr>
          <w:i/>
        </w:rPr>
        <w:t xml:space="preserve"> </w:t>
      </w:r>
      <w:r>
        <w:t xml:space="preserve">of the </w:t>
      </w:r>
      <w:r w:rsidR="004A6D9E">
        <w:t>Government’s plan to grow</w:t>
      </w:r>
      <w:r>
        <w:t xml:space="preserve"> Australia’s space sector</w:t>
      </w:r>
      <w:r w:rsidR="008B1350">
        <w:t>.</w:t>
      </w:r>
      <w:r w:rsidR="00957D3A">
        <w:t xml:space="preserve"> </w:t>
      </w:r>
    </w:p>
    <w:p w14:paraId="55001A90" w14:textId="69AEE9FE" w:rsidR="00375B4D" w:rsidRDefault="003B050A" w:rsidP="2D6B30A0">
      <w:pPr>
        <w:tabs>
          <w:tab w:val="left" w:pos="2696"/>
        </w:tabs>
      </w:pPr>
      <w:r>
        <w:t xml:space="preserve">Significantly more detailed analysis of FY19 </w:t>
      </w:r>
      <w:r w:rsidR="00255F6B">
        <w:t xml:space="preserve">than FY17 </w:t>
      </w:r>
      <w:r>
        <w:t xml:space="preserve">has been undertaken, </w:t>
      </w:r>
      <w:r w:rsidR="00A922AB">
        <w:t xml:space="preserve">enabled by the availability of </w:t>
      </w:r>
      <w:r w:rsidR="00255F6B">
        <w:t xml:space="preserve">richer </w:t>
      </w:r>
      <w:r>
        <w:t xml:space="preserve">data for this </w:t>
      </w:r>
      <w:r w:rsidR="00255F6B">
        <w:t xml:space="preserve">later </w:t>
      </w:r>
      <w:r>
        <w:t>time period</w:t>
      </w:r>
      <w:r w:rsidR="00A922AB">
        <w:t>, and following establishment of the Agency</w:t>
      </w:r>
      <w:r>
        <w:t xml:space="preserve">. </w:t>
      </w:r>
      <w:r w:rsidR="00957D3A">
        <w:t xml:space="preserve">Table 4 provides summary results for Australia’s space sector in </w:t>
      </w:r>
      <w:r w:rsidR="002A1A77">
        <w:t>FY</w:t>
      </w:r>
      <w:r w:rsidR="00957D3A">
        <w:t>19.</w:t>
      </w:r>
    </w:p>
    <w:p w14:paraId="0E95B883" w14:textId="550FA49A" w:rsidR="005B1A4D" w:rsidRPr="00EA52D0" w:rsidRDefault="0022163C" w:rsidP="005B1A4D">
      <w:pPr>
        <w:pStyle w:val="TableHeading"/>
      </w:pPr>
      <w:r>
        <w:t>Table 4</w:t>
      </w:r>
      <w:r w:rsidR="005B1A4D" w:rsidRPr="00EA52D0">
        <w:t>: Australian space sector summary results</w:t>
      </w:r>
      <w:r w:rsidR="005B1A4D">
        <w:t xml:space="preserve"> 2018-19 (</w:t>
      </w:r>
      <w:r w:rsidR="005B1A4D" w:rsidRPr="00EA52D0">
        <w:t>FY</w:t>
      </w:r>
      <w:r w:rsidR="005B1A4D">
        <w:t>19)</w:t>
      </w:r>
    </w:p>
    <w:tbl>
      <w:tblPr>
        <w:tblStyle w:val="TableGrid"/>
        <w:tblW w:w="0" w:type="auto"/>
        <w:tblLook w:val="04A0" w:firstRow="1" w:lastRow="0" w:firstColumn="1" w:lastColumn="0" w:noHBand="0" w:noVBand="1"/>
        <w:tblCaption w:val="FY17 Australian space sector baseline"/>
        <w:tblDescription w:val="Number of organisations = 432&#10;Jobs = 10,430&#10;Space sector revenue = $4.3 billion&#10;GDP contribution = 0.24%"/>
      </w:tblPr>
      <w:tblGrid>
        <w:gridCol w:w="5665"/>
        <w:gridCol w:w="4077"/>
      </w:tblGrid>
      <w:tr w:rsidR="005B1A4D" w14:paraId="2EC4EBF8" w14:textId="77777777" w:rsidTr="00C951C6">
        <w:trPr>
          <w:tblHeader/>
        </w:trPr>
        <w:tc>
          <w:tcPr>
            <w:tcW w:w="5665" w:type="dxa"/>
            <w:tcBorders>
              <w:right w:val="nil"/>
            </w:tcBorders>
            <w:shd w:val="clear" w:color="auto" w:fill="004976" w:themeFill="accent1"/>
          </w:tcPr>
          <w:p w14:paraId="20D42247" w14:textId="77777777" w:rsidR="005B1A4D" w:rsidRPr="005B1A4D" w:rsidRDefault="005B1A4D" w:rsidP="00C951C6">
            <w:pPr>
              <w:tabs>
                <w:tab w:val="left" w:pos="2696"/>
              </w:tabs>
              <w:rPr>
                <w:b/>
                <w:bCs/>
                <w:color w:val="FFFFFF" w:themeColor="background1"/>
                <w:szCs w:val="22"/>
              </w:rPr>
            </w:pPr>
            <w:r w:rsidRPr="005B1A4D">
              <w:rPr>
                <w:b/>
                <w:bCs/>
                <w:color w:val="FFFFFF" w:themeColor="background1"/>
                <w:szCs w:val="22"/>
              </w:rPr>
              <w:t>Indicator</w:t>
            </w:r>
          </w:p>
        </w:tc>
        <w:tc>
          <w:tcPr>
            <w:tcW w:w="4077" w:type="dxa"/>
            <w:tcBorders>
              <w:left w:val="nil"/>
            </w:tcBorders>
            <w:shd w:val="clear" w:color="auto" w:fill="004976" w:themeFill="accent1"/>
          </w:tcPr>
          <w:p w14:paraId="0533C979" w14:textId="77777777" w:rsidR="005B1A4D" w:rsidRPr="005B1A4D" w:rsidRDefault="005B1A4D" w:rsidP="00C951C6">
            <w:pPr>
              <w:tabs>
                <w:tab w:val="left" w:pos="2696"/>
              </w:tabs>
              <w:rPr>
                <w:b/>
                <w:bCs/>
                <w:color w:val="FFFFFF" w:themeColor="background1"/>
                <w:szCs w:val="22"/>
              </w:rPr>
            </w:pPr>
            <w:r w:rsidRPr="005B1A4D">
              <w:rPr>
                <w:b/>
                <w:bCs/>
                <w:color w:val="FFFFFF" w:themeColor="background1"/>
                <w:szCs w:val="22"/>
              </w:rPr>
              <w:t>Result</w:t>
            </w:r>
          </w:p>
        </w:tc>
      </w:tr>
      <w:tr w:rsidR="005B1A4D" w14:paraId="4BEA8737" w14:textId="77777777" w:rsidTr="00C951C6">
        <w:tc>
          <w:tcPr>
            <w:tcW w:w="5665" w:type="dxa"/>
            <w:shd w:val="clear" w:color="auto" w:fill="F2F2F2" w:themeFill="background1" w:themeFillShade="F2"/>
          </w:tcPr>
          <w:p w14:paraId="539D47BC" w14:textId="77777777" w:rsidR="005B1A4D" w:rsidRDefault="005B1A4D" w:rsidP="00C951C6">
            <w:pPr>
              <w:tabs>
                <w:tab w:val="left" w:pos="2696"/>
              </w:tabs>
            </w:pPr>
            <w:r>
              <w:t>Number of organisations in the space sector:</w:t>
            </w:r>
          </w:p>
        </w:tc>
        <w:tc>
          <w:tcPr>
            <w:tcW w:w="4077" w:type="dxa"/>
          </w:tcPr>
          <w:p w14:paraId="53D5CB71" w14:textId="4437E949" w:rsidR="005B1A4D" w:rsidRDefault="005B1A4D" w:rsidP="00C951C6">
            <w:pPr>
              <w:tabs>
                <w:tab w:val="left" w:pos="2696"/>
              </w:tabs>
            </w:pPr>
            <w:r>
              <w:t>481</w:t>
            </w:r>
          </w:p>
        </w:tc>
      </w:tr>
      <w:tr w:rsidR="005B1A4D" w14:paraId="1F29313B" w14:textId="77777777" w:rsidTr="00C951C6">
        <w:tc>
          <w:tcPr>
            <w:tcW w:w="5665" w:type="dxa"/>
            <w:shd w:val="clear" w:color="auto" w:fill="F2F2F2" w:themeFill="background1" w:themeFillShade="F2"/>
          </w:tcPr>
          <w:p w14:paraId="7F5228A9" w14:textId="77777777" w:rsidR="005B1A4D" w:rsidRDefault="005B1A4D" w:rsidP="00C951C6">
            <w:pPr>
              <w:tabs>
                <w:tab w:val="left" w:pos="2696"/>
              </w:tabs>
            </w:pPr>
            <w:r>
              <w:t>Jobs (direct only, headcount):</w:t>
            </w:r>
          </w:p>
        </w:tc>
        <w:tc>
          <w:tcPr>
            <w:tcW w:w="4077" w:type="dxa"/>
          </w:tcPr>
          <w:p w14:paraId="0DEED9E0" w14:textId="5EB44756" w:rsidR="005B1A4D" w:rsidRDefault="005B1A4D" w:rsidP="005B1A4D">
            <w:pPr>
              <w:tabs>
                <w:tab w:val="left" w:pos="2696"/>
              </w:tabs>
            </w:pPr>
            <w:r>
              <w:t>11,560</w:t>
            </w:r>
          </w:p>
        </w:tc>
      </w:tr>
      <w:tr w:rsidR="005B1A4D" w14:paraId="19DCCC20" w14:textId="77777777" w:rsidTr="00C951C6">
        <w:tc>
          <w:tcPr>
            <w:tcW w:w="5665" w:type="dxa"/>
            <w:shd w:val="clear" w:color="auto" w:fill="F2F2F2" w:themeFill="background1" w:themeFillShade="F2"/>
          </w:tcPr>
          <w:p w14:paraId="0A526985" w14:textId="54787730" w:rsidR="005B1A4D" w:rsidRDefault="005B1A4D" w:rsidP="00C951C6">
            <w:pPr>
              <w:tabs>
                <w:tab w:val="left" w:pos="2696"/>
              </w:tabs>
            </w:pPr>
            <w:r>
              <w:t>Space sector revenue</w:t>
            </w:r>
            <w:r w:rsidR="00413540">
              <w:t xml:space="preserve"> (AU$)</w:t>
            </w:r>
            <w:r>
              <w:t>:</w:t>
            </w:r>
          </w:p>
        </w:tc>
        <w:tc>
          <w:tcPr>
            <w:tcW w:w="4077" w:type="dxa"/>
          </w:tcPr>
          <w:p w14:paraId="16A6D8ED" w14:textId="37187B2F" w:rsidR="005B1A4D" w:rsidRDefault="005B1A4D" w:rsidP="00720114">
            <w:pPr>
              <w:tabs>
                <w:tab w:val="left" w:pos="2696"/>
              </w:tabs>
            </w:pPr>
            <w:r>
              <w:t>$4.6 billion</w:t>
            </w:r>
            <w:r w:rsidR="00720114">
              <w:t xml:space="preserve"> (approx. 0.25% GDP)</w:t>
            </w:r>
            <w:r w:rsidR="00720114">
              <w:rPr>
                <w:rStyle w:val="FootnoteReference"/>
              </w:rPr>
              <w:t xml:space="preserve"> </w:t>
            </w:r>
            <w:r w:rsidR="00720114">
              <w:rPr>
                <w:rStyle w:val="FootnoteReference"/>
              </w:rPr>
              <w:footnoteReference w:id="25"/>
            </w:r>
          </w:p>
        </w:tc>
      </w:tr>
    </w:tbl>
    <w:p w14:paraId="0806883A" w14:textId="293001AE" w:rsidR="00EA3AB7" w:rsidRDefault="00534159" w:rsidP="003B4AB4">
      <w:pPr>
        <w:tabs>
          <w:tab w:val="left" w:pos="2696"/>
        </w:tabs>
        <w:spacing w:before="120"/>
      </w:pPr>
      <w:r>
        <w:t>W</w:t>
      </w:r>
      <w:r w:rsidR="00C951C6" w:rsidRPr="00C951C6">
        <w:t>e</w:t>
      </w:r>
      <w:r w:rsidR="00C951C6">
        <w:t xml:space="preserve"> can compare the changes from </w:t>
      </w:r>
      <w:r w:rsidR="00520232">
        <w:t xml:space="preserve">FY17 </w:t>
      </w:r>
      <w:r w:rsidR="00C951C6">
        <w:t xml:space="preserve">to FY19, indicating how Australia’s space sector has changed and </w:t>
      </w:r>
      <w:r w:rsidR="00963CB0">
        <w:t>progress towards our national goals</w:t>
      </w:r>
      <w:r w:rsidR="00FD725D">
        <w:t xml:space="preserve"> for growth of the Australian space sector</w:t>
      </w:r>
      <w:r w:rsidR="00963CB0">
        <w:t>.</w:t>
      </w:r>
      <w:r w:rsidR="00957D3A">
        <w:t xml:space="preserve"> A summary of these changes are set out in Table 5.</w:t>
      </w:r>
    </w:p>
    <w:p w14:paraId="61B62219" w14:textId="728049A8" w:rsidR="00957AA6" w:rsidRPr="00063081" w:rsidRDefault="00957AA6" w:rsidP="0098356A">
      <w:pPr>
        <w:pStyle w:val="TableHeading"/>
      </w:pPr>
      <w:r w:rsidRPr="00A6718B">
        <w:t>Table</w:t>
      </w:r>
      <w:r w:rsidR="0022163C">
        <w:t> 5</w:t>
      </w:r>
      <w:r w:rsidR="00955728" w:rsidRPr="00A6718B">
        <w:t>:</w:t>
      </w:r>
      <w:r w:rsidRPr="00A6718B">
        <w:t xml:space="preserve"> </w:t>
      </w:r>
      <w:r w:rsidR="0013447C" w:rsidRPr="00A6718B">
        <w:t xml:space="preserve">FY17 to </w:t>
      </w:r>
      <w:r w:rsidR="00B621F9" w:rsidRPr="00A6718B">
        <w:t>FY19 Australian space sector summary results</w:t>
      </w:r>
    </w:p>
    <w:tbl>
      <w:tblPr>
        <w:tblStyle w:val="TableGrid"/>
        <w:tblW w:w="0" w:type="auto"/>
        <w:tblLook w:val="04A0" w:firstRow="1" w:lastRow="0" w:firstColumn="1" w:lastColumn="0" w:noHBand="0" w:noVBand="1"/>
        <w:tblCaption w:val="FY19 Australian space sector metrics"/>
        <w:tblDescription w:val="Number of organisations = 432481&#10;Jobs = 11,560&#10;Space sector revenue = $4.6 billion&#10;GDP contribution = 0.24%"/>
      </w:tblPr>
      <w:tblGrid>
        <w:gridCol w:w="2830"/>
        <w:gridCol w:w="2066"/>
        <w:gridCol w:w="2265"/>
        <w:gridCol w:w="2581"/>
      </w:tblGrid>
      <w:tr w:rsidR="00C951C6" w14:paraId="1BDEDC83" w14:textId="33A3BA26" w:rsidTr="00C951C6">
        <w:trPr>
          <w:tblHeader/>
        </w:trPr>
        <w:tc>
          <w:tcPr>
            <w:tcW w:w="2830" w:type="dxa"/>
            <w:shd w:val="clear" w:color="auto" w:fill="004976" w:themeFill="accent1"/>
            <w:vAlign w:val="center"/>
          </w:tcPr>
          <w:p w14:paraId="2775A30F" w14:textId="6485A18E" w:rsidR="00C951C6" w:rsidRPr="00B621F9" w:rsidRDefault="00C951C6" w:rsidP="00B621F9">
            <w:pPr>
              <w:tabs>
                <w:tab w:val="left" w:pos="2696"/>
              </w:tabs>
              <w:rPr>
                <w:b/>
                <w:bCs/>
                <w:color w:val="FFFFFF" w:themeColor="background1"/>
                <w:sz w:val="24"/>
                <w:szCs w:val="24"/>
              </w:rPr>
            </w:pPr>
            <w:r w:rsidRPr="00B621F9">
              <w:rPr>
                <w:b/>
                <w:bCs/>
                <w:color w:val="FFFFFF" w:themeColor="background1"/>
                <w:sz w:val="24"/>
                <w:szCs w:val="24"/>
              </w:rPr>
              <w:t>Indicator</w:t>
            </w:r>
          </w:p>
        </w:tc>
        <w:tc>
          <w:tcPr>
            <w:tcW w:w="2066" w:type="dxa"/>
            <w:shd w:val="clear" w:color="auto" w:fill="004976" w:themeFill="accent1"/>
          </w:tcPr>
          <w:p w14:paraId="2C174988" w14:textId="6C761D21" w:rsidR="00C951C6" w:rsidRPr="00B621F9" w:rsidRDefault="00C951C6">
            <w:pPr>
              <w:tabs>
                <w:tab w:val="left" w:pos="2696"/>
              </w:tabs>
              <w:rPr>
                <w:b/>
                <w:bCs/>
                <w:color w:val="FFFFFF" w:themeColor="background1"/>
                <w:sz w:val="24"/>
                <w:szCs w:val="24"/>
              </w:rPr>
            </w:pPr>
            <w:r>
              <w:rPr>
                <w:b/>
                <w:bCs/>
                <w:color w:val="FFFFFF" w:themeColor="background1"/>
                <w:sz w:val="24"/>
                <w:szCs w:val="24"/>
              </w:rPr>
              <w:t>FY17</w:t>
            </w:r>
          </w:p>
        </w:tc>
        <w:tc>
          <w:tcPr>
            <w:tcW w:w="2265" w:type="dxa"/>
            <w:shd w:val="clear" w:color="auto" w:fill="004976" w:themeFill="accent1"/>
            <w:vAlign w:val="center"/>
          </w:tcPr>
          <w:p w14:paraId="66FD3B75" w14:textId="6FC75DE3" w:rsidR="00C951C6" w:rsidRPr="00B621F9" w:rsidRDefault="00C951C6">
            <w:pPr>
              <w:tabs>
                <w:tab w:val="left" w:pos="2696"/>
              </w:tabs>
              <w:rPr>
                <w:b/>
                <w:bCs/>
                <w:color w:val="FFFFFF" w:themeColor="background1"/>
                <w:sz w:val="24"/>
                <w:szCs w:val="24"/>
              </w:rPr>
            </w:pPr>
            <w:r>
              <w:rPr>
                <w:b/>
                <w:bCs/>
                <w:color w:val="FFFFFF" w:themeColor="background1"/>
                <w:sz w:val="24"/>
                <w:szCs w:val="24"/>
              </w:rPr>
              <w:t>FY19</w:t>
            </w:r>
          </w:p>
        </w:tc>
        <w:tc>
          <w:tcPr>
            <w:tcW w:w="2581" w:type="dxa"/>
            <w:shd w:val="clear" w:color="auto" w:fill="004976" w:themeFill="accent1"/>
          </w:tcPr>
          <w:p w14:paraId="2B2916FA" w14:textId="39C5B1BC" w:rsidR="00C951C6" w:rsidRPr="00B621F9" w:rsidDel="009A3CBF" w:rsidRDefault="00C951C6" w:rsidP="00C951C6">
            <w:pPr>
              <w:tabs>
                <w:tab w:val="left" w:pos="2696"/>
              </w:tabs>
              <w:rPr>
                <w:b/>
                <w:bCs/>
                <w:color w:val="FFFFFF" w:themeColor="background1"/>
                <w:sz w:val="24"/>
                <w:szCs w:val="24"/>
              </w:rPr>
            </w:pPr>
            <w:r>
              <w:rPr>
                <w:b/>
                <w:bCs/>
                <w:color w:val="FFFFFF" w:themeColor="background1"/>
                <w:sz w:val="24"/>
                <w:szCs w:val="24"/>
              </w:rPr>
              <w:t>Change</w:t>
            </w:r>
          </w:p>
        </w:tc>
      </w:tr>
      <w:tr w:rsidR="00C951C6" w14:paraId="4D77DD36" w14:textId="77777777" w:rsidTr="00396FD5">
        <w:tc>
          <w:tcPr>
            <w:tcW w:w="2830" w:type="dxa"/>
            <w:shd w:val="clear" w:color="auto" w:fill="F2F2F2" w:themeFill="background1" w:themeFillShade="F2"/>
            <w:vAlign w:val="center"/>
          </w:tcPr>
          <w:p w14:paraId="2D6C0743" w14:textId="6DFBF16D" w:rsidR="00C951C6" w:rsidRDefault="00C951C6" w:rsidP="00B621F9">
            <w:pPr>
              <w:tabs>
                <w:tab w:val="left" w:pos="2696"/>
              </w:tabs>
              <w:rPr>
                <w:rStyle w:val="CommentReference"/>
              </w:rPr>
            </w:pPr>
            <w:r>
              <w:t>Number of organisations in the space sector:</w:t>
            </w:r>
          </w:p>
        </w:tc>
        <w:tc>
          <w:tcPr>
            <w:tcW w:w="2066" w:type="dxa"/>
            <w:vAlign w:val="center"/>
          </w:tcPr>
          <w:p w14:paraId="2B1242D2" w14:textId="52E4113F" w:rsidR="00C951C6" w:rsidRPr="001F062C" w:rsidRDefault="00C951C6" w:rsidP="00B621F9">
            <w:pPr>
              <w:tabs>
                <w:tab w:val="left" w:pos="2696"/>
              </w:tabs>
              <w:rPr>
                <w:b/>
              </w:rPr>
            </w:pPr>
            <w:r>
              <w:rPr>
                <w:b/>
              </w:rPr>
              <w:t>432</w:t>
            </w:r>
          </w:p>
        </w:tc>
        <w:tc>
          <w:tcPr>
            <w:tcW w:w="2265" w:type="dxa"/>
            <w:vAlign w:val="center"/>
          </w:tcPr>
          <w:p w14:paraId="245F52EF" w14:textId="70404F3D" w:rsidR="00C951C6" w:rsidRPr="001F062C" w:rsidRDefault="00C951C6" w:rsidP="00B621F9">
            <w:pPr>
              <w:tabs>
                <w:tab w:val="left" w:pos="2696"/>
              </w:tabs>
              <w:rPr>
                <w:b/>
              </w:rPr>
            </w:pPr>
            <w:r w:rsidRPr="001F062C">
              <w:rPr>
                <w:b/>
              </w:rPr>
              <w:t>481</w:t>
            </w:r>
          </w:p>
        </w:tc>
        <w:tc>
          <w:tcPr>
            <w:tcW w:w="2581" w:type="dxa"/>
          </w:tcPr>
          <w:p w14:paraId="77FD5A23" w14:textId="44CA6C0D" w:rsidR="00C951C6" w:rsidRPr="00D95F76" w:rsidRDefault="00C951C6" w:rsidP="00C951C6">
            <w:pPr>
              <w:tabs>
                <w:tab w:val="left" w:pos="2696"/>
              </w:tabs>
            </w:pPr>
            <w:r>
              <w:t>Increase of 49 organisations (</w:t>
            </w:r>
            <w:r w:rsidRPr="004717C7">
              <w:t>11</w:t>
            </w:r>
            <w:r>
              <w:t>.3</w:t>
            </w:r>
            <w:r w:rsidRPr="0024235D">
              <w:t>%</w:t>
            </w:r>
            <w:r>
              <w:t xml:space="preserve"> increase, equating </w:t>
            </w:r>
            <w:r>
              <w:lastRenderedPageBreak/>
              <w:t>to an annual growth rate of 5.7%)</w:t>
            </w:r>
          </w:p>
        </w:tc>
      </w:tr>
      <w:tr w:rsidR="00C951C6" w14:paraId="0C06C089" w14:textId="529AD5C7" w:rsidTr="00396FD5">
        <w:tc>
          <w:tcPr>
            <w:tcW w:w="2830" w:type="dxa"/>
            <w:shd w:val="clear" w:color="auto" w:fill="F2F2F2" w:themeFill="background1" w:themeFillShade="F2"/>
            <w:vAlign w:val="center"/>
          </w:tcPr>
          <w:p w14:paraId="4FBE3B5F" w14:textId="5186345E" w:rsidR="00C951C6" w:rsidRDefault="00C951C6">
            <w:pPr>
              <w:tabs>
                <w:tab w:val="left" w:pos="2696"/>
              </w:tabs>
            </w:pPr>
            <w:r>
              <w:lastRenderedPageBreak/>
              <w:t>Jobs (direct only, headcount):</w:t>
            </w:r>
          </w:p>
        </w:tc>
        <w:tc>
          <w:tcPr>
            <w:tcW w:w="2066" w:type="dxa"/>
            <w:vAlign w:val="center"/>
          </w:tcPr>
          <w:p w14:paraId="13D2946E" w14:textId="76AC4658" w:rsidR="00C951C6" w:rsidRPr="00D95F76" w:rsidRDefault="00C951C6">
            <w:pPr>
              <w:tabs>
                <w:tab w:val="left" w:pos="2696"/>
              </w:tabs>
              <w:rPr>
                <w:b/>
              </w:rPr>
            </w:pPr>
            <w:r>
              <w:rPr>
                <w:b/>
              </w:rPr>
              <w:t>10,430</w:t>
            </w:r>
          </w:p>
        </w:tc>
        <w:tc>
          <w:tcPr>
            <w:tcW w:w="2265" w:type="dxa"/>
            <w:vAlign w:val="center"/>
          </w:tcPr>
          <w:p w14:paraId="4FF884AD" w14:textId="769A2D8E" w:rsidR="00C951C6" w:rsidRDefault="00C951C6">
            <w:pPr>
              <w:tabs>
                <w:tab w:val="left" w:pos="2696"/>
              </w:tabs>
            </w:pPr>
            <w:r w:rsidRPr="00D95F76">
              <w:rPr>
                <w:b/>
              </w:rPr>
              <w:t>11,</w:t>
            </w:r>
            <w:r>
              <w:rPr>
                <w:b/>
              </w:rPr>
              <w:t>560</w:t>
            </w:r>
          </w:p>
        </w:tc>
        <w:tc>
          <w:tcPr>
            <w:tcW w:w="2581" w:type="dxa"/>
          </w:tcPr>
          <w:p w14:paraId="21132DFB" w14:textId="77777777" w:rsidR="00C951C6" w:rsidRDefault="00C951C6" w:rsidP="00B621F9">
            <w:pPr>
              <w:tabs>
                <w:tab w:val="left" w:pos="2696"/>
              </w:tabs>
            </w:pPr>
            <w:r w:rsidRPr="00D95F76">
              <w:t xml:space="preserve">An increase of </w:t>
            </w:r>
            <w:r>
              <w:t>10.8</w:t>
            </w:r>
            <w:r w:rsidRPr="006E24A7">
              <w:t xml:space="preserve">% </w:t>
            </w:r>
          </w:p>
          <w:p w14:paraId="19080591" w14:textId="77D7BF03" w:rsidR="00C951C6" w:rsidRPr="00D95F76" w:rsidDel="00E84936" w:rsidRDefault="00C951C6" w:rsidP="00B621F9">
            <w:pPr>
              <w:tabs>
                <w:tab w:val="left" w:pos="2696"/>
              </w:tabs>
            </w:pPr>
            <w:r>
              <w:t>(Equating to</w:t>
            </w:r>
            <w:r w:rsidRPr="006A63D0">
              <w:t xml:space="preserve"> a</w:t>
            </w:r>
            <w:r>
              <w:t xml:space="preserve">n average annual growth rate </w:t>
            </w:r>
            <w:r w:rsidRPr="006A63D0">
              <w:t xml:space="preserve">of </w:t>
            </w:r>
            <w:r>
              <w:t>5.4</w:t>
            </w:r>
            <w:r w:rsidRPr="006A63D0">
              <w:t>%</w:t>
            </w:r>
            <w:r>
              <w:t>)</w:t>
            </w:r>
          </w:p>
        </w:tc>
      </w:tr>
      <w:tr w:rsidR="00C951C6" w14:paraId="7478D0ED" w14:textId="3B8268C9" w:rsidTr="00396FD5">
        <w:tc>
          <w:tcPr>
            <w:tcW w:w="2830" w:type="dxa"/>
            <w:shd w:val="clear" w:color="auto" w:fill="F2F2F2" w:themeFill="background1" w:themeFillShade="F2"/>
            <w:vAlign w:val="center"/>
          </w:tcPr>
          <w:p w14:paraId="7A14F985" w14:textId="75A56F80" w:rsidR="00C951C6" w:rsidRDefault="00C951C6">
            <w:pPr>
              <w:tabs>
                <w:tab w:val="left" w:pos="2696"/>
              </w:tabs>
            </w:pPr>
            <w:r>
              <w:t>Space sector revenue:</w:t>
            </w:r>
          </w:p>
        </w:tc>
        <w:tc>
          <w:tcPr>
            <w:tcW w:w="2066" w:type="dxa"/>
            <w:vAlign w:val="center"/>
          </w:tcPr>
          <w:p w14:paraId="3C436D42" w14:textId="7F44BCC1" w:rsidR="00C951C6" w:rsidRPr="00D95F76" w:rsidRDefault="00C951C6">
            <w:pPr>
              <w:tabs>
                <w:tab w:val="left" w:pos="2696"/>
              </w:tabs>
              <w:rPr>
                <w:b/>
              </w:rPr>
            </w:pPr>
            <w:r>
              <w:rPr>
                <w:b/>
              </w:rPr>
              <w:t>$4.3 billion</w:t>
            </w:r>
          </w:p>
        </w:tc>
        <w:tc>
          <w:tcPr>
            <w:tcW w:w="2265" w:type="dxa"/>
            <w:vAlign w:val="center"/>
          </w:tcPr>
          <w:p w14:paraId="11B55489" w14:textId="0BA3F764" w:rsidR="00C951C6" w:rsidRDefault="00C951C6">
            <w:pPr>
              <w:tabs>
                <w:tab w:val="left" w:pos="2696"/>
              </w:tabs>
            </w:pPr>
            <w:r w:rsidRPr="00D95F76">
              <w:rPr>
                <w:b/>
              </w:rPr>
              <w:t>$</w:t>
            </w:r>
            <w:r>
              <w:rPr>
                <w:b/>
              </w:rPr>
              <w:t>4.6</w:t>
            </w:r>
            <w:r w:rsidRPr="00D95F76">
              <w:rPr>
                <w:b/>
              </w:rPr>
              <w:t xml:space="preserve"> billion</w:t>
            </w:r>
            <w:r>
              <w:rPr>
                <w:b/>
              </w:rPr>
              <w:t xml:space="preserve"> </w:t>
            </w:r>
            <w:r w:rsidR="00720114">
              <w:rPr>
                <w:b/>
              </w:rPr>
              <w:br/>
            </w:r>
            <w:r w:rsidR="00720114">
              <w:t>(approx. 0.25% GDP)</w:t>
            </w:r>
            <w:r w:rsidR="00720114">
              <w:rPr>
                <w:rStyle w:val="FootnoteReference"/>
              </w:rPr>
              <w:t xml:space="preserve"> </w:t>
            </w:r>
            <w:r w:rsidR="00720114">
              <w:rPr>
                <w:rStyle w:val="FootnoteReference"/>
              </w:rPr>
              <w:footnoteReference w:id="26"/>
            </w:r>
          </w:p>
        </w:tc>
        <w:tc>
          <w:tcPr>
            <w:tcW w:w="2581" w:type="dxa"/>
          </w:tcPr>
          <w:p w14:paraId="5C43AFD0" w14:textId="44EC4B5D" w:rsidR="00C951C6" w:rsidRDefault="00C951C6">
            <w:pPr>
              <w:tabs>
                <w:tab w:val="left" w:pos="2696"/>
              </w:tabs>
            </w:pPr>
            <w:r w:rsidRPr="006E24A7">
              <w:t xml:space="preserve">An increase of </w:t>
            </w:r>
            <w:r w:rsidRPr="004717C7">
              <w:t>5</w:t>
            </w:r>
            <w:r w:rsidRPr="0024235D">
              <w:t>.</w:t>
            </w:r>
            <w:r>
              <w:t>8</w:t>
            </w:r>
            <w:r w:rsidRPr="0024235D">
              <w:t xml:space="preserve">% </w:t>
            </w:r>
          </w:p>
          <w:p w14:paraId="14FABD31" w14:textId="1E8AA09F" w:rsidR="00C951C6" w:rsidRPr="00D95F76" w:rsidDel="00E84936" w:rsidRDefault="00C951C6">
            <w:pPr>
              <w:tabs>
                <w:tab w:val="left" w:pos="2696"/>
              </w:tabs>
            </w:pPr>
            <w:r>
              <w:t>(Equating to</w:t>
            </w:r>
            <w:r w:rsidRPr="006A63D0">
              <w:t xml:space="preserve"> a</w:t>
            </w:r>
            <w:r>
              <w:t xml:space="preserve">n average annual growth rate </w:t>
            </w:r>
            <w:r w:rsidRPr="006A63D0">
              <w:t xml:space="preserve">of </w:t>
            </w:r>
            <w:r>
              <w:t>2.9</w:t>
            </w:r>
            <w:r w:rsidRPr="006A63D0">
              <w:t>%</w:t>
            </w:r>
            <w:r>
              <w:t>)</w:t>
            </w:r>
          </w:p>
        </w:tc>
      </w:tr>
    </w:tbl>
    <w:p w14:paraId="5779C926" w14:textId="7D55D96D" w:rsidR="00463052" w:rsidRDefault="00C951C6" w:rsidP="003B4AB4">
      <w:pPr>
        <w:tabs>
          <w:tab w:val="left" w:pos="2696"/>
        </w:tabs>
        <w:spacing w:before="227"/>
      </w:pPr>
      <w:r>
        <w:t xml:space="preserve">The Agency’s analysis shows that in FY19, 49 </w:t>
      </w:r>
      <w:r w:rsidR="0026510C">
        <w:t xml:space="preserve">more </w:t>
      </w:r>
      <w:r>
        <w:t xml:space="preserve">organisations are a part of the </w:t>
      </w:r>
      <w:r w:rsidR="0026510C">
        <w:t xml:space="preserve">space </w:t>
      </w:r>
      <w:r>
        <w:t xml:space="preserve">sector </w:t>
      </w:r>
      <w:r w:rsidR="0026510C">
        <w:t xml:space="preserve">than in </w:t>
      </w:r>
      <w:r>
        <w:t xml:space="preserve">FY17. </w:t>
      </w:r>
      <w:r w:rsidR="0026510C">
        <w:t xml:space="preserve">This describes a growth of 11.3 per cent over this period, or an average annual growth rate in the number of organisations of 5.7 per cent. </w:t>
      </w:r>
      <w:r w:rsidR="0032115F">
        <w:t xml:space="preserve">This rate of growth is </w:t>
      </w:r>
      <w:r w:rsidR="00FB7097">
        <w:t xml:space="preserve">approximately </w:t>
      </w:r>
      <w:r w:rsidR="0032115F">
        <w:t xml:space="preserve">equivalent to one additional organisation </w:t>
      </w:r>
      <w:r w:rsidR="00611245">
        <w:t xml:space="preserve">commencing activities </w:t>
      </w:r>
      <w:r w:rsidR="0032115F">
        <w:t>in Australia’s space sector every two weeks. This growth in organisations comprises new start-ups, existing organisations transitioning into space sector, and international organisations opening space operations</w:t>
      </w:r>
      <w:r w:rsidR="00FB7097">
        <w:t xml:space="preserve"> in Australia</w:t>
      </w:r>
      <w:r w:rsidR="0032115F">
        <w:t>.</w:t>
      </w:r>
    </w:p>
    <w:p w14:paraId="1187E7FC" w14:textId="0288C122" w:rsidR="00254D5D" w:rsidRDefault="00587E77" w:rsidP="004E4427">
      <w:pPr>
        <w:tabs>
          <w:tab w:val="left" w:pos="2696"/>
        </w:tabs>
      </w:pPr>
      <w:r>
        <w:t xml:space="preserve">Organisations that only conduct activities in the space sector are rare. </w:t>
      </w:r>
      <w:r w:rsidR="000D22EC">
        <w:t>I</w:t>
      </w:r>
      <w:r w:rsidR="00254D5D" w:rsidRPr="00254D5D">
        <w:t>t is estimated that just 14 per</w:t>
      </w:r>
      <w:r w:rsidR="00425E1C">
        <w:t xml:space="preserve"> </w:t>
      </w:r>
      <w:r w:rsidR="00254D5D" w:rsidRPr="00254D5D">
        <w:t xml:space="preserve">cent of the 481 organisations active in the space sector in </w:t>
      </w:r>
      <w:r w:rsidR="00F93A38">
        <w:t xml:space="preserve">FY19 </w:t>
      </w:r>
      <w:r w:rsidR="00254D5D" w:rsidRPr="00254D5D">
        <w:t>performed only space-related activities – the majority of Australian space organisations also perform non-space work.</w:t>
      </w:r>
      <w:r w:rsidR="000D22EC" w:rsidRPr="000D22EC">
        <w:rPr>
          <w:rStyle w:val="FootnoteReference"/>
        </w:rPr>
        <w:t xml:space="preserve"> </w:t>
      </w:r>
      <w:r w:rsidR="000D22EC">
        <w:rPr>
          <w:rStyle w:val="FootnoteReference"/>
        </w:rPr>
        <w:footnoteReference w:id="27"/>
      </w:r>
      <w:r w:rsidR="00AF70F8">
        <w:t xml:space="preserve"> </w:t>
      </w:r>
    </w:p>
    <w:p w14:paraId="2B81AE42" w14:textId="30A54E66" w:rsidR="007B05D1" w:rsidRDefault="008347BB" w:rsidP="00254D5D">
      <w:pPr>
        <w:tabs>
          <w:tab w:val="left" w:pos="2696"/>
        </w:tabs>
      </w:pPr>
      <w:r>
        <w:t>O</w:t>
      </w:r>
      <w:r w:rsidR="00587E77">
        <w:t>rganisations in the space sector often conduct activities outside the sector</w:t>
      </w:r>
      <w:r>
        <w:t>, suggesting</w:t>
      </w:r>
      <w:r w:rsidR="00587E77">
        <w:t xml:space="preserve"> t</w:t>
      </w:r>
      <w:r w:rsidR="00254D5D">
        <w:t xml:space="preserve">here is an opportunity for non-space industry organisations to translate their capabilities </w:t>
      </w:r>
      <w:r w:rsidR="008464F5">
        <w:t xml:space="preserve">outside the sector </w:t>
      </w:r>
      <w:r w:rsidR="00254D5D">
        <w:t xml:space="preserve">into activities within the space sector. Survey data from the Nous Group evidences several cases where long-established organisations have recently diversified or pivoted into the space sector. </w:t>
      </w:r>
    </w:p>
    <w:p w14:paraId="04CB7EA3" w14:textId="3676220E" w:rsidR="00254D5D" w:rsidRDefault="00254D5D" w:rsidP="00254D5D">
      <w:pPr>
        <w:tabs>
          <w:tab w:val="left" w:pos="2696"/>
        </w:tabs>
      </w:pPr>
      <w:r>
        <w:t xml:space="preserve">Research by </w:t>
      </w:r>
      <w:proofErr w:type="spellStart"/>
      <w:r>
        <w:t>AlphaBeta</w:t>
      </w:r>
      <w:proofErr w:type="spellEnd"/>
      <w:r>
        <w:t xml:space="preserve"> identifies </w:t>
      </w:r>
      <w:r w:rsidR="00587E77">
        <w:t>23 </w:t>
      </w:r>
      <w:r>
        <w:t xml:space="preserve">adjacent industries to the space sector </w:t>
      </w:r>
      <w:r w:rsidRPr="00DC2D11">
        <w:t xml:space="preserve">with capabilities that are transferrable to space, demonstrating significant growth potential </w:t>
      </w:r>
      <w:r>
        <w:t>for</w:t>
      </w:r>
      <w:r w:rsidRPr="00DC2D11">
        <w:t xml:space="preserve"> the space sector. </w:t>
      </w:r>
      <w:r w:rsidR="007B05D1">
        <w:t xml:space="preserve">Additionally, </w:t>
      </w:r>
      <w:proofErr w:type="spellStart"/>
      <w:r w:rsidR="007B05D1">
        <w:t>AlphaBeta</w:t>
      </w:r>
      <w:proofErr w:type="spellEnd"/>
      <w:r w:rsidR="007B05D1">
        <w:t xml:space="preserve"> </w:t>
      </w:r>
      <w:r w:rsidR="008347BB">
        <w:t xml:space="preserve">classified </w:t>
      </w:r>
      <w:r w:rsidR="007B05D1">
        <w:t>380 firms</w:t>
      </w:r>
      <w:r w:rsidR="008347BB">
        <w:t xml:space="preserve"> out of a total 4,000 space-adjacent firms as</w:t>
      </w:r>
      <w:r w:rsidR="007B05D1">
        <w:t xml:space="preserve"> having high potential to transition into the space sector</w:t>
      </w:r>
      <w:r>
        <w:t>.</w:t>
      </w:r>
      <w:r w:rsidR="007B05D1">
        <w:t xml:space="preserve"> The 10 most common capabilities of space-adjacent firms are</w:t>
      </w:r>
      <w:r w:rsidR="008347BB">
        <w:t>: precision machining and design;</w:t>
      </w:r>
      <w:r w:rsidR="007B05D1">
        <w:t xml:space="preserve"> remote operation and </w:t>
      </w:r>
      <w:r w:rsidR="008347BB">
        <w:t>automation;</w:t>
      </w:r>
      <w:r w:rsidR="007B05D1">
        <w:t xml:space="preserve"> machinery and compo</w:t>
      </w:r>
      <w:r w:rsidR="008347BB">
        <w:t>nent manufacturing; R&amp;D and manufacturing;</w:t>
      </w:r>
      <w:r w:rsidR="007B05D1">
        <w:t xml:space="preserve"> </w:t>
      </w:r>
      <w:r w:rsidR="008347BB">
        <w:t>a</w:t>
      </w:r>
      <w:r w:rsidR="007B05D1">
        <w:t>dvanced manufacturing and design</w:t>
      </w:r>
      <w:r w:rsidR="008347BB">
        <w:t>;</w:t>
      </w:r>
      <w:r w:rsidR="007B05D1">
        <w:t xml:space="preserve"> systems de</w:t>
      </w:r>
      <w:r w:rsidR="008347BB">
        <w:t>sign and engineering;</w:t>
      </w:r>
      <w:r w:rsidR="007B05D1">
        <w:t xml:space="preserve"> electronics manufactur</w:t>
      </w:r>
      <w:r w:rsidR="008347BB">
        <w:t>ing;</w:t>
      </w:r>
      <w:r w:rsidR="007B05D1">
        <w:t xml:space="preserve"> </w:t>
      </w:r>
      <w:r w:rsidR="008347BB">
        <w:t>network operation;</w:t>
      </w:r>
      <w:r w:rsidR="007B05D1">
        <w:t xml:space="preserve"> </w:t>
      </w:r>
      <w:r w:rsidR="008347BB">
        <w:t>engineering design, manufacturing and support; and major infrastructure delivery</w:t>
      </w:r>
      <w:r w:rsidR="00506E65">
        <w:t>.</w:t>
      </w:r>
      <w:r w:rsidR="008347BB">
        <w:rPr>
          <w:rStyle w:val="FootnoteReference"/>
        </w:rPr>
        <w:footnoteReference w:id="28"/>
      </w:r>
    </w:p>
    <w:p w14:paraId="38262146" w14:textId="77777777" w:rsidR="00B84B44" w:rsidRDefault="00B84B44" w:rsidP="00254D5D">
      <w:pPr>
        <w:pStyle w:val="TableHeading"/>
      </w:pPr>
      <w:bookmarkStart w:id="39" w:name="_Toc54790712"/>
      <w:bookmarkStart w:id="40" w:name="_Toc54791084"/>
      <w:bookmarkStart w:id="41" w:name="_Toc54794980"/>
      <w:bookmarkStart w:id="42" w:name="_Toc54796925"/>
    </w:p>
    <w:p w14:paraId="285EE362" w14:textId="77777777" w:rsidR="00B84B44" w:rsidRDefault="00B84B44" w:rsidP="00254D5D">
      <w:pPr>
        <w:pStyle w:val="TableHeading"/>
      </w:pPr>
    </w:p>
    <w:p w14:paraId="0DC5D6A9" w14:textId="517FE689" w:rsidR="00254D5D" w:rsidRPr="0010383A" w:rsidRDefault="00254D5D" w:rsidP="00254D5D">
      <w:pPr>
        <w:pStyle w:val="TableHeading"/>
      </w:pPr>
      <w:r>
        <w:lastRenderedPageBreak/>
        <w:t>Example areas of transferrable capability</w:t>
      </w:r>
      <w:bookmarkEnd w:id="39"/>
      <w:bookmarkEnd w:id="40"/>
      <w:bookmarkEnd w:id="41"/>
      <w:bookmarkEnd w:id="42"/>
    </w:p>
    <w:p w14:paraId="79C8D8A4" w14:textId="77777777" w:rsidR="00254D5D" w:rsidRPr="00EF7E1B" w:rsidRDefault="00254D5D" w:rsidP="00254D5D">
      <w:pPr>
        <w:pStyle w:val="CaseStudy"/>
      </w:pPr>
      <w:r w:rsidRPr="00E96214">
        <w:rPr>
          <w:b/>
        </w:rPr>
        <w:t>Remote operations with artificial intelligence and machine learning:</w:t>
      </w:r>
      <w:r w:rsidRPr="007537C7">
        <w:t xml:space="preserve"> Australia is a world leader in remote asset management in industries including mining, oil and gas, transport, agriculture and fisheries. Australia can leverage its expertise in robotics technology and systems for remote operation and exploration in space. This includes developing algorithms to enable space borne capabilities.</w:t>
      </w:r>
    </w:p>
    <w:p w14:paraId="292BF292" w14:textId="77777777" w:rsidR="00254D5D" w:rsidRPr="00270D29" w:rsidRDefault="00254D5D" w:rsidP="00254D5D">
      <w:pPr>
        <w:pStyle w:val="CaseStudy"/>
      </w:pPr>
      <w:r w:rsidRPr="00E96214">
        <w:rPr>
          <w:b/>
        </w:rPr>
        <w:t>Scientific exploration using in situ resource utilisation (ISRU):</w:t>
      </w:r>
      <w:r w:rsidRPr="007537C7">
        <w:t xml:space="preserve"> Australia’s mining indust</w:t>
      </w:r>
      <w:r w:rsidRPr="00EF7E1B">
        <w:t>ry has world class capabilities in mineral exploration. Leveraging this experience for spac</w:t>
      </w:r>
      <w:r w:rsidRPr="00270D29">
        <w:t>e exploration has the potential to unlock new businesses and markets while creating significant value for international partnered missions.</w:t>
      </w:r>
    </w:p>
    <w:p w14:paraId="160584F6" w14:textId="77777777" w:rsidR="00254D5D" w:rsidRPr="00270D29" w:rsidRDefault="00254D5D" w:rsidP="00254D5D">
      <w:pPr>
        <w:pStyle w:val="CaseStudy"/>
      </w:pPr>
      <w:r w:rsidRPr="00E96214">
        <w:rPr>
          <w:b/>
        </w:rPr>
        <w:t>Space medicine and human life sciences:</w:t>
      </w:r>
      <w:r w:rsidRPr="007537C7">
        <w:t xml:space="preserve"> Australia has significant expertise to contribute medical technologies, expertise and materials for human exploration missions. With the potential increase of commercial human space flight, this field will become more important </w:t>
      </w:r>
      <w:r w:rsidRPr="00EF7E1B">
        <w:t xml:space="preserve">to space markets </w:t>
      </w:r>
      <w:r w:rsidRPr="00270D29">
        <w:t>in the future.</w:t>
      </w:r>
    </w:p>
    <w:p w14:paraId="16598273" w14:textId="15D266BD" w:rsidR="00254D5D" w:rsidRDefault="00254D5D" w:rsidP="00254D5D">
      <w:pPr>
        <w:pStyle w:val="CaseStudy"/>
      </w:pPr>
      <w:r w:rsidRPr="00E96214">
        <w:rPr>
          <w:b/>
        </w:rPr>
        <w:t>Digital mapping of celestial bodies:</w:t>
      </w:r>
      <w:r w:rsidRPr="007537C7">
        <w:t xml:space="preserve"> Australia has significant capabilities in the application and processing of data sets (e.g. Digital E</w:t>
      </w:r>
      <w:r w:rsidRPr="00EF7E1B">
        <w:t>arth Australia, Open Data Cube</w:t>
      </w:r>
      <w:r w:rsidRPr="00270D29">
        <w:t>). These skills can be leveraged and applied to other celestial bodies to assist with international exploration mission planning and planetary science objectives</w:t>
      </w:r>
      <w:r w:rsidRPr="00EF7E1B">
        <w:t>.</w:t>
      </w:r>
    </w:p>
    <w:p w14:paraId="2B813875" w14:textId="6C10638D" w:rsidR="00254D5D" w:rsidRDefault="00254D5D" w:rsidP="00254D5D">
      <w:r>
        <w:t xml:space="preserve">It is anticipated that over time, space technologies and applications will become more integrated into the activities and processes of other industries such as manufacturing, agriculture, logistics, and environmental and emergency management – growing the space economy and transforming the use of space. In some areas it is already becoming difficult to draw the line between activity in the direct space sector and the broader space </w:t>
      </w:r>
      <w:r w:rsidRPr="00161574">
        <w:t>economy</w:t>
      </w:r>
      <w:r w:rsidR="001B0DED">
        <w:rPr>
          <w:rStyle w:val="FootnoteReference"/>
        </w:rPr>
        <w:footnoteReference w:id="29"/>
      </w:r>
      <w:r w:rsidRPr="00161574">
        <w:t>.</w:t>
      </w:r>
    </w:p>
    <w:p w14:paraId="185C0787" w14:textId="7A77F024" w:rsidR="00366416" w:rsidRDefault="00296AB9" w:rsidP="00DC1F64">
      <w:pPr>
        <w:pStyle w:val="Heading2"/>
      </w:pPr>
      <w:bookmarkStart w:id="43" w:name="_Toc54342163"/>
      <w:bookmarkStart w:id="44" w:name="_Toc54794979"/>
      <w:bookmarkStart w:id="45" w:name="_Toc55990311"/>
      <w:bookmarkStart w:id="46" w:name="_Toc62635440"/>
      <w:r>
        <w:t>4</w:t>
      </w:r>
      <w:r w:rsidR="00F91E9F">
        <w:t>.1</w:t>
      </w:r>
      <w:r w:rsidR="00F91E9F">
        <w:tab/>
      </w:r>
      <w:r w:rsidR="00FB7097">
        <w:t>Sector</w:t>
      </w:r>
      <w:r w:rsidR="00E91A03">
        <w:t xml:space="preserve"> </w:t>
      </w:r>
      <w:r w:rsidR="00C56168">
        <w:t>activities and organisations</w:t>
      </w:r>
      <w:bookmarkEnd w:id="43"/>
      <w:bookmarkEnd w:id="44"/>
      <w:bookmarkEnd w:id="45"/>
      <w:bookmarkEnd w:id="46"/>
    </w:p>
    <w:p w14:paraId="5514FC49" w14:textId="56E27C9D" w:rsidR="0032115F" w:rsidRDefault="009B20A0" w:rsidP="0032115F">
      <w:pPr>
        <w:pStyle w:val="Heading3"/>
      </w:pPr>
      <w:r>
        <w:t>Organisations by location</w:t>
      </w:r>
    </w:p>
    <w:p w14:paraId="7B2523D2" w14:textId="7E078199" w:rsidR="00366416" w:rsidRDefault="0026510C" w:rsidP="004E4427">
      <w:pPr>
        <w:tabs>
          <w:tab w:val="left" w:pos="2696"/>
        </w:tabs>
      </w:pPr>
      <w:r>
        <w:t xml:space="preserve">Australia’s space sector is geographically distributed across Australia. </w:t>
      </w:r>
      <w:r w:rsidR="00A03AC1">
        <w:t>Table</w:t>
      </w:r>
      <w:r w:rsidR="0000529A">
        <w:t> 6</w:t>
      </w:r>
      <w:r w:rsidR="009C0261">
        <w:t xml:space="preserve"> </w:t>
      </w:r>
      <w:r>
        <w:t xml:space="preserve">outlines </w:t>
      </w:r>
      <w:r w:rsidR="009C0261">
        <w:t>the geographic distribution of organisations’ headquarters</w:t>
      </w:r>
      <w:r w:rsidR="009C0261">
        <w:rPr>
          <w:rStyle w:val="FootnoteReference"/>
        </w:rPr>
        <w:footnoteReference w:id="30"/>
      </w:r>
      <w:r w:rsidR="00A03AC1">
        <w:t xml:space="preserve"> over this period</w:t>
      </w:r>
      <w:r>
        <w:t>, noting that many organisations undertake activities at other sites</w:t>
      </w:r>
      <w:r w:rsidR="0000529A">
        <w:t>.</w:t>
      </w:r>
    </w:p>
    <w:p w14:paraId="426F55BD" w14:textId="0B3F1EE8" w:rsidR="009C0261" w:rsidRPr="0077014F" w:rsidRDefault="009C0261" w:rsidP="00C951C6">
      <w:pPr>
        <w:pStyle w:val="TableHeading"/>
      </w:pPr>
      <w:r w:rsidRPr="0077014F">
        <w:t>Table</w:t>
      </w:r>
      <w:r w:rsidR="0000529A">
        <w:t> 6</w:t>
      </w:r>
      <w:r w:rsidRPr="0077014F">
        <w:t xml:space="preserve">: </w:t>
      </w:r>
      <w:r>
        <w:t>Count</w:t>
      </w:r>
      <w:r w:rsidRPr="0077014F">
        <w:t xml:space="preserve"> of </w:t>
      </w:r>
      <w:r>
        <w:t xml:space="preserve">known </w:t>
      </w:r>
      <w:r w:rsidRPr="0077014F">
        <w:t xml:space="preserve">space organisation headquarters </w:t>
      </w:r>
      <w:r>
        <w:t>by location</w:t>
      </w:r>
    </w:p>
    <w:tbl>
      <w:tblPr>
        <w:tblStyle w:val="TableGrid"/>
        <w:tblW w:w="9267" w:type="dxa"/>
        <w:tblLayout w:type="fixed"/>
        <w:tblLook w:val="04A0" w:firstRow="1" w:lastRow="0" w:firstColumn="1" w:lastColumn="0" w:noHBand="0" w:noVBand="1"/>
        <w:tblCaption w:val="Count of known space organisation headquarters by location"/>
        <w:tblDescription w:val="Table describes the number of space organisations identified by state. NSW has the highest number of space organisations (126 in FY17 and 136 in FY19), followed by VIC (114 in FY17 and 120 in FY19), QLD (59 in FY17 and 69 in FY19), SA (51 in FY17 and 61 in FY19), ACT (40 in FY17 and 49 in FY19), WA (33 in FY17 and 36 in FY19),and NT (5 in FY17 and 6 in FY19)"/>
      </w:tblPr>
      <w:tblGrid>
        <w:gridCol w:w="1271"/>
        <w:gridCol w:w="850"/>
        <w:gridCol w:w="851"/>
        <w:gridCol w:w="850"/>
        <w:gridCol w:w="851"/>
        <w:gridCol w:w="850"/>
        <w:gridCol w:w="851"/>
        <w:gridCol w:w="850"/>
        <w:gridCol w:w="851"/>
        <w:gridCol w:w="1192"/>
      </w:tblGrid>
      <w:tr w:rsidR="005A6FB2" w14:paraId="6C6E8656" w14:textId="4F6CBE27" w:rsidTr="00BC5E64">
        <w:trPr>
          <w:tblHeader/>
        </w:trPr>
        <w:tc>
          <w:tcPr>
            <w:tcW w:w="1271" w:type="dxa"/>
            <w:shd w:val="clear" w:color="auto" w:fill="004976" w:themeFill="accent1"/>
            <w:vAlign w:val="center"/>
          </w:tcPr>
          <w:p w14:paraId="44391930" w14:textId="31618705" w:rsidR="005A6FB2" w:rsidRPr="0077014F" w:rsidRDefault="005A6FB2" w:rsidP="005A6FB2">
            <w:pPr>
              <w:tabs>
                <w:tab w:val="left" w:pos="2696"/>
              </w:tabs>
              <w:jc w:val="center"/>
              <w:rPr>
                <w:b/>
                <w:color w:val="FFFFFF" w:themeColor="background1"/>
              </w:rPr>
            </w:pPr>
            <w:r>
              <w:rPr>
                <w:b/>
                <w:color w:val="FFFFFF" w:themeColor="background1"/>
              </w:rPr>
              <w:t>Year</w:t>
            </w:r>
          </w:p>
        </w:tc>
        <w:tc>
          <w:tcPr>
            <w:tcW w:w="850" w:type="dxa"/>
            <w:shd w:val="clear" w:color="auto" w:fill="004976" w:themeFill="accent1"/>
            <w:vAlign w:val="center"/>
          </w:tcPr>
          <w:p w14:paraId="41B093BE" w14:textId="616FE9B6" w:rsidR="005A6FB2" w:rsidRPr="0077014F" w:rsidRDefault="005A6FB2" w:rsidP="005A6FB2">
            <w:pPr>
              <w:tabs>
                <w:tab w:val="left" w:pos="2696"/>
              </w:tabs>
              <w:jc w:val="center"/>
              <w:rPr>
                <w:b/>
                <w:color w:val="FFFFFF" w:themeColor="background1"/>
              </w:rPr>
            </w:pPr>
            <w:r w:rsidRPr="0077014F">
              <w:rPr>
                <w:b/>
                <w:color w:val="FFFFFF" w:themeColor="background1"/>
              </w:rPr>
              <w:t>NSW</w:t>
            </w:r>
          </w:p>
        </w:tc>
        <w:tc>
          <w:tcPr>
            <w:tcW w:w="851" w:type="dxa"/>
            <w:shd w:val="clear" w:color="auto" w:fill="004976" w:themeFill="accent1"/>
            <w:vAlign w:val="center"/>
          </w:tcPr>
          <w:p w14:paraId="2A577EBD" w14:textId="5C69CA78" w:rsidR="005A6FB2" w:rsidRPr="0077014F" w:rsidRDefault="005A6FB2" w:rsidP="005A6FB2">
            <w:pPr>
              <w:tabs>
                <w:tab w:val="left" w:pos="2696"/>
              </w:tabs>
              <w:jc w:val="center"/>
              <w:rPr>
                <w:b/>
                <w:color w:val="FFFFFF" w:themeColor="background1"/>
              </w:rPr>
            </w:pPr>
            <w:r w:rsidRPr="0077014F">
              <w:rPr>
                <w:b/>
                <w:color w:val="FFFFFF" w:themeColor="background1"/>
              </w:rPr>
              <w:t>VIC</w:t>
            </w:r>
          </w:p>
        </w:tc>
        <w:tc>
          <w:tcPr>
            <w:tcW w:w="850" w:type="dxa"/>
            <w:shd w:val="clear" w:color="auto" w:fill="004976" w:themeFill="accent1"/>
            <w:vAlign w:val="center"/>
          </w:tcPr>
          <w:p w14:paraId="5D8824FF" w14:textId="0B73D0AB" w:rsidR="005A6FB2" w:rsidRPr="0077014F" w:rsidRDefault="005A6FB2" w:rsidP="005A6FB2">
            <w:pPr>
              <w:tabs>
                <w:tab w:val="left" w:pos="2696"/>
              </w:tabs>
              <w:jc w:val="center"/>
              <w:rPr>
                <w:b/>
                <w:color w:val="FFFFFF" w:themeColor="background1"/>
              </w:rPr>
            </w:pPr>
            <w:r w:rsidRPr="0077014F">
              <w:rPr>
                <w:b/>
                <w:color w:val="FFFFFF" w:themeColor="background1"/>
              </w:rPr>
              <w:t>QLD</w:t>
            </w:r>
          </w:p>
        </w:tc>
        <w:tc>
          <w:tcPr>
            <w:tcW w:w="851" w:type="dxa"/>
            <w:shd w:val="clear" w:color="auto" w:fill="004976" w:themeFill="accent1"/>
            <w:vAlign w:val="center"/>
          </w:tcPr>
          <w:p w14:paraId="4C29371E" w14:textId="726D2C69" w:rsidR="005A6FB2" w:rsidRPr="0077014F" w:rsidRDefault="005A6FB2" w:rsidP="005A6FB2">
            <w:pPr>
              <w:tabs>
                <w:tab w:val="left" w:pos="2696"/>
              </w:tabs>
              <w:jc w:val="center"/>
              <w:rPr>
                <w:b/>
                <w:color w:val="FFFFFF" w:themeColor="background1"/>
              </w:rPr>
            </w:pPr>
            <w:r w:rsidRPr="0077014F">
              <w:rPr>
                <w:b/>
                <w:color w:val="FFFFFF" w:themeColor="background1"/>
              </w:rPr>
              <w:t>WA</w:t>
            </w:r>
          </w:p>
        </w:tc>
        <w:tc>
          <w:tcPr>
            <w:tcW w:w="850" w:type="dxa"/>
            <w:shd w:val="clear" w:color="auto" w:fill="004976" w:themeFill="accent1"/>
            <w:vAlign w:val="center"/>
          </w:tcPr>
          <w:p w14:paraId="348271D8" w14:textId="77777777" w:rsidR="005A6FB2" w:rsidRPr="0077014F" w:rsidRDefault="005A6FB2" w:rsidP="005A6FB2">
            <w:pPr>
              <w:tabs>
                <w:tab w:val="left" w:pos="2696"/>
              </w:tabs>
              <w:jc w:val="center"/>
              <w:rPr>
                <w:b/>
                <w:color w:val="FFFFFF" w:themeColor="background1"/>
              </w:rPr>
            </w:pPr>
            <w:r w:rsidRPr="0077014F">
              <w:rPr>
                <w:b/>
                <w:color w:val="FFFFFF" w:themeColor="background1"/>
              </w:rPr>
              <w:t>SA</w:t>
            </w:r>
          </w:p>
        </w:tc>
        <w:tc>
          <w:tcPr>
            <w:tcW w:w="851" w:type="dxa"/>
            <w:shd w:val="clear" w:color="auto" w:fill="004976" w:themeFill="accent1"/>
            <w:vAlign w:val="center"/>
          </w:tcPr>
          <w:p w14:paraId="4F5B77D4" w14:textId="14A6716A" w:rsidR="005A6FB2" w:rsidRPr="0077014F" w:rsidRDefault="005A6FB2" w:rsidP="005A6FB2">
            <w:pPr>
              <w:tabs>
                <w:tab w:val="left" w:pos="2696"/>
              </w:tabs>
              <w:jc w:val="center"/>
              <w:rPr>
                <w:b/>
                <w:color w:val="FFFFFF" w:themeColor="background1"/>
              </w:rPr>
            </w:pPr>
            <w:r w:rsidRPr="0077014F">
              <w:rPr>
                <w:b/>
                <w:color w:val="FFFFFF" w:themeColor="background1"/>
              </w:rPr>
              <w:t>TAS</w:t>
            </w:r>
          </w:p>
        </w:tc>
        <w:tc>
          <w:tcPr>
            <w:tcW w:w="850" w:type="dxa"/>
            <w:shd w:val="clear" w:color="auto" w:fill="004976" w:themeFill="accent1"/>
            <w:vAlign w:val="center"/>
          </w:tcPr>
          <w:p w14:paraId="5102C22E" w14:textId="0ABEA8B9" w:rsidR="005A6FB2" w:rsidRPr="0077014F" w:rsidRDefault="005A6FB2" w:rsidP="005A6FB2">
            <w:pPr>
              <w:tabs>
                <w:tab w:val="left" w:pos="2696"/>
              </w:tabs>
              <w:jc w:val="center"/>
              <w:rPr>
                <w:b/>
                <w:color w:val="FFFFFF" w:themeColor="background1"/>
              </w:rPr>
            </w:pPr>
            <w:r w:rsidRPr="0077014F">
              <w:rPr>
                <w:b/>
                <w:color w:val="FFFFFF" w:themeColor="background1"/>
              </w:rPr>
              <w:t>ACT</w:t>
            </w:r>
          </w:p>
        </w:tc>
        <w:tc>
          <w:tcPr>
            <w:tcW w:w="851" w:type="dxa"/>
            <w:shd w:val="clear" w:color="auto" w:fill="004976" w:themeFill="accent1"/>
            <w:vAlign w:val="center"/>
          </w:tcPr>
          <w:p w14:paraId="036C4A64" w14:textId="2290F9A4" w:rsidR="005A6FB2" w:rsidRPr="0077014F" w:rsidRDefault="005A6FB2" w:rsidP="005A6FB2">
            <w:pPr>
              <w:tabs>
                <w:tab w:val="left" w:pos="2696"/>
              </w:tabs>
              <w:jc w:val="center"/>
              <w:rPr>
                <w:b/>
                <w:color w:val="FFFFFF" w:themeColor="background1"/>
              </w:rPr>
            </w:pPr>
            <w:r w:rsidRPr="0077014F">
              <w:rPr>
                <w:b/>
                <w:color w:val="FFFFFF" w:themeColor="background1"/>
              </w:rPr>
              <w:t>NT</w:t>
            </w:r>
          </w:p>
        </w:tc>
        <w:tc>
          <w:tcPr>
            <w:tcW w:w="1192" w:type="dxa"/>
            <w:shd w:val="clear" w:color="auto" w:fill="004976" w:themeFill="accent1"/>
          </w:tcPr>
          <w:p w14:paraId="19C7C6FF" w14:textId="1477C50B" w:rsidR="005A6FB2" w:rsidRPr="0077014F" w:rsidRDefault="005A6FB2" w:rsidP="005A6FB2">
            <w:pPr>
              <w:tabs>
                <w:tab w:val="left" w:pos="2696"/>
              </w:tabs>
              <w:jc w:val="center"/>
              <w:rPr>
                <w:b/>
                <w:color w:val="FFFFFF" w:themeColor="background1"/>
              </w:rPr>
            </w:pPr>
            <w:r>
              <w:rPr>
                <w:b/>
                <w:color w:val="FFFFFF" w:themeColor="background1"/>
              </w:rPr>
              <w:t>Total</w:t>
            </w:r>
          </w:p>
        </w:tc>
      </w:tr>
      <w:tr w:rsidR="005A6FB2" w14:paraId="69D4A945" w14:textId="2029DC89" w:rsidTr="00BC5E64">
        <w:tc>
          <w:tcPr>
            <w:tcW w:w="1271" w:type="dxa"/>
            <w:shd w:val="clear" w:color="auto" w:fill="F2F2F2" w:themeFill="background1" w:themeFillShade="F2"/>
            <w:vAlign w:val="center"/>
          </w:tcPr>
          <w:p w14:paraId="6724914B" w14:textId="3F1BB003" w:rsidR="005A6FB2" w:rsidRPr="00E51412" w:rsidRDefault="005A6FB2" w:rsidP="005A6FB2">
            <w:pPr>
              <w:tabs>
                <w:tab w:val="left" w:pos="2696"/>
              </w:tabs>
              <w:jc w:val="center"/>
              <w:rPr>
                <w:b/>
              </w:rPr>
            </w:pPr>
            <w:r w:rsidRPr="00E51412">
              <w:rPr>
                <w:b/>
              </w:rPr>
              <w:t>FY17</w:t>
            </w:r>
          </w:p>
        </w:tc>
        <w:tc>
          <w:tcPr>
            <w:tcW w:w="850" w:type="dxa"/>
            <w:vAlign w:val="center"/>
          </w:tcPr>
          <w:p w14:paraId="38C0A25F" w14:textId="1D65CA47" w:rsidR="005A6FB2" w:rsidRPr="0056296C" w:rsidRDefault="005A6FB2" w:rsidP="005A6FB2">
            <w:pPr>
              <w:tabs>
                <w:tab w:val="left" w:pos="2696"/>
              </w:tabs>
              <w:jc w:val="center"/>
            </w:pPr>
            <w:r w:rsidRPr="0056296C">
              <w:t>126</w:t>
            </w:r>
          </w:p>
        </w:tc>
        <w:tc>
          <w:tcPr>
            <w:tcW w:w="851" w:type="dxa"/>
            <w:vAlign w:val="center"/>
          </w:tcPr>
          <w:p w14:paraId="6D46B653" w14:textId="618939AE" w:rsidR="005A6FB2" w:rsidRPr="0056296C" w:rsidRDefault="005A6FB2" w:rsidP="005A6FB2">
            <w:pPr>
              <w:tabs>
                <w:tab w:val="left" w:pos="2696"/>
              </w:tabs>
              <w:jc w:val="center"/>
            </w:pPr>
            <w:r w:rsidRPr="0056296C">
              <w:t>114</w:t>
            </w:r>
          </w:p>
        </w:tc>
        <w:tc>
          <w:tcPr>
            <w:tcW w:w="850" w:type="dxa"/>
            <w:shd w:val="clear" w:color="auto" w:fill="auto"/>
            <w:vAlign w:val="center"/>
          </w:tcPr>
          <w:p w14:paraId="00E6D46C" w14:textId="5927BC00" w:rsidR="005A6FB2" w:rsidRPr="009C72D7" w:rsidRDefault="005A6FB2" w:rsidP="005A6FB2">
            <w:pPr>
              <w:tabs>
                <w:tab w:val="left" w:pos="2696"/>
              </w:tabs>
              <w:jc w:val="center"/>
            </w:pPr>
            <w:r w:rsidRPr="0056296C">
              <w:t>59</w:t>
            </w:r>
          </w:p>
        </w:tc>
        <w:tc>
          <w:tcPr>
            <w:tcW w:w="851" w:type="dxa"/>
            <w:vAlign w:val="center"/>
          </w:tcPr>
          <w:p w14:paraId="47F01AA6" w14:textId="614DB892" w:rsidR="005A6FB2" w:rsidRPr="009C72D7" w:rsidRDefault="005A6FB2" w:rsidP="005A6FB2">
            <w:pPr>
              <w:tabs>
                <w:tab w:val="left" w:pos="2696"/>
              </w:tabs>
              <w:jc w:val="center"/>
            </w:pPr>
            <w:r w:rsidRPr="009C72D7">
              <w:t>33</w:t>
            </w:r>
          </w:p>
        </w:tc>
        <w:tc>
          <w:tcPr>
            <w:tcW w:w="850" w:type="dxa"/>
            <w:shd w:val="clear" w:color="auto" w:fill="auto"/>
            <w:vAlign w:val="center"/>
          </w:tcPr>
          <w:p w14:paraId="4E411D31" w14:textId="77777777" w:rsidR="005A6FB2" w:rsidRPr="009C72D7" w:rsidRDefault="005A6FB2" w:rsidP="005A6FB2">
            <w:pPr>
              <w:tabs>
                <w:tab w:val="left" w:pos="2696"/>
              </w:tabs>
              <w:jc w:val="center"/>
            </w:pPr>
            <w:r w:rsidRPr="009C72D7">
              <w:t>51</w:t>
            </w:r>
          </w:p>
        </w:tc>
        <w:tc>
          <w:tcPr>
            <w:tcW w:w="851" w:type="dxa"/>
            <w:vAlign w:val="center"/>
          </w:tcPr>
          <w:p w14:paraId="3AE6BCAF" w14:textId="5059B2DE" w:rsidR="005A6FB2" w:rsidRPr="009C72D7" w:rsidRDefault="005A6FB2" w:rsidP="005A6FB2">
            <w:pPr>
              <w:tabs>
                <w:tab w:val="left" w:pos="2696"/>
              </w:tabs>
              <w:jc w:val="center"/>
            </w:pPr>
            <w:r w:rsidRPr="009C72D7">
              <w:t>4</w:t>
            </w:r>
          </w:p>
        </w:tc>
        <w:tc>
          <w:tcPr>
            <w:tcW w:w="850" w:type="dxa"/>
            <w:vAlign w:val="center"/>
          </w:tcPr>
          <w:p w14:paraId="41E64AE5" w14:textId="0310E9D2" w:rsidR="005A6FB2" w:rsidRPr="009C72D7" w:rsidRDefault="005A6FB2" w:rsidP="005A6FB2">
            <w:pPr>
              <w:tabs>
                <w:tab w:val="left" w:pos="2696"/>
              </w:tabs>
              <w:jc w:val="center"/>
            </w:pPr>
            <w:r w:rsidRPr="009C72D7">
              <w:t>40</w:t>
            </w:r>
          </w:p>
        </w:tc>
        <w:tc>
          <w:tcPr>
            <w:tcW w:w="851" w:type="dxa"/>
            <w:shd w:val="clear" w:color="auto" w:fill="auto"/>
            <w:vAlign w:val="center"/>
          </w:tcPr>
          <w:p w14:paraId="192CE187" w14:textId="7627B016" w:rsidR="005A6FB2" w:rsidRPr="009C72D7" w:rsidRDefault="005A6FB2" w:rsidP="005A6FB2">
            <w:pPr>
              <w:tabs>
                <w:tab w:val="left" w:pos="2696"/>
              </w:tabs>
              <w:jc w:val="center"/>
            </w:pPr>
            <w:r w:rsidRPr="009C72D7">
              <w:t>5</w:t>
            </w:r>
          </w:p>
        </w:tc>
        <w:tc>
          <w:tcPr>
            <w:tcW w:w="1192" w:type="dxa"/>
          </w:tcPr>
          <w:p w14:paraId="00FE3A95" w14:textId="58FEE8C2" w:rsidR="005A6FB2" w:rsidRPr="009C72D7" w:rsidRDefault="005A6FB2" w:rsidP="005A6FB2">
            <w:pPr>
              <w:tabs>
                <w:tab w:val="left" w:pos="2696"/>
              </w:tabs>
              <w:jc w:val="center"/>
            </w:pPr>
            <w:r>
              <w:t>432</w:t>
            </w:r>
          </w:p>
        </w:tc>
      </w:tr>
      <w:tr w:rsidR="005A6FB2" w14:paraId="523028DB" w14:textId="341A0C32" w:rsidTr="00BC5E64">
        <w:tc>
          <w:tcPr>
            <w:tcW w:w="1271" w:type="dxa"/>
            <w:shd w:val="clear" w:color="auto" w:fill="F2F2F2" w:themeFill="background1" w:themeFillShade="F2"/>
            <w:vAlign w:val="center"/>
          </w:tcPr>
          <w:p w14:paraId="1E6EA2DF" w14:textId="77777777" w:rsidR="005A6FB2" w:rsidRPr="00E51412" w:rsidRDefault="005A6FB2" w:rsidP="005A6FB2">
            <w:pPr>
              <w:tabs>
                <w:tab w:val="left" w:pos="2696"/>
              </w:tabs>
              <w:jc w:val="center"/>
              <w:rPr>
                <w:b/>
              </w:rPr>
            </w:pPr>
            <w:r w:rsidRPr="00E51412">
              <w:rPr>
                <w:b/>
              </w:rPr>
              <w:t>FY19</w:t>
            </w:r>
          </w:p>
        </w:tc>
        <w:tc>
          <w:tcPr>
            <w:tcW w:w="850" w:type="dxa"/>
            <w:vAlign w:val="center"/>
          </w:tcPr>
          <w:p w14:paraId="1D22C8F9" w14:textId="650DD37E" w:rsidR="005A6FB2" w:rsidRPr="0056296C" w:rsidRDefault="005A6FB2" w:rsidP="005A6FB2">
            <w:pPr>
              <w:tabs>
                <w:tab w:val="left" w:pos="2696"/>
              </w:tabs>
              <w:jc w:val="center"/>
            </w:pPr>
            <w:r w:rsidRPr="0056296C">
              <w:t>136</w:t>
            </w:r>
          </w:p>
        </w:tc>
        <w:tc>
          <w:tcPr>
            <w:tcW w:w="851" w:type="dxa"/>
            <w:vAlign w:val="center"/>
          </w:tcPr>
          <w:p w14:paraId="0559851E" w14:textId="6876AB1D" w:rsidR="005A6FB2" w:rsidRPr="0056296C" w:rsidRDefault="005A6FB2" w:rsidP="005A6FB2">
            <w:pPr>
              <w:tabs>
                <w:tab w:val="left" w:pos="2696"/>
              </w:tabs>
              <w:jc w:val="center"/>
            </w:pPr>
            <w:r w:rsidRPr="0056296C">
              <w:t>120</w:t>
            </w:r>
          </w:p>
        </w:tc>
        <w:tc>
          <w:tcPr>
            <w:tcW w:w="850" w:type="dxa"/>
            <w:shd w:val="clear" w:color="auto" w:fill="auto"/>
            <w:vAlign w:val="center"/>
          </w:tcPr>
          <w:p w14:paraId="156B0095" w14:textId="721AAE9E" w:rsidR="005A6FB2" w:rsidRDefault="005A6FB2" w:rsidP="005A6FB2">
            <w:pPr>
              <w:tabs>
                <w:tab w:val="left" w:pos="2696"/>
              </w:tabs>
              <w:jc w:val="center"/>
            </w:pPr>
            <w:r w:rsidRPr="0056296C">
              <w:t>69</w:t>
            </w:r>
          </w:p>
        </w:tc>
        <w:tc>
          <w:tcPr>
            <w:tcW w:w="851" w:type="dxa"/>
            <w:vAlign w:val="center"/>
          </w:tcPr>
          <w:p w14:paraId="36D9F073" w14:textId="7DAE9FC3" w:rsidR="005A6FB2" w:rsidRDefault="005A6FB2" w:rsidP="005A6FB2">
            <w:pPr>
              <w:tabs>
                <w:tab w:val="left" w:pos="2696"/>
              </w:tabs>
              <w:jc w:val="center"/>
            </w:pPr>
            <w:r w:rsidRPr="0056296C">
              <w:t>36</w:t>
            </w:r>
          </w:p>
        </w:tc>
        <w:tc>
          <w:tcPr>
            <w:tcW w:w="850" w:type="dxa"/>
            <w:shd w:val="clear" w:color="auto" w:fill="auto"/>
            <w:vAlign w:val="center"/>
          </w:tcPr>
          <w:p w14:paraId="6CFA069F" w14:textId="77777777" w:rsidR="005A6FB2" w:rsidRDefault="005A6FB2" w:rsidP="005A6FB2">
            <w:pPr>
              <w:tabs>
                <w:tab w:val="left" w:pos="2696"/>
              </w:tabs>
              <w:jc w:val="center"/>
            </w:pPr>
            <w:r>
              <w:t>61</w:t>
            </w:r>
          </w:p>
        </w:tc>
        <w:tc>
          <w:tcPr>
            <w:tcW w:w="851" w:type="dxa"/>
            <w:vAlign w:val="center"/>
          </w:tcPr>
          <w:p w14:paraId="21B46712" w14:textId="1C2FD3CE" w:rsidR="005A6FB2" w:rsidRPr="0056296C" w:rsidRDefault="005A6FB2" w:rsidP="005A6FB2">
            <w:pPr>
              <w:tabs>
                <w:tab w:val="left" w:pos="2696"/>
              </w:tabs>
              <w:jc w:val="center"/>
            </w:pPr>
            <w:r>
              <w:t>4</w:t>
            </w:r>
          </w:p>
        </w:tc>
        <w:tc>
          <w:tcPr>
            <w:tcW w:w="850" w:type="dxa"/>
            <w:vAlign w:val="center"/>
          </w:tcPr>
          <w:p w14:paraId="73F93E18" w14:textId="40E16389" w:rsidR="005A6FB2" w:rsidRDefault="005A6FB2" w:rsidP="005A6FB2">
            <w:pPr>
              <w:tabs>
                <w:tab w:val="left" w:pos="2696"/>
              </w:tabs>
              <w:jc w:val="center"/>
            </w:pPr>
            <w:r w:rsidRPr="0056296C">
              <w:t>49</w:t>
            </w:r>
          </w:p>
        </w:tc>
        <w:tc>
          <w:tcPr>
            <w:tcW w:w="851" w:type="dxa"/>
            <w:shd w:val="clear" w:color="auto" w:fill="auto"/>
            <w:vAlign w:val="center"/>
          </w:tcPr>
          <w:p w14:paraId="0C87D62D" w14:textId="3CA08480" w:rsidR="005A6FB2" w:rsidRDefault="005A6FB2" w:rsidP="005A6FB2">
            <w:pPr>
              <w:tabs>
                <w:tab w:val="left" w:pos="2696"/>
              </w:tabs>
              <w:jc w:val="center"/>
            </w:pPr>
            <w:r>
              <w:t>6</w:t>
            </w:r>
          </w:p>
        </w:tc>
        <w:tc>
          <w:tcPr>
            <w:tcW w:w="1192" w:type="dxa"/>
          </w:tcPr>
          <w:p w14:paraId="66529821" w14:textId="633E2821" w:rsidR="005A6FB2" w:rsidRDefault="005A6FB2" w:rsidP="005A6FB2">
            <w:pPr>
              <w:tabs>
                <w:tab w:val="left" w:pos="2696"/>
              </w:tabs>
              <w:jc w:val="center"/>
            </w:pPr>
            <w:r>
              <w:t>481</w:t>
            </w:r>
          </w:p>
        </w:tc>
      </w:tr>
      <w:tr w:rsidR="005A6FB2" w14:paraId="4C6CDBCF" w14:textId="09A317A6" w:rsidTr="00BC5E64">
        <w:tc>
          <w:tcPr>
            <w:tcW w:w="1271" w:type="dxa"/>
            <w:shd w:val="clear" w:color="auto" w:fill="F2F2F2" w:themeFill="background1" w:themeFillShade="F2"/>
            <w:vAlign w:val="center"/>
          </w:tcPr>
          <w:p w14:paraId="1C9C2F5B" w14:textId="77777777" w:rsidR="005A6FB2" w:rsidRPr="00E51412" w:rsidRDefault="005A6FB2" w:rsidP="005A6FB2">
            <w:pPr>
              <w:tabs>
                <w:tab w:val="left" w:pos="2696"/>
              </w:tabs>
              <w:jc w:val="center"/>
              <w:rPr>
                <w:b/>
              </w:rPr>
            </w:pPr>
            <w:r w:rsidRPr="00E51412">
              <w:rPr>
                <w:b/>
              </w:rPr>
              <w:t>Difference</w:t>
            </w:r>
          </w:p>
        </w:tc>
        <w:tc>
          <w:tcPr>
            <w:tcW w:w="850" w:type="dxa"/>
            <w:shd w:val="clear" w:color="auto" w:fill="F2F2F2" w:themeFill="background1" w:themeFillShade="F2"/>
            <w:vAlign w:val="center"/>
          </w:tcPr>
          <w:p w14:paraId="33598CBB" w14:textId="5E777079" w:rsidR="005A6FB2" w:rsidRDefault="005A6FB2" w:rsidP="005A6FB2">
            <w:pPr>
              <w:tabs>
                <w:tab w:val="left" w:pos="2696"/>
              </w:tabs>
              <w:jc w:val="center"/>
            </w:pPr>
            <w:r>
              <w:t>+10</w:t>
            </w:r>
          </w:p>
        </w:tc>
        <w:tc>
          <w:tcPr>
            <w:tcW w:w="851" w:type="dxa"/>
            <w:shd w:val="clear" w:color="auto" w:fill="F2F2F2" w:themeFill="background1" w:themeFillShade="F2"/>
            <w:vAlign w:val="center"/>
          </w:tcPr>
          <w:p w14:paraId="05CD4E32" w14:textId="2B8F6EBF" w:rsidR="005A6FB2" w:rsidRDefault="005A6FB2" w:rsidP="005A6FB2">
            <w:pPr>
              <w:tabs>
                <w:tab w:val="left" w:pos="2696"/>
              </w:tabs>
              <w:jc w:val="center"/>
            </w:pPr>
            <w:r>
              <w:t>+6</w:t>
            </w:r>
          </w:p>
        </w:tc>
        <w:tc>
          <w:tcPr>
            <w:tcW w:w="850" w:type="dxa"/>
            <w:shd w:val="clear" w:color="auto" w:fill="F2F2F2" w:themeFill="background1" w:themeFillShade="F2"/>
            <w:vAlign w:val="center"/>
          </w:tcPr>
          <w:p w14:paraId="2ED168B6" w14:textId="03EC63F0" w:rsidR="005A6FB2" w:rsidRDefault="005A6FB2" w:rsidP="005A6FB2">
            <w:pPr>
              <w:tabs>
                <w:tab w:val="left" w:pos="2696"/>
              </w:tabs>
              <w:jc w:val="center"/>
            </w:pPr>
            <w:r>
              <w:t>+10</w:t>
            </w:r>
          </w:p>
        </w:tc>
        <w:tc>
          <w:tcPr>
            <w:tcW w:w="851" w:type="dxa"/>
            <w:shd w:val="clear" w:color="auto" w:fill="F2F2F2" w:themeFill="background1" w:themeFillShade="F2"/>
            <w:vAlign w:val="center"/>
          </w:tcPr>
          <w:p w14:paraId="7249FDE8" w14:textId="2F33FD2B" w:rsidR="005A6FB2" w:rsidRDefault="005A6FB2" w:rsidP="005A6FB2">
            <w:pPr>
              <w:tabs>
                <w:tab w:val="left" w:pos="2696"/>
              </w:tabs>
              <w:jc w:val="center"/>
            </w:pPr>
            <w:r>
              <w:t>+3</w:t>
            </w:r>
          </w:p>
        </w:tc>
        <w:tc>
          <w:tcPr>
            <w:tcW w:w="850" w:type="dxa"/>
            <w:shd w:val="clear" w:color="auto" w:fill="F2F2F2" w:themeFill="background1" w:themeFillShade="F2"/>
            <w:vAlign w:val="center"/>
          </w:tcPr>
          <w:p w14:paraId="667464DD" w14:textId="77777777" w:rsidR="005A6FB2" w:rsidRDefault="005A6FB2" w:rsidP="005A6FB2">
            <w:pPr>
              <w:tabs>
                <w:tab w:val="left" w:pos="2696"/>
              </w:tabs>
              <w:jc w:val="center"/>
            </w:pPr>
            <w:r>
              <w:t>+10</w:t>
            </w:r>
          </w:p>
        </w:tc>
        <w:tc>
          <w:tcPr>
            <w:tcW w:w="851" w:type="dxa"/>
            <w:shd w:val="clear" w:color="auto" w:fill="F2F2F2" w:themeFill="background1" w:themeFillShade="F2"/>
            <w:vAlign w:val="center"/>
          </w:tcPr>
          <w:p w14:paraId="3D532042" w14:textId="71DD418D" w:rsidR="005A6FB2" w:rsidRDefault="005A6FB2" w:rsidP="005A6FB2">
            <w:pPr>
              <w:tabs>
                <w:tab w:val="left" w:pos="2696"/>
              </w:tabs>
              <w:jc w:val="center"/>
            </w:pPr>
            <w:r>
              <w:t>-</w:t>
            </w:r>
          </w:p>
        </w:tc>
        <w:tc>
          <w:tcPr>
            <w:tcW w:w="850" w:type="dxa"/>
            <w:shd w:val="clear" w:color="auto" w:fill="F2F2F2" w:themeFill="background1" w:themeFillShade="F2"/>
            <w:vAlign w:val="center"/>
          </w:tcPr>
          <w:p w14:paraId="36E67C05" w14:textId="20E2F163" w:rsidR="005A6FB2" w:rsidRDefault="005A6FB2" w:rsidP="005A6FB2">
            <w:pPr>
              <w:tabs>
                <w:tab w:val="left" w:pos="2696"/>
              </w:tabs>
              <w:jc w:val="center"/>
            </w:pPr>
            <w:r>
              <w:t>+9</w:t>
            </w:r>
          </w:p>
        </w:tc>
        <w:tc>
          <w:tcPr>
            <w:tcW w:w="851" w:type="dxa"/>
            <w:shd w:val="clear" w:color="auto" w:fill="F2F2F2" w:themeFill="background1" w:themeFillShade="F2"/>
            <w:vAlign w:val="center"/>
          </w:tcPr>
          <w:p w14:paraId="4C82AE7D" w14:textId="4F7C5ADD" w:rsidR="005A6FB2" w:rsidRDefault="005A6FB2" w:rsidP="005A6FB2">
            <w:pPr>
              <w:tabs>
                <w:tab w:val="left" w:pos="2696"/>
              </w:tabs>
              <w:jc w:val="center"/>
            </w:pPr>
            <w:r>
              <w:t>+1</w:t>
            </w:r>
          </w:p>
        </w:tc>
        <w:tc>
          <w:tcPr>
            <w:tcW w:w="1192" w:type="dxa"/>
            <w:shd w:val="clear" w:color="auto" w:fill="F2F2F2" w:themeFill="background1" w:themeFillShade="F2"/>
          </w:tcPr>
          <w:p w14:paraId="50CEFB71" w14:textId="228A42DF" w:rsidR="005A6FB2" w:rsidRDefault="005A6FB2" w:rsidP="005A6FB2">
            <w:pPr>
              <w:tabs>
                <w:tab w:val="left" w:pos="2696"/>
              </w:tabs>
              <w:jc w:val="center"/>
            </w:pPr>
            <w:r>
              <w:t>49</w:t>
            </w:r>
          </w:p>
        </w:tc>
      </w:tr>
      <w:tr w:rsidR="005A6FB2" w14:paraId="7B4C5CA6" w14:textId="2F910A79" w:rsidTr="00BC5E64">
        <w:tc>
          <w:tcPr>
            <w:tcW w:w="1271" w:type="dxa"/>
            <w:shd w:val="clear" w:color="auto" w:fill="F2F2F2" w:themeFill="background1" w:themeFillShade="F2"/>
            <w:vAlign w:val="center"/>
          </w:tcPr>
          <w:p w14:paraId="30258EF0" w14:textId="470C59AE" w:rsidR="005A6FB2" w:rsidRPr="00E51412" w:rsidRDefault="005A6FB2" w:rsidP="005A6FB2">
            <w:pPr>
              <w:tabs>
                <w:tab w:val="left" w:pos="2696"/>
              </w:tabs>
              <w:jc w:val="center"/>
              <w:rPr>
                <w:b/>
              </w:rPr>
            </w:pPr>
            <w:r>
              <w:rPr>
                <w:b/>
              </w:rPr>
              <w:t>Growth</w:t>
            </w:r>
          </w:p>
        </w:tc>
        <w:tc>
          <w:tcPr>
            <w:tcW w:w="850" w:type="dxa"/>
            <w:shd w:val="clear" w:color="auto" w:fill="F2F2F2" w:themeFill="background1" w:themeFillShade="F2"/>
            <w:vAlign w:val="center"/>
          </w:tcPr>
          <w:p w14:paraId="6CB421FF" w14:textId="2722BAC9" w:rsidR="005A6FB2" w:rsidRDefault="005A6FB2" w:rsidP="005A6FB2">
            <w:pPr>
              <w:tabs>
                <w:tab w:val="left" w:pos="2696"/>
              </w:tabs>
              <w:jc w:val="center"/>
            </w:pPr>
            <w:r>
              <w:t>7%</w:t>
            </w:r>
          </w:p>
        </w:tc>
        <w:tc>
          <w:tcPr>
            <w:tcW w:w="851" w:type="dxa"/>
            <w:shd w:val="clear" w:color="auto" w:fill="F2F2F2" w:themeFill="background1" w:themeFillShade="F2"/>
            <w:vAlign w:val="center"/>
          </w:tcPr>
          <w:p w14:paraId="4141EA81" w14:textId="38986EDA" w:rsidR="005A6FB2" w:rsidRDefault="005A6FB2" w:rsidP="005A6FB2">
            <w:pPr>
              <w:tabs>
                <w:tab w:val="left" w:pos="2696"/>
              </w:tabs>
              <w:jc w:val="center"/>
            </w:pPr>
            <w:r>
              <w:t>5%</w:t>
            </w:r>
          </w:p>
        </w:tc>
        <w:tc>
          <w:tcPr>
            <w:tcW w:w="850" w:type="dxa"/>
            <w:shd w:val="clear" w:color="auto" w:fill="F2F2F2" w:themeFill="background1" w:themeFillShade="F2"/>
            <w:vAlign w:val="center"/>
          </w:tcPr>
          <w:p w14:paraId="2BE94A8E" w14:textId="2CD1DC25" w:rsidR="005A6FB2" w:rsidRDefault="005A6FB2" w:rsidP="005A6FB2">
            <w:pPr>
              <w:tabs>
                <w:tab w:val="left" w:pos="2696"/>
              </w:tabs>
              <w:jc w:val="center"/>
            </w:pPr>
            <w:r>
              <w:t>14%</w:t>
            </w:r>
          </w:p>
        </w:tc>
        <w:tc>
          <w:tcPr>
            <w:tcW w:w="851" w:type="dxa"/>
            <w:shd w:val="clear" w:color="auto" w:fill="F2F2F2" w:themeFill="background1" w:themeFillShade="F2"/>
            <w:vAlign w:val="center"/>
          </w:tcPr>
          <w:p w14:paraId="2E788224" w14:textId="788421E0" w:rsidR="005A6FB2" w:rsidRDefault="005A6FB2" w:rsidP="005A6FB2">
            <w:pPr>
              <w:tabs>
                <w:tab w:val="left" w:pos="2696"/>
              </w:tabs>
              <w:jc w:val="center"/>
            </w:pPr>
            <w:r>
              <w:t>8%</w:t>
            </w:r>
          </w:p>
        </w:tc>
        <w:tc>
          <w:tcPr>
            <w:tcW w:w="850" w:type="dxa"/>
            <w:shd w:val="clear" w:color="auto" w:fill="F2F2F2" w:themeFill="background1" w:themeFillShade="F2"/>
            <w:vAlign w:val="center"/>
          </w:tcPr>
          <w:p w14:paraId="42102A0A" w14:textId="4D68021E" w:rsidR="005A6FB2" w:rsidRDefault="005A6FB2" w:rsidP="005A6FB2">
            <w:pPr>
              <w:tabs>
                <w:tab w:val="left" w:pos="2696"/>
              </w:tabs>
              <w:jc w:val="center"/>
            </w:pPr>
            <w:r>
              <w:t>16%</w:t>
            </w:r>
          </w:p>
        </w:tc>
        <w:tc>
          <w:tcPr>
            <w:tcW w:w="851" w:type="dxa"/>
            <w:shd w:val="clear" w:color="auto" w:fill="F2F2F2" w:themeFill="background1" w:themeFillShade="F2"/>
            <w:vAlign w:val="center"/>
          </w:tcPr>
          <w:p w14:paraId="34F9C846" w14:textId="5028B582" w:rsidR="005A6FB2" w:rsidRDefault="005A6FB2" w:rsidP="005A6FB2">
            <w:pPr>
              <w:tabs>
                <w:tab w:val="left" w:pos="2696"/>
              </w:tabs>
              <w:jc w:val="center"/>
            </w:pPr>
            <w:r>
              <w:t>-</w:t>
            </w:r>
          </w:p>
        </w:tc>
        <w:tc>
          <w:tcPr>
            <w:tcW w:w="850" w:type="dxa"/>
            <w:shd w:val="clear" w:color="auto" w:fill="F2F2F2" w:themeFill="background1" w:themeFillShade="F2"/>
            <w:vAlign w:val="center"/>
          </w:tcPr>
          <w:p w14:paraId="3D5B43AD" w14:textId="39094DC8" w:rsidR="005A6FB2" w:rsidRDefault="005A6FB2" w:rsidP="005A6FB2">
            <w:pPr>
              <w:tabs>
                <w:tab w:val="left" w:pos="2696"/>
              </w:tabs>
              <w:jc w:val="center"/>
            </w:pPr>
            <w:r>
              <w:t>18%</w:t>
            </w:r>
          </w:p>
        </w:tc>
        <w:tc>
          <w:tcPr>
            <w:tcW w:w="851" w:type="dxa"/>
            <w:shd w:val="clear" w:color="auto" w:fill="F2F2F2" w:themeFill="background1" w:themeFillShade="F2"/>
            <w:vAlign w:val="center"/>
          </w:tcPr>
          <w:p w14:paraId="321C1B34" w14:textId="28D1F482" w:rsidR="005A6FB2" w:rsidRDefault="005A6FB2" w:rsidP="005A6FB2">
            <w:pPr>
              <w:tabs>
                <w:tab w:val="left" w:pos="2696"/>
              </w:tabs>
              <w:jc w:val="center"/>
            </w:pPr>
            <w:r>
              <w:t>17%</w:t>
            </w:r>
          </w:p>
        </w:tc>
        <w:tc>
          <w:tcPr>
            <w:tcW w:w="1192" w:type="dxa"/>
            <w:shd w:val="clear" w:color="auto" w:fill="F2F2F2" w:themeFill="background1" w:themeFillShade="F2"/>
          </w:tcPr>
          <w:p w14:paraId="6A4B976D" w14:textId="2DD1D9C7" w:rsidR="005A6FB2" w:rsidRDefault="005A6FB2" w:rsidP="005A6FB2">
            <w:pPr>
              <w:tabs>
                <w:tab w:val="left" w:pos="2696"/>
              </w:tabs>
              <w:jc w:val="center"/>
            </w:pPr>
            <w:r>
              <w:t>11.3%</w:t>
            </w:r>
            <w:r>
              <w:br/>
              <w:t>(average)</w:t>
            </w:r>
          </w:p>
        </w:tc>
      </w:tr>
    </w:tbl>
    <w:p w14:paraId="13BA09DB" w14:textId="77777777" w:rsidR="0032115F" w:rsidRDefault="0032115F" w:rsidP="004E4427">
      <w:pPr>
        <w:tabs>
          <w:tab w:val="left" w:pos="2696"/>
        </w:tabs>
      </w:pPr>
    </w:p>
    <w:p w14:paraId="1A528E87" w14:textId="55DB4122" w:rsidR="0026510C" w:rsidRDefault="0032115F" w:rsidP="004E4427">
      <w:pPr>
        <w:tabs>
          <w:tab w:val="left" w:pos="2696"/>
        </w:tabs>
      </w:pPr>
      <w:r>
        <w:lastRenderedPageBreak/>
        <w:t xml:space="preserve">All states and territories (except Tasmania) saw growth in the number of organisations in the sector from </w:t>
      </w:r>
      <w:r w:rsidR="00B05B38">
        <w:t>FY</w:t>
      </w:r>
      <w:r>
        <w:t xml:space="preserve">17 to </w:t>
      </w:r>
      <w:r w:rsidR="00B05B38">
        <w:t>FY</w:t>
      </w:r>
      <w:r>
        <w:t xml:space="preserve">19. The number of </w:t>
      </w:r>
      <w:r w:rsidR="00F93A38">
        <w:t xml:space="preserve">active </w:t>
      </w:r>
      <w:r>
        <w:t xml:space="preserve">organisations </w:t>
      </w:r>
      <w:r w:rsidR="00F93A38">
        <w:t xml:space="preserve">headquartered </w:t>
      </w:r>
      <w:r>
        <w:t>in Tasmania remained steady over this period.</w:t>
      </w:r>
    </w:p>
    <w:p w14:paraId="629AF8DE" w14:textId="37B68179" w:rsidR="0032115F" w:rsidRDefault="0032115F" w:rsidP="0032115F">
      <w:pPr>
        <w:pStyle w:val="Heading3"/>
      </w:pPr>
      <w:r>
        <w:t>Organisation size</w:t>
      </w:r>
    </w:p>
    <w:p w14:paraId="130EB0F7" w14:textId="046C1996" w:rsidR="0032115F" w:rsidRDefault="00654EA4" w:rsidP="004E4427">
      <w:pPr>
        <w:tabs>
          <w:tab w:val="left" w:pos="2696"/>
        </w:tabs>
      </w:pPr>
      <w:r>
        <w:t>SMEs represen</w:t>
      </w:r>
      <w:r w:rsidR="00375230">
        <w:t>ted</w:t>
      </w:r>
      <w:r>
        <w:t xml:space="preserve"> 74.3 </w:t>
      </w:r>
      <w:r w:rsidR="002357A2">
        <w:t>per cent</w:t>
      </w:r>
      <w:r>
        <w:t xml:space="preserve"> of</w:t>
      </w:r>
      <w:r w:rsidR="009D21BF">
        <w:t xml:space="preserve"> all space</w:t>
      </w:r>
      <w:r>
        <w:t xml:space="preserve"> organisations, </w:t>
      </w:r>
      <w:r w:rsidR="00375230">
        <w:t xml:space="preserve">and </w:t>
      </w:r>
      <w:r>
        <w:t xml:space="preserve">the remaining 25.7 </w:t>
      </w:r>
      <w:r w:rsidR="002357A2">
        <w:t>per cent</w:t>
      </w:r>
      <w:r>
        <w:t xml:space="preserve"> of the sector is comprised of large organisations (such as T</w:t>
      </w:r>
      <w:r w:rsidR="00DC1F64">
        <w:t xml:space="preserve">elstra, </w:t>
      </w:r>
      <w:proofErr w:type="spellStart"/>
      <w:r w:rsidR="00DC1F64">
        <w:t>Singtel</w:t>
      </w:r>
      <w:proofErr w:type="spellEnd"/>
      <w:r w:rsidR="00DC1F64">
        <w:t xml:space="preserve"> (Optus), </w:t>
      </w:r>
      <w:r>
        <w:t>Foxtel</w:t>
      </w:r>
      <w:r w:rsidR="00DC1F64">
        <w:t xml:space="preserve"> and various universities</w:t>
      </w:r>
      <w:r>
        <w:t>), which accounted for 68</w:t>
      </w:r>
      <w:r w:rsidR="00441188">
        <w:t> </w:t>
      </w:r>
      <w:r w:rsidR="002357A2">
        <w:t>per cent</w:t>
      </w:r>
      <w:r>
        <w:t xml:space="preserve"> of </w:t>
      </w:r>
      <w:r w:rsidR="00255F6B">
        <w:t xml:space="preserve">space sector </w:t>
      </w:r>
      <w:r>
        <w:t xml:space="preserve">jobs (7,850 jobs) and 78.4 </w:t>
      </w:r>
      <w:r w:rsidR="002357A2">
        <w:t>per cent</w:t>
      </w:r>
      <w:r>
        <w:t xml:space="preserve"> of the revenue ($3.6 billion) for the sector in FY19.</w:t>
      </w:r>
      <w:r w:rsidR="007B08B5">
        <w:rPr>
          <w:rStyle w:val="FootnoteReference"/>
        </w:rPr>
        <w:footnoteReference w:id="31"/>
      </w:r>
      <w:r w:rsidR="009D21BF" w:rsidRPr="009D21BF">
        <w:t xml:space="preserve"> </w:t>
      </w:r>
      <w:r w:rsidR="009D21BF">
        <w:t>Additionally, space organisations classified as start-ups (SMEs operating for less than five years) represented 17.7 per cent of all space organisations in FY19.</w:t>
      </w:r>
    </w:p>
    <w:p w14:paraId="147702AE" w14:textId="4359EDAB" w:rsidR="00505EA8" w:rsidRDefault="0023227D" w:rsidP="00505EA8">
      <w:pPr>
        <w:pStyle w:val="Heading3"/>
      </w:pPr>
      <w:r>
        <w:t>Organisation activities by v</w:t>
      </w:r>
      <w:r w:rsidR="008B1A95">
        <w:t>alue</w:t>
      </w:r>
      <w:r w:rsidR="00505EA8">
        <w:t xml:space="preserve"> </w:t>
      </w:r>
      <w:r w:rsidR="008B1A95">
        <w:t xml:space="preserve">chain </w:t>
      </w:r>
      <w:r w:rsidR="00505EA8">
        <w:t>segment</w:t>
      </w:r>
    </w:p>
    <w:p w14:paraId="3F7BCB1F" w14:textId="47B2E3A4" w:rsidR="00505EA8" w:rsidRDefault="00505EA8" w:rsidP="00505EA8">
      <w:pPr>
        <w:tabs>
          <w:tab w:val="left" w:pos="2696"/>
        </w:tabs>
      </w:pPr>
      <w:r>
        <w:t xml:space="preserve">Of the 481 organisations in </w:t>
      </w:r>
      <w:r w:rsidRPr="00505EA8">
        <w:t xml:space="preserve">Australia’s space sector in </w:t>
      </w:r>
      <w:r w:rsidR="00BE15F6">
        <w:t>FY</w:t>
      </w:r>
      <w:r w:rsidRPr="00505EA8">
        <w:t>19, many organisations were active in more than one segment of the space value chain. Table</w:t>
      </w:r>
      <w:r w:rsidR="0000529A">
        <w:t> 7</w:t>
      </w:r>
      <w:r w:rsidRPr="00505EA8">
        <w:t xml:space="preserve"> describes how the activities of the 481 organisations active in </w:t>
      </w:r>
      <w:r w:rsidR="00BE15F6">
        <w:t>FY</w:t>
      </w:r>
      <w:r w:rsidRPr="00505EA8">
        <w:t>19</w:t>
      </w:r>
      <w:r>
        <w:t xml:space="preserve">, categorised by organisation size, </w:t>
      </w:r>
      <w:r w:rsidRPr="00505EA8">
        <w:t>are distributed across all four segments of space sector value chain.</w:t>
      </w:r>
    </w:p>
    <w:p w14:paraId="0B2C47EB" w14:textId="44F88EA9" w:rsidR="00505EA8" w:rsidRPr="00D95F76" w:rsidRDefault="00505EA8" w:rsidP="00505EA8">
      <w:pPr>
        <w:pStyle w:val="TableHeading"/>
      </w:pPr>
      <w:r>
        <w:t>Table</w:t>
      </w:r>
      <w:r w:rsidR="0000529A">
        <w:t> 7</w:t>
      </w:r>
      <w:r w:rsidRPr="00D95F76">
        <w:t>: Space value chain segment breakdown by organisation activities</w:t>
      </w:r>
    </w:p>
    <w:tbl>
      <w:tblPr>
        <w:tblW w:w="9923" w:type="dxa"/>
        <w:tblInd w:w="-10" w:type="dxa"/>
        <w:tblLayout w:type="fixed"/>
        <w:tblLook w:val="04A0" w:firstRow="1" w:lastRow="0" w:firstColumn="1" w:lastColumn="0" w:noHBand="0" w:noVBand="1"/>
        <w:tblCaption w:val="Space value chain segment breakdown by organisation activities"/>
        <w:tblDescription w:val="For small organisations, 13% were active in manufacturing, 12% in space operations, 23% in space applications, 52% in space enablers.&#10;For medium organisations, 22% were active in manufacturing, 9% in space operations, 40% in space applications, 29% in space enablers.&#10;For large organisations, 17% were active in manufacturing, 9% in space operations, 35% in space applications, 39% in space enablers.&#10;For all organisations, 17% were active in manufacturing, 10% in space operations, 31% in space applications, 42% in space enablers."/>
      </w:tblPr>
      <w:tblGrid>
        <w:gridCol w:w="3544"/>
        <w:gridCol w:w="1488"/>
        <w:gridCol w:w="1630"/>
        <w:gridCol w:w="1630"/>
        <w:gridCol w:w="1631"/>
      </w:tblGrid>
      <w:tr w:rsidR="00505EA8" w:rsidRPr="002A28D6" w14:paraId="49AFB9A6" w14:textId="77777777" w:rsidTr="00056FC0">
        <w:trPr>
          <w:trHeight w:val="300"/>
        </w:trPr>
        <w:tc>
          <w:tcPr>
            <w:tcW w:w="3544" w:type="dxa"/>
            <w:tcBorders>
              <w:top w:val="single" w:sz="8" w:space="0" w:color="auto"/>
              <w:left w:val="single" w:sz="8" w:space="0" w:color="auto"/>
              <w:bottom w:val="single" w:sz="4" w:space="0" w:color="auto"/>
              <w:right w:val="nil"/>
            </w:tcBorders>
            <w:shd w:val="clear" w:color="auto" w:fill="004976" w:themeFill="accent1"/>
            <w:noWrap/>
            <w:hideMark/>
          </w:tcPr>
          <w:p w14:paraId="3CCFCC2D" w14:textId="77777777" w:rsidR="00505EA8" w:rsidRPr="00D95F76" w:rsidRDefault="00505EA8" w:rsidP="00056FC0">
            <w:pPr>
              <w:adjustRightInd/>
              <w:snapToGrid/>
              <w:spacing w:after="0" w:line="240" w:lineRule="auto"/>
              <w:jc w:val="center"/>
              <w:rPr>
                <w:rFonts w:eastAsia="Times New Roman" w:cstheme="minorHAnsi"/>
                <w:b/>
                <w:bCs/>
                <w:color w:val="FFFFFF" w:themeColor="background1"/>
                <w:sz w:val="20"/>
                <w:lang w:eastAsia="en-AU"/>
              </w:rPr>
            </w:pPr>
            <w:r>
              <w:rPr>
                <w:rFonts w:eastAsia="Times New Roman" w:cstheme="minorHAnsi"/>
                <w:b/>
                <w:bCs/>
                <w:color w:val="FFFFFF" w:themeColor="background1"/>
                <w:sz w:val="20"/>
                <w:lang w:eastAsia="en-AU"/>
              </w:rPr>
              <w:t>Value chain</w:t>
            </w:r>
            <w:r w:rsidRPr="0077014F">
              <w:rPr>
                <w:rFonts w:eastAsia="Times New Roman" w:cstheme="minorHAnsi"/>
                <w:b/>
                <w:bCs/>
                <w:color w:val="FFFFFF" w:themeColor="background1"/>
                <w:sz w:val="20"/>
                <w:lang w:eastAsia="en-AU"/>
              </w:rPr>
              <w:t xml:space="preserve"> segment breakdown</w:t>
            </w:r>
          </w:p>
        </w:tc>
        <w:tc>
          <w:tcPr>
            <w:tcW w:w="1488" w:type="dxa"/>
            <w:tcBorders>
              <w:top w:val="single" w:sz="8" w:space="0" w:color="auto"/>
              <w:left w:val="nil"/>
              <w:bottom w:val="single" w:sz="4" w:space="0" w:color="auto"/>
              <w:right w:val="nil"/>
            </w:tcBorders>
            <w:shd w:val="clear" w:color="auto" w:fill="004976" w:themeFill="accent1"/>
            <w:noWrap/>
            <w:hideMark/>
          </w:tcPr>
          <w:p w14:paraId="0AD8B0F8" w14:textId="77777777" w:rsidR="00505EA8" w:rsidRPr="00D95F76"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Manufacturing &amp; core inputs</w:t>
            </w:r>
          </w:p>
        </w:tc>
        <w:tc>
          <w:tcPr>
            <w:tcW w:w="1630" w:type="dxa"/>
            <w:tcBorders>
              <w:top w:val="single" w:sz="8" w:space="0" w:color="auto"/>
              <w:left w:val="nil"/>
              <w:bottom w:val="single" w:sz="4" w:space="0" w:color="auto"/>
              <w:right w:val="nil"/>
            </w:tcBorders>
            <w:shd w:val="clear" w:color="auto" w:fill="004976" w:themeFill="accent1"/>
            <w:noWrap/>
            <w:hideMark/>
          </w:tcPr>
          <w:p w14:paraId="3609CCAC" w14:textId="77777777" w:rsidR="00505EA8" w:rsidRPr="0077014F"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30FDAD44" w14:textId="77777777" w:rsidR="00505EA8" w:rsidRPr="00D95F76"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operations</w:t>
            </w:r>
          </w:p>
        </w:tc>
        <w:tc>
          <w:tcPr>
            <w:tcW w:w="1630" w:type="dxa"/>
            <w:tcBorders>
              <w:top w:val="single" w:sz="8" w:space="0" w:color="auto"/>
              <w:left w:val="nil"/>
              <w:bottom w:val="single" w:sz="4" w:space="0" w:color="auto"/>
              <w:right w:val="nil"/>
            </w:tcBorders>
            <w:shd w:val="clear" w:color="auto" w:fill="004976" w:themeFill="accent1"/>
            <w:noWrap/>
            <w:hideMark/>
          </w:tcPr>
          <w:p w14:paraId="0EECC7D2" w14:textId="77777777" w:rsidR="00505EA8" w:rsidRPr="0077014F"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2CBA8D05" w14:textId="77777777" w:rsidR="00505EA8" w:rsidRPr="00D95F76"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applications</w:t>
            </w:r>
          </w:p>
        </w:tc>
        <w:tc>
          <w:tcPr>
            <w:tcW w:w="1631" w:type="dxa"/>
            <w:tcBorders>
              <w:top w:val="single" w:sz="8" w:space="0" w:color="auto"/>
              <w:left w:val="nil"/>
              <w:bottom w:val="single" w:sz="4" w:space="0" w:color="auto"/>
              <w:right w:val="single" w:sz="8" w:space="0" w:color="auto"/>
            </w:tcBorders>
            <w:shd w:val="clear" w:color="auto" w:fill="004976" w:themeFill="accent1"/>
            <w:noWrap/>
            <w:hideMark/>
          </w:tcPr>
          <w:p w14:paraId="0BC0C878" w14:textId="77777777" w:rsidR="00505EA8" w:rsidRPr="0077014F"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Space</w:t>
            </w:r>
          </w:p>
          <w:p w14:paraId="7DD75A4A" w14:textId="77777777" w:rsidR="00505EA8" w:rsidRPr="00D95F76" w:rsidRDefault="00505EA8" w:rsidP="00056FC0">
            <w:pPr>
              <w:adjustRightInd/>
              <w:snapToGrid/>
              <w:spacing w:after="0" w:line="240" w:lineRule="auto"/>
              <w:jc w:val="center"/>
              <w:rPr>
                <w:rFonts w:eastAsia="Times New Roman" w:cstheme="minorHAnsi"/>
                <w:b/>
                <w:bCs/>
                <w:color w:val="FFFFFF" w:themeColor="background1"/>
                <w:sz w:val="20"/>
                <w:lang w:eastAsia="en-AU"/>
              </w:rPr>
            </w:pPr>
            <w:r w:rsidRPr="0077014F">
              <w:rPr>
                <w:rFonts w:eastAsia="Times New Roman" w:cstheme="minorHAnsi"/>
                <w:b/>
                <w:bCs/>
                <w:color w:val="FFFFFF" w:themeColor="background1"/>
                <w:sz w:val="20"/>
                <w:lang w:eastAsia="en-AU"/>
              </w:rPr>
              <w:t>enablers</w:t>
            </w:r>
          </w:p>
        </w:tc>
      </w:tr>
      <w:tr w:rsidR="00505EA8" w:rsidRPr="002A28D6" w14:paraId="6F812E8E" w14:textId="77777777" w:rsidTr="00056FC0">
        <w:trPr>
          <w:trHeight w:val="300"/>
        </w:trPr>
        <w:tc>
          <w:tcPr>
            <w:tcW w:w="3544" w:type="dxa"/>
            <w:tcBorders>
              <w:top w:val="nil"/>
              <w:left w:val="single" w:sz="8" w:space="0" w:color="auto"/>
              <w:bottom w:val="single" w:sz="4" w:space="0" w:color="auto"/>
              <w:right w:val="nil"/>
            </w:tcBorders>
            <w:shd w:val="clear" w:color="auto" w:fill="F2F2F2" w:themeFill="background1" w:themeFillShade="F2"/>
            <w:noWrap/>
            <w:vAlign w:val="bottom"/>
            <w:hideMark/>
          </w:tcPr>
          <w:p w14:paraId="7571FD61" w14:textId="77777777" w:rsidR="00505EA8" w:rsidRPr="002A28D6" w:rsidRDefault="00505EA8" w:rsidP="00056FC0">
            <w:pPr>
              <w:adjustRightInd/>
              <w:snapToGrid/>
              <w:spacing w:after="0" w:line="240" w:lineRule="auto"/>
              <w:rPr>
                <w:rFonts w:ascii="Calibri" w:eastAsia="Times New Roman" w:hAnsi="Calibri" w:cs="Calibri"/>
                <w:color w:val="000000"/>
                <w:szCs w:val="22"/>
                <w:lang w:eastAsia="en-AU"/>
              </w:rPr>
            </w:pPr>
            <w:r w:rsidRPr="002A28D6">
              <w:rPr>
                <w:rFonts w:ascii="Calibri" w:eastAsia="Times New Roman" w:hAnsi="Calibri" w:cs="Calibri"/>
                <w:color w:val="000000"/>
                <w:szCs w:val="22"/>
                <w:lang w:eastAsia="en-AU"/>
              </w:rPr>
              <w:t>Small</w:t>
            </w:r>
            <w:r>
              <w:rPr>
                <w:rFonts w:ascii="Calibri" w:eastAsia="Times New Roman" w:hAnsi="Calibri" w:cs="Calibri"/>
                <w:color w:val="000000"/>
                <w:szCs w:val="22"/>
                <w:lang w:eastAsia="en-AU"/>
              </w:rPr>
              <w:t xml:space="preserve"> organisation activities</w:t>
            </w:r>
          </w:p>
        </w:tc>
        <w:tc>
          <w:tcPr>
            <w:tcW w:w="1488" w:type="dxa"/>
            <w:tcBorders>
              <w:top w:val="nil"/>
              <w:left w:val="nil"/>
              <w:bottom w:val="single" w:sz="4" w:space="0" w:color="auto"/>
              <w:right w:val="nil"/>
            </w:tcBorders>
            <w:shd w:val="clear" w:color="auto" w:fill="auto"/>
            <w:noWrap/>
            <w:vAlign w:val="bottom"/>
            <w:hideMark/>
          </w:tcPr>
          <w:p w14:paraId="3112578B" w14:textId="57E79980"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sidRPr="006D1AE2">
              <w:rPr>
                <w:rFonts w:ascii="Calibri" w:eastAsia="Times New Roman" w:hAnsi="Calibri" w:cs="Calibri"/>
                <w:color w:val="000000"/>
                <w:szCs w:val="22"/>
                <w:lang w:eastAsia="en-AU"/>
              </w:rPr>
              <w:t>1</w:t>
            </w:r>
            <w:r>
              <w:rPr>
                <w:rFonts w:ascii="Calibri" w:eastAsia="Times New Roman" w:hAnsi="Calibri" w:cs="Calibri"/>
                <w:color w:val="000000"/>
                <w:szCs w:val="22"/>
                <w:lang w:eastAsia="en-AU"/>
              </w:rPr>
              <w:t>6</w:t>
            </w:r>
            <w:r w:rsidRPr="006D1AE2">
              <w:rPr>
                <w:rFonts w:ascii="Calibri" w:eastAsia="Times New Roman" w:hAnsi="Calibri" w:cs="Calibri"/>
                <w:color w:val="000000"/>
                <w:szCs w:val="22"/>
                <w:lang w:eastAsia="en-AU"/>
              </w:rPr>
              <w:t xml:space="preserve"> </w:t>
            </w:r>
            <w:r w:rsidR="00505EA8" w:rsidRPr="006D1AE2">
              <w:rPr>
                <w:rFonts w:ascii="Calibri" w:eastAsia="Times New Roman" w:hAnsi="Calibri" w:cs="Calibri"/>
                <w:color w:val="000000"/>
                <w:szCs w:val="22"/>
                <w:lang w:eastAsia="en-AU"/>
              </w:rPr>
              <w:t>%</w:t>
            </w:r>
          </w:p>
        </w:tc>
        <w:tc>
          <w:tcPr>
            <w:tcW w:w="1630" w:type="dxa"/>
            <w:tcBorders>
              <w:top w:val="nil"/>
              <w:left w:val="nil"/>
              <w:bottom w:val="single" w:sz="4" w:space="0" w:color="auto"/>
              <w:right w:val="nil"/>
            </w:tcBorders>
            <w:shd w:val="clear" w:color="auto" w:fill="auto"/>
            <w:noWrap/>
            <w:vAlign w:val="bottom"/>
            <w:hideMark/>
          </w:tcPr>
          <w:p w14:paraId="27B53927" w14:textId="4CB8D529" w:rsidR="00505EA8" w:rsidRPr="006D1AE2" w:rsidRDefault="00505EA8" w:rsidP="00056FC0">
            <w:pPr>
              <w:adjustRightInd/>
              <w:snapToGrid/>
              <w:spacing w:after="0" w:line="240" w:lineRule="auto"/>
              <w:jc w:val="center"/>
              <w:rPr>
                <w:rFonts w:ascii="Calibri" w:eastAsia="Times New Roman" w:hAnsi="Calibri" w:cs="Calibri"/>
                <w:color w:val="000000"/>
                <w:szCs w:val="22"/>
                <w:lang w:eastAsia="en-AU"/>
              </w:rPr>
            </w:pPr>
            <w:r w:rsidRPr="006D1AE2">
              <w:rPr>
                <w:rFonts w:ascii="Calibri" w:eastAsia="Times New Roman" w:hAnsi="Calibri" w:cs="Calibri"/>
                <w:color w:val="000000"/>
                <w:szCs w:val="22"/>
                <w:lang w:eastAsia="en-AU"/>
              </w:rPr>
              <w:t>1</w:t>
            </w:r>
            <w:r w:rsidR="007E6C91">
              <w:rPr>
                <w:rFonts w:ascii="Calibri" w:eastAsia="Times New Roman" w:hAnsi="Calibri" w:cs="Calibri"/>
                <w:color w:val="000000"/>
                <w:szCs w:val="22"/>
                <w:lang w:eastAsia="en-AU"/>
              </w:rPr>
              <w:t>4</w:t>
            </w:r>
            <w:r w:rsidRPr="006D1AE2">
              <w:rPr>
                <w:rFonts w:ascii="Calibri" w:eastAsia="Times New Roman" w:hAnsi="Calibri" w:cs="Calibri"/>
                <w:color w:val="000000"/>
                <w:szCs w:val="22"/>
                <w:lang w:eastAsia="en-AU"/>
              </w:rPr>
              <w:t xml:space="preserve"> %</w:t>
            </w:r>
          </w:p>
        </w:tc>
        <w:tc>
          <w:tcPr>
            <w:tcW w:w="1630" w:type="dxa"/>
            <w:tcBorders>
              <w:top w:val="nil"/>
              <w:left w:val="nil"/>
              <w:bottom w:val="single" w:sz="4" w:space="0" w:color="auto"/>
              <w:right w:val="nil"/>
            </w:tcBorders>
            <w:shd w:val="clear" w:color="auto" w:fill="auto"/>
            <w:noWrap/>
            <w:vAlign w:val="bottom"/>
            <w:hideMark/>
          </w:tcPr>
          <w:p w14:paraId="6E5E55D9" w14:textId="7FE0ED51" w:rsidR="00505EA8" w:rsidRPr="006D1AE2" w:rsidRDefault="00505EA8" w:rsidP="00056FC0">
            <w:pPr>
              <w:adjustRightInd/>
              <w:snapToGrid/>
              <w:spacing w:after="0" w:line="240" w:lineRule="auto"/>
              <w:jc w:val="center"/>
              <w:rPr>
                <w:rFonts w:ascii="Calibri" w:eastAsia="Times New Roman" w:hAnsi="Calibri" w:cs="Calibri"/>
                <w:color w:val="000000"/>
                <w:szCs w:val="22"/>
                <w:lang w:eastAsia="en-AU"/>
              </w:rPr>
            </w:pPr>
            <w:r w:rsidRPr="006D1AE2">
              <w:rPr>
                <w:rFonts w:ascii="Calibri" w:eastAsia="Times New Roman" w:hAnsi="Calibri" w:cs="Calibri"/>
                <w:color w:val="000000"/>
                <w:szCs w:val="22"/>
                <w:lang w:eastAsia="en-AU"/>
              </w:rPr>
              <w:t>2</w:t>
            </w:r>
            <w:r w:rsidR="007E6C91">
              <w:rPr>
                <w:rFonts w:ascii="Calibri" w:eastAsia="Times New Roman" w:hAnsi="Calibri" w:cs="Calibri"/>
                <w:color w:val="000000"/>
                <w:szCs w:val="22"/>
                <w:lang w:eastAsia="en-AU"/>
              </w:rPr>
              <w:t>7</w:t>
            </w:r>
            <w:r w:rsidRPr="006D1AE2">
              <w:rPr>
                <w:rFonts w:ascii="Calibri" w:eastAsia="Times New Roman" w:hAnsi="Calibri" w:cs="Calibri"/>
                <w:color w:val="000000"/>
                <w:szCs w:val="22"/>
                <w:lang w:eastAsia="en-AU"/>
              </w:rPr>
              <w:t xml:space="preserve"> %</w:t>
            </w:r>
          </w:p>
        </w:tc>
        <w:tc>
          <w:tcPr>
            <w:tcW w:w="1631" w:type="dxa"/>
            <w:tcBorders>
              <w:top w:val="nil"/>
              <w:left w:val="nil"/>
              <w:bottom w:val="single" w:sz="4" w:space="0" w:color="auto"/>
              <w:right w:val="single" w:sz="8" w:space="0" w:color="auto"/>
            </w:tcBorders>
            <w:shd w:val="clear" w:color="auto" w:fill="auto"/>
            <w:noWrap/>
            <w:vAlign w:val="bottom"/>
            <w:hideMark/>
          </w:tcPr>
          <w:p w14:paraId="34104704" w14:textId="72FD3715"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61</w:t>
            </w:r>
            <w:r w:rsidRPr="006D1AE2">
              <w:rPr>
                <w:rFonts w:ascii="Calibri" w:eastAsia="Times New Roman" w:hAnsi="Calibri" w:cs="Calibri"/>
                <w:color w:val="000000"/>
                <w:szCs w:val="22"/>
                <w:lang w:eastAsia="en-AU"/>
              </w:rPr>
              <w:t xml:space="preserve"> </w:t>
            </w:r>
            <w:r w:rsidR="00505EA8" w:rsidRPr="006D1AE2">
              <w:rPr>
                <w:rFonts w:ascii="Calibri" w:eastAsia="Times New Roman" w:hAnsi="Calibri" w:cs="Calibri"/>
                <w:color w:val="000000"/>
                <w:szCs w:val="22"/>
                <w:lang w:eastAsia="en-AU"/>
              </w:rPr>
              <w:t>%</w:t>
            </w:r>
          </w:p>
        </w:tc>
      </w:tr>
      <w:tr w:rsidR="00505EA8" w:rsidRPr="002A28D6" w14:paraId="3C006D22" w14:textId="77777777" w:rsidTr="00056FC0">
        <w:trPr>
          <w:trHeight w:val="300"/>
        </w:trPr>
        <w:tc>
          <w:tcPr>
            <w:tcW w:w="3544" w:type="dxa"/>
            <w:tcBorders>
              <w:top w:val="nil"/>
              <w:left w:val="single" w:sz="8" w:space="0" w:color="auto"/>
              <w:bottom w:val="single" w:sz="4" w:space="0" w:color="auto"/>
              <w:right w:val="nil"/>
            </w:tcBorders>
            <w:shd w:val="clear" w:color="auto" w:fill="F2F2F2" w:themeFill="background1" w:themeFillShade="F2"/>
            <w:noWrap/>
            <w:vAlign w:val="bottom"/>
            <w:hideMark/>
          </w:tcPr>
          <w:p w14:paraId="49E3F013" w14:textId="77777777" w:rsidR="00505EA8" w:rsidRPr="002A28D6" w:rsidRDefault="00505EA8" w:rsidP="00056FC0">
            <w:pPr>
              <w:adjustRightInd/>
              <w:snapToGrid/>
              <w:spacing w:after="0" w:line="240" w:lineRule="auto"/>
              <w:rPr>
                <w:rFonts w:ascii="Calibri" w:eastAsia="Times New Roman" w:hAnsi="Calibri" w:cs="Calibri"/>
                <w:color w:val="000000"/>
                <w:szCs w:val="22"/>
                <w:lang w:eastAsia="en-AU"/>
              </w:rPr>
            </w:pPr>
            <w:r w:rsidRPr="002A28D6">
              <w:rPr>
                <w:rFonts w:ascii="Calibri" w:eastAsia="Times New Roman" w:hAnsi="Calibri" w:cs="Calibri"/>
                <w:color w:val="000000"/>
                <w:szCs w:val="22"/>
                <w:lang w:eastAsia="en-AU"/>
              </w:rPr>
              <w:t>Medium</w:t>
            </w:r>
            <w:r>
              <w:rPr>
                <w:rFonts w:ascii="Calibri" w:eastAsia="Times New Roman" w:hAnsi="Calibri" w:cs="Calibri"/>
                <w:color w:val="000000"/>
                <w:szCs w:val="22"/>
                <w:lang w:eastAsia="en-AU"/>
              </w:rPr>
              <w:t xml:space="preserve"> organisation activities</w:t>
            </w:r>
          </w:p>
        </w:tc>
        <w:tc>
          <w:tcPr>
            <w:tcW w:w="1488" w:type="dxa"/>
            <w:tcBorders>
              <w:top w:val="nil"/>
              <w:left w:val="nil"/>
              <w:bottom w:val="single" w:sz="4" w:space="0" w:color="auto"/>
              <w:right w:val="nil"/>
            </w:tcBorders>
            <w:shd w:val="clear" w:color="auto" w:fill="auto"/>
            <w:noWrap/>
            <w:vAlign w:val="bottom"/>
            <w:hideMark/>
          </w:tcPr>
          <w:p w14:paraId="487DF7B9" w14:textId="6B6A4D93"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sidRPr="006D1AE2">
              <w:rPr>
                <w:rFonts w:ascii="Calibri" w:eastAsia="Times New Roman" w:hAnsi="Calibri" w:cs="Calibri"/>
                <w:color w:val="000000"/>
                <w:szCs w:val="22"/>
                <w:lang w:eastAsia="en-AU"/>
              </w:rPr>
              <w:t>2</w:t>
            </w:r>
            <w:r>
              <w:rPr>
                <w:rFonts w:ascii="Calibri" w:eastAsia="Times New Roman" w:hAnsi="Calibri" w:cs="Calibri"/>
                <w:color w:val="000000"/>
                <w:szCs w:val="22"/>
                <w:lang w:eastAsia="en-AU"/>
              </w:rPr>
              <w:t>9</w:t>
            </w:r>
            <w:r w:rsidRPr="006D1AE2">
              <w:rPr>
                <w:rFonts w:ascii="Calibri" w:eastAsia="Times New Roman" w:hAnsi="Calibri" w:cs="Calibri"/>
                <w:color w:val="000000"/>
                <w:szCs w:val="22"/>
                <w:lang w:eastAsia="en-AU"/>
              </w:rPr>
              <w:t xml:space="preserve"> </w:t>
            </w:r>
            <w:r w:rsidR="00505EA8" w:rsidRPr="006D1AE2">
              <w:rPr>
                <w:rFonts w:ascii="Calibri" w:eastAsia="Times New Roman" w:hAnsi="Calibri" w:cs="Calibri"/>
                <w:color w:val="000000"/>
                <w:szCs w:val="22"/>
                <w:lang w:eastAsia="en-AU"/>
              </w:rPr>
              <w:t>%</w:t>
            </w:r>
          </w:p>
        </w:tc>
        <w:tc>
          <w:tcPr>
            <w:tcW w:w="1630" w:type="dxa"/>
            <w:tcBorders>
              <w:top w:val="nil"/>
              <w:left w:val="nil"/>
              <w:bottom w:val="single" w:sz="4" w:space="0" w:color="auto"/>
              <w:right w:val="nil"/>
            </w:tcBorders>
            <w:shd w:val="clear" w:color="auto" w:fill="auto"/>
            <w:noWrap/>
            <w:vAlign w:val="bottom"/>
            <w:hideMark/>
          </w:tcPr>
          <w:p w14:paraId="2395407C" w14:textId="31C9A305"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w:t>
            </w:r>
            <w:r w:rsidRPr="006D1AE2">
              <w:rPr>
                <w:rFonts w:ascii="Calibri" w:eastAsia="Times New Roman" w:hAnsi="Calibri" w:cs="Calibri"/>
                <w:color w:val="000000"/>
                <w:szCs w:val="22"/>
                <w:lang w:eastAsia="en-AU"/>
              </w:rPr>
              <w:t xml:space="preserve"> </w:t>
            </w:r>
            <w:r w:rsidR="00505EA8" w:rsidRPr="006D1AE2">
              <w:rPr>
                <w:rFonts w:ascii="Calibri" w:eastAsia="Times New Roman" w:hAnsi="Calibri" w:cs="Calibri"/>
                <w:color w:val="000000"/>
                <w:szCs w:val="22"/>
                <w:lang w:eastAsia="en-AU"/>
              </w:rPr>
              <w:t>%</w:t>
            </w:r>
          </w:p>
        </w:tc>
        <w:tc>
          <w:tcPr>
            <w:tcW w:w="1630" w:type="dxa"/>
            <w:tcBorders>
              <w:top w:val="nil"/>
              <w:left w:val="nil"/>
              <w:bottom w:val="single" w:sz="4" w:space="0" w:color="auto"/>
              <w:right w:val="nil"/>
            </w:tcBorders>
            <w:shd w:val="clear" w:color="auto" w:fill="auto"/>
            <w:noWrap/>
            <w:vAlign w:val="bottom"/>
            <w:hideMark/>
          </w:tcPr>
          <w:p w14:paraId="2FD7AB71" w14:textId="7C5E3DB2"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w:t>
            </w:r>
            <w:r w:rsidR="00505EA8" w:rsidRPr="006D1AE2">
              <w:rPr>
                <w:rFonts w:ascii="Calibri" w:eastAsia="Times New Roman" w:hAnsi="Calibri" w:cs="Calibri"/>
                <w:color w:val="000000"/>
                <w:szCs w:val="22"/>
                <w:lang w:eastAsia="en-AU"/>
              </w:rPr>
              <w:t>0 %</w:t>
            </w:r>
          </w:p>
        </w:tc>
        <w:tc>
          <w:tcPr>
            <w:tcW w:w="1631" w:type="dxa"/>
            <w:tcBorders>
              <w:top w:val="nil"/>
              <w:left w:val="nil"/>
              <w:bottom w:val="single" w:sz="4" w:space="0" w:color="auto"/>
              <w:right w:val="single" w:sz="8" w:space="0" w:color="auto"/>
            </w:tcBorders>
            <w:shd w:val="clear" w:color="auto" w:fill="auto"/>
            <w:noWrap/>
            <w:vAlign w:val="bottom"/>
            <w:hideMark/>
          </w:tcPr>
          <w:p w14:paraId="7FD8D215" w14:textId="4671D08C" w:rsidR="00505EA8" w:rsidRPr="006D1AE2"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38</w:t>
            </w:r>
            <w:r w:rsidRPr="006D1AE2">
              <w:rPr>
                <w:rFonts w:ascii="Calibri" w:eastAsia="Times New Roman" w:hAnsi="Calibri" w:cs="Calibri"/>
                <w:color w:val="000000"/>
                <w:szCs w:val="22"/>
                <w:lang w:eastAsia="en-AU"/>
              </w:rPr>
              <w:t xml:space="preserve"> </w:t>
            </w:r>
            <w:r w:rsidR="00505EA8" w:rsidRPr="006D1AE2">
              <w:rPr>
                <w:rFonts w:ascii="Calibri" w:eastAsia="Times New Roman" w:hAnsi="Calibri" w:cs="Calibri"/>
                <w:color w:val="000000"/>
                <w:szCs w:val="22"/>
                <w:lang w:eastAsia="en-AU"/>
              </w:rPr>
              <w:t>%</w:t>
            </w:r>
          </w:p>
        </w:tc>
      </w:tr>
      <w:tr w:rsidR="00505EA8" w:rsidRPr="002A28D6" w14:paraId="387DA18A" w14:textId="77777777" w:rsidTr="00056FC0">
        <w:trPr>
          <w:trHeight w:val="300"/>
        </w:trPr>
        <w:tc>
          <w:tcPr>
            <w:tcW w:w="3544" w:type="dxa"/>
            <w:tcBorders>
              <w:top w:val="nil"/>
              <w:left w:val="single" w:sz="8" w:space="0" w:color="auto"/>
              <w:bottom w:val="nil"/>
              <w:right w:val="nil"/>
            </w:tcBorders>
            <w:shd w:val="clear" w:color="auto" w:fill="F2F2F2" w:themeFill="background1" w:themeFillShade="F2"/>
            <w:noWrap/>
            <w:vAlign w:val="bottom"/>
            <w:hideMark/>
          </w:tcPr>
          <w:p w14:paraId="776794C7" w14:textId="77777777" w:rsidR="00505EA8" w:rsidRPr="002A28D6" w:rsidRDefault="00505EA8" w:rsidP="00056FC0">
            <w:pPr>
              <w:adjustRightInd/>
              <w:snapToGrid/>
              <w:spacing w:after="0" w:line="240" w:lineRule="auto"/>
              <w:rPr>
                <w:rFonts w:ascii="Calibri" w:eastAsia="Times New Roman" w:hAnsi="Calibri" w:cs="Calibri"/>
                <w:color w:val="000000"/>
                <w:szCs w:val="22"/>
                <w:lang w:eastAsia="en-AU"/>
              </w:rPr>
            </w:pPr>
            <w:r w:rsidRPr="002A28D6">
              <w:rPr>
                <w:rFonts w:ascii="Calibri" w:eastAsia="Times New Roman" w:hAnsi="Calibri" w:cs="Calibri"/>
                <w:color w:val="000000"/>
                <w:szCs w:val="22"/>
                <w:lang w:eastAsia="en-AU"/>
              </w:rPr>
              <w:t>Large</w:t>
            </w:r>
            <w:r>
              <w:rPr>
                <w:rFonts w:ascii="Calibri" w:eastAsia="Times New Roman" w:hAnsi="Calibri" w:cs="Calibri"/>
                <w:color w:val="000000"/>
                <w:szCs w:val="22"/>
                <w:lang w:eastAsia="en-AU"/>
              </w:rPr>
              <w:t xml:space="preserve"> organisation activities</w:t>
            </w:r>
          </w:p>
        </w:tc>
        <w:tc>
          <w:tcPr>
            <w:tcW w:w="1488" w:type="dxa"/>
            <w:tcBorders>
              <w:top w:val="nil"/>
              <w:left w:val="nil"/>
              <w:bottom w:val="nil"/>
              <w:right w:val="nil"/>
            </w:tcBorders>
            <w:shd w:val="clear" w:color="auto" w:fill="auto"/>
            <w:noWrap/>
            <w:vAlign w:val="bottom"/>
            <w:hideMark/>
          </w:tcPr>
          <w:p w14:paraId="5BC397EB" w14:textId="694B9A8A" w:rsidR="00505EA8" w:rsidRPr="00D1503E"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22</w:t>
            </w:r>
            <w:r w:rsidRPr="00D1503E">
              <w:rPr>
                <w:rFonts w:ascii="Calibri" w:eastAsia="Times New Roman" w:hAnsi="Calibri" w:cs="Calibri"/>
                <w:color w:val="000000"/>
                <w:szCs w:val="22"/>
                <w:lang w:eastAsia="en-AU"/>
              </w:rPr>
              <w:t xml:space="preserve"> </w:t>
            </w:r>
            <w:r w:rsidR="00505EA8" w:rsidRPr="00D1503E">
              <w:rPr>
                <w:rFonts w:ascii="Calibri" w:eastAsia="Times New Roman" w:hAnsi="Calibri" w:cs="Calibri"/>
                <w:color w:val="000000"/>
                <w:szCs w:val="22"/>
                <w:lang w:eastAsia="en-AU"/>
              </w:rPr>
              <w:t>%</w:t>
            </w:r>
          </w:p>
        </w:tc>
        <w:tc>
          <w:tcPr>
            <w:tcW w:w="1630" w:type="dxa"/>
            <w:tcBorders>
              <w:top w:val="nil"/>
              <w:left w:val="nil"/>
              <w:bottom w:val="nil"/>
              <w:right w:val="nil"/>
            </w:tcBorders>
            <w:shd w:val="clear" w:color="auto" w:fill="auto"/>
            <w:noWrap/>
            <w:vAlign w:val="bottom"/>
            <w:hideMark/>
          </w:tcPr>
          <w:p w14:paraId="79A7F57F" w14:textId="6E01CC2B" w:rsidR="00505EA8" w:rsidRPr="00D1503E"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12</w:t>
            </w:r>
            <w:r w:rsidRPr="00D1503E">
              <w:rPr>
                <w:rFonts w:ascii="Calibri" w:eastAsia="Times New Roman" w:hAnsi="Calibri" w:cs="Calibri"/>
                <w:color w:val="000000"/>
                <w:szCs w:val="22"/>
                <w:lang w:eastAsia="en-AU"/>
              </w:rPr>
              <w:t xml:space="preserve"> </w:t>
            </w:r>
            <w:r w:rsidR="00505EA8" w:rsidRPr="00D1503E">
              <w:rPr>
                <w:rFonts w:ascii="Calibri" w:eastAsia="Times New Roman" w:hAnsi="Calibri" w:cs="Calibri"/>
                <w:color w:val="000000"/>
                <w:szCs w:val="22"/>
                <w:lang w:eastAsia="en-AU"/>
              </w:rPr>
              <w:t>%</w:t>
            </w:r>
          </w:p>
        </w:tc>
        <w:tc>
          <w:tcPr>
            <w:tcW w:w="1630" w:type="dxa"/>
            <w:tcBorders>
              <w:top w:val="nil"/>
              <w:left w:val="nil"/>
              <w:bottom w:val="nil"/>
              <w:right w:val="nil"/>
            </w:tcBorders>
            <w:shd w:val="clear" w:color="auto" w:fill="auto"/>
            <w:noWrap/>
            <w:vAlign w:val="bottom"/>
            <w:hideMark/>
          </w:tcPr>
          <w:p w14:paraId="3B821541" w14:textId="005880F4" w:rsidR="00505EA8" w:rsidRPr="00D1503E"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43</w:t>
            </w:r>
            <w:r w:rsidR="00505EA8" w:rsidRPr="00D1503E">
              <w:rPr>
                <w:rFonts w:ascii="Calibri" w:eastAsia="Times New Roman" w:hAnsi="Calibri" w:cs="Calibri"/>
                <w:color w:val="000000"/>
                <w:szCs w:val="22"/>
                <w:lang w:eastAsia="en-AU"/>
              </w:rPr>
              <w:t xml:space="preserve"> %</w:t>
            </w:r>
          </w:p>
        </w:tc>
        <w:tc>
          <w:tcPr>
            <w:tcW w:w="1631" w:type="dxa"/>
            <w:tcBorders>
              <w:top w:val="nil"/>
              <w:left w:val="nil"/>
              <w:bottom w:val="nil"/>
              <w:right w:val="single" w:sz="8" w:space="0" w:color="auto"/>
            </w:tcBorders>
            <w:shd w:val="clear" w:color="auto" w:fill="auto"/>
            <w:noWrap/>
            <w:vAlign w:val="bottom"/>
            <w:hideMark/>
          </w:tcPr>
          <w:p w14:paraId="08762BDE" w14:textId="5E57B86D" w:rsidR="00505EA8" w:rsidRPr="00D1503E" w:rsidRDefault="007E6C91" w:rsidP="00056FC0">
            <w:pPr>
              <w:adjustRightInd/>
              <w:snapToGrid/>
              <w:spacing w:after="0" w:line="240" w:lineRule="auto"/>
              <w:jc w:val="center"/>
              <w:rPr>
                <w:rFonts w:ascii="Calibri" w:eastAsia="Times New Roman" w:hAnsi="Calibri" w:cs="Calibri"/>
                <w:color w:val="000000"/>
                <w:szCs w:val="22"/>
                <w:lang w:eastAsia="en-AU"/>
              </w:rPr>
            </w:pPr>
            <w:r>
              <w:rPr>
                <w:rFonts w:ascii="Calibri" w:eastAsia="Times New Roman" w:hAnsi="Calibri" w:cs="Calibri"/>
                <w:color w:val="000000"/>
                <w:szCs w:val="22"/>
                <w:lang w:eastAsia="en-AU"/>
              </w:rPr>
              <w:t>50</w:t>
            </w:r>
            <w:r w:rsidRPr="00D1503E">
              <w:rPr>
                <w:rFonts w:ascii="Calibri" w:eastAsia="Times New Roman" w:hAnsi="Calibri" w:cs="Calibri"/>
                <w:color w:val="000000"/>
                <w:szCs w:val="22"/>
                <w:lang w:eastAsia="en-AU"/>
              </w:rPr>
              <w:t xml:space="preserve"> </w:t>
            </w:r>
            <w:r w:rsidR="00505EA8" w:rsidRPr="00D1503E">
              <w:rPr>
                <w:rFonts w:ascii="Calibri" w:eastAsia="Times New Roman" w:hAnsi="Calibri" w:cs="Calibri"/>
                <w:color w:val="000000"/>
                <w:szCs w:val="22"/>
                <w:lang w:eastAsia="en-AU"/>
              </w:rPr>
              <w:t>%</w:t>
            </w:r>
          </w:p>
        </w:tc>
      </w:tr>
      <w:tr w:rsidR="00505EA8" w:rsidRPr="002A28D6" w14:paraId="12C51FD8" w14:textId="77777777" w:rsidTr="00056FC0">
        <w:trPr>
          <w:trHeight w:val="300"/>
        </w:trPr>
        <w:tc>
          <w:tcPr>
            <w:tcW w:w="3544" w:type="dxa"/>
            <w:tcBorders>
              <w:top w:val="single" w:sz="8" w:space="0" w:color="auto"/>
              <w:left w:val="single" w:sz="8" w:space="0" w:color="auto"/>
              <w:bottom w:val="single" w:sz="4" w:space="0" w:color="auto"/>
              <w:right w:val="nil"/>
            </w:tcBorders>
            <w:shd w:val="clear" w:color="000000" w:fill="D9D9D9"/>
            <w:noWrap/>
            <w:vAlign w:val="bottom"/>
          </w:tcPr>
          <w:p w14:paraId="46AB0652" w14:textId="77777777" w:rsidR="00505EA8" w:rsidRPr="002A28D6" w:rsidRDefault="00505EA8" w:rsidP="00056FC0">
            <w:pPr>
              <w:adjustRightInd/>
              <w:snapToGrid/>
              <w:spacing w:after="0" w:line="240" w:lineRule="auto"/>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Total activity (all organisation sizes)</w:t>
            </w:r>
          </w:p>
        </w:tc>
        <w:tc>
          <w:tcPr>
            <w:tcW w:w="1488" w:type="dxa"/>
            <w:tcBorders>
              <w:top w:val="single" w:sz="8" w:space="0" w:color="auto"/>
              <w:left w:val="nil"/>
              <w:bottom w:val="single" w:sz="4" w:space="0" w:color="auto"/>
              <w:right w:val="nil"/>
            </w:tcBorders>
            <w:shd w:val="clear" w:color="000000" w:fill="D9D9D9"/>
            <w:noWrap/>
            <w:vAlign w:val="center"/>
          </w:tcPr>
          <w:p w14:paraId="2A1E53CD" w14:textId="4B7C87B9" w:rsidR="00505EA8" w:rsidRPr="002A28D6" w:rsidRDefault="007E6C91" w:rsidP="00056FC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 xml:space="preserve">21 </w:t>
            </w:r>
            <w:r w:rsidR="00505EA8">
              <w:rPr>
                <w:rFonts w:ascii="Calibri" w:eastAsia="Times New Roman" w:hAnsi="Calibri" w:cs="Calibri"/>
                <w:b/>
                <w:bCs/>
                <w:color w:val="000000"/>
                <w:szCs w:val="22"/>
                <w:lang w:eastAsia="en-AU"/>
              </w:rPr>
              <w:t>%</w:t>
            </w:r>
          </w:p>
        </w:tc>
        <w:tc>
          <w:tcPr>
            <w:tcW w:w="1630" w:type="dxa"/>
            <w:tcBorders>
              <w:top w:val="single" w:sz="8" w:space="0" w:color="auto"/>
              <w:left w:val="nil"/>
              <w:bottom w:val="single" w:sz="4" w:space="0" w:color="auto"/>
              <w:right w:val="nil"/>
            </w:tcBorders>
            <w:shd w:val="clear" w:color="000000" w:fill="D9D9D9"/>
            <w:noWrap/>
            <w:vAlign w:val="center"/>
          </w:tcPr>
          <w:p w14:paraId="6881BB68" w14:textId="181B606F" w:rsidR="00505EA8" w:rsidRPr="002A28D6" w:rsidRDefault="00505EA8" w:rsidP="00056FC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1</w:t>
            </w:r>
            <w:r w:rsidR="007E6C91">
              <w:rPr>
                <w:rFonts w:ascii="Calibri" w:eastAsia="Times New Roman" w:hAnsi="Calibri" w:cs="Calibri"/>
                <w:b/>
                <w:bCs/>
                <w:color w:val="000000"/>
                <w:szCs w:val="22"/>
                <w:lang w:eastAsia="en-AU"/>
              </w:rPr>
              <w:t>3</w:t>
            </w:r>
            <w:r>
              <w:rPr>
                <w:rFonts w:ascii="Calibri" w:eastAsia="Times New Roman" w:hAnsi="Calibri" w:cs="Calibri"/>
                <w:b/>
                <w:bCs/>
                <w:color w:val="000000"/>
                <w:szCs w:val="22"/>
                <w:lang w:eastAsia="en-AU"/>
              </w:rPr>
              <w:t xml:space="preserve"> %</w:t>
            </w:r>
          </w:p>
        </w:tc>
        <w:tc>
          <w:tcPr>
            <w:tcW w:w="1630" w:type="dxa"/>
            <w:tcBorders>
              <w:top w:val="single" w:sz="8" w:space="0" w:color="auto"/>
              <w:left w:val="nil"/>
              <w:bottom w:val="single" w:sz="4" w:space="0" w:color="auto"/>
              <w:right w:val="nil"/>
            </w:tcBorders>
            <w:shd w:val="clear" w:color="000000" w:fill="D9D9D9"/>
            <w:noWrap/>
            <w:vAlign w:val="center"/>
          </w:tcPr>
          <w:p w14:paraId="53FF801D" w14:textId="52147B1E" w:rsidR="00505EA8" w:rsidRPr="002A28D6" w:rsidRDefault="00505EA8" w:rsidP="00056FC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3</w:t>
            </w:r>
            <w:r w:rsidR="007E6C91">
              <w:rPr>
                <w:rFonts w:ascii="Calibri" w:eastAsia="Times New Roman" w:hAnsi="Calibri" w:cs="Calibri"/>
                <w:b/>
                <w:bCs/>
                <w:color w:val="000000"/>
                <w:szCs w:val="22"/>
                <w:lang w:eastAsia="en-AU"/>
              </w:rPr>
              <w:t>8</w:t>
            </w:r>
            <w:r>
              <w:rPr>
                <w:rFonts w:ascii="Calibri" w:eastAsia="Times New Roman" w:hAnsi="Calibri" w:cs="Calibri"/>
                <w:b/>
                <w:bCs/>
                <w:color w:val="000000"/>
                <w:szCs w:val="22"/>
                <w:lang w:eastAsia="en-AU"/>
              </w:rPr>
              <w:t xml:space="preserve"> %</w:t>
            </w:r>
          </w:p>
        </w:tc>
        <w:tc>
          <w:tcPr>
            <w:tcW w:w="1631" w:type="dxa"/>
            <w:tcBorders>
              <w:top w:val="single" w:sz="8" w:space="0" w:color="auto"/>
              <w:left w:val="nil"/>
              <w:bottom w:val="single" w:sz="4" w:space="0" w:color="auto"/>
              <w:right w:val="single" w:sz="8" w:space="0" w:color="auto"/>
            </w:tcBorders>
            <w:shd w:val="clear" w:color="000000" w:fill="D9D9D9"/>
            <w:noWrap/>
            <w:vAlign w:val="center"/>
          </w:tcPr>
          <w:p w14:paraId="0BE2B1A1" w14:textId="76C41226" w:rsidR="00505EA8" w:rsidRPr="002A28D6" w:rsidRDefault="007E6C91" w:rsidP="00056FC0">
            <w:pPr>
              <w:adjustRightInd/>
              <w:snapToGrid/>
              <w:spacing w:after="0" w:line="240" w:lineRule="auto"/>
              <w:jc w:val="center"/>
              <w:rPr>
                <w:rFonts w:ascii="Calibri" w:eastAsia="Times New Roman" w:hAnsi="Calibri" w:cs="Calibri"/>
                <w:b/>
                <w:bCs/>
                <w:color w:val="000000"/>
                <w:szCs w:val="22"/>
                <w:lang w:eastAsia="en-AU"/>
              </w:rPr>
            </w:pPr>
            <w:r>
              <w:rPr>
                <w:rFonts w:ascii="Calibri" w:eastAsia="Times New Roman" w:hAnsi="Calibri" w:cs="Calibri"/>
                <w:b/>
                <w:bCs/>
                <w:color w:val="000000"/>
                <w:szCs w:val="22"/>
                <w:lang w:eastAsia="en-AU"/>
              </w:rPr>
              <w:t xml:space="preserve">52 </w:t>
            </w:r>
            <w:r w:rsidR="00505EA8">
              <w:rPr>
                <w:rFonts w:ascii="Calibri" w:eastAsia="Times New Roman" w:hAnsi="Calibri" w:cs="Calibri"/>
                <w:b/>
                <w:bCs/>
                <w:color w:val="000000"/>
                <w:szCs w:val="22"/>
                <w:lang w:eastAsia="en-AU"/>
              </w:rPr>
              <w:t>%</w:t>
            </w:r>
          </w:p>
        </w:tc>
      </w:tr>
    </w:tbl>
    <w:p w14:paraId="7597C673" w14:textId="22795642" w:rsidR="00505EA8" w:rsidRDefault="00505EA8" w:rsidP="00505EA8">
      <w:pPr>
        <w:tabs>
          <w:tab w:val="left" w:pos="2696"/>
        </w:tabs>
      </w:pPr>
    </w:p>
    <w:p w14:paraId="3BB9CF57" w14:textId="47AD2169" w:rsidR="00DD3FB0" w:rsidRDefault="00EB3C0D" w:rsidP="0013447C">
      <w:pPr>
        <w:tabs>
          <w:tab w:val="left" w:pos="2696"/>
        </w:tabs>
      </w:pPr>
      <w:r>
        <w:t xml:space="preserve">In </w:t>
      </w:r>
      <w:r w:rsidR="00BE15F6">
        <w:t>FY</w:t>
      </w:r>
      <w:r>
        <w:t>19 m</w:t>
      </w:r>
      <w:r w:rsidR="00505EA8">
        <w:t xml:space="preserve">ore organisations operated in </w:t>
      </w:r>
      <w:r>
        <w:t xml:space="preserve">the </w:t>
      </w:r>
      <w:r w:rsidR="00505EA8">
        <w:t>applications (3</w:t>
      </w:r>
      <w:r w:rsidR="004822E8">
        <w:t>8</w:t>
      </w:r>
      <w:r w:rsidR="00505EA8">
        <w:t xml:space="preserve"> per cent of all space organisations) and enablers (</w:t>
      </w:r>
      <w:r w:rsidR="004822E8">
        <w:t>5</w:t>
      </w:r>
      <w:r w:rsidR="00505EA8">
        <w:t>2 per cent)</w:t>
      </w:r>
      <w:r>
        <w:t xml:space="preserve"> segments</w:t>
      </w:r>
      <w:r w:rsidR="00505EA8">
        <w:t>, indicating stronger capacity and capability in these</w:t>
      </w:r>
      <w:r w:rsidR="00505EA8" w:rsidRPr="00EE6F3F">
        <w:t xml:space="preserve"> </w:t>
      </w:r>
      <w:r w:rsidR="00505EA8">
        <w:t>value chain segments.</w:t>
      </w:r>
      <w:r>
        <w:t xml:space="preserve"> </w:t>
      </w:r>
    </w:p>
    <w:p w14:paraId="40ABB639" w14:textId="5E8F92AE" w:rsidR="0013447C" w:rsidRDefault="0013447C" w:rsidP="0013447C">
      <w:pPr>
        <w:tabs>
          <w:tab w:val="left" w:pos="2696"/>
        </w:tabs>
      </w:pPr>
      <w:r>
        <w:t>Over half of all Australian space start-ups</w:t>
      </w:r>
      <w:r w:rsidR="00493E1C">
        <w:rPr>
          <w:rStyle w:val="FootnoteReference"/>
        </w:rPr>
        <w:footnoteReference w:id="32"/>
      </w:r>
      <w:r>
        <w:t xml:space="preserve"> are active in the space </w:t>
      </w:r>
      <w:r w:rsidR="00C27FEF">
        <w:t>enablers</w:t>
      </w:r>
      <w:r>
        <w:t xml:space="preserve"> segment of the space value chain. Common enabling activities included specialised professional and technical services such as: engineering; space business and project management; regulatory and legal services; development, provision and servicing of specialised equipment and instrumentation or infrastructure; and targeted R&amp;D and prototyping services. </w:t>
      </w:r>
    </w:p>
    <w:p w14:paraId="0D32DE4D" w14:textId="77F581E9" w:rsidR="00DD3FB0" w:rsidRPr="00DD3FB0" w:rsidRDefault="00DD3FB0" w:rsidP="0013447C">
      <w:pPr>
        <w:tabs>
          <w:tab w:val="left" w:pos="2696"/>
        </w:tabs>
      </w:pPr>
      <w:r w:rsidRPr="00DD3FB0">
        <w:t>Space-related R&amp;D is a key strength for Australia – education and research institutions form a large part of the sector. In FY19 there were over 3</w:t>
      </w:r>
      <w:r w:rsidR="000865F0">
        <w:t>0 research organisations providing</w:t>
      </w:r>
      <w:r w:rsidRPr="00DD3FB0">
        <w:t xml:space="preserve"> services in the Australian space sector, in particular in the enabling value chain segment. IBISWorld also observed high R&amp;D expenditure in space manufacturing as current and emerging businesses work to create more cost-efficient ways to develop space technologies</w:t>
      </w:r>
      <w:r w:rsidRPr="00DD3FB0">
        <w:rPr>
          <w:rStyle w:val="FootnoteReference"/>
        </w:rPr>
        <w:footnoteReference w:id="33"/>
      </w:r>
      <w:r w:rsidRPr="00DD3FB0">
        <w:t>.</w:t>
      </w:r>
    </w:p>
    <w:p w14:paraId="5036450E" w14:textId="3434BF58" w:rsidR="00E27A4E" w:rsidRDefault="00E27A4E" w:rsidP="00E27A4E">
      <w:pPr>
        <w:tabs>
          <w:tab w:val="left" w:pos="2696"/>
        </w:tabs>
      </w:pPr>
      <w:r w:rsidRPr="00E27A4E">
        <w:t>T</w:t>
      </w:r>
      <w:r w:rsidR="00C41217">
        <w:t>hat</w:t>
      </w:r>
      <w:r w:rsidRPr="00E27A4E">
        <w:t xml:space="preserve"> </w:t>
      </w:r>
      <w:r w:rsidR="004822E8">
        <w:t>21</w:t>
      </w:r>
      <w:r w:rsidR="00254D5D">
        <w:t xml:space="preserve"> per cent of organisations</w:t>
      </w:r>
      <w:r w:rsidR="001A2828">
        <w:t xml:space="preserve"> were </w:t>
      </w:r>
      <w:r w:rsidR="00254D5D">
        <w:t xml:space="preserve">active in </w:t>
      </w:r>
      <w:r w:rsidRPr="00E27A4E">
        <w:t xml:space="preserve">the manufacturing and core input market segment </w:t>
      </w:r>
      <w:r w:rsidR="00B74566">
        <w:t xml:space="preserve">indicates </w:t>
      </w:r>
      <w:r w:rsidR="00254D5D">
        <w:t xml:space="preserve">a significant </w:t>
      </w:r>
      <w:r w:rsidRPr="00E27A4E">
        <w:t xml:space="preserve">pre-existing </w:t>
      </w:r>
      <w:r w:rsidR="00254D5D">
        <w:t>base</w:t>
      </w:r>
      <w:r w:rsidR="00286618">
        <w:t>.</w:t>
      </w:r>
      <w:r w:rsidR="00254D5D">
        <w:t xml:space="preserve"> </w:t>
      </w:r>
    </w:p>
    <w:p w14:paraId="54BE55F9" w14:textId="0B37052F" w:rsidR="00E5590D" w:rsidRPr="00EC4018" w:rsidRDefault="00505EA8" w:rsidP="00EC4018">
      <w:pPr>
        <w:tabs>
          <w:tab w:val="left" w:pos="2696"/>
        </w:tabs>
      </w:pPr>
      <w:r>
        <w:lastRenderedPageBreak/>
        <w:t xml:space="preserve">Some space activities were more common for different sized organisations. For instance, </w:t>
      </w:r>
      <w:r w:rsidRPr="00536567">
        <w:t>2</w:t>
      </w:r>
      <w:r w:rsidR="003F7393">
        <w:t>7</w:t>
      </w:r>
      <w:r w:rsidRPr="00536567">
        <w:t xml:space="preserve"> </w:t>
      </w:r>
      <w:r>
        <w:t xml:space="preserve">per cent of small space sector organisations conducted activities in the space applications segment, compared with </w:t>
      </w:r>
      <w:r w:rsidR="004822E8">
        <w:t>5</w:t>
      </w:r>
      <w:r w:rsidRPr="00536567">
        <w:t>0</w:t>
      </w:r>
      <w:r>
        <w:t xml:space="preserve"> per cent</w:t>
      </w:r>
      <w:r w:rsidR="00EC4018">
        <w:t xml:space="preserve"> of medium-sized organisations.</w:t>
      </w:r>
    </w:p>
    <w:p w14:paraId="02B62776" w14:textId="382BF98C" w:rsidR="006638E4" w:rsidRDefault="00296AB9" w:rsidP="00EF7E1B">
      <w:pPr>
        <w:pStyle w:val="Heading2"/>
      </w:pPr>
      <w:bookmarkStart w:id="47" w:name="_Toc54342164"/>
      <w:bookmarkStart w:id="48" w:name="_Toc54794981"/>
      <w:bookmarkStart w:id="49" w:name="_Toc55990312"/>
      <w:bookmarkStart w:id="50" w:name="_Toc62635441"/>
      <w:r>
        <w:t>4</w:t>
      </w:r>
      <w:r w:rsidR="00F91E9F">
        <w:t>.2</w:t>
      </w:r>
      <w:r w:rsidR="00F91E9F">
        <w:tab/>
      </w:r>
      <w:r w:rsidR="006638E4">
        <w:t>S</w:t>
      </w:r>
      <w:r w:rsidR="00D0410C">
        <w:t>ector</w:t>
      </w:r>
      <w:r w:rsidR="006638E4">
        <w:t xml:space="preserve"> employment</w:t>
      </w:r>
      <w:bookmarkEnd w:id="47"/>
      <w:bookmarkEnd w:id="48"/>
      <w:bookmarkEnd w:id="49"/>
      <w:bookmarkEnd w:id="50"/>
    </w:p>
    <w:p w14:paraId="61414B40" w14:textId="38BC49A6" w:rsidR="000303E2" w:rsidRDefault="009F7F1F" w:rsidP="004E4427">
      <w:pPr>
        <w:tabs>
          <w:tab w:val="left" w:pos="2696"/>
        </w:tabs>
      </w:pPr>
      <w:r>
        <w:t xml:space="preserve">With a total head count of </w:t>
      </w:r>
      <w:r w:rsidR="00464190">
        <w:t>11,</w:t>
      </w:r>
      <w:r w:rsidR="00FD07D4">
        <w:t xml:space="preserve">560 </w:t>
      </w:r>
      <w:r>
        <w:t xml:space="preserve">direct space jobs in </w:t>
      </w:r>
      <w:r w:rsidR="00464190">
        <w:t>FY</w:t>
      </w:r>
      <w:r>
        <w:t xml:space="preserve">19, the Agency estimates that jobs have increased </w:t>
      </w:r>
      <w:r w:rsidR="00F25037">
        <w:t xml:space="preserve">by </w:t>
      </w:r>
      <w:r w:rsidR="005A6B77">
        <w:t>10.8</w:t>
      </w:r>
      <w:r w:rsidR="00817D48">
        <w:t xml:space="preserve"> </w:t>
      </w:r>
      <w:r w:rsidR="002357A2">
        <w:t>per cent</w:t>
      </w:r>
      <w:r>
        <w:t xml:space="preserve"> since </w:t>
      </w:r>
      <w:r w:rsidR="00464190">
        <w:t>FY</w:t>
      </w:r>
      <w:r>
        <w:t xml:space="preserve">17. </w:t>
      </w:r>
      <w:r w:rsidR="00FD79D0">
        <w:t>Table</w:t>
      </w:r>
      <w:r w:rsidR="0000529A">
        <w:t> 8</w:t>
      </w:r>
      <w:r w:rsidR="00FD79D0">
        <w:t xml:space="preserve"> provides an indication of direct space jobs by value chain segment in FY19</w:t>
      </w:r>
      <w:r w:rsidR="001B7D71">
        <w:t>.</w:t>
      </w:r>
      <w:r w:rsidR="00FD79D0">
        <w:t xml:space="preserve"> </w:t>
      </w:r>
    </w:p>
    <w:p w14:paraId="4809E69B" w14:textId="1AFD3785" w:rsidR="00284119" w:rsidRDefault="00284119" w:rsidP="00E96214">
      <w:pPr>
        <w:pStyle w:val="TableHeading"/>
      </w:pPr>
      <w:r>
        <w:t>Table</w:t>
      </w:r>
      <w:r w:rsidR="0000529A">
        <w:t> 8</w:t>
      </w:r>
      <w:r w:rsidR="00835317">
        <w:t>:</w:t>
      </w:r>
      <w:r>
        <w:t xml:space="preserve"> Direct space</w:t>
      </w:r>
      <w:r w:rsidRPr="00D95F76">
        <w:t xml:space="preserve"> jobs </w:t>
      </w:r>
      <w:r w:rsidR="009E1AF1">
        <w:t xml:space="preserve">(head count) </w:t>
      </w:r>
      <w:r w:rsidRPr="00D95F76">
        <w:t xml:space="preserve">breakdown by </w:t>
      </w:r>
      <w:r>
        <w:t>space value chain segment</w:t>
      </w:r>
      <w:r>
        <w:rPr>
          <w:rStyle w:val="FootnoteReference"/>
          <w:b w:val="0"/>
        </w:rPr>
        <w:footnoteReference w:id="34"/>
      </w:r>
    </w:p>
    <w:tbl>
      <w:tblPr>
        <w:tblStyle w:val="TableGrid"/>
        <w:tblW w:w="9918" w:type="dxa"/>
        <w:tblLayout w:type="fixed"/>
        <w:tblLook w:val="04A0" w:firstRow="1" w:lastRow="0" w:firstColumn="1" w:lastColumn="0" w:noHBand="0" w:noVBand="1"/>
        <w:tblCaption w:val="Direct space jobs (head count) breakdown by space value chain segment"/>
        <w:tblDescription w:val="In FY19, there were 1,970 jobs in manufacturing, 1,200 jobs in space operations, 3,600 jobs in space applications and 4,790 in space enablers."/>
      </w:tblPr>
      <w:tblGrid>
        <w:gridCol w:w="846"/>
        <w:gridCol w:w="1843"/>
        <w:gridCol w:w="1807"/>
        <w:gridCol w:w="1807"/>
        <w:gridCol w:w="1807"/>
        <w:gridCol w:w="1808"/>
      </w:tblGrid>
      <w:tr w:rsidR="00284119" w:rsidRPr="00290CB0" w14:paraId="300110C8" w14:textId="77777777" w:rsidTr="001A2828">
        <w:trPr>
          <w:trHeight w:val="300"/>
          <w:tblHeader/>
        </w:trPr>
        <w:tc>
          <w:tcPr>
            <w:tcW w:w="846" w:type="dxa"/>
            <w:shd w:val="clear" w:color="auto" w:fill="004976" w:themeFill="accent1"/>
            <w:vAlign w:val="bottom"/>
          </w:tcPr>
          <w:p w14:paraId="3EE0B601" w14:textId="2250E2DC" w:rsidR="00284119" w:rsidRPr="00E51412" w:rsidRDefault="00B621F9">
            <w:pPr>
              <w:tabs>
                <w:tab w:val="left" w:pos="2696"/>
              </w:tabs>
              <w:jc w:val="center"/>
              <w:rPr>
                <w:b/>
                <w:bCs/>
                <w:color w:val="auto"/>
              </w:rPr>
            </w:pPr>
            <w:r>
              <w:rPr>
                <w:b/>
                <w:bCs/>
                <w:color w:val="auto"/>
              </w:rPr>
              <w:t>Year</w:t>
            </w:r>
          </w:p>
        </w:tc>
        <w:tc>
          <w:tcPr>
            <w:tcW w:w="1843" w:type="dxa"/>
            <w:shd w:val="clear" w:color="auto" w:fill="004976" w:themeFill="accent1"/>
            <w:noWrap/>
            <w:vAlign w:val="bottom"/>
            <w:hideMark/>
          </w:tcPr>
          <w:p w14:paraId="4DB31B34" w14:textId="71166B3E" w:rsidR="00284119" w:rsidRPr="00E51412" w:rsidRDefault="00284119" w:rsidP="00EE6F3F">
            <w:pPr>
              <w:tabs>
                <w:tab w:val="left" w:pos="2696"/>
              </w:tabs>
              <w:jc w:val="center"/>
              <w:rPr>
                <w:b/>
                <w:bCs/>
                <w:color w:val="auto"/>
              </w:rPr>
            </w:pPr>
            <w:r w:rsidRPr="00E51412">
              <w:rPr>
                <w:b/>
                <w:bCs/>
                <w:color w:val="auto"/>
              </w:rPr>
              <w:t>Space manufacturing</w:t>
            </w:r>
            <w:r w:rsidR="00423B0E">
              <w:rPr>
                <w:b/>
                <w:bCs/>
                <w:color w:val="auto"/>
              </w:rPr>
              <w:br/>
            </w:r>
            <w:r w:rsidRPr="00E51412">
              <w:rPr>
                <w:b/>
                <w:bCs/>
                <w:color w:val="auto"/>
              </w:rPr>
              <w:t>&amp; core inputs</w:t>
            </w:r>
          </w:p>
        </w:tc>
        <w:tc>
          <w:tcPr>
            <w:tcW w:w="1807" w:type="dxa"/>
            <w:shd w:val="clear" w:color="auto" w:fill="004976" w:themeFill="accent1"/>
            <w:noWrap/>
            <w:vAlign w:val="center"/>
            <w:hideMark/>
          </w:tcPr>
          <w:p w14:paraId="6B2787BC" w14:textId="77777777" w:rsidR="00284119" w:rsidRPr="00E51412" w:rsidRDefault="00284119" w:rsidP="00B54FA0">
            <w:pPr>
              <w:tabs>
                <w:tab w:val="left" w:pos="2696"/>
              </w:tabs>
              <w:jc w:val="center"/>
              <w:rPr>
                <w:b/>
                <w:bCs/>
                <w:color w:val="auto"/>
              </w:rPr>
            </w:pPr>
            <w:r w:rsidRPr="00E51412">
              <w:rPr>
                <w:b/>
                <w:bCs/>
                <w:color w:val="auto"/>
              </w:rPr>
              <w:t>Space operations</w:t>
            </w:r>
          </w:p>
        </w:tc>
        <w:tc>
          <w:tcPr>
            <w:tcW w:w="1807" w:type="dxa"/>
            <w:shd w:val="clear" w:color="auto" w:fill="004976" w:themeFill="accent1"/>
            <w:noWrap/>
            <w:vAlign w:val="center"/>
            <w:hideMark/>
          </w:tcPr>
          <w:p w14:paraId="668F1C13" w14:textId="77777777" w:rsidR="00284119" w:rsidRPr="00E51412" w:rsidRDefault="00284119">
            <w:pPr>
              <w:tabs>
                <w:tab w:val="left" w:pos="2696"/>
              </w:tabs>
              <w:jc w:val="center"/>
              <w:rPr>
                <w:b/>
                <w:bCs/>
                <w:color w:val="auto"/>
              </w:rPr>
            </w:pPr>
            <w:r w:rsidRPr="00E51412">
              <w:rPr>
                <w:b/>
                <w:bCs/>
                <w:color w:val="auto"/>
              </w:rPr>
              <w:t>Space applications</w:t>
            </w:r>
          </w:p>
        </w:tc>
        <w:tc>
          <w:tcPr>
            <w:tcW w:w="1807" w:type="dxa"/>
            <w:shd w:val="clear" w:color="auto" w:fill="004976" w:themeFill="accent1"/>
            <w:noWrap/>
            <w:vAlign w:val="center"/>
            <w:hideMark/>
          </w:tcPr>
          <w:p w14:paraId="1B34EA95" w14:textId="77777777" w:rsidR="00284119" w:rsidRPr="00E51412" w:rsidRDefault="00284119">
            <w:pPr>
              <w:tabs>
                <w:tab w:val="left" w:pos="2696"/>
              </w:tabs>
              <w:jc w:val="center"/>
              <w:rPr>
                <w:b/>
                <w:bCs/>
                <w:color w:val="auto"/>
              </w:rPr>
            </w:pPr>
            <w:r w:rsidRPr="00E51412">
              <w:rPr>
                <w:b/>
                <w:bCs/>
                <w:color w:val="auto"/>
              </w:rPr>
              <w:t>Space enablers</w:t>
            </w:r>
          </w:p>
        </w:tc>
        <w:tc>
          <w:tcPr>
            <w:tcW w:w="1808" w:type="dxa"/>
            <w:shd w:val="clear" w:color="auto" w:fill="004976" w:themeFill="accent1"/>
            <w:vAlign w:val="bottom"/>
          </w:tcPr>
          <w:p w14:paraId="58181C43" w14:textId="27F01677" w:rsidR="00284119" w:rsidRPr="00E51412" w:rsidRDefault="00284119">
            <w:pPr>
              <w:tabs>
                <w:tab w:val="left" w:pos="2696"/>
              </w:tabs>
              <w:jc w:val="center"/>
              <w:rPr>
                <w:b/>
                <w:bCs/>
                <w:color w:val="auto"/>
              </w:rPr>
            </w:pPr>
            <w:r w:rsidRPr="00E51412">
              <w:rPr>
                <w:b/>
                <w:bCs/>
                <w:color w:val="auto"/>
              </w:rPr>
              <w:t>Total</w:t>
            </w:r>
            <w:r w:rsidR="002332A7">
              <w:rPr>
                <w:b/>
                <w:bCs/>
                <w:color w:val="auto"/>
              </w:rPr>
              <w:t xml:space="preserve"> direct space</w:t>
            </w:r>
            <w:r w:rsidRPr="00E51412">
              <w:rPr>
                <w:b/>
                <w:bCs/>
                <w:color w:val="auto"/>
              </w:rPr>
              <w:t xml:space="preserve"> jobs</w:t>
            </w:r>
          </w:p>
        </w:tc>
      </w:tr>
      <w:tr w:rsidR="00284119" w:rsidRPr="00724C68" w14:paraId="6B821A90" w14:textId="77777777" w:rsidTr="00834203">
        <w:trPr>
          <w:trHeight w:val="315"/>
        </w:trPr>
        <w:tc>
          <w:tcPr>
            <w:tcW w:w="846" w:type="dxa"/>
            <w:shd w:val="clear" w:color="auto" w:fill="F2F2F2" w:themeFill="background1" w:themeFillShade="F2"/>
          </w:tcPr>
          <w:p w14:paraId="33ED8559" w14:textId="32370A93" w:rsidR="00284119" w:rsidRPr="00E51412" w:rsidRDefault="00284119" w:rsidP="003718CB">
            <w:pPr>
              <w:tabs>
                <w:tab w:val="left" w:pos="2696"/>
              </w:tabs>
              <w:jc w:val="center"/>
              <w:rPr>
                <w:b/>
              </w:rPr>
            </w:pPr>
            <w:r w:rsidRPr="00E51412">
              <w:rPr>
                <w:b/>
              </w:rPr>
              <w:t>FY19</w:t>
            </w:r>
          </w:p>
        </w:tc>
        <w:tc>
          <w:tcPr>
            <w:tcW w:w="1843" w:type="dxa"/>
            <w:noWrap/>
            <w:vAlign w:val="center"/>
          </w:tcPr>
          <w:p w14:paraId="3A21861E" w14:textId="37168A69" w:rsidR="00284119" w:rsidRPr="00E51412" w:rsidRDefault="00DF0F86" w:rsidP="003718CB">
            <w:pPr>
              <w:tabs>
                <w:tab w:val="left" w:pos="2696"/>
              </w:tabs>
              <w:jc w:val="center"/>
            </w:pPr>
            <w:r>
              <w:t>1,970</w:t>
            </w:r>
          </w:p>
        </w:tc>
        <w:tc>
          <w:tcPr>
            <w:tcW w:w="1807" w:type="dxa"/>
            <w:noWrap/>
            <w:vAlign w:val="center"/>
          </w:tcPr>
          <w:p w14:paraId="3322FE1F" w14:textId="76C8ACBE" w:rsidR="00284119" w:rsidRPr="00E51412" w:rsidRDefault="00284119" w:rsidP="003718CB">
            <w:pPr>
              <w:tabs>
                <w:tab w:val="left" w:pos="2696"/>
              </w:tabs>
              <w:jc w:val="center"/>
            </w:pPr>
            <w:r>
              <w:t>1,</w:t>
            </w:r>
            <w:r w:rsidR="00DF0F86">
              <w:t>200</w:t>
            </w:r>
          </w:p>
        </w:tc>
        <w:tc>
          <w:tcPr>
            <w:tcW w:w="1807" w:type="dxa"/>
            <w:noWrap/>
            <w:vAlign w:val="center"/>
          </w:tcPr>
          <w:p w14:paraId="607BC134" w14:textId="0B97E39F" w:rsidR="00284119" w:rsidRPr="00E51412" w:rsidRDefault="00DF0F86" w:rsidP="003718CB">
            <w:pPr>
              <w:tabs>
                <w:tab w:val="left" w:pos="2696"/>
              </w:tabs>
              <w:jc w:val="center"/>
            </w:pPr>
            <w:r>
              <w:t>3,600</w:t>
            </w:r>
          </w:p>
        </w:tc>
        <w:tc>
          <w:tcPr>
            <w:tcW w:w="1807" w:type="dxa"/>
            <w:noWrap/>
            <w:vAlign w:val="center"/>
          </w:tcPr>
          <w:p w14:paraId="06AFCED9" w14:textId="5D040222" w:rsidR="00284119" w:rsidRPr="00E51412" w:rsidRDefault="00284119" w:rsidP="003718CB">
            <w:pPr>
              <w:tabs>
                <w:tab w:val="left" w:pos="2696"/>
              </w:tabs>
              <w:jc w:val="center"/>
            </w:pPr>
            <w:r w:rsidRPr="00E51412">
              <w:t>4,</w:t>
            </w:r>
            <w:r w:rsidR="00DF0F86">
              <w:t>79</w:t>
            </w:r>
            <w:r>
              <w:t>0</w:t>
            </w:r>
          </w:p>
        </w:tc>
        <w:tc>
          <w:tcPr>
            <w:tcW w:w="1808" w:type="dxa"/>
            <w:vAlign w:val="center"/>
          </w:tcPr>
          <w:p w14:paraId="219EFDFA" w14:textId="7DD2B51B" w:rsidR="00284119" w:rsidRPr="00E51412" w:rsidRDefault="00284119" w:rsidP="003718CB">
            <w:pPr>
              <w:tabs>
                <w:tab w:val="left" w:pos="2696"/>
              </w:tabs>
              <w:jc w:val="center"/>
            </w:pPr>
            <w:r w:rsidRPr="00E51412">
              <w:t>11,5</w:t>
            </w:r>
            <w:r w:rsidR="00D20A5D">
              <w:t>60</w:t>
            </w:r>
          </w:p>
        </w:tc>
      </w:tr>
    </w:tbl>
    <w:p w14:paraId="3AD72ECC" w14:textId="1BEB9600" w:rsidR="00D0410C" w:rsidRDefault="00D0410C" w:rsidP="004E4427">
      <w:pPr>
        <w:tabs>
          <w:tab w:val="left" w:pos="2696"/>
        </w:tabs>
      </w:pPr>
    </w:p>
    <w:p w14:paraId="514D62D8" w14:textId="490B4EAD" w:rsidR="00A40FEA" w:rsidRDefault="00A40FEA" w:rsidP="004E4427">
      <w:pPr>
        <w:tabs>
          <w:tab w:val="left" w:pos="2696"/>
        </w:tabs>
      </w:pPr>
      <w:r>
        <w:t>The increase in direct space sector jobs from FY17 to FY19 can be attributed to growth in space organisations and their activities.</w:t>
      </w:r>
    </w:p>
    <w:p w14:paraId="4A723F1A" w14:textId="7AA9707D" w:rsidR="00D0410C" w:rsidRDefault="00D0410C" w:rsidP="004E4427">
      <w:pPr>
        <w:tabs>
          <w:tab w:val="left" w:pos="2696"/>
        </w:tabs>
      </w:pPr>
      <w:r>
        <w:t>The Agency’s employment estimates (developed</w:t>
      </w:r>
      <w:r w:rsidRPr="00C52FFA">
        <w:t xml:space="preserve"> using known and modelled space jobs data</w:t>
      </w:r>
      <w:r>
        <w:rPr>
          <w:rStyle w:val="FootnoteReference"/>
        </w:rPr>
        <w:footnoteReference w:id="35"/>
      </w:r>
      <w:r>
        <w:t xml:space="preserve">) are reasonable in comparison to previous analyses. Due to different analytical methods and samples used, the Agency’s direct space jobs estimate is slightly higher than independent analysis by </w:t>
      </w:r>
      <w:proofErr w:type="spellStart"/>
      <w:r>
        <w:t>AlphaBeta</w:t>
      </w:r>
      <w:proofErr w:type="spellEnd"/>
      <w:r>
        <w:t xml:space="preserve"> at 9,000 to 10,000 space jobs in FY19, and lower than IBISWorld’s estimate </w:t>
      </w:r>
      <w:r w:rsidRPr="007B62F0">
        <w:t xml:space="preserve">of </w:t>
      </w:r>
      <w:r w:rsidRPr="00C52FFA">
        <w:t>13,200 FY19 space jobs</w:t>
      </w:r>
      <w:r w:rsidRPr="007B62F0">
        <w:rPr>
          <w:rStyle w:val="FootnoteReference"/>
        </w:rPr>
        <w:footnoteReference w:id="36"/>
      </w:r>
      <w:r w:rsidRPr="007B62F0">
        <w:t>.</w:t>
      </w:r>
      <w:r>
        <w:t xml:space="preserve"> </w:t>
      </w:r>
    </w:p>
    <w:p w14:paraId="4C42BEA6" w14:textId="29611D17" w:rsidR="004408E0" w:rsidRDefault="003C3250" w:rsidP="004E4427">
      <w:pPr>
        <w:tabs>
          <w:tab w:val="left" w:pos="2696"/>
        </w:tabs>
      </w:pPr>
      <w:r>
        <w:t>Analyses by both t</w:t>
      </w:r>
      <w:r w:rsidR="00AE5CC3">
        <w:t xml:space="preserve">he Agency and </w:t>
      </w:r>
      <w:proofErr w:type="spellStart"/>
      <w:r w:rsidR="00AE5CC3">
        <w:t>AlphaBeta</w:t>
      </w:r>
      <w:proofErr w:type="spellEnd"/>
      <w:r w:rsidR="00AE5CC3">
        <w:t xml:space="preserve"> support</w:t>
      </w:r>
      <w:r>
        <w:t xml:space="preserve"> conclusions that space operations represent</w:t>
      </w:r>
      <w:r w:rsidR="00971CFB">
        <w:t>ed</w:t>
      </w:r>
      <w:r>
        <w:t xml:space="preserve"> the smallest segment of space employees in Australia. </w:t>
      </w:r>
      <w:proofErr w:type="spellStart"/>
      <w:r>
        <w:t>AlphaBeta</w:t>
      </w:r>
      <w:proofErr w:type="spellEnd"/>
      <w:r>
        <w:t xml:space="preserve"> identifies space operations as a </w:t>
      </w:r>
      <w:r w:rsidR="00AE5CC3">
        <w:t xml:space="preserve">potential </w:t>
      </w:r>
      <w:r>
        <w:t xml:space="preserve">area of </w:t>
      </w:r>
      <w:r w:rsidR="00AE5CC3">
        <w:t xml:space="preserve">global </w:t>
      </w:r>
      <w:r>
        <w:t xml:space="preserve">competitive </w:t>
      </w:r>
      <w:r w:rsidR="00AE5CC3">
        <w:t>advantage</w:t>
      </w:r>
      <w:r>
        <w:t xml:space="preserve"> for Australia</w:t>
      </w:r>
      <w:r w:rsidR="00AE5CC3">
        <w:rPr>
          <w:rStyle w:val="FootnoteReference"/>
        </w:rPr>
        <w:footnoteReference w:id="37"/>
      </w:r>
      <w:r>
        <w:t>.</w:t>
      </w:r>
      <w:r w:rsidR="007B58D1">
        <w:t xml:space="preserve"> If future years see growing demand </w:t>
      </w:r>
      <w:r w:rsidR="00AE5CC3">
        <w:t>for local operations</w:t>
      </w:r>
      <w:r w:rsidR="00E0510B">
        <w:t xml:space="preserve"> services</w:t>
      </w:r>
      <w:r w:rsidR="00AE5CC3">
        <w:t xml:space="preserve"> </w:t>
      </w:r>
      <w:r w:rsidR="007B58D1">
        <w:t xml:space="preserve">and commercial opportunities in international markets, this </w:t>
      </w:r>
      <w:r w:rsidR="00AE5CC3">
        <w:t xml:space="preserve">may </w:t>
      </w:r>
      <w:r w:rsidR="003414AA">
        <w:t xml:space="preserve">help </w:t>
      </w:r>
      <w:r w:rsidR="00AE5CC3">
        <w:t xml:space="preserve">stimulate </w:t>
      </w:r>
      <w:r w:rsidR="007B58D1">
        <w:t xml:space="preserve">local growth in </w:t>
      </w:r>
      <w:r w:rsidR="00AE5CC3">
        <w:t xml:space="preserve">operations </w:t>
      </w:r>
      <w:r w:rsidR="007B58D1">
        <w:t xml:space="preserve">capabilities </w:t>
      </w:r>
      <w:r w:rsidR="00D1796D">
        <w:t xml:space="preserve">(such as </w:t>
      </w:r>
      <w:r w:rsidR="004F6029">
        <w:t>space object and debris tracking</w:t>
      </w:r>
      <w:r w:rsidR="00D1796D">
        <w:t xml:space="preserve">) </w:t>
      </w:r>
      <w:r w:rsidR="007B58D1">
        <w:t xml:space="preserve">and </w:t>
      </w:r>
      <w:r w:rsidR="00255F6B">
        <w:t>organisations</w:t>
      </w:r>
      <w:r w:rsidR="007B58D1">
        <w:t>.</w:t>
      </w:r>
    </w:p>
    <w:p w14:paraId="265A4BF7" w14:textId="55493DB6" w:rsidR="00747B41" w:rsidRDefault="00355AF7" w:rsidP="004E4427">
      <w:pPr>
        <w:tabs>
          <w:tab w:val="left" w:pos="2696"/>
        </w:tabs>
      </w:pPr>
      <w:r>
        <w:t>Compared with operations, space manufacturing and core inputs employ</w:t>
      </w:r>
      <w:r w:rsidR="00971CFB">
        <w:t>ed</w:t>
      </w:r>
      <w:r>
        <w:t xml:space="preserve"> a somewhat larger segment of the direct Australian space workforce according to both analyses. </w:t>
      </w:r>
      <w:r w:rsidR="00F267A8">
        <w:t xml:space="preserve">This segment captures skills and capabilities for core </w:t>
      </w:r>
      <w:r w:rsidR="008B10B9">
        <w:t xml:space="preserve">space </w:t>
      </w:r>
      <w:r w:rsidR="00F267A8">
        <w:t xml:space="preserve">inputs such as coding and development of specialised operating software, as well as a variety of skills used in ground </w:t>
      </w:r>
      <w:r w:rsidR="00FD2525">
        <w:t>or</w:t>
      </w:r>
      <w:r w:rsidR="00F267A8">
        <w:t xml:space="preserve"> space segment manufacturing processes. </w:t>
      </w:r>
      <w:r w:rsidR="00391CB4" w:rsidRPr="003A5A70">
        <w:t xml:space="preserve">While some </w:t>
      </w:r>
      <w:r w:rsidR="00C92683">
        <w:t>capabilities</w:t>
      </w:r>
      <w:r w:rsidR="00391CB4" w:rsidRPr="003A5A70">
        <w:t xml:space="preserve"> </w:t>
      </w:r>
      <w:r w:rsidR="00FD2525" w:rsidRPr="003A5A70">
        <w:t xml:space="preserve">(such as </w:t>
      </w:r>
      <w:r w:rsidR="003A5A70" w:rsidRPr="003A5A70">
        <w:t>optical instrumentation integration</w:t>
      </w:r>
      <w:r w:rsidR="00FD2525" w:rsidRPr="003A5A70">
        <w:t xml:space="preserve">) </w:t>
      </w:r>
      <w:r w:rsidR="00391CB4" w:rsidRPr="003A5A70">
        <w:t xml:space="preserve">are more </w:t>
      </w:r>
      <w:r w:rsidR="001F026C">
        <w:t>applicable</w:t>
      </w:r>
      <w:r w:rsidR="00391CB4" w:rsidRPr="003A5A70">
        <w:t xml:space="preserve"> to space manufacturing, </w:t>
      </w:r>
      <w:r w:rsidR="009E1AF1" w:rsidRPr="003A5A70">
        <w:t>m</w:t>
      </w:r>
      <w:r w:rsidRPr="003A5A70">
        <w:t>any</w:t>
      </w:r>
      <w:r w:rsidR="008B10B9" w:rsidRPr="003A5A70">
        <w:t xml:space="preserve"> generic</w:t>
      </w:r>
      <w:r w:rsidRPr="003A5A70">
        <w:t xml:space="preserve"> </w:t>
      </w:r>
      <w:r w:rsidR="0006692B" w:rsidRPr="003A5A70">
        <w:t>capabilities</w:t>
      </w:r>
      <w:r w:rsidRPr="003A5A70">
        <w:t xml:space="preserve"> employed </w:t>
      </w:r>
      <w:r w:rsidR="00D1796D" w:rsidRPr="003A5A70">
        <w:t>across</w:t>
      </w:r>
      <w:r w:rsidR="00391CB4" w:rsidRPr="003A5A70">
        <w:t xml:space="preserve"> this </w:t>
      </w:r>
      <w:r w:rsidRPr="003A5A70">
        <w:t xml:space="preserve">segment </w:t>
      </w:r>
      <w:r w:rsidR="00FD2525" w:rsidRPr="003A5A70">
        <w:t xml:space="preserve">(such as </w:t>
      </w:r>
      <w:r w:rsidR="002C48BD" w:rsidRPr="003A5A70">
        <w:t>design and composite materials production</w:t>
      </w:r>
      <w:r w:rsidR="00FD2525" w:rsidRPr="003A5A70">
        <w:t xml:space="preserve">) </w:t>
      </w:r>
      <w:r w:rsidR="00747B41" w:rsidRPr="003A5A70">
        <w:t>can</w:t>
      </w:r>
      <w:r w:rsidR="008B10B9">
        <w:t xml:space="preserve"> be</w:t>
      </w:r>
      <w:r>
        <w:t xml:space="preserve"> transferable to </w:t>
      </w:r>
      <w:r w:rsidR="008B10B9">
        <w:t xml:space="preserve">other </w:t>
      </w:r>
      <w:r>
        <w:t xml:space="preserve">advanced manufacturing </w:t>
      </w:r>
      <w:r w:rsidR="00157B6E">
        <w:t>sectors</w:t>
      </w:r>
      <w:r w:rsidR="008B10B9">
        <w:t xml:space="preserve"> such as aviation, shipbuilding, and health</w:t>
      </w:r>
      <w:r>
        <w:t>.</w:t>
      </w:r>
      <w:r w:rsidR="00FD2525">
        <w:t xml:space="preserve"> </w:t>
      </w:r>
    </w:p>
    <w:p w14:paraId="441500CE" w14:textId="783AA5A3" w:rsidR="00690CF8" w:rsidRDefault="00157B6E" w:rsidP="004E4427">
      <w:pPr>
        <w:tabs>
          <w:tab w:val="left" w:pos="2696"/>
        </w:tabs>
      </w:pPr>
      <w:r>
        <w:lastRenderedPageBreak/>
        <w:t>Overlapping or t</w:t>
      </w:r>
      <w:r w:rsidR="00FD2525">
        <w:t xml:space="preserve">ransferable </w:t>
      </w:r>
      <w:r w:rsidR="0006692B">
        <w:t>capabilities</w:t>
      </w:r>
      <w:r w:rsidR="00FD2525">
        <w:t xml:space="preserve"> can</w:t>
      </w:r>
      <w:r>
        <w:t xml:space="preserve"> lower barriers </w:t>
      </w:r>
      <w:r w:rsidR="00FD2525">
        <w:t xml:space="preserve">for organisations </w:t>
      </w:r>
      <w:r w:rsidR="006F5696">
        <w:t xml:space="preserve">using their existing workforce </w:t>
      </w:r>
      <w:r w:rsidR="00FD2525">
        <w:t xml:space="preserve">to pivot into </w:t>
      </w:r>
      <w:r>
        <w:t>new</w:t>
      </w:r>
      <w:r w:rsidR="00FD2525">
        <w:t xml:space="preserve"> </w:t>
      </w:r>
      <w:r>
        <w:t>opportunities</w:t>
      </w:r>
      <w:r w:rsidR="00FD2525">
        <w:t xml:space="preserve"> </w:t>
      </w:r>
      <w:r w:rsidR="00742D3C">
        <w:t xml:space="preserve">in adjacent </w:t>
      </w:r>
      <w:r>
        <w:t xml:space="preserve">industries </w:t>
      </w:r>
      <w:r w:rsidR="00FD2525">
        <w:t>as they arise.</w:t>
      </w:r>
      <w:r w:rsidR="006F5696">
        <w:t xml:space="preserve"> Development of transferable skill</w:t>
      </w:r>
      <w:r w:rsidR="00A25ADB">
        <w:t>s</w:t>
      </w:r>
      <w:r w:rsidR="006F5696">
        <w:t xml:space="preserve"> can also help broade</w:t>
      </w:r>
      <w:r w:rsidR="003669DA">
        <w:t>n</w:t>
      </w:r>
      <w:r w:rsidR="006F5696">
        <w:t xml:space="preserve"> career pathways for individual workers.</w:t>
      </w:r>
      <w:r w:rsidR="00092ABD">
        <w:t xml:space="preserve"> </w:t>
      </w:r>
      <w:r w:rsidR="0006692B">
        <w:t xml:space="preserve">The </w:t>
      </w:r>
      <w:r w:rsidR="00092ABD">
        <w:t xml:space="preserve">niche advanced manufacturing </w:t>
      </w:r>
      <w:r w:rsidR="0006692B">
        <w:t>workforces of</w:t>
      </w:r>
      <w:r w:rsidR="00092ABD">
        <w:t xml:space="preserve"> the space sector and other industries </w:t>
      </w:r>
      <w:r w:rsidR="004449BC">
        <w:t>position</w:t>
      </w:r>
      <w:r w:rsidR="0006692B">
        <w:t xml:space="preserve"> Australia</w:t>
      </w:r>
      <w:r w:rsidR="004449BC">
        <w:t xml:space="preserve"> well to </w:t>
      </w:r>
      <w:r w:rsidR="0006692B">
        <w:t>take up</w:t>
      </w:r>
      <w:r w:rsidR="004449BC">
        <w:t xml:space="preserve"> growing manufacturing opportunities.</w:t>
      </w:r>
      <w:r w:rsidR="006C6BCD">
        <w:t xml:space="preserve"> </w:t>
      </w:r>
      <w:r w:rsidR="00255F6B">
        <w:t>S</w:t>
      </w:r>
      <w:r w:rsidR="00747B41">
        <w:t>pace m</w:t>
      </w:r>
      <w:r w:rsidR="00690CF8">
        <w:t xml:space="preserve">anufacturing </w:t>
      </w:r>
      <w:r w:rsidR="00255F6B">
        <w:t xml:space="preserve">activity </w:t>
      </w:r>
      <w:r w:rsidR="00690CF8">
        <w:t>is supported by enabling capabilities such as quality assurance and</w:t>
      </w:r>
      <w:r w:rsidR="00747B41">
        <w:t xml:space="preserve"> standards</w:t>
      </w:r>
      <w:r w:rsidR="00690CF8">
        <w:t xml:space="preserve"> certification testing</w:t>
      </w:r>
      <w:r w:rsidR="006C6BCD">
        <w:t>, along with enabling engineering and design skills</w:t>
      </w:r>
      <w:r w:rsidR="00690CF8">
        <w:t xml:space="preserve">. </w:t>
      </w:r>
    </w:p>
    <w:p w14:paraId="71279A80" w14:textId="61AC55A5" w:rsidR="004710CE" w:rsidRDefault="008C6EDE" w:rsidP="004E4427">
      <w:pPr>
        <w:tabs>
          <w:tab w:val="left" w:pos="2696"/>
        </w:tabs>
      </w:pPr>
      <w:r>
        <w:t xml:space="preserve">The Agency’s analysis found the space enablers segment to be the largest employer, very closely followed by the space applications segment. </w:t>
      </w:r>
      <w:proofErr w:type="spellStart"/>
      <w:r>
        <w:t>AlphaBeta’s</w:t>
      </w:r>
      <w:proofErr w:type="spellEnd"/>
      <w:r>
        <w:t xml:space="preserve"> analysis supports that applications and enablers </w:t>
      </w:r>
      <w:r w:rsidR="006C6BCD">
        <w:t>were</w:t>
      </w:r>
      <w:r w:rsidR="007A063F">
        <w:t xml:space="preserve"> by far</w:t>
      </w:r>
      <w:r>
        <w:t xml:space="preserve"> the two </w:t>
      </w:r>
      <w:r w:rsidR="007A063F">
        <w:t>largest</w:t>
      </w:r>
      <w:r>
        <w:t xml:space="preserve"> segments </w:t>
      </w:r>
      <w:r w:rsidR="008405C7">
        <w:t>of</w:t>
      </w:r>
      <w:r>
        <w:t xml:space="preserve"> </w:t>
      </w:r>
      <w:r w:rsidR="007A063F">
        <w:t>direct space employment</w:t>
      </w:r>
      <w:r w:rsidR="006C6BCD">
        <w:t xml:space="preserve"> in FY19</w:t>
      </w:r>
      <w:r>
        <w:t xml:space="preserve">, however, </w:t>
      </w:r>
      <w:proofErr w:type="spellStart"/>
      <w:r>
        <w:t>AlphaBeta</w:t>
      </w:r>
      <w:proofErr w:type="spellEnd"/>
      <w:r>
        <w:t xml:space="preserve"> estimate</w:t>
      </w:r>
      <w:r w:rsidR="006C6BCD">
        <w:t>d</w:t>
      </w:r>
      <w:r>
        <w:t xml:space="preserve"> significantly more jobs in applications than enablers. This variance is likely due to difference in </w:t>
      </w:r>
      <w:r w:rsidR="00FE4D9B">
        <w:t xml:space="preserve">samples, </w:t>
      </w:r>
      <w:r>
        <w:t xml:space="preserve">assumptions for how jobs are classified within value chain segments, and how jobs within organisations are </w:t>
      </w:r>
      <w:r w:rsidR="00D54339">
        <w:t>distributed</w:t>
      </w:r>
      <w:r>
        <w:t>.</w:t>
      </w:r>
      <w:r w:rsidR="00E96214">
        <w:t xml:space="preserve"> </w:t>
      </w:r>
    </w:p>
    <w:p w14:paraId="5500D370" w14:textId="08865A33" w:rsidR="005C4C01" w:rsidRDefault="0051780C">
      <w:pPr>
        <w:tabs>
          <w:tab w:val="left" w:pos="2696"/>
        </w:tabs>
      </w:pPr>
      <w:r>
        <w:t xml:space="preserve">Direct space jobs only capture part of the space employment story. As outlined in Chapter 2, this report does not measure indirect jobs. International research suggests that a large portion of value from space activities is realised through indirect jobs, indirect revenues and other </w:t>
      </w:r>
      <w:proofErr w:type="spellStart"/>
      <w:r>
        <w:t>spillovers</w:t>
      </w:r>
      <w:proofErr w:type="spellEnd"/>
      <w:r>
        <w:rPr>
          <w:rStyle w:val="FootnoteReference"/>
        </w:rPr>
        <w:footnoteReference w:id="38"/>
      </w:r>
      <w:r>
        <w:t xml:space="preserve">, </w:t>
      </w:r>
      <w:r w:rsidRPr="00FE7729">
        <w:t xml:space="preserve">suggesting this report’s estimates </w:t>
      </w:r>
      <w:r>
        <w:t xml:space="preserve">of jobs in the space sector </w:t>
      </w:r>
      <w:r w:rsidRPr="00FE7729">
        <w:t xml:space="preserve">are </w:t>
      </w:r>
      <w:r>
        <w:t xml:space="preserve">likely </w:t>
      </w:r>
      <w:r w:rsidRPr="00FE7729">
        <w:t>conservative.</w:t>
      </w:r>
      <w:r>
        <w:t xml:space="preserve"> </w:t>
      </w:r>
      <w:r w:rsidR="00A40FEA">
        <w:t>Q</w:t>
      </w:r>
      <w:r w:rsidR="00FC5070">
        <w:t xml:space="preserve">uantifying indirect jobs may be explored for future </w:t>
      </w:r>
      <w:r w:rsidR="00184D76">
        <w:t>economic snapshots</w:t>
      </w:r>
      <w:r w:rsidR="00A108DE">
        <w:t xml:space="preserve">. </w:t>
      </w:r>
    </w:p>
    <w:p w14:paraId="2EA55A62" w14:textId="2C1606E9" w:rsidR="006638E4" w:rsidRDefault="00296AB9" w:rsidP="00EF7E1B">
      <w:pPr>
        <w:pStyle w:val="Heading2"/>
      </w:pPr>
      <w:bookmarkStart w:id="51" w:name="_Toc54342165"/>
      <w:bookmarkStart w:id="52" w:name="_Toc54794982"/>
      <w:bookmarkStart w:id="53" w:name="_Toc55990313"/>
      <w:bookmarkStart w:id="54" w:name="_Toc62635442"/>
      <w:r>
        <w:t>4</w:t>
      </w:r>
      <w:r w:rsidR="00F91E9F">
        <w:t>.3</w:t>
      </w:r>
      <w:r w:rsidR="00F91E9F">
        <w:tab/>
      </w:r>
      <w:r w:rsidR="00C56168">
        <w:t>S</w:t>
      </w:r>
      <w:r w:rsidR="00850760">
        <w:t xml:space="preserve">ector </w:t>
      </w:r>
      <w:r w:rsidR="00C56168">
        <w:t>revenue (</w:t>
      </w:r>
      <w:r w:rsidR="00850760">
        <w:t>value</w:t>
      </w:r>
      <w:bookmarkEnd w:id="51"/>
      <w:bookmarkEnd w:id="52"/>
      <w:r w:rsidR="00C56168">
        <w:t>)</w:t>
      </w:r>
      <w:bookmarkEnd w:id="53"/>
      <w:bookmarkEnd w:id="54"/>
    </w:p>
    <w:p w14:paraId="3E304918" w14:textId="58D8BBB4" w:rsidR="00A40FEA" w:rsidRDefault="00C56168" w:rsidP="00A40FEA">
      <w:pPr>
        <w:tabs>
          <w:tab w:val="left" w:pos="2696"/>
        </w:tabs>
      </w:pPr>
      <w:bookmarkStart w:id="55" w:name="_Toc54791087"/>
      <w:bookmarkStart w:id="56" w:name="_Toc54794983"/>
      <w:bookmarkStart w:id="57" w:name="_Toc54796928"/>
      <w:r>
        <w:t>R</w:t>
      </w:r>
      <w:r w:rsidR="00A40FEA">
        <w:t xml:space="preserve">evenue provides an indication of the value generated from producing goods and services. </w:t>
      </w:r>
      <w:r>
        <w:t>The Agency’s analysis found that organisations in the Australian space sector generated $4.6 billion in revenue in FY19; equivalent to 5.8 per cent revenue growth since FY17.</w:t>
      </w:r>
    </w:p>
    <w:p w14:paraId="47168E7B" w14:textId="3B16BB77" w:rsidR="00906059" w:rsidRDefault="00906059" w:rsidP="00A40FEA">
      <w:pPr>
        <w:tabs>
          <w:tab w:val="left" w:pos="2696"/>
        </w:tabs>
      </w:pPr>
      <w:r>
        <w:t>More broadly, global s</w:t>
      </w:r>
      <w:r w:rsidRPr="00D95F76">
        <w:t xml:space="preserve">pace </w:t>
      </w:r>
      <w:r>
        <w:t>i</w:t>
      </w:r>
      <w:r w:rsidRPr="00D95F76">
        <w:t>ndustry</w:t>
      </w:r>
      <w:r>
        <w:t xml:space="preserve"> revenue</w:t>
      </w:r>
      <w:r w:rsidRPr="00D95F76">
        <w:t xml:space="preserve"> was valued at </w:t>
      </w:r>
      <w:r w:rsidRPr="005E0110">
        <w:t>US$</w:t>
      </w:r>
      <w:r w:rsidRPr="00D95F76">
        <w:t xml:space="preserve">360 billion in 2018, projected </w:t>
      </w:r>
      <w:r>
        <w:t xml:space="preserve">to </w:t>
      </w:r>
      <w:r w:rsidRPr="00D95F76">
        <w:t xml:space="preserve">grow </w:t>
      </w:r>
      <w:r w:rsidRPr="005E0110">
        <w:t xml:space="preserve">at a </w:t>
      </w:r>
      <w:r>
        <w:t>compound annual growth rate (</w:t>
      </w:r>
      <w:r w:rsidRPr="005E0110">
        <w:t>CAGR</w:t>
      </w:r>
      <w:r>
        <w:t>)</w:t>
      </w:r>
      <w:r w:rsidRPr="005E0110">
        <w:t xml:space="preserve"> of 5.6</w:t>
      </w:r>
      <w:r>
        <w:t xml:space="preserve"> per cent</w:t>
      </w:r>
      <w:r w:rsidRPr="005E0110">
        <w:t>, to value US$</w:t>
      </w:r>
      <w:r w:rsidRPr="00D95F76">
        <w:t>558 billion by 2026</w:t>
      </w:r>
      <w:r>
        <w:rPr>
          <w:rStyle w:val="FootnoteReference"/>
        </w:rPr>
        <w:footnoteReference w:id="39"/>
      </w:r>
      <w:r w:rsidRPr="00D95F76">
        <w:t>.</w:t>
      </w:r>
      <w:r w:rsidRPr="00CB2030">
        <w:t xml:space="preserve"> </w:t>
      </w:r>
      <w:r w:rsidRPr="00D95F76">
        <w:t>Australia’s</w:t>
      </w:r>
      <w:r>
        <w:t xml:space="preserve"> overall</w:t>
      </w:r>
      <w:r w:rsidRPr="00D95F76">
        <w:t xml:space="preserve"> share of the global space industry was </w:t>
      </w:r>
      <w:r>
        <w:t>0.9 per cent in FY19</w:t>
      </w:r>
      <w:r>
        <w:rPr>
          <w:rStyle w:val="FootnoteReference"/>
        </w:rPr>
        <w:footnoteReference w:id="40"/>
      </w:r>
      <w:r>
        <w:t>, a slight increase of 0.03 percentage points from FY17</w:t>
      </w:r>
      <w:r w:rsidRPr="00D95F76">
        <w:t xml:space="preserve">. </w:t>
      </w:r>
    </w:p>
    <w:p w14:paraId="1340CD73" w14:textId="5B967398" w:rsidR="00F00F31" w:rsidRPr="00D95F76" w:rsidRDefault="00176E05" w:rsidP="00E96214">
      <w:pPr>
        <w:pStyle w:val="Heading3"/>
      </w:pPr>
      <w:r>
        <w:t xml:space="preserve">Revenue </w:t>
      </w:r>
      <w:bookmarkEnd w:id="55"/>
      <w:bookmarkEnd w:id="56"/>
      <w:bookmarkEnd w:id="57"/>
      <w:r w:rsidR="00A40FEA">
        <w:t>by value chain segment</w:t>
      </w:r>
    </w:p>
    <w:p w14:paraId="74A4805A" w14:textId="16073441" w:rsidR="00A94DFB" w:rsidRPr="00A30D0A" w:rsidRDefault="00C56168" w:rsidP="004E4427">
      <w:pPr>
        <w:tabs>
          <w:tab w:val="left" w:pos="2696"/>
        </w:tabs>
      </w:pPr>
      <w:r w:rsidRPr="00A30D0A">
        <w:t xml:space="preserve">Activities from each segment of the space value chain contribute to the overall sector revenue, as illustrated in </w:t>
      </w:r>
      <w:r w:rsidR="00A30D0A" w:rsidRPr="00A30D0A">
        <w:t>Table 9</w:t>
      </w:r>
      <w:r w:rsidRPr="00A30D0A">
        <w:t xml:space="preserve">. </w:t>
      </w:r>
    </w:p>
    <w:p w14:paraId="140DF282" w14:textId="2423B7A9" w:rsidR="00083AE8" w:rsidRPr="00EF48AF" w:rsidRDefault="00A30D0A" w:rsidP="00D0410C">
      <w:pPr>
        <w:pStyle w:val="TableHeading"/>
      </w:pPr>
      <w:r w:rsidRPr="00A30D0A">
        <w:t>Table 9</w:t>
      </w:r>
      <w:r w:rsidR="00835317" w:rsidRPr="00A30D0A">
        <w:t>:</w:t>
      </w:r>
      <w:r w:rsidR="00083AE8" w:rsidRPr="00A30D0A">
        <w:t xml:space="preserve"> A</w:t>
      </w:r>
      <w:r w:rsidR="00083AE8" w:rsidRPr="00270D29">
        <w:t>ustralian space revenue contribution by space</w:t>
      </w:r>
      <w:r w:rsidR="00F53D5F">
        <w:t xml:space="preserve"> value chain segment</w:t>
      </w:r>
      <w:r w:rsidR="00083AE8" w:rsidRPr="00EF48AF">
        <w:t xml:space="preserve"> </w:t>
      </w:r>
    </w:p>
    <w:tbl>
      <w:tblPr>
        <w:tblStyle w:val="TableGrid"/>
        <w:tblW w:w="9776" w:type="dxa"/>
        <w:tblLayout w:type="fixed"/>
        <w:tblLook w:val="04A0" w:firstRow="1" w:lastRow="0" w:firstColumn="1" w:lastColumn="0" w:noHBand="0" w:noVBand="1"/>
        <w:tblCaption w:val="Australian space revenue contribution by space value chain segment"/>
        <w:tblDescription w:val="In FY19 the space sector generated $4.6 billion in revenue, this was made up of $777.6 million in manufacturing, $473 million in space operations, $1.4 billion in space applications, and $1.9 billion in space enablers. "/>
      </w:tblPr>
      <w:tblGrid>
        <w:gridCol w:w="846"/>
        <w:gridCol w:w="1970"/>
        <w:gridCol w:w="1740"/>
        <w:gridCol w:w="1740"/>
        <w:gridCol w:w="1740"/>
        <w:gridCol w:w="1740"/>
      </w:tblGrid>
      <w:tr w:rsidR="00083AE8" w:rsidRPr="00724C68" w14:paraId="3D273C60" w14:textId="77777777" w:rsidTr="00D0410C">
        <w:trPr>
          <w:trHeight w:val="300"/>
          <w:tblHeader/>
        </w:trPr>
        <w:tc>
          <w:tcPr>
            <w:tcW w:w="846" w:type="dxa"/>
            <w:shd w:val="clear" w:color="auto" w:fill="004976" w:themeFill="accent1"/>
            <w:vAlign w:val="center"/>
          </w:tcPr>
          <w:p w14:paraId="761D127B" w14:textId="2B0E76BE" w:rsidR="00083AE8" w:rsidRPr="00D95F76" w:rsidRDefault="00B621F9" w:rsidP="00B621F9">
            <w:pPr>
              <w:tabs>
                <w:tab w:val="left" w:pos="2696"/>
              </w:tabs>
              <w:rPr>
                <w:b/>
                <w:bCs/>
                <w:color w:val="FFFFFF" w:themeColor="background1"/>
              </w:rPr>
            </w:pPr>
            <w:r>
              <w:rPr>
                <w:b/>
                <w:bCs/>
                <w:color w:val="FFFFFF" w:themeColor="background1"/>
              </w:rPr>
              <w:t>Year</w:t>
            </w:r>
          </w:p>
        </w:tc>
        <w:tc>
          <w:tcPr>
            <w:tcW w:w="1970" w:type="dxa"/>
            <w:shd w:val="clear" w:color="auto" w:fill="004976" w:themeFill="accent1"/>
            <w:noWrap/>
            <w:vAlign w:val="center"/>
            <w:hideMark/>
          </w:tcPr>
          <w:p w14:paraId="545AEDCC" w14:textId="77777777" w:rsidR="00083AE8" w:rsidRPr="00D95F76" w:rsidRDefault="00083AE8" w:rsidP="0093364D">
            <w:pPr>
              <w:tabs>
                <w:tab w:val="left" w:pos="2696"/>
              </w:tabs>
              <w:jc w:val="center"/>
              <w:rPr>
                <w:b/>
                <w:bCs/>
                <w:color w:val="FFFFFF" w:themeColor="background1"/>
              </w:rPr>
            </w:pPr>
            <w:r w:rsidRPr="00D95F76">
              <w:rPr>
                <w:b/>
                <w:bCs/>
                <w:color w:val="FFFFFF" w:themeColor="background1"/>
              </w:rPr>
              <w:t>Space manufacturing &amp; core inputs</w:t>
            </w:r>
          </w:p>
        </w:tc>
        <w:tc>
          <w:tcPr>
            <w:tcW w:w="1740" w:type="dxa"/>
            <w:shd w:val="clear" w:color="auto" w:fill="004976" w:themeFill="accent1"/>
            <w:noWrap/>
            <w:vAlign w:val="center"/>
            <w:hideMark/>
          </w:tcPr>
          <w:p w14:paraId="3F61815A" w14:textId="77777777" w:rsidR="00083AE8" w:rsidRPr="00D95F76" w:rsidRDefault="00083AE8" w:rsidP="0093364D">
            <w:pPr>
              <w:tabs>
                <w:tab w:val="left" w:pos="2696"/>
              </w:tabs>
              <w:jc w:val="center"/>
              <w:rPr>
                <w:b/>
                <w:bCs/>
                <w:color w:val="FFFFFF" w:themeColor="background1"/>
              </w:rPr>
            </w:pPr>
            <w:r w:rsidRPr="00D95F76">
              <w:rPr>
                <w:b/>
                <w:bCs/>
                <w:color w:val="FFFFFF" w:themeColor="background1"/>
              </w:rPr>
              <w:t>Space operations</w:t>
            </w:r>
          </w:p>
        </w:tc>
        <w:tc>
          <w:tcPr>
            <w:tcW w:w="1740" w:type="dxa"/>
            <w:shd w:val="clear" w:color="auto" w:fill="004976" w:themeFill="accent1"/>
            <w:noWrap/>
            <w:vAlign w:val="center"/>
            <w:hideMark/>
          </w:tcPr>
          <w:p w14:paraId="1AAC3629" w14:textId="77777777" w:rsidR="00083AE8" w:rsidRPr="00D95F76" w:rsidRDefault="00083AE8" w:rsidP="0093364D">
            <w:pPr>
              <w:tabs>
                <w:tab w:val="left" w:pos="2696"/>
              </w:tabs>
              <w:jc w:val="center"/>
              <w:rPr>
                <w:b/>
                <w:bCs/>
                <w:color w:val="FFFFFF" w:themeColor="background1"/>
              </w:rPr>
            </w:pPr>
            <w:r w:rsidRPr="00D95F76">
              <w:rPr>
                <w:b/>
                <w:bCs/>
                <w:color w:val="FFFFFF" w:themeColor="background1"/>
              </w:rPr>
              <w:t>Space applications</w:t>
            </w:r>
          </w:p>
        </w:tc>
        <w:tc>
          <w:tcPr>
            <w:tcW w:w="1740" w:type="dxa"/>
            <w:shd w:val="clear" w:color="auto" w:fill="004976" w:themeFill="accent1"/>
            <w:noWrap/>
            <w:vAlign w:val="center"/>
            <w:hideMark/>
          </w:tcPr>
          <w:p w14:paraId="5BA67BEA" w14:textId="77777777" w:rsidR="00083AE8" w:rsidRPr="00D95F76" w:rsidRDefault="00083AE8" w:rsidP="0093364D">
            <w:pPr>
              <w:tabs>
                <w:tab w:val="left" w:pos="2696"/>
              </w:tabs>
              <w:jc w:val="center"/>
              <w:rPr>
                <w:b/>
                <w:bCs/>
                <w:color w:val="FFFFFF" w:themeColor="background1"/>
              </w:rPr>
            </w:pPr>
            <w:r w:rsidRPr="00D95F76">
              <w:rPr>
                <w:b/>
                <w:bCs/>
                <w:color w:val="FFFFFF" w:themeColor="background1"/>
              </w:rPr>
              <w:t>Space enablers</w:t>
            </w:r>
          </w:p>
        </w:tc>
        <w:tc>
          <w:tcPr>
            <w:tcW w:w="1740" w:type="dxa"/>
            <w:shd w:val="clear" w:color="auto" w:fill="004976" w:themeFill="accent1"/>
            <w:vAlign w:val="center"/>
          </w:tcPr>
          <w:p w14:paraId="1CECA29E" w14:textId="77777777" w:rsidR="00083AE8" w:rsidRPr="00D95F76" w:rsidRDefault="00083AE8" w:rsidP="0093364D">
            <w:pPr>
              <w:tabs>
                <w:tab w:val="left" w:pos="2696"/>
              </w:tabs>
              <w:jc w:val="center"/>
              <w:rPr>
                <w:b/>
                <w:bCs/>
                <w:color w:val="FFFFFF" w:themeColor="background1"/>
              </w:rPr>
            </w:pPr>
            <w:r w:rsidRPr="00D95F76">
              <w:rPr>
                <w:b/>
                <w:bCs/>
                <w:color w:val="FFFFFF" w:themeColor="background1"/>
              </w:rPr>
              <w:t>Total Revenue</w:t>
            </w:r>
            <w:r>
              <w:rPr>
                <w:b/>
                <w:bCs/>
                <w:color w:val="FFFFFF" w:themeColor="background1"/>
              </w:rPr>
              <w:t xml:space="preserve"> </w:t>
            </w:r>
          </w:p>
        </w:tc>
      </w:tr>
      <w:tr w:rsidR="00083AE8" w:rsidRPr="00724C68" w14:paraId="14D30E23" w14:textId="77777777" w:rsidTr="00D81D86">
        <w:trPr>
          <w:trHeight w:val="315"/>
        </w:trPr>
        <w:tc>
          <w:tcPr>
            <w:tcW w:w="846" w:type="dxa"/>
            <w:shd w:val="clear" w:color="auto" w:fill="F2F2F2" w:themeFill="background1" w:themeFillShade="F2"/>
          </w:tcPr>
          <w:p w14:paraId="2543F276" w14:textId="77777777" w:rsidR="00083AE8" w:rsidRPr="003A0E2B" w:rsidRDefault="00083AE8" w:rsidP="0093364D">
            <w:pPr>
              <w:tabs>
                <w:tab w:val="left" w:pos="2696"/>
              </w:tabs>
              <w:jc w:val="center"/>
              <w:rPr>
                <w:b/>
              </w:rPr>
            </w:pPr>
            <w:r w:rsidRPr="003A0E2B">
              <w:rPr>
                <w:b/>
              </w:rPr>
              <w:t>FY19</w:t>
            </w:r>
          </w:p>
        </w:tc>
        <w:tc>
          <w:tcPr>
            <w:tcW w:w="1970" w:type="dxa"/>
            <w:noWrap/>
            <w:vAlign w:val="center"/>
          </w:tcPr>
          <w:p w14:paraId="3AB96C90" w14:textId="3D9C9EE7" w:rsidR="00083AE8" w:rsidRPr="003A0E2B" w:rsidRDefault="00083AE8" w:rsidP="0093364D">
            <w:pPr>
              <w:tabs>
                <w:tab w:val="left" w:pos="2696"/>
              </w:tabs>
              <w:jc w:val="center"/>
              <w:rPr>
                <w:b/>
              </w:rPr>
            </w:pPr>
            <w:r w:rsidRPr="003A0E2B">
              <w:rPr>
                <w:b/>
              </w:rPr>
              <w:t>$</w:t>
            </w:r>
            <w:r w:rsidR="00A31D64" w:rsidRPr="003A0E2B">
              <w:rPr>
                <w:b/>
              </w:rPr>
              <w:t>777.6</w:t>
            </w:r>
            <w:r w:rsidRPr="003A0E2B">
              <w:rPr>
                <w:b/>
              </w:rPr>
              <w:t xml:space="preserve"> m</w:t>
            </w:r>
          </w:p>
        </w:tc>
        <w:tc>
          <w:tcPr>
            <w:tcW w:w="1740" w:type="dxa"/>
            <w:noWrap/>
            <w:vAlign w:val="center"/>
          </w:tcPr>
          <w:p w14:paraId="7686A607" w14:textId="3C88D3F1" w:rsidR="00083AE8" w:rsidRPr="003A0E2B" w:rsidRDefault="00083AE8" w:rsidP="0093364D">
            <w:pPr>
              <w:tabs>
                <w:tab w:val="left" w:pos="2696"/>
              </w:tabs>
              <w:jc w:val="center"/>
              <w:rPr>
                <w:b/>
              </w:rPr>
            </w:pPr>
            <w:r w:rsidRPr="003A0E2B">
              <w:rPr>
                <w:b/>
              </w:rPr>
              <w:t>$</w:t>
            </w:r>
            <w:r w:rsidR="00A31D64" w:rsidRPr="003A0E2B">
              <w:rPr>
                <w:b/>
              </w:rPr>
              <w:t>473.0</w:t>
            </w:r>
            <w:r w:rsidRPr="003A0E2B">
              <w:rPr>
                <w:b/>
              </w:rPr>
              <w:t xml:space="preserve"> m</w:t>
            </w:r>
          </w:p>
        </w:tc>
        <w:tc>
          <w:tcPr>
            <w:tcW w:w="1740" w:type="dxa"/>
            <w:noWrap/>
            <w:vAlign w:val="center"/>
          </w:tcPr>
          <w:p w14:paraId="269C52F4" w14:textId="68379E17" w:rsidR="00083AE8" w:rsidRPr="003A0E2B" w:rsidRDefault="00083AE8" w:rsidP="00F5498C">
            <w:pPr>
              <w:tabs>
                <w:tab w:val="left" w:pos="2696"/>
              </w:tabs>
              <w:jc w:val="center"/>
              <w:rPr>
                <w:b/>
              </w:rPr>
            </w:pPr>
            <w:r w:rsidRPr="003A0E2B">
              <w:rPr>
                <w:b/>
              </w:rPr>
              <w:t>$1.</w:t>
            </w:r>
            <w:r w:rsidR="00A31D64" w:rsidRPr="003A0E2B">
              <w:rPr>
                <w:b/>
              </w:rPr>
              <w:t xml:space="preserve">4 </w:t>
            </w:r>
            <w:r w:rsidRPr="003A0E2B">
              <w:rPr>
                <w:b/>
              </w:rPr>
              <w:t>b</w:t>
            </w:r>
          </w:p>
        </w:tc>
        <w:tc>
          <w:tcPr>
            <w:tcW w:w="1740" w:type="dxa"/>
            <w:noWrap/>
            <w:vAlign w:val="center"/>
          </w:tcPr>
          <w:p w14:paraId="56273095" w14:textId="38B8B485" w:rsidR="00083AE8" w:rsidRPr="003A0E2B" w:rsidRDefault="00083AE8" w:rsidP="00F5498C">
            <w:pPr>
              <w:tabs>
                <w:tab w:val="left" w:pos="2696"/>
              </w:tabs>
              <w:jc w:val="center"/>
              <w:rPr>
                <w:b/>
              </w:rPr>
            </w:pPr>
            <w:r w:rsidRPr="003A0E2B">
              <w:rPr>
                <w:b/>
              </w:rPr>
              <w:t>$1.</w:t>
            </w:r>
            <w:r w:rsidR="006845F0">
              <w:rPr>
                <w:b/>
              </w:rPr>
              <w:t>9</w:t>
            </w:r>
            <w:r w:rsidR="00A31D64" w:rsidRPr="003A0E2B">
              <w:rPr>
                <w:b/>
              </w:rPr>
              <w:t xml:space="preserve"> </w:t>
            </w:r>
            <w:r w:rsidRPr="003A0E2B">
              <w:rPr>
                <w:b/>
              </w:rPr>
              <w:t>b</w:t>
            </w:r>
          </w:p>
        </w:tc>
        <w:tc>
          <w:tcPr>
            <w:tcW w:w="1740" w:type="dxa"/>
            <w:vAlign w:val="center"/>
          </w:tcPr>
          <w:p w14:paraId="387FAB15" w14:textId="20F215D4" w:rsidR="00083AE8" w:rsidRPr="003A0E2B" w:rsidRDefault="00083AE8" w:rsidP="0093364D">
            <w:pPr>
              <w:tabs>
                <w:tab w:val="left" w:pos="2696"/>
              </w:tabs>
              <w:jc w:val="center"/>
              <w:rPr>
                <w:b/>
              </w:rPr>
            </w:pPr>
            <w:r w:rsidRPr="003A0E2B">
              <w:rPr>
                <w:b/>
              </w:rPr>
              <w:t>$</w:t>
            </w:r>
            <w:r>
              <w:rPr>
                <w:b/>
              </w:rPr>
              <w:t>4.6</w:t>
            </w:r>
            <w:r w:rsidRPr="00253002">
              <w:rPr>
                <w:b/>
              </w:rPr>
              <w:t xml:space="preserve"> </w:t>
            </w:r>
            <w:r>
              <w:rPr>
                <w:b/>
              </w:rPr>
              <w:t>b</w:t>
            </w:r>
          </w:p>
        </w:tc>
      </w:tr>
    </w:tbl>
    <w:p w14:paraId="55C5EB6A" w14:textId="36689D09" w:rsidR="00A94DFB" w:rsidRDefault="00C56168" w:rsidP="004E4427">
      <w:pPr>
        <w:tabs>
          <w:tab w:val="left" w:pos="2696"/>
        </w:tabs>
      </w:pPr>
      <w:r>
        <w:lastRenderedPageBreak/>
        <w:t xml:space="preserve">This analysis identifies space enablers as the highest value chain segment contributor to </w:t>
      </w:r>
      <w:r w:rsidRPr="00DC49F8">
        <w:t>space revenues at $</w:t>
      </w:r>
      <w:r w:rsidRPr="00C92683">
        <w:t>1.</w:t>
      </w:r>
      <w:r w:rsidRPr="00DC49F8">
        <w:t>9 billion in FY19.</w:t>
      </w:r>
      <w:r>
        <w:t xml:space="preserve"> Enabler segment goods and services add value as intermediate inputs across the space value chain. </w:t>
      </w:r>
      <w:r w:rsidR="00A922AB">
        <w:t>(</w:t>
      </w:r>
      <w:proofErr w:type="spellStart"/>
      <w:r w:rsidR="003718CB" w:rsidRPr="00DC49F8">
        <w:t>AlphaBeta</w:t>
      </w:r>
      <w:proofErr w:type="spellEnd"/>
      <w:r w:rsidR="003718CB" w:rsidRPr="00DC49F8">
        <w:t xml:space="preserve"> estimate</w:t>
      </w:r>
      <w:r w:rsidR="00A922AB">
        <w:t>d</w:t>
      </w:r>
      <w:r w:rsidR="003718CB" w:rsidRPr="00DC49F8">
        <w:t xml:space="preserve"> space enablers</w:t>
      </w:r>
      <w:r w:rsidR="0074540C" w:rsidRPr="00DC49F8">
        <w:t xml:space="preserve"> segment</w:t>
      </w:r>
      <w:r w:rsidR="003718CB" w:rsidRPr="00DC49F8">
        <w:t xml:space="preserve"> revenue at $</w:t>
      </w:r>
      <w:r w:rsidR="008C36F2" w:rsidRPr="00DC49F8">
        <w:t>432 million</w:t>
      </w:r>
      <w:r w:rsidR="007D2B4F">
        <w:rPr>
          <w:rStyle w:val="FootnoteReference"/>
        </w:rPr>
        <w:footnoteReference w:id="41"/>
      </w:r>
      <w:r w:rsidR="00A922AB">
        <w:t>. The difference in these estimates is due to different methodologies for categorising revenue from space activities to value chain segments</w:t>
      </w:r>
      <w:r w:rsidR="008C36F2">
        <w:t>.</w:t>
      </w:r>
      <w:r w:rsidR="00A922AB">
        <w:t>)</w:t>
      </w:r>
      <w:r w:rsidR="0098786E">
        <w:t xml:space="preserve">. </w:t>
      </w:r>
      <w:r w:rsidR="00A922AB">
        <w:t>Further detail on t</w:t>
      </w:r>
      <w:r w:rsidR="0098786E">
        <w:t xml:space="preserve">he Agency’s methodology, data and assumptions </w:t>
      </w:r>
      <w:r w:rsidR="00A922AB">
        <w:t xml:space="preserve">is </w:t>
      </w:r>
      <w:r w:rsidR="0098786E">
        <w:t>in Appendix A</w:t>
      </w:r>
      <w:r w:rsidR="00A922AB">
        <w:t xml:space="preserve"> and</w:t>
      </w:r>
      <w:r w:rsidR="0098786E">
        <w:t xml:space="preserve"> </w:t>
      </w:r>
      <w:proofErr w:type="spellStart"/>
      <w:r w:rsidR="0098786E">
        <w:t>AlphaBeta</w:t>
      </w:r>
      <w:proofErr w:type="spellEnd"/>
      <w:r w:rsidR="00E53FD2">
        <w:t xml:space="preserve"> also discusses their estimation approach in more detail in their </w:t>
      </w:r>
      <w:r w:rsidR="0098786E">
        <w:t xml:space="preserve">report. </w:t>
      </w:r>
    </w:p>
    <w:p w14:paraId="357AEB56" w14:textId="185C50A7" w:rsidR="00C238AC" w:rsidRDefault="005C4C01" w:rsidP="004E4427">
      <w:pPr>
        <w:tabs>
          <w:tab w:val="left" w:pos="2696"/>
        </w:tabs>
      </w:pPr>
      <w:r>
        <w:t>Space applications also account for a significant proportion of the</w:t>
      </w:r>
      <w:r w:rsidR="00BC7960">
        <w:t xml:space="preserve"> Australian</w:t>
      </w:r>
      <w:r>
        <w:t xml:space="preserve"> space sector’s value.</w:t>
      </w:r>
      <w:r w:rsidR="00BC7960">
        <w:t xml:space="preserve"> This is unsurprising given that globally, space applications are considered to be the largest revenue generators, </w:t>
      </w:r>
      <w:r w:rsidR="00F83A4E">
        <w:t xml:space="preserve">accounting </w:t>
      </w:r>
      <w:r w:rsidR="00BC7960">
        <w:t xml:space="preserve">for </w:t>
      </w:r>
      <w:r w:rsidR="00F83A4E">
        <w:t xml:space="preserve">54 </w:t>
      </w:r>
      <w:r w:rsidR="002357A2">
        <w:t>per cent</w:t>
      </w:r>
      <w:r w:rsidR="00F83A4E">
        <w:t xml:space="preserve"> of the global space sector’s revenue</w:t>
      </w:r>
      <w:r w:rsidR="00D0697D">
        <w:rPr>
          <w:rStyle w:val="FootnoteReference"/>
        </w:rPr>
        <w:footnoteReference w:id="42"/>
      </w:r>
      <w:r w:rsidR="00BC7960">
        <w:t xml:space="preserve">. </w:t>
      </w:r>
      <w:r w:rsidR="00F109A5">
        <w:t xml:space="preserve">Space applications are capable of generating value through productivity and efficiency gains (which can result in cost savings, and thus improved profit margins). </w:t>
      </w:r>
    </w:p>
    <w:p w14:paraId="02984C4F" w14:textId="28C6699A" w:rsidR="00C238AC" w:rsidRDefault="00780691" w:rsidP="00C238AC">
      <w:pPr>
        <w:tabs>
          <w:tab w:val="left" w:pos="2696"/>
        </w:tabs>
        <w:rPr>
          <w:rFonts w:ascii="Calibri" w:eastAsia="Times New Roman" w:hAnsi="Calibri" w:cs="Calibri"/>
          <w:color w:val="000000"/>
          <w:szCs w:val="22"/>
          <w:lang w:eastAsia="en-AU"/>
        </w:rPr>
      </w:pPr>
      <w:r>
        <w:rPr>
          <w:rFonts w:ascii="Calibri" w:eastAsia="Times New Roman" w:hAnsi="Calibri" w:cs="Calibri"/>
          <w:color w:val="000000"/>
          <w:szCs w:val="22"/>
          <w:lang w:eastAsia="en-AU"/>
        </w:rPr>
        <w:t xml:space="preserve">While the space manufacturing and core inputs </w:t>
      </w:r>
      <w:r w:rsidR="0008247F">
        <w:rPr>
          <w:rFonts w:ascii="Calibri" w:eastAsia="Times New Roman" w:hAnsi="Calibri" w:cs="Calibri"/>
          <w:color w:val="000000"/>
          <w:szCs w:val="22"/>
          <w:lang w:eastAsia="en-AU"/>
        </w:rPr>
        <w:t xml:space="preserve">segment </w:t>
      </w:r>
      <w:r>
        <w:rPr>
          <w:rFonts w:ascii="Calibri" w:eastAsia="Times New Roman" w:hAnsi="Calibri" w:cs="Calibri"/>
          <w:color w:val="000000"/>
          <w:szCs w:val="22"/>
          <w:lang w:eastAsia="en-AU"/>
        </w:rPr>
        <w:t xml:space="preserve">was responsible for less than a quarter of Australian space revenue in FY19, this is reflective of the small number of participants. </w:t>
      </w:r>
      <w:r w:rsidR="00654E3D">
        <w:rPr>
          <w:rFonts w:ascii="Calibri" w:eastAsia="Times New Roman" w:hAnsi="Calibri" w:cs="Calibri"/>
          <w:color w:val="000000"/>
          <w:szCs w:val="22"/>
          <w:lang w:eastAsia="en-AU"/>
        </w:rPr>
        <w:t xml:space="preserve">Australia has an opportunity to capture a greater proportion of emerging markets such as small satellite manufacturing. </w:t>
      </w:r>
      <w:r w:rsidR="00DC49F8">
        <w:rPr>
          <w:rFonts w:ascii="Calibri" w:eastAsia="Times New Roman" w:hAnsi="Calibri" w:cs="Calibri"/>
          <w:color w:val="000000"/>
          <w:szCs w:val="22"/>
          <w:lang w:eastAsia="en-AU"/>
        </w:rPr>
        <w:t>An IBISWorld report states that</w:t>
      </w:r>
      <w:r w:rsidR="00DC49F8" w:rsidRPr="00DC49F8">
        <w:t xml:space="preserve"> </w:t>
      </w:r>
      <w:r w:rsidR="00DC49F8" w:rsidRPr="00DC49F8">
        <w:rPr>
          <w:rFonts w:ascii="Calibri" w:eastAsia="Times New Roman" w:hAnsi="Calibri" w:cs="Calibri"/>
          <w:color w:val="000000"/>
          <w:szCs w:val="22"/>
          <w:lang w:eastAsia="en-AU"/>
        </w:rPr>
        <w:t>manufacturing of satellite sub-systems</w:t>
      </w:r>
      <w:r w:rsidR="00DC49F8">
        <w:rPr>
          <w:rFonts w:ascii="Calibri" w:eastAsia="Times New Roman" w:hAnsi="Calibri" w:cs="Calibri"/>
          <w:color w:val="000000"/>
          <w:szCs w:val="22"/>
          <w:lang w:eastAsia="en-AU"/>
        </w:rPr>
        <w:t xml:space="preserve"> (such as </w:t>
      </w:r>
      <w:r w:rsidR="00DC49F8" w:rsidRPr="00DC49F8">
        <w:rPr>
          <w:rFonts w:ascii="Calibri" w:eastAsia="Times New Roman" w:hAnsi="Calibri" w:cs="Calibri"/>
          <w:color w:val="000000"/>
          <w:szCs w:val="22"/>
          <w:lang w:eastAsia="en-AU"/>
        </w:rPr>
        <w:t>high-performance optics, radio communications equipment, on-board data processing systems and other satellite components</w:t>
      </w:r>
      <w:r w:rsidR="00DC49F8">
        <w:rPr>
          <w:rFonts w:ascii="Calibri" w:eastAsia="Times New Roman" w:hAnsi="Calibri" w:cs="Calibri"/>
          <w:color w:val="000000"/>
          <w:szCs w:val="22"/>
          <w:lang w:eastAsia="en-AU"/>
        </w:rPr>
        <w:t>)</w:t>
      </w:r>
      <w:r w:rsidR="00DC49F8" w:rsidRPr="00DC49F8">
        <w:rPr>
          <w:rFonts w:ascii="Calibri" w:eastAsia="Times New Roman" w:hAnsi="Calibri" w:cs="Calibri"/>
          <w:color w:val="000000"/>
          <w:szCs w:val="22"/>
          <w:lang w:eastAsia="en-AU"/>
        </w:rPr>
        <w:t xml:space="preserve"> has emerged as a growing market for Australian manufacture</w:t>
      </w:r>
      <w:r w:rsidR="00DC49F8">
        <w:rPr>
          <w:rFonts w:ascii="Calibri" w:eastAsia="Times New Roman" w:hAnsi="Calibri" w:cs="Calibri"/>
          <w:color w:val="000000"/>
          <w:szCs w:val="22"/>
          <w:lang w:eastAsia="en-AU"/>
        </w:rPr>
        <w:t>rs</w:t>
      </w:r>
      <w:r w:rsidR="00DC49F8">
        <w:rPr>
          <w:rStyle w:val="FootnoteReference"/>
          <w:rFonts w:eastAsia="Times New Roman"/>
          <w:color w:val="000000"/>
          <w:szCs w:val="22"/>
          <w:lang w:eastAsia="en-AU"/>
        </w:rPr>
        <w:footnoteReference w:id="43"/>
      </w:r>
      <w:r w:rsidR="00C56168">
        <w:rPr>
          <w:rFonts w:ascii="Calibri" w:eastAsia="Times New Roman" w:hAnsi="Calibri" w:cs="Calibri"/>
          <w:color w:val="000000"/>
          <w:szCs w:val="22"/>
          <w:lang w:eastAsia="en-AU"/>
        </w:rPr>
        <w:t>.</w:t>
      </w:r>
      <w:r w:rsidR="000C0480">
        <w:rPr>
          <w:rFonts w:ascii="Calibri" w:eastAsia="Times New Roman" w:hAnsi="Calibri" w:cs="Calibri"/>
          <w:color w:val="000000"/>
          <w:szCs w:val="22"/>
          <w:lang w:eastAsia="en-AU"/>
        </w:rPr>
        <w:t xml:space="preserve"> </w:t>
      </w:r>
    </w:p>
    <w:p w14:paraId="3EB29720" w14:textId="44E64159" w:rsidR="000C0480" w:rsidRPr="000C30E0" w:rsidRDefault="000C0480" w:rsidP="00C238AC">
      <w:pPr>
        <w:tabs>
          <w:tab w:val="left" w:pos="2696"/>
        </w:tabs>
        <w:rPr>
          <w:color w:val="auto"/>
        </w:rPr>
      </w:pPr>
      <w:r w:rsidRPr="000C30E0">
        <w:rPr>
          <w:color w:val="auto"/>
        </w:rPr>
        <w:t xml:space="preserve">The Australian Government’s Modern Manufacturing Strategy identifies space as a priority area for action, as part of its commitment to scaling a strong, modern and resilient economy. The </w:t>
      </w:r>
      <w:r w:rsidR="00945EFB" w:rsidRPr="000C30E0">
        <w:rPr>
          <w:color w:val="auto"/>
        </w:rPr>
        <w:t xml:space="preserve">industry-led </w:t>
      </w:r>
      <w:r w:rsidRPr="000C30E0">
        <w:rPr>
          <w:color w:val="auto"/>
        </w:rPr>
        <w:t>space manufacturing road map being developed as part of the Modern Manufacturing Strategy will help to identify the roadblocks to scaling manufacturing in the space sector and actions to overcome them. Globally, it is estimated that satellite manufacturing generated $12.5 billion USD in revenues for FY19</w:t>
      </w:r>
      <w:r w:rsidR="003D6C7A">
        <w:rPr>
          <w:rStyle w:val="FootnoteReference"/>
          <w:color w:val="auto"/>
        </w:rPr>
        <w:footnoteReference w:id="44"/>
      </w:r>
      <w:r w:rsidRPr="000C30E0">
        <w:rPr>
          <w:rFonts w:ascii="Calibri" w:eastAsia="Times New Roman" w:hAnsi="Calibri" w:cs="Calibri"/>
          <w:color w:val="auto"/>
          <w:szCs w:val="22"/>
          <w:lang w:eastAsia="en-AU"/>
        </w:rPr>
        <w:t>.</w:t>
      </w:r>
    </w:p>
    <w:p w14:paraId="103FEF0F" w14:textId="13A16D4A" w:rsidR="007E1454" w:rsidRDefault="007E1454" w:rsidP="007E1454">
      <w:pPr>
        <w:tabs>
          <w:tab w:val="left" w:pos="2696"/>
        </w:tabs>
      </w:pPr>
      <w:bookmarkStart w:id="58" w:name="_Toc54790716"/>
      <w:bookmarkStart w:id="59" w:name="_Toc54791088"/>
      <w:bookmarkStart w:id="60" w:name="_Toc54794984"/>
      <w:bookmarkStart w:id="61" w:name="_Toc54796929"/>
      <w:bookmarkEnd w:id="58"/>
      <w:bookmarkEnd w:id="59"/>
      <w:bookmarkEnd w:id="60"/>
      <w:bookmarkEnd w:id="61"/>
      <w:r>
        <w:t xml:space="preserve">According to </w:t>
      </w:r>
      <w:proofErr w:type="spellStart"/>
      <w:r>
        <w:t>AlphaBeta</w:t>
      </w:r>
      <w:r w:rsidR="00F72B69">
        <w:t>’s</w:t>
      </w:r>
      <w:proofErr w:type="spellEnd"/>
      <w:r w:rsidR="00F72B69">
        <w:t xml:space="preserve"> analysis of the Australian space sector,</w:t>
      </w:r>
      <w:r>
        <w:t xml:space="preserve"> the o</w:t>
      </w:r>
      <w:r w:rsidRPr="00340BFA">
        <w:t>perations</w:t>
      </w:r>
      <w:r>
        <w:t xml:space="preserve"> value chain segment</w:t>
      </w:r>
      <w:r w:rsidRPr="00340BFA">
        <w:t xml:space="preserve"> </w:t>
      </w:r>
      <w:r w:rsidR="00F72B69">
        <w:t>provides a</w:t>
      </w:r>
      <w:r>
        <w:t xml:space="preserve"> potential global competitive advantage for Australia</w:t>
      </w:r>
      <w:r w:rsidR="001C3192">
        <w:t>.</w:t>
      </w:r>
      <w:r>
        <w:rPr>
          <w:rStyle w:val="FootnoteReference"/>
        </w:rPr>
        <w:footnoteReference w:id="45"/>
      </w:r>
      <w:r>
        <w:t xml:space="preserve"> </w:t>
      </w:r>
      <w:r w:rsidR="00654E3D">
        <w:t xml:space="preserve">The </w:t>
      </w:r>
      <w:r w:rsidR="00C56168">
        <w:t xml:space="preserve">Australian Government </w:t>
      </w:r>
      <w:r w:rsidR="00654E3D">
        <w:t>i</w:t>
      </w:r>
      <w:r w:rsidR="00C56168">
        <w:t>s ma</w:t>
      </w:r>
      <w:r w:rsidR="00654E3D">
        <w:t>king</w:t>
      </w:r>
      <w:r w:rsidR="008A4A57">
        <w:t xml:space="preserve"> significant investments in projects like</w:t>
      </w:r>
      <w:r w:rsidR="005E5D3D">
        <w:t xml:space="preserve"> the Satellite-Based Augmentation System</w:t>
      </w:r>
      <w:r w:rsidR="008A4A57">
        <w:t xml:space="preserve"> </w:t>
      </w:r>
      <w:r w:rsidR="005E5D3D">
        <w:t>(</w:t>
      </w:r>
      <w:r w:rsidR="008A4A57">
        <w:t>SBAS</w:t>
      </w:r>
      <w:r w:rsidR="005E5D3D">
        <w:t>)</w:t>
      </w:r>
      <w:r w:rsidR="008A4A57">
        <w:t xml:space="preserve"> and </w:t>
      </w:r>
      <w:r w:rsidR="005E5D3D">
        <w:t>the National Positioning Infrastructure Capability (</w:t>
      </w:r>
      <w:r w:rsidR="008A4A57">
        <w:t>NPIC</w:t>
      </w:r>
      <w:r w:rsidR="005E5D3D">
        <w:t>)</w:t>
      </w:r>
      <w:r w:rsidR="00654E3D">
        <w:t>.</w:t>
      </w:r>
      <w:r w:rsidR="003718CB">
        <w:t xml:space="preserve"> </w:t>
      </w:r>
      <w:r w:rsidR="00654E3D">
        <w:t>I</w:t>
      </w:r>
      <w:r w:rsidR="003718CB">
        <w:t>t is anticipated that</w:t>
      </w:r>
      <w:r w:rsidR="008A4A57">
        <w:t xml:space="preserve"> t</w:t>
      </w:r>
      <w:r w:rsidR="00FF1867">
        <w:t xml:space="preserve">he importance of </w:t>
      </w:r>
      <w:r w:rsidR="00C56168">
        <w:t xml:space="preserve">the </w:t>
      </w:r>
      <w:r w:rsidR="00FF1867">
        <w:t xml:space="preserve">space operations </w:t>
      </w:r>
      <w:r w:rsidR="00C56168">
        <w:t xml:space="preserve">segment </w:t>
      </w:r>
      <w:r w:rsidR="00FF1867">
        <w:t>will continue to increase. For example, d</w:t>
      </w:r>
      <w:r>
        <w:t xml:space="preserve">emand for </w:t>
      </w:r>
      <w:r w:rsidR="00F109A5">
        <w:t xml:space="preserve">access to </w:t>
      </w:r>
      <w:r>
        <w:t>space situational awareness and debris</w:t>
      </w:r>
      <w:r w:rsidRPr="00340BFA">
        <w:t xml:space="preserve"> </w:t>
      </w:r>
      <w:r>
        <w:t xml:space="preserve">monitoring services, a key priority area for the Agency, is only expected to increase as more satellites are launched into orbit. This </w:t>
      </w:r>
      <w:r w:rsidR="00F72B69">
        <w:t>extends</w:t>
      </w:r>
      <w:r>
        <w:t xml:space="preserve"> a significant opportunity for Australian </w:t>
      </w:r>
      <w:r w:rsidR="0098356A">
        <w:t>organisations</w:t>
      </w:r>
      <w:r>
        <w:t xml:space="preserve"> to build their capabilities </w:t>
      </w:r>
      <w:r w:rsidR="00FF1867">
        <w:t xml:space="preserve">and capacities </w:t>
      </w:r>
      <w:r>
        <w:t xml:space="preserve">to service </w:t>
      </w:r>
      <w:r w:rsidR="00FF1867">
        <w:t xml:space="preserve">these </w:t>
      </w:r>
      <w:r>
        <w:t>growing needs</w:t>
      </w:r>
      <w:r w:rsidRPr="007E1454">
        <w:t xml:space="preserve"> </w:t>
      </w:r>
      <w:r>
        <w:t>and cement Australia</w:t>
      </w:r>
      <w:r w:rsidR="008D1D09">
        <w:t xml:space="preserve">’s position </w:t>
      </w:r>
      <w:r>
        <w:t xml:space="preserve">as a </w:t>
      </w:r>
      <w:r w:rsidR="00C56168">
        <w:t>leading</w:t>
      </w:r>
      <w:r>
        <w:t xml:space="preserve"> global player in space operations.</w:t>
      </w:r>
    </w:p>
    <w:p w14:paraId="07DB4BE4" w14:textId="61937F04" w:rsidR="00F00F31" w:rsidRPr="00D95F76" w:rsidRDefault="00AC50CE" w:rsidP="00E65275">
      <w:pPr>
        <w:pStyle w:val="Heading3"/>
      </w:pPr>
      <w:bookmarkStart w:id="62" w:name="_Toc54791091"/>
      <w:bookmarkStart w:id="63" w:name="_Toc54794987"/>
      <w:bookmarkStart w:id="64" w:name="_Toc54796932"/>
      <w:r>
        <w:t>C</w:t>
      </w:r>
      <w:r w:rsidR="00284919">
        <w:t>o</w:t>
      </w:r>
      <w:r w:rsidR="0006043E">
        <w:t>ntribution</w:t>
      </w:r>
      <w:bookmarkEnd w:id="62"/>
      <w:bookmarkEnd w:id="63"/>
      <w:r w:rsidR="0006043E">
        <w:t xml:space="preserve"> </w:t>
      </w:r>
      <w:bookmarkEnd w:id="64"/>
      <w:r w:rsidR="00D41A24">
        <w:t>to GDP</w:t>
      </w:r>
    </w:p>
    <w:p w14:paraId="1A9F4E00" w14:textId="4349BCFD" w:rsidR="00FC7C64" w:rsidRDefault="00F00F31" w:rsidP="0056766F">
      <w:pPr>
        <w:spacing w:after="120" w:line="240" w:lineRule="auto"/>
      </w:pPr>
      <w:r>
        <w:t xml:space="preserve">A sector’s contribution to national </w:t>
      </w:r>
      <w:r w:rsidR="00FE4D9B">
        <w:t>G</w:t>
      </w:r>
      <w:r w:rsidR="00D41A24">
        <w:t xml:space="preserve">ross </w:t>
      </w:r>
      <w:r w:rsidR="00FE4D9B">
        <w:t>D</w:t>
      </w:r>
      <w:r w:rsidR="00D41A24">
        <w:t xml:space="preserve">omestic </w:t>
      </w:r>
      <w:r w:rsidR="00FE4D9B">
        <w:t>P</w:t>
      </w:r>
      <w:r w:rsidR="00D41A24">
        <w:t>roduct (</w:t>
      </w:r>
      <w:r w:rsidR="00CC37FB">
        <w:t>GDP</w:t>
      </w:r>
      <w:r w:rsidR="00D41A24">
        <w:t>)</w:t>
      </w:r>
      <w:r>
        <w:t xml:space="preserve"> </w:t>
      </w:r>
      <w:r w:rsidR="00CC37FB">
        <w:t>is an indicator for</w:t>
      </w:r>
      <w:r>
        <w:t xml:space="preserve"> the value it contributes to the </w:t>
      </w:r>
      <w:r w:rsidR="00CC37FB">
        <w:t>economy</w:t>
      </w:r>
      <w:r>
        <w:t xml:space="preserve">. </w:t>
      </w:r>
    </w:p>
    <w:p w14:paraId="44FE0BCE" w14:textId="618FB10F" w:rsidR="001C1965" w:rsidRDefault="00C5553F" w:rsidP="0056766F">
      <w:pPr>
        <w:spacing w:after="120" w:line="240" w:lineRule="auto"/>
      </w:pPr>
      <w:r w:rsidRPr="00220137">
        <w:rPr>
          <w:color w:val="000000" w:themeColor="text1"/>
        </w:rPr>
        <w:lastRenderedPageBreak/>
        <w:t>IBISWorld</w:t>
      </w:r>
      <w:r w:rsidR="00D97BE5">
        <w:rPr>
          <w:color w:val="000000" w:themeColor="text1"/>
        </w:rPr>
        <w:t>’s industry</w:t>
      </w:r>
      <w:r w:rsidRPr="00220137">
        <w:rPr>
          <w:color w:val="000000" w:themeColor="text1"/>
        </w:rPr>
        <w:t xml:space="preserve"> value added </w:t>
      </w:r>
      <w:r w:rsidR="00D97BE5" w:rsidRPr="00E87029">
        <w:rPr>
          <w:color w:val="000000" w:themeColor="text1"/>
        </w:rPr>
        <w:t xml:space="preserve">estimates </w:t>
      </w:r>
      <w:r w:rsidRPr="00220137">
        <w:rPr>
          <w:color w:val="000000" w:themeColor="text1"/>
        </w:rPr>
        <w:t xml:space="preserve">for the Australian space sector </w:t>
      </w:r>
      <w:r w:rsidR="00D97BE5">
        <w:rPr>
          <w:color w:val="000000" w:themeColor="text1"/>
        </w:rPr>
        <w:t>were</w:t>
      </w:r>
      <w:r w:rsidR="00D97BE5" w:rsidRPr="00220137">
        <w:rPr>
          <w:color w:val="000000" w:themeColor="text1"/>
        </w:rPr>
        <w:t xml:space="preserve"> </w:t>
      </w:r>
      <w:r w:rsidRPr="00220137">
        <w:rPr>
          <w:color w:val="000000" w:themeColor="text1"/>
        </w:rPr>
        <w:t>$</w:t>
      </w:r>
      <w:r w:rsidR="004803CC">
        <w:rPr>
          <w:color w:val="000000" w:themeColor="text1"/>
        </w:rPr>
        <w:t>1.8</w:t>
      </w:r>
      <w:r w:rsidR="00FC7C64" w:rsidRPr="00220137">
        <w:rPr>
          <w:color w:val="000000" w:themeColor="text1"/>
        </w:rPr>
        <w:t> </w:t>
      </w:r>
      <w:r w:rsidR="004803CC">
        <w:rPr>
          <w:color w:val="000000" w:themeColor="text1"/>
        </w:rPr>
        <w:t>billion</w:t>
      </w:r>
      <w:r w:rsidRPr="00220137">
        <w:rPr>
          <w:color w:val="000000" w:themeColor="text1"/>
        </w:rPr>
        <w:t xml:space="preserve"> in FY17 and $</w:t>
      </w:r>
      <w:r w:rsidR="004803CC">
        <w:rPr>
          <w:color w:val="000000" w:themeColor="text1"/>
        </w:rPr>
        <w:t>2</w:t>
      </w:r>
      <w:r w:rsidRPr="00220137">
        <w:rPr>
          <w:color w:val="000000" w:themeColor="text1"/>
        </w:rPr>
        <w:t xml:space="preserve"> </w:t>
      </w:r>
      <w:r w:rsidR="004803CC">
        <w:rPr>
          <w:color w:val="000000" w:themeColor="text1"/>
        </w:rPr>
        <w:t>billion</w:t>
      </w:r>
      <w:r w:rsidRPr="00220137">
        <w:rPr>
          <w:color w:val="000000" w:themeColor="text1"/>
        </w:rPr>
        <w:t xml:space="preserve"> in FY19</w:t>
      </w:r>
      <w:r w:rsidR="00D97BE5">
        <w:rPr>
          <w:rStyle w:val="FootnoteReference"/>
          <w:color w:val="000000" w:themeColor="text1"/>
        </w:rPr>
        <w:footnoteReference w:id="46"/>
      </w:r>
      <w:r w:rsidRPr="00220137">
        <w:rPr>
          <w:color w:val="000000" w:themeColor="text1"/>
        </w:rPr>
        <w:t xml:space="preserve">. This </w:t>
      </w:r>
      <w:r w:rsidR="00D7779F">
        <w:rPr>
          <w:color w:val="000000" w:themeColor="text1"/>
        </w:rPr>
        <w:t>equates to a</w:t>
      </w:r>
      <w:r w:rsidR="00FC7C64" w:rsidRPr="00220137">
        <w:rPr>
          <w:color w:val="000000" w:themeColor="text1"/>
        </w:rPr>
        <w:t xml:space="preserve"> contribution of approximately </w:t>
      </w:r>
      <w:r w:rsidR="004803CC">
        <w:rPr>
          <w:color w:val="000000" w:themeColor="text1"/>
        </w:rPr>
        <w:t>0.1</w:t>
      </w:r>
      <w:r w:rsidRPr="00220137">
        <w:rPr>
          <w:color w:val="000000" w:themeColor="text1"/>
        </w:rPr>
        <w:t xml:space="preserve"> per cent to GDP for FY19.</w:t>
      </w:r>
      <w:r w:rsidR="00FC7C64" w:rsidRPr="00220137">
        <w:rPr>
          <w:color w:val="000000" w:themeColor="text1"/>
        </w:rPr>
        <w:t xml:space="preserve"> </w:t>
      </w:r>
      <w:r w:rsidR="00D7779F">
        <w:rPr>
          <w:color w:val="000000" w:themeColor="text1"/>
        </w:rPr>
        <w:t xml:space="preserve">Note, the Agency did not estimate value added and is therefore using IBISWorld’s estimate. </w:t>
      </w:r>
      <w:r w:rsidR="00FC7C64">
        <w:t xml:space="preserve">Further discussion of differences between </w:t>
      </w:r>
      <w:r w:rsidR="0009078A">
        <w:t xml:space="preserve">previous </w:t>
      </w:r>
      <w:r w:rsidR="00FC7C64">
        <w:t>studies is in Appendix B.</w:t>
      </w:r>
    </w:p>
    <w:p w14:paraId="7B1C2F67" w14:textId="6876270A" w:rsidR="00A54150" w:rsidRDefault="00FC7C64" w:rsidP="0056766F">
      <w:pPr>
        <w:spacing w:after="120" w:line="240" w:lineRule="auto"/>
      </w:pPr>
      <w:r w:rsidRPr="00FC7C64">
        <w:t>S</w:t>
      </w:r>
      <w:r w:rsidR="00C5553F" w:rsidRPr="00FC7C64">
        <w:t xml:space="preserve">pace sector contributions to </w:t>
      </w:r>
      <w:r w:rsidR="003A44E7" w:rsidRPr="00FC7C64">
        <w:t xml:space="preserve">GDP are </w:t>
      </w:r>
      <w:r w:rsidR="008641BE">
        <w:t xml:space="preserve">usually </w:t>
      </w:r>
      <w:r w:rsidR="003A44E7" w:rsidRPr="00FC7C64">
        <w:t>higher in leading space nations such as the US (1</w:t>
      </w:r>
      <w:r w:rsidR="00244BF8" w:rsidRPr="00FC7C64">
        <w:t xml:space="preserve"> </w:t>
      </w:r>
      <w:r w:rsidR="002357A2" w:rsidRPr="00FC7C64">
        <w:t>per cent</w:t>
      </w:r>
      <w:r w:rsidR="003A44E7" w:rsidRPr="00FC7C64">
        <w:t xml:space="preserve"> of GDP) and the UK (0.7</w:t>
      </w:r>
      <w:r w:rsidR="00244BF8" w:rsidRPr="00FC7C64">
        <w:t xml:space="preserve"> </w:t>
      </w:r>
      <w:r w:rsidR="002357A2" w:rsidRPr="00FC7C64">
        <w:t>per cent</w:t>
      </w:r>
      <w:r w:rsidR="003A44E7" w:rsidRPr="00FC7C64">
        <w:t xml:space="preserve"> of GDP)</w:t>
      </w:r>
      <w:r w:rsidR="00F93313">
        <w:rPr>
          <w:rStyle w:val="FootnoteReference"/>
        </w:rPr>
        <w:footnoteReference w:id="47"/>
      </w:r>
      <w:r w:rsidR="003A44E7" w:rsidRPr="00FC7C64">
        <w:t>. The Australian space sector</w:t>
      </w:r>
      <w:r w:rsidR="00417BDD" w:rsidRPr="00FC7C64">
        <w:t>’s lower</w:t>
      </w:r>
      <w:r w:rsidR="003A44E7" w:rsidRPr="00FC7C64">
        <w:t xml:space="preserve"> contribution is reflective of the sector’s nascent </w:t>
      </w:r>
      <w:r w:rsidRPr="00FC7C64">
        <w:t>status in FY17 and FY19</w:t>
      </w:r>
      <w:r w:rsidR="003A44E7" w:rsidRPr="00FC7C64">
        <w:t>.</w:t>
      </w:r>
    </w:p>
    <w:p w14:paraId="763E17E8" w14:textId="4BE0421C" w:rsidR="00322325" w:rsidRPr="00D95F76" w:rsidRDefault="00322325" w:rsidP="000F34AD">
      <w:pPr>
        <w:pStyle w:val="Heading2"/>
        <w:numPr>
          <w:ilvl w:val="1"/>
          <w:numId w:val="58"/>
        </w:numPr>
      </w:pPr>
      <w:bookmarkStart w:id="65" w:name="_Toc54791092"/>
      <w:bookmarkStart w:id="66" w:name="_Toc54794988"/>
      <w:bookmarkStart w:id="67" w:name="_Toc54796933"/>
      <w:bookmarkStart w:id="68" w:name="_Toc55990314"/>
      <w:bookmarkStart w:id="69" w:name="_Toc62635443"/>
      <w:proofErr w:type="spellStart"/>
      <w:r>
        <w:t>S</w:t>
      </w:r>
      <w:r w:rsidR="0006043E">
        <w:t>pillover</w:t>
      </w:r>
      <w:proofErr w:type="spellEnd"/>
      <w:r w:rsidR="0006043E">
        <w:t xml:space="preserve"> benefits</w:t>
      </w:r>
      <w:bookmarkEnd w:id="65"/>
      <w:bookmarkEnd w:id="66"/>
      <w:bookmarkEnd w:id="67"/>
      <w:bookmarkEnd w:id="68"/>
      <w:bookmarkEnd w:id="69"/>
    </w:p>
    <w:p w14:paraId="47281D16" w14:textId="0B76022F" w:rsidR="00322325" w:rsidRDefault="00323455" w:rsidP="00322325">
      <w:pPr>
        <w:spacing w:after="120" w:line="240" w:lineRule="auto"/>
      </w:pPr>
      <w:r>
        <w:t xml:space="preserve">Growth in the space sector translates to growing benefits to the broader economy, as a large portion of value generated from space activities is delivered through </w:t>
      </w:r>
      <w:proofErr w:type="spellStart"/>
      <w:r>
        <w:t>spillover</w:t>
      </w:r>
      <w:proofErr w:type="spellEnd"/>
      <w:r>
        <w:t xml:space="preserve"> benefits (such as productivity and efficiency gains). </w:t>
      </w:r>
      <w:r w:rsidR="00322325">
        <w:t xml:space="preserve">To date, there has been a significant global effort to understand and value the </w:t>
      </w:r>
      <w:proofErr w:type="spellStart"/>
      <w:r w:rsidR="00322325">
        <w:t>spillover</w:t>
      </w:r>
      <w:proofErr w:type="spellEnd"/>
      <w:r w:rsidR="00322325">
        <w:t xml:space="preserve"> benefits of investi</w:t>
      </w:r>
      <w:r w:rsidR="00271264">
        <w:t>ng in space-related activities.</w:t>
      </w:r>
      <w:r w:rsidR="00C26676">
        <w:t xml:space="preserve"> International research suggests that a large portion of value from space activities is realised through indirect jobs, indirect revenues and other </w:t>
      </w:r>
      <w:proofErr w:type="spellStart"/>
      <w:r w:rsidR="00C26676">
        <w:t>spillovers</w:t>
      </w:r>
      <w:proofErr w:type="spellEnd"/>
      <w:r w:rsidR="00C26676">
        <w:rPr>
          <w:rStyle w:val="FootnoteReference"/>
        </w:rPr>
        <w:footnoteReference w:id="48"/>
      </w:r>
      <w:r w:rsidR="00C26676">
        <w:t>.</w:t>
      </w:r>
    </w:p>
    <w:p w14:paraId="038CBA59" w14:textId="3AA903BE" w:rsidR="0017596E" w:rsidRPr="00145ACE" w:rsidRDefault="00322325" w:rsidP="00271264">
      <w:pPr>
        <w:spacing w:after="120" w:line="240" w:lineRule="auto"/>
        <w:rPr>
          <w:color w:val="004976" w:themeColor="accent1"/>
        </w:rPr>
      </w:pPr>
      <w:r>
        <w:t xml:space="preserve">While it is difficult to quantify the </w:t>
      </w:r>
      <w:proofErr w:type="spellStart"/>
      <w:r>
        <w:t>spillover</w:t>
      </w:r>
      <w:proofErr w:type="spellEnd"/>
      <w:r>
        <w:t xml:space="preserve"> value </w:t>
      </w:r>
      <w:r w:rsidR="00271264">
        <w:t xml:space="preserve">stemming from </w:t>
      </w:r>
      <w:r>
        <w:t xml:space="preserve">the space sector, broader benefits </w:t>
      </w:r>
      <w:r w:rsidR="003E47D7">
        <w:t xml:space="preserve">and opportunities to maximise them </w:t>
      </w:r>
      <w:r>
        <w:t>are apparent across the economy. For example new</w:t>
      </w:r>
      <w:r w:rsidR="0058559E">
        <w:t xml:space="preserve"> </w:t>
      </w:r>
      <w:r>
        <w:t>remote</w:t>
      </w:r>
      <w:r w:rsidR="00D20DA5">
        <w:t xml:space="preserve"> and extreme environment </w:t>
      </w:r>
      <w:r>
        <w:t xml:space="preserve">medicine techniques can assist rural </w:t>
      </w:r>
      <w:r w:rsidR="00D20DA5">
        <w:t>medical</w:t>
      </w:r>
      <w:r w:rsidR="007A7570">
        <w:t xml:space="preserve"> practices</w:t>
      </w:r>
      <w:r>
        <w:t xml:space="preserve">, advancements in robotics can automate </w:t>
      </w:r>
      <w:r w:rsidR="00D20DA5">
        <w:t>agricultural activities</w:t>
      </w:r>
      <w:r>
        <w:t>, helping farmers manage their land</w:t>
      </w:r>
      <w:r w:rsidR="0058559E">
        <w:t>, and next generation communication technologies can improve connectivity on Earth</w:t>
      </w:r>
      <w:r w:rsidR="00D443CD">
        <w:t xml:space="preserve"> – all of which have potential to generate additional economic activity and productivity</w:t>
      </w:r>
      <w:r>
        <w:t>.</w:t>
      </w:r>
      <w:bookmarkStart w:id="70" w:name="_Toc54342166"/>
      <w:bookmarkStart w:id="71" w:name="_Toc54794990"/>
      <w:bookmarkStart w:id="72" w:name="_Toc37336901"/>
      <w:bookmarkStart w:id="73" w:name="_Toc37691788"/>
      <w:bookmarkStart w:id="74" w:name="_Toc37941693"/>
      <w:bookmarkStart w:id="75" w:name="_Toc38007853"/>
      <w:r w:rsidR="0017596E">
        <w:br w:type="page"/>
      </w:r>
    </w:p>
    <w:p w14:paraId="37866948" w14:textId="2DD38359" w:rsidR="00D35518" w:rsidRPr="00207A38" w:rsidRDefault="0017596E" w:rsidP="00654E3D">
      <w:pPr>
        <w:pStyle w:val="Heading1"/>
        <w:numPr>
          <w:ilvl w:val="0"/>
          <w:numId w:val="49"/>
        </w:numPr>
        <w:ind w:hanging="720"/>
      </w:pPr>
      <w:bookmarkStart w:id="76" w:name="_Toc55990315"/>
      <w:bookmarkStart w:id="77" w:name="_Toc62635444"/>
      <w:r>
        <w:lastRenderedPageBreak/>
        <w:t>Looking forward</w:t>
      </w:r>
      <w:bookmarkEnd w:id="70"/>
      <w:bookmarkEnd w:id="71"/>
      <w:bookmarkEnd w:id="76"/>
      <w:bookmarkEnd w:id="77"/>
    </w:p>
    <w:bookmarkEnd w:id="72"/>
    <w:bookmarkEnd w:id="73"/>
    <w:bookmarkEnd w:id="74"/>
    <w:bookmarkEnd w:id="75"/>
    <w:p w14:paraId="6A468CCF" w14:textId="05B30FC9" w:rsidR="00A83370" w:rsidRDefault="005B4F4E" w:rsidP="005B4F4E">
      <w:r>
        <w:t xml:space="preserve">To complement the historical assessment of Australia’s space sector in Chapters 3 and 4, this </w:t>
      </w:r>
      <w:r w:rsidR="00170FEC">
        <w:t>c</w:t>
      </w:r>
      <w:r w:rsidR="00C3089E">
        <w:t xml:space="preserve">hapter </w:t>
      </w:r>
      <w:r>
        <w:t xml:space="preserve">provides a forward-looking assessment of the sector’s potential future growth. It examines future capital investment </w:t>
      </w:r>
      <w:r w:rsidR="005107B0">
        <w:t>i</w:t>
      </w:r>
      <w:r>
        <w:t>n Australia’s civil space sector and touches on possible impacts of the COVID-19 global pandemic on Australia’s space sector.</w:t>
      </w:r>
    </w:p>
    <w:p w14:paraId="35F28939" w14:textId="7F8BF841" w:rsidR="0017596E" w:rsidRDefault="0017596E" w:rsidP="00654E3D">
      <w:pPr>
        <w:pStyle w:val="Heading2"/>
        <w:numPr>
          <w:ilvl w:val="1"/>
          <w:numId w:val="61"/>
        </w:numPr>
      </w:pPr>
      <w:bookmarkStart w:id="78" w:name="_Toc55990316"/>
      <w:bookmarkStart w:id="79" w:name="_Toc62635445"/>
      <w:r>
        <w:t>Investment pipeline</w:t>
      </w:r>
      <w:bookmarkEnd w:id="78"/>
      <w:bookmarkEnd w:id="79"/>
    </w:p>
    <w:p w14:paraId="588FC4C8" w14:textId="77777777" w:rsidR="00D87089" w:rsidRDefault="00A07421" w:rsidP="00D87089">
      <w:r>
        <w:t xml:space="preserve">The </w:t>
      </w:r>
      <w:r w:rsidR="009936AE">
        <w:t>p</w:t>
      </w:r>
      <w:r w:rsidR="009936AE" w:rsidRPr="004B23CD">
        <w:t xml:space="preserve">ipeline </w:t>
      </w:r>
      <w:r w:rsidR="004D7601">
        <w:t xml:space="preserve">of </w:t>
      </w:r>
      <w:r>
        <w:t xml:space="preserve">planned </w:t>
      </w:r>
      <w:r w:rsidR="009936AE" w:rsidRPr="004B23CD">
        <w:t>investment</w:t>
      </w:r>
      <w:r>
        <w:t>s</w:t>
      </w:r>
      <w:r w:rsidR="009936AE" w:rsidRPr="004B23CD">
        <w:t xml:space="preserve"> </w:t>
      </w:r>
      <w:r>
        <w:t xml:space="preserve">in </w:t>
      </w:r>
      <w:r w:rsidR="009936AE" w:rsidRPr="004B23CD">
        <w:t>civil space sector</w:t>
      </w:r>
      <w:r w:rsidR="004D7601">
        <w:t xml:space="preserve"> projects</w:t>
      </w:r>
      <w:r w:rsidR="009936AE" w:rsidRPr="004B23CD">
        <w:t>, including R&amp;D investment,</w:t>
      </w:r>
      <w:r w:rsidR="009936AE">
        <w:t xml:space="preserve"> </w:t>
      </w:r>
      <w:r w:rsidR="00987CB9">
        <w:t>provides</w:t>
      </w:r>
      <w:r w:rsidR="00987CB9" w:rsidRPr="004B23CD">
        <w:t xml:space="preserve"> </w:t>
      </w:r>
      <w:r w:rsidR="009936AE" w:rsidRPr="004B23CD">
        <w:t>an important leading indicator for</w:t>
      </w:r>
      <w:r w:rsidR="005E69B7">
        <w:t xml:space="preserve"> its future</w:t>
      </w:r>
      <w:r w:rsidR="009936AE" w:rsidRPr="004B23CD">
        <w:t xml:space="preserve"> growth.</w:t>
      </w:r>
      <w:r w:rsidR="007E1BFD">
        <w:t xml:space="preserve"> </w:t>
      </w:r>
    </w:p>
    <w:p w14:paraId="55E3492D" w14:textId="7D3A9BF9" w:rsidR="009B20A0" w:rsidRDefault="00D87089" w:rsidP="009B20A0">
      <w:r>
        <w:t xml:space="preserve">As at September 2020, the Agency estimated investment activity in the period </w:t>
      </w:r>
      <w:r w:rsidRPr="00E838C3">
        <w:t xml:space="preserve">2018 </w:t>
      </w:r>
      <w:r>
        <w:t xml:space="preserve">to </w:t>
      </w:r>
      <w:r w:rsidRPr="00E838C3">
        <w:t xml:space="preserve">2028 </w:t>
      </w:r>
      <w:r>
        <w:t xml:space="preserve">of around </w:t>
      </w:r>
      <w:r w:rsidRPr="0066661A">
        <w:t>$2</w:t>
      </w:r>
      <w:r>
        <w:t> </w:t>
      </w:r>
      <w:r w:rsidRPr="0066661A">
        <w:t>billion</w:t>
      </w:r>
      <w:r>
        <w:t xml:space="preserve"> </w:t>
      </w:r>
      <w:r w:rsidR="009B20A0">
        <w:t xml:space="preserve">associated </w:t>
      </w:r>
      <w:r w:rsidR="009B20A0" w:rsidRPr="00284919">
        <w:t xml:space="preserve">with </w:t>
      </w:r>
      <w:r w:rsidRPr="00284919">
        <w:t xml:space="preserve">90 </w:t>
      </w:r>
      <w:r w:rsidR="00890F4F">
        <w:t xml:space="preserve">identified </w:t>
      </w:r>
      <w:r w:rsidRPr="00284919">
        <w:t xml:space="preserve">projects. </w:t>
      </w:r>
      <w:r w:rsidR="009B20A0" w:rsidRPr="00284919">
        <w:t>Some</w:t>
      </w:r>
      <w:r w:rsidR="00637BAD">
        <w:t xml:space="preserve"> </w:t>
      </w:r>
      <w:r w:rsidR="009B20A0">
        <w:t>examples of recent investments in the sector include:</w:t>
      </w:r>
    </w:p>
    <w:p w14:paraId="0B7B310C" w14:textId="77777777" w:rsidR="009B20A0" w:rsidRDefault="009B20A0" w:rsidP="009B20A0">
      <w:pPr>
        <w:pStyle w:val="ListParagraph"/>
        <w:numPr>
          <w:ilvl w:val="0"/>
          <w:numId w:val="40"/>
        </w:numPr>
        <w:spacing w:after="120" w:line="240" w:lineRule="auto"/>
      </w:pPr>
      <w:r>
        <w:t xml:space="preserve">A </w:t>
      </w:r>
      <w:r w:rsidRPr="0038427B">
        <w:t>$3 million</w:t>
      </w:r>
      <w:r>
        <w:t xml:space="preserve"> Australian Government grant</w:t>
      </w:r>
      <w:r w:rsidRPr="0038427B">
        <w:t xml:space="preserve"> to manufacture lightweight rocket fuel tanks </w:t>
      </w:r>
      <w:r>
        <w:t>and</w:t>
      </w:r>
      <w:r w:rsidRPr="0038427B">
        <w:t xml:space="preserve"> make space </w:t>
      </w:r>
      <w:r>
        <w:t xml:space="preserve">transport </w:t>
      </w:r>
      <w:r w:rsidRPr="0038427B">
        <w:t>more affordable</w:t>
      </w:r>
      <w:r>
        <w:t xml:space="preserve"> – A collaboration between G</w:t>
      </w:r>
      <w:r w:rsidRPr="00217699">
        <w:t xml:space="preserve">ilmour Space Technologies, </w:t>
      </w:r>
      <w:proofErr w:type="spellStart"/>
      <w:r w:rsidRPr="00217699">
        <w:t>Teakle</w:t>
      </w:r>
      <w:proofErr w:type="spellEnd"/>
      <w:r w:rsidRPr="00217699">
        <w:t xml:space="preserve"> Composites </w:t>
      </w:r>
      <w:r>
        <w:t xml:space="preserve">and the </w:t>
      </w:r>
      <w:r w:rsidRPr="00217699">
        <w:t>University of Southern Queensland</w:t>
      </w:r>
      <w:r>
        <w:t>.</w:t>
      </w:r>
      <w:r w:rsidRPr="00217699">
        <w:t xml:space="preserve"> </w:t>
      </w:r>
    </w:p>
    <w:p w14:paraId="101549D7" w14:textId="77777777" w:rsidR="009B20A0" w:rsidRDefault="009B20A0" w:rsidP="009B20A0">
      <w:pPr>
        <w:pStyle w:val="ListParagraph"/>
        <w:numPr>
          <w:ilvl w:val="0"/>
          <w:numId w:val="40"/>
        </w:numPr>
        <w:spacing w:after="120" w:line="240" w:lineRule="auto"/>
      </w:pPr>
      <w:r>
        <w:t>The $15 million International Space Investment initiative (funded by the Agency) also attracted just over $2 million in cash co-contributions from industry, universities and international space agencies. It also attracted a significant amount of in-kind contributions (not included in the pipeline value).</w:t>
      </w:r>
    </w:p>
    <w:p w14:paraId="1BBE8497" w14:textId="77777777" w:rsidR="009B20A0" w:rsidRDefault="009B20A0" w:rsidP="009B20A0">
      <w:pPr>
        <w:pStyle w:val="ListParagraph"/>
        <w:numPr>
          <w:ilvl w:val="0"/>
          <w:numId w:val="40"/>
        </w:numPr>
        <w:spacing w:after="120" w:line="240" w:lineRule="auto"/>
      </w:pPr>
      <w:proofErr w:type="spellStart"/>
      <w:r>
        <w:t>Myriota</w:t>
      </w:r>
      <w:proofErr w:type="spellEnd"/>
      <w:r>
        <w:t xml:space="preserve"> raised</w:t>
      </w:r>
      <w:r w:rsidRPr="003D5CCA">
        <w:t xml:space="preserve"> $28</w:t>
      </w:r>
      <w:r>
        <w:t xml:space="preserve"> million in Series B f</w:t>
      </w:r>
      <w:r w:rsidRPr="003D5CCA">
        <w:t xml:space="preserve">unding to </w:t>
      </w:r>
      <w:r>
        <w:t>g</w:t>
      </w:r>
      <w:r w:rsidRPr="003D5CCA">
        <w:t xml:space="preserve">row its </w:t>
      </w:r>
      <w:r>
        <w:t>s</w:t>
      </w:r>
      <w:r w:rsidRPr="003D5CCA">
        <w:t xml:space="preserve">atellite </w:t>
      </w:r>
      <w:r>
        <w:t>network.</w:t>
      </w:r>
    </w:p>
    <w:p w14:paraId="76F15345" w14:textId="77777777" w:rsidR="009B20A0" w:rsidRDefault="009B20A0" w:rsidP="009B20A0">
      <w:pPr>
        <w:pStyle w:val="ListParagraph"/>
        <w:numPr>
          <w:ilvl w:val="0"/>
          <w:numId w:val="40"/>
        </w:numPr>
        <w:spacing w:after="120" w:line="240" w:lineRule="auto"/>
      </w:pPr>
      <w:r w:rsidRPr="003D5CCA">
        <w:t>Fleet Space Technologies raised $10.8</w:t>
      </w:r>
      <w:r>
        <w:t xml:space="preserve"> </w:t>
      </w:r>
      <w:r w:rsidRPr="003D5CCA">
        <w:t>m</w:t>
      </w:r>
      <w:r>
        <w:t>illion</w:t>
      </w:r>
      <w:r w:rsidRPr="003D5CCA">
        <w:t xml:space="preserve"> to fund </w:t>
      </w:r>
      <w:r>
        <w:t>I</w:t>
      </w:r>
      <w:r w:rsidRPr="003D5CCA">
        <w:t xml:space="preserve">nternet of </w:t>
      </w:r>
      <w:r>
        <w:t>T</w:t>
      </w:r>
      <w:r w:rsidRPr="003D5CCA">
        <w:t>hings (</w:t>
      </w:r>
      <w:proofErr w:type="spellStart"/>
      <w:r w:rsidRPr="003D5CCA">
        <w:t>IoT</w:t>
      </w:r>
      <w:proofErr w:type="spellEnd"/>
      <w:r w:rsidRPr="003D5CCA">
        <w:t xml:space="preserve">) connectivity to remote industries using nanosatellites. </w:t>
      </w:r>
    </w:p>
    <w:p w14:paraId="231463AC" w14:textId="77777777" w:rsidR="009B20A0" w:rsidRDefault="009B20A0" w:rsidP="009B20A0">
      <w:pPr>
        <w:pStyle w:val="ListParagraph"/>
        <w:numPr>
          <w:ilvl w:val="0"/>
          <w:numId w:val="40"/>
        </w:numPr>
        <w:spacing w:after="120" w:line="240" w:lineRule="auto"/>
      </w:pPr>
      <w:r w:rsidRPr="00B95302">
        <w:t xml:space="preserve">The </w:t>
      </w:r>
      <w:r>
        <w:t xml:space="preserve">Australian Government’s </w:t>
      </w:r>
      <w:r w:rsidRPr="00B95302">
        <w:t>$19.5 million Space Infrastructure Fund aims to increase capability and fill gaps in Australia’s space infrastructure.</w:t>
      </w:r>
    </w:p>
    <w:p w14:paraId="478525F4" w14:textId="01C0233F" w:rsidR="00105904" w:rsidRDefault="00105904" w:rsidP="00105904">
      <w:r>
        <w:t>Though many defence</w:t>
      </w:r>
      <w:r>
        <w:noBreakHyphen/>
        <w:t>related space investments are likely to impact the civil space sector, defence space investments have not been accounted for in this civil space capital investment pipeline.</w:t>
      </w:r>
      <w:r w:rsidRPr="00D87089">
        <w:t xml:space="preserve"> </w:t>
      </w:r>
      <w:r>
        <w:t>For example, while the Australian Government will invest $7 billion in defence-related space capabilities, including investing in Australia’s first fully owned and controlled military satellite communication constellation</w:t>
      </w:r>
      <w:r>
        <w:rPr>
          <w:rStyle w:val="FootnoteReference"/>
        </w:rPr>
        <w:footnoteReference w:id="49"/>
      </w:r>
      <w:r>
        <w:t xml:space="preserve">, this is not captured in the civil space investment pipeline. </w:t>
      </w:r>
    </w:p>
    <w:p w14:paraId="2136240D" w14:textId="235131B0" w:rsidR="009B20A0" w:rsidRDefault="009B20A0" w:rsidP="009B20A0">
      <w:pPr>
        <w:pStyle w:val="Heading3"/>
      </w:pPr>
      <w:r>
        <w:t>Investment by source</w:t>
      </w:r>
    </w:p>
    <w:p w14:paraId="03ECE19D" w14:textId="2AB524D7" w:rsidR="0057310D" w:rsidRDefault="00C7160F" w:rsidP="00D87089">
      <w:r>
        <w:t>Table</w:t>
      </w:r>
      <w:r w:rsidR="00A30D0A">
        <w:t> 10</w:t>
      </w:r>
      <w:r w:rsidR="009A043B">
        <w:t xml:space="preserve"> </w:t>
      </w:r>
      <w:r w:rsidR="005E3FD0">
        <w:t xml:space="preserve">shows </w:t>
      </w:r>
      <w:r>
        <w:t xml:space="preserve">a breakdown </w:t>
      </w:r>
      <w:r w:rsidR="003912A4">
        <w:t xml:space="preserve">of investment identified by the Agency, grouped </w:t>
      </w:r>
      <w:r>
        <w:t>by fundin</w:t>
      </w:r>
      <w:r w:rsidR="00A07421">
        <w:t>g sources.</w:t>
      </w:r>
    </w:p>
    <w:p w14:paraId="4DEFB777" w14:textId="6D29E860" w:rsidR="009936AE" w:rsidRPr="00F77D18" w:rsidRDefault="00620757" w:rsidP="00EA52D0">
      <w:pPr>
        <w:pStyle w:val="TableHeading"/>
      </w:pPr>
      <w:r w:rsidRPr="00F77D18">
        <w:t>Table</w:t>
      </w:r>
      <w:r w:rsidR="00A30D0A">
        <w:t> 10</w:t>
      </w:r>
      <w:r w:rsidRPr="00F77D18">
        <w:t xml:space="preserve">: </w:t>
      </w:r>
      <w:r w:rsidR="009936AE" w:rsidRPr="00F77D18">
        <w:t xml:space="preserve">Civil space committed capital pipeline for 2018-2028 by source of capital (as at </w:t>
      </w:r>
      <w:r w:rsidR="00F03777" w:rsidRPr="00F77D18">
        <w:t xml:space="preserve">September </w:t>
      </w:r>
      <w:r w:rsidR="009936AE" w:rsidRPr="00F77D18">
        <w:t>2020)</w:t>
      </w:r>
      <w:r w:rsidR="0079560F" w:rsidRPr="00F77D18">
        <w:t xml:space="preserve"> </w:t>
      </w:r>
    </w:p>
    <w:tbl>
      <w:tblPr>
        <w:tblStyle w:val="ASATable"/>
        <w:tblW w:w="9564" w:type="dxa"/>
        <w:tblInd w:w="-2" w:type="dxa"/>
        <w:tblLook w:val="0420" w:firstRow="1" w:lastRow="0" w:firstColumn="0" w:lastColumn="0" w:noHBand="0" w:noVBand="1"/>
        <w:tblCaption w:val="Civil space committed capital pipeline for 2018-2028 by source of capital (as at September 2020)"/>
        <w:tblDescription w:val="Total Australian civil space capital pipeline between 2018-2028 is at $2.0217 billion. This includes, $1.0964 billion from the Australian Government investment, $627.5 million from industry, $136.5 million from international space agencies, $111.3 million from state governments, $39.5 million from universities and $10.6 million from private foundations. "/>
      </w:tblPr>
      <w:tblGrid>
        <w:gridCol w:w="7229"/>
        <w:gridCol w:w="1132"/>
        <w:gridCol w:w="1203"/>
      </w:tblGrid>
      <w:tr w:rsidR="009936AE" w:rsidRPr="00C46321" w14:paraId="7FEB2C69" w14:textId="77777777" w:rsidTr="00F77D18">
        <w:trPr>
          <w:cnfStyle w:val="100000000000" w:firstRow="1" w:lastRow="0" w:firstColumn="0" w:lastColumn="0" w:oddVBand="0" w:evenVBand="0" w:oddHBand="0" w:evenHBand="0" w:firstRowFirstColumn="0" w:firstRowLastColumn="0" w:lastRowFirstColumn="0" w:lastRowLastColumn="0"/>
          <w:trHeight w:val="76"/>
        </w:trPr>
        <w:tc>
          <w:tcPr>
            <w:tcW w:w="7229" w:type="dxa"/>
            <w:shd w:val="clear" w:color="auto" w:fill="004976" w:themeFill="accent1"/>
            <w:hideMark/>
          </w:tcPr>
          <w:p w14:paraId="005E41C0" w14:textId="5B0948A7" w:rsidR="009936AE" w:rsidRPr="00AA79ED" w:rsidRDefault="00F05D9E">
            <w:pPr>
              <w:jc w:val="both"/>
              <w:rPr>
                <w:rFonts w:ascii="Calibri" w:eastAsia="Times New Roman" w:hAnsi="Calibri" w:cs="Calibri"/>
                <w:b/>
                <w:bCs/>
                <w:color w:val="auto"/>
                <w:sz w:val="18"/>
                <w:szCs w:val="18"/>
                <w:lang w:eastAsia="en-AU"/>
              </w:rPr>
            </w:pPr>
            <w:r>
              <w:rPr>
                <w:rFonts w:ascii="Calibri" w:eastAsia="Times New Roman" w:hAnsi="Calibri" w:cs="Calibri"/>
                <w:b/>
                <w:bCs/>
                <w:color w:val="auto"/>
                <w:sz w:val="18"/>
                <w:szCs w:val="18"/>
                <w:lang w:eastAsia="en-AU"/>
              </w:rPr>
              <w:t>SOURCE OF CAPITAL</w:t>
            </w:r>
          </w:p>
        </w:tc>
        <w:tc>
          <w:tcPr>
            <w:tcW w:w="1132" w:type="dxa"/>
            <w:shd w:val="clear" w:color="auto" w:fill="004976" w:themeFill="accent1"/>
            <w:hideMark/>
          </w:tcPr>
          <w:p w14:paraId="3B0D1D58" w14:textId="77777777" w:rsidR="009936AE" w:rsidRPr="00D95F76" w:rsidRDefault="009936AE" w:rsidP="00D95F76">
            <w:pPr>
              <w:spacing w:after="0" w:line="240" w:lineRule="auto"/>
              <w:jc w:val="right"/>
              <w:rPr>
                <w:rFonts w:ascii="Calibri" w:eastAsia="Times New Roman" w:hAnsi="Calibri" w:cs="Calibri"/>
                <w:b/>
                <w:bCs/>
                <w:color w:val="FFFFFF"/>
                <w:sz w:val="18"/>
                <w:szCs w:val="18"/>
                <w:lang w:eastAsia="en-AU"/>
              </w:rPr>
            </w:pPr>
            <w:r w:rsidRPr="00F5572C">
              <w:rPr>
                <w:rFonts w:ascii="Calibri" w:eastAsia="Times New Roman" w:hAnsi="Calibri" w:cs="Calibri"/>
                <w:b/>
                <w:bCs/>
                <w:color w:val="FFFFFF"/>
                <w:sz w:val="18"/>
                <w:szCs w:val="18"/>
                <w:lang w:eastAsia="en-AU"/>
              </w:rPr>
              <w:t>$m</w:t>
            </w:r>
          </w:p>
        </w:tc>
        <w:tc>
          <w:tcPr>
            <w:tcW w:w="1203" w:type="dxa"/>
            <w:shd w:val="clear" w:color="auto" w:fill="004976" w:themeFill="accent1"/>
            <w:hideMark/>
          </w:tcPr>
          <w:p w14:paraId="012B9476" w14:textId="77777777" w:rsidR="009936AE" w:rsidRPr="00D95F76" w:rsidRDefault="009936AE" w:rsidP="00D95F76">
            <w:pPr>
              <w:spacing w:after="0" w:line="240" w:lineRule="auto"/>
              <w:jc w:val="right"/>
              <w:rPr>
                <w:rFonts w:ascii="Calibri" w:eastAsia="Times New Roman" w:hAnsi="Calibri" w:cs="Calibri"/>
                <w:b/>
                <w:bCs/>
                <w:color w:val="FFFFFF"/>
                <w:sz w:val="18"/>
                <w:szCs w:val="18"/>
                <w:lang w:eastAsia="en-AU"/>
              </w:rPr>
            </w:pPr>
            <w:r w:rsidRPr="00F5572C">
              <w:rPr>
                <w:rFonts w:ascii="Calibri" w:eastAsia="Times New Roman" w:hAnsi="Calibri" w:cs="Calibri"/>
                <w:b/>
                <w:bCs/>
                <w:color w:val="FFFFFF"/>
                <w:sz w:val="18"/>
                <w:szCs w:val="18"/>
                <w:lang w:eastAsia="en-AU"/>
              </w:rPr>
              <w:t>% share</w:t>
            </w:r>
          </w:p>
        </w:tc>
      </w:tr>
      <w:tr w:rsidR="000C2EB8" w:rsidRPr="00C46321" w14:paraId="4045265B" w14:textId="77777777" w:rsidTr="00F77D18">
        <w:trPr>
          <w:trHeight w:val="240"/>
        </w:trPr>
        <w:tc>
          <w:tcPr>
            <w:tcW w:w="7229" w:type="dxa"/>
            <w:hideMark/>
          </w:tcPr>
          <w:p w14:paraId="7C13A52A" w14:textId="4BF52B1D" w:rsidR="000C2EB8" w:rsidRPr="00B02B18" w:rsidRDefault="005E5D3D" w:rsidP="000C2EB8">
            <w:pPr>
              <w:spacing w:after="0" w:line="240" w:lineRule="auto"/>
              <w:jc w:val="both"/>
              <w:rPr>
                <w:rFonts w:ascii="Calibri" w:eastAsia="Times New Roman" w:hAnsi="Calibri" w:cs="Calibri"/>
                <w:b/>
                <w:color w:val="auto"/>
                <w:sz w:val="18"/>
                <w:szCs w:val="18"/>
                <w:lang w:eastAsia="en-AU"/>
              </w:rPr>
            </w:pPr>
            <w:r>
              <w:rPr>
                <w:sz w:val="18"/>
                <w:szCs w:val="18"/>
              </w:rPr>
              <w:t>Australian</w:t>
            </w:r>
            <w:r w:rsidRPr="00D95F76">
              <w:rPr>
                <w:sz w:val="18"/>
                <w:szCs w:val="18"/>
              </w:rPr>
              <w:t xml:space="preserve"> </w:t>
            </w:r>
            <w:r w:rsidR="000C2EB8" w:rsidRPr="00D95F76">
              <w:rPr>
                <w:sz w:val="18"/>
                <w:szCs w:val="18"/>
              </w:rPr>
              <w:t>Government</w:t>
            </w:r>
          </w:p>
        </w:tc>
        <w:tc>
          <w:tcPr>
            <w:tcW w:w="1132" w:type="dxa"/>
            <w:hideMark/>
          </w:tcPr>
          <w:p w14:paraId="18B42CBA" w14:textId="1BD86202" w:rsidR="000C2EB8" w:rsidRPr="000C2EB8" w:rsidRDefault="009E59A0" w:rsidP="00D95F76">
            <w:pPr>
              <w:adjustRightInd/>
              <w:snapToGrid/>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1,096.4</w:t>
            </w:r>
          </w:p>
        </w:tc>
        <w:tc>
          <w:tcPr>
            <w:tcW w:w="1203" w:type="dxa"/>
            <w:hideMark/>
          </w:tcPr>
          <w:p w14:paraId="5324A7C6" w14:textId="57349A34" w:rsidR="000C2EB8" w:rsidRPr="000C2EB8" w:rsidRDefault="0057310D" w:rsidP="000C2EB8">
            <w:pPr>
              <w:spacing w:after="0" w:line="240" w:lineRule="auto"/>
              <w:jc w:val="right"/>
              <w:rPr>
                <w:rFonts w:ascii="Calibri" w:eastAsia="Times New Roman" w:hAnsi="Calibri" w:cs="Calibri"/>
                <w:color w:val="000000"/>
                <w:sz w:val="18"/>
                <w:szCs w:val="18"/>
                <w:lang w:eastAsia="en-AU"/>
              </w:rPr>
            </w:pPr>
            <w:r>
              <w:rPr>
                <w:sz w:val="18"/>
                <w:szCs w:val="18"/>
              </w:rPr>
              <w:t>54.2</w:t>
            </w:r>
            <w:r w:rsidR="000C2EB8" w:rsidRPr="00D95F76">
              <w:rPr>
                <w:sz w:val="18"/>
                <w:szCs w:val="18"/>
              </w:rPr>
              <w:t>%</w:t>
            </w:r>
          </w:p>
        </w:tc>
      </w:tr>
      <w:tr w:rsidR="000C2EB8" w:rsidRPr="00C46321" w14:paraId="493B723D" w14:textId="77777777" w:rsidTr="00F77D18">
        <w:trPr>
          <w:cnfStyle w:val="000000010000" w:firstRow="0" w:lastRow="0" w:firstColumn="0" w:lastColumn="0" w:oddVBand="0" w:evenVBand="0" w:oddHBand="0" w:evenHBand="1" w:firstRowFirstColumn="0" w:firstRowLastColumn="0" w:lastRowFirstColumn="0" w:lastRowLastColumn="0"/>
          <w:trHeight w:val="240"/>
        </w:trPr>
        <w:tc>
          <w:tcPr>
            <w:tcW w:w="7229" w:type="dxa"/>
            <w:hideMark/>
          </w:tcPr>
          <w:p w14:paraId="37DD3937" w14:textId="180C8E91" w:rsidR="000C2EB8" w:rsidRPr="00B02B18" w:rsidRDefault="000C2EB8" w:rsidP="000C2EB8">
            <w:pPr>
              <w:spacing w:after="0" w:line="240" w:lineRule="auto"/>
              <w:jc w:val="both"/>
              <w:rPr>
                <w:rFonts w:ascii="Calibri" w:eastAsia="Times New Roman" w:hAnsi="Calibri" w:cs="Calibri"/>
                <w:b/>
                <w:color w:val="auto"/>
                <w:sz w:val="18"/>
                <w:szCs w:val="18"/>
                <w:lang w:eastAsia="en-AU"/>
              </w:rPr>
            </w:pPr>
            <w:r w:rsidRPr="00D95F76">
              <w:rPr>
                <w:sz w:val="18"/>
                <w:szCs w:val="18"/>
              </w:rPr>
              <w:t>Industry</w:t>
            </w:r>
          </w:p>
        </w:tc>
        <w:tc>
          <w:tcPr>
            <w:tcW w:w="1132" w:type="dxa"/>
            <w:hideMark/>
          </w:tcPr>
          <w:p w14:paraId="3CE8C9BF" w14:textId="5A54DAB7"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 xml:space="preserve">627.5 </w:t>
            </w:r>
          </w:p>
        </w:tc>
        <w:tc>
          <w:tcPr>
            <w:tcW w:w="1203" w:type="dxa"/>
            <w:hideMark/>
          </w:tcPr>
          <w:p w14:paraId="49908B43" w14:textId="2B88DE9E" w:rsidR="000C2EB8" w:rsidRPr="000C2EB8" w:rsidRDefault="0057310D" w:rsidP="000C2EB8">
            <w:pPr>
              <w:spacing w:after="0" w:line="240" w:lineRule="auto"/>
              <w:jc w:val="right"/>
              <w:rPr>
                <w:rFonts w:ascii="Calibri" w:eastAsia="Times New Roman" w:hAnsi="Calibri" w:cs="Calibri"/>
                <w:color w:val="000000"/>
                <w:sz w:val="18"/>
                <w:szCs w:val="18"/>
                <w:lang w:eastAsia="en-AU"/>
              </w:rPr>
            </w:pPr>
            <w:r w:rsidRPr="005E0110">
              <w:rPr>
                <w:sz w:val="18"/>
                <w:szCs w:val="18"/>
              </w:rPr>
              <w:t>31.</w:t>
            </w:r>
            <w:r>
              <w:rPr>
                <w:sz w:val="18"/>
                <w:szCs w:val="18"/>
              </w:rPr>
              <w:t>0</w:t>
            </w:r>
            <w:r w:rsidR="000C2EB8" w:rsidRPr="00D95F76">
              <w:rPr>
                <w:sz w:val="18"/>
                <w:szCs w:val="18"/>
              </w:rPr>
              <w:t>%</w:t>
            </w:r>
          </w:p>
        </w:tc>
      </w:tr>
      <w:tr w:rsidR="000C2EB8" w:rsidRPr="00C46321" w14:paraId="4FC0E26C" w14:textId="77777777" w:rsidTr="00F77D18">
        <w:trPr>
          <w:trHeight w:val="240"/>
        </w:trPr>
        <w:tc>
          <w:tcPr>
            <w:tcW w:w="7229" w:type="dxa"/>
            <w:hideMark/>
          </w:tcPr>
          <w:p w14:paraId="089A7364" w14:textId="3CD11F27" w:rsidR="000C2EB8" w:rsidRPr="00B02B18" w:rsidRDefault="000C2EB8" w:rsidP="000C2EB8">
            <w:pPr>
              <w:spacing w:after="0" w:line="240" w:lineRule="auto"/>
              <w:jc w:val="both"/>
              <w:rPr>
                <w:rFonts w:ascii="Calibri" w:eastAsia="Times New Roman" w:hAnsi="Calibri" w:cs="Calibri"/>
                <w:b/>
                <w:color w:val="auto"/>
                <w:sz w:val="18"/>
                <w:szCs w:val="18"/>
                <w:lang w:eastAsia="en-AU"/>
              </w:rPr>
            </w:pPr>
            <w:r w:rsidRPr="00D95F76">
              <w:rPr>
                <w:sz w:val="18"/>
                <w:szCs w:val="18"/>
              </w:rPr>
              <w:t>International Space Agencies</w:t>
            </w:r>
          </w:p>
        </w:tc>
        <w:tc>
          <w:tcPr>
            <w:tcW w:w="1132" w:type="dxa"/>
            <w:hideMark/>
          </w:tcPr>
          <w:p w14:paraId="28498604" w14:textId="7646FF20"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 xml:space="preserve">136.5 </w:t>
            </w:r>
          </w:p>
        </w:tc>
        <w:tc>
          <w:tcPr>
            <w:tcW w:w="1203" w:type="dxa"/>
            <w:hideMark/>
          </w:tcPr>
          <w:p w14:paraId="27A71442" w14:textId="7A445752"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6.8%</w:t>
            </w:r>
          </w:p>
        </w:tc>
      </w:tr>
      <w:tr w:rsidR="000C2EB8" w:rsidRPr="00C46321" w14:paraId="460161B8" w14:textId="77777777" w:rsidTr="00F77D18">
        <w:trPr>
          <w:cnfStyle w:val="000000010000" w:firstRow="0" w:lastRow="0" w:firstColumn="0" w:lastColumn="0" w:oddVBand="0" w:evenVBand="0" w:oddHBand="0" w:evenHBand="1" w:firstRowFirstColumn="0" w:firstRowLastColumn="0" w:lastRowFirstColumn="0" w:lastRowLastColumn="0"/>
          <w:trHeight w:val="240"/>
        </w:trPr>
        <w:tc>
          <w:tcPr>
            <w:tcW w:w="7229" w:type="dxa"/>
            <w:hideMark/>
          </w:tcPr>
          <w:p w14:paraId="35BB16C9" w14:textId="2AD6DFAC" w:rsidR="000C2EB8" w:rsidRPr="00B02B18" w:rsidRDefault="000C2EB8" w:rsidP="000C2EB8">
            <w:pPr>
              <w:spacing w:after="0" w:line="240" w:lineRule="auto"/>
              <w:jc w:val="both"/>
              <w:rPr>
                <w:rFonts w:ascii="Calibri" w:eastAsia="Times New Roman" w:hAnsi="Calibri" w:cs="Calibri"/>
                <w:b/>
                <w:color w:val="auto"/>
                <w:sz w:val="18"/>
                <w:szCs w:val="18"/>
                <w:lang w:eastAsia="en-AU"/>
              </w:rPr>
            </w:pPr>
            <w:r w:rsidRPr="00D95F76">
              <w:rPr>
                <w:sz w:val="18"/>
                <w:szCs w:val="18"/>
              </w:rPr>
              <w:t>State Government</w:t>
            </w:r>
          </w:p>
        </w:tc>
        <w:tc>
          <w:tcPr>
            <w:tcW w:w="1132" w:type="dxa"/>
            <w:hideMark/>
          </w:tcPr>
          <w:p w14:paraId="6565F6C8" w14:textId="67D17C97"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 xml:space="preserve">111.3 </w:t>
            </w:r>
          </w:p>
        </w:tc>
        <w:tc>
          <w:tcPr>
            <w:tcW w:w="1203" w:type="dxa"/>
            <w:hideMark/>
          </w:tcPr>
          <w:p w14:paraId="13B947BA" w14:textId="59988011" w:rsidR="000C2EB8" w:rsidRPr="000C2EB8" w:rsidRDefault="0057310D" w:rsidP="000C2EB8">
            <w:pPr>
              <w:spacing w:after="0" w:line="240" w:lineRule="auto"/>
              <w:jc w:val="right"/>
              <w:rPr>
                <w:rFonts w:ascii="Calibri" w:eastAsia="Times New Roman" w:hAnsi="Calibri" w:cs="Calibri"/>
                <w:color w:val="000000"/>
                <w:sz w:val="18"/>
                <w:szCs w:val="18"/>
                <w:lang w:eastAsia="en-AU"/>
              </w:rPr>
            </w:pPr>
            <w:r w:rsidRPr="005E0110">
              <w:rPr>
                <w:sz w:val="18"/>
                <w:szCs w:val="18"/>
              </w:rPr>
              <w:t>5.</w:t>
            </w:r>
            <w:r>
              <w:rPr>
                <w:sz w:val="18"/>
                <w:szCs w:val="18"/>
              </w:rPr>
              <w:t>5</w:t>
            </w:r>
            <w:r w:rsidR="000C2EB8" w:rsidRPr="00D95F76">
              <w:rPr>
                <w:sz w:val="18"/>
                <w:szCs w:val="18"/>
              </w:rPr>
              <w:t>%</w:t>
            </w:r>
          </w:p>
        </w:tc>
      </w:tr>
      <w:tr w:rsidR="000C2EB8" w:rsidRPr="00C46321" w14:paraId="00922394" w14:textId="77777777" w:rsidTr="00F77D18">
        <w:trPr>
          <w:trHeight w:val="240"/>
        </w:trPr>
        <w:tc>
          <w:tcPr>
            <w:tcW w:w="7229" w:type="dxa"/>
            <w:hideMark/>
          </w:tcPr>
          <w:p w14:paraId="3E0E9DB2" w14:textId="4A75E62A" w:rsidR="000C2EB8" w:rsidRPr="00B02B18" w:rsidRDefault="000C2EB8" w:rsidP="000C2EB8">
            <w:pPr>
              <w:spacing w:after="0" w:line="240" w:lineRule="auto"/>
              <w:jc w:val="both"/>
              <w:rPr>
                <w:rFonts w:ascii="Calibri" w:eastAsia="Times New Roman" w:hAnsi="Calibri" w:cs="Calibri"/>
                <w:b/>
                <w:color w:val="auto"/>
                <w:sz w:val="18"/>
                <w:szCs w:val="18"/>
                <w:lang w:eastAsia="en-AU"/>
              </w:rPr>
            </w:pPr>
            <w:r w:rsidRPr="00D95F76">
              <w:rPr>
                <w:sz w:val="18"/>
                <w:szCs w:val="18"/>
              </w:rPr>
              <w:t>University</w:t>
            </w:r>
          </w:p>
        </w:tc>
        <w:tc>
          <w:tcPr>
            <w:tcW w:w="1132" w:type="dxa"/>
            <w:hideMark/>
          </w:tcPr>
          <w:p w14:paraId="51C484F0" w14:textId="38FC1DC1"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 xml:space="preserve">39.5 </w:t>
            </w:r>
          </w:p>
        </w:tc>
        <w:tc>
          <w:tcPr>
            <w:tcW w:w="1203" w:type="dxa"/>
            <w:hideMark/>
          </w:tcPr>
          <w:p w14:paraId="7B2CCBC4" w14:textId="64BFEDCB"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2.0%</w:t>
            </w:r>
          </w:p>
        </w:tc>
      </w:tr>
      <w:tr w:rsidR="000C2EB8" w:rsidRPr="00C46321" w14:paraId="6DEE2B35" w14:textId="77777777" w:rsidTr="00F77D18">
        <w:trPr>
          <w:cnfStyle w:val="000000010000" w:firstRow="0" w:lastRow="0" w:firstColumn="0" w:lastColumn="0" w:oddVBand="0" w:evenVBand="0" w:oddHBand="0" w:evenHBand="1" w:firstRowFirstColumn="0" w:firstRowLastColumn="0" w:lastRowFirstColumn="0" w:lastRowLastColumn="0"/>
          <w:trHeight w:val="240"/>
        </w:trPr>
        <w:tc>
          <w:tcPr>
            <w:tcW w:w="7229" w:type="dxa"/>
            <w:hideMark/>
          </w:tcPr>
          <w:p w14:paraId="016BA489" w14:textId="32127A16" w:rsidR="000C2EB8" w:rsidRPr="00B02B18" w:rsidRDefault="000C2EB8" w:rsidP="000C2EB8">
            <w:pPr>
              <w:spacing w:after="0" w:line="240" w:lineRule="auto"/>
              <w:jc w:val="both"/>
              <w:rPr>
                <w:rFonts w:ascii="Calibri" w:eastAsia="Times New Roman" w:hAnsi="Calibri" w:cs="Calibri"/>
                <w:b/>
                <w:color w:val="auto"/>
                <w:sz w:val="18"/>
                <w:szCs w:val="18"/>
                <w:lang w:eastAsia="en-AU"/>
              </w:rPr>
            </w:pPr>
            <w:r w:rsidRPr="00D95F76">
              <w:rPr>
                <w:sz w:val="18"/>
                <w:szCs w:val="18"/>
              </w:rPr>
              <w:t>Private Foundations</w:t>
            </w:r>
          </w:p>
        </w:tc>
        <w:tc>
          <w:tcPr>
            <w:tcW w:w="1132" w:type="dxa"/>
            <w:hideMark/>
          </w:tcPr>
          <w:p w14:paraId="1993BEFD" w14:textId="7E541220" w:rsidR="000C2EB8" w:rsidRPr="000C2EB8" w:rsidRDefault="003912A4" w:rsidP="003912A4">
            <w:pPr>
              <w:spacing w:after="0" w:line="240" w:lineRule="auto"/>
              <w:jc w:val="right"/>
              <w:rPr>
                <w:rFonts w:ascii="Calibri" w:eastAsia="Times New Roman" w:hAnsi="Calibri" w:cs="Calibri"/>
                <w:color w:val="000000"/>
                <w:sz w:val="18"/>
                <w:szCs w:val="18"/>
                <w:lang w:eastAsia="en-AU"/>
              </w:rPr>
            </w:pPr>
            <w:r>
              <w:rPr>
                <w:sz w:val="18"/>
                <w:szCs w:val="18"/>
              </w:rPr>
              <w:t>1</w:t>
            </w:r>
            <w:r w:rsidR="000C2EB8" w:rsidRPr="00D95F76">
              <w:rPr>
                <w:sz w:val="18"/>
                <w:szCs w:val="18"/>
              </w:rPr>
              <w:t xml:space="preserve">0.6 </w:t>
            </w:r>
          </w:p>
        </w:tc>
        <w:tc>
          <w:tcPr>
            <w:tcW w:w="1203" w:type="dxa"/>
            <w:hideMark/>
          </w:tcPr>
          <w:p w14:paraId="5412BD1F" w14:textId="4CF15C85" w:rsidR="000C2EB8" w:rsidRPr="000C2EB8" w:rsidRDefault="000C2EB8" w:rsidP="000C2EB8">
            <w:pPr>
              <w:spacing w:after="0" w:line="240" w:lineRule="auto"/>
              <w:jc w:val="right"/>
              <w:rPr>
                <w:rFonts w:ascii="Calibri" w:eastAsia="Times New Roman" w:hAnsi="Calibri" w:cs="Calibri"/>
                <w:color w:val="000000"/>
                <w:sz w:val="18"/>
                <w:szCs w:val="18"/>
                <w:lang w:eastAsia="en-AU"/>
              </w:rPr>
            </w:pPr>
            <w:r w:rsidRPr="00D95F76">
              <w:rPr>
                <w:sz w:val="18"/>
                <w:szCs w:val="18"/>
              </w:rPr>
              <w:t>0.5%</w:t>
            </w:r>
          </w:p>
        </w:tc>
      </w:tr>
      <w:tr w:rsidR="009936AE" w:rsidRPr="00C46321" w14:paraId="636B679E" w14:textId="77777777" w:rsidTr="00F77D18">
        <w:trPr>
          <w:trHeight w:val="240"/>
        </w:trPr>
        <w:tc>
          <w:tcPr>
            <w:tcW w:w="7229" w:type="dxa"/>
            <w:shd w:val="clear" w:color="auto" w:fill="537B96"/>
            <w:hideMark/>
          </w:tcPr>
          <w:p w14:paraId="64FC89C9" w14:textId="2BF11261" w:rsidR="009936AE" w:rsidRPr="00AA79ED" w:rsidRDefault="00782B41" w:rsidP="00AA79ED">
            <w:pPr>
              <w:spacing w:after="0" w:line="240" w:lineRule="auto"/>
              <w:jc w:val="both"/>
              <w:rPr>
                <w:rFonts w:ascii="Calibri" w:eastAsia="Times New Roman" w:hAnsi="Calibri" w:cs="Calibri"/>
                <w:b/>
                <w:bCs/>
                <w:color w:val="FFFFFF" w:themeColor="background1"/>
                <w:sz w:val="18"/>
                <w:szCs w:val="18"/>
                <w:lang w:eastAsia="en-AU"/>
              </w:rPr>
            </w:pPr>
            <w:r>
              <w:rPr>
                <w:rFonts w:ascii="Calibri" w:eastAsia="Times New Roman" w:hAnsi="Calibri" w:cs="Calibri"/>
                <w:b/>
                <w:bCs/>
                <w:color w:val="FFFFFF" w:themeColor="background1"/>
                <w:sz w:val="18"/>
                <w:szCs w:val="18"/>
                <w:lang w:eastAsia="en-AU"/>
              </w:rPr>
              <w:t>Total</w:t>
            </w:r>
            <w:r w:rsidR="00CF6546">
              <w:rPr>
                <w:rStyle w:val="FootnoteReference"/>
                <w:rFonts w:eastAsia="Times New Roman"/>
                <w:b/>
                <w:bCs/>
                <w:color w:val="FFFFFF" w:themeColor="background1"/>
                <w:sz w:val="18"/>
                <w:szCs w:val="18"/>
                <w:lang w:eastAsia="en-AU"/>
              </w:rPr>
              <w:footnoteReference w:id="50"/>
            </w:r>
          </w:p>
        </w:tc>
        <w:tc>
          <w:tcPr>
            <w:tcW w:w="1132" w:type="dxa"/>
            <w:shd w:val="clear" w:color="auto" w:fill="537B96"/>
            <w:hideMark/>
          </w:tcPr>
          <w:p w14:paraId="473ED5D6" w14:textId="60619889" w:rsidR="009936AE" w:rsidRPr="00AA79ED" w:rsidRDefault="009936AE" w:rsidP="005E0110">
            <w:pPr>
              <w:spacing w:after="0" w:line="240" w:lineRule="auto"/>
              <w:jc w:val="right"/>
              <w:rPr>
                <w:rFonts w:ascii="Calibri" w:eastAsia="Times New Roman" w:hAnsi="Calibri" w:cs="Calibri"/>
                <w:b/>
                <w:bCs/>
                <w:color w:val="FFFFFF" w:themeColor="background1"/>
                <w:sz w:val="18"/>
                <w:szCs w:val="18"/>
                <w:lang w:eastAsia="en-AU"/>
              </w:rPr>
            </w:pPr>
            <w:r w:rsidRPr="00AA79ED">
              <w:rPr>
                <w:rFonts w:ascii="Calibri" w:eastAsia="Times New Roman" w:hAnsi="Calibri" w:cs="Calibri"/>
                <w:b/>
                <w:bCs/>
                <w:color w:val="FFFFFF" w:themeColor="background1"/>
                <w:sz w:val="18"/>
                <w:szCs w:val="18"/>
                <w:lang w:eastAsia="en-AU"/>
              </w:rPr>
              <w:t>2,0</w:t>
            </w:r>
            <w:r w:rsidR="009E59A0">
              <w:rPr>
                <w:rFonts w:ascii="Calibri" w:eastAsia="Times New Roman" w:hAnsi="Calibri" w:cs="Calibri"/>
                <w:b/>
                <w:bCs/>
                <w:color w:val="FFFFFF" w:themeColor="background1"/>
                <w:sz w:val="18"/>
                <w:szCs w:val="18"/>
                <w:lang w:eastAsia="en-AU"/>
              </w:rPr>
              <w:t>2</w:t>
            </w:r>
            <w:r w:rsidR="0079560F" w:rsidRPr="00AA79ED">
              <w:rPr>
                <w:rFonts w:ascii="Calibri" w:eastAsia="Times New Roman" w:hAnsi="Calibri" w:cs="Calibri"/>
                <w:b/>
                <w:bCs/>
                <w:color w:val="FFFFFF" w:themeColor="background1"/>
                <w:sz w:val="18"/>
                <w:szCs w:val="18"/>
                <w:lang w:eastAsia="en-AU"/>
              </w:rPr>
              <w:t>1</w:t>
            </w:r>
            <w:r w:rsidRPr="00AA79ED">
              <w:rPr>
                <w:rFonts w:ascii="Calibri" w:eastAsia="Times New Roman" w:hAnsi="Calibri" w:cs="Calibri"/>
                <w:b/>
                <w:bCs/>
                <w:color w:val="FFFFFF" w:themeColor="background1"/>
                <w:sz w:val="18"/>
                <w:szCs w:val="18"/>
                <w:lang w:eastAsia="en-AU"/>
              </w:rPr>
              <w:t>.</w:t>
            </w:r>
            <w:r w:rsidR="009E59A0">
              <w:rPr>
                <w:rFonts w:ascii="Calibri" w:eastAsia="Times New Roman" w:hAnsi="Calibri" w:cs="Calibri"/>
                <w:b/>
                <w:bCs/>
                <w:color w:val="FFFFFF" w:themeColor="background1"/>
                <w:sz w:val="18"/>
                <w:szCs w:val="18"/>
                <w:lang w:eastAsia="en-AU"/>
              </w:rPr>
              <w:t>7</w:t>
            </w:r>
          </w:p>
        </w:tc>
        <w:tc>
          <w:tcPr>
            <w:tcW w:w="1203" w:type="dxa"/>
            <w:shd w:val="clear" w:color="auto" w:fill="537B96"/>
            <w:hideMark/>
          </w:tcPr>
          <w:p w14:paraId="509E4935" w14:textId="77777777" w:rsidR="009936AE" w:rsidRPr="00AA79ED" w:rsidRDefault="009936AE" w:rsidP="0062555E">
            <w:pPr>
              <w:spacing w:after="0" w:line="240" w:lineRule="auto"/>
              <w:jc w:val="right"/>
              <w:rPr>
                <w:rFonts w:ascii="Calibri" w:eastAsia="Times New Roman" w:hAnsi="Calibri" w:cs="Calibri"/>
                <w:b/>
                <w:bCs/>
                <w:color w:val="FFFFFF" w:themeColor="background1"/>
                <w:sz w:val="18"/>
                <w:szCs w:val="18"/>
                <w:lang w:eastAsia="en-AU"/>
              </w:rPr>
            </w:pPr>
            <w:r w:rsidRPr="00AA79ED">
              <w:rPr>
                <w:rFonts w:ascii="Calibri" w:eastAsia="Times New Roman" w:hAnsi="Calibri" w:cs="Calibri"/>
                <w:b/>
                <w:bCs/>
                <w:color w:val="FFFFFF" w:themeColor="background1"/>
                <w:sz w:val="18"/>
                <w:szCs w:val="18"/>
                <w:lang w:eastAsia="en-AU"/>
              </w:rPr>
              <w:t>100%</w:t>
            </w:r>
          </w:p>
        </w:tc>
      </w:tr>
    </w:tbl>
    <w:p w14:paraId="5158EEFC" w14:textId="69E97AC4" w:rsidR="00D87089" w:rsidRDefault="00D87089" w:rsidP="00C41AC2">
      <w:r>
        <w:lastRenderedPageBreak/>
        <w:t>Around $774.</w:t>
      </w:r>
      <w:r w:rsidRPr="00D87089">
        <w:t xml:space="preserve">6 million (38 per cent of total pipeline activity) </w:t>
      </w:r>
      <w:r w:rsidRPr="00A449C3">
        <w:t>is inbound capital investment</w:t>
      </w:r>
      <w:r w:rsidRPr="00D87089">
        <w:t xml:space="preserve"> in projects from industry, private foundations and international space agency partners. </w:t>
      </w:r>
      <w:r>
        <w:t xml:space="preserve">The Strategy identifies a </w:t>
      </w:r>
      <w:r w:rsidRPr="00D87089">
        <w:t>target of $1</w:t>
      </w:r>
      <w:r w:rsidR="000E7EEC">
        <w:t> </w:t>
      </w:r>
      <w:r w:rsidRPr="00D87089">
        <w:t>billion in inbound capital investment by 202</w:t>
      </w:r>
      <w:r w:rsidR="003C5410">
        <w:t>5</w:t>
      </w:r>
      <w:r w:rsidRPr="00D87089">
        <w:t>.</w:t>
      </w:r>
      <w:r>
        <w:t xml:space="preserve"> This </w:t>
      </w:r>
      <w:r w:rsidR="00993CAF">
        <w:t xml:space="preserve">provides an indication of </w:t>
      </w:r>
      <w:r w:rsidR="00654E3D">
        <w:t xml:space="preserve">interest in </w:t>
      </w:r>
      <w:r w:rsidR="00993CAF">
        <w:t>the</w:t>
      </w:r>
      <w:r>
        <w:t xml:space="preserve"> </w:t>
      </w:r>
      <w:r w:rsidR="00993CAF">
        <w:t xml:space="preserve">potential for future </w:t>
      </w:r>
      <w:r w:rsidRPr="00D87089">
        <w:t xml:space="preserve">performance </w:t>
      </w:r>
      <w:r>
        <w:t xml:space="preserve">in the </w:t>
      </w:r>
      <w:r w:rsidR="00993CAF">
        <w:t xml:space="preserve">space </w:t>
      </w:r>
      <w:r>
        <w:t>sector</w:t>
      </w:r>
      <w:r w:rsidR="0014377E">
        <w:t>.</w:t>
      </w:r>
      <w:r>
        <w:t xml:space="preserve"> </w:t>
      </w:r>
    </w:p>
    <w:p w14:paraId="5E3BEDC0" w14:textId="67336307" w:rsidR="006066C6" w:rsidRDefault="00C20158" w:rsidP="006066C6">
      <w:r w:rsidRPr="00D356DD">
        <w:t>The ability of Australian</w:t>
      </w:r>
      <w:r w:rsidR="00780EF7">
        <w:t xml:space="preserve"> space</w:t>
      </w:r>
      <w:r w:rsidRPr="00D356DD">
        <w:t xml:space="preserve"> organisations to access finance </w:t>
      </w:r>
      <w:r w:rsidR="00682A22">
        <w:t xml:space="preserve">should </w:t>
      </w:r>
      <w:r w:rsidRPr="00D356DD">
        <w:t xml:space="preserve">become easier as local and international investors (venture capitalists in particular) </w:t>
      </w:r>
      <w:r w:rsidR="00682A22">
        <w:t>see</w:t>
      </w:r>
      <w:r w:rsidRPr="00D356DD">
        <w:t xml:space="preserve"> </w:t>
      </w:r>
      <w:r>
        <w:t>growth potential</w:t>
      </w:r>
      <w:r w:rsidR="00682A22">
        <w:t xml:space="preserve"> in the sector</w:t>
      </w:r>
      <w:r w:rsidR="00993CAF">
        <w:t>.</w:t>
      </w:r>
      <w:r w:rsidR="006066C6">
        <w:t xml:space="preserve"> Further, </w:t>
      </w:r>
      <w:proofErr w:type="spellStart"/>
      <w:r w:rsidR="006066C6">
        <w:t>AusTrade</w:t>
      </w:r>
      <w:proofErr w:type="spellEnd"/>
      <w:r w:rsidR="006066C6">
        <w:t xml:space="preserve"> – the Australian Government’s investment promotion agency </w:t>
      </w:r>
      <w:r w:rsidR="00D11C5B">
        <w:t xml:space="preserve">– </w:t>
      </w:r>
      <w:r w:rsidR="006066C6">
        <w:t>identifies defence, advanced manufacturing and space as a growth area for foreign direct investment</w:t>
      </w:r>
      <w:r w:rsidR="006066C6">
        <w:rPr>
          <w:rStyle w:val="FootnoteReference"/>
        </w:rPr>
        <w:footnoteReference w:id="51"/>
      </w:r>
      <w:r w:rsidR="006066C6">
        <w:t>.</w:t>
      </w:r>
    </w:p>
    <w:p w14:paraId="0ED45D0B" w14:textId="5E9AA4CB" w:rsidR="00C20158" w:rsidRPr="00D95F76" w:rsidRDefault="00C20158" w:rsidP="00C20158">
      <w:pPr>
        <w:spacing w:after="120" w:line="240" w:lineRule="auto"/>
      </w:pPr>
      <w:r>
        <w:t xml:space="preserve">Venture capital is an important source of funding for growing space companies. </w:t>
      </w:r>
      <w:r w:rsidRPr="00D95F76">
        <w:t xml:space="preserve">A </w:t>
      </w:r>
      <w:r>
        <w:t xml:space="preserve">2020 </w:t>
      </w:r>
      <w:r w:rsidRPr="00D95F76">
        <w:t xml:space="preserve">report by KPMG indicates that while Australian space firms such as </w:t>
      </w:r>
      <w:proofErr w:type="spellStart"/>
      <w:r w:rsidRPr="00D95F76">
        <w:t>Myriota</w:t>
      </w:r>
      <w:proofErr w:type="spellEnd"/>
      <w:r w:rsidRPr="00D95F76">
        <w:t>, Gilmour Space Technologies and Fleet Space successfully completed funding rounds over the last two years, fewer than three per cent of the 587 venture capital funds that invested in space sector start-ups</w:t>
      </w:r>
      <w:r>
        <w:t xml:space="preserve"> globally in the last two years,</w:t>
      </w:r>
      <w:r w:rsidRPr="00D95F76">
        <w:t xml:space="preserve"> invested in Australian space companies.</w:t>
      </w:r>
      <w:r>
        <w:t xml:space="preserve"> Australian space start-ups are more likely to attract seed funding from government grants, angel investors, and through self-financing.</w:t>
      </w:r>
      <w:r>
        <w:rPr>
          <w:rStyle w:val="FootnoteReference"/>
        </w:rPr>
        <w:footnoteReference w:id="52"/>
      </w:r>
    </w:p>
    <w:p w14:paraId="4AF93D48" w14:textId="7CF14503" w:rsidR="00C20158" w:rsidRPr="00D87089" w:rsidRDefault="007D2DBD" w:rsidP="00B034ED">
      <w:pPr>
        <w:spacing w:after="120" w:line="240" w:lineRule="auto"/>
      </w:pPr>
      <w:r>
        <w:t xml:space="preserve">London Economics </w:t>
      </w:r>
      <w:r w:rsidR="00B034ED">
        <w:t>estimates that t</w:t>
      </w:r>
      <w:r w:rsidR="00C20158" w:rsidRPr="00D356DD">
        <w:t xml:space="preserve">he lag between investments and </w:t>
      </w:r>
      <w:proofErr w:type="spellStart"/>
      <w:r w:rsidR="00C20158" w:rsidRPr="00D356DD">
        <w:t>spillover</w:t>
      </w:r>
      <w:proofErr w:type="spellEnd"/>
      <w:r w:rsidR="00C20158" w:rsidRPr="00D356DD">
        <w:t xml:space="preserve"> impacts for space projects are in the order of </w:t>
      </w:r>
      <w:r w:rsidR="00C20158">
        <w:t>three to five</w:t>
      </w:r>
      <w:r w:rsidR="00C20158" w:rsidRPr="00D356DD">
        <w:t xml:space="preserve"> years, with impacts realised sooner for companies providing downstream services or contract manufacturing services, and longer for companies developing their own products</w:t>
      </w:r>
      <w:r w:rsidR="00C20158">
        <w:rPr>
          <w:rStyle w:val="FootnoteReference"/>
        </w:rPr>
        <w:footnoteReference w:id="53"/>
      </w:r>
      <w:r w:rsidR="00C20158" w:rsidRPr="00D356DD">
        <w:t>.</w:t>
      </w:r>
    </w:p>
    <w:p w14:paraId="6A36408C" w14:textId="61D7D42C" w:rsidR="00D87089" w:rsidRDefault="00C41AC2" w:rsidP="00D87089">
      <w:r w:rsidRPr="00D87089">
        <w:t>A</w:t>
      </w:r>
      <w:r w:rsidR="00813C72" w:rsidRPr="00D87089">
        <w:t xml:space="preserve">pproximately $1.2 billion (62 per cent) </w:t>
      </w:r>
      <w:r w:rsidR="00D87089">
        <w:t>of the</w:t>
      </w:r>
      <w:r w:rsidR="00813C72" w:rsidRPr="00D87089">
        <w:t xml:space="preserve"> pipeline is attributed to government (Australian, state and territories) and university investments. </w:t>
      </w:r>
      <w:r w:rsidR="00D87089" w:rsidRPr="00D87089">
        <w:t>This includes</w:t>
      </w:r>
      <w:r w:rsidR="00D87089">
        <w:t xml:space="preserve"> funding committed to the Agency and its programs, space-related programs within Geoscience Australia and CSIRO. It also captures funding provided to Cooperative </w:t>
      </w:r>
      <w:r w:rsidR="00D87089" w:rsidRPr="00244C57">
        <w:t>Research</w:t>
      </w:r>
      <w:r w:rsidR="00D87089">
        <w:t xml:space="preserve"> </w:t>
      </w:r>
      <w:r w:rsidR="00D87089" w:rsidRPr="00244C57">
        <w:t>Centres</w:t>
      </w:r>
      <w:r w:rsidR="00D87089">
        <w:t xml:space="preserve"> </w:t>
      </w:r>
      <w:r w:rsidR="00D87089" w:rsidRPr="00244C57">
        <w:t>Projects</w:t>
      </w:r>
      <w:r w:rsidR="00D87089">
        <w:t xml:space="preserve"> (CRC-P) including</w:t>
      </w:r>
      <w:r w:rsidR="00D87089" w:rsidRPr="005E3FD0">
        <w:t xml:space="preserve"> </w:t>
      </w:r>
      <w:proofErr w:type="spellStart"/>
      <w:r w:rsidR="00D87089">
        <w:t>SmartSat</w:t>
      </w:r>
      <w:proofErr w:type="spellEnd"/>
      <w:r w:rsidR="00D87089">
        <w:t xml:space="preserve"> CRC and grants provided by the Australian Research Council (ARC). </w:t>
      </w:r>
    </w:p>
    <w:p w14:paraId="4E44C06A" w14:textId="77777777" w:rsidR="00993CAF" w:rsidRDefault="00A07421" w:rsidP="00CB504B">
      <w:pPr>
        <w:tabs>
          <w:tab w:val="left" w:pos="2696"/>
        </w:tabs>
      </w:pPr>
      <w:r w:rsidRPr="00993CAF">
        <w:t>Examining cash investments committed since FY19 indicates that Australia is beginning to see growing investment fuel new space projects, and increasing international attraction. Investment in the Australian space sector is growing in both civil and defence segments, which indicates high levels of investor confidence in the sector’s long-term growth potential.</w:t>
      </w:r>
    </w:p>
    <w:p w14:paraId="302C8E45" w14:textId="4032DCE3" w:rsidR="00C20158" w:rsidRDefault="00993CAF" w:rsidP="00CB504B">
      <w:pPr>
        <w:tabs>
          <w:tab w:val="left" w:pos="2696"/>
        </w:tabs>
      </w:pPr>
      <w:r w:rsidRPr="00CB504B">
        <w:t>In addition to the projects described above, the Agency is tracking (approximately) 30 further projects that have no (or unknown) committed cash funding.</w:t>
      </w:r>
    </w:p>
    <w:p w14:paraId="18CA2692" w14:textId="47AD8004" w:rsidR="009B20A0" w:rsidRDefault="009B20A0" w:rsidP="009B20A0">
      <w:pPr>
        <w:pStyle w:val="Heading3"/>
      </w:pPr>
      <w:r>
        <w:t>Investment by location</w:t>
      </w:r>
    </w:p>
    <w:p w14:paraId="446BDCBF" w14:textId="0320E0C1" w:rsidR="00634F4A" w:rsidRDefault="00B237F7" w:rsidP="00D95F76">
      <w:pPr>
        <w:tabs>
          <w:tab w:val="left" w:pos="2696"/>
        </w:tabs>
      </w:pPr>
      <w:r w:rsidRPr="00A30D0A">
        <w:t>Table</w:t>
      </w:r>
      <w:r w:rsidR="00A30D0A" w:rsidRPr="00A30D0A">
        <w:t> </w:t>
      </w:r>
      <w:r w:rsidR="009A043B" w:rsidRPr="00A30D0A">
        <w:t xml:space="preserve">11 </w:t>
      </w:r>
      <w:r w:rsidRPr="00A30D0A">
        <w:t>and Figure</w:t>
      </w:r>
      <w:r w:rsidR="00A30D0A" w:rsidRPr="00A30D0A">
        <w:t> </w:t>
      </w:r>
      <w:r w:rsidR="00D74550" w:rsidRPr="00A30D0A">
        <w:t>2</w:t>
      </w:r>
      <w:r w:rsidRPr="00A30D0A">
        <w:t xml:space="preserve"> provide a breakdown of the investment pipeline by </w:t>
      </w:r>
      <w:r w:rsidR="00CB504B" w:rsidRPr="00A30D0A">
        <w:t>location</w:t>
      </w:r>
      <w:r w:rsidRPr="00A30D0A">
        <w:t xml:space="preserve">. Funding for </w:t>
      </w:r>
      <w:r w:rsidR="00CB504B" w:rsidRPr="00A30D0A">
        <w:t xml:space="preserve">a number of </w:t>
      </w:r>
      <w:r w:rsidRPr="00A30D0A">
        <w:t xml:space="preserve">projects </w:t>
      </w:r>
      <w:r w:rsidR="00C20158" w:rsidRPr="00A30D0A">
        <w:t>has or will be</w:t>
      </w:r>
      <w:r w:rsidRPr="00A30D0A">
        <w:t xml:space="preserve"> </w:t>
      </w:r>
      <w:r w:rsidR="00C20158" w:rsidRPr="00A30D0A">
        <w:t>distributed across Australia</w:t>
      </w:r>
      <w:r w:rsidRPr="00A30D0A">
        <w:t xml:space="preserve"> and </w:t>
      </w:r>
      <w:r w:rsidR="00CB504B" w:rsidRPr="00A30D0A">
        <w:t>can</w:t>
      </w:r>
      <w:r w:rsidR="00513DD4" w:rsidRPr="00A30D0A">
        <w:t xml:space="preserve">not </w:t>
      </w:r>
      <w:r w:rsidR="00CB504B" w:rsidRPr="00A30D0A">
        <w:t xml:space="preserve">accurately be </w:t>
      </w:r>
      <w:r w:rsidR="00513DD4" w:rsidRPr="00A30D0A">
        <w:t xml:space="preserve">attributed to </w:t>
      </w:r>
      <w:r w:rsidR="00400109" w:rsidRPr="00A30D0A">
        <w:t xml:space="preserve">a single </w:t>
      </w:r>
      <w:r w:rsidR="00CB504B" w:rsidRPr="00A30D0A">
        <w:t>l</w:t>
      </w:r>
      <w:r w:rsidR="00400109" w:rsidRPr="00A30D0A">
        <w:t>ocation</w:t>
      </w:r>
      <w:r w:rsidRPr="00A30D0A">
        <w:t xml:space="preserve">. </w:t>
      </w:r>
      <w:r w:rsidR="00CB504B" w:rsidRPr="00A30D0A">
        <w:t>For example, t</w:t>
      </w:r>
      <w:r w:rsidRPr="00A30D0A">
        <w:t xml:space="preserve">he Australian Government’s </w:t>
      </w:r>
      <w:r w:rsidR="00513DD4" w:rsidRPr="00A30D0A">
        <w:t xml:space="preserve">$150 million </w:t>
      </w:r>
      <w:r w:rsidRPr="00A30D0A">
        <w:t xml:space="preserve">Moon to Mars program is </w:t>
      </w:r>
      <w:r w:rsidR="00400109" w:rsidRPr="00A30D0A">
        <w:t>captured but grants under this program have not yet been made</w:t>
      </w:r>
      <w:r w:rsidRPr="00A30D0A">
        <w:t>.</w:t>
      </w:r>
    </w:p>
    <w:p w14:paraId="1F5B0D87" w14:textId="77777777" w:rsidR="00634F4A" w:rsidRDefault="00634F4A">
      <w:pPr>
        <w:adjustRightInd/>
        <w:snapToGrid/>
        <w:spacing w:after="0" w:line="240" w:lineRule="auto"/>
      </w:pPr>
      <w:r>
        <w:br w:type="page"/>
      </w:r>
    </w:p>
    <w:p w14:paraId="2A7311C9" w14:textId="47D8BA83" w:rsidR="009936AE" w:rsidRPr="00610B4C" w:rsidRDefault="006A17C8" w:rsidP="00CB504B">
      <w:pPr>
        <w:pStyle w:val="TableHeading"/>
      </w:pPr>
      <w:r w:rsidRPr="00A30D0A">
        <w:lastRenderedPageBreak/>
        <w:t>Table</w:t>
      </w:r>
      <w:r w:rsidR="00A30D0A" w:rsidRPr="00A30D0A">
        <w:t> </w:t>
      </w:r>
      <w:r w:rsidR="009A043B" w:rsidRPr="00A30D0A">
        <w:t>11</w:t>
      </w:r>
      <w:r w:rsidR="00620757" w:rsidRPr="00A30D0A">
        <w:t xml:space="preserve">: </w:t>
      </w:r>
      <w:r w:rsidR="009936AE" w:rsidRPr="00A30D0A">
        <w:t>Civil space</w:t>
      </w:r>
      <w:r w:rsidR="009936AE" w:rsidRPr="00610B4C">
        <w:t xml:space="preserve"> </w:t>
      </w:r>
      <w:r w:rsidR="00400109">
        <w:t>c</w:t>
      </w:r>
      <w:r w:rsidR="009936AE" w:rsidRPr="00610B4C">
        <w:t xml:space="preserve">apital pipeline for 2018-2028 by </w:t>
      </w:r>
      <w:r w:rsidR="00400109">
        <w:t xml:space="preserve">location </w:t>
      </w:r>
      <w:r w:rsidR="009936AE" w:rsidRPr="00610B4C">
        <w:t xml:space="preserve">(as at </w:t>
      </w:r>
      <w:r w:rsidR="00914325" w:rsidRPr="00610B4C">
        <w:t xml:space="preserve">September </w:t>
      </w:r>
      <w:r w:rsidR="009936AE" w:rsidRPr="00610B4C">
        <w:t>2020)</w:t>
      </w:r>
    </w:p>
    <w:tbl>
      <w:tblPr>
        <w:tblStyle w:val="ASATable"/>
        <w:tblW w:w="9697" w:type="dxa"/>
        <w:tblLook w:val="0420" w:firstRow="1" w:lastRow="0" w:firstColumn="0" w:lastColumn="0" w:noHBand="0" w:noVBand="1"/>
        <w:tblCaption w:val="Civil space committed capital pipeline for 2018-2028 by jurisdiction "/>
        <w:tblDescription w:val="Of the total 2.0217 billion. $627 million is unallocated (Unallocated refers to funding that is not yet allocated to a specific State or Territory of Australia or funding that is split across multiple states), $423.5 million is from SA, $367.2 million is from WA, $258.2 million is from VIC, $121.7 million is from NSW, $90 million is from ACT, $81.7 million is from Queensland, $41.1 million is from NT and $11.3 million is from Tasmania"/>
      </w:tblPr>
      <w:tblGrid>
        <w:gridCol w:w="5384"/>
        <w:gridCol w:w="1130"/>
        <w:gridCol w:w="1212"/>
        <w:gridCol w:w="991"/>
        <w:gridCol w:w="980"/>
      </w:tblGrid>
      <w:tr w:rsidR="000F68B6" w:rsidRPr="00C46321" w14:paraId="0C44CBD9" w14:textId="7B962C9F" w:rsidTr="00C9518C">
        <w:trPr>
          <w:cnfStyle w:val="100000000000" w:firstRow="1" w:lastRow="0" w:firstColumn="0" w:lastColumn="0" w:oddVBand="0" w:evenVBand="0" w:oddHBand="0" w:evenHBand="0" w:firstRowFirstColumn="0" w:firstRowLastColumn="0" w:lastRowFirstColumn="0" w:lastRowLastColumn="0"/>
          <w:cantSplit/>
          <w:trHeight w:val="240"/>
        </w:trPr>
        <w:tc>
          <w:tcPr>
            <w:tcW w:w="5384" w:type="dxa"/>
            <w:shd w:val="clear" w:color="auto" w:fill="004976" w:themeFill="accent1"/>
            <w:hideMark/>
          </w:tcPr>
          <w:p w14:paraId="1B7E0963" w14:textId="08013B6A" w:rsidR="000F68B6" w:rsidRPr="00C72B83" w:rsidRDefault="00F05D9E">
            <w:pPr>
              <w:spacing w:after="0"/>
              <w:jc w:val="lef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Location</w:t>
            </w:r>
          </w:p>
        </w:tc>
        <w:tc>
          <w:tcPr>
            <w:tcW w:w="1130" w:type="dxa"/>
            <w:shd w:val="clear" w:color="auto" w:fill="004976" w:themeFill="accent1"/>
            <w:hideMark/>
          </w:tcPr>
          <w:p w14:paraId="68136A2D" w14:textId="498FB8A5" w:rsidR="00400109" w:rsidRDefault="00400109" w:rsidP="00D95F76">
            <w:pPr>
              <w:spacing w:after="0" w:line="240" w:lineRule="auto"/>
              <w:jc w:val="righ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Total Investment</w:t>
            </w:r>
          </w:p>
          <w:p w14:paraId="4D3AEBBD" w14:textId="77777777" w:rsidR="000F68B6" w:rsidRPr="00D95F76" w:rsidRDefault="000F68B6" w:rsidP="00D95F76">
            <w:pPr>
              <w:spacing w:after="0" w:line="240" w:lineRule="auto"/>
              <w:jc w:val="right"/>
              <w:rPr>
                <w:rFonts w:ascii="Calibri" w:eastAsia="Times New Roman" w:hAnsi="Calibri" w:cs="Calibri"/>
                <w:b/>
                <w:bCs/>
                <w:color w:val="FFFFFF"/>
                <w:sz w:val="18"/>
                <w:szCs w:val="18"/>
                <w:lang w:eastAsia="en-AU"/>
              </w:rPr>
            </w:pPr>
            <w:r w:rsidRPr="00F5572C">
              <w:rPr>
                <w:rFonts w:ascii="Calibri" w:eastAsia="Times New Roman" w:hAnsi="Calibri" w:cs="Calibri"/>
                <w:b/>
                <w:bCs/>
                <w:color w:val="FFFFFF"/>
                <w:sz w:val="18"/>
                <w:szCs w:val="18"/>
                <w:lang w:eastAsia="en-AU"/>
              </w:rPr>
              <w:t>$m</w:t>
            </w:r>
          </w:p>
        </w:tc>
        <w:tc>
          <w:tcPr>
            <w:tcW w:w="1212" w:type="dxa"/>
            <w:shd w:val="clear" w:color="auto" w:fill="004976" w:themeFill="accent1"/>
            <w:hideMark/>
          </w:tcPr>
          <w:p w14:paraId="68728427" w14:textId="77777777" w:rsidR="000F68B6" w:rsidRPr="00D95F76" w:rsidRDefault="000F68B6" w:rsidP="00D95F76">
            <w:pPr>
              <w:spacing w:after="0" w:line="240" w:lineRule="auto"/>
              <w:jc w:val="right"/>
              <w:rPr>
                <w:rFonts w:ascii="Calibri" w:eastAsia="Times New Roman" w:hAnsi="Calibri" w:cs="Calibri"/>
                <w:b/>
                <w:bCs/>
                <w:color w:val="FFFFFF"/>
                <w:sz w:val="18"/>
                <w:szCs w:val="18"/>
                <w:lang w:eastAsia="en-AU"/>
              </w:rPr>
            </w:pPr>
            <w:r w:rsidRPr="00F5572C">
              <w:rPr>
                <w:rFonts w:ascii="Calibri" w:eastAsia="Times New Roman" w:hAnsi="Calibri" w:cs="Calibri"/>
                <w:b/>
                <w:bCs/>
                <w:color w:val="FFFFFF"/>
                <w:sz w:val="18"/>
                <w:szCs w:val="18"/>
                <w:lang w:eastAsia="en-AU"/>
              </w:rPr>
              <w:t>% share</w:t>
            </w:r>
          </w:p>
        </w:tc>
        <w:tc>
          <w:tcPr>
            <w:tcW w:w="991" w:type="dxa"/>
            <w:shd w:val="clear" w:color="auto" w:fill="004976" w:themeFill="accent1"/>
          </w:tcPr>
          <w:p w14:paraId="24C7CB2D" w14:textId="52887FA0" w:rsidR="000F68B6" w:rsidRPr="00F5572C" w:rsidRDefault="000F68B6" w:rsidP="000F68B6">
            <w:pPr>
              <w:spacing w:after="0" w:line="240" w:lineRule="auto"/>
              <w:jc w:val="right"/>
              <w:rPr>
                <w:rFonts w:ascii="Calibri" w:eastAsia="Times New Roman" w:hAnsi="Calibri" w:cs="Calibri"/>
                <w:b/>
                <w:bCs/>
                <w:color w:val="FFFFFF"/>
                <w:sz w:val="18"/>
                <w:szCs w:val="18"/>
                <w:lang w:eastAsia="en-AU"/>
              </w:rPr>
            </w:pPr>
            <w:r w:rsidRPr="00D95F76">
              <w:rPr>
                <w:rFonts w:ascii="Calibri" w:eastAsia="Times New Roman" w:hAnsi="Calibri" w:cs="Calibri"/>
                <w:b/>
                <w:bCs/>
                <w:color w:val="FFFFFF"/>
                <w:sz w:val="18"/>
                <w:szCs w:val="18"/>
                <w:lang w:eastAsia="en-AU"/>
              </w:rPr>
              <w:t>Inbound</w:t>
            </w:r>
            <w:r>
              <w:rPr>
                <w:rFonts w:ascii="Calibri" w:eastAsia="Times New Roman" w:hAnsi="Calibri" w:cs="Calibri"/>
                <w:b/>
                <w:bCs/>
                <w:color w:val="FFFFFF"/>
                <w:sz w:val="18"/>
                <w:szCs w:val="18"/>
                <w:lang w:eastAsia="en-AU"/>
              </w:rPr>
              <w:t xml:space="preserve"> $m</w:t>
            </w:r>
            <w:r w:rsidRPr="00D95F76">
              <w:rPr>
                <w:rFonts w:ascii="Calibri" w:eastAsia="Times New Roman" w:hAnsi="Calibri" w:cs="Calibri"/>
                <w:b/>
                <w:bCs/>
                <w:color w:val="FFFFFF"/>
                <w:sz w:val="18"/>
                <w:szCs w:val="18"/>
                <w:lang w:eastAsia="en-AU"/>
              </w:rPr>
              <w:t xml:space="preserve"> </w:t>
            </w:r>
          </w:p>
        </w:tc>
        <w:tc>
          <w:tcPr>
            <w:tcW w:w="980" w:type="dxa"/>
            <w:shd w:val="clear" w:color="auto" w:fill="004976" w:themeFill="accent1"/>
          </w:tcPr>
          <w:p w14:paraId="4B3ACB18" w14:textId="282713F9" w:rsidR="000F68B6" w:rsidRDefault="000F68B6" w:rsidP="000F68B6">
            <w:pPr>
              <w:spacing w:after="0" w:line="240" w:lineRule="auto"/>
              <w:jc w:val="right"/>
              <w:rPr>
                <w:rFonts w:ascii="Calibri" w:eastAsia="Times New Roman" w:hAnsi="Calibri" w:cs="Calibri"/>
                <w:b/>
                <w:bCs/>
                <w:color w:val="FFFFFF"/>
                <w:sz w:val="18"/>
                <w:szCs w:val="18"/>
                <w:lang w:eastAsia="en-AU"/>
              </w:rPr>
            </w:pPr>
            <w:r>
              <w:rPr>
                <w:rFonts w:ascii="Calibri" w:eastAsia="Times New Roman" w:hAnsi="Calibri" w:cs="Calibri"/>
                <w:b/>
                <w:bCs/>
                <w:color w:val="FFFFFF"/>
                <w:sz w:val="18"/>
                <w:szCs w:val="18"/>
                <w:lang w:eastAsia="en-AU"/>
              </w:rPr>
              <w:t>Inbound % share</w:t>
            </w:r>
            <w:r w:rsidR="00400109">
              <w:rPr>
                <w:rFonts w:ascii="Calibri" w:eastAsia="Times New Roman" w:hAnsi="Calibri" w:cs="Calibri"/>
                <w:b/>
                <w:bCs/>
                <w:color w:val="FFFFFF"/>
                <w:sz w:val="18"/>
                <w:szCs w:val="18"/>
                <w:lang w:eastAsia="en-AU"/>
              </w:rPr>
              <w:t xml:space="preserve"> of total</w:t>
            </w:r>
          </w:p>
        </w:tc>
      </w:tr>
      <w:tr w:rsidR="00FE1C1C" w:rsidRPr="00C46321" w14:paraId="153C2B97" w14:textId="1D9F0E21" w:rsidTr="00C9518C">
        <w:trPr>
          <w:cantSplit/>
          <w:trHeight w:val="240"/>
        </w:trPr>
        <w:tc>
          <w:tcPr>
            <w:tcW w:w="5384" w:type="dxa"/>
            <w:hideMark/>
          </w:tcPr>
          <w:p w14:paraId="4BE9189C" w14:textId="3F28C6CA"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South Australia</w:t>
            </w:r>
          </w:p>
        </w:tc>
        <w:tc>
          <w:tcPr>
            <w:tcW w:w="1130" w:type="dxa"/>
            <w:hideMark/>
          </w:tcPr>
          <w:p w14:paraId="4861EC71" w14:textId="1A5F09A1"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423.5 </w:t>
            </w:r>
          </w:p>
        </w:tc>
        <w:tc>
          <w:tcPr>
            <w:tcW w:w="1212" w:type="dxa"/>
            <w:hideMark/>
          </w:tcPr>
          <w:p w14:paraId="6FB887BC" w14:textId="4B011B96"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20.9%</w:t>
            </w:r>
          </w:p>
        </w:tc>
        <w:tc>
          <w:tcPr>
            <w:tcW w:w="991" w:type="dxa"/>
            <w:vAlign w:val="bottom"/>
          </w:tcPr>
          <w:p w14:paraId="418AB591" w14:textId="048C28E1"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277.7</w:t>
            </w:r>
          </w:p>
        </w:tc>
        <w:tc>
          <w:tcPr>
            <w:tcW w:w="980" w:type="dxa"/>
            <w:vAlign w:val="bottom"/>
          </w:tcPr>
          <w:p w14:paraId="79EDB791" w14:textId="756BA20D"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65.6%</w:t>
            </w:r>
          </w:p>
        </w:tc>
      </w:tr>
      <w:tr w:rsidR="00FE1C1C" w:rsidRPr="00C46321" w14:paraId="42EC5A87" w14:textId="5DE1521F" w:rsidTr="00C9518C">
        <w:trPr>
          <w:cnfStyle w:val="000000010000" w:firstRow="0" w:lastRow="0" w:firstColumn="0" w:lastColumn="0" w:oddVBand="0" w:evenVBand="0" w:oddHBand="0" w:evenHBand="1" w:firstRowFirstColumn="0" w:firstRowLastColumn="0" w:lastRowFirstColumn="0" w:lastRowLastColumn="0"/>
          <w:cantSplit/>
          <w:trHeight w:val="240"/>
        </w:trPr>
        <w:tc>
          <w:tcPr>
            <w:tcW w:w="5384" w:type="dxa"/>
            <w:hideMark/>
          </w:tcPr>
          <w:p w14:paraId="4060EFBC" w14:textId="1008FBFC"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Western Australia</w:t>
            </w:r>
          </w:p>
        </w:tc>
        <w:tc>
          <w:tcPr>
            <w:tcW w:w="1130" w:type="dxa"/>
            <w:hideMark/>
          </w:tcPr>
          <w:p w14:paraId="61D9DBC2" w14:textId="43B7A785"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367.2 </w:t>
            </w:r>
          </w:p>
        </w:tc>
        <w:tc>
          <w:tcPr>
            <w:tcW w:w="1212" w:type="dxa"/>
            <w:hideMark/>
          </w:tcPr>
          <w:p w14:paraId="7DD080DB" w14:textId="77A28343"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18.2%</w:t>
            </w:r>
          </w:p>
        </w:tc>
        <w:tc>
          <w:tcPr>
            <w:tcW w:w="991" w:type="dxa"/>
            <w:vAlign w:val="bottom"/>
          </w:tcPr>
          <w:p w14:paraId="173E5D39" w14:textId="30929B66"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70.0</w:t>
            </w:r>
          </w:p>
        </w:tc>
        <w:tc>
          <w:tcPr>
            <w:tcW w:w="980" w:type="dxa"/>
            <w:vAlign w:val="bottom"/>
          </w:tcPr>
          <w:p w14:paraId="28185072" w14:textId="02B92C9A"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19.1%</w:t>
            </w:r>
          </w:p>
        </w:tc>
      </w:tr>
      <w:tr w:rsidR="00FE1C1C" w:rsidRPr="00C46321" w14:paraId="418B0070" w14:textId="5367ACFA" w:rsidTr="00C9518C">
        <w:trPr>
          <w:cantSplit/>
          <w:trHeight w:val="240"/>
        </w:trPr>
        <w:tc>
          <w:tcPr>
            <w:tcW w:w="5384" w:type="dxa"/>
            <w:hideMark/>
          </w:tcPr>
          <w:p w14:paraId="0059C863" w14:textId="03606DDA"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Victoria</w:t>
            </w:r>
          </w:p>
        </w:tc>
        <w:tc>
          <w:tcPr>
            <w:tcW w:w="1130" w:type="dxa"/>
            <w:hideMark/>
          </w:tcPr>
          <w:p w14:paraId="0F691B31" w14:textId="2562F6D9"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258.2 </w:t>
            </w:r>
          </w:p>
        </w:tc>
        <w:tc>
          <w:tcPr>
            <w:tcW w:w="1212" w:type="dxa"/>
            <w:hideMark/>
          </w:tcPr>
          <w:p w14:paraId="4E44D422" w14:textId="60A4B494"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12.8%</w:t>
            </w:r>
          </w:p>
        </w:tc>
        <w:tc>
          <w:tcPr>
            <w:tcW w:w="991" w:type="dxa"/>
            <w:vAlign w:val="bottom"/>
          </w:tcPr>
          <w:p w14:paraId="59512A3A" w14:textId="29B07220"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207.0</w:t>
            </w:r>
          </w:p>
        </w:tc>
        <w:tc>
          <w:tcPr>
            <w:tcW w:w="980" w:type="dxa"/>
            <w:vAlign w:val="bottom"/>
          </w:tcPr>
          <w:p w14:paraId="4B63E517" w14:textId="35CB257F"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80.2%</w:t>
            </w:r>
          </w:p>
        </w:tc>
      </w:tr>
      <w:tr w:rsidR="00FE1C1C" w:rsidRPr="00C46321" w14:paraId="6DB3239C" w14:textId="53EE616F" w:rsidTr="00C9518C">
        <w:trPr>
          <w:cnfStyle w:val="000000010000" w:firstRow="0" w:lastRow="0" w:firstColumn="0" w:lastColumn="0" w:oddVBand="0" w:evenVBand="0" w:oddHBand="0" w:evenHBand="1" w:firstRowFirstColumn="0" w:firstRowLastColumn="0" w:lastRowFirstColumn="0" w:lastRowLastColumn="0"/>
          <w:cantSplit/>
          <w:trHeight w:val="240"/>
        </w:trPr>
        <w:tc>
          <w:tcPr>
            <w:tcW w:w="5384" w:type="dxa"/>
            <w:hideMark/>
          </w:tcPr>
          <w:p w14:paraId="0C9C9DCF" w14:textId="7116FFBA"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New South Wales</w:t>
            </w:r>
          </w:p>
        </w:tc>
        <w:tc>
          <w:tcPr>
            <w:tcW w:w="1130" w:type="dxa"/>
            <w:hideMark/>
          </w:tcPr>
          <w:p w14:paraId="6F5ECEDC" w14:textId="1A5D7510"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121.7 </w:t>
            </w:r>
          </w:p>
        </w:tc>
        <w:tc>
          <w:tcPr>
            <w:tcW w:w="1212" w:type="dxa"/>
            <w:hideMark/>
          </w:tcPr>
          <w:p w14:paraId="2332C4C3" w14:textId="0E60AF46"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6.0%</w:t>
            </w:r>
          </w:p>
        </w:tc>
        <w:tc>
          <w:tcPr>
            <w:tcW w:w="991" w:type="dxa"/>
            <w:vAlign w:val="bottom"/>
          </w:tcPr>
          <w:p w14:paraId="483480F6" w14:textId="2E30B658"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58.9</w:t>
            </w:r>
          </w:p>
        </w:tc>
        <w:tc>
          <w:tcPr>
            <w:tcW w:w="980" w:type="dxa"/>
            <w:vAlign w:val="bottom"/>
          </w:tcPr>
          <w:p w14:paraId="7B1CD436" w14:textId="44581AA8"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48.4%</w:t>
            </w:r>
          </w:p>
        </w:tc>
      </w:tr>
      <w:tr w:rsidR="00FE1C1C" w:rsidRPr="00C46321" w14:paraId="0C641FD9" w14:textId="6AA3A27D" w:rsidTr="00C9518C">
        <w:trPr>
          <w:cantSplit/>
          <w:trHeight w:val="240"/>
        </w:trPr>
        <w:tc>
          <w:tcPr>
            <w:tcW w:w="5384" w:type="dxa"/>
            <w:hideMark/>
          </w:tcPr>
          <w:p w14:paraId="0C6A0F69" w14:textId="550FC7D2"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Australian Capital Territory</w:t>
            </w:r>
          </w:p>
        </w:tc>
        <w:tc>
          <w:tcPr>
            <w:tcW w:w="1130" w:type="dxa"/>
            <w:hideMark/>
          </w:tcPr>
          <w:p w14:paraId="5BDDECCF" w14:textId="59719A6E"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90.0 </w:t>
            </w:r>
          </w:p>
        </w:tc>
        <w:tc>
          <w:tcPr>
            <w:tcW w:w="1212" w:type="dxa"/>
            <w:hideMark/>
          </w:tcPr>
          <w:p w14:paraId="6BD2ADD8" w14:textId="763E5150"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4.4%</w:t>
            </w:r>
          </w:p>
        </w:tc>
        <w:tc>
          <w:tcPr>
            <w:tcW w:w="991" w:type="dxa"/>
            <w:vAlign w:val="bottom"/>
          </w:tcPr>
          <w:p w14:paraId="0C162B87" w14:textId="4FC264B8"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79.3</w:t>
            </w:r>
          </w:p>
        </w:tc>
        <w:tc>
          <w:tcPr>
            <w:tcW w:w="980" w:type="dxa"/>
            <w:vAlign w:val="bottom"/>
          </w:tcPr>
          <w:p w14:paraId="229D7E16" w14:textId="42EB3414"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88.1%</w:t>
            </w:r>
          </w:p>
        </w:tc>
      </w:tr>
      <w:tr w:rsidR="00FE1C1C" w:rsidRPr="00C46321" w14:paraId="438CBF0F" w14:textId="40F07000" w:rsidTr="00C9518C">
        <w:trPr>
          <w:cnfStyle w:val="000000010000" w:firstRow="0" w:lastRow="0" w:firstColumn="0" w:lastColumn="0" w:oddVBand="0" w:evenVBand="0" w:oddHBand="0" w:evenHBand="1" w:firstRowFirstColumn="0" w:firstRowLastColumn="0" w:lastRowFirstColumn="0" w:lastRowLastColumn="0"/>
          <w:cantSplit/>
          <w:trHeight w:val="240"/>
        </w:trPr>
        <w:tc>
          <w:tcPr>
            <w:tcW w:w="5384" w:type="dxa"/>
            <w:hideMark/>
          </w:tcPr>
          <w:p w14:paraId="78267C5B" w14:textId="6F9ECE04"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Queensland</w:t>
            </w:r>
          </w:p>
        </w:tc>
        <w:tc>
          <w:tcPr>
            <w:tcW w:w="1130" w:type="dxa"/>
            <w:hideMark/>
          </w:tcPr>
          <w:p w14:paraId="777D958F" w14:textId="3A52743A"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81.7 </w:t>
            </w:r>
          </w:p>
        </w:tc>
        <w:tc>
          <w:tcPr>
            <w:tcW w:w="1212" w:type="dxa"/>
            <w:hideMark/>
          </w:tcPr>
          <w:p w14:paraId="27DF7B5F" w14:textId="0841A9D1"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4.0%</w:t>
            </w:r>
          </w:p>
        </w:tc>
        <w:tc>
          <w:tcPr>
            <w:tcW w:w="991" w:type="dxa"/>
            <w:vAlign w:val="bottom"/>
          </w:tcPr>
          <w:p w14:paraId="1EE89F25" w14:textId="5A1C7B1C"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40.0</w:t>
            </w:r>
          </w:p>
        </w:tc>
        <w:tc>
          <w:tcPr>
            <w:tcW w:w="980" w:type="dxa"/>
            <w:vAlign w:val="bottom"/>
          </w:tcPr>
          <w:p w14:paraId="63057502" w14:textId="0FF64F32"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49.0%</w:t>
            </w:r>
          </w:p>
        </w:tc>
      </w:tr>
      <w:tr w:rsidR="00FE1C1C" w:rsidRPr="00C46321" w14:paraId="0521F82F" w14:textId="344ECC6E" w:rsidTr="00C9518C">
        <w:trPr>
          <w:cantSplit/>
          <w:trHeight w:val="240"/>
        </w:trPr>
        <w:tc>
          <w:tcPr>
            <w:tcW w:w="5384" w:type="dxa"/>
            <w:hideMark/>
          </w:tcPr>
          <w:p w14:paraId="098A6A3C" w14:textId="11ABC641"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Northern Territory</w:t>
            </w:r>
          </w:p>
        </w:tc>
        <w:tc>
          <w:tcPr>
            <w:tcW w:w="1130" w:type="dxa"/>
            <w:hideMark/>
          </w:tcPr>
          <w:p w14:paraId="1E1A33B9" w14:textId="05E1605E"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41.1 </w:t>
            </w:r>
          </w:p>
        </w:tc>
        <w:tc>
          <w:tcPr>
            <w:tcW w:w="1212" w:type="dxa"/>
            <w:hideMark/>
          </w:tcPr>
          <w:p w14:paraId="6E3F1553" w14:textId="323AA4D4"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2.0%</w:t>
            </w:r>
          </w:p>
        </w:tc>
        <w:tc>
          <w:tcPr>
            <w:tcW w:w="991" w:type="dxa"/>
            <w:vAlign w:val="bottom"/>
          </w:tcPr>
          <w:p w14:paraId="5107E62B" w14:textId="0ED23914"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41.1</w:t>
            </w:r>
          </w:p>
        </w:tc>
        <w:tc>
          <w:tcPr>
            <w:tcW w:w="980" w:type="dxa"/>
            <w:vAlign w:val="bottom"/>
          </w:tcPr>
          <w:p w14:paraId="4E0577CB" w14:textId="2F5F2A6D"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100.0%</w:t>
            </w:r>
          </w:p>
        </w:tc>
      </w:tr>
      <w:tr w:rsidR="00FE1C1C" w:rsidRPr="00C46321" w14:paraId="3731D236" w14:textId="0D00ACD4" w:rsidTr="00C9518C">
        <w:trPr>
          <w:cnfStyle w:val="000000010000" w:firstRow="0" w:lastRow="0" w:firstColumn="0" w:lastColumn="0" w:oddVBand="0" w:evenVBand="0" w:oddHBand="0" w:evenHBand="1" w:firstRowFirstColumn="0" w:firstRowLastColumn="0" w:lastRowFirstColumn="0" w:lastRowLastColumn="0"/>
          <w:cantSplit/>
          <w:trHeight w:val="240"/>
        </w:trPr>
        <w:tc>
          <w:tcPr>
            <w:tcW w:w="5384" w:type="dxa"/>
            <w:hideMark/>
          </w:tcPr>
          <w:p w14:paraId="033ACD43" w14:textId="31E4627F" w:rsidR="00FE1C1C" w:rsidRPr="00D95F76" w:rsidRDefault="00FE1C1C" w:rsidP="00D95F76">
            <w:pPr>
              <w:spacing w:after="0" w:line="240" w:lineRule="auto"/>
              <w:jc w:val="left"/>
              <w:rPr>
                <w:rFonts w:ascii="Calibri" w:eastAsia="Times New Roman" w:hAnsi="Calibri" w:cs="Calibri"/>
                <w:sz w:val="18"/>
                <w:szCs w:val="18"/>
                <w:lang w:eastAsia="en-AU"/>
              </w:rPr>
            </w:pPr>
            <w:r w:rsidRPr="00D95F76">
              <w:rPr>
                <w:rFonts w:ascii="Calibri" w:hAnsi="Calibri" w:cs="Calibri"/>
                <w:sz w:val="18"/>
                <w:szCs w:val="18"/>
              </w:rPr>
              <w:t>Tasmania</w:t>
            </w:r>
          </w:p>
        </w:tc>
        <w:tc>
          <w:tcPr>
            <w:tcW w:w="1130" w:type="dxa"/>
            <w:hideMark/>
          </w:tcPr>
          <w:p w14:paraId="01E140EF" w14:textId="21A37EC0"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 xml:space="preserve"> 11.3 </w:t>
            </w:r>
          </w:p>
        </w:tc>
        <w:tc>
          <w:tcPr>
            <w:tcW w:w="1212" w:type="dxa"/>
            <w:hideMark/>
          </w:tcPr>
          <w:p w14:paraId="3984D024" w14:textId="184252B6" w:rsidR="00FE1C1C" w:rsidRPr="00051CD8" w:rsidRDefault="00FE1C1C" w:rsidP="00FE1C1C">
            <w:pPr>
              <w:spacing w:after="0" w:line="240" w:lineRule="auto"/>
              <w:jc w:val="right"/>
              <w:rPr>
                <w:rFonts w:ascii="Calibri" w:eastAsia="Times New Roman" w:hAnsi="Calibri" w:cs="Calibri"/>
                <w:color w:val="000000"/>
                <w:sz w:val="18"/>
                <w:szCs w:val="18"/>
                <w:lang w:eastAsia="en-AU"/>
              </w:rPr>
            </w:pPr>
            <w:r w:rsidRPr="00D95F76">
              <w:rPr>
                <w:rFonts w:ascii="Calibri" w:hAnsi="Calibri" w:cs="Calibri"/>
                <w:sz w:val="18"/>
                <w:szCs w:val="18"/>
              </w:rPr>
              <w:t>0.6%</w:t>
            </w:r>
          </w:p>
        </w:tc>
        <w:tc>
          <w:tcPr>
            <w:tcW w:w="991" w:type="dxa"/>
            <w:vAlign w:val="bottom"/>
          </w:tcPr>
          <w:p w14:paraId="2E02AA14" w14:textId="436BC41E" w:rsidR="00FE1C1C" w:rsidRPr="005E0110" w:rsidRDefault="00FE1C1C" w:rsidP="00FE1C1C">
            <w:pPr>
              <w:spacing w:after="0" w:line="240" w:lineRule="auto"/>
              <w:jc w:val="right"/>
              <w:rPr>
                <w:rFonts w:ascii="Calibri" w:eastAsia="Times New Roman" w:hAnsi="Calibri" w:cs="Calibri"/>
                <w:color w:val="000000"/>
                <w:sz w:val="18"/>
                <w:szCs w:val="18"/>
                <w:lang w:eastAsia="en-AU"/>
              </w:rPr>
            </w:pPr>
            <w:r w:rsidRPr="00051CD8">
              <w:rPr>
                <w:rFonts w:ascii="Calibri" w:hAnsi="Calibri" w:cs="Calibri"/>
                <w:color w:val="000000"/>
                <w:sz w:val="18"/>
                <w:szCs w:val="18"/>
              </w:rPr>
              <w:t>0.5</w:t>
            </w:r>
          </w:p>
        </w:tc>
        <w:tc>
          <w:tcPr>
            <w:tcW w:w="980" w:type="dxa"/>
            <w:vAlign w:val="bottom"/>
          </w:tcPr>
          <w:p w14:paraId="6DF2FF94" w14:textId="0B315A85" w:rsidR="00FE1C1C" w:rsidRPr="000F68B6" w:rsidRDefault="00FE1C1C" w:rsidP="00FE1C1C">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4.4%</w:t>
            </w:r>
          </w:p>
        </w:tc>
      </w:tr>
      <w:tr w:rsidR="00400109" w:rsidRPr="00C46321" w14:paraId="6C161B6F" w14:textId="77777777" w:rsidTr="00C9518C">
        <w:trPr>
          <w:cantSplit/>
          <w:trHeight w:val="240"/>
        </w:trPr>
        <w:tc>
          <w:tcPr>
            <w:tcW w:w="5384" w:type="dxa"/>
          </w:tcPr>
          <w:p w14:paraId="4BD2F954" w14:textId="10F45321" w:rsidR="00400109" w:rsidRPr="00D95F76" w:rsidRDefault="00400109" w:rsidP="00400109">
            <w:pPr>
              <w:spacing w:after="0" w:line="240" w:lineRule="auto"/>
              <w:jc w:val="left"/>
              <w:rPr>
                <w:rFonts w:ascii="Calibri" w:hAnsi="Calibri" w:cs="Calibri"/>
                <w:sz w:val="18"/>
                <w:szCs w:val="18"/>
              </w:rPr>
            </w:pPr>
            <w:r w:rsidRPr="00D95F76">
              <w:rPr>
                <w:rFonts w:ascii="Calibri" w:hAnsi="Calibri" w:cs="Calibri"/>
                <w:sz w:val="18"/>
                <w:szCs w:val="18"/>
              </w:rPr>
              <w:t>Unallocated*</w:t>
            </w:r>
          </w:p>
        </w:tc>
        <w:tc>
          <w:tcPr>
            <w:tcW w:w="1130" w:type="dxa"/>
          </w:tcPr>
          <w:p w14:paraId="77B3E98C" w14:textId="5FE69578" w:rsidR="00400109" w:rsidRPr="00D95F76" w:rsidRDefault="00400109" w:rsidP="00400109">
            <w:pPr>
              <w:spacing w:after="0" w:line="240" w:lineRule="auto"/>
              <w:jc w:val="right"/>
              <w:rPr>
                <w:rFonts w:ascii="Calibri" w:hAnsi="Calibri" w:cs="Calibri"/>
                <w:sz w:val="18"/>
                <w:szCs w:val="18"/>
              </w:rPr>
            </w:pPr>
            <w:r w:rsidRPr="00D95F76">
              <w:rPr>
                <w:rFonts w:ascii="Calibri" w:hAnsi="Calibri" w:cs="Calibri"/>
                <w:sz w:val="18"/>
                <w:szCs w:val="18"/>
              </w:rPr>
              <w:t xml:space="preserve"> 627.2 </w:t>
            </w:r>
          </w:p>
        </w:tc>
        <w:tc>
          <w:tcPr>
            <w:tcW w:w="1212" w:type="dxa"/>
          </w:tcPr>
          <w:p w14:paraId="4C139E7D" w14:textId="2C010DA9" w:rsidR="00400109" w:rsidRPr="00D95F76" w:rsidRDefault="00400109" w:rsidP="00400109">
            <w:pPr>
              <w:spacing w:after="0" w:line="240" w:lineRule="auto"/>
              <w:jc w:val="right"/>
              <w:rPr>
                <w:rFonts w:ascii="Calibri" w:hAnsi="Calibri" w:cs="Calibri"/>
                <w:sz w:val="18"/>
                <w:szCs w:val="18"/>
              </w:rPr>
            </w:pPr>
            <w:r w:rsidRPr="00D95F76">
              <w:rPr>
                <w:rFonts w:ascii="Calibri" w:hAnsi="Calibri" w:cs="Calibri"/>
                <w:sz w:val="18"/>
                <w:szCs w:val="18"/>
              </w:rPr>
              <w:t>31.0%</w:t>
            </w:r>
          </w:p>
        </w:tc>
        <w:tc>
          <w:tcPr>
            <w:tcW w:w="991" w:type="dxa"/>
            <w:vAlign w:val="bottom"/>
          </w:tcPr>
          <w:p w14:paraId="27B3FA5A" w14:textId="3F75E9E8" w:rsidR="00400109" w:rsidRPr="00051CD8" w:rsidRDefault="00400109" w:rsidP="00400109">
            <w:pPr>
              <w:spacing w:after="0" w:line="240" w:lineRule="auto"/>
              <w:jc w:val="right"/>
              <w:rPr>
                <w:rFonts w:ascii="Calibri" w:hAnsi="Calibri" w:cs="Calibri"/>
                <w:color w:val="000000"/>
                <w:sz w:val="18"/>
                <w:szCs w:val="18"/>
              </w:rPr>
            </w:pPr>
            <w:r w:rsidRPr="00051CD8">
              <w:rPr>
                <w:rFonts w:ascii="Calibri" w:hAnsi="Calibri" w:cs="Calibri"/>
                <w:color w:val="000000"/>
                <w:sz w:val="18"/>
                <w:szCs w:val="18"/>
              </w:rPr>
              <w:t>0.0</w:t>
            </w:r>
          </w:p>
        </w:tc>
        <w:tc>
          <w:tcPr>
            <w:tcW w:w="980" w:type="dxa"/>
            <w:vAlign w:val="bottom"/>
          </w:tcPr>
          <w:p w14:paraId="3E981979" w14:textId="299B3722" w:rsidR="00400109" w:rsidRDefault="00400109" w:rsidP="00400109">
            <w:pPr>
              <w:spacing w:after="0" w:line="240" w:lineRule="auto"/>
              <w:jc w:val="right"/>
              <w:rPr>
                <w:rFonts w:ascii="Calibri" w:hAnsi="Calibri" w:cs="Calibri"/>
                <w:color w:val="000000"/>
                <w:sz w:val="18"/>
                <w:szCs w:val="18"/>
              </w:rPr>
            </w:pPr>
            <w:r>
              <w:rPr>
                <w:rFonts w:ascii="Calibri" w:hAnsi="Calibri" w:cs="Calibri"/>
                <w:color w:val="000000"/>
                <w:sz w:val="18"/>
                <w:szCs w:val="18"/>
              </w:rPr>
              <w:t>0.0%</w:t>
            </w:r>
          </w:p>
        </w:tc>
      </w:tr>
      <w:tr w:rsidR="00400109" w:rsidRPr="00C72B83" w14:paraId="4FBB714A" w14:textId="1EEC8FD0" w:rsidTr="00C9518C">
        <w:trPr>
          <w:cnfStyle w:val="000000010000" w:firstRow="0" w:lastRow="0" w:firstColumn="0" w:lastColumn="0" w:oddVBand="0" w:evenVBand="0" w:oddHBand="0" w:evenHBand="1" w:firstRowFirstColumn="0" w:firstRowLastColumn="0" w:lastRowFirstColumn="0" w:lastRowLastColumn="0"/>
          <w:cantSplit/>
          <w:trHeight w:val="240"/>
        </w:trPr>
        <w:tc>
          <w:tcPr>
            <w:tcW w:w="5384" w:type="dxa"/>
            <w:shd w:val="clear" w:color="auto" w:fill="537B96"/>
            <w:hideMark/>
          </w:tcPr>
          <w:p w14:paraId="0D5A2B5A" w14:textId="05405EA3" w:rsidR="00400109" w:rsidRPr="000F68B6" w:rsidRDefault="00400109" w:rsidP="00400109">
            <w:pPr>
              <w:spacing w:after="0" w:line="240" w:lineRule="auto"/>
              <w:jc w:val="left"/>
              <w:rPr>
                <w:rFonts w:ascii="Calibri" w:eastAsia="Times New Roman" w:hAnsi="Calibri" w:cs="Calibri"/>
                <w:b/>
                <w:color w:val="FFFFFF" w:themeColor="background1"/>
                <w:sz w:val="18"/>
                <w:szCs w:val="18"/>
                <w:lang w:eastAsia="en-AU"/>
              </w:rPr>
            </w:pPr>
            <w:r w:rsidRPr="000F68B6">
              <w:rPr>
                <w:rFonts w:ascii="Calibri" w:eastAsia="Times New Roman" w:hAnsi="Calibri" w:cs="Calibri"/>
                <w:b/>
                <w:color w:val="FFFFFF" w:themeColor="background1"/>
                <w:sz w:val="18"/>
                <w:szCs w:val="18"/>
                <w:lang w:eastAsia="en-AU"/>
              </w:rPr>
              <w:t>Total</w:t>
            </w:r>
            <w:r w:rsidR="00E029DD">
              <w:rPr>
                <w:rStyle w:val="FootnoteReference"/>
                <w:rFonts w:eastAsia="Times New Roman"/>
                <w:b/>
                <w:bCs/>
                <w:color w:val="FFFFFF" w:themeColor="background1"/>
                <w:sz w:val="18"/>
                <w:szCs w:val="18"/>
                <w:lang w:eastAsia="en-AU"/>
              </w:rPr>
              <w:footnoteReference w:id="54"/>
            </w:r>
          </w:p>
        </w:tc>
        <w:tc>
          <w:tcPr>
            <w:tcW w:w="1130" w:type="dxa"/>
            <w:shd w:val="clear" w:color="auto" w:fill="537B96"/>
            <w:hideMark/>
          </w:tcPr>
          <w:p w14:paraId="573DC4FB" w14:textId="4574FEFD" w:rsidR="00400109" w:rsidRPr="000F68B6" w:rsidRDefault="00400109" w:rsidP="00400109">
            <w:pPr>
              <w:spacing w:after="0" w:line="240" w:lineRule="auto"/>
              <w:jc w:val="right"/>
              <w:rPr>
                <w:rFonts w:ascii="Calibri" w:eastAsia="Times New Roman" w:hAnsi="Calibri" w:cs="Calibri"/>
                <w:b/>
                <w:color w:val="FFFFFF" w:themeColor="background1"/>
                <w:sz w:val="18"/>
                <w:szCs w:val="18"/>
                <w:lang w:eastAsia="en-AU"/>
              </w:rPr>
            </w:pPr>
            <w:r w:rsidRPr="00AA79ED">
              <w:rPr>
                <w:rFonts w:ascii="Calibri" w:eastAsia="Times New Roman" w:hAnsi="Calibri" w:cs="Calibri"/>
                <w:b/>
                <w:bCs/>
                <w:color w:val="FFFFFF" w:themeColor="background1"/>
                <w:sz w:val="18"/>
                <w:szCs w:val="18"/>
                <w:lang w:eastAsia="en-AU"/>
              </w:rPr>
              <w:t>2,0</w:t>
            </w:r>
            <w:r>
              <w:rPr>
                <w:rFonts w:ascii="Calibri" w:eastAsia="Times New Roman" w:hAnsi="Calibri" w:cs="Calibri"/>
                <w:b/>
                <w:bCs/>
                <w:color w:val="FFFFFF" w:themeColor="background1"/>
                <w:sz w:val="18"/>
                <w:szCs w:val="18"/>
                <w:lang w:eastAsia="en-AU"/>
              </w:rPr>
              <w:t>2</w:t>
            </w:r>
            <w:r w:rsidRPr="00AA79ED">
              <w:rPr>
                <w:rFonts w:ascii="Calibri" w:eastAsia="Times New Roman" w:hAnsi="Calibri" w:cs="Calibri"/>
                <w:b/>
                <w:bCs/>
                <w:color w:val="FFFFFF" w:themeColor="background1"/>
                <w:sz w:val="18"/>
                <w:szCs w:val="18"/>
                <w:lang w:eastAsia="en-AU"/>
              </w:rPr>
              <w:t>1.</w:t>
            </w:r>
            <w:r>
              <w:rPr>
                <w:rFonts w:ascii="Calibri" w:eastAsia="Times New Roman" w:hAnsi="Calibri" w:cs="Calibri"/>
                <w:b/>
                <w:bCs/>
                <w:color w:val="FFFFFF" w:themeColor="background1"/>
                <w:sz w:val="18"/>
                <w:szCs w:val="18"/>
                <w:lang w:eastAsia="en-AU"/>
              </w:rPr>
              <w:t>7</w:t>
            </w:r>
          </w:p>
        </w:tc>
        <w:tc>
          <w:tcPr>
            <w:tcW w:w="1212" w:type="dxa"/>
            <w:shd w:val="clear" w:color="auto" w:fill="537B96"/>
            <w:hideMark/>
          </w:tcPr>
          <w:p w14:paraId="77BAAE3E" w14:textId="70ACC166" w:rsidR="00400109" w:rsidRPr="000F68B6" w:rsidRDefault="00400109" w:rsidP="00400109">
            <w:pPr>
              <w:spacing w:after="0" w:line="240" w:lineRule="auto"/>
              <w:jc w:val="right"/>
              <w:rPr>
                <w:rFonts w:ascii="Calibri" w:eastAsia="Times New Roman" w:hAnsi="Calibri" w:cs="Calibri"/>
                <w:b/>
                <w:color w:val="FFFFFF" w:themeColor="background1"/>
                <w:sz w:val="18"/>
                <w:szCs w:val="18"/>
                <w:lang w:eastAsia="en-AU"/>
              </w:rPr>
            </w:pPr>
            <w:r w:rsidRPr="000F68B6">
              <w:rPr>
                <w:rFonts w:ascii="Calibri" w:eastAsia="Times New Roman" w:hAnsi="Calibri" w:cs="Calibri"/>
                <w:b/>
                <w:color w:val="FFFFFF" w:themeColor="background1"/>
                <w:sz w:val="18"/>
                <w:szCs w:val="18"/>
                <w:lang w:eastAsia="en-AU"/>
              </w:rPr>
              <w:t>100%</w:t>
            </w:r>
          </w:p>
        </w:tc>
        <w:tc>
          <w:tcPr>
            <w:tcW w:w="991" w:type="dxa"/>
            <w:shd w:val="clear" w:color="auto" w:fill="537B96"/>
          </w:tcPr>
          <w:p w14:paraId="67C15D77" w14:textId="2A1D5DB6" w:rsidR="00400109" w:rsidRPr="000F68B6" w:rsidRDefault="00400109" w:rsidP="00400109">
            <w:pPr>
              <w:spacing w:after="0" w:line="240" w:lineRule="auto"/>
              <w:jc w:val="right"/>
              <w:rPr>
                <w:rFonts w:ascii="Calibri" w:eastAsia="Times New Roman" w:hAnsi="Calibri" w:cs="Calibri"/>
                <w:b/>
                <w:color w:val="FFFFFF" w:themeColor="background1"/>
                <w:sz w:val="18"/>
                <w:szCs w:val="18"/>
                <w:lang w:eastAsia="en-AU"/>
              </w:rPr>
            </w:pPr>
            <w:r w:rsidRPr="000F68B6">
              <w:rPr>
                <w:rFonts w:ascii="Calibri" w:eastAsia="Times New Roman" w:hAnsi="Calibri" w:cs="Calibri"/>
                <w:b/>
                <w:color w:val="FFFFFF" w:themeColor="background1"/>
                <w:sz w:val="18"/>
                <w:szCs w:val="18"/>
                <w:lang w:eastAsia="en-AU"/>
              </w:rPr>
              <w:t>774.6</w:t>
            </w:r>
          </w:p>
        </w:tc>
        <w:tc>
          <w:tcPr>
            <w:tcW w:w="980" w:type="dxa"/>
            <w:shd w:val="clear" w:color="auto" w:fill="537B96"/>
          </w:tcPr>
          <w:p w14:paraId="7455F1F4" w14:textId="77777777" w:rsidR="00400109" w:rsidRPr="000F68B6" w:rsidRDefault="00400109" w:rsidP="00400109">
            <w:pPr>
              <w:spacing w:after="0" w:line="240" w:lineRule="auto"/>
              <w:jc w:val="right"/>
              <w:rPr>
                <w:rFonts w:ascii="Calibri" w:eastAsia="Times New Roman" w:hAnsi="Calibri" w:cs="Calibri"/>
                <w:b/>
                <w:color w:val="FFFFFF" w:themeColor="background1"/>
                <w:sz w:val="18"/>
                <w:szCs w:val="18"/>
                <w:lang w:eastAsia="en-AU"/>
              </w:rPr>
            </w:pPr>
          </w:p>
        </w:tc>
      </w:tr>
      <w:tr w:rsidR="00400109" w:rsidRPr="00C72B83" w14:paraId="2571BEBF" w14:textId="77777777" w:rsidTr="00C9518C">
        <w:trPr>
          <w:cantSplit/>
          <w:trHeight w:val="240"/>
        </w:trPr>
        <w:tc>
          <w:tcPr>
            <w:tcW w:w="9697" w:type="dxa"/>
            <w:gridSpan w:val="5"/>
            <w:shd w:val="clear" w:color="auto" w:fill="auto"/>
          </w:tcPr>
          <w:p w14:paraId="76E0B44C" w14:textId="3568AD5F" w:rsidR="00400109" w:rsidRPr="00D95F76" w:rsidRDefault="00400109" w:rsidP="00400109">
            <w:pPr>
              <w:pStyle w:val="Caption"/>
              <w:spacing w:before="0" w:after="0" w:line="60" w:lineRule="atLeast"/>
              <w:jc w:val="left"/>
              <w:rPr>
                <w:bCs w:val="0"/>
                <w:i/>
                <w:iCs/>
                <w:color w:val="000000" w:themeColor="text1"/>
                <w:sz w:val="18"/>
                <w:szCs w:val="18"/>
              </w:rPr>
            </w:pPr>
            <w:r w:rsidRPr="00F5572C">
              <w:rPr>
                <w:i/>
                <w:iCs/>
                <w:color w:val="000000" w:themeColor="text1"/>
                <w:sz w:val="18"/>
                <w:szCs w:val="18"/>
              </w:rPr>
              <w:t>*</w:t>
            </w:r>
            <w:r>
              <w:t xml:space="preserve"> </w:t>
            </w:r>
            <w:r w:rsidRPr="00575791">
              <w:rPr>
                <w:i/>
                <w:iCs/>
                <w:color w:val="000000" w:themeColor="text1"/>
                <w:sz w:val="18"/>
                <w:szCs w:val="18"/>
              </w:rPr>
              <w:t xml:space="preserve">Unallocated refers to funding that </w:t>
            </w:r>
            <w:r>
              <w:rPr>
                <w:i/>
                <w:iCs/>
                <w:color w:val="000000" w:themeColor="text1"/>
                <w:sz w:val="18"/>
                <w:szCs w:val="18"/>
              </w:rPr>
              <w:t xml:space="preserve">is </w:t>
            </w:r>
            <w:r w:rsidRPr="00575791">
              <w:rPr>
                <w:i/>
                <w:iCs/>
                <w:color w:val="000000" w:themeColor="text1"/>
                <w:sz w:val="18"/>
                <w:szCs w:val="18"/>
              </w:rPr>
              <w:t>not</w:t>
            </w:r>
            <w:r>
              <w:rPr>
                <w:i/>
                <w:iCs/>
                <w:color w:val="000000" w:themeColor="text1"/>
                <w:sz w:val="18"/>
                <w:szCs w:val="18"/>
              </w:rPr>
              <w:t xml:space="preserve"> yet</w:t>
            </w:r>
            <w:r w:rsidRPr="00575791">
              <w:rPr>
                <w:i/>
                <w:iCs/>
                <w:color w:val="000000" w:themeColor="text1"/>
                <w:sz w:val="18"/>
                <w:szCs w:val="18"/>
              </w:rPr>
              <w:t xml:space="preserve"> allocated to a specific </w:t>
            </w:r>
            <w:r>
              <w:rPr>
                <w:i/>
                <w:iCs/>
                <w:color w:val="000000" w:themeColor="text1"/>
                <w:sz w:val="18"/>
                <w:szCs w:val="18"/>
              </w:rPr>
              <w:t>s</w:t>
            </w:r>
            <w:r w:rsidRPr="00575791">
              <w:rPr>
                <w:i/>
                <w:iCs/>
                <w:color w:val="000000" w:themeColor="text1"/>
                <w:sz w:val="18"/>
                <w:szCs w:val="18"/>
              </w:rPr>
              <w:t xml:space="preserve">tate or </w:t>
            </w:r>
            <w:r>
              <w:rPr>
                <w:i/>
                <w:iCs/>
                <w:color w:val="000000" w:themeColor="text1"/>
                <w:sz w:val="18"/>
                <w:szCs w:val="18"/>
              </w:rPr>
              <w:t>t</w:t>
            </w:r>
            <w:r w:rsidRPr="00575791">
              <w:rPr>
                <w:i/>
                <w:iCs/>
                <w:color w:val="000000" w:themeColor="text1"/>
                <w:sz w:val="18"/>
                <w:szCs w:val="18"/>
              </w:rPr>
              <w:t>erritory of Australia or funding that is split across multiple states.</w:t>
            </w:r>
          </w:p>
        </w:tc>
      </w:tr>
    </w:tbl>
    <w:p w14:paraId="17D94E2C" w14:textId="77777777" w:rsidR="00B237F7" w:rsidRDefault="00B237F7" w:rsidP="00D95F76">
      <w:pPr>
        <w:keepNext/>
        <w:adjustRightInd/>
        <w:snapToGrid/>
        <w:spacing w:after="0" w:line="240" w:lineRule="auto"/>
        <w:rPr>
          <w:i/>
          <w:iCs/>
          <w:color w:val="000000" w:themeColor="text1"/>
          <w:sz w:val="18"/>
          <w:szCs w:val="18"/>
        </w:rPr>
      </w:pPr>
    </w:p>
    <w:p w14:paraId="50267400" w14:textId="57024926" w:rsidR="00D35518" w:rsidRPr="00610EDD" w:rsidRDefault="005762B9" w:rsidP="0024387D">
      <w:pPr>
        <w:tabs>
          <w:tab w:val="left" w:pos="2696"/>
        </w:tabs>
        <w:spacing w:after="0"/>
        <w:rPr>
          <w:b/>
        </w:rPr>
      </w:pPr>
      <w:r w:rsidRPr="0024387D">
        <w:rPr>
          <w:b/>
        </w:rPr>
        <w:t>Figure</w:t>
      </w:r>
      <w:r w:rsidR="00A30D0A">
        <w:rPr>
          <w:b/>
        </w:rPr>
        <w:t> </w:t>
      </w:r>
      <w:r w:rsidR="009A043B" w:rsidRPr="0024387D">
        <w:rPr>
          <w:b/>
        </w:rPr>
        <w:t>2</w:t>
      </w:r>
      <w:r w:rsidRPr="0024387D">
        <w:rPr>
          <w:b/>
        </w:rPr>
        <w:t xml:space="preserve">: Civil space committed capital pipeline for 2019-2028 by </w:t>
      </w:r>
      <w:r w:rsidR="00400109">
        <w:rPr>
          <w:b/>
        </w:rPr>
        <w:t>location</w:t>
      </w:r>
    </w:p>
    <w:p w14:paraId="04E16D1A" w14:textId="110C90FD" w:rsidR="0085106B" w:rsidRDefault="0085106B" w:rsidP="00D95F76">
      <w:pPr>
        <w:spacing w:after="120" w:line="240" w:lineRule="auto"/>
      </w:pPr>
      <w:r>
        <w:rPr>
          <w:noProof/>
          <w:lang w:eastAsia="en-AU"/>
        </w:rPr>
        <w:drawing>
          <wp:inline distT="0" distB="0" distL="0" distR="0" wp14:anchorId="2A22E226" wp14:editId="2E4498A3">
            <wp:extent cx="6192520" cy="4138295"/>
            <wp:effectExtent l="0" t="0" r="0" b="0"/>
            <wp:docPr id="1" name="Picture 1" descr="Map of Australia showing civil space committed capital pipeline for 2019-2028 by jurisdiction:&#10;Northern Territory is 2%, Queensland is 4%, New South Wales is 6%, Australian Capital Territory is 4%, Victoria is 13%, Tasmania is 1%, South Australia is 21% and Western Australia is 18%. 31% is unallocated, refferring to funding that is not yet allocated to a specific State or Territory or funding that is split across multiple states." title="Civil space committed capital pipeline for 2019-2028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4138295"/>
                    </a:xfrm>
                    <a:prstGeom prst="rect">
                      <a:avLst/>
                    </a:prstGeom>
                  </pic:spPr>
                </pic:pic>
              </a:graphicData>
            </a:graphic>
          </wp:inline>
        </w:drawing>
      </w:r>
    </w:p>
    <w:p w14:paraId="76FCB387" w14:textId="77777777" w:rsidR="00634F4A" w:rsidRDefault="00634F4A">
      <w:pPr>
        <w:adjustRightInd/>
        <w:snapToGrid/>
        <w:spacing w:after="0" w:line="240" w:lineRule="auto"/>
        <w:rPr>
          <w:rFonts w:asciiTheme="majorHAnsi" w:hAnsiTheme="majorHAnsi" w:cstheme="majorHAnsi"/>
          <w:b/>
          <w:bCs/>
          <w:color w:val="004976" w:themeColor="background2"/>
          <w:sz w:val="28"/>
          <w:szCs w:val="26"/>
        </w:rPr>
      </w:pPr>
      <w:bookmarkStart w:id="80" w:name="_Toc37691789"/>
      <w:bookmarkStart w:id="81" w:name="_Toc37941694"/>
      <w:bookmarkStart w:id="82" w:name="_Toc38007854"/>
      <w:r>
        <w:br w:type="page"/>
      </w:r>
    </w:p>
    <w:p w14:paraId="1E0C2153" w14:textId="18D32344" w:rsidR="00CB504B" w:rsidRDefault="00CB504B" w:rsidP="00CB504B">
      <w:pPr>
        <w:pStyle w:val="Heading3"/>
      </w:pPr>
      <w:r>
        <w:lastRenderedPageBreak/>
        <w:t>Investment by sub-sector</w:t>
      </w:r>
    </w:p>
    <w:p w14:paraId="526727E5" w14:textId="4A7F11B6" w:rsidR="00CB504B" w:rsidRPr="00BC106D" w:rsidRDefault="00A30D0A" w:rsidP="00CB504B">
      <w:pPr>
        <w:tabs>
          <w:tab w:val="left" w:pos="2696"/>
        </w:tabs>
      </w:pPr>
      <w:r>
        <w:t>Table 12</w:t>
      </w:r>
      <w:r w:rsidR="00CB504B" w:rsidRPr="00BC106D">
        <w:t xml:space="preserve"> provides the breakdown of the 2018-2028 capital pipeline by sub-sectors and funding source. </w:t>
      </w:r>
    </w:p>
    <w:p w14:paraId="5A72659D" w14:textId="372CC3A0" w:rsidR="00CB504B" w:rsidRPr="00BC106D" w:rsidRDefault="00A30D0A" w:rsidP="00CB504B">
      <w:pPr>
        <w:pStyle w:val="TableHeading"/>
      </w:pPr>
      <w:r>
        <w:t>Table 12</w:t>
      </w:r>
      <w:r w:rsidR="00CB504B" w:rsidRPr="00BC106D">
        <w:t>: Civil space committed capital pipeline for 2018-2028 by sub-sector (as at September 2020)</w:t>
      </w:r>
    </w:p>
    <w:tbl>
      <w:tblPr>
        <w:tblStyle w:val="ASATable"/>
        <w:tblW w:w="9596" w:type="dxa"/>
        <w:tblInd w:w="-2" w:type="dxa"/>
        <w:tblLook w:val="0420" w:firstRow="1" w:lastRow="0" w:firstColumn="0" w:lastColumn="0" w:noHBand="0" w:noVBand="1"/>
        <w:tblCaption w:val="Civil space committed capital pipeline for 2018-2028 by sub-sector (as at September 2020)"/>
        <w:tblDescription w:val="Total Australian civil space capital pipeline between 2018-2028 is at $2.0217 billion. This includes, $420 million from communications and ground stations, $375.3 million from leapfrog R&amp;D, $368.3 million from position, navigation and timing, $354.1 million from planetary science and astronomy, $179.8 million from unallocated sectors (Unallocated refers to funding that has not yet been allocated to a sub-sector, e.g. state government grants commitments that have not been allocated), or investments cutting across sub-sectors where splits are not available (e.g. Queensland Government funding for Earth Observation, Launch, and Ground stations), $103.1 million from infrastructure, $81.9 million from launch, rockets and hypersonics, $78.7 million from earth observation, $16.1 million from advanced manufacturing, $14.2 million from robotics and remote asset management, $11 million from space medicine, $11 million from education, $4.2 million from education, and $3.9 million from space situational awareness."/>
      </w:tblPr>
      <w:tblGrid>
        <w:gridCol w:w="5528"/>
        <w:gridCol w:w="1074"/>
        <w:gridCol w:w="1212"/>
        <w:gridCol w:w="891"/>
        <w:gridCol w:w="891"/>
      </w:tblGrid>
      <w:tr w:rsidR="00CB504B" w:rsidRPr="00BC106D" w14:paraId="7D345F5A" w14:textId="77777777" w:rsidTr="00C20158">
        <w:trPr>
          <w:cnfStyle w:val="100000000000" w:firstRow="1" w:lastRow="0" w:firstColumn="0" w:lastColumn="0" w:oddVBand="0" w:evenVBand="0" w:oddHBand="0" w:evenHBand="0" w:firstRowFirstColumn="0" w:firstRowLastColumn="0" w:lastRowFirstColumn="0" w:lastRowLastColumn="0"/>
          <w:trHeight w:val="240"/>
        </w:trPr>
        <w:tc>
          <w:tcPr>
            <w:tcW w:w="5528" w:type="dxa"/>
            <w:shd w:val="clear" w:color="auto" w:fill="004976" w:themeFill="accent1"/>
            <w:hideMark/>
          </w:tcPr>
          <w:p w14:paraId="71B127AD" w14:textId="77777777" w:rsidR="00CB504B" w:rsidRPr="00BC106D" w:rsidRDefault="00CB504B" w:rsidP="00C20158">
            <w:pPr>
              <w:spacing w:after="0"/>
              <w:jc w:val="lef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Sub-sector</w:t>
            </w:r>
          </w:p>
        </w:tc>
        <w:tc>
          <w:tcPr>
            <w:tcW w:w="1074" w:type="dxa"/>
            <w:shd w:val="clear" w:color="auto" w:fill="004976" w:themeFill="accent1"/>
            <w:hideMark/>
          </w:tcPr>
          <w:p w14:paraId="344C0A6A" w14:textId="1F1BE283" w:rsidR="00CB504B" w:rsidRPr="00BC106D" w:rsidRDefault="00624543"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Total investment</w:t>
            </w:r>
            <w:r w:rsidRPr="00BC106D">
              <w:rPr>
                <w:rFonts w:ascii="Calibri" w:eastAsia="Times New Roman" w:hAnsi="Calibri" w:cs="Calibri"/>
                <w:b/>
                <w:bCs/>
                <w:color w:val="FFFFFF" w:themeColor="background1"/>
                <w:sz w:val="18"/>
                <w:szCs w:val="18"/>
                <w:lang w:eastAsia="en-AU"/>
              </w:rPr>
              <w:br/>
            </w:r>
            <w:r w:rsidR="00CB504B" w:rsidRPr="00BC106D">
              <w:rPr>
                <w:rFonts w:ascii="Calibri" w:eastAsia="Times New Roman" w:hAnsi="Calibri" w:cs="Calibri"/>
                <w:b/>
                <w:bCs/>
                <w:color w:val="FFFFFF" w:themeColor="background1"/>
                <w:sz w:val="18"/>
                <w:szCs w:val="18"/>
                <w:lang w:eastAsia="en-AU"/>
              </w:rPr>
              <w:t>$m</w:t>
            </w:r>
          </w:p>
        </w:tc>
        <w:tc>
          <w:tcPr>
            <w:tcW w:w="1212" w:type="dxa"/>
            <w:shd w:val="clear" w:color="auto" w:fill="004976" w:themeFill="accent1"/>
            <w:hideMark/>
          </w:tcPr>
          <w:p w14:paraId="64385401"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 share</w:t>
            </w:r>
          </w:p>
        </w:tc>
        <w:tc>
          <w:tcPr>
            <w:tcW w:w="891" w:type="dxa"/>
            <w:shd w:val="clear" w:color="auto" w:fill="004976" w:themeFill="accent1"/>
          </w:tcPr>
          <w:p w14:paraId="5FFB9FD9"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Inbound $m</w:t>
            </w:r>
          </w:p>
        </w:tc>
        <w:tc>
          <w:tcPr>
            <w:tcW w:w="891" w:type="dxa"/>
            <w:shd w:val="clear" w:color="auto" w:fill="004976" w:themeFill="accent1"/>
          </w:tcPr>
          <w:p w14:paraId="533040D7" w14:textId="3101D21A"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Inbound % share</w:t>
            </w:r>
            <w:r w:rsidR="00624543" w:rsidRPr="00BC106D">
              <w:rPr>
                <w:rFonts w:ascii="Calibri" w:eastAsia="Times New Roman" w:hAnsi="Calibri" w:cs="Calibri"/>
                <w:b/>
                <w:bCs/>
                <w:color w:val="FFFFFF" w:themeColor="background1"/>
                <w:sz w:val="18"/>
                <w:szCs w:val="18"/>
                <w:lang w:eastAsia="en-AU"/>
              </w:rPr>
              <w:t xml:space="preserve"> of total</w:t>
            </w:r>
          </w:p>
        </w:tc>
      </w:tr>
      <w:tr w:rsidR="00CB504B" w:rsidRPr="00BC106D" w14:paraId="6960DBE5" w14:textId="77777777" w:rsidTr="00C20158">
        <w:trPr>
          <w:trHeight w:val="240"/>
        </w:trPr>
        <w:tc>
          <w:tcPr>
            <w:tcW w:w="5528" w:type="dxa"/>
            <w:hideMark/>
          </w:tcPr>
          <w:p w14:paraId="5D3B0B6F" w14:textId="0F828A2E" w:rsidR="00CB504B" w:rsidRPr="00BC106D" w:rsidRDefault="00CB504B" w:rsidP="00F56D1D">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Communication</w:t>
            </w:r>
            <w:r w:rsidR="00F56D1D">
              <w:rPr>
                <w:rFonts w:ascii="Calibri" w:hAnsi="Calibri" w:cs="Calibri"/>
                <w:color w:val="000000"/>
                <w:sz w:val="18"/>
                <w:szCs w:val="18"/>
              </w:rPr>
              <w:t>s</w:t>
            </w:r>
            <w:r w:rsidRPr="00BC106D">
              <w:rPr>
                <w:rFonts w:ascii="Calibri" w:hAnsi="Calibri" w:cs="Calibri"/>
                <w:color w:val="000000"/>
                <w:sz w:val="18"/>
                <w:szCs w:val="18"/>
              </w:rPr>
              <w:t xml:space="preserve"> </w:t>
            </w:r>
            <w:r w:rsidR="00F56D1D">
              <w:rPr>
                <w:rFonts w:ascii="Calibri" w:hAnsi="Calibri" w:cs="Calibri"/>
                <w:color w:val="000000"/>
                <w:sz w:val="18"/>
                <w:szCs w:val="18"/>
              </w:rPr>
              <w:t xml:space="preserve">technologies and services, including </w:t>
            </w:r>
            <w:r w:rsidRPr="00BC106D">
              <w:rPr>
                <w:rFonts w:ascii="Calibri" w:hAnsi="Calibri" w:cs="Calibri"/>
                <w:color w:val="000000"/>
                <w:sz w:val="18"/>
                <w:szCs w:val="18"/>
              </w:rPr>
              <w:t>ground stations</w:t>
            </w:r>
          </w:p>
        </w:tc>
        <w:tc>
          <w:tcPr>
            <w:tcW w:w="1074" w:type="dxa"/>
            <w:hideMark/>
          </w:tcPr>
          <w:p w14:paraId="3D329863"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420.4</w:t>
            </w:r>
          </w:p>
        </w:tc>
        <w:tc>
          <w:tcPr>
            <w:tcW w:w="1212" w:type="dxa"/>
            <w:hideMark/>
          </w:tcPr>
          <w:p w14:paraId="590CD97E"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20.8%</w:t>
            </w:r>
          </w:p>
        </w:tc>
        <w:tc>
          <w:tcPr>
            <w:tcW w:w="891" w:type="dxa"/>
          </w:tcPr>
          <w:p w14:paraId="5D009435"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410.8</w:t>
            </w:r>
          </w:p>
        </w:tc>
        <w:tc>
          <w:tcPr>
            <w:tcW w:w="891" w:type="dxa"/>
          </w:tcPr>
          <w:p w14:paraId="7A42A27F"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97.7%</w:t>
            </w:r>
          </w:p>
        </w:tc>
      </w:tr>
      <w:tr w:rsidR="00CB504B" w:rsidRPr="00BC106D" w14:paraId="08D0885E"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tcPr>
          <w:p w14:paraId="43E0C079" w14:textId="77777777" w:rsidR="00CB504B" w:rsidRPr="00BC106D" w:rsidRDefault="00CB504B" w:rsidP="00C20158">
            <w:pPr>
              <w:spacing w:after="0" w:line="240" w:lineRule="auto"/>
              <w:jc w:val="left"/>
              <w:rPr>
                <w:rFonts w:ascii="Calibri" w:hAnsi="Calibri" w:cs="Calibri"/>
                <w:sz w:val="18"/>
                <w:szCs w:val="18"/>
              </w:rPr>
            </w:pPr>
            <w:r w:rsidRPr="00BC106D">
              <w:rPr>
                <w:rFonts w:ascii="Calibri" w:hAnsi="Calibri" w:cs="Calibri"/>
                <w:color w:val="000000"/>
                <w:sz w:val="18"/>
                <w:szCs w:val="18"/>
              </w:rPr>
              <w:t>Leapfrog R&amp;D</w:t>
            </w:r>
          </w:p>
        </w:tc>
        <w:tc>
          <w:tcPr>
            <w:tcW w:w="1074" w:type="dxa"/>
          </w:tcPr>
          <w:p w14:paraId="2044CB75"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375.3</w:t>
            </w:r>
          </w:p>
        </w:tc>
        <w:tc>
          <w:tcPr>
            <w:tcW w:w="1212" w:type="dxa"/>
          </w:tcPr>
          <w:p w14:paraId="0A3E17C1"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18.6%</w:t>
            </w:r>
          </w:p>
        </w:tc>
        <w:tc>
          <w:tcPr>
            <w:tcW w:w="891" w:type="dxa"/>
          </w:tcPr>
          <w:p w14:paraId="0B220F33"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264.5</w:t>
            </w:r>
          </w:p>
        </w:tc>
        <w:tc>
          <w:tcPr>
            <w:tcW w:w="891" w:type="dxa"/>
          </w:tcPr>
          <w:p w14:paraId="34ADC0F7"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70.5%</w:t>
            </w:r>
          </w:p>
        </w:tc>
      </w:tr>
      <w:tr w:rsidR="00CB504B" w:rsidRPr="00BC106D" w14:paraId="2D229FCB" w14:textId="77777777" w:rsidTr="00C20158">
        <w:trPr>
          <w:trHeight w:val="240"/>
        </w:trPr>
        <w:tc>
          <w:tcPr>
            <w:tcW w:w="5528" w:type="dxa"/>
            <w:hideMark/>
          </w:tcPr>
          <w:p w14:paraId="430C404F"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Position, navigation and timing</w:t>
            </w:r>
          </w:p>
        </w:tc>
        <w:tc>
          <w:tcPr>
            <w:tcW w:w="1074" w:type="dxa"/>
            <w:hideMark/>
          </w:tcPr>
          <w:p w14:paraId="480BFF73"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368.3</w:t>
            </w:r>
          </w:p>
        </w:tc>
        <w:tc>
          <w:tcPr>
            <w:tcW w:w="1212" w:type="dxa"/>
            <w:hideMark/>
          </w:tcPr>
          <w:p w14:paraId="0F53B612"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18.2%</w:t>
            </w:r>
          </w:p>
        </w:tc>
        <w:tc>
          <w:tcPr>
            <w:tcW w:w="891" w:type="dxa"/>
          </w:tcPr>
          <w:p w14:paraId="197C9B78"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c>
          <w:tcPr>
            <w:tcW w:w="891" w:type="dxa"/>
          </w:tcPr>
          <w:p w14:paraId="5C6516A5"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r>
      <w:tr w:rsidR="00CB504B" w:rsidRPr="00BC106D" w14:paraId="2FB621A9"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2458FF25"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Planetary science and astronomy</w:t>
            </w:r>
          </w:p>
        </w:tc>
        <w:tc>
          <w:tcPr>
            <w:tcW w:w="1074" w:type="dxa"/>
            <w:hideMark/>
          </w:tcPr>
          <w:p w14:paraId="05410477"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354.1</w:t>
            </w:r>
          </w:p>
        </w:tc>
        <w:tc>
          <w:tcPr>
            <w:tcW w:w="1212" w:type="dxa"/>
            <w:hideMark/>
          </w:tcPr>
          <w:p w14:paraId="2A54EA6D"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17.5%</w:t>
            </w:r>
          </w:p>
        </w:tc>
        <w:tc>
          <w:tcPr>
            <w:tcW w:w="891" w:type="dxa"/>
          </w:tcPr>
          <w:p w14:paraId="16B21CFC"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10.6</w:t>
            </w:r>
          </w:p>
        </w:tc>
        <w:tc>
          <w:tcPr>
            <w:tcW w:w="891" w:type="dxa"/>
          </w:tcPr>
          <w:p w14:paraId="4A0EAAAA"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3.0%</w:t>
            </w:r>
          </w:p>
        </w:tc>
      </w:tr>
      <w:tr w:rsidR="00CB504B" w:rsidRPr="00BC106D" w14:paraId="5949ED75" w14:textId="77777777" w:rsidTr="00C20158">
        <w:trPr>
          <w:trHeight w:val="240"/>
        </w:trPr>
        <w:tc>
          <w:tcPr>
            <w:tcW w:w="5528" w:type="dxa"/>
            <w:hideMark/>
          </w:tcPr>
          <w:p w14:paraId="79362B6E"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Unallocated*</w:t>
            </w:r>
          </w:p>
        </w:tc>
        <w:tc>
          <w:tcPr>
            <w:tcW w:w="1074" w:type="dxa"/>
            <w:hideMark/>
          </w:tcPr>
          <w:p w14:paraId="2E2D0F67"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179.8</w:t>
            </w:r>
          </w:p>
        </w:tc>
        <w:tc>
          <w:tcPr>
            <w:tcW w:w="1212" w:type="dxa"/>
            <w:hideMark/>
          </w:tcPr>
          <w:p w14:paraId="11B4A063"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8.9%</w:t>
            </w:r>
          </w:p>
        </w:tc>
        <w:tc>
          <w:tcPr>
            <w:tcW w:w="891" w:type="dxa"/>
          </w:tcPr>
          <w:p w14:paraId="5979B1C2"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c>
          <w:tcPr>
            <w:tcW w:w="891" w:type="dxa"/>
          </w:tcPr>
          <w:p w14:paraId="2CA5375E"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r>
      <w:tr w:rsidR="00CB504B" w:rsidRPr="00BC106D" w14:paraId="705CB9F0"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04279951"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Infrastructure</w:t>
            </w:r>
          </w:p>
        </w:tc>
        <w:tc>
          <w:tcPr>
            <w:tcW w:w="1074" w:type="dxa"/>
            <w:hideMark/>
          </w:tcPr>
          <w:p w14:paraId="7E317CE8"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103.1</w:t>
            </w:r>
          </w:p>
        </w:tc>
        <w:tc>
          <w:tcPr>
            <w:tcW w:w="1212" w:type="dxa"/>
            <w:hideMark/>
          </w:tcPr>
          <w:p w14:paraId="4B91D13C"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5.1%</w:t>
            </w:r>
          </w:p>
        </w:tc>
        <w:tc>
          <w:tcPr>
            <w:tcW w:w="891" w:type="dxa"/>
          </w:tcPr>
          <w:p w14:paraId="3414B580"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5.0</w:t>
            </w:r>
          </w:p>
        </w:tc>
        <w:tc>
          <w:tcPr>
            <w:tcW w:w="891" w:type="dxa"/>
          </w:tcPr>
          <w:p w14:paraId="1983CD03"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4.9%</w:t>
            </w:r>
          </w:p>
        </w:tc>
      </w:tr>
      <w:tr w:rsidR="00CB504B" w:rsidRPr="00BC106D" w14:paraId="7F302671" w14:textId="77777777" w:rsidTr="00C20158">
        <w:trPr>
          <w:trHeight w:val="240"/>
        </w:trPr>
        <w:tc>
          <w:tcPr>
            <w:tcW w:w="5528" w:type="dxa"/>
            <w:hideMark/>
          </w:tcPr>
          <w:p w14:paraId="305621D4"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 xml:space="preserve">Launch, rockets and </w:t>
            </w:r>
            <w:proofErr w:type="spellStart"/>
            <w:r w:rsidRPr="00BC106D">
              <w:rPr>
                <w:rFonts w:ascii="Calibri" w:hAnsi="Calibri" w:cs="Calibri"/>
                <w:color w:val="000000"/>
                <w:sz w:val="18"/>
                <w:szCs w:val="18"/>
              </w:rPr>
              <w:t>hypersonics</w:t>
            </w:r>
            <w:proofErr w:type="spellEnd"/>
            <w:r w:rsidRPr="00BC106D">
              <w:rPr>
                <w:rFonts w:ascii="Calibri" w:hAnsi="Calibri" w:cs="Calibri"/>
                <w:color w:val="000000"/>
                <w:sz w:val="18"/>
                <w:szCs w:val="18"/>
              </w:rPr>
              <w:t xml:space="preserve"> </w:t>
            </w:r>
          </w:p>
        </w:tc>
        <w:tc>
          <w:tcPr>
            <w:tcW w:w="1074" w:type="dxa"/>
            <w:hideMark/>
          </w:tcPr>
          <w:p w14:paraId="735C7C62"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81.9</w:t>
            </w:r>
          </w:p>
        </w:tc>
        <w:tc>
          <w:tcPr>
            <w:tcW w:w="1212" w:type="dxa"/>
            <w:hideMark/>
          </w:tcPr>
          <w:p w14:paraId="3E1CA88C"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4.1%</w:t>
            </w:r>
          </w:p>
        </w:tc>
        <w:tc>
          <w:tcPr>
            <w:tcW w:w="891" w:type="dxa"/>
          </w:tcPr>
          <w:p w14:paraId="6C7AE0E4"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65.5</w:t>
            </w:r>
          </w:p>
        </w:tc>
        <w:tc>
          <w:tcPr>
            <w:tcW w:w="891" w:type="dxa"/>
          </w:tcPr>
          <w:p w14:paraId="41128975"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80.0%</w:t>
            </w:r>
          </w:p>
        </w:tc>
      </w:tr>
      <w:tr w:rsidR="00CB504B" w:rsidRPr="00BC106D" w14:paraId="13CB5CEE"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753FAE31"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Earth observation</w:t>
            </w:r>
          </w:p>
        </w:tc>
        <w:tc>
          <w:tcPr>
            <w:tcW w:w="1074" w:type="dxa"/>
            <w:hideMark/>
          </w:tcPr>
          <w:p w14:paraId="270A726E"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78.7</w:t>
            </w:r>
          </w:p>
        </w:tc>
        <w:tc>
          <w:tcPr>
            <w:tcW w:w="1212" w:type="dxa"/>
            <w:hideMark/>
          </w:tcPr>
          <w:p w14:paraId="56D4BDB3"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3.9%</w:t>
            </w:r>
          </w:p>
        </w:tc>
        <w:tc>
          <w:tcPr>
            <w:tcW w:w="891" w:type="dxa"/>
          </w:tcPr>
          <w:p w14:paraId="3A7E70C4" w14:textId="77777777" w:rsidR="00CB504B" w:rsidRPr="00BC106D" w:rsidRDefault="00CB504B" w:rsidP="00C20158">
            <w:pPr>
              <w:tabs>
                <w:tab w:val="left" w:pos="573"/>
                <w:tab w:val="right" w:pos="675"/>
              </w:tabs>
              <w:spacing w:after="0" w:line="240" w:lineRule="auto"/>
              <w:jc w:val="left"/>
              <w:rPr>
                <w:rFonts w:ascii="Calibri" w:hAnsi="Calibri" w:cs="Calibri"/>
                <w:sz w:val="18"/>
                <w:szCs w:val="18"/>
              </w:rPr>
            </w:pPr>
            <w:r w:rsidRPr="00BC106D">
              <w:rPr>
                <w:rFonts w:ascii="Calibri" w:hAnsi="Calibri" w:cs="Calibri"/>
                <w:sz w:val="18"/>
                <w:szCs w:val="18"/>
              </w:rPr>
              <w:tab/>
            </w:r>
            <w:r w:rsidRPr="00BC106D">
              <w:rPr>
                <w:rFonts w:ascii="Calibri" w:hAnsi="Calibri" w:cs="Calibri"/>
                <w:sz w:val="18"/>
                <w:szCs w:val="18"/>
              </w:rPr>
              <w:tab/>
              <w:t>-</w:t>
            </w:r>
          </w:p>
        </w:tc>
        <w:tc>
          <w:tcPr>
            <w:tcW w:w="891" w:type="dxa"/>
          </w:tcPr>
          <w:p w14:paraId="1FB8E8E5"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r>
      <w:tr w:rsidR="00CB504B" w:rsidRPr="00BC106D" w14:paraId="2B4560C2" w14:textId="77777777" w:rsidTr="00C20158">
        <w:trPr>
          <w:trHeight w:val="240"/>
        </w:trPr>
        <w:tc>
          <w:tcPr>
            <w:tcW w:w="5528" w:type="dxa"/>
            <w:hideMark/>
          </w:tcPr>
          <w:p w14:paraId="7BB8D1BA" w14:textId="53F6DA72" w:rsidR="00CB504B" w:rsidRPr="00BC106D" w:rsidRDefault="00CB504B" w:rsidP="00F141BB">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 xml:space="preserve">Advanced manufacturing (e.g. space </w:t>
            </w:r>
            <w:r w:rsidR="00F141BB">
              <w:rPr>
                <w:rFonts w:ascii="Calibri" w:hAnsi="Calibri" w:cs="Calibri"/>
                <w:color w:val="000000"/>
                <w:sz w:val="18"/>
                <w:szCs w:val="18"/>
              </w:rPr>
              <w:t>objects</w:t>
            </w:r>
            <w:r w:rsidRPr="00BC106D">
              <w:rPr>
                <w:rFonts w:ascii="Calibri" w:hAnsi="Calibri" w:cs="Calibri"/>
                <w:color w:val="000000"/>
                <w:sz w:val="18"/>
                <w:szCs w:val="18"/>
              </w:rPr>
              <w:t>)</w:t>
            </w:r>
          </w:p>
        </w:tc>
        <w:tc>
          <w:tcPr>
            <w:tcW w:w="1074" w:type="dxa"/>
            <w:hideMark/>
          </w:tcPr>
          <w:p w14:paraId="7C52C068"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16.1</w:t>
            </w:r>
          </w:p>
        </w:tc>
        <w:tc>
          <w:tcPr>
            <w:tcW w:w="1212" w:type="dxa"/>
            <w:hideMark/>
          </w:tcPr>
          <w:p w14:paraId="0DAC4F18"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0.8%</w:t>
            </w:r>
          </w:p>
        </w:tc>
        <w:tc>
          <w:tcPr>
            <w:tcW w:w="891" w:type="dxa"/>
          </w:tcPr>
          <w:p w14:paraId="26630232"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9.1</w:t>
            </w:r>
          </w:p>
        </w:tc>
        <w:tc>
          <w:tcPr>
            <w:tcW w:w="891" w:type="dxa"/>
          </w:tcPr>
          <w:p w14:paraId="3F57EDAA"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56.4%</w:t>
            </w:r>
          </w:p>
        </w:tc>
      </w:tr>
      <w:tr w:rsidR="00CB504B" w:rsidRPr="00BC106D" w14:paraId="2E855AC9"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1F9DCFB1"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Robotics and remote asset management</w:t>
            </w:r>
          </w:p>
        </w:tc>
        <w:tc>
          <w:tcPr>
            <w:tcW w:w="1074" w:type="dxa"/>
            <w:hideMark/>
          </w:tcPr>
          <w:p w14:paraId="04356B48"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14.2</w:t>
            </w:r>
          </w:p>
        </w:tc>
        <w:tc>
          <w:tcPr>
            <w:tcW w:w="1212" w:type="dxa"/>
            <w:hideMark/>
          </w:tcPr>
          <w:p w14:paraId="1061628E"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0.7%</w:t>
            </w:r>
          </w:p>
        </w:tc>
        <w:tc>
          <w:tcPr>
            <w:tcW w:w="891" w:type="dxa"/>
          </w:tcPr>
          <w:p w14:paraId="030E9A50"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6.8</w:t>
            </w:r>
          </w:p>
        </w:tc>
        <w:tc>
          <w:tcPr>
            <w:tcW w:w="891" w:type="dxa"/>
          </w:tcPr>
          <w:p w14:paraId="62428F6E"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47.8%</w:t>
            </w:r>
          </w:p>
        </w:tc>
      </w:tr>
      <w:tr w:rsidR="00CB504B" w:rsidRPr="00BC106D" w14:paraId="54DB7F80" w14:textId="77777777" w:rsidTr="00C20158">
        <w:trPr>
          <w:trHeight w:val="240"/>
        </w:trPr>
        <w:tc>
          <w:tcPr>
            <w:tcW w:w="5528" w:type="dxa"/>
            <w:hideMark/>
          </w:tcPr>
          <w:p w14:paraId="4CF8AA1C"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Space medicine</w:t>
            </w:r>
          </w:p>
        </w:tc>
        <w:tc>
          <w:tcPr>
            <w:tcW w:w="1074" w:type="dxa"/>
            <w:hideMark/>
          </w:tcPr>
          <w:p w14:paraId="7AA2CCE2"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11.0</w:t>
            </w:r>
          </w:p>
        </w:tc>
        <w:tc>
          <w:tcPr>
            <w:tcW w:w="1212" w:type="dxa"/>
            <w:hideMark/>
          </w:tcPr>
          <w:p w14:paraId="529AFCB3"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0.5%</w:t>
            </w:r>
          </w:p>
        </w:tc>
        <w:tc>
          <w:tcPr>
            <w:tcW w:w="891" w:type="dxa"/>
          </w:tcPr>
          <w:p w14:paraId="1EDD4FF2"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c>
          <w:tcPr>
            <w:tcW w:w="891" w:type="dxa"/>
          </w:tcPr>
          <w:p w14:paraId="2B50C67D"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r>
      <w:tr w:rsidR="00CB504B" w:rsidRPr="00BC106D" w14:paraId="761951C5"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03B74664" w14:textId="42771773"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Education</w:t>
            </w:r>
            <w:r w:rsidR="00F56D1D">
              <w:rPr>
                <w:rFonts w:ascii="Calibri" w:hAnsi="Calibri" w:cs="Calibri"/>
                <w:color w:val="000000"/>
                <w:sz w:val="18"/>
                <w:szCs w:val="18"/>
              </w:rPr>
              <w:t xml:space="preserve"> and training</w:t>
            </w:r>
          </w:p>
        </w:tc>
        <w:tc>
          <w:tcPr>
            <w:tcW w:w="1074" w:type="dxa"/>
            <w:hideMark/>
          </w:tcPr>
          <w:p w14:paraId="29142B98"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11.0</w:t>
            </w:r>
          </w:p>
        </w:tc>
        <w:tc>
          <w:tcPr>
            <w:tcW w:w="1212" w:type="dxa"/>
            <w:hideMark/>
          </w:tcPr>
          <w:p w14:paraId="05D921B7"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0.5%</w:t>
            </w:r>
          </w:p>
        </w:tc>
        <w:tc>
          <w:tcPr>
            <w:tcW w:w="891" w:type="dxa"/>
          </w:tcPr>
          <w:p w14:paraId="75EF257F"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0.1</w:t>
            </w:r>
          </w:p>
        </w:tc>
        <w:tc>
          <w:tcPr>
            <w:tcW w:w="891" w:type="dxa"/>
          </w:tcPr>
          <w:p w14:paraId="727E65EE"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1.1%</w:t>
            </w:r>
          </w:p>
        </w:tc>
      </w:tr>
      <w:tr w:rsidR="00CB504B" w:rsidRPr="00BC106D" w14:paraId="3E6D21BC" w14:textId="77777777" w:rsidTr="00C20158">
        <w:trPr>
          <w:trHeight w:val="240"/>
        </w:trPr>
        <w:tc>
          <w:tcPr>
            <w:tcW w:w="5528" w:type="dxa"/>
            <w:hideMark/>
          </w:tcPr>
          <w:p w14:paraId="4462EB93" w14:textId="77777777"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Software and data</w:t>
            </w:r>
          </w:p>
        </w:tc>
        <w:tc>
          <w:tcPr>
            <w:tcW w:w="1074" w:type="dxa"/>
            <w:hideMark/>
          </w:tcPr>
          <w:p w14:paraId="21F44DBB"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4.2</w:t>
            </w:r>
          </w:p>
        </w:tc>
        <w:tc>
          <w:tcPr>
            <w:tcW w:w="1212" w:type="dxa"/>
            <w:hideMark/>
          </w:tcPr>
          <w:p w14:paraId="3456C4EB"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0.2%</w:t>
            </w:r>
          </w:p>
        </w:tc>
        <w:tc>
          <w:tcPr>
            <w:tcW w:w="891" w:type="dxa"/>
          </w:tcPr>
          <w:p w14:paraId="7FCD37DF"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c>
          <w:tcPr>
            <w:tcW w:w="891" w:type="dxa"/>
          </w:tcPr>
          <w:p w14:paraId="7EE5514E"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sz w:val="18"/>
                <w:szCs w:val="18"/>
              </w:rPr>
              <w:t>-</w:t>
            </w:r>
          </w:p>
        </w:tc>
      </w:tr>
      <w:tr w:rsidR="00CB504B" w:rsidRPr="00BC106D" w14:paraId="78B5F6AE" w14:textId="77777777" w:rsidTr="00C20158">
        <w:trPr>
          <w:cnfStyle w:val="000000010000" w:firstRow="0" w:lastRow="0" w:firstColumn="0" w:lastColumn="0" w:oddVBand="0" w:evenVBand="0" w:oddHBand="0" w:evenHBand="1" w:firstRowFirstColumn="0" w:firstRowLastColumn="0" w:lastRowFirstColumn="0" w:lastRowLastColumn="0"/>
          <w:trHeight w:val="240"/>
        </w:trPr>
        <w:tc>
          <w:tcPr>
            <w:tcW w:w="5528" w:type="dxa"/>
            <w:hideMark/>
          </w:tcPr>
          <w:p w14:paraId="7BB401A2" w14:textId="107B3CBB" w:rsidR="00CB504B" w:rsidRPr="00BC106D" w:rsidRDefault="00CB504B" w:rsidP="00C20158">
            <w:pPr>
              <w:spacing w:after="0" w:line="240" w:lineRule="auto"/>
              <w:jc w:val="left"/>
              <w:rPr>
                <w:rFonts w:ascii="Calibri" w:eastAsia="Times New Roman" w:hAnsi="Calibri" w:cs="Calibri"/>
                <w:b/>
                <w:color w:val="auto"/>
                <w:sz w:val="18"/>
                <w:szCs w:val="18"/>
                <w:lang w:eastAsia="en-AU"/>
              </w:rPr>
            </w:pPr>
            <w:r w:rsidRPr="00BC106D">
              <w:rPr>
                <w:rFonts w:ascii="Calibri" w:hAnsi="Calibri" w:cs="Calibri"/>
                <w:color w:val="000000"/>
                <w:sz w:val="18"/>
                <w:szCs w:val="18"/>
              </w:rPr>
              <w:t>Space situational awareness</w:t>
            </w:r>
            <w:r w:rsidR="00F56D1D">
              <w:rPr>
                <w:rFonts w:ascii="Calibri" w:hAnsi="Calibri" w:cs="Calibri"/>
                <w:color w:val="000000"/>
                <w:sz w:val="18"/>
                <w:szCs w:val="18"/>
              </w:rPr>
              <w:t xml:space="preserve"> and debris monitoring</w:t>
            </w:r>
          </w:p>
        </w:tc>
        <w:tc>
          <w:tcPr>
            <w:tcW w:w="1074" w:type="dxa"/>
            <w:hideMark/>
          </w:tcPr>
          <w:p w14:paraId="43AFA9F9"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3.9</w:t>
            </w:r>
          </w:p>
        </w:tc>
        <w:tc>
          <w:tcPr>
            <w:tcW w:w="1212" w:type="dxa"/>
            <w:hideMark/>
          </w:tcPr>
          <w:p w14:paraId="451894B1" w14:textId="77777777" w:rsidR="00CB504B" w:rsidRPr="00BC106D" w:rsidRDefault="00CB504B" w:rsidP="00C20158">
            <w:pPr>
              <w:spacing w:after="0" w:line="240" w:lineRule="auto"/>
              <w:jc w:val="right"/>
              <w:rPr>
                <w:rFonts w:ascii="Calibri" w:eastAsia="Times New Roman" w:hAnsi="Calibri" w:cs="Calibri"/>
                <w:color w:val="000000"/>
                <w:sz w:val="18"/>
                <w:szCs w:val="18"/>
                <w:lang w:eastAsia="en-AU"/>
              </w:rPr>
            </w:pPr>
            <w:r w:rsidRPr="00BC106D">
              <w:rPr>
                <w:rFonts w:ascii="Calibri" w:hAnsi="Calibri" w:cs="Calibri"/>
                <w:color w:val="000000"/>
                <w:sz w:val="18"/>
                <w:szCs w:val="18"/>
              </w:rPr>
              <w:t>0.2%</w:t>
            </w:r>
          </w:p>
        </w:tc>
        <w:tc>
          <w:tcPr>
            <w:tcW w:w="891" w:type="dxa"/>
          </w:tcPr>
          <w:p w14:paraId="5B0D1EF8"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2.2</w:t>
            </w:r>
          </w:p>
        </w:tc>
        <w:tc>
          <w:tcPr>
            <w:tcW w:w="891" w:type="dxa"/>
          </w:tcPr>
          <w:p w14:paraId="2169F3AD" w14:textId="77777777" w:rsidR="00CB504B" w:rsidRPr="00BC106D" w:rsidRDefault="00CB504B" w:rsidP="00C20158">
            <w:pPr>
              <w:spacing w:after="0" w:line="240" w:lineRule="auto"/>
              <w:jc w:val="right"/>
              <w:rPr>
                <w:rFonts w:ascii="Calibri" w:hAnsi="Calibri" w:cs="Calibri"/>
                <w:sz w:val="18"/>
                <w:szCs w:val="18"/>
              </w:rPr>
            </w:pPr>
            <w:r w:rsidRPr="00BC106D">
              <w:rPr>
                <w:rFonts w:ascii="Calibri" w:hAnsi="Calibri" w:cs="Calibri"/>
                <w:color w:val="000000"/>
                <w:sz w:val="18"/>
                <w:szCs w:val="18"/>
              </w:rPr>
              <w:t>56.7%</w:t>
            </w:r>
          </w:p>
        </w:tc>
      </w:tr>
      <w:tr w:rsidR="00CB504B" w:rsidRPr="00BC106D" w14:paraId="1B7D606D" w14:textId="77777777" w:rsidTr="00C20158">
        <w:trPr>
          <w:trHeight w:val="240"/>
        </w:trPr>
        <w:tc>
          <w:tcPr>
            <w:tcW w:w="5528" w:type="dxa"/>
            <w:shd w:val="clear" w:color="auto" w:fill="537B96"/>
            <w:hideMark/>
          </w:tcPr>
          <w:p w14:paraId="77C5724F" w14:textId="56DDB840" w:rsidR="00CB504B" w:rsidRPr="00BC106D" w:rsidRDefault="00CB504B" w:rsidP="00C20158">
            <w:pPr>
              <w:spacing w:after="0" w:line="240" w:lineRule="auto"/>
              <w:jc w:val="lef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Total</w:t>
            </w:r>
            <w:r w:rsidR="00E029DD">
              <w:rPr>
                <w:rStyle w:val="FootnoteReference"/>
                <w:rFonts w:eastAsia="Times New Roman"/>
                <w:b/>
                <w:bCs/>
                <w:color w:val="FFFFFF" w:themeColor="background1"/>
                <w:sz w:val="18"/>
                <w:szCs w:val="18"/>
                <w:lang w:eastAsia="en-AU"/>
              </w:rPr>
              <w:footnoteReference w:id="55"/>
            </w:r>
          </w:p>
        </w:tc>
        <w:tc>
          <w:tcPr>
            <w:tcW w:w="1074" w:type="dxa"/>
            <w:shd w:val="clear" w:color="auto" w:fill="537B96"/>
            <w:hideMark/>
          </w:tcPr>
          <w:p w14:paraId="6CBF3FB3"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2,021.7</w:t>
            </w:r>
          </w:p>
        </w:tc>
        <w:tc>
          <w:tcPr>
            <w:tcW w:w="1212" w:type="dxa"/>
            <w:shd w:val="clear" w:color="auto" w:fill="537B96"/>
            <w:hideMark/>
          </w:tcPr>
          <w:p w14:paraId="7FFBB1BB"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100%</w:t>
            </w:r>
          </w:p>
        </w:tc>
        <w:tc>
          <w:tcPr>
            <w:tcW w:w="891" w:type="dxa"/>
            <w:shd w:val="clear" w:color="auto" w:fill="537B96"/>
          </w:tcPr>
          <w:p w14:paraId="75DE4EF0"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r w:rsidRPr="00BC106D">
              <w:rPr>
                <w:rFonts w:ascii="Calibri" w:eastAsia="Times New Roman" w:hAnsi="Calibri" w:cs="Calibri"/>
                <w:b/>
                <w:bCs/>
                <w:color w:val="FFFFFF" w:themeColor="background1"/>
                <w:sz w:val="18"/>
                <w:szCs w:val="18"/>
                <w:lang w:eastAsia="en-AU"/>
              </w:rPr>
              <w:t>774.6</w:t>
            </w:r>
          </w:p>
        </w:tc>
        <w:tc>
          <w:tcPr>
            <w:tcW w:w="891" w:type="dxa"/>
            <w:shd w:val="clear" w:color="auto" w:fill="537B96"/>
          </w:tcPr>
          <w:p w14:paraId="6C873EB4" w14:textId="77777777" w:rsidR="00CB504B" w:rsidRPr="00BC106D" w:rsidRDefault="00CB504B" w:rsidP="00C20158">
            <w:pPr>
              <w:spacing w:after="0" w:line="240" w:lineRule="auto"/>
              <w:jc w:val="right"/>
              <w:rPr>
                <w:rFonts w:ascii="Calibri" w:eastAsia="Times New Roman" w:hAnsi="Calibri" w:cs="Calibri"/>
                <w:b/>
                <w:bCs/>
                <w:color w:val="FFFFFF" w:themeColor="background1"/>
                <w:sz w:val="18"/>
                <w:szCs w:val="18"/>
                <w:lang w:eastAsia="en-AU"/>
              </w:rPr>
            </w:pPr>
          </w:p>
        </w:tc>
      </w:tr>
      <w:tr w:rsidR="00CB504B" w:rsidRPr="00C72B83" w14:paraId="0A8FC093" w14:textId="77777777" w:rsidTr="00C20158">
        <w:trPr>
          <w:cnfStyle w:val="000000010000" w:firstRow="0" w:lastRow="0" w:firstColumn="0" w:lastColumn="0" w:oddVBand="0" w:evenVBand="0" w:oddHBand="0" w:evenHBand="1" w:firstRowFirstColumn="0" w:firstRowLastColumn="0" w:lastRowFirstColumn="0" w:lastRowLastColumn="0"/>
          <w:trHeight w:val="658"/>
        </w:trPr>
        <w:tc>
          <w:tcPr>
            <w:tcW w:w="9596" w:type="dxa"/>
            <w:gridSpan w:val="5"/>
            <w:shd w:val="clear" w:color="auto" w:fill="auto"/>
          </w:tcPr>
          <w:p w14:paraId="33E8F1C4" w14:textId="3ABC72D0" w:rsidR="00CB504B" w:rsidRPr="00C72B83" w:rsidRDefault="00CB504B" w:rsidP="00C20158">
            <w:pPr>
              <w:pStyle w:val="Caption"/>
              <w:spacing w:before="0" w:after="0" w:line="60" w:lineRule="atLeast"/>
              <w:jc w:val="left"/>
              <w:rPr>
                <w:rFonts w:ascii="Calibri" w:eastAsia="Times New Roman" w:hAnsi="Calibri" w:cs="Calibri"/>
                <w:b/>
                <w:color w:val="FFFFFF" w:themeColor="background1"/>
                <w:sz w:val="18"/>
                <w:szCs w:val="18"/>
                <w:lang w:eastAsia="en-AU"/>
              </w:rPr>
            </w:pPr>
            <w:r w:rsidRPr="00BC106D">
              <w:rPr>
                <w:i/>
                <w:iCs/>
                <w:color w:val="000000" w:themeColor="text1"/>
                <w:sz w:val="18"/>
                <w:szCs w:val="18"/>
              </w:rPr>
              <w:t xml:space="preserve">*Unallocated refers to funding that has not yet been allocated to a sub-sector (e.g. state </w:t>
            </w:r>
            <w:r w:rsidR="0001572A">
              <w:rPr>
                <w:i/>
                <w:iCs/>
                <w:color w:val="000000" w:themeColor="text1"/>
                <w:sz w:val="18"/>
                <w:szCs w:val="18"/>
              </w:rPr>
              <w:t xml:space="preserve">and territory </w:t>
            </w:r>
            <w:r w:rsidRPr="00BC106D">
              <w:rPr>
                <w:i/>
                <w:iCs/>
                <w:color w:val="000000" w:themeColor="text1"/>
                <w:sz w:val="18"/>
                <w:szCs w:val="18"/>
              </w:rPr>
              <w:t xml:space="preserve">government grants commitments that have not been allocated), or investments cutting across sub-sectors where splits are not available </w:t>
            </w:r>
            <w:r w:rsidR="00F56D1D">
              <w:rPr>
                <w:i/>
                <w:iCs/>
                <w:color w:val="000000" w:themeColor="text1"/>
                <w:sz w:val="18"/>
                <w:szCs w:val="18"/>
              </w:rPr>
              <w:br/>
            </w:r>
            <w:r w:rsidRPr="00BC106D">
              <w:rPr>
                <w:i/>
                <w:iCs/>
                <w:color w:val="000000" w:themeColor="text1"/>
                <w:sz w:val="18"/>
                <w:szCs w:val="18"/>
              </w:rPr>
              <w:t xml:space="preserve">(e.g. Queensland Government funding for Earth </w:t>
            </w:r>
            <w:r w:rsidR="0001572A">
              <w:rPr>
                <w:i/>
                <w:iCs/>
                <w:color w:val="000000" w:themeColor="text1"/>
                <w:sz w:val="18"/>
                <w:szCs w:val="18"/>
              </w:rPr>
              <w:t>o</w:t>
            </w:r>
            <w:r w:rsidRPr="00BC106D">
              <w:rPr>
                <w:i/>
                <w:iCs/>
                <w:color w:val="000000" w:themeColor="text1"/>
                <w:sz w:val="18"/>
                <w:szCs w:val="18"/>
              </w:rPr>
              <w:t>bservation, Launch, and Ground stations)</w:t>
            </w:r>
          </w:p>
        </w:tc>
      </w:tr>
    </w:tbl>
    <w:p w14:paraId="5D5C3296" w14:textId="77777777" w:rsidR="00BF7CB7" w:rsidRDefault="00BF7CB7" w:rsidP="00CB504B">
      <w:pPr>
        <w:tabs>
          <w:tab w:val="left" w:pos="2696"/>
        </w:tabs>
      </w:pPr>
    </w:p>
    <w:p w14:paraId="4CAC537F" w14:textId="77777777" w:rsidR="00637BAD" w:rsidRDefault="00BF7CB7" w:rsidP="00CB504B">
      <w:pPr>
        <w:tabs>
          <w:tab w:val="left" w:pos="2696"/>
        </w:tabs>
      </w:pPr>
      <w:r>
        <w:t xml:space="preserve">The </w:t>
      </w:r>
      <w:r w:rsidR="00CB504B" w:rsidRPr="00BC106D">
        <w:t>Communications and Ground Stations</w:t>
      </w:r>
      <w:r>
        <w:t xml:space="preserve"> sub-sector</w:t>
      </w:r>
      <w:r w:rsidR="00CB504B" w:rsidRPr="00BC106D">
        <w:t xml:space="preserve">, </w:t>
      </w:r>
      <w:r>
        <w:t xml:space="preserve">the </w:t>
      </w:r>
      <w:r w:rsidR="00CB504B" w:rsidRPr="00BC106D">
        <w:t xml:space="preserve">largest civil space sub-sector, accounts for </w:t>
      </w:r>
      <w:r>
        <w:t xml:space="preserve">around 21 per cent of </w:t>
      </w:r>
      <w:r w:rsidR="00CB504B" w:rsidRPr="00BC106D">
        <w:t>the investment pipeline</w:t>
      </w:r>
      <w:r>
        <w:t xml:space="preserve">, of which almost all </w:t>
      </w:r>
      <w:r w:rsidR="00CB504B" w:rsidRPr="00BC106D">
        <w:t xml:space="preserve">(almost 98 per cent) is inbound investment. </w:t>
      </w:r>
    </w:p>
    <w:p w14:paraId="4D0DF87E" w14:textId="317C5F96" w:rsidR="00CB504B" w:rsidRPr="00BC106D" w:rsidRDefault="00CB504B" w:rsidP="00CB504B">
      <w:pPr>
        <w:tabs>
          <w:tab w:val="left" w:pos="2696"/>
        </w:tabs>
      </w:pPr>
      <w:r w:rsidRPr="00BC106D">
        <w:t xml:space="preserve">Mostly funded by the Australian Government, major </w:t>
      </w:r>
      <w:r w:rsidR="000C30E0">
        <w:t>p</w:t>
      </w:r>
      <w:r w:rsidRPr="00BC106D">
        <w:t xml:space="preserve">osition, </w:t>
      </w:r>
      <w:r w:rsidR="00F76B67">
        <w:t>n</w:t>
      </w:r>
      <w:r w:rsidRPr="00BC106D">
        <w:t xml:space="preserve">avigation and </w:t>
      </w:r>
      <w:r w:rsidR="00F76B67">
        <w:t>t</w:t>
      </w:r>
      <w:r w:rsidRPr="00BC106D">
        <w:t>iming projects include Geoscience Australia's Satellite Based Augmentation System (SBAS) and National Positioning Infrastructure Capability (NPIC).</w:t>
      </w:r>
    </w:p>
    <w:p w14:paraId="318F0105" w14:textId="396AEC25" w:rsidR="00E6240B" w:rsidRDefault="00BF7CB7" w:rsidP="00BF7CB7">
      <w:pPr>
        <w:tabs>
          <w:tab w:val="left" w:pos="2696"/>
        </w:tabs>
      </w:pPr>
      <w:r w:rsidRPr="00C83A5B">
        <w:t xml:space="preserve">The </w:t>
      </w:r>
      <w:r w:rsidR="00CB504B" w:rsidRPr="00C83A5B">
        <w:t xml:space="preserve">Leapfrog R&amp;D </w:t>
      </w:r>
      <w:r w:rsidRPr="00C83A5B">
        <w:t xml:space="preserve">sub-sector </w:t>
      </w:r>
      <w:r w:rsidR="00CB504B" w:rsidRPr="00C83A5B">
        <w:t xml:space="preserve">accounts for the second largest share of the investment pipeline. Most investment is inbound, rather than funded by government or universities. This is indicative of productive industry-research collaboration, which can lead to significant indirect impacts to the economy. </w:t>
      </w:r>
      <w:r w:rsidR="00C83A5B" w:rsidRPr="00C83A5B">
        <w:t>A </w:t>
      </w:r>
      <w:r w:rsidR="00CB504B" w:rsidRPr="00C83A5B">
        <w:t>report by London Economics indicates that every £1 of expenditure on R&amp;D in the space sector has been associated with a further £0.43 to £6.00 in impact</w:t>
      </w:r>
      <w:r w:rsidR="00CB504B" w:rsidRPr="00C83A5B">
        <w:rPr>
          <w:rStyle w:val="FootnoteReference"/>
        </w:rPr>
        <w:footnoteReference w:id="56"/>
      </w:r>
      <w:r w:rsidRPr="00C83A5B">
        <w:t>.</w:t>
      </w:r>
    </w:p>
    <w:p w14:paraId="2B56704E" w14:textId="5FD1C950" w:rsidR="00E6240B" w:rsidRDefault="00E6240B" w:rsidP="00654E3D">
      <w:pPr>
        <w:pStyle w:val="Heading2"/>
        <w:numPr>
          <w:ilvl w:val="1"/>
          <w:numId w:val="61"/>
        </w:numPr>
      </w:pPr>
      <w:bookmarkStart w:id="83" w:name="_Toc54342167"/>
      <w:bookmarkStart w:id="84" w:name="_Toc54794991"/>
      <w:bookmarkStart w:id="85" w:name="_Toc55990317"/>
      <w:bookmarkStart w:id="86" w:name="_Toc62635446"/>
      <w:r>
        <w:t>Impact</w:t>
      </w:r>
      <w:r w:rsidR="00BC106D">
        <w:t>s</w:t>
      </w:r>
      <w:r>
        <w:t xml:space="preserve"> of COVID-19</w:t>
      </w:r>
      <w:bookmarkEnd w:id="83"/>
      <w:bookmarkEnd w:id="84"/>
      <w:bookmarkEnd w:id="85"/>
      <w:bookmarkEnd w:id="86"/>
    </w:p>
    <w:p w14:paraId="4E77A175" w14:textId="70B22A19" w:rsidR="00D57B5B" w:rsidRDefault="00725B31" w:rsidP="00C73C17">
      <w:r>
        <w:t xml:space="preserve">While this report focuses on </w:t>
      </w:r>
      <w:r w:rsidR="007F3BC7">
        <w:t xml:space="preserve">Australia’s space </w:t>
      </w:r>
      <w:r w:rsidR="00CE4B35">
        <w:t xml:space="preserve">performance between </w:t>
      </w:r>
      <w:r w:rsidR="00830CCA">
        <w:t>FY</w:t>
      </w:r>
      <w:r>
        <w:t xml:space="preserve">17 </w:t>
      </w:r>
      <w:r w:rsidR="00CE4B35">
        <w:t xml:space="preserve">and </w:t>
      </w:r>
      <w:r w:rsidR="00830CCA">
        <w:t>FY</w:t>
      </w:r>
      <w:r>
        <w:t>19</w:t>
      </w:r>
      <w:r w:rsidR="007F3BC7">
        <w:t xml:space="preserve"> and future investment pipeline</w:t>
      </w:r>
      <w:r>
        <w:t xml:space="preserve">, it is important to recognise the </w:t>
      </w:r>
      <w:r w:rsidR="00C5073B">
        <w:t>potential future impact</w:t>
      </w:r>
      <w:r w:rsidR="00957278">
        <w:t>s</w:t>
      </w:r>
      <w:r w:rsidR="00C5073B">
        <w:t xml:space="preserve"> of </w:t>
      </w:r>
      <w:r>
        <w:t xml:space="preserve">the COVID-19 pandemic </w:t>
      </w:r>
      <w:r w:rsidR="00C5073B">
        <w:t xml:space="preserve">from </w:t>
      </w:r>
      <w:r w:rsidR="00957278">
        <w:br/>
      </w:r>
      <w:r w:rsidR="00C5073B">
        <w:t>early-</w:t>
      </w:r>
      <w:r>
        <w:t xml:space="preserve">2020. </w:t>
      </w:r>
    </w:p>
    <w:p w14:paraId="07C5A24C" w14:textId="7039B71F" w:rsidR="007F3BC7" w:rsidRDefault="007F3BC7" w:rsidP="00C73C17">
      <w:r w:rsidRPr="007E7198">
        <w:t xml:space="preserve">Space </w:t>
      </w:r>
      <w:r>
        <w:t xml:space="preserve">is a key enabler of the economy, </w:t>
      </w:r>
      <w:r w:rsidRPr="007E7198">
        <w:t>open</w:t>
      </w:r>
      <w:r>
        <w:t xml:space="preserve">ing up new capabilities and </w:t>
      </w:r>
      <w:r w:rsidRPr="007E7198">
        <w:t xml:space="preserve">new markets for existing industries </w:t>
      </w:r>
      <w:r>
        <w:t>such as</w:t>
      </w:r>
      <w:r w:rsidRPr="007E7198">
        <w:t xml:space="preserve"> manufacturing and advanced technologies.</w:t>
      </w:r>
      <w:r>
        <w:t xml:space="preserve"> </w:t>
      </w:r>
      <w:r>
        <w:rPr>
          <w:rFonts w:ascii="Calibri" w:hAnsi="Calibri" w:cs="Calibri"/>
          <w:color w:val="000000"/>
          <w:szCs w:val="22"/>
        </w:rPr>
        <w:t xml:space="preserve">Many space technologies and applications are supporting </w:t>
      </w:r>
      <w:r>
        <w:rPr>
          <w:rFonts w:ascii="Calibri" w:hAnsi="Calibri" w:cs="Calibri"/>
          <w:color w:val="000000"/>
          <w:szCs w:val="22"/>
        </w:rPr>
        <w:lastRenderedPageBreak/>
        <w:t xml:space="preserve">and enabling remote services and communications, </w:t>
      </w:r>
      <w:r w:rsidRPr="007A73D8">
        <w:rPr>
          <w:rFonts w:ascii="Calibri" w:hAnsi="Calibri" w:cs="Calibri"/>
          <w:color w:val="000000"/>
          <w:szCs w:val="22"/>
        </w:rPr>
        <w:t>helping businesses and communities in unprecedented conditions</w:t>
      </w:r>
      <w:r>
        <w:rPr>
          <w:rFonts w:ascii="Calibri" w:hAnsi="Calibri" w:cs="Calibri"/>
          <w:color w:val="000000"/>
          <w:szCs w:val="22"/>
        </w:rPr>
        <w:t>. Accordingly, the space sector is a potential driver for recovery and exposed to downturns in other sectors of the economy.</w:t>
      </w:r>
    </w:p>
    <w:p w14:paraId="028FAE84" w14:textId="77777777" w:rsidR="007F3BC7" w:rsidRDefault="007F3BC7" w:rsidP="00D57B5B">
      <w:r>
        <w:t xml:space="preserve">The </w:t>
      </w:r>
      <w:r w:rsidR="00D57B5B" w:rsidRPr="000D5F7B">
        <w:t xml:space="preserve">OECD </w:t>
      </w:r>
      <w:r>
        <w:t xml:space="preserve">observed in mid-2020 that the full </w:t>
      </w:r>
      <w:r w:rsidR="00D57B5B" w:rsidRPr="000D5F7B">
        <w:t xml:space="preserve">impacts of COVID-19 on the </w:t>
      </w:r>
      <w:r w:rsidR="00D57B5B">
        <w:t xml:space="preserve">global </w:t>
      </w:r>
      <w:r w:rsidR="00D57B5B" w:rsidRPr="000D5F7B">
        <w:t xml:space="preserve">space industry </w:t>
      </w:r>
      <w:r>
        <w:t xml:space="preserve">are </w:t>
      </w:r>
      <w:r w:rsidR="00D57B5B" w:rsidRPr="000D5F7B">
        <w:t xml:space="preserve">yet to be determined and figures </w:t>
      </w:r>
      <w:r>
        <w:t xml:space="preserve">quantifying that impact </w:t>
      </w:r>
      <w:r w:rsidR="00D57B5B" w:rsidRPr="000D5F7B">
        <w:t>are not yet readily available</w:t>
      </w:r>
      <w:r w:rsidR="00D57B5B">
        <w:rPr>
          <w:rStyle w:val="FootnoteReference"/>
        </w:rPr>
        <w:footnoteReference w:id="57"/>
      </w:r>
      <w:r w:rsidR="00D57B5B" w:rsidRPr="000D5F7B">
        <w:t xml:space="preserve">. </w:t>
      </w:r>
      <w:r w:rsidR="00D57B5B">
        <w:t xml:space="preserve">However, </w:t>
      </w:r>
      <w:r w:rsidR="00D57B5B" w:rsidRPr="00BF1C4C">
        <w:t>according to a report released by Qu</w:t>
      </w:r>
      <w:r w:rsidR="00D57B5B">
        <w:t>a</w:t>
      </w:r>
      <w:r w:rsidR="00D57B5B" w:rsidRPr="00BF1C4C">
        <w:t>l</w:t>
      </w:r>
      <w:r w:rsidR="00D57B5B">
        <w:t>i</w:t>
      </w:r>
      <w:r w:rsidR="00D57B5B" w:rsidRPr="00BF1C4C">
        <w:t>ty Analytics on 18 March 2020</w:t>
      </w:r>
      <w:r w:rsidR="00D57B5B">
        <w:t>, i</w:t>
      </w:r>
      <w:r w:rsidR="00D57B5B" w:rsidRPr="00BF1C4C">
        <w:t xml:space="preserve">t is </w:t>
      </w:r>
      <w:r w:rsidR="00D57B5B">
        <w:t>anticipated</w:t>
      </w:r>
      <w:r w:rsidR="00D57B5B" w:rsidRPr="00BF1C4C">
        <w:t xml:space="preserve"> that </w:t>
      </w:r>
      <w:r w:rsidR="00D57B5B">
        <w:t xml:space="preserve">several areas within </w:t>
      </w:r>
      <w:r w:rsidR="00D57B5B" w:rsidRPr="00BF1C4C">
        <w:t xml:space="preserve">the global space industry </w:t>
      </w:r>
      <w:r w:rsidR="00D57B5B">
        <w:t xml:space="preserve">will </w:t>
      </w:r>
      <w:r w:rsidR="00D57B5B" w:rsidRPr="00BF1C4C">
        <w:t xml:space="preserve">fare better than other industries because demand for </w:t>
      </w:r>
      <w:r w:rsidR="00D57B5B">
        <w:t>many space</w:t>
      </w:r>
      <w:r w:rsidR="00D57B5B" w:rsidRPr="00BF1C4C">
        <w:t xml:space="preserve"> services</w:t>
      </w:r>
      <w:r w:rsidR="00D57B5B" w:rsidRPr="00F5572C">
        <w:rPr>
          <w:b/>
          <w:bCs/>
        </w:rPr>
        <w:t xml:space="preserve"> </w:t>
      </w:r>
      <w:r w:rsidR="00D57B5B" w:rsidRPr="00433C37">
        <w:t>is</w:t>
      </w:r>
      <w:r w:rsidR="00D57B5B" w:rsidRPr="00BF1C4C">
        <w:t xml:space="preserve"> largely undiminished by the </w:t>
      </w:r>
      <w:r w:rsidR="00D57B5B">
        <w:t>pandemic</w:t>
      </w:r>
      <w:r w:rsidR="00D57B5B" w:rsidRPr="00BF1C4C">
        <w:rPr>
          <w:rStyle w:val="FootnoteReference"/>
        </w:rPr>
        <w:footnoteReference w:id="58"/>
      </w:r>
      <w:r w:rsidR="00C5073B">
        <w:t>.</w:t>
      </w:r>
      <w:r w:rsidR="00D57B5B" w:rsidRPr="00BF1C4C">
        <w:t xml:space="preserve"> </w:t>
      </w:r>
    </w:p>
    <w:p w14:paraId="0FA61B98" w14:textId="77777777" w:rsidR="00C83A5B" w:rsidRDefault="007F3BC7" w:rsidP="007F3BC7">
      <w:r>
        <w:t xml:space="preserve">The activities of Australia’s space sector (and the Australian economy more broadly) will be impacted by uncertainty and changing economic conditions. Overall, </w:t>
      </w:r>
      <w:r w:rsidR="00A07421">
        <w:t xml:space="preserve">current </w:t>
      </w:r>
      <w:r w:rsidRPr="00431CF2">
        <w:t xml:space="preserve">indications are that </w:t>
      </w:r>
      <w:r>
        <w:t>the Australian space sector</w:t>
      </w:r>
      <w:r w:rsidRPr="00431CF2">
        <w:t xml:space="preserve"> has</w:t>
      </w:r>
      <w:r>
        <w:t xml:space="preserve"> so far</w:t>
      </w:r>
      <w:r w:rsidRPr="00431CF2">
        <w:t xml:space="preserve"> proven </w:t>
      </w:r>
      <w:r>
        <w:t xml:space="preserve">comparatively </w:t>
      </w:r>
      <w:r w:rsidRPr="00431CF2">
        <w:t>resilient</w:t>
      </w:r>
      <w:r>
        <w:t>.</w:t>
      </w:r>
    </w:p>
    <w:p w14:paraId="5C23F2BB" w14:textId="1EF1BC9E" w:rsidR="009E3D77" w:rsidRDefault="00C83A5B" w:rsidP="009E3D77">
      <w:r>
        <w:t xml:space="preserve">In spite of </w:t>
      </w:r>
      <w:r w:rsidR="007F3BC7" w:rsidRPr="001F026C">
        <w:t xml:space="preserve">early concerns about the </w:t>
      </w:r>
      <w:r w:rsidR="007F3BC7">
        <w:t xml:space="preserve">resilience </w:t>
      </w:r>
      <w:r w:rsidR="007F3BC7" w:rsidRPr="001F026C">
        <w:t xml:space="preserve">of </w:t>
      </w:r>
      <w:r w:rsidR="007F3BC7">
        <w:t xml:space="preserve">various </w:t>
      </w:r>
      <w:r w:rsidR="007F3BC7" w:rsidRPr="001F026C">
        <w:t>sector</w:t>
      </w:r>
      <w:r w:rsidR="007F3BC7">
        <w:t>s</w:t>
      </w:r>
      <w:r w:rsidR="007F3BC7" w:rsidRPr="001F026C">
        <w:t xml:space="preserve"> </w:t>
      </w:r>
      <w:r w:rsidR="007F3BC7">
        <w:t>at the start of the COVID-19 pandemic</w:t>
      </w:r>
      <w:r w:rsidR="007F3BC7" w:rsidRPr="001F026C">
        <w:t>, offshore investment in the Australian space sector has continued</w:t>
      </w:r>
      <w:r w:rsidR="007F3BC7">
        <w:t xml:space="preserve"> – with recent commitments captured in the investment pipeline above</w:t>
      </w:r>
      <w:r w:rsidR="007F3BC7" w:rsidRPr="001F026C">
        <w:t xml:space="preserve">. </w:t>
      </w:r>
      <w:r w:rsidR="003912A4" w:rsidRPr="004B23CD">
        <w:t>As at December</w:t>
      </w:r>
      <w:r w:rsidR="003912A4">
        <w:t xml:space="preserve"> 2019, the Agency estimated the pipeline for activity between 2018 and 2028 was approximately $1.7 billion (including 71 projects). As at September 2020, the Agency estimates pipeline activity between </w:t>
      </w:r>
      <w:r w:rsidR="003912A4" w:rsidRPr="00E838C3">
        <w:t xml:space="preserve">2018 and 2028 to be </w:t>
      </w:r>
      <w:r w:rsidR="003912A4" w:rsidRPr="0066661A">
        <w:t>$2 billion</w:t>
      </w:r>
      <w:r>
        <w:t xml:space="preserve"> (including 90 projects)</w:t>
      </w:r>
      <w:r w:rsidR="009E3D77">
        <w:t>.</w:t>
      </w:r>
      <w:r w:rsidR="003912A4">
        <w:t xml:space="preserve"> </w:t>
      </w:r>
      <w:r w:rsidR="009E3D77">
        <w:t xml:space="preserve">While a number of these projects are government-funded and others were already underway and only </w:t>
      </w:r>
      <w:r w:rsidR="00882E08">
        <w:t xml:space="preserve">identified </w:t>
      </w:r>
      <w:r w:rsidR="009E3D77">
        <w:t xml:space="preserve">during this period, </w:t>
      </w:r>
      <w:r w:rsidR="00882E08">
        <w:t xml:space="preserve">the capital investment pipeline </w:t>
      </w:r>
      <w:r w:rsidR="00B034ED" w:rsidRPr="00C83A5B">
        <w:t xml:space="preserve">figures </w:t>
      </w:r>
      <w:r w:rsidR="00882E08">
        <w:t xml:space="preserve">suggest </w:t>
      </w:r>
      <w:r w:rsidR="00B034ED" w:rsidRPr="00C83A5B">
        <w:t>the</w:t>
      </w:r>
      <w:r w:rsidR="00F56D1D">
        <w:t>re</w:t>
      </w:r>
      <w:r w:rsidR="00B034ED" w:rsidRPr="00C83A5B">
        <w:t xml:space="preserve"> </w:t>
      </w:r>
      <w:r w:rsidR="00F56D1D">
        <w:t>is strong interest in Australia’s</w:t>
      </w:r>
      <w:r w:rsidR="00B034ED" w:rsidRPr="00C83A5B">
        <w:t xml:space="preserve"> space sector </w:t>
      </w:r>
      <w:r w:rsidR="00F56D1D">
        <w:t xml:space="preserve">over </w:t>
      </w:r>
      <w:r w:rsidR="00B034ED" w:rsidRPr="00C83A5B">
        <w:t>the next decade.</w:t>
      </w:r>
    </w:p>
    <w:p w14:paraId="6F9E4F63" w14:textId="0C2D9A73" w:rsidR="001F026C" w:rsidRPr="0017596E" w:rsidRDefault="00C83A5B" w:rsidP="001F026C">
      <w:r w:rsidRPr="00C83A5B">
        <w:t>T</w:t>
      </w:r>
      <w:r w:rsidR="007F3BC7" w:rsidRPr="00C83A5B">
        <w:t xml:space="preserve">he Australian Government’s investment through the International Space Investment initiative, the Space Infrastructure Fund and the Moon to Mars program, </w:t>
      </w:r>
      <w:r w:rsidR="00A83E91">
        <w:t xml:space="preserve">and the Modern Manufacturing Strategy, </w:t>
      </w:r>
      <w:r w:rsidRPr="00C83A5B">
        <w:t xml:space="preserve">will further enhance </w:t>
      </w:r>
      <w:r w:rsidR="007F3BC7" w:rsidRPr="00C83A5B">
        <w:t>Australia</w:t>
      </w:r>
      <w:r w:rsidRPr="00C83A5B">
        <w:t xml:space="preserve">’s </w:t>
      </w:r>
      <w:r>
        <w:t xml:space="preserve">opportunities for </w:t>
      </w:r>
      <w:r w:rsidR="007F3BC7" w:rsidRPr="00C83A5B">
        <w:t>future growth in the space sector.</w:t>
      </w:r>
      <w:bookmarkStart w:id="87" w:name="_Toc54342168"/>
      <w:bookmarkStart w:id="88" w:name="_Toc54794992"/>
      <w:bookmarkEnd w:id="80"/>
      <w:bookmarkEnd w:id="81"/>
      <w:bookmarkEnd w:id="82"/>
      <w:r w:rsidR="001F026C">
        <w:br w:type="page"/>
      </w:r>
    </w:p>
    <w:p w14:paraId="63030C00" w14:textId="3FDEC953" w:rsidR="005E606B" w:rsidRDefault="005E606B" w:rsidP="008A1ACF">
      <w:pPr>
        <w:pStyle w:val="Heading1"/>
      </w:pPr>
      <w:bookmarkStart w:id="89" w:name="_Toc55990318"/>
      <w:bookmarkStart w:id="90" w:name="_Toc62635447"/>
      <w:r>
        <w:lastRenderedPageBreak/>
        <w:t xml:space="preserve">Appendix </w:t>
      </w:r>
      <w:r w:rsidR="00786791">
        <w:t xml:space="preserve">A </w:t>
      </w:r>
      <w:r>
        <w:t xml:space="preserve">– </w:t>
      </w:r>
      <w:r w:rsidR="005B0776">
        <w:t>Methodology</w:t>
      </w:r>
      <w:r>
        <w:t xml:space="preserve"> </w:t>
      </w:r>
      <w:r w:rsidR="005B0776">
        <w:t>and data</w:t>
      </w:r>
      <w:bookmarkEnd w:id="87"/>
      <w:bookmarkEnd w:id="88"/>
      <w:bookmarkEnd w:id="89"/>
      <w:bookmarkEnd w:id="90"/>
    </w:p>
    <w:p w14:paraId="0A415164" w14:textId="7F6697AA" w:rsidR="00A64280" w:rsidRDefault="00170FEC" w:rsidP="005B0776">
      <w:r>
        <w:t>This a</w:t>
      </w:r>
      <w:r w:rsidR="005B0776">
        <w:t xml:space="preserve">ppendix outlines details of the Agency’s </w:t>
      </w:r>
      <w:r w:rsidR="00A64280">
        <w:t>methodology, data</w:t>
      </w:r>
      <w:r w:rsidR="005B0776">
        <w:t xml:space="preserve"> and assumptions</w:t>
      </w:r>
      <w:r w:rsidR="00A64280">
        <w:t xml:space="preserve"> used to produce this report</w:t>
      </w:r>
      <w:r w:rsidR="005B0776">
        <w:t xml:space="preserve">. </w:t>
      </w:r>
    </w:p>
    <w:p w14:paraId="5956BC90" w14:textId="77777777" w:rsidR="00A64280" w:rsidRDefault="00A64280" w:rsidP="00A64280">
      <w:pPr>
        <w:pStyle w:val="Heading2"/>
      </w:pPr>
      <w:bookmarkStart w:id="91" w:name="_Toc54265482"/>
      <w:bookmarkStart w:id="92" w:name="_Toc54265761"/>
      <w:bookmarkStart w:id="93" w:name="_Toc54342171"/>
      <w:bookmarkStart w:id="94" w:name="_Toc54344106"/>
      <w:bookmarkStart w:id="95" w:name="_Toc54791099"/>
      <w:bookmarkStart w:id="96" w:name="_Toc54794995"/>
      <w:bookmarkStart w:id="97" w:name="_Toc54796940"/>
      <w:bookmarkStart w:id="98" w:name="_Toc55990319"/>
      <w:bookmarkStart w:id="99" w:name="_Toc62635448"/>
      <w:bookmarkStart w:id="100" w:name="_Toc54265480"/>
      <w:bookmarkStart w:id="101" w:name="_Toc54265759"/>
      <w:bookmarkStart w:id="102" w:name="_Toc54342169"/>
      <w:bookmarkStart w:id="103" w:name="_Toc54344104"/>
      <w:bookmarkStart w:id="104" w:name="_Toc54791097"/>
      <w:bookmarkStart w:id="105" w:name="_Toc54794993"/>
      <w:bookmarkStart w:id="106" w:name="_Toc54796938"/>
      <w:r>
        <w:t>Methodology</w:t>
      </w:r>
      <w:bookmarkEnd w:id="91"/>
      <w:bookmarkEnd w:id="92"/>
      <w:bookmarkEnd w:id="93"/>
      <w:bookmarkEnd w:id="94"/>
      <w:bookmarkEnd w:id="95"/>
      <w:bookmarkEnd w:id="96"/>
      <w:bookmarkEnd w:id="97"/>
      <w:bookmarkEnd w:id="98"/>
      <w:bookmarkEnd w:id="99"/>
    </w:p>
    <w:p w14:paraId="5CBD8FD9" w14:textId="69F414BC" w:rsidR="00A64280" w:rsidRDefault="00A64280" w:rsidP="00A64280">
      <w:r w:rsidRPr="005A6A79">
        <w:t xml:space="preserve">In developing this report the Agency created the most comprehensive firm-level database of space organisations in Australia, drawing on independent supporting work from the Nous Group and </w:t>
      </w:r>
      <w:proofErr w:type="spellStart"/>
      <w:r w:rsidRPr="005A6A79">
        <w:t>AlphaBeta</w:t>
      </w:r>
      <w:proofErr w:type="spellEnd"/>
      <w:r w:rsidRPr="005A6A79">
        <w:t xml:space="preserve"> (part of Accenture).</w:t>
      </w:r>
      <w:r>
        <w:t xml:space="preserve"> For further detail, s</w:t>
      </w:r>
      <w:r w:rsidR="002840FB">
        <w:t>ee D</w:t>
      </w:r>
      <w:r>
        <w:t>ata section, below.</w:t>
      </w:r>
    </w:p>
    <w:p w14:paraId="6F8CB7C0" w14:textId="77777777" w:rsidR="00A64280" w:rsidRDefault="00A64280" w:rsidP="00A64280">
      <w:r>
        <w:t>The Agency identified and classified space sector organisations into stratified samples (</w:t>
      </w:r>
      <w:proofErr w:type="spellStart"/>
      <w:r>
        <w:t>stratas</w:t>
      </w:r>
      <w:proofErr w:type="spellEnd"/>
      <w:r>
        <w:t xml:space="preserve">) for each year of analysis (FY17 and FY19). Each year of analysis contained four </w:t>
      </w:r>
      <w:proofErr w:type="spellStart"/>
      <w:r>
        <w:t>stratas</w:t>
      </w:r>
      <w:proofErr w:type="spellEnd"/>
      <w:r>
        <w:t>: small (1-19 employees), medium (20-199 employees), large (200+ employees) and unknown size organisations.</w:t>
      </w:r>
    </w:p>
    <w:p w14:paraId="04723FFB" w14:textId="73BC1B5B" w:rsidR="00A64280" w:rsidRDefault="00A64280" w:rsidP="00A64280">
      <w:r>
        <w:t>For revenue and jobs indicator calculations, the Agency applied the same step-wise process to calculate space revenue and space jobs figures (noting that data for each year and each indicator was analysed and processed separately). For determining FY19 space revenue, a linear regression of space revenue was used to interpolate missing space revenue values in each strata. The mid-point of upper and lower modelled figures was used in the reported sum of sector space revenue for FY19 ($4.6 billion).</w:t>
      </w:r>
    </w:p>
    <w:p w14:paraId="59EFE183" w14:textId="3785198F" w:rsidR="00A64280" w:rsidRDefault="00A64280" w:rsidP="00A64280">
      <w:r>
        <w:t>This methodology is repeatable to inform future economic snapshots approximately every two years, providing continued insights into the changes in Australia’s space sector.</w:t>
      </w:r>
      <w:r w:rsidR="00D749BB">
        <w:t xml:space="preserve"> T</w:t>
      </w:r>
      <w:r>
        <w:t>he Agency will also continue to maintain, refine and update the supporting datasets to ensure consistent measurements of the Australian space sector into the future.</w:t>
      </w:r>
    </w:p>
    <w:p w14:paraId="6619D717" w14:textId="76DBB3B4" w:rsidR="00257847" w:rsidRPr="00F6103F" w:rsidRDefault="00C15114" w:rsidP="008A1ACF">
      <w:pPr>
        <w:pStyle w:val="Heading2"/>
      </w:pPr>
      <w:bookmarkStart w:id="107" w:name="_Toc55990320"/>
      <w:bookmarkStart w:id="108" w:name="_Toc62635449"/>
      <w:r>
        <w:t>D</w:t>
      </w:r>
      <w:r w:rsidR="00257847">
        <w:t>ata</w:t>
      </w:r>
      <w:bookmarkEnd w:id="100"/>
      <w:bookmarkEnd w:id="101"/>
      <w:bookmarkEnd w:id="102"/>
      <w:bookmarkEnd w:id="103"/>
      <w:bookmarkEnd w:id="104"/>
      <w:bookmarkEnd w:id="105"/>
      <w:bookmarkEnd w:id="106"/>
      <w:bookmarkEnd w:id="107"/>
      <w:bookmarkEnd w:id="108"/>
    </w:p>
    <w:p w14:paraId="46B37F05" w14:textId="361601F6" w:rsidR="001E6913" w:rsidRDefault="00257847" w:rsidP="005E606B">
      <w:r>
        <w:t>The Agency</w:t>
      </w:r>
      <w:r w:rsidR="001375D1">
        <w:t xml:space="preserve"> is currently </w:t>
      </w:r>
      <w:r w:rsidR="00D82026">
        <w:t xml:space="preserve">tracking 816 organisations that </w:t>
      </w:r>
      <w:r w:rsidR="00567925">
        <w:t xml:space="preserve">either </w:t>
      </w:r>
      <w:r w:rsidR="00D82026">
        <w:t xml:space="preserve">operate in the </w:t>
      </w:r>
      <w:r w:rsidR="001E6913">
        <w:t>Australian</w:t>
      </w:r>
      <w:r w:rsidR="00D82026">
        <w:t xml:space="preserve"> space sector, or demonstrate strong linkages with space through space-adjacent industry activities, transferable capabilities to space</w:t>
      </w:r>
      <w:r w:rsidR="001E6913">
        <w:t>, or significant dependence on use of space-enabled technologies/services.</w:t>
      </w:r>
    </w:p>
    <w:p w14:paraId="6CA248D3" w14:textId="1653F7D1" w:rsidR="00257847" w:rsidRDefault="001E6913" w:rsidP="005E606B">
      <w:r>
        <w:t>The Agency’s database was compiled using</w:t>
      </w:r>
      <w:r w:rsidR="00257847">
        <w:t xml:space="preserve"> information from a number of sources</w:t>
      </w:r>
      <w:r w:rsidR="00E20D40">
        <w:t>:</w:t>
      </w:r>
    </w:p>
    <w:p w14:paraId="562A381D" w14:textId="73CEC930" w:rsidR="00257847" w:rsidRDefault="00257847" w:rsidP="008A1ACF">
      <w:pPr>
        <w:pStyle w:val="ListParagraph"/>
        <w:numPr>
          <w:ilvl w:val="0"/>
          <w:numId w:val="43"/>
        </w:numPr>
      </w:pPr>
      <w:r>
        <w:t xml:space="preserve">The Agency collects </w:t>
      </w:r>
      <w:r w:rsidR="005A6A79">
        <w:t>organisation</w:t>
      </w:r>
      <w:r>
        <w:t>-level data and information about space</w:t>
      </w:r>
      <w:r w:rsidR="00567925">
        <w:t xml:space="preserve"> </w:t>
      </w:r>
      <w:r>
        <w:t>related</w:t>
      </w:r>
      <w:r w:rsidR="00567925">
        <w:t xml:space="preserve"> or adjacent</w:t>
      </w:r>
      <w:r>
        <w:t xml:space="preserve"> organisations through its engagement activities, and its subscriptions to providers such as IBISWorld and </w:t>
      </w:r>
      <w:proofErr w:type="spellStart"/>
      <w:r w:rsidR="00B937C9">
        <w:t>ill</w:t>
      </w:r>
      <w:r>
        <w:t>ion</w:t>
      </w:r>
      <w:proofErr w:type="spellEnd"/>
      <w:r>
        <w:t xml:space="preserve">. </w:t>
      </w:r>
    </w:p>
    <w:p w14:paraId="5516D0DC" w14:textId="474E9E6E" w:rsidR="009A1C58" w:rsidRDefault="009A1C58" w:rsidP="009A1C58">
      <w:pPr>
        <w:pStyle w:val="ListParagraph"/>
        <w:numPr>
          <w:ilvl w:val="0"/>
          <w:numId w:val="43"/>
        </w:numPr>
      </w:pPr>
      <w:r>
        <w:t xml:space="preserve">The Agency has subscribed to access the Space Industry Association of Australia’s (SIAA’s) space capability database. The Agency’s database utilises relevant information from SIAA’s rich database of over </w:t>
      </w:r>
      <w:r w:rsidR="00567925">
        <w:t>500</w:t>
      </w:r>
      <w:r>
        <w:t xml:space="preserve"> organisations that are involved with or interested in space.</w:t>
      </w:r>
    </w:p>
    <w:p w14:paraId="1CE70B90" w14:textId="7E1E55AA" w:rsidR="00257847" w:rsidRDefault="00257847" w:rsidP="008A1ACF">
      <w:pPr>
        <w:pStyle w:val="ListParagraph"/>
        <w:numPr>
          <w:ilvl w:val="0"/>
          <w:numId w:val="43"/>
        </w:numPr>
      </w:pPr>
      <w:r>
        <w:t xml:space="preserve">The Agency procured the services of the Nous Group to conduct an Australia-wide economic survey of space-related organisations. Outcomes of this survey were integrated into the Agency’s </w:t>
      </w:r>
      <w:r w:rsidR="005A6A79">
        <w:t>organisation-level database.</w:t>
      </w:r>
    </w:p>
    <w:p w14:paraId="0CEB4A20" w14:textId="2BA38BFC" w:rsidR="00257847" w:rsidRDefault="00567925" w:rsidP="008A1ACF">
      <w:pPr>
        <w:pStyle w:val="ListParagraph"/>
        <w:numPr>
          <w:ilvl w:val="0"/>
          <w:numId w:val="43"/>
        </w:numPr>
      </w:pPr>
      <w:r>
        <w:t xml:space="preserve">The Agency is </w:t>
      </w:r>
      <w:r w:rsidR="00257847">
        <w:t>part of the Department of Industry, Science, E</w:t>
      </w:r>
      <w:r w:rsidR="00712C8B">
        <w:t xml:space="preserve">nergy and Resources (the </w:t>
      </w:r>
      <w:r>
        <w:t>D</w:t>
      </w:r>
      <w:r w:rsidR="00712C8B">
        <w:t>epartment),</w:t>
      </w:r>
      <w:r w:rsidR="009A1C58">
        <w:t xml:space="preserve"> </w:t>
      </w:r>
      <w:r>
        <w:t>and therefore was</w:t>
      </w:r>
      <w:r w:rsidR="00257847">
        <w:t xml:space="preserve"> able to </w:t>
      </w:r>
      <w:r w:rsidR="009A1C58">
        <w:t>incorporate</w:t>
      </w:r>
      <w:r w:rsidR="00257847">
        <w:t xml:space="preserve"> </w:t>
      </w:r>
      <w:r w:rsidR="005A6A79">
        <w:t>organisation</w:t>
      </w:r>
      <w:r w:rsidR="00257847">
        <w:t xml:space="preserve">-level data </w:t>
      </w:r>
      <w:r w:rsidR="009A1C58">
        <w:t>from</w:t>
      </w:r>
      <w:r w:rsidR="00257847">
        <w:t xml:space="preserve"> the </w:t>
      </w:r>
      <w:r>
        <w:t>D</w:t>
      </w:r>
      <w:r w:rsidR="00257847">
        <w:t>epartment’s Customer Relationship Manager (CRM) system. The CRM links organisation data from the Australian Business Register</w:t>
      </w:r>
      <w:r w:rsidR="009A1C58">
        <w:t>, and grant applications to the Australian Government</w:t>
      </w:r>
      <w:r w:rsidR="005A6A79">
        <w:t>.</w:t>
      </w:r>
    </w:p>
    <w:p w14:paraId="2E56CF63" w14:textId="1878C29A" w:rsidR="00E20D40" w:rsidRDefault="000C30E0" w:rsidP="005E606B">
      <w:r>
        <w:t xml:space="preserve">These data are presented in this report in an aggregated manner to ensure confidentiality and privacy, as appropriate. </w:t>
      </w:r>
      <w:r w:rsidR="00E20D40">
        <w:t>For further detail on how these were brought together, see Assumptions section, below.</w:t>
      </w:r>
    </w:p>
    <w:p w14:paraId="488AAE11" w14:textId="77777777" w:rsidR="00A64280" w:rsidRDefault="001E6913" w:rsidP="005E606B">
      <w:r>
        <w:lastRenderedPageBreak/>
        <w:t xml:space="preserve">Of the 816 organisations of interest, the Agency classified </w:t>
      </w:r>
      <w:r w:rsidR="001375D1">
        <w:t xml:space="preserve">432 organisations as operating in the Australian space sector in FY17, which increased to </w:t>
      </w:r>
      <w:r>
        <w:t>48</w:t>
      </w:r>
      <w:r w:rsidR="00186AEE">
        <w:t>1</w:t>
      </w:r>
      <w:r w:rsidR="001375D1">
        <w:t xml:space="preserve"> in</w:t>
      </w:r>
      <w:r>
        <w:t xml:space="preserve"> FY19</w:t>
      </w:r>
      <w:r w:rsidR="001375D1">
        <w:rPr>
          <w:rStyle w:val="FootnoteReference"/>
        </w:rPr>
        <w:footnoteReference w:id="59"/>
      </w:r>
      <w:r>
        <w:t>.</w:t>
      </w:r>
      <w:r w:rsidR="00077035">
        <w:t xml:space="preserve"> The Agency applied the Definition of the Australian space sector</w:t>
      </w:r>
      <w:r w:rsidR="005A6A79">
        <w:t xml:space="preserve"> (see Chapter 2)</w:t>
      </w:r>
      <w:r w:rsidR="00077035">
        <w:t xml:space="preserve"> to classify organisations as part of the sector.</w:t>
      </w:r>
      <w:r w:rsidR="000555A7">
        <w:t xml:space="preserve"> </w:t>
      </w:r>
    </w:p>
    <w:p w14:paraId="61DA94BE" w14:textId="0B4493ED" w:rsidR="00077035" w:rsidRDefault="000555A7" w:rsidP="005E606B">
      <w:r>
        <w:t xml:space="preserve">The Agency acknowledges that in the broader space economy there are many additional space adjacent firms with transferrable capabilities, and many more firms that are highly dependent on space technologies and services, which were not identified in the Agency database. For example, </w:t>
      </w:r>
      <w:proofErr w:type="spellStart"/>
      <w:r>
        <w:t>AlphaBeta’s</w:t>
      </w:r>
      <w:proofErr w:type="spellEnd"/>
      <w:r>
        <w:t xml:space="preserve"> analysis of adjacent sectors identified </w:t>
      </w:r>
      <w:r w:rsidR="00912B70">
        <w:t>4,000</w:t>
      </w:r>
      <w:r>
        <w:t xml:space="preserve"> firms with transferable capability.</w:t>
      </w:r>
    </w:p>
    <w:p w14:paraId="1B963947" w14:textId="100C35CE" w:rsidR="008C3E08" w:rsidRDefault="007A5331" w:rsidP="008C3E08">
      <w:r>
        <w:t xml:space="preserve">Key variables in </w:t>
      </w:r>
      <w:r w:rsidR="008C3E08">
        <w:t xml:space="preserve">the </w:t>
      </w:r>
      <w:r>
        <w:t>Agency database include</w:t>
      </w:r>
      <w:r w:rsidR="008C3E08">
        <w:t xml:space="preserve">: size, value chain segment activity, </w:t>
      </w:r>
      <w:r w:rsidR="005A6A79">
        <w:t xml:space="preserve">organisation </w:t>
      </w:r>
      <w:r w:rsidR="008C3E08">
        <w:t xml:space="preserve">age, </w:t>
      </w:r>
      <w:r>
        <w:t>Australian</w:t>
      </w:r>
      <w:r w:rsidR="008C3E08">
        <w:t xml:space="preserve"> headquarters location</w:t>
      </w:r>
      <w:r>
        <w:t>,</w:t>
      </w:r>
      <w:r w:rsidR="008C3E08">
        <w:t xml:space="preserve"> sub-sector, jobs and revenue. </w:t>
      </w:r>
      <w:r>
        <w:t>N</w:t>
      </w:r>
      <w:r w:rsidR="008C3E08">
        <w:t xml:space="preserve">o industry code </w:t>
      </w:r>
      <w:r w:rsidR="005A6A79">
        <w:t xml:space="preserve">matching the space sector definition </w:t>
      </w:r>
      <w:r w:rsidR="008C3E08">
        <w:t xml:space="preserve">for space exists under the </w:t>
      </w:r>
      <w:r w:rsidR="00EF4362" w:rsidRPr="00EF4362">
        <w:t>Australia and New Zealand Standard Industrial Classification</w:t>
      </w:r>
      <w:r w:rsidR="008C3E08">
        <w:t xml:space="preserve"> (ANZSIC). ANZSIC codes for organisations were recorded, </w:t>
      </w:r>
      <w:r>
        <w:t>but</w:t>
      </w:r>
      <w:r w:rsidR="008C3E08">
        <w:t xml:space="preserve"> were not used in the </w:t>
      </w:r>
      <w:r w:rsidR="000E2B7F">
        <w:t xml:space="preserve">Agency’s </w:t>
      </w:r>
      <w:r w:rsidR="008C3E08">
        <w:t xml:space="preserve">analysis due to observed variance in codes registered to space organisations that conduct similar activities or operate in similar markets. </w:t>
      </w:r>
    </w:p>
    <w:p w14:paraId="450975E6" w14:textId="2395DBE6" w:rsidR="00077035" w:rsidRDefault="00C15114" w:rsidP="008A1ACF">
      <w:pPr>
        <w:pStyle w:val="Heading2"/>
      </w:pPr>
      <w:bookmarkStart w:id="109" w:name="_Toc54265481"/>
      <w:bookmarkStart w:id="110" w:name="_Toc54265760"/>
      <w:bookmarkStart w:id="111" w:name="_Toc54342170"/>
      <w:bookmarkStart w:id="112" w:name="_Toc54344105"/>
      <w:bookmarkStart w:id="113" w:name="_Toc54791098"/>
      <w:bookmarkStart w:id="114" w:name="_Toc54794994"/>
      <w:bookmarkStart w:id="115" w:name="_Toc54796939"/>
      <w:bookmarkStart w:id="116" w:name="_Toc55990321"/>
      <w:bookmarkStart w:id="117" w:name="_Toc62635450"/>
      <w:r>
        <w:t>A</w:t>
      </w:r>
      <w:r w:rsidR="00077035">
        <w:t>ssumptions</w:t>
      </w:r>
      <w:bookmarkEnd w:id="109"/>
      <w:bookmarkEnd w:id="110"/>
      <w:bookmarkEnd w:id="111"/>
      <w:bookmarkEnd w:id="112"/>
      <w:bookmarkEnd w:id="113"/>
      <w:bookmarkEnd w:id="114"/>
      <w:bookmarkEnd w:id="115"/>
      <w:bookmarkEnd w:id="116"/>
      <w:bookmarkEnd w:id="117"/>
    </w:p>
    <w:p w14:paraId="3161D747" w14:textId="7DF46EE5" w:rsidR="006C11C6" w:rsidRDefault="006C11C6" w:rsidP="005E606B">
      <w:r>
        <w:t xml:space="preserve">Assumptions were used to provide a consistent scope and consistent categorisation of organisations. Inconsistency with any one of the Agency’s assumptions will result in variance to Agency estimates (as demonstrated by </w:t>
      </w:r>
      <w:proofErr w:type="spellStart"/>
      <w:r>
        <w:t>AlphaBeta</w:t>
      </w:r>
      <w:proofErr w:type="spellEnd"/>
      <w:r>
        <w:t xml:space="preserve"> and IBISWorld figures). </w:t>
      </w:r>
    </w:p>
    <w:p w14:paraId="028B9688" w14:textId="53393788" w:rsidR="008C3E08" w:rsidRDefault="00061C9E" w:rsidP="005E606B">
      <w:r>
        <w:t>Key</w:t>
      </w:r>
      <w:r w:rsidR="00607096">
        <w:t xml:space="preserve"> assumptions </w:t>
      </w:r>
      <w:r>
        <w:t>for the Agency’s analysis included</w:t>
      </w:r>
      <w:r w:rsidR="00607096">
        <w:t>:</w:t>
      </w:r>
    </w:p>
    <w:p w14:paraId="421941D8" w14:textId="766CCD4A" w:rsidR="00F26D56" w:rsidRDefault="00F26D56" w:rsidP="008A1ACF">
      <w:pPr>
        <w:pStyle w:val="ListParagraph"/>
        <w:numPr>
          <w:ilvl w:val="0"/>
          <w:numId w:val="44"/>
        </w:numPr>
      </w:pPr>
      <w:r>
        <w:t>Space activities are defined as per the Definition of the Australian space sector</w:t>
      </w:r>
      <w:r w:rsidR="000E2B7F">
        <w:t xml:space="preserve"> (see Chapter 2)</w:t>
      </w:r>
      <w:r>
        <w:t xml:space="preserve">. </w:t>
      </w:r>
    </w:p>
    <w:p w14:paraId="3C908FE0" w14:textId="78320EF0" w:rsidR="00C4731B" w:rsidRDefault="00C4731B" w:rsidP="008A1ACF">
      <w:pPr>
        <w:pStyle w:val="ListParagraph"/>
        <w:numPr>
          <w:ilvl w:val="0"/>
          <w:numId w:val="44"/>
        </w:numPr>
      </w:pPr>
      <w:r>
        <w:t>Space-related defence activities are included in revenue and jobs estimations</w:t>
      </w:r>
      <w:r w:rsidR="000E2B7F">
        <w:t xml:space="preserve">, as distinguishing between civil and non-civil </w:t>
      </w:r>
      <w:r w:rsidR="00B64E14">
        <w:t xml:space="preserve">activities </w:t>
      </w:r>
      <w:r w:rsidR="000E2B7F">
        <w:t>was not practicable</w:t>
      </w:r>
      <w:r w:rsidR="00286618">
        <w:t xml:space="preserve"> for this report</w:t>
      </w:r>
      <w:r>
        <w:t>.</w:t>
      </w:r>
    </w:p>
    <w:p w14:paraId="1BE5FBE4" w14:textId="2F2F39EC" w:rsidR="00F26D56" w:rsidRDefault="00F26D56" w:rsidP="008A1ACF">
      <w:pPr>
        <w:pStyle w:val="ListParagraph"/>
        <w:numPr>
          <w:ilvl w:val="0"/>
          <w:numId w:val="44"/>
        </w:numPr>
      </w:pPr>
      <w:r>
        <w:t>For activities to be carried out, they require minimum inputs in the form of: demand or need, relevant resources (e.g. funding, staff, and infrastructure), and relevant capabilities (comprised of components such as skills and capital).</w:t>
      </w:r>
    </w:p>
    <w:p w14:paraId="438EFA26" w14:textId="60CA9A63" w:rsidR="00054465" w:rsidRDefault="00054465" w:rsidP="008A1ACF">
      <w:pPr>
        <w:pStyle w:val="ListParagraph"/>
        <w:numPr>
          <w:ilvl w:val="0"/>
          <w:numId w:val="44"/>
        </w:numPr>
      </w:pPr>
      <w:r>
        <w:t>A space sector organisation is an organisation that conducts some</w:t>
      </w:r>
      <w:r w:rsidR="00F53498">
        <w:t xml:space="preserve"> amount of </w:t>
      </w:r>
      <w:r>
        <w:t>activity in at least one sp</w:t>
      </w:r>
      <w:r w:rsidR="00F53498">
        <w:t>ace sector value chain segment</w:t>
      </w:r>
      <w:r>
        <w:t xml:space="preserve">. </w:t>
      </w:r>
      <w:r w:rsidR="002D7ADA">
        <w:t>This includes private industry, not-for-profit</w:t>
      </w:r>
      <w:r w:rsidR="00A478A6">
        <w:t xml:space="preserve"> organisations</w:t>
      </w:r>
      <w:r w:rsidR="002D7ADA">
        <w:t>, government, universit</w:t>
      </w:r>
      <w:r w:rsidR="00A478A6">
        <w:t>ies</w:t>
      </w:r>
      <w:r w:rsidR="002D7ADA">
        <w:t>, research</w:t>
      </w:r>
      <w:r w:rsidR="00A478A6">
        <w:t xml:space="preserve"> organisations</w:t>
      </w:r>
      <w:r w:rsidR="002D7ADA">
        <w:t>, and foreign owned organisations operating in Australia.</w:t>
      </w:r>
    </w:p>
    <w:p w14:paraId="4B2953D3" w14:textId="4524B7B9" w:rsidR="00A64280" w:rsidRDefault="00A64280" w:rsidP="008A1ACF">
      <w:pPr>
        <w:pStyle w:val="ListParagraph"/>
        <w:numPr>
          <w:ilvl w:val="0"/>
          <w:numId w:val="44"/>
        </w:numPr>
      </w:pPr>
      <w:r>
        <w:t>Organisations were categorised according to their size as small (1-19 employees), medium (20-199 employees), large (200+ employees) and unknown size organisations.</w:t>
      </w:r>
    </w:p>
    <w:p w14:paraId="6CE7DFD0" w14:textId="4537720B" w:rsidR="006C11C6" w:rsidRDefault="00607096" w:rsidP="008A1ACF">
      <w:pPr>
        <w:pStyle w:val="ListParagraph"/>
        <w:numPr>
          <w:ilvl w:val="0"/>
          <w:numId w:val="44"/>
        </w:numPr>
      </w:pPr>
      <w:r>
        <w:t>Each organisation can conduct its space activities in one o</w:t>
      </w:r>
      <w:r w:rsidR="006C11C6">
        <w:t>r more value chain segments. Where an organisation operates in more than one segment, it is assumed that its</w:t>
      </w:r>
      <w:r w:rsidR="00CB0672">
        <w:t xml:space="preserve"> space</w:t>
      </w:r>
      <w:r w:rsidR="006C11C6">
        <w:t xml:space="preserve"> activities,</w:t>
      </w:r>
      <w:r w:rsidR="00CB0672">
        <w:t xml:space="preserve"> space</w:t>
      </w:r>
      <w:r w:rsidR="006C11C6">
        <w:t xml:space="preserve"> employees and </w:t>
      </w:r>
      <w:r w:rsidR="00CB0672">
        <w:t xml:space="preserve">space </w:t>
      </w:r>
      <w:r w:rsidR="006C11C6">
        <w:t>revenue are distributed equally between those segments. (Note that this assumption could be improved in future with availability of additional data</w:t>
      </w:r>
      <w:r w:rsidR="00C24492">
        <w:t>.</w:t>
      </w:r>
      <w:r w:rsidR="006C11C6">
        <w:t>)</w:t>
      </w:r>
    </w:p>
    <w:p w14:paraId="0147CBC2" w14:textId="187AFECA" w:rsidR="003C6E36" w:rsidRDefault="003C6E36" w:rsidP="003C6E36">
      <w:pPr>
        <w:pStyle w:val="ListParagraph"/>
        <w:numPr>
          <w:ilvl w:val="0"/>
          <w:numId w:val="44"/>
        </w:numPr>
      </w:pPr>
      <w:r>
        <w:t>An organisation’s type(s) of space activities in FY17 fall into the same value chain segment(s) as in FY19. (Note this assumption can be improved in future with access to additional information</w:t>
      </w:r>
      <w:r w:rsidR="00C24492">
        <w:t>.</w:t>
      </w:r>
      <w:r>
        <w:t>) However, an organisation’s ratio of the amount of space to non-space activity conducted can vary from year to year.</w:t>
      </w:r>
    </w:p>
    <w:p w14:paraId="44578C13" w14:textId="418D399D" w:rsidR="006C11C6" w:rsidRDefault="006C11C6" w:rsidP="008A1ACF">
      <w:pPr>
        <w:pStyle w:val="ListParagraph"/>
        <w:numPr>
          <w:ilvl w:val="0"/>
          <w:numId w:val="44"/>
        </w:numPr>
      </w:pPr>
      <w:r>
        <w:t>An organisation’s total jobs headcount comprises all paid individuals in space-related and non-space roles. This includes, casual, part-time and full-time roles. (Note volunteers are not counted</w:t>
      </w:r>
      <w:r w:rsidR="00C24492">
        <w:t>.</w:t>
      </w:r>
      <w:r>
        <w:t>)</w:t>
      </w:r>
    </w:p>
    <w:p w14:paraId="317F0FC5" w14:textId="20065F44" w:rsidR="00054465" w:rsidRDefault="00054465" w:rsidP="008A1ACF">
      <w:pPr>
        <w:pStyle w:val="ListParagraph"/>
        <w:numPr>
          <w:ilvl w:val="0"/>
          <w:numId w:val="44"/>
        </w:numPr>
      </w:pPr>
      <w:r>
        <w:t>Direct space jobs headcounts include all paid individuals in space sector organisations</w:t>
      </w:r>
      <w:r w:rsidR="00F26D56">
        <w:t xml:space="preserve"> that work on space</w:t>
      </w:r>
      <w:r>
        <w:t xml:space="preserve"> activities, and </w:t>
      </w:r>
      <w:r w:rsidR="00F26D56">
        <w:t xml:space="preserve">all paid </w:t>
      </w:r>
      <w:r>
        <w:t>individuals whose work role exists only as a result of the space activity being undertaken as the primary activity of the employing organisation</w:t>
      </w:r>
      <w:r w:rsidR="00F26D56">
        <w:t xml:space="preserve"> (or where space activities account for </w:t>
      </w:r>
      <w:r w:rsidR="00F26D56">
        <w:lastRenderedPageBreak/>
        <w:t xml:space="preserve">at least 80 </w:t>
      </w:r>
      <w:r w:rsidR="002357A2">
        <w:t>per cent</w:t>
      </w:r>
      <w:r w:rsidR="00F26D56">
        <w:t xml:space="preserve"> of organisation revenue)</w:t>
      </w:r>
      <w:r>
        <w:t>. This includes casual, part-time and full-time roles. (Note volunteers are not counted</w:t>
      </w:r>
      <w:r w:rsidR="00C24492">
        <w:t>.</w:t>
      </w:r>
      <w:r>
        <w:t>)</w:t>
      </w:r>
    </w:p>
    <w:p w14:paraId="0143696C" w14:textId="0E1AFA97" w:rsidR="00054465" w:rsidRDefault="00F53498" w:rsidP="008A1ACF">
      <w:pPr>
        <w:pStyle w:val="ListParagraph"/>
        <w:numPr>
          <w:ilvl w:val="0"/>
          <w:numId w:val="44"/>
        </w:numPr>
      </w:pPr>
      <w:r>
        <w:t xml:space="preserve">An organisation’s total revenue includes all </w:t>
      </w:r>
      <w:r w:rsidR="00370839">
        <w:t xml:space="preserve">space and non-space </w:t>
      </w:r>
      <w:r>
        <w:t>revenue.</w:t>
      </w:r>
      <w:r w:rsidR="00370839">
        <w:t xml:space="preserve"> </w:t>
      </w:r>
      <w:r w:rsidR="00B65A9C">
        <w:t>For research and government organisations revenue may include grants, administered or departmental funding for space activities where appropriate.</w:t>
      </w:r>
    </w:p>
    <w:p w14:paraId="2FED37B5" w14:textId="2D0F886E" w:rsidR="00370839" w:rsidRDefault="00370839" w:rsidP="008A1ACF">
      <w:pPr>
        <w:pStyle w:val="ListParagraph"/>
        <w:numPr>
          <w:ilvl w:val="0"/>
          <w:numId w:val="44"/>
        </w:numPr>
      </w:pPr>
      <w:r>
        <w:t>An organisation’s space revenue include</w:t>
      </w:r>
      <w:r w:rsidR="000555A7">
        <w:t>s</w:t>
      </w:r>
      <w:r>
        <w:t xml:space="preserve"> all revenue generated </w:t>
      </w:r>
      <w:r w:rsidR="009F2260">
        <w:t>from the sale of space products</w:t>
      </w:r>
      <w:r w:rsidR="001C6FD4">
        <w:t xml:space="preserve"> and</w:t>
      </w:r>
      <w:r w:rsidR="009F2260">
        <w:t xml:space="preserve"> </w:t>
      </w:r>
      <w:r>
        <w:t>services. It does not include revenue ge</w:t>
      </w:r>
      <w:r w:rsidR="001C6FD4">
        <w:t>nerated from non-space products and</w:t>
      </w:r>
      <w:r>
        <w:t xml:space="preserve"> se</w:t>
      </w:r>
      <w:r w:rsidR="001C6FD4">
        <w:t>rvices</w:t>
      </w:r>
      <w:r>
        <w:t>.</w:t>
      </w:r>
      <w:r w:rsidR="00B65A9C">
        <w:t xml:space="preserve"> </w:t>
      </w:r>
    </w:p>
    <w:p w14:paraId="1D673CC7" w14:textId="4CE97BCA" w:rsidR="00355D72" w:rsidRDefault="00AF2A4D" w:rsidP="00CE63A2">
      <w:pPr>
        <w:pStyle w:val="ListParagraph"/>
        <w:numPr>
          <w:ilvl w:val="0"/>
          <w:numId w:val="44"/>
        </w:numPr>
      </w:pPr>
      <w:r w:rsidRPr="00CE63A2">
        <w:t>Space capital investment includes cash committed since 1 July 2018 to a space project in Australia. It does not include the value of in-kind commitments (such as labour hours or equipment purchase). Space projects include commercial and research projects that conduct space activities and/or build capabilities or infrastructure</w:t>
      </w:r>
      <w:r w:rsidR="00031D30" w:rsidRPr="00CE63A2">
        <w:t xml:space="preserve"> with a primary goal to enable</w:t>
      </w:r>
      <w:r w:rsidRPr="00CE63A2">
        <w:t xml:space="preserve"> </w:t>
      </w:r>
      <w:r w:rsidR="00031D30" w:rsidRPr="00CE63A2">
        <w:t xml:space="preserve">immediate </w:t>
      </w:r>
      <w:r w:rsidRPr="00CE63A2">
        <w:t>space activities to occur</w:t>
      </w:r>
      <w:r>
        <w:t>.</w:t>
      </w:r>
      <w:r w:rsidR="00EA52D0">
        <w:br w:type="page"/>
      </w:r>
    </w:p>
    <w:p w14:paraId="43BB0A81" w14:textId="1B2D41E2" w:rsidR="00355D72" w:rsidRDefault="00355D72" w:rsidP="00355D72">
      <w:pPr>
        <w:pStyle w:val="Heading1"/>
      </w:pPr>
      <w:bookmarkStart w:id="118" w:name="_Toc55990322"/>
      <w:bookmarkStart w:id="119" w:name="_Toc62635451"/>
      <w:r>
        <w:lastRenderedPageBreak/>
        <w:t xml:space="preserve">Appendix </w:t>
      </w:r>
      <w:r w:rsidR="00786791">
        <w:t xml:space="preserve">B </w:t>
      </w:r>
      <w:r>
        <w:t>- Previous studies</w:t>
      </w:r>
      <w:bookmarkEnd w:id="118"/>
      <w:bookmarkEnd w:id="119"/>
    </w:p>
    <w:p w14:paraId="463F2799" w14:textId="76BB2B81" w:rsidR="001C7C43" w:rsidRDefault="001C7C43" w:rsidP="00355D72">
      <w:r>
        <w:t xml:space="preserve">This Appendix provides a high-level comparison </w:t>
      </w:r>
      <w:r w:rsidR="00C055BD">
        <w:t xml:space="preserve">of </w:t>
      </w:r>
      <w:r>
        <w:t xml:space="preserve">this </w:t>
      </w:r>
      <w:r w:rsidR="003117F4">
        <w:t xml:space="preserve">report </w:t>
      </w:r>
      <w:r>
        <w:t xml:space="preserve">and </w:t>
      </w:r>
      <w:r w:rsidR="00C055BD">
        <w:t xml:space="preserve">the findings of </w:t>
      </w:r>
      <w:r>
        <w:t>previous studies of Australia’s space sector.</w:t>
      </w:r>
    </w:p>
    <w:p w14:paraId="798ECEC0" w14:textId="564492A0" w:rsidR="00355D72" w:rsidRDefault="00CC4CAF" w:rsidP="00355D72">
      <w:r>
        <w:t>M</w:t>
      </w:r>
      <w:r w:rsidR="00355D72">
        <w:t xml:space="preserve">easuring space sector activity is a complex task and </w:t>
      </w:r>
      <w:r w:rsidR="00355D72" w:rsidRPr="00592CE5">
        <w:t xml:space="preserve">variation of estimates </w:t>
      </w:r>
      <w:r w:rsidR="00355D72">
        <w:t xml:space="preserve">between studies </w:t>
      </w:r>
      <w:r w:rsidR="00355D72" w:rsidRPr="00592CE5">
        <w:t xml:space="preserve">is </w:t>
      </w:r>
      <w:r w:rsidR="00355D72">
        <w:t xml:space="preserve">to be </w:t>
      </w:r>
      <w:r w:rsidR="00355D72" w:rsidRPr="00592CE5">
        <w:t>expected</w:t>
      </w:r>
      <w:r w:rsidR="00355D72">
        <w:t>, reflecting the use</w:t>
      </w:r>
      <w:r w:rsidR="00355D72" w:rsidRPr="00592CE5">
        <w:t xml:space="preserve"> </w:t>
      </w:r>
      <w:r w:rsidR="00355D72">
        <w:t xml:space="preserve">of </w:t>
      </w:r>
      <w:r w:rsidR="00355D72" w:rsidRPr="00592CE5">
        <w:t>different data samples, sc</w:t>
      </w:r>
      <w:r w:rsidR="00355D72">
        <w:t xml:space="preserve">ope, assumptions, methodologies and indicators. </w:t>
      </w:r>
      <w:r w:rsidR="00355D72" w:rsidRPr="00592CE5">
        <w:t>These are common issues for valuation of emerging sectors in Australia and around the world</w:t>
      </w:r>
      <w:r w:rsidR="00355D72">
        <w:t>.</w:t>
      </w:r>
    </w:p>
    <w:p w14:paraId="7386977A" w14:textId="1240BD7F" w:rsidR="00355D72" w:rsidRPr="00592CE5" w:rsidRDefault="00355D72" w:rsidP="00C075EE">
      <w:pPr>
        <w:pStyle w:val="ListParagraph"/>
        <w:numPr>
          <w:ilvl w:val="0"/>
          <w:numId w:val="59"/>
        </w:numPr>
        <w:ind w:left="714" w:hanging="357"/>
        <w:contextualSpacing w:val="0"/>
      </w:pPr>
      <w:r w:rsidRPr="006F52B1">
        <w:t xml:space="preserve">Compared to the </w:t>
      </w:r>
      <w:r w:rsidRPr="00592CE5">
        <w:t xml:space="preserve">ERG’s original estimates </w:t>
      </w:r>
      <w:r>
        <w:t xml:space="preserve">for FY16 </w:t>
      </w:r>
      <w:r w:rsidRPr="006F52B1">
        <w:t xml:space="preserve">(prepared in </w:t>
      </w:r>
      <w:r w:rsidRPr="00592CE5">
        <w:t>2017</w:t>
      </w:r>
      <w:r w:rsidRPr="006F52B1">
        <w:t xml:space="preserve">), the Agency’s estimates were </w:t>
      </w:r>
      <w:r w:rsidRPr="00592CE5">
        <w:t xml:space="preserve">generated using a much larger sample, providing greater confidence that estimates are representative of the whole sector. </w:t>
      </w:r>
    </w:p>
    <w:p w14:paraId="0D6E1930" w14:textId="0BA4AA91" w:rsidR="00355D72" w:rsidRDefault="00FE53E7" w:rsidP="00C075EE">
      <w:pPr>
        <w:pStyle w:val="ListParagraph"/>
        <w:numPr>
          <w:ilvl w:val="0"/>
          <w:numId w:val="59"/>
        </w:numPr>
        <w:ind w:left="714" w:hanging="357"/>
        <w:contextualSpacing w:val="0"/>
      </w:pPr>
      <w:proofErr w:type="spellStart"/>
      <w:r>
        <w:t>AlphaBeta’s</w:t>
      </w:r>
      <w:proofErr w:type="spellEnd"/>
      <w:r>
        <w:t xml:space="preserve"> estimates for FY</w:t>
      </w:r>
      <w:r w:rsidR="00355D72">
        <w:t xml:space="preserve">19 </w:t>
      </w:r>
      <w:r w:rsidR="00355D72" w:rsidRPr="00592CE5">
        <w:t xml:space="preserve">were based on a sample of </w:t>
      </w:r>
      <w:r w:rsidR="00355D72" w:rsidRPr="006F52B1">
        <w:t xml:space="preserve">a larger number of </w:t>
      </w:r>
      <w:r w:rsidR="00355D72">
        <w:t xml:space="preserve">space </w:t>
      </w:r>
      <w:r w:rsidR="00355D72" w:rsidRPr="00592CE5">
        <w:t>organ</w:t>
      </w:r>
      <w:r w:rsidR="00355D72" w:rsidRPr="006F52B1">
        <w:t xml:space="preserve">isations, owing to a different set of </w:t>
      </w:r>
      <w:r w:rsidR="00355D72" w:rsidRPr="00592CE5">
        <w:t xml:space="preserve">assumptions and methodology </w:t>
      </w:r>
      <w:r w:rsidR="00355D72" w:rsidRPr="006F52B1">
        <w:t xml:space="preserve">used to categorise organisations, whereas the Agency’s categorisation was </w:t>
      </w:r>
      <w:r w:rsidR="00355D72">
        <w:t>more conservative.</w:t>
      </w:r>
    </w:p>
    <w:p w14:paraId="53C8EF46" w14:textId="3162A332" w:rsidR="00355D72" w:rsidRPr="006F52B1" w:rsidRDefault="00355D72" w:rsidP="00C075EE">
      <w:pPr>
        <w:pStyle w:val="ListParagraph"/>
        <w:numPr>
          <w:ilvl w:val="0"/>
          <w:numId w:val="59"/>
        </w:numPr>
        <w:ind w:left="714" w:hanging="357"/>
        <w:contextualSpacing w:val="0"/>
      </w:pPr>
      <w:r w:rsidRPr="00592CE5">
        <w:t xml:space="preserve">Higher estimates by IBISWorld are likely </w:t>
      </w:r>
      <w:r w:rsidRPr="006F52B1">
        <w:t>because these estimates provide</w:t>
      </w:r>
      <w:r w:rsidRPr="00592CE5">
        <w:t xml:space="preserve"> a snapshot of the Australian satellite communications and astronautics industry</w:t>
      </w:r>
      <w:r w:rsidRPr="006F52B1">
        <w:t xml:space="preserve"> – which is a broader </w:t>
      </w:r>
      <w:r w:rsidRPr="00592CE5">
        <w:t xml:space="preserve">scope of activity </w:t>
      </w:r>
      <w:r w:rsidRPr="006F52B1">
        <w:t xml:space="preserve">than </w:t>
      </w:r>
      <w:r w:rsidRPr="00592CE5">
        <w:t>the ‘space sec</w:t>
      </w:r>
      <w:r w:rsidRPr="006F52B1">
        <w:t>tor’ as defined by the Agency in line with the OECD’s best practice guidance.</w:t>
      </w:r>
    </w:p>
    <w:p w14:paraId="5E902A0B" w14:textId="66521422" w:rsidR="00355D72" w:rsidRPr="00592CE5" w:rsidRDefault="00355D72" w:rsidP="00355D72">
      <w:r>
        <w:t>In short, t</w:t>
      </w:r>
      <w:r w:rsidRPr="00592CE5">
        <w:t xml:space="preserve">he Agency analysis </w:t>
      </w:r>
      <w:r>
        <w:t xml:space="preserve">relies on </w:t>
      </w:r>
      <w:r w:rsidRPr="00592CE5">
        <w:t>richer data (in particular for SMEs) drawing on the Agency’s regular engagement with the sector, and ut</w:t>
      </w:r>
      <w:r>
        <w:t>ilisation of the data from the Department of Industry, Science, Energy and Resources datasets</w:t>
      </w:r>
      <w:r w:rsidR="00EF45E2">
        <w:t xml:space="preserve">, </w:t>
      </w:r>
      <w:proofErr w:type="spellStart"/>
      <w:r w:rsidR="00EF45E2">
        <w:t>I</w:t>
      </w:r>
      <w:r w:rsidRPr="00592CE5">
        <w:t>llion</w:t>
      </w:r>
      <w:proofErr w:type="spellEnd"/>
      <w:r w:rsidRPr="00592CE5">
        <w:t xml:space="preserve">, the Space Industry Association of Australia and other sources. </w:t>
      </w:r>
    </w:p>
    <w:p w14:paraId="5BA9CB20" w14:textId="77777777" w:rsidR="00355D72" w:rsidRPr="00592CE5" w:rsidRDefault="00355D72" w:rsidP="00355D72">
      <w:r>
        <w:t xml:space="preserve">Further, to ensure rigor, the Agency’s estimates have been informed by independent studies to provide a </w:t>
      </w:r>
      <w:r w:rsidRPr="00F6103F">
        <w:t>balanced</w:t>
      </w:r>
      <w:r>
        <w:t xml:space="preserve"> position on how these figures can be interpreted and used within the limitations of the data. This was necessary d</w:t>
      </w:r>
      <w:r w:rsidRPr="00592CE5">
        <w:t>ue to a lack of consistent, reliable and publicly available information on the sector.</w:t>
      </w:r>
    </w:p>
    <w:p w14:paraId="5480C091" w14:textId="3601EE7E" w:rsidR="0026510C" w:rsidRDefault="00355D72" w:rsidP="00C24F05">
      <w:r>
        <w:t xml:space="preserve">For these reasons, </w:t>
      </w:r>
      <w:r w:rsidRPr="00592CE5">
        <w:t xml:space="preserve">the Agency’s estimates </w:t>
      </w:r>
      <w:r>
        <w:t>provide a reliable snapshot of the Australian space sector.</w:t>
      </w:r>
    </w:p>
    <w:sectPr w:rsidR="0026510C" w:rsidSect="00F77D18">
      <w:headerReference w:type="default" r:id="rId16"/>
      <w:footerReference w:type="default" r:id="rId17"/>
      <w:headerReference w:type="first" r:id="rId18"/>
      <w:footerReference w:type="first" r:id="rId19"/>
      <w:pgSz w:w="11906" w:h="16838" w:code="9"/>
      <w:pgMar w:top="709" w:right="1133" w:bottom="1560" w:left="1021" w:header="454" w:footer="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D6204" w14:textId="77777777" w:rsidR="006D7252" w:rsidRDefault="006D7252">
      <w:r>
        <w:separator/>
      </w:r>
    </w:p>
  </w:endnote>
  <w:endnote w:type="continuationSeparator" w:id="0">
    <w:p w14:paraId="749EEF87" w14:textId="77777777" w:rsidR="006D7252" w:rsidRDefault="006D7252">
      <w:r>
        <w:continuationSeparator/>
      </w:r>
    </w:p>
  </w:endnote>
  <w:endnote w:type="continuationNotice" w:id="1">
    <w:p w14:paraId="1CF95AB5" w14:textId="77777777" w:rsidR="006D7252" w:rsidRDefault="006D72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2B349" w14:textId="77777777" w:rsidR="006D7252" w:rsidRDefault="006D72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80"/>
      <w:gridCol w:w="1784"/>
    </w:tblGrid>
    <w:tr w:rsidR="006D7252" w14:paraId="5F5F1144" w14:textId="77777777" w:rsidTr="00D95F76">
      <w:trPr>
        <w:trHeight w:hRule="exact" w:val="425"/>
        <w:tblHeader/>
      </w:trPr>
      <w:tc>
        <w:tcPr>
          <w:tcW w:w="8080" w:type="dxa"/>
          <w:vAlign w:val="bottom"/>
        </w:tcPr>
        <w:p w14:paraId="65D63E8C" w14:textId="77777777" w:rsidR="006D7252" w:rsidRPr="00420B00" w:rsidRDefault="006D7252" w:rsidP="00584181">
          <w:pPr>
            <w:pStyle w:val="FooterInfo"/>
          </w:pPr>
          <w:r w:rsidRPr="00A10232">
            <w:rPr>
              <w:rStyle w:val="FooterInfoBold"/>
            </w:rPr>
            <w:t>Australian Space Agency</w:t>
          </w:r>
          <w:r w:rsidRPr="00A10232">
            <w:t xml:space="preserve"> </w:t>
          </w:r>
          <w:r>
            <w:t>Snapshot Report for 2018</w:t>
          </w:r>
        </w:p>
      </w:tc>
      <w:tc>
        <w:tcPr>
          <w:tcW w:w="1784" w:type="dxa"/>
          <w:vAlign w:val="bottom"/>
        </w:tcPr>
        <w:p w14:paraId="672A5DD8" w14:textId="77777777" w:rsidR="006D7252" w:rsidRPr="00B64CC4" w:rsidRDefault="006D7252" w:rsidP="00940B9A">
          <w:pPr>
            <w:pStyle w:val="FooterInfo"/>
            <w:jc w:val="right"/>
          </w:pPr>
          <w:r w:rsidRPr="00420B00">
            <w:fldChar w:fldCharType="begin"/>
          </w:r>
          <w:r w:rsidRPr="00420B00">
            <w:instrText xml:space="preserve"> PAGE  \* Arabic  \* MERGEFORMAT </w:instrText>
          </w:r>
          <w:r w:rsidRPr="00420B00">
            <w:fldChar w:fldCharType="separate"/>
          </w:r>
          <w:r>
            <w:rPr>
              <w:noProof/>
            </w:rPr>
            <w:t>1</w:t>
          </w:r>
          <w:r w:rsidRPr="00420B00">
            <w:fldChar w:fldCharType="end"/>
          </w:r>
        </w:p>
      </w:tc>
    </w:tr>
  </w:tbl>
  <w:p w14:paraId="5D2649D3" w14:textId="77777777" w:rsidR="006D7252" w:rsidRDefault="006D72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5220" w14:textId="77777777" w:rsidR="006D7252" w:rsidRDefault="006D72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7988"/>
      <w:gridCol w:w="1764"/>
    </w:tblGrid>
    <w:tr w:rsidR="006D7252" w14:paraId="479DE4EF" w14:textId="77777777" w:rsidTr="00D95F76">
      <w:trPr>
        <w:trHeight w:hRule="exact" w:val="425"/>
        <w:tblHeader/>
      </w:trPr>
      <w:tc>
        <w:tcPr>
          <w:tcW w:w="8080" w:type="dxa"/>
          <w:vAlign w:val="bottom"/>
        </w:tcPr>
        <w:p w14:paraId="6EB49D87" w14:textId="5D1A9039" w:rsidR="006D7252" w:rsidRPr="00420B00" w:rsidRDefault="006D7252" w:rsidP="00336E4E">
          <w:pPr>
            <w:pStyle w:val="FooterInfo"/>
          </w:pPr>
          <w:r>
            <w:rPr>
              <w:rStyle w:val="FooterInfoBold"/>
            </w:rPr>
            <w:t xml:space="preserve">Economic Snapshot of the Australian Space Sector 2016-17 to 2018-19 (issued </w:t>
          </w:r>
          <w:r w:rsidRPr="00336E4E">
            <w:rPr>
              <w:rStyle w:val="FooterInfoBold"/>
            </w:rPr>
            <w:t>February 2021)</w:t>
          </w:r>
        </w:p>
      </w:tc>
      <w:tc>
        <w:tcPr>
          <w:tcW w:w="1784" w:type="dxa"/>
          <w:vAlign w:val="bottom"/>
        </w:tcPr>
        <w:p w14:paraId="220C296C" w14:textId="77777777" w:rsidR="006D7252" w:rsidRPr="00B64CC4" w:rsidRDefault="006D7252" w:rsidP="00A10232">
          <w:pPr>
            <w:pStyle w:val="FooterInfo"/>
            <w:jc w:val="right"/>
          </w:pPr>
          <w:r>
            <w:t xml:space="preserve">  </w:t>
          </w:r>
          <w:r w:rsidRPr="00420B00">
            <w:fldChar w:fldCharType="begin"/>
          </w:r>
          <w:r w:rsidRPr="00420B00">
            <w:instrText xml:space="preserve"> PAGE  \* Arabic  \* MERGEFORMAT </w:instrText>
          </w:r>
          <w:r w:rsidRPr="00420B00">
            <w:fldChar w:fldCharType="separate"/>
          </w:r>
          <w:r w:rsidR="003C418F">
            <w:rPr>
              <w:noProof/>
            </w:rPr>
            <w:t>26</w:t>
          </w:r>
          <w:r w:rsidRPr="00420B00">
            <w:fldChar w:fldCharType="end"/>
          </w:r>
        </w:p>
      </w:tc>
    </w:tr>
  </w:tbl>
  <w:p w14:paraId="0F64705B" w14:textId="77777777" w:rsidR="006D7252" w:rsidRDefault="006D7252" w:rsidP="00237E80">
    <w:pPr>
      <w:pStyle w:val="Footer"/>
    </w:pPr>
  </w:p>
  <w:p w14:paraId="492855FD" w14:textId="3175BFEB" w:rsidR="006D7252" w:rsidRDefault="006D725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7988"/>
      <w:gridCol w:w="1764"/>
    </w:tblGrid>
    <w:tr w:rsidR="006D7252" w14:paraId="45642959" w14:textId="77777777" w:rsidTr="00D95F76">
      <w:trPr>
        <w:trHeight w:hRule="exact" w:val="425"/>
        <w:tblHeader/>
      </w:trPr>
      <w:tc>
        <w:tcPr>
          <w:tcW w:w="8080" w:type="dxa"/>
          <w:vAlign w:val="bottom"/>
        </w:tcPr>
        <w:p w14:paraId="48956E02" w14:textId="6C7263A8" w:rsidR="006D7252" w:rsidRPr="00CC5E84" w:rsidRDefault="006D7252" w:rsidP="00CC5E84">
          <w:pPr>
            <w:pStyle w:val="FooterInfo"/>
            <w:rPr>
              <w:rStyle w:val="FooterInfoBold"/>
            </w:rPr>
          </w:pPr>
          <w:r w:rsidRPr="00CC5E84">
            <w:rPr>
              <w:rStyle w:val="FooterInfoBold"/>
            </w:rPr>
            <w:t xml:space="preserve">Australian Space Agency </w:t>
          </w:r>
          <w:r w:rsidRPr="00CC5E84">
            <w:fldChar w:fldCharType="begin"/>
          </w:r>
          <w:r w:rsidRPr="00CC5E84">
            <w:instrText xml:space="preserve"> FILENAME  </w:instrText>
          </w:r>
          <w:r w:rsidRPr="00CC5E84">
            <w:fldChar w:fldCharType="separate"/>
          </w:r>
          <w:r w:rsidR="003C418F">
            <w:rPr>
              <w:noProof/>
            </w:rPr>
            <w:t>Snapshot-Report-Australian-Civil-Space-Sector-2016-17-to-2018-19</w:t>
          </w:r>
          <w:r w:rsidRPr="00CC5E84">
            <w:fldChar w:fldCharType="end"/>
          </w:r>
        </w:p>
      </w:tc>
      <w:tc>
        <w:tcPr>
          <w:tcW w:w="1784" w:type="dxa"/>
          <w:vAlign w:val="bottom"/>
        </w:tcPr>
        <w:p w14:paraId="27AA2542" w14:textId="77777777" w:rsidR="006D7252" w:rsidRPr="00CC5E84" w:rsidRDefault="006D7252" w:rsidP="00CC5E84">
          <w:pPr>
            <w:pStyle w:val="FooterInfo"/>
            <w:jc w:val="right"/>
            <w:rPr>
              <w:rStyle w:val="FooterInfoBold"/>
            </w:rPr>
          </w:pPr>
          <w:r w:rsidRPr="00422449">
            <w:fldChar w:fldCharType="begin"/>
          </w:r>
          <w:r w:rsidRPr="00CC5E84">
            <w:rPr>
              <w:rStyle w:val="FooterInfoBold"/>
            </w:rPr>
            <w:instrText xml:space="preserve"> DOCPROPERTY  CoverDate </w:instrText>
          </w:r>
          <w:r w:rsidRPr="00422449">
            <w:rPr>
              <w:rStyle w:val="FooterInfoBold"/>
            </w:rPr>
            <w:fldChar w:fldCharType="separate"/>
          </w:r>
          <w:r w:rsidR="003C418F">
            <w:rPr>
              <w:rStyle w:val="FooterInfoBold"/>
              <w:b w:val="0"/>
              <w:bCs/>
              <w:lang w:val="en-US"/>
            </w:rPr>
            <w:t>Error! Unknown document property name.</w:t>
          </w:r>
          <w:r w:rsidRPr="00422449">
            <w:fldChar w:fldCharType="end"/>
          </w:r>
          <w:bookmarkStart w:id="120" w:name="_Toc37336899"/>
          <w:bookmarkStart w:id="121" w:name="_Toc37691786"/>
          <w:bookmarkStart w:id="122" w:name="_Toc499648834"/>
          <w:bookmarkStart w:id="123" w:name="_Toc505777356"/>
          <w:bookmarkStart w:id="124" w:name="_Toc505777367"/>
          <w:bookmarkStart w:id="125" w:name="_Toc505777406"/>
          <w:r w:rsidRPr="00CC5E84">
            <w:rPr>
              <w:rStyle w:val="FooterInfoBold"/>
            </w:rPr>
            <w:t xml:space="preserve">  </w:t>
          </w:r>
          <w:r w:rsidRPr="00CC5E84">
            <w:fldChar w:fldCharType="begin"/>
          </w:r>
          <w:r w:rsidRPr="00CC5E84">
            <w:instrText xml:space="preserve"> PAGE  \* Arabic  \* MERGEFORMAT </w:instrText>
          </w:r>
          <w:r w:rsidRPr="00CC5E84">
            <w:fldChar w:fldCharType="separate"/>
          </w:r>
          <w:r>
            <w:rPr>
              <w:noProof/>
            </w:rPr>
            <w:t>1</w:t>
          </w:r>
          <w:r w:rsidRPr="00CC5E84">
            <w:fldChar w:fldCharType="end"/>
          </w:r>
        </w:p>
      </w:tc>
    </w:tr>
  </w:tbl>
  <w:p w14:paraId="2E93030A" w14:textId="77777777" w:rsidR="006D7252" w:rsidRDefault="006D7252">
    <w:pPr>
      <w:pStyle w:val="Footer"/>
    </w:pPr>
  </w:p>
  <w:bookmarkEnd w:id="120"/>
  <w:bookmarkEnd w:id="121"/>
  <w:bookmarkEnd w:id="122"/>
  <w:bookmarkEnd w:id="123"/>
  <w:bookmarkEnd w:id="124"/>
  <w:bookmarkEnd w:id="125"/>
  <w:p w14:paraId="0FEABF79" w14:textId="0D507004" w:rsidR="006D7252" w:rsidRDefault="006D72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7C7C6" w14:textId="77777777" w:rsidR="006D7252" w:rsidRDefault="006D7252"/>
  </w:footnote>
  <w:footnote w:type="continuationSeparator" w:id="0">
    <w:p w14:paraId="07764BB7" w14:textId="77777777" w:rsidR="006D7252" w:rsidRDefault="006D7252">
      <w:r>
        <w:continuationSeparator/>
      </w:r>
    </w:p>
  </w:footnote>
  <w:footnote w:type="continuationNotice" w:id="1">
    <w:p w14:paraId="12EF5691" w14:textId="77777777" w:rsidR="006D7252" w:rsidRDefault="006D7252">
      <w:pPr>
        <w:spacing w:after="0" w:line="240" w:lineRule="auto"/>
      </w:pPr>
    </w:p>
  </w:footnote>
  <w:footnote w:id="2">
    <w:p w14:paraId="76DF4747" w14:textId="77777777" w:rsidR="006D7252" w:rsidRDefault="006D7252" w:rsidP="00A26D8F">
      <w:pPr>
        <w:pStyle w:val="FootnoteText"/>
        <w:tabs>
          <w:tab w:val="clear" w:pos="113"/>
          <w:tab w:val="left" w:pos="-142"/>
        </w:tabs>
        <w:ind w:left="0" w:firstLine="0"/>
      </w:pPr>
      <w:r>
        <w:rPr>
          <w:rStyle w:val="FootnoteReference"/>
        </w:rPr>
        <w:footnoteRef/>
      </w:r>
      <w:r>
        <w:t xml:space="preserve"> </w:t>
      </w:r>
      <w:r>
        <w:rPr>
          <w:rStyle w:val="Hyperlink"/>
          <w:rFonts w:cs="Times New Roman"/>
          <w:color w:val="auto"/>
          <w:u w:val="none"/>
        </w:rPr>
        <w:t>Australian Space Agency</w:t>
      </w:r>
      <w:r w:rsidRPr="00F5572C">
        <w:rPr>
          <w:rStyle w:val="Hyperlink"/>
          <w:rFonts w:cs="Times New Roman"/>
          <w:color w:val="auto"/>
          <w:u w:val="none"/>
        </w:rPr>
        <w:t xml:space="preserve"> </w:t>
      </w:r>
      <w:r>
        <w:rPr>
          <w:rStyle w:val="Hyperlink"/>
          <w:rFonts w:cs="Times New Roman"/>
          <w:color w:val="auto"/>
          <w:u w:val="none"/>
        </w:rPr>
        <w:t>(</w:t>
      </w:r>
      <w:r w:rsidRPr="00F5572C">
        <w:rPr>
          <w:rStyle w:val="Hyperlink"/>
          <w:rFonts w:cs="Times New Roman"/>
          <w:color w:val="auto"/>
          <w:u w:val="none"/>
        </w:rPr>
        <w:t>2019</w:t>
      </w:r>
      <w:r>
        <w:rPr>
          <w:rStyle w:val="Hyperlink"/>
          <w:rFonts w:cs="Times New Roman"/>
          <w:color w:val="auto"/>
          <w:u w:val="none"/>
        </w:rPr>
        <w:t>),</w:t>
      </w:r>
      <w:r w:rsidRPr="00F5572C">
        <w:rPr>
          <w:rStyle w:val="Hyperlink"/>
          <w:rFonts w:cs="Times New Roman"/>
          <w:color w:val="auto"/>
          <w:u w:val="none"/>
        </w:rPr>
        <w:t xml:space="preserve"> </w:t>
      </w:r>
      <w:hyperlink r:id="rId1" w:history="1">
        <w:r>
          <w:rPr>
            <w:rStyle w:val="Hyperlink"/>
            <w:rFonts w:cs="Times New Roman"/>
            <w:color w:val="auto"/>
            <w:u w:val="none"/>
          </w:rPr>
          <w:t>Advancing Space:</w:t>
        </w:r>
        <w:r w:rsidRPr="000340F1">
          <w:rPr>
            <w:rStyle w:val="Hyperlink"/>
            <w:rFonts w:cs="Times New Roman"/>
            <w:color w:val="auto"/>
            <w:u w:val="none"/>
          </w:rPr>
          <w:t xml:space="preserve"> Australian Civil Space Strategy 2019-2028</w:t>
        </w:r>
      </w:hyperlink>
      <w:r>
        <w:rPr>
          <w:rStyle w:val="Hyperlink"/>
          <w:rFonts w:cs="Times New Roman"/>
          <w:color w:val="auto"/>
          <w:u w:val="none"/>
        </w:rPr>
        <w:t xml:space="preserve">- </w:t>
      </w:r>
      <w:hyperlink r:id="rId2" w:history="1">
        <w:r w:rsidRPr="00FB20F7">
          <w:rPr>
            <w:rStyle w:val="Hyperlink"/>
            <w:rFonts w:cs="Times New Roman"/>
          </w:rPr>
          <w:t>https://www.industry.gov.au/data-and-publications/australian-civil-space-strategy-2019-2028</w:t>
        </w:r>
      </w:hyperlink>
      <w:r>
        <w:rPr>
          <w:rStyle w:val="Hyperlink"/>
          <w:rFonts w:cs="Times New Roman"/>
          <w:color w:val="auto"/>
          <w:u w:val="none"/>
        </w:rPr>
        <w:t xml:space="preserve"> </w:t>
      </w:r>
    </w:p>
  </w:footnote>
  <w:footnote w:id="3">
    <w:p w14:paraId="571D0EF4" w14:textId="13AB3B79" w:rsidR="006D7252" w:rsidRDefault="006D7252" w:rsidP="00470E98">
      <w:pPr>
        <w:pStyle w:val="FootnoteText"/>
        <w:tabs>
          <w:tab w:val="clear" w:pos="113"/>
        </w:tabs>
        <w:ind w:left="142" w:hanging="142"/>
      </w:pPr>
      <w:r>
        <w:rPr>
          <w:rStyle w:val="FootnoteReference"/>
        </w:rPr>
        <w:footnoteRef/>
      </w:r>
      <w:r>
        <w:t xml:space="preserve"> Inbound investment includes investments by industry, international space agencies and private foundations. It does not include investments from Australian governments or universities.</w:t>
      </w:r>
    </w:p>
  </w:footnote>
  <w:footnote w:id="4">
    <w:p w14:paraId="5CCE3A9C" w14:textId="77777777" w:rsidR="006D7252" w:rsidRPr="002418A2" w:rsidRDefault="006D7252" w:rsidP="00A26D8F">
      <w:pPr>
        <w:pStyle w:val="FootnoteText"/>
        <w:tabs>
          <w:tab w:val="clear" w:pos="113"/>
          <w:tab w:val="left" w:pos="-142"/>
        </w:tabs>
        <w:ind w:left="0" w:firstLine="0"/>
        <w:rPr>
          <w:szCs w:val="16"/>
        </w:rPr>
      </w:pPr>
      <w:r w:rsidRPr="00F5572C">
        <w:rPr>
          <w:rStyle w:val="FootnoteReference"/>
        </w:rPr>
        <w:footnoteRef/>
      </w:r>
      <w:r w:rsidRPr="00F5572C">
        <w:t xml:space="preserve"> Monetary values are in Australian dollars (AUD) throughout this report unless otherwise noted.</w:t>
      </w:r>
    </w:p>
  </w:footnote>
  <w:footnote w:id="5">
    <w:p w14:paraId="283D6328" w14:textId="77777777" w:rsidR="006D7252" w:rsidRDefault="006D7252" w:rsidP="00681A36">
      <w:pPr>
        <w:pStyle w:val="FootnoteText"/>
        <w:tabs>
          <w:tab w:val="clear" w:pos="113"/>
          <w:tab w:val="left" w:pos="-142"/>
        </w:tabs>
        <w:ind w:left="0" w:firstLine="0"/>
      </w:pPr>
      <w:r>
        <w:rPr>
          <w:rStyle w:val="FootnoteReference"/>
        </w:rPr>
        <w:footnoteRef/>
      </w:r>
      <w:r>
        <w:t xml:space="preserve"> The economic baseline for the sector is set in 2016-17, the financial year prior to the Agency’s announcement. The 2018-19 snapshot measures the change in the sector from the baseline, up to the end of the Agency’s first year of operations.</w:t>
      </w:r>
    </w:p>
  </w:footnote>
  <w:footnote w:id="6">
    <w:p w14:paraId="18D13F40" w14:textId="77777777" w:rsidR="006D7252" w:rsidRDefault="006D7252" w:rsidP="00470E98">
      <w:pPr>
        <w:pStyle w:val="FootnoteText"/>
      </w:pPr>
      <w:r>
        <w:rPr>
          <w:rStyle w:val="FootnoteReference"/>
        </w:rPr>
        <w:footnoteRef/>
      </w:r>
      <w:r>
        <w:t xml:space="preserve"> Australian Space Agency (2019), Australian Space Agency 1 year on: A message from Head, Dr Megan Clark AC - </w:t>
      </w:r>
      <w:hyperlink r:id="rId3" w:history="1">
        <w:r w:rsidRPr="00E66BD7">
          <w:rPr>
            <w:rStyle w:val="Hyperlink"/>
            <w:rFonts w:cs="Times New Roman"/>
          </w:rPr>
          <w:t>https://www.industry.gov.au/news-media/australian-space-agency-1-year-on-a-message-from-head-dr-megan-clark-ac</w:t>
        </w:r>
      </w:hyperlink>
    </w:p>
  </w:footnote>
  <w:footnote w:id="7">
    <w:p w14:paraId="472E49D5" w14:textId="13711E01" w:rsidR="006D7252" w:rsidRDefault="006D7252" w:rsidP="00470E98">
      <w:pPr>
        <w:pStyle w:val="FootnoteText"/>
      </w:pPr>
      <w:r w:rsidRPr="005767CD">
        <w:rPr>
          <w:rStyle w:val="FootnoteReference"/>
        </w:rPr>
        <w:footnoteRef/>
      </w:r>
      <w:r w:rsidRPr="005767CD">
        <w:t xml:space="preserve"> </w:t>
      </w:r>
      <w:proofErr w:type="spellStart"/>
      <w:r w:rsidRPr="0010383A">
        <w:rPr>
          <w:szCs w:val="16"/>
        </w:rPr>
        <w:t>AlphaBeta</w:t>
      </w:r>
      <w:proofErr w:type="spellEnd"/>
      <w:r w:rsidRPr="0010383A">
        <w:rPr>
          <w:szCs w:val="16"/>
        </w:rPr>
        <w:t xml:space="preserve"> (2020), The Economic Contribution of Australia’s Space Sector in 2018-19 </w:t>
      </w:r>
      <w:hyperlink r:id="rId4" w:history="1">
        <w:r w:rsidR="0049272E" w:rsidRPr="006C3D7A">
          <w:rPr>
            <w:rStyle w:val="Hyperlink"/>
            <w:rFonts w:cs="Times New Roman"/>
            <w:szCs w:val="16"/>
          </w:rPr>
          <w:t>https://www.industry.gov.au/sites/default/files/2021-02/the-economic-contribution-of-australias-space-sector-in-2018-19.docx</w:t>
        </w:r>
      </w:hyperlink>
      <w:r>
        <w:rPr>
          <w:szCs w:val="16"/>
        </w:rPr>
        <w:t xml:space="preserve"> </w:t>
      </w:r>
      <w:r>
        <w:t xml:space="preserve">Note, Australian GDP for 2018-19 was $1.89 trillion and </w:t>
      </w:r>
      <w:proofErr w:type="spellStart"/>
      <w:r>
        <w:rPr>
          <w:szCs w:val="16"/>
        </w:rPr>
        <w:t>AlphaBeta</w:t>
      </w:r>
      <w:proofErr w:type="spellEnd"/>
      <w:r>
        <w:rPr>
          <w:szCs w:val="16"/>
        </w:rPr>
        <w:t xml:space="preserve"> estimated space sector revenue was $4.8 billion.</w:t>
      </w:r>
    </w:p>
  </w:footnote>
  <w:footnote w:id="8">
    <w:p w14:paraId="54DB45C5" w14:textId="77777777" w:rsidR="006D7252" w:rsidRPr="0010383A" w:rsidRDefault="006D7252" w:rsidP="00286618">
      <w:pPr>
        <w:pStyle w:val="FootnoteText"/>
        <w:rPr>
          <w:szCs w:val="16"/>
        </w:rPr>
      </w:pPr>
      <w:r>
        <w:rPr>
          <w:rStyle w:val="FootnoteReference"/>
        </w:rPr>
        <w:footnoteRef/>
      </w:r>
      <w:r>
        <w:t xml:space="preserve"> </w:t>
      </w:r>
      <w:r w:rsidRPr="00835317">
        <w:rPr>
          <w:szCs w:val="16"/>
        </w:rPr>
        <w:t xml:space="preserve">Australian Government (2020), Make it happen: The Australian Government’s Modern Manufacturing Strategy - </w:t>
      </w:r>
      <w:hyperlink r:id="rId5" w:history="1">
        <w:r w:rsidRPr="0010383A">
          <w:rPr>
            <w:rStyle w:val="Hyperlink"/>
            <w:rFonts w:cs="Times New Roman"/>
            <w:szCs w:val="16"/>
          </w:rPr>
          <w:t>https://www.industry.gov.au/data-and-publications/make-it-happen-the-australian-governments-modern-manufacturing-strategy</w:t>
        </w:r>
      </w:hyperlink>
      <w:r w:rsidRPr="0010383A">
        <w:rPr>
          <w:szCs w:val="16"/>
        </w:rPr>
        <w:t xml:space="preserve"> </w:t>
      </w:r>
    </w:p>
  </w:footnote>
  <w:footnote w:id="9">
    <w:p w14:paraId="7FF09078" w14:textId="6F529C98" w:rsidR="006D7252" w:rsidRDefault="006D7252">
      <w:pPr>
        <w:pStyle w:val="FootnoteText"/>
      </w:pPr>
      <w:r>
        <w:rPr>
          <w:rStyle w:val="FootnoteReference"/>
        </w:rPr>
        <w:footnoteRef/>
      </w:r>
      <w:r w:rsidRPr="00FE4EAA">
        <w:t>Deloitte Access Economics, New Zealand Space Economy: Its value, scope and structure, New Zealand Ministry of Business, Innovation and Employment, Wellington, 2019</w:t>
      </w:r>
      <w:r>
        <w:t>.</w:t>
      </w:r>
    </w:p>
  </w:footnote>
  <w:footnote w:id="10">
    <w:p w14:paraId="51AE02C9" w14:textId="50203F31" w:rsidR="006D7252" w:rsidRDefault="006D7252">
      <w:pPr>
        <w:pStyle w:val="FootnoteText"/>
      </w:pPr>
      <w:r>
        <w:rPr>
          <w:rStyle w:val="FootnoteReference"/>
        </w:rPr>
        <w:footnoteRef/>
      </w:r>
      <w:r>
        <w:t xml:space="preserve"> E</w:t>
      </w:r>
      <w:r w:rsidRPr="00FE4EAA">
        <w:t>conomic Analysis and Research Team, Policy Branch of the Canadian Space Agency, State of the Canadian Space Sector Report 2018, Canadian Space Agency, Quebec, 2018</w:t>
      </w:r>
      <w:r>
        <w:t>.</w:t>
      </w:r>
    </w:p>
  </w:footnote>
  <w:footnote w:id="11">
    <w:p w14:paraId="61346236" w14:textId="06866B87" w:rsidR="006D7252" w:rsidRDefault="006D7252">
      <w:pPr>
        <w:pStyle w:val="FootnoteText"/>
      </w:pPr>
      <w:r>
        <w:rPr>
          <w:rStyle w:val="FootnoteReference"/>
        </w:rPr>
        <w:footnoteRef/>
      </w:r>
      <w:r>
        <w:t xml:space="preserve"> </w:t>
      </w:r>
      <w:r w:rsidRPr="00FE4EAA">
        <w:t>London Economics, Size and Health of the UK Space Industry 2018, UK Space Agency, London, 2019</w:t>
      </w:r>
    </w:p>
  </w:footnote>
  <w:footnote w:id="12">
    <w:p w14:paraId="46A98149" w14:textId="77777777" w:rsidR="006D7252" w:rsidRDefault="006D7252" w:rsidP="00176EC7">
      <w:pPr>
        <w:pStyle w:val="FootnoteText"/>
        <w:tabs>
          <w:tab w:val="clear" w:pos="113"/>
          <w:tab w:val="left" w:pos="0"/>
        </w:tabs>
        <w:ind w:left="0" w:firstLine="0"/>
      </w:pPr>
      <w:r>
        <w:rPr>
          <w:rStyle w:val="FootnoteReference"/>
        </w:rPr>
        <w:footnoteRef/>
      </w:r>
      <w:r>
        <w:t xml:space="preserve"> </w:t>
      </w:r>
      <w:r>
        <w:rPr>
          <w:rStyle w:val="Hyperlink"/>
          <w:rFonts w:cs="Times New Roman"/>
          <w:color w:val="auto"/>
          <w:u w:val="none"/>
        </w:rPr>
        <w:t>Australian Space Agency</w:t>
      </w:r>
      <w:r w:rsidRPr="00F5572C">
        <w:rPr>
          <w:rStyle w:val="Hyperlink"/>
          <w:rFonts w:cs="Times New Roman"/>
          <w:color w:val="auto"/>
          <w:u w:val="none"/>
        </w:rPr>
        <w:t xml:space="preserve"> </w:t>
      </w:r>
      <w:r>
        <w:rPr>
          <w:rStyle w:val="Hyperlink"/>
          <w:rFonts w:cs="Times New Roman"/>
          <w:color w:val="auto"/>
          <w:u w:val="none"/>
        </w:rPr>
        <w:t>(</w:t>
      </w:r>
      <w:r w:rsidRPr="00F5572C">
        <w:rPr>
          <w:rStyle w:val="Hyperlink"/>
          <w:rFonts w:cs="Times New Roman"/>
          <w:color w:val="auto"/>
          <w:u w:val="none"/>
        </w:rPr>
        <w:t>2019</w:t>
      </w:r>
      <w:r>
        <w:rPr>
          <w:rStyle w:val="Hyperlink"/>
          <w:rFonts w:cs="Times New Roman"/>
          <w:color w:val="auto"/>
          <w:u w:val="none"/>
        </w:rPr>
        <w:t xml:space="preserve">), Definition of the Australian space sector - </w:t>
      </w:r>
      <w:hyperlink r:id="rId6" w:history="1">
        <w:r w:rsidRPr="00311CF1">
          <w:rPr>
            <w:rStyle w:val="Hyperlink"/>
            <w:rFonts w:cs="Times New Roman"/>
          </w:rPr>
          <w:t>https://www.industry.gov.au/data-and-publications/definition-of-the-australian-space-sector</w:t>
        </w:r>
      </w:hyperlink>
      <w:r>
        <w:t xml:space="preserve"> </w:t>
      </w:r>
    </w:p>
  </w:footnote>
  <w:footnote w:id="13">
    <w:p w14:paraId="372C1315" w14:textId="4ECCC936" w:rsidR="006D7252" w:rsidRDefault="006D7252" w:rsidP="00AE26D5">
      <w:pPr>
        <w:pStyle w:val="FootnoteText"/>
        <w:tabs>
          <w:tab w:val="clear" w:pos="113"/>
          <w:tab w:val="left" w:pos="0"/>
        </w:tabs>
        <w:ind w:left="0" w:firstLine="0"/>
      </w:pPr>
      <w:r>
        <w:rPr>
          <w:rStyle w:val="FootnoteReference"/>
        </w:rPr>
        <w:footnoteRef/>
      </w:r>
      <w:r>
        <w:t xml:space="preserve"> For this analysis, the Agency’s estimates assume that for organisations operating in more than one segment, organisation activities are split equally across those segments. </w:t>
      </w:r>
    </w:p>
  </w:footnote>
  <w:footnote w:id="14">
    <w:p w14:paraId="09DB53F9" w14:textId="1BBEF4E2" w:rsidR="006D7252" w:rsidRDefault="006D7252" w:rsidP="00277A62">
      <w:pPr>
        <w:pStyle w:val="FootnoteText"/>
      </w:pPr>
      <w:r w:rsidRPr="009E6484">
        <w:rPr>
          <w:rStyle w:val="FootnoteReference"/>
        </w:rPr>
        <w:footnoteRef/>
      </w:r>
      <w:r w:rsidRPr="00277A62">
        <w:rPr>
          <w:rStyle w:val="FootnoteReference"/>
        </w:rPr>
        <w:t xml:space="preserve"> </w:t>
      </w:r>
      <w:r w:rsidRPr="009B030B">
        <w:t xml:space="preserve">OECD (2012), OECD Handbook on Measuring the Space Economy, </w:t>
      </w:r>
      <w:hyperlink r:id="rId7" w:history="1">
        <w:r w:rsidRPr="00FB20F7">
          <w:rPr>
            <w:rStyle w:val="Hyperlink"/>
            <w:rFonts w:cs="Times New Roman"/>
          </w:rPr>
          <w:t>https://doi.org/10.1787/9789264169166-en</w:t>
        </w:r>
      </w:hyperlink>
      <w:r>
        <w:t xml:space="preserve"> </w:t>
      </w:r>
    </w:p>
  </w:footnote>
  <w:footnote w:id="15">
    <w:p w14:paraId="49F1E15E" w14:textId="2185C7F7" w:rsidR="006D7252" w:rsidRDefault="006D7252" w:rsidP="00FE7729">
      <w:pPr>
        <w:pStyle w:val="FootnoteText"/>
        <w:tabs>
          <w:tab w:val="clear" w:pos="113"/>
          <w:tab w:val="left" w:pos="0"/>
        </w:tabs>
        <w:ind w:left="0" w:firstLine="0"/>
      </w:pPr>
      <w:r w:rsidRPr="00B25126">
        <w:rPr>
          <w:rStyle w:val="FootnoteReference"/>
        </w:rPr>
        <w:footnoteRef/>
      </w:r>
      <w:r w:rsidRPr="00B25126">
        <w:t xml:space="preserve"> </w:t>
      </w:r>
      <w:r w:rsidRPr="00D95F76">
        <w:t>For example, indirect jobs were higher than direct jobs in both space sector reports</w:t>
      </w:r>
      <w:r>
        <w:t xml:space="preserve"> for</w:t>
      </w:r>
      <w:r w:rsidRPr="00D95F76">
        <w:t xml:space="preserve"> Canada and New Zealand - </w:t>
      </w:r>
      <w:r>
        <w:t xml:space="preserve">Canadian Space Agency (2019), </w:t>
      </w:r>
      <w:r w:rsidRPr="00B83E22">
        <w:t xml:space="preserve">State of the Canadian Space Sector, </w:t>
      </w:r>
      <w:hyperlink r:id="rId8" w:anchor="economic-jobs" w:history="1">
        <w:r w:rsidRPr="00FB20F7">
          <w:rPr>
            <w:rStyle w:val="Hyperlink"/>
            <w:rFonts w:cs="Times New Roman"/>
          </w:rPr>
          <w:t>https://asc-csa.gc.ca/eng/publications/2019-state-canadian-space-sector.asp#economic-jobs</w:t>
        </w:r>
      </w:hyperlink>
      <w:r w:rsidRPr="00B83E22">
        <w:t xml:space="preserve">; Deloitte Access Economics (2019), New Zealand Space Sector: Its value, scope and structure, </w:t>
      </w:r>
      <w:hyperlink r:id="rId9" w:history="1">
        <w:r w:rsidRPr="00FB20F7">
          <w:rPr>
            <w:rStyle w:val="Hyperlink"/>
            <w:rFonts w:cs="Times New Roman"/>
          </w:rPr>
          <w:t>https://www.mbie.govt.nz/assets/new-zealand-space-sector-its-value-scope-and-structure.pdf</w:t>
        </w:r>
      </w:hyperlink>
      <w:r>
        <w:t xml:space="preserve"> </w:t>
      </w:r>
    </w:p>
  </w:footnote>
  <w:footnote w:id="16">
    <w:p w14:paraId="17849A71" w14:textId="07522DD8" w:rsidR="006D7252" w:rsidRDefault="006D7252" w:rsidP="00FE7729">
      <w:pPr>
        <w:pStyle w:val="FootnoteText"/>
        <w:tabs>
          <w:tab w:val="clear" w:pos="113"/>
          <w:tab w:val="left" w:pos="0"/>
        </w:tabs>
        <w:ind w:left="0" w:firstLine="0"/>
      </w:pPr>
      <w:r>
        <w:rPr>
          <w:rStyle w:val="FootnoteReference"/>
        </w:rPr>
        <w:footnoteRef/>
      </w:r>
      <w:r>
        <w:t xml:space="preserve"> Set out in Appendix A.</w:t>
      </w:r>
    </w:p>
  </w:footnote>
  <w:footnote w:id="17">
    <w:p w14:paraId="5135FC99" w14:textId="0BBACA91" w:rsidR="006D7252" w:rsidRDefault="006D7252">
      <w:pPr>
        <w:pStyle w:val="FootnoteText"/>
      </w:pPr>
      <w:r>
        <w:rPr>
          <w:rStyle w:val="FootnoteReference"/>
        </w:rPr>
        <w:footnoteRef/>
      </w:r>
      <w:r w:rsidR="00DB16C3">
        <w:t xml:space="preserve"> </w:t>
      </w:r>
      <w:proofErr w:type="spellStart"/>
      <w:r w:rsidR="00DB16C3" w:rsidRPr="0010383A">
        <w:rPr>
          <w:szCs w:val="16"/>
        </w:rPr>
        <w:t>AlphaBeta</w:t>
      </w:r>
      <w:proofErr w:type="spellEnd"/>
      <w:r w:rsidR="00DB16C3" w:rsidRPr="0010383A">
        <w:rPr>
          <w:szCs w:val="16"/>
        </w:rPr>
        <w:t xml:space="preserve"> (2020), The Economic Contribution of Australia’s Space Sector in 2018-19 </w:t>
      </w:r>
      <w:hyperlink r:id="rId10" w:history="1">
        <w:r w:rsidR="0049272E" w:rsidRPr="006C3D7A">
          <w:rPr>
            <w:rStyle w:val="Hyperlink"/>
            <w:rFonts w:cs="Times New Roman"/>
            <w:szCs w:val="16"/>
          </w:rPr>
          <w:t>https://www.industry.gov.au/sites/default/files/2021-02/the-economic-contribution-of-australias-space-sector-in-2018-19.docx</w:t>
        </w:r>
      </w:hyperlink>
      <w:r w:rsidR="0049272E">
        <w:rPr>
          <w:szCs w:val="16"/>
        </w:rPr>
        <w:t xml:space="preserve"> </w:t>
      </w:r>
    </w:p>
  </w:footnote>
  <w:footnote w:id="18">
    <w:p w14:paraId="39D75779" w14:textId="3B4F14A5" w:rsidR="006D7252" w:rsidRDefault="006D7252" w:rsidP="00FA5B2E">
      <w:pPr>
        <w:pStyle w:val="FootnoteText"/>
      </w:pPr>
      <w:r>
        <w:rPr>
          <w:rStyle w:val="FootnoteReference"/>
        </w:rPr>
        <w:footnoteRef/>
      </w:r>
      <w:r>
        <w:t xml:space="preserve"> Expert Reference Group (2018), Review of Australia’s Space Industry Capability - </w:t>
      </w:r>
      <w:hyperlink r:id="rId11" w:history="1">
        <w:r w:rsidRPr="00FB20F7">
          <w:rPr>
            <w:rStyle w:val="Hyperlink"/>
            <w:rFonts w:cs="Times New Roman"/>
          </w:rPr>
          <w:t>https://www.industry.gov.au/data-and-publications/review-of-australias-space-industry-capability</w:t>
        </w:r>
      </w:hyperlink>
      <w:r>
        <w:rPr>
          <w:rStyle w:val="Hyperlink"/>
          <w:rFonts w:cs="Times New Roman"/>
        </w:rPr>
        <w:t xml:space="preserve">; </w:t>
      </w:r>
      <w:r>
        <w:t xml:space="preserve">Morgan Stanley (2020), Space: Investing in the Final Frontier - </w:t>
      </w:r>
      <w:hyperlink r:id="rId12" w:history="1">
        <w:r w:rsidRPr="00FB20F7">
          <w:rPr>
            <w:rStyle w:val="Hyperlink"/>
            <w:rFonts w:cs="Times New Roman"/>
          </w:rPr>
          <w:t>https://www.morganstanley.com/ideas/investing-in-space</w:t>
        </w:r>
      </w:hyperlink>
      <w:r>
        <w:t xml:space="preserve"> </w:t>
      </w:r>
    </w:p>
  </w:footnote>
  <w:footnote w:id="19">
    <w:p w14:paraId="723C4228" w14:textId="3B5F60A1" w:rsidR="006D7252" w:rsidRDefault="006D7252">
      <w:pPr>
        <w:pStyle w:val="FootnoteText"/>
      </w:pPr>
      <w:r>
        <w:rPr>
          <w:rStyle w:val="FootnoteReference"/>
        </w:rPr>
        <w:footnoteRef/>
      </w:r>
      <w:r>
        <w:t xml:space="preserve"> Department of Industry, Innovation and Science (2016), 2016 State of Space Report - </w:t>
      </w:r>
      <w:hyperlink r:id="rId13" w:history="1">
        <w:r w:rsidRPr="00E66BD7">
          <w:rPr>
            <w:rStyle w:val="Hyperlink"/>
            <w:rFonts w:cs="Times New Roman"/>
          </w:rPr>
          <w:t>https://www.industry.gov.au/data-and-publications/state-of-space-report-2016</w:t>
        </w:r>
      </w:hyperlink>
    </w:p>
  </w:footnote>
  <w:footnote w:id="20">
    <w:p w14:paraId="49A0475A" w14:textId="77777777" w:rsidR="006D7252" w:rsidRDefault="006D7252" w:rsidP="00FA5B2E">
      <w:pPr>
        <w:pStyle w:val="FootnoteText"/>
      </w:pPr>
      <w:r>
        <w:rPr>
          <w:rStyle w:val="FootnoteReference"/>
        </w:rPr>
        <w:footnoteRef/>
      </w:r>
      <w:r>
        <w:t xml:space="preserve"> APAC (2015), Report on Australian Space Capabilities; Expert Reference Group (2018), Review of Australia’s Space Industry Capability - </w:t>
      </w:r>
      <w:hyperlink r:id="rId14" w:history="1">
        <w:r w:rsidRPr="00FB20F7">
          <w:rPr>
            <w:rStyle w:val="Hyperlink"/>
            <w:rFonts w:cs="Times New Roman"/>
          </w:rPr>
          <w:t>https://www.industry.gov.au/sites/default/files/June%202018/document/pdf/review_of_australias_space_industry_capability_-_report_from_the_expert_reference_group.pdf?acsf_files_redirect</w:t>
        </w:r>
      </w:hyperlink>
      <w:r>
        <w:t xml:space="preserve"> </w:t>
      </w:r>
    </w:p>
  </w:footnote>
  <w:footnote w:id="21">
    <w:p w14:paraId="140D052C" w14:textId="657DA070" w:rsidR="006D7252" w:rsidRDefault="006D7252" w:rsidP="00EB3C0D">
      <w:pPr>
        <w:pStyle w:val="FootnoteText"/>
      </w:pPr>
      <w:r w:rsidRPr="002C6C11">
        <w:rPr>
          <w:rStyle w:val="FootnoteReference"/>
        </w:rPr>
        <w:footnoteRef/>
      </w:r>
      <w:r w:rsidRPr="002C6C11">
        <w:t xml:space="preserve"> Space organisations can operate in more than one value chain segment, hence the total count of 525 </w:t>
      </w:r>
      <w:r w:rsidRPr="007F1823">
        <w:t>organisations or 121% of the organisations</w:t>
      </w:r>
      <w:r w:rsidRPr="002C6C11">
        <w:t>) in Table 3.</w:t>
      </w:r>
    </w:p>
  </w:footnote>
  <w:footnote w:id="22">
    <w:p w14:paraId="0F9A367C" w14:textId="03B78342" w:rsidR="006D7252" w:rsidRDefault="006D7252">
      <w:pPr>
        <w:pStyle w:val="FootnoteText"/>
      </w:pPr>
      <w:r>
        <w:rPr>
          <w:rStyle w:val="FootnoteReference"/>
        </w:rPr>
        <w:footnoteRef/>
      </w:r>
      <w:r>
        <w:t xml:space="preserve"> The same methodology was used for FY17 and FY19, ensuring comparable results over time.</w:t>
      </w:r>
    </w:p>
  </w:footnote>
  <w:footnote w:id="23">
    <w:p w14:paraId="032C522F" w14:textId="460B1940" w:rsidR="006D7252" w:rsidRDefault="006D7252">
      <w:pPr>
        <w:pStyle w:val="FootnoteText"/>
      </w:pPr>
      <w:r>
        <w:rPr>
          <w:rStyle w:val="FootnoteReference"/>
        </w:rPr>
        <w:footnoteRef/>
      </w:r>
      <w:r>
        <w:t xml:space="preserve"> Expert Reference Group (2018), Review of Australia’s Space Industry Capability - </w:t>
      </w:r>
      <w:hyperlink r:id="rId15" w:history="1">
        <w:r w:rsidRPr="00FB20F7">
          <w:rPr>
            <w:rStyle w:val="Hyperlink"/>
            <w:rFonts w:cs="Times New Roman"/>
          </w:rPr>
          <w:t>https://www.industry.gov.au/data-and-publications/review-of-australias-space-industry-capability</w:t>
        </w:r>
      </w:hyperlink>
    </w:p>
  </w:footnote>
  <w:footnote w:id="24">
    <w:p w14:paraId="3A0FDAF5" w14:textId="3A470957" w:rsidR="006D7252" w:rsidRDefault="006D7252">
      <w:pPr>
        <w:pStyle w:val="FootnoteText"/>
      </w:pPr>
      <w:r>
        <w:rPr>
          <w:rStyle w:val="FootnoteReference"/>
        </w:rPr>
        <w:footnoteRef/>
      </w:r>
      <w:r>
        <w:t xml:space="preserve"> Australian Space Agency (2019), Australian Space Agency 1 year on: A message from Head, Dr Megan Clark AC - </w:t>
      </w:r>
      <w:hyperlink r:id="rId16" w:history="1">
        <w:r w:rsidRPr="00E66BD7">
          <w:rPr>
            <w:rStyle w:val="Hyperlink"/>
            <w:rFonts w:cs="Times New Roman"/>
          </w:rPr>
          <w:t>https://www.industry.gov.au/news-media/australian-space-agency-1-year-on-a-message-from-head-dr-megan-clark-ac</w:t>
        </w:r>
      </w:hyperlink>
    </w:p>
  </w:footnote>
  <w:footnote w:id="25">
    <w:p w14:paraId="5111E8B0" w14:textId="53C07F78" w:rsidR="006D7252" w:rsidRDefault="006D7252" w:rsidP="00720114">
      <w:pPr>
        <w:pStyle w:val="FootnoteText"/>
      </w:pPr>
      <w:r>
        <w:rPr>
          <w:rStyle w:val="FootnoteReference"/>
        </w:rPr>
        <w:footnoteRef/>
      </w:r>
      <w:r w:rsidR="00DB16C3">
        <w:t xml:space="preserve"> </w:t>
      </w:r>
      <w:proofErr w:type="spellStart"/>
      <w:r w:rsidR="00DB16C3" w:rsidRPr="0010383A">
        <w:rPr>
          <w:szCs w:val="16"/>
        </w:rPr>
        <w:t>AlphaBeta</w:t>
      </w:r>
      <w:proofErr w:type="spellEnd"/>
      <w:r w:rsidR="00DB16C3" w:rsidRPr="0010383A">
        <w:rPr>
          <w:szCs w:val="16"/>
        </w:rPr>
        <w:t xml:space="preserve"> (2020), The Economic Contribution of Australia’s Space Sector in 2018-19 </w:t>
      </w:r>
      <w:hyperlink r:id="rId17" w:history="1">
        <w:r w:rsidR="0049272E" w:rsidRPr="006C3D7A">
          <w:rPr>
            <w:rStyle w:val="Hyperlink"/>
            <w:rFonts w:cs="Times New Roman"/>
            <w:szCs w:val="16"/>
          </w:rPr>
          <w:t>https://www.industry.gov.au/sites/default/files/2021-02/the-economic-contribution-of-australias-space-sector-in-2018-19.docx</w:t>
        </w:r>
      </w:hyperlink>
      <w:r w:rsidR="0049272E">
        <w:rPr>
          <w:szCs w:val="16"/>
        </w:rPr>
        <w:t xml:space="preserve"> </w:t>
      </w:r>
    </w:p>
  </w:footnote>
  <w:footnote w:id="26">
    <w:p w14:paraId="2C567F09" w14:textId="66BB0651" w:rsidR="006D7252" w:rsidRDefault="006D7252" w:rsidP="00720114">
      <w:pPr>
        <w:pStyle w:val="FootnoteText"/>
      </w:pPr>
      <w:r>
        <w:rPr>
          <w:rStyle w:val="FootnoteReference"/>
        </w:rPr>
        <w:footnoteRef/>
      </w:r>
      <w:r w:rsidR="00DB16C3">
        <w:t xml:space="preserve"> </w:t>
      </w:r>
      <w:proofErr w:type="spellStart"/>
      <w:r w:rsidR="00DB16C3" w:rsidRPr="0010383A">
        <w:rPr>
          <w:szCs w:val="16"/>
        </w:rPr>
        <w:t>AlphaBeta</w:t>
      </w:r>
      <w:proofErr w:type="spellEnd"/>
      <w:r w:rsidR="00DB16C3" w:rsidRPr="0010383A">
        <w:rPr>
          <w:szCs w:val="16"/>
        </w:rPr>
        <w:t xml:space="preserve"> (2020), The Economic Contribution of Australia’s Space Sector in 2018-19 </w:t>
      </w:r>
      <w:hyperlink r:id="rId18" w:history="1">
        <w:r w:rsidR="0049272E" w:rsidRPr="006C3D7A">
          <w:rPr>
            <w:rStyle w:val="Hyperlink"/>
            <w:rFonts w:cs="Times New Roman"/>
            <w:szCs w:val="16"/>
          </w:rPr>
          <w:t>https://www.industry.gov.au/sites/default/files/2021-02/the-economic-contribution-of-australias-space-sector-in-2018-19.docx</w:t>
        </w:r>
      </w:hyperlink>
      <w:r w:rsidR="0049272E">
        <w:rPr>
          <w:szCs w:val="16"/>
        </w:rPr>
        <w:t xml:space="preserve"> </w:t>
      </w:r>
    </w:p>
  </w:footnote>
  <w:footnote w:id="27">
    <w:p w14:paraId="16038FC6" w14:textId="54109EEB" w:rsidR="006D7252" w:rsidRDefault="006D7252" w:rsidP="000D22EC">
      <w:pPr>
        <w:pStyle w:val="FootnoteText"/>
      </w:pPr>
      <w:r>
        <w:rPr>
          <w:rStyle w:val="FootnoteReference"/>
        </w:rPr>
        <w:footnoteRef/>
      </w:r>
      <w:r>
        <w:t xml:space="preserve"> The space-related revenue and jobs for organisations are identified separately to total revenue and jobs for analysis in this report. See Appendix A.</w:t>
      </w:r>
    </w:p>
  </w:footnote>
  <w:footnote w:id="28">
    <w:p w14:paraId="5AE7C0B0" w14:textId="54441567" w:rsidR="006D7252" w:rsidRDefault="006D7252" w:rsidP="008347BB">
      <w:pPr>
        <w:pStyle w:val="FootnoteText"/>
      </w:pPr>
      <w:r w:rsidRPr="0010383A">
        <w:rPr>
          <w:rStyle w:val="FootnoteReference"/>
          <w:szCs w:val="16"/>
        </w:rPr>
        <w:footnoteRef/>
      </w:r>
      <w:r w:rsidRPr="0010383A">
        <w:rPr>
          <w:szCs w:val="16"/>
        </w:rPr>
        <w:t xml:space="preserve"> </w:t>
      </w:r>
      <w:proofErr w:type="spellStart"/>
      <w:r w:rsidRPr="0010383A">
        <w:rPr>
          <w:szCs w:val="16"/>
        </w:rPr>
        <w:t>AlphaBeta</w:t>
      </w:r>
      <w:proofErr w:type="spellEnd"/>
      <w:r w:rsidRPr="0010383A">
        <w:rPr>
          <w:szCs w:val="16"/>
        </w:rPr>
        <w:t xml:space="preserve"> (2020), The Economic Contribution of Australia’s Space Sector in 2018-19, Chapter</w:t>
      </w:r>
      <w:r>
        <w:rPr>
          <w:szCs w:val="16"/>
        </w:rPr>
        <w:t> </w:t>
      </w:r>
      <w:r w:rsidRPr="0010383A">
        <w:rPr>
          <w:szCs w:val="16"/>
        </w:rPr>
        <w:t xml:space="preserve">2.3. </w:t>
      </w:r>
      <w:hyperlink r:id="rId19" w:history="1">
        <w:r w:rsidR="0049272E" w:rsidRPr="006C3D7A">
          <w:rPr>
            <w:rStyle w:val="Hyperlink"/>
            <w:rFonts w:cs="Times New Roman"/>
            <w:szCs w:val="16"/>
          </w:rPr>
          <w:t>https://www.industry.gov.au/sites/default/files/2021-02/the-economic-contribution-of-australias-space-sector-in-2018-19.docx</w:t>
        </w:r>
      </w:hyperlink>
      <w:r w:rsidR="0049272E">
        <w:rPr>
          <w:szCs w:val="16"/>
        </w:rPr>
        <w:t xml:space="preserve"> </w:t>
      </w:r>
    </w:p>
  </w:footnote>
  <w:footnote w:id="29">
    <w:p w14:paraId="77975497" w14:textId="46D2C3D1" w:rsidR="006D7252" w:rsidRDefault="006D7252">
      <w:pPr>
        <w:pStyle w:val="FootnoteText"/>
      </w:pPr>
      <w:r>
        <w:rPr>
          <w:rStyle w:val="FootnoteReference"/>
        </w:rPr>
        <w:footnoteRef/>
      </w:r>
      <w:r>
        <w:t xml:space="preserve"> This challenge is </w:t>
      </w:r>
      <w:r w:rsidRPr="00161574">
        <w:t xml:space="preserve">demonstrated by the variance in assumptions and results in </w:t>
      </w:r>
      <w:proofErr w:type="spellStart"/>
      <w:r w:rsidRPr="00161574">
        <w:t>AlphaBeta’s</w:t>
      </w:r>
      <w:proofErr w:type="spellEnd"/>
      <w:r w:rsidRPr="00161574">
        <w:t xml:space="preserve"> FY19 analysis</w:t>
      </w:r>
      <w:r>
        <w:t>. For further detail see Appendix B.</w:t>
      </w:r>
    </w:p>
  </w:footnote>
  <w:footnote w:id="30">
    <w:p w14:paraId="3184BDAA" w14:textId="4065A5BD" w:rsidR="006D7252" w:rsidRDefault="006D7252" w:rsidP="009C0261">
      <w:pPr>
        <w:pStyle w:val="FootnoteText"/>
      </w:pPr>
      <w:r>
        <w:rPr>
          <w:rStyle w:val="FootnoteReference"/>
        </w:rPr>
        <w:footnoteRef/>
      </w:r>
      <w:r>
        <w:t xml:space="preserve"> Organisation locations mapped include the one office location registered under each organisation’s Australian Business Number. Organisation headquarters location may differ from registered office address. Organisations may also have multiple locations not represented here.</w:t>
      </w:r>
    </w:p>
  </w:footnote>
  <w:footnote w:id="31">
    <w:p w14:paraId="070B07F6" w14:textId="39D71DA2" w:rsidR="006D7252" w:rsidRDefault="006D7252">
      <w:pPr>
        <w:pStyle w:val="FootnoteText"/>
      </w:pPr>
      <w:r>
        <w:rPr>
          <w:rStyle w:val="FootnoteReference"/>
        </w:rPr>
        <w:footnoteRef/>
      </w:r>
      <w:r>
        <w:t xml:space="preserve"> The space-related revenue and jobs for organisations are identified separately to total revenue and jobs for analysis in this report. See Appendix A.</w:t>
      </w:r>
    </w:p>
  </w:footnote>
  <w:footnote w:id="32">
    <w:p w14:paraId="49FA6318" w14:textId="44FB1685" w:rsidR="006D7252" w:rsidRDefault="006D7252">
      <w:pPr>
        <w:pStyle w:val="FootnoteText"/>
      </w:pPr>
      <w:r>
        <w:rPr>
          <w:rStyle w:val="FootnoteReference"/>
        </w:rPr>
        <w:footnoteRef/>
      </w:r>
      <w:r>
        <w:t xml:space="preserve"> Start-ups are SME organisations that have been operating for less than 5 years (see above).</w:t>
      </w:r>
    </w:p>
  </w:footnote>
  <w:footnote w:id="33">
    <w:p w14:paraId="1749960A" w14:textId="77777777" w:rsidR="006D7252" w:rsidRDefault="006D7252" w:rsidP="00DD3FB0">
      <w:pPr>
        <w:pStyle w:val="FootnoteText"/>
        <w:tabs>
          <w:tab w:val="clear" w:pos="113"/>
          <w:tab w:val="left" w:pos="0"/>
        </w:tabs>
        <w:ind w:left="0" w:firstLine="0"/>
      </w:pPr>
      <w:r>
        <w:rPr>
          <w:rStyle w:val="FootnoteReference"/>
        </w:rPr>
        <w:footnoteRef/>
      </w:r>
      <w:r>
        <w:t xml:space="preserve"> IBISWorld (2020) Industry </w:t>
      </w:r>
      <w:r w:rsidRPr="00060C63">
        <w:t xml:space="preserve">Report OD5545: </w:t>
      </w:r>
      <w:r w:rsidRPr="00060C63">
        <w:rPr>
          <w:lang w:val="en-GB"/>
        </w:rPr>
        <w:t>Satellite</w:t>
      </w:r>
      <w:r w:rsidRPr="007B714E">
        <w:rPr>
          <w:lang w:val="en-GB"/>
        </w:rPr>
        <w:t xml:space="preserve"> Communications and Astronautics in Australia</w:t>
      </w:r>
      <w:r>
        <w:rPr>
          <w:lang w:val="en-GB"/>
        </w:rPr>
        <w:t>.</w:t>
      </w:r>
    </w:p>
  </w:footnote>
  <w:footnote w:id="34">
    <w:p w14:paraId="7196EF03" w14:textId="7E8B3E31" w:rsidR="006D7252" w:rsidRDefault="006D7252" w:rsidP="00227010">
      <w:pPr>
        <w:pStyle w:val="FootnoteText"/>
        <w:tabs>
          <w:tab w:val="clear" w:pos="113"/>
          <w:tab w:val="left" w:pos="142"/>
        </w:tabs>
        <w:ind w:left="142" w:hanging="142"/>
      </w:pPr>
      <w:r>
        <w:rPr>
          <w:rStyle w:val="FootnoteReference"/>
        </w:rPr>
        <w:footnoteRef/>
      </w:r>
      <w:r>
        <w:t xml:space="preserve"> This breakdown assumes that for those organisations operating in multiple value chain segments, headcount of workers is evenly allocated across respective value chain segments. </w:t>
      </w:r>
    </w:p>
  </w:footnote>
  <w:footnote w:id="35">
    <w:p w14:paraId="15020720" w14:textId="77777777" w:rsidR="006D7252" w:rsidRDefault="006D7252" w:rsidP="00D0410C">
      <w:pPr>
        <w:pStyle w:val="FootnoteText"/>
        <w:tabs>
          <w:tab w:val="clear" w:pos="113"/>
          <w:tab w:val="left" w:pos="0"/>
        </w:tabs>
        <w:ind w:left="0" w:firstLine="0"/>
      </w:pPr>
      <w:r>
        <w:rPr>
          <w:rStyle w:val="FootnoteReference"/>
        </w:rPr>
        <w:footnoteRef/>
      </w:r>
      <w:r>
        <w:t xml:space="preserve"> Direct space jobs data was used where available. Where data on a firm’s space jobs was unavailable, the Agency modelled the firm’s number of space jobs by applying the same rate or portion of space jobs as the firm’s nearest neighbours (that is, the other organisations in its strata) for each year. See Appendix A for further detail.</w:t>
      </w:r>
    </w:p>
  </w:footnote>
  <w:footnote w:id="36">
    <w:p w14:paraId="09D80DC7" w14:textId="2FA50275" w:rsidR="006D7252" w:rsidRDefault="006D7252" w:rsidP="00D0410C">
      <w:pPr>
        <w:pStyle w:val="FootnoteText"/>
        <w:tabs>
          <w:tab w:val="clear" w:pos="113"/>
          <w:tab w:val="left" w:pos="0"/>
        </w:tabs>
        <w:ind w:left="0" w:firstLine="0"/>
      </w:pPr>
      <w:r>
        <w:rPr>
          <w:rStyle w:val="FootnoteReference"/>
        </w:rPr>
        <w:footnoteRef/>
      </w:r>
      <w:r>
        <w:t xml:space="preserve"> </w:t>
      </w:r>
      <w:proofErr w:type="spellStart"/>
      <w:r>
        <w:t>AlphaBeta</w:t>
      </w:r>
      <w:proofErr w:type="spellEnd"/>
      <w:r>
        <w:t xml:space="preserve"> (2020), The Economic Contribution of Australia’s Space Sector in 2018-19. </w:t>
      </w:r>
      <w:hyperlink r:id="rId20" w:history="1">
        <w:r w:rsidR="0049272E" w:rsidRPr="006C3D7A">
          <w:rPr>
            <w:rStyle w:val="Hyperlink"/>
            <w:rFonts w:cs="Times New Roman"/>
          </w:rPr>
          <w:t>https://www.industry.gov.au/sites/default/files/2021-02/the-economic-contribution-of-australias-space-sector-in-2018-19.docx</w:t>
        </w:r>
      </w:hyperlink>
      <w:r w:rsidR="0049272E">
        <w:t xml:space="preserve"> </w:t>
      </w:r>
      <w:r w:rsidR="00DB16C3">
        <w:t xml:space="preserve">; </w:t>
      </w:r>
      <w:r w:rsidR="00DB16C3">
        <w:rPr>
          <w:lang w:val="en-GB"/>
        </w:rPr>
        <w:t>IBISWorld (2020),</w:t>
      </w:r>
      <w:r w:rsidR="00DB16C3" w:rsidRPr="007B714E">
        <w:t xml:space="preserve"> </w:t>
      </w:r>
      <w:r w:rsidR="00DB16C3">
        <w:t xml:space="preserve">IBISWorld (2020) Industry </w:t>
      </w:r>
      <w:r w:rsidR="00DB16C3" w:rsidRPr="00060C63">
        <w:t xml:space="preserve">Report OD5545: </w:t>
      </w:r>
      <w:r w:rsidR="00DB16C3" w:rsidRPr="00060C63">
        <w:rPr>
          <w:lang w:val="en-GB"/>
        </w:rPr>
        <w:t>Satellite</w:t>
      </w:r>
      <w:r w:rsidR="00DB16C3" w:rsidRPr="007B714E">
        <w:rPr>
          <w:lang w:val="en-GB"/>
        </w:rPr>
        <w:t xml:space="preserve"> Communications and Astronautics in Australia</w:t>
      </w:r>
      <w:r w:rsidR="00DB16C3">
        <w:rPr>
          <w:lang w:val="en-GB"/>
        </w:rPr>
        <w:t>.</w:t>
      </w:r>
    </w:p>
  </w:footnote>
  <w:footnote w:id="37">
    <w:p w14:paraId="6F3AD620" w14:textId="20BBB97B" w:rsidR="006D7252" w:rsidRDefault="006D7252" w:rsidP="00227010">
      <w:pPr>
        <w:pStyle w:val="FootnoteText"/>
        <w:tabs>
          <w:tab w:val="clear" w:pos="113"/>
          <w:tab w:val="left" w:pos="0"/>
        </w:tabs>
        <w:ind w:left="0" w:firstLine="0"/>
      </w:pPr>
      <w:r>
        <w:rPr>
          <w:rStyle w:val="FootnoteReference"/>
        </w:rPr>
        <w:footnoteRef/>
      </w:r>
      <w:r w:rsidR="00DB16C3">
        <w:t xml:space="preserve"> </w:t>
      </w:r>
      <w:proofErr w:type="spellStart"/>
      <w:r w:rsidR="00DB16C3">
        <w:t>AlphaBeta</w:t>
      </w:r>
      <w:proofErr w:type="spellEnd"/>
      <w:r w:rsidR="00DB16C3">
        <w:t xml:space="preserve"> (2020), The Economic Contribution of Australia’s Space Sector in 2018-19 - </w:t>
      </w:r>
      <w:hyperlink r:id="rId21" w:history="1">
        <w:r w:rsidR="0049272E" w:rsidRPr="006C3D7A">
          <w:rPr>
            <w:rStyle w:val="Hyperlink"/>
            <w:rFonts w:cs="Times New Roman"/>
          </w:rPr>
          <w:t>https://www.industry.gov.au/sites/default/files/2021-02/the-economic-contribution-of-australias-space-sector-in-2018-19.docx</w:t>
        </w:r>
      </w:hyperlink>
      <w:r w:rsidR="0049272E">
        <w:t xml:space="preserve"> </w:t>
      </w:r>
    </w:p>
  </w:footnote>
  <w:footnote w:id="38">
    <w:p w14:paraId="239666A6" w14:textId="77777777" w:rsidR="006D7252" w:rsidRDefault="006D7252" w:rsidP="0051780C">
      <w:pPr>
        <w:pStyle w:val="FootnoteText"/>
        <w:tabs>
          <w:tab w:val="clear" w:pos="113"/>
          <w:tab w:val="left" w:pos="0"/>
        </w:tabs>
        <w:ind w:left="0" w:firstLine="0"/>
      </w:pPr>
      <w:r w:rsidRPr="00B25126">
        <w:rPr>
          <w:rStyle w:val="FootnoteReference"/>
        </w:rPr>
        <w:footnoteRef/>
      </w:r>
      <w:r w:rsidRPr="00B25126">
        <w:t xml:space="preserve"> </w:t>
      </w:r>
      <w:r w:rsidRPr="00D95F76">
        <w:t>For example, indirect jobs were higher than direct jobs in both space sector reports</w:t>
      </w:r>
      <w:r>
        <w:t xml:space="preserve"> for</w:t>
      </w:r>
      <w:r w:rsidRPr="00D95F76">
        <w:t xml:space="preserve"> Canada and New Zealand - </w:t>
      </w:r>
      <w:r>
        <w:t xml:space="preserve">Canadian Space Agency (2019), </w:t>
      </w:r>
      <w:r w:rsidRPr="00B83E22">
        <w:t xml:space="preserve">State of the Canadian Space Sector, </w:t>
      </w:r>
      <w:hyperlink r:id="rId22" w:anchor="economic-jobs" w:history="1">
        <w:r w:rsidRPr="00FB20F7">
          <w:rPr>
            <w:rStyle w:val="Hyperlink"/>
            <w:rFonts w:cs="Times New Roman"/>
          </w:rPr>
          <w:t>https://asc-csa.gc.ca/eng/publications/2019-state-canadian-space-sector.asp#economic-jobs</w:t>
        </w:r>
      </w:hyperlink>
      <w:r w:rsidRPr="00B83E22">
        <w:t xml:space="preserve">; Deloitte Access Economics (2019), New Zealand Space Sector: Its value, scope and structure, </w:t>
      </w:r>
      <w:hyperlink r:id="rId23" w:history="1">
        <w:r w:rsidRPr="00FB20F7">
          <w:rPr>
            <w:rStyle w:val="Hyperlink"/>
            <w:rFonts w:cs="Times New Roman"/>
          </w:rPr>
          <w:t>https://www.mbie.govt.nz/assets/new-zealand-space-sector-its-value-scope-and-structure.pdf</w:t>
        </w:r>
      </w:hyperlink>
      <w:r>
        <w:t xml:space="preserve"> </w:t>
      </w:r>
    </w:p>
  </w:footnote>
  <w:footnote w:id="39">
    <w:p w14:paraId="04EFFE63" w14:textId="77777777" w:rsidR="006D7252" w:rsidRDefault="006D7252" w:rsidP="00906059">
      <w:pPr>
        <w:pStyle w:val="FootnoteText"/>
      </w:pPr>
      <w:r>
        <w:rPr>
          <w:rStyle w:val="FootnoteReference"/>
        </w:rPr>
        <w:footnoteRef/>
      </w:r>
      <w:r>
        <w:t xml:space="preserve"> Research and Markets (2018), </w:t>
      </w:r>
      <w:r w:rsidRPr="005E0110">
        <w:t xml:space="preserve">Global Space Industry Market </w:t>
      </w:r>
      <w:r>
        <w:t xml:space="preserve">and Technology Forecast to 2026 - </w:t>
      </w:r>
      <w:hyperlink r:id="rId24" w:history="1">
        <w:r w:rsidRPr="00FB20F7">
          <w:rPr>
            <w:rStyle w:val="Hyperlink"/>
            <w:rFonts w:cs="Times New Roman"/>
          </w:rPr>
          <w:t>https://www.researchandmarkets.com/research/p9gpjp/global_space?w=4</w:t>
        </w:r>
      </w:hyperlink>
      <w:r>
        <w:t xml:space="preserve"> </w:t>
      </w:r>
    </w:p>
  </w:footnote>
  <w:footnote w:id="40">
    <w:p w14:paraId="05FEDE48" w14:textId="77777777" w:rsidR="006D7252" w:rsidRDefault="006D7252" w:rsidP="00906059">
      <w:pPr>
        <w:pStyle w:val="FootnoteText"/>
      </w:pPr>
      <w:r>
        <w:rPr>
          <w:rStyle w:val="FootnoteReference"/>
        </w:rPr>
        <w:footnoteRef/>
      </w:r>
      <w:r>
        <w:t xml:space="preserve"> Morgan Stanley (2020), Global space economy in 2019 was estimated at US$355.4 billion (AU$499.17) - </w:t>
      </w:r>
      <w:hyperlink r:id="rId25" w:history="1">
        <w:r w:rsidRPr="00FB20F7">
          <w:rPr>
            <w:rStyle w:val="Hyperlink"/>
            <w:rFonts w:cs="Times New Roman"/>
          </w:rPr>
          <w:t>https://www.morganstanley.com/ideas/investing-in-space</w:t>
        </w:r>
      </w:hyperlink>
      <w:r>
        <w:t xml:space="preserve"> </w:t>
      </w:r>
    </w:p>
  </w:footnote>
  <w:footnote w:id="41">
    <w:p w14:paraId="0DB0F8F3" w14:textId="09A17060" w:rsidR="006D7252" w:rsidRDefault="006D7252">
      <w:pPr>
        <w:pStyle w:val="FootnoteText"/>
      </w:pPr>
      <w:r>
        <w:rPr>
          <w:rStyle w:val="FootnoteReference"/>
        </w:rPr>
        <w:footnoteRef/>
      </w:r>
      <w:r>
        <w:t xml:space="preserve"> See Appendix B for discussion of methodological differences between previous studies.</w:t>
      </w:r>
    </w:p>
  </w:footnote>
  <w:footnote w:id="42">
    <w:p w14:paraId="794E617C" w14:textId="0441F701" w:rsidR="006D7252" w:rsidRDefault="006D7252" w:rsidP="00D0697D">
      <w:pPr>
        <w:pStyle w:val="FootnoteText"/>
      </w:pPr>
      <w:r>
        <w:rPr>
          <w:rStyle w:val="FootnoteReference"/>
        </w:rPr>
        <w:footnoteRef/>
      </w:r>
      <w:r w:rsidR="00DB16C3">
        <w:t xml:space="preserve"> </w:t>
      </w:r>
      <w:proofErr w:type="spellStart"/>
      <w:r w:rsidR="00DB16C3">
        <w:t>AlphaBeta</w:t>
      </w:r>
      <w:proofErr w:type="spellEnd"/>
      <w:r w:rsidR="00DB16C3">
        <w:t xml:space="preserve"> (2020), The Economic Contribution of Australia’s Space Sector in 2018-19 - </w:t>
      </w:r>
      <w:hyperlink r:id="rId26" w:history="1">
        <w:r w:rsidR="0049272E" w:rsidRPr="006C3D7A">
          <w:rPr>
            <w:rStyle w:val="Hyperlink"/>
            <w:rFonts w:cs="Times New Roman"/>
          </w:rPr>
          <w:t>https://www.industry.gov.au/sites/default/files/2021-02/the-economic-contribution-of-australias-space-sector-in-2018-19.docx</w:t>
        </w:r>
      </w:hyperlink>
      <w:r w:rsidR="0049272E">
        <w:t xml:space="preserve"> </w:t>
      </w:r>
    </w:p>
  </w:footnote>
  <w:footnote w:id="43">
    <w:p w14:paraId="43CF7F46" w14:textId="77484D33" w:rsidR="006D7252" w:rsidRDefault="006D7252">
      <w:pPr>
        <w:pStyle w:val="FootnoteText"/>
      </w:pPr>
      <w:r>
        <w:rPr>
          <w:rStyle w:val="FootnoteReference"/>
        </w:rPr>
        <w:footnoteRef/>
      </w:r>
      <w:r>
        <w:t xml:space="preserve"> </w:t>
      </w:r>
      <w:r>
        <w:rPr>
          <w:lang w:val="en-GB"/>
        </w:rPr>
        <w:t>IBISWorld (2020),</w:t>
      </w:r>
      <w:r w:rsidRPr="007B714E">
        <w:t xml:space="preserve"> </w:t>
      </w:r>
      <w:r>
        <w:t xml:space="preserve">IBISWorld Industry </w:t>
      </w:r>
      <w:r w:rsidRPr="00060C63">
        <w:t xml:space="preserve">Report OD5545: </w:t>
      </w:r>
      <w:r w:rsidRPr="00060C63">
        <w:rPr>
          <w:lang w:val="en-GB"/>
        </w:rPr>
        <w:t>Satellite</w:t>
      </w:r>
      <w:r w:rsidRPr="007B714E">
        <w:rPr>
          <w:lang w:val="en-GB"/>
        </w:rPr>
        <w:t xml:space="preserve"> Communications and Astronautics in Australia</w:t>
      </w:r>
    </w:p>
  </w:footnote>
  <w:footnote w:id="44">
    <w:p w14:paraId="5065CB13" w14:textId="0A52C242" w:rsidR="003D6C7A" w:rsidRDefault="003D6C7A">
      <w:pPr>
        <w:pStyle w:val="FootnoteText"/>
      </w:pPr>
      <w:r>
        <w:rPr>
          <w:rStyle w:val="FootnoteReference"/>
        </w:rPr>
        <w:footnoteRef/>
      </w:r>
      <w:r>
        <w:t xml:space="preserve"> Statista (2020), </w:t>
      </w:r>
      <w:r w:rsidRPr="003D6C7A">
        <w:t>Satellite manufacturing: worldwide revenues 2001-2019</w:t>
      </w:r>
      <w:r>
        <w:t xml:space="preserve"> - </w:t>
      </w:r>
      <w:hyperlink r:id="rId27" w:history="1">
        <w:r w:rsidRPr="00446FE6">
          <w:rPr>
            <w:rStyle w:val="Hyperlink"/>
            <w:rFonts w:cs="Times New Roman"/>
          </w:rPr>
          <w:t>https://www.statista.com/statistics/185975/world-revenues-of-the-satellite-manufacturing-sector-since-2001/</w:t>
        </w:r>
      </w:hyperlink>
    </w:p>
  </w:footnote>
  <w:footnote w:id="45">
    <w:p w14:paraId="7FC2C0E7" w14:textId="44127A85" w:rsidR="006D7252" w:rsidRDefault="006D7252" w:rsidP="007E1454">
      <w:pPr>
        <w:pStyle w:val="FootnoteText"/>
      </w:pPr>
      <w:r>
        <w:rPr>
          <w:rStyle w:val="FootnoteReference"/>
        </w:rPr>
        <w:footnoteRef/>
      </w:r>
      <w:r w:rsidR="00DB16C3">
        <w:t xml:space="preserve"> </w:t>
      </w:r>
      <w:proofErr w:type="spellStart"/>
      <w:r w:rsidR="00DB16C3">
        <w:t>AlphaBeta</w:t>
      </w:r>
      <w:proofErr w:type="spellEnd"/>
      <w:r w:rsidR="00DB16C3">
        <w:t xml:space="preserve"> (2020), The Economic Contribution of Australia’s Space Sector in 2018-19 - </w:t>
      </w:r>
      <w:hyperlink r:id="rId28" w:history="1">
        <w:r w:rsidR="0049272E" w:rsidRPr="006C3D7A">
          <w:rPr>
            <w:rStyle w:val="Hyperlink"/>
            <w:rFonts w:cs="Times New Roman"/>
          </w:rPr>
          <w:t>https://www.industry.gov.au/sites/default/files/2021-02/the-economic-contribution-of-australias-space-sector-in-2018-19.docx</w:t>
        </w:r>
      </w:hyperlink>
      <w:r w:rsidR="0049272E">
        <w:t xml:space="preserve"> </w:t>
      </w:r>
    </w:p>
  </w:footnote>
  <w:footnote w:id="46">
    <w:p w14:paraId="680F997C" w14:textId="3D12EA03" w:rsidR="006D7252" w:rsidRDefault="006D7252">
      <w:pPr>
        <w:pStyle w:val="FootnoteText"/>
      </w:pPr>
      <w:r>
        <w:rPr>
          <w:rStyle w:val="FootnoteReference"/>
        </w:rPr>
        <w:footnoteRef/>
      </w:r>
      <w:r>
        <w:t xml:space="preserve"> </w:t>
      </w:r>
      <w:r>
        <w:rPr>
          <w:lang w:val="en-GB"/>
        </w:rPr>
        <w:t>IBISWorld (2020),</w:t>
      </w:r>
      <w:r w:rsidRPr="007B714E">
        <w:t xml:space="preserve"> </w:t>
      </w:r>
      <w:r>
        <w:t xml:space="preserve">IBISWorld (2020) Industry </w:t>
      </w:r>
      <w:r w:rsidRPr="00060C63">
        <w:t xml:space="preserve">Report OD5545: </w:t>
      </w:r>
      <w:r w:rsidRPr="00060C63">
        <w:rPr>
          <w:lang w:val="en-GB"/>
        </w:rPr>
        <w:t>Satellite</w:t>
      </w:r>
      <w:r w:rsidRPr="007B714E">
        <w:rPr>
          <w:lang w:val="en-GB"/>
        </w:rPr>
        <w:t xml:space="preserve"> Communications and Astronautics in Australia</w:t>
      </w:r>
      <w:r>
        <w:rPr>
          <w:lang w:val="en-GB"/>
        </w:rPr>
        <w:t>.</w:t>
      </w:r>
    </w:p>
  </w:footnote>
  <w:footnote w:id="47">
    <w:p w14:paraId="17C4885F" w14:textId="59ADCEA0" w:rsidR="006D7252" w:rsidRDefault="006D7252">
      <w:pPr>
        <w:pStyle w:val="FootnoteText"/>
      </w:pPr>
      <w:r>
        <w:rPr>
          <w:rStyle w:val="FootnoteReference"/>
        </w:rPr>
        <w:footnoteRef/>
      </w:r>
      <w:r w:rsidR="00DB16C3">
        <w:t xml:space="preserve"> </w:t>
      </w:r>
      <w:proofErr w:type="spellStart"/>
      <w:r w:rsidR="00DB16C3">
        <w:t>AlphaBeta</w:t>
      </w:r>
      <w:proofErr w:type="spellEnd"/>
      <w:r w:rsidR="00DB16C3">
        <w:t xml:space="preserve"> (2020), The Economic Contribution of Australia’s Space Sector in 2018-19 - </w:t>
      </w:r>
      <w:hyperlink r:id="rId29" w:history="1">
        <w:r w:rsidR="0049272E" w:rsidRPr="006C3D7A">
          <w:rPr>
            <w:rStyle w:val="Hyperlink"/>
            <w:rFonts w:cs="Times New Roman"/>
          </w:rPr>
          <w:t>https://www.industry.gov.au/sites/default/files/2021-02/the-economic-contribution-of-australias-space-sector-in-2018-19.docx</w:t>
        </w:r>
      </w:hyperlink>
      <w:r w:rsidR="0049272E">
        <w:t xml:space="preserve"> </w:t>
      </w:r>
    </w:p>
  </w:footnote>
  <w:footnote w:id="48">
    <w:p w14:paraId="2527671B" w14:textId="77777777" w:rsidR="006D7252" w:rsidRDefault="006D7252" w:rsidP="00C26676">
      <w:pPr>
        <w:pStyle w:val="FootnoteText"/>
        <w:tabs>
          <w:tab w:val="clear" w:pos="113"/>
          <w:tab w:val="left" w:pos="0"/>
        </w:tabs>
        <w:ind w:left="0" w:firstLine="0"/>
      </w:pPr>
      <w:r w:rsidRPr="00B25126">
        <w:rPr>
          <w:rStyle w:val="FootnoteReference"/>
        </w:rPr>
        <w:footnoteRef/>
      </w:r>
      <w:r w:rsidRPr="00B25126">
        <w:t xml:space="preserve"> </w:t>
      </w:r>
      <w:r w:rsidRPr="00D95F76">
        <w:t>For example, indirect jobs were higher than direct jobs in both space sector reports</w:t>
      </w:r>
      <w:r>
        <w:t xml:space="preserve"> for</w:t>
      </w:r>
      <w:r w:rsidRPr="00D95F76">
        <w:t xml:space="preserve"> Canada and New Zealand - </w:t>
      </w:r>
      <w:r>
        <w:t xml:space="preserve">Canadian Space Agency (2019), </w:t>
      </w:r>
      <w:r w:rsidRPr="00B83E22">
        <w:t xml:space="preserve">State of the Canadian Space Sector, </w:t>
      </w:r>
      <w:hyperlink r:id="rId30" w:anchor="economic-jobs" w:history="1">
        <w:r w:rsidRPr="00FB20F7">
          <w:rPr>
            <w:rStyle w:val="Hyperlink"/>
            <w:rFonts w:cs="Times New Roman"/>
          </w:rPr>
          <w:t>https://asc-csa.gc.ca/eng/publications/2019-state-canadian-space-sector.asp#economic-jobs</w:t>
        </w:r>
      </w:hyperlink>
      <w:r w:rsidRPr="00B83E22">
        <w:t xml:space="preserve">; Deloitte Access Economics (2019), New Zealand Space Sector: Its value, scope and structure, </w:t>
      </w:r>
      <w:hyperlink r:id="rId31" w:history="1">
        <w:r w:rsidRPr="00FB20F7">
          <w:rPr>
            <w:rStyle w:val="Hyperlink"/>
            <w:rFonts w:cs="Times New Roman"/>
          </w:rPr>
          <w:t>https://www.mbie.govt.nz/assets/new-zealand-space-sector-its-value-scope-and-structure.pdf</w:t>
        </w:r>
      </w:hyperlink>
      <w:r>
        <w:t xml:space="preserve"> </w:t>
      </w:r>
    </w:p>
  </w:footnote>
  <w:footnote w:id="49">
    <w:p w14:paraId="4B58BEF7" w14:textId="77777777" w:rsidR="006D7252" w:rsidRDefault="006D7252" w:rsidP="00105904">
      <w:pPr>
        <w:pStyle w:val="FootnoteText"/>
      </w:pPr>
      <w:r>
        <w:rPr>
          <w:rStyle w:val="FootnoteReference"/>
        </w:rPr>
        <w:footnoteRef/>
      </w:r>
      <w:r>
        <w:t xml:space="preserve"> Australian Government media release (2020): </w:t>
      </w:r>
      <w:r w:rsidRPr="004D5129">
        <w:t>Morrison Government invests in a new sovereign controlled satellite capability</w:t>
      </w:r>
      <w:r>
        <w:t xml:space="preserve"> - </w:t>
      </w:r>
      <w:hyperlink r:id="rId32" w:history="1">
        <w:r w:rsidRPr="00FB20F7">
          <w:rPr>
            <w:rStyle w:val="Hyperlink"/>
            <w:rFonts w:cs="Times New Roman"/>
          </w:rPr>
          <w:t>https://www.minister.defence.gov.au/minister/lreynolds/media-releases/morrison-government-invests-new-sovereign-controlled-satellite</w:t>
        </w:r>
      </w:hyperlink>
      <w:r>
        <w:t xml:space="preserve"> </w:t>
      </w:r>
    </w:p>
  </w:footnote>
  <w:footnote w:id="50">
    <w:p w14:paraId="5A5AE356" w14:textId="4C179623" w:rsidR="006D7252" w:rsidRDefault="006D7252">
      <w:pPr>
        <w:pStyle w:val="FootnoteText"/>
      </w:pPr>
      <w:r>
        <w:rPr>
          <w:rStyle w:val="FootnoteReference"/>
        </w:rPr>
        <w:footnoteRef/>
      </w:r>
      <w:r>
        <w:t xml:space="preserve"> </w:t>
      </w:r>
      <w:r w:rsidRPr="00CF6546">
        <w:t>Due to rounding, numbers presented</w:t>
      </w:r>
      <w:r>
        <w:t xml:space="preserve"> in this chapter of the report</w:t>
      </w:r>
      <w:r w:rsidRPr="00CF6546">
        <w:t xml:space="preserve"> may not add up precisely to totals provided and </w:t>
      </w:r>
      <w:r>
        <w:t>percentage shares</w:t>
      </w:r>
      <w:r w:rsidRPr="00CF6546">
        <w:t xml:space="preserve"> may not precisely reflect </w:t>
      </w:r>
      <w:proofErr w:type="spellStart"/>
      <w:r>
        <w:t>comprehensive</w:t>
      </w:r>
      <w:r w:rsidRPr="00CF6546">
        <w:t>figures</w:t>
      </w:r>
      <w:proofErr w:type="spellEnd"/>
    </w:p>
  </w:footnote>
  <w:footnote w:id="51">
    <w:p w14:paraId="3C1CCD7F" w14:textId="77777777" w:rsidR="006D7252" w:rsidRDefault="006D7252" w:rsidP="006066C6">
      <w:pPr>
        <w:pStyle w:val="FootnoteText"/>
      </w:pPr>
      <w:r>
        <w:rPr>
          <w:rStyle w:val="FootnoteReference"/>
        </w:rPr>
        <w:footnoteRef/>
      </w:r>
      <w:r>
        <w:t xml:space="preserve"> </w:t>
      </w:r>
      <w:proofErr w:type="spellStart"/>
      <w:r>
        <w:t>AusTrade</w:t>
      </w:r>
      <w:proofErr w:type="spellEnd"/>
      <w:r>
        <w:t xml:space="preserve"> (2020), Invest in Australia, </w:t>
      </w:r>
      <w:hyperlink r:id="rId33" w:history="1">
        <w:r w:rsidRPr="00E66BD7">
          <w:rPr>
            <w:rStyle w:val="Hyperlink"/>
            <w:rFonts w:cs="Times New Roman"/>
          </w:rPr>
          <w:t>https://www.austrade.gov.au/International/invest</w:t>
        </w:r>
      </w:hyperlink>
    </w:p>
  </w:footnote>
  <w:footnote w:id="52">
    <w:p w14:paraId="2F42F752" w14:textId="77777777" w:rsidR="006D7252" w:rsidRDefault="006D7252" w:rsidP="00C20158">
      <w:pPr>
        <w:pStyle w:val="FootnoteText"/>
      </w:pPr>
      <w:r>
        <w:rPr>
          <w:rStyle w:val="FootnoteReference"/>
        </w:rPr>
        <w:footnoteRef/>
      </w:r>
      <w:r>
        <w:t xml:space="preserve"> KPMG (2020), Investment in the Australian Space Sector - </w:t>
      </w:r>
      <w:hyperlink r:id="rId34" w:history="1">
        <w:r w:rsidRPr="00FB20F7">
          <w:rPr>
            <w:rStyle w:val="Hyperlink"/>
            <w:rFonts w:cs="Times New Roman"/>
          </w:rPr>
          <w:t>https://home.kpmg/au/en/home/insights/2020/02/investment-in-the-australian-space-sector.html</w:t>
        </w:r>
      </w:hyperlink>
      <w:r>
        <w:t xml:space="preserve"> </w:t>
      </w:r>
    </w:p>
  </w:footnote>
  <w:footnote w:id="53">
    <w:p w14:paraId="3716CE38" w14:textId="2B154A94" w:rsidR="006D7252" w:rsidRDefault="006D7252" w:rsidP="00C20158">
      <w:pPr>
        <w:pStyle w:val="FootnoteText"/>
      </w:pPr>
      <w:r>
        <w:rPr>
          <w:rStyle w:val="FootnoteReference"/>
        </w:rPr>
        <w:footnoteRef/>
      </w:r>
      <w:r>
        <w:t xml:space="preserve"> London Economics (2018), </w:t>
      </w:r>
      <w:proofErr w:type="spellStart"/>
      <w:r w:rsidRPr="008F47D8">
        <w:t>Spillovers</w:t>
      </w:r>
      <w:proofErr w:type="spellEnd"/>
      <w:r w:rsidRPr="008F47D8">
        <w:t xml:space="preserve"> in the space sector</w:t>
      </w:r>
      <w:r>
        <w:t xml:space="preserve"> - </w:t>
      </w:r>
      <w:hyperlink r:id="rId35" w:history="1">
        <w:r w:rsidRPr="00FB20F7">
          <w:rPr>
            <w:rStyle w:val="Hyperlink"/>
            <w:rFonts w:cs="Times New Roman"/>
          </w:rPr>
          <w:t>https://www.ukspace.org/wp-content/uploads/2019/04/Spillovers-in-the-space-sector_March2019.pdf</w:t>
        </w:r>
      </w:hyperlink>
      <w:r>
        <w:t xml:space="preserve"> </w:t>
      </w:r>
    </w:p>
  </w:footnote>
  <w:footnote w:id="54">
    <w:p w14:paraId="117B5754" w14:textId="77777777" w:rsidR="006D7252" w:rsidRDefault="006D7252" w:rsidP="00E029DD">
      <w:pPr>
        <w:pStyle w:val="FootnoteText"/>
      </w:pPr>
      <w:r>
        <w:rPr>
          <w:rStyle w:val="FootnoteReference"/>
        </w:rPr>
        <w:footnoteRef/>
      </w:r>
      <w:r>
        <w:t xml:space="preserve"> </w:t>
      </w:r>
      <w:r w:rsidRPr="00CF6546">
        <w:t>Due to rounding, numbers presented</w:t>
      </w:r>
      <w:r>
        <w:t xml:space="preserve"> in this chapter of the report</w:t>
      </w:r>
      <w:r w:rsidRPr="00CF6546">
        <w:t xml:space="preserve"> may not add up precisely to totals provided and </w:t>
      </w:r>
      <w:r>
        <w:t>percentage shares</w:t>
      </w:r>
      <w:r w:rsidRPr="00CF6546">
        <w:t xml:space="preserve"> may not precisely reflect absolute figures</w:t>
      </w:r>
    </w:p>
  </w:footnote>
  <w:footnote w:id="55">
    <w:p w14:paraId="12F24366" w14:textId="77777777" w:rsidR="006D7252" w:rsidRDefault="006D7252" w:rsidP="00E029DD">
      <w:pPr>
        <w:pStyle w:val="FootnoteText"/>
      </w:pPr>
      <w:r>
        <w:rPr>
          <w:rStyle w:val="FootnoteReference"/>
        </w:rPr>
        <w:footnoteRef/>
      </w:r>
      <w:r>
        <w:t xml:space="preserve"> </w:t>
      </w:r>
      <w:r w:rsidRPr="00CF6546">
        <w:t>Due to rounding, numbers presented</w:t>
      </w:r>
      <w:r>
        <w:t xml:space="preserve"> in this chapter of the report</w:t>
      </w:r>
      <w:r w:rsidRPr="00CF6546">
        <w:t xml:space="preserve"> may not add up precisely to totals provided and </w:t>
      </w:r>
      <w:r>
        <w:t>percentage shares</w:t>
      </w:r>
      <w:r w:rsidRPr="00CF6546">
        <w:t xml:space="preserve"> may not precisely reflect absolute figures</w:t>
      </w:r>
    </w:p>
  </w:footnote>
  <w:footnote w:id="56">
    <w:p w14:paraId="0B20CECB" w14:textId="696C260F" w:rsidR="006D7252" w:rsidRDefault="006D7252" w:rsidP="00CB504B">
      <w:pPr>
        <w:pStyle w:val="FootnoteText"/>
      </w:pPr>
      <w:r>
        <w:rPr>
          <w:rStyle w:val="FootnoteReference"/>
        </w:rPr>
        <w:footnoteRef/>
      </w:r>
      <w:r>
        <w:t xml:space="preserve"> London Economics (2018), </w:t>
      </w:r>
      <w:proofErr w:type="spellStart"/>
      <w:r w:rsidRPr="008F47D8">
        <w:t>Spillovers</w:t>
      </w:r>
      <w:proofErr w:type="spellEnd"/>
      <w:r w:rsidRPr="008F47D8">
        <w:t xml:space="preserve"> in the space sector</w:t>
      </w:r>
      <w:r>
        <w:t xml:space="preserve"> - </w:t>
      </w:r>
      <w:hyperlink r:id="rId36" w:history="1">
        <w:r w:rsidRPr="00FB20F7">
          <w:rPr>
            <w:rStyle w:val="Hyperlink"/>
            <w:rFonts w:cs="Times New Roman"/>
          </w:rPr>
          <w:t>https://www.ukspace.org/wp-content/uploads/2019/04/Spillovers-in-the-space-sector_March2019.pdf</w:t>
        </w:r>
      </w:hyperlink>
      <w:r>
        <w:t xml:space="preserve"> </w:t>
      </w:r>
    </w:p>
  </w:footnote>
  <w:footnote w:id="57">
    <w:p w14:paraId="783933E5" w14:textId="77777777" w:rsidR="006D7252" w:rsidRDefault="006D7252" w:rsidP="00D57B5B">
      <w:pPr>
        <w:pStyle w:val="FootnoteText"/>
      </w:pPr>
      <w:r>
        <w:rPr>
          <w:rStyle w:val="FootnoteReference"/>
        </w:rPr>
        <w:footnoteRef/>
      </w:r>
      <w:r>
        <w:t xml:space="preserve"> </w:t>
      </w:r>
      <w:r w:rsidRPr="000D5F7B">
        <w:t>OECD</w:t>
      </w:r>
      <w:r>
        <w:t xml:space="preserve"> (2020),</w:t>
      </w:r>
      <w:r w:rsidRPr="000D5F7B">
        <w:t xml:space="preserve"> The impacts of</w:t>
      </w:r>
      <w:r>
        <w:t xml:space="preserve"> COVID-19 on the space industry - </w:t>
      </w:r>
      <w:hyperlink r:id="rId37" w:history="1">
        <w:r w:rsidRPr="00FB20F7">
          <w:rPr>
            <w:rStyle w:val="Hyperlink"/>
            <w:rFonts w:cs="Times New Roman"/>
          </w:rPr>
          <w:t>http://www.oecd.org/coronavirus/policy-responses/the-impacts-of-covid-19-on-the-space-industry-e727e36f/</w:t>
        </w:r>
      </w:hyperlink>
      <w:r>
        <w:t xml:space="preserve"> </w:t>
      </w:r>
    </w:p>
  </w:footnote>
  <w:footnote w:id="58">
    <w:p w14:paraId="4588E0A3" w14:textId="77777777" w:rsidR="006D7252" w:rsidRPr="00BF1C4C" w:rsidRDefault="006D7252" w:rsidP="00D57B5B">
      <w:pPr>
        <w:pStyle w:val="FootnoteText"/>
        <w:rPr>
          <w:szCs w:val="16"/>
        </w:rPr>
      </w:pPr>
      <w:r w:rsidRPr="00BF1C4C">
        <w:rPr>
          <w:rStyle w:val="FootnoteReference"/>
          <w:szCs w:val="16"/>
        </w:rPr>
        <w:footnoteRef/>
      </w:r>
      <w:r w:rsidRPr="00BF1C4C">
        <w:rPr>
          <w:szCs w:val="16"/>
        </w:rPr>
        <w:t xml:space="preserve"> </w:t>
      </w:r>
      <w:proofErr w:type="spellStart"/>
      <w:r>
        <w:rPr>
          <w:szCs w:val="16"/>
        </w:rPr>
        <w:t>SpaceNews</w:t>
      </w:r>
      <w:proofErr w:type="spellEnd"/>
      <w:r>
        <w:rPr>
          <w:szCs w:val="16"/>
        </w:rPr>
        <w:t xml:space="preserve"> 2020,</w:t>
      </w:r>
      <w:r w:rsidRPr="00DB41BD">
        <w:t xml:space="preserve"> </w:t>
      </w:r>
      <w:r w:rsidRPr="00DB41BD">
        <w:rPr>
          <w:szCs w:val="16"/>
        </w:rPr>
        <w:t>Space should fare better against coronavirus than other industries, report says</w:t>
      </w:r>
      <w:r>
        <w:rPr>
          <w:rStyle w:val="Hyperlink"/>
          <w:szCs w:val="16"/>
        </w:rPr>
        <w:t xml:space="preserve"> </w:t>
      </w:r>
      <w:r w:rsidRPr="00DB41BD">
        <w:rPr>
          <w:rStyle w:val="Hyperlink"/>
          <w:szCs w:val="16"/>
        </w:rPr>
        <w:t>https://spacenews.com/space-may-fare-better-against-coronavirus-than-other-industries-report-says/</w:t>
      </w:r>
      <w:r w:rsidRPr="00BF1C4C">
        <w:rPr>
          <w:szCs w:val="16"/>
        </w:rPr>
        <w:t xml:space="preserve"> </w:t>
      </w:r>
    </w:p>
  </w:footnote>
  <w:footnote w:id="59">
    <w:p w14:paraId="37ADEAF2" w14:textId="21D400C3" w:rsidR="006D7252" w:rsidRDefault="006D7252">
      <w:pPr>
        <w:pStyle w:val="FootnoteText"/>
      </w:pPr>
      <w:r>
        <w:rPr>
          <w:rStyle w:val="FootnoteReference"/>
        </w:rPr>
        <w:footnoteRef/>
      </w:r>
      <w:r>
        <w:t xml:space="preserve"> Note, not all 816 organisations were operating in FY17, some of them were established between FY17 and FY19. Both the number of space organisations in FY17 of 432 and FY19 of 481, are a subset of the larger 816 sample of organisations that are being tracked by the Agency.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7031C" w14:textId="77777777" w:rsidR="006D7252" w:rsidRDefault="006D72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C2F32" w14:textId="77777777" w:rsidR="006D7252" w:rsidRDefault="006D7252" w:rsidP="00ED2214">
    <w:pPr>
      <w:pStyle w:val="Header"/>
      <w:tabs>
        <w:tab w:val="clear" w:pos="4153"/>
        <w:tab w:val="clear" w:pos="8306"/>
        <w:tab w:val="left" w:pos="828"/>
      </w:tabs>
      <w:rPr>
        <w:noProof/>
      </w:rPr>
    </w:pPr>
    <w:bookmarkStart w:id="1" w:name="CoverImage"/>
    <w:bookmarkEnd w:id="1"/>
    <w:r>
      <w:t xml:space="preserve"> </w:t>
    </w:r>
  </w:p>
  <w:p w14:paraId="24AB6649" w14:textId="77777777" w:rsidR="006D7252" w:rsidRDefault="006D7252" w:rsidP="00ED2214">
    <w:pPr>
      <w:pStyle w:val="Header"/>
      <w:tabs>
        <w:tab w:val="clear" w:pos="4153"/>
        <w:tab w:val="clear" w:pos="8306"/>
        <w:tab w:val="left" w:pos="828"/>
      </w:tabs>
    </w:pPr>
    <w:r>
      <w:rPr>
        <w:noProof/>
        <w:lang w:eastAsia="en-AU"/>
      </w:rPr>
      <w:drawing>
        <wp:anchor distT="0" distB="0" distL="114300" distR="114300" simplePos="0" relativeHeight="251658242" behindDoc="1" locked="1" layoutInCell="1" allowOverlap="1" wp14:anchorId="4AEDDBF0" wp14:editId="221B51B8">
          <wp:simplePos x="0" y="0"/>
          <wp:positionH relativeFrom="page">
            <wp:posOffset>0</wp:posOffset>
          </wp:positionH>
          <wp:positionV relativeFrom="page">
            <wp:posOffset>0</wp:posOffset>
          </wp:positionV>
          <wp:extent cx="7559040" cy="2422525"/>
          <wp:effectExtent l="0" t="0" r="3810" b="0"/>
          <wp:wrapNone/>
          <wp:docPr id="38" name="Picture 38" descr="Dotted top banner">
            <a:extLst xmlns:a="http://schemas.openxmlformats.org/drawingml/2006/main">
              <a:ext uri="{C183D7F6-B498-43B3-948B-1728B52AA6E4}">
                <adec:decorative xmlns:pic="http://schemas.openxmlformats.org/drawingml/2006/picture"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040"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B554" w14:textId="310082A7" w:rsidR="006D7252" w:rsidRPr="00D95F76" w:rsidRDefault="006D7252">
    <w:pPr>
      <w:pStyle w:val="Header"/>
      <w:jc w:val="center"/>
      <w:rPr>
        <w:b/>
        <w:bCs/>
        <w:color w:val="FF0000"/>
        <w:sz w:val="24"/>
        <w:szCs w:val="24"/>
      </w:rPr>
    </w:pPr>
    <w:r w:rsidRPr="000441EE">
      <w:rPr>
        <w:b/>
        <w:noProof/>
        <w:color w:val="FF0000"/>
        <w:sz w:val="24"/>
        <w:szCs w:val="24"/>
        <w:lang w:eastAsia="en-AU"/>
      </w:rPr>
      <w:drawing>
        <wp:anchor distT="0" distB="0" distL="114300" distR="114300" simplePos="0" relativeHeight="251658241" behindDoc="1" locked="1" layoutInCell="1" allowOverlap="1" wp14:anchorId="0D1AB6EB" wp14:editId="7734218A">
          <wp:simplePos x="0" y="0"/>
          <wp:positionH relativeFrom="column">
            <wp:posOffset>-635</wp:posOffset>
          </wp:positionH>
          <wp:positionV relativeFrom="page">
            <wp:posOffset>697865</wp:posOffset>
          </wp:positionV>
          <wp:extent cx="3660775" cy="697865"/>
          <wp:effectExtent l="0" t="0" r="0" b="6985"/>
          <wp:wrapNone/>
          <wp:docPr id="39" name="Picture 39" descr="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3660775" cy="697865"/>
                  </a:xfrm>
                  <a:prstGeom prst="rect">
                    <a:avLst/>
                  </a:prstGeom>
                </pic:spPr>
              </pic:pic>
            </a:graphicData>
          </a:graphic>
          <wp14:sizeRelH relativeFrom="margin">
            <wp14:pctWidth>0</wp14:pctWidth>
          </wp14:sizeRelH>
          <wp14:sizeRelV relativeFrom="margin">
            <wp14:pctHeight>0</wp14:pctHeight>
          </wp14:sizeRelV>
        </wp:anchor>
      </w:drawing>
    </w:r>
    <w:r w:rsidRPr="000441EE">
      <w:rPr>
        <w:b/>
        <w:noProof/>
        <w:color w:val="FF0000"/>
        <w:sz w:val="24"/>
        <w:szCs w:val="24"/>
        <w:lang w:eastAsia="en-AU"/>
      </w:rPr>
      <w:drawing>
        <wp:anchor distT="0" distB="0" distL="114300" distR="114300" simplePos="0" relativeHeight="251658240" behindDoc="1" locked="1" layoutInCell="1" allowOverlap="1" wp14:anchorId="6790BD02" wp14:editId="48011C7A">
          <wp:simplePos x="0" y="0"/>
          <wp:positionH relativeFrom="column">
            <wp:posOffset>-635</wp:posOffset>
          </wp:positionH>
          <wp:positionV relativeFrom="page">
            <wp:posOffset>637540</wp:posOffset>
          </wp:positionV>
          <wp:extent cx="3660775" cy="697865"/>
          <wp:effectExtent l="0" t="0" r="0" b="6985"/>
          <wp:wrapNone/>
          <wp:docPr id="40" name="Picture 40" descr="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3660775" cy="697865"/>
                  </a:xfrm>
                  <a:prstGeom prst="rect">
                    <a:avLst/>
                  </a:prstGeom>
                </pic:spPr>
              </pic:pic>
            </a:graphicData>
          </a:graphic>
          <wp14:sizeRelH relativeFrom="margin">
            <wp14:pctWidth>0</wp14:pctWidth>
          </wp14:sizeRelH>
          <wp14:sizeRelV relativeFrom="margin">
            <wp14:pctHeight>0</wp14:pctHeight>
          </wp14:sizeRelV>
        </wp:anchor>
      </w:drawing>
    </w:r>
    <w:r w:rsidRPr="000441EE">
      <w:rPr>
        <w:b/>
        <w:noProof/>
        <w:color w:val="FF0000"/>
        <w:sz w:val="24"/>
        <w:szCs w:val="24"/>
        <w:lang w:eastAsia="en-AU"/>
      </w:rPr>
      <w:drawing>
        <wp:anchor distT="0" distB="0" distL="114300" distR="114300" simplePos="0" relativeHeight="251658243" behindDoc="1" locked="1" layoutInCell="1" allowOverlap="1" wp14:anchorId="12AF145C" wp14:editId="1D420184">
          <wp:simplePos x="0" y="0"/>
          <wp:positionH relativeFrom="page">
            <wp:posOffset>25400</wp:posOffset>
          </wp:positionH>
          <wp:positionV relativeFrom="page">
            <wp:posOffset>1985010</wp:posOffset>
          </wp:positionV>
          <wp:extent cx="7554595" cy="9408160"/>
          <wp:effectExtent l="0" t="0" r="8255" b="2540"/>
          <wp:wrapNone/>
          <wp:docPr id="41" name="Picture 41" descr="cover page photo" title="Cover photo">
            <a:extLst xmlns:a="http://schemas.openxmlformats.org/drawingml/2006/main">
              <a:ext uri="{C183D7F6-B498-43B3-948B-1728B52AA6E4}">
                <adec:decorative xmlns:pic="http://schemas.openxmlformats.org/drawingml/2006/picture" xmlns:a14="http://schemas.microsoft.com/office/drawing/2010/mai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_Space_Agency_Multi_Page_Document_297X210MM.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4595" cy="940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0000"/>
        <w:sz w:val="24"/>
        <w:szCs w:val="24"/>
      </w:rPr>
      <w:t>OFFICIAL</w:t>
    </w:r>
  </w:p>
  <w:p w14:paraId="1D0DDA37" w14:textId="270A405F" w:rsidR="006D7252" w:rsidRDefault="006D7252" w:rsidP="002C6C11">
    <w:pPr>
      <w:pStyle w:val="Header"/>
      <w:tabs>
        <w:tab w:val="left" w:pos="8306"/>
      </w:tabs>
      <w:rPr>
        <w:b/>
        <w:color w:val="FF0000"/>
        <w:sz w:val="24"/>
        <w:szCs w:val="24"/>
      </w:rPr>
    </w:pPr>
    <w:r>
      <w:rPr>
        <w:b/>
        <w:color w:val="FF0000"/>
        <w:sz w:val="24"/>
        <w:szCs w:val="24"/>
      </w:rPr>
      <w:tab/>
    </w:r>
    <w:r>
      <w:rPr>
        <w:b/>
        <w:color w:val="FF0000"/>
        <w:sz w:val="24"/>
        <w:szCs w:val="24"/>
      </w:rPr>
      <w:tab/>
    </w:r>
  </w:p>
  <w:p w14:paraId="377939EF" w14:textId="77777777" w:rsidR="006D7252" w:rsidRPr="000441EE" w:rsidRDefault="006D7252" w:rsidP="006B2688">
    <w:pPr>
      <w:pStyle w:val="Header"/>
      <w:rPr>
        <w:b/>
        <w:sz w:val="24"/>
        <w:szCs w:val="24"/>
      </w:rPr>
    </w:pPr>
    <w:r>
      <w:rPr>
        <w:b/>
        <w:noProof/>
        <w:color w:val="FF0000"/>
        <w:sz w:val="24"/>
        <w:szCs w:val="24"/>
        <w:lang w:eastAsia="en-AU"/>
      </w:rPr>
      <w:drawing>
        <wp:inline distT="0" distB="0" distL="0" distR="0" wp14:anchorId="3A9F32AB" wp14:editId="7B22EFC4">
          <wp:extent cx="4048600" cy="835660"/>
          <wp:effectExtent l="0" t="0" r="9525" b="2540"/>
          <wp:docPr id="42" name="Picture 42" descr="Australian space Agency logo" title="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n_Space_Agency_RGB_[blue]Government_Lockup.jpg"/>
                  <pic:cNvPicPr/>
                </pic:nvPicPr>
                <pic:blipFill>
                  <a:blip r:embed="rId3">
                    <a:extLst>
                      <a:ext uri="{28A0092B-C50C-407E-A947-70E740481C1C}">
                        <a14:useLocalDpi xmlns:a14="http://schemas.microsoft.com/office/drawing/2010/main" val="0"/>
                      </a:ext>
                    </a:extLst>
                  </a:blip>
                  <a:stretch>
                    <a:fillRect/>
                  </a:stretch>
                </pic:blipFill>
                <pic:spPr>
                  <a:xfrm>
                    <a:off x="0" y="0"/>
                    <a:ext cx="4057640" cy="83752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92A6" w14:textId="5EC40BC0" w:rsidR="006D7252" w:rsidRDefault="006D7252" w:rsidP="000441EE">
    <w:pPr>
      <w:pStyle w:val="Header"/>
      <w:spacing w:after="360"/>
      <w:jc w:val="center"/>
    </w:pPr>
    <w:r>
      <w:rPr>
        <w:b/>
        <w:bCs/>
        <w:color w:val="FF0000"/>
        <w:sz w:val="24"/>
        <w:szCs w:val="24"/>
      </w:rPr>
      <w:t>OFFICIAL</w:t>
    </w:r>
  </w:p>
  <w:p w14:paraId="5A90D172" w14:textId="7C46569D" w:rsidR="006D7252" w:rsidRDefault="006D725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C813C" w14:textId="77777777" w:rsidR="006D7252" w:rsidRPr="00860825" w:rsidRDefault="006D72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D0A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EE9C7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6BECB1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A1E20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03726CE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864EE5"/>
    <w:multiLevelType w:val="hybridMultilevel"/>
    <w:tmpl w:val="5A9C7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24406"/>
    <w:multiLevelType w:val="hybridMultilevel"/>
    <w:tmpl w:val="E5384726"/>
    <w:lvl w:ilvl="0" w:tplc="1F28C5DA">
      <w:start w:val="1663"/>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471B6"/>
    <w:multiLevelType w:val="multilevel"/>
    <w:tmpl w:val="868E9C4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C856C93"/>
    <w:multiLevelType w:val="hybridMultilevel"/>
    <w:tmpl w:val="7E26FFE4"/>
    <w:lvl w:ilvl="0" w:tplc="F1D4E346">
      <w:start w:val="1"/>
      <w:numFmt w:val="decimal"/>
      <w:lvlText w:val="%1."/>
      <w:lvlJc w:val="left"/>
      <w:pPr>
        <w:ind w:left="720" w:hanging="360"/>
      </w:pPr>
      <w:rPr>
        <w:rFonts w:asciiTheme="minorHAnsi" w:eastAsia="MS Mincho" w:hAnsiTheme="minorHAnsi" w:cs="Times New Roman" w:hint="default"/>
        <w:color w:val="000000"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D85C10"/>
    <w:multiLevelType w:val="hybridMultilevel"/>
    <w:tmpl w:val="43683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A06DEE"/>
    <w:multiLevelType w:val="hybridMultilevel"/>
    <w:tmpl w:val="2892D7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CE1647"/>
    <w:multiLevelType w:val="hybridMultilevel"/>
    <w:tmpl w:val="AF7EF1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F922E5"/>
    <w:multiLevelType w:val="hybridMultilevel"/>
    <w:tmpl w:val="CED0A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D8645B8"/>
    <w:multiLevelType w:val="multilevel"/>
    <w:tmpl w:val="BBAE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15379E"/>
    <w:multiLevelType w:val="multilevel"/>
    <w:tmpl w:val="016AB1A4"/>
    <w:styleLink w:val="ListNumbers"/>
    <w:lvl w:ilvl="0">
      <w:start w:val="1"/>
      <w:numFmt w:val="decimal"/>
      <w:pStyle w:val="ListNumber"/>
      <w:lvlText w:val="%1."/>
      <w:lvlJc w:val="left"/>
      <w:pPr>
        <w:ind w:left="340" w:hanging="340"/>
      </w:pPr>
      <w:rPr>
        <w:rFonts w:asciiTheme="minorHAnsi" w:hAnsiTheme="minorHAnsi" w:hint="default"/>
        <w:b/>
        <w:i w:val="0"/>
        <w:color w:val="004976" w:themeColor="background2"/>
      </w:rPr>
    </w:lvl>
    <w:lvl w:ilvl="1">
      <w:start w:val="1"/>
      <w:numFmt w:val="lowerLetter"/>
      <w:pStyle w:val="ListNumber2"/>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25747D7C"/>
    <w:multiLevelType w:val="hybridMultilevel"/>
    <w:tmpl w:val="8F76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0C5BE7"/>
    <w:multiLevelType w:val="hybridMultilevel"/>
    <w:tmpl w:val="E53026FA"/>
    <w:lvl w:ilvl="0" w:tplc="0C09000F">
      <w:start w:val="1"/>
      <w:numFmt w:val="decimal"/>
      <w:lvlText w:val="%1."/>
      <w:lvlJc w:val="left"/>
      <w:pPr>
        <w:ind w:left="643" w:hanging="36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0" w15:restartNumberingAfterBreak="0">
    <w:nsid w:val="291C5C46"/>
    <w:multiLevelType w:val="multilevel"/>
    <w:tmpl w:val="BF9C480C"/>
    <w:numStyleLink w:val="DividerNo"/>
  </w:abstractNum>
  <w:abstractNum w:abstractNumId="21" w15:restartNumberingAfterBreak="0">
    <w:nsid w:val="2B7A29FE"/>
    <w:multiLevelType w:val="hybridMultilevel"/>
    <w:tmpl w:val="E53026FA"/>
    <w:lvl w:ilvl="0" w:tplc="0C09000F">
      <w:start w:val="1"/>
      <w:numFmt w:val="decimal"/>
      <w:lvlText w:val="%1."/>
      <w:lvlJc w:val="left"/>
      <w:pPr>
        <w:ind w:left="643" w:hanging="36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2" w15:restartNumberingAfterBreak="0">
    <w:nsid w:val="2B8E30A5"/>
    <w:multiLevelType w:val="multilevel"/>
    <w:tmpl w:val="AFD61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D37574"/>
    <w:multiLevelType w:val="hybridMultilevel"/>
    <w:tmpl w:val="488ED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167AF5"/>
    <w:multiLevelType w:val="hybridMultilevel"/>
    <w:tmpl w:val="B6708366"/>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5" w15:restartNumberingAfterBreak="0">
    <w:nsid w:val="2EA05BE9"/>
    <w:multiLevelType w:val="hybridMultilevel"/>
    <w:tmpl w:val="967A2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8F3FCF"/>
    <w:multiLevelType w:val="hybridMultilevel"/>
    <w:tmpl w:val="4CD03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D426D2"/>
    <w:multiLevelType w:val="hybridMultilevel"/>
    <w:tmpl w:val="EEAE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891DA5"/>
    <w:multiLevelType w:val="hybridMultilevel"/>
    <w:tmpl w:val="174ADA72"/>
    <w:lvl w:ilvl="0" w:tplc="96F0E468">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41C4471"/>
    <w:multiLevelType w:val="hybridMultilevel"/>
    <w:tmpl w:val="E53026FA"/>
    <w:lvl w:ilvl="0" w:tplc="0C09000F">
      <w:start w:val="1"/>
      <w:numFmt w:val="decimal"/>
      <w:lvlText w:val="%1."/>
      <w:lvlJc w:val="left"/>
      <w:pPr>
        <w:ind w:left="643" w:hanging="36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0" w15:restartNumberingAfterBreak="0">
    <w:nsid w:val="361B76E9"/>
    <w:multiLevelType w:val="hybridMultilevel"/>
    <w:tmpl w:val="D3A29872"/>
    <w:lvl w:ilvl="0" w:tplc="62583D8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310E08"/>
    <w:multiLevelType w:val="hybridMultilevel"/>
    <w:tmpl w:val="0A68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BF5543"/>
    <w:multiLevelType w:val="multilevel"/>
    <w:tmpl w:val="5206292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8FB35FA"/>
    <w:multiLevelType w:val="multilevel"/>
    <w:tmpl w:val="31CE0E4E"/>
    <w:styleLink w:val="ListBullets"/>
    <w:lvl w:ilvl="0">
      <w:start w:val="1"/>
      <w:numFmt w:val="bullet"/>
      <w:lvlText w:val=""/>
      <w:lvlJc w:val="left"/>
      <w:pPr>
        <w:ind w:left="198" w:hanging="198"/>
      </w:pPr>
      <w:rPr>
        <w:rFonts w:ascii="Symbol" w:hAnsi="Symbol" w:cs="Times New Roman" w:hint="default"/>
        <w:color w:val="004976" w:themeColor="background2"/>
      </w:rPr>
    </w:lvl>
    <w:lvl w:ilvl="1">
      <w:start w:val="1"/>
      <w:numFmt w:val="bullet"/>
      <w:lvlText w:val="–"/>
      <w:lvlJc w:val="left"/>
      <w:pPr>
        <w:ind w:left="396" w:hanging="198"/>
      </w:pPr>
      <w:rPr>
        <w:rFonts w:ascii="Century Gothic" w:hAnsi="Century Gothic" w:cs="Times New Roman" w:hint="default"/>
        <w:color w:val="000000" w:themeColor="text2"/>
      </w:rPr>
    </w:lvl>
    <w:lvl w:ilvl="2">
      <w:start w:val="1"/>
      <w:numFmt w:val="bullet"/>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34" w15:restartNumberingAfterBreak="0">
    <w:nsid w:val="4047190E"/>
    <w:multiLevelType w:val="hybridMultilevel"/>
    <w:tmpl w:val="EB84B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6BD154B"/>
    <w:multiLevelType w:val="hybridMultilevel"/>
    <w:tmpl w:val="D54EB8E4"/>
    <w:lvl w:ilvl="0" w:tplc="96F0E468">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9F7568"/>
    <w:multiLevelType w:val="multilevel"/>
    <w:tmpl w:val="B6D20B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BD037C8"/>
    <w:multiLevelType w:val="hybridMultilevel"/>
    <w:tmpl w:val="1A4418D0"/>
    <w:lvl w:ilvl="0" w:tplc="B874AB66">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BF36A88"/>
    <w:multiLevelType w:val="hybridMultilevel"/>
    <w:tmpl w:val="0A920638"/>
    <w:lvl w:ilvl="0" w:tplc="0C09000F">
      <w:start w:val="1"/>
      <w:numFmt w:val="decimal"/>
      <w:lvlText w:val="%1."/>
      <w:lvlJc w:val="left"/>
      <w:pPr>
        <w:ind w:left="928" w:hanging="360"/>
      </w:pPr>
      <w:rPr>
        <w:rFonts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9" w15:restartNumberingAfterBreak="0">
    <w:nsid w:val="4FEA7983"/>
    <w:multiLevelType w:val="hybridMultilevel"/>
    <w:tmpl w:val="F4087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0134078"/>
    <w:multiLevelType w:val="multilevel"/>
    <w:tmpl w:val="BC687694"/>
    <w:lvl w:ilvl="0">
      <w:start w:val="7"/>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C615DB"/>
    <w:multiLevelType w:val="hybridMultilevel"/>
    <w:tmpl w:val="54661DC6"/>
    <w:lvl w:ilvl="0" w:tplc="4A3A1866">
      <w:start w:val="1"/>
      <w:numFmt w:val="bullet"/>
      <w:pStyle w:val="TableBullet"/>
      <w:lvlText w:val=""/>
      <w:lvlJc w:val="left"/>
      <w:pPr>
        <w:ind w:left="720" w:hanging="360"/>
      </w:pPr>
      <w:rPr>
        <w:rFonts w:ascii="Symbol" w:hAnsi="Symbol" w:cs="Times New Roman" w:hint="default"/>
        <w:color w:val="004976"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11075B"/>
    <w:multiLevelType w:val="hybridMultilevel"/>
    <w:tmpl w:val="9DA44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EB30DF"/>
    <w:multiLevelType w:val="hybridMultilevel"/>
    <w:tmpl w:val="0A2CB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D94E06"/>
    <w:multiLevelType w:val="multilevel"/>
    <w:tmpl w:val="BF9C480C"/>
    <w:styleLink w:val="DividerNo"/>
    <w:lvl w:ilvl="0">
      <w:start w:val="1"/>
      <w:numFmt w:val="decimalZero"/>
      <w:pStyle w:val="DividerNumber"/>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4F72134"/>
    <w:multiLevelType w:val="hybridMultilevel"/>
    <w:tmpl w:val="2272F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51C2D03"/>
    <w:multiLevelType w:val="hybridMultilevel"/>
    <w:tmpl w:val="6294330C"/>
    <w:lvl w:ilvl="0" w:tplc="CCD82360">
      <w:start w:val="51"/>
      <w:numFmt w:val="bullet"/>
      <w:lvlText w:val="-"/>
      <w:lvlJc w:val="left"/>
      <w:pPr>
        <w:ind w:left="720" w:hanging="360"/>
      </w:pPr>
      <w:rPr>
        <w:rFonts w:ascii="Calibri" w:eastAsia="MS Mincho"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70396D"/>
    <w:multiLevelType w:val="hybridMultilevel"/>
    <w:tmpl w:val="BBD2E552"/>
    <w:lvl w:ilvl="0" w:tplc="631C90E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DAD5CB7"/>
    <w:multiLevelType w:val="hybridMultilevel"/>
    <w:tmpl w:val="4524E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BA4CA4"/>
    <w:multiLevelType w:val="hybridMultilevel"/>
    <w:tmpl w:val="D186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DF6DC8"/>
    <w:multiLevelType w:val="hybridMultilevel"/>
    <w:tmpl w:val="D54EB8E4"/>
    <w:lvl w:ilvl="0" w:tplc="96F0E468">
      <w:start w:val="1"/>
      <w:numFmt w:val="decimal"/>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5545C8E"/>
    <w:multiLevelType w:val="multilevel"/>
    <w:tmpl w:val="E6328EE8"/>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63F1626"/>
    <w:multiLevelType w:val="hybridMultilevel"/>
    <w:tmpl w:val="E2B4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192C3B"/>
    <w:multiLevelType w:val="hybridMultilevel"/>
    <w:tmpl w:val="FDF67A7A"/>
    <w:lvl w:ilvl="0" w:tplc="1F28C5DA">
      <w:start w:val="1663"/>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DD5510"/>
    <w:multiLevelType w:val="hybridMultilevel"/>
    <w:tmpl w:val="26D2ABA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6" w15:restartNumberingAfterBreak="0">
    <w:nsid w:val="7A561457"/>
    <w:multiLevelType w:val="hybridMultilevel"/>
    <w:tmpl w:val="7FF44502"/>
    <w:lvl w:ilvl="0" w:tplc="853A8F64">
      <w:start w:val="2"/>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7BCE5DDD"/>
    <w:multiLevelType w:val="hybridMultilevel"/>
    <w:tmpl w:val="77021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E30364"/>
    <w:multiLevelType w:val="multilevel"/>
    <w:tmpl w:val="657849D8"/>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F6A4EB4"/>
    <w:multiLevelType w:val="hybridMultilevel"/>
    <w:tmpl w:val="2EB4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4"/>
  </w:num>
  <w:num w:numId="4">
    <w:abstractNumId w:val="16"/>
  </w:num>
  <w:num w:numId="5">
    <w:abstractNumId w:val="33"/>
  </w:num>
  <w:num w:numId="6">
    <w:abstractNumId w:val="44"/>
  </w:num>
  <w:num w:numId="7">
    <w:abstractNumId w:val="3"/>
  </w:num>
  <w:num w:numId="8">
    <w:abstractNumId w:val="2"/>
  </w:num>
  <w:num w:numId="9">
    <w:abstractNumId w:val="1"/>
  </w:num>
  <w:num w:numId="10">
    <w:abstractNumId w:val="0"/>
  </w:num>
  <w:num w:numId="11">
    <w:abstractNumId w:val="7"/>
  </w:num>
  <w:num w:numId="12">
    <w:abstractNumId w:val="16"/>
  </w:num>
  <w:num w:numId="13">
    <w:abstractNumId w:val="41"/>
  </w:num>
  <w:num w:numId="14">
    <w:abstractNumId w:val="20"/>
  </w:num>
  <w:num w:numId="15">
    <w:abstractNumId w:val="50"/>
  </w:num>
  <w:num w:numId="16">
    <w:abstractNumId w:val="25"/>
  </w:num>
  <w:num w:numId="17">
    <w:abstractNumId w:val="38"/>
  </w:num>
  <w:num w:numId="18">
    <w:abstractNumId w:val="24"/>
  </w:num>
  <w:num w:numId="19">
    <w:abstractNumId w:val="23"/>
  </w:num>
  <w:num w:numId="20">
    <w:abstractNumId w:val="42"/>
  </w:num>
  <w:num w:numId="21">
    <w:abstractNumId w:val="35"/>
  </w:num>
  <w:num w:numId="22">
    <w:abstractNumId w:val="37"/>
  </w:num>
  <w:num w:numId="23">
    <w:abstractNumId w:val="28"/>
  </w:num>
  <w:num w:numId="24">
    <w:abstractNumId w:val="29"/>
  </w:num>
  <w:num w:numId="25">
    <w:abstractNumId w:val="34"/>
  </w:num>
  <w:num w:numId="26">
    <w:abstractNumId w:val="4"/>
  </w:num>
  <w:num w:numId="27">
    <w:abstractNumId w:val="6"/>
  </w:num>
  <w:num w:numId="28">
    <w:abstractNumId w:val="19"/>
  </w:num>
  <w:num w:numId="29">
    <w:abstractNumId w:val="53"/>
  </w:num>
  <w:num w:numId="30">
    <w:abstractNumId w:val="47"/>
  </w:num>
  <w:num w:numId="31">
    <w:abstractNumId w:val="5"/>
  </w:num>
  <w:num w:numId="32">
    <w:abstractNumId w:val="30"/>
  </w:num>
  <w:num w:numId="33">
    <w:abstractNumId w:val="55"/>
  </w:num>
  <w:num w:numId="34">
    <w:abstractNumId w:val="31"/>
  </w:num>
  <w:num w:numId="35">
    <w:abstractNumId w:val="45"/>
  </w:num>
  <w:num w:numId="36">
    <w:abstractNumId w:val="43"/>
  </w:num>
  <w:num w:numId="37">
    <w:abstractNumId w:val="22"/>
  </w:num>
  <w:num w:numId="38">
    <w:abstractNumId w:val="21"/>
  </w:num>
  <w:num w:numId="39">
    <w:abstractNumId w:val="10"/>
  </w:num>
  <w:num w:numId="40">
    <w:abstractNumId w:val="52"/>
  </w:num>
  <w:num w:numId="41">
    <w:abstractNumId w:val="39"/>
  </w:num>
  <w:num w:numId="42">
    <w:abstractNumId w:val="8"/>
  </w:num>
  <w:num w:numId="43">
    <w:abstractNumId w:val="48"/>
  </w:num>
  <w:num w:numId="44">
    <w:abstractNumId w:val="57"/>
  </w:num>
  <w:num w:numId="45">
    <w:abstractNumId w:val="11"/>
  </w:num>
  <w:num w:numId="46">
    <w:abstractNumId w:val="17"/>
  </w:num>
  <w:num w:numId="47">
    <w:abstractNumId w:val="56"/>
  </w:num>
  <w:num w:numId="48">
    <w:abstractNumId w:val="40"/>
  </w:num>
  <w:num w:numId="49">
    <w:abstractNumId w:val="36"/>
  </w:num>
  <w:num w:numId="50">
    <w:abstractNumId w:val="15"/>
  </w:num>
  <w:num w:numId="51">
    <w:abstractNumId w:val="49"/>
  </w:num>
  <w:num w:numId="52">
    <w:abstractNumId w:val="46"/>
  </w:num>
  <w:num w:numId="53">
    <w:abstractNumId w:val="13"/>
  </w:num>
  <w:num w:numId="54">
    <w:abstractNumId w:val="26"/>
  </w:num>
  <w:num w:numId="55">
    <w:abstractNumId w:val="27"/>
  </w:num>
  <w:num w:numId="56">
    <w:abstractNumId w:val="54"/>
  </w:num>
  <w:num w:numId="57">
    <w:abstractNumId w:val="12"/>
  </w:num>
  <w:num w:numId="58">
    <w:abstractNumId w:val="51"/>
  </w:num>
  <w:num w:numId="59">
    <w:abstractNumId w:val="59"/>
  </w:num>
  <w:num w:numId="60">
    <w:abstractNumId w:val="58"/>
  </w:num>
  <w:num w:numId="61">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removePersonalInformation/>
  <w:removeDateAndTime/>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9491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QzNTAxNzcyMLM0MDZU0lEKTi0uzszPAykwNqwFALNWKJ8tAAAA"/>
  </w:docVars>
  <w:rsids>
    <w:rsidRoot w:val="008B5C28"/>
    <w:rsid w:val="000000F3"/>
    <w:rsid w:val="00000331"/>
    <w:rsid w:val="00000381"/>
    <w:rsid w:val="00000BE6"/>
    <w:rsid w:val="00001A6E"/>
    <w:rsid w:val="00001F3A"/>
    <w:rsid w:val="00002536"/>
    <w:rsid w:val="00002E02"/>
    <w:rsid w:val="00003622"/>
    <w:rsid w:val="00004B64"/>
    <w:rsid w:val="000050EE"/>
    <w:rsid w:val="00005149"/>
    <w:rsid w:val="0000529A"/>
    <w:rsid w:val="0000542E"/>
    <w:rsid w:val="00005954"/>
    <w:rsid w:val="000063DA"/>
    <w:rsid w:val="000064AF"/>
    <w:rsid w:val="00006AA1"/>
    <w:rsid w:val="00006F13"/>
    <w:rsid w:val="000073A5"/>
    <w:rsid w:val="00007481"/>
    <w:rsid w:val="00007A26"/>
    <w:rsid w:val="0001005A"/>
    <w:rsid w:val="00010C68"/>
    <w:rsid w:val="0001103E"/>
    <w:rsid w:val="00011AF8"/>
    <w:rsid w:val="000125C1"/>
    <w:rsid w:val="000128AC"/>
    <w:rsid w:val="00012F6F"/>
    <w:rsid w:val="00013A5C"/>
    <w:rsid w:val="00013ADA"/>
    <w:rsid w:val="00013DA8"/>
    <w:rsid w:val="00014333"/>
    <w:rsid w:val="00014531"/>
    <w:rsid w:val="00014AAF"/>
    <w:rsid w:val="00014AC6"/>
    <w:rsid w:val="00015369"/>
    <w:rsid w:val="000153B4"/>
    <w:rsid w:val="0001572A"/>
    <w:rsid w:val="00015C35"/>
    <w:rsid w:val="00015C5A"/>
    <w:rsid w:val="00015DAF"/>
    <w:rsid w:val="00016B72"/>
    <w:rsid w:val="0001722E"/>
    <w:rsid w:val="0001752A"/>
    <w:rsid w:val="000178C8"/>
    <w:rsid w:val="00017953"/>
    <w:rsid w:val="00020A94"/>
    <w:rsid w:val="00020B12"/>
    <w:rsid w:val="00020BF9"/>
    <w:rsid w:val="00020F30"/>
    <w:rsid w:val="00020FC9"/>
    <w:rsid w:val="000214D2"/>
    <w:rsid w:val="000215FE"/>
    <w:rsid w:val="00021735"/>
    <w:rsid w:val="00021B12"/>
    <w:rsid w:val="000222AA"/>
    <w:rsid w:val="00022320"/>
    <w:rsid w:val="000225D6"/>
    <w:rsid w:val="00022DA1"/>
    <w:rsid w:val="00023230"/>
    <w:rsid w:val="00023382"/>
    <w:rsid w:val="00024364"/>
    <w:rsid w:val="00024604"/>
    <w:rsid w:val="00024D2C"/>
    <w:rsid w:val="00024E71"/>
    <w:rsid w:val="00026A5D"/>
    <w:rsid w:val="000272E7"/>
    <w:rsid w:val="00027D54"/>
    <w:rsid w:val="00027FBA"/>
    <w:rsid w:val="00030015"/>
    <w:rsid w:val="000303E2"/>
    <w:rsid w:val="00030C49"/>
    <w:rsid w:val="00031458"/>
    <w:rsid w:val="000319A2"/>
    <w:rsid w:val="00031B7C"/>
    <w:rsid w:val="00031D30"/>
    <w:rsid w:val="000320E2"/>
    <w:rsid w:val="0003327B"/>
    <w:rsid w:val="000332DD"/>
    <w:rsid w:val="00033E9A"/>
    <w:rsid w:val="000340F1"/>
    <w:rsid w:val="000345BD"/>
    <w:rsid w:val="00034622"/>
    <w:rsid w:val="00034D7F"/>
    <w:rsid w:val="000355BA"/>
    <w:rsid w:val="00035780"/>
    <w:rsid w:val="00035DD4"/>
    <w:rsid w:val="000365ED"/>
    <w:rsid w:val="000379A1"/>
    <w:rsid w:val="00037DB5"/>
    <w:rsid w:val="00037ED9"/>
    <w:rsid w:val="0004034A"/>
    <w:rsid w:val="00040BDB"/>
    <w:rsid w:val="00040BDF"/>
    <w:rsid w:val="00041201"/>
    <w:rsid w:val="000412B4"/>
    <w:rsid w:val="000412E6"/>
    <w:rsid w:val="0004208F"/>
    <w:rsid w:val="000423EB"/>
    <w:rsid w:val="00042844"/>
    <w:rsid w:val="00042E6A"/>
    <w:rsid w:val="0004346B"/>
    <w:rsid w:val="0004363D"/>
    <w:rsid w:val="000441EE"/>
    <w:rsid w:val="0004557A"/>
    <w:rsid w:val="00045719"/>
    <w:rsid w:val="00046501"/>
    <w:rsid w:val="000466D4"/>
    <w:rsid w:val="00046882"/>
    <w:rsid w:val="00046E92"/>
    <w:rsid w:val="00047166"/>
    <w:rsid w:val="00047477"/>
    <w:rsid w:val="00050506"/>
    <w:rsid w:val="00050860"/>
    <w:rsid w:val="00050986"/>
    <w:rsid w:val="000515C6"/>
    <w:rsid w:val="00051B55"/>
    <w:rsid w:val="00051CD8"/>
    <w:rsid w:val="0005230F"/>
    <w:rsid w:val="0005233D"/>
    <w:rsid w:val="00052548"/>
    <w:rsid w:val="00052A5A"/>
    <w:rsid w:val="000534AD"/>
    <w:rsid w:val="00053D37"/>
    <w:rsid w:val="00053F62"/>
    <w:rsid w:val="00054465"/>
    <w:rsid w:val="000544E1"/>
    <w:rsid w:val="00054733"/>
    <w:rsid w:val="00054CD1"/>
    <w:rsid w:val="00055070"/>
    <w:rsid w:val="000555A7"/>
    <w:rsid w:val="00056527"/>
    <w:rsid w:val="00056FC0"/>
    <w:rsid w:val="000572D4"/>
    <w:rsid w:val="000573BF"/>
    <w:rsid w:val="000575E8"/>
    <w:rsid w:val="000576FE"/>
    <w:rsid w:val="0006043E"/>
    <w:rsid w:val="000605B7"/>
    <w:rsid w:val="00060C63"/>
    <w:rsid w:val="0006146D"/>
    <w:rsid w:val="0006182D"/>
    <w:rsid w:val="00061A30"/>
    <w:rsid w:val="00061C9E"/>
    <w:rsid w:val="00062056"/>
    <w:rsid w:val="00062788"/>
    <w:rsid w:val="00062938"/>
    <w:rsid w:val="00062B76"/>
    <w:rsid w:val="00063081"/>
    <w:rsid w:val="00063985"/>
    <w:rsid w:val="00063C6A"/>
    <w:rsid w:val="00064AD0"/>
    <w:rsid w:val="00065774"/>
    <w:rsid w:val="0006692B"/>
    <w:rsid w:val="00067803"/>
    <w:rsid w:val="00070395"/>
    <w:rsid w:val="00070D0A"/>
    <w:rsid w:val="00071096"/>
    <w:rsid w:val="00072201"/>
    <w:rsid w:val="000726D5"/>
    <w:rsid w:val="000734BB"/>
    <w:rsid w:val="0007453A"/>
    <w:rsid w:val="000750C4"/>
    <w:rsid w:val="0007512F"/>
    <w:rsid w:val="000761B6"/>
    <w:rsid w:val="00076747"/>
    <w:rsid w:val="00076B00"/>
    <w:rsid w:val="00076FD8"/>
    <w:rsid w:val="00077035"/>
    <w:rsid w:val="000774D8"/>
    <w:rsid w:val="00077945"/>
    <w:rsid w:val="00077D64"/>
    <w:rsid w:val="000806FB"/>
    <w:rsid w:val="00080EB1"/>
    <w:rsid w:val="00080F17"/>
    <w:rsid w:val="00080FD0"/>
    <w:rsid w:val="00081AB9"/>
    <w:rsid w:val="0008212D"/>
    <w:rsid w:val="0008247F"/>
    <w:rsid w:val="00082EB8"/>
    <w:rsid w:val="0008317C"/>
    <w:rsid w:val="0008360D"/>
    <w:rsid w:val="00083AE8"/>
    <w:rsid w:val="0008416A"/>
    <w:rsid w:val="00084A01"/>
    <w:rsid w:val="00084C68"/>
    <w:rsid w:val="000850E7"/>
    <w:rsid w:val="00085501"/>
    <w:rsid w:val="00085866"/>
    <w:rsid w:val="00085F84"/>
    <w:rsid w:val="00086539"/>
    <w:rsid w:val="000865F0"/>
    <w:rsid w:val="000867D9"/>
    <w:rsid w:val="00086B8B"/>
    <w:rsid w:val="00090164"/>
    <w:rsid w:val="0009078A"/>
    <w:rsid w:val="000911CF"/>
    <w:rsid w:val="000917A8"/>
    <w:rsid w:val="00091C94"/>
    <w:rsid w:val="00092ABD"/>
    <w:rsid w:val="000930FC"/>
    <w:rsid w:val="00093181"/>
    <w:rsid w:val="00093D6F"/>
    <w:rsid w:val="00094158"/>
    <w:rsid w:val="00094359"/>
    <w:rsid w:val="00094C5F"/>
    <w:rsid w:val="00094F5A"/>
    <w:rsid w:val="00094FD3"/>
    <w:rsid w:val="0009638E"/>
    <w:rsid w:val="000964FA"/>
    <w:rsid w:val="000967A8"/>
    <w:rsid w:val="000970A7"/>
    <w:rsid w:val="0009759F"/>
    <w:rsid w:val="00097CD5"/>
    <w:rsid w:val="000A03F2"/>
    <w:rsid w:val="000A058B"/>
    <w:rsid w:val="000A0711"/>
    <w:rsid w:val="000A0AA6"/>
    <w:rsid w:val="000A0BE5"/>
    <w:rsid w:val="000A1291"/>
    <w:rsid w:val="000A1ADE"/>
    <w:rsid w:val="000A1BDA"/>
    <w:rsid w:val="000A1F37"/>
    <w:rsid w:val="000A2165"/>
    <w:rsid w:val="000A219C"/>
    <w:rsid w:val="000A228B"/>
    <w:rsid w:val="000A2DB3"/>
    <w:rsid w:val="000A302F"/>
    <w:rsid w:val="000A353A"/>
    <w:rsid w:val="000A3C3B"/>
    <w:rsid w:val="000A3FF3"/>
    <w:rsid w:val="000A4A09"/>
    <w:rsid w:val="000A4B7C"/>
    <w:rsid w:val="000A507B"/>
    <w:rsid w:val="000A671C"/>
    <w:rsid w:val="000A6EB1"/>
    <w:rsid w:val="000A7743"/>
    <w:rsid w:val="000B1078"/>
    <w:rsid w:val="000B1424"/>
    <w:rsid w:val="000B14A9"/>
    <w:rsid w:val="000B20BE"/>
    <w:rsid w:val="000B2311"/>
    <w:rsid w:val="000B29CD"/>
    <w:rsid w:val="000B3144"/>
    <w:rsid w:val="000B3D15"/>
    <w:rsid w:val="000B3FB9"/>
    <w:rsid w:val="000B499F"/>
    <w:rsid w:val="000B50B7"/>
    <w:rsid w:val="000B570B"/>
    <w:rsid w:val="000B579E"/>
    <w:rsid w:val="000B6697"/>
    <w:rsid w:val="000B6B1D"/>
    <w:rsid w:val="000B6B5B"/>
    <w:rsid w:val="000B6D65"/>
    <w:rsid w:val="000B6D86"/>
    <w:rsid w:val="000B7A93"/>
    <w:rsid w:val="000C00FF"/>
    <w:rsid w:val="000C0480"/>
    <w:rsid w:val="000C0FAD"/>
    <w:rsid w:val="000C122C"/>
    <w:rsid w:val="000C16EF"/>
    <w:rsid w:val="000C1D3E"/>
    <w:rsid w:val="000C1DEA"/>
    <w:rsid w:val="000C2E24"/>
    <w:rsid w:val="000C2EB8"/>
    <w:rsid w:val="000C30E0"/>
    <w:rsid w:val="000C3296"/>
    <w:rsid w:val="000C3308"/>
    <w:rsid w:val="000C3F22"/>
    <w:rsid w:val="000C42B5"/>
    <w:rsid w:val="000C452E"/>
    <w:rsid w:val="000C550D"/>
    <w:rsid w:val="000C5CC6"/>
    <w:rsid w:val="000C631F"/>
    <w:rsid w:val="000C6471"/>
    <w:rsid w:val="000C68B0"/>
    <w:rsid w:val="000C6C0A"/>
    <w:rsid w:val="000C7546"/>
    <w:rsid w:val="000C7563"/>
    <w:rsid w:val="000C7ABA"/>
    <w:rsid w:val="000D1BC1"/>
    <w:rsid w:val="000D2225"/>
    <w:rsid w:val="000D22EC"/>
    <w:rsid w:val="000D2EFC"/>
    <w:rsid w:val="000D3486"/>
    <w:rsid w:val="000D38E2"/>
    <w:rsid w:val="000D3C6E"/>
    <w:rsid w:val="000D4C31"/>
    <w:rsid w:val="000D58DE"/>
    <w:rsid w:val="000D5B70"/>
    <w:rsid w:val="000D5F7B"/>
    <w:rsid w:val="000D6B56"/>
    <w:rsid w:val="000D6EA7"/>
    <w:rsid w:val="000D76C8"/>
    <w:rsid w:val="000D7ED4"/>
    <w:rsid w:val="000E04A8"/>
    <w:rsid w:val="000E0C55"/>
    <w:rsid w:val="000E1198"/>
    <w:rsid w:val="000E1B2F"/>
    <w:rsid w:val="000E21CA"/>
    <w:rsid w:val="000E241B"/>
    <w:rsid w:val="000E2B7F"/>
    <w:rsid w:val="000E2D7C"/>
    <w:rsid w:val="000E4191"/>
    <w:rsid w:val="000E4A5D"/>
    <w:rsid w:val="000E4A75"/>
    <w:rsid w:val="000E5422"/>
    <w:rsid w:val="000E5BBD"/>
    <w:rsid w:val="000E63B4"/>
    <w:rsid w:val="000E6771"/>
    <w:rsid w:val="000E69C7"/>
    <w:rsid w:val="000E6D31"/>
    <w:rsid w:val="000E6EAE"/>
    <w:rsid w:val="000E70C4"/>
    <w:rsid w:val="000E7510"/>
    <w:rsid w:val="000E771D"/>
    <w:rsid w:val="000E7EEC"/>
    <w:rsid w:val="000E7F2F"/>
    <w:rsid w:val="000F0051"/>
    <w:rsid w:val="000F0290"/>
    <w:rsid w:val="000F0FED"/>
    <w:rsid w:val="000F187B"/>
    <w:rsid w:val="000F234C"/>
    <w:rsid w:val="000F29CC"/>
    <w:rsid w:val="000F2A9B"/>
    <w:rsid w:val="000F2F0B"/>
    <w:rsid w:val="000F34AD"/>
    <w:rsid w:val="000F3CFA"/>
    <w:rsid w:val="000F3DB4"/>
    <w:rsid w:val="000F3F41"/>
    <w:rsid w:val="000F420F"/>
    <w:rsid w:val="000F49B8"/>
    <w:rsid w:val="000F4D5A"/>
    <w:rsid w:val="000F5436"/>
    <w:rsid w:val="000F6618"/>
    <w:rsid w:val="000F6740"/>
    <w:rsid w:val="000F68B6"/>
    <w:rsid w:val="000F6EEE"/>
    <w:rsid w:val="000F7AFB"/>
    <w:rsid w:val="0010056F"/>
    <w:rsid w:val="00100850"/>
    <w:rsid w:val="00100BEE"/>
    <w:rsid w:val="00101431"/>
    <w:rsid w:val="001016B3"/>
    <w:rsid w:val="001022F7"/>
    <w:rsid w:val="001028B2"/>
    <w:rsid w:val="00103006"/>
    <w:rsid w:val="001031D2"/>
    <w:rsid w:val="00103270"/>
    <w:rsid w:val="0010383A"/>
    <w:rsid w:val="001052D3"/>
    <w:rsid w:val="001057D3"/>
    <w:rsid w:val="00105904"/>
    <w:rsid w:val="0010645F"/>
    <w:rsid w:val="00106676"/>
    <w:rsid w:val="0010753D"/>
    <w:rsid w:val="00107939"/>
    <w:rsid w:val="00107AAB"/>
    <w:rsid w:val="00107FE5"/>
    <w:rsid w:val="00111EC9"/>
    <w:rsid w:val="001121A3"/>
    <w:rsid w:val="00112236"/>
    <w:rsid w:val="001124B6"/>
    <w:rsid w:val="001128AF"/>
    <w:rsid w:val="00112B07"/>
    <w:rsid w:val="00112ED6"/>
    <w:rsid w:val="001133F8"/>
    <w:rsid w:val="00114171"/>
    <w:rsid w:val="00114BA8"/>
    <w:rsid w:val="00115B6A"/>
    <w:rsid w:val="00116B1D"/>
    <w:rsid w:val="001177D8"/>
    <w:rsid w:val="00117A0B"/>
    <w:rsid w:val="00117D89"/>
    <w:rsid w:val="00117F67"/>
    <w:rsid w:val="00117F7F"/>
    <w:rsid w:val="00120230"/>
    <w:rsid w:val="00120583"/>
    <w:rsid w:val="001208E1"/>
    <w:rsid w:val="00120D26"/>
    <w:rsid w:val="00121728"/>
    <w:rsid w:val="001218E0"/>
    <w:rsid w:val="00121905"/>
    <w:rsid w:val="00121C91"/>
    <w:rsid w:val="00123744"/>
    <w:rsid w:val="00123ABD"/>
    <w:rsid w:val="00124CBE"/>
    <w:rsid w:val="00126188"/>
    <w:rsid w:val="0012687C"/>
    <w:rsid w:val="00126A59"/>
    <w:rsid w:val="0012702C"/>
    <w:rsid w:val="001270BB"/>
    <w:rsid w:val="00127ACA"/>
    <w:rsid w:val="0013020E"/>
    <w:rsid w:val="0013057A"/>
    <w:rsid w:val="00130854"/>
    <w:rsid w:val="00130E66"/>
    <w:rsid w:val="00130FAF"/>
    <w:rsid w:val="001312B8"/>
    <w:rsid w:val="00131BB0"/>
    <w:rsid w:val="001324BA"/>
    <w:rsid w:val="00133943"/>
    <w:rsid w:val="00133FA0"/>
    <w:rsid w:val="0013447C"/>
    <w:rsid w:val="00135900"/>
    <w:rsid w:val="00136333"/>
    <w:rsid w:val="001366FF"/>
    <w:rsid w:val="0013698D"/>
    <w:rsid w:val="001375CF"/>
    <w:rsid w:val="001375D1"/>
    <w:rsid w:val="00137984"/>
    <w:rsid w:val="00137AFD"/>
    <w:rsid w:val="00140E22"/>
    <w:rsid w:val="0014111E"/>
    <w:rsid w:val="00141437"/>
    <w:rsid w:val="00141991"/>
    <w:rsid w:val="00141D5A"/>
    <w:rsid w:val="00141D95"/>
    <w:rsid w:val="001424BF"/>
    <w:rsid w:val="00142E01"/>
    <w:rsid w:val="0014377E"/>
    <w:rsid w:val="00143AFA"/>
    <w:rsid w:val="00144142"/>
    <w:rsid w:val="0014430F"/>
    <w:rsid w:val="001452F0"/>
    <w:rsid w:val="001454CB"/>
    <w:rsid w:val="00145ACE"/>
    <w:rsid w:val="00145F2C"/>
    <w:rsid w:val="001503C7"/>
    <w:rsid w:val="00150628"/>
    <w:rsid w:val="001510AA"/>
    <w:rsid w:val="001511B8"/>
    <w:rsid w:val="0015159D"/>
    <w:rsid w:val="001519FC"/>
    <w:rsid w:val="00151AC9"/>
    <w:rsid w:val="001524E3"/>
    <w:rsid w:val="0015260F"/>
    <w:rsid w:val="00153067"/>
    <w:rsid w:val="00153859"/>
    <w:rsid w:val="0015553F"/>
    <w:rsid w:val="001556B5"/>
    <w:rsid w:val="001561A1"/>
    <w:rsid w:val="0015658C"/>
    <w:rsid w:val="00156F34"/>
    <w:rsid w:val="00156FBD"/>
    <w:rsid w:val="0015702B"/>
    <w:rsid w:val="00157052"/>
    <w:rsid w:val="00157B6E"/>
    <w:rsid w:val="001606A5"/>
    <w:rsid w:val="00160845"/>
    <w:rsid w:val="00161574"/>
    <w:rsid w:val="00161EE4"/>
    <w:rsid w:val="001620B7"/>
    <w:rsid w:val="00162175"/>
    <w:rsid w:val="00162523"/>
    <w:rsid w:val="001625F0"/>
    <w:rsid w:val="001633B2"/>
    <w:rsid w:val="00163766"/>
    <w:rsid w:val="001639E4"/>
    <w:rsid w:val="00164A1B"/>
    <w:rsid w:val="00164CD8"/>
    <w:rsid w:val="0016507E"/>
    <w:rsid w:val="001652FF"/>
    <w:rsid w:val="0016604D"/>
    <w:rsid w:val="00167501"/>
    <w:rsid w:val="00170358"/>
    <w:rsid w:val="00170E53"/>
    <w:rsid w:val="00170FEC"/>
    <w:rsid w:val="0017119E"/>
    <w:rsid w:val="00171BDD"/>
    <w:rsid w:val="001725F6"/>
    <w:rsid w:val="0017333F"/>
    <w:rsid w:val="001733EF"/>
    <w:rsid w:val="00174181"/>
    <w:rsid w:val="0017507A"/>
    <w:rsid w:val="0017596E"/>
    <w:rsid w:val="00176926"/>
    <w:rsid w:val="00176E05"/>
    <w:rsid w:val="00176E17"/>
    <w:rsid w:val="00176EC7"/>
    <w:rsid w:val="00177077"/>
    <w:rsid w:val="00177264"/>
    <w:rsid w:val="00177E69"/>
    <w:rsid w:val="00177FD5"/>
    <w:rsid w:val="00177FFD"/>
    <w:rsid w:val="00180D57"/>
    <w:rsid w:val="001813EC"/>
    <w:rsid w:val="0018243A"/>
    <w:rsid w:val="00183055"/>
    <w:rsid w:val="001836B7"/>
    <w:rsid w:val="00183E28"/>
    <w:rsid w:val="00184352"/>
    <w:rsid w:val="00184979"/>
    <w:rsid w:val="00184C11"/>
    <w:rsid w:val="00184D76"/>
    <w:rsid w:val="00186734"/>
    <w:rsid w:val="001867A4"/>
    <w:rsid w:val="00186AEE"/>
    <w:rsid w:val="00186FCA"/>
    <w:rsid w:val="00187CD9"/>
    <w:rsid w:val="001917B0"/>
    <w:rsid w:val="00191A70"/>
    <w:rsid w:val="00191C92"/>
    <w:rsid w:val="0019255E"/>
    <w:rsid w:val="00192746"/>
    <w:rsid w:val="001929F4"/>
    <w:rsid w:val="001932C8"/>
    <w:rsid w:val="001936B3"/>
    <w:rsid w:val="00193CEC"/>
    <w:rsid w:val="00194051"/>
    <w:rsid w:val="0019421A"/>
    <w:rsid w:val="001949C8"/>
    <w:rsid w:val="00194D01"/>
    <w:rsid w:val="0019513C"/>
    <w:rsid w:val="00195838"/>
    <w:rsid w:val="00195DD4"/>
    <w:rsid w:val="00195F27"/>
    <w:rsid w:val="00196358"/>
    <w:rsid w:val="001968F3"/>
    <w:rsid w:val="00196F06"/>
    <w:rsid w:val="001970C3"/>
    <w:rsid w:val="001971BD"/>
    <w:rsid w:val="00197212"/>
    <w:rsid w:val="001978E1"/>
    <w:rsid w:val="00197C93"/>
    <w:rsid w:val="001A04AC"/>
    <w:rsid w:val="001A04C4"/>
    <w:rsid w:val="001A0BAC"/>
    <w:rsid w:val="001A1698"/>
    <w:rsid w:val="001A1ABA"/>
    <w:rsid w:val="001A1D62"/>
    <w:rsid w:val="001A2697"/>
    <w:rsid w:val="001A2828"/>
    <w:rsid w:val="001A2900"/>
    <w:rsid w:val="001A2C8A"/>
    <w:rsid w:val="001A2E56"/>
    <w:rsid w:val="001A3C17"/>
    <w:rsid w:val="001A3E05"/>
    <w:rsid w:val="001A408E"/>
    <w:rsid w:val="001A4BF4"/>
    <w:rsid w:val="001A4C28"/>
    <w:rsid w:val="001A564D"/>
    <w:rsid w:val="001A64AB"/>
    <w:rsid w:val="001A6EA0"/>
    <w:rsid w:val="001A6FEF"/>
    <w:rsid w:val="001A7260"/>
    <w:rsid w:val="001A74AB"/>
    <w:rsid w:val="001A777E"/>
    <w:rsid w:val="001B0502"/>
    <w:rsid w:val="001B0DED"/>
    <w:rsid w:val="001B186C"/>
    <w:rsid w:val="001B204B"/>
    <w:rsid w:val="001B24BF"/>
    <w:rsid w:val="001B284B"/>
    <w:rsid w:val="001B48B9"/>
    <w:rsid w:val="001B4C0E"/>
    <w:rsid w:val="001B4E26"/>
    <w:rsid w:val="001B4F4B"/>
    <w:rsid w:val="001B5B22"/>
    <w:rsid w:val="001B5CD4"/>
    <w:rsid w:val="001B6DBF"/>
    <w:rsid w:val="001B7A1B"/>
    <w:rsid w:val="001B7D1C"/>
    <w:rsid w:val="001B7D71"/>
    <w:rsid w:val="001B7EAF"/>
    <w:rsid w:val="001C012B"/>
    <w:rsid w:val="001C097A"/>
    <w:rsid w:val="001C119A"/>
    <w:rsid w:val="001C11BE"/>
    <w:rsid w:val="001C18AB"/>
    <w:rsid w:val="001C1965"/>
    <w:rsid w:val="001C22AD"/>
    <w:rsid w:val="001C3192"/>
    <w:rsid w:val="001C3863"/>
    <w:rsid w:val="001C3895"/>
    <w:rsid w:val="001C396E"/>
    <w:rsid w:val="001C3A10"/>
    <w:rsid w:val="001C3A2B"/>
    <w:rsid w:val="001C3BC3"/>
    <w:rsid w:val="001C426A"/>
    <w:rsid w:val="001C44DA"/>
    <w:rsid w:val="001C4AAF"/>
    <w:rsid w:val="001C5362"/>
    <w:rsid w:val="001C58D8"/>
    <w:rsid w:val="001C5B8B"/>
    <w:rsid w:val="001C620D"/>
    <w:rsid w:val="001C6425"/>
    <w:rsid w:val="001C66EC"/>
    <w:rsid w:val="001C6FD4"/>
    <w:rsid w:val="001C7855"/>
    <w:rsid w:val="001C7C43"/>
    <w:rsid w:val="001D0983"/>
    <w:rsid w:val="001D0E1F"/>
    <w:rsid w:val="001D1261"/>
    <w:rsid w:val="001D13E6"/>
    <w:rsid w:val="001D1793"/>
    <w:rsid w:val="001D1915"/>
    <w:rsid w:val="001D1E1F"/>
    <w:rsid w:val="001D264A"/>
    <w:rsid w:val="001D2C6F"/>
    <w:rsid w:val="001D2CA8"/>
    <w:rsid w:val="001D3873"/>
    <w:rsid w:val="001D475F"/>
    <w:rsid w:val="001D48D1"/>
    <w:rsid w:val="001D4C56"/>
    <w:rsid w:val="001D4CDB"/>
    <w:rsid w:val="001D5148"/>
    <w:rsid w:val="001D627E"/>
    <w:rsid w:val="001D644E"/>
    <w:rsid w:val="001D6889"/>
    <w:rsid w:val="001D6934"/>
    <w:rsid w:val="001D696E"/>
    <w:rsid w:val="001D6AFE"/>
    <w:rsid w:val="001D72E3"/>
    <w:rsid w:val="001E0AD2"/>
    <w:rsid w:val="001E0BC7"/>
    <w:rsid w:val="001E0E53"/>
    <w:rsid w:val="001E0E72"/>
    <w:rsid w:val="001E148C"/>
    <w:rsid w:val="001E1496"/>
    <w:rsid w:val="001E14C0"/>
    <w:rsid w:val="001E1CDB"/>
    <w:rsid w:val="001E1E85"/>
    <w:rsid w:val="001E21D8"/>
    <w:rsid w:val="001E28A2"/>
    <w:rsid w:val="001E2916"/>
    <w:rsid w:val="001E2BA0"/>
    <w:rsid w:val="001E320E"/>
    <w:rsid w:val="001E32C1"/>
    <w:rsid w:val="001E392F"/>
    <w:rsid w:val="001E3C4D"/>
    <w:rsid w:val="001E43EC"/>
    <w:rsid w:val="001E458B"/>
    <w:rsid w:val="001E4AB1"/>
    <w:rsid w:val="001E4EF8"/>
    <w:rsid w:val="001E54C7"/>
    <w:rsid w:val="001E5C0F"/>
    <w:rsid w:val="001E6150"/>
    <w:rsid w:val="001E67DF"/>
    <w:rsid w:val="001E6913"/>
    <w:rsid w:val="001E6A56"/>
    <w:rsid w:val="001E6C06"/>
    <w:rsid w:val="001E6E82"/>
    <w:rsid w:val="001E753F"/>
    <w:rsid w:val="001E7659"/>
    <w:rsid w:val="001F026C"/>
    <w:rsid w:val="001F062C"/>
    <w:rsid w:val="001F0C1E"/>
    <w:rsid w:val="001F1FDD"/>
    <w:rsid w:val="001F2103"/>
    <w:rsid w:val="001F22B8"/>
    <w:rsid w:val="001F254E"/>
    <w:rsid w:val="001F2CE8"/>
    <w:rsid w:val="001F32FD"/>
    <w:rsid w:val="001F443D"/>
    <w:rsid w:val="001F4499"/>
    <w:rsid w:val="001F4833"/>
    <w:rsid w:val="001F5A9F"/>
    <w:rsid w:val="001F5D70"/>
    <w:rsid w:val="001F5DF0"/>
    <w:rsid w:val="001F606D"/>
    <w:rsid w:val="001F6B7C"/>
    <w:rsid w:val="001F79AB"/>
    <w:rsid w:val="001F7B19"/>
    <w:rsid w:val="001F7D1B"/>
    <w:rsid w:val="001F7E4B"/>
    <w:rsid w:val="002002ED"/>
    <w:rsid w:val="002004C8"/>
    <w:rsid w:val="00200B61"/>
    <w:rsid w:val="00201374"/>
    <w:rsid w:val="00201A32"/>
    <w:rsid w:val="00201AE5"/>
    <w:rsid w:val="00201DC9"/>
    <w:rsid w:val="00201ECC"/>
    <w:rsid w:val="0020285C"/>
    <w:rsid w:val="00202B88"/>
    <w:rsid w:val="0020391D"/>
    <w:rsid w:val="00203C01"/>
    <w:rsid w:val="00203ED4"/>
    <w:rsid w:val="00204DAA"/>
    <w:rsid w:val="00205961"/>
    <w:rsid w:val="00205F70"/>
    <w:rsid w:val="00206445"/>
    <w:rsid w:val="00206649"/>
    <w:rsid w:val="002069EA"/>
    <w:rsid w:val="00206C92"/>
    <w:rsid w:val="00207A38"/>
    <w:rsid w:val="00207F4B"/>
    <w:rsid w:val="002103B0"/>
    <w:rsid w:val="00210E31"/>
    <w:rsid w:val="00211396"/>
    <w:rsid w:val="00211666"/>
    <w:rsid w:val="002119C0"/>
    <w:rsid w:val="002124A7"/>
    <w:rsid w:val="00213180"/>
    <w:rsid w:val="002133AC"/>
    <w:rsid w:val="002148A8"/>
    <w:rsid w:val="00214B17"/>
    <w:rsid w:val="00214BF3"/>
    <w:rsid w:val="00214DBF"/>
    <w:rsid w:val="00215445"/>
    <w:rsid w:val="00215E69"/>
    <w:rsid w:val="00216AF7"/>
    <w:rsid w:val="002171C8"/>
    <w:rsid w:val="00217699"/>
    <w:rsid w:val="00217B38"/>
    <w:rsid w:val="00220137"/>
    <w:rsid w:val="00220502"/>
    <w:rsid w:val="002206ED"/>
    <w:rsid w:val="00221206"/>
    <w:rsid w:val="0022163C"/>
    <w:rsid w:val="00221BBF"/>
    <w:rsid w:val="0022226A"/>
    <w:rsid w:val="002236ED"/>
    <w:rsid w:val="00223C56"/>
    <w:rsid w:val="00223EE7"/>
    <w:rsid w:val="002243AA"/>
    <w:rsid w:val="00224803"/>
    <w:rsid w:val="00224E5C"/>
    <w:rsid w:val="00224FFF"/>
    <w:rsid w:val="00226231"/>
    <w:rsid w:val="0022675C"/>
    <w:rsid w:val="00227010"/>
    <w:rsid w:val="00227406"/>
    <w:rsid w:val="002274D8"/>
    <w:rsid w:val="00230772"/>
    <w:rsid w:val="00231073"/>
    <w:rsid w:val="00231A2A"/>
    <w:rsid w:val="0023227D"/>
    <w:rsid w:val="00232370"/>
    <w:rsid w:val="00232CF3"/>
    <w:rsid w:val="00232F1F"/>
    <w:rsid w:val="002332A7"/>
    <w:rsid w:val="00233366"/>
    <w:rsid w:val="00233391"/>
    <w:rsid w:val="0023406E"/>
    <w:rsid w:val="002340AE"/>
    <w:rsid w:val="00235429"/>
    <w:rsid w:val="002357A2"/>
    <w:rsid w:val="00236568"/>
    <w:rsid w:val="0023699E"/>
    <w:rsid w:val="00237E80"/>
    <w:rsid w:val="00240979"/>
    <w:rsid w:val="00240E24"/>
    <w:rsid w:val="002414B7"/>
    <w:rsid w:val="002418A2"/>
    <w:rsid w:val="00241B9E"/>
    <w:rsid w:val="0024235D"/>
    <w:rsid w:val="0024275D"/>
    <w:rsid w:val="002430A5"/>
    <w:rsid w:val="00243605"/>
    <w:rsid w:val="0024387D"/>
    <w:rsid w:val="00243F1A"/>
    <w:rsid w:val="00244622"/>
    <w:rsid w:val="00244908"/>
    <w:rsid w:val="00244BF8"/>
    <w:rsid w:val="00244C57"/>
    <w:rsid w:val="00244E1D"/>
    <w:rsid w:val="0024585F"/>
    <w:rsid w:val="002459C6"/>
    <w:rsid w:val="00245C2F"/>
    <w:rsid w:val="00245E3C"/>
    <w:rsid w:val="00246206"/>
    <w:rsid w:val="0024649D"/>
    <w:rsid w:val="00246C8E"/>
    <w:rsid w:val="00246F73"/>
    <w:rsid w:val="00251DA3"/>
    <w:rsid w:val="002525F1"/>
    <w:rsid w:val="00252A64"/>
    <w:rsid w:val="00252D92"/>
    <w:rsid w:val="00252FDD"/>
    <w:rsid w:val="00253002"/>
    <w:rsid w:val="002539D6"/>
    <w:rsid w:val="00253A45"/>
    <w:rsid w:val="00253CA9"/>
    <w:rsid w:val="002540E1"/>
    <w:rsid w:val="002544C6"/>
    <w:rsid w:val="00254C25"/>
    <w:rsid w:val="00254D5D"/>
    <w:rsid w:val="00254E7E"/>
    <w:rsid w:val="002556A0"/>
    <w:rsid w:val="00255B2D"/>
    <w:rsid w:val="00255F6B"/>
    <w:rsid w:val="00256808"/>
    <w:rsid w:val="002574E0"/>
    <w:rsid w:val="00257847"/>
    <w:rsid w:val="00257CE8"/>
    <w:rsid w:val="00257D32"/>
    <w:rsid w:val="00257E5F"/>
    <w:rsid w:val="00257F15"/>
    <w:rsid w:val="00260162"/>
    <w:rsid w:val="00260F3D"/>
    <w:rsid w:val="00262659"/>
    <w:rsid w:val="00262904"/>
    <w:rsid w:val="00262A58"/>
    <w:rsid w:val="00263B7C"/>
    <w:rsid w:val="002642FB"/>
    <w:rsid w:val="0026435D"/>
    <w:rsid w:val="00264911"/>
    <w:rsid w:val="00264F20"/>
    <w:rsid w:val="0026510C"/>
    <w:rsid w:val="002652BD"/>
    <w:rsid w:val="002661F6"/>
    <w:rsid w:val="00266AFF"/>
    <w:rsid w:val="00266DAB"/>
    <w:rsid w:val="00266EB3"/>
    <w:rsid w:val="00266FE5"/>
    <w:rsid w:val="00267333"/>
    <w:rsid w:val="00270BE6"/>
    <w:rsid w:val="00270D29"/>
    <w:rsid w:val="00271264"/>
    <w:rsid w:val="00271D0B"/>
    <w:rsid w:val="00272C8A"/>
    <w:rsid w:val="00273370"/>
    <w:rsid w:val="00273763"/>
    <w:rsid w:val="00273F73"/>
    <w:rsid w:val="002748AC"/>
    <w:rsid w:val="0027493C"/>
    <w:rsid w:val="00274D5E"/>
    <w:rsid w:val="00274D9F"/>
    <w:rsid w:val="00275148"/>
    <w:rsid w:val="002752E0"/>
    <w:rsid w:val="002764F5"/>
    <w:rsid w:val="002770D7"/>
    <w:rsid w:val="00277163"/>
    <w:rsid w:val="00277A62"/>
    <w:rsid w:val="00277B20"/>
    <w:rsid w:val="002800C4"/>
    <w:rsid w:val="00280411"/>
    <w:rsid w:val="002807A8"/>
    <w:rsid w:val="0028098D"/>
    <w:rsid w:val="00280E83"/>
    <w:rsid w:val="00281191"/>
    <w:rsid w:val="00282486"/>
    <w:rsid w:val="00283125"/>
    <w:rsid w:val="00283DA0"/>
    <w:rsid w:val="00283DA6"/>
    <w:rsid w:val="002840FB"/>
    <w:rsid w:val="00284119"/>
    <w:rsid w:val="00284673"/>
    <w:rsid w:val="00284919"/>
    <w:rsid w:val="00284981"/>
    <w:rsid w:val="0028551C"/>
    <w:rsid w:val="00285730"/>
    <w:rsid w:val="002858D0"/>
    <w:rsid w:val="00285F25"/>
    <w:rsid w:val="0028622C"/>
    <w:rsid w:val="002862CE"/>
    <w:rsid w:val="00286418"/>
    <w:rsid w:val="00286618"/>
    <w:rsid w:val="00286FFE"/>
    <w:rsid w:val="002870A1"/>
    <w:rsid w:val="00287856"/>
    <w:rsid w:val="0029009B"/>
    <w:rsid w:val="00290651"/>
    <w:rsid w:val="00290883"/>
    <w:rsid w:val="00290CB0"/>
    <w:rsid w:val="00290CEE"/>
    <w:rsid w:val="00291169"/>
    <w:rsid w:val="0029134B"/>
    <w:rsid w:val="0029169C"/>
    <w:rsid w:val="0029221A"/>
    <w:rsid w:val="00292622"/>
    <w:rsid w:val="00292CEB"/>
    <w:rsid w:val="00292F20"/>
    <w:rsid w:val="00293C00"/>
    <w:rsid w:val="00293D7F"/>
    <w:rsid w:val="00293E8A"/>
    <w:rsid w:val="00294122"/>
    <w:rsid w:val="0029450B"/>
    <w:rsid w:val="002946A4"/>
    <w:rsid w:val="0029485E"/>
    <w:rsid w:val="002949FB"/>
    <w:rsid w:val="002952C3"/>
    <w:rsid w:val="00295FA1"/>
    <w:rsid w:val="0029607A"/>
    <w:rsid w:val="00296AB9"/>
    <w:rsid w:val="002978F9"/>
    <w:rsid w:val="002A0804"/>
    <w:rsid w:val="002A0C68"/>
    <w:rsid w:val="002A0CA2"/>
    <w:rsid w:val="002A1030"/>
    <w:rsid w:val="002A1A77"/>
    <w:rsid w:val="002A1AF3"/>
    <w:rsid w:val="002A1C56"/>
    <w:rsid w:val="002A21C3"/>
    <w:rsid w:val="002A21E7"/>
    <w:rsid w:val="002A28D6"/>
    <w:rsid w:val="002A2C2D"/>
    <w:rsid w:val="002A3028"/>
    <w:rsid w:val="002A366C"/>
    <w:rsid w:val="002A384B"/>
    <w:rsid w:val="002A4657"/>
    <w:rsid w:val="002A56E9"/>
    <w:rsid w:val="002A59A7"/>
    <w:rsid w:val="002A6496"/>
    <w:rsid w:val="002A6921"/>
    <w:rsid w:val="002A6992"/>
    <w:rsid w:val="002A69B3"/>
    <w:rsid w:val="002A6F48"/>
    <w:rsid w:val="002A7ACC"/>
    <w:rsid w:val="002B06D3"/>
    <w:rsid w:val="002B0B7C"/>
    <w:rsid w:val="002B1B13"/>
    <w:rsid w:val="002B1DFF"/>
    <w:rsid w:val="002B2143"/>
    <w:rsid w:val="002B2698"/>
    <w:rsid w:val="002B38DE"/>
    <w:rsid w:val="002B3B27"/>
    <w:rsid w:val="002B3DEE"/>
    <w:rsid w:val="002B48BD"/>
    <w:rsid w:val="002B4EA4"/>
    <w:rsid w:val="002B5C25"/>
    <w:rsid w:val="002B5C47"/>
    <w:rsid w:val="002B5CB0"/>
    <w:rsid w:val="002B6B72"/>
    <w:rsid w:val="002B6B8C"/>
    <w:rsid w:val="002B6CF2"/>
    <w:rsid w:val="002B71A1"/>
    <w:rsid w:val="002B75ED"/>
    <w:rsid w:val="002B7F3A"/>
    <w:rsid w:val="002C0EB6"/>
    <w:rsid w:val="002C1393"/>
    <w:rsid w:val="002C2064"/>
    <w:rsid w:val="002C224F"/>
    <w:rsid w:val="002C2329"/>
    <w:rsid w:val="002C2A83"/>
    <w:rsid w:val="002C2B74"/>
    <w:rsid w:val="002C2E35"/>
    <w:rsid w:val="002C3F1B"/>
    <w:rsid w:val="002C420A"/>
    <w:rsid w:val="002C4797"/>
    <w:rsid w:val="002C48BD"/>
    <w:rsid w:val="002C4C10"/>
    <w:rsid w:val="002C4DFF"/>
    <w:rsid w:val="002C566E"/>
    <w:rsid w:val="002C5A68"/>
    <w:rsid w:val="002C5C46"/>
    <w:rsid w:val="002C610C"/>
    <w:rsid w:val="002C6C11"/>
    <w:rsid w:val="002C6C9D"/>
    <w:rsid w:val="002C6E2B"/>
    <w:rsid w:val="002C6F55"/>
    <w:rsid w:val="002C70B4"/>
    <w:rsid w:val="002C70F1"/>
    <w:rsid w:val="002D0B17"/>
    <w:rsid w:val="002D0FFA"/>
    <w:rsid w:val="002D12B7"/>
    <w:rsid w:val="002D1CB0"/>
    <w:rsid w:val="002D24DE"/>
    <w:rsid w:val="002D2B1D"/>
    <w:rsid w:val="002D3072"/>
    <w:rsid w:val="002D3446"/>
    <w:rsid w:val="002D35FA"/>
    <w:rsid w:val="002D364A"/>
    <w:rsid w:val="002D371D"/>
    <w:rsid w:val="002D3AB0"/>
    <w:rsid w:val="002D3ACB"/>
    <w:rsid w:val="002D46C0"/>
    <w:rsid w:val="002D48D1"/>
    <w:rsid w:val="002D4AC2"/>
    <w:rsid w:val="002D4D3B"/>
    <w:rsid w:val="002D541D"/>
    <w:rsid w:val="002D5C3A"/>
    <w:rsid w:val="002D5D2F"/>
    <w:rsid w:val="002D6AB4"/>
    <w:rsid w:val="002D70E8"/>
    <w:rsid w:val="002D755C"/>
    <w:rsid w:val="002D7ADA"/>
    <w:rsid w:val="002E0583"/>
    <w:rsid w:val="002E0612"/>
    <w:rsid w:val="002E06A2"/>
    <w:rsid w:val="002E07DB"/>
    <w:rsid w:val="002E0B1C"/>
    <w:rsid w:val="002E1C76"/>
    <w:rsid w:val="002E24B3"/>
    <w:rsid w:val="002E2573"/>
    <w:rsid w:val="002E2DDC"/>
    <w:rsid w:val="002E33FF"/>
    <w:rsid w:val="002E357E"/>
    <w:rsid w:val="002E36AB"/>
    <w:rsid w:val="002E390C"/>
    <w:rsid w:val="002E3C69"/>
    <w:rsid w:val="002E4461"/>
    <w:rsid w:val="002E4565"/>
    <w:rsid w:val="002E461B"/>
    <w:rsid w:val="002E47CC"/>
    <w:rsid w:val="002E5017"/>
    <w:rsid w:val="002E5305"/>
    <w:rsid w:val="002E6025"/>
    <w:rsid w:val="002E61F6"/>
    <w:rsid w:val="002E66C2"/>
    <w:rsid w:val="002E6A2E"/>
    <w:rsid w:val="002E7A3D"/>
    <w:rsid w:val="002E7ADE"/>
    <w:rsid w:val="002F3127"/>
    <w:rsid w:val="002F335D"/>
    <w:rsid w:val="002F350E"/>
    <w:rsid w:val="002F3B9F"/>
    <w:rsid w:val="002F3EE0"/>
    <w:rsid w:val="002F5070"/>
    <w:rsid w:val="002F5083"/>
    <w:rsid w:val="002F51A2"/>
    <w:rsid w:val="002F523F"/>
    <w:rsid w:val="002F63C3"/>
    <w:rsid w:val="002F6617"/>
    <w:rsid w:val="002F698E"/>
    <w:rsid w:val="002F6BDD"/>
    <w:rsid w:val="002F7082"/>
    <w:rsid w:val="002F7098"/>
    <w:rsid w:val="002F7343"/>
    <w:rsid w:val="002F7804"/>
    <w:rsid w:val="002F7E17"/>
    <w:rsid w:val="00300B1E"/>
    <w:rsid w:val="00300D16"/>
    <w:rsid w:val="003013C9"/>
    <w:rsid w:val="003018CD"/>
    <w:rsid w:val="00301F28"/>
    <w:rsid w:val="00302343"/>
    <w:rsid w:val="00302663"/>
    <w:rsid w:val="00302EF8"/>
    <w:rsid w:val="0030320A"/>
    <w:rsid w:val="0030354E"/>
    <w:rsid w:val="003036E3"/>
    <w:rsid w:val="00303E9D"/>
    <w:rsid w:val="00304918"/>
    <w:rsid w:val="00304BB6"/>
    <w:rsid w:val="00305853"/>
    <w:rsid w:val="00305B28"/>
    <w:rsid w:val="00306A8B"/>
    <w:rsid w:val="00307BCE"/>
    <w:rsid w:val="00307CDB"/>
    <w:rsid w:val="00307E30"/>
    <w:rsid w:val="00310125"/>
    <w:rsid w:val="00310EFB"/>
    <w:rsid w:val="0031110D"/>
    <w:rsid w:val="0031139A"/>
    <w:rsid w:val="003116DB"/>
    <w:rsid w:val="003117F4"/>
    <w:rsid w:val="003118F3"/>
    <w:rsid w:val="00311A9A"/>
    <w:rsid w:val="0031239C"/>
    <w:rsid w:val="003123BC"/>
    <w:rsid w:val="003127B8"/>
    <w:rsid w:val="00312A49"/>
    <w:rsid w:val="00312D17"/>
    <w:rsid w:val="00312E78"/>
    <w:rsid w:val="00313E50"/>
    <w:rsid w:val="00314226"/>
    <w:rsid w:val="00314578"/>
    <w:rsid w:val="00314DBA"/>
    <w:rsid w:val="0031571A"/>
    <w:rsid w:val="00316986"/>
    <w:rsid w:val="00316CB6"/>
    <w:rsid w:val="00316D3D"/>
    <w:rsid w:val="0031718F"/>
    <w:rsid w:val="00317440"/>
    <w:rsid w:val="003175A3"/>
    <w:rsid w:val="003175CF"/>
    <w:rsid w:val="003175E8"/>
    <w:rsid w:val="00320048"/>
    <w:rsid w:val="00320229"/>
    <w:rsid w:val="0032027E"/>
    <w:rsid w:val="0032115F"/>
    <w:rsid w:val="00321E71"/>
    <w:rsid w:val="00322325"/>
    <w:rsid w:val="00322918"/>
    <w:rsid w:val="00323045"/>
    <w:rsid w:val="00323455"/>
    <w:rsid w:val="00323DD9"/>
    <w:rsid w:val="0032428E"/>
    <w:rsid w:val="003244CF"/>
    <w:rsid w:val="00324B77"/>
    <w:rsid w:val="0032514D"/>
    <w:rsid w:val="00326852"/>
    <w:rsid w:val="00326D90"/>
    <w:rsid w:val="00326E08"/>
    <w:rsid w:val="00326F32"/>
    <w:rsid w:val="003274E9"/>
    <w:rsid w:val="00330053"/>
    <w:rsid w:val="003303BE"/>
    <w:rsid w:val="00330734"/>
    <w:rsid w:val="00330D2F"/>
    <w:rsid w:val="003315BD"/>
    <w:rsid w:val="003317DD"/>
    <w:rsid w:val="00331889"/>
    <w:rsid w:val="003326E2"/>
    <w:rsid w:val="0033298E"/>
    <w:rsid w:val="00332EEE"/>
    <w:rsid w:val="0033360A"/>
    <w:rsid w:val="003341D5"/>
    <w:rsid w:val="0033459C"/>
    <w:rsid w:val="003350DE"/>
    <w:rsid w:val="00335973"/>
    <w:rsid w:val="0033646D"/>
    <w:rsid w:val="0033658F"/>
    <w:rsid w:val="003369AA"/>
    <w:rsid w:val="00336C2D"/>
    <w:rsid w:val="00336E4E"/>
    <w:rsid w:val="00336E78"/>
    <w:rsid w:val="00336F2F"/>
    <w:rsid w:val="00337C4C"/>
    <w:rsid w:val="00340A74"/>
    <w:rsid w:val="00340BEF"/>
    <w:rsid w:val="00340BFA"/>
    <w:rsid w:val="00340C5B"/>
    <w:rsid w:val="00340E37"/>
    <w:rsid w:val="003414AA"/>
    <w:rsid w:val="003418A6"/>
    <w:rsid w:val="003419ED"/>
    <w:rsid w:val="0034206A"/>
    <w:rsid w:val="00342453"/>
    <w:rsid w:val="0034252B"/>
    <w:rsid w:val="00342A17"/>
    <w:rsid w:val="00343349"/>
    <w:rsid w:val="003435C3"/>
    <w:rsid w:val="00343AF2"/>
    <w:rsid w:val="00343E9B"/>
    <w:rsid w:val="003448DF"/>
    <w:rsid w:val="00344B37"/>
    <w:rsid w:val="0034577F"/>
    <w:rsid w:val="00345BE8"/>
    <w:rsid w:val="003464C6"/>
    <w:rsid w:val="003464DC"/>
    <w:rsid w:val="003466D2"/>
    <w:rsid w:val="0034672D"/>
    <w:rsid w:val="00346949"/>
    <w:rsid w:val="00346F39"/>
    <w:rsid w:val="003472A0"/>
    <w:rsid w:val="00347426"/>
    <w:rsid w:val="00350065"/>
    <w:rsid w:val="00350252"/>
    <w:rsid w:val="00350FC9"/>
    <w:rsid w:val="003510D0"/>
    <w:rsid w:val="003514B9"/>
    <w:rsid w:val="0035166C"/>
    <w:rsid w:val="00351812"/>
    <w:rsid w:val="00351CEF"/>
    <w:rsid w:val="003520F2"/>
    <w:rsid w:val="00352112"/>
    <w:rsid w:val="00352358"/>
    <w:rsid w:val="00353ABC"/>
    <w:rsid w:val="00355060"/>
    <w:rsid w:val="00355264"/>
    <w:rsid w:val="003552B4"/>
    <w:rsid w:val="00355630"/>
    <w:rsid w:val="00355A51"/>
    <w:rsid w:val="00355AF7"/>
    <w:rsid w:val="00355B72"/>
    <w:rsid w:val="00355D72"/>
    <w:rsid w:val="00356199"/>
    <w:rsid w:val="0035625B"/>
    <w:rsid w:val="00356390"/>
    <w:rsid w:val="00356A93"/>
    <w:rsid w:val="00356BC5"/>
    <w:rsid w:val="0035718B"/>
    <w:rsid w:val="00357CF7"/>
    <w:rsid w:val="00357D28"/>
    <w:rsid w:val="00357FC4"/>
    <w:rsid w:val="0036057C"/>
    <w:rsid w:val="003619D5"/>
    <w:rsid w:val="00361F03"/>
    <w:rsid w:val="003621E6"/>
    <w:rsid w:val="003622AD"/>
    <w:rsid w:val="00362AF8"/>
    <w:rsid w:val="003631C2"/>
    <w:rsid w:val="003633D3"/>
    <w:rsid w:val="00363F67"/>
    <w:rsid w:val="00364089"/>
    <w:rsid w:val="003651BA"/>
    <w:rsid w:val="003651D1"/>
    <w:rsid w:val="00365241"/>
    <w:rsid w:val="003656F9"/>
    <w:rsid w:val="003661E9"/>
    <w:rsid w:val="00366416"/>
    <w:rsid w:val="003664CA"/>
    <w:rsid w:val="003669DA"/>
    <w:rsid w:val="0036706F"/>
    <w:rsid w:val="00367AFF"/>
    <w:rsid w:val="003700B1"/>
    <w:rsid w:val="00370385"/>
    <w:rsid w:val="00370839"/>
    <w:rsid w:val="00370B36"/>
    <w:rsid w:val="003712DD"/>
    <w:rsid w:val="003718CB"/>
    <w:rsid w:val="00373020"/>
    <w:rsid w:val="003730C6"/>
    <w:rsid w:val="0037382E"/>
    <w:rsid w:val="00373ADD"/>
    <w:rsid w:val="00375030"/>
    <w:rsid w:val="003750D8"/>
    <w:rsid w:val="00375230"/>
    <w:rsid w:val="00375B18"/>
    <w:rsid w:val="00375B4D"/>
    <w:rsid w:val="003760C9"/>
    <w:rsid w:val="0037657E"/>
    <w:rsid w:val="0037671B"/>
    <w:rsid w:val="003767C4"/>
    <w:rsid w:val="00376FA7"/>
    <w:rsid w:val="003770C6"/>
    <w:rsid w:val="003773C6"/>
    <w:rsid w:val="00377449"/>
    <w:rsid w:val="0037746A"/>
    <w:rsid w:val="00377C25"/>
    <w:rsid w:val="00377DDC"/>
    <w:rsid w:val="00381517"/>
    <w:rsid w:val="003818EB"/>
    <w:rsid w:val="00381C06"/>
    <w:rsid w:val="00382163"/>
    <w:rsid w:val="003822CD"/>
    <w:rsid w:val="0038270B"/>
    <w:rsid w:val="00382B8E"/>
    <w:rsid w:val="00382CC6"/>
    <w:rsid w:val="00382D21"/>
    <w:rsid w:val="00382ECD"/>
    <w:rsid w:val="00383001"/>
    <w:rsid w:val="00383B63"/>
    <w:rsid w:val="00383DA2"/>
    <w:rsid w:val="00384086"/>
    <w:rsid w:val="0038427B"/>
    <w:rsid w:val="003842EA"/>
    <w:rsid w:val="0038541C"/>
    <w:rsid w:val="003854F1"/>
    <w:rsid w:val="003856A8"/>
    <w:rsid w:val="00386859"/>
    <w:rsid w:val="00386AD8"/>
    <w:rsid w:val="00387297"/>
    <w:rsid w:val="003873E9"/>
    <w:rsid w:val="00387AF6"/>
    <w:rsid w:val="00387D7B"/>
    <w:rsid w:val="00387F02"/>
    <w:rsid w:val="003900D9"/>
    <w:rsid w:val="00390434"/>
    <w:rsid w:val="00390D4A"/>
    <w:rsid w:val="00390D52"/>
    <w:rsid w:val="00390E90"/>
    <w:rsid w:val="003912A4"/>
    <w:rsid w:val="00391A4F"/>
    <w:rsid w:val="00391CB4"/>
    <w:rsid w:val="00392131"/>
    <w:rsid w:val="00392258"/>
    <w:rsid w:val="00392EAF"/>
    <w:rsid w:val="00393A91"/>
    <w:rsid w:val="00394140"/>
    <w:rsid w:val="0039419B"/>
    <w:rsid w:val="00395355"/>
    <w:rsid w:val="0039593F"/>
    <w:rsid w:val="00395ECA"/>
    <w:rsid w:val="00396FD5"/>
    <w:rsid w:val="0039715B"/>
    <w:rsid w:val="00397485"/>
    <w:rsid w:val="00397A9C"/>
    <w:rsid w:val="00397E1F"/>
    <w:rsid w:val="003A0E2B"/>
    <w:rsid w:val="003A119A"/>
    <w:rsid w:val="003A2013"/>
    <w:rsid w:val="003A2125"/>
    <w:rsid w:val="003A2176"/>
    <w:rsid w:val="003A28AE"/>
    <w:rsid w:val="003A2C99"/>
    <w:rsid w:val="003A3330"/>
    <w:rsid w:val="003A3882"/>
    <w:rsid w:val="003A39E4"/>
    <w:rsid w:val="003A4282"/>
    <w:rsid w:val="003A44E7"/>
    <w:rsid w:val="003A481D"/>
    <w:rsid w:val="003A4CD9"/>
    <w:rsid w:val="003A4EBF"/>
    <w:rsid w:val="003A58AF"/>
    <w:rsid w:val="003A5A70"/>
    <w:rsid w:val="003A5E8C"/>
    <w:rsid w:val="003A603F"/>
    <w:rsid w:val="003A713C"/>
    <w:rsid w:val="003A7CAB"/>
    <w:rsid w:val="003B042F"/>
    <w:rsid w:val="003B050A"/>
    <w:rsid w:val="003B08E6"/>
    <w:rsid w:val="003B09E8"/>
    <w:rsid w:val="003B0BF8"/>
    <w:rsid w:val="003B1E6A"/>
    <w:rsid w:val="003B25D4"/>
    <w:rsid w:val="003B2C21"/>
    <w:rsid w:val="003B30E4"/>
    <w:rsid w:val="003B3378"/>
    <w:rsid w:val="003B3847"/>
    <w:rsid w:val="003B48BB"/>
    <w:rsid w:val="003B48DA"/>
    <w:rsid w:val="003B4AB4"/>
    <w:rsid w:val="003B50E0"/>
    <w:rsid w:val="003B5603"/>
    <w:rsid w:val="003B5AE7"/>
    <w:rsid w:val="003B6B60"/>
    <w:rsid w:val="003B6E25"/>
    <w:rsid w:val="003B798D"/>
    <w:rsid w:val="003B7D26"/>
    <w:rsid w:val="003C1223"/>
    <w:rsid w:val="003C2126"/>
    <w:rsid w:val="003C2207"/>
    <w:rsid w:val="003C2F0F"/>
    <w:rsid w:val="003C3250"/>
    <w:rsid w:val="003C3562"/>
    <w:rsid w:val="003C3986"/>
    <w:rsid w:val="003C418F"/>
    <w:rsid w:val="003C4A97"/>
    <w:rsid w:val="003C4B16"/>
    <w:rsid w:val="003C5410"/>
    <w:rsid w:val="003C5762"/>
    <w:rsid w:val="003C5BCB"/>
    <w:rsid w:val="003C5D22"/>
    <w:rsid w:val="003C6204"/>
    <w:rsid w:val="003C6483"/>
    <w:rsid w:val="003C65A1"/>
    <w:rsid w:val="003C6E36"/>
    <w:rsid w:val="003C7441"/>
    <w:rsid w:val="003C7D8B"/>
    <w:rsid w:val="003D0651"/>
    <w:rsid w:val="003D080E"/>
    <w:rsid w:val="003D0C80"/>
    <w:rsid w:val="003D0FE5"/>
    <w:rsid w:val="003D1012"/>
    <w:rsid w:val="003D16D3"/>
    <w:rsid w:val="003D1DB3"/>
    <w:rsid w:val="003D1F22"/>
    <w:rsid w:val="003D1F67"/>
    <w:rsid w:val="003D2696"/>
    <w:rsid w:val="003D27A1"/>
    <w:rsid w:val="003D2C65"/>
    <w:rsid w:val="003D3FC3"/>
    <w:rsid w:val="003D5352"/>
    <w:rsid w:val="003D56C1"/>
    <w:rsid w:val="003D5CCA"/>
    <w:rsid w:val="003D5E34"/>
    <w:rsid w:val="003D5F88"/>
    <w:rsid w:val="003D60EC"/>
    <w:rsid w:val="003D6252"/>
    <w:rsid w:val="003D6C7A"/>
    <w:rsid w:val="003D751F"/>
    <w:rsid w:val="003D7F9E"/>
    <w:rsid w:val="003E007C"/>
    <w:rsid w:val="003E162B"/>
    <w:rsid w:val="003E1E1E"/>
    <w:rsid w:val="003E207A"/>
    <w:rsid w:val="003E356F"/>
    <w:rsid w:val="003E3580"/>
    <w:rsid w:val="003E3626"/>
    <w:rsid w:val="003E36FE"/>
    <w:rsid w:val="003E3A89"/>
    <w:rsid w:val="003E41F4"/>
    <w:rsid w:val="003E436F"/>
    <w:rsid w:val="003E459D"/>
    <w:rsid w:val="003E47D7"/>
    <w:rsid w:val="003E4802"/>
    <w:rsid w:val="003E4B8B"/>
    <w:rsid w:val="003E4BFE"/>
    <w:rsid w:val="003E51AE"/>
    <w:rsid w:val="003E53A3"/>
    <w:rsid w:val="003E55F1"/>
    <w:rsid w:val="003E5A3E"/>
    <w:rsid w:val="003E62D4"/>
    <w:rsid w:val="003E65F8"/>
    <w:rsid w:val="003E6624"/>
    <w:rsid w:val="003E66C9"/>
    <w:rsid w:val="003E67A1"/>
    <w:rsid w:val="003E72CD"/>
    <w:rsid w:val="003E73BE"/>
    <w:rsid w:val="003F0A27"/>
    <w:rsid w:val="003F1CEA"/>
    <w:rsid w:val="003F1F74"/>
    <w:rsid w:val="003F22AE"/>
    <w:rsid w:val="003F233E"/>
    <w:rsid w:val="003F2E47"/>
    <w:rsid w:val="003F2E5E"/>
    <w:rsid w:val="003F362E"/>
    <w:rsid w:val="003F54C4"/>
    <w:rsid w:val="003F55D9"/>
    <w:rsid w:val="003F5D83"/>
    <w:rsid w:val="003F65E9"/>
    <w:rsid w:val="003F67C6"/>
    <w:rsid w:val="003F688B"/>
    <w:rsid w:val="003F7393"/>
    <w:rsid w:val="003F7BA6"/>
    <w:rsid w:val="00400109"/>
    <w:rsid w:val="00400358"/>
    <w:rsid w:val="00400593"/>
    <w:rsid w:val="00400D81"/>
    <w:rsid w:val="004010BB"/>
    <w:rsid w:val="00401326"/>
    <w:rsid w:val="004013DB"/>
    <w:rsid w:val="00401BFC"/>
    <w:rsid w:val="0040225F"/>
    <w:rsid w:val="004022B5"/>
    <w:rsid w:val="00402686"/>
    <w:rsid w:val="004031FE"/>
    <w:rsid w:val="00404499"/>
    <w:rsid w:val="004046A0"/>
    <w:rsid w:val="0040532B"/>
    <w:rsid w:val="00405854"/>
    <w:rsid w:val="00406744"/>
    <w:rsid w:val="004068A9"/>
    <w:rsid w:val="00406AE7"/>
    <w:rsid w:val="00406B36"/>
    <w:rsid w:val="0040746B"/>
    <w:rsid w:val="00407888"/>
    <w:rsid w:val="0041080F"/>
    <w:rsid w:val="00411196"/>
    <w:rsid w:val="00412260"/>
    <w:rsid w:val="00412C9C"/>
    <w:rsid w:val="00412ED9"/>
    <w:rsid w:val="004133C3"/>
    <w:rsid w:val="00413540"/>
    <w:rsid w:val="004139D0"/>
    <w:rsid w:val="00413C9B"/>
    <w:rsid w:val="0041497B"/>
    <w:rsid w:val="004151EC"/>
    <w:rsid w:val="00415468"/>
    <w:rsid w:val="00415DEE"/>
    <w:rsid w:val="00415EF9"/>
    <w:rsid w:val="004160DB"/>
    <w:rsid w:val="00416F8E"/>
    <w:rsid w:val="00417203"/>
    <w:rsid w:val="00417A8B"/>
    <w:rsid w:val="00417BDD"/>
    <w:rsid w:val="00417C8E"/>
    <w:rsid w:val="00420B00"/>
    <w:rsid w:val="0042134A"/>
    <w:rsid w:val="004213CE"/>
    <w:rsid w:val="004216F5"/>
    <w:rsid w:val="00422449"/>
    <w:rsid w:val="00422B6F"/>
    <w:rsid w:val="00422CD8"/>
    <w:rsid w:val="00422DF2"/>
    <w:rsid w:val="00422DFC"/>
    <w:rsid w:val="004237AC"/>
    <w:rsid w:val="00423B0E"/>
    <w:rsid w:val="00423F3B"/>
    <w:rsid w:val="00423F73"/>
    <w:rsid w:val="004242F1"/>
    <w:rsid w:val="00424C18"/>
    <w:rsid w:val="00425E1C"/>
    <w:rsid w:val="00425F0B"/>
    <w:rsid w:val="004261D2"/>
    <w:rsid w:val="00426874"/>
    <w:rsid w:val="00426D7D"/>
    <w:rsid w:val="00426DA4"/>
    <w:rsid w:val="00426FD6"/>
    <w:rsid w:val="0042774A"/>
    <w:rsid w:val="00427958"/>
    <w:rsid w:val="0043098F"/>
    <w:rsid w:val="004316D6"/>
    <w:rsid w:val="004317C0"/>
    <w:rsid w:val="00431F05"/>
    <w:rsid w:val="00432E32"/>
    <w:rsid w:val="00433148"/>
    <w:rsid w:val="004331CF"/>
    <w:rsid w:val="0043384B"/>
    <w:rsid w:val="00433C37"/>
    <w:rsid w:val="0043493F"/>
    <w:rsid w:val="004354A9"/>
    <w:rsid w:val="004356FB"/>
    <w:rsid w:val="00437193"/>
    <w:rsid w:val="00437E8B"/>
    <w:rsid w:val="004401DB"/>
    <w:rsid w:val="004407D6"/>
    <w:rsid w:val="004408E0"/>
    <w:rsid w:val="00441188"/>
    <w:rsid w:val="0044153E"/>
    <w:rsid w:val="004421E6"/>
    <w:rsid w:val="004428F9"/>
    <w:rsid w:val="004432C6"/>
    <w:rsid w:val="004439FE"/>
    <w:rsid w:val="00443AAB"/>
    <w:rsid w:val="00443E29"/>
    <w:rsid w:val="004449BC"/>
    <w:rsid w:val="00445F7E"/>
    <w:rsid w:val="004462BD"/>
    <w:rsid w:val="00446478"/>
    <w:rsid w:val="00446716"/>
    <w:rsid w:val="00446CBB"/>
    <w:rsid w:val="0044760D"/>
    <w:rsid w:val="004516FE"/>
    <w:rsid w:val="00451B0B"/>
    <w:rsid w:val="004523B6"/>
    <w:rsid w:val="004528B9"/>
    <w:rsid w:val="00452C78"/>
    <w:rsid w:val="00452C91"/>
    <w:rsid w:val="00453054"/>
    <w:rsid w:val="00453128"/>
    <w:rsid w:val="00453506"/>
    <w:rsid w:val="00453AAD"/>
    <w:rsid w:val="004545AE"/>
    <w:rsid w:val="0045499C"/>
    <w:rsid w:val="00455295"/>
    <w:rsid w:val="00455845"/>
    <w:rsid w:val="00455F64"/>
    <w:rsid w:val="00456275"/>
    <w:rsid w:val="00457127"/>
    <w:rsid w:val="00457720"/>
    <w:rsid w:val="004600E9"/>
    <w:rsid w:val="00460B94"/>
    <w:rsid w:val="00460C8B"/>
    <w:rsid w:val="00460E91"/>
    <w:rsid w:val="00461BCF"/>
    <w:rsid w:val="00463052"/>
    <w:rsid w:val="00463470"/>
    <w:rsid w:val="00463473"/>
    <w:rsid w:val="00464190"/>
    <w:rsid w:val="0046430F"/>
    <w:rsid w:val="0046438E"/>
    <w:rsid w:val="00465100"/>
    <w:rsid w:val="00465624"/>
    <w:rsid w:val="00465635"/>
    <w:rsid w:val="0046569B"/>
    <w:rsid w:val="00465907"/>
    <w:rsid w:val="00465C23"/>
    <w:rsid w:val="00465D5A"/>
    <w:rsid w:val="00466294"/>
    <w:rsid w:val="004664C4"/>
    <w:rsid w:val="00466CAA"/>
    <w:rsid w:val="00466DD0"/>
    <w:rsid w:val="00466F5E"/>
    <w:rsid w:val="00467079"/>
    <w:rsid w:val="004671B4"/>
    <w:rsid w:val="00467835"/>
    <w:rsid w:val="00467ED3"/>
    <w:rsid w:val="004701C4"/>
    <w:rsid w:val="00470BD4"/>
    <w:rsid w:val="00470E30"/>
    <w:rsid w:val="00470E98"/>
    <w:rsid w:val="004710CE"/>
    <w:rsid w:val="004710D6"/>
    <w:rsid w:val="004713EB"/>
    <w:rsid w:val="00471440"/>
    <w:rsid w:val="004717C7"/>
    <w:rsid w:val="0047293C"/>
    <w:rsid w:val="0047395E"/>
    <w:rsid w:val="00473EC3"/>
    <w:rsid w:val="00474D05"/>
    <w:rsid w:val="0047531D"/>
    <w:rsid w:val="00475508"/>
    <w:rsid w:val="0047553F"/>
    <w:rsid w:val="004756B6"/>
    <w:rsid w:val="0047597D"/>
    <w:rsid w:val="004759BE"/>
    <w:rsid w:val="00476248"/>
    <w:rsid w:val="00476DD9"/>
    <w:rsid w:val="0047751D"/>
    <w:rsid w:val="00477A57"/>
    <w:rsid w:val="00477C3A"/>
    <w:rsid w:val="00477EA7"/>
    <w:rsid w:val="004803CC"/>
    <w:rsid w:val="00481057"/>
    <w:rsid w:val="0048181B"/>
    <w:rsid w:val="004822E8"/>
    <w:rsid w:val="0048264E"/>
    <w:rsid w:val="00482B79"/>
    <w:rsid w:val="00482E7E"/>
    <w:rsid w:val="00483071"/>
    <w:rsid w:val="0048411C"/>
    <w:rsid w:val="004845D2"/>
    <w:rsid w:val="00484B1D"/>
    <w:rsid w:val="0048527F"/>
    <w:rsid w:val="004852D0"/>
    <w:rsid w:val="004861A7"/>
    <w:rsid w:val="004865FE"/>
    <w:rsid w:val="00486B75"/>
    <w:rsid w:val="004872E3"/>
    <w:rsid w:val="004902B8"/>
    <w:rsid w:val="004905C4"/>
    <w:rsid w:val="004905EE"/>
    <w:rsid w:val="00490D39"/>
    <w:rsid w:val="00491A9C"/>
    <w:rsid w:val="00491BF4"/>
    <w:rsid w:val="004926BC"/>
    <w:rsid w:val="0049272E"/>
    <w:rsid w:val="004933C8"/>
    <w:rsid w:val="004934DF"/>
    <w:rsid w:val="00493B8C"/>
    <w:rsid w:val="00493E1C"/>
    <w:rsid w:val="00494761"/>
    <w:rsid w:val="00494989"/>
    <w:rsid w:val="00495D06"/>
    <w:rsid w:val="0049615F"/>
    <w:rsid w:val="0049671A"/>
    <w:rsid w:val="00496B12"/>
    <w:rsid w:val="00497180"/>
    <w:rsid w:val="004971DD"/>
    <w:rsid w:val="00497565"/>
    <w:rsid w:val="004A03B6"/>
    <w:rsid w:val="004A0EAB"/>
    <w:rsid w:val="004A1A08"/>
    <w:rsid w:val="004A1A14"/>
    <w:rsid w:val="004A225D"/>
    <w:rsid w:val="004A2ADC"/>
    <w:rsid w:val="004A3012"/>
    <w:rsid w:val="004A3072"/>
    <w:rsid w:val="004A345F"/>
    <w:rsid w:val="004A34E0"/>
    <w:rsid w:val="004A381C"/>
    <w:rsid w:val="004A3EBF"/>
    <w:rsid w:val="004A416D"/>
    <w:rsid w:val="004A41F5"/>
    <w:rsid w:val="004A5610"/>
    <w:rsid w:val="004A58F5"/>
    <w:rsid w:val="004A5ABB"/>
    <w:rsid w:val="004A6D9E"/>
    <w:rsid w:val="004B05F6"/>
    <w:rsid w:val="004B1A4D"/>
    <w:rsid w:val="004B1DA0"/>
    <w:rsid w:val="004B1F73"/>
    <w:rsid w:val="004B2934"/>
    <w:rsid w:val="004B294A"/>
    <w:rsid w:val="004B2B00"/>
    <w:rsid w:val="004B2E63"/>
    <w:rsid w:val="004B3B42"/>
    <w:rsid w:val="004B3CED"/>
    <w:rsid w:val="004B4512"/>
    <w:rsid w:val="004B4605"/>
    <w:rsid w:val="004B4640"/>
    <w:rsid w:val="004B4BBB"/>
    <w:rsid w:val="004B4D1F"/>
    <w:rsid w:val="004B5330"/>
    <w:rsid w:val="004B5F05"/>
    <w:rsid w:val="004B601C"/>
    <w:rsid w:val="004B6401"/>
    <w:rsid w:val="004B6819"/>
    <w:rsid w:val="004B68C2"/>
    <w:rsid w:val="004B6BF9"/>
    <w:rsid w:val="004B72EC"/>
    <w:rsid w:val="004B73A7"/>
    <w:rsid w:val="004B7680"/>
    <w:rsid w:val="004C073C"/>
    <w:rsid w:val="004C09C9"/>
    <w:rsid w:val="004C0E9A"/>
    <w:rsid w:val="004C0F5E"/>
    <w:rsid w:val="004C1556"/>
    <w:rsid w:val="004C1560"/>
    <w:rsid w:val="004C1A94"/>
    <w:rsid w:val="004C1AFC"/>
    <w:rsid w:val="004C1BB5"/>
    <w:rsid w:val="004C1FD7"/>
    <w:rsid w:val="004C3100"/>
    <w:rsid w:val="004C35BA"/>
    <w:rsid w:val="004C4412"/>
    <w:rsid w:val="004C46E5"/>
    <w:rsid w:val="004C4705"/>
    <w:rsid w:val="004C4A23"/>
    <w:rsid w:val="004C59CC"/>
    <w:rsid w:val="004C63CE"/>
    <w:rsid w:val="004C6715"/>
    <w:rsid w:val="004C7557"/>
    <w:rsid w:val="004C7EE9"/>
    <w:rsid w:val="004D0934"/>
    <w:rsid w:val="004D1217"/>
    <w:rsid w:val="004D143F"/>
    <w:rsid w:val="004D16A9"/>
    <w:rsid w:val="004D24B8"/>
    <w:rsid w:val="004D2599"/>
    <w:rsid w:val="004D2768"/>
    <w:rsid w:val="004D2841"/>
    <w:rsid w:val="004D2AA3"/>
    <w:rsid w:val="004D34B5"/>
    <w:rsid w:val="004D42A0"/>
    <w:rsid w:val="004D4484"/>
    <w:rsid w:val="004D4A89"/>
    <w:rsid w:val="004D5129"/>
    <w:rsid w:val="004D5549"/>
    <w:rsid w:val="004D65A9"/>
    <w:rsid w:val="004D6BF7"/>
    <w:rsid w:val="004D7601"/>
    <w:rsid w:val="004E04C2"/>
    <w:rsid w:val="004E0A50"/>
    <w:rsid w:val="004E0A68"/>
    <w:rsid w:val="004E0C92"/>
    <w:rsid w:val="004E0F6A"/>
    <w:rsid w:val="004E14F6"/>
    <w:rsid w:val="004E18E5"/>
    <w:rsid w:val="004E19F2"/>
    <w:rsid w:val="004E23ED"/>
    <w:rsid w:val="004E27D6"/>
    <w:rsid w:val="004E2CDD"/>
    <w:rsid w:val="004E2E07"/>
    <w:rsid w:val="004E34B1"/>
    <w:rsid w:val="004E4427"/>
    <w:rsid w:val="004E49A9"/>
    <w:rsid w:val="004E49BB"/>
    <w:rsid w:val="004E556F"/>
    <w:rsid w:val="004E586A"/>
    <w:rsid w:val="004E58A9"/>
    <w:rsid w:val="004E59AE"/>
    <w:rsid w:val="004E6320"/>
    <w:rsid w:val="004E6DA5"/>
    <w:rsid w:val="004E6EC6"/>
    <w:rsid w:val="004E7CC3"/>
    <w:rsid w:val="004F05A5"/>
    <w:rsid w:val="004F0831"/>
    <w:rsid w:val="004F1BA7"/>
    <w:rsid w:val="004F1DDA"/>
    <w:rsid w:val="004F22A2"/>
    <w:rsid w:val="004F3976"/>
    <w:rsid w:val="004F3B60"/>
    <w:rsid w:val="004F445C"/>
    <w:rsid w:val="004F4B3F"/>
    <w:rsid w:val="004F5138"/>
    <w:rsid w:val="004F53BD"/>
    <w:rsid w:val="004F54FF"/>
    <w:rsid w:val="004F5F50"/>
    <w:rsid w:val="004F6029"/>
    <w:rsid w:val="004F626B"/>
    <w:rsid w:val="004F647A"/>
    <w:rsid w:val="004F740B"/>
    <w:rsid w:val="004F786E"/>
    <w:rsid w:val="004F7883"/>
    <w:rsid w:val="004F7D00"/>
    <w:rsid w:val="005001B5"/>
    <w:rsid w:val="00500364"/>
    <w:rsid w:val="0050062E"/>
    <w:rsid w:val="005009F0"/>
    <w:rsid w:val="00500CE3"/>
    <w:rsid w:val="005019D9"/>
    <w:rsid w:val="0050216F"/>
    <w:rsid w:val="00502AEF"/>
    <w:rsid w:val="005037A9"/>
    <w:rsid w:val="00503D9F"/>
    <w:rsid w:val="0050455F"/>
    <w:rsid w:val="00504E4A"/>
    <w:rsid w:val="00505069"/>
    <w:rsid w:val="0050532C"/>
    <w:rsid w:val="00505A07"/>
    <w:rsid w:val="00505EA8"/>
    <w:rsid w:val="005064CA"/>
    <w:rsid w:val="00506A36"/>
    <w:rsid w:val="00506D27"/>
    <w:rsid w:val="00506E65"/>
    <w:rsid w:val="00506F5C"/>
    <w:rsid w:val="0050788B"/>
    <w:rsid w:val="0051000C"/>
    <w:rsid w:val="00510505"/>
    <w:rsid w:val="005107B0"/>
    <w:rsid w:val="005109E1"/>
    <w:rsid w:val="005112E1"/>
    <w:rsid w:val="00511AF7"/>
    <w:rsid w:val="00512126"/>
    <w:rsid w:val="005123E7"/>
    <w:rsid w:val="00512F56"/>
    <w:rsid w:val="00513845"/>
    <w:rsid w:val="005139F0"/>
    <w:rsid w:val="00513A70"/>
    <w:rsid w:val="00513BB9"/>
    <w:rsid w:val="00513DD4"/>
    <w:rsid w:val="00513EB5"/>
    <w:rsid w:val="005142DB"/>
    <w:rsid w:val="005143DF"/>
    <w:rsid w:val="00514735"/>
    <w:rsid w:val="00514F65"/>
    <w:rsid w:val="00515059"/>
    <w:rsid w:val="00515330"/>
    <w:rsid w:val="0051559D"/>
    <w:rsid w:val="0051631D"/>
    <w:rsid w:val="00516E94"/>
    <w:rsid w:val="005177EA"/>
    <w:rsid w:val="0051780C"/>
    <w:rsid w:val="00520232"/>
    <w:rsid w:val="0052097D"/>
    <w:rsid w:val="00520E7F"/>
    <w:rsid w:val="00520F8A"/>
    <w:rsid w:val="005213CD"/>
    <w:rsid w:val="00521454"/>
    <w:rsid w:val="00521B49"/>
    <w:rsid w:val="005221E4"/>
    <w:rsid w:val="00522A74"/>
    <w:rsid w:val="00522C10"/>
    <w:rsid w:val="00522E86"/>
    <w:rsid w:val="00523073"/>
    <w:rsid w:val="005231C4"/>
    <w:rsid w:val="0052364E"/>
    <w:rsid w:val="00524EFE"/>
    <w:rsid w:val="00525592"/>
    <w:rsid w:val="0052689E"/>
    <w:rsid w:val="0052712F"/>
    <w:rsid w:val="00527B94"/>
    <w:rsid w:val="0053044D"/>
    <w:rsid w:val="005319E2"/>
    <w:rsid w:val="005320A6"/>
    <w:rsid w:val="00532A5F"/>
    <w:rsid w:val="00532FA2"/>
    <w:rsid w:val="00533F96"/>
    <w:rsid w:val="00534159"/>
    <w:rsid w:val="005341E6"/>
    <w:rsid w:val="0053455D"/>
    <w:rsid w:val="00534787"/>
    <w:rsid w:val="00534BBA"/>
    <w:rsid w:val="00535580"/>
    <w:rsid w:val="00535771"/>
    <w:rsid w:val="005357B1"/>
    <w:rsid w:val="00535C81"/>
    <w:rsid w:val="00536566"/>
    <w:rsid w:val="00536567"/>
    <w:rsid w:val="00537312"/>
    <w:rsid w:val="00537CC2"/>
    <w:rsid w:val="0054092C"/>
    <w:rsid w:val="00541CDB"/>
    <w:rsid w:val="00542267"/>
    <w:rsid w:val="005428D1"/>
    <w:rsid w:val="00542B4C"/>
    <w:rsid w:val="00542B71"/>
    <w:rsid w:val="00543D22"/>
    <w:rsid w:val="005441FD"/>
    <w:rsid w:val="0054438E"/>
    <w:rsid w:val="00544DD6"/>
    <w:rsid w:val="005459AA"/>
    <w:rsid w:val="00546393"/>
    <w:rsid w:val="0054752C"/>
    <w:rsid w:val="005476AB"/>
    <w:rsid w:val="00551577"/>
    <w:rsid w:val="00551C99"/>
    <w:rsid w:val="00551DB5"/>
    <w:rsid w:val="00552106"/>
    <w:rsid w:val="00552220"/>
    <w:rsid w:val="005522CE"/>
    <w:rsid w:val="00552AB5"/>
    <w:rsid w:val="005533D0"/>
    <w:rsid w:val="0055358D"/>
    <w:rsid w:val="005548F1"/>
    <w:rsid w:val="00554D0C"/>
    <w:rsid w:val="00556033"/>
    <w:rsid w:val="005564B6"/>
    <w:rsid w:val="00556B6D"/>
    <w:rsid w:val="00557AEF"/>
    <w:rsid w:val="00557C51"/>
    <w:rsid w:val="00560EFE"/>
    <w:rsid w:val="00561913"/>
    <w:rsid w:val="005619F2"/>
    <w:rsid w:val="0056251C"/>
    <w:rsid w:val="00562716"/>
    <w:rsid w:val="0056296C"/>
    <w:rsid w:val="0056349A"/>
    <w:rsid w:val="0056377F"/>
    <w:rsid w:val="00563B9E"/>
    <w:rsid w:val="0056442C"/>
    <w:rsid w:val="00564F19"/>
    <w:rsid w:val="00565BA8"/>
    <w:rsid w:val="00566C46"/>
    <w:rsid w:val="005672F1"/>
    <w:rsid w:val="0056766F"/>
    <w:rsid w:val="005676B7"/>
    <w:rsid w:val="00567925"/>
    <w:rsid w:val="00570443"/>
    <w:rsid w:val="00570748"/>
    <w:rsid w:val="005712B0"/>
    <w:rsid w:val="00571548"/>
    <w:rsid w:val="00571826"/>
    <w:rsid w:val="005723B4"/>
    <w:rsid w:val="00572F95"/>
    <w:rsid w:val="0057310D"/>
    <w:rsid w:val="00573501"/>
    <w:rsid w:val="00573B61"/>
    <w:rsid w:val="00574319"/>
    <w:rsid w:val="00574B7D"/>
    <w:rsid w:val="00575791"/>
    <w:rsid w:val="00575EB0"/>
    <w:rsid w:val="00575EC2"/>
    <w:rsid w:val="005762B9"/>
    <w:rsid w:val="00576672"/>
    <w:rsid w:val="005766CA"/>
    <w:rsid w:val="005767CD"/>
    <w:rsid w:val="00576AF0"/>
    <w:rsid w:val="00576F32"/>
    <w:rsid w:val="005772C6"/>
    <w:rsid w:val="00577412"/>
    <w:rsid w:val="0057746E"/>
    <w:rsid w:val="00577481"/>
    <w:rsid w:val="00577E11"/>
    <w:rsid w:val="00577E5D"/>
    <w:rsid w:val="005800C1"/>
    <w:rsid w:val="00580200"/>
    <w:rsid w:val="00580279"/>
    <w:rsid w:val="00580682"/>
    <w:rsid w:val="00581039"/>
    <w:rsid w:val="005818AC"/>
    <w:rsid w:val="00581FB0"/>
    <w:rsid w:val="00582242"/>
    <w:rsid w:val="00583E5E"/>
    <w:rsid w:val="00584181"/>
    <w:rsid w:val="00584992"/>
    <w:rsid w:val="00584A6A"/>
    <w:rsid w:val="00584C43"/>
    <w:rsid w:val="00584C9B"/>
    <w:rsid w:val="00585440"/>
    <w:rsid w:val="0058559E"/>
    <w:rsid w:val="00585652"/>
    <w:rsid w:val="00585792"/>
    <w:rsid w:val="005857A1"/>
    <w:rsid w:val="00585FD0"/>
    <w:rsid w:val="00586AF5"/>
    <w:rsid w:val="00586B2E"/>
    <w:rsid w:val="0058700C"/>
    <w:rsid w:val="005874AB"/>
    <w:rsid w:val="00587A41"/>
    <w:rsid w:val="00587E77"/>
    <w:rsid w:val="00587FD0"/>
    <w:rsid w:val="005904C4"/>
    <w:rsid w:val="00590918"/>
    <w:rsid w:val="00590C72"/>
    <w:rsid w:val="00590DC5"/>
    <w:rsid w:val="00590DFB"/>
    <w:rsid w:val="00592090"/>
    <w:rsid w:val="0059210E"/>
    <w:rsid w:val="005925EC"/>
    <w:rsid w:val="00592A27"/>
    <w:rsid w:val="00592CE5"/>
    <w:rsid w:val="00592E09"/>
    <w:rsid w:val="00593251"/>
    <w:rsid w:val="00593C92"/>
    <w:rsid w:val="00593DEA"/>
    <w:rsid w:val="005942AE"/>
    <w:rsid w:val="005944B2"/>
    <w:rsid w:val="00594CCB"/>
    <w:rsid w:val="00595144"/>
    <w:rsid w:val="005951BD"/>
    <w:rsid w:val="00595413"/>
    <w:rsid w:val="0059595D"/>
    <w:rsid w:val="005961FB"/>
    <w:rsid w:val="0059716E"/>
    <w:rsid w:val="005A008C"/>
    <w:rsid w:val="005A0210"/>
    <w:rsid w:val="005A0982"/>
    <w:rsid w:val="005A0A19"/>
    <w:rsid w:val="005A1004"/>
    <w:rsid w:val="005A19BA"/>
    <w:rsid w:val="005A1B23"/>
    <w:rsid w:val="005A20EA"/>
    <w:rsid w:val="005A23D4"/>
    <w:rsid w:val="005A2E29"/>
    <w:rsid w:val="005A31BD"/>
    <w:rsid w:val="005A345B"/>
    <w:rsid w:val="005A3605"/>
    <w:rsid w:val="005A4594"/>
    <w:rsid w:val="005A4B38"/>
    <w:rsid w:val="005A4D6D"/>
    <w:rsid w:val="005A4F72"/>
    <w:rsid w:val="005A6A79"/>
    <w:rsid w:val="005A6B77"/>
    <w:rsid w:val="005A6C06"/>
    <w:rsid w:val="005A6FB2"/>
    <w:rsid w:val="005A7F22"/>
    <w:rsid w:val="005B058A"/>
    <w:rsid w:val="005B064C"/>
    <w:rsid w:val="005B0776"/>
    <w:rsid w:val="005B0C3E"/>
    <w:rsid w:val="005B1422"/>
    <w:rsid w:val="005B1A4D"/>
    <w:rsid w:val="005B1FCF"/>
    <w:rsid w:val="005B32C6"/>
    <w:rsid w:val="005B386B"/>
    <w:rsid w:val="005B38FA"/>
    <w:rsid w:val="005B3A4D"/>
    <w:rsid w:val="005B3B03"/>
    <w:rsid w:val="005B46AD"/>
    <w:rsid w:val="005B4F4E"/>
    <w:rsid w:val="005B4F5C"/>
    <w:rsid w:val="005B4F8F"/>
    <w:rsid w:val="005B594B"/>
    <w:rsid w:val="005B5B1A"/>
    <w:rsid w:val="005B5D42"/>
    <w:rsid w:val="005B5F92"/>
    <w:rsid w:val="005B629D"/>
    <w:rsid w:val="005B638D"/>
    <w:rsid w:val="005B68E6"/>
    <w:rsid w:val="005B70E9"/>
    <w:rsid w:val="005C00DA"/>
    <w:rsid w:val="005C0A63"/>
    <w:rsid w:val="005C0FF9"/>
    <w:rsid w:val="005C2698"/>
    <w:rsid w:val="005C2B3A"/>
    <w:rsid w:val="005C39BD"/>
    <w:rsid w:val="005C3C03"/>
    <w:rsid w:val="005C4083"/>
    <w:rsid w:val="005C4352"/>
    <w:rsid w:val="005C4575"/>
    <w:rsid w:val="005C47FA"/>
    <w:rsid w:val="005C4C01"/>
    <w:rsid w:val="005C4D18"/>
    <w:rsid w:val="005C5867"/>
    <w:rsid w:val="005C58D4"/>
    <w:rsid w:val="005C5AE7"/>
    <w:rsid w:val="005C6BDD"/>
    <w:rsid w:val="005C6E31"/>
    <w:rsid w:val="005C77CF"/>
    <w:rsid w:val="005C7BDC"/>
    <w:rsid w:val="005C7EE5"/>
    <w:rsid w:val="005D0508"/>
    <w:rsid w:val="005D0C3E"/>
    <w:rsid w:val="005D11B6"/>
    <w:rsid w:val="005D1644"/>
    <w:rsid w:val="005D190C"/>
    <w:rsid w:val="005D31D2"/>
    <w:rsid w:val="005D323D"/>
    <w:rsid w:val="005D34AC"/>
    <w:rsid w:val="005D46BE"/>
    <w:rsid w:val="005D46F0"/>
    <w:rsid w:val="005D55F0"/>
    <w:rsid w:val="005D603E"/>
    <w:rsid w:val="005D61FE"/>
    <w:rsid w:val="005D6FD7"/>
    <w:rsid w:val="005D70B9"/>
    <w:rsid w:val="005D739B"/>
    <w:rsid w:val="005D749E"/>
    <w:rsid w:val="005D76B7"/>
    <w:rsid w:val="005D7D3F"/>
    <w:rsid w:val="005E0110"/>
    <w:rsid w:val="005E03FE"/>
    <w:rsid w:val="005E0765"/>
    <w:rsid w:val="005E0996"/>
    <w:rsid w:val="005E0C18"/>
    <w:rsid w:val="005E0DAC"/>
    <w:rsid w:val="005E0F19"/>
    <w:rsid w:val="005E16DC"/>
    <w:rsid w:val="005E2B10"/>
    <w:rsid w:val="005E3D45"/>
    <w:rsid w:val="005E3FD0"/>
    <w:rsid w:val="005E5D3D"/>
    <w:rsid w:val="005E5F6B"/>
    <w:rsid w:val="005E606B"/>
    <w:rsid w:val="005E69B7"/>
    <w:rsid w:val="005E6AC3"/>
    <w:rsid w:val="005E7429"/>
    <w:rsid w:val="005E747A"/>
    <w:rsid w:val="005E7601"/>
    <w:rsid w:val="005F0FB3"/>
    <w:rsid w:val="005F1808"/>
    <w:rsid w:val="005F23F7"/>
    <w:rsid w:val="005F3403"/>
    <w:rsid w:val="005F3465"/>
    <w:rsid w:val="005F34E4"/>
    <w:rsid w:val="005F3B99"/>
    <w:rsid w:val="005F485B"/>
    <w:rsid w:val="005F51A8"/>
    <w:rsid w:val="005F5357"/>
    <w:rsid w:val="005F5B41"/>
    <w:rsid w:val="005F5B43"/>
    <w:rsid w:val="005F5C84"/>
    <w:rsid w:val="005F5E2C"/>
    <w:rsid w:val="005F5EE8"/>
    <w:rsid w:val="005F63A3"/>
    <w:rsid w:val="005F69B2"/>
    <w:rsid w:val="005F6E6C"/>
    <w:rsid w:val="005F7046"/>
    <w:rsid w:val="005F7963"/>
    <w:rsid w:val="005F7CB5"/>
    <w:rsid w:val="005F7DA8"/>
    <w:rsid w:val="006005CC"/>
    <w:rsid w:val="006008E1"/>
    <w:rsid w:val="0060099F"/>
    <w:rsid w:val="00600B06"/>
    <w:rsid w:val="00600BAD"/>
    <w:rsid w:val="00601088"/>
    <w:rsid w:val="006011B2"/>
    <w:rsid w:val="006016AB"/>
    <w:rsid w:val="00601986"/>
    <w:rsid w:val="00601B97"/>
    <w:rsid w:val="00602D7D"/>
    <w:rsid w:val="00602F33"/>
    <w:rsid w:val="00603831"/>
    <w:rsid w:val="00603A1C"/>
    <w:rsid w:val="00604291"/>
    <w:rsid w:val="00604F0D"/>
    <w:rsid w:val="00606190"/>
    <w:rsid w:val="006063FF"/>
    <w:rsid w:val="00606403"/>
    <w:rsid w:val="006066C6"/>
    <w:rsid w:val="00607096"/>
    <w:rsid w:val="006106BC"/>
    <w:rsid w:val="00610B4C"/>
    <w:rsid w:val="00610EDD"/>
    <w:rsid w:val="00611245"/>
    <w:rsid w:val="00611A7E"/>
    <w:rsid w:val="00611D8A"/>
    <w:rsid w:val="0061218B"/>
    <w:rsid w:val="0061267E"/>
    <w:rsid w:val="00612DDD"/>
    <w:rsid w:val="006136FB"/>
    <w:rsid w:val="00614AE3"/>
    <w:rsid w:val="00615410"/>
    <w:rsid w:val="00615CFB"/>
    <w:rsid w:val="0061605A"/>
    <w:rsid w:val="006164B7"/>
    <w:rsid w:val="00616A54"/>
    <w:rsid w:val="00616ACE"/>
    <w:rsid w:val="006179E2"/>
    <w:rsid w:val="00617DBB"/>
    <w:rsid w:val="0062042D"/>
    <w:rsid w:val="00620757"/>
    <w:rsid w:val="00620CC3"/>
    <w:rsid w:val="00621D3A"/>
    <w:rsid w:val="00621ED9"/>
    <w:rsid w:val="0062222A"/>
    <w:rsid w:val="0062293F"/>
    <w:rsid w:val="006231D7"/>
    <w:rsid w:val="00623970"/>
    <w:rsid w:val="006239DB"/>
    <w:rsid w:val="00623ADF"/>
    <w:rsid w:val="00624543"/>
    <w:rsid w:val="0062475F"/>
    <w:rsid w:val="00624C9F"/>
    <w:rsid w:val="00624F79"/>
    <w:rsid w:val="0062555E"/>
    <w:rsid w:val="00625D81"/>
    <w:rsid w:val="00625E35"/>
    <w:rsid w:val="00625E65"/>
    <w:rsid w:val="006263D6"/>
    <w:rsid w:val="00627137"/>
    <w:rsid w:val="006272A0"/>
    <w:rsid w:val="006276C5"/>
    <w:rsid w:val="00627853"/>
    <w:rsid w:val="00630A0E"/>
    <w:rsid w:val="00630A33"/>
    <w:rsid w:val="00630AB4"/>
    <w:rsid w:val="00630E11"/>
    <w:rsid w:val="00631403"/>
    <w:rsid w:val="006314C1"/>
    <w:rsid w:val="00631B89"/>
    <w:rsid w:val="006321C4"/>
    <w:rsid w:val="006323E8"/>
    <w:rsid w:val="0063257C"/>
    <w:rsid w:val="006328EB"/>
    <w:rsid w:val="00632947"/>
    <w:rsid w:val="00632C4D"/>
    <w:rsid w:val="00633A3D"/>
    <w:rsid w:val="0063418A"/>
    <w:rsid w:val="00634736"/>
    <w:rsid w:val="006349B8"/>
    <w:rsid w:val="00634F4A"/>
    <w:rsid w:val="006357D9"/>
    <w:rsid w:val="0063584F"/>
    <w:rsid w:val="00635B17"/>
    <w:rsid w:val="00636096"/>
    <w:rsid w:val="00636530"/>
    <w:rsid w:val="006373E7"/>
    <w:rsid w:val="00637761"/>
    <w:rsid w:val="00637BAD"/>
    <w:rsid w:val="00637D07"/>
    <w:rsid w:val="00640DB7"/>
    <w:rsid w:val="00641266"/>
    <w:rsid w:val="0064184E"/>
    <w:rsid w:val="00641F6D"/>
    <w:rsid w:val="0064271F"/>
    <w:rsid w:val="00642A3E"/>
    <w:rsid w:val="00642D25"/>
    <w:rsid w:val="00642E19"/>
    <w:rsid w:val="00643069"/>
    <w:rsid w:val="00643673"/>
    <w:rsid w:val="006439E5"/>
    <w:rsid w:val="00644802"/>
    <w:rsid w:val="00644F45"/>
    <w:rsid w:val="00645359"/>
    <w:rsid w:val="00645601"/>
    <w:rsid w:val="00645713"/>
    <w:rsid w:val="0064602D"/>
    <w:rsid w:val="0065081B"/>
    <w:rsid w:val="00650D1F"/>
    <w:rsid w:val="0065111B"/>
    <w:rsid w:val="006514BB"/>
    <w:rsid w:val="006521E6"/>
    <w:rsid w:val="00652370"/>
    <w:rsid w:val="00652ABB"/>
    <w:rsid w:val="006531BA"/>
    <w:rsid w:val="0065344E"/>
    <w:rsid w:val="00654135"/>
    <w:rsid w:val="00654167"/>
    <w:rsid w:val="0065462D"/>
    <w:rsid w:val="0065467F"/>
    <w:rsid w:val="00654E3D"/>
    <w:rsid w:val="00654EA4"/>
    <w:rsid w:val="006557C8"/>
    <w:rsid w:val="00655AC2"/>
    <w:rsid w:val="00655B2A"/>
    <w:rsid w:val="0065653C"/>
    <w:rsid w:val="00656850"/>
    <w:rsid w:val="00656A9E"/>
    <w:rsid w:val="0065773A"/>
    <w:rsid w:val="006579C7"/>
    <w:rsid w:val="006602DF"/>
    <w:rsid w:val="00660ECF"/>
    <w:rsid w:val="00660FCA"/>
    <w:rsid w:val="006615C9"/>
    <w:rsid w:val="006618DC"/>
    <w:rsid w:val="00662704"/>
    <w:rsid w:val="00662DB9"/>
    <w:rsid w:val="00663571"/>
    <w:rsid w:val="0066378B"/>
    <w:rsid w:val="006638AB"/>
    <w:rsid w:val="006638E4"/>
    <w:rsid w:val="00663C67"/>
    <w:rsid w:val="006645F3"/>
    <w:rsid w:val="00664925"/>
    <w:rsid w:val="00664C51"/>
    <w:rsid w:val="0066661A"/>
    <w:rsid w:val="00666748"/>
    <w:rsid w:val="00666BB9"/>
    <w:rsid w:val="00666D0F"/>
    <w:rsid w:val="00666D19"/>
    <w:rsid w:val="00666DFA"/>
    <w:rsid w:val="006671CD"/>
    <w:rsid w:val="00667960"/>
    <w:rsid w:val="00667BF0"/>
    <w:rsid w:val="00667FB7"/>
    <w:rsid w:val="0067136D"/>
    <w:rsid w:val="00671648"/>
    <w:rsid w:val="006717FC"/>
    <w:rsid w:val="00672652"/>
    <w:rsid w:val="006729D0"/>
    <w:rsid w:val="00672CA9"/>
    <w:rsid w:val="00672DA6"/>
    <w:rsid w:val="0067347E"/>
    <w:rsid w:val="006737FA"/>
    <w:rsid w:val="00673C48"/>
    <w:rsid w:val="00674D36"/>
    <w:rsid w:val="00674D5C"/>
    <w:rsid w:val="00674DE8"/>
    <w:rsid w:val="00674FE1"/>
    <w:rsid w:val="006752AB"/>
    <w:rsid w:val="006763DA"/>
    <w:rsid w:val="00676DA2"/>
    <w:rsid w:val="00677236"/>
    <w:rsid w:val="00677ECF"/>
    <w:rsid w:val="00680680"/>
    <w:rsid w:val="00681950"/>
    <w:rsid w:val="00681A36"/>
    <w:rsid w:val="00682885"/>
    <w:rsid w:val="00682A22"/>
    <w:rsid w:val="00682D95"/>
    <w:rsid w:val="00683032"/>
    <w:rsid w:val="00683119"/>
    <w:rsid w:val="0068354E"/>
    <w:rsid w:val="006835CE"/>
    <w:rsid w:val="00683778"/>
    <w:rsid w:val="006845F0"/>
    <w:rsid w:val="006846C2"/>
    <w:rsid w:val="00684F80"/>
    <w:rsid w:val="00685941"/>
    <w:rsid w:val="0068748E"/>
    <w:rsid w:val="0069082F"/>
    <w:rsid w:val="00690CF8"/>
    <w:rsid w:val="00690F36"/>
    <w:rsid w:val="00690F39"/>
    <w:rsid w:val="0069141E"/>
    <w:rsid w:val="00691762"/>
    <w:rsid w:val="00691C77"/>
    <w:rsid w:val="00692C65"/>
    <w:rsid w:val="00693238"/>
    <w:rsid w:val="0069325E"/>
    <w:rsid w:val="0069354F"/>
    <w:rsid w:val="00693867"/>
    <w:rsid w:val="00693EEC"/>
    <w:rsid w:val="00694192"/>
    <w:rsid w:val="006951A3"/>
    <w:rsid w:val="00695637"/>
    <w:rsid w:val="00695850"/>
    <w:rsid w:val="00695AAE"/>
    <w:rsid w:val="00695CB3"/>
    <w:rsid w:val="00695FAB"/>
    <w:rsid w:val="00695FCC"/>
    <w:rsid w:val="00696034"/>
    <w:rsid w:val="00696084"/>
    <w:rsid w:val="00696091"/>
    <w:rsid w:val="006961D0"/>
    <w:rsid w:val="006971AF"/>
    <w:rsid w:val="00697850"/>
    <w:rsid w:val="00697956"/>
    <w:rsid w:val="00697AEB"/>
    <w:rsid w:val="006A042A"/>
    <w:rsid w:val="006A0445"/>
    <w:rsid w:val="006A0831"/>
    <w:rsid w:val="006A0D85"/>
    <w:rsid w:val="006A0E75"/>
    <w:rsid w:val="006A17C8"/>
    <w:rsid w:val="006A2B14"/>
    <w:rsid w:val="006A31CF"/>
    <w:rsid w:val="006A39E3"/>
    <w:rsid w:val="006A3AA1"/>
    <w:rsid w:val="006A3AD4"/>
    <w:rsid w:val="006A3BB3"/>
    <w:rsid w:val="006A3FFD"/>
    <w:rsid w:val="006A5E98"/>
    <w:rsid w:val="006A63D0"/>
    <w:rsid w:val="006A685A"/>
    <w:rsid w:val="006A6E47"/>
    <w:rsid w:val="006A701A"/>
    <w:rsid w:val="006A7341"/>
    <w:rsid w:val="006A76EA"/>
    <w:rsid w:val="006A7BA5"/>
    <w:rsid w:val="006B039C"/>
    <w:rsid w:val="006B0BD7"/>
    <w:rsid w:val="006B1517"/>
    <w:rsid w:val="006B1556"/>
    <w:rsid w:val="006B262A"/>
    <w:rsid w:val="006B2688"/>
    <w:rsid w:val="006B29F5"/>
    <w:rsid w:val="006B2E99"/>
    <w:rsid w:val="006B3547"/>
    <w:rsid w:val="006B387B"/>
    <w:rsid w:val="006B3A76"/>
    <w:rsid w:val="006B3FA4"/>
    <w:rsid w:val="006B4818"/>
    <w:rsid w:val="006B49A6"/>
    <w:rsid w:val="006B4F0A"/>
    <w:rsid w:val="006B5B37"/>
    <w:rsid w:val="006B5F7A"/>
    <w:rsid w:val="006B622C"/>
    <w:rsid w:val="006B6253"/>
    <w:rsid w:val="006B6DFA"/>
    <w:rsid w:val="006B715A"/>
    <w:rsid w:val="006B7334"/>
    <w:rsid w:val="006C09C0"/>
    <w:rsid w:val="006C11C6"/>
    <w:rsid w:val="006C1B6A"/>
    <w:rsid w:val="006C3DF4"/>
    <w:rsid w:val="006C4573"/>
    <w:rsid w:val="006C4850"/>
    <w:rsid w:val="006C497E"/>
    <w:rsid w:val="006C4E8F"/>
    <w:rsid w:val="006C4FD5"/>
    <w:rsid w:val="006C598F"/>
    <w:rsid w:val="006C6936"/>
    <w:rsid w:val="006C6BCD"/>
    <w:rsid w:val="006C78C2"/>
    <w:rsid w:val="006D0898"/>
    <w:rsid w:val="006D0F47"/>
    <w:rsid w:val="006D10B1"/>
    <w:rsid w:val="006D1245"/>
    <w:rsid w:val="006D1AE2"/>
    <w:rsid w:val="006D1DAD"/>
    <w:rsid w:val="006D1E86"/>
    <w:rsid w:val="006D211F"/>
    <w:rsid w:val="006D228D"/>
    <w:rsid w:val="006D29DB"/>
    <w:rsid w:val="006D2F72"/>
    <w:rsid w:val="006D3D0F"/>
    <w:rsid w:val="006D3F22"/>
    <w:rsid w:val="006D4D85"/>
    <w:rsid w:val="006D564E"/>
    <w:rsid w:val="006D582E"/>
    <w:rsid w:val="006D5E70"/>
    <w:rsid w:val="006D5E71"/>
    <w:rsid w:val="006D5EA0"/>
    <w:rsid w:val="006D5F1B"/>
    <w:rsid w:val="006D6420"/>
    <w:rsid w:val="006D67ED"/>
    <w:rsid w:val="006D6C7C"/>
    <w:rsid w:val="006D70EF"/>
    <w:rsid w:val="006D7118"/>
    <w:rsid w:val="006D7252"/>
    <w:rsid w:val="006D7C21"/>
    <w:rsid w:val="006E091F"/>
    <w:rsid w:val="006E0E04"/>
    <w:rsid w:val="006E1B50"/>
    <w:rsid w:val="006E1C57"/>
    <w:rsid w:val="006E1C6E"/>
    <w:rsid w:val="006E2004"/>
    <w:rsid w:val="006E24A7"/>
    <w:rsid w:val="006E319D"/>
    <w:rsid w:val="006E509F"/>
    <w:rsid w:val="006E5680"/>
    <w:rsid w:val="006E58C9"/>
    <w:rsid w:val="006E61C9"/>
    <w:rsid w:val="006E6226"/>
    <w:rsid w:val="006E6430"/>
    <w:rsid w:val="006E654A"/>
    <w:rsid w:val="006E688A"/>
    <w:rsid w:val="006E6ADF"/>
    <w:rsid w:val="006E7C2E"/>
    <w:rsid w:val="006E7C44"/>
    <w:rsid w:val="006F04FA"/>
    <w:rsid w:val="006F08FA"/>
    <w:rsid w:val="006F0D5C"/>
    <w:rsid w:val="006F12E4"/>
    <w:rsid w:val="006F17A9"/>
    <w:rsid w:val="006F236C"/>
    <w:rsid w:val="006F3291"/>
    <w:rsid w:val="006F4976"/>
    <w:rsid w:val="006F52B1"/>
    <w:rsid w:val="006F5696"/>
    <w:rsid w:val="006F6753"/>
    <w:rsid w:val="006F6A9E"/>
    <w:rsid w:val="006F7ED0"/>
    <w:rsid w:val="00700005"/>
    <w:rsid w:val="0070039C"/>
    <w:rsid w:val="00701079"/>
    <w:rsid w:val="00701238"/>
    <w:rsid w:val="0070180F"/>
    <w:rsid w:val="00701C23"/>
    <w:rsid w:val="00701D88"/>
    <w:rsid w:val="00702A9C"/>
    <w:rsid w:val="00703280"/>
    <w:rsid w:val="007032DC"/>
    <w:rsid w:val="00703314"/>
    <w:rsid w:val="007033EA"/>
    <w:rsid w:val="007040CD"/>
    <w:rsid w:val="0070469B"/>
    <w:rsid w:val="007047A8"/>
    <w:rsid w:val="007053A7"/>
    <w:rsid w:val="007056B0"/>
    <w:rsid w:val="007057E5"/>
    <w:rsid w:val="00705B75"/>
    <w:rsid w:val="007066C8"/>
    <w:rsid w:val="00706EAB"/>
    <w:rsid w:val="00706FD7"/>
    <w:rsid w:val="00711811"/>
    <w:rsid w:val="00712256"/>
    <w:rsid w:val="0071267A"/>
    <w:rsid w:val="00712C8B"/>
    <w:rsid w:val="00713BDB"/>
    <w:rsid w:val="007141FF"/>
    <w:rsid w:val="00714C89"/>
    <w:rsid w:val="00714D58"/>
    <w:rsid w:val="00714D6D"/>
    <w:rsid w:val="00715414"/>
    <w:rsid w:val="0071556C"/>
    <w:rsid w:val="00715B93"/>
    <w:rsid w:val="007161D4"/>
    <w:rsid w:val="007169BF"/>
    <w:rsid w:val="00717295"/>
    <w:rsid w:val="00717948"/>
    <w:rsid w:val="00717E7C"/>
    <w:rsid w:val="00720114"/>
    <w:rsid w:val="0072011F"/>
    <w:rsid w:val="00720368"/>
    <w:rsid w:val="0072076F"/>
    <w:rsid w:val="00720AE8"/>
    <w:rsid w:val="00720C94"/>
    <w:rsid w:val="007210B1"/>
    <w:rsid w:val="0072135A"/>
    <w:rsid w:val="007222AE"/>
    <w:rsid w:val="00722B92"/>
    <w:rsid w:val="00723ABB"/>
    <w:rsid w:val="00723DBE"/>
    <w:rsid w:val="007247F5"/>
    <w:rsid w:val="007249C2"/>
    <w:rsid w:val="00724C68"/>
    <w:rsid w:val="007251DA"/>
    <w:rsid w:val="0072528B"/>
    <w:rsid w:val="007254E1"/>
    <w:rsid w:val="00725B31"/>
    <w:rsid w:val="007261B9"/>
    <w:rsid w:val="00726E6B"/>
    <w:rsid w:val="00727D51"/>
    <w:rsid w:val="00727EC6"/>
    <w:rsid w:val="007300AA"/>
    <w:rsid w:val="00730694"/>
    <w:rsid w:val="00730BE0"/>
    <w:rsid w:val="00730F99"/>
    <w:rsid w:val="00731CE6"/>
    <w:rsid w:val="00731DAA"/>
    <w:rsid w:val="00731E66"/>
    <w:rsid w:val="00732292"/>
    <w:rsid w:val="0073251B"/>
    <w:rsid w:val="0073257B"/>
    <w:rsid w:val="00732B21"/>
    <w:rsid w:val="0073462B"/>
    <w:rsid w:val="00734BF8"/>
    <w:rsid w:val="00734FB6"/>
    <w:rsid w:val="00735D95"/>
    <w:rsid w:val="00736760"/>
    <w:rsid w:val="007370D7"/>
    <w:rsid w:val="00737F09"/>
    <w:rsid w:val="0074012A"/>
    <w:rsid w:val="00740A8C"/>
    <w:rsid w:val="007424D9"/>
    <w:rsid w:val="00742541"/>
    <w:rsid w:val="00742B9D"/>
    <w:rsid w:val="00742D3C"/>
    <w:rsid w:val="007430D0"/>
    <w:rsid w:val="007437E8"/>
    <w:rsid w:val="0074405C"/>
    <w:rsid w:val="00744182"/>
    <w:rsid w:val="007443C2"/>
    <w:rsid w:val="0074450C"/>
    <w:rsid w:val="00744AD9"/>
    <w:rsid w:val="00744C97"/>
    <w:rsid w:val="00744DD8"/>
    <w:rsid w:val="00744FE7"/>
    <w:rsid w:val="00744FF9"/>
    <w:rsid w:val="0074506D"/>
    <w:rsid w:val="0074540C"/>
    <w:rsid w:val="0074551E"/>
    <w:rsid w:val="00745881"/>
    <w:rsid w:val="00746EB4"/>
    <w:rsid w:val="007475D2"/>
    <w:rsid w:val="00747B41"/>
    <w:rsid w:val="00747EA1"/>
    <w:rsid w:val="00750131"/>
    <w:rsid w:val="00750579"/>
    <w:rsid w:val="00750EFF"/>
    <w:rsid w:val="007510DF"/>
    <w:rsid w:val="00751337"/>
    <w:rsid w:val="00751C2C"/>
    <w:rsid w:val="007534F9"/>
    <w:rsid w:val="007537C7"/>
    <w:rsid w:val="00753A12"/>
    <w:rsid w:val="00754415"/>
    <w:rsid w:val="007549D9"/>
    <w:rsid w:val="00754DA5"/>
    <w:rsid w:val="007553F8"/>
    <w:rsid w:val="00755686"/>
    <w:rsid w:val="00755D98"/>
    <w:rsid w:val="007563BD"/>
    <w:rsid w:val="007568EC"/>
    <w:rsid w:val="00756F4B"/>
    <w:rsid w:val="00757862"/>
    <w:rsid w:val="00761F75"/>
    <w:rsid w:val="007620B9"/>
    <w:rsid w:val="0076256B"/>
    <w:rsid w:val="00762C6A"/>
    <w:rsid w:val="00762CFD"/>
    <w:rsid w:val="00762D05"/>
    <w:rsid w:val="00763183"/>
    <w:rsid w:val="00763299"/>
    <w:rsid w:val="007635FA"/>
    <w:rsid w:val="00763F84"/>
    <w:rsid w:val="00764378"/>
    <w:rsid w:val="00764C65"/>
    <w:rsid w:val="00764CCA"/>
    <w:rsid w:val="00765031"/>
    <w:rsid w:val="00765600"/>
    <w:rsid w:val="00765800"/>
    <w:rsid w:val="007659E1"/>
    <w:rsid w:val="00765A17"/>
    <w:rsid w:val="00766163"/>
    <w:rsid w:val="00766204"/>
    <w:rsid w:val="00766570"/>
    <w:rsid w:val="00766CF9"/>
    <w:rsid w:val="00767120"/>
    <w:rsid w:val="0076712B"/>
    <w:rsid w:val="00767967"/>
    <w:rsid w:val="007679EB"/>
    <w:rsid w:val="00771909"/>
    <w:rsid w:val="00771992"/>
    <w:rsid w:val="00771B1E"/>
    <w:rsid w:val="00771C47"/>
    <w:rsid w:val="0077219D"/>
    <w:rsid w:val="0077295F"/>
    <w:rsid w:val="00772D18"/>
    <w:rsid w:val="00773078"/>
    <w:rsid w:val="007742F1"/>
    <w:rsid w:val="00774636"/>
    <w:rsid w:val="0077471F"/>
    <w:rsid w:val="007749E8"/>
    <w:rsid w:val="00774B7B"/>
    <w:rsid w:val="00774C1E"/>
    <w:rsid w:val="00774E70"/>
    <w:rsid w:val="0077510A"/>
    <w:rsid w:val="00775968"/>
    <w:rsid w:val="00776FE7"/>
    <w:rsid w:val="0077793E"/>
    <w:rsid w:val="007779C1"/>
    <w:rsid w:val="0078007C"/>
    <w:rsid w:val="00780378"/>
    <w:rsid w:val="00780407"/>
    <w:rsid w:val="00780691"/>
    <w:rsid w:val="0078087F"/>
    <w:rsid w:val="00780BE7"/>
    <w:rsid w:val="00780D47"/>
    <w:rsid w:val="00780EF7"/>
    <w:rsid w:val="00781AA5"/>
    <w:rsid w:val="0078246F"/>
    <w:rsid w:val="00782A83"/>
    <w:rsid w:val="00782B41"/>
    <w:rsid w:val="007839C4"/>
    <w:rsid w:val="00783E88"/>
    <w:rsid w:val="00784384"/>
    <w:rsid w:val="0078440A"/>
    <w:rsid w:val="00786791"/>
    <w:rsid w:val="00786995"/>
    <w:rsid w:val="007900E3"/>
    <w:rsid w:val="00790AC8"/>
    <w:rsid w:val="00790C13"/>
    <w:rsid w:val="00790DC8"/>
    <w:rsid w:val="00790FD8"/>
    <w:rsid w:val="0079115B"/>
    <w:rsid w:val="00791E50"/>
    <w:rsid w:val="0079253D"/>
    <w:rsid w:val="007927DC"/>
    <w:rsid w:val="00792895"/>
    <w:rsid w:val="00792AE3"/>
    <w:rsid w:val="00792E27"/>
    <w:rsid w:val="007936F9"/>
    <w:rsid w:val="00793C29"/>
    <w:rsid w:val="00793CA3"/>
    <w:rsid w:val="00794107"/>
    <w:rsid w:val="0079481E"/>
    <w:rsid w:val="0079483F"/>
    <w:rsid w:val="00794D76"/>
    <w:rsid w:val="00795112"/>
    <w:rsid w:val="0079560F"/>
    <w:rsid w:val="00797D95"/>
    <w:rsid w:val="007A04CA"/>
    <w:rsid w:val="007A063F"/>
    <w:rsid w:val="007A06CE"/>
    <w:rsid w:val="007A0814"/>
    <w:rsid w:val="007A11E1"/>
    <w:rsid w:val="007A1C95"/>
    <w:rsid w:val="007A301D"/>
    <w:rsid w:val="007A302B"/>
    <w:rsid w:val="007A345C"/>
    <w:rsid w:val="007A371F"/>
    <w:rsid w:val="007A3872"/>
    <w:rsid w:val="007A39D2"/>
    <w:rsid w:val="007A3E3C"/>
    <w:rsid w:val="007A40E9"/>
    <w:rsid w:val="007A4333"/>
    <w:rsid w:val="007A47CB"/>
    <w:rsid w:val="007A4ED9"/>
    <w:rsid w:val="007A4F12"/>
    <w:rsid w:val="007A5331"/>
    <w:rsid w:val="007A5724"/>
    <w:rsid w:val="007A58CF"/>
    <w:rsid w:val="007A5A97"/>
    <w:rsid w:val="007A5CDA"/>
    <w:rsid w:val="007A631C"/>
    <w:rsid w:val="007A635C"/>
    <w:rsid w:val="007A73D8"/>
    <w:rsid w:val="007A7570"/>
    <w:rsid w:val="007A7614"/>
    <w:rsid w:val="007A7664"/>
    <w:rsid w:val="007A77FE"/>
    <w:rsid w:val="007A7960"/>
    <w:rsid w:val="007A7BAA"/>
    <w:rsid w:val="007B04E9"/>
    <w:rsid w:val="007B05D1"/>
    <w:rsid w:val="007B08B5"/>
    <w:rsid w:val="007B08F1"/>
    <w:rsid w:val="007B08F3"/>
    <w:rsid w:val="007B11AF"/>
    <w:rsid w:val="007B229F"/>
    <w:rsid w:val="007B2BF7"/>
    <w:rsid w:val="007B2DE9"/>
    <w:rsid w:val="007B4348"/>
    <w:rsid w:val="007B4B1A"/>
    <w:rsid w:val="007B4BE7"/>
    <w:rsid w:val="007B505A"/>
    <w:rsid w:val="007B52B6"/>
    <w:rsid w:val="007B58CE"/>
    <w:rsid w:val="007B58D1"/>
    <w:rsid w:val="007B5ED5"/>
    <w:rsid w:val="007B62F0"/>
    <w:rsid w:val="007B66F1"/>
    <w:rsid w:val="007B6B67"/>
    <w:rsid w:val="007C0FCA"/>
    <w:rsid w:val="007C1155"/>
    <w:rsid w:val="007C121E"/>
    <w:rsid w:val="007C1765"/>
    <w:rsid w:val="007C1D2A"/>
    <w:rsid w:val="007C27B1"/>
    <w:rsid w:val="007C2A90"/>
    <w:rsid w:val="007C2CE4"/>
    <w:rsid w:val="007C496A"/>
    <w:rsid w:val="007C4B6F"/>
    <w:rsid w:val="007C5122"/>
    <w:rsid w:val="007C5E86"/>
    <w:rsid w:val="007C6112"/>
    <w:rsid w:val="007C6871"/>
    <w:rsid w:val="007C6A9F"/>
    <w:rsid w:val="007C717B"/>
    <w:rsid w:val="007C7686"/>
    <w:rsid w:val="007C7BE5"/>
    <w:rsid w:val="007D0316"/>
    <w:rsid w:val="007D070F"/>
    <w:rsid w:val="007D0D87"/>
    <w:rsid w:val="007D0F0F"/>
    <w:rsid w:val="007D0F1A"/>
    <w:rsid w:val="007D12B7"/>
    <w:rsid w:val="007D1411"/>
    <w:rsid w:val="007D1CA1"/>
    <w:rsid w:val="007D2B4F"/>
    <w:rsid w:val="007D2BB2"/>
    <w:rsid w:val="007D2CC6"/>
    <w:rsid w:val="007D2DBD"/>
    <w:rsid w:val="007D377A"/>
    <w:rsid w:val="007D37F1"/>
    <w:rsid w:val="007D40AD"/>
    <w:rsid w:val="007D53F4"/>
    <w:rsid w:val="007D567A"/>
    <w:rsid w:val="007D5A62"/>
    <w:rsid w:val="007D5C31"/>
    <w:rsid w:val="007D5D15"/>
    <w:rsid w:val="007D61A3"/>
    <w:rsid w:val="007D69AB"/>
    <w:rsid w:val="007D717E"/>
    <w:rsid w:val="007D72A3"/>
    <w:rsid w:val="007D79DB"/>
    <w:rsid w:val="007D7EC7"/>
    <w:rsid w:val="007E000E"/>
    <w:rsid w:val="007E0272"/>
    <w:rsid w:val="007E0874"/>
    <w:rsid w:val="007E0B26"/>
    <w:rsid w:val="007E123A"/>
    <w:rsid w:val="007E133E"/>
    <w:rsid w:val="007E1454"/>
    <w:rsid w:val="007E14F8"/>
    <w:rsid w:val="007E16A5"/>
    <w:rsid w:val="007E19BF"/>
    <w:rsid w:val="007E1BFD"/>
    <w:rsid w:val="007E1D1F"/>
    <w:rsid w:val="007E2374"/>
    <w:rsid w:val="007E2B15"/>
    <w:rsid w:val="007E441A"/>
    <w:rsid w:val="007E4815"/>
    <w:rsid w:val="007E522B"/>
    <w:rsid w:val="007E6A9C"/>
    <w:rsid w:val="007E6C91"/>
    <w:rsid w:val="007E7198"/>
    <w:rsid w:val="007E7DE5"/>
    <w:rsid w:val="007F0BBE"/>
    <w:rsid w:val="007F0C02"/>
    <w:rsid w:val="007F0FAA"/>
    <w:rsid w:val="007F1823"/>
    <w:rsid w:val="007F244E"/>
    <w:rsid w:val="007F2922"/>
    <w:rsid w:val="007F3017"/>
    <w:rsid w:val="007F3719"/>
    <w:rsid w:val="007F3BAA"/>
    <w:rsid w:val="007F3BC7"/>
    <w:rsid w:val="007F3DCE"/>
    <w:rsid w:val="007F475E"/>
    <w:rsid w:val="007F4D93"/>
    <w:rsid w:val="007F589B"/>
    <w:rsid w:val="007F6594"/>
    <w:rsid w:val="007F68DA"/>
    <w:rsid w:val="007F70E3"/>
    <w:rsid w:val="007F711C"/>
    <w:rsid w:val="007F7662"/>
    <w:rsid w:val="007F7F5B"/>
    <w:rsid w:val="00800055"/>
    <w:rsid w:val="00800124"/>
    <w:rsid w:val="00801A6E"/>
    <w:rsid w:val="00801CEC"/>
    <w:rsid w:val="00801EDD"/>
    <w:rsid w:val="00802567"/>
    <w:rsid w:val="00802628"/>
    <w:rsid w:val="00802FE2"/>
    <w:rsid w:val="00803007"/>
    <w:rsid w:val="0080303E"/>
    <w:rsid w:val="008033F7"/>
    <w:rsid w:val="0080372B"/>
    <w:rsid w:val="0080390D"/>
    <w:rsid w:val="00804451"/>
    <w:rsid w:val="008048FD"/>
    <w:rsid w:val="008056F7"/>
    <w:rsid w:val="00805E30"/>
    <w:rsid w:val="00805F19"/>
    <w:rsid w:val="0080601C"/>
    <w:rsid w:val="0080761E"/>
    <w:rsid w:val="0080766E"/>
    <w:rsid w:val="00810059"/>
    <w:rsid w:val="00810888"/>
    <w:rsid w:val="00810BAB"/>
    <w:rsid w:val="00810E6E"/>
    <w:rsid w:val="008112BE"/>
    <w:rsid w:val="00811522"/>
    <w:rsid w:val="00811CEF"/>
    <w:rsid w:val="00811E62"/>
    <w:rsid w:val="008124FC"/>
    <w:rsid w:val="0081290D"/>
    <w:rsid w:val="00812927"/>
    <w:rsid w:val="00812C65"/>
    <w:rsid w:val="00813C72"/>
    <w:rsid w:val="00813E32"/>
    <w:rsid w:val="00814BFD"/>
    <w:rsid w:val="00815193"/>
    <w:rsid w:val="0081524B"/>
    <w:rsid w:val="00815293"/>
    <w:rsid w:val="00815AA0"/>
    <w:rsid w:val="00815CDC"/>
    <w:rsid w:val="00815D20"/>
    <w:rsid w:val="00815D78"/>
    <w:rsid w:val="00815F36"/>
    <w:rsid w:val="008165D5"/>
    <w:rsid w:val="008169BC"/>
    <w:rsid w:val="008174BE"/>
    <w:rsid w:val="0081751D"/>
    <w:rsid w:val="0081757C"/>
    <w:rsid w:val="008175AB"/>
    <w:rsid w:val="0081770D"/>
    <w:rsid w:val="00817D48"/>
    <w:rsid w:val="00820D90"/>
    <w:rsid w:val="008210FE"/>
    <w:rsid w:val="00821746"/>
    <w:rsid w:val="00821A92"/>
    <w:rsid w:val="00822506"/>
    <w:rsid w:val="008228B7"/>
    <w:rsid w:val="0082299B"/>
    <w:rsid w:val="00822F9A"/>
    <w:rsid w:val="008230DA"/>
    <w:rsid w:val="00823FEC"/>
    <w:rsid w:val="00824AFF"/>
    <w:rsid w:val="00825CCB"/>
    <w:rsid w:val="008270FA"/>
    <w:rsid w:val="00830CCA"/>
    <w:rsid w:val="0083124D"/>
    <w:rsid w:val="00831736"/>
    <w:rsid w:val="00831E27"/>
    <w:rsid w:val="008324C4"/>
    <w:rsid w:val="00833DB5"/>
    <w:rsid w:val="00834203"/>
    <w:rsid w:val="008342D2"/>
    <w:rsid w:val="0083453D"/>
    <w:rsid w:val="008347BB"/>
    <w:rsid w:val="00834A51"/>
    <w:rsid w:val="00834B4F"/>
    <w:rsid w:val="0083501F"/>
    <w:rsid w:val="00835166"/>
    <w:rsid w:val="00835317"/>
    <w:rsid w:val="0083555B"/>
    <w:rsid w:val="0083595D"/>
    <w:rsid w:val="00837419"/>
    <w:rsid w:val="00837C00"/>
    <w:rsid w:val="00840003"/>
    <w:rsid w:val="008404D9"/>
    <w:rsid w:val="008405C7"/>
    <w:rsid w:val="00841879"/>
    <w:rsid w:val="0084190F"/>
    <w:rsid w:val="00843197"/>
    <w:rsid w:val="00843923"/>
    <w:rsid w:val="00843ED8"/>
    <w:rsid w:val="00844334"/>
    <w:rsid w:val="0084462C"/>
    <w:rsid w:val="00844BB5"/>
    <w:rsid w:val="00844D3A"/>
    <w:rsid w:val="00844D3B"/>
    <w:rsid w:val="0084570E"/>
    <w:rsid w:val="008464F5"/>
    <w:rsid w:val="00846D44"/>
    <w:rsid w:val="00847427"/>
    <w:rsid w:val="00850760"/>
    <w:rsid w:val="00850F09"/>
    <w:rsid w:val="0085106B"/>
    <w:rsid w:val="00851746"/>
    <w:rsid w:val="00851DEB"/>
    <w:rsid w:val="00851F01"/>
    <w:rsid w:val="0085224D"/>
    <w:rsid w:val="008527B5"/>
    <w:rsid w:val="00852879"/>
    <w:rsid w:val="008532E7"/>
    <w:rsid w:val="00853AA8"/>
    <w:rsid w:val="008540C3"/>
    <w:rsid w:val="008551DE"/>
    <w:rsid w:val="0085601B"/>
    <w:rsid w:val="00856668"/>
    <w:rsid w:val="00856B03"/>
    <w:rsid w:val="00856CBE"/>
    <w:rsid w:val="0085717F"/>
    <w:rsid w:val="008571A3"/>
    <w:rsid w:val="008573CA"/>
    <w:rsid w:val="00857861"/>
    <w:rsid w:val="008600AE"/>
    <w:rsid w:val="00860571"/>
    <w:rsid w:val="00860825"/>
    <w:rsid w:val="00860CBC"/>
    <w:rsid w:val="0086177E"/>
    <w:rsid w:val="00861CB4"/>
    <w:rsid w:val="008620DF"/>
    <w:rsid w:val="00862DB0"/>
    <w:rsid w:val="00863322"/>
    <w:rsid w:val="0086401C"/>
    <w:rsid w:val="008641BE"/>
    <w:rsid w:val="00864444"/>
    <w:rsid w:val="00864C20"/>
    <w:rsid w:val="00864F32"/>
    <w:rsid w:val="00867861"/>
    <w:rsid w:val="00867B20"/>
    <w:rsid w:val="00867B78"/>
    <w:rsid w:val="0087067D"/>
    <w:rsid w:val="00870A1F"/>
    <w:rsid w:val="00870A48"/>
    <w:rsid w:val="00870C25"/>
    <w:rsid w:val="00870EC9"/>
    <w:rsid w:val="008711D3"/>
    <w:rsid w:val="008711EB"/>
    <w:rsid w:val="008713B4"/>
    <w:rsid w:val="0087149C"/>
    <w:rsid w:val="008717AE"/>
    <w:rsid w:val="0087212D"/>
    <w:rsid w:val="00872928"/>
    <w:rsid w:val="00873670"/>
    <w:rsid w:val="0087373C"/>
    <w:rsid w:val="008737CB"/>
    <w:rsid w:val="00873A75"/>
    <w:rsid w:val="00873F95"/>
    <w:rsid w:val="008753C3"/>
    <w:rsid w:val="008756FC"/>
    <w:rsid w:val="00875DBF"/>
    <w:rsid w:val="00877A2F"/>
    <w:rsid w:val="00877BDB"/>
    <w:rsid w:val="0088011C"/>
    <w:rsid w:val="00881870"/>
    <w:rsid w:val="00881DD4"/>
    <w:rsid w:val="0088205A"/>
    <w:rsid w:val="008820A7"/>
    <w:rsid w:val="00882148"/>
    <w:rsid w:val="00882826"/>
    <w:rsid w:val="008829AB"/>
    <w:rsid w:val="00882E08"/>
    <w:rsid w:val="00883190"/>
    <w:rsid w:val="0088334D"/>
    <w:rsid w:val="00883DFB"/>
    <w:rsid w:val="0088452F"/>
    <w:rsid w:val="008850AD"/>
    <w:rsid w:val="0088524B"/>
    <w:rsid w:val="00885DEF"/>
    <w:rsid w:val="00885E03"/>
    <w:rsid w:val="00886179"/>
    <w:rsid w:val="008861C7"/>
    <w:rsid w:val="00886966"/>
    <w:rsid w:val="00886D1E"/>
    <w:rsid w:val="0088747D"/>
    <w:rsid w:val="00890412"/>
    <w:rsid w:val="00890F4F"/>
    <w:rsid w:val="00891D2A"/>
    <w:rsid w:val="008925B5"/>
    <w:rsid w:val="0089263C"/>
    <w:rsid w:val="008926DF"/>
    <w:rsid w:val="00892E97"/>
    <w:rsid w:val="0089314C"/>
    <w:rsid w:val="00893D53"/>
    <w:rsid w:val="00893F42"/>
    <w:rsid w:val="00894AFD"/>
    <w:rsid w:val="00894EF0"/>
    <w:rsid w:val="00895080"/>
    <w:rsid w:val="008959B3"/>
    <w:rsid w:val="00895D8B"/>
    <w:rsid w:val="00896294"/>
    <w:rsid w:val="00897452"/>
    <w:rsid w:val="008A0193"/>
    <w:rsid w:val="008A0D7D"/>
    <w:rsid w:val="008A0F97"/>
    <w:rsid w:val="008A0FCC"/>
    <w:rsid w:val="008A1059"/>
    <w:rsid w:val="008A10AD"/>
    <w:rsid w:val="008A153E"/>
    <w:rsid w:val="008A1ACF"/>
    <w:rsid w:val="008A252E"/>
    <w:rsid w:val="008A25E2"/>
    <w:rsid w:val="008A3011"/>
    <w:rsid w:val="008A3252"/>
    <w:rsid w:val="008A406F"/>
    <w:rsid w:val="008A4A57"/>
    <w:rsid w:val="008A4A6C"/>
    <w:rsid w:val="008A4D24"/>
    <w:rsid w:val="008A51AA"/>
    <w:rsid w:val="008A54CA"/>
    <w:rsid w:val="008A595E"/>
    <w:rsid w:val="008A5D4B"/>
    <w:rsid w:val="008A6075"/>
    <w:rsid w:val="008A6764"/>
    <w:rsid w:val="008A6A25"/>
    <w:rsid w:val="008A6D31"/>
    <w:rsid w:val="008A6D3A"/>
    <w:rsid w:val="008A7137"/>
    <w:rsid w:val="008A7752"/>
    <w:rsid w:val="008A796F"/>
    <w:rsid w:val="008A7ACC"/>
    <w:rsid w:val="008B0C8C"/>
    <w:rsid w:val="008B1015"/>
    <w:rsid w:val="008B1058"/>
    <w:rsid w:val="008B10B9"/>
    <w:rsid w:val="008B1288"/>
    <w:rsid w:val="008B1350"/>
    <w:rsid w:val="008B1A16"/>
    <w:rsid w:val="008B1A95"/>
    <w:rsid w:val="008B1B64"/>
    <w:rsid w:val="008B23C3"/>
    <w:rsid w:val="008B28FC"/>
    <w:rsid w:val="008B2A11"/>
    <w:rsid w:val="008B3277"/>
    <w:rsid w:val="008B3869"/>
    <w:rsid w:val="008B3995"/>
    <w:rsid w:val="008B3E7E"/>
    <w:rsid w:val="008B54C0"/>
    <w:rsid w:val="008B5C28"/>
    <w:rsid w:val="008B652F"/>
    <w:rsid w:val="008B688F"/>
    <w:rsid w:val="008B6B2C"/>
    <w:rsid w:val="008B6DC7"/>
    <w:rsid w:val="008B6E9D"/>
    <w:rsid w:val="008B76FA"/>
    <w:rsid w:val="008B7715"/>
    <w:rsid w:val="008B7D6B"/>
    <w:rsid w:val="008C06D5"/>
    <w:rsid w:val="008C08CF"/>
    <w:rsid w:val="008C0977"/>
    <w:rsid w:val="008C1129"/>
    <w:rsid w:val="008C14A2"/>
    <w:rsid w:val="008C1896"/>
    <w:rsid w:val="008C195D"/>
    <w:rsid w:val="008C1C09"/>
    <w:rsid w:val="008C2114"/>
    <w:rsid w:val="008C23B6"/>
    <w:rsid w:val="008C2D42"/>
    <w:rsid w:val="008C330E"/>
    <w:rsid w:val="008C36F2"/>
    <w:rsid w:val="008C39D7"/>
    <w:rsid w:val="008C3E08"/>
    <w:rsid w:val="008C3EB9"/>
    <w:rsid w:val="008C404E"/>
    <w:rsid w:val="008C50A8"/>
    <w:rsid w:val="008C5157"/>
    <w:rsid w:val="008C51EB"/>
    <w:rsid w:val="008C5E6E"/>
    <w:rsid w:val="008C638A"/>
    <w:rsid w:val="008C6B83"/>
    <w:rsid w:val="008C6EDE"/>
    <w:rsid w:val="008C70CD"/>
    <w:rsid w:val="008C7955"/>
    <w:rsid w:val="008D08FF"/>
    <w:rsid w:val="008D0932"/>
    <w:rsid w:val="008D101B"/>
    <w:rsid w:val="008D1720"/>
    <w:rsid w:val="008D192E"/>
    <w:rsid w:val="008D1D09"/>
    <w:rsid w:val="008D1F7F"/>
    <w:rsid w:val="008D2722"/>
    <w:rsid w:val="008D2B5A"/>
    <w:rsid w:val="008D2D1E"/>
    <w:rsid w:val="008D31B4"/>
    <w:rsid w:val="008D34D0"/>
    <w:rsid w:val="008D3731"/>
    <w:rsid w:val="008D378F"/>
    <w:rsid w:val="008D38CB"/>
    <w:rsid w:val="008D4074"/>
    <w:rsid w:val="008D4FFE"/>
    <w:rsid w:val="008D50D5"/>
    <w:rsid w:val="008D54FE"/>
    <w:rsid w:val="008D5818"/>
    <w:rsid w:val="008D5B30"/>
    <w:rsid w:val="008D78AC"/>
    <w:rsid w:val="008E0B28"/>
    <w:rsid w:val="008E2030"/>
    <w:rsid w:val="008E2488"/>
    <w:rsid w:val="008E2667"/>
    <w:rsid w:val="008E2F3D"/>
    <w:rsid w:val="008E3F8E"/>
    <w:rsid w:val="008E44E2"/>
    <w:rsid w:val="008E55BC"/>
    <w:rsid w:val="008E575F"/>
    <w:rsid w:val="008E6069"/>
    <w:rsid w:val="008E633F"/>
    <w:rsid w:val="008E6B3E"/>
    <w:rsid w:val="008E6C58"/>
    <w:rsid w:val="008E723E"/>
    <w:rsid w:val="008E762D"/>
    <w:rsid w:val="008E780B"/>
    <w:rsid w:val="008E7905"/>
    <w:rsid w:val="008F0193"/>
    <w:rsid w:val="008F128E"/>
    <w:rsid w:val="008F14DE"/>
    <w:rsid w:val="008F159E"/>
    <w:rsid w:val="008F19C3"/>
    <w:rsid w:val="008F3E8C"/>
    <w:rsid w:val="008F470D"/>
    <w:rsid w:val="008F47D8"/>
    <w:rsid w:val="008F506C"/>
    <w:rsid w:val="008F6623"/>
    <w:rsid w:val="008F6743"/>
    <w:rsid w:val="008F748F"/>
    <w:rsid w:val="008F777F"/>
    <w:rsid w:val="008F7C5C"/>
    <w:rsid w:val="0090112B"/>
    <w:rsid w:val="00901518"/>
    <w:rsid w:val="009016C4"/>
    <w:rsid w:val="00902F92"/>
    <w:rsid w:val="0090386D"/>
    <w:rsid w:val="00905468"/>
    <w:rsid w:val="00905CBB"/>
    <w:rsid w:val="00906059"/>
    <w:rsid w:val="009060B9"/>
    <w:rsid w:val="00906693"/>
    <w:rsid w:val="00907116"/>
    <w:rsid w:val="00907B86"/>
    <w:rsid w:val="00907E35"/>
    <w:rsid w:val="00910758"/>
    <w:rsid w:val="009107BA"/>
    <w:rsid w:val="0091082B"/>
    <w:rsid w:val="00910B23"/>
    <w:rsid w:val="00910CB8"/>
    <w:rsid w:val="00911525"/>
    <w:rsid w:val="00912B70"/>
    <w:rsid w:val="00913300"/>
    <w:rsid w:val="0091352C"/>
    <w:rsid w:val="00913878"/>
    <w:rsid w:val="00913959"/>
    <w:rsid w:val="0091397B"/>
    <w:rsid w:val="009139D5"/>
    <w:rsid w:val="00914325"/>
    <w:rsid w:val="009146F6"/>
    <w:rsid w:val="0091471F"/>
    <w:rsid w:val="009149C8"/>
    <w:rsid w:val="00915015"/>
    <w:rsid w:val="009150A0"/>
    <w:rsid w:val="009150B4"/>
    <w:rsid w:val="0091594E"/>
    <w:rsid w:val="00916083"/>
    <w:rsid w:val="00916604"/>
    <w:rsid w:val="00917301"/>
    <w:rsid w:val="00917D99"/>
    <w:rsid w:val="00920720"/>
    <w:rsid w:val="00920747"/>
    <w:rsid w:val="0092098D"/>
    <w:rsid w:val="00921EE1"/>
    <w:rsid w:val="0092218B"/>
    <w:rsid w:val="00922BCF"/>
    <w:rsid w:val="00922D4A"/>
    <w:rsid w:val="00923576"/>
    <w:rsid w:val="00923EE1"/>
    <w:rsid w:val="0092442D"/>
    <w:rsid w:val="009256B6"/>
    <w:rsid w:val="009256F1"/>
    <w:rsid w:val="00926207"/>
    <w:rsid w:val="00926231"/>
    <w:rsid w:val="009263AA"/>
    <w:rsid w:val="00927FEA"/>
    <w:rsid w:val="00930793"/>
    <w:rsid w:val="00930963"/>
    <w:rsid w:val="00930B29"/>
    <w:rsid w:val="00930BEB"/>
    <w:rsid w:val="00931104"/>
    <w:rsid w:val="00931203"/>
    <w:rsid w:val="00931787"/>
    <w:rsid w:val="00931AF0"/>
    <w:rsid w:val="00932B02"/>
    <w:rsid w:val="00932E3C"/>
    <w:rsid w:val="0093304D"/>
    <w:rsid w:val="0093364D"/>
    <w:rsid w:val="00933945"/>
    <w:rsid w:val="0093402C"/>
    <w:rsid w:val="009345A0"/>
    <w:rsid w:val="009345BA"/>
    <w:rsid w:val="00934CED"/>
    <w:rsid w:val="00934F2B"/>
    <w:rsid w:val="009364FA"/>
    <w:rsid w:val="00936540"/>
    <w:rsid w:val="00936700"/>
    <w:rsid w:val="0093678C"/>
    <w:rsid w:val="00937A70"/>
    <w:rsid w:val="00937D2D"/>
    <w:rsid w:val="009404BA"/>
    <w:rsid w:val="00940B9A"/>
    <w:rsid w:val="00940E05"/>
    <w:rsid w:val="00941491"/>
    <w:rsid w:val="00941851"/>
    <w:rsid w:val="00941C89"/>
    <w:rsid w:val="00941FA4"/>
    <w:rsid w:val="00943491"/>
    <w:rsid w:val="00943B7D"/>
    <w:rsid w:val="00943D59"/>
    <w:rsid w:val="00944491"/>
    <w:rsid w:val="0094486E"/>
    <w:rsid w:val="00944E7A"/>
    <w:rsid w:val="00944F6E"/>
    <w:rsid w:val="00945B95"/>
    <w:rsid w:val="00945EFB"/>
    <w:rsid w:val="00946456"/>
    <w:rsid w:val="00946886"/>
    <w:rsid w:val="00946E85"/>
    <w:rsid w:val="00947372"/>
    <w:rsid w:val="00947ACD"/>
    <w:rsid w:val="00947C10"/>
    <w:rsid w:val="009502E6"/>
    <w:rsid w:val="0095069B"/>
    <w:rsid w:val="00950CCE"/>
    <w:rsid w:val="00951094"/>
    <w:rsid w:val="0095160B"/>
    <w:rsid w:val="00951846"/>
    <w:rsid w:val="00951897"/>
    <w:rsid w:val="009518B2"/>
    <w:rsid w:val="009519BD"/>
    <w:rsid w:val="00951E34"/>
    <w:rsid w:val="009521DF"/>
    <w:rsid w:val="00952A6A"/>
    <w:rsid w:val="009543D4"/>
    <w:rsid w:val="009543FD"/>
    <w:rsid w:val="00955129"/>
    <w:rsid w:val="009552C9"/>
    <w:rsid w:val="00955728"/>
    <w:rsid w:val="00955D46"/>
    <w:rsid w:val="00956611"/>
    <w:rsid w:val="00956E9D"/>
    <w:rsid w:val="00956ED4"/>
    <w:rsid w:val="00957278"/>
    <w:rsid w:val="00957AA6"/>
    <w:rsid w:val="00957C0A"/>
    <w:rsid w:val="00957D3A"/>
    <w:rsid w:val="0096027D"/>
    <w:rsid w:val="009608B5"/>
    <w:rsid w:val="00960981"/>
    <w:rsid w:val="0096102A"/>
    <w:rsid w:val="009612BC"/>
    <w:rsid w:val="009617D5"/>
    <w:rsid w:val="00961ED9"/>
    <w:rsid w:val="00962A95"/>
    <w:rsid w:val="00962E51"/>
    <w:rsid w:val="009639B3"/>
    <w:rsid w:val="00963CB0"/>
    <w:rsid w:val="009640FE"/>
    <w:rsid w:val="00964627"/>
    <w:rsid w:val="00964916"/>
    <w:rsid w:val="0096557B"/>
    <w:rsid w:val="009658B2"/>
    <w:rsid w:val="009668E5"/>
    <w:rsid w:val="00966EFB"/>
    <w:rsid w:val="00967243"/>
    <w:rsid w:val="009678AC"/>
    <w:rsid w:val="00967951"/>
    <w:rsid w:val="0097033E"/>
    <w:rsid w:val="009705AC"/>
    <w:rsid w:val="00970C7E"/>
    <w:rsid w:val="00971085"/>
    <w:rsid w:val="00971CFB"/>
    <w:rsid w:val="009720EB"/>
    <w:rsid w:val="00972DEB"/>
    <w:rsid w:val="00972EB6"/>
    <w:rsid w:val="00973006"/>
    <w:rsid w:val="00973B3B"/>
    <w:rsid w:val="00974590"/>
    <w:rsid w:val="00974D4F"/>
    <w:rsid w:val="00974F64"/>
    <w:rsid w:val="009753DE"/>
    <w:rsid w:val="00975B69"/>
    <w:rsid w:val="00975DF0"/>
    <w:rsid w:val="00975E80"/>
    <w:rsid w:val="00976794"/>
    <w:rsid w:val="00977046"/>
    <w:rsid w:val="009774F9"/>
    <w:rsid w:val="0097761C"/>
    <w:rsid w:val="00977B64"/>
    <w:rsid w:val="00977D52"/>
    <w:rsid w:val="00980B0F"/>
    <w:rsid w:val="00980E38"/>
    <w:rsid w:val="00980E6C"/>
    <w:rsid w:val="00981296"/>
    <w:rsid w:val="00981688"/>
    <w:rsid w:val="00981981"/>
    <w:rsid w:val="00981ACD"/>
    <w:rsid w:val="009824B4"/>
    <w:rsid w:val="0098269A"/>
    <w:rsid w:val="00982A31"/>
    <w:rsid w:val="0098356A"/>
    <w:rsid w:val="009842C1"/>
    <w:rsid w:val="009843D1"/>
    <w:rsid w:val="009846AD"/>
    <w:rsid w:val="00984A71"/>
    <w:rsid w:val="009850FB"/>
    <w:rsid w:val="00985594"/>
    <w:rsid w:val="00985D0E"/>
    <w:rsid w:val="00985E6D"/>
    <w:rsid w:val="00986087"/>
    <w:rsid w:val="0098786E"/>
    <w:rsid w:val="00987B2D"/>
    <w:rsid w:val="00987CB9"/>
    <w:rsid w:val="0099036E"/>
    <w:rsid w:val="009905FB"/>
    <w:rsid w:val="009916C9"/>
    <w:rsid w:val="009918B8"/>
    <w:rsid w:val="00991C8F"/>
    <w:rsid w:val="009932B9"/>
    <w:rsid w:val="0099361C"/>
    <w:rsid w:val="009936AE"/>
    <w:rsid w:val="00993AA4"/>
    <w:rsid w:val="00993CAF"/>
    <w:rsid w:val="00993EF5"/>
    <w:rsid w:val="009941DE"/>
    <w:rsid w:val="00994584"/>
    <w:rsid w:val="00994EB2"/>
    <w:rsid w:val="0099508C"/>
    <w:rsid w:val="0099653C"/>
    <w:rsid w:val="009967D6"/>
    <w:rsid w:val="0099693D"/>
    <w:rsid w:val="009969EA"/>
    <w:rsid w:val="00996F15"/>
    <w:rsid w:val="009A043B"/>
    <w:rsid w:val="009A1155"/>
    <w:rsid w:val="009A175C"/>
    <w:rsid w:val="009A1950"/>
    <w:rsid w:val="009A1B23"/>
    <w:rsid w:val="009A1B31"/>
    <w:rsid w:val="009A1C58"/>
    <w:rsid w:val="009A2EBB"/>
    <w:rsid w:val="009A31CD"/>
    <w:rsid w:val="009A3385"/>
    <w:rsid w:val="009A3CBF"/>
    <w:rsid w:val="009A46C5"/>
    <w:rsid w:val="009A46FE"/>
    <w:rsid w:val="009A49BB"/>
    <w:rsid w:val="009A4AA1"/>
    <w:rsid w:val="009A564C"/>
    <w:rsid w:val="009A60C4"/>
    <w:rsid w:val="009A621A"/>
    <w:rsid w:val="009A668C"/>
    <w:rsid w:val="009A7180"/>
    <w:rsid w:val="009A7688"/>
    <w:rsid w:val="009B030B"/>
    <w:rsid w:val="009B16AD"/>
    <w:rsid w:val="009B1B63"/>
    <w:rsid w:val="009B20A0"/>
    <w:rsid w:val="009B32A1"/>
    <w:rsid w:val="009B35D2"/>
    <w:rsid w:val="009B3C3F"/>
    <w:rsid w:val="009B3FDB"/>
    <w:rsid w:val="009B4063"/>
    <w:rsid w:val="009B43D4"/>
    <w:rsid w:val="009B4A6E"/>
    <w:rsid w:val="009B5409"/>
    <w:rsid w:val="009B55EC"/>
    <w:rsid w:val="009B5713"/>
    <w:rsid w:val="009B5BA0"/>
    <w:rsid w:val="009B5BD3"/>
    <w:rsid w:val="009B5C90"/>
    <w:rsid w:val="009B616F"/>
    <w:rsid w:val="009B647F"/>
    <w:rsid w:val="009B6553"/>
    <w:rsid w:val="009B6B13"/>
    <w:rsid w:val="009B7B10"/>
    <w:rsid w:val="009C0261"/>
    <w:rsid w:val="009C0882"/>
    <w:rsid w:val="009C0943"/>
    <w:rsid w:val="009C0AC4"/>
    <w:rsid w:val="009C0B5C"/>
    <w:rsid w:val="009C124C"/>
    <w:rsid w:val="009C1E32"/>
    <w:rsid w:val="009C2A55"/>
    <w:rsid w:val="009C2EC8"/>
    <w:rsid w:val="009C399F"/>
    <w:rsid w:val="009C3B5A"/>
    <w:rsid w:val="009C3BEC"/>
    <w:rsid w:val="009C3CAF"/>
    <w:rsid w:val="009C416B"/>
    <w:rsid w:val="009C44E4"/>
    <w:rsid w:val="009C4FC9"/>
    <w:rsid w:val="009C5521"/>
    <w:rsid w:val="009C57CC"/>
    <w:rsid w:val="009C5917"/>
    <w:rsid w:val="009C5953"/>
    <w:rsid w:val="009C72D7"/>
    <w:rsid w:val="009D05BF"/>
    <w:rsid w:val="009D0839"/>
    <w:rsid w:val="009D08BE"/>
    <w:rsid w:val="009D0969"/>
    <w:rsid w:val="009D0DB7"/>
    <w:rsid w:val="009D14D3"/>
    <w:rsid w:val="009D201A"/>
    <w:rsid w:val="009D21BF"/>
    <w:rsid w:val="009D23D6"/>
    <w:rsid w:val="009D2B67"/>
    <w:rsid w:val="009D2CD2"/>
    <w:rsid w:val="009D2D64"/>
    <w:rsid w:val="009D36CB"/>
    <w:rsid w:val="009D3739"/>
    <w:rsid w:val="009D4412"/>
    <w:rsid w:val="009D48A7"/>
    <w:rsid w:val="009D48AF"/>
    <w:rsid w:val="009D4DEA"/>
    <w:rsid w:val="009D508D"/>
    <w:rsid w:val="009D5FC9"/>
    <w:rsid w:val="009D6369"/>
    <w:rsid w:val="009D6628"/>
    <w:rsid w:val="009D6A7C"/>
    <w:rsid w:val="009D6B48"/>
    <w:rsid w:val="009D6E6F"/>
    <w:rsid w:val="009D77B2"/>
    <w:rsid w:val="009E0496"/>
    <w:rsid w:val="009E055D"/>
    <w:rsid w:val="009E11C5"/>
    <w:rsid w:val="009E1AF1"/>
    <w:rsid w:val="009E1CD8"/>
    <w:rsid w:val="009E1EA8"/>
    <w:rsid w:val="009E22E1"/>
    <w:rsid w:val="009E333F"/>
    <w:rsid w:val="009E39F2"/>
    <w:rsid w:val="009E3D77"/>
    <w:rsid w:val="009E3F48"/>
    <w:rsid w:val="009E43D7"/>
    <w:rsid w:val="009E4A65"/>
    <w:rsid w:val="009E4D0F"/>
    <w:rsid w:val="009E53B8"/>
    <w:rsid w:val="009E59A0"/>
    <w:rsid w:val="009E6484"/>
    <w:rsid w:val="009E6719"/>
    <w:rsid w:val="009E6C53"/>
    <w:rsid w:val="009E6DAB"/>
    <w:rsid w:val="009E6EC1"/>
    <w:rsid w:val="009E75FB"/>
    <w:rsid w:val="009E761E"/>
    <w:rsid w:val="009E786F"/>
    <w:rsid w:val="009F00F5"/>
    <w:rsid w:val="009F1387"/>
    <w:rsid w:val="009F1974"/>
    <w:rsid w:val="009F2260"/>
    <w:rsid w:val="009F2448"/>
    <w:rsid w:val="009F29FE"/>
    <w:rsid w:val="009F36A9"/>
    <w:rsid w:val="009F36B2"/>
    <w:rsid w:val="009F430A"/>
    <w:rsid w:val="009F45E5"/>
    <w:rsid w:val="009F4F91"/>
    <w:rsid w:val="009F528C"/>
    <w:rsid w:val="009F5BEC"/>
    <w:rsid w:val="009F60AA"/>
    <w:rsid w:val="009F6836"/>
    <w:rsid w:val="009F6B9E"/>
    <w:rsid w:val="009F7243"/>
    <w:rsid w:val="009F7BF1"/>
    <w:rsid w:val="009F7BFF"/>
    <w:rsid w:val="009F7F1F"/>
    <w:rsid w:val="00A00C5D"/>
    <w:rsid w:val="00A013DC"/>
    <w:rsid w:val="00A01783"/>
    <w:rsid w:val="00A0188A"/>
    <w:rsid w:val="00A01E62"/>
    <w:rsid w:val="00A01F87"/>
    <w:rsid w:val="00A0213F"/>
    <w:rsid w:val="00A02BFD"/>
    <w:rsid w:val="00A033CF"/>
    <w:rsid w:val="00A03AC1"/>
    <w:rsid w:val="00A041C0"/>
    <w:rsid w:val="00A04520"/>
    <w:rsid w:val="00A04C5F"/>
    <w:rsid w:val="00A04D40"/>
    <w:rsid w:val="00A05246"/>
    <w:rsid w:val="00A05270"/>
    <w:rsid w:val="00A057E2"/>
    <w:rsid w:val="00A05D04"/>
    <w:rsid w:val="00A06EE1"/>
    <w:rsid w:val="00A07421"/>
    <w:rsid w:val="00A0755C"/>
    <w:rsid w:val="00A07D73"/>
    <w:rsid w:val="00A10232"/>
    <w:rsid w:val="00A10478"/>
    <w:rsid w:val="00A10592"/>
    <w:rsid w:val="00A10886"/>
    <w:rsid w:val="00A108DE"/>
    <w:rsid w:val="00A1231A"/>
    <w:rsid w:val="00A12671"/>
    <w:rsid w:val="00A12BD4"/>
    <w:rsid w:val="00A142E4"/>
    <w:rsid w:val="00A14898"/>
    <w:rsid w:val="00A14ABF"/>
    <w:rsid w:val="00A14B86"/>
    <w:rsid w:val="00A14DFA"/>
    <w:rsid w:val="00A16F3C"/>
    <w:rsid w:val="00A17321"/>
    <w:rsid w:val="00A17C06"/>
    <w:rsid w:val="00A2016C"/>
    <w:rsid w:val="00A201D5"/>
    <w:rsid w:val="00A20838"/>
    <w:rsid w:val="00A2146B"/>
    <w:rsid w:val="00A214E5"/>
    <w:rsid w:val="00A2189A"/>
    <w:rsid w:val="00A2196D"/>
    <w:rsid w:val="00A221F3"/>
    <w:rsid w:val="00A226BC"/>
    <w:rsid w:val="00A22A90"/>
    <w:rsid w:val="00A22D90"/>
    <w:rsid w:val="00A22FF0"/>
    <w:rsid w:val="00A23204"/>
    <w:rsid w:val="00A233A4"/>
    <w:rsid w:val="00A2387F"/>
    <w:rsid w:val="00A23A70"/>
    <w:rsid w:val="00A24131"/>
    <w:rsid w:val="00A24E90"/>
    <w:rsid w:val="00A250F7"/>
    <w:rsid w:val="00A25299"/>
    <w:rsid w:val="00A25ADB"/>
    <w:rsid w:val="00A25F48"/>
    <w:rsid w:val="00A26D8F"/>
    <w:rsid w:val="00A26EBB"/>
    <w:rsid w:val="00A27000"/>
    <w:rsid w:val="00A2756E"/>
    <w:rsid w:val="00A27BD3"/>
    <w:rsid w:val="00A307AF"/>
    <w:rsid w:val="00A30D0A"/>
    <w:rsid w:val="00A30FF6"/>
    <w:rsid w:val="00A3182B"/>
    <w:rsid w:val="00A31C22"/>
    <w:rsid w:val="00A31D64"/>
    <w:rsid w:val="00A31D68"/>
    <w:rsid w:val="00A3230F"/>
    <w:rsid w:val="00A32E34"/>
    <w:rsid w:val="00A3316A"/>
    <w:rsid w:val="00A334CC"/>
    <w:rsid w:val="00A33526"/>
    <w:rsid w:val="00A33650"/>
    <w:rsid w:val="00A338EA"/>
    <w:rsid w:val="00A3412E"/>
    <w:rsid w:val="00A346F6"/>
    <w:rsid w:val="00A34B4D"/>
    <w:rsid w:val="00A35434"/>
    <w:rsid w:val="00A354CE"/>
    <w:rsid w:val="00A35D3B"/>
    <w:rsid w:val="00A369B2"/>
    <w:rsid w:val="00A36EDA"/>
    <w:rsid w:val="00A37C4A"/>
    <w:rsid w:val="00A37F16"/>
    <w:rsid w:val="00A40304"/>
    <w:rsid w:val="00A40A1C"/>
    <w:rsid w:val="00A40A8F"/>
    <w:rsid w:val="00A40B12"/>
    <w:rsid w:val="00A40D66"/>
    <w:rsid w:val="00A40FEA"/>
    <w:rsid w:val="00A41D28"/>
    <w:rsid w:val="00A41DEB"/>
    <w:rsid w:val="00A427FB"/>
    <w:rsid w:val="00A42A9B"/>
    <w:rsid w:val="00A42E34"/>
    <w:rsid w:val="00A4309F"/>
    <w:rsid w:val="00A43A23"/>
    <w:rsid w:val="00A43A40"/>
    <w:rsid w:val="00A449C3"/>
    <w:rsid w:val="00A44C97"/>
    <w:rsid w:val="00A450D7"/>
    <w:rsid w:val="00A45381"/>
    <w:rsid w:val="00A45EA6"/>
    <w:rsid w:val="00A45F4D"/>
    <w:rsid w:val="00A46492"/>
    <w:rsid w:val="00A46D8C"/>
    <w:rsid w:val="00A46D96"/>
    <w:rsid w:val="00A46DAC"/>
    <w:rsid w:val="00A478A6"/>
    <w:rsid w:val="00A47A34"/>
    <w:rsid w:val="00A47E06"/>
    <w:rsid w:val="00A503AC"/>
    <w:rsid w:val="00A50424"/>
    <w:rsid w:val="00A509F9"/>
    <w:rsid w:val="00A5114E"/>
    <w:rsid w:val="00A51C0C"/>
    <w:rsid w:val="00A523D9"/>
    <w:rsid w:val="00A534D6"/>
    <w:rsid w:val="00A53568"/>
    <w:rsid w:val="00A5380A"/>
    <w:rsid w:val="00A53990"/>
    <w:rsid w:val="00A53A59"/>
    <w:rsid w:val="00A53EA7"/>
    <w:rsid w:val="00A53FCD"/>
    <w:rsid w:val="00A540BB"/>
    <w:rsid w:val="00A54150"/>
    <w:rsid w:val="00A55018"/>
    <w:rsid w:val="00A552F2"/>
    <w:rsid w:val="00A55A9E"/>
    <w:rsid w:val="00A55B76"/>
    <w:rsid w:val="00A55D20"/>
    <w:rsid w:val="00A5638D"/>
    <w:rsid w:val="00A56847"/>
    <w:rsid w:val="00A57C53"/>
    <w:rsid w:val="00A6014C"/>
    <w:rsid w:val="00A6057B"/>
    <w:rsid w:val="00A60CD9"/>
    <w:rsid w:val="00A60D24"/>
    <w:rsid w:val="00A61125"/>
    <w:rsid w:val="00A613AE"/>
    <w:rsid w:val="00A613E8"/>
    <w:rsid w:val="00A617BC"/>
    <w:rsid w:val="00A61D28"/>
    <w:rsid w:val="00A6212A"/>
    <w:rsid w:val="00A6237A"/>
    <w:rsid w:val="00A6320F"/>
    <w:rsid w:val="00A6372D"/>
    <w:rsid w:val="00A637CF"/>
    <w:rsid w:val="00A64280"/>
    <w:rsid w:val="00A64F20"/>
    <w:rsid w:val="00A65350"/>
    <w:rsid w:val="00A6579B"/>
    <w:rsid w:val="00A6607C"/>
    <w:rsid w:val="00A66CF8"/>
    <w:rsid w:val="00A6718B"/>
    <w:rsid w:val="00A67CB4"/>
    <w:rsid w:val="00A701B7"/>
    <w:rsid w:val="00A70286"/>
    <w:rsid w:val="00A702D0"/>
    <w:rsid w:val="00A709C6"/>
    <w:rsid w:val="00A70AA7"/>
    <w:rsid w:val="00A70CF8"/>
    <w:rsid w:val="00A71039"/>
    <w:rsid w:val="00A71297"/>
    <w:rsid w:val="00A71F61"/>
    <w:rsid w:val="00A724F0"/>
    <w:rsid w:val="00A726F3"/>
    <w:rsid w:val="00A72D25"/>
    <w:rsid w:val="00A7475D"/>
    <w:rsid w:val="00A74A95"/>
    <w:rsid w:val="00A74CC5"/>
    <w:rsid w:val="00A74EEE"/>
    <w:rsid w:val="00A7520C"/>
    <w:rsid w:val="00A758B2"/>
    <w:rsid w:val="00A75C68"/>
    <w:rsid w:val="00A76414"/>
    <w:rsid w:val="00A76A22"/>
    <w:rsid w:val="00A77113"/>
    <w:rsid w:val="00A77200"/>
    <w:rsid w:val="00A77ADB"/>
    <w:rsid w:val="00A77F17"/>
    <w:rsid w:val="00A8100E"/>
    <w:rsid w:val="00A816FC"/>
    <w:rsid w:val="00A81A74"/>
    <w:rsid w:val="00A821EB"/>
    <w:rsid w:val="00A822A3"/>
    <w:rsid w:val="00A824FB"/>
    <w:rsid w:val="00A82F90"/>
    <w:rsid w:val="00A83370"/>
    <w:rsid w:val="00A83E91"/>
    <w:rsid w:val="00A83EAD"/>
    <w:rsid w:val="00A83FCA"/>
    <w:rsid w:val="00A846A2"/>
    <w:rsid w:val="00A84898"/>
    <w:rsid w:val="00A85640"/>
    <w:rsid w:val="00A8576B"/>
    <w:rsid w:val="00A85E00"/>
    <w:rsid w:val="00A864D6"/>
    <w:rsid w:val="00A86555"/>
    <w:rsid w:val="00A86CCD"/>
    <w:rsid w:val="00A87758"/>
    <w:rsid w:val="00A87A0B"/>
    <w:rsid w:val="00A9009B"/>
    <w:rsid w:val="00A90111"/>
    <w:rsid w:val="00A90119"/>
    <w:rsid w:val="00A90D76"/>
    <w:rsid w:val="00A90DBD"/>
    <w:rsid w:val="00A90F33"/>
    <w:rsid w:val="00A91126"/>
    <w:rsid w:val="00A91869"/>
    <w:rsid w:val="00A91D65"/>
    <w:rsid w:val="00A922AB"/>
    <w:rsid w:val="00A92459"/>
    <w:rsid w:val="00A92A67"/>
    <w:rsid w:val="00A92E59"/>
    <w:rsid w:val="00A93565"/>
    <w:rsid w:val="00A93B6B"/>
    <w:rsid w:val="00A9412A"/>
    <w:rsid w:val="00A942E3"/>
    <w:rsid w:val="00A9434D"/>
    <w:rsid w:val="00A9491A"/>
    <w:rsid w:val="00A94DFB"/>
    <w:rsid w:val="00A95078"/>
    <w:rsid w:val="00A950C8"/>
    <w:rsid w:val="00A95358"/>
    <w:rsid w:val="00A95502"/>
    <w:rsid w:val="00A95A56"/>
    <w:rsid w:val="00A95C80"/>
    <w:rsid w:val="00A95D4E"/>
    <w:rsid w:val="00A96787"/>
    <w:rsid w:val="00A96A06"/>
    <w:rsid w:val="00AA0632"/>
    <w:rsid w:val="00AA0F7B"/>
    <w:rsid w:val="00AA0FD2"/>
    <w:rsid w:val="00AA1D60"/>
    <w:rsid w:val="00AA1DA2"/>
    <w:rsid w:val="00AA1F4F"/>
    <w:rsid w:val="00AA24DE"/>
    <w:rsid w:val="00AA2719"/>
    <w:rsid w:val="00AA2E6D"/>
    <w:rsid w:val="00AA3042"/>
    <w:rsid w:val="00AA30A4"/>
    <w:rsid w:val="00AA34D8"/>
    <w:rsid w:val="00AA46CB"/>
    <w:rsid w:val="00AA4A0F"/>
    <w:rsid w:val="00AA547D"/>
    <w:rsid w:val="00AA6089"/>
    <w:rsid w:val="00AA6729"/>
    <w:rsid w:val="00AA79ED"/>
    <w:rsid w:val="00AA7B23"/>
    <w:rsid w:val="00AB04BE"/>
    <w:rsid w:val="00AB1048"/>
    <w:rsid w:val="00AB1C9E"/>
    <w:rsid w:val="00AB2C32"/>
    <w:rsid w:val="00AB2CB7"/>
    <w:rsid w:val="00AB2EB2"/>
    <w:rsid w:val="00AB3D0A"/>
    <w:rsid w:val="00AB3F7E"/>
    <w:rsid w:val="00AB4467"/>
    <w:rsid w:val="00AB51CF"/>
    <w:rsid w:val="00AB7E66"/>
    <w:rsid w:val="00AC0D57"/>
    <w:rsid w:val="00AC0E81"/>
    <w:rsid w:val="00AC1382"/>
    <w:rsid w:val="00AC21BB"/>
    <w:rsid w:val="00AC235F"/>
    <w:rsid w:val="00AC2CC6"/>
    <w:rsid w:val="00AC2D70"/>
    <w:rsid w:val="00AC2D7C"/>
    <w:rsid w:val="00AC2DE3"/>
    <w:rsid w:val="00AC3966"/>
    <w:rsid w:val="00AC397D"/>
    <w:rsid w:val="00AC4026"/>
    <w:rsid w:val="00AC405B"/>
    <w:rsid w:val="00AC41E9"/>
    <w:rsid w:val="00AC41F3"/>
    <w:rsid w:val="00AC489A"/>
    <w:rsid w:val="00AC4E80"/>
    <w:rsid w:val="00AC50CE"/>
    <w:rsid w:val="00AC5C49"/>
    <w:rsid w:val="00AC61F0"/>
    <w:rsid w:val="00AC66DE"/>
    <w:rsid w:val="00AC6F6A"/>
    <w:rsid w:val="00AC7111"/>
    <w:rsid w:val="00AC786E"/>
    <w:rsid w:val="00AC7B1B"/>
    <w:rsid w:val="00AC7E2B"/>
    <w:rsid w:val="00AC7EC2"/>
    <w:rsid w:val="00AD00CD"/>
    <w:rsid w:val="00AD02EC"/>
    <w:rsid w:val="00AD040F"/>
    <w:rsid w:val="00AD06B1"/>
    <w:rsid w:val="00AD06C8"/>
    <w:rsid w:val="00AD162A"/>
    <w:rsid w:val="00AD2102"/>
    <w:rsid w:val="00AD264E"/>
    <w:rsid w:val="00AD3E83"/>
    <w:rsid w:val="00AD4ECD"/>
    <w:rsid w:val="00AD5851"/>
    <w:rsid w:val="00AD678B"/>
    <w:rsid w:val="00AD68A3"/>
    <w:rsid w:val="00AD78FF"/>
    <w:rsid w:val="00AD7C0C"/>
    <w:rsid w:val="00AE0213"/>
    <w:rsid w:val="00AE04E2"/>
    <w:rsid w:val="00AE0888"/>
    <w:rsid w:val="00AE0A86"/>
    <w:rsid w:val="00AE131B"/>
    <w:rsid w:val="00AE14E4"/>
    <w:rsid w:val="00AE15F2"/>
    <w:rsid w:val="00AE21EE"/>
    <w:rsid w:val="00AE26D5"/>
    <w:rsid w:val="00AE30B9"/>
    <w:rsid w:val="00AE3758"/>
    <w:rsid w:val="00AE415C"/>
    <w:rsid w:val="00AE480F"/>
    <w:rsid w:val="00AE498A"/>
    <w:rsid w:val="00AE4D17"/>
    <w:rsid w:val="00AE5763"/>
    <w:rsid w:val="00AE5B48"/>
    <w:rsid w:val="00AE5CC3"/>
    <w:rsid w:val="00AE5D08"/>
    <w:rsid w:val="00AE5F71"/>
    <w:rsid w:val="00AE69F0"/>
    <w:rsid w:val="00AE6F93"/>
    <w:rsid w:val="00AE71A9"/>
    <w:rsid w:val="00AE742D"/>
    <w:rsid w:val="00AE783B"/>
    <w:rsid w:val="00AF02BF"/>
    <w:rsid w:val="00AF0741"/>
    <w:rsid w:val="00AF173C"/>
    <w:rsid w:val="00AF23A3"/>
    <w:rsid w:val="00AF2A4D"/>
    <w:rsid w:val="00AF2CEA"/>
    <w:rsid w:val="00AF3624"/>
    <w:rsid w:val="00AF3F24"/>
    <w:rsid w:val="00AF50A9"/>
    <w:rsid w:val="00AF5212"/>
    <w:rsid w:val="00AF554B"/>
    <w:rsid w:val="00AF5E8E"/>
    <w:rsid w:val="00AF70F8"/>
    <w:rsid w:val="00AF725B"/>
    <w:rsid w:val="00AF784E"/>
    <w:rsid w:val="00AF7B38"/>
    <w:rsid w:val="00B0027B"/>
    <w:rsid w:val="00B00573"/>
    <w:rsid w:val="00B0057D"/>
    <w:rsid w:val="00B00908"/>
    <w:rsid w:val="00B010DC"/>
    <w:rsid w:val="00B01208"/>
    <w:rsid w:val="00B01D48"/>
    <w:rsid w:val="00B02024"/>
    <w:rsid w:val="00B02186"/>
    <w:rsid w:val="00B024BF"/>
    <w:rsid w:val="00B02B18"/>
    <w:rsid w:val="00B02E3B"/>
    <w:rsid w:val="00B034ED"/>
    <w:rsid w:val="00B043AC"/>
    <w:rsid w:val="00B049BB"/>
    <w:rsid w:val="00B050B1"/>
    <w:rsid w:val="00B057BB"/>
    <w:rsid w:val="00B059CD"/>
    <w:rsid w:val="00B059D0"/>
    <w:rsid w:val="00B05B20"/>
    <w:rsid w:val="00B05B38"/>
    <w:rsid w:val="00B05F04"/>
    <w:rsid w:val="00B1083E"/>
    <w:rsid w:val="00B10D96"/>
    <w:rsid w:val="00B114C1"/>
    <w:rsid w:val="00B11AE9"/>
    <w:rsid w:val="00B12457"/>
    <w:rsid w:val="00B12720"/>
    <w:rsid w:val="00B12EB4"/>
    <w:rsid w:val="00B138E4"/>
    <w:rsid w:val="00B13A14"/>
    <w:rsid w:val="00B14746"/>
    <w:rsid w:val="00B1499A"/>
    <w:rsid w:val="00B15829"/>
    <w:rsid w:val="00B15D34"/>
    <w:rsid w:val="00B17037"/>
    <w:rsid w:val="00B17E4C"/>
    <w:rsid w:val="00B2071D"/>
    <w:rsid w:val="00B215E2"/>
    <w:rsid w:val="00B21E56"/>
    <w:rsid w:val="00B22430"/>
    <w:rsid w:val="00B22F30"/>
    <w:rsid w:val="00B232CE"/>
    <w:rsid w:val="00B237F7"/>
    <w:rsid w:val="00B239C5"/>
    <w:rsid w:val="00B23C16"/>
    <w:rsid w:val="00B241D3"/>
    <w:rsid w:val="00B24324"/>
    <w:rsid w:val="00B24B0D"/>
    <w:rsid w:val="00B24F09"/>
    <w:rsid w:val="00B25126"/>
    <w:rsid w:val="00B257A6"/>
    <w:rsid w:val="00B25CA0"/>
    <w:rsid w:val="00B26165"/>
    <w:rsid w:val="00B26F3A"/>
    <w:rsid w:val="00B2707E"/>
    <w:rsid w:val="00B2727B"/>
    <w:rsid w:val="00B27489"/>
    <w:rsid w:val="00B277FA"/>
    <w:rsid w:val="00B27989"/>
    <w:rsid w:val="00B300AA"/>
    <w:rsid w:val="00B301F9"/>
    <w:rsid w:val="00B303E2"/>
    <w:rsid w:val="00B303F9"/>
    <w:rsid w:val="00B30524"/>
    <w:rsid w:val="00B307D6"/>
    <w:rsid w:val="00B30B3D"/>
    <w:rsid w:val="00B30F73"/>
    <w:rsid w:val="00B31082"/>
    <w:rsid w:val="00B31225"/>
    <w:rsid w:val="00B31CE0"/>
    <w:rsid w:val="00B3229A"/>
    <w:rsid w:val="00B323A1"/>
    <w:rsid w:val="00B323CB"/>
    <w:rsid w:val="00B32512"/>
    <w:rsid w:val="00B32626"/>
    <w:rsid w:val="00B330EB"/>
    <w:rsid w:val="00B35117"/>
    <w:rsid w:val="00B35249"/>
    <w:rsid w:val="00B356A5"/>
    <w:rsid w:val="00B35C6F"/>
    <w:rsid w:val="00B35D17"/>
    <w:rsid w:val="00B3609C"/>
    <w:rsid w:val="00B367E9"/>
    <w:rsid w:val="00B36841"/>
    <w:rsid w:val="00B36E08"/>
    <w:rsid w:val="00B37EA6"/>
    <w:rsid w:val="00B403A3"/>
    <w:rsid w:val="00B41C54"/>
    <w:rsid w:val="00B42821"/>
    <w:rsid w:val="00B42D9F"/>
    <w:rsid w:val="00B42E28"/>
    <w:rsid w:val="00B431D6"/>
    <w:rsid w:val="00B436FC"/>
    <w:rsid w:val="00B45023"/>
    <w:rsid w:val="00B45784"/>
    <w:rsid w:val="00B467FC"/>
    <w:rsid w:val="00B46E4E"/>
    <w:rsid w:val="00B47BDA"/>
    <w:rsid w:val="00B50073"/>
    <w:rsid w:val="00B500DB"/>
    <w:rsid w:val="00B502D8"/>
    <w:rsid w:val="00B51375"/>
    <w:rsid w:val="00B51A2B"/>
    <w:rsid w:val="00B51D11"/>
    <w:rsid w:val="00B51D35"/>
    <w:rsid w:val="00B51F70"/>
    <w:rsid w:val="00B52185"/>
    <w:rsid w:val="00B5232A"/>
    <w:rsid w:val="00B52560"/>
    <w:rsid w:val="00B526AE"/>
    <w:rsid w:val="00B52A21"/>
    <w:rsid w:val="00B533DF"/>
    <w:rsid w:val="00B534D9"/>
    <w:rsid w:val="00B53A0C"/>
    <w:rsid w:val="00B53BC1"/>
    <w:rsid w:val="00B53C03"/>
    <w:rsid w:val="00B53C40"/>
    <w:rsid w:val="00B53CDF"/>
    <w:rsid w:val="00B53D54"/>
    <w:rsid w:val="00B5410A"/>
    <w:rsid w:val="00B54E08"/>
    <w:rsid w:val="00B54FA0"/>
    <w:rsid w:val="00B55029"/>
    <w:rsid w:val="00B5518B"/>
    <w:rsid w:val="00B55382"/>
    <w:rsid w:val="00B553A9"/>
    <w:rsid w:val="00B55DE0"/>
    <w:rsid w:val="00B55E2E"/>
    <w:rsid w:val="00B56492"/>
    <w:rsid w:val="00B5662D"/>
    <w:rsid w:val="00B5682A"/>
    <w:rsid w:val="00B56BCF"/>
    <w:rsid w:val="00B56E59"/>
    <w:rsid w:val="00B576B4"/>
    <w:rsid w:val="00B57FD1"/>
    <w:rsid w:val="00B61167"/>
    <w:rsid w:val="00B614D3"/>
    <w:rsid w:val="00B61D89"/>
    <w:rsid w:val="00B61EB8"/>
    <w:rsid w:val="00B61FF0"/>
    <w:rsid w:val="00B621AB"/>
    <w:rsid w:val="00B621F9"/>
    <w:rsid w:val="00B62222"/>
    <w:rsid w:val="00B6237E"/>
    <w:rsid w:val="00B63246"/>
    <w:rsid w:val="00B633EE"/>
    <w:rsid w:val="00B633F9"/>
    <w:rsid w:val="00B643C1"/>
    <w:rsid w:val="00B647A1"/>
    <w:rsid w:val="00B64A12"/>
    <w:rsid w:val="00B64CC4"/>
    <w:rsid w:val="00B64DC4"/>
    <w:rsid w:val="00B64E14"/>
    <w:rsid w:val="00B65A9C"/>
    <w:rsid w:val="00B65D99"/>
    <w:rsid w:val="00B66831"/>
    <w:rsid w:val="00B6686A"/>
    <w:rsid w:val="00B66DBA"/>
    <w:rsid w:val="00B67C04"/>
    <w:rsid w:val="00B7063A"/>
    <w:rsid w:val="00B708F2"/>
    <w:rsid w:val="00B7148D"/>
    <w:rsid w:val="00B7157B"/>
    <w:rsid w:val="00B715A9"/>
    <w:rsid w:val="00B716FA"/>
    <w:rsid w:val="00B71712"/>
    <w:rsid w:val="00B71A76"/>
    <w:rsid w:val="00B71AC9"/>
    <w:rsid w:val="00B71F50"/>
    <w:rsid w:val="00B7243D"/>
    <w:rsid w:val="00B72CB2"/>
    <w:rsid w:val="00B73283"/>
    <w:rsid w:val="00B7407A"/>
    <w:rsid w:val="00B74566"/>
    <w:rsid w:val="00B74BF2"/>
    <w:rsid w:val="00B74FAD"/>
    <w:rsid w:val="00B75192"/>
    <w:rsid w:val="00B751F9"/>
    <w:rsid w:val="00B757FD"/>
    <w:rsid w:val="00B75C0A"/>
    <w:rsid w:val="00B75C48"/>
    <w:rsid w:val="00B765B3"/>
    <w:rsid w:val="00B7664E"/>
    <w:rsid w:val="00B77417"/>
    <w:rsid w:val="00B77972"/>
    <w:rsid w:val="00B80C10"/>
    <w:rsid w:val="00B80DE4"/>
    <w:rsid w:val="00B80FE9"/>
    <w:rsid w:val="00B8190A"/>
    <w:rsid w:val="00B81DE0"/>
    <w:rsid w:val="00B81F1F"/>
    <w:rsid w:val="00B82040"/>
    <w:rsid w:val="00B82461"/>
    <w:rsid w:val="00B82671"/>
    <w:rsid w:val="00B8268F"/>
    <w:rsid w:val="00B835BB"/>
    <w:rsid w:val="00B83E22"/>
    <w:rsid w:val="00B83F18"/>
    <w:rsid w:val="00B84B44"/>
    <w:rsid w:val="00B84C9A"/>
    <w:rsid w:val="00B84CC5"/>
    <w:rsid w:val="00B85060"/>
    <w:rsid w:val="00B862C8"/>
    <w:rsid w:val="00B86B26"/>
    <w:rsid w:val="00B86C39"/>
    <w:rsid w:val="00B86ED2"/>
    <w:rsid w:val="00B86FB5"/>
    <w:rsid w:val="00B9018F"/>
    <w:rsid w:val="00B90303"/>
    <w:rsid w:val="00B90880"/>
    <w:rsid w:val="00B90E8D"/>
    <w:rsid w:val="00B91551"/>
    <w:rsid w:val="00B91E31"/>
    <w:rsid w:val="00B928EC"/>
    <w:rsid w:val="00B9360E"/>
    <w:rsid w:val="00B937C9"/>
    <w:rsid w:val="00B939F7"/>
    <w:rsid w:val="00B941CA"/>
    <w:rsid w:val="00B9444F"/>
    <w:rsid w:val="00B945A3"/>
    <w:rsid w:val="00B94982"/>
    <w:rsid w:val="00B94BF7"/>
    <w:rsid w:val="00B95302"/>
    <w:rsid w:val="00B955C8"/>
    <w:rsid w:val="00B95BD7"/>
    <w:rsid w:val="00B95DD2"/>
    <w:rsid w:val="00B96703"/>
    <w:rsid w:val="00B971E4"/>
    <w:rsid w:val="00B976B8"/>
    <w:rsid w:val="00BA0384"/>
    <w:rsid w:val="00BA07FD"/>
    <w:rsid w:val="00BA14BB"/>
    <w:rsid w:val="00BA1662"/>
    <w:rsid w:val="00BA27BE"/>
    <w:rsid w:val="00BA2BE6"/>
    <w:rsid w:val="00BA2CD3"/>
    <w:rsid w:val="00BA2EF6"/>
    <w:rsid w:val="00BA38D3"/>
    <w:rsid w:val="00BA3B74"/>
    <w:rsid w:val="00BA5D7B"/>
    <w:rsid w:val="00BA5DC9"/>
    <w:rsid w:val="00BA6024"/>
    <w:rsid w:val="00BA646A"/>
    <w:rsid w:val="00BA7037"/>
    <w:rsid w:val="00BA7DAD"/>
    <w:rsid w:val="00BA7FA6"/>
    <w:rsid w:val="00BB0128"/>
    <w:rsid w:val="00BB0BF8"/>
    <w:rsid w:val="00BB0CE8"/>
    <w:rsid w:val="00BB1260"/>
    <w:rsid w:val="00BB12A1"/>
    <w:rsid w:val="00BB1B63"/>
    <w:rsid w:val="00BB21B7"/>
    <w:rsid w:val="00BB2555"/>
    <w:rsid w:val="00BB27ED"/>
    <w:rsid w:val="00BB2B26"/>
    <w:rsid w:val="00BB351E"/>
    <w:rsid w:val="00BB368D"/>
    <w:rsid w:val="00BB444B"/>
    <w:rsid w:val="00BB481D"/>
    <w:rsid w:val="00BB4F9E"/>
    <w:rsid w:val="00BB5995"/>
    <w:rsid w:val="00BB60D6"/>
    <w:rsid w:val="00BB60DD"/>
    <w:rsid w:val="00BB6268"/>
    <w:rsid w:val="00BB62FA"/>
    <w:rsid w:val="00BB6978"/>
    <w:rsid w:val="00BB6FCB"/>
    <w:rsid w:val="00BB742D"/>
    <w:rsid w:val="00BB7699"/>
    <w:rsid w:val="00BB7EA1"/>
    <w:rsid w:val="00BC0483"/>
    <w:rsid w:val="00BC05EF"/>
    <w:rsid w:val="00BC0EA9"/>
    <w:rsid w:val="00BC0ED2"/>
    <w:rsid w:val="00BC106D"/>
    <w:rsid w:val="00BC1B17"/>
    <w:rsid w:val="00BC2717"/>
    <w:rsid w:val="00BC29C4"/>
    <w:rsid w:val="00BC2AD4"/>
    <w:rsid w:val="00BC2F7E"/>
    <w:rsid w:val="00BC316C"/>
    <w:rsid w:val="00BC3B5E"/>
    <w:rsid w:val="00BC3DDB"/>
    <w:rsid w:val="00BC4314"/>
    <w:rsid w:val="00BC4331"/>
    <w:rsid w:val="00BC442A"/>
    <w:rsid w:val="00BC4889"/>
    <w:rsid w:val="00BC4A41"/>
    <w:rsid w:val="00BC4C16"/>
    <w:rsid w:val="00BC5BD5"/>
    <w:rsid w:val="00BC5E64"/>
    <w:rsid w:val="00BC60C2"/>
    <w:rsid w:val="00BC67EA"/>
    <w:rsid w:val="00BC6D8C"/>
    <w:rsid w:val="00BC716D"/>
    <w:rsid w:val="00BC7960"/>
    <w:rsid w:val="00BC7C00"/>
    <w:rsid w:val="00BD097C"/>
    <w:rsid w:val="00BD1B80"/>
    <w:rsid w:val="00BD2472"/>
    <w:rsid w:val="00BD28AF"/>
    <w:rsid w:val="00BD2D82"/>
    <w:rsid w:val="00BD3599"/>
    <w:rsid w:val="00BD39ED"/>
    <w:rsid w:val="00BD4BE1"/>
    <w:rsid w:val="00BD4DF5"/>
    <w:rsid w:val="00BD53D6"/>
    <w:rsid w:val="00BD54CE"/>
    <w:rsid w:val="00BD5826"/>
    <w:rsid w:val="00BD667F"/>
    <w:rsid w:val="00BD6C80"/>
    <w:rsid w:val="00BD7063"/>
    <w:rsid w:val="00BD740F"/>
    <w:rsid w:val="00BD7567"/>
    <w:rsid w:val="00BE008B"/>
    <w:rsid w:val="00BE0C68"/>
    <w:rsid w:val="00BE0E48"/>
    <w:rsid w:val="00BE15F6"/>
    <w:rsid w:val="00BE2316"/>
    <w:rsid w:val="00BE23D5"/>
    <w:rsid w:val="00BE23F9"/>
    <w:rsid w:val="00BE2C1A"/>
    <w:rsid w:val="00BE2C8A"/>
    <w:rsid w:val="00BE33A5"/>
    <w:rsid w:val="00BE3EA3"/>
    <w:rsid w:val="00BE4A3C"/>
    <w:rsid w:val="00BE50D8"/>
    <w:rsid w:val="00BE5D74"/>
    <w:rsid w:val="00BE6076"/>
    <w:rsid w:val="00BE6B36"/>
    <w:rsid w:val="00BE70FF"/>
    <w:rsid w:val="00BE7375"/>
    <w:rsid w:val="00BE79F9"/>
    <w:rsid w:val="00BE7A46"/>
    <w:rsid w:val="00BF0788"/>
    <w:rsid w:val="00BF0920"/>
    <w:rsid w:val="00BF0EC4"/>
    <w:rsid w:val="00BF0FD4"/>
    <w:rsid w:val="00BF1407"/>
    <w:rsid w:val="00BF1FEF"/>
    <w:rsid w:val="00BF2512"/>
    <w:rsid w:val="00BF2BB6"/>
    <w:rsid w:val="00BF2D9B"/>
    <w:rsid w:val="00BF2DAC"/>
    <w:rsid w:val="00BF3377"/>
    <w:rsid w:val="00BF344C"/>
    <w:rsid w:val="00BF367A"/>
    <w:rsid w:val="00BF3892"/>
    <w:rsid w:val="00BF4E25"/>
    <w:rsid w:val="00BF4EC2"/>
    <w:rsid w:val="00BF583D"/>
    <w:rsid w:val="00BF5D25"/>
    <w:rsid w:val="00BF6C12"/>
    <w:rsid w:val="00BF7B73"/>
    <w:rsid w:val="00BF7B79"/>
    <w:rsid w:val="00BF7CB7"/>
    <w:rsid w:val="00BF7EEF"/>
    <w:rsid w:val="00C0030F"/>
    <w:rsid w:val="00C00550"/>
    <w:rsid w:val="00C0077E"/>
    <w:rsid w:val="00C0079D"/>
    <w:rsid w:val="00C00889"/>
    <w:rsid w:val="00C00C04"/>
    <w:rsid w:val="00C00E2E"/>
    <w:rsid w:val="00C0102E"/>
    <w:rsid w:val="00C017DE"/>
    <w:rsid w:val="00C029FB"/>
    <w:rsid w:val="00C02BF4"/>
    <w:rsid w:val="00C03F37"/>
    <w:rsid w:val="00C0490E"/>
    <w:rsid w:val="00C050B4"/>
    <w:rsid w:val="00C051ED"/>
    <w:rsid w:val="00C0559E"/>
    <w:rsid w:val="00C055BD"/>
    <w:rsid w:val="00C05A27"/>
    <w:rsid w:val="00C05F0F"/>
    <w:rsid w:val="00C06D0A"/>
    <w:rsid w:val="00C06EBA"/>
    <w:rsid w:val="00C06EBF"/>
    <w:rsid w:val="00C07354"/>
    <w:rsid w:val="00C075EE"/>
    <w:rsid w:val="00C07600"/>
    <w:rsid w:val="00C07CB3"/>
    <w:rsid w:val="00C1036D"/>
    <w:rsid w:val="00C1045A"/>
    <w:rsid w:val="00C1048F"/>
    <w:rsid w:val="00C117D9"/>
    <w:rsid w:val="00C119D4"/>
    <w:rsid w:val="00C12C02"/>
    <w:rsid w:val="00C13934"/>
    <w:rsid w:val="00C1397B"/>
    <w:rsid w:val="00C1480B"/>
    <w:rsid w:val="00C15114"/>
    <w:rsid w:val="00C1527C"/>
    <w:rsid w:val="00C15F7E"/>
    <w:rsid w:val="00C16AF1"/>
    <w:rsid w:val="00C16B43"/>
    <w:rsid w:val="00C16B53"/>
    <w:rsid w:val="00C16EC2"/>
    <w:rsid w:val="00C17636"/>
    <w:rsid w:val="00C17938"/>
    <w:rsid w:val="00C20158"/>
    <w:rsid w:val="00C208BE"/>
    <w:rsid w:val="00C20CE7"/>
    <w:rsid w:val="00C20D44"/>
    <w:rsid w:val="00C21488"/>
    <w:rsid w:val="00C22CA3"/>
    <w:rsid w:val="00C22CFE"/>
    <w:rsid w:val="00C238AC"/>
    <w:rsid w:val="00C23A7A"/>
    <w:rsid w:val="00C24024"/>
    <w:rsid w:val="00C24492"/>
    <w:rsid w:val="00C24734"/>
    <w:rsid w:val="00C24F05"/>
    <w:rsid w:val="00C26185"/>
    <w:rsid w:val="00C26676"/>
    <w:rsid w:val="00C26A70"/>
    <w:rsid w:val="00C26C5A"/>
    <w:rsid w:val="00C26F26"/>
    <w:rsid w:val="00C270B6"/>
    <w:rsid w:val="00C27199"/>
    <w:rsid w:val="00C27434"/>
    <w:rsid w:val="00C2753F"/>
    <w:rsid w:val="00C27FEF"/>
    <w:rsid w:val="00C30180"/>
    <w:rsid w:val="00C30347"/>
    <w:rsid w:val="00C3089E"/>
    <w:rsid w:val="00C30939"/>
    <w:rsid w:val="00C30AE2"/>
    <w:rsid w:val="00C30E16"/>
    <w:rsid w:val="00C30FEB"/>
    <w:rsid w:val="00C31F8B"/>
    <w:rsid w:val="00C32592"/>
    <w:rsid w:val="00C32B94"/>
    <w:rsid w:val="00C332F7"/>
    <w:rsid w:val="00C33F13"/>
    <w:rsid w:val="00C340C4"/>
    <w:rsid w:val="00C3425E"/>
    <w:rsid w:val="00C346E6"/>
    <w:rsid w:val="00C348B3"/>
    <w:rsid w:val="00C34A07"/>
    <w:rsid w:val="00C34A17"/>
    <w:rsid w:val="00C350F7"/>
    <w:rsid w:val="00C35840"/>
    <w:rsid w:val="00C35A9C"/>
    <w:rsid w:val="00C35BBD"/>
    <w:rsid w:val="00C35DA3"/>
    <w:rsid w:val="00C35EB1"/>
    <w:rsid w:val="00C36293"/>
    <w:rsid w:val="00C36B90"/>
    <w:rsid w:val="00C37116"/>
    <w:rsid w:val="00C37928"/>
    <w:rsid w:val="00C37972"/>
    <w:rsid w:val="00C379C0"/>
    <w:rsid w:val="00C37E04"/>
    <w:rsid w:val="00C40E75"/>
    <w:rsid w:val="00C41217"/>
    <w:rsid w:val="00C41540"/>
    <w:rsid w:val="00C41707"/>
    <w:rsid w:val="00C417B6"/>
    <w:rsid w:val="00C41973"/>
    <w:rsid w:val="00C41AC2"/>
    <w:rsid w:val="00C422C1"/>
    <w:rsid w:val="00C42BC5"/>
    <w:rsid w:val="00C43228"/>
    <w:rsid w:val="00C43DEB"/>
    <w:rsid w:val="00C43FF3"/>
    <w:rsid w:val="00C440BD"/>
    <w:rsid w:val="00C4415E"/>
    <w:rsid w:val="00C454D2"/>
    <w:rsid w:val="00C45A3F"/>
    <w:rsid w:val="00C45A9F"/>
    <w:rsid w:val="00C4639B"/>
    <w:rsid w:val="00C4641B"/>
    <w:rsid w:val="00C4644F"/>
    <w:rsid w:val="00C464D8"/>
    <w:rsid w:val="00C4671E"/>
    <w:rsid w:val="00C46D8A"/>
    <w:rsid w:val="00C46FCD"/>
    <w:rsid w:val="00C4731B"/>
    <w:rsid w:val="00C475D2"/>
    <w:rsid w:val="00C50144"/>
    <w:rsid w:val="00C503B0"/>
    <w:rsid w:val="00C504C1"/>
    <w:rsid w:val="00C5073B"/>
    <w:rsid w:val="00C50885"/>
    <w:rsid w:val="00C50C5F"/>
    <w:rsid w:val="00C518EC"/>
    <w:rsid w:val="00C519C1"/>
    <w:rsid w:val="00C520C8"/>
    <w:rsid w:val="00C5250E"/>
    <w:rsid w:val="00C52FFA"/>
    <w:rsid w:val="00C53208"/>
    <w:rsid w:val="00C5336C"/>
    <w:rsid w:val="00C53632"/>
    <w:rsid w:val="00C5364D"/>
    <w:rsid w:val="00C5394D"/>
    <w:rsid w:val="00C54258"/>
    <w:rsid w:val="00C5464C"/>
    <w:rsid w:val="00C546A2"/>
    <w:rsid w:val="00C54BE6"/>
    <w:rsid w:val="00C55167"/>
    <w:rsid w:val="00C55398"/>
    <w:rsid w:val="00C5553F"/>
    <w:rsid w:val="00C556CD"/>
    <w:rsid w:val="00C55DB0"/>
    <w:rsid w:val="00C56168"/>
    <w:rsid w:val="00C56B44"/>
    <w:rsid w:val="00C56E68"/>
    <w:rsid w:val="00C57162"/>
    <w:rsid w:val="00C5739A"/>
    <w:rsid w:val="00C5755A"/>
    <w:rsid w:val="00C57A25"/>
    <w:rsid w:val="00C60892"/>
    <w:rsid w:val="00C609F6"/>
    <w:rsid w:val="00C60C09"/>
    <w:rsid w:val="00C60CA2"/>
    <w:rsid w:val="00C61189"/>
    <w:rsid w:val="00C61837"/>
    <w:rsid w:val="00C619AF"/>
    <w:rsid w:val="00C61CB9"/>
    <w:rsid w:val="00C62C34"/>
    <w:rsid w:val="00C62EAE"/>
    <w:rsid w:val="00C63303"/>
    <w:rsid w:val="00C63918"/>
    <w:rsid w:val="00C63D8D"/>
    <w:rsid w:val="00C63E0E"/>
    <w:rsid w:val="00C63FD8"/>
    <w:rsid w:val="00C64163"/>
    <w:rsid w:val="00C6438B"/>
    <w:rsid w:val="00C643B7"/>
    <w:rsid w:val="00C643BB"/>
    <w:rsid w:val="00C64C45"/>
    <w:rsid w:val="00C65363"/>
    <w:rsid w:val="00C65637"/>
    <w:rsid w:val="00C65A38"/>
    <w:rsid w:val="00C65B2A"/>
    <w:rsid w:val="00C6627B"/>
    <w:rsid w:val="00C663E8"/>
    <w:rsid w:val="00C66917"/>
    <w:rsid w:val="00C67376"/>
    <w:rsid w:val="00C67467"/>
    <w:rsid w:val="00C678B6"/>
    <w:rsid w:val="00C67D5D"/>
    <w:rsid w:val="00C708D3"/>
    <w:rsid w:val="00C7160F"/>
    <w:rsid w:val="00C71A02"/>
    <w:rsid w:val="00C720DF"/>
    <w:rsid w:val="00C72A32"/>
    <w:rsid w:val="00C72B83"/>
    <w:rsid w:val="00C72CEC"/>
    <w:rsid w:val="00C72D60"/>
    <w:rsid w:val="00C72E1C"/>
    <w:rsid w:val="00C73084"/>
    <w:rsid w:val="00C73954"/>
    <w:rsid w:val="00C73C17"/>
    <w:rsid w:val="00C7451D"/>
    <w:rsid w:val="00C74770"/>
    <w:rsid w:val="00C74939"/>
    <w:rsid w:val="00C74CF6"/>
    <w:rsid w:val="00C74EAE"/>
    <w:rsid w:val="00C7510D"/>
    <w:rsid w:val="00C75353"/>
    <w:rsid w:val="00C763C9"/>
    <w:rsid w:val="00C77CEB"/>
    <w:rsid w:val="00C80385"/>
    <w:rsid w:val="00C80EC3"/>
    <w:rsid w:val="00C80EE6"/>
    <w:rsid w:val="00C80EFF"/>
    <w:rsid w:val="00C81175"/>
    <w:rsid w:val="00C81414"/>
    <w:rsid w:val="00C81524"/>
    <w:rsid w:val="00C81774"/>
    <w:rsid w:val="00C818CE"/>
    <w:rsid w:val="00C81A41"/>
    <w:rsid w:val="00C82030"/>
    <w:rsid w:val="00C82753"/>
    <w:rsid w:val="00C82864"/>
    <w:rsid w:val="00C82A8E"/>
    <w:rsid w:val="00C836B2"/>
    <w:rsid w:val="00C83A5B"/>
    <w:rsid w:val="00C843D6"/>
    <w:rsid w:val="00C846E1"/>
    <w:rsid w:val="00C84B28"/>
    <w:rsid w:val="00C84CC3"/>
    <w:rsid w:val="00C85226"/>
    <w:rsid w:val="00C86805"/>
    <w:rsid w:val="00C87443"/>
    <w:rsid w:val="00C878D3"/>
    <w:rsid w:val="00C87E88"/>
    <w:rsid w:val="00C901F3"/>
    <w:rsid w:val="00C9039B"/>
    <w:rsid w:val="00C908AD"/>
    <w:rsid w:val="00C90C4B"/>
    <w:rsid w:val="00C91682"/>
    <w:rsid w:val="00C91744"/>
    <w:rsid w:val="00C91817"/>
    <w:rsid w:val="00C91939"/>
    <w:rsid w:val="00C91DA0"/>
    <w:rsid w:val="00C923EC"/>
    <w:rsid w:val="00C92556"/>
    <w:rsid w:val="00C92683"/>
    <w:rsid w:val="00C92686"/>
    <w:rsid w:val="00C92D1C"/>
    <w:rsid w:val="00C92D27"/>
    <w:rsid w:val="00C9306D"/>
    <w:rsid w:val="00C9322E"/>
    <w:rsid w:val="00C94144"/>
    <w:rsid w:val="00C94635"/>
    <w:rsid w:val="00C9518C"/>
    <w:rsid w:val="00C951C6"/>
    <w:rsid w:val="00C95F67"/>
    <w:rsid w:val="00C96399"/>
    <w:rsid w:val="00C97013"/>
    <w:rsid w:val="00C971ED"/>
    <w:rsid w:val="00C97C92"/>
    <w:rsid w:val="00C97D0E"/>
    <w:rsid w:val="00C97DD3"/>
    <w:rsid w:val="00C97E74"/>
    <w:rsid w:val="00CA011A"/>
    <w:rsid w:val="00CA0310"/>
    <w:rsid w:val="00CA0418"/>
    <w:rsid w:val="00CA1328"/>
    <w:rsid w:val="00CA1BFF"/>
    <w:rsid w:val="00CA1D69"/>
    <w:rsid w:val="00CA1D9E"/>
    <w:rsid w:val="00CA263D"/>
    <w:rsid w:val="00CA2CA9"/>
    <w:rsid w:val="00CA347D"/>
    <w:rsid w:val="00CA4586"/>
    <w:rsid w:val="00CA46A4"/>
    <w:rsid w:val="00CA47A9"/>
    <w:rsid w:val="00CA48FF"/>
    <w:rsid w:val="00CA49E1"/>
    <w:rsid w:val="00CA4DC9"/>
    <w:rsid w:val="00CA4EAE"/>
    <w:rsid w:val="00CA4F64"/>
    <w:rsid w:val="00CA5527"/>
    <w:rsid w:val="00CA5C2A"/>
    <w:rsid w:val="00CA66F3"/>
    <w:rsid w:val="00CA684E"/>
    <w:rsid w:val="00CA693B"/>
    <w:rsid w:val="00CA6E06"/>
    <w:rsid w:val="00CA7206"/>
    <w:rsid w:val="00CA72A3"/>
    <w:rsid w:val="00CA762D"/>
    <w:rsid w:val="00CA76D1"/>
    <w:rsid w:val="00CA7F83"/>
    <w:rsid w:val="00CB0317"/>
    <w:rsid w:val="00CB0672"/>
    <w:rsid w:val="00CB0D24"/>
    <w:rsid w:val="00CB0DC2"/>
    <w:rsid w:val="00CB110D"/>
    <w:rsid w:val="00CB1BB1"/>
    <w:rsid w:val="00CB2030"/>
    <w:rsid w:val="00CB2B33"/>
    <w:rsid w:val="00CB3030"/>
    <w:rsid w:val="00CB30B7"/>
    <w:rsid w:val="00CB32F5"/>
    <w:rsid w:val="00CB3B26"/>
    <w:rsid w:val="00CB4333"/>
    <w:rsid w:val="00CB45FA"/>
    <w:rsid w:val="00CB504B"/>
    <w:rsid w:val="00CB545A"/>
    <w:rsid w:val="00CB5DE8"/>
    <w:rsid w:val="00CB64A0"/>
    <w:rsid w:val="00CB66BD"/>
    <w:rsid w:val="00CB697F"/>
    <w:rsid w:val="00CB6D42"/>
    <w:rsid w:val="00CB7363"/>
    <w:rsid w:val="00CB73C8"/>
    <w:rsid w:val="00CC1296"/>
    <w:rsid w:val="00CC1505"/>
    <w:rsid w:val="00CC1694"/>
    <w:rsid w:val="00CC205B"/>
    <w:rsid w:val="00CC21A2"/>
    <w:rsid w:val="00CC2987"/>
    <w:rsid w:val="00CC2D75"/>
    <w:rsid w:val="00CC2E34"/>
    <w:rsid w:val="00CC3282"/>
    <w:rsid w:val="00CC37FB"/>
    <w:rsid w:val="00CC3F12"/>
    <w:rsid w:val="00CC40E2"/>
    <w:rsid w:val="00CC40FA"/>
    <w:rsid w:val="00CC4302"/>
    <w:rsid w:val="00CC46EE"/>
    <w:rsid w:val="00CC49C7"/>
    <w:rsid w:val="00CC4CAF"/>
    <w:rsid w:val="00CC557C"/>
    <w:rsid w:val="00CC5587"/>
    <w:rsid w:val="00CC5D3E"/>
    <w:rsid w:val="00CC5E84"/>
    <w:rsid w:val="00CC5ECD"/>
    <w:rsid w:val="00CC61EC"/>
    <w:rsid w:val="00CC6B12"/>
    <w:rsid w:val="00CC6F9F"/>
    <w:rsid w:val="00CD049C"/>
    <w:rsid w:val="00CD05D8"/>
    <w:rsid w:val="00CD1B49"/>
    <w:rsid w:val="00CD1F28"/>
    <w:rsid w:val="00CD2323"/>
    <w:rsid w:val="00CD26EC"/>
    <w:rsid w:val="00CD2842"/>
    <w:rsid w:val="00CD2C43"/>
    <w:rsid w:val="00CD2FA3"/>
    <w:rsid w:val="00CD337C"/>
    <w:rsid w:val="00CD4147"/>
    <w:rsid w:val="00CD58BD"/>
    <w:rsid w:val="00CD58F5"/>
    <w:rsid w:val="00CD5A86"/>
    <w:rsid w:val="00CD5CE6"/>
    <w:rsid w:val="00CD6213"/>
    <w:rsid w:val="00CD6498"/>
    <w:rsid w:val="00CD652F"/>
    <w:rsid w:val="00CD6A97"/>
    <w:rsid w:val="00CD70DC"/>
    <w:rsid w:val="00CD7454"/>
    <w:rsid w:val="00CE00BD"/>
    <w:rsid w:val="00CE01BF"/>
    <w:rsid w:val="00CE021A"/>
    <w:rsid w:val="00CE20EE"/>
    <w:rsid w:val="00CE24DD"/>
    <w:rsid w:val="00CE292F"/>
    <w:rsid w:val="00CE2FFC"/>
    <w:rsid w:val="00CE3036"/>
    <w:rsid w:val="00CE3C94"/>
    <w:rsid w:val="00CE49C3"/>
    <w:rsid w:val="00CE4B35"/>
    <w:rsid w:val="00CE574C"/>
    <w:rsid w:val="00CE57A5"/>
    <w:rsid w:val="00CE5919"/>
    <w:rsid w:val="00CE591A"/>
    <w:rsid w:val="00CE5C1D"/>
    <w:rsid w:val="00CE63A2"/>
    <w:rsid w:val="00CE6D85"/>
    <w:rsid w:val="00CE7537"/>
    <w:rsid w:val="00CE7583"/>
    <w:rsid w:val="00CE792A"/>
    <w:rsid w:val="00CE7EC3"/>
    <w:rsid w:val="00CF00C0"/>
    <w:rsid w:val="00CF0AB0"/>
    <w:rsid w:val="00CF0BB2"/>
    <w:rsid w:val="00CF11FA"/>
    <w:rsid w:val="00CF20F6"/>
    <w:rsid w:val="00CF2391"/>
    <w:rsid w:val="00CF2772"/>
    <w:rsid w:val="00CF2BDF"/>
    <w:rsid w:val="00CF2C35"/>
    <w:rsid w:val="00CF312B"/>
    <w:rsid w:val="00CF3710"/>
    <w:rsid w:val="00CF3ABA"/>
    <w:rsid w:val="00CF3E36"/>
    <w:rsid w:val="00CF4370"/>
    <w:rsid w:val="00CF4743"/>
    <w:rsid w:val="00CF4A09"/>
    <w:rsid w:val="00CF4DEF"/>
    <w:rsid w:val="00CF5709"/>
    <w:rsid w:val="00CF6546"/>
    <w:rsid w:val="00CF673F"/>
    <w:rsid w:val="00CF7148"/>
    <w:rsid w:val="00CF731B"/>
    <w:rsid w:val="00CF758A"/>
    <w:rsid w:val="00CF7BCD"/>
    <w:rsid w:val="00CF7E4E"/>
    <w:rsid w:val="00D00D58"/>
    <w:rsid w:val="00D01E0C"/>
    <w:rsid w:val="00D02669"/>
    <w:rsid w:val="00D02A8E"/>
    <w:rsid w:val="00D0338D"/>
    <w:rsid w:val="00D03414"/>
    <w:rsid w:val="00D03494"/>
    <w:rsid w:val="00D0410C"/>
    <w:rsid w:val="00D04316"/>
    <w:rsid w:val="00D05126"/>
    <w:rsid w:val="00D05C78"/>
    <w:rsid w:val="00D06023"/>
    <w:rsid w:val="00D06167"/>
    <w:rsid w:val="00D06666"/>
    <w:rsid w:val="00D06700"/>
    <w:rsid w:val="00D0697D"/>
    <w:rsid w:val="00D073CA"/>
    <w:rsid w:val="00D074C1"/>
    <w:rsid w:val="00D07E9B"/>
    <w:rsid w:val="00D1027B"/>
    <w:rsid w:val="00D104DA"/>
    <w:rsid w:val="00D1056E"/>
    <w:rsid w:val="00D11109"/>
    <w:rsid w:val="00D114B6"/>
    <w:rsid w:val="00D11A2B"/>
    <w:rsid w:val="00D11C5B"/>
    <w:rsid w:val="00D12C28"/>
    <w:rsid w:val="00D1323D"/>
    <w:rsid w:val="00D13B4E"/>
    <w:rsid w:val="00D13BD7"/>
    <w:rsid w:val="00D13D07"/>
    <w:rsid w:val="00D14D2B"/>
    <w:rsid w:val="00D1503E"/>
    <w:rsid w:val="00D1523E"/>
    <w:rsid w:val="00D15517"/>
    <w:rsid w:val="00D1567A"/>
    <w:rsid w:val="00D1625C"/>
    <w:rsid w:val="00D16624"/>
    <w:rsid w:val="00D168D5"/>
    <w:rsid w:val="00D16A66"/>
    <w:rsid w:val="00D16DC6"/>
    <w:rsid w:val="00D17175"/>
    <w:rsid w:val="00D1790A"/>
    <w:rsid w:val="00D1796D"/>
    <w:rsid w:val="00D20284"/>
    <w:rsid w:val="00D2084B"/>
    <w:rsid w:val="00D20A5D"/>
    <w:rsid w:val="00D20B37"/>
    <w:rsid w:val="00D20DA5"/>
    <w:rsid w:val="00D20E4C"/>
    <w:rsid w:val="00D21243"/>
    <w:rsid w:val="00D21376"/>
    <w:rsid w:val="00D22983"/>
    <w:rsid w:val="00D22F97"/>
    <w:rsid w:val="00D23317"/>
    <w:rsid w:val="00D235A1"/>
    <w:rsid w:val="00D239C5"/>
    <w:rsid w:val="00D248DB"/>
    <w:rsid w:val="00D25145"/>
    <w:rsid w:val="00D2540F"/>
    <w:rsid w:val="00D25C27"/>
    <w:rsid w:val="00D25E08"/>
    <w:rsid w:val="00D25E4E"/>
    <w:rsid w:val="00D25F63"/>
    <w:rsid w:val="00D2602D"/>
    <w:rsid w:val="00D2687F"/>
    <w:rsid w:val="00D26BB9"/>
    <w:rsid w:val="00D26FB1"/>
    <w:rsid w:val="00D274DF"/>
    <w:rsid w:val="00D275C7"/>
    <w:rsid w:val="00D27AC2"/>
    <w:rsid w:val="00D27B84"/>
    <w:rsid w:val="00D30193"/>
    <w:rsid w:val="00D30435"/>
    <w:rsid w:val="00D30B6C"/>
    <w:rsid w:val="00D316A1"/>
    <w:rsid w:val="00D323B7"/>
    <w:rsid w:val="00D32729"/>
    <w:rsid w:val="00D33C06"/>
    <w:rsid w:val="00D3402F"/>
    <w:rsid w:val="00D340CC"/>
    <w:rsid w:val="00D35357"/>
    <w:rsid w:val="00D35518"/>
    <w:rsid w:val="00D356DD"/>
    <w:rsid w:val="00D35DC9"/>
    <w:rsid w:val="00D35DF4"/>
    <w:rsid w:val="00D36786"/>
    <w:rsid w:val="00D369ED"/>
    <w:rsid w:val="00D36EA1"/>
    <w:rsid w:val="00D370DC"/>
    <w:rsid w:val="00D37BDC"/>
    <w:rsid w:val="00D40D6C"/>
    <w:rsid w:val="00D41684"/>
    <w:rsid w:val="00D41A24"/>
    <w:rsid w:val="00D41C15"/>
    <w:rsid w:val="00D41E83"/>
    <w:rsid w:val="00D425CA"/>
    <w:rsid w:val="00D42706"/>
    <w:rsid w:val="00D42EA1"/>
    <w:rsid w:val="00D4381D"/>
    <w:rsid w:val="00D43FFB"/>
    <w:rsid w:val="00D443B9"/>
    <w:rsid w:val="00D443CD"/>
    <w:rsid w:val="00D445E0"/>
    <w:rsid w:val="00D44733"/>
    <w:rsid w:val="00D44759"/>
    <w:rsid w:val="00D44B8C"/>
    <w:rsid w:val="00D457AC"/>
    <w:rsid w:val="00D45A03"/>
    <w:rsid w:val="00D45B41"/>
    <w:rsid w:val="00D45D0B"/>
    <w:rsid w:val="00D45FA1"/>
    <w:rsid w:val="00D463B6"/>
    <w:rsid w:val="00D46595"/>
    <w:rsid w:val="00D4673F"/>
    <w:rsid w:val="00D468F1"/>
    <w:rsid w:val="00D47356"/>
    <w:rsid w:val="00D50CFD"/>
    <w:rsid w:val="00D50F19"/>
    <w:rsid w:val="00D51006"/>
    <w:rsid w:val="00D5132D"/>
    <w:rsid w:val="00D5136D"/>
    <w:rsid w:val="00D51B0B"/>
    <w:rsid w:val="00D52041"/>
    <w:rsid w:val="00D52270"/>
    <w:rsid w:val="00D5261E"/>
    <w:rsid w:val="00D52E75"/>
    <w:rsid w:val="00D536E1"/>
    <w:rsid w:val="00D539EB"/>
    <w:rsid w:val="00D53CD5"/>
    <w:rsid w:val="00D54339"/>
    <w:rsid w:val="00D54D70"/>
    <w:rsid w:val="00D54F98"/>
    <w:rsid w:val="00D55459"/>
    <w:rsid w:val="00D55572"/>
    <w:rsid w:val="00D557D6"/>
    <w:rsid w:val="00D57359"/>
    <w:rsid w:val="00D573E0"/>
    <w:rsid w:val="00D577AB"/>
    <w:rsid w:val="00D57B5B"/>
    <w:rsid w:val="00D57C90"/>
    <w:rsid w:val="00D57E21"/>
    <w:rsid w:val="00D61B8C"/>
    <w:rsid w:val="00D61E96"/>
    <w:rsid w:val="00D62332"/>
    <w:rsid w:val="00D633C1"/>
    <w:rsid w:val="00D63624"/>
    <w:rsid w:val="00D63D3D"/>
    <w:rsid w:val="00D64637"/>
    <w:rsid w:val="00D64981"/>
    <w:rsid w:val="00D64998"/>
    <w:rsid w:val="00D64E07"/>
    <w:rsid w:val="00D64E46"/>
    <w:rsid w:val="00D64F06"/>
    <w:rsid w:val="00D65B4B"/>
    <w:rsid w:val="00D65DF1"/>
    <w:rsid w:val="00D65F5A"/>
    <w:rsid w:val="00D66043"/>
    <w:rsid w:val="00D67DA1"/>
    <w:rsid w:val="00D70A1F"/>
    <w:rsid w:val="00D70D09"/>
    <w:rsid w:val="00D70F52"/>
    <w:rsid w:val="00D7114C"/>
    <w:rsid w:val="00D7134F"/>
    <w:rsid w:val="00D716E3"/>
    <w:rsid w:val="00D717C9"/>
    <w:rsid w:val="00D71BE7"/>
    <w:rsid w:val="00D71C4D"/>
    <w:rsid w:val="00D72446"/>
    <w:rsid w:val="00D724D8"/>
    <w:rsid w:val="00D72571"/>
    <w:rsid w:val="00D72D22"/>
    <w:rsid w:val="00D73984"/>
    <w:rsid w:val="00D73E00"/>
    <w:rsid w:val="00D741D3"/>
    <w:rsid w:val="00D74550"/>
    <w:rsid w:val="00D749BB"/>
    <w:rsid w:val="00D74B8F"/>
    <w:rsid w:val="00D751FC"/>
    <w:rsid w:val="00D758D8"/>
    <w:rsid w:val="00D75987"/>
    <w:rsid w:val="00D7718B"/>
    <w:rsid w:val="00D7779F"/>
    <w:rsid w:val="00D77876"/>
    <w:rsid w:val="00D77FC6"/>
    <w:rsid w:val="00D812A7"/>
    <w:rsid w:val="00D815AC"/>
    <w:rsid w:val="00D81B20"/>
    <w:rsid w:val="00D81D86"/>
    <w:rsid w:val="00D82026"/>
    <w:rsid w:val="00D82191"/>
    <w:rsid w:val="00D822FA"/>
    <w:rsid w:val="00D82441"/>
    <w:rsid w:val="00D82ABF"/>
    <w:rsid w:val="00D82FBF"/>
    <w:rsid w:val="00D83694"/>
    <w:rsid w:val="00D837CF"/>
    <w:rsid w:val="00D8381B"/>
    <w:rsid w:val="00D8402F"/>
    <w:rsid w:val="00D8429E"/>
    <w:rsid w:val="00D84331"/>
    <w:rsid w:val="00D84568"/>
    <w:rsid w:val="00D85480"/>
    <w:rsid w:val="00D85B65"/>
    <w:rsid w:val="00D861F7"/>
    <w:rsid w:val="00D86439"/>
    <w:rsid w:val="00D86773"/>
    <w:rsid w:val="00D87036"/>
    <w:rsid w:val="00D87089"/>
    <w:rsid w:val="00D87222"/>
    <w:rsid w:val="00D8736D"/>
    <w:rsid w:val="00D87612"/>
    <w:rsid w:val="00D87A4A"/>
    <w:rsid w:val="00D87B75"/>
    <w:rsid w:val="00D9002F"/>
    <w:rsid w:val="00D917C5"/>
    <w:rsid w:val="00D9194E"/>
    <w:rsid w:val="00D92915"/>
    <w:rsid w:val="00D92B80"/>
    <w:rsid w:val="00D92BF3"/>
    <w:rsid w:val="00D9324F"/>
    <w:rsid w:val="00D9372A"/>
    <w:rsid w:val="00D939B7"/>
    <w:rsid w:val="00D93B86"/>
    <w:rsid w:val="00D9406B"/>
    <w:rsid w:val="00D94AB9"/>
    <w:rsid w:val="00D95F60"/>
    <w:rsid w:val="00D95F76"/>
    <w:rsid w:val="00D96212"/>
    <w:rsid w:val="00D962EA"/>
    <w:rsid w:val="00D96E58"/>
    <w:rsid w:val="00D97056"/>
    <w:rsid w:val="00D97BE5"/>
    <w:rsid w:val="00D97E11"/>
    <w:rsid w:val="00DA08EF"/>
    <w:rsid w:val="00DA0D92"/>
    <w:rsid w:val="00DA2047"/>
    <w:rsid w:val="00DA22C7"/>
    <w:rsid w:val="00DA23F0"/>
    <w:rsid w:val="00DA2663"/>
    <w:rsid w:val="00DA2929"/>
    <w:rsid w:val="00DA378F"/>
    <w:rsid w:val="00DA3BF3"/>
    <w:rsid w:val="00DA4691"/>
    <w:rsid w:val="00DA5555"/>
    <w:rsid w:val="00DA56EF"/>
    <w:rsid w:val="00DA5742"/>
    <w:rsid w:val="00DA5F7F"/>
    <w:rsid w:val="00DA6558"/>
    <w:rsid w:val="00DA6AE8"/>
    <w:rsid w:val="00DA6C98"/>
    <w:rsid w:val="00DA6DF7"/>
    <w:rsid w:val="00DA6F0E"/>
    <w:rsid w:val="00DA716F"/>
    <w:rsid w:val="00DA76D3"/>
    <w:rsid w:val="00DA77A9"/>
    <w:rsid w:val="00DA7975"/>
    <w:rsid w:val="00DA79CD"/>
    <w:rsid w:val="00DB0177"/>
    <w:rsid w:val="00DB0712"/>
    <w:rsid w:val="00DB093D"/>
    <w:rsid w:val="00DB0A56"/>
    <w:rsid w:val="00DB16C3"/>
    <w:rsid w:val="00DB1872"/>
    <w:rsid w:val="00DB19C2"/>
    <w:rsid w:val="00DB1BBC"/>
    <w:rsid w:val="00DB22F0"/>
    <w:rsid w:val="00DB24F4"/>
    <w:rsid w:val="00DB264E"/>
    <w:rsid w:val="00DB2764"/>
    <w:rsid w:val="00DB2B85"/>
    <w:rsid w:val="00DB316E"/>
    <w:rsid w:val="00DB3236"/>
    <w:rsid w:val="00DB35F7"/>
    <w:rsid w:val="00DB38DF"/>
    <w:rsid w:val="00DB41BD"/>
    <w:rsid w:val="00DB446F"/>
    <w:rsid w:val="00DB4822"/>
    <w:rsid w:val="00DB4837"/>
    <w:rsid w:val="00DB4FFF"/>
    <w:rsid w:val="00DB53A3"/>
    <w:rsid w:val="00DB543A"/>
    <w:rsid w:val="00DB5B12"/>
    <w:rsid w:val="00DB6462"/>
    <w:rsid w:val="00DB687D"/>
    <w:rsid w:val="00DB697C"/>
    <w:rsid w:val="00DB6FBF"/>
    <w:rsid w:val="00DB7A24"/>
    <w:rsid w:val="00DB7A8A"/>
    <w:rsid w:val="00DC1119"/>
    <w:rsid w:val="00DC1671"/>
    <w:rsid w:val="00DC1F64"/>
    <w:rsid w:val="00DC2967"/>
    <w:rsid w:val="00DC2D11"/>
    <w:rsid w:val="00DC30FF"/>
    <w:rsid w:val="00DC3119"/>
    <w:rsid w:val="00DC328B"/>
    <w:rsid w:val="00DC376C"/>
    <w:rsid w:val="00DC3CED"/>
    <w:rsid w:val="00DC3E47"/>
    <w:rsid w:val="00DC487B"/>
    <w:rsid w:val="00DC49F8"/>
    <w:rsid w:val="00DC5519"/>
    <w:rsid w:val="00DC5726"/>
    <w:rsid w:val="00DC57F2"/>
    <w:rsid w:val="00DC66CD"/>
    <w:rsid w:val="00DC6D00"/>
    <w:rsid w:val="00DC7196"/>
    <w:rsid w:val="00DC7568"/>
    <w:rsid w:val="00DC75D8"/>
    <w:rsid w:val="00DC7AF4"/>
    <w:rsid w:val="00DC7C48"/>
    <w:rsid w:val="00DD0386"/>
    <w:rsid w:val="00DD0476"/>
    <w:rsid w:val="00DD0538"/>
    <w:rsid w:val="00DD08BB"/>
    <w:rsid w:val="00DD16E5"/>
    <w:rsid w:val="00DD17EC"/>
    <w:rsid w:val="00DD1A9F"/>
    <w:rsid w:val="00DD23E0"/>
    <w:rsid w:val="00DD2777"/>
    <w:rsid w:val="00DD3B3F"/>
    <w:rsid w:val="00DD3B81"/>
    <w:rsid w:val="00DD3FB0"/>
    <w:rsid w:val="00DD4351"/>
    <w:rsid w:val="00DD4AAF"/>
    <w:rsid w:val="00DD4CFB"/>
    <w:rsid w:val="00DD5475"/>
    <w:rsid w:val="00DD5545"/>
    <w:rsid w:val="00DD55C6"/>
    <w:rsid w:val="00DD5AAE"/>
    <w:rsid w:val="00DD5DB5"/>
    <w:rsid w:val="00DD63E7"/>
    <w:rsid w:val="00DD6B08"/>
    <w:rsid w:val="00DD7067"/>
    <w:rsid w:val="00DD7EA4"/>
    <w:rsid w:val="00DE0276"/>
    <w:rsid w:val="00DE0633"/>
    <w:rsid w:val="00DE0E12"/>
    <w:rsid w:val="00DE0F2F"/>
    <w:rsid w:val="00DE1371"/>
    <w:rsid w:val="00DE182E"/>
    <w:rsid w:val="00DE1B71"/>
    <w:rsid w:val="00DE1F69"/>
    <w:rsid w:val="00DE1FA2"/>
    <w:rsid w:val="00DE2901"/>
    <w:rsid w:val="00DE2990"/>
    <w:rsid w:val="00DE2B2B"/>
    <w:rsid w:val="00DE2D9A"/>
    <w:rsid w:val="00DE3303"/>
    <w:rsid w:val="00DE42C0"/>
    <w:rsid w:val="00DE4775"/>
    <w:rsid w:val="00DE4BFB"/>
    <w:rsid w:val="00DE4E50"/>
    <w:rsid w:val="00DE5103"/>
    <w:rsid w:val="00DE6157"/>
    <w:rsid w:val="00DE6197"/>
    <w:rsid w:val="00DE6DB8"/>
    <w:rsid w:val="00DE6F8C"/>
    <w:rsid w:val="00DE702B"/>
    <w:rsid w:val="00DE7118"/>
    <w:rsid w:val="00DE7391"/>
    <w:rsid w:val="00DE773F"/>
    <w:rsid w:val="00DE7A78"/>
    <w:rsid w:val="00DE7D69"/>
    <w:rsid w:val="00DE7F1D"/>
    <w:rsid w:val="00DF0394"/>
    <w:rsid w:val="00DF0A7B"/>
    <w:rsid w:val="00DF0CD4"/>
    <w:rsid w:val="00DF0F86"/>
    <w:rsid w:val="00DF112B"/>
    <w:rsid w:val="00DF124E"/>
    <w:rsid w:val="00DF1B3B"/>
    <w:rsid w:val="00DF1F41"/>
    <w:rsid w:val="00DF2228"/>
    <w:rsid w:val="00DF2515"/>
    <w:rsid w:val="00DF398A"/>
    <w:rsid w:val="00DF557E"/>
    <w:rsid w:val="00DF5585"/>
    <w:rsid w:val="00DF5660"/>
    <w:rsid w:val="00DF578F"/>
    <w:rsid w:val="00DF5BAB"/>
    <w:rsid w:val="00DF6715"/>
    <w:rsid w:val="00DF6C5B"/>
    <w:rsid w:val="00DF73EA"/>
    <w:rsid w:val="00DF778A"/>
    <w:rsid w:val="00E0092A"/>
    <w:rsid w:val="00E00E6C"/>
    <w:rsid w:val="00E01110"/>
    <w:rsid w:val="00E020E7"/>
    <w:rsid w:val="00E025CB"/>
    <w:rsid w:val="00E029DD"/>
    <w:rsid w:val="00E02C04"/>
    <w:rsid w:val="00E02C3A"/>
    <w:rsid w:val="00E02CC6"/>
    <w:rsid w:val="00E042ED"/>
    <w:rsid w:val="00E043EC"/>
    <w:rsid w:val="00E04FE8"/>
    <w:rsid w:val="00E0510B"/>
    <w:rsid w:val="00E05552"/>
    <w:rsid w:val="00E06753"/>
    <w:rsid w:val="00E06A3C"/>
    <w:rsid w:val="00E06BBD"/>
    <w:rsid w:val="00E06C63"/>
    <w:rsid w:val="00E06E81"/>
    <w:rsid w:val="00E07964"/>
    <w:rsid w:val="00E07C90"/>
    <w:rsid w:val="00E07D6F"/>
    <w:rsid w:val="00E101A3"/>
    <w:rsid w:val="00E10703"/>
    <w:rsid w:val="00E108ED"/>
    <w:rsid w:val="00E123DD"/>
    <w:rsid w:val="00E12C97"/>
    <w:rsid w:val="00E12EC7"/>
    <w:rsid w:val="00E132CE"/>
    <w:rsid w:val="00E13696"/>
    <w:rsid w:val="00E13F71"/>
    <w:rsid w:val="00E143B0"/>
    <w:rsid w:val="00E1457C"/>
    <w:rsid w:val="00E14F63"/>
    <w:rsid w:val="00E15679"/>
    <w:rsid w:val="00E15C40"/>
    <w:rsid w:val="00E161FA"/>
    <w:rsid w:val="00E16798"/>
    <w:rsid w:val="00E1706D"/>
    <w:rsid w:val="00E179C8"/>
    <w:rsid w:val="00E203F7"/>
    <w:rsid w:val="00E20C07"/>
    <w:rsid w:val="00E20D40"/>
    <w:rsid w:val="00E211BB"/>
    <w:rsid w:val="00E2129A"/>
    <w:rsid w:val="00E21579"/>
    <w:rsid w:val="00E216A3"/>
    <w:rsid w:val="00E222E9"/>
    <w:rsid w:val="00E22BC1"/>
    <w:rsid w:val="00E23256"/>
    <w:rsid w:val="00E23E7A"/>
    <w:rsid w:val="00E24407"/>
    <w:rsid w:val="00E252CE"/>
    <w:rsid w:val="00E25937"/>
    <w:rsid w:val="00E26637"/>
    <w:rsid w:val="00E267E9"/>
    <w:rsid w:val="00E2683E"/>
    <w:rsid w:val="00E274A4"/>
    <w:rsid w:val="00E278B6"/>
    <w:rsid w:val="00E27A4E"/>
    <w:rsid w:val="00E27AB7"/>
    <w:rsid w:val="00E3083B"/>
    <w:rsid w:val="00E30C27"/>
    <w:rsid w:val="00E316D5"/>
    <w:rsid w:val="00E317C4"/>
    <w:rsid w:val="00E3275D"/>
    <w:rsid w:val="00E327CB"/>
    <w:rsid w:val="00E330C5"/>
    <w:rsid w:val="00E33233"/>
    <w:rsid w:val="00E3333F"/>
    <w:rsid w:val="00E33699"/>
    <w:rsid w:val="00E33E68"/>
    <w:rsid w:val="00E34276"/>
    <w:rsid w:val="00E34D26"/>
    <w:rsid w:val="00E36861"/>
    <w:rsid w:val="00E3756B"/>
    <w:rsid w:val="00E377DB"/>
    <w:rsid w:val="00E379B0"/>
    <w:rsid w:val="00E40536"/>
    <w:rsid w:val="00E41418"/>
    <w:rsid w:val="00E41781"/>
    <w:rsid w:val="00E41E04"/>
    <w:rsid w:val="00E42B28"/>
    <w:rsid w:val="00E4351B"/>
    <w:rsid w:val="00E43A73"/>
    <w:rsid w:val="00E4433E"/>
    <w:rsid w:val="00E44353"/>
    <w:rsid w:val="00E45D4C"/>
    <w:rsid w:val="00E45DA6"/>
    <w:rsid w:val="00E4612F"/>
    <w:rsid w:val="00E4730F"/>
    <w:rsid w:val="00E479ED"/>
    <w:rsid w:val="00E47DE6"/>
    <w:rsid w:val="00E50187"/>
    <w:rsid w:val="00E512D7"/>
    <w:rsid w:val="00E513C3"/>
    <w:rsid w:val="00E51438"/>
    <w:rsid w:val="00E51F1E"/>
    <w:rsid w:val="00E5259C"/>
    <w:rsid w:val="00E5274E"/>
    <w:rsid w:val="00E529D6"/>
    <w:rsid w:val="00E52B69"/>
    <w:rsid w:val="00E53B6B"/>
    <w:rsid w:val="00E53FD2"/>
    <w:rsid w:val="00E5470A"/>
    <w:rsid w:val="00E5590D"/>
    <w:rsid w:val="00E55FA2"/>
    <w:rsid w:val="00E5616D"/>
    <w:rsid w:val="00E56584"/>
    <w:rsid w:val="00E56735"/>
    <w:rsid w:val="00E56872"/>
    <w:rsid w:val="00E56BA0"/>
    <w:rsid w:val="00E56D28"/>
    <w:rsid w:val="00E56F33"/>
    <w:rsid w:val="00E57A31"/>
    <w:rsid w:val="00E616B2"/>
    <w:rsid w:val="00E617C6"/>
    <w:rsid w:val="00E618D6"/>
    <w:rsid w:val="00E6240B"/>
    <w:rsid w:val="00E63CFE"/>
    <w:rsid w:val="00E6470E"/>
    <w:rsid w:val="00E64941"/>
    <w:rsid w:val="00E65275"/>
    <w:rsid w:val="00E65FB1"/>
    <w:rsid w:val="00E66384"/>
    <w:rsid w:val="00E66662"/>
    <w:rsid w:val="00E66809"/>
    <w:rsid w:val="00E67145"/>
    <w:rsid w:val="00E67324"/>
    <w:rsid w:val="00E6770C"/>
    <w:rsid w:val="00E67713"/>
    <w:rsid w:val="00E67917"/>
    <w:rsid w:val="00E70666"/>
    <w:rsid w:val="00E7096A"/>
    <w:rsid w:val="00E70DC0"/>
    <w:rsid w:val="00E70FC7"/>
    <w:rsid w:val="00E71243"/>
    <w:rsid w:val="00E7198A"/>
    <w:rsid w:val="00E72095"/>
    <w:rsid w:val="00E72266"/>
    <w:rsid w:val="00E72697"/>
    <w:rsid w:val="00E72987"/>
    <w:rsid w:val="00E734A8"/>
    <w:rsid w:val="00E73722"/>
    <w:rsid w:val="00E73984"/>
    <w:rsid w:val="00E746B8"/>
    <w:rsid w:val="00E74D06"/>
    <w:rsid w:val="00E74E7F"/>
    <w:rsid w:val="00E76422"/>
    <w:rsid w:val="00E7688B"/>
    <w:rsid w:val="00E77859"/>
    <w:rsid w:val="00E77E2B"/>
    <w:rsid w:val="00E8004A"/>
    <w:rsid w:val="00E8083B"/>
    <w:rsid w:val="00E80ABD"/>
    <w:rsid w:val="00E80FE4"/>
    <w:rsid w:val="00E8101B"/>
    <w:rsid w:val="00E812EA"/>
    <w:rsid w:val="00E81A64"/>
    <w:rsid w:val="00E81D65"/>
    <w:rsid w:val="00E81DD0"/>
    <w:rsid w:val="00E81FA7"/>
    <w:rsid w:val="00E8227D"/>
    <w:rsid w:val="00E82FD7"/>
    <w:rsid w:val="00E838C3"/>
    <w:rsid w:val="00E84936"/>
    <w:rsid w:val="00E85006"/>
    <w:rsid w:val="00E859EF"/>
    <w:rsid w:val="00E875CE"/>
    <w:rsid w:val="00E87CC8"/>
    <w:rsid w:val="00E91314"/>
    <w:rsid w:val="00E91A03"/>
    <w:rsid w:val="00E91A0E"/>
    <w:rsid w:val="00E91B81"/>
    <w:rsid w:val="00E9201A"/>
    <w:rsid w:val="00E9250D"/>
    <w:rsid w:val="00E93A5E"/>
    <w:rsid w:val="00E93B7A"/>
    <w:rsid w:val="00E93EA7"/>
    <w:rsid w:val="00E947C6"/>
    <w:rsid w:val="00E94B72"/>
    <w:rsid w:val="00E9597E"/>
    <w:rsid w:val="00E95D3A"/>
    <w:rsid w:val="00E95DA6"/>
    <w:rsid w:val="00E96214"/>
    <w:rsid w:val="00E971B7"/>
    <w:rsid w:val="00E975D9"/>
    <w:rsid w:val="00E97898"/>
    <w:rsid w:val="00E97D9C"/>
    <w:rsid w:val="00EA03DF"/>
    <w:rsid w:val="00EA058E"/>
    <w:rsid w:val="00EA0636"/>
    <w:rsid w:val="00EA0B40"/>
    <w:rsid w:val="00EA0BA7"/>
    <w:rsid w:val="00EA0BAA"/>
    <w:rsid w:val="00EA0E55"/>
    <w:rsid w:val="00EA12FD"/>
    <w:rsid w:val="00EA1576"/>
    <w:rsid w:val="00EA1AEB"/>
    <w:rsid w:val="00EA20C0"/>
    <w:rsid w:val="00EA2280"/>
    <w:rsid w:val="00EA27A3"/>
    <w:rsid w:val="00EA3640"/>
    <w:rsid w:val="00EA3AB7"/>
    <w:rsid w:val="00EA3ED6"/>
    <w:rsid w:val="00EA52D0"/>
    <w:rsid w:val="00EA52D9"/>
    <w:rsid w:val="00EA5332"/>
    <w:rsid w:val="00EA5845"/>
    <w:rsid w:val="00EA6155"/>
    <w:rsid w:val="00EA61E9"/>
    <w:rsid w:val="00EB09DA"/>
    <w:rsid w:val="00EB0A92"/>
    <w:rsid w:val="00EB11C1"/>
    <w:rsid w:val="00EB1208"/>
    <w:rsid w:val="00EB1533"/>
    <w:rsid w:val="00EB15D3"/>
    <w:rsid w:val="00EB16DA"/>
    <w:rsid w:val="00EB1AE1"/>
    <w:rsid w:val="00EB1CFB"/>
    <w:rsid w:val="00EB233A"/>
    <w:rsid w:val="00EB2A89"/>
    <w:rsid w:val="00EB2A99"/>
    <w:rsid w:val="00EB306D"/>
    <w:rsid w:val="00EB35ED"/>
    <w:rsid w:val="00EB395C"/>
    <w:rsid w:val="00EB3C0D"/>
    <w:rsid w:val="00EB46C0"/>
    <w:rsid w:val="00EB51DB"/>
    <w:rsid w:val="00EB593D"/>
    <w:rsid w:val="00EB5E9A"/>
    <w:rsid w:val="00EB63AE"/>
    <w:rsid w:val="00EB68ED"/>
    <w:rsid w:val="00EB6AB7"/>
    <w:rsid w:val="00EB6B10"/>
    <w:rsid w:val="00EC05EA"/>
    <w:rsid w:val="00EC10A5"/>
    <w:rsid w:val="00EC1DB7"/>
    <w:rsid w:val="00EC1F42"/>
    <w:rsid w:val="00EC209A"/>
    <w:rsid w:val="00EC20EF"/>
    <w:rsid w:val="00EC2333"/>
    <w:rsid w:val="00EC253B"/>
    <w:rsid w:val="00EC261B"/>
    <w:rsid w:val="00EC2687"/>
    <w:rsid w:val="00EC33E6"/>
    <w:rsid w:val="00EC3581"/>
    <w:rsid w:val="00EC3592"/>
    <w:rsid w:val="00EC3610"/>
    <w:rsid w:val="00EC3B74"/>
    <w:rsid w:val="00EC3EF0"/>
    <w:rsid w:val="00EC4018"/>
    <w:rsid w:val="00EC445B"/>
    <w:rsid w:val="00EC4564"/>
    <w:rsid w:val="00EC513E"/>
    <w:rsid w:val="00EC557E"/>
    <w:rsid w:val="00EC5C1C"/>
    <w:rsid w:val="00EC640E"/>
    <w:rsid w:val="00EC6465"/>
    <w:rsid w:val="00EC6CA3"/>
    <w:rsid w:val="00EC6EB1"/>
    <w:rsid w:val="00EC71EA"/>
    <w:rsid w:val="00EC7557"/>
    <w:rsid w:val="00ED08E9"/>
    <w:rsid w:val="00ED1BCF"/>
    <w:rsid w:val="00ED1EE8"/>
    <w:rsid w:val="00ED1F64"/>
    <w:rsid w:val="00ED2214"/>
    <w:rsid w:val="00ED240E"/>
    <w:rsid w:val="00ED2519"/>
    <w:rsid w:val="00ED2B4C"/>
    <w:rsid w:val="00ED2E13"/>
    <w:rsid w:val="00ED34A7"/>
    <w:rsid w:val="00ED4138"/>
    <w:rsid w:val="00ED425A"/>
    <w:rsid w:val="00ED46D9"/>
    <w:rsid w:val="00ED4745"/>
    <w:rsid w:val="00ED48AD"/>
    <w:rsid w:val="00ED4A04"/>
    <w:rsid w:val="00ED4AF0"/>
    <w:rsid w:val="00ED502F"/>
    <w:rsid w:val="00ED519E"/>
    <w:rsid w:val="00ED54C8"/>
    <w:rsid w:val="00ED5BB8"/>
    <w:rsid w:val="00ED5F63"/>
    <w:rsid w:val="00ED602A"/>
    <w:rsid w:val="00ED60E6"/>
    <w:rsid w:val="00ED62D4"/>
    <w:rsid w:val="00ED7952"/>
    <w:rsid w:val="00ED7D3B"/>
    <w:rsid w:val="00ED7EFC"/>
    <w:rsid w:val="00EE0973"/>
    <w:rsid w:val="00EE0B35"/>
    <w:rsid w:val="00EE161D"/>
    <w:rsid w:val="00EE1A75"/>
    <w:rsid w:val="00EE1C22"/>
    <w:rsid w:val="00EE2B1B"/>
    <w:rsid w:val="00EE3284"/>
    <w:rsid w:val="00EE3DB9"/>
    <w:rsid w:val="00EE4F41"/>
    <w:rsid w:val="00EE4F89"/>
    <w:rsid w:val="00EE546E"/>
    <w:rsid w:val="00EE5AFE"/>
    <w:rsid w:val="00EE5FFD"/>
    <w:rsid w:val="00EE61D1"/>
    <w:rsid w:val="00EE689D"/>
    <w:rsid w:val="00EE6E2D"/>
    <w:rsid w:val="00EE6E98"/>
    <w:rsid w:val="00EE6F3F"/>
    <w:rsid w:val="00EE7011"/>
    <w:rsid w:val="00EE789A"/>
    <w:rsid w:val="00EE789E"/>
    <w:rsid w:val="00EE79B0"/>
    <w:rsid w:val="00EF0356"/>
    <w:rsid w:val="00EF12B8"/>
    <w:rsid w:val="00EF16FB"/>
    <w:rsid w:val="00EF186C"/>
    <w:rsid w:val="00EF18A1"/>
    <w:rsid w:val="00EF190A"/>
    <w:rsid w:val="00EF1A2A"/>
    <w:rsid w:val="00EF1B38"/>
    <w:rsid w:val="00EF1C93"/>
    <w:rsid w:val="00EF1F44"/>
    <w:rsid w:val="00EF25BA"/>
    <w:rsid w:val="00EF277E"/>
    <w:rsid w:val="00EF28DC"/>
    <w:rsid w:val="00EF30A9"/>
    <w:rsid w:val="00EF3256"/>
    <w:rsid w:val="00EF34B0"/>
    <w:rsid w:val="00EF34E5"/>
    <w:rsid w:val="00EF3A89"/>
    <w:rsid w:val="00EF3F1D"/>
    <w:rsid w:val="00EF4362"/>
    <w:rsid w:val="00EF45E2"/>
    <w:rsid w:val="00EF45F5"/>
    <w:rsid w:val="00EF48AF"/>
    <w:rsid w:val="00EF4C7D"/>
    <w:rsid w:val="00EF4FD3"/>
    <w:rsid w:val="00EF55C7"/>
    <w:rsid w:val="00EF55D1"/>
    <w:rsid w:val="00EF59F0"/>
    <w:rsid w:val="00EF6195"/>
    <w:rsid w:val="00EF62FD"/>
    <w:rsid w:val="00EF6A32"/>
    <w:rsid w:val="00EF7428"/>
    <w:rsid w:val="00EF7E0A"/>
    <w:rsid w:val="00EF7E1B"/>
    <w:rsid w:val="00F0069C"/>
    <w:rsid w:val="00F0077B"/>
    <w:rsid w:val="00F00879"/>
    <w:rsid w:val="00F00F31"/>
    <w:rsid w:val="00F00FAC"/>
    <w:rsid w:val="00F01071"/>
    <w:rsid w:val="00F01673"/>
    <w:rsid w:val="00F01CCF"/>
    <w:rsid w:val="00F01FE6"/>
    <w:rsid w:val="00F02774"/>
    <w:rsid w:val="00F03777"/>
    <w:rsid w:val="00F048C5"/>
    <w:rsid w:val="00F04A0B"/>
    <w:rsid w:val="00F04B7F"/>
    <w:rsid w:val="00F04D3B"/>
    <w:rsid w:val="00F054D1"/>
    <w:rsid w:val="00F05D9E"/>
    <w:rsid w:val="00F061A8"/>
    <w:rsid w:val="00F07285"/>
    <w:rsid w:val="00F072E7"/>
    <w:rsid w:val="00F07552"/>
    <w:rsid w:val="00F0787E"/>
    <w:rsid w:val="00F10550"/>
    <w:rsid w:val="00F109A5"/>
    <w:rsid w:val="00F10A0A"/>
    <w:rsid w:val="00F111A3"/>
    <w:rsid w:val="00F1147A"/>
    <w:rsid w:val="00F11BF1"/>
    <w:rsid w:val="00F12278"/>
    <w:rsid w:val="00F12490"/>
    <w:rsid w:val="00F12581"/>
    <w:rsid w:val="00F12636"/>
    <w:rsid w:val="00F12951"/>
    <w:rsid w:val="00F12BC7"/>
    <w:rsid w:val="00F1300B"/>
    <w:rsid w:val="00F135F8"/>
    <w:rsid w:val="00F1397F"/>
    <w:rsid w:val="00F1399D"/>
    <w:rsid w:val="00F13BB3"/>
    <w:rsid w:val="00F13DAA"/>
    <w:rsid w:val="00F141BB"/>
    <w:rsid w:val="00F14249"/>
    <w:rsid w:val="00F14519"/>
    <w:rsid w:val="00F149E7"/>
    <w:rsid w:val="00F14A2D"/>
    <w:rsid w:val="00F15296"/>
    <w:rsid w:val="00F153A1"/>
    <w:rsid w:val="00F1592E"/>
    <w:rsid w:val="00F15B12"/>
    <w:rsid w:val="00F160E1"/>
    <w:rsid w:val="00F1656F"/>
    <w:rsid w:val="00F171BF"/>
    <w:rsid w:val="00F175E2"/>
    <w:rsid w:val="00F178A8"/>
    <w:rsid w:val="00F17E64"/>
    <w:rsid w:val="00F2024C"/>
    <w:rsid w:val="00F202E1"/>
    <w:rsid w:val="00F20471"/>
    <w:rsid w:val="00F20523"/>
    <w:rsid w:val="00F21236"/>
    <w:rsid w:val="00F215D1"/>
    <w:rsid w:val="00F217BB"/>
    <w:rsid w:val="00F21DFF"/>
    <w:rsid w:val="00F22367"/>
    <w:rsid w:val="00F22D40"/>
    <w:rsid w:val="00F22E04"/>
    <w:rsid w:val="00F2389B"/>
    <w:rsid w:val="00F25037"/>
    <w:rsid w:val="00F250F0"/>
    <w:rsid w:val="00F2514F"/>
    <w:rsid w:val="00F25298"/>
    <w:rsid w:val="00F255F1"/>
    <w:rsid w:val="00F25851"/>
    <w:rsid w:val="00F26428"/>
    <w:rsid w:val="00F264F9"/>
    <w:rsid w:val="00F267A8"/>
    <w:rsid w:val="00F26AEF"/>
    <w:rsid w:val="00F26D56"/>
    <w:rsid w:val="00F300EF"/>
    <w:rsid w:val="00F30F5E"/>
    <w:rsid w:val="00F3102A"/>
    <w:rsid w:val="00F31579"/>
    <w:rsid w:val="00F31873"/>
    <w:rsid w:val="00F3188C"/>
    <w:rsid w:val="00F32004"/>
    <w:rsid w:val="00F3334C"/>
    <w:rsid w:val="00F33728"/>
    <w:rsid w:val="00F340F7"/>
    <w:rsid w:val="00F34340"/>
    <w:rsid w:val="00F34997"/>
    <w:rsid w:val="00F34B5A"/>
    <w:rsid w:val="00F34D72"/>
    <w:rsid w:val="00F34E1F"/>
    <w:rsid w:val="00F36221"/>
    <w:rsid w:val="00F378BA"/>
    <w:rsid w:val="00F4033C"/>
    <w:rsid w:val="00F40687"/>
    <w:rsid w:val="00F409BF"/>
    <w:rsid w:val="00F4112A"/>
    <w:rsid w:val="00F41A02"/>
    <w:rsid w:val="00F41EAC"/>
    <w:rsid w:val="00F41F3C"/>
    <w:rsid w:val="00F42B05"/>
    <w:rsid w:val="00F43A48"/>
    <w:rsid w:val="00F43C2D"/>
    <w:rsid w:val="00F43D0A"/>
    <w:rsid w:val="00F44116"/>
    <w:rsid w:val="00F442A3"/>
    <w:rsid w:val="00F44525"/>
    <w:rsid w:val="00F447BE"/>
    <w:rsid w:val="00F447C8"/>
    <w:rsid w:val="00F44A03"/>
    <w:rsid w:val="00F44B24"/>
    <w:rsid w:val="00F44E5D"/>
    <w:rsid w:val="00F451EE"/>
    <w:rsid w:val="00F45524"/>
    <w:rsid w:val="00F459CA"/>
    <w:rsid w:val="00F45C23"/>
    <w:rsid w:val="00F45C2D"/>
    <w:rsid w:val="00F45CCE"/>
    <w:rsid w:val="00F476B8"/>
    <w:rsid w:val="00F50F7C"/>
    <w:rsid w:val="00F50FA2"/>
    <w:rsid w:val="00F5136A"/>
    <w:rsid w:val="00F51B5B"/>
    <w:rsid w:val="00F51E78"/>
    <w:rsid w:val="00F52E7B"/>
    <w:rsid w:val="00F530E4"/>
    <w:rsid w:val="00F531E6"/>
    <w:rsid w:val="00F53498"/>
    <w:rsid w:val="00F53D5F"/>
    <w:rsid w:val="00F53DBB"/>
    <w:rsid w:val="00F54537"/>
    <w:rsid w:val="00F5498C"/>
    <w:rsid w:val="00F552FB"/>
    <w:rsid w:val="00F55461"/>
    <w:rsid w:val="00F5572C"/>
    <w:rsid w:val="00F55A75"/>
    <w:rsid w:val="00F55A80"/>
    <w:rsid w:val="00F55FF4"/>
    <w:rsid w:val="00F56309"/>
    <w:rsid w:val="00F56432"/>
    <w:rsid w:val="00F56A28"/>
    <w:rsid w:val="00F56D1D"/>
    <w:rsid w:val="00F57E9E"/>
    <w:rsid w:val="00F57EB6"/>
    <w:rsid w:val="00F607C9"/>
    <w:rsid w:val="00F607E1"/>
    <w:rsid w:val="00F60A09"/>
    <w:rsid w:val="00F6103F"/>
    <w:rsid w:val="00F61C83"/>
    <w:rsid w:val="00F61D43"/>
    <w:rsid w:val="00F61D69"/>
    <w:rsid w:val="00F62EC6"/>
    <w:rsid w:val="00F62FA8"/>
    <w:rsid w:val="00F6310E"/>
    <w:rsid w:val="00F63ECC"/>
    <w:rsid w:val="00F64311"/>
    <w:rsid w:val="00F652D5"/>
    <w:rsid w:val="00F65E9B"/>
    <w:rsid w:val="00F67595"/>
    <w:rsid w:val="00F70055"/>
    <w:rsid w:val="00F704FF"/>
    <w:rsid w:val="00F7124D"/>
    <w:rsid w:val="00F725E6"/>
    <w:rsid w:val="00F72B69"/>
    <w:rsid w:val="00F7302B"/>
    <w:rsid w:val="00F731D7"/>
    <w:rsid w:val="00F734DB"/>
    <w:rsid w:val="00F736BB"/>
    <w:rsid w:val="00F73E49"/>
    <w:rsid w:val="00F7423E"/>
    <w:rsid w:val="00F745CD"/>
    <w:rsid w:val="00F7538B"/>
    <w:rsid w:val="00F75434"/>
    <w:rsid w:val="00F75BD7"/>
    <w:rsid w:val="00F7627B"/>
    <w:rsid w:val="00F7631D"/>
    <w:rsid w:val="00F763E9"/>
    <w:rsid w:val="00F76B67"/>
    <w:rsid w:val="00F77125"/>
    <w:rsid w:val="00F776A1"/>
    <w:rsid w:val="00F779E5"/>
    <w:rsid w:val="00F77D18"/>
    <w:rsid w:val="00F800BF"/>
    <w:rsid w:val="00F807BB"/>
    <w:rsid w:val="00F82297"/>
    <w:rsid w:val="00F829ED"/>
    <w:rsid w:val="00F82D87"/>
    <w:rsid w:val="00F838AB"/>
    <w:rsid w:val="00F83A4E"/>
    <w:rsid w:val="00F83BEC"/>
    <w:rsid w:val="00F83DE7"/>
    <w:rsid w:val="00F85037"/>
    <w:rsid w:val="00F8523D"/>
    <w:rsid w:val="00F852EA"/>
    <w:rsid w:val="00F856F9"/>
    <w:rsid w:val="00F867D6"/>
    <w:rsid w:val="00F86A88"/>
    <w:rsid w:val="00F87486"/>
    <w:rsid w:val="00F87D68"/>
    <w:rsid w:val="00F90777"/>
    <w:rsid w:val="00F90B02"/>
    <w:rsid w:val="00F90C78"/>
    <w:rsid w:val="00F91155"/>
    <w:rsid w:val="00F91CE5"/>
    <w:rsid w:val="00F91E3A"/>
    <w:rsid w:val="00F91E9F"/>
    <w:rsid w:val="00F9223D"/>
    <w:rsid w:val="00F93313"/>
    <w:rsid w:val="00F934C4"/>
    <w:rsid w:val="00F93A38"/>
    <w:rsid w:val="00F93C4C"/>
    <w:rsid w:val="00F940FB"/>
    <w:rsid w:val="00F945BD"/>
    <w:rsid w:val="00F947CF"/>
    <w:rsid w:val="00F95C77"/>
    <w:rsid w:val="00F96CB6"/>
    <w:rsid w:val="00F96DC8"/>
    <w:rsid w:val="00F96E72"/>
    <w:rsid w:val="00F974D8"/>
    <w:rsid w:val="00F97C9F"/>
    <w:rsid w:val="00F97E1D"/>
    <w:rsid w:val="00FA2694"/>
    <w:rsid w:val="00FA2756"/>
    <w:rsid w:val="00FA2C45"/>
    <w:rsid w:val="00FA2E19"/>
    <w:rsid w:val="00FA3732"/>
    <w:rsid w:val="00FA375C"/>
    <w:rsid w:val="00FA3E05"/>
    <w:rsid w:val="00FA3FE8"/>
    <w:rsid w:val="00FA4413"/>
    <w:rsid w:val="00FA4FA2"/>
    <w:rsid w:val="00FA5A9C"/>
    <w:rsid w:val="00FA5B2E"/>
    <w:rsid w:val="00FA5B76"/>
    <w:rsid w:val="00FA5C02"/>
    <w:rsid w:val="00FA6F79"/>
    <w:rsid w:val="00FA6F9A"/>
    <w:rsid w:val="00FA71A3"/>
    <w:rsid w:val="00FA777A"/>
    <w:rsid w:val="00FA79A1"/>
    <w:rsid w:val="00FA7AEE"/>
    <w:rsid w:val="00FB03D0"/>
    <w:rsid w:val="00FB0666"/>
    <w:rsid w:val="00FB0802"/>
    <w:rsid w:val="00FB09C2"/>
    <w:rsid w:val="00FB0AC8"/>
    <w:rsid w:val="00FB1021"/>
    <w:rsid w:val="00FB1389"/>
    <w:rsid w:val="00FB1822"/>
    <w:rsid w:val="00FB1852"/>
    <w:rsid w:val="00FB2099"/>
    <w:rsid w:val="00FB23F5"/>
    <w:rsid w:val="00FB269B"/>
    <w:rsid w:val="00FB2831"/>
    <w:rsid w:val="00FB382D"/>
    <w:rsid w:val="00FB3EEF"/>
    <w:rsid w:val="00FB3F3D"/>
    <w:rsid w:val="00FB4240"/>
    <w:rsid w:val="00FB5871"/>
    <w:rsid w:val="00FB6276"/>
    <w:rsid w:val="00FB6B4E"/>
    <w:rsid w:val="00FB6D77"/>
    <w:rsid w:val="00FB7097"/>
    <w:rsid w:val="00FB7827"/>
    <w:rsid w:val="00FB7C06"/>
    <w:rsid w:val="00FB7D9A"/>
    <w:rsid w:val="00FC01A2"/>
    <w:rsid w:val="00FC0CCD"/>
    <w:rsid w:val="00FC0D42"/>
    <w:rsid w:val="00FC0D4C"/>
    <w:rsid w:val="00FC2EEA"/>
    <w:rsid w:val="00FC4CB0"/>
    <w:rsid w:val="00FC5070"/>
    <w:rsid w:val="00FC52E2"/>
    <w:rsid w:val="00FC5356"/>
    <w:rsid w:val="00FC5412"/>
    <w:rsid w:val="00FC5DD2"/>
    <w:rsid w:val="00FC61F3"/>
    <w:rsid w:val="00FC6311"/>
    <w:rsid w:val="00FC690A"/>
    <w:rsid w:val="00FC69CE"/>
    <w:rsid w:val="00FC6F20"/>
    <w:rsid w:val="00FC7892"/>
    <w:rsid w:val="00FC78F3"/>
    <w:rsid w:val="00FC79CC"/>
    <w:rsid w:val="00FC7C64"/>
    <w:rsid w:val="00FD03A9"/>
    <w:rsid w:val="00FD0542"/>
    <w:rsid w:val="00FD07D4"/>
    <w:rsid w:val="00FD1512"/>
    <w:rsid w:val="00FD242A"/>
    <w:rsid w:val="00FD24E9"/>
    <w:rsid w:val="00FD2525"/>
    <w:rsid w:val="00FD2B78"/>
    <w:rsid w:val="00FD2E84"/>
    <w:rsid w:val="00FD370B"/>
    <w:rsid w:val="00FD40E0"/>
    <w:rsid w:val="00FD4499"/>
    <w:rsid w:val="00FD508A"/>
    <w:rsid w:val="00FD5A3D"/>
    <w:rsid w:val="00FD5DF6"/>
    <w:rsid w:val="00FD692C"/>
    <w:rsid w:val="00FD714C"/>
    <w:rsid w:val="00FD725D"/>
    <w:rsid w:val="00FD7729"/>
    <w:rsid w:val="00FD79D0"/>
    <w:rsid w:val="00FD7AF7"/>
    <w:rsid w:val="00FD7BA3"/>
    <w:rsid w:val="00FE0007"/>
    <w:rsid w:val="00FE06FB"/>
    <w:rsid w:val="00FE0977"/>
    <w:rsid w:val="00FE0A18"/>
    <w:rsid w:val="00FE149E"/>
    <w:rsid w:val="00FE165B"/>
    <w:rsid w:val="00FE1A5D"/>
    <w:rsid w:val="00FE1C1C"/>
    <w:rsid w:val="00FE20CC"/>
    <w:rsid w:val="00FE27BB"/>
    <w:rsid w:val="00FE27E7"/>
    <w:rsid w:val="00FE28BC"/>
    <w:rsid w:val="00FE2FBD"/>
    <w:rsid w:val="00FE306D"/>
    <w:rsid w:val="00FE31EA"/>
    <w:rsid w:val="00FE3791"/>
    <w:rsid w:val="00FE3A62"/>
    <w:rsid w:val="00FE4D9B"/>
    <w:rsid w:val="00FE4EAA"/>
    <w:rsid w:val="00FE53E7"/>
    <w:rsid w:val="00FE592E"/>
    <w:rsid w:val="00FE5E7B"/>
    <w:rsid w:val="00FE5F09"/>
    <w:rsid w:val="00FE6157"/>
    <w:rsid w:val="00FE687B"/>
    <w:rsid w:val="00FE6A4B"/>
    <w:rsid w:val="00FE6AF3"/>
    <w:rsid w:val="00FE6C57"/>
    <w:rsid w:val="00FE7729"/>
    <w:rsid w:val="00FF06A6"/>
    <w:rsid w:val="00FF0F46"/>
    <w:rsid w:val="00FF1172"/>
    <w:rsid w:val="00FF1316"/>
    <w:rsid w:val="00FF1867"/>
    <w:rsid w:val="00FF1BF4"/>
    <w:rsid w:val="00FF24BA"/>
    <w:rsid w:val="00FF3E4D"/>
    <w:rsid w:val="00FF4294"/>
    <w:rsid w:val="00FF42D5"/>
    <w:rsid w:val="00FF4949"/>
    <w:rsid w:val="00FF4CCA"/>
    <w:rsid w:val="00FF5263"/>
    <w:rsid w:val="00FF5940"/>
    <w:rsid w:val="00FF5A68"/>
    <w:rsid w:val="00FF6912"/>
    <w:rsid w:val="00FF6F31"/>
    <w:rsid w:val="00FF733F"/>
    <w:rsid w:val="00FF73A8"/>
    <w:rsid w:val="00FF7707"/>
    <w:rsid w:val="00FF7B85"/>
    <w:rsid w:val="06FBC7D3"/>
    <w:rsid w:val="074B5E24"/>
    <w:rsid w:val="172C2307"/>
    <w:rsid w:val="1AA4946E"/>
    <w:rsid w:val="1FDEEDE6"/>
    <w:rsid w:val="2374C741"/>
    <w:rsid w:val="2D6B30A0"/>
    <w:rsid w:val="2F7DEAA3"/>
    <w:rsid w:val="33BABE02"/>
    <w:rsid w:val="37B859EC"/>
    <w:rsid w:val="39BE743C"/>
    <w:rsid w:val="451CF93E"/>
    <w:rsid w:val="4FB0F2CF"/>
    <w:rsid w:val="4FBDD586"/>
    <w:rsid w:val="507762D1"/>
    <w:rsid w:val="533D6491"/>
    <w:rsid w:val="5D7CDFD6"/>
    <w:rsid w:val="601B6054"/>
    <w:rsid w:val="601E4D14"/>
    <w:rsid w:val="63B139AF"/>
    <w:rsid w:val="65DA0F6C"/>
    <w:rsid w:val="6854C149"/>
    <w:rsid w:val="688C32B6"/>
    <w:rsid w:val="711A9704"/>
    <w:rsid w:val="71EE50DE"/>
    <w:rsid w:val="76E6A027"/>
    <w:rsid w:val="7B7AE5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4913"/>
    <o:shapelayout v:ext="edit">
      <o:idmap v:ext="edit" data="1"/>
    </o:shapelayout>
  </w:shapeDefaults>
  <w:decimalSymbol w:val="."/>
  <w:listSeparator w:val=","/>
  <w14:docId w14:val="5834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97" w:unhideWhenUsed="1"/>
    <w:lsdException w:name="footnote text" w:semiHidden="1" w:uiPriority="99" w:unhideWhenUsed="1" w:qFormat="1"/>
    <w:lsdException w:name="annotation text" w:semiHidden="1" w:uiPriority="0"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11"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0" w:unhideWhenUsed="1"/>
    <w:lsdException w:name="line number" w:semiHidden="1" w:uiPriority="97" w:unhideWhenUsed="1"/>
    <w:lsdException w:name="page number" w:semiHidden="1" w:uiPriority="11"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8" w:unhideWhenUsed="1"/>
    <w:lsdException w:name="List Continue 2" w:semiHidden="1" w:uiPriority="18" w:unhideWhenUsed="1"/>
    <w:lsdException w:name="List Continue 3" w:semiHidden="1" w:uiPriority="18" w:unhideWhenUsed="1"/>
    <w:lsdException w:name="List Continue 4" w:semiHidden="1" w:uiPriority="18" w:unhideWhenUsed="1"/>
    <w:lsdException w:name="List Continue 5" w:semiHidden="1" w:uiPriority="18"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uiPriority="1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6C3"/>
    <w:pPr>
      <w:adjustRightInd w:val="0"/>
      <w:snapToGrid w:val="0"/>
      <w:spacing w:after="227" w:line="240" w:lineRule="atLeast"/>
    </w:pPr>
    <w:rPr>
      <w:rFonts w:asciiTheme="minorHAnsi" w:eastAsia="MS Mincho" w:hAnsiTheme="minorHAnsi"/>
      <w:color w:val="000000" w:themeColor="text2"/>
      <w:sz w:val="22"/>
      <w:lang w:val="en-AU" w:eastAsia="ja-JP"/>
    </w:rPr>
  </w:style>
  <w:style w:type="paragraph" w:styleId="Heading1">
    <w:name w:val="heading 1"/>
    <w:basedOn w:val="Normal"/>
    <w:next w:val="Normal"/>
    <w:link w:val="Heading1Char"/>
    <w:uiPriority w:val="1"/>
    <w:qFormat/>
    <w:rsid w:val="00EF7E1B"/>
    <w:pPr>
      <w:keepNext/>
      <w:spacing w:after="200"/>
      <w:outlineLvl w:val="0"/>
    </w:pPr>
    <w:rPr>
      <w:rFonts w:asciiTheme="majorHAnsi" w:hAnsiTheme="majorHAnsi" w:cstheme="majorHAnsi"/>
      <w:b/>
      <w:bCs/>
      <w:color w:val="004976" w:themeColor="background2"/>
      <w:kern w:val="32"/>
      <w:sz w:val="44"/>
      <w:szCs w:val="32"/>
    </w:rPr>
  </w:style>
  <w:style w:type="paragraph" w:styleId="Heading2">
    <w:name w:val="heading 2"/>
    <w:basedOn w:val="Normal"/>
    <w:next w:val="Normal"/>
    <w:link w:val="Heading2Char"/>
    <w:uiPriority w:val="1"/>
    <w:qFormat/>
    <w:rsid w:val="00EF7E1B"/>
    <w:pPr>
      <w:keepNext/>
      <w:spacing w:after="80" w:line="240" w:lineRule="auto"/>
      <w:outlineLvl w:val="1"/>
    </w:pPr>
    <w:rPr>
      <w:rFonts w:asciiTheme="majorHAnsi" w:hAnsiTheme="majorHAnsi" w:cstheme="majorHAnsi"/>
      <w:b/>
      <w:bCs/>
      <w:iCs/>
      <w:color w:val="004976" w:themeColor="background2"/>
      <w:sz w:val="32"/>
      <w:szCs w:val="28"/>
    </w:rPr>
  </w:style>
  <w:style w:type="paragraph" w:styleId="Heading3">
    <w:name w:val="heading 3"/>
    <w:basedOn w:val="Normal"/>
    <w:next w:val="Normal"/>
    <w:link w:val="Heading3Char"/>
    <w:uiPriority w:val="1"/>
    <w:qFormat/>
    <w:rsid w:val="00EF7E1B"/>
    <w:pPr>
      <w:keepNext/>
      <w:spacing w:after="80"/>
      <w:outlineLvl w:val="2"/>
    </w:pPr>
    <w:rPr>
      <w:rFonts w:asciiTheme="majorHAnsi" w:hAnsiTheme="majorHAnsi" w:cstheme="majorHAnsi"/>
      <w:b/>
      <w:bCs/>
      <w:color w:val="004976" w:themeColor="background2"/>
      <w:sz w:val="28"/>
      <w:szCs w:val="26"/>
    </w:rPr>
  </w:style>
  <w:style w:type="paragraph" w:styleId="Heading4">
    <w:name w:val="heading 4"/>
    <w:basedOn w:val="Normal"/>
    <w:next w:val="Normal"/>
    <w:link w:val="Heading4Char"/>
    <w:uiPriority w:val="1"/>
    <w:semiHidden/>
    <w:qFormat/>
    <w:rsid w:val="00923EE1"/>
    <w:pPr>
      <w:keepNext/>
      <w:spacing w:before="310" w:after="120"/>
      <w:outlineLvl w:val="3"/>
    </w:pPr>
    <w:rPr>
      <w:rFonts w:asciiTheme="majorHAnsi" w:hAnsiTheme="majorHAnsi" w:cstheme="majorHAnsi"/>
      <w:bCs/>
      <w:color w:val="004976" w:themeColor="background2"/>
      <w:szCs w:val="28"/>
    </w:rPr>
  </w:style>
  <w:style w:type="paragraph" w:styleId="Heading5">
    <w:name w:val="heading 5"/>
    <w:basedOn w:val="Normal"/>
    <w:next w:val="Normal"/>
    <w:uiPriority w:val="1"/>
    <w:semiHidden/>
    <w:qFormat/>
    <w:rsid w:val="00923EE1"/>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923EE1"/>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923EE1"/>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923EE1"/>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923EE1"/>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qFormat/>
    <w:rsid w:val="00E10703"/>
    <w:pPr>
      <w:spacing w:before="170" w:line="80" w:lineRule="atLeast"/>
    </w:pPr>
    <w:rPr>
      <w:bCs/>
      <w:color w:val="004976" w:themeColor="background2"/>
      <w:kern w:val="60"/>
    </w:rPr>
  </w:style>
  <w:style w:type="paragraph" w:styleId="TOC1">
    <w:name w:val="toc 1"/>
    <w:basedOn w:val="Normal"/>
    <w:next w:val="Normal"/>
    <w:uiPriority w:val="39"/>
    <w:rsid w:val="003E36FE"/>
    <w:pPr>
      <w:tabs>
        <w:tab w:val="right" w:pos="7019"/>
      </w:tabs>
      <w:spacing w:before="220" w:after="20"/>
    </w:pPr>
    <w:rPr>
      <w:rFonts w:asciiTheme="majorHAnsi" w:hAnsiTheme="majorHAnsi"/>
      <w:b/>
      <w:color w:val="004976" w:themeColor="background2"/>
      <w:sz w:val="32"/>
    </w:rPr>
  </w:style>
  <w:style w:type="table" w:styleId="TableGrid">
    <w:name w:val="Table Grid"/>
    <w:basedOn w:val="TableNormal"/>
    <w:uiPriority w:val="59"/>
    <w:rsid w:val="00923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23EE1"/>
    <w:pPr>
      <w:tabs>
        <w:tab w:val="center" w:pos="4153"/>
        <w:tab w:val="right" w:pos="8306"/>
      </w:tabs>
      <w:spacing w:after="0" w:line="240" w:lineRule="auto"/>
    </w:pPr>
    <w:rPr>
      <w:caps/>
      <w:kern w:val="60"/>
      <w:sz w:val="13"/>
    </w:rPr>
  </w:style>
  <w:style w:type="paragraph" w:styleId="Footer">
    <w:name w:val="footer"/>
    <w:aliases w:val="Foot note"/>
    <w:basedOn w:val="Normal"/>
    <w:link w:val="FooterChar"/>
    <w:uiPriority w:val="99"/>
    <w:rsid w:val="00923EE1"/>
    <w:pPr>
      <w:spacing w:after="0" w:line="240" w:lineRule="auto"/>
    </w:pPr>
    <w:rPr>
      <w:color w:val="004976" w:themeColor="accent1"/>
      <w:sz w:val="12"/>
    </w:rPr>
  </w:style>
  <w:style w:type="character" w:styleId="PageNumber">
    <w:name w:val="page number"/>
    <w:basedOn w:val="DefaultParagraphFont"/>
    <w:uiPriority w:val="11"/>
    <w:rsid w:val="00923EE1"/>
    <w:rPr>
      <w:rFonts w:asciiTheme="minorHAnsi" w:hAnsiTheme="minorHAnsi" w:cstheme="minorHAnsi"/>
      <w:sz w:val="14"/>
    </w:rPr>
  </w:style>
  <w:style w:type="paragraph" w:styleId="ListBullet">
    <w:name w:val="List Bullet"/>
    <w:basedOn w:val="Normal"/>
    <w:uiPriority w:val="2"/>
    <w:qFormat/>
    <w:rsid w:val="00923EE1"/>
    <w:pPr>
      <w:spacing w:before="227" w:after="0"/>
      <w:ind w:left="198" w:hanging="198"/>
    </w:pPr>
  </w:style>
  <w:style w:type="paragraph" w:customStyle="1" w:styleId="IntroCopy">
    <w:name w:val="Intro Copy"/>
    <w:basedOn w:val="Normal"/>
    <w:next w:val="Normal"/>
    <w:qFormat/>
    <w:rsid w:val="00923EE1"/>
    <w:pPr>
      <w:spacing w:before="340" w:after="360" w:line="400" w:lineRule="atLeast"/>
    </w:pPr>
    <w:rPr>
      <w:color w:val="004976" w:themeColor="background2"/>
      <w:sz w:val="32"/>
    </w:rPr>
  </w:style>
  <w:style w:type="paragraph" w:customStyle="1" w:styleId="CoverTitle">
    <w:name w:val="Cover Title"/>
    <w:basedOn w:val="Normal"/>
    <w:next w:val="Normal"/>
    <w:uiPriority w:val="11"/>
    <w:rsid w:val="00DB16C3"/>
    <w:pPr>
      <w:adjustRightInd/>
      <w:snapToGrid/>
      <w:spacing w:after="600" w:line="204" w:lineRule="auto"/>
      <w:contextualSpacing/>
      <w:outlineLvl w:val="0"/>
    </w:pPr>
    <w:rPr>
      <w:rFonts w:asciiTheme="majorHAnsi" w:eastAsia="Times New Roman" w:hAnsiTheme="majorHAnsi" w:cstheme="majorHAnsi"/>
      <w:b/>
      <w:bCs/>
      <w:color w:val="FFFFFF"/>
      <w:spacing w:val="-3"/>
      <w:sz w:val="64"/>
      <w:szCs w:val="38"/>
      <w:lang w:eastAsia="en-US"/>
    </w:rPr>
  </w:style>
  <w:style w:type="paragraph" w:customStyle="1" w:styleId="DividerIntro">
    <w:name w:val="Divider Intro"/>
    <w:basedOn w:val="Normal"/>
    <w:qFormat/>
    <w:rsid w:val="00923EE1"/>
    <w:rPr>
      <w:color w:val="FFFFFF"/>
    </w:rPr>
  </w:style>
  <w:style w:type="paragraph" w:customStyle="1" w:styleId="CoverSubtitle">
    <w:name w:val="Cover Subtitle"/>
    <w:basedOn w:val="Normal"/>
    <w:uiPriority w:val="11"/>
    <w:rsid w:val="00923EE1"/>
    <w:pPr>
      <w:spacing w:after="0" w:line="400" w:lineRule="atLeast"/>
    </w:pPr>
    <w:rPr>
      <w:rFonts w:asciiTheme="majorHAnsi" w:hAnsiTheme="majorHAnsi" w:cstheme="minorHAnsi"/>
      <w:b/>
      <w:color w:val="FFFFFF"/>
      <w:sz w:val="43"/>
    </w:rPr>
  </w:style>
  <w:style w:type="paragraph" w:customStyle="1" w:styleId="TableBullet">
    <w:name w:val="Table Bullet"/>
    <w:basedOn w:val="TableText"/>
    <w:qFormat/>
    <w:rsid w:val="00401326"/>
    <w:pPr>
      <w:numPr>
        <w:numId w:val="13"/>
      </w:numPr>
      <w:ind w:left="198" w:hanging="198"/>
    </w:pPr>
  </w:style>
  <w:style w:type="paragraph" w:customStyle="1" w:styleId="TableText">
    <w:name w:val="Table Text"/>
    <w:basedOn w:val="Normal"/>
    <w:uiPriority w:val="9"/>
    <w:qFormat/>
    <w:rsid w:val="00923EE1"/>
    <w:pPr>
      <w:adjustRightInd/>
      <w:snapToGrid/>
      <w:spacing w:before="80" w:after="80" w:line="240" w:lineRule="auto"/>
    </w:pPr>
    <w:rPr>
      <w:rFonts w:eastAsia="Times New Roman"/>
      <w:color w:val="004976" w:themeColor="background2"/>
      <w:spacing w:val="-3"/>
      <w:szCs w:val="19"/>
      <w:lang w:eastAsia="en-AU"/>
    </w:rPr>
  </w:style>
  <w:style w:type="paragraph" w:styleId="FootnoteText">
    <w:name w:val="footnote text"/>
    <w:basedOn w:val="Normal"/>
    <w:link w:val="FootnoteTextChar"/>
    <w:uiPriority w:val="99"/>
    <w:qFormat/>
    <w:rsid w:val="00620757"/>
    <w:pPr>
      <w:pBdr>
        <w:top w:val="single" w:sz="4" w:space="8" w:color="auto"/>
      </w:pBdr>
      <w:tabs>
        <w:tab w:val="left" w:pos="113"/>
      </w:tabs>
      <w:spacing w:after="40" w:line="160" w:lineRule="atLeast"/>
      <w:ind w:left="170" w:hanging="170"/>
    </w:pPr>
    <w:rPr>
      <w:rFonts w:eastAsiaTheme="minorHAnsi"/>
      <w:sz w:val="16"/>
      <w:lang w:eastAsia="en-US"/>
    </w:rPr>
  </w:style>
  <w:style w:type="character" w:customStyle="1" w:styleId="FootnoteTextChar">
    <w:name w:val="Footnote Text Char"/>
    <w:basedOn w:val="DefaultParagraphFont"/>
    <w:link w:val="FootnoteText"/>
    <w:uiPriority w:val="99"/>
    <w:rsid w:val="00620757"/>
    <w:rPr>
      <w:rFonts w:asciiTheme="minorHAnsi" w:eastAsiaTheme="minorHAnsi" w:hAnsiTheme="minorHAnsi"/>
      <w:color w:val="000000" w:themeColor="text2"/>
      <w:sz w:val="16"/>
      <w:lang w:val="en-AU" w:eastAsia="en-US"/>
    </w:rPr>
  </w:style>
  <w:style w:type="paragraph" w:customStyle="1" w:styleId="Source">
    <w:name w:val="Source"/>
    <w:uiPriority w:val="97"/>
    <w:semiHidden/>
    <w:qFormat/>
    <w:rsid w:val="00923EE1"/>
    <w:pPr>
      <w:numPr>
        <w:numId w:val="11"/>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923EE1"/>
    <w:pPr>
      <w:numPr>
        <w:numId w:val="1"/>
      </w:numPr>
    </w:pPr>
  </w:style>
  <w:style w:type="numbering" w:styleId="1ai">
    <w:name w:val="Outline List 1"/>
    <w:basedOn w:val="NoList"/>
    <w:uiPriority w:val="97"/>
    <w:semiHidden/>
    <w:rsid w:val="00923EE1"/>
    <w:pPr>
      <w:numPr>
        <w:numId w:val="2"/>
      </w:numPr>
    </w:pPr>
  </w:style>
  <w:style w:type="numbering" w:styleId="ArticleSection">
    <w:name w:val="Outline List 3"/>
    <w:basedOn w:val="NoList"/>
    <w:uiPriority w:val="97"/>
    <w:semiHidden/>
    <w:rsid w:val="00923EE1"/>
    <w:pPr>
      <w:numPr>
        <w:numId w:val="3"/>
      </w:numPr>
    </w:pPr>
  </w:style>
  <w:style w:type="paragraph" w:styleId="BalloonText">
    <w:name w:val="Balloon Text"/>
    <w:basedOn w:val="Normal"/>
    <w:link w:val="BalloonTextChar"/>
    <w:uiPriority w:val="97"/>
    <w:semiHidden/>
    <w:rsid w:val="00923EE1"/>
    <w:pPr>
      <w:spacing w:after="0" w:line="240" w:lineRule="auto"/>
    </w:pPr>
    <w:rPr>
      <w:sz w:val="16"/>
      <w:szCs w:val="16"/>
    </w:rPr>
  </w:style>
  <w:style w:type="character" w:customStyle="1" w:styleId="BalloonTextChar">
    <w:name w:val="Balloon Text Char"/>
    <w:basedOn w:val="DefaultParagraphFont"/>
    <w:link w:val="BalloonText"/>
    <w:uiPriority w:val="97"/>
    <w:semiHidden/>
    <w:rsid w:val="00923EE1"/>
    <w:rPr>
      <w:rFonts w:asciiTheme="minorHAnsi" w:eastAsia="MS Mincho" w:hAnsiTheme="minorHAnsi"/>
      <w:color w:val="000000" w:themeColor="text2"/>
      <w:sz w:val="16"/>
      <w:szCs w:val="16"/>
      <w:lang w:val="en-AU" w:eastAsia="ja-JP"/>
    </w:rPr>
  </w:style>
  <w:style w:type="paragraph" w:styleId="Bibliography">
    <w:name w:val="Bibliography"/>
    <w:basedOn w:val="Normal"/>
    <w:next w:val="Normal"/>
    <w:uiPriority w:val="97"/>
    <w:semiHidden/>
    <w:unhideWhenUsed/>
    <w:rsid w:val="00923EE1"/>
  </w:style>
  <w:style w:type="paragraph" w:styleId="BlockText">
    <w:name w:val="Block Text"/>
    <w:basedOn w:val="Normal"/>
    <w:uiPriority w:val="97"/>
    <w:semiHidden/>
    <w:rsid w:val="00923EE1"/>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i/>
      <w:iCs/>
      <w:color w:val="004976" w:themeColor="accent1"/>
    </w:rPr>
  </w:style>
  <w:style w:type="paragraph" w:styleId="BodyText">
    <w:name w:val="Body Text"/>
    <w:basedOn w:val="Normal"/>
    <w:link w:val="BodyTextChar"/>
    <w:uiPriority w:val="97"/>
    <w:semiHidden/>
    <w:rsid w:val="00923EE1"/>
  </w:style>
  <w:style w:type="character" w:customStyle="1" w:styleId="BodyTextChar">
    <w:name w:val="Body Text Char"/>
    <w:basedOn w:val="DefaultParagraphFont"/>
    <w:link w:val="BodyText"/>
    <w:uiPriority w:val="97"/>
    <w:semiHidden/>
    <w:rsid w:val="00923EE1"/>
    <w:rPr>
      <w:rFonts w:asciiTheme="minorHAnsi" w:eastAsia="MS Mincho" w:hAnsiTheme="minorHAnsi"/>
      <w:color w:val="000000" w:themeColor="text2"/>
      <w:lang w:val="en-AU" w:eastAsia="ja-JP"/>
    </w:rPr>
  </w:style>
  <w:style w:type="paragraph" w:styleId="BodyText2">
    <w:name w:val="Body Text 2"/>
    <w:basedOn w:val="Normal"/>
    <w:link w:val="BodyText2Char"/>
    <w:uiPriority w:val="97"/>
    <w:semiHidden/>
    <w:rsid w:val="00923EE1"/>
    <w:pPr>
      <w:spacing w:line="480" w:lineRule="auto"/>
    </w:pPr>
  </w:style>
  <w:style w:type="character" w:customStyle="1" w:styleId="BodyText2Char">
    <w:name w:val="Body Text 2 Char"/>
    <w:basedOn w:val="DefaultParagraphFont"/>
    <w:link w:val="BodyText2"/>
    <w:uiPriority w:val="97"/>
    <w:semiHidden/>
    <w:rsid w:val="00923EE1"/>
    <w:rPr>
      <w:rFonts w:asciiTheme="minorHAnsi" w:eastAsia="MS Mincho" w:hAnsiTheme="minorHAnsi"/>
      <w:color w:val="000000" w:themeColor="text2"/>
      <w:lang w:val="en-AU" w:eastAsia="ja-JP"/>
    </w:rPr>
  </w:style>
  <w:style w:type="paragraph" w:styleId="BodyText3">
    <w:name w:val="Body Text 3"/>
    <w:basedOn w:val="Normal"/>
    <w:link w:val="BodyText3Char"/>
    <w:uiPriority w:val="97"/>
    <w:semiHidden/>
    <w:rsid w:val="00923EE1"/>
    <w:rPr>
      <w:sz w:val="16"/>
      <w:szCs w:val="16"/>
    </w:rPr>
  </w:style>
  <w:style w:type="character" w:customStyle="1" w:styleId="BodyText3Char">
    <w:name w:val="Body Text 3 Char"/>
    <w:basedOn w:val="DefaultParagraphFont"/>
    <w:link w:val="BodyText3"/>
    <w:uiPriority w:val="97"/>
    <w:semiHidden/>
    <w:rsid w:val="00923EE1"/>
    <w:rPr>
      <w:rFonts w:asciiTheme="minorHAnsi" w:eastAsia="MS Mincho" w:hAnsiTheme="minorHAnsi"/>
      <w:color w:val="000000" w:themeColor="text2"/>
      <w:sz w:val="16"/>
      <w:szCs w:val="16"/>
      <w:lang w:val="en-AU" w:eastAsia="ja-JP"/>
    </w:rPr>
  </w:style>
  <w:style w:type="paragraph" w:styleId="BodyTextFirstIndent">
    <w:name w:val="Body Text First Indent"/>
    <w:basedOn w:val="BodyText"/>
    <w:link w:val="BodyTextFirstIndentChar"/>
    <w:uiPriority w:val="97"/>
    <w:semiHidden/>
    <w:rsid w:val="00923EE1"/>
    <w:pPr>
      <w:spacing w:after="80"/>
      <w:ind w:firstLine="360"/>
    </w:pPr>
  </w:style>
  <w:style w:type="character" w:customStyle="1" w:styleId="BodyTextFirstIndentChar">
    <w:name w:val="Body Text First Indent Char"/>
    <w:basedOn w:val="BodyTextChar"/>
    <w:link w:val="BodyTextFirstIndent"/>
    <w:uiPriority w:val="97"/>
    <w:semiHidden/>
    <w:rsid w:val="00923EE1"/>
    <w:rPr>
      <w:rFonts w:asciiTheme="minorHAnsi" w:eastAsia="MS Mincho" w:hAnsiTheme="minorHAnsi"/>
      <w:color w:val="000000" w:themeColor="text2"/>
      <w:lang w:val="en-AU" w:eastAsia="ja-JP"/>
    </w:rPr>
  </w:style>
  <w:style w:type="paragraph" w:styleId="BodyTextIndent">
    <w:name w:val="Body Text Indent"/>
    <w:basedOn w:val="Normal"/>
    <w:link w:val="BodyTextIndentChar"/>
    <w:uiPriority w:val="97"/>
    <w:semiHidden/>
    <w:rsid w:val="00923EE1"/>
    <w:pPr>
      <w:ind w:left="283"/>
    </w:pPr>
  </w:style>
  <w:style w:type="character" w:customStyle="1" w:styleId="BodyTextIndentChar">
    <w:name w:val="Body Text Indent Char"/>
    <w:basedOn w:val="DefaultParagraphFont"/>
    <w:link w:val="BodyTextIndent"/>
    <w:uiPriority w:val="97"/>
    <w:semiHidden/>
    <w:rsid w:val="00923EE1"/>
    <w:rPr>
      <w:rFonts w:asciiTheme="minorHAnsi" w:eastAsia="MS Mincho" w:hAnsiTheme="minorHAnsi"/>
      <w:color w:val="000000" w:themeColor="text2"/>
      <w:lang w:val="en-AU" w:eastAsia="ja-JP"/>
    </w:rPr>
  </w:style>
  <w:style w:type="paragraph" w:styleId="BodyTextFirstIndent2">
    <w:name w:val="Body Text First Indent 2"/>
    <w:basedOn w:val="BodyTextIndent"/>
    <w:link w:val="BodyTextFirstIndent2Char"/>
    <w:uiPriority w:val="97"/>
    <w:semiHidden/>
    <w:rsid w:val="00923EE1"/>
    <w:pPr>
      <w:spacing w:after="80"/>
      <w:ind w:left="360" w:firstLine="360"/>
    </w:pPr>
  </w:style>
  <w:style w:type="character" w:customStyle="1" w:styleId="BodyTextFirstIndent2Char">
    <w:name w:val="Body Text First Indent 2 Char"/>
    <w:basedOn w:val="BodyTextIndentChar"/>
    <w:link w:val="BodyTextFirstIndent2"/>
    <w:uiPriority w:val="97"/>
    <w:semiHidden/>
    <w:rsid w:val="00923EE1"/>
    <w:rPr>
      <w:rFonts w:asciiTheme="minorHAnsi" w:eastAsia="MS Mincho" w:hAnsiTheme="minorHAnsi"/>
      <w:color w:val="000000" w:themeColor="text2"/>
      <w:lang w:val="en-AU" w:eastAsia="ja-JP"/>
    </w:rPr>
  </w:style>
  <w:style w:type="paragraph" w:styleId="BodyTextIndent2">
    <w:name w:val="Body Text Indent 2"/>
    <w:basedOn w:val="Normal"/>
    <w:link w:val="BodyTextIndent2Char"/>
    <w:uiPriority w:val="97"/>
    <w:semiHidden/>
    <w:rsid w:val="00923EE1"/>
    <w:pPr>
      <w:spacing w:line="480" w:lineRule="auto"/>
      <w:ind w:left="283"/>
    </w:pPr>
  </w:style>
  <w:style w:type="character" w:customStyle="1" w:styleId="BodyTextIndent2Char">
    <w:name w:val="Body Text Indent 2 Char"/>
    <w:basedOn w:val="DefaultParagraphFont"/>
    <w:link w:val="BodyTextIndent2"/>
    <w:uiPriority w:val="97"/>
    <w:semiHidden/>
    <w:rsid w:val="00923EE1"/>
    <w:rPr>
      <w:rFonts w:asciiTheme="minorHAnsi" w:eastAsia="MS Mincho" w:hAnsiTheme="minorHAnsi"/>
      <w:color w:val="000000" w:themeColor="text2"/>
      <w:lang w:val="en-AU" w:eastAsia="ja-JP"/>
    </w:rPr>
  </w:style>
  <w:style w:type="paragraph" w:styleId="BodyTextIndent3">
    <w:name w:val="Body Text Indent 3"/>
    <w:basedOn w:val="Normal"/>
    <w:link w:val="BodyTextIndent3Char"/>
    <w:uiPriority w:val="97"/>
    <w:semiHidden/>
    <w:rsid w:val="00923EE1"/>
    <w:pPr>
      <w:ind w:left="283"/>
    </w:pPr>
    <w:rPr>
      <w:sz w:val="16"/>
      <w:szCs w:val="16"/>
    </w:rPr>
  </w:style>
  <w:style w:type="character" w:customStyle="1" w:styleId="BodyTextIndent3Char">
    <w:name w:val="Body Text Indent 3 Char"/>
    <w:basedOn w:val="DefaultParagraphFont"/>
    <w:link w:val="BodyTextIndent3"/>
    <w:uiPriority w:val="97"/>
    <w:semiHidden/>
    <w:rsid w:val="00923EE1"/>
    <w:rPr>
      <w:rFonts w:asciiTheme="minorHAnsi" w:eastAsia="MS Mincho" w:hAnsiTheme="minorHAnsi"/>
      <w:color w:val="000000" w:themeColor="text2"/>
      <w:sz w:val="16"/>
      <w:szCs w:val="16"/>
      <w:lang w:val="en-AU" w:eastAsia="ja-JP"/>
    </w:rPr>
  </w:style>
  <w:style w:type="character" w:styleId="BookTitle">
    <w:name w:val="Book Title"/>
    <w:basedOn w:val="DefaultParagraphFont"/>
    <w:uiPriority w:val="97"/>
    <w:semiHidden/>
    <w:rsid w:val="00923EE1"/>
    <w:rPr>
      <w:rFonts w:asciiTheme="minorHAnsi" w:hAnsiTheme="minorHAnsi" w:cstheme="minorHAnsi"/>
      <w:b/>
      <w:bCs/>
      <w:smallCaps/>
      <w:spacing w:val="5"/>
    </w:rPr>
  </w:style>
  <w:style w:type="paragraph" w:styleId="Closing">
    <w:name w:val="Closing"/>
    <w:basedOn w:val="Normal"/>
    <w:link w:val="ClosingChar"/>
    <w:uiPriority w:val="97"/>
    <w:semiHidden/>
    <w:rsid w:val="00923EE1"/>
    <w:pPr>
      <w:spacing w:after="0" w:line="240" w:lineRule="auto"/>
      <w:ind w:left="4252"/>
    </w:pPr>
  </w:style>
  <w:style w:type="character" w:customStyle="1" w:styleId="ClosingChar">
    <w:name w:val="Closing Char"/>
    <w:basedOn w:val="DefaultParagraphFont"/>
    <w:link w:val="Closing"/>
    <w:uiPriority w:val="97"/>
    <w:semiHidden/>
    <w:rsid w:val="00923EE1"/>
    <w:rPr>
      <w:rFonts w:asciiTheme="minorHAnsi" w:eastAsia="MS Mincho" w:hAnsiTheme="minorHAnsi"/>
      <w:color w:val="000000" w:themeColor="text2"/>
      <w:lang w:val="en-AU" w:eastAsia="ja-JP"/>
    </w:rPr>
  </w:style>
  <w:style w:type="table" w:styleId="ColorfulGrid">
    <w:name w:val="Colorful Grid"/>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B0E0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2C2FF" w:themeFill="accent1" w:themeFillTint="66"/>
      </w:tcPr>
    </w:tblStylePr>
    <w:tblStylePr w:type="lastRow">
      <w:rPr>
        <w:b/>
        <w:bCs/>
        <w:color w:val="000000" w:themeColor="text1"/>
      </w:rPr>
      <w:tblPr/>
      <w:tcPr>
        <w:shd w:val="clear" w:color="auto" w:fill="62C2FF" w:themeFill="accent1" w:themeFillTint="66"/>
      </w:tcPr>
    </w:tblStylePr>
    <w:tblStylePr w:type="firstCol">
      <w:rPr>
        <w:color w:val="FFFFFF" w:themeColor="background1"/>
      </w:rPr>
      <w:tblPr/>
      <w:tcPr>
        <w:shd w:val="clear" w:color="auto" w:fill="003658" w:themeFill="accent1" w:themeFillShade="BF"/>
      </w:tcPr>
    </w:tblStylePr>
    <w:tblStylePr w:type="lastCol">
      <w:rPr>
        <w:color w:val="FFFFFF" w:themeColor="background1"/>
      </w:rPr>
      <w:tblPr/>
      <w:tcPr>
        <w:shd w:val="clear" w:color="auto" w:fill="003658" w:themeFill="accent1" w:themeFillShade="BF"/>
      </w:tc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ColorfulGrid-Accent2">
    <w:name w:val="Colorful Grid Accent 2"/>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FF0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E199" w:themeFill="accent2" w:themeFillTint="66"/>
      </w:tcPr>
    </w:tblStylePr>
    <w:tblStylePr w:type="lastRow">
      <w:rPr>
        <w:b/>
        <w:bCs/>
        <w:color w:val="000000" w:themeColor="text1"/>
      </w:rPr>
      <w:tblPr/>
      <w:tcPr>
        <w:shd w:val="clear" w:color="auto" w:fill="FFE199" w:themeFill="accent2" w:themeFillTint="66"/>
      </w:tcPr>
    </w:tblStylePr>
    <w:tblStylePr w:type="firstCol">
      <w:rPr>
        <w:color w:val="FFFFFF" w:themeColor="background1"/>
      </w:rPr>
      <w:tblPr/>
      <w:tcPr>
        <w:shd w:val="clear" w:color="auto" w:fill="BF8700" w:themeFill="accent2" w:themeFillShade="BF"/>
      </w:tcPr>
    </w:tblStylePr>
    <w:tblStylePr w:type="lastCol">
      <w:rPr>
        <w:color w:val="FFFFFF" w:themeColor="background1"/>
      </w:rPr>
      <w:tblPr/>
      <w:tcPr>
        <w:shd w:val="clear" w:color="auto" w:fill="BF8700" w:themeFill="accent2" w:themeFillShade="BF"/>
      </w:tc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ColorfulGrid-Accent3">
    <w:name w:val="Colorful Grid Accent 3"/>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D1E2D3"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3C6A8" w:themeFill="accent3" w:themeFillTint="66"/>
      </w:tcPr>
    </w:tblStylePr>
    <w:tblStylePr w:type="lastRow">
      <w:rPr>
        <w:b/>
        <w:bCs/>
        <w:color w:val="000000" w:themeColor="text1"/>
      </w:rPr>
      <w:tblPr/>
      <w:tcPr>
        <w:shd w:val="clear" w:color="auto" w:fill="A3C6A8" w:themeFill="accent3" w:themeFillTint="66"/>
      </w:tcPr>
    </w:tblStylePr>
    <w:tblStylePr w:type="firstCol">
      <w:rPr>
        <w:color w:val="FFFFFF" w:themeColor="background1"/>
      </w:rPr>
      <w:tblPr/>
      <w:tcPr>
        <w:shd w:val="clear" w:color="auto" w:fill="28402C" w:themeFill="accent3" w:themeFillShade="BF"/>
      </w:tcPr>
    </w:tblStylePr>
    <w:tblStylePr w:type="lastCol">
      <w:rPr>
        <w:color w:val="FFFFFF" w:themeColor="background1"/>
      </w:rPr>
      <w:tblPr/>
      <w:tcPr>
        <w:shd w:val="clear" w:color="auto" w:fill="28402C" w:themeFill="accent3" w:themeFillShade="BF"/>
      </w:tc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ColorfulGrid-Accent4">
    <w:name w:val="Colorful Grid Accent 4"/>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8E0D7"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1C1B0" w:themeFill="accent4" w:themeFillTint="66"/>
      </w:tcPr>
    </w:tblStylePr>
    <w:tblStylePr w:type="lastRow">
      <w:rPr>
        <w:b/>
        <w:bCs/>
        <w:color w:val="000000" w:themeColor="text1"/>
      </w:rPr>
      <w:tblPr/>
      <w:tcPr>
        <w:shd w:val="clear" w:color="auto" w:fill="F1C1B0" w:themeFill="accent4" w:themeFillTint="66"/>
      </w:tcPr>
    </w:tblStylePr>
    <w:tblStylePr w:type="firstCol">
      <w:rPr>
        <w:color w:val="FFFFFF" w:themeColor="background1"/>
      </w:rPr>
      <w:tblPr/>
      <w:tcPr>
        <w:shd w:val="clear" w:color="auto" w:fill="B1461F" w:themeFill="accent4" w:themeFillShade="BF"/>
      </w:tcPr>
    </w:tblStylePr>
    <w:tblStylePr w:type="lastCol">
      <w:rPr>
        <w:color w:val="FFFFFF" w:themeColor="background1"/>
      </w:rPr>
      <w:tblPr/>
      <w:tcPr>
        <w:shd w:val="clear" w:color="auto" w:fill="B1461F" w:themeFill="accent4" w:themeFillShade="BF"/>
      </w:tc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ColorfulGrid-Accent5">
    <w:name w:val="Colorful Grid Accent 5"/>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4D4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AAA9E" w:themeFill="accent5" w:themeFillTint="66"/>
      </w:tcPr>
    </w:tblStylePr>
    <w:tblStylePr w:type="lastRow">
      <w:rPr>
        <w:b/>
        <w:bCs/>
        <w:color w:val="000000" w:themeColor="text1"/>
      </w:rPr>
      <w:tblPr/>
      <w:tcPr>
        <w:shd w:val="clear" w:color="auto" w:fill="EAAA9E" w:themeFill="accent5" w:themeFillTint="66"/>
      </w:tcPr>
    </w:tblStylePr>
    <w:tblStylePr w:type="firstCol">
      <w:rPr>
        <w:color w:val="FFFFFF" w:themeColor="background1"/>
      </w:rPr>
      <w:tblPr/>
      <w:tcPr>
        <w:shd w:val="clear" w:color="auto" w:fill="852D1C" w:themeFill="accent5" w:themeFillShade="BF"/>
      </w:tcPr>
    </w:tblStylePr>
    <w:tblStylePr w:type="lastCol">
      <w:rPr>
        <w:color w:val="FFFFFF" w:themeColor="background1"/>
      </w:rPr>
      <w:tblPr/>
      <w:tcPr>
        <w:shd w:val="clear" w:color="auto" w:fill="852D1C" w:themeFill="accent5" w:themeFillShade="BF"/>
      </w:tc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ColorfulGrid-Accent6">
    <w:name w:val="Colorful Grid Accent 6"/>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EBEFEE"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7DFDD" w:themeFill="accent6" w:themeFillTint="66"/>
      </w:tcPr>
    </w:tblStylePr>
    <w:tblStylePr w:type="lastRow">
      <w:rPr>
        <w:b/>
        <w:bCs/>
        <w:color w:val="000000" w:themeColor="text1"/>
      </w:rPr>
      <w:tblPr/>
      <w:tcPr>
        <w:shd w:val="clear" w:color="auto" w:fill="D7DFDD" w:themeFill="accent6" w:themeFillTint="66"/>
      </w:tcPr>
    </w:tblStylePr>
    <w:tblStylePr w:type="firstCol">
      <w:rPr>
        <w:color w:val="FFFFFF" w:themeColor="background1"/>
      </w:rPr>
      <w:tblPr/>
      <w:tcPr>
        <w:shd w:val="clear" w:color="auto" w:fill="6F8A84" w:themeFill="accent6" w:themeFillShade="BF"/>
      </w:tcPr>
    </w:tblStylePr>
    <w:tblStylePr w:type="lastCol">
      <w:rPr>
        <w:color w:val="FFFFFF" w:themeColor="background1"/>
      </w:rPr>
      <w:tblPr/>
      <w:tcPr>
        <w:shd w:val="clear" w:color="auto" w:fill="6F8A84" w:themeFill="accent6" w:themeFillShade="BF"/>
      </w:tc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ColorfulList">
    <w:name w:val="Colorful List"/>
    <w:basedOn w:val="TableNormal"/>
    <w:uiPriority w:val="98"/>
    <w:rsid w:val="00923EE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923EE1"/>
    <w:rPr>
      <w:color w:val="000000" w:themeColor="text1"/>
    </w:rPr>
    <w:tblPr>
      <w:tblStyleRowBandSize w:val="1"/>
      <w:tblStyleColBandSize w:val="1"/>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D9FF" w:themeFill="accent1" w:themeFillTint="3F"/>
      </w:tcPr>
    </w:tblStylePr>
    <w:tblStylePr w:type="band1Horz">
      <w:tblPr/>
      <w:tcPr>
        <w:shd w:val="clear" w:color="auto" w:fill="B0E0FF" w:themeFill="accent1" w:themeFillTint="33"/>
      </w:tcPr>
    </w:tblStylePr>
  </w:style>
  <w:style w:type="table" w:styleId="ColorfulList-Accent2">
    <w:name w:val="Colorful List Accent 2"/>
    <w:basedOn w:val="TableNormal"/>
    <w:uiPriority w:val="98"/>
    <w:rsid w:val="00923EE1"/>
    <w:rPr>
      <w:color w:val="000000" w:themeColor="text1"/>
    </w:rPr>
    <w:tblPr>
      <w:tblStyleRowBandSize w:val="1"/>
      <w:tblStyleColBandSize w:val="1"/>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2" w:themeFillTint="3F"/>
      </w:tcPr>
    </w:tblStylePr>
    <w:tblStylePr w:type="band1Horz">
      <w:tblPr/>
      <w:tcPr>
        <w:shd w:val="clear" w:color="auto" w:fill="FFF0CC" w:themeFill="accent2" w:themeFillTint="33"/>
      </w:tcPr>
    </w:tblStylePr>
  </w:style>
  <w:style w:type="table" w:styleId="ColorfulList-Accent3">
    <w:name w:val="Colorful List Accent 3"/>
    <w:basedOn w:val="TableNormal"/>
    <w:uiPriority w:val="98"/>
    <w:rsid w:val="00923EE1"/>
    <w:rPr>
      <w:color w:val="000000" w:themeColor="text1"/>
    </w:rPr>
    <w:tblPr>
      <w:tblStyleRowBandSize w:val="1"/>
      <w:tblStyleColBandSize w:val="1"/>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BD4B21" w:themeFill="accent4" w:themeFillShade="CC"/>
      </w:tcPr>
    </w:tblStylePr>
    <w:tblStylePr w:type="lastRow">
      <w:rPr>
        <w:b/>
        <w:bCs/>
        <w:color w:val="BD4B2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DCC9" w:themeFill="accent3" w:themeFillTint="3F"/>
      </w:tcPr>
    </w:tblStylePr>
    <w:tblStylePr w:type="band1Horz">
      <w:tblPr/>
      <w:tcPr>
        <w:shd w:val="clear" w:color="auto" w:fill="D1E2D3" w:themeFill="accent3" w:themeFillTint="33"/>
      </w:tcPr>
    </w:tblStylePr>
  </w:style>
  <w:style w:type="table" w:styleId="ColorfulList-Accent4">
    <w:name w:val="Colorful List Accent 4"/>
    <w:basedOn w:val="TableNormal"/>
    <w:uiPriority w:val="98"/>
    <w:rsid w:val="00923EE1"/>
    <w:rPr>
      <w:color w:val="000000" w:themeColor="text1"/>
    </w:rPr>
    <w:tblPr>
      <w:tblStyleRowBandSize w:val="1"/>
      <w:tblStyleColBandSize w:val="1"/>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B452F" w:themeFill="accent3" w:themeFillShade="CC"/>
      </w:tcPr>
    </w:tblStylePr>
    <w:tblStylePr w:type="lastRow">
      <w:rPr>
        <w:b/>
        <w:bCs/>
        <w:color w:val="2B45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9CE" w:themeFill="accent4" w:themeFillTint="3F"/>
      </w:tcPr>
    </w:tblStylePr>
    <w:tblStylePr w:type="band1Horz">
      <w:tblPr/>
      <w:tcPr>
        <w:shd w:val="clear" w:color="auto" w:fill="F8E0D7" w:themeFill="accent4" w:themeFillTint="33"/>
      </w:tcPr>
    </w:tblStylePr>
  </w:style>
  <w:style w:type="table" w:styleId="ColorfulList-Accent5">
    <w:name w:val="Colorful List Accent 5"/>
    <w:basedOn w:val="TableNormal"/>
    <w:uiPriority w:val="98"/>
    <w:rsid w:val="00923EE1"/>
    <w:rPr>
      <w:color w:val="000000" w:themeColor="text1"/>
    </w:rPr>
    <w:tblPr>
      <w:tblStyleRowBandSize w:val="1"/>
      <w:tblStyleColBandSize w:val="1"/>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8928C" w:themeFill="accent6" w:themeFillShade="CC"/>
      </w:tcPr>
    </w:tblStylePr>
    <w:tblStylePr w:type="lastRow">
      <w:rPr>
        <w:b/>
        <w:bCs/>
        <w:color w:val="7892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AC3" w:themeFill="accent5" w:themeFillTint="3F"/>
      </w:tcPr>
    </w:tblStylePr>
    <w:tblStylePr w:type="band1Horz">
      <w:tblPr/>
      <w:tcPr>
        <w:shd w:val="clear" w:color="auto" w:fill="F4D4CE" w:themeFill="accent5" w:themeFillTint="33"/>
      </w:tcPr>
    </w:tblStylePr>
  </w:style>
  <w:style w:type="table" w:styleId="ColorfulList-Accent6">
    <w:name w:val="Colorful List Accent 6"/>
    <w:basedOn w:val="TableNormal"/>
    <w:uiPriority w:val="98"/>
    <w:rsid w:val="00923EE1"/>
    <w:rPr>
      <w:color w:val="000000" w:themeColor="text1"/>
    </w:rPr>
    <w:tblPr>
      <w:tblStyleRowBandSize w:val="1"/>
      <w:tblStyleColBandSize w:val="1"/>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E301E" w:themeFill="accent5" w:themeFillShade="CC"/>
      </w:tcPr>
    </w:tblStylePr>
    <w:tblStylePr w:type="lastRow">
      <w:rPr>
        <w:b/>
        <w:bCs/>
        <w:color w:val="8E301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BEA" w:themeFill="accent6" w:themeFillTint="3F"/>
      </w:tcPr>
    </w:tblStylePr>
    <w:tblStylePr w:type="band1Horz">
      <w:tblPr/>
      <w:tcPr>
        <w:shd w:val="clear" w:color="auto" w:fill="EBEFEE" w:themeFill="accent6" w:themeFillTint="33"/>
      </w:tcPr>
    </w:tblStylePr>
  </w:style>
  <w:style w:type="table" w:styleId="ColorfulShading">
    <w:name w:val="Colorful Shading"/>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4976" w:themeColor="accent1"/>
        <w:bottom w:val="single" w:sz="4" w:space="0" w:color="004976" w:themeColor="accent1"/>
        <w:right w:val="single" w:sz="4" w:space="0" w:color="004976" w:themeColor="accent1"/>
        <w:insideH w:val="single" w:sz="4" w:space="0" w:color="FFFFFF" w:themeColor="background1"/>
        <w:insideV w:val="single" w:sz="4" w:space="0" w:color="FFFFFF" w:themeColor="background1"/>
      </w:tblBorders>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6" w:themeFill="accent1" w:themeFillShade="99"/>
      </w:tcPr>
    </w:tblStylePr>
    <w:tblStylePr w:type="firstCol">
      <w:rPr>
        <w:color w:val="FFFFFF" w:themeColor="background1"/>
      </w:rPr>
      <w:tblPr/>
      <w:tcPr>
        <w:tcBorders>
          <w:top w:val="nil"/>
          <w:left w:val="nil"/>
          <w:bottom w:val="nil"/>
          <w:right w:val="nil"/>
          <w:insideH w:val="single" w:sz="4" w:space="0" w:color="002B46" w:themeColor="accent1" w:themeShade="99"/>
          <w:insideV w:val="nil"/>
        </w:tcBorders>
        <w:shd w:val="clear" w:color="auto" w:fill="002B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B46" w:themeFill="accent1" w:themeFillShade="99"/>
      </w:tcPr>
    </w:tblStylePr>
    <w:tblStylePr w:type="band1Vert">
      <w:tblPr/>
      <w:tcPr>
        <w:shd w:val="clear" w:color="auto" w:fill="62C2FF" w:themeFill="accent1" w:themeFillTint="66"/>
      </w:tcPr>
    </w:tblStylePr>
    <w:tblStylePr w:type="band1Horz">
      <w:tblPr/>
      <w:tcPr>
        <w:shd w:val="clear" w:color="auto" w:fill="3BB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FFB500" w:themeColor="accent2"/>
        <w:bottom w:val="single" w:sz="4" w:space="0" w:color="FFB500" w:themeColor="accent2"/>
        <w:right w:val="single" w:sz="4" w:space="0" w:color="FFB500" w:themeColor="accent2"/>
        <w:insideH w:val="single" w:sz="4" w:space="0" w:color="FFFFFF" w:themeColor="background1"/>
        <w:insideV w:val="single" w:sz="4" w:space="0" w:color="FFFFFF" w:themeColor="background1"/>
      </w:tblBorders>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2" w:themeFillShade="99"/>
      </w:tcPr>
    </w:tblStylePr>
    <w:tblStylePr w:type="firstCol">
      <w:rPr>
        <w:color w:val="FFFFFF" w:themeColor="background1"/>
      </w:rPr>
      <w:tblPr/>
      <w:tcPr>
        <w:tcBorders>
          <w:top w:val="nil"/>
          <w:left w:val="nil"/>
          <w:bottom w:val="nil"/>
          <w:right w:val="nil"/>
          <w:insideH w:val="single" w:sz="4" w:space="0" w:color="996C00" w:themeColor="accent2" w:themeShade="99"/>
          <w:insideV w:val="nil"/>
        </w:tcBorders>
        <w:shd w:val="clear" w:color="auto" w:fill="996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2" w:themeFillShade="99"/>
      </w:tcPr>
    </w:tblStylePr>
    <w:tblStylePr w:type="band1Vert">
      <w:tblPr/>
      <w:tcPr>
        <w:shd w:val="clear" w:color="auto" w:fill="FFE199" w:themeFill="accent2" w:themeFillTint="66"/>
      </w:tcPr>
    </w:tblStylePr>
    <w:tblStylePr w:type="band1Horz">
      <w:tblPr/>
      <w:tcPr>
        <w:shd w:val="clear" w:color="auto" w:fill="FFDA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923EE1"/>
    <w:rPr>
      <w:color w:val="000000" w:themeColor="text1"/>
    </w:rPr>
    <w:tblPr>
      <w:tblStyleRowBandSize w:val="1"/>
      <w:tblStyleColBandSize w:val="1"/>
      <w:tblBorders>
        <w:top w:val="single" w:sz="24" w:space="0" w:color="DC673B" w:themeColor="accent4"/>
        <w:left w:val="single" w:sz="4" w:space="0" w:color="36573B" w:themeColor="accent3"/>
        <w:bottom w:val="single" w:sz="4" w:space="0" w:color="36573B" w:themeColor="accent3"/>
        <w:right w:val="single" w:sz="4" w:space="0" w:color="36573B" w:themeColor="accent3"/>
        <w:insideH w:val="single" w:sz="4" w:space="0" w:color="FFFFFF" w:themeColor="background1"/>
        <w:insideV w:val="single" w:sz="4" w:space="0" w:color="FFFFFF" w:themeColor="background1"/>
      </w:tblBorders>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3423" w:themeFill="accent3" w:themeFillShade="99"/>
      </w:tcPr>
    </w:tblStylePr>
    <w:tblStylePr w:type="firstCol">
      <w:rPr>
        <w:color w:val="FFFFFF" w:themeColor="background1"/>
      </w:rPr>
      <w:tblPr/>
      <w:tcPr>
        <w:tcBorders>
          <w:top w:val="nil"/>
          <w:left w:val="nil"/>
          <w:bottom w:val="nil"/>
          <w:right w:val="nil"/>
          <w:insideH w:val="single" w:sz="4" w:space="0" w:color="203423" w:themeColor="accent3" w:themeShade="99"/>
          <w:insideV w:val="nil"/>
        </w:tcBorders>
        <w:shd w:val="clear" w:color="auto" w:fill="2034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3423" w:themeFill="accent3" w:themeFillShade="99"/>
      </w:tcPr>
    </w:tblStylePr>
    <w:tblStylePr w:type="band1Vert">
      <w:tblPr/>
      <w:tcPr>
        <w:shd w:val="clear" w:color="auto" w:fill="A3C6A8" w:themeFill="accent3" w:themeFillTint="66"/>
      </w:tcPr>
    </w:tblStylePr>
    <w:tblStylePr w:type="band1Horz">
      <w:tblPr/>
      <w:tcPr>
        <w:shd w:val="clear" w:color="auto" w:fill="8DB893" w:themeFill="accent3" w:themeFillTint="7F"/>
      </w:tcPr>
    </w:tblStylePr>
  </w:style>
  <w:style w:type="table" w:styleId="ColorfulShading-Accent4">
    <w:name w:val="Colorful Shading Accent 4"/>
    <w:basedOn w:val="TableNormal"/>
    <w:uiPriority w:val="98"/>
    <w:rsid w:val="00923EE1"/>
    <w:rPr>
      <w:color w:val="000000" w:themeColor="text1"/>
    </w:rPr>
    <w:tblPr>
      <w:tblStyleRowBandSize w:val="1"/>
      <w:tblStyleColBandSize w:val="1"/>
      <w:tblBorders>
        <w:top w:val="single" w:sz="24" w:space="0" w:color="36573B" w:themeColor="accent3"/>
        <w:left w:val="single" w:sz="4" w:space="0" w:color="DC673B" w:themeColor="accent4"/>
        <w:bottom w:val="single" w:sz="4" w:space="0" w:color="DC673B" w:themeColor="accent4"/>
        <w:right w:val="single" w:sz="4" w:space="0" w:color="DC673B" w:themeColor="accent4"/>
        <w:insideH w:val="single" w:sz="4" w:space="0" w:color="FFFFFF" w:themeColor="background1"/>
        <w:insideV w:val="single" w:sz="4" w:space="0" w:color="FFFFFF" w:themeColor="background1"/>
      </w:tblBorders>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819" w:themeFill="accent4" w:themeFillShade="99"/>
      </w:tcPr>
    </w:tblStylePr>
    <w:tblStylePr w:type="firstCol">
      <w:rPr>
        <w:color w:val="FFFFFF" w:themeColor="background1"/>
      </w:rPr>
      <w:tblPr/>
      <w:tcPr>
        <w:tcBorders>
          <w:top w:val="nil"/>
          <w:left w:val="nil"/>
          <w:bottom w:val="nil"/>
          <w:right w:val="nil"/>
          <w:insideH w:val="single" w:sz="4" w:space="0" w:color="8D3819" w:themeColor="accent4" w:themeShade="99"/>
          <w:insideV w:val="nil"/>
        </w:tcBorders>
        <w:shd w:val="clear" w:color="auto" w:fill="8D38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819" w:themeFill="accent4" w:themeFillShade="99"/>
      </w:tcPr>
    </w:tblStylePr>
    <w:tblStylePr w:type="band1Vert">
      <w:tblPr/>
      <w:tcPr>
        <w:shd w:val="clear" w:color="auto" w:fill="F1C1B0" w:themeFill="accent4" w:themeFillTint="66"/>
      </w:tcPr>
    </w:tblStylePr>
    <w:tblStylePr w:type="band1Horz">
      <w:tblPr/>
      <w:tcPr>
        <w:shd w:val="clear" w:color="auto" w:fill="EDB29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923EE1"/>
    <w:rPr>
      <w:color w:val="000000" w:themeColor="text1"/>
    </w:rPr>
    <w:tblPr>
      <w:tblStyleRowBandSize w:val="1"/>
      <w:tblStyleColBandSize w:val="1"/>
      <w:tblBorders>
        <w:top w:val="single" w:sz="24" w:space="0" w:color="9DB0AC" w:themeColor="accent6"/>
        <w:left w:val="single" w:sz="4" w:space="0" w:color="B33D26" w:themeColor="accent5"/>
        <w:bottom w:val="single" w:sz="4" w:space="0" w:color="B33D26" w:themeColor="accent5"/>
        <w:right w:val="single" w:sz="4" w:space="0" w:color="B33D26" w:themeColor="accent5"/>
        <w:insideH w:val="single" w:sz="4" w:space="0" w:color="FFFFFF" w:themeColor="background1"/>
        <w:insideV w:val="single" w:sz="4" w:space="0" w:color="FFFFFF" w:themeColor="background1"/>
      </w:tblBorders>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2416" w:themeFill="accent5" w:themeFillShade="99"/>
      </w:tcPr>
    </w:tblStylePr>
    <w:tblStylePr w:type="firstCol">
      <w:rPr>
        <w:color w:val="FFFFFF" w:themeColor="background1"/>
      </w:rPr>
      <w:tblPr/>
      <w:tcPr>
        <w:tcBorders>
          <w:top w:val="nil"/>
          <w:left w:val="nil"/>
          <w:bottom w:val="nil"/>
          <w:right w:val="nil"/>
          <w:insideH w:val="single" w:sz="4" w:space="0" w:color="6B2416" w:themeColor="accent5" w:themeShade="99"/>
          <w:insideV w:val="nil"/>
        </w:tcBorders>
        <w:shd w:val="clear" w:color="auto" w:fill="6B24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B2416" w:themeFill="accent5" w:themeFillShade="99"/>
      </w:tcPr>
    </w:tblStylePr>
    <w:tblStylePr w:type="band1Vert">
      <w:tblPr/>
      <w:tcPr>
        <w:shd w:val="clear" w:color="auto" w:fill="EAAA9E" w:themeFill="accent5" w:themeFillTint="66"/>
      </w:tcPr>
    </w:tblStylePr>
    <w:tblStylePr w:type="band1Horz">
      <w:tblPr/>
      <w:tcPr>
        <w:shd w:val="clear" w:color="auto" w:fill="E595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923EE1"/>
    <w:rPr>
      <w:color w:val="000000" w:themeColor="text1"/>
    </w:rPr>
    <w:tblPr>
      <w:tblStyleRowBandSize w:val="1"/>
      <w:tblStyleColBandSize w:val="1"/>
      <w:tblBorders>
        <w:top w:val="single" w:sz="24" w:space="0" w:color="B33D26" w:themeColor="accent5"/>
        <w:left w:val="single" w:sz="4" w:space="0" w:color="9DB0AC" w:themeColor="accent6"/>
        <w:bottom w:val="single" w:sz="4" w:space="0" w:color="9DB0AC" w:themeColor="accent6"/>
        <w:right w:val="single" w:sz="4" w:space="0" w:color="9DB0AC" w:themeColor="accent6"/>
        <w:insideH w:val="single" w:sz="4" w:space="0" w:color="FFFFFF" w:themeColor="background1"/>
        <w:insideV w:val="single" w:sz="4" w:space="0" w:color="FFFFFF" w:themeColor="background1"/>
      </w:tblBorders>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6E69" w:themeFill="accent6" w:themeFillShade="99"/>
      </w:tcPr>
    </w:tblStylePr>
    <w:tblStylePr w:type="firstCol">
      <w:rPr>
        <w:color w:val="FFFFFF" w:themeColor="background1"/>
      </w:rPr>
      <w:tblPr/>
      <w:tcPr>
        <w:tcBorders>
          <w:top w:val="nil"/>
          <w:left w:val="nil"/>
          <w:bottom w:val="nil"/>
          <w:right w:val="nil"/>
          <w:insideH w:val="single" w:sz="4" w:space="0" w:color="596E69" w:themeColor="accent6" w:themeShade="99"/>
          <w:insideV w:val="nil"/>
        </w:tcBorders>
        <w:shd w:val="clear" w:color="auto" w:fill="596E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6E69" w:themeFill="accent6" w:themeFillShade="99"/>
      </w:tcPr>
    </w:tblStylePr>
    <w:tblStylePr w:type="band1Vert">
      <w:tblPr/>
      <w:tcPr>
        <w:shd w:val="clear" w:color="auto" w:fill="D7DFDD" w:themeFill="accent6" w:themeFillTint="66"/>
      </w:tcPr>
    </w:tblStylePr>
    <w:tblStylePr w:type="band1Horz">
      <w:tblPr/>
      <w:tcPr>
        <w:shd w:val="clear" w:color="auto" w:fill="CED7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923EE1"/>
    <w:rPr>
      <w:rFonts w:asciiTheme="minorHAnsi" w:hAnsiTheme="minorHAnsi" w:cstheme="minorHAnsi"/>
      <w:sz w:val="16"/>
      <w:szCs w:val="16"/>
    </w:rPr>
  </w:style>
  <w:style w:type="paragraph" w:styleId="CommentText">
    <w:name w:val="annotation text"/>
    <w:basedOn w:val="Normal"/>
    <w:link w:val="CommentTextChar"/>
    <w:semiHidden/>
    <w:rsid w:val="00923EE1"/>
    <w:pPr>
      <w:spacing w:line="240" w:lineRule="auto"/>
    </w:pPr>
  </w:style>
  <w:style w:type="character" w:customStyle="1" w:styleId="CommentTextChar">
    <w:name w:val="Comment Text Char"/>
    <w:basedOn w:val="DefaultParagraphFont"/>
    <w:link w:val="CommentText"/>
    <w:semiHidden/>
    <w:rsid w:val="00923EE1"/>
    <w:rPr>
      <w:rFonts w:asciiTheme="minorHAnsi" w:eastAsia="MS Mincho" w:hAnsiTheme="minorHAnsi"/>
      <w:color w:val="000000" w:themeColor="text2"/>
      <w:lang w:val="en-AU" w:eastAsia="ja-JP"/>
    </w:rPr>
  </w:style>
  <w:style w:type="paragraph" w:styleId="CommentSubject">
    <w:name w:val="annotation subject"/>
    <w:basedOn w:val="CommentText"/>
    <w:next w:val="CommentText"/>
    <w:link w:val="CommentSubjectChar"/>
    <w:uiPriority w:val="97"/>
    <w:semiHidden/>
    <w:rsid w:val="00923EE1"/>
    <w:rPr>
      <w:b/>
      <w:bCs/>
    </w:rPr>
  </w:style>
  <w:style w:type="character" w:customStyle="1" w:styleId="CommentSubjectChar">
    <w:name w:val="Comment Subject Char"/>
    <w:basedOn w:val="CommentTextChar"/>
    <w:link w:val="CommentSubject"/>
    <w:uiPriority w:val="97"/>
    <w:semiHidden/>
    <w:rsid w:val="00923EE1"/>
    <w:rPr>
      <w:rFonts w:asciiTheme="minorHAnsi" w:eastAsia="MS Mincho" w:hAnsiTheme="minorHAnsi"/>
      <w:b/>
      <w:bCs/>
      <w:color w:val="000000" w:themeColor="text2"/>
      <w:lang w:val="en-AU" w:eastAsia="ja-JP"/>
    </w:rPr>
  </w:style>
  <w:style w:type="table" w:styleId="DarkList">
    <w:name w:val="Dark List"/>
    <w:basedOn w:val="TableNormal"/>
    <w:uiPriority w:val="98"/>
    <w:rsid w:val="00923EE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923EE1"/>
    <w:rPr>
      <w:color w:val="FFFFFF" w:themeColor="background1"/>
    </w:rPr>
    <w:tblPr>
      <w:tblStyleRowBandSize w:val="1"/>
      <w:tblStyleColBandSize w:val="1"/>
    </w:tblPr>
    <w:tcPr>
      <w:shd w:val="clear" w:color="auto" w:fill="004976"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65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658" w:themeFill="accent1" w:themeFillShade="BF"/>
      </w:tcPr>
    </w:tblStylePr>
    <w:tblStylePr w:type="band1Vert">
      <w:tblPr/>
      <w:tcPr>
        <w:tcBorders>
          <w:top w:val="nil"/>
          <w:left w:val="nil"/>
          <w:bottom w:val="nil"/>
          <w:right w:val="nil"/>
          <w:insideH w:val="nil"/>
          <w:insideV w:val="nil"/>
        </w:tcBorders>
        <w:shd w:val="clear" w:color="auto" w:fill="003658" w:themeFill="accent1" w:themeFillShade="BF"/>
      </w:tcPr>
    </w:tblStylePr>
    <w:tblStylePr w:type="band1Horz">
      <w:tblPr/>
      <w:tcPr>
        <w:tcBorders>
          <w:top w:val="nil"/>
          <w:left w:val="nil"/>
          <w:bottom w:val="nil"/>
          <w:right w:val="nil"/>
          <w:insideH w:val="nil"/>
          <w:insideV w:val="nil"/>
        </w:tcBorders>
        <w:shd w:val="clear" w:color="auto" w:fill="003658" w:themeFill="accent1" w:themeFillShade="BF"/>
      </w:tcPr>
    </w:tblStylePr>
  </w:style>
  <w:style w:type="table" w:styleId="DarkList-Accent2">
    <w:name w:val="Dark List Accent 2"/>
    <w:basedOn w:val="TableNormal"/>
    <w:uiPriority w:val="98"/>
    <w:rsid w:val="00923EE1"/>
    <w:rPr>
      <w:color w:val="FFFFFF" w:themeColor="background1"/>
    </w:rPr>
    <w:tblPr>
      <w:tblStyleRowBandSize w:val="1"/>
      <w:tblStyleColBandSize w:val="1"/>
    </w:tblPr>
    <w:tcPr>
      <w:shd w:val="clear" w:color="auto" w:fill="FFB5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2" w:themeFillShade="BF"/>
      </w:tcPr>
    </w:tblStylePr>
    <w:tblStylePr w:type="band1Vert">
      <w:tblPr/>
      <w:tcPr>
        <w:tcBorders>
          <w:top w:val="nil"/>
          <w:left w:val="nil"/>
          <w:bottom w:val="nil"/>
          <w:right w:val="nil"/>
          <w:insideH w:val="nil"/>
          <w:insideV w:val="nil"/>
        </w:tcBorders>
        <w:shd w:val="clear" w:color="auto" w:fill="BF8700" w:themeFill="accent2" w:themeFillShade="BF"/>
      </w:tcPr>
    </w:tblStylePr>
    <w:tblStylePr w:type="band1Horz">
      <w:tblPr/>
      <w:tcPr>
        <w:tcBorders>
          <w:top w:val="nil"/>
          <w:left w:val="nil"/>
          <w:bottom w:val="nil"/>
          <w:right w:val="nil"/>
          <w:insideH w:val="nil"/>
          <w:insideV w:val="nil"/>
        </w:tcBorders>
        <w:shd w:val="clear" w:color="auto" w:fill="BF8700" w:themeFill="accent2" w:themeFillShade="BF"/>
      </w:tcPr>
    </w:tblStylePr>
  </w:style>
  <w:style w:type="table" w:styleId="DarkList-Accent3">
    <w:name w:val="Dark List Accent 3"/>
    <w:basedOn w:val="TableNormal"/>
    <w:uiPriority w:val="98"/>
    <w:rsid w:val="00923EE1"/>
    <w:rPr>
      <w:color w:val="FFFFFF" w:themeColor="background1"/>
    </w:rPr>
    <w:tblPr>
      <w:tblStyleRowBandSize w:val="1"/>
      <w:tblStyleColBandSize w:val="1"/>
    </w:tblPr>
    <w:tcPr>
      <w:shd w:val="clear" w:color="auto" w:fill="36573B"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2B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40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402C" w:themeFill="accent3" w:themeFillShade="BF"/>
      </w:tcPr>
    </w:tblStylePr>
    <w:tblStylePr w:type="band1Vert">
      <w:tblPr/>
      <w:tcPr>
        <w:tcBorders>
          <w:top w:val="nil"/>
          <w:left w:val="nil"/>
          <w:bottom w:val="nil"/>
          <w:right w:val="nil"/>
          <w:insideH w:val="nil"/>
          <w:insideV w:val="nil"/>
        </w:tcBorders>
        <w:shd w:val="clear" w:color="auto" w:fill="28402C" w:themeFill="accent3" w:themeFillShade="BF"/>
      </w:tcPr>
    </w:tblStylePr>
    <w:tblStylePr w:type="band1Horz">
      <w:tblPr/>
      <w:tcPr>
        <w:tcBorders>
          <w:top w:val="nil"/>
          <w:left w:val="nil"/>
          <w:bottom w:val="nil"/>
          <w:right w:val="nil"/>
          <w:insideH w:val="nil"/>
          <w:insideV w:val="nil"/>
        </w:tcBorders>
        <w:shd w:val="clear" w:color="auto" w:fill="28402C" w:themeFill="accent3" w:themeFillShade="BF"/>
      </w:tcPr>
    </w:tblStylePr>
  </w:style>
  <w:style w:type="table" w:styleId="DarkList-Accent4">
    <w:name w:val="Dark List Accent 4"/>
    <w:basedOn w:val="TableNormal"/>
    <w:uiPriority w:val="98"/>
    <w:rsid w:val="00923EE1"/>
    <w:rPr>
      <w:color w:val="FFFFFF" w:themeColor="background1"/>
    </w:rPr>
    <w:tblPr>
      <w:tblStyleRowBandSize w:val="1"/>
      <w:tblStyleColBandSize w:val="1"/>
    </w:tblPr>
    <w:tcPr>
      <w:shd w:val="clear" w:color="auto" w:fill="DC673B"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2F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61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61F" w:themeFill="accent4" w:themeFillShade="BF"/>
      </w:tcPr>
    </w:tblStylePr>
    <w:tblStylePr w:type="band1Vert">
      <w:tblPr/>
      <w:tcPr>
        <w:tcBorders>
          <w:top w:val="nil"/>
          <w:left w:val="nil"/>
          <w:bottom w:val="nil"/>
          <w:right w:val="nil"/>
          <w:insideH w:val="nil"/>
          <w:insideV w:val="nil"/>
        </w:tcBorders>
        <w:shd w:val="clear" w:color="auto" w:fill="B1461F" w:themeFill="accent4" w:themeFillShade="BF"/>
      </w:tcPr>
    </w:tblStylePr>
    <w:tblStylePr w:type="band1Horz">
      <w:tblPr/>
      <w:tcPr>
        <w:tcBorders>
          <w:top w:val="nil"/>
          <w:left w:val="nil"/>
          <w:bottom w:val="nil"/>
          <w:right w:val="nil"/>
          <w:insideH w:val="nil"/>
          <w:insideV w:val="nil"/>
        </w:tcBorders>
        <w:shd w:val="clear" w:color="auto" w:fill="B1461F" w:themeFill="accent4" w:themeFillShade="BF"/>
      </w:tcPr>
    </w:tblStylePr>
  </w:style>
  <w:style w:type="table" w:styleId="DarkList-Accent5">
    <w:name w:val="Dark List Accent 5"/>
    <w:basedOn w:val="TableNormal"/>
    <w:uiPriority w:val="98"/>
    <w:rsid w:val="00923EE1"/>
    <w:rPr>
      <w:color w:val="FFFFFF" w:themeColor="background1"/>
    </w:rPr>
    <w:tblPr>
      <w:tblStyleRowBandSize w:val="1"/>
      <w:tblStyleColBandSize w:val="1"/>
    </w:tblPr>
    <w:tcPr>
      <w:shd w:val="clear" w:color="auto" w:fill="B33D2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1E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52D1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52D1C" w:themeFill="accent5" w:themeFillShade="BF"/>
      </w:tcPr>
    </w:tblStylePr>
    <w:tblStylePr w:type="band1Vert">
      <w:tblPr/>
      <w:tcPr>
        <w:tcBorders>
          <w:top w:val="nil"/>
          <w:left w:val="nil"/>
          <w:bottom w:val="nil"/>
          <w:right w:val="nil"/>
          <w:insideH w:val="nil"/>
          <w:insideV w:val="nil"/>
        </w:tcBorders>
        <w:shd w:val="clear" w:color="auto" w:fill="852D1C" w:themeFill="accent5" w:themeFillShade="BF"/>
      </w:tcPr>
    </w:tblStylePr>
    <w:tblStylePr w:type="band1Horz">
      <w:tblPr/>
      <w:tcPr>
        <w:tcBorders>
          <w:top w:val="nil"/>
          <w:left w:val="nil"/>
          <w:bottom w:val="nil"/>
          <w:right w:val="nil"/>
          <w:insideH w:val="nil"/>
          <w:insideV w:val="nil"/>
        </w:tcBorders>
        <w:shd w:val="clear" w:color="auto" w:fill="852D1C" w:themeFill="accent5" w:themeFillShade="BF"/>
      </w:tcPr>
    </w:tblStylePr>
  </w:style>
  <w:style w:type="table" w:styleId="DarkList-Accent6">
    <w:name w:val="Dark List Accent 6"/>
    <w:basedOn w:val="TableNormal"/>
    <w:uiPriority w:val="98"/>
    <w:rsid w:val="00923EE1"/>
    <w:rPr>
      <w:color w:val="FFFFFF" w:themeColor="background1"/>
    </w:rPr>
    <w:tblPr>
      <w:tblStyleRowBandSize w:val="1"/>
      <w:tblStyleColBandSize w:val="1"/>
    </w:tblPr>
    <w:tcPr>
      <w:shd w:val="clear" w:color="auto" w:fill="9DB0AC"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B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F8A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F8A84" w:themeFill="accent6" w:themeFillShade="BF"/>
      </w:tcPr>
    </w:tblStylePr>
    <w:tblStylePr w:type="band1Vert">
      <w:tblPr/>
      <w:tcPr>
        <w:tcBorders>
          <w:top w:val="nil"/>
          <w:left w:val="nil"/>
          <w:bottom w:val="nil"/>
          <w:right w:val="nil"/>
          <w:insideH w:val="nil"/>
          <w:insideV w:val="nil"/>
        </w:tcBorders>
        <w:shd w:val="clear" w:color="auto" w:fill="6F8A84" w:themeFill="accent6" w:themeFillShade="BF"/>
      </w:tcPr>
    </w:tblStylePr>
    <w:tblStylePr w:type="band1Horz">
      <w:tblPr/>
      <w:tcPr>
        <w:tcBorders>
          <w:top w:val="nil"/>
          <w:left w:val="nil"/>
          <w:bottom w:val="nil"/>
          <w:right w:val="nil"/>
          <w:insideH w:val="nil"/>
          <w:insideV w:val="nil"/>
        </w:tcBorders>
        <w:shd w:val="clear" w:color="auto" w:fill="6F8A84" w:themeFill="accent6" w:themeFillShade="BF"/>
      </w:tcPr>
    </w:tblStylePr>
  </w:style>
  <w:style w:type="paragraph" w:customStyle="1" w:styleId="TableHeading">
    <w:name w:val="Table Heading"/>
    <w:basedOn w:val="TableText"/>
    <w:qFormat/>
    <w:rsid w:val="00923EE1"/>
    <w:rPr>
      <w:rFonts w:asciiTheme="majorHAnsi" w:hAnsiTheme="majorHAnsi"/>
      <w:b/>
    </w:rPr>
  </w:style>
  <w:style w:type="paragraph" w:styleId="DocumentMap">
    <w:name w:val="Document Map"/>
    <w:basedOn w:val="Normal"/>
    <w:link w:val="DocumentMapChar"/>
    <w:uiPriority w:val="97"/>
    <w:semiHidden/>
    <w:rsid w:val="00923EE1"/>
    <w:pPr>
      <w:spacing w:after="0" w:line="240" w:lineRule="auto"/>
    </w:pPr>
    <w:rPr>
      <w:sz w:val="16"/>
      <w:szCs w:val="16"/>
    </w:rPr>
  </w:style>
  <w:style w:type="character" w:customStyle="1" w:styleId="DocumentMapChar">
    <w:name w:val="Document Map Char"/>
    <w:basedOn w:val="DefaultParagraphFont"/>
    <w:link w:val="DocumentMap"/>
    <w:uiPriority w:val="97"/>
    <w:semiHidden/>
    <w:rsid w:val="00923EE1"/>
    <w:rPr>
      <w:rFonts w:asciiTheme="minorHAnsi" w:eastAsia="MS Mincho" w:hAnsiTheme="minorHAnsi"/>
      <w:color w:val="000000" w:themeColor="text2"/>
      <w:sz w:val="16"/>
      <w:szCs w:val="16"/>
      <w:lang w:val="en-AU" w:eastAsia="ja-JP"/>
    </w:rPr>
  </w:style>
  <w:style w:type="paragraph" w:styleId="E-mailSignature">
    <w:name w:val="E-mail Signature"/>
    <w:basedOn w:val="Normal"/>
    <w:link w:val="E-mailSignatureChar"/>
    <w:uiPriority w:val="97"/>
    <w:semiHidden/>
    <w:rsid w:val="00923EE1"/>
    <w:pPr>
      <w:spacing w:after="0" w:line="240" w:lineRule="auto"/>
    </w:pPr>
  </w:style>
  <w:style w:type="character" w:customStyle="1" w:styleId="E-mailSignatureChar">
    <w:name w:val="E-mail Signature Char"/>
    <w:basedOn w:val="DefaultParagraphFont"/>
    <w:link w:val="E-mailSignature"/>
    <w:uiPriority w:val="97"/>
    <w:semiHidden/>
    <w:rsid w:val="00923EE1"/>
    <w:rPr>
      <w:rFonts w:asciiTheme="minorHAnsi" w:eastAsia="MS Mincho" w:hAnsiTheme="minorHAnsi"/>
      <w:color w:val="000000" w:themeColor="text2"/>
      <w:lang w:val="en-AU" w:eastAsia="ja-JP"/>
    </w:rPr>
  </w:style>
  <w:style w:type="character" w:styleId="Emphasis">
    <w:name w:val="Emphasis"/>
    <w:basedOn w:val="DefaultParagraphFont"/>
    <w:uiPriority w:val="97"/>
    <w:semiHidden/>
    <w:rsid w:val="00923EE1"/>
    <w:rPr>
      <w:rFonts w:asciiTheme="minorHAnsi" w:hAnsiTheme="minorHAnsi" w:cstheme="minorHAnsi"/>
      <w:i/>
      <w:iCs/>
    </w:rPr>
  </w:style>
  <w:style w:type="character" w:styleId="EndnoteReference">
    <w:name w:val="endnote reference"/>
    <w:basedOn w:val="DefaultParagraphFont"/>
    <w:uiPriority w:val="97"/>
    <w:semiHidden/>
    <w:rsid w:val="00923EE1"/>
    <w:rPr>
      <w:rFonts w:asciiTheme="minorHAnsi" w:hAnsiTheme="minorHAnsi" w:cstheme="minorHAnsi"/>
      <w:vertAlign w:val="superscript"/>
    </w:rPr>
  </w:style>
  <w:style w:type="paragraph" w:styleId="EndnoteText">
    <w:name w:val="endnote text"/>
    <w:basedOn w:val="Normal"/>
    <w:link w:val="EndnoteTextChar"/>
    <w:uiPriority w:val="97"/>
    <w:semiHidden/>
    <w:rsid w:val="00923EE1"/>
    <w:pPr>
      <w:spacing w:after="0" w:line="240" w:lineRule="auto"/>
    </w:pPr>
  </w:style>
  <w:style w:type="character" w:customStyle="1" w:styleId="EndnoteTextChar">
    <w:name w:val="Endnote Text Char"/>
    <w:basedOn w:val="DefaultParagraphFont"/>
    <w:link w:val="EndnoteText"/>
    <w:uiPriority w:val="97"/>
    <w:semiHidden/>
    <w:rsid w:val="00923EE1"/>
    <w:rPr>
      <w:rFonts w:asciiTheme="minorHAnsi" w:eastAsia="MS Mincho" w:hAnsiTheme="minorHAnsi"/>
      <w:color w:val="000000" w:themeColor="text2"/>
      <w:lang w:val="en-AU" w:eastAsia="ja-JP"/>
    </w:rPr>
  </w:style>
  <w:style w:type="paragraph" w:styleId="EnvelopeAddress">
    <w:name w:val="envelope address"/>
    <w:basedOn w:val="Normal"/>
    <w:uiPriority w:val="97"/>
    <w:semiHidden/>
    <w:rsid w:val="00923EE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923EE1"/>
    <w:pPr>
      <w:spacing w:after="0" w:line="240" w:lineRule="auto"/>
    </w:pPr>
    <w:rPr>
      <w:rFonts w:eastAsiaTheme="majorEastAsia"/>
    </w:rPr>
  </w:style>
  <w:style w:type="character" w:styleId="FollowedHyperlink">
    <w:name w:val="FollowedHyperlink"/>
    <w:basedOn w:val="DefaultParagraphFont"/>
    <w:uiPriority w:val="99"/>
    <w:semiHidden/>
    <w:rsid w:val="00923EE1"/>
    <w:rPr>
      <w:rFonts w:asciiTheme="minorHAnsi" w:hAnsiTheme="minorHAnsi" w:cstheme="minorHAnsi"/>
      <w:color w:val="8C857B" w:themeColor="followedHyperlink"/>
      <w:u w:val="single"/>
    </w:rPr>
  </w:style>
  <w:style w:type="character" w:styleId="FootnoteReference">
    <w:name w:val="footnote reference"/>
    <w:basedOn w:val="DefaultParagraphFont"/>
    <w:uiPriority w:val="99"/>
    <w:semiHidden/>
    <w:rsid w:val="00923EE1"/>
    <w:rPr>
      <w:rFonts w:asciiTheme="minorHAnsi" w:hAnsiTheme="minorHAnsi" w:cstheme="minorHAnsi"/>
      <w:vertAlign w:val="superscript"/>
    </w:rPr>
  </w:style>
  <w:style w:type="character" w:styleId="HTMLAcronym">
    <w:name w:val="HTML Acronym"/>
    <w:basedOn w:val="DefaultParagraphFont"/>
    <w:uiPriority w:val="97"/>
    <w:semiHidden/>
    <w:rsid w:val="00923EE1"/>
    <w:rPr>
      <w:rFonts w:asciiTheme="minorHAnsi" w:hAnsiTheme="minorHAnsi" w:cstheme="minorHAnsi"/>
    </w:rPr>
  </w:style>
  <w:style w:type="paragraph" w:styleId="HTMLAddress">
    <w:name w:val="HTML Address"/>
    <w:basedOn w:val="Normal"/>
    <w:link w:val="HTMLAddressChar"/>
    <w:uiPriority w:val="97"/>
    <w:semiHidden/>
    <w:rsid w:val="00923EE1"/>
    <w:pPr>
      <w:spacing w:after="0" w:line="240" w:lineRule="auto"/>
    </w:pPr>
    <w:rPr>
      <w:i/>
      <w:iCs/>
    </w:rPr>
  </w:style>
  <w:style w:type="character" w:customStyle="1" w:styleId="HTMLAddressChar">
    <w:name w:val="HTML Address Char"/>
    <w:basedOn w:val="DefaultParagraphFont"/>
    <w:link w:val="HTMLAddress"/>
    <w:uiPriority w:val="97"/>
    <w:semiHidden/>
    <w:rsid w:val="00923EE1"/>
    <w:rPr>
      <w:rFonts w:asciiTheme="minorHAnsi" w:eastAsia="MS Mincho" w:hAnsiTheme="minorHAnsi"/>
      <w:i/>
      <w:iCs/>
      <w:color w:val="000000" w:themeColor="text2"/>
      <w:lang w:val="en-AU" w:eastAsia="ja-JP"/>
    </w:rPr>
  </w:style>
  <w:style w:type="character" w:styleId="HTMLCite">
    <w:name w:val="HTML Cite"/>
    <w:basedOn w:val="DefaultParagraphFont"/>
    <w:uiPriority w:val="97"/>
    <w:semiHidden/>
    <w:rsid w:val="00923EE1"/>
    <w:rPr>
      <w:rFonts w:asciiTheme="minorHAnsi" w:hAnsiTheme="minorHAnsi" w:cstheme="minorHAnsi"/>
      <w:i/>
      <w:iCs/>
    </w:rPr>
  </w:style>
  <w:style w:type="character" w:styleId="HTMLCode">
    <w:name w:val="HTML Code"/>
    <w:basedOn w:val="DefaultParagraphFont"/>
    <w:uiPriority w:val="97"/>
    <w:semiHidden/>
    <w:rsid w:val="00923EE1"/>
    <w:rPr>
      <w:rFonts w:ascii="Consolas" w:hAnsi="Consolas" w:cs="Consolas"/>
      <w:sz w:val="20"/>
      <w:szCs w:val="20"/>
    </w:rPr>
  </w:style>
  <w:style w:type="character" w:styleId="HTMLDefinition">
    <w:name w:val="HTML Definition"/>
    <w:basedOn w:val="DefaultParagraphFont"/>
    <w:uiPriority w:val="97"/>
    <w:semiHidden/>
    <w:rsid w:val="00923EE1"/>
    <w:rPr>
      <w:rFonts w:asciiTheme="minorHAnsi" w:hAnsiTheme="minorHAnsi" w:cstheme="minorHAnsi"/>
      <w:i/>
      <w:iCs/>
    </w:rPr>
  </w:style>
  <w:style w:type="character" w:styleId="HTMLKeyboard">
    <w:name w:val="HTML Keyboard"/>
    <w:basedOn w:val="DefaultParagraphFont"/>
    <w:uiPriority w:val="97"/>
    <w:semiHidden/>
    <w:rsid w:val="00923EE1"/>
    <w:rPr>
      <w:rFonts w:ascii="Consolas" w:hAnsi="Consolas" w:cs="Consolas"/>
      <w:sz w:val="20"/>
      <w:szCs w:val="20"/>
    </w:rPr>
  </w:style>
  <w:style w:type="paragraph" w:styleId="HTMLPreformatted">
    <w:name w:val="HTML Preformatted"/>
    <w:basedOn w:val="Normal"/>
    <w:link w:val="HTMLPreformattedChar"/>
    <w:uiPriority w:val="97"/>
    <w:semiHidden/>
    <w:rsid w:val="00923EE1"/>
    <w:pPr>
      <w:spacing w:after="0" w:line="240" w:lineRule="auto"/>
    </w:pPr>
  </w:style>
  <w:style w:type="character" w:customStyle="1" w:styleId="HTMLPreformattedChar">
    <w:name w:val="HTML Preformatted Char"/>
    <w:basedOn w:val="DefaultParagraphFont"/>
    <w:link w:val="HTMLPreformatted"/>
    <w:uiPriority w:val="97"/>
    <w:semiHidden/>
    <w:rsid w:val="00923EE1"/>
    <w:rPr>
      <w:rFonts w:asciiTheme="minorHAnsi" w:eastAsia="MS Mincho" w:hAnsiTheme="minorHAnsi"/>
      <w:color w:val="000000" w:themeColor="text2"/>
      <w:lang w:val="en-AU" w:eastAsia="ja-JP"/>
    </w:rPr>
  </w:style>
  <w:style w:type="character" w:styleId="HTMLSample">
    <w:name w:val="HTML Sample"/>
    <w:basedOn w:val="DefaultParagraphFont"/>
    <w:uiPriority w:val="97"/>
    <w:semiHidden/>
    <w:rsid w:val="00923EE1"/>
    <w:rPr>
      <w:rFonts w:ascii="Consolas" w:hAnsi="Consolas" w:cs="Consolas"/>
      <w:sz w:val="24"/>
      <w:szCs w:val="24"/>
    </w:rPr>
  </w:style>
  <w:style w:type="character" w:styleId="HTMLTypewriter">
    <w:name w:val="HTML Typewriter"/>
    <w:basedOn w:val="DefaultParagraphFont"/>
    <w:uiPriority w:val="97"/>
    <w:semiHidden/>
    <w:rsid w:val="00923EE1"/>
    <w:rPr>
      <w:rFonts w:ascii="Consolas" w:hAnsi="Consolas" w:cs="Consolas"/>
      <w:sz w:val="20"/>
      <w:szCs w:val="20"/>
    </w:rPr>
  </w:style>
  <w:style w:type="character" w:styleId="HTMLVariable">
    <w:name w:val="HTML Variable"/>
    <w:basedOn w:val="DefaultParagraphFont"/>
    <w:uiPriority w:val="97"/>
    <w:semiHidden/>
    <w:rsid w:val="00923EE1"/>
    <w:rPr>
      <w:rFonts w:asciiTheme="minorHAnsi" w:hAnsiTheme="minorHAnsi" w:cstheme="minorHAnsi"/>
      <w:i/>
      <w:iCs/>
    </w:rPr>
  </w:style>
  <w:style w:type="character" w:styleId="Hyperlink">
    <w:name w:val="Hyperlink"/>
    <w:basedOn w:val="DefaultParagraphFont"/>
    <w:uiPriority w:val="99"/>
    <w:rsid w:val="00923EE1"/>
    <w:rPr>
      <w:rFonts w:asciiTheme="minorHAnsi" w:hAnsiTheme="minorHAnsi" w:cstheme="minorHAnsi"/>
      <w:color w:val="004976" w:themeColor="hyperlink"/>
      <w:u w:val="single"/>
    </w:rPr>
  </w:style>
  <w:style w:type="paragraph" w:styleId="Index1">
    <w:name w:val="index 1"/>
    <w:basedOn w:val="Normal"/>
    <w:next w:val="Normal"/>
    <w:autoRedefine/>
    <w:uiPriority w:val="97"/>
    <w:semiHidden/>
    <w:rsid w:val="00923EE1"/>
    <w:pPr>
      <w:spacing w:after="0" w:line="240" w:lineRule="auto"/>
      <w:ind w:left="200" w:hanging="200"/>
    </w:pPr>
  </w:style>
  <w:style w:type="paragraph" w:styleId="Index2">
    <w:name w:val="index 2"/>
    <w:basedOn w:val="Normal"/>
    <w:next w:val="Normal"/>
    <w:autoRedefine/>
    <w:uiPriority w:val="97"/>
    <w:semiHidden/>
    <w:rsid w:val="00923EE1"/>
    <w:pPr>
      <w:spacing w:after="0" w:line="240" w:lineRule="auto"/>
      <w:ind w:left="400" w:hanging="200"/>
    </w:pPr>
  </w:style>
  <w:style w:type="paragraph" w:styleId="Index3">
    <w:name w:val="index 3"/>
    <w:basedOn w:val="Normal"/>
    <w:next w:val="Normal"/>
    <w:autoRedefine/>
    <w:uiPriority w:val="97"/>
    <w:semiHidden/>
    <w:rsid w:val="00923EE1"/>
    <w:pPr>
      <w:spacing w:after="0" w:line="240" w:lineRule="auto"/>
      <w:ind w:left="600" w:hanging="200"/>
    </w:pPr>
  </w:style>
  <w:style w:type="paragraph" w:styleId="Index4">
    <w:name w:val="index 4"/>
    <w:basedOn w:val="Normal"/>
    <w:next w:val="Normal"/>
    <w:autoRedefine/>
    <w:uiPriority w:val="97"/>
    <w:semiHidden/>
    <w:rsid w:val="00923EE1"/>
    <w:pPr>
      <w:spacing w:after="0" w:line="240" w:lineRule="auto"/>
      <w:ind w:left="800" w:hanging="200"/>
    </w:pPr>
  </w:style>
  <w:style w:type="paragraph" w:styleId="Index5">
    <w:name w:val="index 5"/>
    <w:basedOn w:val="Normal"/>
    <w:next w:val="Normal"/>
    <w:autoRedefine/>
    <w:uiPriority w:val="97"/>
    <w:semiHidden/>
    <w:rsid w:val="00923EE1"/>
    <w:pPr>
      <w:spacing w:after="0" w:line="240" w:lineRule="auto"/>
      <w:ind w:left="1000" w:hanging="200"/>
    </w:pPr>
  </w:style>
  <w:style w:type="paragraph" w:styleId="Index6">
    <w:name w:val="index 6"/>
    <w:basedOn w:val="Normal"/>
    <w:next w:val="Normal"/>
    <w:autoRedefine/>
    <w:uiPriority w:val="97"/>
    <w:semiHidden/>
    <w:rsid w:val="00923EE1"/>
    <w:pPr>
      <w:spacing w:after="0" w:line="240" w:lineRule="auto"/>
      <w:ind w:left="1200" w:hanging="200"/>
    </w:pPr>
  </w:style>
  <w:style w:type="paragraph" w:styleId="Index7">
    <w:name w:val="index 7"/>
    <w:basedOn w:val="Normal"/>
    <w:next w:val="Normal"/>
    <w:autoRedefine/>
    <w:uiPriority w:val="97"/>
    <w:semiHidden/>
    <w:rsid w:val="00923EE1"/>
    <w:pPr>
      <w:spacing w:after="0" w:line="240" w:lineRule="auto"/>
      <w:ind w:left="1400" w:hanging="200"/>
    </w:pPr>
  </w:style>
  <w:style w:type="paragraph" w:styleId="Index8">
    <w:name w:val="index 8"/>
    <w:basedOn w:val="Normal"/>
    <w:next w:val="Normal"/>
    <w:autoRedefine/>
    <w:uiPriority w:val="97"/>
    <w:semiHidden/>
    <w:rsid w:val="00923EE1"/>
    <w:pPr>
      <w:spacing w:after="0" w:line="240" w:lineRule="auto"/>
      <w:ind w:left="1600" w:hanging="200"/>
    </w:pPr>
  </w:style>
  <w:style w:type="paragraph" w:styleId="Index9">
    <w:name w:val="index 9"/>
    <w:basedOn w:val="Normal"/>
    <w:next w:val="Normal"/>
    <w:autoRedefine/>
    <w:uiPriority w:val="97"/>
    <w:semiHidden/>
    <w:rsid w:val="00923EE1"/>
    <w:pPr>
      <w:spacing w:after="0" w:line="240" w:lineRule="auto"/>
      <w:ind w:left="1800" w:hanging="200"/>
    </w:pPr>
  </w:style>
  <w:style w:type="paragraph" w:styleId="IndexHeading">
    <w:name w:val="index heading"/>
    <w:basedOn w:val="Normal"/>
    <w:next w:val="Index1"/>
    <w:uiPriority w:val="97"/>
    <w:semiHidden/>
    <w:rsid w:val="00923EE1"/>
    <w:rPr>
      <w:rFonts w:asciiTheme="majorHAnsi" w:eastAsiaTheme="majorEastAsia" w:hAnsiTheme="majorHAnsi" w:cstheme="majorHAnsi"/>
      <w:b/>
      <w:bCs/>
    </w:rPr>
  </w:style>
  <w:style w:type="character" w:styleId="IntenseEmphasis">
    <w:name w:val="Intense Emphasis"/>
    <w:basedOn w:val="DefaultParagraphFont"/>
    <w:uiPriority w:val="97"/>
    <w:semiHidden/>
    <w:rsid w:val="00923EE1"/>
    <w:rPr>
      <w:rFonts w:asciiTheme="minorHAnsi" w:hAnsiTheme="minorHAnsi" w:cstheme="minorHAnsi"/>
      <w:b/>
      <w:bCs/>
      <w:i/>
      <w:iCs/>
      <w:color w:val="004976" w:themeColor="accent1"/>
    </w:rPr>
  </w:style>
  <w:style w:type="paragraph" w:styleId="IntenseQuote">
    <w:name w:val="Intense Quote"/>
    <w:basedOn w:val="Normal"/>
    <w:next w:val="Normal"/>
    <w:link w:val="IntenseQuoteChar"/>
    <w:uiPriority w:val="97"/>
    <w:semiHidden/>
    <w:rsid w:val="00923EE1"/>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97"/>
    <w:semiHidden/>
    <w:rsid w:val="00923EE1"/>
    <w:rPr>
      <w:rFonts w:asciiTheme="minorHAnsi" w:eastAsia="MS Mincho" w:hAnsiTheme="minorHAnsi"/>
      <w:b/>
      <w:bCs/>
      <w:i/>
      <w:iCs/>
      <w:color w:val="004976" w:themeColor="accent1"/>
      <w:lang w:val="en-AU" w:eastAsia="ja-JP"/>
    </w:rPr>
  </w:style>
  <w:style w:type="character" w:styleId="IntenseReference">
    <w:name w:val="Intense Reference"/>
    <w:basedOn w:val="DefaultParagraphFont"/>
    <w:uiPriority w:val="97"/>
    <w:semiHidden/>
    <w:rsid w:val="00923EE1"/>
    <w:rPr>
      <w:rFonts w:asciiTheme="minorHAnsi" w:hAnsiTheme="minorHAnsi" w:cstheme="minorHAnsi"/>
      <w:b/>
      <w:bCs/>
      <w:smallCaps/>
      <w:color w:val="FFB500" w:themeColor="accent2"/>
      <w:spacing w:val="5"/>
      <w:u w:val="single"/>
    </w:rPr>
  </w:style>
  <w:style w:type="table" w:styleId="LightGrid">
    <w:name w:val="Light Grid"/>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4976" w:themeColor="accent1"/>
          <w:left w:val="single" w:sz="8" w:space="0" w:color="004976" w:themeColor="accent1"/>
          <w:bottom w:val="single" w:sz="18" w:space="0" w:color="004976" w:themeColor="accent1"/>
          <w:right w:val="single" w:sz="8" w:space="0" w:color="004976" w:themeColor="accent1"/>
          <w:insideH w:val="nil"/>
          <w:insideV w:val="single" w:sz="8" w:space="0" w:color="0049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insideH w:val="nil"/>
          <w:insideV w:val="single" w:sz="8" w:space="0" w:color="0049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9ED9FF" w:themeFill="accent1" w:themeFillTint="3F"/>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shd w:val="clear" w:color="auto" w:fill="9ED9FF" w:themeFill="accent1" w:themeFillTint="3F"/>
      </w:tcPr>
    </w:tblStylePr>
    <w:tblStylePr w:type="band2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tcPr>
    </w:tblStylePr>
  </w:style>
  <w:style w:type="table" w:styleId="LightGrid-Accent2">
    <w:name w:val="Light Grid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B500" w:themeColor="accent2"/>
          <w:left w:val="single" w:sz="8" w:space="0" w:color="FFB500" w:themeColor="accent2"/>
          <w:bottom w:val="single" w:sz="18" w:space="0" w:color="FFB500" w:themeColor="accent2"/>
          <w:right w:val="single" w:sz="8" w:space="0" w:color="FFB500" w:themeColor="accent2"/>
          <w:insideH w:val="nil"/>
          <w:insideV w:val="single" w:sz="8" w:space="0" w:color="FFB5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insideH w:val="nil"/>
          <w:insideV w:val="single" w:sz="8" w:space="0" w:color="FFB5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shd w:val="clear" w:color="auto" w:fill="FFECC0" w:themeFill="accent2" w:themeFillTint="3F"/>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shd w:val="clear" w:color="auto" w:fill="FFECC0" w:themeFill="accent2" w:themeFillTint="3F"/>
      </w:tcPr>
    </w:tblStylePr>
    <w:tblStylePr w:type="band2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tcPr>
    </w:tblStylePr>
  </w:style>
  <w:style w:type="table" w:styleId="LightGrid-Accent3">
    <w:name w:val="Light Grid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6573B" w:themeColor="accent3"/>
          <w:left w:val="single" w:sz="8" w:space="0" w:color="36573B" w:themeColor="accent3"/>
          <w:bottom w:val="single" w:sz="18" w:space="0" w:color="36573B" w:themeColor="accent3"/>
          <w:right w:val="single" w:sz="8" w:space="0" w:color="36573B" w:themeColor="accent3"/>
          <w:insideH w:val="nil"/>
          <w:insideV w:val="single" w:sz="8" w:space="0" w:color="3657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insideH w:val="nil"/>
          <w:insideV w:val="single" w:sz="8" w:space="0" w:color="3657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shd w:val="clear" w:color="auto" w:fill="C6DCC9" w:themeFill="accent3" w:themeFillTint="3F"/>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shd w:val="clear" w:color="auto" w:fill="C6DCC9" w:themeFill="accent3" w:themeFillTint="3F"/>
      </w:tcPr>
    </w:tblStylePr>
    <w:tblStylePr w:type="band2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tcPr>
    </w:tblStylePr>
  </w:style>
  <w:style w:type="table" w:styleId="LightGrid-Accent4">
    <w:name w:val="Light Grid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DC673B" w:themeColor="accent4"/>
          <w:left w:val="single" w:sz="8" w:space="0" w:color="DC673B" w:themeColor="accent4"/>
          <w:bottom w:val="single" w:sz="18" w:space="0" w:color="DC673B" w:themeColor="accent4"/>
          <w:right w:val="single" w:sz="8" w:space="0" w:color="DC673B" w:themeColor="accent4"/>
          <w:insideH w:val="nil"/>
          <w:insideV w:val="single" w:sz="8" w:space="0" w:color="DC67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insideH w:val="nil"/>
          <w:insideV w:val="single" w:sz="8" w:space="0" w:color="DC67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shd w:val="clear" w:color="auto" w:fill="F6D9CE" w:themeFill="accent4" w:themeFillTint="3F"/>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shd w:val="clear" w:color="auto" w:fill="F6D9CE" w:themeFill="accent4" w:themeFillTint="3F"/>
      </w:tcPr>
    </w:tblStylePr>
    <w:tblStylePr w:type="band2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tcPr>
    </w:tblStylePr>
  </w:style>
  <w:style w:type="table" w:styleId="LightGrid-Accent5">
    <w:name w:val="Light Grid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33D26" w:themeColor="accent5"/>
          <w:left w:val="single" w:sz="8" w:space="0" w:color="B33D26" w:themeColor="accent5"/>
          <w:bottom w:val="single" w:sz="18" w:space="0" w:color="B33D26" w:themeColor="accent5"/>
          <w:right w:val="single" w:sz="8" w:space="0" w:color="B33D26" w:themeColor="accent5"/>
          <w:insideH w:val="nil"/>
          <w:insideV w:val="single" w:sz="8" w:space="0" w:color="B33D2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insideH w:val="nil"/>
          <w:insideV w:val="single" w:sz="8" w:space="0" w:color="B33D2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shd w:val="clear" w:color="auto" w:fill="F2CAC3" w:themeFill="accent5" w:themeFillTint="3F"/>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shd w:val="clear" w:color="auto" w:fill="F2CAC3" w:themeFill="accent5" w:themeFillTint="3F"/>
      </w:tcPr>
    </w:tblStylePr>
    <w:tblStylePr w:type="band2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tcPr>
    </w:tblStylePr>
  </w:style>
  <w:style w:type="table" w:styleId="LightGrid-Accent6">
    <w:name w:val="Light Grid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DB0AC" w:themeColor="accent6"/>
          <w:left w:val="single" w:sz="8" w:space="0" w:color="9DB0AC" w:themeColor="accent6"/>
          <w:bottom w:val="single" w:sz="18" w:space="0" w:color="9DB0AC" w:themeColor="accent6"/>
          <w:right w:val="single" w:sz="8" w:space="0" w:color="9DB0AC" w:themeColor="accent6"/>
          <w:insideH w:val="nil"/>
          <w:insideV w:val="single" w:sz="8" w:space="0" w:color="9DB0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insideH w:val="nil"/>
          <w:insideV w:val="single" w:sz="8" w:space="0" w:color="9DB0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shd w:val="clear" w:color="auto" w:fill="E6EBEA" w:themeFill="accent6" w:themeFillTint="3F"/>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shd w:val="clear" w:color="auto" w:fill="E6EBEA" w:themeFill="accent6" w:themeFillTint="3F"/>
      </w:tcPr>
    </w:tblStylePr>
    <w:tblStylePr w:type="band2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tcPr>
    </w:tblStylePr>
  </w:style>
  <w:style w:type="table" w:styleId="LightList">
    <w:name w:val="Light List"/>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B500" w:themeFill="accent2"/>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style>
  <w:style w:type="table" w:styleId="LightList-Accent3">
    <w:name w:val="Light List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LightList-Accent6">
    <w:name w:val="Light List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LightShading">
    <w:name w:val="Light Shading"/>
    <w:basedOn w:val="TableNormal"/>
    <w:uiPriority w:val="98"/>
    <w:rsid w:val="00923EE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923EE1"/>
    <w:rPr>
      <w:color w:val="003658" w:themeColor="accent1" w:themeShade="BF"/>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4976" w:themeColor="accent1"/>
          <w:left w:val="nil"/>
          <w:bottom w:val="single" w:sz="8" w:space="0" w:color="004976" w:themeColor="accent1"/>
          <w:right w:val="nil"/>
          <w:insideH w:val="nil"/>
          <w:insideV w:val="nil"/>
        </w:tcBorders>
      </w:tcPr>
    </w:tblStylePr>
    <w:tblStylePr w:type="lastRow">
      <w:pPr>
        <w:spacing w:before="0" w:after="0" w:line="240" w:lineRule="auto"/>
      </w:pPr>
      <w:rPr>
        <w:b/>
        <w:bCs/>
      </w:rPr>
      <w:tblPr/>
      <w:tcPr>
        <w:tcBorders>
          <w:top w:val="single" w:sz="8" w:space="0" w:color="004976" w:themeColor="accent1"/>
          <w:left w:val="nil"/>
          <w:bottom w:val="single" w:sz="8" w:space="0" w:color="0049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left w:val="nil"/>
          <w:right w:val="nil"/>
          <w:insideH w:val="nil"/>
          <w:insideV w:val="nil"/>
        </w:tcBorders>
        <w:shd w:val="clear" w:color="auto" w:fill="9ED9FF" w:themeFill="accent1" w:themeFillTint="3F"/>
      </w:tcPr>
    </w:tblStylePr>
  </w:style>
  <w:style w:type="table" w:styleId="LightShading-Accent2">
    <w:name w:val="Light Shading Accent 2"/>
    <w:basedOn w:val="TableNormal"/>
    <w:uiPriority w:val="98"/>
    <w:rsid w:val="00923EE1"/>
    <w:rPr>
      <w:color w:val="BF8700" w:themeColor="accent2" w:themeShade="BF"/>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B500" w:themeColor="accent2"/>
          <w:left w:val="nil"/>
          <w:bottom w:val="single" w:sz="8" w:space="0" w:color="FFB500" w:themeColor="accent2"/>
          <w:right w:val="nil"/>
          <w:insideH w:val="nil"/>
          <w:insideV w:val="nil"/>
        </w:tcBorders>
      </w:tcPr>
    </w:tblStylePr>
    <w:tblStylePr w:type="lastRow">
      <w:pPr>
        <w:spacing w:before="0" w:after="0" w:line="240" w:lineRule="auto"/>
      </w:pPr>
      <w:rPr>
        <w:b/>
        <w:bCs/>
      </w:rPr>
      <w:tblPr/>
      <w:tcPr>
        <w:tcBorders>
          <w:top w:val="single" w:sz="8" w:space="0" w:color="FFB500" w:themeColor="accent2"/>
          <w:left w:val="nil"/>
          <w:bottom w:val="single" w:sz="8" w:space="0" w:color="FFB5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left w:val="nil"/>
          <w:right w:val="nil"/>
          <w:insideH w:val="nil"/>
          <w:insideV w:val="nil"/>
        </w:tcBorders>
        <w:shd w:val="clear" w:color="auto" w:fill="FFECC0" w:themeFill="accent2" w:themeFillTint="3F"/>
      </w:tcPr>
    </w:tblStylePr>
  </w:style>
  <w:style w:type="table" w:styleId="LightShading-Accent3">
    <w:name w:val="Light Shading Accent 3"/>
    <w:basedOn w:val="TableNormal"/>
    <w:uiPriority w:val="98"/>
    <w:rsid w:val="00923EE1"/>
    <w:rPr>
      <w:color w:val="28402C" w:themeColor="accent3" w:themeShade="BF"/>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6573B" w:themeColor="accent3"/>
          <w:left w:val="nil"/>
          <w:bottom w:val="single" w:sz="8" w:space="0" w:color="36573B" w:themeColor="accent3"/>
          <w:right w:val="nil"/>
          <w:insideH w:val="nil"/>
          <w:insideV w:val="nil"/>
        </w:tcBorders>
      </w:tcPr>
    </w:tblStylePr>
    <w:tblStylePr w:type="lastRow">
      <w:pPr>
        <w:spacing w:before="0" w:after="0" w:line="240" w:lineRule="auto"/>
      </w:pPr>
      <w:rPr>
        <w:b/>
        <w:bCs/>
      </w:rPr>
      <w:tblPr/>
      <w:tcPr>
        <w:tcBorders>
          <w:top w:val="single" w:sz="8" w:space="0" w:color="36573B" w:themeColor="accent3"/>
          <w:left w:val="nil"/>
          <w:bottom w:val="single" w:sz="8" w:space="0" w:color="3657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left w:val="nil"/>
          <w:right w:val="nil"/>
          <w:insideH w:val="nil"/>
          <w:insideV w:val="nil"/>
        </w:tcBorders>
        <w:shd w:val="clear" w:color="auto" w:fill="C6DCC9" w:themeFill="accent3" w:themeFillTint="3F"/>
      </w:tcPr>
    </w:tblStylePr>
  </w:style>
  <w:style w:type="table" w:styleId="LightShading-Accent4">
    <w:name w:val="Light Shading Accent 4"/>
    <w:basedOn w:val="TableNormal"/>
    <w:uiPriority w:val="98"/>
    <w:rsid w:val="00923EE1"/>
    <w:rPr>
      <w:color w:val="B1461F" w:themeColor="accent4" w:themeShade="BF"/>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DC673B" w:themeColor="accent4"/>
          <w:left w:val="nil"/>
          <w:bottom w:val="single" w:sz="8" w:space="0" w:color="DC673B" w:themeColor="accent4"/>
          <w:right w:val="nil"/>
          <w:insideH w:val="nil"/>
          <w:insideV w:val="nil"/>
        </w:tcBorders>
      </w:tcPr>
    </w:tblStylePr>
    <w:tblStylePr w:type="lastRow">
      <w:pPr>
        <w:spacing w:before="0" w:after="0" w:line="240" w:lineRule="auto"/>
      </w:pPr>
      <w:rPr>
        <w:b/>
        <w:bCs/>
      </w:rPr>
      <w:tblPr/>
      <w:tcPr>
        <w:tcBorders>
          <w:top w:val="single" w:sz="8" w:space="0" w:color="DC673B" w:themeColor="accent4"/>
          <w:left w:val="nil"/>
          <w:bottom w:val="single" w:sz="8" w:space="0" w:color="DC67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left w:val="nil"/>
          <w:right w:val="nil"/>
          <w:insideH w:val="nil"/>
          <w:insideV w:val="nil"/>
        </w:tcBorders>
        <w:shd w:val="clear" w:color="auto" w:fill="F6D9CE" w:themeFill="accent4" w:themeFillTint="3F"/>
      </w:tcPr>
    </w:tblStylePr>
  </w:style>
  <w:style w:type="table" w:styleId="LightShading-Accent5">
    <w:name w:val="Light Shading Accent 5"/>
    <w:basedOn w:val="TableNormal"/>
    <w:uiPriority w:val="98"/>
    <w:rsid w:val="00923EE1"/>
    <w:rPr>
      <w:color w:val="852D1C" w:themeColor="accent5" w:themeShade="BF"/>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33D26" w:themeColor="accent5"/>
          <w:left w:val="nil"/>
          <w:bottom w:val="single" w:sz="8" w:space="0" w:color="B33D26" w:themeColor="accent5"/>
          <w:right w:val="nil"/>
          <w:insideH w:val="nil"/>
          <w:insideV w:val="nil"/>
        </w:tcBorders>
      </w:tcPr>
    </w:tblStylePr>
    <w:tblStylePr w:type="lastRow">
      <w:pPr>
        <w:spacing w:before="0" w:after="0" w:line="240" w:lineRule="auto"/>
      </w:pPr>
      <w:rPr>
        <w:b/>
        <w:bCs/>
      </w:rPr>
      <w:tblPr/>
      <w:tcPr>
        <w:tcBorders>
          <w:top w:val="single" w:sz="8" w:space="0" w:color="B33D26" w:themeColor="accent5"/>
          <w:left w:val="nil"/>
          <w:bottom w:val="single" w:sz="8" w:space="0" w:color="B33D2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left w:val="nil"/>
          <w:right w:val="nil"/>
          <w:insideH w:val="nil"/>
          <w:insideV w:val="nil"/>
        </w:tcBorders>
        <w:shd w:val="clear" w:color="auto" w:fill="F2CAC3" w:themeFill="accent5" w:themeFillTint="3F"/>
      </w:tcPr>
    </w:tblStylePr>
  </w:style>
  <w:style w:type="table" w:styleId="LightShading-Accent6">
    <w:name w:val="Light Shading Accent 6"/>
    <w:basedOn w:val="TableNormal"/>
    <w:uiPriority w:val="98"/>
    <w:rsid w:val="00923EE1"/>
    <w:rPr>
      <w:color w:val="6F8A84" w:themeColor="accent6" w:themeShade="BF"/>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DB0AC" w:themeColor="accent6"/>
          <w:left w:val="nil"/>
          <w:bottom w:val="single" w:sz="8" w:space="0" w:color="9DB0AC" w:themeColor="accent6"/>
          <w:right w:val="nil"/>
          <w:insideH w:val="nil"/>
          <w:insideV w:val="nil"/>
        </w:tcBorders>
      </w:tcPr>
    </w:tblStylePr>
    <w:tblStylePr w:type="lastRow">
      <w:pPr>
        <w:spacing w:before="0" w:after="0" w:line="240" w:lineRule="auto"/>
      </w:pPr>
      <w:rPr>
        <w:b/>
        <w:bCs/>
      </w:rPr>
      <w:tblPr/>
      <w:tcPr>
        <w:tcBorders>
          <w:top w:val="single" w:sz="8" w:space="0" w:color="9DB0AC" w:themeColor="accent6"/>
          <w:left w:val="nil"/>
          <w:bottom w:val="single" w:sz="8" w:space="0" w:color="9DB0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left w:val="nil"/>
          <w:right w:val="nil"/>
          <w:insideH w:val="nil"/>
          <w:insideV w:val="nil"/>
        </w:tcBorders>
        <w:shd w:val="clear" w:color="auto" w:fill="E6EBEA" w:themeFill="accent6" w:themeFillTint="3F"/>
      </w:tcPr>
    </w:tblStylePr>
  </w:style>
  <w:style w:type="character" w:styleId="LineNumber">
    <w:name w:val="line number"/>
    <w:basedOn w:val="DefaultParagraphFont"/>
    <w:uiPriority w:val="97"/>
    <w:semiHidden/>
    <w:rsid w:val="00923EE1"/>
    <w:rPr>
      <w:rFonts w:asciiTheme="minorHAnsi" w:hAnsiTheme="minorHAnsi" w:cstheme="minorHAnsi"/>
    </w:rPr>
  </w:style>
  <w:style w:type="paragraph" w:styleId="List">
    <w:name w:val="List"/>
    <w:basedOn w:val="Normal"/>
    <w:uiPriority w:val="4"/>
    <w:semiHidden/>
    <w:rsid w:val="00923EE1"/>
    <w:pPr>
      <w:ind w:left="283" w:hanging="283"/>
      <w:contextualSpacing/>
    </w:pPr>
  </w:style>
  <w:style w:type="paragraph" w:styleId="List2">
    <w:name w:val="List 2"/>
    <w:basedOn w:val="Normal"/>
    <w:uiPriority w:val="4"/>
    <w:semiHidden/>
    <w:rsid w:val="00923EE1"/>
    <w:pPr>
      <w:ind w:left="566" w:hanging="283"/>
      <w:contextualSpacing/>
    </w:pPr>
  </w:style>
  <w:style w:type="paragraph" w:styleId="List3">
    <w:name w:val="List 3"/>
    <w:basedOn w:val="Normal"/>
    <w:uiPriority w:val="4"/>
    <w:semiHidden/>
    <w:rsid w:val="00923EE1"/>
    <w:pPr>
      <w:ind w:left="849" w:hanging="283"/>
      <w:contextualSpacing/>
    </w:pPr>
  </w:style>
  <w:style w:type="paragraph" w:styleId="List4">
    <w:name w:val="List 4"/>
    <w:basedOn w:val="Normal"/>
    <w:uiPriority w:val="4"/>
    <w:semiHidden/>
    <w:rsid w:val="00923EE1"/>
    <w:pPr>
      <w:ind w:left="1132" w:hanging="283"/>
      <w:contextualSpacing/>
    </w:pPr>
  </w:style>
  <w:style w:type="numbering" w:customStyle="1" w:styleId="ListNumbers">
    <w:name w:val="ListNumbers"/>
    <w:uiPriority w:val="99"/>
    <w:rsid w:val="00923EE1"/>
    <w:pPr>
      <w:numPr>
        <w:numId w:val="4"/>
      </w:numPr>
    </w:pPr>
  </w:style>
  <w:style w:type="paragraph" w:styleId="ListBullet2">
    <w:name w:val="List Bullet 2"/>
    <w:basedOn w:val="Normal"/>
    <w:uiPriority w:val="2"/>
    <w:qFormat/>
    <w:rsid w:val="00923EE1"/>
    <w:pPr>
      <w:ind w:left="396" w:hanging="198"/>
      <w:contextualSpacing/>
    </w:pPr>
  </w:style>
  <w:style w:type="paragraph" w:styleId="ListBullet3">
    <w:name w:val="List Bullet 3"/>
    <w:basedOn w:val="Normal"/>
    <w:uiPriority w:val="2"/>
    <w:rsid w:val="00923EE1"/>
    <w:pPr>
      <w:ind w:left="594" w:hanging="198"/>
      <w:contextualSpacing/>
    </w:pPr>
  </w:style>
  <w:style w:type="paragraph" w:styleId="ListBullet4">
    <w:name w:val="List Bullet 4"/>
    <w:basedOn w:val="Normal"/>
    <w:uiPriority w:val="2"/>
    <w:semiHidden/>
    <w:rsid w:val="00923EE1"/>
    <w:pPr>
      <w:numPr>
        <w:numId w:val="7"/>
      </w:numPr>
      <w:contextualSpacing/>
    </w:pPr>
  </w:style>
  <w:style w:type="paragraph" w:styleId="ListBullet5">
    <w:name w:val="List Bullet 5"/>
    <w:basedOn w:val="Normal"/>
    <w:uiPriority w:val="2"/>
    <w:semiHidden/>
    <w:rsid w:val="00923EE1"/>
    <w:pPr>
      <w:numPr>
        <w:numId w:val="8"/>
      </w:numPr>
      <w:contextualSpacing/>
    </w:pPr>
  </w:style>
  <w:style w:type="paragraph" w:styleId="ListContinue">
    <w:name w:val="List Continue"/>
    <w:basedOn w:val="Normal"/>
    <w:uiPriority w:val="18"/>
    <w:semiHidden/>
    <w:rsid w:val="00923EE1"/>
    <w:pPr>
      <w:ind w:left="283"/>
      <w:contextualSpacing/>
    </w:pPr>
  </w:style>
  <w:style w:type="paragraph" w:styleId="ListContinue2">
    <w:name w:val="List Continue 2"/>
    <w:basedOn w:val="Normal"/>
    <w:uiPriority w:val="18"/>
    <w:semiHidden/>
    <w:rsid w:val="00923EE1"/>
    <w:pPr>
      <w:ind w:left="566"/>
      <w:contextualSpacing/>
    </w:pPr>
  </w:style>
  <w:style w:type="paragraph" w:styleId="ListContinue3">
    <w:name w:val="List Continue 3"/>
    <w:basedOn w:val="Normal"/>
    <w:uiPriority w:val="18"/>
    <w:semiHidden/>
    <w:rsid w:val="00923EE1"/>
    <w:pPr>
      <w:ind w:left="849"/>
      <w:contextualSpacing/>
    </w:pPr>
  </w:style>
  <w:style w:type="paragraph" w:styleId="ListContinue4">
    <w:name w:val="List Continue 4"/>
    <w:basedOn w:val="Normal"/>
    <w:uiPriority w:val="18"/>
    <w:semiHidden/>
    <w:rsid w:val="00923EE1"/>
    <w:pPr>
      <w:ind w:left="1132"/>
      <w:contextualSpacing/>
    </w:pPr>
  </w:style>
  <w:style w:type="paragraph" w:styleId="ListContinue5">
    <w:name w:val="List Continue 5"/>
    <w:basedOn w:val="Normal"/>
    <w:uiPriority w:val="18"/>
    <w:semiHidden/>
    <w:rsid w:val="00923EE1"/>
    <w:pPr>
      <w:ind w:left="1415"/>
      <w:contextualSpacing/>
    </w:pPr>
  </w:style>
  <w:style w:type="paragraph" w:styleId="ListNumber">
    <w:name w:val="List Number"/>
    <w:basedOn w:val="Normal"/>
    <w:uiPriority w:val="3"/>
    <w:qFormat/>
    <w:rsid w:val="00923EE1"/>
    <w:pPr>
      <w:numPr>
        <w:numId w:val="12"/>
      </w:numPr>
      <w:contextualSpacing/>
    </w:pPr>
  </w:style>
  <w:style w:type="paragraph" w:styleId="ListNumber2">
    <w:name w:val="List Number 2"/>
    <w:basedOn w:val="Normal"/>
    <w:uiPriority w:val="3"/>
    <w:qFormat/>
    <w:rsid w:val="00923EE1"/>
    <w:pPr>
      <w:numPr>
        <w:ilvl w:val="1"/>
        <w:numId w:val="12"/>
      </w:numPr>
      <w:contextualSpacing/>
    </w:pPr>
  </w:style>
  <w:style w:type="paragraph" w:styleId="ListNumber4">
    <w:name w:val="List Number 4"/>
    <w:basedOn w:val="Normal"/>
    <w:uiPriority w:val="3"/>
    <w:semiHidden/>
    <w:rsid w:val="00923EE1"/>
    <w:pPr>
      <w:numPr>
        <w:numId w:val="9"/>
      </w:numPr>
      <w:contextualSpacing/>
    </w:pPr>
  </w:style>
  <w:style w:type="paragraph" w:styleId="ListNumber5">
    <w:name w:val="List Number 5"/>
    <w:basedOn w:val="Normal"/>
    <w:uiPriority w:val="3"/>
    <w:semiHidden/>
    <w:rsid w:val="00923EE1"/>
    <w:pPr>
      <w:numPr>
        <w:numId w:val="10"/>
      </w:numPr>
      <w:contextualSpacing/>
    </w:pPr>
  </w:style>
  <w:style w:type="paragraph" w:styleId="ListParagraph">
    <w:name w:val="List Paragraph"/>
    <w:aliases w:val="List Bullet Cab,CAB - List Bullet,Bulleted Para,Bulletr List Paragraph,DDM Gen Text,FooterText,L,List Paragraph1,List Paragraph11,List Paragraph2,List Paragraph21,Listeafsnit1,NFP GP Bulleted List,Paragraphe de liste1,Parágrafo da Lista1"/>
    <w:basedOn w:val="Normal"/>
    <w:link w:val="ListParagraphChar"/>
    <w:uiPriority w:val="34"/>
    <w:qFormat/>
    <w:rsid w:val="00923EE1"/>
    <w:pPr>
      <w:ind w:left="720"/>
      <w:contextualSpacing/>
    </w:pPr>
  </w:style>
  <w:style w:type="paragraph" w:styleId="MacroText">
    <w:name w:val="macro"/>
    <w:link w:val="MacroTextChar"/>
    <w:uiPriority w:val="97"/>
    <w:semiHidden/>
    <w:rsid w:val="00923EE1"/>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7"/>
    <w:semiHidden/>
    <w:rsid w:val="00923EE1"/>
    <w:rPr>
      <w:rFonts w:asciiTheme="minorHAnsi" w:hAnsiTheme="minorHAnsi" w:cstheme="minorHAnsi"/>
      <w:kern w:val="20"/>
      <w:lang w:val="en-AU" w:eastAsia="zh-CN"/>
    </w:rPr>
  </w:style>
  <w:style w:type="table" w:styleId="MediumGrid1">
    <w:name w:val="Medium Grid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insideV w:val="single" w:sz="8" w:space="0" w:color="0085D8" w:themeColor="accent1" w:themeTint="BF"/>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5D8" w:themeColor="accent1" w:themeTint="BF"/>
        </w:tcBorders>
      </w:tcPr>
    </w:tblStylePr>
    <w:tblStylePr w:type="firstCol">
      <w:rPr>
        <w:b/>
        <w:bCs/>
      </w:rPr>
    </w:tblStylePr>
    <w:tblStylePr w:type="lastCol">
      <w:rPr>
        <w:b/>
        <w:bCs/>
      </w:r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MediumGrid1-Accent2">
    <w:name w:val="Medium Grid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insideV w:val="single" w:sz="8" w:space="0" w:color="FFC740" w:themeColor="accent2" w:themeTint="BF"/>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C740" w:themeColor="accent2" w:themeTint="BF"/>
        </w:tcBorders>
      </w:tcPr>
    </w:tblStylePr>
    <w:tblStylePr w:type="firstCol">
      <w:rPr>
        <w:b/>
        <w:bCs/>
      </w:rPr>
    </w:tblStylePr>
    <w:tblStylePr w:type="lastCol">
      <w:rPr>
        <w:b/>
        <w:bCs/>
      </w:r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MediumGrid1-Accent3">
    <w:name w:val="Medium Grid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insideV w:val="single" w:sz="8" w:space="0" w:color="598F61" w:themeColor="accent3" w:themeTint="BF"/>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598F61" w:themeColor="accent3" w:themeTint="BF"/>
        </w:tcBorders>
      </w:tcPr>
    </w:tblStylePr>
    <w:tblStylePr w:type="firstCol">
      <w:rPr>
        <w:b/>
        <w:bCs/>
      </w:rPr>
    </w:tblStylePr>
    <w:tblStylePr w:type="lastCol">
      <w:rPr>
        <w:b/>
        <w:bCs/>
      </w:r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MediumGrid1-Accent4">
    <w:name w:val="Medium Grid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insideV w:val="single" w:sz="8" w:space="0" w:color="E48C6B" w:themeColor="accent4" w:themeTint="BF"/>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48C6B" w:themeColor="accent4" w:themeTint="BF"/>
        </w:tcBorders>
      </w:tcPr>
    </w:tblStylePr>
    <w:tblStylePr w:type="firstCol">
      <w:rPr>
        <w:b/>
        <w:bCs/>
      </w:rPr>
    </w:tblStylePr>
    <w:tblStylePr w:type="lastCol">
      <w:rPr>
        <w:b/>
        <w:bCs/>
      </w:r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MediumGrid1-Accent5">
    <w:name w:val="Medium Grid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insideV w:val="single" w:sz="8" w:space="0" w:color="D86049" w:themeColor="accent5" w:themeTint="BF"/>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86049" w:themeColor="accent5" w:themeTint="BF"/>
        </w:tcBorders>
      </w:tcPr>
    </w:tblStylePr>
    <w:tblStylePr w:type="firstCol">
      <w:rPr>
        <w:b/>
        <w:bCs/>
      </w:rPr>
    </w:tblStylePr>
    <w:tblStylePr w:type="lastCol">
      <w:rPr>
        <w:b/>
        <w:bCs/>
      </w:r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MediumGrid1-Accent6">
    <w:name w:val="Medium Grid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insideV w:val="single" w:sz="8" w:space="0" w:color="B5C3C0" w:themeColor="accent6" w:themeTint="BF"/>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5C3C0" w:themeColor="accent6" w:themeTint="BF"/>
        </w:tcBorders>
      </w:tcPr>
    </w:tblStylePr>
    <w:tblStylePr w:type="firstCol">
      <w:rPr>
        <w:b/>
        <w:bCs/>
      </w:rPr>
    </w:tblStylePr>
    <w:tblStylePr w:type="lastCol">
      <w:rPr>
        <w:b/>
        <w:bCs/>
      </w:r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MediumGrid2">
    <w:name w:val="Medium Grid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tcBorders>
          <w:insideH w:val="single" w:sz="6" w:space="0" w:color="004976" w:themeColor="accent1"/>
          <w:insideV w:val="single" w:sz="6" w:space="0" w:color="004976" w:themeColor="accent1"/>
        </w:tcBorders>
        <w:shd w:val="clear" w:color="auto" w:fill="3BB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2" w:themeFillTint="33"/>
      </w:tcPr>
    </w:tblStylePr>
    <w:tblStylePr w:type="band1Vert">
      <w:tblPr/>
      <w:tcPr>
        <w:shd w:val="clear" w:color="auto" w:fill="FFDA80" w:themeFill="accent2" w:themeFillTint="7F"/>
      </w:tcPr>
    </w:tblStylePr>
    <w:tblStylePr w:type="band1Horz">
      <w:tblPr/>
      <w:tcPr>
        <w:tcBorders>
          <w:insideH w:val="single" w:sz="6" w:space="0" w:color="FFB500" w:themeColor="accent2"/>
          <w:insideV w:val="single" w:sz="6" w:space="0" w:color="FFB500" w:themeColor="accent2"/>
        </w:tcBorders>
        <w:shd w:val="clear" w:color="auto" w:fill="FFDA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8F1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2D3" w:themeFill="accent3" w:themeFillTint="33"/>
      </w:tcPr>
    </w:tblStylePr>
    <w:tblStylePr w:type="band1Vert">
      <w:tblPr/>
      <w:tcPr>
        <w:shd w:val="clear" w:color="auto" w:fill="8DB893" w:themeFill="accent3" w:themeFillTint="7F"/>
      </w:tcPr>
    </w:tblStylePr>
    <w:tblStylePr w:type="band1Horz">
      <w:tblPr/>
      <w:tcPr>
        <w:tcBorders>
          <w:insideH w:val="single" w:sz="6" w:space="0" w:color="36573B" w:themeColor="accent3"/>
          <w:insideV w:val="single" w:sz="6" w:space="0" w:color="36573B" w:themeColor="accent3"/>
        </w:tcBorders>
        <w:shd w:val="clear" w:color="auto" w:fill="8DB89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F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0D7" w:themeFill="accent4" w:themeFillTint="33"/>
      </w:tcPr>
    </w:tblStylePr>
    <w:tblStylePr w:type="band1Vert">
      <w:tblPr/>
      <w:tcPr>
        <w:shd w:val="clear" w:color="auto" w:fill="EDB29D" w:themeFill="accent4" w:themeFillTint="7F"/>
      </w:tcPr>
    </w:tblStylePr>
    <w:tblStylePr w:type="band1Horz">
      <w:tblPr/>
      <w:tcPr>
        <w:tcBorders>
          <w:insideH w:val="single" w:sz="6" w:space="0" w:color="DC673B" w:themeColor="accent4"/>
          <w:insideV w:val="single" w:sz="6" w:space="0" w:color="DC673B" w:themeColor="accent4"/>
        </w:tcBorders>
        <w:shd w:val="clear" w:color="auto" w:fill="EDB2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AE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4CE" w:themeFill="accent5" w:themeFillTint="33"/>
      </w:tcPr>
    </w:tblStylePr>
    <w:tblStylePr w:type="band1Vert">
      <w:tblPr/>
      <w:tcPr>
        <w:shd w:val="clear" w:color="auto" w:fill="E59586" w:themeFill="accent5" w:themeFillTint="7F"/>
      </w:tcPr>
    </w:tblStylePr>
    <w:tblStylePr w:type="band1Horz">
      <w:tblPr/>
      <w:tcPr>
        <w:tcBorders>
          <w:insideH w:val="single" w:sz="6" w:space="0" w:color="B33D26" w:themeColor="accent5"/>
          <w:insideV w:val="single" w:sz="6" w:space="0" w:color="B33D26" w:themeColor="accent5"/>
        </w:tcBorders>
        <w:shd w:val="clear" w:color="auto" w:fill="E595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FEE" w:themeFill="accent6" w:themeFillTint="33"/>
      </w:tcPr>
    </w:tblStylePr>
    <w:tblStylePr w:type="band1Vert">
      <w:tblPr/>
      <w:tcPr>
        <w:shd w:val="clear" w:color="auto" w:fill="CED7D5" w:themeFill="accent6" w:themeFillTint="7F"/>
      </w:tcPr>
    </w:tblStylePr>
    <w:tblStylePr w:type="band1Horz">
      <w:tblPr/>
      <w:tcPr>
        <w:tcBorders>
          <w:insideH w:val="single" w:sz="6" w:space="0" w:color="9DB0AC" w:themeColor="accent6"/>
          <w:insideV w:val="single" w:sz="6" w:space="0" w:color="9DB0AC" w:themeColor="accent6"/>
        </w:tcBorders>
        <w:shd w:val="clear" w:color="auto" w:fill="CED7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B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B3FF" w:themeFill="accent1" w:themeFillTint="7F"/>
      </w:tcPr>
    </w:tblStylePr>
  </w:style>
  <w:style w:type="table" w:styleId="MediumGrid3-Accent2">
    <w:name w:val="Medium Grid 3 Accent 2"/>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2" w:themeFillTint="7F"/>
      </w:tcPr>
    </w:tblStylePr>
  </w:style>
  <w:style w:type="table" w:styleId="MediumGrid3-Accent3">
    <w:name w:val="Medium Grid 3 Accent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57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57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B89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B893" w:themeFill="accent3" w:themeFillTint="7F"/>
      </w:tcPr>
    </w:tblStylePr>
  </w:style>
  <w:style w:type="table" w:styleId="MediumGrid3-Accent4">
    <w:name w:val="Medium Grid 3 Accent 4"/>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67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67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B2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B29D" w:themeFill="accent4" w:themeFillTint="7F"/>
      </w:tcPr>
    </w:tblStylePr>
  </w:style>
  <w:style w:type="table" w:styleId="MediumGrid3-Accent5">
    <w:name w:val="Medium Grid 3 Accent 5"/>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D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D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5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586" w:themeFill="accent5" w:themeFillTint="7F"/>
      </w:tcPr>
    </w:tblStylePr>
  </w:style>
  <w:style w:type="table" w:styleId="MediumGrid3-Accent6">
    <w:name w:val="Medium Grid 3 Accent 6"/>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B0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B0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7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7D5" w:themeFill="accent6" w:themeFillTint="7F"/>
      </w:tcPr>
    </w:tblStylePr>
  </w:style>
  <w:style w:type="table" w:styleId="MediumList1">
    <w:name w:val="Medium List 1"/>
    <w:basedOn w:val="TableNormal"/>
    <w:uiPriority w:val="98"/>
    <w:rsid w:val="00923EE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923EE1"/>
    <w:rPr>
      <w:color w:val="000000" w:themeColor="text1"/>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4976" w:themeColor="accent1"/>
        </w:tcBorders>
      </w:tcPr>
    </w:tblStylePr>
    <w:tblStylePr w:type="lastRow">
      <w:rPr>
        <w:b/>
        <w:bCs/>
        <w:color w:val="000000" w:themeColor="text2"/>
      </w:rPr>
      <w:tblPr/>
      <w:tcPr>
        <w:tcBorders>
          <w:top w:val="single" w:sz="8" w:space="0" w:color="004976" w:themeColor="accent1"/>
          <w:bottom w:val="single" w:sz="8" w:space="0" w:color="004976" w:themeColor="accent1"/>
        </w:tcBorders>
      </w:tcPr>
    </w:tblStylePr>
    <w:tblStylePr w:type="firstCol">
      <w:rPr>
        <w:b/>
        <w:bCs/>
      </w:rPr>
    </w:tblStylePr>
    <w:tblStylePr w:type="lastCol">
      <w:rPr>
        <w:b/>
        <w:bCs/>
      </w:rPr>
      <w:tblPr/>
      <w:tcPr>
        <w:tcBorders>
          <w:top w:val="single" w:sz="8" w:space="0" w:color="004976" w:themeColor="accent1"/>
          <w:bottom w:val="single" w:sz="8" w:space="0" w:color="004976" w:themeColor="accent1"/>
        </w:tcBorders>
      </w:tcPr>
    </w:tblStylePr>
    <w:tblStylePr w:type="band1Vert">
      <w:tblPr/>
      <w:tcPr>
        <w:shd w:val="clear" w:color="auto" w:fill="9ED9FF" w:themeFill="accent1" w:themeFillTint="3F"/>
      </w:tcPr>
    </w:tblStylePr>
    <w:tblStylePr w:type="band1Horz">
      <w:tblPr/>
      <w:tcPr>
        <w:shd w:val="clear" w:color="auto" w:fill="9ED9FF" w:themeFill="accent1" w:themeFillTint="3F"/>
      </w:tcPr>
    </w:tblStylePr>
  </w:style>
  <w:style w:type="table" w:styleId="MediumList1-Accent2">
    <w:name w:val="Medium List 1 Accent 2"/>
    <w:basedOn w:val="TableNormal"/>
    <w:uiPriority w:val="98"/>
    <w:rsid w:val="00923EE1"/>
    <w:rPr>
      <w:color w:val="000000" w:themeColor="text1"/>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B500" w:themeColor="accent2"/>
        </w:tcBorders>
      </w:tcPr>
    </w:tblStylePr>
    <w:tblStylePr w:type="lastRow">
      <w:rPr>
        <w:b/>
        <w:bCs/>
        <w:color w:val="000000" w:themeColor="text2"/>
      </w:rPr>
      <w:tblPr/>
      <w:tcPr>
        <w:tcBorders>
          <w:top w:val="single" w:sz="8" w:space="0" w:color="FFB500" w:themeColor="accent2"/>
          <w:bottom w:val="single" w:sz="8" w:space="0" w:color="FFB500" w:themeColor="accent2"/>
        </w:tcBorders>
      </w:tcPr>
    </w:tblStylePr>
    <w:tblStylePr w:type="firstCol">
      <w:rPr>
        <w:b/>
        <w:bCs/>
      </w:rPr>
    </w:tblStylePr>
    <w:tblStylePr w:type="lastCol">
      <w:rPr>
        <w:b/>
        <w:bCs/>
      </w:rPr>
      <w:tblPr/>
      <w:tcPr>
        <w:tcBorders>
          <w:top w:val="single" w:sz="8" w:space="0" w:color="FFB500" w:themeColor="accent2"/>
          <w:bottom w:val="single" w:sz="8" w:space="0" w:color="FFB500" w:themeColor="accent2"/>
        </w:tcBorders>
      </w:tcPr>
    </w:tblStylePr>
    <w:tblStylePr w:type="band1Vert">
      <w:tblPr/>
      <w:tcPr>
        <w:shd w:val="clear" w:color="auto" w:fill="FFECC0" w:themeFill="accent2" w:themeFillTint="3F"/>
      </w:tcPr>
    </w:tblStylePr>
    <w:tblStylePr w:type="band1Horz">
      <w:tblPr/>
      <w:tcPr>
        <w:shd w:val="clear" w:color="auto" w:fill="FFECC0" w:themeFill="accent2" w:themeFillTint="3F"/>
      </w:tcPr>
    </w:tblStylePr>
  </w:style>
  <w:style w:type="table" w:styleId="MediumList1-Accent3">
    <w:name w:val="Medium List 1 Accent 3"/>
    <w:basedOn w:val="TableNormal"/>
    <w:uiPriority w:val="98"/>
    <w:rsid w:val="00923EE1"/>
    <w:rPr>
      <w:color w:val="000000" w:themeColor="text1"/>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6573B" w:themeColor="accent3"/>
        </w:tcBorders>
      </w:tcPr>
    </w:tblStylePr>
    <w:tblStylePr w:type="lastRow">
      <w:rPr>
        <w:b/>
        <w:bCs/>
        <w:color w:val="000000" w:themeColor="text2"/>
      </w:rPr>
      <w:tblPr/>
      <w:tcPr>
        <w:tcBorders>
          <w:top w:val="single" w:sz="8" w:space="0" w:color="36573B" w:themeColor="accent3"/>
          <w:bottom w:val="single" w:sz="8" w:space="0" w:color="36573B" w:themeColor="accent3"/>
        </w:tcBorders>
      </w:tcPr>
    </w:tblStylePr>
    <w:tblStylePr w:type="firstCol">
      <w:rPr>
        <w:b/>
        <w:bCs/>
      </w:rPr>
    </w:tblStylePr>
    <w:tblStylePr w:type="lastCol">
      <w:rPr>
        <w:b/>
        <w:bCs/>
      </w:rPr>
      <w:tblPr/>
      <w:tcPr>
        <w:tcBorders>
          <w:top w:val="single" w:sz="8" w:space="0" w:color="36573B" w:themeColor="accent3"/>
          <w:bottom w:val="single" w:sz="8" w:space="0" w:color="36573B" w:themeColor="accent3"/>
        </w:tcBorders>
      </w:tcPr>
    </w:tblStylePr>
    <w:tblStylePr w:type="band1Vert">
      <w:tblPr/>
      <w:tcPr>
        <w:shd w:val="clear" w:color="auto" w:fill="C6DCC9" w:themeFill="accent3" w:themeFillTint="3F"/>
      </w:tcPr>
    </w:tblStylePr>
    <w:tblStylePr w:type="band1Horz">
      <w:tblPr/>
      <w:tcPr>
        <w:shd w:val="clear" w:color="auto" w:fill="C6DCC9" w:themeFill="accent3" w:themeFillTint="3F"/>
      </w:tcPr>
    </w:tblStylePr>
  </w:style>
  <w:style w:type="table" w:styleId="MediumList1-Accent4">
    <w:name w:val="Medium List 1 Accent 4"/>
    <w:basedOn w:val="TableNormal"/>
    <w:uiPriority w:val="98"/>
    <w:rsid w:val="00923EE1"/>
    <w:rPr>
      <w:color w:val="000000" w:themeColor="text1"/>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DC673B" w:themeColor="accent4"/>
        </w:tcBorders>
      </w:tcPr>
    </w:tblStylePr>
    <w:tblStylePr w:type="lastRow">
      <w:rPr>
        <w:b/>
        <w:bCs/>
        <w:color w:val="000000" w:themeColor="text2"/>
      </w:rPr>
      <w:tblPr/>
      <w:tcPr>
        <w:tcBorders>
          <w:top w:val="single" w:sz="8" w:space="0" w:color="DC673B" w:themeColor="accent4"/>
          <w:bottom w:val="single" w:sz="8" w:space="0" w:color="DC673B" w:themeColor="accent4"/>
        </w:tcBorders>
      </w:tcPr>
    </w:tblStylePr>
    <w:tblStylePr w:type="firstCol">
      <w:rPr>
        <w:b/>
        <w:bCs/>
      </w:rPr>
    </w:tblStylePr>
    <w:tblStylePr w:type="lastCol">
      <w:rPr>
        <w:b/>
        <w:bCs/>
      </w:rPr>
      <w:tblPr/>
      <w:tcPr>
        <w:tcBorders>
          <w:top w:val="single" w:sz="8" w:space="0" w:color="DC673B" w:themeColor="accent4"/>
          <w:bottom w:val="single" w:sz="8" w:space="0" w:color="DC673B" w:themeColor="accent4"/>
        </w:tcBorders>
      </w:tcPr>
    </w:tblStylePr>
    <w:tblStylePr w:type="band1Vert">
      <w:tblPr/>
      <w:tcPr>
        <w:shd w:val="clear" w:color="auto" w:fill="F6D9CE" w:themeFill="accent4" w:themeFillTint="3F"/>
      </w:tcPr>
    </w:tblStylePr>
    <w:tblStylePr w:type="band1Horz">
      <w:tblPr/>
      <w:tcPr>
        <w:shd w:val="clear" w:color="auto" w:fill="F6D9CE" w:themeFill="accent4" w:themeFillTint="3F"/>
      </w:tcPr>
    </w:tblStylePr>
  </w:style>
  <w:style w:type="table" w:styleId="MediumList1-Accent5">
    <w:name w:val="Medium List 1 Accent 5"/>
    <w:basedOn w:val="TableNormal"/>
    <w:uiPriority w:val="98"/>
    <w:rsid w:val="00923EE1"/>
    <w:rPr>
      <w:color w:val="000000" w:themeColor="text1"/>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33D26" w:themeColor="accent5"/>
        </w:tcBorders>
      </w:tcPr>
    </w:tblStylePr>
    <w:tblStylePr w:type="lastRow">
      <w:rPr>
        <w:b/>
        <w:bCs/>
        <w:color w:val="000000" w:themeColor="text2"/>
      </w:rPr>
      <w:tblPr/>
      <w:tcPr>
        <w:tcBorders>
          <w:top w:val="single" w:sz="8" w:space="0" w:color="B33D26" w:themeColor="accent5"/>
          <w:bottom w:val="single" w:sz="8" w:space="0" w:color="B33D26" w:themeColor="accent5"/>
        </w:tcBorders>
      </w:tcPr>
    </w:tblStylePr>
    <w:tblStylePr w:type="firstCol">
      <w:rPr>
        <w:b/>
        <w:bCs/>
      </w:rPr>
    </w:tblStylePr>
    <w:tblStylePr w:type="lastCol">
      <w:rPr>
        <w:b/>
        <w:bCs/>
      </w:rPr>
      <w:tblPr/>
      <w:tcPr>
        <w:tcBorders>
          <w:top w:val="single" w:sz="8" w:space="0" w:color="B33D26" w:themeColor="accent5"/>
          <w:bottom w:val="single" w:sz="8" w:space="0" w:color="B33D26" w:themeColor="accent5"/>
        </w:tcBorders>
      </w:tcPr>
    </w:tblStylePr>
    <w:tblStylePr w:type="band1Vert">
      <w:tblPr/>
      <w:tcPr>
        <w:shd w:val="clear" w:color="auto" w:fill="F2CAC3" w:themeFill="accent5" w:themeFillTint="3F"/>
      </w:tcPr>
    </w:tblStylePr>
    <w:tblStylePr w:type="band1Horz">
      <w:tblPr/>
      <w:tcPr>
        <w:shd w:val="clear" w:color="auto" w:fill="F2CAC3" w:themeFill="accent5" w:themeFillTint="3F"/>
      </w:tcPr>
    </w:tblStylePr>
  </w:style>
  <w:style w:type="table" w:styleId="MediumList1-Accent6">
    <w:name w:val="Medium List 1 Accent 6"/>
    <w:basedOn w:val="TableNormal"/>
    <w:uiPriority w:val="98"/>
    <w:rsid w:val="00923EE1"/>
    <w:rPr>
      <w:color w:val="000000" w:themeColor="text1"/>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DB0AC" w:themeColor="accent6"/>
        </w:tcBorders>
      </w:tcPr>
    </w:tblStylePr>
    <w:tblStylePr w:type="lastRow">
      <w:rPr>
        <w:b/>
        <w:bCs/>
        <w:color w:val="000000" w:themeColor="text2"/>
      </w:rPr>
      <w:tblPr/>
      <w:tcPr>
        <w:tcBorders>
          <w:top w:val="single" w:sz="8" w:space="0" w:color="9DB0AC" w:themeColor="accent6"/>
          <w:bottom w:val="single" w:sz="8" w:space="0" w:color="9DB0AC" w:themeColor="accent6"/>
        </w:tcBorders>
      </w:tcPr>
    </w:tblStylePr>
    <w:tblStylePr w:type="firstCol">
      <w:rPr>
        <w:b/>
        <w:bCs/>
      </w:rPr>
    </w:tblStylePr>
    <w:tblStylePr w:type="lastCol">
      <w:rPr>
        <w:b/>
        <w:bCs/>
      </w:rPr>
      <w:tblPr/>
      <w:tcPr>
        <w:tcBorders>
          <w:top w:val="single" w:sz="8" w:space="0" w:color="9DB0AC" w:themeColor="accent6"/>
          <w:bottom w:val="single" w:sz="8" w:space="0" w:color="9DB0AC" w:themeColor="accent6"/>
        </w:tcBorders>
      </w:tcPr>
    </w:tblStylePr>
    <w:tblStylePr w:type="band1Vert">
      <w:tblPr/>
      <w:tcPr>
        <w:shd w:val="clear" w:color="auto" w:fill="E6EBEA" w:themeFill="accent6" w:themeFillTint="3F"/>
      </w:tcPr>
    </w:tblStylePr>
    <w:tblStylePr w:type="band1Horz">
      <w:tblPr/>
      <w:tcPr>
        <w:shd w:val="clear" w:color="auto" w:fill="E6EBEA" w:themeFill="accent6" w:themeFillTint="3F"/>
      </w:tcPr>
    </w:tblStylePr>
  </w:style>
  <w:style w:type="table" w:styleId="MediumList2">
    <w:name w:val="Medium List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4976" w:themeColor="accent1"/>
          <w:right w:val="nil"/>
          <w:insideH w:val="nil"/>
          <w:insideV w:val="nil"/>
        </w:tcBorders>
        <w:shd w:val="clear" w:color="auto" w:fill="FFFFFF" w:themeFill="background1"/>
      </w:tcPr>
    </w:tblStylePr>
    <w:tblStylePr w:type="lastRow">
      <w:tblPr/>
      <w:tcPr>
        <w:tcBorders>
          <w:top w:val="single" w:sz="8" w:space="0" w:color="0049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6" w:themeColor="accent1"/>
          <w:insideH w:val="nil"/>
          <w:insideV w:val="nil"/>
        </w:tcBorders>
        <w:shd w:val="clear" w:color="auto" w:fill="FFFFFF" w:themeFill="background1"/>
      </w:tcPr>
    </w:tblStylePr>
    <w:tblStylePr w:type="lastCol">
      <w:tblPr/>
      <w:tcPr>
        <w:tcBorders>
          <w:top w:val="nil"/>
          <w:left w:val="single" w:sz="8" w:space="0" w:color="0049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top w:val="nil"/>
          <w:bottom w:val="nil"/>
          <w:insideH w:val="nil"/>
          <w:insideV w:val="nil"/>
        </w:tcBorders>
        <w:shd w:val="clear" w:color="auto" w:fill="9ED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tblPr/>
      <w:tcPr>
        <w:tcBorders>
          <w:top w:val="single" w:sz="8" w:space="0" w:color="FFB5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2"/>
          <w:insideH w:val="nil"/>
          <w:insideV w:val="nil"/>
        </w:tcBorders>
        <w:shd w:val="clear" w:color="auto" w:fill="FFFFFF" w:themeFill="background1"/>
      </w:tcPr>
    </w:tblStylePr>
    <w:tblStylePr w:type="lastCol">
      <w:tblPr/>
      <w:tcPr>
        <w:tcBorders>
          <w:top w:val="nil"/>
          <w:left w:val="single" w:sz="8" w:space="0" w:color="FFB5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top w:val="nil"/>
          <w:bottom w:val="nil"/>
          <w:insideH w:val="nil"/>
          <w:insideV w:val="nil"/>
        </w:tcBorders>
        <w:shd w:val="clear" w:color="auto" w:fill="FFEC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tblPr/>
      <w:tcPr>
        <w:tcBorders>
          <w:top w:val="single" w:sz="8" w:space="0" w:color="3657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573B" w:themeColor="accent3"/>
          <w:insideH w:val="nil"/>
          <w:insideV w:val="nil"/>
        </w:tcBorders>
        <w:shd w:val="clear" w:color="auto" w:fill="FFFFFF" w:themeFill="background1"/>
      </w:tcPr>
    </w:tblStylePr>
    <w:tblStylePr w:type="lastCol">
      <w:tblPr/>
      <w:tcPr>
        <w:tcBorders>
          <w:top w:val="nil"/>
          <w:left w:val="single" w:sz="8" w:space="0" w:color="3657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top w:val="nil"/>
          <w:bottom w:val="nil"/>
          <w:insideH w:val="nil"/>
          <w:insideV w:val="nil"/>
        </w:tcBorders>
        <w:shd w:val="clear" w:color="auto" w:fill="C6D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tblPr/>
      <w:tcPr>
        <w:tcBorders>
          <w:top w:val="single" w:sz="8" w:space="0" w:color="DC67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673B" w:themeColor="accent4"/>
          <w:insideH w:val="nil"/>
          <w:insideV w:val="nil"/>
        </w:tcBorders>
        <w:shd w:val="clear" w:color="auto" w:fill="FFFFFF" w:themeFill="background1"/>
      </w:tcPr>
    </w:tblStylePr>
    <w:tblStylePr w:type="lastCol">
      <w:tblPr/>
      <w:tcPr>
        <w:tcBorders>
          <w:top w:val="nil"/>
          <w:left w:val="single" w:sz="8" w:space="0" w:color="DC67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top w:val="nil"/>
          <w:bottom w:val="nil"/>
          <w:insideH w:val="nil"/>
          <w:insideV w:val="nil"/>
        </w:tcBorders>
        <w:shd w:val="clear" w:color="auto" w:fill="F6D9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tblPr/>
      <w:tcPr>
        <w:tcBorders>
          <w:top w:val="single" w:sz="8" w:space="0" w:color="B33D2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D26" w:themeColor="accent5"/>
          <w:insideH w:val="nil"/>
          <w:insideV w:val="nil"/>
        </w:tcBorders>
        <w:shd w:val="clear" w:color="auto" w:fill="FFFFFF" w:themeFill="background1"/>
      </w:tcPr>
    </w:tblStylePr>
    <w:tblStylePr w:type="lastCol">
      <w:tblPr/>
      <w:tcPr>
        <w:tcBorders>
          <w:top w:val="nil"/>
          <w:left w:val="single" w:sz="8" w:space="0" w:color="B33D2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top w:val="nil"/>
          <w:bottom w:val="nil"/>
          <w:insideH w:val="nil"/>
          <w:insideV w:val="nil"/>
        </w:tcBorders>
        <w:shd w:val="clear" w:color="auto" w:fill="F2CA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tblPr/>
      <w:tcPr>
        <w:tcBorders>
          <w:top w:val="single" w:sz="8" w:space="0" w:color="9DB0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B0AC" w:themeColor="accent6"/>
          <w:insideH w:val="nil"/>
          <w:insideV w:val="nil"/>
        </w:tcBorders>
        <w:shd w:val="clear" w:color="auto" w:fill="FFFFFF" w:themeFill="background1"/>
      </w:tcPr>
    </w:tblStylePr>
    <w:tblStylePr w:type="lastCol">
      <w:tblPr/>
      <w:tcPr>
        <w:tcBorders>
          <w:top w:val="nil"/>
          <w:left w:val="single" w:sz="8" w:space="0" w:color="9DB0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top w:val="nil"/>
          <w:bottom w:val="nil"/>
          <w:insideH w:val="nil"/>
          <w:insideV w:val="nil"/>
        </w:tcBorders>
        <w:shd w:val="clear" w:color="auto" w:fill="E6E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shd w:val="clear" w:color="auto" w:fill="FFB500" w:themeFill="accent2"/>
      </w:tcPr>
    </w:tblStylePr>
    <w:tblStylePr w:type="lastRow">
      <w:pPr>
        <w:spacing w:before="0" w:after="0" w:line="240" w:lineRule="auto"/>
      </w:pPr>
      <w:rPr>
        <w:b/>
        <w:bCs/>
      </w:rPr>
      <w:tblPr/>
      <w:tcPr>
        <w:tcBorders>
          <w:top w:val="double" w:sz="6"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2" w:themeFillTint="3F"/>
      </w:tcPr>
    </w:tblStylePr>
    <w:tblStylePr w:type="band1Horz">
      <w:tblPr/>
      <w:tcPr>
        <w:tcBorders>
          <w:insideH w:val="nil"/>
          <w:insideV w:val="nil"/>
        </w:tcBorders>
        <w:shd w:val="clear" w:color="auto" w:fill="FFEC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shd w:val="clear" w:color="auto" w:fill="36573B" w:themeFill="accent3"/>
      </w:tcPr>
    </w:tblStylePr>
    <w:tblStylePr w:type="lastRow">
      <w:pPr>
        <w:spacing w:before="0" w:after="0" w:line="240" w:lineRule="auto"/>
      </w:pPr>
      <w:rPr>
        <w:b/>
        <w:bCs/>
      </w:rPr>
      <w:tblPr/>
      <w:tcPr>
        <w:tcBorders>
          <w:top w:val="double" w:sz="6"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6DCC9" w:themeFill="accent3" w:themeFillTint="3F"/>
      </w:tcPr>
    </w:tblStylePr>
    <w:tblStylePr w:type="band1Horz">
      <w:tblPr/>
      <w:tcPr>
        <w:tcBorders>
          <w:insideH w:val="nil"/>
          <w:insideV w:val="nil"/>
        </w:tcBorders>
        <w:shd w:val="clear" w:color="auto" w:fill="C6D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shd w:val="clear" w:color="auto" w:fill="DC673B" w:themeFill="accent4"/>
      </w:tcPr>
    </w:tblStylePr>
    <w:tblStylePr w:type="lastRow">
      <w:pPr>
        <w:spacing w:before="0" w:after="0" w:line="240" w:lineRule="auto"/>
      </w:pPr>
      <w:rPr>
        <w:b/>
        <w:bCs/>
      </w:rPr>
      <w:tblPr/>
      <w:tcPr>
        <w:tcBorders>
          <w:top w:val="double" w:sz="6"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D9CE" w:themeFill="accent4" w:themeFillTint="3F"/>
      </w:tcPr>
    </w:tblStylePr>
    <w:tblStylePr w:type="band1Horz">
      <w:tblPr/>
      <w:tcPr>
        <w:tcBorders>
          <w:insideH w:val="nil"/>
          <w:insideV w:val="nil"/>
        </w:tcBorders>
        <w:shd w:val="clear" w:color="auto" w:fill="F6D9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shd w:val="clear" w:color="auto" w:fill="B33D26" w:themeFill="accent5"/>
      </w:tcPr>
    </w:tblStylePr>
    <w:tblStylePr w:type="lastRow">
      <w:pPr>
        <w:spacing w:before="0" w:after="0" w:line="240" w:lineRule="auto"/>
      </w:pPr>
      <w:rPr>
        <w:b/>
        <w:bCs/>
      </w:rPr>
      <w:tblPr/>
      <w:tcPr>
        <w:tcBorders>
          <w:top w:val="double" w:sz="6"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CAC3" w:themeFill="accent5" w:themeFillTint="3F"/>
      </w:tcPr>
    </w:tblStylePr>
    <w:tblStylePr w:type="band1Horz">
      <w:tblPr/>
      <w:tcPr>
        <w:tcBorders>
          <w:insideH w:val="nil"/>
          <w:insideV w:val="nil"/>
        </w:tcBorders>
        <w:shd w:val="clear" w:color="auto" w:fill="F2CA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shd w:val="clear" w:color="auto" w:fill="9DB0AC" w:themeFill="accent6"/>
      </w:tcPr>
    </w:tblStylePr>
    <w:tblStylePr w:type="lastRow">
      <w:pPr>
        <w:spacing w:before="0" w:after="0" w:line="240" w:lineRule="auto"/>
      </w:pPr>
      <w:rPr>
        <w:b/>
        <w:bCs/>
      </w:rPr>
      <w:tblPr/>
      <w:tcPr>
        <w:tcBorders>
          <w:top w:val="double" w:sz="6"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BEA" w:themeFill="accent6" w:themeFillTint="3F"/>
      </w:tcPr>
    </w:tblStylePr>
    <w:tblStylePr w:type="band1Horz">
      <w:tblPr/>
      <w:tcPr>
        <w:tcBorders>
          <w:insideH w:val="nil"/>
          <w:insideV w:val="nil"/>
        </w:tcBorders>
        <w:shd w:val="clear" w:color="auto" w:fill="E6E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49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6" w:themeFill="accent1"/>
      </w:tcPr>
    </w:tblStylePr>
    <w:tblStylePr w:type="lastCol">
      <w:rPr>
        <w:b/>
        <w:bCs/>
        <w:color w:val="FFFFFF" w:themeColor="background1"/>
      </w:rPr>
      <w:tblPr/>
      <w:tcPr>
        <w:tcBorders>
          <w:left w:val="nil"/>
          <w:right w:val="nil"/>
          <w:insideH w:val="nil"/>
          <w:insideV w:val="nil"/>
        </w:tcBorders>
        <w:shd w:val="clear" w:color="auto" w:fill="0049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2"/>
      </w:tcPr>
    </w:tblStylePr>
    <w:tblStylePr w:type="lastCol">
      <w:rPr>
        <w:b/>
        <w:bCs/>
        <w:color w:val="FFFFFF" w:themeColor="background1"/>
      </w:rPr>
      <w:tblPr/>
      <w:tcPr>
        <w:tcBorders>
          <w:left w:val="nil"/>
          <w:right w:val="nil"/>
          <w:insideH w:val="nil"/>
          <w:insideV w:val="nil"/>
        </w:tcBorders>
        <w:shd w:val="clear" w:color="auto" w:fill="FFB5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657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573B" w:themeFill="accent3"/>
      </w:tcPr>
    </w:tblStylePr>
    <w:tblStylePr w:type="lastCol">
      <w:rPr>
        <w:b/>
        <w:bCs/>
        <w:color w:val="FFFFFF" w:themeColor="background1"/>
      </w:rPr>
      <w:tblPr/>
      <w:tcPr>
        <w:tcBorders>
          <w:left w:val="nil"/>
          <w:right w:val="nil"/>
          <w:insideH w:val="nil"/>
          <w:insideV w:val="nil"/>
        </w:tcBorders>
        <w:shd w:val="clear" w:color="auto" w:fill="3657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C67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673B" w:themeFill="accent4"/>
      </w:tcPr>
    </w:tblStylePr>
    <w:tblStylePr w:type="lastCol">
      <w:rPr>
        <w:b/>
        <w:bCs/>
        <w:color w:val="FFFFFF" w:themeColor="background1"/>
      </w:rPr>
      <w:tblPr/>
      <w:tcPr>
        <w:tcBorders>
          <w:left w:val="nil"/>
          <w:right w:val="nil"/>
          <w:insideH w:val="nil"/>
          <w:insideV w:val="nil"/>
        </w:tcBorders>
        <w:shd w:val="clear" w:color="auto" w:fill="DC67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33D2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3D26" w:themeFill="accent5"/>
      </w:tcPr>
    </w:tblStylePr>
    <w:tblStylePr w:type="lastCol">
      <w:rPr>
        <w:b/>
        <w:bCs/>
        <w:color w:val="FFFFFF" w:themeColor="background1"/>
      </w:rPr>
      <w:tblPr/>
      <w:tcPr>
        <w:tcBorders>
          <w:left w:val="nil"/>
          <w:right w:val="nil"/>
          <w:insideH w:val="nil"/>
          <w:insideV w:val="nil"/>
        </w:tcBorders>
        <w:shd w:val="clear" w:color="auto" w:fill="B33D2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DB0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B0AC" w:themeFill="accent6"/>
      </w:tcPr>
    </w:tblStylePr>
    <w:tblStylePr w:type="lastCol">
      <w:rPr>
        <w:b/>
        <w:bCs/>
        <w:color w:val="FFFFFF" w:themeColor="background1"/>
      </w:rPr>
      <w:tblPr/>
      <w:tcPr>
        <w:tcBorders>
          <w:left w:val="nil"/>
          <w:right w:val="nil"/>
          <w:insideH w:val="nil"/>
          <w:insideV w:val="nil"/>
        </w:tcBorders>
        <w:shd w:val="clear" w:color="auto" w:fill="9DB0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923E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uiPriority w:val="97"/>
    <w:semiHidden/>
    <w:rsid w:val="00923EE1"/>
    <w:rPr>
      <w:rFonts w:asciiTheme="minorHAnsi" w:eastAsiaTheme="majorEastAsia" w:hAnsiTheme="minorHAnsi"/>
      <w:color w:val="000000" w:themeColor="text2"/>
      <w:sz w:val="24"/>
      <w:shd w:val="pct20" w:color="auto" w:fill="auto"/>
      <w:lang w:val="en-AU" w:eastAsia="ja-JP"/>
    </w:rPr>
  </w:style>
  <w:style w:type="paragraph" w:styleId="NoSpacing">
    <w:name w:val="No Spacing"/>
    <w:uiPriority w:val="1"/>
    <w:qFormat/>
    <w:rsid w:val="00923EE1"/>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923EE1"/>
    <w:rPr>
      <w:sz w:val="24"/>
    </w:rPr>
  </w:style>
  <w:style w:type="paragraph" w:styleId="NormalIndent">
    <w:name w:val="Normal Indent"/>
    <w:basedOn w:val="Normal"/>
    <w:uiPriority w:val="97"/>
    <w:semiHidden/>
    <w:rsid w:val="00923EE1"/>
    <w:pPr>
      <w:ind w:left="720"/>
    </w:pPr>
  </w:style>
  <w:style w:type="paragraph" w:styleId="NoteHeading">
    <w:name w:val="Note Heading"/>
    <w:basedOn w:val="Normal"/>
    <w:next w:val="Normal"/>
    <w:link w:val="NoteHeadingChar"/>
    <w:uiPriority w:val="97"/>
    <w:semiHidden/>
    <w:rsid w:val="00923EE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923EE1"/>
    <w:rPr>
      <w:rFonts w:asciiTheme="majorHAnsi" w:eastAsia="MS Mincho" w:hAnsiTheme="majorHAnsi" w:cstheme="majorHAnsi"/>
      <w:color w:val="000000" w:themeColor="text2"/>
      <w:lang w:val="en-AU" w:eastAsia="ja-JP"/>
    </w:rPr>
  </w:style>
  <w:style w:type="character" w:styleId="PlaceholderText">
    <w:name w:val="Placeholder Text"/>
    <w:basedOn w:val="DefaultParagraphFont"/>
    <w:uiPriority w:val="11"/>
    <w:semiHidden/>
    <w:rsid w:val="00923EE1"/>
    <w:rPr>
      <w:rFonts w:asciiTheme="minorHAnsi" w:hAnsiTheme="minorHAnsi" w:cstheme="minorHAnsi"/>
      <w:color w:val="808080"/>
    </w:rPr>
  </w:style>
  <w:style w:type="paragraph" w:styleId="PlainText">
    <w:name w:val="Plain Text"/>
    <w:basedOn w:val="Normal"/>
    <w:link w:val="PlainTextChar"/>
    <w:uiPriority w:val="97"/>
    <w:semiHidden/>
    <w:rsid w:val="00923EE1"/>
    <w:pPr>
      <w:spacing w:after="0" w:line="240" w:lineRule="auto"/>
    </w:pPr>
    <w:rPr>
      <w:sz w:val="21"/>
      <w:szCs w:val="21"/>
    </w:rPr>
  </w:style>
  <w:style w:type="character" w:customStyle="1" w:styleId="PlainTextChar">
    <w:name w:val="Plain Text Char"/>
    <w:basedOn w:val="DefaultParagraphFont"/>
    <w:link w:val="PlainText"/>
    <w:uiPriority w:val="97"/>
    <w:semiHidden/>
    <w:rsid w:val="00923EE1"/>
    <w:rPr>
      <w:rFonts w:asciiTheme="minorHAnsi" w:eastAsia="MS Mincho" w:hAnsiTheme="minorHAnsi"/>
      <w:color w:val="000000" w:themeColor="text2"/>
      <w:sz w:val="21"/>
      <w:szCs w:val="21"/>
      <w:lang w:val="en-AU" w:eastAsia="ja-JP"/>
    </w:rPr>
  </w:style>
  <w:style w:type="paragraph" w:styleId="Salutation">
    <w:name w:val="Salutation"/>
    <w:basedOn w:val="Normal"/>
    <w:next w:val="Normal"/>
    <w:link w:val="SalutationChar"/>
    <w:uiPriority w:val="97"/>
    <w:semiHidden/>
    <w:rsid w:val="00923EE1"/>
  </w:style>
  <w:style w:type="character" w:customStyle="1" w:styleId="SalutationChar">
    <w:name w:val="Salutation Char"/>
    <w:basedOn w:val="DefaultParagraphFont"/>
    <w:link w:val="Salutation"/>
    <w:uiPriority w:val="97"/>
    <w:semiHidden/>
    <w:rsid w:val="00923EE1"/>
    <w:rPr>
      <w:rFonts w:asciiTheme="minorHAnsi" w:eastAsia="MS Mincho" w:hAnsiTheme="minorHAnsi"/>
      <w:color w:val="000000" w:themeColor="text2"/>
      <w:lang w:val="en-AU" w:eastAsia="ja-JP"/>
    </w:rPr>
  </w:style>
  <w:style w:type="paragraph" w:styleId="Signature">
    <w:name w:val="Signature"/>
    <w:basedOn w:val="Normal"/>
    <w:link w:val="SignatureChar"/>
    <w:uiPriority w:val="97"/>
    <w:semiHidden/>
    <w:rsid w:val="00923EE1"/>
    <w:pPr>
      <w:spacing w:after="0" w:line="240" w:lineRule="auto"/>
      <w:ind w:left="4252"/>
    </w:pPr>
  </w:style>
  <w:style w:type="character" w:customStyle="1" w:styleId="SignatureChar">
    <w:name w:val="Signature Char"/>
    <w:basedOn w:val="DefaultParagraphFont"/>
    <w:link w:val="Signature"/>
    <w:uiPriority w:val="97"/>
    <w:semiHidden/>
    <w:rsid w:val="00923EE1"/>
    <w:rPr>
      <w:rFonts w:asciiTheme="minorHAnsi" w:eastAsia="MS Mincho" w:hAnsiTheme="minorHAnsi"/>
      <w:color w:val="000000" w:themeColor="text2"/>
      <w:lang w:val="en-AU" w:eastAsia="ja-JP"/>
    </w:rPr>
  </w:style>
  <w:style w:type="character" w:styleId="Strong">
    <w:name w:val="Strong"/>
    <w:basedOn w:val="DefaultParagraphFont"/>
    <w:uiPriority w:val="97"/>
    <w:semiHidden/>
    <w:rsid w:val="00923EE1"/>
    <w:rPr>
      <w:rFonts w:asciiTheme="minorHAnsi" w:hAnsiTheme="minorHAnsi" w:cstheme="minorHAnsi"/>
      <w:b/>
      <w:bCs/>
    </w:rPr>
  </w:style>
  <w:style w:type="paragraph" w:styleId="Subtitle">
    <w:name w:val="Subtitle"/>
    <w:basedOn w:val="Normal"/>
    <w:next w:val="Normal"/>
    <w:link w:val="SubtitleChar"/>
    <w:uiPriority w:val="97"/>
    <w:semiHidden/>
    <w:rsid w:val="00923EE1"/>
    <w:pPr>
      <w:numPr>
        <w:ilvl w:val="1"/>
      </w:numPr>
    </w:pPr>
    <w:rPr>
      <w:rFonts w:eastAsiaTheme="majorEastAsia"/>
      <w:i/>
      <w:iCs/>
      <w:color w:val="004976" w:themeColor="accent1"/>
      <w:spacing w:val="15"/>
      <w:sz w:val="24"/>
    </w:rPr>
  </w:style>
  <w:style w:type="character" w:customStyle="1" w:styleId="SubtitleChar">
    <w:name w:val="Subtitle Char"/>
    <w:basedOn w:val="DefaultParagraphFont"/>
    <w:link w:val="Subtitle"/>
    <w:uiPriority w:val="97"/>
    <w:semiHidden/>
    <w:rsid w:val="00923EE1"/>
    <w:rPr>
      <w:rFonts w:asciiTheme="minorHAnsi" w:eastAsiaTheme="majorEastAsia" w:hAnsiTheme="minorHAnsi"/>
      <w:i/>
      <w:iCs/>
      <w:color w:val="004976" w:themeColor="accent1"/>
      <w:spacing w:val="15"/>
      <w:sz w:val="24"/>
      <w:lang w:val="en-AU" w:eastAsia="ja-JP"/>
    </w:rPr>
  </w:style>
  <w:style w:type="character" w:styleId="SubtleEmphasis">
    <w:name w:val="Subtle Emphasis"/>
    <w:basedOn w:val="DefaultParagraphFont"/>
    <w:uiPriority w:val="97"/>
    <w:semiHidden/>
    <w:rsid w:val="00923EE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923EE1"/>
    <w:rPr>
      <w:rFonts w:asciiTheme="minorHAnsi" w:hAnsiTheme="minorHAnsi" w:cstheme="minorHAnsi"/>
      <w:smallCaps/>
      <w:color w:val="FFB500" w:themeColor="accent2"/>
      <w:u w:val="single"/>
    </w:rPr>
  </w:style>
  <w:style w:type="table" w:styleId="Table3Deffects1">
    <w:name w:val="Table 3D effects 1"/>
    <w:basedOn w:val="TableNormal"/>
    <w:uiPriority w:val="98"/>
    <w:rsid w:val="00923EE1"/>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923EE1"/>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923EE1"/>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923EE1"/>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923EE1"/>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923EE1"/>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923EE1"/>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923EE1"/>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923EE1"/>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923EE1"/>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923EE1"/>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923EE1"/>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923EE1"/>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923EE1"/>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923EE1"/>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923EE1"/>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923EE1"/>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923EE1"/>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923EE1"/>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923EE1"/>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923EE1"/>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923EE1"/>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923EE1"/>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923EE1"/>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923EE1"/>
    <w:pPr>
      <w:spacing w:after="0"/>
      <w:ind w:left="200" w:hanging="200"/>
    </w:pPr>
  </w:style>
  <w:style w:type="paragraph" w:styleId="TableofFigures">
    <w:name w:val="table of figures"/>
    <w:basedOn w:val="Normal"/>
    <w:next w:val="Normal"/>
    <w:uiPriority w:val="97"/>
    <w:semiHidden/>
    <w:rsid w:val="00923EE1"/>
    <w:pPr>
      <w:spacing w:after="0"/>
    </w:pPr>
  </w:style>
  <w:style w:type="table" w:styleId="TableProfessional">
    <w:name w:val="Table Professional"/>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923EE1"/>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923EE1"/>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923EE1"/>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923EE1"/>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923EE1"/>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923EE1"/>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923EE1"/>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923EE1"/>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923EE1"/>
    <w:pPr>
      <w:pBdr>
        <w:bottom w:val="single" w:sz="8" w:space="4" w:color="004976" w:themeColor="accent1"/>
      </w:pBdr>
      <w:spacing w:after="300" w:line="240" w:lineRule="auto"/>
      <w:contextualSpacing/>
    </w:pPr>
    <w:rPr>
      <w:rFonts w:eastAsiaTheme="majorEastAsia"/>
      <w:color w:val="000000" w:themeColor="text2" w:themeShade="BF"/>
      <w:spacing w:val="5"/>
      <w:kern w:val="28"/>
      <w:sz w:val="52"/>
      <w:szCs w:val="52"/>
    </w:rPr>
  </w:style>
  <w:style w:type="character" w:customStyle="1" w:styleId="TitleChar">
    <w:name w:val="Title Char"/>
    <w:basedOn w:val="DefaultParagraphFont"/>
    <w:link w:val="Title"/>
    <w:uiPriority w:val="97"/>
    <w:semiHidden/>
    <w:rsid w:val="00923EE1"/>
    <w:rPr>
      <w:rFonts w:asciiTheme="minorHAnsi" w:eastAsiaTheme="majorEastAsia" w:hAnsiTheme="minorHAnsi"/>
      <w:color w:val="000000" w:themeColor="text2" w:themeShade="BF"/>
      <w:spacing w:val="5"/>
      <w:kern w:val="28"/>
      <w:sz w:val="52"/>
      <w:szCs w:val="52"/>
      <w:lang w:val="en-AU" w:eastAsia="ja-JP"/>
    </w:rPr>
  </w:style>
  <w:style w:type="paragraph" w:styleId="TOAHeading">
    <w:name w:val="toa heading"/>
    <w:basedOn w:val="Normal"/>
    <w:next w:val="Normal"/>
    <w:uiPriority w:val="97"/>
    <w:semiHidden/>
    <w:rsid w:val="00923EE1"/>
    <w:pPr>
      <w:spacing w:before="120"/>
    </w:pPr>
    <w:rPr>
      <w:rFonts w:asciiTheme="majorHAnsi" w:eastAsiaTheme="majorEastAsia" w:hAnsiTheme="majorHAnsi" w:cstheme="majorHAnsi"/>
      <w:b/>
      <w:bCs/>
      <w:sz w:val="24"/>
    </w:rPr>
  </w:style>
  <w:style w:type="paragraph" w:styleId="TOC5">
    <w:name w:val="toc 5"/>
    <w:basedOn w:val="Normal"/>
    <w:next w:val="Normal"/>
    <w:autoRedefine/>
    <w:uiPriority w:val="97"/>
    <w:semiHidden/>
    <w:rsid w:val="00923EE1"/>
    <w:pPr>
      <w:spacing w:after="100"/>
      <w:ind w:left="800"/>
    </w:pPr>
  </w:style>
  <w:style w:type="paragraph" w:styleId="TOC6">
    <w:name w:val="toc 6"/>
    <w:basedOn w:val="Normal"/>
    <w:next w:val="Normal"/>
    <w:autoRedefine/>
    <w:uiPriority w:val="97"/>
    <w:semiHidden/>
    <w:rsid w:val="00923EE1"/>
    <w:pPr>
      <w:spacing w:after="100"/>
      <w:ind w:left="1000"/>
    </w:pPr>
  </w:style>
  <w:style w:type="paragraph" w:styleId="TOC7">
    <w:name w:val="toc 7"/>
    <w:basedOn w:val="Normal"/>
    <w:next w:val="Normal"/>
    <w:autoRedefine/>
    <w:uiPriority w:val="97"/>
    <w:semiHidden/>
    <w:rsid w:val="00923EE1"/>
    <w:pPr>
      <w:spacing w:after="100"/>
      <w:ind w:left="1200"/>
    </w:pPr>
  </w:style>
  <w:style w:type="paragraph" w:styleId="TOC8">
    <w:name w:val="toc 8"/>
    <w:basedOn w:val="Normal"/>
    <w:next w:val="Normal"/>
    <w:autoRedefine/>
    <w:uiPriority w:val="97"/>
    <w:semiHidden/>
    <w:rsid w:val="00923EE1"/>
    <w:pPr>
      <w:spacing w:after="100"/>
      <w:ind w:left="1400"/>
    </w:pPr>
  </w:style>
  <w:style w:type="paragraph" w:styleId="TOC9">
    <w:name w:val="toc 9"/>
    <w:basedOn w:val="Normal"/>
    <w:next w:val="Normal"/>
    <w:autoRedefine/>
    <w:uiPriority w:val="97"/>
    <w:semiHidden/>
    <w:rsid w:val="00923EE1"/>
    <w:pPr>
      <w:spacing w:after="100"/>
      <w:ind w:left="1600"/>
    </w:pPr>
  </w:style>
  <w:style w:type="paragraph" w:styleId="TOCHeading">
    <w:name w:val="TOC Heading"/>
    <w:basedOn w:val="Normal"/>
    <w:next w:val="Normal"/>
    <w:uiPriority w:val="39"/>
    <w:qFormat/>
    <w:rsid w:val="00923EE1"/>
    <w:pPr>
      <w:spacing w:before="320" w:after="1100" w:line="192" w:lineRule="auto"/>
    </w:pPr>
    <w:rPr>
      <w:rFonts w:asciiTheme="majorHAnsi" w:hAnsiTheme="majorHAnsi"/>
      <w:b/>
      <w:color w:val="004976" w:themeColor="accent1"/>
      <w:sz w:val="56"/>
    </w:rPr>
  </w:style>
  <w:style w:type="table" w:customStyle="1" w:styleId="LayoutGrid">
    <w:name w:val="Layout Grid"/>
    <w:basedOn w:val="TableNormal"/>
    <w:uiPriority w:val="99"/>
    <w:rsid w:val="00923EE1"/>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923EE1"/>
    <w:rPr>
      <w:rFonts w:asciiTheme="minorHAnsi" w:eastAsia="MS Mincho" w:hAnsiTheme="minorHAnsi"/>
      <w:caps/>
      <w:color w:val="000000" w:themeColor="text2"/>
      <w:kern w:val="60"/>
      <w:sz w:val="13"/>
      <w:lang w:val="en-AU" w:eastAsia="ja-JP"/>
    </w:rPr>
  </w:style>
  <w:style w:type="paragraph" w:customStyle="1" w:styleId="DividerTitle">
    <w:name w:val="Divider Title"/>
    <w:basedOn w:val="Normal"/>
    <w:next w:val="Normal"/>
    <w:qFormat/>
    <w:rsid w:val="004600E9"/>
    <w:pPr>
      <w:spacing w:before="960" w:after="240" w:line="192" w:lineRule="auto"/>
      <w:contextualSpacing/>
    </w:pPr>
    <w:rPr>
      <w:rFonts w:asciiTheme="majorHAnsi" w:hAnsiTheme="majorHAnsi"/>
      <w:b/>
      <w:color w:val="FFFFFF"/>
      <w:sz w:val="64"/>
    </w:rPr>
  </w:style>
  <w:style w:type="paragraph" w:styleId="TOC2">
    <w:name w:val="toc 2"/>
    <w:basedOn w:val="Normal"/>
    <w:next w:val="Normal"/>
    <w:uiPriority w:val="39"/>
    <w:unhideWhenUsed/>
    <w:rsid w:val="003E36FE"/>
    <w:pPr>
      <w:tabs>
        <w:tab w:val="right" w:pos="7019"/>
      </w:tabs>
      <w:spacing w:after="60"/>
      <w:ind w:left="227"/>
    </w:pPr>
    <w:rPr>
      <w:rFonts w:asciiTheme="majorHAnsi" w:hAnsiTheme="majorHAnsi"/>
      <w:color w:val="004976" w:themeColor="accent1"/>
      <w:sz w:val="24"/>
    </w:rPr>
  </w:style>
  <w:style w:type="paragraph" w:customStyle="1" w:styleId="HeaderTitle">
    <w:name w:val="Header Title"/>
    <w:basedOn w:val="Header"/>
    <w:qFormat/>
    <w:rsid w:val="00923EE1"/>
    <w:rPr>
      <w:b/>
      <w:caps w:val="0"/>
      <w:sz w:val="17"/>
    </w:rPr>
  </w:style>
  <w:style w:type="numbering" w:customStyle="1" w:styleId="ListBullets">
    <w:name w:val="ListBullets"/>
    <w:uiPriority w:val="99"/>
    <w:rsid w:val="00923EE1"/>
    <w:pPr>
      <w:numPr>
        <w:numId w:val="5"/>
      </w:numPr>
    </w:pPr>
  </w:style>
  <w:style w:type="character" w:customStyle="1" w:styleId="FooterInfoBold">
    <w:name w:val="Footer Info Bold"/>
    <w:basedOn w:val="DefaultParagraphFont"/>
    <w:uiPriority w:val="1"/>
    <w:qFormat/>
    <w:rsid w:val="00923EE1"/>
    <w:rPr>
      <w:b/>
    </w:rPr>
  </w:style>
  <w:style w:type="paragraph" w:styleId="TOC3">
    <w:name w:val="toc 3"/>
    <w:basedOn w:val="Normal"/>
    <w:next w:val="Normal"/>
    <w:autoRedefine/>
    <w:uiPriority w:val="39"/>
    <w:unhideWhenUsed/>
    <w:rsid w:val="0059595D"/>
    <w:pPr>
      <w:tabs>
        <w:tab w:val="left" w:pos="1000"/>
        <w:tab w:val="right" w:pos="9498"/>
      </w:tabs>
      <w:spacing w:after="100" w:line="480" w:lineRule="auto"/>
      <w:ind w:left="400"/>
    </w:pPr>
  </w:style>
  <w:style w:type="character" w:customStyle="1" w:styleId="Heading4Char">
    <w:name w:val="Heading 4 Char"/>
    <w:basedOn w:val="DefaultParagraphFont"/>
    <w:link w:val="Heading4"/>
    <w:uiPriority w:val="1"/>
    <w:semiHidden/>
    <w:rsid w:val="00923EE1"/>
    <w:rPr>
      <w:rFonts w:asciiTheme="majorHAnsi" w:eastAsia="MS Mincho" w:hAnsiTheme="majorHAnsi" w:cstheme="majorHAnsi"/>
      <w:bCs/>
      <w:color w:val="004976" w:themeColor="background2"/>
      <w:sz w:val="22"/>
      <w:szCs w:val="28"/>
      <w:lang w:val="en-AU" w:eastAsia="ja-JP"/>
    </w:rPr>
  </w:style>
  <w:style w:type="table" w:customStyle="1" w:styleId="ASATable">
    <w:name w:val="ASA Table"/>
    <w:basedOn w:val="TableNormal"/>
    <w:uiPriority w:val="99"/>
    <w:rsid w:val="009256B6"/>
    <w:pPr>
      <w:jc w:val="center"/>
    </w:pPr>
    <w:rPr>
      <w:rFonts w:asciiTheme="minorHAnsi" w:hAnsiTheme="minorHAnsi"/>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paragraph" w:customStyle="1" w:styleId="DividerSubtitle">
    <w:name w:val="Divider Subtitle"/>
    <w:basedOn w:val="Normal"/>
    <w:qFormat/>
    <w:rsid w:val="00923EE1"/>
    <w:pPr>
      <w:spacing w:after="160"/>
    </w:pPr>
    <w:rPr>
      <w:b/>
      <w:color w:val="FFFFFF"/>
      <w:sz w:val="43"/>
      <w:lang w:eastAsia="en-US"/>
    </w:rPr>
  </w:style>
  <w:style w:type="paragraph" w:customStyle="1" w:styleId="FooterInfo">
    <w:name w:val="Footer Info"/>
    <w:basedOn w:val="Footer"/>
    <w:qFormat/>
    <w:rsid w:val="00923EE1"/>
    <w:rPr>
      <w:sz w:val="18"/>
    </w:rPr>
  </w:style>
  <w:style w:type="paragraph" w:customStyle="1" w:styleId="FooterInfoDividerPage">
    <w:name w:val="Footer Info DividerPage"/>
    <w:basedOn w:val="FooterInfo"/>
    <w:qFormat/>
    <w:rsid w:val="00923EE1"/>
    <w:rPr>
      <w:color w:val="FFFFFF"/>
    </w:rPr>
  </w:style>
  <w:style w:type="paragraph" w:customStyle="1" w:styleId="CoverURL">
    <w:name w:val="Cover URL"/>
    <w:basedOn w:val="Footer"/>
    <w:qFormat/>
    <w:rsid w:val="00CD6498"/>
    <w:pPr>
      <w:spacing w:before="440"/>
    </w:pPr>
    <w:rPr>
      <w:b/>
      <w:color w:val="FFFFFF"/>
      <w:sz w:val="29"/>
    </w:rPr>
  </w:style>
  <w:style w:type="paragraph" w:styleId="ListNumber3">
    <w:name w:val="List Number 3"/>
    <w:basedOn w:val="Normal"/>
    <w:uiPriority w:val="3"/>
    <w:qFormat/>
    <w:rsid w:val="00923EE1"/>
    <w:pPr>
      <w:numPr>
        <w:ilvl w:val="2"/>
        <w:numId w:val="12"/>
      </w:numPr>
      <w:contextualSpacing/>
    </w:pPr>
  </w:style>
  <w:style w:type="table" w:customStyle="1" w:styleId="ASAPullOutBox">
    <w:name w:val="ASA PullOut Box"/>
    <w:basedOn w:val="TableNormal"/>
    <w:uiPriority w:val="99"/>
    <w:rsid w:val="00923EE1"/>
    <w:rPr>
      <w:rFonts w:asciiTheme="minorHAnsi" w:hAnsiTheme="minorHAnsi"/>
    </w:rPr>
    <w:tblPr>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tblBorders>
      <w:tblCellMar>
        <w:top w:w="284" w:type="dxa"/>
        <w:left w:w="567" w:type="dxa"/>
        <w:bottom w:w="85" w:type="dxa"/>
        <w:right w:w="567" w:type="dxa"/>
      </w:tblCellMar>
    </w:tblPr>
  </w:style>
  <w:style w:type="paragraph" w:customStyle="1" w:styleId="IntroCopy2">
    <w:name w:val="Intro Copy 2"/>
    <w:basedOn w:val="Normal"/>
    <w:next w:val="Normal"/>
    <w:uiPriority w:val="2"/>
    <w:qFormat/>
    <w:rsid w:val="00923EE1"/>
    <w:rPr>
      <w:b/>
    </w:rPr>
  </w:style>
  <w:style w:type="paragraph" w:customStyle="1" w:styleId="CoverDate">
    <w:name w:val="Cover Date"/>
    <w:basedOn w:val="CoverSubtitle"/>
    <w:qFormat/>
    <w:rsid w:val="00923EE1"/>
  </w:style>
  <w:style w:type="numbering" w:customStyle="1" w:styleId="DividerNo">
    <w:name w:val="DividerNo"/>
    <w:uiPriority w:val="99"/>
    <w:rsid w:val="00A9412A"/>
    <w:pPr>
      <w:numPr>
        <w:numId w:val="6"/>
      </w:numPr>
    </w:pPr>
  </w:style>
  <w:style w:type="paragraph" w:customStyle="1" w:styleId="DividerNumber">
    <w:name w:val="Divider Number"/>
    <w:basedOn w:val="Normal"/>
    <w:qFormat/>
    <w:rsid w:val="00923EE1"/>
    <w:pPr>
      <w:numPr>
        <w:numId w:val="14"/>
      </w:numPr>
      <w:spacing w:before="680" w:after="0" w:line="216" w:lineRule="auto"/>
      <w:contextualSpacing/>
    </w:pPr>
    <w:rPr>
      <w:b/>
      <w:color w:val="FFFFFF"/>
      <w:sz w:val="112"/>
    </w:rPr>
  </w:style>
  <w:style w:type="paragraph" w:customStyle="1" w:styleId="TableText-Diagram">
    <w:name w:val="Table Text - Diagram"/>
    <w:basedOn w:val="TableText"/>
    <w:qFormat/>
    <w:rsid w:val="00923EE1"/>
    <w:rPr>
      <w:lang w:val="es-ES"/>
    </w:rPr>
  </w:style>
  <w:style w:type="paragraph" w:customStyle="1" w:styleId="TableText-DiagramFirstColumn">
    <w:name w:val="Table Text - Diagram FirstColumn"/>
    <w:basedOn w:val="TableText-Diagram"/>
    <w:qFormat/>
    <w:rsid w:val="00923EE1"/>
    <w:rPr>
      <w:b/>
      <w:color w:val="FFFFFF"/>
    </w:rPr>
  </w:style>
  <w:style w:type="character" w:customStyle="1" w:styleId="Heading1Char">
    <w:name w:val="Heading 1 Char"/>
    <w:basedOn w:val="DefaultParagraphFont"/>
    <w:link w:val="Heading1"/>
    <w:uiPriority w:val="1"/>
    <w:rsid w:val="00EF7E1B"/>
    <w:rPr>
      <w:rFonts w:asciiTheme="majorHAnsi" w:eastAsia="MS Mincho" w:hAnsiTheme="majorHAnsi" w:cstheme="majorHAnsi"/>
      <w:b/>
      <w:bCs/>
      <w:color w:val="004976" w:themeColor="background2"/>
      <w:kern w:val="32"/>
      <w:sz w:val="44"/>
      <w:szCs w:val="32"/>
      <w:lang w:val="en-AU" w:eastAsia="ja-JP"/>
    </w:rPr>
  </w:style>
  <w:style w:type="paragraph" w:customStyle="1" w:styleId="Notes">
    <w:name w:val="Notes"/>
    <w:basedOn w:val="Normal"/>
    <w:next w:val="Normal"/>
    <w:qFormat/>
    <w:rsid w:val="00C26F26"/>
    <w:pPr>
      <w:spacing w:before="160" w:line="180" w:lineRule="atLeast"/>
    </w:pPr>
    <w:rPr>
      <w:sz w:val="20"/>
      <w:lang w:val="es-ES"/>
    </w:rPr>
  </w:style>
  <w:style w:type="paragraph" w:customStyle="1" w:styleId="ChartSubhead">
    <w:name w:val="Chart Subhead"/>
    <w:basedOn w:val="Normal"/>
    <w:qFormat/>
    <w:rsid w:val="00923EE1"/>
    <w:pPr>
      <w:spacing w:before="500" w:after="160"/>
    </w:pPr>
    <w:rPr>
      <w:rFonts w:ascii="Calibri" w:hAnsi="Calibri"/>
      <w:b/>
      <w:color w:val="004976"/>
      <w:sz w:val="32"/>
    </w:rPr>
  </w:style>
  <w:style w:type="paragraph" w:customStyle="1" w:styleId="ChartIntroCopy">
    <w:name w:val="Chart IntroCopy"/>
    <w:basedOn w:val="Normal"/>
    <w:qFormat/>
    <w:rsid w:val="00923EE1"/>
    <w:pPr>
      <w:contextualSpacing/>
    </w:pPr>
    <w:rPr>
      <w:b/>
      <w:color w:val="004976" w:themeColor="accent1"/>
    </w:rPr>
  </w:style>
  <w:style w:type="character" w:customStyle="1" w:styleId="Heading2Char">
    <w:name w:val="Heading 2 Char"/>
    <w:basedOn w:val="DefaultParagraphFont"/>
    <w:link w:val="Heading2"/>
    <w:uiPriority w:val="1"/>
    <w:rsid w:val="00EF7E1B"/>
    <w:rPr>
      <w:rFonts w:asciiTheme="majorHAnsi" w:eastAsia="MS Mincho" w:hAnsiTheme="majorHAnsi" w:cstheme="majorHAnsi"/>
      <w:b/>
      <w:bCs/>
      <w:iCs/>
      <w:color w:val="004976" w:themeColor="background2"/>
      <w:sz w:val="32"/>
      <w:szCs w:val="28"/>
      <w:lang w:val="en-AU" w:eastAsia="ja-JP"/>
    </w:rPr>
  </w:style>
  <w:style w:type="table" w:customStyle="1" w:styleId="ASAChartBox">
    <w:name w:val="ASA ChartBox"/>
    <w:basedOn w:val="TableNormal"/>
    <w:uiPriority w:val="99"/>
    <w:rsid w:val="00923EE1"/>
    <w:rPr>
      <w:rFonts w:ascii="Calibri" w:hAnsi="Calibri"/>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BackPageURL">
    <w:name w:val="BackPage URL"/>
    <w:basedOn w:val="Normal"/>
    <w:qFormat/>
    <w:rsid w:val="00923EE1"/>
    <w:pPr>
      <w:spacing w:after="60" w:line="240" w:lineRule="auto"/>
    </w:pPr>
    <w:rPr>
      <w:b/>
      <w:color w:val="004976" w:themeColor="background2"/>
      <w:sz w:val="24"/>
      <w:lang w:val="es-ES"/>
    </w:rPr>
  </w:style>
  <w:style w:type="paragraph" w:customStyle="1" w:styleId="BackPageDetails">
    <w:name w:val="BackPage Details"/>
    <w:basedOn w:val="Normal"/>
    <w:qFormat/>
    <w:rsid w:val="00923EE1"/>
    <w:pPr>
      <w:spacing w:after="0" w:line="228" w:lineRule="auto"/>
      <w:contextualSpacing/>
    </w:pPr>
    <w:rPr>
      <w:color w:val="004976" w:themeColor="background2"/>
      <w:sz w:val="24"/>
    </w:rPr>
  </w:style>
  <w:style w:type="table" w:customStyle="1" w:styleId="CECouncil">
    <w:name w:val="CE Council"/>
    <w:basedOn w:val="TableNormal"/>
    <w:uiPriority w:val="99"/>
    <w:rsid w:val="00923EE1"/>
    <w:rPr>
      <w:rFonts w:asciiTheme="minorHAnsi" w:eastAsiaTheme="minorHAnsi" w:hAnsiTheme="minorHAnsi"/>
      <w:lang w:val="en-AU" w:eastAsia="en-US"/>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table" w:customStyle="1" w:styleId="TableGridLight1">
    <w:name w:val="Table Grid Light1"/>
    <w:basedOn w:val="TableNormal"/>
    <w:uiPriority w:val="40"/>
    <w:rsid w:val="00923EE1"/>
    <w:rPr>
      <w:rFonts w:eastAsiaTheme="minorHAnsi"/>
      <w:lang w:val="en-AU"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mageCaptionWhite">
    <w:name w:val="Image Caption White"/>
    <w:basedOn w:val="Normal"/>
    <w:qFormat/>
    <w:rsid w:val="00923EE1"/>
    <w:pPr>
      <w:spacing w:before="240" w:after="240"/>
      <w:ind w:left="340" w:right="340"/>
    </w:pPr>
    <w:rPr>
      <w:rFonts w:eastAsiaTheme="minorHAnsi"/>
      <w:b/>
      <w:color w:val="FFFFFF"/>
      <w:lang w:eastAsia="en-US"/>
    </w:rPr>
  </w:style>
  <w:style w:type="character" w:customStyle="1" w:styleId="FooterChar">
    <w:name w:val="Footer Char"/>
    <w:aliases w:val="Foot note Char"/>
    <w:basedOn w:val="DefaultParagraphFont"/>
    <w:link w:val="Footer"/>
    <w:uiPriority w:val="99"/>
    <w:rsid w:val="00923EE1"/>
    <w:rPr>
      <w:rFonts w:asciiTheme="minorHAnsi" w:eastAsia="MS Mincho" w:hAnsiTheme="minorHAnsi"/>
      <w:color w:val="004976" w:themeColor="accent1"/>
      <w:sz w:val="12"/>
      <w:lang w:val="en-AU" w:eastAsia="ja-JP"/>
    </w:rPr>
  </w:style>
  <w:style w:type="paragraph" w:styleId="Quote">
    <w:name w:val="Quote"/>
    <w:basedOn w:val="Normal"/>
    <w:next w:val="AuthorName"/>
    <w:link w:val="QuoteChar"/>
    <w:uiPriority w:val="29"/>
    <w:rsid w:val="00B5518B"/>
    <w:pPr>
      <w:spacing w:after="0" w:line="364" w:lineRule="atLeast"/>
    </w:pPr>
    <w:rPr>
      <w:rFonts w:eastAsiaTheme="minorHAnsi"/>
      <w:iCs/>
      <w:color w:val="004976" w:themeColor="background2"/>
      <w:sz w:val="34"/>
      <w:lang w:eastAsia="en-US"/>
    </w:rPr>
  </w:style>
  <w:style w:type="character" w:customStyle="1" w:styleId="QuoteChar">
    <w:name w:val="Quote Char"/>
    <w:basedOn w:val="DefaultParagraphFont"/>
    <w:link w:val="Quote"/>
    <w:uiPriority w:val="29"/>
    <w:rsid w:val="00B5518B"/>
    <w:rPr>
      <w:rFonts w:asciiTheme="minorHAnsi" w:eastAsiaTheme="minorHAnsi" w:hAnsiTheme="minorHAnsi"/>
      <w:iCs/>
      <w:color w:val="004976" w:themeColor="background2"/>
      <w:sz w:val="34"/>
      <w:lang w:val="en-AU" w:eastAsia="en-US"/>
    </w:rPr>
  </w:style>
  <w:style w:type="paragraph" w:customStyle="1" w:styleId="Citation">
    <w:name w:val="Citation"/>
    <w:basedOn w:val="Normal"/>
    <w:qFormat/>
    <w:rsid w:val="00C26F26"/>
    <w:pPr>
      <w:spacing w:after="0" w:line="180" w:lineRule="atLeast"/>
    </w:pPr>
    <w:rPr>
      <w:rFonts w:eastAsiaTheme="minorHAnsi"/>
      <w:sz w:val="20"/>
      <w:lang w:eastAsia="en-US"/>
    </w:rPr>
  </w:style>
  <w:style w:type="paragraph" w:customStyle="1" w:styleId="AuthorName">
    <w:name w:val="Author Name"/>
    <w:basedOn w:val="Normal"/>
    <w:next w:val="Normal"/>
    <w:qFormat/>
    <w:rsid w:val="00B5518B"/>
    <w:pPr>
      <w:jc w:val="right"/>
    </w:pPr>
    <w:rPr>
      <w:b/>
      <w:noProof/>
      <w:color w:val="004976" w:themeColor="accent1"/>
      <w:sz w:val="24"/>
    </w:rPr>
  </w:style>
  <w:style w:type="character" w:customStyle="1" w:styleId="Heading3Char">
    <w:name w:val="Heading 3 Char"/>
    <w:basedOn w:val="DefaultParagraphFont"/>
    <w:link w:val="Heading3"/>
    <w:uiPriority w:val="1"/>
    <w:rsid w:val="00EF7E1B"/>
    <w:rPr>
      <w:rFonts w:asciiTheme="majorHAnsi" w:eastAsia="MS Mincho" w:hAnsiTheme="majorHAnsi" w:cstheme="majorHAnsi"/>
      <w:b/>
      <w:bCs/>
      <w:color w:val="004976" w:themeColor="background2"/>
      <w:sz w:val="28"/>
      <w:szCs w:val="26"/>
      <w:lang w:val="en-AU" w:eastAsia="ja-JP"/>
    </w:rPr>
  </w:style>
  <w:style w:type="paragraph" w:customStyle="1" w:styleId="NormalBold">
    <w:name w:val="Normal Bold"/>
    <w:basedOn w:val="Normal"/>
    <w:qFormat/>
    <w:rsid w:val="00573501"/>
    <w:rPr>
      <w:b/>
    </w:rPr>
  </w:style>
  <w:style w:type="paragraph" w:customStyle="1" w:styleId="TableHeading-Diagram">
    <w:name w:val="Table Heading - Diagram"/>
    <w:basedOn w:val="TableHeading"/>
    <w:qFormat/>
    <w:rsid w:val="00C74770"/>
    <w:rPr>
      <w:color w:val="FFFFFF"/>
    </w:rPr>
  </w:style>
  <w:style w:type="paragraph" w:styleId="Revision">
    <w:name w:val="Revision"/>
    <w:hidden/>
    <w:uiPriority w:val="99"/>
    <w:semiHidden/>
    <w:rsid w:val="00E6470E"/>
    <w:rPr>
      <w:rFonts w:asciiTheme="minorHAnsi" w:eastAsia="MS Mincho" w:hAnsiTheme="minorHAnsi"/>
      <w:color w:val="000000" w:themeColor="text2"/>
      <w:sz w:val="22"/>
      <w:lang w:val="en-AU" w:eastAsia="ja-JP"/>
    </w:rPr>
  </w:style>
  <w:style w:type="character" w:customStyle="1" w:styleId="ListParagraphChar">
    <w:name w:val="List Paragraph Char"/>
    <w:aliases w:val="List Bullet Cab Char,CAB - List Bullet Char,Bulleted Para Char,Bulletr List Paragraph Char,DDM Gen Text Char,FooterText Char,L Char,List Paragraph1 Char,List Paragraph11 Char,List Paragraph2 Char,List Paragraph21 Char"/>
    <w:basedOn w:val="DefaultParagraphFont"/>
    <w:link w:val="ListParagraph"/>
    <w:uiPriority w:val="34"/>
    <w:qFormat/>
    <w:rsid w:val="00D9324F"/>
    <w:rPr>
      <w:rFonts w:asciiTheme="minorHAnsi" w:eastAsia="MS Mincho" w:hAnsiTheme="minorHAnsi"/>
      <w:color w:val="000000" w:themeColor="text2"/>
      <w:sz w:val="22"/>
      <w:lang w:val="en-AU" w:eastAsia="ja-JP"/>
    </w:rPr>
  </w:style>
  <w:style w:type="paragraph" w:customStyle="1" w:styleId="xl65">
    <w:name w:val="xl65"/>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24"/>
      <w:szCs w:val="24"/>
      <w:lang w:eastAsia="en-AU"/>
    </w:rPr>
  </w:style>
  <w:style w:type="paragraph" w:customStyle="1" w:styleId="xl66">
    <w:name w:val="xl66"/>
    <w:basedOn w:val="Normal"/>
    <w:rsid w:val="00D577AB"/>
    <w:pPr>
      <w:shd w:val="clear" w:color="000000" w:fill="305496"/>
      <w:adjustRightInd/>
      <w:snapToGrid/>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xl67">
    <w:name w:val="xl67"/>
    <w:basedOn w:val="Normal"/>
    <w:rsid w:val="00D577AB"/>
    <w:pPr>
      <w:shd w:val="clear" w:color="000000" w:fill="305496"/>
      <w:adjustRightInd/>
      <w:snapToGrid/>
      <w:spacing w:before="100" w:beforeAutospacing="1" w:after="100" w:afterAutospacing="1" w:line="240" w:lineRule="auto"/>
    </w:pPr>
    <w:rPr>
      <w:rFonts w:ascii="Times New Roman" w:eastAsia="Times New Roman" w:hAnsi="Times New Roman"/>
      <w:b/>
      <w:bCs/>
      <w:color w:val="FFFFFF"/>
      <w:sz w:val="24"/>
      <w:szCs w:val="24"/>
      <w:lang w:eastAsia="en-AU"/>
    </w:rPr>
  </w:style>
  <w:style w:type="paragraph" w:customStyle="1" w:styleId="xl68">
    <w:name w:val="xl68"/>
    <w:basedOn w:val="Normal"/>
    <w:rsid w:val="00D577AB"/>
    <w:pPr>
      <w:shd w:val="clear" w:color="000000" w:fill="305496"/>
      <w:adjustRightInd/>
      <w:snapToGrid/>
      <w:spacing w:before="100" w:beforeAutospacing="1" w:after="100" w:afterAutospacing="1" w:line="240" w:lineRule="auto"/>
    </w:pPr>
    <w:rPr>
      <w:rFonts w:ascii="Times New Roman" w:eastAsia="Times New Roman" w:hAnsi="Times New Roman"/>
      <w:b/>
      <w:bCs/>
      <w:color w:val="FFFFFF"/>
      <w:sz w:val="24"/>
      <w:szCs w:val="24"/>
      <w:lang w:eastAsia="en-AU"/>
    </w:rPr>
  </w:style>
  <w:style w:type="paragraph" w:customStyle="1" w:styleId="xl69">
    <w:name w:val="xl69"/>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FFFFFF"/>
      <w:sz w:val="24"/>
      <w:szCs w:val="24"/>
      <w:lang w:eastAsia="en-AU"/>
    </w:rPr>
  </w:style>
  <w:style w:type="paragraph" w:customStyle="1" w:styleId="xl70">
    <w:name w:val="xl70"/>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FFFFFF"/>
      <w:sz w:val="24"/>
      <w:szCs w:val="24"/>
      <w:lang w:eastAsia="en-AU"/>
    </w:rPr>
  </w:style>
  <w:style w:type="paragraph" w:customStyle="1" w:styleId="xl71">
    <w:name w:val="xl71"/>
    <w:basedOn w:val="Normal"/>
    <w:rsid w:val="00D577AB"/>
    <w:pPr>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72">
    <w:name w:val="xl72"/>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24"/>
      <w:szCs w:val="24"/>
      <w:lang w:eastAsia="en-AU"/>
    </w:rPr>
  </w:style>
  <w:style w:type="paragraph" w:customStyle="1" w:styleId="xl73">
    <w:name w:val="xl73"/>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xl74">
    <w:name w:val="xl74"/>
    <w:basedOn w:val="Normal"/>
    <w:rsid w:val="00D577AB"/>
    <w:pPr>
      <w:shd w:val="clear" w:color="000000" w:fill="757171"/>
      <w:adjustRightInd/>
      <w:snapToGrid/>
      <w:spacing w:before="100" w:beforeAutospacing="1" w:after="100" w:afterAutospacing="1" w:line="240" w:lineRule="auto"/>
      <w:textAlignment w:val="top"/>
    </w:pPr>
    <w:rPr>
      <w:rFonts w:ascii="Times New Roman" w:eastAsia="Times New Roman" w:hAnsi="Times New Roman"/>
      <w:b/>
      <w:bCs/>
      <w:color w:val="FFFFFF"/>
      <w:sz w:val="20"/>
      <w:lang w:eastAsia="en-AU"/>
    </w:rPr>
  </w:style>
  <w:style w:type="paragraph" w:customStyle="1" w:styleId="xl75">
    <w:name w:val="xl75"/>
    <w:basedOn w:val="Normal"/>
    <w:rsid w:val="00D577AB"/>
    <w:pPr>
      <w:adjustRightInd/>
      <w:snapToGrid/>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76">
    <w:name w:val="xl76"/>
    <w:basedOn w:val="Normal"/>
    <w:rsid w:val="00D577AB"/>
    <w:pPr>
      <w:adjustRightInd/>
      <w:snapToGrid/>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77">
    <w:name w:val="xl77"/>
    <w:basedOn w:val="Normal"/>
    <w:rsid w:val="00D577AB"/>
    <w:pPr>
      <w:adjustRightInd/>
      <w:snapToGrid/>
      <w:spacing w:before="100" w:beforeAutospacing="1" w:after="100" w:afterAutospacing="1" w:line="240" w:lineRule="auto"/>
    </w:pPr>
    <w:rPr>
      <w:rFonts w:ascii="Times New Roman" w:eastAsia="Times New Roman" w:hAnsi="Times New Roman"/>
      <w:b/>
      <w:bCs/>
      <w:color w:val="auto"/>
      <w:sz w:val="16"/>
      <w:szCs w:val="16"/>
      <w:lang w:eastAsia="en-AU"/>
    </w:rPr>
  </w:style>
  <w:style w:type="paragraph" w:customStyle="1" w:styleId="xl78">
    <w:name w:val="xl78"/>
    <w:basedOn w:val="Normal"/>
    <w:rsid w:val="00D577AB"/>
    <w:pPr>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79">
    <w:name w:val="xl79"/>
    <w:basedOn w:val="Normal"/>
    <w:rsid w:val="00D577AB"/>
    <w:pPr>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80">
    <w:name w:val="xl80"/>
    <w:basedOn w:val="Normal"/>
    <w:rsid w:val="00D577AB"/>
    <w:pPr>
      <w:shd w:val="clear" w:color="000000" w:fill="D9D9D9"/>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81">
    <w:name w:val="xl81"/>
    <w:basedOn w:val="Normal"/>
    <w:rsid w:val="00D577AB"/>
    <w:pPr>
      <w:shd w:val="clear" w:color="000000" w:fill="FFFF00"/>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82">
    <w:name w:val="xl82"/>
    <w:basedOn w:val="Normal"/>
    <w:rsid w:val="00D577AB"/>
    <w:pPr>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83">
    <w:name w:val="xl83"/>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84">
    <w:name w:val="xl84"/>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85">
    <w:name w:val="xl85"/>
    <w:basedOn w:val="Normal"/>
    <w:rsid w:val="00D577AB"/>
    <w:pPr>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86">
    <w:name w:val="xl86"/>
    <w:basedOn w:val="Normal"/>
    <w:rsid w:val="00D577AB"/>
    <w:pPr>
      <w:pBdr>
        <w:top w:val="single" w:sz="4" w:space="0" w:color="auto"/>
        <w:bottom w:val="single" w:sz="4" w:space="0" w:color="auto"/>
      </w:pBdr>
      <w:shd w:val="clear" w:color="000000" w:fill="D9D9D9"/>
      <w:adjustRightInd/>
      <w:snapToGrid/>
      <w:spacing w:before="100" w:beforeAutospacing="1" w:after="100" w:afterAutospacing="1" w:line="240" w:lineRule="auto"/>
    </w:pPr>
    <w:rPr>
      <w:rFonts w:ascii="Times New Roman" w:eastAsia="Times New Roman" w:hAnsi="Times New Roman"/>
      <w:b/>
      <w:bCs/>
      <w:color w:val="auto"/>
      <w:sz w:val="24"/>
      <w:szCs w:val="24"/>
      <w:lang w:eastAsia="en-AU"/>
    </w:rPr>
  </w:style>
  <w:style w:type="paragraph" w:customStyle="1" w:styleId="xl87">
    <w:name w:val="xl87"/>
    <w:basedOn w:val="Normal"/>
    <w:rsid w:val="00D577AB"/>
    <w:pPr>
      <w:pBdr>
        <w:top w:val="single" w:sz="4" w:space="0" w:color="auto"/>
        <w:bottom w:val="single" w:sz="4" w:space="0" w:color="auto"/>
      </w:pBdr>
      <w:shd w:val="clear" w:color="000000" w:fill="D9D9D9"/>
      <w:adjustRightInd/>
      <w:snapToGrid/>
      <w:spacing w:before="100" w:beforeAutospacing="1" w:after="100" w:afterAutospacing="1" w:line="240" w:lineRule="auto"/>
    </w:pPr>
    <w:rPr>
      <w:rFonts w:ascii="Times New Roman" w:eastAsia="Times New Roman" w:hAnsi="Times New Roman"/>
      <w:b/>
      <w:bCs/>
      <w:color w:val="FF0000"/>
      <w:sz w:val="24"/>
      <w:szCs w:val="24"/>
      <w:lang w:eastAsia="en-AU"/>
    </w:rPr>
  </w:style>
  <w:style w:type="paragraph" w:customStyle="1" w:styleId="xl88">
    <w:name w:val="xl88"/>
    <w:basedOn w:val="Normal"/>
    <w:rsid w:val="00D577AB"/>
    <w:pPr>
      <w:pBdr>
        <w:top w:val="single" w:sz="4" w:space="0" w:color="auto"/>
        <w:bottom w:val="single" w:sz="4" w:space="0" w:color="auto"/>
      </w:pBdr>
      <w:shd w:val="clear" w:color="000000" w:fill="D9D9D9"/>
      <w:adjustRightInd/>
      <w:snapToGrid/>
      <w:spacing w:before="100" w:beforeAutospacing="1" w:after="100" w:afterAutospacing="1" w:line="240" w:lineRule="auto"/>
    </w:pPr>
    <w:rPr>
      <w:rFonts w:ascii="Times New Roman" w:eastAsia="Times New Roman" w:hAnsi="Times New Roman"/>
      <w:b/>
      <w:bCs/>
      <w:color w:val="auto"/>
      <w:sz w:val="24"/>
      <w:szCs w:val="24"/>
      <w:lang w:eastAsia="en-AU"/>
    </w:rPr>
  </w:style>
  <w:style w:type="paragraph" w:customStyle="1" w:styleId="xl89">
    <w:name w:val="xl89"/>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0">
    <w:name w:val="xl90"/>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1">
    <w:name w:val="xl91"/>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2">
    <w:name w:val="xl92"/>
    <w:basedOn w:val="Normal"/>
    <w:rsid w:val="00D577AB"/>
    <w:pPr>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3">
    <w:name w:val="xl93"/>
    <w:basedOn w:val="Normal"/>
    <w:rsid w:val="00D577AB"/>
    <w:pPr>
      <w:adjustRightInd/>
      <w:snapToGrid/>
      <w:spacing w:before="100" w:beforeAutospacing="1" w:after="100" w:afterAutospacing="1" w:line="240" w:lineRule="auto"/>
      <w:textAlignment w:val="top"/>
    </w:pPr>
    <w:rPr>
      <w:rFonts w:ascii="Times New Roman" w:eastAsia="Times New Roman" w:hAnsi="Times New Roman"/>
      <w:b/>
      <w:bCs/>
      <w:color w:val="auto"/>
      <w:sz w:val="18"/>
      <w:szCs w:val="18"/>
      <w:lang w:eastAsia="en-AU"/>
    </w:rPr>
  </w:style>
  <w:style w:type="paragraph" w:customStyle="1" w:styleId="xl94">
    <w:name w:val="xl94"/>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5">
    <w:name w:val="xl95"/>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6">
    <w:name w:val="xl96"/>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7">
    <w:name w:val="xl97"/>
    <w:basedOn w:val="Normal"/>
    <w:rsid w:val="00D577AB"/>
    <w:pPr>
      <w:shd w:val="clear" w:color="000000" w:fill="FFFFFF"/>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98">
    <w:name w:val="xl98"/>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99">
    <w:name w:val="xl99"/>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00">
    <w:name w:val="xl100"/>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01">
    <w:name w:val="xl101"/>
    <w:basedOn w:val="Normal"/>
    <w:rsid w:val="00D577AB"/>
    <w:pPr>
      <w:shd w:val="clear" w:color="000000" w:fill="BFBFBF"/>
      <w:adjustRightInd/>
      <w:snapToGrid/>
      <w:spacing w:before="100" w:beforeAutospacing="1" w:after="100" w:afterAutospacing="1" w:line="240" w:lineRule="auto"/>
      <w:textAlignment w:val="top"/>
    </w:pPr>
    <w:rPr>
      <w:rFonts w:ascii="Times New Roman" w:eastAsia="Times New Roman" w:hAnsi="Times New Roman"/>
      <w:b/>
      <w:bCs/>
      <w:color w:val="auto"/>
      <w:sz w:val="18"/>
      <w:szCs w:val="18"/>
      <w:lang w:eastAsia="en-AU"/>
    </w:rPr>
  </w:style>
  <w:style w:type="paragraph" w:customStyle="1" w:styleId="xl102">
    <w:name w:val="xl102"/>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03">
    <w:name w:val="xl103"/>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04">
    <w:name w:val="xl104"/>
    <w:basedOn w:val="Normal"/>
    <w:rsid w:val="00D577AB"/>
    <w:pPr>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05">
    <w:name w:val="xl105"/>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06">
    <w:name w:val="xl106"/>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07">
    <w:name w:val="xl107"/>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08">
    <w:name w:val="xl108"/>
    <w:basedOn w:val="Normal"/>
    <w:rsid w:val="00D577AB"/>
    <w:pPr>
      <w:shd w:val="clear" w:color="000000" w:fill="BFBFBF"/>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09">
    <w:name w:val="xl109"/>
    <w:basedOn w:val="Normal"/>
    <w:rsid w:val="00D577AB"/>
    <w:pPr>
      <w:shd w:val="clear" w:color="000000" w:fill="D9D9D9"/>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10">
    <w:name w:val="xl110"/>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11">
    <w:name w:val="xl111"/>
    <w:basedOn w:val="Normal"/>
    <w:rsid w:val="00D577AB"/>
    <w:pPr>
      <w:shd w:val="clear" w:color="000000" w:fill="D9D9D9"/>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12">
    <w:name w:val="xl112"/>
    <w:basedOn w:val="Normal"/>
    <w:rsid w:val="00D577AB"/>
    <w:pPr>
      <w:shd w:val="clear" w:color="000000" w:fill="D9D9D9"/>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13">
    <w:name w:val="xl113"/>
    <w:basedOn w:val="Normal"/>
    <w:rsid w:val="00D577AB"/>
    <w:pPr>
      <w:adjustRightInd/>
      <w:snapToGrid/>
      <w:spacing w:before="100" w:beforeAutospacing="1" w:after="100" w:afterAutospacing="1" w:line="240" w:lineRule="auto"/>
    </w:pPr>
    <w:rPr>
      <w:rFonts w:ascii="Times New Roman" w:eastAsia="Times New Roman" w:hAnsi="Times New Roman"/>
      <w:b/>
      <w:bCs/>
      <w:color w:val="FF0000"/>
      <w:sz w:val="18"/>
      <w:szCs w:val="18"/>
      <w:lang w:eastAsia="en-AU"/>
    </w:rPr>
  </w:style>
  <w:style w:type="paragraph" w:customStyle="1" w:styleId="xl114">
    <w:name w:val="xl114"/>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b/>
      <w:bCs/>
      <w:color w:val="FF0000"/>
      <w:sz w:val="18"/>
      <w:szCs w:val="18"/>
      <w:lang w:eastAsia="en-AU"/>
    </w:rPr>
  </w:style>
  <w:style w:type="paragraph" w:customStyle="1" w:styleId="xl115">
    <w:name w:val="xl115"/>
    <w:basedOn w:val="Normal"/>
    <w:rsid w:val="00D577AB"/>
    <w:pPr>
      <w:adjustRightInd/>
      <w:snapToGrid/>
      <w:spacing w:before="100" w:beforeAutospacing="1" w:after="100" w:afterAutospacing="1" w:line="240" w:lineRule="auto"/>
    </w:pPr>
    <w:rPr>
      <w:rFonts w:ascii="Times New Roman" w:eastAsia="Times New Roman" w:hAnsi="Times New Roman"/>
      <w:b/>
      <w:bCs/>
      <w:color w:val="FF0000"/>
      <w:sz w:val="18"/>
      <w:szCs w:val="18"/>
      <w:lang w:eastAsia="en-AU"/>
    </w:rPr>
  </w:style>
  <w:style w:type="paragraph" w:customStyle="1" w:styleId="xl116">
    <w:name w:val="xl116"/>
    <w:basedOn w:val="Normal"/>
    <w:rsid w:val="00D577AB"/>
    <w:pPr>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17">
    <w:name w:val="xl117"/>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18">
    <w:name w:val="xl118"/>
    <w:basedOn w:val="Normal"/>
    <w:rsid w:val="00D577AB"/>
    <w:pPr>
      <w:shd w:val="clear" w:color="000000" w:fill="D9D9D9"/>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19">
    <w:name w:val="xl119"/>
    <w:basedOn w:val="Normal"/>
    <w:rsid w:val="00D577AB"/>
    <w:pPr>
      <w:shd w:val="clear" w:color="000000" w:fill="F8CBAD"/>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20">
    <w:name w:val="xl120"/>
    <w:basedOn w:val="Normal"/>
    <w:rsid w:val="00D577AB"/>
    <w:pPr>
      <w:shd w:val="clear" w:color="000000" w:fill="FFFF00"/>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21">
    <w:name w:val="xl121"/>
    <w:basedOn w:val="Normal"/>
    <w:rsid w:val="00D577AB"/>
    <w:pPr>
      <w:shd w:val="clear" w:color="000000" w:fill="FFFFFF"/>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22">
    <w:name w:val="xl122"/>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23">
    <w:name w:val="xl123"/>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auto"/>
      <w:sz w:val="18"/>
      <w:szCs w:val="18"/>
      <w:lang w:eastAsia="en-AU"/>
    </w:rPr>
  </w:style>
  <w:style w:type="paragraph" w:customStyle="1" w:styleId="xl124">
    <w:name w:val="xl124"/>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25">
    <w:name w:val="xl125"/>
    <w:basedOn w:val="Normal"/>
    <w:rsid w:val="00D577AB"/>
    <w:pPr>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26">
    <w:name w:val="xl126"/>
    <w:basedOn w:val="Normal"/>
    <w:rsid w:val="00D577AB"/>
    <w:pPr>
      <w:shd w:val="clear" w:color="000000" w:fill="FFFF00"/>
      <w:adjustRightInd/>
      <w:snapToGrid/>
      <w:spacing w:before="100" w:beforeAutospacing="1" w:after="100" w:afterAutospacing="1" w:line="240" w:lineRule="auto"/>
    </w:pPr>
    <w:rPr>
      <w:rFonts w:ascii="Times New Roman" w:eastAsia="Times New Roman" w:hAnsi="Times New Roman"/>
      <w:b/>
      <w:bCs/>
      <w:color w:val="auto"/>
      <w:sz w:val="18"/>
      <w:szCs w:val="18"/>
      <w:lang w:eastAsia="en-AU"/>
    </w:rPr>
  </w:style>
  <w:style w:type="paragraph" w:customStyle="1" w:styleId="xl127">
    <w:name w:val="xl127"/>
    <w:basedOn w:val="Normal"/>
    <w:rsid w:val="00D577AB"/>
    <w:pPr>
      <w:shd w:val="clear" w:color="000000" w:fill="D9D9D9"/>
      <w:adjustRightInd/>
      <w:snapToGrid/>
      <w:spacing w:before="100" w:beforeAutospacing="1" w:after="100" w:afterAutospacing="1" w:line="240" w:lineRule="auto"/>
      <w:textAlignment w:val="top"/>
    </w:pPr>
    <w:rPr>
      <w:rFonts w:ascii="Times New Roman" w:eastAsia="Times New Roman" w:hAnsi="Times New Roman"/>
      <w:color w:val="1D2021"/>
      <w:sz w:val="18"/>
      <w:szCs w:val="18"/>
      <w:lang w:eastAsia="en-AU"/>
    </w:rPr>
  </w:style>
  <w:style w:type="paragraph" w:customStyle="1" w:styleId="xl128">
    <w:name w:val="xl128"/>
    <w:basedOn w:val="Normal"/>
    <w:rsid w:val="00D577AB"/>
    <w:pPr>
      <w:adjustRightInd/>
      <w:snapToGrid/>
      <w:spacing w:before="100" w:beforeAutospacing="1" w:after="100" w:afterAutospacing="1" w:line="240" w:lineRule="auto"/>
    </w:pPr>
    <w:rPr>
      <w:rFonts w:ascii="Arial" w:eastAsia="Times New Roman" w:hAnsi="Arial" w:cs="Arial"/>
      <w:color w:val="1D2021"/>
      <w:sz w:val="18"/>
      <w:szCs w:val="18"/>
      <w:lang w:eastAsia="en-AU"/>
    </w:rPr>
  </w:style>
  <w:style w:type="paragraph" w:customStyle="1" w:styleId="xl129">
    <w:name w:val="xl129"/>
    <w:basedOn w:val="Normal"/>
    <w:rsid w:val="00D577AB"/>
    <w:pPr>
      <w:shd w:val="clear" w:color="000000" w:fill="F8CBAD"/>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30">
    <w:name w:val="xl130"/>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7A8C3A"/>
      <w:sz w:val="18"/>
      <w:szCs w:val="18"/>
      <w:lang w:eastAsia="en-AU"/>
    </w:rPr>
  </w:style>
  <w:style w:type="paragraph" w:customStyle="1" w:styleId="xl131">
    <w:name w:val="xl131"/>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7A8C3A"/>
      <w:sz w:val="18"/>
      <w:szCs w:val="18"/>
      <w:lang w:eastAsia="en-AU"/>
    </w:rPr>
  </w:style>
  <w:style w:type="paragraph" w:customStyle="1" w:styleId="xl132">
    <w:name w:val="xl132"/>
    <w:basedOn w:val="Normal"/>
    <w:rsid w:val="00D577AB"/>
    <w:pPr>
      <w:adjustRightInd/>
      <w:snapToGrid/>
      <w:spacing w:before="100" w:beforeAutospacing="1" w:after="100" w:afterAutospacing="1" w:line="240" w:lineRule="auto"/>
      <w:textAlignment w:val="top"/>
    </w:pPr>
    <w:rPr>
      <w:rFonts w:ascii="Times New Roman" w:eastAsia="Times New Roman" w:hAnsi="Times New Roman"/>
      <w:color w:val="auto"/>
      <w:sz w:val="18"/>
      <w:szCs w:val="18"/>
      <w:lang w:eastAsia="en-AU"/>
    </w:rPr>
  </w:style>
  <w:style w:type="paragraph" w:customStyle="1" w:styleId="xl133">
    <w:name w:val="xl133"/>
    <w:basedOn w:val="Normal"/>
    <w:rsid w:val="00D577AB"/>
    <w:pPr>
      <w:shd w:val="clear" w:color="000000" w:fill="757171"/>
      <w:adjustRightInd/>
      <w:snapToGrid/>
      <w:spacing w:before="100" w:beforeAutospacing="1" w:after="100" w:afterAutospacing="1" w:line="240" w:lineRule="auto"/>
      <w:textAlignment w:val="top"/>
    </w:pPr>
    <w:rPr>
      <w:rFonts w:ascii="Times New Roman" w:eastAsia="Times New Roman" w:hAnsi="Times New Roman"/>
      <w:b/>
      <w:bCs/>
      <w:color w:val="FFFFFF"/>
      <w:sz w:val="20"/>
      <w:lang w:eastAsia="en-AU"/>
    </w:rPr>
  </w:style>
  <w:style w:type="paragraph" w:customStyle="1" w:styleId="xl134">
    <w:name w:val="xl134"/>
    <w:basedOn w:val="Normal"/>
    <w:rsid w:val="00D577AB"/>
    <w:pPr>
      <w:shd w:val="clear" w:color="000000" w:fill="BFBFBF"/>
      <w:adjustRightInd/>
      <w:snapToGrid/>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135">
    <w:name w:val="xl135"/>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136">
    <w:name w:val="xl136"/>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color w:val="auto"/>
      <w:sz w:val="16"/>
      <w:szCs w:val="16"/>
      <w:lang w:eastAsia="en-AU"/>
    </w:rPr>
  </w:style>
  <w:style w:type="paragraph" w:customStyle="1" w:styleId="xl137">
    <w:name w:val="xl137"/>
    <w:basedOn w:val="Normal"/>
    <w:rsid w:val="00D577AB"/>
    <w:pPr>
      <w:adjustRightInd/>
      <w:snapToGrid/>
      <w:spacing w:before="100" w:beforeAutospacing="1" w:after="100" w:afterAutospacing="1" w:line="240" w:lineRule="auto"/>
    </w:pPr>
    <w:rPr>
      <w:rFonts w:ascii="Times New Roman" w:eastAsia="Times New Roman" w:hAnsi="Times New Roman"/>
      <w:color w:val="0563C1"/>
      <w:sz w:val="16"/>
      <w:szCs w:val="16"/>
      <w:u w:val="single"/>
      <w:lang w:eastAsia="en-AU"/>
    </w:rPr>
  </w:style>
  <w:style w:type="paragraph" w:customStyle="1" w:styleId="xl138">
    <w:name w:val="xl138"/>
    <w:basedOn w:val="Normal"/>
    <w:rsid w:val="00D577AB"/>
    <w:pPr>
      <w:adjustRightInd/>
      <w:snapToGrid/>
      <w:spacing w:before="100" w:beforeAutospacing="1" w:after="100" w:afterAutospacing="1" w:line="240" w:lineRule="auto"/>
      <w:textAlignment w:val="center"/>
    </w:pPr>
    <w:rPr>
      <w:rFonts w:ascii="Arial" w:eastAsia="Times New Roman" w:hAnsi="Arial" w:cs="Arial"/>
      <w:color w:val="070808"/>
      <w:sz w:val="16"/>
      <w:szCs w:val="16"/>
      <w:lang w:eastAsia="en-AU"/>
    </w:rPr>
  </w:style>
  <w:style w:type="paragraph" w:customStyle="1" w:styleId="xl139">
    <w:name w:val="xl139"/>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16"/>
      <w:szCs w:val="16"/>
      <w:lang w:eastAsia="en-AU"/>
    </w:rPr>
  </w:style>
  <w:style w:type="paragraph" w:customStyle="1" w:styleId="xl140">
    <w:name w:val="xl140"/>
    <w:basedOn w:val="Normal"/>
    <w:rsid w:val="00D577AB"/>
    <w:pPr>
      <w:adjustRightInd/>
      <w:snapToGrid/>
      <w:spacing w:before="100" w:beforeAutospacing="1" w:after="100" w:afterAutospacing="1" w:line="240" w:lineRule="auto"/>
      <w:textAlignment w:val="top"/>
    </w:pPr>
    <w:rPr>
      <w:rFonts w:ascii="Times New Roman" w:eastAsia="Times New Roman" w:hAnsi="Times New Roman"/>
      <w:b/>
      <w:bCs/>
      <w:color w:val="auto"/>
      <w:sz w:val="16"/>
      <w:szCs w:val="16"/>
      <w:lang w:eastAsia="en-AU"/>
    </w:rPr>
  </w:style>
  <w:style w:type="paragraph" w:customStyle="1" w:styleId="xl141">
    <w:name w:val="xl141"/>
    <w:basedOn w:val="Normal"/>
    <w:rsid w:val="00D577AB"/>
    <w:pPr>
      <w:shd w:val="clear" w:color="000000" w:fill="FFFFFF"/>
      <w:adjustRightInd/>
      <w:snapToGrid/>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142">
    <w:name w:val="xl142"/>
    <w:basedOn w:val="Normal"/>
    <w:rsid w:val="00D577AB"/>
    <w:pPr>
      <w:adjustRightInd/>
      <w:snapToGrid/>
      <w:spacing w:before="100" w:beforeAutospacing="1" w:after="100" w:afterAutospacing="1" w:line="240" w:lineRule="auto"/>
      <w:textAlignment w:val="top"/>
    </w:pPr>
    <w:rPr>
      <w:rFonts w:ascii="Times New Roman" w:eastAsia="Times New Roman" w:hAnsi="Times New Roman"/>
      <w:color w:val="auto"/>
      <w:sz w:val="16"/>
      <w:szCs w:val="16"/>
      <w:lang w:eastAsia="en-AU"/>
    </w:rPr>
  </w:style>
  <w:style w:type="paragraph" w:customStyle="1" w:styleId="xl143">
    <w:name w:val="xl143"/>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7A8C3A"/>
      <w:sz w:val="16"/>
      <w:szCs w:val="16"/>
      <w:lang w:eastAsia="en-AU"/>
    </w:rPr>
  </w:style>
  <w:style w:type="paragraph" w:customStyle="1" w:styleId="xl144">
    <w:name w:val="xl144"/>
    <w:basedOn w:val="Normal"/>
    <w:rsid w:val="00D577AB"/>
    <w:pPr>
      <w:shd w:val="clear" w:color="000000" w:fill="757171"/>
      <w:adjustRightInd/>
      <w:snapToGrid/>
      <w:spacing w:before="100" w:beforeAutospacing="1" w:after="100" w:afterAutospacing="1" w:line="240" w:lineRule="auto"/>
    </w:pPr>
    <w:rPr>
      <w:rFonts w:ascii="Times New Roman" w:eastAsia="Times New Roman" w:hAnsi="Times New Roman"/>
      <w:b/>
      <w:bCs/>
      <w:color w:val="FFFFFF"/>
      <w:sz w:val="20"/>
      <w:lang w:eastAsia="en-AU"/>
    </w:rPr>
  </w:style>
  <w:style w:type="paragraph" w:customStyle="1" w:styleId="xl145">
    <w:name w:val="xl145"/>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FFFFFF"/>
      <w:sz w:val="20"/>
      <w:lang w:eastAsia="en-AU"/>
    </w:rPr>
  </w:style>
  <w:style w:type="paragraph" w:customStyle="1" w:styleId="xl146">
    <w:name w:val="xl146"/>
    <w:basedOn w:val="Normal"/>
    <w:rsid w:val="00D577AB"/>
    <w:pPr>
      <w:shd w:val="clear" w:color="000000" w:fill="BFBFBF"/>
      <w:adjustRightInd/>
      <w:snapToGrid/>
      <w:spacing w:before="100" w:beforeAutospacing="1" w:after="100" w:afterAutospacing="1" w:line="240" w:lineRule="auto"/>
    </w:pPr>
    <w:rPr>
      <w:rFonts w:ascii="Times New Roman" w:eastAsia="Times New Roman" w:hAnsi="Times New Roman"/>
      <w:b/>
      <w:bCs/>
      <w:color w:val="auto"/>
      <w:sz w:val="20"/>
      <w:lang w:eastAsia="en-AU"/>
    </w:rPr>
  </w:style>
  <w:style w:type="paragraph" w:customStyle="1" w:styleId="xl147">
    <w:name w:val="xl147"/>
    <w:basedOn w:val="Normal"/>
    <w:rsid w:val="00D577AB"/>
    <w:pPr>
      <w:shd w:val="clear" w:color="000000" w:fill="757171"/>
      <w:adjustRightInd/>
      <w:snapToGrid/>
      <w:spacing w:before="100" w:beforeAutospacing="1" w:after="100" w:afterAutospacing="1" w:line="240" w:lineRule="auto"/>
    </w:pPr>
    <w:rPr>
      <w:rFonts w:ascii="Times New Roman" w:eastAsia="Times New Roman" w:hAnsi="Times New Roman"/>
      <w:b/>
      <w:bCs/>
      <w:color w:val="auto"/>
      <w:sz w:val="20"/>
      <w:lang w:eastAsia="en-AU"/>
    </w:rPr>
  </w:style>
  <w:style w:type="paragraph" w:customStyle="1" w:styleId="xl148">
    <w:name w:val="xl148"/>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b/>
      <w:bCs/>
      <w:color w:val="auto"/>
      <w:sz w:val="20"/>
      <w:lang w:eastAsia="en-AU"/>
    </w:rPr>
  </w:style>
  <w:style w:type="paragraph" w:customStyle="1" w:styleId="xl149">
    <w:name w:val="xl149"/>
    <w:basedOn w:val="Normal"/>
    <w:rsid w:val="00D577AB"/>
    <w:pPr>
      <w:shd w:val="clear" w:color="000000" w:fill="757171"/>
      <w:adjustRightInd/>
      <w:snapToGrid/>
      <w:spacing w:before="100" w:beforeAutospacing="1" w:after="100" w:afterAutospacing="1" w:line="240" w:lineRule="auto"/>
      <w:textAlignment w:val="top"/>
    </w:pPr>
    <w:rPr>
      <w:rFonts w:ascii="Times New Roman" w:eastAsia="Times New Roman" w:hAnsi="Times New Roman"/>
      <w:b/>
      <w:bCs/>
      <w:color w:val="auto"/>
      <w:sz w:val="20"/>
      <w:lang w:eastAsia="en-AU"/>
    </w:rPr>
  </w:style>
  <w:style w:type="paragraph" w:customStyle="1" w:styleId="xl150">
    <w:name w:val="xl150"/>
    <w:basedOn w:val="Normal"/>
    <w:rsid w:val="00D577AB"/>
    <w:pPr>
      <w:shd w:val="clear" w:color="000000" w:fill="757171"/>
      <w:adjustRightInd/>
      <w:snapToGrid/>
      <w:spacing w:before="100" w:beforeAutospacing="1" w:after="100" w:afterAutospacing="1" w:line="240" w:lineRule="auto"/>
    </w:pPr>
    <w:rPr>
      <w:rFonts w:ascii="Times New Roman" w:eastAsia="Times New Roman" w:hAnsi="Times New Roman"/>
      <w:color w:val="auto"/>
      <w:sz w:val="20"/>
      <w:lang w:eastAsia="en-AU"/>
    </w:rPr>
  </w:style>
  <w:style w:type="paragraph" w:customStyle="1" w:styleId="xl151">
    <w:name w:val="xl151"/>
    <w:basedOn w:val="Normal"/>
    <w:rsid w:val="00D577AB"/>
    <w:pPr>
      <w:shd w:val="clear" w:color="000000" w:fill="FFFFFF"/>
      <w:adjustRightInd/>
      <w:snapToGrid/>
      <w:spacing w:before="100" w:beforeAutospacing="1" w:after="100" w:afterAutospacing="1" w:line="240" w:lineRule="auto"/>
      <w:textAlignment w:val="top"/>
    </w:pPr>
    <w:rPr>
      <w:rFonts w:ascii="Times New Roman" w:eastAsia="Times New Roman" w:hAnsi="Times New Roman"/>
      <w:b/>
      <w:bCs/>
      <w:color w:val="FFFFFF"/>
      <w:sz w:val="20"/>
      <w:lang w:eastAsia="en-AU"/>
    </w:rPr>
  </w:style>
  <w:style w:type="paragraph" w:customStyle="1" w:styleId="xl152">
    <w:name w:val="xl152"/>
    <w:basedOn w:val="Normal"/>
    <w:rsid w:val="00D577AB"/>
    <w:pPr>
      <w:shd w:val="clear" w:color="000000" w:fill="757171"/>
      <w:adjustRightInd/>
      <w:snapToGrid/>
      <w:spacing w:before="100" w:beforeAutospacing="1" w:after="100" w:afterAutospacing="1" w:line="240" w:lineRule="auto"/>
    </w:pPr>
    <w:rPr>
      <w:rFonts w:ascii="Times New Roman" w:eastAsia="Times New Roman" w:hAnsi="Times New Roman"/>
      <w:color w:val="FFFFFF"/>
      <w:sz w:val="20"/>
      <w:lang w:eastAsia="en-AU"/>
    </w:rPr>
  </w:style>
  <w:style w:type="paragraph" w:customStyle="1" w:styleId="xl153">
    <w:name w:val="xl153"/>
    <w:basedOn w:val="Normal"/>
    <w:rsid w:val="00D577AB"/>
    <w:pPr>
      <w:shd w:val="clear" w:color="000000" w:fill="FFFFFF"/>
      <w:adjustRightInd/>
      <w:snapToGrid/>
      <w:spacing w:before="100" w:beforeAutospacing="1" w:after="100" w:afterAutospacing="1" w:line="240" w:lineRule="auto"/>
    </w:pPr>
    <w:rPr>
      <w:rFonts w:ascii="Times New Roman" w:eastAsia="Times New Roman" w:hAnsi="Times New Roman"/>
      <w:color w:val="7A8C3A"/>
      <w:sz w:val="20"/>
      <w:lang w:eastAsia="en-AU"/>
    </w:rPr>
  </w:style>
  <w:style w:type="paragraph" w:customStyle="1" w:styleId="xl154">
    <w:name w:val="xl154"/>
    <w:basedOn w:val="Normal"/>
    <w:rsid w:val="00D577AB"/>
    <w:pPr>
      <w:pBdr>
        <w:top w:val="single" w:sz="4" w:space="0" w:color="auto"/>
        <w:bottom w:val="single" w:sz="4" w:space="0" w:color="auto"/>
      </w:pBdr>
      <w:shd w:val="clear" w:color="000000" w:fill="D9D9D9"/>
      <w:adjustRightInd/>
      <w:snapToGrid/>
      <w:spacing w:before="100" w:beforeAutospacing="1" w:after="100" w:afterAutospacing="1" w:line="240" w:lineRule="auto"/>
    </w:pPr>
    <w:rPr>
      <w:rFonts w:ascii="Times New Roman" w:eastAsia="Times New Roman" w:hAnsi="Times New Roman"/>
      <w:b/>
      <w:bCs/>
      <w:color w:val="auto"/>
      <w:sz w:val="20"/>
      <w:lang w:eastAsia="en-AU"/>
    </w:rPr>
  </w:style>
  <w:style w:type="paragraph" w:customStyle="1" w:styleId="xl155">
    <w:name w:val="xl155"/>
    <w:basedOn w:val="Normal"/>
    <w:rsid w:val="00D577AB"/>
    <w:pPr>
      <w:shd w:val="clear" w:color="000000" w:fill="305496"/>
      <w:adjustRightInd/>
      <w:snapToGrid/>
      <w:spacing w:before="100" w:beforeAutospacing="1" w:after="100" w:afterAutospacing="1" w:line="240" w:lineRule="auto"/>
    </w:pPr>
    <w:rPr>
      <w:rFonts w:ascii="Times New Roman" w:eastAsia="Times New Roman" w:hAnsi="Times New Roman"/>
      <w:b/>
      <w:bCs/>
      <w:color w:val="FFFFFF"/>
      <w:sz w:val="24"/>
      <w:szCs w:val="24"/>
      <w:lang w:eastAsia="en-AU"/>
    </w:rPr>
  </w:style>
  <w:style w:type="paragraph" w:customStyle="1" w:styleId="xl156">
    <w:name w:val="xl156"/>
    <w:basedOn w:val="Normal"/>
    <w:rsid w:val="00D577AB"/>
    <w:pPr>
      <w:shd w:val="clear" w:color="000000" w:fill="305496"/>
      <w:adjustRightInd/>
      <w:snapToGrid/>
      <w:spacing w:before="100" w:beforeAutospacing="1" w:after="100" w:afterAutospacing="1" w:line="240" w:lineRule="auto"/>
      <w:textAlignment w:val="top"/>
    </w:pPr>
    <w:rPr>
      <w:rFonts w:ascii="Times New Roman" w:eastAsia="Times New Roman" w:hAnsi="Times New Roman"/>
      <w:b/>
      <w:bCs/>
      <w:color w:val="FFFFFF"/>
      <w:sz w:val="24"/>
      <w:szCs w:val="24"/>
      <w:lang w:eastAsia="en-AU"/>
    </w:rPr>
  </w:style>
  <w:style w:type="paragraph" w:customStyle="1" w:styleId="Default">
    <w:name w:val="Default"/>
    <w:rsid w:val="009E22E1"/>
    <w:pPr>
      <w:autoSpaceDE w:val="0"/>
      <w:autoSpaceDN w:val="0"/>
      <w:adjustRightInd w:val="0"/>
    </w:pPr>
    <w:rPr>
      <w:rFonts w:ascii="Arial" w:hAnsi="Arial" w:cs="Arial"/>
      <w:color w:val="000000"/>
      <w:sz w:val="24"/>
      <w:szCs w:val="24"/>
      <w:lang w:val="en-AU"/>
    </w:rPr>
  </w:style>
  <w:style w:type="paragraph" w:customStyle="1" w:styleId="highlightsentence">
    <w:name w:val="highlightsentence"/>
    <w:basedOn w:val="Normal"/>
    <w:rsid w:val="0029221A"/>
    <w:pPr>
      <w:adjustRightInd/>
      <w:snapToGrid/>
      <w:spacing w:after="100" w:afterAutospacing="1" w:line="240" w:lineRule="auto"/>
    </w:pPr>
    <w:rPr>
      <w:rFonts w:ascii="Times New Roman" w:eastAsia="Times New Roman" w:hAnsi="Times New Roman"/>
      <w:color w:val="auto"/>
      <w:sz w:val="24"/>
      <w:szCs w:val="24"/>
      <w:lang w:eastAsia="en-AU"/>
    </w:rPr>
  </w:style>
  <w:style w:type="character" w:customStyle="1" w:styleId="e24kjd">
    <w:name w:val="e24kjd"/>
    <w:basedOn w:val="DefaultParagraphFont"/>
    <w:rsid w:val="005F7963"/>
  </w:style>
  <w:style w:type="paragraph" w:customStyle="1" w:styleId="TableNheader">
    <w:name w:val="Table N header"/>
    <w:basedOn w:val="Heading5"/>
    <w:uiPriority w:val="2"/>
    <w:qFormat/>
    <w:rsid w:val="004D34B5"/>
    <w:pPr>
      <w:keepNext/>
      <w:adjustRightInd/>
      <w:snapToGrid/>
      <w:spacing w:before="40" w:after="40" w:line="240" w:lineRule="auto"/>
    </w:pPr>
    <w:rPr>
      <w:rFonts w:ascii="Segoe UI Semibold" w:eastAsia="Times New Roman" w:hAnsi="Segoe UI Semibold" w:cs="Times New Roman"/>
      <w:b w:val="0"/>
      <w:bCs w:val="0"/>
      <w:i w:val="0"/>
      <w:iCs w:val="0"/>
      <w:color w:val="004976" w:themeColor="background2"/>
      <w:sz w:val="18"/>
      <w:szCs w:val="24"/>
      <w:lang w:eastAsia="en-AU"/>
    </w:rPr>
  </w:style>
  <w:style w:type="paragraph" w:customStyle="1" w:styleId="TableNText">
    <w:name w:val="Table N Text"/>
    <w:basedOn w:val="TableNheader"/>
    <w:uiPriority w:val="2"/>
    <w:qFormat/>
    <w:rsid w:val="004D34B5"/>
    <w:rPr>
      <w:rFonts w:ascii="Segoe UI" w:hAnsi="Segoe UI"/>
      <w:color w:val="auto"/>
      <w:sz w:val="17"/>
    </w:rPr>
  </w:style>
  <w:style w:type="character" w:customStyle="1" w:styleId="xn-money">
    <w:name w:val="xn-money"/>
    <w:basedOn w:val="DefaultParagraphFont"/>
    <w:rsid w:val="00932B02"/>
  </w:style>
  <w:style w:type="paragraph" w:customStyle="1" w:styleId="CaseStudy">
    <w:name w:val="Case Study"/>
    <w:basedOn w:val="Normal"/>
    <w:link w:val="CaseStudyChar"/>
    <w:qFormat/>
    <w:rsid w:val="00176E05"/>
    <w:pPr>
      <w:ind w:left="720"/>
    </w:pPr>
    <w:rPr>
      <w:i/>
      <w:color w:val="004976" w:themeColor="background2"/>
    </w:rPr>
  </w:style>
  <w:style w:type="character" w:customStyle="1" w:styleId="CaseStudyChar">
    <w:name w:val="Case Study Char"/>
    <w:basedOn w:val="DefaultParagraphFont"/>
    <w:link w:val="CaseStudy"/>
    <w:rsid w:val="00176E05"/>
    <w:rPr>
      <w:rFonts w:asciiTheme="minorHAnsi" w:eastAsia="MS Mincho" w:hAnsiTheme="minorHAnsi"/>
      <w:i/>
      <w:color w:val="004976" w:themeColor="background2"/>
      <w:sz w:val="22"/>
      <w:lang w:val="en-AU" w:eastAsia="ja-JP"/>
    </w:rPr>
  </w:style>
  <w:style w:type="paragraph" w:customStyle="1" w:styleId="Bullet">
    <w:name w:val="Bullet"/>
    <w:basedOn w:val="Normal"/>
    <w:link w:val="BulletChar"/>
    <w:uiPriority w:val="2"/>
    <w:qFormat/>
    <w:rsid w:val="00080FD0"/>
    <w:pPr>
      <w:numPr>
        <w:numId w:val="56"/>
      </w:numPr>
      <w:suppressAutoHyphens/>
      <w:adjustRightInd/>
      <w:snapToGrid/>
      <w:spacing w:after="120" w:line="240" w:lineRule="auto"/>
    </w:pPr>
    <w:rPr>
      <w:rFonts w:ascii="Segoe UI" w:eastAsia="Times New Roman" w:hAnsi="Segoe UI"/>
      <w:color w:val="auto"/>
      <w:sz w:val="19"/>
      <w:szCs w:val="19"/>
      <w:lang w:eastAsia="en-AU"/>
    </w:rPr>
  </w:style>
  <w:style w:type="character" w:customStyle="1" w:styleId="BulletChar">
    <w:name w:val="Bullet Char"/>
    <w:basedOn w:val="DefaultParagraphFont"/>
    <w:link w:val="Bullet"/>
    <w:uiPriority w:val="2"/>
    <w:rsid w:val="00080FD0"/>
    <w:rPr>
      <w:rFonts w:ascii="Segoe UI" w:eastAsia="Times New Roman" w:hAnsi="Segoe UI"/>
      <w:sz w:val="19"/>
      <w:szCs w:val="19"/>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4298">
      <w:bodyDiv w:val="1"/>
      <w:marLeft w:val="0"/>
      <w:marRight w:val="0"/>
      <w:marTop w:val="0"/>
      <w:marBottom w:val="0"/>
      <w:divBdr>
        <w:top w:val="none" w:sz="0" w:space="0" w:color="auto"/>
        <w:left w:val="none" w:sz="0" w:space="0" w:color="auto"/>
        <w:bottom w:val="none" w:sz="0" w:space="0" w:color="auto"/>
        <w:right w:val="none" w:sz="0" w:space="0" w:color="auto"/>
      </w:divBdr>
    </w:div>
    <w:div w:id="78142405">
      <w:bodyDiv w:val="1"/>
      <w:marLeft w:val="0"/>
      <w:marRight w:val="0"/>
      <w:marTop w:val="0"/>
      <w:marBottom w:val="0"/>
      <w:divBdr>
        <w:top w:val="none" w:sz="0" w:space="0" w:color="auto"/>
        <w:left w:val="none" w:sz="0" w:space="0" w:color="auto"/>
        <w:bottom w:val="none" w:sz="0" w:space="0" w:color="auto"/>
        <w:right w:val="none" w:sz="0" w:space="0" w:color="auto"/>
      </w:divBdr>
    </w:div>
    <w:div w:id="96216311">
      <w:bodyDiv w:val="1"/>
      <w:marLeft w:val="0"/>
      <w:marRight w:val="0"/>
      <w:marTop w:val="0"/>
      <w:marBottom w:val="0"/>
      <w:divBdr>
        <w:top w:val="none" w:sz="0" w:space="0" w:color="auto"/>
        <w:left w:val="none" w:sz="0" w:space="0" w:color="auto"/>
        <w:bottom w:val="none" w:sz="0" w:space="0" w:color="auto"/>
        <w:right w:val="none" w:sz="0" w:space="0" w:color="auto"/>
      </w:divBdr>
    </w:div>
    <w:div w:id="106972403">
      <w:bodyDiv w:val="1"/>
      <w:marLeft w:val="0"/>
      <w:marRight w:val="0"/>
      <w:marTop w:val="0"/>
      <w:marBottom w:val="0"/>
      <w:divBdr>
        <w:top w:val="none" w:sz="0" w:space="0" w:color="auto"/>
        <w:left w:val="none" w:sz="0" w:space="0" w:color="auto"/>
        <w:bottom w:val="none" w:sz="0" w:space="0" w:color="auto"/>
        <w:right w:val="none" w:sz="0" w:space="0" w:color="auto"/>
      </w:divBdr>
    </w:div>
    <w:div w:id="121383379">
      <w:bodyDiv w:val="1"/>
      <w:marLeft w:val="0"/>
      <w:marRight w:val="0"/>
      <w:marTop w:val="0"/>
      <w:marBottom w:val="0"/>
      <w:divBdr>
        <w:top w:val="none" w:sz="0" w:space="0" w:color="auto"/>
        <w:left w:val="none" w:sz="0" w:space="0" w:color="auto"/>
        <w:bottom w:val="none" w:sz="0" w:space="0" w:color="auto"/>
        <w:right w:val="none" w:sz="0" w:space="0" w:color="auto"/>
      </w:divBdr>
    </w:div>
    <w:div w:id="162356147">
      <w:bodyDiv w:val="1"/>
      <w:marLeft w:val="0"/>
      <w:marRight w:val="0"/>
      <w:marTop w:val="0"/>
      <w:marBottom w:val="0"/>
      <w:divBdr>
        <w:top w:val="none" w:sz="0" w:space="0" w:color="auto"/>
        <w:left w:val="none" w:sz="0" w:space="0" w:color="auto"/>
        <w:bottom w:val="none" w:sz="0" w:space="0" w:color="auto"/>
        <w:right w:val="none" w:sz="0" w:space="0" w:color="auto"/>
      </w:divBdr>
    </w:div>
    <w:div w:id="171380140">
      <w:bodyDiv w:val="1"/>
      <w:marLeft w:val="0"/>
      <w:marRight w:val="0"/>
      <w:marTop w:val="0"/>
      <w:marBottom w:val="0"/>
      <w:divBdr>
        <w:top w:val="none" w:sz="0" w:space="0" w:color="auto"/>
        <w:left w:val="none" w:sz="0" w:space="0" w:color="auto"/>
        <w:bottom w:val="none" w:sz="0" w:space="0" w:color="auto"/>
        <w:right w:val="none" w:sz="0" w:space="0" w:color="auto"/>
      </w:divBdr>
    </w:div>
    <w:div w:id="174463643">
      <w:bodyDiv w:val="1"/>
      <w:marLeft w:val="0"/>
      <w:marRight w:val="0"/>
      <w:marTop w:val="0"/>
      <w:marBottom w:val="0"/>
      <w:divBdr>
        <w:top w:val="none" w:sz="0" w:space="0" w:color="auto"/>
        <w:left w:val="none" w:sz="0" w:space="0" w:color="auto"/>
        <w:bottom w:val="none" w:sz="0" w:space="0" w:color="auto"/>
        <w:right w:val="none" w:sz="0" w:space="0" w:color="auto"/>
      </w:divBdr>
    </w:div>
    <w:div w:id="175198889">
      <w:bodyDiv w:val="1"/>
      <w:marLeft w:val="0"/>
      <w:marRight w:val="0"/>
      <w:marTop w:val="0"/>
      <w:marBottom w:val="0"/>
      <w:divBdr>
        <w:top w:val="none" w:sz="0" w:space="0" w:color="auto"/>
        <w:left w:val="none" w:sz="0" w:space="0" w:color="auto"/>
        <w:bottom w:val="none" w:sz="0" w:space="0" w:color="auto"/>
        <w:right w:val="none" w:sz="0" w:space="0" w:color="auto"/>
      </w:divBdr>
    </w:div>
    <w:div w:id="206844473">
      <w:bodyDiv w:val="1"/>
      <w:marLeft w:val="0"/>
      <w:marRight w:val="0"/>
      <w:marTop w:val="0"/>
      <w:marBottom w:val="0"/>
      <w:divBdr>
        <w:top w:val="none" w:sz="0" w:space="0" w:color="auto"/>
        <w:left w:val="none" w:sz="0" w:space="0" w:color="auto"/>
        <w:bottom w:val="none" w:sz="0" w:space="0" w:color="auto"/>
        <w:right w:val="none" w:sz="0" w:space="0" w:color="auto"/>
      </w:divBdr>
    </w:div>
    <w:div w:id="212079864">
      <w:bodyDiv w:val="1"/>
      <w:marLeft w:val="0"/>
      <w:marRight w:val="0"/>
      <w:marTop w:val="0"/>
      <w:marBottom w:val="0"/>
      <w:divBdr>
        <w:top w:val="none" w:sz="0" w:space="0" w:color="auto"/>
        <w:left w:val="none" w:sz="0" w:space="0" w:color="auto"/>
        <w:bottom w:val="none" w:sz="0" w:space="0" w:color="auto"/>
        <w:right w:val="none" w:sz="0" w:space="0" w:color="auto"/>
      </w:divBdr>
    </w:div>
    <w:div w:id="232588811">
      <w:bodyDiv w:val="1"/>
      <w:marLeft w:val="0"/>
      <w:marRight w:val="0"/>
      <w:marTop w:val="0"/>
      <w:marBottom w:val="0"/>
      <w:divBdr>
        <w:top w:val="none" w:sz="0" w:space="0" w:color="auto"/>
        <w:left w:val="none" w:sz="0" w:space="0" w:color="auto"/>
        <w:bottom w:val="none" w:sz="0" w:space="0" w:color="auto"/>
        <w:right w:val="none" w:sz="0" w:space="0" w:color="auto"/>
      </w:divBdr>
    </w:div>
    <w:div w:id="262495056">
      <w:bodyDiv w:val="1"/>
      <w:marLeft w:val="0"/>
      <w:marRight w:val="0"/>
      <w:marTop w:val="0"/>
      <w:marBottom w:val="0"/>
      <w:divBdr>
        <w:top w:val="none" w:sz="0" w:space="0" w:color="auto"/>
        <w:left w:val="none" w:sz="0" w:space="0" w:color="auto"/>
        <w:bottom w:val="none" w:sz="0" w:space="0" w:color="auto"/>
        <w:right w:val="none" w:sz="0" w:space="0" w:color="auto"/>
      </w:divBdr>
    </w:div>
    <w:div w:id="269892976">
      <w:bodyDiv w:val="1"/>
      <w:marLeft w:val="0"/>
      <w:marRight w:val="0"/>
      <w:marTop w:val="0"/>
      <w:marBottom w:val="0"/>
      <w:divBdr>
        <w:top w:val="none" w:sz="0" w:space="0" w:color="auto"/>
        <w:left w:val="none" w:sz="0" w:space="0" w:color="auto"/>
        <w:bottom w:val="none" w:sz="0" w:space="0" w:color="auto"/>
        <w:right w:val="none" w:sz="0" w:space="0" w:color="auto"/>
      </w:divBdr>
    </w:div>
    <w:div w:id="285233900">
      <w:bodyDiv w:val="1"/>
      <w:marLeft w:val="0"/>
      <w:marRight w:val="0"/>
      <w:marTop w:val="0"/>
      <w:marBottom w:val="0"/>
      <w:divBdr>
        <w:top w:val="none" w:sz="0" w:space="0" w:color="auto"/>
        <w:left w:val="none" w:sz="0" w:space="0" w:color="auto"/>
        <w:bottom w:val="none" w:sz="0" w:space="0" w:color="auto"/>
        <w:right w:val="none" w:sz="0" w:space="0" w:color="auto"/>
      </w:divBdr>
    </w:div>
    <w:div w:id="314189959">
      <w:bodyDiv w:val="1"/>
      <w:marLeft w:val="0"/>
      <w:marRight w:val="0"/>
      <w:marTop w:val="0"/>
      <w:marBottom w:val="0"/>
      <w:divBdr>
        <w:top w:val="none" w:sz="0" w:space="0" w:color="auto"/>
        <w:left w:val="none" w:sz="0" w:space="0" w:color="auto"/>
        <w:bottom w:val="none" w:sz="0" w:space="0" w:color="auto"/>
        <w:right w:val="none" w:sz="0" w:space="0" w:color="auto"/>
      </w:divBdr>
    </w:div>
    <w:div w:id="335160044">
      <w:bodyDiv w:val="1"/>
      <w:marLeft w:val="0"/>
      <w:marRight w:val="0"/>
      <w:marTop w:val="0"/>
      <w:marBottom w:val="0"/>
      <w:divBdr>
        <w:top w:val="none" w:sz="0" w:space="0" w:color="auto"/>
        <w:left w:val="none" w:sz="0" w:space="0" w:color="auto"/>
        <w:bottom w:val="none" w:sz="0" w:space="0" w:color="auto"/>
        <w:right w:val="none" w:sz="0" w:space="0" w:color="auto"/>
      </w:divBdr>
    </w:div>
    <w:div w:id="349067436">
      <w:bodyDiv w:val="1"/>
      <w:marLeft w:val="0"/>
      <w:marRight w:val="0"/>
      <w:marTop w:val="0"/>
      <w:marBottom w:val="0"/>
      <w:divBdr>
        <w:top w:val="none" w:sz="0" w:space="0" w:color="auto"/>
        <w:left w:val="none" w:sz="0" w:space="0" w:color="auto"/>
        <w:bottom w:val="none" w:sz="0" w:space="0" w:color="auto"/>
        <w:right w:val="none" w:sz="0" w:space="0" w:color="auto"/>
      </w:divBdr>
    </w:div>
    <w:div w:id="365104713">
      <w:bodyDiv w:val="1"/>
      <w:marLeft w:val="0"/>
      <w:marRight w:val="0"/>
      <w:marTop w:val="0"/>
      <w:marBottom w:val="0"/>
      <w:divBdr>
        <w:top w:val="none" w:sz="0" w:space="0" w:color="auto"/>
        <w:left w:val="none" w:sz="0" w:space="0" w:color="auto"/>
        <w:bottom w:val="none" w:sz="0" w:space="0" w:color="auto"/>
        <w:right w:val="none" w:sz="0" w:space="0" w:color="auto"/>
      </w:divBdr>
    </w:div>
    <w:div w:id="393621778">
      <w:bodyDiv w:val="1"/>
      <w:marLeft w:val="0"/>
      <w:marRight w:val="0"/>
      <w:marTop w:val="0"/>
      <w:marBottom w:val="0"/>
      <w:divBdr>
        <w:top w:val="none" w:sz="0" w:space="0" w:color="auto"/>
        <w:left w:val="none" w:sz="0" w:space="0" w:color="auto"/>
        <w:bottom w:val="none" w:sz="0" w:space="0" w:color="auto"/>
        <w:right w:val="none" w:sz="0" w:space="0" w:color="auto"/>
      </w:divBdr>
    </w:div>
    <w:div w:id="394595352">
      <w:bodyDiv w:val="1"/>
      <w:marLeft w:val="0"/>
      <w:marRight w:val="0"/>
      <w:marTop w:val="0"/>
      <w:marBottom w:val="0"/>
      <w:divBdr>
        <w:top w:val="none" w:sz="0" w:space="0" w:color="auto"/>
        <w:left w:val="none" w:sz="0" w:space="0" w:color="auto"/>
        <w:bottom w:val="none" w:sz="0" w:space="0" w:color="auto"/>
        <w:right w:val="none" w:sz="0" w:space="0" w:color="auto"/>
      </w:divBdr>
    </w:div>
    <w:div w:id="422190526">
      <w:bodyDiv w:val="1"/>
      <w:marLeft w:val="0"/>
      <w:marRight w:val="0"/>
      <w:marTop w:val="0"/>
      <w:marBottom w:val="0"/>
      <w:divBdr>
        <w:top w:val="none" w:sz="0" w:space="0" w:color="auto"/>
        <w:left w:val="none" w:sz="0" w:space="0" w:color="auto"/>
        <w:bottom w:val="none" w:sz="0" w:space="0" w:color="auto"/>
        <w:right w:val="none" w:sz="0" w:space="0" w:color="auto"/>
      </w:divBdr>
    </w:div>
    <w:div w:id="454253437">
      <w:bodyDiv w:val="1"/>
      <w:marLeft w:val="0"/>
      <w:marRight w:val="0"/>
      <w:marTop w:val="0"/>
      <w:marBottom w:val="0"/>
      <w:divBdr>
        <w:top w:val="none" w:sz="0" w:space="0" w:color="auto"/>
        <w:left w:val="none" w:sz="0" w:space="0" w:color="auto"/>
        <w:bottom w:val="none" w:sz="0" w:space="0" w:color="auto"/>
        <w:right w:val="none" w:sz="0" w:space="0" w:color="auto"/>
      </w:divBdr>
    </w:div>
    <w:div w:id="472064295">
      <w:bodyDiv w:val="1"/>
      <w:marLeft w:val="0"/>
      <w:marRight w:val="0"/>
      <w:marTop w:val="0"/>
      <w:marBottom w:val="0"/>
      <w:divBdr>
        <w:top w:val="none" w:sz="0" w:space="0" w:color="auto"/>
        <w:left w:val="none" w:sz="0" w:space="0" w:color="auto"/>
        <w:bottom w:val="none" w:sz="0" w:space="0" w:color="auto"/>
        <w:right w:val="none" w:sz="0" w:space="0" w:color="auto"/>
      </w:divBdr>
    </w:div>
    <w:div w:id="489059935">
      <w:bodyDiv w:val="1"/>
      <w:marLeft w:val="0"/>
      <w:marRight w:val="0"/>
      <w:marTop w:val="0"/>
      <w:marBottom w:val="0"/>
      <w:divBdr>
        <w:top w:val="none" w:sz="0" w:space="0" w:color="auto"/>
        <w:left w:val="none" w:sz="0" w:space="0" w:color="auto"/>
        <w:bottom w:val="none" w:sz="0" w:space="0" w:color="auto"/>
        <w:right w:val="none" w:sz="0" w:space="0" w:color="auto"/>
      </w:divBdr>
      <w:divsChild>
        <w:div w:id="414865034">
          <w:marLeft w:val="0"/>
          <w:marRight w:val="0"/>
          <w:marTop w:val="0"/>
          <w:marBottom w:val="0"/>
          <w:divBdr>
            <w:top w:val="none" w:sz="0" w:space="0" w:color="auto"/>
            <w:left w:val="none" w:sz="0" w:space="0" w:color="auto"/>
            <w:bottom w:val="none" w:sz="0" w:space="0" w:color="auto"/>
            <w:right w:val="none" w:sz="0" w:space="0" w:color="auto"/>
          </w:divBdr>
          <w:divsChild>
            <w:div w:id="636185254">
              <w:marLeft w:val="0"/>
              <w:marRight w:val="0"/>
              <w:marTop w:val="0"/>
              <w:marBottom w:val="0"/>
              <w:divBdr>
                <w:top w:val="none" w:sz="0" w:space="0" w:color="auto"/>
                <w:left w:val="none" w:sz="0" w:space="0" w:color="auto"/>
                <w:bottom w:val="none" w:sz="0" w:space="0" w:color="auto"/>
                <w:right w:val="none" w:sz="0" w:space="0" w:color="auto"/>
              </w:divBdr>
              <w:divsChild>
                <w:div w:id="1173452065">
                  <w:marLeft w:val="0"/>
                  <w:marRight w:val="0"/>
                  <w:marTop w:val="0"/>
                  <w:marBottom w:val="0"/>
                  <w:divBdr>
                    <w:top w:val="none" w:sz="0" w:space="0" w:color="auto"/>
                    <w:left w:val="none" w:sz="0" w:space="0" w:color="auto"/>
                    <w:bottom w:val="none" w:sz="0" w:space="0" w:color="auto"/>
                    <w:right w:val="none" w:sz="0" w:space="0" w:color="auto"/>
                  </w:divBdr>
                  <w:divsChild>
                    <w:div w:id="915748162">
                      <w:marLeft w:val="0"/>
                      <w:marRight w:val="0"/>
                      <w:marTop w:val="0"/>
                      <w:marBottom w:val="0"/>
                      <w:divBdr>
                        <w:top w:val="none" w:sz="0" w:space="0" w:color="auto"/>
                        <w:left w:val="none" w:sz="0" w:space="0" w:color="auto"/>
                        <w:bottom w:val="none" w:sz="0" w:space="0" w:color="auto"/>
                        <w:right w:val="none" w:sz="0" w:space="0" w:color="auto"/>
                      </w:divBdr>
                      <w:divsChild>
                        <w:div w:id="1777560375">
                          <w:marLeft w:val="0"/>
                          <w:marRight w:val="0"/>
                          <w:marTop w:val="0"/>
                          <w:marBottom w:val="0"/>
                          <w:divBdr>
                            <w:top w:val="none" w:sz="0" w:space="0" w:color="auto"/>
                            <w:left w:val="none" w:sz="0" w:space="0" w:color="auto"/>
                            <w:bottom w:val="none" w:sz="0" w:space="0" w:color="auto"/>
                            <w:right w:val="none" w:sz="0" w:space="0" w:color="auto"/>
                          </w:divBdr>
                          <w:divsChild>
                            <w:div w:id="1349134468">
                              <w:marLeft w:val="0"/>
                              <w:marRight w:val="0"/>
                              <w:marTop w:val="0"/>
                              <w:marBottom w:val="0"/>
                              <w:divBdr>
                                <w:top w:val="none" w:sz="0" w:space="0" w:color="auto"/>
                                <w:left w:val="none" w:sz="0" w:space="0" w:color="auto"/>
                                <w:bottom w:val="none" w:sz="0" w:space="0" w:color="auto"/>
                                <w:right w:val="none" w:sz="0" w:space="0" w:color="auto"/>
                              </w:divBdr>
                              <w:divsChild>
                                <w:div w:id="2060007820">
                                  <w:marLeft w:val="0"/>
                                  <w:marRight w:val="0"/>
                                  <w:marTop w:val="0"/>
                                  <w:marBottom w:val="0"/>
                                  <w:divBdr>
                                    <w:top w:val="none" w:sz="0" w:space="0" w:color="auto"/>
                                    <w:left w:val="none" w:sz="0" w:space="0" w:color="auto"/>
                                    <w:bottom w:val="none" w:sz="0" w:space="0" w:color="auto"/>
                                    <w:right w:val="none" w:sz="0" w:space="0" w:color="auto"/>
                                  </w:divBdr>
                                  <w:divsChild>
                                    <w:div w:id="180360286">
                                      <w:marLeft w:val="-240"/>
                                      <w:marRight w:val="-240"/>
                                      <w:marTop w:val="0"/>
                                      <w:marBottom w:val="0"/>
                                      <w:divBdr>
                                        <w:top w:val="none" w:sz="0" w:space="0" w:color="auto"/>
                                        <w:left w:val="none" w:sz="0" w:space="0" w:color="auto"/>
                                        <w:bottom w:val="none" w:sz="0" w:space="0" w:color="auto"/>
                                        <w:right w:val="none" w:sz="0" w:space="0" w:color="auto"/>
                                      </w:divBdr>
                                      <w:divsChild>
                                        <w:div w:id="2043095153">
                                          <w:marLeft w:val="0"/>
                                          <w:marRight w:val="0"/>
                                          <w:marTop w:val="0"/>
                                          <w:marBottom w:val="0"/>
                                          <w:divBdr>
                                            <w:top w:val="none" w:sz="0" w:space="0" w:color="auto"/>
                                            <w:left w:val="none" w:sz="0" w:space="0" w:color="auto"/>
                                            <w:bottom w:val="none" w:sz="0" w:space="0" w:color="auto"/>
                                            <w:right w:val="none" w:sz="0" w:space="0" w:color="auto"/>
                                          </w:divBdr>
                                          <w:divsChild>
                                            <w:div w:id="714348662">
                                              <w:marLeft w:val="0"/>
                                              <w:marRight w:val="0"/>
                                              <w:marTop w:val="0"/>
                                              <w:marBottom w:val="0"/>
                                              <w:divBdr>
                                                <w:top w:val="none" w:sz="0" w:space="0" w:color="auto"/>
                                                <w:left w:val="none" w:sz="0" w:space="0" w:color="auto"/>
                                                <w:bottom w:val="none" w:sz="0" w:space="0" w:color="auto"/>
                                                <w:right w:val="none" w:sz="0" w:space="0" w:color="auto"/>
                                              </w:divBdr>
                                              <w:divsChild>
                                                <w:div w:id="1677996430">
                                                  <w:marLeft w:val="0"/>
                                                  <w:marRight w:val="0"/>
                                                  <w:marTop w:val="0"/>
                                                  <w:marBottom w:val="0"/>
                                                  <w:divBdr>
                                                    <w:top w:val="none" w:sz="0" w:space="0" w:color="auto"/>
                                                    <w:left w:val="none" w:sz="0" w:space="0" w:color="auto"/>
                                                    <w:bottom w:val="none" w:sz="0" w:space="0" w:color="auto"/>
                                                    <w:right w:val="none" w:sz="0" w:space="0" w:color="auto"/>
                                                  </w:divBdr>
                                                  <w:divsChild>
                                                    <w:div w:id="54204173">
                                                      <w:marLeft w:val="0"/>
                                                      <w:marRight w:val="0"/>
                                                      <w:marTop w:val="0"/>
                                                      <w:marBottom w:val="0"/>
                                                      <w:divBdr>
                                                        <w:top w:val="none" w:sz="0" w:space="0" w:color="auto"/>
                                                        <w:left w:val="none" w:sz="0" w:space="0" w:color="auto"/>
                                                        <w:bottom w:val="none" w:sz="0" w:space="0" w:color="auto"/>
                                                        <w:right w:val="none" w:sz="0" w:space="0" w:color="auto"/>
                                                      </w:divBdr>
                                                      <w:divsChild>
                                                        <w:div w:id="2134707631">
                                                          <w:marLeft w:val="0"/>
                                                          <w:marRight w:val="0"/>
                                                          <w:marTop w:val="0"/>
                                                          <w:marBottom w:val="300"/>
                                                          <w:divBdr>
                                                            <w:top w:val="none" w:sz="0" w:space="0" w:color="auto"/>
                                                            <w:left w:val="none" w:sz="0" w:space="0" w:color="auto"/>
                                                            <w:bottom w:val="none" w:sz="0" w:space="0" w:color="auto"/>
                                                            <w:right w:val="none" w:sz="0" w:space="0" w:color="auto"/>
                                                          </w:divBdr>
                                                          <w:divsChild>
                                                            <w:div w:id="394012511">
                                                              <w:marLeft w:val="0"/>
                                                              <w:marRight w:val="0"/>
                                                              <w:marTop w:val="0"/>
                                                              <w:marBottom w:val="0"/>
                                                              <w:divBdr>
                                                                <w:top w:val="none" w:sz="0" w:space="0" w:color="auto"/>
                                                                <w:left w:val="none" w:sz="0" w:space="0" w:color="auto"/>
                                                                <w:bottom w:val="none" w:sz="0" w:space="0" w:color="auto"/>
                                                                <w:right w:val="none" w:sz="0" w:space="0" w:color="auto"/>
                                                              </w:divBdr>
                                                              <w:divsChild>
                                                                <w:div w:id="2139949711">
                                                                  <w:marLeft w:val="0"/>
                                                                  <w:marRight w:val="0"/>
                                                                  <w:marTop w:val="0"/>
                                                                  <w:marBottom w:val="0"/>
                                                                  <w:divBdr>
                                                                    <w:top w:val="none" w:sz="0" w:space="0" w:color="auto"/>
                                                                    <w:left w:val="none" w:sz="0" w:space="0" w:color="auto"/>
                                                                    <w:bottom w:val="none" w:sz="0" w:space="0" w:color="auto"/>
                                                                    <w:right w:val="none" w:sz="0" w:space="0" w:color="auto"/>
                                                                  </w:divBdr>
                                                                  <w:divsChild>
                                                                    <w:div w:id="1813671086">
                                                                      <w:marLeft w:val="0"/>
                                                                      <w:marRight w:val="0"/>
                                                                      <w:marTop w:val="0"/>
                                                                      <w:marBottom w:val="0"/>
                                                                      <w:divBdr>
                                                                        <w:top w:val="none" w:sz="0" w:space="0" w:color="auto"/>
                                                                        <w:left w:val="none" w:sz="0" w:space="0" w:color="auto"/>
                                                                        <w:bottom w:val="none" w:sz="0" w:space="0" w:color="auto"/>
                                                                        <w:right w:val="none" w:sz="0" w:space="0" w:color="auto"/>
                                                                      </w:divBdr>
                                                                      <w:divsChild>
                                                                        <w:div w:id="2146459481">
                                                                          <w:marLeft w:val="-240"/>
                                                                          <w:marRight w:val="-240"/>
                                                                          <w:marTop w:val="0"/>
                                                                          <w:marBottom w:val="0"/>
                                                                          <w:divBdr>
                                                                            <w:top w:val="none" w:sz="0" w:space="0" w:color="auto"/>
                                                                            <w:left w:val="none" w:sz="0" w:space="0" w:color="auto"/>
                                                                            <w:bottom w:val="none" w:sz="0" w:space="0" w:color="auto"/>
                                                                            <w:right w:val="none" w:sz="0" w:space="0" w:color="auto"/>
                                                                          </w:divBdr>
                                                                          <w:divsChild>
                                                                            <w:div w:id="1998026103">
                                                                              <w:marLeft w:val="0"/>
                                                                              <w:marRight w:val="0"/>
                                                                              <w:marTop w:val="0"/>
                                                                              <w:marBottom w:val="0"/>
                                                                              <w:divBdr>
                                                                                <w:top w:val="none" w:sz="0" w:space="0" w:color="auto"/>
                                                                                <w:left w:val="none" w:sz="0" w:space="0" w:color="auto"/>
                                                                                <w:bottom w:val="none" w:sz="0" w:space="0" w:color="auto"/>
                                                                                <w:right w:val="none" w:sz="0" w:space="0" w:color="auto"/>
                                                                              </w:divBdr>
                                                                              <w:divsChild>
                                                                                <w:div w:id="10784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115913">
      <w:bodyDiv w:val="1"/>
      <w:marLeft w:val="0"/>
      <w:marRight w:val="0"/>
      <w:marTop w:val="0"/>
      <w:marBottom w:val="0"/>
      <w:divBdr>
        <w:top w:val="none" w:sz="0" w:space="0" w:color="auto"/>
        <w:left w:val="none" w:sz="0" w:space="0" w:color="auto"/>
        <w:bottom w:val="none" w:sz="0" w:space="0" w:color="auto"/>
        <w:right w:val="none" w:sz="0" w:space="0" w:color="auto"/>
      </w:divBdr>
    </w:div>
    <w:div w:id="554392201">
      <w:bodyDiv w:val="1"/>
      <w:marLeft w:val="0"/>
      <w:marRight w:val="0"/>
      <w:marTop w:val="0"/>
      <w:marBottom w:val="0"/>
      <w:divBdr>
        <w:top w:val="none" w:sz="0" w:space="0" w:color="auto"/>
        <w:left w:val="none" w:sz="0" w:space="0" w:color="auto"/>
        <w:bottom w:val="none" w:sz="0" w:space="0" w:color="auto"/>
        <w:right w:val="none" w:sz="0" w:space="0" w:color="auto"/>
      </w:divBdr>
    </w:div>
    <w:div w:id="588777907">
      <w:bodyDiv w:val="1"/>
      <w:marLeft w:val="0"/>
      <w:marRight w:val="0"/>
      <w:marTop w:val="0"/>
      <w:marBottom w:val="0"/>
      <w:divBdr>
        <w:top w:val="none" w:sz="0" w:space="0" w:color="auto"/>
        <w:left w:val="none" w:sz="0" w:space="0" w:color="auto"/>
        <w:bottom w:val="none" w:sz="0" w:space="0" w:color="auto"/>
        <w:right w:val="none" w:sz="0" w:space="0" w:color="auto"/>
      </w:divBdr>
    </w:div>
    <w:div w:id="592323187">
      <w:bodyDiv w:val="1"/>
      <w:marLeft w:val="0"/>
      <w:marRight w:val="0"/>
      <w:marTop w:val="1170"/>
      <w:marBottom w:val="1155"/>
      <w:divBdr>
        <w:top w:val="none" w:sz="0" w:space="0" w:color="auto"/>
        <w:left w:val="none" w:sz="0" w:space="0" w:color="auto"/>
        <w:bottom w:val="none" w:sz="0" w:space="0" w:color="auto"/>
        <w:right w:val="none" w:sz="0" w:space="0" w:color="auto"/>
      </w:divBdr>
      <w:divsChild>
        <w:div w:id="359205933">
          <w:marLeft w:val="0"/>
          <w:marRight w:val="0"/>
          <w:marTop w:val="0"/>
          <w:marBottom w:val="0"/>
          <w:divBdr>
            <w:top w:val="none" w:sz="0" w:space="0" w:color="auto"/>
            <w:left w:val="none" w:sz="0" w:space="0" w:color="auto"/>
            <w:bottom w:val="none" w:sz="0" w:space="0" w:color="auto"/>
            <w:right w:val="none" w:sz="0" w:space="0" w:color="auto"/>
          </w:divBdr>
          <w:divsChild>
            <w:div w:id="958488443">
              <w:marLeft w:val="-225"/>
              <w:marRight w:val="-225"/>
              <w:marTop w:val="0"/>
              <w:marBottom w:val="0"/>
              <w:divBdr>
                <w:top w:val="none" w:sz="0" w:space="0" w:color="auto"/>
                <w:left w:val="none" w:sz="0" w:space="0" w:color="auto"/>
                <w:bottom w:val="none" w:sz="0" w:space="0" w:color="auto"/>
                <w:right w:val="none" w:sz="0" w:space="0" w:color="auto"/>
              </w:divBdr>
              <w:divsChild>
                <w:div w:id="1410276078">
                  <w:marLeft w:val="0"/>
                  <w:marRight w:val="0"/>
                  <w:marTop w:val="0"/>
                  <w:marBottom w:val="0"/>
                  <w:divBdr>
                    <w:top w:val="none" w:sz="0" w:space="0" w:color="auto"/>
                    <w:left w:val="none" w:sz="0" w:space="0" w:color="auto"/>
                    <w:bottom w:val="none" w:sz="0" w:space="0" w:color="auto"/>
                    <w:right w:val="none" w:sz="0" w:space="0" w:color="auto"/>
                  </w:divBdr>
                  <w:divsChild>
                    <w:div w:id="160120495">
                      <w:marLeft w:val="0"/>
                      <w:marRight w:val="0"/>
                      <w:marTop w:val="2055"/>
                      <w:marBottom w:val="0"/>
                      <w:divBdr>
                        <w:top w:val="none" w:sz="0" w:space="0" w:color="auto"/>
                        <w:left w:val="none" w:sz="0" w:space="0" w:color="auto"/>
                        <w:bottom w:val="none" w:sz="0" w:space="0" w:color="auto"/>
                        <w:right w:val="none" w:sz="0" w:space="0" w:color="auto"/>
                      </w:divBdr>
                      <w:divsChild>
                        <w:div w:id="739526891">
                          <w:marLeft w:val="0"/>
                          <w:marRight w:val="0"/>
                          <w:marTop w:val="0"/>
                          <w:marBottom w:val="0"/>
                          <w:divBdr>
                            <w:top w:val="none" w:sz="0" w:space="0" w:color="auto"/>
                            <w:left w:val="none" w:sz="0" w:space="0" w:color="auto"/>
                            <w:bottom w:val="none" w:sz="0" w:space="0" w:color="auto"/>
                            <w:right w:val="none" w:sz="0" w:space="0" w:color="auto"/>
                          </w:divBdr>
                          <w:divsChild>
                            <w:div w:id="765462820">
                              <w:marLeft w:val="0"/>
                              <w:marRight w:val="0"/>
                              <w:marTop w:val="0"/>
                              <w:marBottom w:val="0"/>
                              <w:divBdr>
                                <w:top w:val="none" w:sz="0" w:space="0" w:color="auto"/>
                                <w:left w:val="none" w:sz="0" w:space="0" w:color="auto"/>
                                <w:bottom w:val="none" w:sz="0" w:space="0" w:color="auto"/>
                                <w:right w:val="none" w:sz="0" w:space="0" w:color="auto"/>
                              </w:divBdr>
                              <w:divsChild>
                                <w:div w:id="863638934">
                                  <w:marLeft w:val="0"/>
                                  <w:marRight w:val="0"/>
                                  <w:marTop w:val="0"/>
                                  <w:marBottom w:val="0"/>
                                  <w:divBdr>
                                    <w:top w:val="none" w:sz="0" w:space="0" w:color="auto"/>
                                    <w:left w:val="none" w:sz="0" w:space="0" w:color="auto"/>
                                    <w:bottom w:val="none" w:sz="0" w:space="0" w:color="auto"/>
                                    <w:right w:val="none" w:sz="0" w:space="0" w:color="auto"/>
                                  </w:divBdr>
                                  <w:divsChild>
                                    <w:div w:id="1298143432">
                                      <w:marLeft w:val="0"/>
                                      <w:marRight w:val="0"/>
                                      <w:marTop w:val="0"/>
                                      <w:marBottom w:val="0"/>
                                      <w:divBdr>
                                        <w:top w:val="none" w:sz="0" w:space="0" w:color="auto"/>
                                        <w:left w:val="none" w:sz="0" w:space="0" w:color="auto"/>
                                        <w:bottom w:val="none" w:sz="0" w:space="0" w:color="auto"/>
                                        <w:right w:val="none" w:sz="0" w:space="0" w:color="auto"/>
                                      </w:divBdr>
                                      <w:divsChild>
                                        <w:div w:id="2120298555">
                                          <w:marLeft w:val="0"/>
                                          <w:marRight w:val="0"/>
                                          <w:marTop w:val="0"/>
                                          <w:marBottom w:val="0"/>
                                          <w:divBdr>
                                            <w:top w:val="none" w:sz="0" w:space="0" w:color="auto"/>
                                            <w:left w:val="none" w:sz="0" w:space="0" w:color="auto"/>
                                            <w:bottom w:val="none" w:sz="0" w:space="0" w:color="auto"/>
                                            <w:right w:val="none" w:sz="0" w:space="0" w:color="auto"/>
                                          </w:divBdr>
                                          <w:divsChild>
                                            <w:div w:id="34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700063">
      <w:bodyDiv w:val="1"/>
      <w:marLeft w:val="0"/>
      <w:marRight w:val="0"/>
      <w:marTop w:val="0"/>
      <w:marBottom w:val="0"/>
      <w:divBdr>
        <w:top w:val="none" w:sz="0" w:space="0" w:color="auto"/>
        <w:left w:val="none" w:sz="0" w:space="0" w:color="auto"/>
        <w:bottom w:val="none" w:sz="0" w:space="0" w:color="auto"/>
        <w:right w:val="none" w:sz="0" w:space="0" w:color="auto"/>
      </w:divBdr>
    </w:div>
    <w:div w:id="768501141">
      <w:bodyDiv w:val="1"/>
      <w:marLeft w:val="0"/>
      <w:marRight w:val="0"/>
      <w:marTop w:val="0"/>
      <w:marBottom w:val="0"/>
      <w:divBdr>
        <w:top w:val="none" w:sz="0" w:space="0" w:color="auto"/>
        <w:left w:val="none" w:sz="0" w:space="0" w:color="auto"/>
        <w:bottom w:val="none" w:sz="0" w:space="0" w:color="auto"/>
        <w:right w:val="none" w:sz="0" w:space="0" w:color="auto"/>
      </w:divBdr>
    </w:div>
    <w:div w:id="770900700">
      <w:bodyDiv w:val="1"/>
      <w:marLeft w:val="0"/>
      <w:marRight w:val="0"/>
      <w:marTop w:val="0"/>
      <w:marBottom w:val="0"/>
      <w:divBdr>
        <w:top w:val="none" w:sz="0" w:space="0" w:color="auto"/>
        <w:left w:val="none" w:sz="0" w:space="0" w:color="auto"/>
        <w:bottom w:val="none" w:sz="0" w:space="0" w:color="auto"/>
        <w:right w:val="none" w:sz="0" w:space="0" w:color="auto"/>
      </w:divBdr>
    </w:div>
    <w:div w:id="794369275">
      <w:bodyDiv w:val="1"/>
      <w:marLeft w:val="0"/>
      <w:marRight w:val="0"/>
      <w:marTop w:val="0"/>
      <w:marBottom w:val="0"/>
      <w:divBdr>
        <w:top w:val="none" w:sz="0" w:space="0" w:color="auto"/>
        <w:left w:val="none" w:sz="0" w:space="0" w:color="auto"/>
        <w:bottom w:val="none" w:sz="0" w:space="0" w:color="auto"/>
        <w:right w:val="none" w:sz="0" w:space="0" w:color="auto"/>
      </w:divBdr>
    </w:div>
    <w:div w:id="814956700">
      <w:bodyDiv w:val="1"/>
      <w:marLeft w:val="0"/>
      <w:marRight w:val="0"/>
      <w:marTop w:val="0"/>
      <w:marBottom w:val="0"/>
      <w:divBdr>
        <w:top w:val="none" w:sz="0" w:space="0" w:color="auto"/>
        <w:left w:val="none" w:sz="0" w:space="0" w:color="auto"/>
        <w:bottom w:val="none" w:sz="0" w:space="0" w:color="auto"/>
        <w:right w:val="none" w:sz="0" w:space="0" w:color="auto"/>
      </w:divBdr>
    </w:div>
    <w:div w:id="827206739">
      <w:bodyDiv w:val="1"/>
      <w:marLeft w:val="0"/>
      <w:marRight w:val="0"/>
      <w:marTop w:val="0"/>
      <w:marBottom w:val="0"/>
      <w:divBdr>
        <w:top w:val="none" w:sz="0" w:space="0" w:color="auto"/>
        <w:left w:val="none" w:sz="0" w:space="0" w:color="auto"/>
        <w:bottom w:val="none" w:sz="0" w:space="0" w:color="auto"/>
        <w:right w:val="none" w:sz="0" w:space="0" w:color="auto"/>
      </w:divBdr>
    </w:div>
    <w:div w:id="844125326">
      <w:bodyDiv w:val="1"/>
      <w:marLeft w:val="0"/>
      <w:marRight w:val="0"/>
      <w:marTop w:val="0"/>
      <w:marBottom w:val="0"/>
      <w:divBdr>
        <w:top w:val="none" w:sz="0" w:space="0" w:color="auto"/>
        <w:left w:val="none" w:sz="0" w:space="0" w:color="auto"/>
        <w:bottom w:val="none" w:sz="0" w:space="0" w:color="auto"/>
        <w:right w:val="none" w:sz="0" w:space="0" w:color="auto"/>
      </w:divBdr>
    </w:div>
    <w:div w:id="873466100">
      <w:bodyDiv w:val="1"/>
      <w:marLeft w:val="0"/>
      <w:marRight w:val="0"/>
      <w:marTop w:val="0"/>
      <w:marBottom w:val="0"/>
      <w:divBdr>
        <w:top w:val="none" w:sz="0" w:space="0" w:color="auto"/>
        <w:left w:val="none" w:sz="0" w:space="0" w:color="auto"/>
        <w:bottom w:val="none" w:sz="0" w:space="0" w:color="auto"/>
        <w:right w:val="none" w:sz="0" w:space="0" w:color="auto"/>
      </w:divBdr>
    </w:div>
    <w:div w:id="900554834">
      <w:bodyDiv w:val="1"/>
      <w:marLeft w:val="0"/>
      <w:marRight w:val="0"/>
      <w:marTop w:val="0"/>
      <w:marBottom w:val="0"/>
      <w:divBdr>
        <w:top w:val="none" w:sz="0" w:space="0" w:color="auto"/>
        <w:left w:val="none" w:sz="0" w:space="0" w:color="auto"/>
        <w:bottom w:val="none" w:sz="0" w:space="0" w:color="auto"/>
        <w:right w:val="none" w:sz="0" w:space="0" w:color="auto"/>
      </w:divBdr>
    </w:div>
    <w:div w:id="900679215">
      <w:bodyDiv w:val="1"/>
      <w:marLeft w:val="0"/>
      <w:marRight w:val="0"/>
      <w:marTop w:val="0"/>
      <w:marBottom w:val="0"/>
      <w:divBdr>
        <w:top w:val="none" w:sz="0" w:space="0" w:color="auto"/>
        <w:left w:val="none" w:sz="0" w:space="0" w:color="auto"/>
        <w:bottom w:val="none" w:sz="0" w:space="0" w:color="auto"/>
        <w:right w:val="none" w:sz="0" w:space="0" w:color="auto"/>
      </w:divBdr>
    </w:div>
    <w:div w:id="926305135">
      <w:bodyDiv w:val="1"/>
      <w:marLeft w:val="0"/>
      <w:marRight w:val="0"/>
      <w:marTop w:val="0"/>
      <w:marBottom w:val="0"/>
      <w:divBdr>
        <w:top w:val="none" w:sz="0" w:space="0" w:color="auto"/>
        <w:left w:val="none" w:sz="0" w:space="0" w:color="auto"/>
        <w:bottom w:val="none" w:sz="0" w:space="0" w:color="auto"/>
        <w:right w:val="none" w:sz="0" w:space="0" w:color="auto"/>
      </w:divBdr>
    </w:div>
    <w:div w:id="927886357">
      <w:bodyDiv w:val="1"/>
      <w:marLeft w:val="0"/>
      <w:marRight w:val="0"/>
      <w:marTop w:val="0"/>
      <w:marBottom w:val="0"/>
      <w:divBdr>
        <w:top w:val="none" w:sz="0" w:space="0" w:color="auto"/>
        <w:left w:val="none" w:sz="0" w:space="0" w:color="auto"/>
        <w:bottom w:val="none" w:sz="0" w:space="0" w:color="auto"/>
        <w:right w:val="none" w:sz="0" w:space="0" w:color="auto"/>
      </w:divBdr>
    </w:div>
    <w:div w:id="932206290">
      <w:bodyDiv w:val="1"/>
      <w:marLeft w:val="0"/>
      <w:marRight w:val="0"/>
      <w:marTop w:val="0"/>
      <w:marBottom w:val="0"/>
      <w:divBdr>
        <w:top w:val="none" w:sz="0" w:space="0" w:color="auto"/>
        <w:left w:val="none" w:sz="0" w:space="0" w:color="auto"/>
        <w:bottom w:val="none" w:sz="0" w:space="0" w:color="auto"/>
        <w:right w:val="none" w:sz="0" w:space="0" w:color="auto"/>
      </w:divBdr>
    </w:div>
    <w:div w:id="946816586">
      <w:bodyDiv w:val="1"/>
      <w:marLeft w:val="0"/>
      <w:marRight w:val="0"/>
      <w:marTop w:val="0"/>
      <w:marBottom w:val="0"/>
      <w:divBdr>
        <w:top w:val="none" w:sz="0" w:space="0" w:color="auto"/>
        <w:left w:val="none" w:sz="0" w:space="0" w:color="auto"/>
        <w:bottom w:val="none" w:sz="0" w:space="0" w:color="auto"/>
        <w:right w:val="none" w:sz="0" w:space="0" w:color="auto"/>
      </w:divBdr>
    </w:div>
    <w:div w:id="951980168">
      <w:bodyDiv w:val="1"/>
      <w:marLeft w:val="0"/>
      <w:marRight w:val="0"/>
      <w:marTop w:val="1170"/>
      <w:marBottom w:val="1155"/>
      <w:divBdr>
        <w:top w:val="none" w:sz="0" w:space="0" w:color="auto"/>
        <w:left w:val="none" w:sz="0" w:space="0" w:color="auto"/>
        <w:bottom w:val="none" w:sz="0" w:space="0" w:color="auto"/>
        <w:right w:val="none" w:sz="0" w:space="0" w:color="auto"/>
      </w:divBdr>
      <w:divsChild>
        <w:div w:id="1186596989">
          <w:marLeft w:val="0"/>
          <w:marRight w:val="0"/>
          <w:marTop w:val="0"/>
          <w:marBottom w:val="0"/>
          <w:divBdr>
            <w:top w:val="none" w:sz="0" w:space="0" w:color="auto"/>
            <w:left w:val="none" w:sz="0" w:space="0" w:color="auto"/>
            <w:bottom w:val="none" w:sz="0" w:space="0" w:color="auto"/>
            <w:right w:val="none" w:sz="0" w:space="0" w:color="auto"/>
          </w:divBdr>
          <w:divsChild>
            <w:div w:id="1598445422">
              <w:marLeft w:val="-225"/>
              <w:marRight w:val="-225"/>
              <w:marTop w:val="0"/>
              <w:marBottom w:val="0"/>
              <w:divBdr>
                <w:top w:val="none" w:sz="0" w:space="0" w:color="auto"/>
                <w:left w:val="none" w:sz="0" w:space="0" w:color="auto"/>
                <w:bottom w:val="none" w:sz="0" w:space="0" w:color="auto"/>
                <w:right w:val="none" w:sz="0" w:space="0" w:color="auto"/>
              </w:divBdr>
              <w:divsChild>
                <w:div w:id="1487629652">
                  <w:marLeft w:val="0"/>
                  <w:marRight w:val="0"/>
                  <w:marTop w:val="0"/>
                  <w:marBottom w:val="0"/>
                  <w:divBdr>
                    <w:top w:val="none" w:sz="0" w:space="0" w:color="auto"/>
                    <w:left w:val="none" w:sz="0" w:space="0" w:color="auto"/>
                    <w:bottom w:val="none" w:sz="0" w:space="0" w:color="auto"/>
                    <w:right w:val="none" w:sz="0" w:space="0" w:color="auto"/>
                  </w:divBdr>
                  <w:divsChild>
                    <w:div w:id="822894784">
                      <w:marLeft w:val="0"/>
                      <w:marRight w:val="0"/>
                      <w:marTop w:val="2055"/>
                      <w:marBottom w:val="0"/>
                      <w:divBdr>
                        <w:top w:val="none" w:sz="0" w:space="0" w:color="auto"/>
                        <w:left w:val="none" w:sz="0" w:space="0" w:color="auto"/>
                        <w:bottom w:val="none" w:sz="0" w:space="0" w:color="auto"/>
                        <w:right w:val="none" w:sz="0" w:space="0" w:color="auto"/>
                      </w:divBdr>
                      <w:divsChild>
                        <w:div w:id="1589921041">
                          <w:marLeft w:val="0"/>
                          <w:marRight w:val="0"/>
                          <w:marTop w:val="0"/>
                          <w:marBottom w:val="0"/>
                          <w:divBdr>
                            <w:top w:val="none" w:sz="0" w:space="0" w:color="auto"/>
                            <w:left w:val="none" w:sz="0" w:space="0" w:color="auto"/>
                            <w:bottom w:val="none" w:sz="0" w:space="0" w:color="auto"/>
                            <w:right w:val="none" w:sz="0" w:space="0" w:color="auto"/>
                          </w:divBdr>
                          <w:divsChild>
                            <w:div w:id="1501314014">
                              <w:marLeft w:val="0"/>
                              <w:marRight w:val="0"/>
                              <w:marTop w:val="0"/>
                              <w:marBottom w:val="0"/>
                              <w:divBdr>
                                <w:top w:val="none" w:sz="0" w:space="0" w:color="auto"/>
                                <w:left w:val="none" w:sz="0" w:space="0" w:color="auto"/>
                                <w:bottom w:val="none" w:sz="0" w:space="0" w:color="auto"/>
                                <w:right w:val="none" w:sz="0" w:space="0" w:color="auto"/>
                              </w:divBdr>
                              <w:divsChild>
                                <w:div w:id="363286609">
                                  <w:marLeft w:val="0"/>
                                  <w:marRight w:val="0"/>
                                  <w:marTop w:val="0"/>
                                  <w:marBottom w:val="0"/>
                                  <w:divBdr>
                                    <w:top w:val="none" w:sz="0" w:space="0" w:color="auto"/>
                                    <w:left w:val="none" w:sz="0" w:space="0" w:color="auto"/>
                                    <w:bottom w:val="none" w:sz="0" w:space="0" w:color="auto"/>
                                    <w:right w:val="none" w:sz="0" w:space="0" w:color="auto"/>
                                  </w:divBdr>
                                  <w:divsChild>
                                    <w:div w:id="57946650">
                                      <w:marLeft w:val="0"/>
                                      <w:marRight w:val="0"/>
                                      <w:marTop w:val="0"/>
                                      <w:marBottom w:val="0"/>
                                      <w:divBdr>
                                        <w:top w:val="none" w:sz="0" w:space="0" w:color="auto"/>
                                        <w:left w:val="none" w:sz="0" w:space="0" w:color="auto"/>
                                        <w:bottom w:val="none" w:sz="0" w:space="0" w:color="auto"/>
                                        <w:right w:val="none" w:sz="0" w:space="0" w:color="auto"/>
                                      </w:divBdr>
                                      <w:divsChild>
                                        <w:div w:id="260259764">
                                          <w:marLeft w:val="0"/>
                                          <w:marRight w:val="0"/>
                                          <w:marTop w:val="0"/>
                                          <w:marBottom w:val="0"/>
                                          <w:divBdr>
                                            <w:top w:val="none" w:sz="0" w:space="0" w:color="auto"/>
                                            <w:left w:val="none" w:sz="0" w:space="0" w:color="auto"/>
                                            <w:bottom w:val="none" w:sz="0" w:space="0" w:color="auto"/>
                                            <w:right w:val="none" w:sz="0" w:space="0" w:color="auto"/>
                                          </w:divBdr>
                                          <w:divsChild>
                                            <w:div w:id="2997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6021">
      <w:bodyDiv w:val="1"/>
      <w:marLeft w:val="0"/>
      <w:marRight w:val="0"/>
      <w:marTop w:val="0"/>
      <w:marBottom w:val="0"/>
      <w:divBdr>
        <w:top w:val="none" w:sz="0" w:space="0" w:color="auto"/>
        <w:left w:val="none" w:sz="0" w:space="0" w:color="auto"/>
        <w:bottom w:val="none" w:sz="0" w:space="0" w:color="auto"/>
        <w:right w:val="none" w:sz="0" w:space="0" w:color="auto"/>
      </w:divBdr>
      <w:divsChild>
        <w:div w:id="2099595601">
          <w:marLeft w:val="0"/>
          <w:marRight w:val="0"/>
          <w:marTop w:val="0"/>
          <w:marBottom w:val="0"/>
          <w:divBdr>
            <w:top w:val="none" w:sz="0" w:space="0" w:color="auto"/>
            <w:left w:val="none" w:sz="0" w:space="0" w:color="auto"/>
            <w:bottom w:val="none" w:sz="0" w:space="0" w:color="auto"/>
            <w:right w:val="none" w:sz="0" w:space="0" w:color="auto"/>
          </w:divBdr>
          <w:divsChild>
            <w:div w:id="1317955391">
              <w:marLeft w:val="0"/>
              <w:marRight w:val="0"/>
              <w:marTop w:val="0"/>
              <w:marBottom w:val="0"/>
              <w:divBdr>
                <w:top w:val="none" w:sz="0" w:space="0" w:color="auto"/>
                <w:left w:val="none" w:sz="0" w:space="0" w:color="auto"/>
                <w:bottom w:val="none" w:sz="0" w:space="0" w:color="auto"/>
                <w:right w:val="none" w:sz="0" w:space="0" w:color="auto"/>
              </w:divBdr>
              <w:divsChild>
                <w:div w:id="678193628">
                  <w:marLeft w:val="0"/>
                  <w:marRight w:val="0"/>
                  <w:marTop w:val="0"/>
                  <w:marBottom w:val="0"/>
                  <w:divBdr>
                    <w:top w:val="none" w:sz="0" w:space="0" w:color="auto"/>
                    <w:left w:val="none" w:sz="0" w:space="0" w:color="auto"/>
                    <w:bottom w:val="none" w:sz="0" w:space="0" w:color="auto"/>
                    <w:right w:val="none" w:sz="0" w:space="0" w:color="auto"/>
                  </w:divBdr>
                  <w:divsChild>
                    <w:div w:id="1912307248">
                      <w:marLeft w:val="0"/>
                      <w:marRight w:val="0"/>
                      <w:marTop w:val="0"/>
                      <w:marBottom w:val="0"/>
                      <w:divBdr>
                        <w:top w:val="none" w:sz="0" w:space="0" w:color="auto"/>
                        <w:left w:val="none" w:sz="0" w:space="0" w:color="auto"/>
                        <w:bottom w:val="none" w:sz="0" w:space="0" w:color="auto"/>
                        <w:right w:val="none" w:sz="0" w:space="0" w:color="auto"/>
                      </w:divBdr>
                      <w:divsChild>
                        <w:div w:id="1020886698">
                          <w:marLeft w:val="-225"/>
                          <w:marRight w:val="-225"/>
                          <w:marTop w:val="0"/>
                          <w:marBottom w:val="0"/>
                          <w:divBdr>
                            <w:top w:val="none" w:sz="0" w:space="0" w:color="auto"/>
                            <w:left w:val="none" w:sz="0" w:space="0" w:color="auto"/>
                            <w:bottom w:val="none" w:sz="0" w:space="0" w:color="auto"/>
                            <w:right w:val="none" w:sz="0" w:space="0" w:color="auto"/>
                          </w:divBdr>
                          <w:divsChild>
                            <w:div w:id="990909796">
                              <w:marLeft w:val="0"/>
                              <w:marRight w:val="0"/>
                              <w:marTop w:val="0"/>
                              <w:marBottom w:val="0"/>
                              <w:divBdr>
                                <w:top w:val="none" w:sz="0" w:space="0" w:color="auto"/>
                                <w:left w:val="none" w:sz="0" w:space="0" w:color="auto"/>
                                <w:bottom w:val="none" w:sz="0" w:space="0" w:color="auto"/>
                                <w:right w:val="none" w:sz="0" w:space="0" w:color="auto"/>
                              </w:divBdr>
                              <w:divsChild>
                                <w:div w:id="696779230">
                                  <w:marLeft w:val="0"/>
                                  <w:marRight w:val="0"/>
                                  <w:marTop w:val="0"/>
                                  <w:marBottom w:val="0"/>
                                  <w:divBdr>
                                    <w:top w:val="none" w:sz="0" w:space="0" w:color="auto"/>
                                    <w:left w:val="none" w:sz="0" w:space="0" w:color="auto"/>
                                    <w:bottom w:val="none" w:sz="0" w:space="0" w:color="auto"/>
                                    <w:right w:val="none" w:sz="0" w:space="0" w:color="auto"/>
                                  </w:divBdr>
                                  <w:divsChild>
                                    <w:div w:id="1972591223">
                                      <w:marLeft w:val="0"/>
                                      <w:marRight w:val="0"/>
                                      <w:marTop w:val="0"/>
                                      <w:marBottom w:val="0"/>
                                      <w:divBdr>
                                        <w:top w:val="none" w:sz="0" w:space="0" w:color="auto"/>
                                        <w:left w:val="none" w:sz="0" w:space="0" w:color="auto"/>
                                        <w:bottom w:val="none" w:sz="0" w:space="0" w:color="auto"/>
                                        <w:right w:val="none" w:sz="0" w:space="0" w:color="auto"/>
                                      </w:divBdr>
                                      <w:divsChild>
                                        <w:div w:id="113133880">
                                          <w:marLeft w:val="0"/>
                                          <w:marRight w:val="0"/>
                                          <w:marTop w:val="0"/>
                                          <w:marBottom w:val="0"/>
                                          <w:divBdr>
                                            <w:top w:val="none" w:sz="0" w:space="0" w:color="auto"/>
                                            <w:left w:val="none" w:sz="0" w:space="0" w:color="auto"/>
                                            <w:bottom w:val="none" w:sz="0" w:space="0" w:color="auto"/>
                                            <w:right w:val="none" w:sz="0" w:space="0" w:color="auto"/>
                                          </w:divBdr>
                                          <w:divsChild>
                                            <w:div w:id="7783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272302">
      <w:bodyDiv w:val="1"/>
      <w:marLeft w:val="0"/>
      <w:marRight w:val="0"/>
      <w:marTop w:val="0"/>
      <w:marBottom w:val="0"/>
      <w:divBdr>
        <w:top w:val="none" w:sz="0" w:space="0" w:color="auto"/>
        <w:left w:val="none" w:sz="0" w:space="0" w:color="auto"/>
        <w:bottom w:val="none" w:sz="0" w:space="0" w:color="auto"/>
        <w:right w:val="none" w:sz="0" w:space="0" w:color="auto"/>
      </w:divBdr>
    </w:div>
    <w:div w:id="1107578897">
      <w:bodyDiv w:val="1"/>
      <w:marLeft w:val="0"/>
      <w:marRight w:val="0"/>
      <w:marTop w:val="0"/>
      <w:marBottom w:val="0"/>
      <w:divBdr>
        <w:top w:val="none" w:sz="0" w:space="0" w:color="auto"/>
        <w:left w:val="none" w:sz="0" w:space="0" w:color="auto"/>
        <w:bottom w:val="none" w:sz="0" w:space="0" w:color="auto"/>
        <w:right w:val="none" w:sz="0" w:space="0" w:color="auto"/>
      </w:divBdr>
    </w:div>
    <w:div w:id="1115489172">
      <w:bodyDiv w:val="1"/>
      <w:marLeft w:val="0"/>
      <w:marRight w:val="0"/>
      <w:marTop w:val="0"/>
      <w:marBottom w:val="0"/>
      <w:divBdr>
        <w:top w:val="none" w:sz="0" w:space="0" w:color="auto"/>
        <w:left w:val="none" w:sz="0" w:space="0" w:color="auto"/>
        <w:bottom w:val="none" w:sz="0" w:space="0" w:color="auto"/>
        <w:right w:val="none" w:sz="0" w:space="0" w:color="auto"/>
      </w:divBdr>
    </w:div>
    <w:div w:id="1169367586">
      <w:bodyDiv w:val="1"/>
      <w:marLeft w:val="0"/>
      <w:marRight w:val="0"/>
      <w:marTop w:val="0"/>
      <w:marBottom w:val="0"/>
      <w:divBdr>
        <w:top w:val="none" w:sz="0" w:space="0" w:color="auto"/>
        <w:left w:val="none" w:sz="0" w:space="0" w:color="auto"/>
        <w:bottom w:val="none" w:sz="0" w:space="0" w:color="auto"/>
        <w:right w:val="none" w:sz="0" w:space="0" w:color="auto"/>
      </w:divBdr>
    </w:div>
    <w:div w:id="1170876057">
      <w:bodyDiv w:val="1"/>
      <w:marLeft w:val="0"/>
      <w:marRight w:val="0"/>
      <w:marTop w:val="0"/>
      <w:marBottom w:val="0"/>
      <w:divBdr>
        <w:top w:val="none" w:sz="0" w:space="0" w:color="auto"/>
        <w:left w:val="none" w:sz="0" w:space="0" w:color="auto"/>
        <w:bottom w:val="none" w:sz="0" w:space="0" w:color="auto"/>
        <w:right w:val="none" w:sz="0" w:space="0" w:color="auto"/>
      </w:divBdr>
    </w:div>
    <w:div w:id="1178231196">
      <w:bodyDiv w:val="1"/>
      <w:marLeft w:val="0"/>
      <w:marRight w:val="0"/>
      <w:marTop w:val="0"/>
      <w:marBottom w:val="0"/>
      <w:divBdr>
        <w:top w:val="none" w:sz="0" w:space="0" w:color="auto"/>
        <w:left w:val="none" w:sz="0" w:space="0" w:color="auto"/>
        <w:bottom w:val="none" w:sz="0" w:space="0" w:color="auto"/>
        <w:right w:val="none" w:sz="0" w:space="0" w:color="auto"/>
      </w:divBdr>
    </w:div>
    <w:div w:id="1180050973">
      <w:bodyDiv w:val="1"/>
      <w:marLeft w:val="0"/>
      <w:marRight w:val="0"/>
      <w:marTop w:val="0"/>
      <w:marBottom w:val="0"/>
      <w:divBdr>
        <w:top w:val="none" w:sz="0" w:space="0" w:color="auto"/>
        <w:left w:val="none" w:sz="0" w:space="0" w:color="auto"/>
        <w:bottom w:val="none" w:sz="0" w:space="0" w:color="auto"/>
        <w:right w:val="none" w:sz="0" w:space="0" w:color="auto"/>
      </w:divBdr>
    </w:div>
    <w:div w:id="1183057888">
      <w:bodyDiv w:val="1"/>
      <w:marLeft w:val="0"/>
      <w:marRight w:val="0"/>
      <w:marTop w:val="0"/>
      <w:marBottom w:val="0"/>
      <w:divBdr>
        <w:top w:val="none" w:sz="0" w:space="0" w:color="auto"/>
        <w:left w:val="none" w:sz="0" w:space="0" w:color="auto"/>
        <w:bottom w:val="none" w:sz="0" w:space="0" w:color="auto"/>
        <w:right w:val="none" w:sz="0" w:space="0" w:color="auto"/>
      </w:divBdr>
    </w:div>
    <w:div w:id="1186557042">
      <w:bodyDiv w:val="1"/>
      <w:marLeft w:val="0"/>
      <w:marRight w:val="0"/>
      <w:marTop w:val="0"/>
      <w:marBottom w:val="0"/>
      <w:divBdr>
        <w:top w:val="none" w:sz="0" w:space="0" w:color="auto"/>
        <w:left w:val="none" w:sz="0" w:space="0" w:color="auto"/>
        <w:bottom w:val="none" w:sz="0" w:space="0" w:color="auto"/>
        <w:right w:val="none" w:sz="0" w:space="0" w:color="auto"/>
      </w:divBdr>
    </w:div>
    <w:div w:id="1217545229">
      <w:bodyDiv w:val="1"/>
      <w:marLeft w:val="0"/>
      <w:marRight w:val="0"/>
      <w:marTop w:val="0"/>
      <w:marBottom w:val="0"/>
      <w:divBdr>
        <w:top w:val="none" w:sz="0" w:space="0" w:color="auto"/>
        <w:left w:val="none" w:sz="0" w:space="0" w:color="auto"/>
        <w:bottom w:val="none" w:sz="0" w:space="0" w:color="auto"/>
        <w:right w:val="none" w:sz="0" w:space="0" w:color="auto"/>
      </w:divBdr>
    </w:div>
    <w:div w:id="1248616875">
      <w:bodyDiv w:val="1"/>
      <w:marLeft w:val="0"/>
      <w:marRight w:val="0"/>
      <w:marTop w:val="0"/>
      <w:marBottom w:val="0"/>
      <w:divBdr>
        <w:top w:val="none" w:sz="0" w:space="0" w:color="auto"/>
        <w:left w:val="none" w:sz="0" w:space="0" w:color="auto"/>
        <w:bottom w:val="none" w:sz="0" w:space="0" w:color="auto"/>
        <w:right w:val="none" w:sz="0" w:space="0" w:color="auto"/>
      </w:divBdr>
    </w:div>
    <w:div w:id="1299998157">
      <w:bodyDiv w:val="1"/>
      <w:marLeft w:val="0"/>
      <w:marRight w:val="0"/>
      <w:marTop w:val="0"/>
      <w:marBottom w:val="0"/>
      <w:divBdr>
        <w:top w:val="none" w:sz="0" w:space="0" w:color="auto"/>
        <w:left w:val="none" w:sz="0" w:space="0" w:color="auto"/>
        <w:bottom w:val="none" w:sz="0" w:space="0" w:color="auto"/>
        <w:right w:val="none" w:sz="0" w:space="0" w:color="auto"/>
      </w:divBdr>
    </w:div>
    <w:div w:id="1321544567">
      <w:bodyDiv w:val="1"/>
      <w:marLeft w:val="0"/>
      <w:marRight w:val="0"/>
      <w:marTop w:val="0"/>
      <w:marBottom w:val="0"/>
      <w:divBdr>
        <w:top w:val="none" w:sz="0" w:space="0" w:color="auto"/>
        <w:left w:val="none" w:sz="0" w:space="0" w:color="auto"/>
        <w:bottom w:val="none" w:sz="0" w:space="0" w:color="auto"/>
        <w:right w:val="none" w:sz="0" w:space="0" w:color="auto"/>
      </w:divBdr>
    </w:div>
    <w:div w:id="1354652747">
      <w:bodyDiv w:val="1"/>
      <w:marLeft w:val="0"/>
      <w:marRight w:val="0"/>
      <w:marTop w:val="0"/>
      <w:marBottom w:val="0"/>
      <w:divBdr>
        <w:top w:val="none" w:sz="0" w:space="0" w:color="auto"/>
        <w:left w:val="none" w:sz="0" w:space="0" w:color="auto"/>
        <w:bottom w:val="none" w:sz="0" w:space="0" w:color="auto"/>
        <w:right w:val="none" w:sz="0" w:space="0" w:color="auto"/>
      </w:divBdr>
    </w:div>
    <w:div w:id="1366325626">
      <w:bodyDiv w:val="1"/>
      <w:marLeft w:val="0"/>
      <w:marRight w:val="0"/>
      <w:marTop w:val="0"/>
      <w:marBottom w:val="0"/>
      <w:divBdr>
        <w:top w:val="none" w:sz="0" w:space="0" w:color="auto"/>
        <w:left w:val="none" w:sz="0" w:space="0" w:color="auto"/>
        <w:bottom w:val="none" w:sz="0" w:space="0" w:color="auto"/>
        <w:right w:val="none" w:sz="0" w:space="0" w:color="auto"/>
      </w:divBdr>
    </w:div>
    <w:div w:id="1402093455">
      <w:bodyDiv w:val="1"/>
      <w:marLeft w:val="0"/>
      <w:marRight w:val="0"/>
      <w:marTop w:val="0"/>
      <w:marBottom w:val="0"/>
      <w:divBdr>
        <w:top w:val="none" w:sz="0" w:space="0" w:color="auto"/>
        <w:left w:val="none" w:sz="0" w:space="0" w:color="auto"/>
        <w:bottom w:val="none" w:sz="0" w:space="0" w:color="auto"/>
        <w:right w:val="none" w:sz="0" w:space="0" w:color="auto"/>
      </w:divBdr>
    </w:div>
    <w:div w:id="1440292137">
      <w:bodyDiv w:val="1"/>
      <w:marLeft w:val="0"/>
      <w:marRight w:val="0"/>
      <w:marTop w:val="0"/>
      <w:marBottom w:val="0"/>
      <w:divBdr>
        <w:top w:val="none" w:sz="0" w:space="0" w:color="auto"/>
        <w:left w:val="none" w:sz="0" w:space="0" w:color="auto"/>
        <w:bottom w:val="none" w:sz="0" w:space="0" w:color="auto"/>
        <w:right w:val="none" w:sz="0" w:space="0" w:color="auto"/>
      </w:divBdr>
    </w:div>
    <w:div w:id="1445887426">
      <w:bodyDiv w:val="1"/>
      <w:marLeft w:val="0"/>
      <w:marRight w:val="0"/>
      <w:marTop w:val="0"/>
      <w:marBottom w:val="0"/>
      <w:divBdr>
        <w:top w:val="none" w:sz="0" w:space="0" w:color="auto"/>
        <w:left w:val="none" w:sz="0" w:space="0" w:color="auto"/>
        <w:bottom w:val="none" w:sz="0" w:space="0" w:color="auto"/>
        <w:right w:val="none" w:sz="0" w:space="0" w:color="auto"/>
      </w:divBdr>
    </w:div>
    <w:div w:id="1458599801">
      <w:bodyDiv w:val="1"/>
      <w:marLeft w:val="0"/>
      <w:marRight w:val="0"/>
      <w:marTop w:val="0"/>
      <w:marBottom w:val="0"/>
      <w:divBdr>
        <w:top w:val="none" w:sz="0" w:space="0" w:color="auto"/>
        <w:left w:val="none" w:sz="0" w:space="0" w:color="auto"/>
        <w:bottom w:val="none" w:sz="0" w:space="0" w:color="auto"/>
        <w:right w:val="none" w:sz="0" w:space="0" w:color="auto"/>
      </w:divBdr>
    </w:div>
    <w:div w:id="1543832513">
      <w:bodyDiv w:val="1"/>
      <w:marLeft w:val="0"/>
      <w:marRight w:val="0"/>
      <w:marTop w:val="0"/>
      <w:marBottom w:val="0"/>
      <w:divBdr>
        <w:top w:val="none" w:sz="0" w:space="0" w:color="auto"/>
        <w:left w:val="none" w:sz="0" w:space="0" w:color="auto"/>
        <w:bottom w:val="none" w:sz="0" w:space="0" w:color="auto"/>
        <w:right w:val="none" w:sz="0" w:space="0" w:color="auto"/>
      </w:divBdr>
    </w:div>
    <w:div w:id="1552499550">
      <w:bodyDiv w:val="1"/>
      <w:marLeft w:val="0"/>
      <w:marRight w:val="0"/>
      <w:marTop w:val="0"/>
      <w:marBottom w:val="0"/>
      <w:divBdr>
        <w:top w:val="none" w:sz="0" w:space="0" w:color="auto"/>
        <w:left w:val="none" w:sz="0" w:space="0" w:color="auto"/>
        <w:bottom w:val="none" w:sz="0" w:space="0" w:color="auto"/>
        <w:right w:val="none" w:sz="0" w:space="0" w:color="auto"/>
      </w:divBdr>
    </w:div>
    <w:div w:id="1570312090">
      <w:bodyDiv w:val="1"/>
      <w:marLeft w:val="0"/>
      <w:marRight w:val="0"/>
      <w:marTop w:val="0"/>
      <w:marBottom w:val="0"/>
      <w:divBdr>
        <w:top w:val="none" w:sz="0" w:space="0" w:color="auto"/>
        <w:left w:val="none" w:sz="0" w:space="0" w:color="auto"/>
        <w:bottom w:val="none" w:sz="0" w:space="0" w:color="auto"/>
        <w:right w:val="none" w:sz="0" w:space="0" w:color="auto"/>
      </w:divBdr>
    </w:div>
    <w:div w:id="1603949438">
      <w:bodyDiv w:val="1"/>
      <w:marLeft w:val="0"/>
      <w:marRight w:val="0"/>
      <w:marTop w:val="0"/>
      <w:marBottom w:val="0"/>
      <w:divBdr>
        <w:top w:val="none" w:sz="0" w:space="0" w:color="auto"/>
        <w:left w:val="none" w:sz="0" w:space="0" w:color="auto"/>
        <w:bottom w:val="none" w:sz="0" w:space="0" w:color="auto"/>
        <w:right w:val="none" w:sz="0" w:space="0" w:color="auto"/>
      </w:divBdr>
    </w:div>
    <w:div w:id="1619604925">
      <w:bodyDiv w:val="1"/>
      <w:marLeft w:val="0"/>
      <w:marRight w:val="0"/>
      <w:marTop w:val="0"/>
      <w:marBottom w:val="0"/>
      <w:divBdr>
        <w:top w:val="none" w:sz="0" w:space="0" w:color="auto"/>
        <w:left w:val="none" w:sz="0" w:space="0" w:color="auto"/>
        <w:bottom w:val="none" w:sz="0" w:space="0" w:color="auto"/>
        <w:right w:val="none" w:sz="0" w:space="0" w:color="auto"/>
      </w:divBdr>
      <w:divsChild>
        <w:div w:id="1412235613">
          <w:marLeft w:val="0"/>
          <w:marRight w:val="0"/>
          <w:marTop w:val="0"/>
          <w:marBottom w:val="0"/>
          <w:divBdr>
            <w:top w:val="none" w:sz="0" w:space="0" w:color="auto"/>
            <w:left w:val="none" w:sz="0" w:space="0" w:color="auto"/>
            <w:bottom w:val="none" w:sz="0" w:space="0" w:color="auto"/>
            <w:right w:val="none" w:sz="0" w:space="0" w:color="auto"/>
          </w:divBdr>
          <w:divsChild>
            <w:div w:id="1836069820">
              <w:marLeft w:val="0"/>
              <w:marRight w:val="0"/>
              <w:marTop w:val="0"/>
              <w:marBottom w:val="0"/>
              <w:divBdr>
                <w:top w:val="none" w:sz="0" w:space="0" w:color="auto"/>
                <w:left w:val="none" w:sz="0" w:space="0" w:color="auto"/>
                <w:bottom w:val="none" w:sz="0" w:space="0" w:color="auto"/>
                <w:right w:val="none" w:sz="0" w:space="0" w:color="auto"/>
              </w:divBdr>
              <w:divsChild>
                <w:div w:id="1583952378">
                  <w:marLeft w:val="0"/>
                  <w:marRight w:val="0"/>
                  <w:marTop w:val="0"/>
                  <w:marBottom w:val="0"/>
                  <w:divBdr>
                    <w:top w:val="none" w:sz="0" w:space="0" w:color="auto"/>
                    <w:left w:val="none" w:sz="0" w:space="0" w:color="auto"/>
                    <w:bottom w:val="none" w:sz="0" w:space="0" w:color="auto"/>
                    <w:right w:val="none" w:sz="0" w:space="0" w:color="auto"/>
                  </w:divBdr>
                  <w:divsChild>
                    <w:div w:id="1908223041">
                      <w:marLeft w:val="0"/>
                      <w:marRight w:val="0"/>
                      <w:marTop w:val="0"/>
                      <w:marBottom w:val="0"/>
                      <w:divBdr>
                        <w:top w:val="none" w:sz="0" w:space="0" w:color="auto"/>
                        <w:left w:val="none" w:sz="0" w:space="0" w:color="auto"/>
                        <w:bottom w:val="none" w:sz="0" w:space="0" w:color="auto"/>
                        <w:right w:val="none" w:sz="0" w:space="0" w:color="auto"/>
                      </w:divBdr>
                      <w:divsChild>
                        <w:div w:id="2026864628">
                          <w:marLeft w:val="0"/>
                          <w:marRight w:val="0"/>
                          <w:marTop w:val="0"/>
                          <w:marBottom w:val="0"/>
                          <w:divBdr>
                            <w:top w:val="none" w:sz="0" w:space="0" w:color="auto"/>
                            <w:left w:val="none" w:sz="0" w:space="0" w:color="auto"/>
                            <w:bottom w:val="none" w:sz="0" w:space="0" w:color="auto"/>
                            <w:right w:val="none" w:sz="0" w:space="0" w:color="auto"/>
                          </w:divBdr>
                          <w:divsChild>
                            <w:div w:id="1345324099">
                              <w:marLeft w:val="0"/>
                              <w:marRight w:val="0"/>
                              <w:marTop w:val="0"/>
                              <w:marBottom w:val="0"/>
                              <w:divBdr>
                                <w:top w:val="none" w:sz="0" w:space="0" w:color="auto"/>
                                <w:left w:val="none" w:sz="0" w:space="0" w:color="auto"/>
                                <w:bottom w:val="none" w:sz="0" w:space="0" w:color="auto"/>
                                <w:right w:val="none" w:sz="0" w:space="0" w:color="auto"/>
                              </w:divBdr>
                              <w:divsChild>
                                <w:div w:id="833492872">
                                  <w:marLeft w:val="0"/>
                                  <w:marRight w:val="0"/>
                                  <w:marTop w:val="0"/>
                                  <w:marBottom w:val="0"/>
                                  <w:divBdr>
                                    <w:top w:val="none" w:sz="0" w:space="0" w:color="auto"/>
                                    <w:left w:val="none" w:sz="0" w:space="0" w:color="auto"/>
                                    <w:bottom w:val="none" w:sz="0" w:space="0" w:color="auto"/>
                                    <w:right w:val="none" w:sz="0" w:space="0" w:color="auto"/>
                                  </w:divBdr>
                                  <w:divsChild>
                                    <w:div w:id="588199190">
                                      <w:marLeft w:val="-240"/>
                                      <w:marRight w:val="-240"/>
                                      <w:marTop w:val="0"/>
                                      <w:marBottom w:val="0"/>
                                      <w:divBdr>
                                        <w:top w:val="none" w:sz="0" w:space="0" w:color="auto"/>
                                        <w:left w:val="none" w:sz="0" w:space="0" w:color="auto"/>
                                        <w:bottom w:val="none" w:sz="0" w:space="0" w:color="auto"/>
                                        <w:right w:val="none" w:sz="0" w:space="0" w:color="auto"/>
                                      </w:divBdr>
                                      <w:divsChild>
                                        <w:div w:id="450781522">
                                          <w:marLeft w:val="0"/>
                                          <w:marRight w:val="0"/>
                                          <w:marTop w:val="0"/>
                                          <w:marBottom w:val="0"/>
                                          <w:divBdr>
                                            <w:top w:val="none" w:sz="0" w:space="0" w:color="auto"/>
                                            <w:left w:val="none" w:sz="0" w:space="0" w:color="auto"/>
                                            <w:bottom w:val="none" w:sz="0" w:space="0" w:color="auto"/>
                                            <w:right w:val="none" w:sz="0" w:space="0" w:color="auto"/>
                                          </w:divBdr>
                                          <w:divsChild>
                                            <w:div w:id="771438503">
                                              <w:marLeft w:val="0"/>
                                              <w:marRight w:val="0"/>
                                              <w:marTop w:val="0"/>
                                              <w:marBottom w:val="0"/>
                                              <w:divBdr>
                                                <w:top w:val="none" w:sz="0" w:space="0" w:color="auto"/>
                                                <w:left w:val="none" w:sz="0" w:space="0" w:color="auto"/>
                                                <w:bottom w:val="none" w:sz="0" w:space="0" w:color="auto"/>
                                                <w:right w:val="none" w:sz="0" w:space="0" w:color="auto"/>
                                              </w:divBdr>
                                              <w:divsChild>
                                                <w:div w:id="624847020">
                                                  <w:marLeft w:val="0"/>
                                                  <w:marRight w:val="0"/>
                                                  <w:marTop w:val="0"/>
                                                  <w:marBottom w:val="0"/>
                                                  <w:divBdr>
                                                    <w:top w:val="none" w:sz="0" w:space="0" w:color="auto"/>
                                                    <w:left w:val="none" w:sz="0" w:space="0" w:color="auto"/>
                                                    <w:bottom w:val="none" w:sz="0" w:space="0" w:color="auto"/>
                                                    <w:right w:val="none" w:sz="0" w:space="0" w:color="auto"/>
                                                  </w:divBdr>
                                                  <w:divsChild>
                                                    <w:div w:id="1989941874">
                                                      <w:marLeft w:val="0"/>
                                                      <w:marRight w:val="0"/>
                                                      <w:marTop w:val="0"/>
                                                      <w:marBottom w:val="0"/>
                                                      <w:divBdr>
                                                        <w:top w:val="none" w:sz="0" w:space="0" w:color="auto"/>
                                                        <w:left w:val="none" w:sz="0" w:space="0" w:color="auto"/>
                                                        <w:bottom w:val="none" w:sz="0" w:space="0" w:color="auto"/>
                                                        <w:right w:val="none" w:sz="0" w:space="0" w:color="auto"/>
                                                      </w:divBdr>
                                                      <w:divsChild>
                                                        <w:div w:id="399065182">
                                                          <w:marLeft w:val="0"/>
                                                          <w:marRight w:val="0"/>
                                                          <w:marTop w:val="0"/>
                                                          <w:marBottom w:val="300"/>
                                                          <w:divBdr>
                                                            <w:top w:val="none" w:sz="0" w:space="0" w:color="auto"/>
                                                            <w:left w:val="none" w:sz="0" w:space="0" w:color="auto"/>
                                                            <w:bottom w:val="none" w:sz="0" w:space="0" w:color="auto"/>
                                                            <w:right w:val="none" w:sz="0" w:space="0" w:color="auto"/>
                                                          </w:divBdr>
                                                          <w:divsChild>
                                                            <w:div w:id="276523586">
                                                              <w:marLeft w:val="0"/>
                                                              <w:marRight w:val="0"/>
                                                              <w:marTop w:val="0"/>
                                                              <w:marBottom w:val="0"/>
                                                              <w:divBdr>
                                                                <w:top w:val="none" w:sz="0" w:space="0" w:color="auto"/>
                                                                <w:left w:val="none" w:sz="0" w:space="0" w:color="auto"/>
                                                                <w:bottom w:val="none" w:sz="0" w:space="0" w:color="auto"/>
                                                                <w:right w:val="none" w:sz="0" w:space="0" w:color="auto"/>
                                                              </w:divBdr>
                                                              <w:divsChild>
                                                                <w:div w:id="1312518246">
                                                                  <w:marLeft w:val="0"/>
                                                                  <w:marRight w:val="0"/>
                                                                  <w:marTop w:val="0"/>
                                                                  <w:marBottom w:val="0"/>
                                                                  <w:divBdr>
                                                                    <w:top w:val="none" w:sz="0" w:space="0" w:color="auto"/>
                                                                    <w:left w:val="none" w:sz="0" w:space="0" w:color="auto"/>
                                                                    <w:bottom w:val="none" w:sz="0" w:space="0" w:color="auto"/>
                                                                    <w:right w:val="none" w:sz="0" w:space="0" w:color="auto"/>
                                                                  </w:divBdr>
                                                                  <w:divsChild>
                                                                    <w:div w:id="1787309184">
                                                                      <w:marLeft w:val="0"/>
                                                                      <w:marRight w:val="0"/>
                                                                      <w:marTop w:val="0"/>
                                                                      <w:marBottom w:val="0"/>
                                                                      <w:divBdr>
                                                                        <w:top w:val="none" w:sz="0" w:space="0" w:color="auto"/>
                                                                        <w:left w:val="none" w:sz="0" w:space="0" w:color="auto"/>
                                                                        <w:bottom w:val="none" w:sz="0" w:space="0" w:color="auto"/>
                                                                        <w:right w:val="none" w:sz="0" w:space="0" w:color="auto"/>
                                                                      </w:divBdr>
                                                                      <w:divsChild>
                                                                        <w:div w:id="1520124248">
                                                                          <w:marLeft w:val="0"/>
                                                                          <w:marRight w:val="0"/>
                                                                          <w:marTop w:val="0"/>
                                                                          <w:marBottom w:val="0"/>
                                                                          <w:divBdr>
                                                                            <w:top w:val="none" w:sz="0" w:space="0" w:color="auto"/>
                                                                            <w:left w:val="none" w:sz="0" w:space="0" w:color="auto"/>
                                                                            <w:bottom w:val="none" w:sz="0" w:space="0" w:color="auto"/>
                                                                            <w:right w:val="none" w:sz="0" w:space="0" w:color="auto"/>
                                                                          </w:divBdr>
                                                                          <w:divsChild>
                                                                            <w:div w:id="2114396138">
                                                                              <w:marLeft w:val="0"/>
                                                                              <w:marRight w:val="0"/>
                                                                              <w:marTop w:val="0"/>
                                                                              <w:marBottom w:val="0"/>
                                                                              <w:divBdr>
                                                                                <w:top w:val="none" w:sz="0" w:space="0" w:color="auto"/>
                                                                                <w:left w:val="none" w:sz="0" w:space="0" w:color="auto"/>
                                                                                <w:bottom w:val="none" w:sz="0" w:space="0" w:color="auto"/>
                                                                                <w:right w:val="none" w:sz="0" w:space="0" w:color="auto"/>
                                                                              </w:divBdr>
                                                                              <w:divsChild>
                                                                                <w:div w:id="1738934189">
                                                                                  <w:marLeft w:val="0"/>
                                                                                  <w:marRight w:val="0"/>
                                                                                  <w:marTop w:val="0"/>
                                                                                  <w:marBottom w:val="0"/>
                                                                                  <w:divBdr>
                                                                                    <w:top w:val="none" w:sz="0" w:space="0" w:color="auto"/>
                                                                                    <w:left w:val="none" w:sz="0" w:space="0" w:color="auto"/>
                                                                                    <w:bottom w:val="none" w:sz="0" w:space="0" w:color="auto"/>
                                                                                    <w:right w:val="none" w:sz="0" w:space="0" w:color="auto"/>
                                                                                  </w:divBdr>
                                                                                  <w:divsChild>
                                                                                    <w:div w:id="260721005">
                                                                                      <w:marLeft w:val="-240"/>
                                                                                      <w:marRight w:val="-240"/>
                                                                                      <w:marTop w:val="0"/>
                                                                                      <w:marBottom w:val="0"/>
                                                                                      <w:divBdr>
                                                                                        <w:top w:val="none" w:sz="0" w:space="0" w:color="auto"/>
                                                                                        <w:left w:val="none" w:sz="0" w:space="0" w:color="auto"/>
                                                                                        <w:bottom w:val="none" w:sz="0" w:space="0" w:color="auto"/>
                                                                                        <w:right w:val="none" w:sz="0" w:space="0" w:color="auto"/>
                                                                                      </w:divBdr>
                                                                                      <w:divsChild>
                                                                                        <w:div w:id="125702946">
                                                                                          <w:marLeft w:val="0"/>
                                                                                          <w:marRight w:val="0"/>
                                                                                          <w:marTop w:val="0"/>
                                                                                          <w:marBottom w:val="0"/>
                                                                                          <w:divBdr>
                                                                                            <w:top w:val="none" w:sz="0" w:space="0" w:color="auto"/>
                                                                                            <w:left w:val="none" w:sz="0" w:space="0" w:color="auto"/>
                                                                                            <w:bottom w:val="none" w:sz="0" w:space="0" w:color="auto"/>
                                                                                            <w:right w:val="none" w:sz="0" w:space="0" w:color="auto"/>
                                                                                          </w:divBdr>
                                                                                          <w:divsChild>
                                                                                            <w:div w:id="4435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327532">
      <w:bodyDiv w:val="1"/>
      <w:marLeft w:val="0"/>
      <w:marRight w:val="0"/>
      <w:marTop w:val="0"/>
      <w:marBottom w:val="0"/>
      <w:divBdr>
        <w:top w:val="none" w:sz="0" w:space="0" w:color="auto"/>
        <w:left w:val="none" w:sz="0" w:space="0" w:color="auto"/>
        <w:bottom w:val="none" w:sz="0" w:space="0" w:color="auto"/>
        <w:right w:val="none" w:sz="0" w:space="0" w:color="auto"/>
      </w:divBdr>
    </w:div>
    <w:div w:id="1637685200">
      <w:bodyDiv w:val="1"/>
      <w:marLeft w:val="0"/>
      <w:marRight w:val="0"/>
      <w:marTop w:val="0"/>
      <w:marBottom w:val="0"/>
      <w:divBdr>
        <w:top w:val="none" w:sz="0" w:space="0" w:color="auto"/>
        <w:left w:val="none" w:sz="0" w:space="0" w:color="auto"/>
        <w:bottom w:val="none" w:sz="0" w:space="0" w:color="auto"/>
        <w:right w:val="none" w:sz="0" w:space="0" w:color="auto"/>
      </w:divBdr>
    </w:div>
    <w:div w:id="1650590625">
      <w:bodyDiv w:val="1"/>
      <w:marLeft w:val="0"/>
      <w:marRight w:val="0"/>
      <w:marTop w:val="0"/>
      <w:marBottom w:val="0"/>
      <w:divBdr>
        <w:top w:val="none" w:sz="0" w:space="0" w:color="auto"/>
        <w:left w:val="none" w:sz="0" w:space="0" w:color="auto"/>
        <w:bottom w:val="none" w:sz="0" w:space="0" w:color="auto"/>
        <w:right w:val="none" w:sz="0" w:space="0" w:color="auto"/>
      </w:divBdr>
    </w:div>
    <w:div w:id="1669866963">
      <w:bodyDiv w:val="1"/>
      <w:marLeft w:val="0"/>
      <w:marRight w:val="0"/>
      <w:marTop w:val="0"/>
      <w:marBottom w:val="0"/>
      <w:divBdr>
        <w:top w:val="none" w:sz="0" w:space="0" w:color="auto"/>
        <w:left w:val="none" w:sz="0" w:space="0" w:color="auto"/>
        <w:bottom w:val="none" w:sz="0" w:space="0" w:color="auto"/>
        <w:right w:val="none" w:sz="0" w:space="0" w:color="auto"/>
      </w:divBdr>
    </w:div>
    <w:div w:id="1683699155">
      <w:bodyDiv w:val="1"/>
      <w:marLeft w:val="0"/>
      <w:marRight w:val="0"/>
      <w:marTop w:val="0"/>
      <w:marBottom w:val="0"/>
      <w:divBdr>
        <w:top w:val="none" w:sz="0" w:space="0" w:color="auto"/>
        <w:left w:val="none" w:sz="0" w:space="0" w:color="auto"/>
        <w:bottom w:val="none" w:sz="0" w:space="0" w:color="auto"/>
        <w:right w:val="none" w:sz="0" w:space="0" w:color="auto"/>
      </w:divBdr>
    </w:div>
    <w:div w:id="1691561762">
      <w:bodyDiv w:val="1"/>
      <w:marLeft w:val="0"/>
      <w:marRight w:val="0"/>
      <w:marTop w:val="0"/>
      <w:marBottom w:val="0"/>
      <w:divBdr>
        <w:top w:val="none" w:sz="0" w:space="0" w:color="auto"/>
        <w:left w:val="none" w:sz="0" w:space="0" w:color="auto"/>
        <w:bottom w:val="none" w:sz="0" w:space="0" w:color="auto"/>
        <w:right w:val="none" w:sz="0" w:space="0" w:color="auto"/>
      </w:divBdr>
    </w:div>
    <w:div w:id="1706755381">
      <w:bodyDiv w:val="1"/>
      <w:marLeft w:val="0"/>
      <w:marRight w:val="0"/>
      <w:marTop w:val="0"/>
      <w:marBottom w:val="0"/>
      <w:divBdr>
        <w:top w:val="none" w:sz="0" w:space="0" w:color="auto"/>
        <w:left w:val="none" w:sz="0" w:space="0" w:color="auto"/>
        <w:bottom w:val="none" w:sz="0" w:space="0" w:color="auto"/>
        <w:right w:val="none" w:sz="0" w:space="0" w:color="auto"/>
      </w:divBdr>
    </w:div>
    <w:div w:id="1717586834">
      <w:bodyDiv w:val="1"/>
      <w:marLeft w:val="0"/>
      <w:marRight w:val="0"/>
      <w:marTop w:val="0"/>
      <w:marBottom w:val="0"/>
      <w:divBdr>
        <w:top w:val="none" w:sz="0" w:space="0" w:color="auto"/>
        <w:left w:val="none" w:sz="0" w:space="0" w:color="auto"/>
        <w:bottom w:val="none" w:sz="0" w:space="0" w:color="auto"/>
        <w:right w:val="none" w:sz="0" w:space="0" w:color="auto"/>
      </w:divBdr>
      <w:divsChild>
        <w:div w:id="991983834">
          <w:marLeft w:val="0"/>
          <w:marRight w:val="0"/>
          <w:marTop w:val="900"/>
          <w:marBottom w:val="900"/>
          <w:divBdr>
            <w:top w:val="single" w:sz="6" w:space="0" w:color="E3E3E3"/>
            <w:left w:val="single" w:sz="6" w:space="0" w:color="E3E3E3"/>
            <w:bottom w:val="single" w:sz="6" w:space="0" w:color="E3E3E3"/>
            <w:right w:val="single" w:sz="6" w:space="0" w:color="E3E3E3"/>
          </w:divBdr>
          <w:divsChild>
            <w:div w:id="1204368342">
              <w:marLeft w:val="0"/>
              <w:marRight w:val="0"/>
              <w:marTop w:val="0"/>
              <w:marBottom w:val="0"/>
              <w:divBdr>
                <w:top w:val="none" w:sz="0" w:space="0" w:color="auto"/>
                <w:left w:val="none" w:sz="0" w:space="0" w:color="auto"/>
                <w:bottom w:val="none" w:sz="0" w:space="0" w:color="auto"/>
                <w:right w:val="none" w:sz="0" w:space="0" w:color="auto"/>
              </w:divBdr>
              <w:divsChild>
                <w:div w:id="968366267">
                  <w:marLeft w:val="0"/>
                  <w:marRight w:val="0"/>
                  <w:marTop w:val="0"/>
                  <w:marBottom w:val="0"/>
                  <w:divBdr>
                    <w:top w:val="none" w:sz="0" w:space="0" w:color="auto"/>
                    <w:left w:val="none" w:sz="0" w:space="0" w:color="auto"/>
                    <w:bottom w:val="none" w:sz="0" w:space="0" w:color="auto"/>
                    <w:right w:val="none" w:sz="0" w:space="0" w:color="auto"/>
                  </w:divBdr>
                  <w:divsChild>
                    <w:div w:id="15789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55456">
      <w:bodyDiv w:val="1"/>
      <w:marLeft w:val="0"/>
      <w:marRight w:val="0"/>
      <w:marTop w:val="0"/>
      <w:marBottom w:val="0"/>
      <w:divBdr>
        <w:top w:val="none" w:sz="0" w:space="0" w:color="auto"/>
        <w:left w:val="none" w:sz="0" w:space="0" w:color="auto"/>
        <w:bottom w:val="none" w:sz="0" w:space="0" w:color="auto"/>
        <w:right w:val="none" w:sz="0" w:space="0" w:color="auto"/>
      </w:divBdr>
      <w:divsChild>
        <w:div w:id="1115179576">
          <w:marLeft w:val="0"/>
          <w:marRight w:val="0"/>
          <w:marTop w:val="0"/>
          <w:marBottom w:val="0"/>
          <w:divBdr>
            <w:top w:val="none" w:sz="0" w:space="0" w:color="auto"/>
            <w:left w:val="none" w:sz="0" w:space="0" w:color="auto"/>
            <w:bottom w:val="none" w:sz="0" w:space="0" w:color="auto"/>
            <w:right w:val="none" w:sz="0" w:space="0" w:color="auto"/>
          </w:divBdr>
          <w:divsChild>
            <w:div w:id="1966306854">
              <w:marLeft w:val="0"/>
              <w:marRight w:val="0"/>
              <w:marTop w:val="630"/>
              <w:marBottom w:val="150"/>
              <w:divBdr>
                <w:top w:val="none" w:sz="0" w:space="0" w:color="auto"/>
                <w:left w:val="none" w:sz="0" w:space="0" w:color="auto"/>
                <w:bottom w:val="none" w:sz="0" w:space="0" w:color="auto"/>
                <w:right w:val="none" w:sz="0" w:space="0" w:color="auto"/>
              </w:divBdr>
              <w:divsChild>
                <w:div w:id="346299440">
                  <w:marLeft w:val="-375"/>
                  <w:marRight w:val="-375"/>
                  <w:marTop w:val="0"/>
                  <w:marBottom w:val="0"/>
                  <w:divBdr>
                    <w:top w:val="none" w:sz="0" w:space="0" w:color="auto"/>
                    <w:left w:val="none" w:sz="0" w:space="0" w:color="auto"/>
                    <w:bottom w:val="none" w:sz="0" w:space="0" w:color="auto"/>
                    <w:right w:val="none" w:sz="0" w:space="0" w:color="auto"/>
                  </w:divBdr>
                  <w:divsChild>
                    <w:div w:id="910194113">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sChild>
                            <w:div w:id="1088968164">
                              <w:marLeft w:val="0"/>
                              <w:marRight w:val="0"/>
                              <w:marTop w:val="0"/>
                              <w:marBottom w:val="0"/>
                              <w:divBdr>
                                <w:top w:val="none" w:sz="0" w:space="0" w:color="auto"/>
                                <w:left w:val="none" w:sz="0" w:space="0" w:color="auto"/>
                                <w:bottom w:val="none" w:sz="0" w:space="0" w:color="auto"/>
                                <w:right w:val="none" w:sz="0" w:space="0" w:color="auto"/>
                              </w:divBdr>
                              <w:divsChild>
                                <w:div w:id="1142966532">
                                  <w:marLeft w:val="0"/>
                                  <w:marRight w:val="0"/>
                                  <w:marTop w:val="0"/>
                                  <w:marBottom w:val="0"/>
                                  <w:divBdr>
                                    <w:top w:val="none" w:sz="0" w:space="0" w:color="auto"/>
                                    <w:left w:val="none" w:sz="0" w:space="0" w:color="auto"/>
                                    <w:bottom w:val="none" w:sz="0" w:space="0" w:color="auto"/>
                                    <w:right w:val="none" w:sz="0" w:space="0" w:color="auto"/>
                                  </w:divBdr>
                                  <w:divsChild>
                                    <w:div w:id="5165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374903">
      <w:bodyDiv w:val="1"/>
      <w:marLeft w:val="0"/>
      <w:marRight w:val="0"/>
      <w:marTop w:val="0"/>
      <w:marBottom w:val="0"/>
      <w:divBdr>
        <w:top w:val="none" w:sz="0" w:space="0" w:color="auto"/>
        <w:left w:val="none" w:sz="0" w:space="0" w:color="auto"/>
        <w:bottom w:val="none" w:sz="0" w:space="0" w:color="auto"/>
        <w:right w:val="none" w:sz="0" w:space="0" w:color="auto"/>
      </w:divBdr>
    </w:div>
    <w:div w:id="1741560683">
      <w:bodyDiv w:val="1"/>
      <w:marLeft w:val="0"/>
      <w:marRight w:val="0"/>
      <w:marTop w:val="0"/>
      <w:marBottom w:val="0"/>
      <w:divBdr>
        <w:top w:val="none" w:sz="0" w:space="0" w:color="auto"/>
        <w:left w:val="none" w:sz="0" w:space="0" w:color="auto"/>
        <w:bottom w:val="none" w:sz="0" w:space="0" w:color="auto"/>
        <w:right w:val="none" w:sz="0" w:space="0" w:color="auto"/>
      </w:divBdr>
    </w:div>
    <w:div w:id="1742632599">
      <w:bodyDiv w:val="1"/>
      <w:marLeft w:val="0"/>
      <w:marRight w:val="0"/>
      <w:marTop w:val="0"/>
      <w:marBottom w:val="0"/>
      <w:divBdr>
        <w:top w:val="none" w:sz="0" w:space="0" w:color="auto"/>
        <w:left w:val="none" w:sz="0" w:space="0" w:color="auto"/>
        <w:bottom w:val="none" w:sz="0" w:space="0" w:color="auto"/>
        <w:right w:val="none" w:sz="0" w:space="0" w:color="auto"/>
      </w:divBdr>
    </w:div>
    <w:div w:id="1803231557">
      <w:bodyDiv w:val="1"/>
      <w:marLeft w:val="0"/>
      <w:marRight w:val="0"/>
      <w:marTop w:val="0"/>
      <w:marBottom w:val="0"/>
      <w:divBdr>
        <w:top w:val="none" w:sz="0" w:space="0" w:color="auto"/>
        <w:left w:val="none" w:sz="0" w:space="0" w:color="auto"/>
        <w:bottom w:val="none" w:sz="0" w:space="0" w:color="auto"/>
        <w:right w:val="none" w:sz="0" w:space="0" w:color="auto"/>
      </w:divBdr>
    </w:div>
    <w:div w:id="1844777903">
      <w:bodyDiv w:val="1"/>
      <w:marLeft w:val="0"/>
      <w:marRight w:val="0"/>
      <w:marTop w:val="0"/>
      <w:marBottom w:val="0"/>
      <w:divBdr>
        <w:top w:val="none" w:sz="0" w:space="0" w:color="auto"/>
        <w:left w:val="none" w:sz="0" w:space="0" w:color="auto"/>
        <w:bottom w:val="none" w:sz="0" w:space="0" w:color="auto"/>
        <w:right w:val="none" w:sz="0" w:space="0" w:color="auto"/>
      </w:divBdr>
    </w:div>
    <w:div w:id="1865242173">
      <w:bodyDiv w:val="1"/>
      <w:marLeft w:val="0"/>
      <w:marRight w:val="0"/>
      <w:marTop w:val="0"/>
      <w:marBottom w:val="0"/>
      <w:divBdr>
        <w:top w:val="none" w:sz="0" w:space="0" w:color="auto"/>
        <w:left w:val="none" w:sz="0" w:space="0" w:color="auto"/>
        <w:bottom w:val="none" w:sz="0" w:space="0" w:color="auto"/>
        <w:right w:val="none" w:sz="0" w:space="0" w:color="auto"/>
      </w:divBdr>
      <w:divsChild>
        <w:div w:id="513881251">
          <w:marLeft w:val="0"/>
          <w:marRight w:val="0"/>
          <w:marTop w:val="900"/>
          <w:marBottom w:val="900"/>
          <w:divBdr>
            <w:top w:val="single" w:sz="6" w:space="0" w:color="E3E3E3"/>
            <w:left w:val="single" w:sz="6" w:space="0" w:color="E3E3E3"/>
            <w:bottom w:val="single" w:sz="6" w:space="0" w:color="E3E3E3"/>
            <w:right w:val="single" w:sz="6" w:space="0" w:color="E3E3E3"/>
          </w:divBdr>
          <w:divsChild>
            <w:div w:id="1137719791">
              <w:marLeft w:val="0"/>
              <w:marRight w:val="0"/>
              <w:marTop w:val="0"/>
              <w:marBottom w:val="0"/>
              <w:divBdr>
                <w:top w:val="none" w:sz="0" w:space="0" w:color="auto"/>
                <w:left w:val="none" w:sz="0" w:space="0" w:color="auto"/>
                <w:bottom w:val="none" w:sz="0" w:space="0" w:color="auto"/>
                <w:right w:val="none" w:sz="0" w:space="0" w:color="auto"/>
              </w:divBdr>
              <w:divsChild>
                <w:div w:id="458570918">
                  <w:marLeft w:val="0"/>
                  <w:marRight w:val="0"/>
                  <w:marTop w:val="0"/>
                  <w:marBottom w:val="0"/>
                  <w:divBdr>
                    <w:top w:val="none" w:sz="0" w:space="0" w:color="auto"/>
                    <w:left w:val="none" w:sz="0" w:space="0" w:color="auto"/>
                    <w:bottom w:val="none" w:sz="0" w:space="0" w:color="auto"/>
                    <w:right w:val="none" w:sz="0" w:space="0" w:color="auto"/>
                  </w:divBdr>
                  <w:divsChild>
                    <w:div w:id="8196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16406">
      <w:bodyDiv w:val="1"/>
      <w:marLeft w:val="0"/>
      <w:marRight w:val="0"/>
      <w:marTop w:val="0"/>
      <w:marBottom w:val="0"/>
      <w:divBdr>
        <w:top w:val="none" w:sz="0" w:space="0" w:color="auto"/>
        <w:left w:val="none" w:sz="0" w:space="0" w:color="auto"/>
        <w:bottom w:val="none" w:sz="0" w:space="0" w:color="auto"/>
        <w:right w:val="none" w:sz="0" w:space="0" w:color="auto"/>
      </w:divBdr>
    </w:div>
    <w:div w:id="1936550720">
      <w:bodyDiv w:val="1"/>
      <w:marLeft w:val="0"/>
      <w:marRight w:val="0"/>
      <w:marTop w:val="0"/>
      <w:marBottom w:val="0"/>
      <w:divBdr>
        <w:top w:val="none" w:sz="0" w:space="0" w:color="auto"/>
        <w:left w:val="none" w:sz="0" w:space="0" w:color="auto"/>
        <w:bottom w:val="none" w:sz="0" w:space="0" w:color="auto"/>
        <w:right w:val="none" w:sz="0" w:space="0" w:color="auto"/>
      </w:divBdr>
      <w:divsChild>
        <w:div w:id="2019505002">
          <w:marLeft w:val="0"/>
          <w:marRight w:val="0"/>
          <w:marTop w:val="0"/>
          <w:marBottom w:val="0"/>
          <w:divBdr>
            <w:top w:val="none" w:sz="0" w:space="0" w:color="auto"/>
            <w:left w:val="none" w:sz="0" w:space="0" w:color="auto"/>
            <w:bottom w:val="none" w:sz="0" w:space="0" w:color="auto"/>
            <w:right w:val="none" w:sz="0" w:space="0" w:color="auto"/>
          </w:divBdr>
          <w:divsChild>
            <w:div w:id="1784836277">
              <w:marLeft w:val="0"/>
              <w:marRight w:val="0"/>
              <w:marTop w:val="0"/>
              <w:marBottom w:val="0"/>
              <w:divBdr>
                <w:top w:val="none" w:sz="0" w:space="0" w:color="auto"/>
                <w:left w:val="none" w:sz="0" w:space="0" w:color="auto"/>
                <w:bottom w:val="none" w:sz="0" w:space="0" w:color="auto"/>
                <w:right w:val="none" w:sz="0" w:space="0" w:color="auto"/>
              </w:divBdr>
              <w:divsChild>
                <w:div w:id="201721175">
                  <w:marLeft w:val="0"/>
                  <w:marRight w:val="0"/>
                  <w:marTop w:val="0"/>
                  <w:marBottom w:val="0"/>
                  <w:divBdr>
                    <w:top w:val="none" w:sz="0" w:space="0" w:color="auto"/>
                    <w:left w:val="none" w:sz="0" w:space="0" w:color="auto"/>
                    <w:bottom w:val="none" w:sz="0" w:space="0" w:color="auto"/>
                    <w:right w:val="none" w:sz="0" w:space="0" w:color="auto"/>
                  </w:divBdr>
                  <w:divsChild>
                    <w:div w:id="848298428">
                      <w:marLeft w:val="0"/>
                      <w:marRight w:val="0"/>
                      <w:marTop w:val="0"/>
                      <w:marBottom w:val="0"/>
                      <w:divBdr>
                        <w:top w:val="none" w:sz="0" w:space="0" w:color="auto"/>
                        <w:left w:val="none" w:sz="0" w:space="0" w:color="auto"/>
                        <w:bottom w:val="none" w:sz="0" w:space="0" w:color="auto"/>
                        <w:right w:val="none" w:sz="0" w:space="0" w:color="auto"/>
                      </w:divBdr>
                      <w:divsChild>
                        <w:div w:id="681081005">
                          <w:marLeft w:val="13380"/>
                          <w:marRight w:val="0"/>
                          <w:marTop w:val="0"/>
                          <w:marBottom w:val="0"/>
                          <w:divBdr>
                            <w:top w:val="none" w:sz="0" w:space="0" w:color="auto"/>
                            <w:left w:val="none" w:sz="0" w:space="0" w:color="auto"/>
                            <w:bottom w:val="none" w:sz="0" w:space="0" w:color="auto"/>
                            <w:right w:val="none" w:sz="0" w:space="0" w:color="auto"/>
                          </w:divBdr>
                          <w:divsChild>
                            <w:div w:id="942961313">
                              <w:marLeft w:val="0"/>
                              <w:marRight w:val="0"/>
                              <w:marTop w:val="0"/>
                              <w:marBottom w:val="420"/>
                              <w:divBdr>
                                <w:top w:val="none" w:sz="0" w:space="0" w:color="auto"/>
                                <w:left w:val="none" w:sz="0" w:space="0" w:color="auto"/>
                                <w:bottom w:val="none" w:sz="0" w:space="0" w:color="auto"/>
                                <w:right w:val="none" w:sz="0" w:space="0" w:color="auto"/>
                              </w:divBdr>
                              <w:divsChild>
                                <w:div w:id="196429950">
                                  <w:marLeft w:val="0"/>
                                  <w:marRight w:val="0"/>
                                  <w:marTop w:val="0"/>
                                  <w:marBottom w:val="0"/>
                                  <w:divBdr>
                                    <w:top w:val="none" w:sz="0" w:space="0" w:color="auto"/>
                                    <w:left w:val="none" w:sz="0" w:space="0" w:color="auto"/>
                                    <w:bottom w:val="none" w:sz="0" w:space="0" w:color="auto"/>
                                    <w:right w:val="none" w:sz="0" w:space="0" w:color="auto"/>
                                  </w:divBdr>
                                  <w:divsChild>
                                    <w:div w:id="873419528">
                                      <w:marLeft w:val="0"/>
                                      <w:marRight w:val="0"/>
                                      <w:marTop w:val="0"/>
                                      <w:marBottom w:val="0"/>
                                      <w:divBdr>
                                        <w:top w:val="none" w:sz="0" w:space="0" w:color="auto"/>
                                        <w:left w:val="none" w:sz="0" w:space="0" w:color="auto"/>
                                        <w:bottom w:val="none" w:sz="0" w:space="0" w:color="auto"/>
                                        <w:right w:val="none" w:sz="0" w:space="0" w:color="auto"/>
                                      </w:divBdr>
                                      <w:divsChild>
                                        <w:div w:id="1041393943">
                                          <w:marLeft w:val="0"/>
                                          <w:marRight w:val="0"/>
                                          <w:marTop w:val="0"/>
                                          <w:marBottom w:val="0"/>
                                          <w:divBdr>
                                            <w:top w:val="none" w:sz="0" w:space="0" w:color="auto"/>
                                            <w:left w:val="none" w:sz="0" w:space="0" w:color="auto"/>
                                            <w:bottom w:val="none" w:sz="0" w:space="0" w:color="auto"/>
                                            <w:right w:val="none" w:sz="0" w:space="0" w:color="auto"/>
                                          </w:divBdr>
                                          <w:divsChild>
                                            <w:div w:id="1361009989">
                                              <w:marLeft w:val="0"/>
                                              <w:marRight w:val="0"/>
                                              <w:marTop w:val="0"/>
                                              <w:marBottom w:val="0"/>
                                              <w:divBdr>
                                                <w:top w:val="none" w:sz="0" w:space="0" w:color="auto"/>
                                                <w:left w:val="none" w:sz="0" w:space="0" w:color="auto"/>
                                                <w:bottom w:val="none" w:sz="0" w:space="0" w:color="auto"/>
                                                <w:right w:val="none" w:sz="0" w:space="0" w:color="auto"/>
                                              </w:divBdr>
                                              <w:divsChild>
                                                <w:div w:id="2066490633">
                                                  <w:marLeft w:val="0"/>
                                                  <w:marRight w:val="0"/>
                                                  <w:marTop w:val="0"/>
                                                  <w:marBottom w:val="0"/>
                                                  <w:divBdr>
                                                    <w:top w:val="none" w:sz="0" w:space="0" w:color="auto"/>
                                                    <w:left w:val="none" w:sz="0" w:space="0" w:color="auto"/>
                                                    <w:bottom w:val="none" w:sz="0" w:space="0" w:color="auto"/>
                                                    <w:right w:val="none" w:sz="0" w:space="0" w:color="auto"/>
                                                  </w:divBdr>
                                                  <w:divsChild>
                                                    <w:div w:id="931819317">
                                                      <w:marLeft w:val="0"/>
                                                      <w:marRight w:val="0"/>
                                                      <w:marTop w:val="0"/>
                                                      <w:marBottom w:val="0"/>
                                                      <w:divBdr>
                                                        <w:top w:val="none" w:sz="0" w:space="0" w:color="auto"/>
                                                        <w:left w:val="none" w:sz="0" w:space="0" w:color="auto"/>
                                                        <w:bottom w:val="none" w:sz="0" w:space="0" w:color="auto"/>
                                                        <w:right w:val="none" w:sz="0" w:space="0" w:color="auto"/>
                                                      </w:divBdr>
                                                      <w:divsChild>
                                                        <w:div w:id="1271473690">
                                                          <w:marLeft w:val="0"/>
                                                          <w:marRight w:val="0"/>
                                                          <w:marTop w:val="0"/>
                                                          <w:marBottom w:val="0"/>
                                                          <w:divBdr>
                                                            <w:top w:val="none" w:sz="0" w:space="0" w:color="auto"/>
                                                            <w:left w:val="none" w:sz="0" w:space="0" w:color="auto"/>
                                                            <w:bottom w:val="none" w:sz="0" w:space="0" w:color="auto"/>
                                                            <w:right w:val="none" w:sz="0" w:space="0" w:color="auto"/>
                                                          </w:divBdr>
                                                          <w:divsChild>
                                                            <w:div w:id="1230652816">
                                                              <w:marLeft w:val="0"/>
                                                              <w:marRight w:val="0"/>
                                                              <w:marTop w:val="0"/>
                                                              <w:marBottom w:val="0"/>
                                                              <w:divBdr>
                                                                <w:top w:val="none" w:sz="0" w:space="0" w:color="auto"/>
                                                                <w:left w:val="none" w:sz="0" w:space="0" w:color="auto"/>
                                                                <w:bottom w:val="none" w:sz="0" w:space="0" w:color="auto"/>
                                                                <w:right w:val="none" w:sz="0" w:space="0" w:color="auto"/>
                                                              </w:divBdr>
                                                              <w:divsChild>
                                                                <w:div w:id="18195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926099">
      <w:bodyDiv w:val="1"/>
      <w:marLeft w:val="0"/>
      <w:marRight w:val="0"/>
      <w:marTop w:val="0"/>
      <w:marBottom w:val="0"/>
      <w:divBdr>
        <w:top w:val="none" w:sz="0" w:space="0" w:color="auto"/>
        <w:left w:val="none" w:sz="0" w:space="0" w:color="auto"/>
        <w:bottom w:val="none" w:sz="0" w:space="0" w:color="auto"/>
        <w:right w:val="none" w:sz="0" w:space="0" w:color="auto"/>
      </w:divBdr>
      <w:divsChild>
        <w:div w:id="1591234262">
          <w:marLeft w:val="0"/>
          <w:marRight w:val="0"/>
          <w:marTop w:val="0"/>
          <w:marBottom w:val="0"/>
          <w:divBdr>
            <w:top w:val="none" w:sz="0" w:space="0" w:color="auto"/>
            <w:left w:val="none" w:sz="0" w:space="0" w:color="auto"/>
            <w:bottom w:val="none" w:sz="0" w:space="0" w:color="auto"/>
            <w:right w:val="none" w:sz="0" w:space="0" w:color="auto"/>
          </w:divBdr>
          <w:divsChild>
            <w:div w:id="2049066115">
              <w:marLeft w:val="0"/>
              <w:marRight w:val="0"/>
              <w:marTop w:val="0"/>
              <w:marBottom w:val="0"/>
              <w:divBdr>
                <w:top w:val="none" w:sz="0" w:space="0" w:color="auto"/>
                <w:left w:val="none" w:sz="0" w:space="0" w:color="auto"/>
                <w:bottom w:val="none" w:sz="0" w:space="0" w:color="auto"/>
                <w:right w:val="none" w:sz="0" w:space="0" w:color="auto"/>
              </w:divBdr>
              <w:divsChild>
                <w:div w:id="1242714237">
                  <w:marLeft w:val="0"/>
                  <w:marRight w:val="0"/>
                  <w:marTop w:val="0"/>
                  <w:marBottom w:val="0"/>
                  <w:divBdr>
                    <w:top w:val="none" w:sz="0" w:space="0" w:color="auto"/>
                    <w:left w:val="none" w:sz="0" w:space="0" w:color="auto"/>
                    <w:bottom w:val="none" w:sz="0" w:space="0" w:color="auto"/>
                    <w:right w:val="none" w:sz="0" w:space="0" w:color="auto"/>
                  </w:divBdr>
                  <w:divsChild>
                    <w:div w:id="198397773">
                      <w:marLeft w:val="0"/>
                      <w:marRight w:val="0"/>
                      <w:marTop w:val="0"/>
                      <w:marBottom w:val="0"/>
                      <w:divBdr>
                        <w:top w:val="none" w:sz="0" w:space="0" w:color="auto"/>
                        <w:left w:val="none" w:sz="0" w:space="0" w:color="auto"/>
                        <w:bottom w:val="none" w:sz="0" w:space="0" w:color="auto"/>
                        <w:right w:val="none" w:sz="0" w:space="0" w:color="auto"/>
                      </w:divBdr>
                      <w:divsChild>
                        <w:div w:id="1535147230">
                          <w:marLeft w:val="-225"/>
                          <w:marRight w:val="-225"/>
                          <w:marTop w:val="0"/>
                          <w:marBottom w:val="0"/>
                          <w:divBdr>
                            <w:top w:val="none" w:sz="0" w:space="0" w:color="auto"/>
                            <w:left w:val="none" w:sz="0" w:space="0" w:color="auto"/>
                            <w:bottom w:val="none" w:sz="0" w:space="0" w:color="auto"/>
                            <w:right w:val="none" w:sz="0" w:space="0" w:color="auto"/>
                          </w:divBdr>
                          <w:divsChild>
                            <w:div w:id="242490606">
                              <w:marLeft w:val="0"/>
                              <w:marRight w:val="0"/>
                              <w:marTop w:val="0"/>
                              <w:marBottom w:val="0"/>
                              <w:divBdr>
                                <w:top w:val="none" w:sz="0" w:space="0" w:color="auto"/>
                                <w:left w:val="none" w:sz="0" w:space="0" w:color="auto"/>
                                <w:bottom w:val="none" w:sz="0" w:space="0" w:color="auto"/>
                                <w:right w:val="none" w:sz="0" w:space="0" w:color="auto"/>
                              </w:divBdr>
                              <w:divsChild>
                                <w:div w:id="437916150">
                                  <w:marLeft w:val="0"/>
                                  <w:marRight w:val="0"/>
                                  <w:marTop w:val="0"/>
                                  <w:marBottom w:val="0"/>
                                  <w:divBdr>
                                    <w:top w:val="none" w:sz="0" w:space="0" w:color="auto"/>
                                    <w:left w:val="none" w:sz="0" w:space="0" w:color="auto"/>
                                    <w:bottom w:val="none" w:sz="0" w:space="0" w:color="auto"/>
                                    <w:right w:val="none" w:sz="0" w:space="0" w:color="auto"/>
                                  </w:divBdr>
                                  <w:divsChild>
                                    <w:div w:id="1351032404">
                                      <w:marLeft w:val="0"/>
                                      <w:marRight w:val="0"/>
                                      <w:marTop w:val="0"/>
                                      <w:marBottom w:val="0"/>
                                      <w:divBdr>
                                        <w:top w:val="none" w:sz="0" w:space="0" w:color="auto"/>
                                        <w:left w:val="none" w:sz="0" w:space="0" w:color="auto"/>
                                        <w:bottom w:val="none" w:sz="0" w:space="0" w:color="auto"/>
                                        <w:right w:val="none" w:sz="0" w:space="0" w:color="auto"/>
                                      </w:divBdr>
                                      <w:divsChild>
                                        <w:div w:id="1680352731">
                                          <w:marLeft w:val="0"/>
                                          <w:marRight w:val="0"/>
                                          <w:marTop w:val="0"/>
                                          <w:marBottom w:val="0"/>
                                          <w:divBdr>
                                            <w:top w:val="none" w:sz="0" w:space="0" w:color="auto"/>
                                            <w:left w:val="none" w:sz="0" w:space="0" w:color="auto"/>
                                            <w:bottom w:val="none" w:sz="0" w:space="0" w:color="auto"/>
                                            <w:right w:val="none" w:sz="0" w:space="0" w:color="auto"/>
                                          </w:divBdr>
                                          <w:divsChild>
                                            <w:div w:id="187762621">
                                              <w:marLeft w:val="0"/>
                                              <w:marRight w:val="0"/>
                                              <w:marTop w:val="0"/>
                                              <w:marBottom w:val="0"/>
                                              <w:divBdr>
                                                <w:top w:val="none" w:sz="0" w:space="0" w:color="auto"/>
                                                <w:left w:val="none" w:sz="0" w:space="0" w:color="auto"/>
                                                <w:bottom w:val="none" w:sz="0" w:space="0" w:color="auto"/>
                                                <w:right w:val="none" w:sz="0" w:space="0" w:color="auto"/>
                                              </w:divBdr>
                                              <w:divsChild>
                                                <w:div w:id="19431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90046">
      <w:bodyDiv w:val="1"/>
      <w:marLeft w:val="0"/>
      <w:marRight w:val="0"/>
      <w:marTop w:val="0"/>
      <w:marBottom w:val="0"/>
      <w:divBdr>
        <w:top w:val="none" w:sz="0" w:space="0" w:color="auto"/>
        <w:left w:val="none" w:sz="0" w:space="0" w:color="auto"/>
        <w:bottom w:val="none" w:sz="0" w:space="0" w:color="auto"/>
        <w:right w:val="none" w:sz="0" w:space="0" w:color="auto"/>
      </w:divBdr>
    </w:div>
    <w:div w:id="2008097695">
      <w:bodyDiv w:val="1"/>
      <w:marLeft w:val="0"/>
      <w:marRight w:val="0"/>
      <w:marTop w:val="0"/>
      <w:marBottom w:val="0"/>
      <w:divBdr>
        <w:top w:val="none" w:sz="0" w:space="0" w:color="auto"/>
        <w:left w:val="none" w:sz="0" w:space="0" w:color="auto"/>
        <w:bottom w:val="none" w:sz="0" w:space="0" w:color="auto"/>
        <w:right w:val="none" w:sz="0" w:space="0" w:color="auto"/>
      </w:divBdr>
    </w:div>
    <w:div w:id="2027555387">
      <w:bodyDiv w:val="1"/>
      <w:marLeft w:val="0"/>
      <w:marRight w:val="0"/>
      <w:marTop w:val="0"/>
      <w:marBottom w:val="0"/>
      <w:divBdr>
        <w:top w:val="none" w:sz="0" w:space="0" w:color="auto"/>
        <w:left w:val="none" w:sz="0" w:space="0" w:color="auto"/>
        <w:bottom w:val="none" w:sz="0" w:space="0" w:color="auto"/>
        <w:right w:val="none" w:sz="0" w:space="0" w:color="auto"/>
      </w:divBdr>
    </w:div>
    <w:div w:id="2033458475">
      <w:bodyDiv w:val="1"/>
      <w:marLeft w:val="0"/>
      <w:marRight w:val="0"/>
      <w:marTop w:val="0"/>
      <w:marBottom w:val="0"/>
      <w:divBdr>
        <w:top w:val="none" w:sz="0" w:space="0" w:color="auto"/>
        <w:left w:val="none" w:sz="0" w:space="0" w:color="auto"/>
        <w:bottom w:val="none" w:sz="0" w:space="0" w:color="auto"/>
        <w:right w:val="none" w:sz="0" w:space="0" w:color="auto"/>
      </w:divBdr>
      <w:divsChild>
        <w:div w:id="795680086">
          <w:marLeft w:val="0"/>
          <w:marRight w:val="0"/>
          <w:marTop w:val="0"/>
          <w:marBottom w:val="0"/>
          <w:divBdr>
            <w:top w:val="none" w:sz="0" w:space="0" w:color="auto"/>
            <w:left w:val="none" w:sz="0" w:space="0" w:color="auto"/>
            <w:bottom w:val="none" w:sz="0" w:space="0" w:color="auto"/>
            <w:right w:val="none" w:sz="0" w:space="0" w:color="auto"/>
          </w:divBdr>
          <w:divsChild>
            <w:div w:id="1146312014">
              <w:marLeft w:val="0"/>
              <w:marRight w:val="0"/>
              <w:marTop w:val="0"/>
              <w:marBottom w:val="0"/>
              <w:divBdr>
                <w:top w:val="none" w:sz="0" w:space="0" w:color="auto"/>
                <w:left w:val="none" w:sz="0" w:space="0" w:color="auto"/>
                <w:bottom w:val="none" w:sz="0" w:space="0" w:color="auto"/>
                <w:right w:val="none" w:sz="0" w:space="0" w:color="auto"/>
              </w:divBdr>
              <w:divsChild>
                <w:div w:id="1680809037">
                  <w:marLeft w:val="0"/>
                  <w:marRight w:val="0"/>
                  <w:marTop w:val="0"/>
                  <w:marBottom w:val="0"/>
                  <w:divBdr>
                    <w:top w:val="none" w:sz="0" w:space="0" w:color="auto"/>
                    <w:left w:val="none" w:sz="0" w:space="0" w:color="auto"/>
                    <w:bottom w:val="none" w:sz="0" w:space="0" w:color="auto"/>
                    <w:right w:val="none" w:sz="0" w:space="0" w:color="auto"/>
                  </w:divBdr>
                  <w:divsChild>
                    <w:div w:id="922572568">
                      <w:marLeft w:val="0"/>
                      <w:marRight w:val="0"/>
                      <w:marTop w:val="0"/>
                      <w:marBottom w:val="0"/>
                      <w:divBdr>
                        <w:top w:val="none" w:sz="0" w:space="0" w:color="auto"/>
                        <w:left w:val="none" w:sz="0" w:space="0" w:color="auto"/>
                        <w:bottom w:val="none" w:sz="0" w:space="0" w:color="auto"/>
                        <w:right w:val="none" w:sz="0" w:space="0" w:color="auto"/>
                      </w:divBdr>
                      <w:divsChild>
                        <w:div w:id="1926376753">
                          <w:marLeft w:val="0"/>
                          <w:marRight w:val="0"/>
                          <w:marTop w:val="0"/>
                          <w:marBottom w:val="0"/>
                          <w:divBdr>
                            <w:top w:val="none" w:sz="0" w:space="0" w:color="auto"/>
                            <w:left w:val="none" w:sz="0" w:space="0" w:color="auto"/>
                            <w:bottom w:val="none" w:sz="0" w:space="0" w:color="auto"/>
                            <w:right w:val="none" w:sz="0" w:space="0" w:color="auto"/>
                          </w:divBdr>
                          <w:divsChild>
                            <w:div w:id="503055520">
                              <w:marLeft w:val="2700"/>
                              <w:marRight w:val="3960"/>
                              <w:marTop w:val="0"/>
                              <w:marBottom w:val="0"/>
                              <w:divBdr>
                                <w:top w:val="none" w:sz="0" w:space="0" w:color="auto"/>
                                <w:left w:val="none" w:sz="0" w:space="0" w:color="auto"/>
                                <w:bottom w:val="none" w:sz="0" w:space="0" w:color="auto"/>
                                <w:right w:val="none" w:sz="0" w:space="0" w:color="auto"/>
                              </w:divBdr>
                              <w:divsChild>
                                <w:div w:id="89084988">
                                  <w:marLeft w:val="0"/>
                                  <w:marRight w:val="0"/>
                                  <w:marTop w:val="0"/>
                                  <w:marBottom w:val="0"/>
                                  <w:divBdr>
                                    <w:top w:val="none" w:sz="0" w:space="0" w:color="auto"/>
                                    <w:left w:val="none" w:sz="0" w:space="0" w:color="auto"/>
                                    <w:bottom w:val="none" w:sz="0" w:space="0" w:color="auto"/>
                                    <w:right w:val="none" w:sz="0" w:space="0" w:color="auto"/>
                                  </w:divBdr>
                                  <w:divsChild>
                                    <w:div w:id="788277144">
                                      <w:marLeft w:val="0"/>
                                      <w:marRight w:val="0"/>
                                      <w:marTop w:val="0"/>
                                      <w:marBottom w:val="0"/>
                                      <w:divBdr>
                                        <w:top w:val="none" w:sz="0" w:space="0" w:color="auto"/>
                                        <w:left w:val="none" w:sz="0" w:space="0" w:color="auto"/>
                                        <w:bottom w:val="none" w:sz="0" w:space="0" w:color="auto"/>
                                        <w:right w:val="none" w:sz="0" w:space="0" w:color="auto"/>
                                      </w:divBdr>
                                      <w:divsChild>
                                        <w:div w:id="967122907">
                                          <w:marLeft w:val="0"/>
                                          <w:marRight w:val="0"/>
                                          <w:marTop w:val="0"/>
                                          <w:marBottom w:val="0"/>
                                          <w:divBdr>
                                            <w:top w:val="none" w:sz="0" w:space="0" w:color="auto"/>
                                            <w:left w:val="none" w:sz="0" w:space="0" w:color="auto"/>
                                            <w:bottom w:val="none" w:sz="0" w:space="0" w:color="auto"/>
                                            <w:right w:val="none" w:sz="0" w:space="0" w:color="auto"/>
                                          </w:divBdr>
                                          <w:divsChild>
                                            <w:div w:id="303435398">
                                              <w:marLeft w:val="0"/>
                                              <w:marRight w:val="0"/>
                                              <w:marTop w:val="90"/>
                                              <w:marBottom w:val="0"/>
                                              <w:divBdr>
                                                <w:top w:val="none" w:sz="0" w:space="0" w:color="auto"/>
                                                <w:left w:val="none" w:sz="0" w:space="0" w:color="auto"/>
                                                <w:bottom w:val="none" w:sz="0" w:space="0" w:color="auto"/>
                                                <w:right w:val="none" w:sz="0" w:space="0" w:color="auto"/>
                                              </w:divBdr>
                                              <w:divsChild>
                                                <w:div w:id="1517190567">
                                                  <w:marLeft w:val="0"/>
                                                  <w:marRight w:val="0"/>
                                                  <w:marTop w:val="0"/>
                                                  <w:marBottom w:val="405"/>
                                                  <w:divBdr>
                                                    <w:top w:val="none" w:sz="0" w:space="0" w:color="auto"/>
                                                    <w:left w:val="none" w:sz="0" w:space="0" w:color="auto"/>
                                                    <w:bottom w:val="none" w:sz="0" w:space="0" w:color="auto"/>
                                                    <w:right w:val="none" w:sz="0" w:space="0" w:color="auto"/>
                                                  </w:divBdr>
                                                  <w:divsChild>
                                                    <w:div w:id="1591583">
                                                      <w:marLeft w:val="0"/>
                                                      <w:marRight w:val="0"/>
                                                      <w:marTop w:val="0"/>
                                                      <w:marBottom w:val="0"/>
                                                      <w:divBdr>
                                                        <w:top w:val="none" w:sz="0" w:space="0" w:color="auto"/>
                                                        <w:left w:val="none" w:sz="0" w:space="0" w:color="auto"/>
                                                        <w:bottom w:val="none" w:sz="0" w:space="0" w:color="auto"/>
                                                        <w:right w:val="none" w:sz="0" w:space="0" w:color="auto"/>
                                                      </w:divBdr>
                                                      <w:divsChild>
                                                        <w:div w:id="1609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3047435">
      <w:bodyDiv w:val="1"/>
      <w:marLeft w:val="0"/>
      <w:marRight w:val="0"/>
      <w:marTop w:val="0"/>
      <w:marBottom w:val="0"/>
      <w:divBdr>
        <w:top w:val="none" w:sz="0" w:space="0" w:color="auto"/>
        <w:left w:val="none" w:sz="0" w:space="0" w:color="auto"/>
        <w:bottom w:val="none" w:sz="0" w:space="0" w:color="auto"/>
        <w:right w:val="none" w:sz="0" w:space="0" w:color="auto"/>
      </w:divBdr>
    </w:div>
    <w:div w:id="2070155082">
      <w:bodyDiv w:val="1"/>
      <w:marLeft w:val="0"/>
      <w:marRight w:val="0"/>
      <w:marTop w:val="0"/>
      <w:marBottom w:val="0"/>
      <w:divBdr>
        <w:top w:val="none" w:sz="0" w:space="0" w:color="auto"/>
        <w:left w:val="none" w:sz="0" w:space="0" w:color="auto"/>
        <w:bottom w:val="none" w:sz="0" w:space="0" w:color="auto"/>
        <w:right w:val="none" w:sz="0" w:space="0" w:color="auto"/>
      </w:divBdr>
    </w:div>
    <w:div w:id="2072774024">
      <w:bodyDiv w:val="1"/>
      <w:marLeft w:val="0"/>
      <w:marRight w:val="0"/>
      <w:marTop w:val="0"/>
      <w:marBottom w:val="0"/>
      <w:divBdr>
        <w:top w:val="none" w:sz="0" w:space="0" w:color="auto"/>
        <w:left w:val="none" w:sz="0" w:space="0" w:color="auto"/>
        <w:bottom w:val="none" w:sz="0" w:space="0" w:color="auto"/>
        <w:right w:val="none" w:sz="0" w:space="0" w:color="auto"/>
      </w:divBdr>
    </w:div>
    <w:div w:id="2088652967">
      <w:bodyDiv w:val="1"/>
      <w:marLeft w:val="0"/>
      <w:marRight w:val="0"/>
      <w:marTop w:val="0"/>
      <w:marBottom w:val="0"/>
      <w:divBdr>
        <w:top w:val="none" w:sz="0" w:space="0" w:color="auto"/>
        <w:left w:val="none" w:sz="0" w:space="0" w:color="auto"/>
        <w:bottom w:val="none" w:sz="0" w:space="0" w:color="auto"/>
        <w:right w:val="none" w:sz="0" w:space="0" w:color="auto"/>
      </w:divBdr>
    </w:div>
    <w:div w:id="2133817594">
      <w:bodyDiv w:val="1"/>
      <w:marLeft w:val="0"/>
      <w:marRight w:val="0"/>
      <w:marTop w:val="0"/>
      <w:marBottom w:val="0"/>
      <w:divBdr>
        <w:top w:val="none" w:sz="0" w:space="0" w:color="auto"/>
        <w:left w:val="none" w:sz="0" w:space="0" w:color="auto"/>
        <w:bottom w:val="none" w:sz="0" w:space="0" w:color="auto"/>
        <w:right w:val="none" w:sz="0" w:space="0" w:color="auto"/>
      </w:divBdr>
    </w:div>
    <w:div w:id="214160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asc-csa.gc.ca/eng/publications/2019-state-canadian-space-sector.asp" TargetMode="External"/><Relationship Id="rId13" Type="http://schemas.openxmlformats.org/officeDocument/2006/relationships/hyperlink" Target="https://www.industry.gov.au/data-and-publications/state-of-space-report-2016" TargetMode="External"/><Relationship Id="rId18" Type="http://schemas.openxmlformats.org/officeDocument/2006/relationships/hyperlink" Target="https://www.industry.gov.au/sites/default/files/2021-02/the-economic-contribution-of-australias-space-sector-in-2018-19.docx" TargetMode="External"/><Relationship Id="rId26" Type="http://schemas.openxmlformats.org/officeDocument/2006/relationships/hyperlink" Target="https://www.industry.gov.au/sites/default/files/2021-02/the-economic-contribution-of-australias-space-sector-in-2018-19.docx" TargetMode="External"/><Relationship Id="rId3" Type="http://schemas.openxmlformats.org/officeDocument/2006/relationships/hyperlink" Target="https://www.industry.gov.au/news-media/australian-space-agency-1-year-on-a-message-from-head-dr-megan-clark-ac" TargetMode="External"/><Relationship Id="rId21" Type="http://schemas.openxmlformats.org/officeDocument/2006/relationships/hyperlink" Target="https://www.industry.gov.au/sites/default/files/2021-02/the-economic-contribution-of-australias-space-sector-in-2018-19.docx" TargetMode="External"/><Relationship Id="rId34" Type="http://schemas.openxmlformats.org/officeDocument/2006/relationships/hyperlink" Target="https://home.kpmg/au/en/home/insights/2020/02/investment-in-the-australian-space-sector.html" TargetMode="External"/><Relationship Id="rId7" Type="http://schemas.openxmlformats.org/officeDocument/2006/relationships/hyperlink" Target="https://doi.org/10.1787/9789264169166-en" TargetMode="External"/><Relationship Id="rId12" Type="http://schemas.openxmlformats.org/officeDocument/2006/relationships/hyperlink" Target="https://www.morganstanley.com/ideas/investing-in-space" TargetMode="External"/><Relationship Id="rId17" Type="http://schemas.openxmlformats.org/officeDocument/2006/relationships/hyperlink" Target="https://www.industry.gov.au/sites/default/files/2021-02/the-economic-contribution-of-australias-space-sector-in-2018-19.docx" TargetMode="External"/><Relationship Id="rId25" Type="http://schemas.openxmlformats.org/officeDocument/2006/relationships/hyperlink" Target="https://www.morganstanley.com/ideas/investing-in-space" TargetMode="External"/><Relationship Id="rId33" Type="http://schemas.openxmlformats.org/officeDocument/2006/relationships/hyperlink" Target="https://www.austrade.gov.au/International/invest" TargetMode="External"/><Relationship Id="rId2" Type="http://schemas.openxmlformats.org/officeDocument/2006/relationships/hyperlink" Target="https://www.industry.gov.au/data-and-publications/australian-civil-space-strategy-2019-2028" TargetMode="External"/><Relationship Id="rId16" Type="http://schemas.openxmlformats.org/officeDocument/2006/relationships/hyperlink" Target="https://www.industry.gov.au/news-media/australian-space-agency-1-year-on-a-message-from-head-dr-megan-clark-ac" TargetMode="External"/><Relationship Id="rId20" Type="http://schemas.openxmlformats.org/officeDocument/2006/relationships/hyperlink" Target="https://www.industry.gov.au/sites/default/files/2021-02/the-economic-contribution-of-australias-space-sector-in-2018-19.docx" TargetMode="External"/><Relationship Id="rId29" Type="http://schemas.openxmlformats.org/officeDocument/2006/relationships/hyperlink" Target="https://www.industry.gov.au/sites/default/files/2021-02/the-economic-contribution-of-australias-space-sector-in-2018-19.docx" TargetMode="External"/><Relationship Id="rId1" Type="http://schemas.openxmlformats.org/officeDocument/2006/relationships/hyperlink" Target="https://www.industry.gov.au/data-and-publications/australina-civil-space-strategy-2019-2028" TargetMode="External"/><Relationship Id="rId6" Type="http://schemas.openxmlformats.org/officeDocument/2006/relationships/hyperlink" Target="https://www.industry.gov.au/data-and-publications/definition-of-the-australian-space-sector" TargetMode="External"/><Relationship Id="rId11" Type="http://schemas.openxmlformats.org/officeDocument/2006/relationships/hyperlink" Target="https://www.industry.gov.au/data-and-publications/review-of-australias-space-industry-capability" TargetMode="External"/><Relationship Id="rId24" Type="http://schemas.openxmlformats.org/officeDocument/2006/relationships/hyperlink" Target="https://www.researchandmarkets.com/research/p9gpjp/global_space?w=4" TargetMode="External"/><Relationship Id="rId32" Type="http://schemas.openxmlformats.org/officeDocument/2006/relationships/hyperlink" Target="https://www.minister.defence.gov.au/minister/lreynolds/media-releases/morrison-government-invests-new-sovereign-controlled-satellite" TargetMode="External"/><Relationship Id="rId37" Type="http://schemas.openxmlformats.org/officeDocument/2006/relationships/hyperlink" Target="http://www.oecd.org/coronavirus/policy-responses/the-impacts-of-covid-19-on-the-space-industry-e727e36f/" TargetMode="External"/><Relationship Id="rId5" Type="http://schemas.openxmlformats.org/officeDocument/2006/relationships/hyperlink" Target="https://www.industry.gov.au/data-and-publications/make-it-happen-the-australian-governments-modern-manufacturing-strategy" TargetMode="External"/><Relationship Id="rId15" Type="http://schemas.openxmlformats.org/officeDocument/2006/relationships/hyperlink" Target="https://www.industry.gov.au/data-and-publications/review-of-australias-space-industry-capability" TargetMode="External"/><Relationship Id="rId23" Type="http://schemas.openxmlformats.org/officeDocument/2006/relationships/hyperlink" Target="https://www.mbie.govt.nz/assets/new-zealand-space-sector-its-value-scope-and-structure.pdf" TargetMode="External"/><Relationship Id="rId28" Type="http://schemas.openxmlformats.org/officeDocument/2006/relationships/hyperlink" Target="https://www.industry.gov.au/sites/default/files/2021-02/the-economic-contribution-of-australias-space-sector-in-2018-19.docx" TargetMode="External"/><Relationship Id="rId36" Type="http://schemas.openxmlformats.org/officeDocument/2006/relationships/hyperlink" Target="https://www.ukspace.org/wp-content/uploads/2019/04/Spillovers-in-the-space-sector_March2019.pdf" TargetMode="External"/><Relationship Id="rId10" Type="http://schemas.openxmlformats.org/officeDocument/2006/relationships/hyperlink" Target="https://www.industry.gov.au/sites/default/files/2021-02/the-economic-contribution-of-australias-space-sector-in-2018-19.docx" TargetMode="External"/><Relationship Id="rId19" Type="http://schemas.openxmlformats.org/officeDocument/2006/relationships/hyperlink" Target="https://www.industry.gov.au/sites/default/files/2021-02/the-economic-contribution-of-australias-space-sector-in-2018-19.docx" TargetMode="External"/><Relationship Id="rId31" Type="http://schemas.openxmlformats.org/officeDocument/2006/relationships/hyperlink" Target="https://www.mbie.govt.nz/assets/new-zealand-space-sector-its-value-scope-and-structure.pdf" TargetMode="External"/><Relationship Id="rId4" Type="http://schemas.openxmlformats.org/officeDocument/2006/relationships/hyperlink" Target="https://www.industry.gov.au/sites/default/files/2021-02/the-economic-contribution-of-australias-space-sector-in-2018-19.docx" TargetMode="External"/><Relationship Id="rId9" Type="http://schemas.openxmlformats.org/officeDocument/2006/relationships/hyperlink" Target="https://www.mbie.govt.nz/assets/new-zealand-space-sector-its-value-scope-and-structure.pdf" TargetMode="External"/><Relationship Id="rId14" Type="http://schemas.openxmlformats.org/officeDocument/2006/relationships/hyperlink" Target="https://www.industry.gov.au/sites/default/files/June%202018/document/pdf/review_of_australias_space_industry_capability_-_report_from_the_expert_reference_group.pdf?acsf_files_redirect" TargetMode="External"/><Relationship Id="rId22" Type="http://schemas.openxmlformats.org/officeDocument/2006/relationships/hyperlink" Target="https://asc-csa.gc.ca/eng/publications/2019-state-canadian-space-sector.asp" TargetMode="External"/><Relationship Id="rId27" Type="http://schemas.openxmlformats.org/officeDocument/2006/relationships/hyperlink" Target="https://www.statista.com/statistics/185975/world-revenues-of-the-satellite-manufacturing-sector-since-2001/" TargetMode="External"/><Relationship Id="rId30" Type="http://schemas.openxmlformats.org/officeDocument/2006/relationships/hyperlink" Target="https://asc-csa.gc.ca/eng/publications/2019-state-canadian-space-sector.asp" TargetMode="External"/><Relationship Id="rId35" Type="http://schemas.openxmlformats.org/officeDocument/2006/relationships/hyperlink" Target="https://www.ukspace.org/wp-content/uploads/2019/04/Spillovers-in-the-space-sector_March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SA">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S Private Wealth">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Nam</b:Tag>
    <b:SourceType>Book</b:SourceType>
    <b:Guid>{1554B47B-0C6B-47C0-8D97-50F94C9E462A}</b:Guid>
    <b:Author>
      <b:Author>
        <b:NameList>
          <b:Person>
            <b:Last>Surname</b:Last>
            <b:First>Name</b:First>
          </b:Person>
        </b:NameList>
      </b:Author>
    </b:Author>
    <b:RefOrder>1</b:RefOrder>
  </b:Source>
</b:Sources>
</file>

<file path=customXml/itemProps1.xml><?xml version="1.0" encoding="utf-8"?>
<ds:datastoreItem xmlns:ds="http://schemas.openxmlformats.org/officeDocument/2006/customXml" ds:itemID="{AABF189F-312A-4053-BCF7-080F18F7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8728</Words>
  <Characters>51548</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Snapshot Report Australian Civil Space Sector 2016-17 to 2018-19</vt:lpstr>
    </vt:vector>
  </TitlesOfParts>
  <Company/>
  <LinksUpToDate>false</LinksUpToDate>
  <CharactersWithSpaces>60156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Snapshot Report Australian Civil Space Sector 2016-17 to 2018-19</dc:title>
  <dc:creator/>
  <cp:lastModifiedBy/>
  <cp:revision>1</cp:revision>
  <dcterms:created xsi:type="dcterms:W3CDTF">2021-02-08T01:32:00Z</dcterms:created>
  <dcterms:modified xsi:type="dcterms:W3CDTF">2021-02-08T01:34:00Z</dcterms:modified>
  <cp:category/>
</cp:coreProperties>
</file>