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468F2" w14:textId="77777777" w:rsidR="004F10CD" w:rsidRDefault="00B6072C">
      <w:pPr>
        <w:pStyle w:val="Heading1"/>
        <w:spacing w:before="89"/>
        <w:ind w:left="3352" w:firstLine="0"/>
      </w:pPr>
      <w:r>
        <w:t>Heads of Agreement</w:t>
      </w:r>
    </w:p>
    <w:p w14:paraId="1F7AD605" w14:textId="77777777" w:rsidR="004F10CD" w:rsidRDefault="00B6072C">
      <w:pPr>
        <w:spacing w:before="45"/>
        <w:ind w:left="2901" w:right="1434" w:hanging="821"/>
        <w:rPr>
          <w:rFonts w:ascii="Tahoma"/>
          <w:b/>
          <w:sz w:val="30"/>
        </w:rPr>
      </w:pPr>
      <w:bookmarkStart w:id="0" w:name="_GoBack"/>
      <w:r>
        <w:rPr>
          <w:rFonts w:ascii="Tahoma"/>
          <w:b/>
          <w:sz w:val="30"/>
        </w:rPr>
        <w:t>The Australian East Coast Domestic Gas Supply Commitment</w:t>
      </w:r>
      <w:bookmarkEnd w:id="0"/>
    </w:p>
    <w:p w14:paraId="467149F2" w14:textId="77777777" w:rsidR="004F10CD" w:rsidRDefault="00B6072C">
      <w:pPr>
        <w:spacing w:before="311" w:line="247" w:lineRule="auto"/>
        <w:ind w:left="227" w:hanging="1"/>
        <w:rPr>
          <w:rFonts w:ascii="Tahoma"/>
          <w:i/>
        </w:rPr>
      </w:pPr>
      <w:r>
        <w:rPr>
          <w:rFonts w:ascii="Tahoma"/>
          <w:i/>
          <w:w w:val="95"/>
          <w:sz w:val="21"/>
        </w:rPr>
        <w:t>This</w:t>
      </w:r>
      <w:r>
        <w:rPr>
          <w:rFonts w:ascii="Tahoma"/>
          <w:i/>
          <w:spacing w:val="-36"/>
          <w:w w:val="95"/>
          <w:sz w:val="21"/>
        </w:rPr>
        <w:t xml:space="preserve"> </w:t>
      </w:r>
      <w:r>
        <w:rPr>
          <w:rFonts w:ascii="Tahoma"/>
          <w:i/>
          <w:w w:val="95"/>
          <w:sz w:val="21"/>
        </w:rPr>
        <w:t>agreement</w:t>
      </w:r>
      <w:r>
        <w:rPr>
          <w:rFonts w:ascii="Tahoma"/>
          <w:i/>
          <w:spacing w:val="-34"/>
          <w:w w:val="95"/>
          <w:sz w:val="21"/>
        </w:rPr>
        <w:t xml:space="preserve"> </w:t>
      </w:r>
      <w:r>
        <w:rPr>
          <w:rFonts w:ascii="Tahoma"/>
          <w:i/>
          <w:w w:val="95"/>
          <w:sz w:val="21"/>
        </w:rPr>
        <w:t>is</w:t>
      </w:r>
      <w:r>
        <w:rPr>
          <w:rFonts w:ascii="Tahoma"/>
          <w:i/>
          <w:spacing w:val="-38"/>
          <w:w w:val="95"/>
          <w:sz w:val="21"/>
        </w:rPr>
        <w:t xml:space="preserve"> </w:t>
      </w:r>
      <w:r>
        <w:rPr>
          <w:rFonts w:ascii="Tahoma"/>
          <w:i/>
          <w:w w:val="95"/>
          <w:sz w:val="21"/>
        </w:rPr>
        <w:t>between</w:t>
      </w:r>
      <w:r>
        <w:rPr>
          <w:rFonts w:ascii="Tahoma"/>
          <w:i/>
          <w:spacing w:val="-38"/>
          <w:w w:val="95"/>
          <w:sz w:val="21"/>
        </w:rPr>
        <w:t xml:space="preserve"> </w:t>
      </w:r>
      <w:r>
        <w:rPr>
          <w:rFonts w:ascii="Tahoma"/>
          <w:i/>
          <w:w w:val="95"/>
          <w:sz w:val="21"/>
        </w:rPr>
        <w:t>the</w:t>
      </w:r>
      <w:r>
        <w:rPr>
          <w:rFonts w:ascii="Tahoma"/>
          <w:i/>
          <w:spacing w:val="-38"/>
          <w:w w:val="95"/>
          <w:sz w:val="21"/>
        </w:rPr>
        <w:t xml:space="preserve"> </w:t>
      </w:r>
      <w:r>
        <w:rPr>
          <w:rFonts w:ascii="Tahoma"/>
          <w:i/>
          <w:w w:val="95"/>
          <w:sz w:val="21"/>
        </w:rPr>
        <w:t>Australian</w:t>
      </w:r>
      <w:r>
        <w:rPr>
          <w:rFonts w:ascii="Tahoma"/>
          <w:i/>
          <w:spacing w:val="-36"/>
          <w:w w:val="95"/>
          <w:sz w:val="21"/>
        </w:rPr>
        <w:t xml:space="preserve"> </w:t>
      </w:r>
      <w:r>
        <w:rPr>
          <w:rFonts w:ascii="Tahoma"/>
          <w:i/>
          <w:w w:val="95"/>
          <w:sz w:val="21"/>
        </w:rPr>
        <w:t>Government</w:t>
      </w:r>
      <w:r>
        <w:rPr>
          <w:rFonts w:ascii="Tahoma"/>
          <w:i/>
          <w:spacing w:val="-36"/>
          <w:w w:val="95"/>
          <w:sz w:val="21"/>
        </w:rPr>
        <w:t xml:space="preserve"> </w:t>
      </w:r>
      <w:r>
        <w:rPr>
          <w:rFonts w:ascii="Tahoma"/>
          <w:i/>
          <w:w w:val="95"/>
          <w:sz w:val="21"/>
        </w:rPr>
        <w:t>and</w:t>
      </w:r>
      <w:r>
        <w:rPr>
          <w:rFonts w:ascii="Tahoma"/>
          <w:i/>
          <w:spacing w:val="-42"/>
          <w:w w:val="95"/>
          <w:sz w:val="21"/>
        </w:rPr>
        <w:t xml:space="preserve"> </w:t>
      </w:r>
      <w:r>
        <w:rPr>
          <w:rFonts w:ascii="Tahoma"/>
          <w:i/>
          <w:w w:val="95"/>
          <w:sz w:val="21"/>
        </w:rPr>
        <w:t>East</w:t>
      </w:r>
      <w:r>
        <w:rPr>
          <w:rFonts w:ascii="Tahoma"/>
          <w:i/>
          <w:spacing w:val="-34"/>
          <w:w w:val="95"/>
          <w:sz w:val="21"/>
        </w:rPr>
        <w:t xml:space="preserve"> </w:t>
      </w:r>
      <w:r>
        <w:rPr>
          <w:rFonts w:ascii="Tahoma"/>
          <w:i/>
          <w:w w:val="95"/>
          <w:sz w:val="21"/>
        </w:rPr>
        <w:t>Coast</w:t>
      </w:r>
      <w:r>
        <w:rPr>
          <w:rFonts w:ascii="Tahoma"/>
          <w:i/>
          <w:spacing w:val="-18"/>
          <w:w w:val="95"/>
          <w:sz w:val="21"/>
        </w:rPr>
        <w:t xml:space="preserve"> </w:t>
      </w:r>
      <w:r>
        <w:rPr>
          <w:rFonts w:ascii="Tahoma"/>
          <w:i/>
          <w:w w:val="95"/>
        </w:rPr>
        <w:t>Liquefied</w:t>
      </w:r>
      <w:r>
        <w:rPr>
          <w:rFonts w:ascii="Tahoma"/>
          <w:i/>
          <w:spacing w:val="-18"/>
          <w:w w:val="95"/>
        </w:rPr>
        <w:t xml:space="preserve"> </w:t>
      </w:r>
      <w:r>
        <w:rPr>
          <w:rFonts w:ascii="Tahoma"/>
          <w:i/>
          <w:w w:val="95"/>
        </w:rPr>
        <w:t>Natural</w:t>
      </w:r>
      <w:r>
        <w:rPr>
          <w:rFonts w:ascii="Tahoma"/>
          <w:i/>
          <w:spacing w:val="-20"/>
          <w:w w:val="95"/>
        </w:rPr>
        <w:t xml:space="preserve"> </w:t>
      </w:r>
      <w:r>
        <w:rPr>
          <w:rFonts w:ascii="Tahoma"/>
          <w:i/>
          <w:w w:val="95"/>
        </w:rPr>
        <w:t>Gas</w:t>
      </w:r>
      <w:r>
        <w:rPr>
          <w:rFonts w:ascii="Tahoma"/>
          <w:i/>
          <w:spacing w:val="-25"/>
          <w:w w:val="95"/>
        </w:rPr>
        <w:t xml:space="preserve"> </w:t>
      </w:r>
      <w:r>
        <w:rPr>
          <w:rFonts w:ascii="Tahoma"/>
          <w:i/>
          <w:w w:val="95"/>
        </w:rPr>
        <w:t xml:space="preserve">(LNG) </w:t>
      </w:r>
      <w:r>
        <w:rPr>
          <w:rFonts w:ascii="Tahoma"/>
          <w:i/>
        </w:rPr>
        <w:t>Exporters.</w:t>
      </w:r>
    </w:p>
    <w:p w14:paraId="032E9160" w14:textId="77777777" w:rsidR="004F10CD" w:rsidRDefault="004F10CD">
      <w:pPr>
        <w:pStyle w:val="BodyText"/>
        <w:spacing w:before="2"/>
        <w:rPr>
          <w:rFonts w:ascii="Tahoma"/>
          <w:i/>
          <w:sz w:val="22"/>
        </w:rPr>
      </w:pPr>
    </w:p>
    <w:p w14:paraId="2C8BB5CA" w14:textId="77777777" w:rsidR="004F10CD" w:rsidRDefault="00B6072C">
      <w:pPr>
        <w:pStyle w:val="BodyText"/>
        <w:spacing w:line="300" w:lineRule="auto"/>
        <w:ind w:left="227" w:right="146"/>
      </w:pPr>
      <w:r>
        <w:rPr>
          <w:w w:val="105"/>
        </w:rPr>
        <w:t>The objective of this agreement is to ensure a secure and competitively priced gas supply for the East Coast domestic market. It is a key component of the Australian Government’s plan for a gas-fired economic recovery which was announced on 15 September 2020. This agreement renews the existing Heads of Agreement between the Australian Government and the East Coast LNG exporters made on 28 September 2018.</w:t>
      </w:r>
    </w:p>
    <w:p w14:paraId="06C9DCC8" w14:textId="77777777" w:rsidR="004F10CD" w:rsidRDefault="004F10CD">
      <w:pPr>
        <w:pStyle w:val="BodyText"/>
        <w:spacing w:before="11"/>
      </w:pPr>
    </w:p>
    <w:p w14:paraId="09279956" w14:textId="77777777" w:rsidR="004F10CD" w:rsidRDefault="00B6072C">
      <w:pPr>
        <w:pStyle w:val="BodyText"/>
        <w:spacing w:line="300" w:lineRule="auto"/>
        <w:ind w:left="227" w:right="146"/>
      </w:pPr>
      <w:r>
        <w:rPr>
          <w:w w:val="105"/>
        </w:rPr>
        <w:t>The Australian Government acknowledges that the East Coast LNG industry continues to make an important contribution to Australia's economy and gas security through the development of new gas reserves, LNG exports and the supply of gas to the domestic market.</w:t>
      </w:r>
    </w:p>
    <w:p w14:paraId="4F321FF4" w14:textId="77777777" w:rsidR="004F10CD" w:rsidRDefault="004F10CD">
      <w:pPr>
        <w:pStyle w:val="BodyText"/>
        <w:spacing w:before="8"/>
      </w:pPr>
    </w:p>
    <w:p w14:paraId="5100B7D2" w14:textId="77777777" w:rsidR="004F10CD" w:rsidRDefault="00B6072C">
      <w:pPr>
        <w:pStyle w:val="BodyText"/>
        <w:spacing w:line="302" w:lineRule="auto"/>
        <w:ind w:left="227"/>
      </w:pPr>
      <w:r>
        <w:rPr>
          <w:w w:val="105"/>
        </w:rPr>
        <w:t>The Australian Government seeks a gas market that benefits all Australians, strengthens our economy through LNG exports, and delivers competitive domestic gas prices. Australian manufacturers, electricity generators, businesses and households should continue to have access to internationally competitive gas prices.</w:t>
      </w:r>
    </w:p>
    <w:p w14:paraId="2398C783" w14:textId="77777777" w:rsidR="004F10CD" w:rsidRDefault="004F10CD">
      <w:pPr>
        <w:pStyle w:val="BodyText"/>
        <w:spacing w:before="3"/>
      </w:pPr>
    </w:p>
    <w:p w14:paraId="372AA65C" w14:textId="77777777" w:rsidR="004F10CD" w:rsidRDefault="00B6072C">
      <w:pPr>
        <w:pStyle w:val="BodyText"/>
        <w:spacing w:line="300" w:lineRule="auto"/>
        <w:ind w:left="227" w:right="158"/>
      </w:pPr>
      <w:r>
        <w:rPr>
          <w:w w:val="105"/>
        </w:rPr>
        <w:t xml:space="preserve">The Australian Government has considered the recent reports from </w:t>
      </w:r>
      <w:r>
        <w:rPr>
          <w:spacing w:val="-4"/>
          <w:w w:val="105"/>
        </w:rPr>
        <w:t xml:space="preserve">the </w:t>
      </w:r>
      <w:r>
        <w:rPr>
          <w:w w:val="105"/>
        </w:rPr>
        <w:t xml:space="preserve">Australian Energy Market Operator (AEMO) and the Australian Competition and Consumer Commission (ACCC) that found that gas supply </w:t>
      </w:r>
      <w:r>
        <w:rPr>
          <w:spacing w:val="-4"/>
          <w:w w:val="105"/>
        </w:rPr>
        <w:t xml:space="preserve">from </w:t>
      </w:r>
      <w:r>
        <w:rPr>
          <w:w w:val="105"/>
        </w:rPr>
        <w:t>existing</w:t>
      </w:r>
      <w:r>
        <w:rPr>
          <w:spacing w:val="-8"/>
          <w:w w:val="105"/>
        </w:rPr>
        <w:t xml:space="preserve"> </w:t>
      </w:r>
      <w:r>
        <w:rPr>
          <w:w w:val="105"/>
        </w:rPr>
        <w:t>and</w:t>
      </w:r>
      <w:r>
        <w:rPr>
          <w:spacing w:val="-10"/>
          <w:w w:val="105"/>
        </w:rPr>
        <w:t xml:space="preserve"> </w:t>
      </w:r>
      <w:r>
        <w:rPr>
          <w:w w:val="105"/>
        </w:rPr>
        <w:t>committed</w:t>
      </w:r>
      <w:r>
        <w:rPr>
          <w:spacing w:val="-7"/>
          <w:w w:val="105"/>
        </w:rPr>
        <w:t xml:space="preserve"> </w:t>
      </w:r>
      <w:r>
        <w:rPr>
          <w:w w:val="105"/>
        </w:rPr>
        <w:t>gas</w:t>
      </w:r>
      <w:r>
        <w:rPr>
          <w:spacing w:val="-8"/>
          <w:w w:val="105"/>
        </w:rPr>
        <w:t xml:space="preserve"> </w:t>
      </w:r>
      <w:r>
        <w:rPr>
          <w:w w:val="105"/>
        </w:rPr>
        <w:t>developments</w:t>
      </w:r>
      <w:r>
        <w:rPr>
          <w:spacing w:val="-10"/>
          <w:w w:val="105"/>
        </w:rPr>
        <w:t xml:space="preserve"> </w:t>
      </w:r>
      <w:r>
        <w:rPr>
          <w:w w:val="105"/>
        </w:rPr>
        <w:t>should</w:t>
      </w:r>
      <w:r>
        <w:rPr>
          <w:spacing w:val="-8"/>
          <w:w w:val="105"/>
        </w:rPr>
        <w:t xml:space="preserve"> </w:t>
      </w:r>
      <w:r>
        <w:rPr>
          <w:w w:val="105"/>
        </w:rPr>
        <w:t>be</w:t>
      </w:r>
      <w:r>
        <w:rPr>
          <w:spacing w:val="-12"/>
          <w:w w:val="105"/>
        </w:rPr>
        <w:t xml:space="preserve"> </w:t>
      </w:r>
      <w:r>
        <w:rPr>
          <w:w w:val="105"/>
        </w:rPr>
        <w:t>sufficient</w:t>
      </w:r>
      <w:r>
        <w:rPr>
          <w:spacing w:val="-5"/>
          <w:w w:val="105"/>
        </w:rPr>
        <w:t xml:space="preserve"> </w:t>
      </w:r>
      <w:r>
        <w:rPr>
          <w:w w:val="105"/>
        </w:rPr>
        <w:t>to</w:t>
      </w:r>
      <w:r>
        <w:rPr>
          <w:spacing w:val="-10"/>
          <w:w w:val="105"/>
        </w:rPr>
        <w:t xml:space="preserve"> </w:t>
      </w:r>
      <w:r>
        <w:rPr>
          <w:w w:val="105"/>
        </w:rPr>
        <w:t>meet</w:t>
      </w:r>
      <w:r>
        <w:rPr>
          <w:spacing w:val="-8"/>
          <w:w w:val="105"/>
        </w:rPr>
        <w:t xml:space="preserve"> </w:t>
      </w:r>
      <w:r>
        <w:rPr>
          <w:w w:val="105"/>
        </w:rPr>
        <w:t>forecast</w:t>
      </w:r>
      <w:r>
        <w:rPr>
          <w:spacing w:val="-9"/>
          <w:w w:val="105"/>
        </w:rPr>
        <w:t xml:space="preserve"> </w:t>
      </w:r>
      <w:r>
        <w:rPr>
          <w:w w:val="105"/>
        </w:rPr>
        <w:t>gas</w:t>
      </w:r>
      <w:r>
        <w:rPr>
          <w:spacing w:val="-8"/>
          <w:w w:val="105"/>
        </w:rPr>
        <w:t xml:space="preserve"> </w:t>
      </w:r>
      <w:r>
        <w:rPr>
          <w:w w:val="105"/>
        </w:rPr>
        <w:t>demand</w:t>
      </w:r>
      <w:r>
        <w:rPr>
          <w:spacing w:val="-9"/>
          <w:w w:val="105"/>
        </w:rPr>
        <w:t xml:space="preserve"> </w:t>
      </w:r>
      <w:r>
        <w:rPr>
          <w:w w:val="105"/>
        </w:rPr>
        <w:t>across</w:t>
      </w:r>
      <w:r>
        <w:rPr>
          <w:spacing w:val="-6"/>
          <w:w w:val="105"/>
        </w:rPr>
        <w:t xml:space="preserve"> </w:t>
      </w:r>
      <w:r>
        <w:rPr>
          <w:w w:val="105"/>
        </w:rPr>
        <w:t>eastern</w:t>
      </w:r>
      <w:r>
        <w:rPr>
          <w:spacing w:val="-6"/>
          <w:w w:val="105"/>
        </w:rPr>
        <w:t xml:space="preserve"> </w:t>
      </w:r>
      <w:r>
        <w:rPr>
          <w:w w:val="105"/>
        </w:rPr>
        <w:t xml:space="preserve">and south-eastern Australia until at least 2023. However, the Australian Government considers that </w:t>
      </w:r>
      <w:r>
        <w:rPr>
          <w:spacing w:val="-3"/>
          <w:w w:val="105"/>
        </w:rPr>
        <w:t xml:space="preserve">there </w:t>
      </w:r>
      <w:r>
        <w:rPr>
          <w:w w:val="105"/>
        </w:rPr>
        <w:t>may be an increasing risk of gas supply shortages in the</w:t>
      </w:r>
      <w:r>
        <w:rPr>
          <w:spacing w:val="-24"/>
          <w:w w:val="105"/>
        </w:rPr>
        <w:t xml:space="preserve"> </w:t>
      </w:r>
      <w:r>
        <w:rPr>
          <w:w w:val="105"/>
        </w:rPr>
        <w:t>future.</w:t>
      </w:r>
    </w:p>
    <w:p w14:paraId="7A3CF2FB" w14:textId="77777777" w:rsidR="004F10CD" w:rsidRDefault="004F10CD">
      <w:pPr>
        <w:pStyle w:val="BodyText"/>
        <w:spacing w:before="8"/>
      </w:pPr>
    </w:p>
    <w:p w14:paraId="0F42860A" w14:textId="77777777" w:rsidR="004F10CD" w:rsidRDefault="00B6072C">
      <w:pPr>
        <w:pStyle w:val="BodyText"/>
        <w:spacing w:line="302" w:lineRule="auto"/>
        <w:ind w:left="227"/>
      </w:pPr>
      <w:r>
        <w:rPr>
          <w:w w:val="105"/>
        </w:rPr>
        <w:t xml:space="preserve">The Australian Government and representatives of East Coast LNG exporters have today agreed to a new Heads of Agreement, replacing the agreement made on 28 September 2018. Representatives of the East Coast LNG exporters have agreed to the following commitments </w:t>
      </w:r>
      <w:r>
        <w:rPr>
          <w:b/>
          <w:w w:val="105"/>
        </w:rPr>
        <w:t>until 1 January 2023</w:t>
      </w:r>
      <w:r>
        <w:rPr>
          <w:w w:val="105"/>
        </w:rPr>
        <w:t>:</w:t>
      </w:r>
    </w:p>
    <w:p w14:paraId="061CF50B" w14:textId="77777777" w:rsidR="004F10CD" w:rsidRDefault="004F10CD">
      <w:pPr>
        <w:pStyle w:val="BodyText"/>
        <w:spacing w:before="11"/>
        <w:rPr>
          <w:sz w:val="17"/>
        </w:rPr>
      </w:pPr>
    </w:p>
    <w:p w14:paraId="1FF15E72" w14:textId="77777777" w:rsidR="004F10CD" w:rsidRDefault="00B6072C">
      <w:pPr>
        <w:pStyle w:val="ListParagraph"/>
        <w:numPr>
          <w:ilvl w:val="0"/>
          <w:numId w:val="1"/>
        </w:numPr>
        <w:tabs>
          <w:tab w:val="left" w:pos="1027"/>
          <w:tab w:val="left" w:pos="1028"/>
        </w:tabs>
        <w:spacing w:line="285" w:lineRule="auto"/>
        <w:ind w:right="342"/>
        <w:rPr>
          <w:sz w:val="18"/>
        </w:rPr>
      </w:pPr>
      <w:r>
        <w:rPr>
          <w:w w:val="105"/>
          <w:sz w:val="18"/>
        </w:rPr>
        <w:t>Uncontracted gas (spot cargoes) will not be offered to the international market unless equivalent volumes</w:t>
      </w:r>
      <w:r>
        <w:rPr>
          <w:spacing w:val="-5"/>
          <w:w w:val="105"/>
          <w:sz w:val="18"/>
        </w:rPr>
        <w:t xml:space="preserve"> </w:t>
      </w:r>
      <w:r>
        <w:rPr>
          <w:w w:val="105"/>
          <w:sz w:val="18"/>
        </w:rPr>
        <w:t>of</w:t>
      </w:r>
      <w:r>
        <w:rPr>
          <w:spacing w:val="-5"/>
          <w:w w:val="105"/>
          <w:sz w:val="18"/>
        </w:rPr>
        <w:t xml:space="preserve"> </w:t>
      </w:r>
      <w:r>
        <w:rPr>
          <w:w w:val="105"/>
          <w:sz w:val="18"/>
        </w:rPr>
        <w:t>gas</w:t>
      </w:r>
      <w:r>
        <w:rPr>
          <w:spacing w:val="-5"/>
          <w:w w:val="105"/>
          <w:sz w:val="18"/>
        </w:rPr>
        <w:t xml:space="preserve"> </w:t>
      </w:r>
      <w:r>
        <w:rPr>
          <w:w w:val="105"/>
          <w:sz w:val="18"/>
        </w:rPr>
        <w:t>have</w:t>
      </w:r>
      <w:r>
        <w:rPr>
          <w:spacing w:val="-7"/>
          <w:w w:val="105"/>
          <w:sz w:val="18"/>
        </w:rPr>
        <w:t xml:space="preserve"> </w:t>
      </w:r>
      <w:r>
        <w:rPr>
          <w:w w:val="105"/>
          <w:sz w:val="18"/>
        </w:rPr>
        <w:t>first</w:t>
      </w:r>
      <w:r>
        <w:rPr>
          <w:spacing w:val="-4"/>
          <w:w w:val="105"/>
          <w:sz w:val="18"/>
        </w:rPr>
        <w:t xml:space="preserve"> </w:t>
      </w:r>
      <w:r>
        <w:rPr>
          <w:w w:val="105"/>
          <w:sz w:val="18"/>
        </w:rPr>
        <w:t>been</w:t>
      </w:r>
      <w:r>
        <w:rPr>
          <w:spacing w:val="-4"/>
          <w:w w:val="105"/>
          <w:sz w:val="18"/>
        </w:rPr>
        <w:t xml:space="preserve"> </w:t>
      </w:r>
      <w:r>
        <w:rPr>
          <w:w w:val="105"/>
          <w:sz w:val="18"/>
        </w:rPr>
        <w:t>offered</w:t>
      </w:r>
      <w:r>
        <w:rPr>
          <w:spacing w:val="-3"/>
          <w:w w:val="105"/>
          <w:sz w:val="18"/>
        </w:rPr>
        <w:t xml:space="preserve"> </w:t>
      </w:r>
      <w:r>
        <w:rPr>
          <w:w w:val="105"/>
          <w:sz w:val="18"/>
        </w:rPr>
        <w:t>with</w:t>
      </w:r>
      <w:r>
        <w:rPr>
          <w:spacing w:val="-6"/>
          <w:w w:val="105"/>
          <w:sz w:val="18"/>
        </w:rPr>
        <w:t xml:space="preserve"> </w:t>
      </w:r>
      <w:r>
        <w:rPr>
          <w:w w:val="105"/>
          <w:sz w:val="18"/>
        </w:rPr>
        <w:t>reasonable</w:t>
      </w:r>
      <w:r>
        <w:rPr>
          <w:spacing w:val="-4"/>
          <w:w w:val="105"/>
          <w:sz w:val="18"/>
        </w:rPr>
        <w:t xml:space="preserve"> </w:t>
      </w:r>
      <w:r>
        <w:rPr>
          <w:w w:val="105"/>
          <w:sz w:val="18"/>
        </w:rPr>
        <w:t>notice</w:t>
      </w:r>
      <w:r>
        <w:rPr>
          <w:spacing w:val="-4"/>
          <w:w w:val="105"/>
          <w:sz w:val="18"/>
        </w:rPr>
        <w:t xml:space="preserve"> </w:t>
      </w:r>
      <w:r>
        <w:rPr>
          <w:w w:val="105"/>
          <w:sz w:val="18"/>
        </w:rPr>
        <w:t>on</w:t>
      </w:r>
      <w:r>
        <w:rPr>
          <w:spacing w:val="-5"/>
          <w:w w:val="105"/>
          <w:sz w:val="18"/>
        </w:rPr>
        <w:t xml:space="preserve"> </w:t>
      </w:r>
      <w:r>
        <w:rPr>
          <w:w w:val="105"/>
          <w:sz w:val="18"/>
        </w:rPr>
        <w:t>competitive</w:t>
      </w:r>
      <w:r>
        <w:rPr>
          <w:spacing w:val="-5"/>
          <w:w w:val="105"/>
          <w:sz w:val="18"/>
        </w:rPr>
        <w:t xml:space="preserve"> </w:t>
      </w:r>
      <w:r>
        <w:rPr>
          <w:w w:val="105"/>
          <w:sz w:val="18"/>
        </w:rPr>
        <w:t>market</w:t>
      </w:r>
      <w:r>
        <w:rPr>
          <w:spacing w:val="-6"/>
          <w:w w:val="105"/>
          <w:sz w:val="18"/>
        </w:rPr>
        <w:t xml:space="preserve"> </w:t>
      </w:r>
      <w:r>
        <w:rPr>
          <w:w w:val="105"/>
          <w:sz w:val="18"/>
        </w:rPr>
        <w:t>terms</w:t>
      </w:r>
      <w:r>
        <w:rPr>
          <w:spacing w:val="-5"/>
          <w:w w:val="105"/>
          <w:sz w:val="18"/>
        </w:rPr>
        <w:t xml:space="preserve"> </w:t>
      </w:r>
      <w:r>
        <w:rPr>
          <w:w w:val="105"/>
          <w:sz w:val="18"/>
        </w:rPr>
        <w:t>to</w:t>
      </w:r>
      <w:r>
        <w:rPr>
          <w:spacing w:val="-6"/>
          <w:w w:val="105"/>
          <w:sz w:val="18"/>
        </w:rPr>
        <w:t xml:space="preserve"> </w:t>
      </w:r>
      <w:r>
        <w:rPr>
          <w:w w:val="105"/>
          <w:sz w:val="18"/>
        </w:rPr>
        <w:t>the Australian domestic gas</w:t>
      </w:r>
      <w:r>
        <w:rPr>
          <w:spacing w:val="-18"/>
          <w:w w:val="105"/>
          <w:sz w:val="18"/>
        </w:rPr>
        <w:t xml:space="preserve"> </w:t>
      </w:r>
      <w:r>
        <w:rPr>
          <w:w w:val="105"/>
          <w:sz w:val="18"/>
        </w:rPr>
        <w:t>market.</w:t>
      </w:r>
    </w:p>
    <w:p w14:paraId="09C0FEC7" w14:textId="77777777" w:rsidR="004F10CD" w:rsidRDefault="004F10CD">
      <w:pPr>
        <w:pStyle w:val="BodyText"/>
        <w:spacing w:before="10"/>
        <w:rPr>
          <w:sz w:val="22"/>
        </w:rPr>
      </w:pPr>
    </w:p>
    <w:p w14:paraId="4BFAD715" w14:textId="77777777" w:rsidR="004F10CD" w:rsidRDefault="00B6072C">
      <w:pPr>
        <w:pStyle w:val="ListParagraph"/>
        <w:numPr>
          <w:ilvl w:val="0"/>
          <w:numId w:val="1"/>
        </w:numPr>
        <w:tabs>
          <w:tab w:val="left" w:pos="1027"/>
          <w:tab w:val="left" w:pos="1028"/>
        </w:tabs>
        <w:spacing w:line="290" w:lineRule="auto"/>
        <w:rPr>
          <w:sz w:val="18"/>
        </w:rPr>
      </w:pPr>
      <w:r>
        <w:rPr>
          <w:w w:val="105"/>
          <w:sz w:val="18"/>
        </w:rPr>
        <w:t>The signatories note that LNG netback prices based on Asian LNG spot prices play a role in influencing</w:t>
      </w:r>
      <w:r>
        <w:rPr>
          <w:spacing w:val="-4"/>
          <w:w w:val="105"/>
          <w:sz w:val="18"/>
        </w:rPr>
        <w:t xml:space="preserve"> </w:t>
      </w:r>
      <w:r>
        <w:rPr>
          <w:w w:val="105"/>
          <w:sz w:val="18"/>
        </w:rPr>
        <w:t>domestic</w:t>
      </w:r>
      <w:r>
        <w:rPr>
          <w:spacing w:val="-4"/>
          <w:w w:val="105"/>
          <w:sz w:val="18"/>
        </w:rPr>
        <w:t xml:space="preserve"> </w:t>
      </w:r>
      <w:r>
        <w:rPr>
          <w:w w:val="105"/>
          <w:sz w:val="18"/>
        </w:rPr>
        <w:t>gas</w:t>
      </w:r>
      <w:r>
        <w:rPr>
          <w:spacing w:val="-4"/>
          <w:w w:val="105"/>
          <w:sz w:val="18"/>
        </w:rPr>
        <w:t xml:space="preserve"> </w:t>
      </w:r>
      <w:r>
        <w:rPr>
          <w:w w:val="105"/>
          <w:sz w:val="18"/>
        </w:rPr>
        <w:t>prices</w:t>
      </w:r>
      <w:r>
        <w:rPr>
          <w:spacing w:val="-3"/>
          <w:w w:val="105"/>
          <w:sz w:val="18"/>
        </w:rPr>
        <w:t xml:space="preserve"> </w:t>
      </w:r>
      <w:r>
        <w:rPr>
          <w:w w:val="105"/>
          <w:sz w:val="18"/>
        </w:rPr>
        <w:t>in</w:t>
      </w:r>
      <w:r>
        <w:rPr>
          <w:spacing w:val="-5"/>
          <w:w w:val="105"/>
          <w:sz w:val="18"/>
        </w:rPr>
        <w:t xml:space="preserve"> </w:t>
      </w:r>
      <w:r>
        <w:rPr>
          <w:w w:val="105"/>
          <w:sz w:val="18"/>
        </w:rPr>
        <w:t>the</w:t>
      </w:r>
      <w:r>
        <w:rPr>
          <w:spacing w:val="-6"/>
          <w:w w:val="105"/>
          <w:sz w:val="18"/>
        </w:rPr>
        <w:t xml:space="preserve"> </w:t>
      </w:r>
      <w:r>
        <w:rPr>
          <w:w w:val="105"/>
          <w:sz w:val="18"/>
        </w:rPr>
        <w:t>East</w:t>
      </w:r>
      <w:r>
        <w:rPr>
          <w:spacing w:val="-4"/>
          <w:w w:val="105"/>
          <w:sz w:val="18"/>
        </w:rPr>
        <w:t xml:space="preserve"> </w:t>
      </w:r>
      <w:r>
        <w:rPr>
          <w:w w:val="105"/>
          <w:sz w:val="18"/>
        </w:rPr>
        <w:t>Coast</w:t>
      </w:r>
      <w:r>
        <w:rPr>
          <w:spacing w:val="-4"/>
          <w:w w:val="105"/>
          <w:sz w:val="18"/>
        </w:rPr>
        <w:t xml:space="preserve"> </w:t>
      </w:r>
      <w:r>
        <w:rPr>
          <w:w w:val="105"/>
          <w:sz w:val="18"/>
        </w:rPr>
        <w:t>gas</w:t>
      </w:r>
      <w:r>
        <w:rPr>
          <w:spacing w:val="-6"/>
          <w:w w:val="105"/>
          <w:sz w:val="18"/>
        </w:rPr>
        <w:t xml:space="preserve"> </w:t>
      </w:r>
      <w:r>
        <w:rPr>
          <w:w w:val="105"/>
          <w:sz w:val="18"/>
        </w:rPr>
        <w:t>market</w:t>
      </w:r>
      <w:r>
        <w:rPr>
          <w:spacing w:val="-3"/>
          <w:w w:val="105"/>
          <w:sz w:val="18"/>
        </w:rPr>
        <w:t xml:space="preserve"> </w:t>
      </w:r>
      <w:r>
        <w:rPr>
          <w:w w:val="105"/>
          <w:sz w:val="18"/>
        </w:rPr>
        <w:t>(as</w:t>
      </w:r>
      <w:r>
        <w:rPr>
          <w:spacing w:val="-4"/>
          <w:w w:val="105"/>
          <w:sz w:val="18"/>
        </w:rPr>
        <w:t xml:space="preserve"> </w:t>
      </w:r>
      <w:r>
        <w:rPr>
          <w:w w:val="105"/>
          <w:sz w:val="18"/>
        </w:rPr>
        <w:t>referenced</w:t>
      </w:r>
      <w:r>
        <w:rPr>
          <w:spacing w:val="-3"/>
          <w:w w:val="105"/>
          <w:sz w:val="18"/>
        </w:rPr>
        <w:t xml:space="preserve"> </w:t>
      </w:r>
      <w:r>
        <w:rPr>
          <w:w w:val="105"/>
          <w:sz w:val="18"/>
        </w:rPr>
        <w:t>by</w:t>
      </w:r>
      <w:r>
        <w:rPr>
          <w:spacing w:val="-6"/>
          <w:w w:val="105"/>
          <w:sz w:val="18"/>
        </w:rPr>
        <w:t xml:space="preserve"> </w:t>
      </w:r>
      <w:r>
        <w:rPr>
          <w:w w:val="105"/>
          <w:sz w:val="18"/>
        </w:rPr>
        <w:t>the</w:t>
      </w:r>
      <w:r>
        <w:rPr>
          <w:spacing w:val="-7"/>
          <w:w w:val="105"/>
          <w:sz w:val="18"/>
        </w:rPr>
        <w:t xml:space="preserve"> </w:t>
      </w:r>
      <w:r>
        <w:rPr>
          <w:w w:val="105"/>
          <w:sz w:val="18"/>
        </w:rPr>
        <w:t>ACCC</w:t>
      </w:r>
      <w:r>
        <w:rPr>
          <w:spacing w:val="-7"/>
          <w:w w:val="105"/>
          <w:sz w:val="18"/>
        </w:rPr>
        <w:t xml:space="preserve"> </w:t>
      </w:r>
      <w:r>
        <w:rPr>
          <w:w w:val="105"/>
          <w:sz w:val="18"/>
        </w:rPr>
        <w:t>LNG</w:t>
      </w:r>
      <w:r>
        <w:rPr>
          <w:spacing w:val="-5"/>
          <w:w w:val="105"/>
          <w:sz w:val="18"/>
        </w:rPr>
        <w:t xml:space="preserve"> </w:t>
      </w:r>
      <w:r>
        <w:rPr>
          <w:w w:val="105"/>
          <w:sz w:val="18"/>
        </w:rPr>
        <w:t xml:space="preserve">netback price series). Individual prices offered to domestic gas users will be internationally competitive and have regard to the producer’s cost of supply </w:t>
      </w:r>
      <w:r>
        <w:rPr>
          <w:spacing w:val="-3"/>
          <w:w w:val="105"/>
          <w:sz w:val="18"/>
        </w:rPr>
        <w:t xml:space="preserve">and </w:t>
      </w:r>
      <w:r>
        <w:rPr>
          <w:w w:val="105"/>
          <w:sz w:val="18"/>
        </w:rPr>
        <w:t>factors that may be relevant to users’ individual circumstances, including the terms and conditions of their gas supply agreement and any applicable transportation or</w:t>
      </w:r>
      <w:r>
        <w:rPr>
          <w:spacing w:val="-1"/>
          <w:w w:val="105"/>
          <w:sz w:val="18"/>
        </w:rPr>
        <w:t xml:space="preserve"> </w:t>
      </w:r>
      <w:proofErr w:type="spellStart"/>
      <w:r>
        <w:rPr>
          <w:w w:val="105"/>
          <w:sz w:val="18"/>
        </w:rPr>
        <w:t>retailercharges</w:t>
      </w:r>
      <w:proofErr w:type="spellEnd"/>
      <w:r>
        <w:rPr>
          <w:w w:val="105"/>
          <w:sz w:val="18"/>
        </w:rPr>
        <w:t>.</w:t>
      </w:r>
    </w:p>
    <w:p w14:paraId="711A22B5" w14:textId="77777777" w:rsidR="004F10CD" w:rsidRDefault="004F10CD">
      <w:pPr>
        <w:pStyle w:val="BodyText"/>
        <w:spacing w:before="5"/>
        <w:rPr>
          <w:sz w:val="19"/>
        </w:rPr>
      </w:pPr>
    </w:p>
    <w:p w14:paraId="12B2710B" w14:textId="77777777" w:rsidR="004F10CD" w:rsidRDefault="00B6072C">
      <w:pPr>
        <w:pStyle w:val="ListParagraph"/>
        <w:numPr>
          <w:ilvl w:val="1"/>
          <w:numId w:val="1"/>
        </w:numPr>
        <w:tabs>
          <w:tab w:val="left" w:pos="1696"/>
          <w:tab w:val="left" w:pos="1697"/>
        </w:tabs>
        <w:spacing w:line="302" w:lineRule="auto"/>
        <w:ind w:right="209"/>
        <w:rPr>
          <w:sz w:val="18"/>
        </w:rPr>
      </w:pPr>
      <w:r>
        <w:rPr>
          <w:w w:val="105"/>
          <w:sz w:val="18"/>
        </w:rPr>
        <w:t>Spot</w:t>
      </w:r>
      <w:r>
        <w:rPr>
          <w:spacing w:val="-5"/>
          <w:w w:val="105"/>
          <w:sz w:val="18"/>
        </w:rPr>
        <w:t xml:space="preserve"> </w:t>
      </w:r>
      <w:r>
        <w:rPr>
          <w:w w:val="105"/>
          <w:sz w:val="18"/>
        </w:rPr>
        <w:t>prices</w:t>
      </w:r>
      <w:r>
        <w:rPr>
          <w:spacing w:val="-2"/>
          <w:w w:val="105"/>
          <w:sz w:val="18"/>
        </w:rPr>
        <w:t xml:space="preserve"> </w:t>
      </w:r>
      <w:r>
        <w:rPr>
          <w:w w:val="105"/>
          <w:sz w:val="18"/>
        </w:rPr>
        <w:t>offered</w:t>
      </w:r>
      <w:r>
        <w:rPr>
          <w:spacing w:val="-2"/>
          <w:w w:val="105"/>
          <w:sz w:val="18"/>
        </w:rPr>
        <w:t xml:space="preserve"> </w:t>
      </w:r>
      <w:r>
        <w:rPr>
          <w:w w:val="105"/>
          <w:sz w:val="18"/>
        </w:rPr>
        <w:t>to</w:t>
      </w:r>
      <w:r>
        <w:rPr>
          <w:spacing w:val="-4"/>
          <w:w w:val="105"/>
          <w:sz w:val="18"/>
        </w:rPr>
        <w:t xml:space="preserve"> </w:t>
      </w:r>
      <w:r>
        <w:rPr>
          <w:w w:val="105"/>
          <w:sz w:val="18"/>
        </w:rPr>
        <w:t>the</w:t>
      </w:r>
      <w:r>
        <w:rPr>
          <w:spacing w:val="-4"/>
          <w:w w:val="105"/>
          <w:sz w:val="18"/>
        </w:rPr>
        <w:t xml:space="preserve"> </w:t>
      </w:r>
      <w:r>
        <w:rPr>
          <w:w w:val="105"/>
          <w:sz w:val="18"/>
        </w:rPr>
        <w:t>domestic</w:t>
      </w:r>
      <w:r>
        <w:rPr>
          <w:spacing w:val="-4"/>
          <w:w w:val="105"/>
          <w:sz w:val="18"/>
        </w:rPr>
        <w:t xml:space="preserve"> </w:t>
      </w:r>
      <w:r>
        <w:rPr>
          <w:w w:val="105"/>
          <w:sz w:val="18"/>
        </w:rPr>
        <w:t>market</w:t>
      </w:r>
      <w:r>
        <w:rPr>
          <w:spacing w:val="-4"/>
          <w:w w:val="105"/>
          <w:sz w:val="18"/>
        </w:rPr>
        <w:t xml:space="preserve"> </w:t>
      </w:r>
      <w:r>
        <w:rPr>
          <w:w w:val="105"/>
          <w:sz w:val="18"/>
        </w:rPr>
        <w:t>will</w:t>
      </w:r>
      <w:r>
        <w:rPr>
          <w:spacing w:val="-4"/>
          <w:w w:val="105"/>
          <w:sz w:val="18"/>
        </w:rPr>
        <w:t xml:space="preserve"> </w:t>
      </w:r>
      <w:r>
        <w:rPr>
          <w:w w:val="105"/>
          <w:sz w:val="18"/>
        </w:rPr>
        <w:t>have</w:t>
      </w:r>
      <w:r>
        <w:rPr>
          <w:spacing w:val="-6"/>
          <w:w w:val="105"/>
          <w:sz w:val="18"/>
        </w:rPr>
        <w:t xml:space="preserve"> </w:t>
      </w:r>
      <w:r>
        <w:rPr>
          <w:w w:val="105"/>
          <w:sz w:val="18"/>
        </w:rPr>
        <w:t>regard</w:t>
      </w:r>
      <w:r>
        <w:rPr>
          <w:spacing w:val="-3"/>
          <w:w w:val="105"/>
          <w:sz w:val="18"/>
        </w:rPr>
        <w:t xml:space="preserve"> </w:t>
      </w:r>
      <w:r>
        <w:rPr>
          <w:w w:val="105"/>
          <w:sz w:val="18"/>
        </w:rPr>
        <w:t>to</w:t>
      </w:r>
      <w:r>
        <w:rPr>
          <w:spacing w:val="-4"/>
          <w:w w:val="105"/>
          <w:sz w:val="18"/>
        </w:rPr>
        <w:t xml:space="preserve"> </w:t>
      </w:r>
      <w:r>
        <w:rPr>
          <w:w w:val="105"/>
          <w:sz w:val="18"/>
        </w:rPr>
        <w:t>the</w:t>
      </w:r>
      <w:r>
        <w:rPr>
          <w:spacing w:val="-6"/>
          <w:w w:val="105"/>
          <w:sz w:val="18"/>
        </w:rPr>
        <w:t xml:space="preserve"> </w:t>
      </w:r>
      <w:r>
        <w:rPr>
          <w:w w:val="105"/>
          <w:sz w:val="18"/>
        </w:rPr>
        <w:t>spot</w:t>
      </w:r>
      <w:r>
        <w:rPr>
          <w:spacing w:val="-7"/>
          <w:w w:val="105"/>
          <w:sz w:val="18"/>
        </w:rPr>
        <w:t xml:space="preserve"> </w:t>
      </w:r>
      <w:proofErr w:type="spellStart"/>
      <w:r>
        <w:rPr>
          <w:w w:val="105"/>
          <w:sz w:val="18"/>
        </w:rPr>
        <w:t>priceLNG</w:t>
      </w:r>
      <w:proofErr w:type="spellEnd"/>
      <w:r>
        <w:rPr>
          <w:spacing w:val="-4"/>
          <w:w w:val="105"/>
          <w:sz w:val="18"/>
        </w:rPr>
        <w:t xml:space="preserve"> </w:t>
      </w:r>
      <w:r>
        <w:rPr>
          <w:w w:val="105"/>
          <w:sz w:val="18"/>
        </w:rPr>
        <w:t>exporters could reasonably expect to receive for uncontracted gas in</w:t>
      </w:r>
      <w:r>
        <w:rPr>
          <w:spacing w:val="-31"/>
          <w:w w:val="105"/>
          <w:sz w:val="18"/>
        </w:rPr>
        <w:t xml:space="preserve"> </w:t>
      </w:r>
      <w:r>
        <w:rPr>
          <w:w w:val="105"/>
          <w:sz w:val="18"/>
        </w:rPr>
        <w:t>overseas markets.</w:t>
      </w:r>
    </w:p>
    <w:p w14:paraId="62A76D10" w14:textId="77777777" w:rsidR="004F10CD" w:rsidRDefault="004F10CD">
      <w:pPr>
        <w:pStyle w:val="BodyText"/>
        <w:spacing w:before="9"/>
        <w:rPr>
          <w:sz w:val="17"/>
        </w:rPr>
      </w:pPr>
    </w:p>
    <w:p w14:paraId="4C0FF63F" w14:textId="77777777" w:rsidR="004F10CD" w:rsidRDefault="00B6072C">
      <w:pPr>
        <w:pStyle w:val="ListParagraph"/>
        <w:numPr>
          <w:ilvl w:val="1"/>
          <w:numId w:val="1"/>
        </w:numPr>
        <w:tabs>
          <w:tab w:val="left" w:pos="1696"/>
          <w:tab w:val="left" w:pos="1697"/>
        </w:tabs>
        <w:spacing w:line="307" w:lineRule="auto"/>
        <w:ind w:right="468"/>
        <w:rPr>
          <w:sz w:val="18"/>
        </w:rPr>
      </w:pPr>
      <w:r>
        <w:rPr>
          <w:w w:val="105"/>
          <w:sz w:val="18"/>
        </w:rPr>
        <w:t>Term</w:t>
      </w:r>
      <w:r>
        <w:rPr>
          <w:spacing w:val="-9"/>
          <w:w w:val="105"/>
          <w:sz w:val="18"/>
        </w:rPr>
        <w:t xml:space="preserve"> </w:t>
      </w:r>
      <w:r>
        <w:rPr>
          <w:w w:val="105"/>
          <w:sz w:val="18"/>
        </w:rPr>
        <w:t>prices</w:t>
      </w:r>
      <w:r>
        <w:rPr>
          <w:spacing w:val="-8"/>
          <w:w w:val="105"/>
          <w:sz w:val="18"/>
        </w:rPr>
        <w:t xml:space="preserve"> </w:t>
      </w:r>
      <w:r>
        <w:rPr>
          <w:w w:val="105"/>
          <w:sz w:val="18"/>
        </w:rPr>
        <w:t>offered</w:t>
      </w:r>
      <w:r>
        <w:rPr>
          <w:spacing w:val="-5"/>
          <w:w w:val="105"/>
          <w:sz w:val="18"/>
        </w:rPr>
        <w:t xml:space="preserve"> </w:t>
      </w:r>
      <w:r>
        <w:rPr>
          <w:w w:val="105"/>
          <w:sz w:val="18"/>
        </w:rPr>
        <w:t>to</w:t>
      </w:r>
      <w:r>
        <w:rPr>
          <w:spacing w:val="-10"/>
          <w:w w:val="105"/>
          <w:sz w:val="18"/>
        </w:rPr>
        <w:t xml:space="preserve"> </w:t>
      </w:r>
      <w:r>
        <w:rPr>
          <w:w w:val="105"/>
          <w:sz w:val="18"/>
        </w:rPr>
        <w:t>the</w:t>
      </w:r>
      <w:r>
        <w:rPr>
          <w:spacing w:val="-9"/>
          <w:w w:val="105"/>
          <w:sz w:val="18"/>
        </w:rPr>
        <w:t xml:space="preserve"> </w:t>
      </w:r>
      <w:r>
        <w:rPr>
          <w:w w:val="105"/>
          <w:sz w:val="18"/>
        </w:rPr>
        <w:t>domestic</w:t>
      </w:r>
      <w:r>
        <w:rPr>
          <w:spacing w:val="-10"/>
          <w:w w:val="105"/>
          <w:sz w:val="18"/>
        </w:rPr>
        <w:t xml:space="preserve"> </w:t>
      </w:r>
      <w:r>
        <w:rPr>
          <w:w w:val="105"/>
          <w:sz w:val="18"/>
        </w:rPr>
        <w:t>market</w:t>
      </w:r>
      <w:r>
        <w:rPr>
          <w:spacing w:val="-3"/>
          <w:w w:val="105"/>
          <w:sz w:val="18"/>
        </w:rPr>
        <w:t xml:space="preserve"> </w:t>
      </w:r>
      <w:r>
        <w:rPr>
          <w:w w:val="105"/>
          <w:sz w:val="18"/>
        </w:rPr>
        <w:t>will</w:t>
      </w:r>
      <w:r>
        <w:rPr>
          <w:spacing w:val="-1"/>
          <w:w w:val="105"/>
          <w:sz w:val="18"/>
        </w:rPr>
        <w:t xml:space="preserve"> </w:t>
      </w:r>
      <w:r>
        <w:rPr>
          <w:w w:val="105"/>
          <w:sz w:val="18"/>
        </w:rPr>
        <w:t>have</w:t>
      </w:r>
      <w:r>
        <w:rPr>
          <w:spacing w:val="-9"/>
          <w:w w:val="105"/>
          <w:sz w:val="18"/>
        </w:rPr>
        <w:t xml:space="preserve"> </w:t>
      </w:r>
      <w:r>
        <w:rPr>
          <w:w w:val="105"/>
          <w:sz w:val="18"/>
        </w:rPr>
        <w:t>regard</w:t>
      </w:r>
      <w:r>
        <w:rPr>
          <w:spacing w:val="-6"/>
          <w:w w:val="105"/>
          <w:sz w:val="18"/>
        </w:rPr>
        <w:t xml:space="preserve"> </w:t>
      </w:r>
      <w:r>
        <w:rPr>
          <w:w w:val="105"/>
          <w:sz w:val="18"/>
        </w:rPr>
        <w:t>to</w:t>
      </w:r>
      <w:r>
        <w:rPr>
          <w:spacing w:val="-9"/>
          <w:w w:val="105"/>
          <w:sz w:val="18"/>
        </w:rPr>
        <w:t xml:space="preserve"> </w:t>
      </w:r>
      <w:r>
        <w:rPr>
          <w:w w:val="105"/>
          <w:sz w:val="18"/>
        </w:rPr>
        <w:t>forward</w:t>
      </w:r>
      <w:r>
        <w:rPr>
          <w:spacing w:val="-7"/>
          <w:w w:val="105"/>
          <w:sz w:val="18"/>
        </w:rPr>
        <w:t xml:space="preserve"> </w:t>
      </w:r>
      <w:r>
        <w:rPr>
          <w:w w:val="105"/>
          <w:sz w:val="18"/>
        </w:rPr>
        <w:t>term</w:t>
      </w:r>
      <w:r>
        <w:rPr>
          <w:spacing w:val="-6"/>
          <w:w w:val="105"/>
          <w:sz w:val="18"/>
        </w:rPr>
        <w:t xml:space="preserve"> </w:t>
      </w:r>
      <w:r>
        <w:rPr>
          <w:w w:val="105"/>
          <w:sz w:val="18"/>
        </w:rPr>
        <w:t>prices</w:t>
      </w:r>
      <w:r>
        <w:rPr>
          <w:spacing w:val="-8"/>
          <w:w w:val="105"/>
          <w:sz w:val="18"/>
        </w:rPr>
        <w:t xml:space="preserve"> </w:t>
      </w:r>
      <w:r>
        <w:rPr>
          <w:w w:val="105"/>
          <w:sz w:val="18"/>
        </w:rPr>
        <w:t>LNG exporters</w:t>
      </w:r>
      <w:r>
        <w:rPr>
          <w:spacing w:val="-6"/>
          <w:w w:val="105"/>
          <w:sz w:val="18"/>
        </w:rPr>
        <w:t xml:space="preserve"> </w:t>
      </w:r>
      <w:r>
        <w:rPr>
          <w:w w:val="105"/>
          <w:sz w:val="18"/>
        </w:rPr>
        <w:t>could</w:t>
      </w:r>
      <w:r>
        <w:rPr>
          <w:spacing w:val="-2"/>
          <w:w w:val="105"/>
          <w:sz w:val="18"/>
        </w:rPr>
        <w:t xml:space="preserve"> </w:t>
      </w:r>
      <w:r>
        <w:rPr>
          <w:w w:val="105"/>
          <w:sz w:val="18"/>
        </w:rPr>
        <w:t>reasonably</w:t>
      </w:r>
      <w:r>
        <w:rPr>
          <w:spacing w:val="-5"/>
          <w:w w:val="105"/>
          <w:sz w:val="18"/>
        </w:rPr>
        <w:t xml:space="preserve"> </w:t>
      </w:r>
      <w:r>
        <w:rPr>
          <w:w w:val="105"/>
          <w:sz w:val="18"/>
        </w:rPr>
        <w:t>expect</w:t>
      </w:r>
      <w:r>
        <w:rPr>
          <w:spacing w:val="-4"/>
          <w:w w:val="105"/>
          <w:sz w:val="18"/>
        </w:rPr>
        <w:t xml:space="preserve"> </w:t>
      </w:r>
      <w:r>
        <w:rPr>
          <w:w w:val="105"/>
          <w:sz w:val="18"/>
        </w:rPr>
        <w:t>to</w:t>
      </w:r>
      <w:r>
        <w:rPr>
          <w:spacing w:val="-5"/>
          <w:w w:val="105"/>
          <w:sz w:val="18"/>
        </w:rPr>
        <w:t xml:space="preserve"> </w:t>
      </w:r>
      <w:r>
        <w:rPr>
          <w:w w:val="105"/>
          <w:sz w:val="18"/>
        </w:rPr>
        <w:t>receive</w:t>
      </w:r>
      <w:r>
        <w:rPr>
          <w:spacing w:val="-2"/>
          <w:w w:val="105"/>
          <w:sz w:val="18"/>
        </w:rPr>
        <w:t xml:space="preserve"> </w:t>
      </w:r>
      <w:r>
        <w:rPr>
          <w:w w:val="105"/>
          <w:sz w:val="18"/>
        </w:rPr>
        <w:t>for</w:t>
      </w:r>
      <w:r>
        <w:rPr>
          <w:spacing w:val="-6"/>
          <w:w w:val="105"/>
          <w:sz w:val="18"/>
        </w:rPr>
        <w:t xml:space="preserve"> </w:t>
      </w:r>
      <w:r>
        <w:rPr>
          <w:w w:val="105"/>
          <w:sz w:val="18"/>
        </w:rPr>
        <w:t>uncontracted</w:t>
      </w:r>
      <w:r>
        <w:rPr>
          <w:spacing w:val="-2"/>
          <w:w w:val="105"/>
          <w:sz w:val="18"/>
        </w:rPr>
        <w:t xml:space="preserve"> </w:t>
      </w:r>
      <w:r>
        <w:rPr>
          <w:w w:val="105"/>
          <w:sz w:val="18"/>
        </w:rPr>
        <w:t>gas</w:t>
      </w:r>
      <w:r>
        <w:rPr>
          <w:spacing w:val="-4"/>
          <w:w w:val="105"/>
          <w:sz w:val="18"/>
        </w:rPr>
        <w:t xml:space="preserve"> </w:t>
      </w:r>
      <w:r>
        <w:rPr>
          <w:w w:val="105"/>
          <w:sz w:val="18"/>
        </w:rPr>
        <w:t>in</w:t>
      </w:r>
      <w:r>
        <w:rPr>
          <w:spacing w:val="-5"/>
          <w:w w:val="105"/>
          <w:sz w:val="18"/>
        </w:rPr>
        <w:t xml:space="preserve"> </w:t>
      </w:r>
      <w:proofErr w:type="spellStart"/>
      <w:r>
        <w:rPr>
          <w:w w:val="105"/>
          <w:sz w:val="18"/>
        </w:rPr>
        <w:t>overseasmarkets</w:t>
      </w:r>
      <w:proofErr w:type="spellEnd"/>
      <w:r>
        <w:rPr>
          <w:w w:val="105"/>
          <w:sz w:val="18"/>
        </w:rPr>
        <w:t>.</w:t>
      </w:r>
    </w:p>
    <w:p w14:paraId="1B66BD42" w14:textId="77777777" w:rsidR="004F10CD" w:rsidRDefault="004F10CD">
      <w:pPr>
        <w:pStyle w:val="BodyText"/>
        <w:spacing w:before="1"/>
      </w:pPr>
    </w:p>
    <w:p w14:paraId="4F7755CE" w14:textId="77777777" w:rsidR="004F10CD" w:rsidRDefault="00B6072C">
      <w:pPr>
        <w:pStyle w:val="ListParagraph"/>
        <w:numPr>
          <w:ilvl w:val="0"/>
          <w:numId w:val="1"/>
        </w:numPr>
        <w:tabs>
          <w:tab w:val="left" w:pos="1027"/>
          <w:tab w:val="left" w:pos="1028"/>
        </w:tabs>
        <w:spacing w:line="268" w:lineRule="auto"/>
        <w:ind w:right="365"/>
        <w:rPr>
          <w:sz w:val="18"/>
        </w:rPr>
      </w:pPr>
      <w:r>
        <w:rPr>
          <w:w w:val="105"/>
          <w:sz w:val="18"/>
        </w:rPr>
        <w:t xml:space="preserve">The LNG exporters, as part of the East Coast gas industry, will continue to engage with </w:t>
      </w:r>
      <w:r>
        <w:rPr>
          <w:spacing w:val="-3"/>
          <w:w w:val="105"/>
          <w:sz w:val="18"/>
        </w:rPr>
        <w:t xml:space="preserve">AEMO </w:t>
      </w:r>
      <w:r>
        <w:rPr>
          <w:w w:val="105"/>
          <w:sz w:val="18"/>
        </w:rPr>
        <w:t>on the</w:t>
      </w:r>
      <w:r>
        <w:rPr>
          <w:spacing w:val="-7"/>
          <w:w w:val="105"/>
          <w:sz w:val="18"/>
        </w:rPr>
        <w:t xml:space="preserve"> </w:t>
      </w:r>
      <w:r>
        <w:rPr>
          <w:w w:val="105"/>
          <w:sz w:val="18"/>
        </w:rPr>
        <w:t>gas</w:t>
      </w:r>
      <w:r>
        <w:rPr>
          <w:spacing w:val="-5"/>
          <w:w w:val="105"/>
          <w:sz w:val="18"/>
        </w:rPr>
        <w:t xml:space="preserve"> </w:t>
      </w:r>
      <w:r>
        <w:rPr>
          <w:w w:val="105"/>
          <w:sz w:val="18"/>
        </w:rPr>
        <w:t>supply</w:t>
      </w:r>
      <w:r>
        <w:rPr>
          <w:spacing w:val="-10"/>
          <w:w w:val="105"/>
          <w:sz w:val="18"/>
        </w:rPr>
        <w:t xml:space="preserve"> </w:t>
      </w:r>
      <w:r>
        <w:rPr>
          <w:w w:val="105"/>
          <w:sz w:val="18"/>
        </w:rPr>
        <w:t>balance</w:t>
      </w:r>
      <w:r>
        <w:rPr>
          <w:spacing w:val="-8"/>
          <w:w w:val="105"/>
          <w:sz w:val="18"/>
        </w:rPr>
        <w:t xml:space="preserve"> </w:t>
      </w:r>
      <w:r>
        <w:rPr>
          <w:w w:val="105"/>
          <w:sz w:val="18"/>
        </w:rPr>
        <w:t>and</w:t>
      </w:r>
      <w:r>
        <w:rPr>
          <w:spacing w:val="-6"/>
          <w:w w:val="105"/>
          <w:sz w:val="18"/>
        </w:rPr>
        <w:t xml:space="preserve"> </w:t>
      </w:r>
      <w:r>
        <w:rPr>
          <w:w w:val="105"/>
          <w:sz w:val="18"/>
        </w:rPr>
        <w:t>provide</w:t>
      </w:r>
      <w:r>
        <w:rPr>
          <w:spacing w:val="-11"/>
          <w:w w:val="105"/>
          <w:sz w:val="18"/>
        </w:rPr>
        <w:t xml:space="preserve"> </w:t>
      </w:r>
      <w:r>
        <w:rPr>
          <w:w w:val="105"/>
          <w:sz w:val="18"/>
        </w:rPr>
        <w:t>information</w:t>
      </w:r>
      <w:r>
        <w:rPr>
          <w:spacing w:val="-3"/>
          <w:w w:val="105"/>
          <w:sz w:val="18"/>
        </w:rPr>
        <w:t xml:space="preserve"> </w:t>
      </w:r>
      <w:r>
        <w:rPr>
          <w:w w:val="105"/>
          <w:sz w:val="18"/>
        </w:rPr>
        <w:t>to</w:t>
      </w:r>
      <w:r>
        <w:rPr>
          <w:spacing w:val="-8"/>
          <w:w w:val="105"/>
          <w:sz w:val="18"/>
        </w:rPr>
        <w:t xml:space="preserve"> </w:t>
      </w:r>
      <w:r>
        <w:rPr>
          <w:w w:val="105"/>
          <w:sz w:val="18"/>
        </w:rPr>
        <w:t>aid</w:t>
      </w:r>
      <w:r>
        <w:rPr>
          <w:spacing w:val="-11"/>
          <w:w w:val="105"/>
          <w:sz w:val="18"/>
        </w:rPr>
        <w:t xml:space="preserve"> </w:t>
      </w:r>
      <w:r>
        <w:rPr>
          <w:w w:val="105"/>
          <w:sz w:val="18"/>
        </w:rPr>
        <w:t>in</w:t>
      </w:r>
      <w:r>
        <w:rPr>
          <w:spacing w:val="-7"/>
          <w:w w:val="105"/>
          <w:sz w:val="18"/>
        </w:rPr>
        <w:t xml:space="preserve"> </w:t>
      </w:r>
      <w:r>
        <w:rPr>
          <w:w w:val="105"/>
          <w:sz w:val="18"/>
        </w:rPr>
        <w:t>forecasting</w:t>
      </w:r>
      <w:r>
        <w:rPr>
          <w:spacing w:val="-7"/>
          <w:w w:val="105"/>
          <w:sz w:val="18"/>
        </w:rPr>
        <w:t xml:space="preserve"> </w:t>
      </w:r>
      <w:r>
        <w:rPr>
          <w:w w:val="105"/>
          <w:sz w:val="18"/>
        </w:rPr>
        <w:t>supply</w:t>
      </w:r>
      <w:r>
        <w:rPr>
          <w:spacing w:val="-10"/>
          <w:w w:val="105"/>
          <w:sz w:val="18"/>
        </w:rPr>
        <w:t xml:space="preserve"> </w:t>
      </w:r>
      <w:r>
        <w:rPr>
          <w:w w:val="105"/>
          <w:sz w:val="18"/>
        </w:rPr>
        <w:t>needs</w:t>
      </w:r>
      <w:r>
        <w:rPr>
          <w:spacing w:val="-5"/>
          <w:w w:val="105"/>
          <w:sz w:val="18"/>
        </w:rPr>
        <w:t xml:space="preserve"> </w:t>
      </w:r>
      <w:r>
        <w:rPr>
          <w:w w:val="105"/>
          <w:sz w:val="18"/>
        </w:rPr>
        <w:t>for</w:t>
      </w:r>
      <w:r>
        <w:rPr>
          <w:spacing w:val="-5"/>
          <w:w w:val="105"/>
          <w:sz w:val="18"/>
        </w:rPr>
        <w:t xml:space="preserve"> </w:t>
      </w:r>
      <w:r>
        <w:rPr>
          <w:w w:val="105"/>
          <w:sz w:val="18"/>
        </w:rPr>
        <w:t>gas</w:t>
      </w:r>
      <w:r>
        <w:rPr>
          <w:spacing w:val="-17"/>
          <w:w w:val="105"/>
          <w:sz w:val="18"/>
        </w:rPr>
        <w:t xml:space="preserve"> </w:t>
      </w:r>
      <w:r>
        <w:rPr>
          <w:w w:val="105"/>
          <w:sz w:val="18"/>
        </w:rPr>
        <w:t>powered</w:t>
      </w:r>
    </w:p>
    <w:p w14:paraId="3023AEF5" w14:textId="77777777" w:rsidR="004F10CD" w:rsidRDefault="004F10CD">
      <w:pPr>
        <w:spacing w:line="268" w:lineRule="auto"/>
        <w:rPr>
          <w:sz w:val="18"/>
        </w:rPr>
        <w:sectPr w:rsidR="004F10CD">
          <w:type w:val="continuous"/>
          <w:pgSz w:w="11910" w:h="16840"/>
          <w:pgMar w:top="1180" w:right="1420" w:bottom="280" w:left="1620" w:header="720" w:footer="720" w:gutter="0"/>
          <w:cols w:space="720"/>
        </w:sectPr>
      </w:pPr>
    </w:p>
    <w:p w14:paraId="63FBAECA" w14:textId="77777777" w:rsidR="004F10CD" w:rsidRDefault="00B6072C">
      <w:pPr>
        <w:pStyle w:val="BodyText"/>
        <w:spacing w:before="50" w:line="302" w:lineRule="auto"/>
        <w:ind w:left="1027" w:right="146"/>
      </w:pPr>
      <w:r>
        <w:rPr>
          <w:w w:val="105"/>
        </w:rPr>
        <w:lastRenderedPageBreak/>
        <w:t xml:space="preserve">generation. This will include supporting efforts to make gas available to meet peak demand periods in the National Electricity Market through the Gas Supply Guarantee </w:t>
      </w:r>
      <w:proofErr w:type="spellStart"/>
      <w:r>
        <w:rPr>
          <w:w w:val="105"/>
        </w:rPr>
        <w:t>recognising</w:t>
      </w:r>
      <w:proofErr w:type="spellEnd"/>
      <w:r>
        <w:rPr>
          <w:w w:val="105"/>
        </w:rPr>
        <w:t xml:space="preserve"> that this may include industrial, commercial and residential demand.</w:t>
      </w:r>
    </w:p>
    <w:p w14:paraId="496D67A7" w14:textId="77777777" w:rsidR="004F10CD" w:rsidRDefault="004F10CD">
      <w:pPr>
        <w:pStyle w:val="BodyText"/>
        <w:spacing w:before="3"/>
      </w:pPr>
    </w:p>
    <w:p w14:paraId="052E5D92" w14:textId="77777777" w:rsidR="004F10CD" w:rsidRDefault="00B6072C">
      <w:pPr>
        <w:pStyle w:val="ListParagraph"/>
        <w:numPr>
          <w:ilvl w:val="0"/>
          <w:numId w:val="1"/>
        </w:numPr>
        <w:tabs>
          <w:tab w:val="left" w:pos="1027"/>
          <w:tab w:val="left" w:pos="1028"/>
        </w:tabs>
        <w:spacing w:line="292" w:lineRule="auto"/>
        <w:ind w:right="218"/>
        <w:rPr>
          <w:sz w:val="18"/>
        </w:rPr>
      </w:pPr>
      <w:r>
        <w:rPr>
          <w:w w:val="105"/>
          <w:sz w:val="18"/>
        </w:rPr>
        <w:t>The LNG exporters' compliance with these commitments will be conveyed to the Australian Government through regular reporting to the ACCC on sales, offers to sell and bids declined, the terms and conditions attached to these transactions and the notice given to the domestic gas market</w:t>
      </w:r>
      <w:r>
        <w:rPr>
          <w:spacing w:val="-6"/>
          <w:w w:val="105"/>
          <w:sz w:val="18"/>
        </w:rPr>
        <w:t xml:space="preserve"> </w:t>
      </w:r>
      <w:r>
        <w:rPr>
          <w:w w:val="105"/>
          <w:sz w:val="18"/>
        </w:rPr>
        <w:t>in</w:t>
      </w:r>
      <w:r>
        <w:rPr>
          <w:spacing w:val="-6"/>
          <w:w w:val="105"/>
          <w:sz w:val="18"/>
        </w:rPr>
        <w:t xml:space="preserve"> </w:t>
      </w:r>
      <w:r>
        <w:rPr>
          <w:w w:val="105"/>
          <w:sz w:val="18"/>
        </w:rPr>
        <w:t>respect</w:t>
      </w:r>
      <w:r>
        <w:rPr>
          <w:spacing w:val="-3"/>
          <w:w w:val="105"/>
          <w:sz w:val="18"/>
        </w:rPr>
        <w:t xml:space="preserve"> </w:t>
      </w:r>
      <w:r>
        <w:rPr>
          <w:w w:val="105"/>
          <w:sz w:val="18"/>
        </w:rPr>
        <w:t>of</w:t>
      </w:r>
      <w:r>
        <w:rPr>
          <w:spacing w:val="-7"/>
          <w:w w:val="105"/>
          <w:sz w:val="18"/>
        </w:rPr>
        <w:t xml:space="preserve"> </w:t>
      </w:r>
      <w:r>
        <w:rPr>
          <w:w w:val="105"/>
          <w:sz w:val="18"/>
        </w:rPr>
        <w:t>any</w:t>
      </w:r>
      <w:r>
        <w:rPr>
          <w:spacing w:val="-3"/>
          <w:w w:val="105"/>
          <w:sz w:val="18"/>
        </w:rPr>
        <w:t xml:space="preserve"> </w:t>
      </w:r>
      <w:r>
        <w:rPr>
          <w:w w:val="105"/>
          <w:sz w:val="18"/>
        </w:rPr>
        <w:t>offers</w:t>
      </w:r>
      <w:r>
        <w:rPr>
          <w:spacing w:val="-4"/>
          <w:w w:val="105"/>
          <w:sz w:val="18"/>
        </w:rPr>
        <w:t xml:space="preserve"> </w:t>
      </w:r>
      <w:r>
        <w:rPr>
          <w:w w:val="105"/>
          <w:sz w:val="18"/>
        </w:rPr>
        <w:t>made.</w:t>
      </w:r>
      <w:r>
        <w:rPr>
          <w:spacing w:val="-4"/>
          <w:w w:val="105"/>
          <w:sz w:val="18"/>
        </w:rPr>
        <w:t xml:space="preserve"> </w:t>
      </w:r>
      <w:r>
        <w:rPr>
          <w:w w:val="105"/>
          <w:sz w:val="18"/>
        </w:rPr>
        <w:t>It</w:t>
      </w:r>
      <w:r>
        <w:rPr>
          <w:spacing w:val="-4"/>
          <w:w w:val="105"/>
          <w:sz w:val="18"/>
        </w:rPr>
        <w:t xml:space="preserve"> </w:t>
      </w:r>
      <w:r>
        <w:rPr>
          <w:w w:val="105"/>
          <w:sz w:val="18"/>
        </w:rPr>
        <w:t>will</w:t>
      </w:r>
      <w:r>
        <w:rPr>
          <w:spacing w:val="-3"/>
          <w:w w:val="105"/>
          <w:sz w:val="18"/>
        </w:rPr>
        <w:t xml:space="preserve"> </w:t>
      </w:r>
      <w:r>
        <w:rPr>
          <w:w w:val="105"/>
          <w:sz w:val="18"/>
        </w:rPr>
        <w:t>also</w:t>
      </w:r>
      <w:r>
        <w:rPr>
          <w:spacing w:val="-5"/>
          <w:w w:val="105"/>
          <w:sz w:val="18"/>
        </w:rPr>
        <w:t xml:space="preserve"> </w:t>
      </w:r>
      <w:r>
        <w:rPr>
          <w:w w:val="105"/>
          <w:sz w:val="18"/>
        </w:rPr>
        <w:t>include</w:t>
      </w:r>
      <w:r>
        <w:rPr>
          <w:spacing w:val="-5"/>
          <w:w w:val="105"/>
          <w:sz w:val="18"/>
        </w:rPr>
        <w:t xml:space="preserve"> </w:t>
      </w:r>
      <w:r>
        <w:rPr>
          <w:w w:val="105"/>
          <w:sz w:val="18"/>
        </w:rPr>
        <w:t>the</w:t>
      </w:r>
      <w:r>
        <w:rPr>
          <w:spacing w:val="-5"/>
          <w:w w:val="105"/>
          <w:sz w:val="18"/>
        </w:rPr>
        <w:t xml:space="preserve"> </w:t>
      </w:r>
      <w:r>
        <w:rPr>
          <w:w w:val="105"/>
          <w:sz w:val="18"/>
        </w:rPr>
        <w:t>price</w:t>
      </w:r>
      <w:r>
        <w:rPr>
          <w:spacing w:val="-6"/>
          <w:w w:val="105"/>
          <w:sz w:val="18"/>
        </w:rPr>
        <w:t xml:space="preserve"> </w:t>
      </w:r>
      <w:r>
        <w:rPr>
          <w:w w:val="105"/>
          <w:sz w:val="18"/>
        </w:rPr>
        <w:t>expectations</w:t>
      </w:r>
      <w:r>
        <w:rPr>
          <w:spacing w:val="-4"/>
          <w:w w:val="105"/>
          <w:sz w:val="18"/>
        </w:rPr>
        <w:t xml:space="preserve"> </w:t>
      </w:r>
      <w:r>
        <w:rPr>
          <w:w w:val="105"/>
          <w:sz w:val="18"/>
        </w:rPr>
        <w:t>and</w:t>
      </w:r>
      <w:r>
        <w:rPr>
          <w:spacing w:val="-5"/>
          <w:w w:val="105"/>
          <w:sz w:val="18"/>
        </w:rPr>
        <w:t xml:space="preserve"> </w:t>
      </w:r>
      <w:r>
        <w:rPr>
          <w:w w:val="105"/>
          <w:sz w:val="18"/>
        </w:rPr>
        <w:t>assumptions</w:t>
      </w:r>
      <w:r>
        <w:rPr>
          <w:spacing w:val="-4"/>
          <w:w w:val="105"/>
          <w:sz w:val="18"/>
        </w:rPr>
        <w:t xml:space="preserve"> </w:t>
      </w:r>
      <w:r>
        <w:rPr>
          <w:w w:val="105"/>
          <w:sz w:val="18"/>
        </w:rPr>
        <w:t>for international spot and term markets for the relevant supply</w:t>
      </w:r>
      <w:r>
        <w:rPr>
          <w:spacing w:val="-27"/>
          <w:w w:val="105"/>
          <w:sz w:val="18"/>
        </w:rPr>
        <w:t xml:space="preserve"> </w:t>
      </w:r>
      <w:r>
        <w:rPr>
          <w:w w:val="105"/>
          <w:sz w:val="18"/>
        </w:rPr>
        <w:t>period.</w:t>
      </w:r>
    </w:p>
    <w:p w14:paraId="5EC84CBB" w14:textId="77777777" w:rsidR="004F10CD" w:rsidRDefault="004F10CD">
      <w:pPr>
        <w:pStyle w:val="BodyText"/>
        <w:spacing w:before="11"/>
      </w:pPr>
    </w:p>
    <w:p w14:paraId="45347F98" w14:textId="77777777" w:rsidR="004F10CD" w:rsidRDefault="00B6072C">
      <w:pPr>
        <w:pStyle w:val="BodyText"/>
        <w:spacing w:line="300" w:lineRule="auto"/>
        <w:ind w:left="227"/>
      </w:pPr>
      <w:r>
        <w:rPr>
          <w:w w:val="105"/>
        </w:rPr>
        <w:t>The ACCC will monitor and report on the progress of these commitments, as well as the operation and conduct of other market participants including buyers, non-LNG export suppliers, retailers/aggregators and pipeline operators in other areas of the gas market.</w:t>
      </w:r>
    </w:p>
    <w:p w14:paraId="0A0FC602" w14:textId="77777777" w:rsidR="004F10CD" w:rsidRDefault="004F10CD">
      <w:pPr>
        <w:pStyle w:val="BodyText"/>
        <w:spacing w:before="7"/>
      </w:pPr>
    </w:p>
    <w:p w14:paraId="1A2C01C3" w14:textId="77777777" w:rsidR="004F10CD" w:rsidRDefault="00B6072C">
      <w:pPr>
        <w:pStyle w:val="BodyText"/>
        <w:spacing w:line="302" w:lineRule="auto"/>
        <w:ind w:left="227" w:right="130"/>
      </w:pPr>
      <w:r>
        <w:rPr>
          <w:w w:val="105"/>
        </w:rPr>
        <w:t xml:space="preserve">The Australian Government will continue to work with relevant regulators and energy market bodies, including AEMO, ACCC, Australian Energy Market Commission and the Australian Energy Regulator, to build on reforms which improve the functioning of the Australian domestic gas market. The Australian Government will establish an Australian Gas Hub at our most strategically located and connected gas trading hub at </w:t>
      </w:r>
      <w:proofErr w:type="spellStart"/>
      <w:r>
        <w:rPr>
          <w:w w:val="105"/>
        </w:rPr>
        <w:t>Wallumbilla</w:t>
      </w:r>
      <w:proofErr w:type="spellEnd"/>
      <w:r>
        <w:rPr>
          <w:w w:val="105"/>
        </w:rPr>
        <w:t xml:space="preserve"> in Queensland to deliver an open, transparent and liquid gas trading system.</w:t>
      </w:r>
    </w:p>
    <w:p w14:paraId="254C50CF" w14:textId="77777777" w:rsidR="004F10CD" w:rsidRDefault="004F10CD">
      <w:pPr>
        <w:pStyle w:val="BodyText"/>
        <w:spacing w:before="11"/>
        <w:rPr>
          <w:sz w:val="17"/>
        </w:rPr>
      </w:pPr>
    </w:p>
    <w:p w14:paraId="7BC4ED29" w14:textId="77777777" w:rsidR="004F10CD" w:rsidRDefault="00B6072C">
      <w:pPr>
        <w:pStyle w:val="BodyText"/>
        <w:spacing w:before="1" w:line="302" w:lineRule="auto"/>
        <w:ind w:left="227" w:right="261"/>
      </w:pPr>
      <w:r>
        <w:rPr>
          <w:w w:val="105"/>
        </w:rPr>
        <w:t>The LNG exporters will continue to pursue efforts to develop and deliver new economically viable gas supplies from their project resources. The Australian Government will continue to advocate for the removal of state and territory-based gas exploration and development bans and moratoria and encourage jurisdictions to accelerate exploration and development.</w:t>
      </w:r>
    </w:p>
    <w:p w14:paraId="4CCB478A" w14:textId="77777777" w:rsidR="004F10CD" w:rsidRDefault="004F10CD">
      <w:pPr>
        <w:pStyle w:val="BodyText"/>
        <w:spacing w:before="12"/>
        <w:rPr>
          <w:sz w:val="17"/>
        </w:rPr>
      </w:pPr>
    </w:p>
    <w:p w14:paraId="2D844689" w14:textId="77777777" w:rsidR="004F10CD" w:rsidRDefault="00B6072C">
      <w:pPr>
        <w:pStyle w:val="BodyText"/>
        <w:spacing w:line="542" w:lineRule="auto"/>
        <w:ind w:left="227" w:right="1434"/>
      </w:pPr>
      <w:r>
        <w:rPr>
          <w:w w:val="105"/>
        </w:rPr>
        <w:t>Unlocking new supplies of gas will improve the security of supply for all Australian gas users. Signed by</w:t>
      </w:r>
    </w:p>
    <w:p w14:paraId="4692C199" w14:textId="2EE06D89" w:rsidR="004F10CD" w:rsidRDefault="004F10CD">
      <w:pPr>
        <w:pStyle w:val="BodyText"/>
      </w:pPr>
    </w:p>
    <w:p w14:paraId="72D6E075" w14:textId="77777777" w:rsidR="00210363" w:rsidRDefault="00210363">
      <w:pPr>
        <w:pStyle w:val="BodyText"/>
      </w:pPr>
    </w:p>
    <w:p w14:paraId="0719DD88" w14:textId="77777777" w:rsidR="004F10CD" w:rsidRDefault="004F10CD">
      <w:pPr>
        <w:pStyle w:val="BodyText"/>
      </w:pPr>
    </w:p>
    <w:p w14:paraId="065460CF" w14:textId="77777777" w:rsidR="004F10CD" w:rsidRDefault="004F10CD">
      <w:pPr>
        <w:pStyle w:val="BodyText"/>
      </w:pPr>
    </w:p>
    <w:p w14:paraId="6E1293BA" w14:textId="77777777" w:rsidR="004F10CD" w:rsidRDefault="004F10CD">
      <w:pPr>
        <w:pStyle w:val="BodyText"/>
      </w:pPr>
    </w:p>
    <w:p w14:paraId="14716CD6" w14:textId="77777777" w:rsidR="00210363" w:rsidRDefault="00B6072C" w:rsidP="00210363">
      <w:pPr>
        <w:pStyle w:val="BodyText"/>
        <w:tabs>
          <w:tab w:val="left" w:pos="5598"/>
          <w:tab w:val="left" w:pos="6436"/>
          <w:tab w:val="left" w:pos="6890"/>
        </w:tabs>
        <w:spacing w:before="127"/>
        <w:ind w:left="227"/>
        <w:rPr>
          <w:w w:val="105"/>
        </w:rPr>
      </w:pPr>
      <w:r>
        <w:rPr>
          <w:w w:val="105"/>
        </w:rPr>
        <w:t>The</w:t>
      </w:r>
      <w:r>
        <w:rPr>
          <w:spacing w:val="-8"/>
          <w:w w:val="105"/>
        </w:rPr>
        <w:t xml:space="preserve"> </w:t>
      </w:r>
      <w:r>
        <w:rPr>
          <w:w w:val="105"/>
        </w:rPr>
        <w:t>Hon</w:t>
      </w:r>
      <w:r>
        <w:rPr>
          <w:spacing w:val="-4"/>
          <w:w w:val="105"/>
        </w:rPr>
        <w:t xml:space="preserve"> </w:t>
      </w:r>
      <w:r>
        <w:rPr>
          <w:w w:val="105"/>
        </w:rPr>
        <w:t>Scott</w:t>
      </w:r>
      <w:r>
        <w:rPr>
          <w:spacing w:val="-5"/>
          <w:w w:val="105"/>
        </w:rPr>
        <w:t xml:space="preserve"> </w:t>
      </w:r>
      <w:r>
        <w:rPr>
          <w:w w:val="105"/>
        </w:rPr>
        <w:t>Morrison</w:t>
      </w:r>
      <w:r>
        <w:rPr>
          <w:spacing w:val="-6"/>
          <w:w w:val="105"/>
        </w:rPr>
        <w:t xml:space="preserve"> </w:t>
      </w:r>
      <w:r>
        <w:rPr>
          <w:w w:val="105"/>
        </w:rPr>
        <w:t>MP,</w:t>
      </w:r>
      <w:r>
        <w:rPr>
          <w:spacing w:val="-3"/>
          <w:w w:val="105"/>
        </w:rPr>
        <w:t xml:space="preserve"> </w:t>
      </w:r>
      <w:r>
        <w:rPr>
          <w:w w:val="105"/>
        </w:rPr>
        <w:t>Prime</w:t>
      </w:r>
      <w:r>
        <w:rPr>
          <w:spacing w:val="-6"/>
          <w:w w:val="105"/>
        </w:rPr>
        <w:t xml:space="preserve"> </w:t>
      </w:r>
      <w:r>
        <w:rPr>
          <w:w w:val="105"/>
        </w:rPr>
        <w:t>Minister</w:t>
      </w:r>
      <w:r>
        <w:rPr>
          <w:spacing w:val="-3"/>
          <w:w w:val="105"/>
        </w:rPr>
        <w:t xml:space="preserve"> </w:t>
      </w:r>
      <w:r>
        <w:rPr>
          <w:w w:val="105"/>
        </w:rPr>
        <w:t>of</w:t>
      </w:r>
      <w:r>
        <w:rPr>
          <w:spacing w:val="-7"/>
          <w:w w:val="105"/>
        </w:rPr>
        <w:t xml:space="preserve"> </w:t>
      </w:r>
      <w:r>
        <w:rPr>
          <w:w w:val="105"/>
        </w:rPr>
        <w:t>Australia</w:t>
      </w:r>
      <w:r>
        <w:rPr>
          <w:w w:val="105"/>
        </w:rPr>
        <w:tab/>
        <w:t>Date:</w:t>
      </w:r>
      <w:r>
        <w:rPr>
          <w:w w:val="105"/>
        </w:rPr>
        <w:tab/>
        <w:t>/</w:t>
      </w:r>
      <w:r>
        <w:rPr>
          <w:w w:val="105"/>
        </w:rPr>
        <w:tab/>
        <w:t>/</w:t>
      </w:r>
    </w:p>
    <w:p w14:paraId="6AB43A81" w14:textId="77777777" w:rsidR="00210363" w:rsidRDefault="00210363" w:rsidP="00210363">
      <w:pPr>
        <w:pStyle w:val="BodyText"/>
        <w:tabs>
          <w:tab w:val="left" w:pos="5598"/>
          <w:tab w:val="left" w:pos="6436"/>
          <w:tab w:val="left" w:pos="6890"/>
        </w:tabs>
        <w:spacing w:before="127"/>
        <w:ind w:left="227"/>
        <w:rPr>
          <w:w w:val="105"/>
        </w:rPr>
      </w:pPr>
    </w:p>
    <w:p w14:paraId="45A335E8" w14:textId="77777777" w:rsidR="005E488B" w:rsidRDefault="00210363" w:rsidP="00210363">
      <w:pPr>
        <w:pStyle w:val="BodyText"/>
        <w:tabs>
          <w:tab w:val="left" w:pos="5598"/>
          <w:tab w:val="left" w:pos="6436"/>
          <w:tab w:val="left" w:pos="6890"/>
        </w:tabs>
        <w:spacing w:before="127"/>
        <w:ind w:left="227"/>
      </w:pPr>
      <w:r>
        <w:t xml:space="preserve">                  </w:t>
      </w:r>
    </w:p>
    <w:p w14:paraId="72A9D98B" w14:textId="2157D59B" w:rsidR="00210363" w:rsidRPr="00210363" w:rsidRDefault="00210363" w:rsidP="00210363">
      <w:pPr>
        <w:pStyle w:val="BodyText"/>
        <w:tabs>
          <w:tab w:val="left" w:pos="5598"/>
          <w:tab w:val="left" w:pos="6436"/>
          <w:tab w:val="left" w:pos="6890"/>
        </w:tabs>
        <w:spacing w:before="127"/>
        <w:ind w:left="227"/>
      </w:pPr>
      <w:r>
        <w:t xml:space="preserve">              </w:t>
      </w:r>
      <w:r w:rsidR="00B6072C">
        <w:t xml:space="preserve">       </w:t>
      </w:r>
      <w:r>
        <w:t xml:space="preserve">                 </w:t>
      </w:r>
    </w:p>
    <w:tbl>
      <w:tblPr>
        <w:tblW w:w="9380" w:type="dxa"/>
        <w:tblInd w:w="118" w:type="dxa"/>
        <w:tblLayout w:type="fixed"/>
        <w:tblCellMar>
          <w:left w:w="0" w:type="dxa"/>
          <w:right w:w="0" w:type="dxa"/>
        </w:tblCellMar>
        <w:tblLook w:val="01E0" w:firstRow="1" w:lastRow="1" w:firstColumn="1" w:lastColumn="1" w:noHBand="0" w:noVBand="0"/>
        <w:tblDescription w:val="Table used for formatting signatures"/>
      </w:tblPr>
      <w:tblGrid>
        <w:gridCol w:w="3432"/>
        <w:gridCol w:w="5948"/>
      </w:tblGrid>
      <w:tr w:rsidR="00210363" w14:paraId="43610244" w14:textId="77777777" w:rsidTr="00EB0FB1">
        <w:trPr>
          <w:trHeight w:val="1068"/>
        </w:trPr>
        <w:tc>
          <w:tcPr>
            <w:tcW w:w="3432" w:type="dxa"/>
          </w:tcPr>
          <w:p w14:paraId="7EBF433C" w14:textId="77777777" w:rsidR="00210363" w:rsidRDefault="00210363" w:rsidP="00EB0FB1">
            <w:pPr>
              <w:pStyle w:val="TableParagraph"/>
              <w:spacing w:line="205" w:lineRule="exact"/>
              <w:ind w:left="200"/>
              <w:rPr>
                <w:sz w:val="20"/>
              </w:rPr>
            </w:pPr>
          </w:p>
          <w:p w14:paraId="73875995" w14:textId="5E690A5C" w:rsidR="00210363" w:rsidRDefault="00210363" w:rsidP="00EB0FB1">
            <w:pPr>
              <w:pStyle w:val="TableParagraph"/>
              <w:spacing w:line="205" w:lineRule="exact"/>
              <w:ind w:left="200"/>
              <w:rPr>
                <w:sz w:val="20"/>
              </w:rPr>
            </w:pPr>
            <w:r>
              <w:rPr>
                <w:sz w:val="20"/>
              </w:rPr>
              <w:t>Nick McKenna</w:t>
            </w:r>
          </w:p>
          <w:p w14:paraId="790BA0DB" w14:textId="2E1D2350" w:rsidR="00210363" w:rsidRDefault="00210363" w:rsidP="00EB0FB1">
            <w:pPr>
              <w:pStyle w:val="TableParagraph"/>
              <w:spacing w:line="205" w:lineRule="exact"/>
              <w:ind w:left="200"/>
              <w:rPr>
                <w:sz w:val="20"/>
              </w:rPr>
            </w:pPr>
            <w:r>
              <w:rPr>
                <w:sz w:val="20"/>
              </w:rPr>
              <w:t>CEO of APLNG          Date: 30/12/2020</w:t>
            </w:r>
          </w:p>
        </w:tc>
        <w:tc>
          <w:tcPr>
            <w:tcW w:w="5948" w:type="dxa"/>
          </w:tcPr>
          <w:p w14:paraId="7DFCDCD3" w14:textId="77777777" w:rsidR="00210363" w:rsidRDefault="00210363" w:rsidP="00210363">
            <w:pPr>
              <w:pStyle w:val="TableParagraph"/>
              <w:spacing w:line="205" w:lineRule="exact"/>
              <w:ind w:left="1397"/>
              <w:rPr>
                <w:sz w:val="20"/>
              </w:rPr>
            </w:pPr>
          </w:p>
          <w:p w14:paraId="46192244" w14:textId="03DADA7F" w:rsidR="00210363" w:rsidRPr="00210363" w:rsidRDefault="00210363" w:rsidP="00210363">
            <w:pPr>
              <w:pStyle w:val="TableParagraph"/>
              <w:spacing w:line="205" w:lineRule="exact"/>
              <w:ind w:left="1397"/>
              <w:rPr>
                <w:sz w:val="20"/>
              </w:rPr>
            </w:pPr>
            <w:r w:rsidRPr="00210363">
              <w:rPr>
                <w:sz w:val="20"/>
              </w:rPr>
              <w:t>Godson Njoku</w:t>
            </w:r>
          </w:p>
          <w:p w14:paraId="4E26D909" w14:textId="4ED1D4DF" w:rsidR="00210363" w:rsidRDefault="00210363" w:rsidP="00210363">
            <w:pPr>
              <w:pStyle w:val="TableParagraph"/>
              <w:spacing w:line="205" w:lineRule="exact"/>
              <w:ind w:left="1397"/>
              <w:rPr>
                <w:sz w:val="20"/>
              </w:rPr>
            </w:pPr>
            <w:r w:rsidRPr="00210363">
              <w:rPr>
                <w:sz w:val="20"/>
              </w:rPr>
              <w:t>VP of QGC on behalf of QCLNG</w:t>
            </w:r>
            <w:r>
              <w:rPr>
                <w:sz w:val="20"/>
              </w:rPr>
              <w:t xml:space="preserve">          Date: 30/12/2020</w:t>
            </w:r>
          </w:p>
        </w:tc>
      </w:tr>
      <w:tr w:rsidR="00210363" w14:paraId="206F16E1" w14:textId="77777777" w:rsidTr="00EB0FB1">
        <w:trPr>
          <w:trHeight w:val="80"/>
        </w:trPr>
        <w:tc>
          <w:tcPr>
            <w:tcW w:w="3432" w:type="dxa"/>
          </w:tcPr>
          <w:p w14:paraId="6A34BDB6" w14:textId="77777777" w:rsidR="005E488B" w:rsidRDefault="005E488B" w:rsidP="00210363">
            <w:pPr>
              <w:pStyle w:val="TableParagraph"/>
              <w:rPr>
                <w:noProof/>
                <w:sz w:val="20"/>
                <w:szCs w:val="20"/>
                <w:lang w:val="en-AU" w:eastAsia="en-AU"/>
              </w:rPr>
            </w:pPr>
          </w:p>
          <w:p w14:paraId="045ED878" w14:textId="77777777" w:rsidR="005E488B" w:rsidRDefault="005E488B" w:rsidP="00210363">
            <w:pPr>
              <w:pStyle w:val="TableParagraph"/>
              <w:rPr>
                <w:noProof/>
                <w:sz w:val="20"/>
                <w:szCs w:val="20"/>
                <w:lang w:val="en-AU" w:eastAsia="en-AU"/>
              </w:rPr>
            </w:pPr>
          </w:p>
          <w:p w14:paraId="717F245C" w14:textId="2CA8FE69" w:rsidR="00210363" w:rsidRPr="00210363" w:rsidRDefault="00B6072C" w:rsidP="00210363">
            <w:pPr>
              <w:pStyle w:val="TableParagraph"/>
              <w:rPr>
                <w:w w:val="105"/>
                <w:sz w:val="20"/>
                <w:szCs w:val="20"/>
              </w:rPr>
            </w:pPr>
            <w:r>
              <w:rPr>
                <w:w w:val="105"/>
                <w:sz w:val="20"/>
                <w:szCs w:val="20"/>
              </w:rPr>
              <w:t xml:space="preserve"> </w:t>
            </w:r>
          </w:p>
          <w:p w14:paraId="0DC648B0" w14:textId="6FE57470" w:rsidR="00210363" w:rsidRPr="00210363" w:rsidRDefault="00210363" w:rsidP="00210363">
            <w:pPr>
              <w:pStyle w:val="TableParagraph"/>
              <w:rPr>
                <w:sz w:val="20"/>
                <w:szCs w:val="20"/>
              </w:rPr>
            </w:pPr>
            <w:r w:rsidRPr="00210363">
              <w:rPr>
                <w:w w:val="105"/>
                <w:sz w:val="20"/>
                <w:szCs w:val="20"/>
              </w:rPr>
              <w:t xml:space="preserve">   </w:t>
            </w:r>
            <w:r>
              <w:rPr>
                <w:w w:val="105"/>
                <w:sz w:val="20"/>
                <w:szCs w:val="20"/>
              </w:rPr>
              <w:t xml:space="preserve"> </w:t>
            </w:r>
            <w:r w:rsidRPr="00210363">
              <w:rPr>
                <w:w w:val="105"/>
                <w:sz w:val="20"/>
                <w:szCs w:val="20"/>
              </w:rPr>
              <w:t xml:space="preserve"> Stephen Harty</w:t>
            </w:r>
          </w:p>
          <w:p w14:paraId="595072A5" w14:textId="3394E50C" w:rsidR="00210363" w:rsidRPr="00210363" w:rsidRDefault="00210363" w:rsidP="00EB0FB1">
            <w:pPr>
              <w:pStyle w:val="TableParagraph"/>
              <w:spacing w:line="221" w:lineRule="exact"/>
              <w:ind w:left="200"/>
              <w:rPr>
                <w:sz w:val="20"/>
                <w:szCs w:val="20"/>
              </w:rPr>
            </w:pPr>
            <w:r w:rsidRPr="00210363">
              <w:rPr>
                <w:sz w:val="20"/>
                <w:szCs w:val="20"/>
              </w:rPr>
              <w:t>CEO of GLNG            Date: 30/12/2020</w:t>
            </w:r>
          </w:p>
        </w:tc>
        <w:tc>
          <w:tcPr>
            <w:tcW w:w="5948" w:type="dxa"/>
          </w:tcPr>
          <w:p w14:paraId="7E4B0E43" w14:textId="77777777" w:rsidR="00210363" w:rsidRPr="00210363" w:rsidRDefault="00210363" w:rsidP="00EB0FB1">
            <w:pPr>
              <w:pStyle w:val="TableParagraph"/>
              <w:rPr>
                <w:rFonts w:ascii="Times New Roman"/>
                <w:sz w:val="20"/>
                <w:szCs w:val="20"/>
              </w:rPr>
            </w:pPr>
          </w:p>
        </w:tc>
      </w:tr>
    </w:tbl>
    <w:p w14:paraId="3C589FD0" w14:textId="77777777" w:rsidR="00210363" w:rsidRDefault="00210363">
      <w:pPr>
        <w:pStyle w:val="BodyText"/>
        <w:rPr>
          <w:sz w:val="20"/>
        </w:rPr>
      </w:pPr>
    </w:p>
    <w:sectPr w:rsidR="00210363">
      <w:pgSz w:w="11910" w:h="16840"/>
      <w:pgMar w:top="1240" w:right="1420" w:bottom="28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757AA"/>
    <w:multiLevelType w:val="hybridMultilevel"/>
    <w:tmpl w:val="D8D4EBAA"/>
    <w:lvl w:ilvl="0" w:tplc="61FEE412">
      <w:start w:val="1"/>
      <w:numFmt w:val="decimal"/>
      <w:lvlText w:val="%1."/>
      <w:lvlJc w:val="left"/>
      <w:pPr>
        <w:ind w:left="1027" w:hanging="399"/>
        <w:jc w:val="left"/>
      </w:pPr>
      <w:rPr>
        <w:rFonts w:ascii="Calibri" w:eastAsia="Calibri" w:hAnsi="Calibri" w:cs="Calibri" w:hint="default"/>
        <w:spacing w:val="-2"/>
        <w:w w:val="103"/>
        <w:sz w:val="20"/>
        <w:szCs w:val="20"/>
      </w:rPr>
    </w:lvl>
    <w:lvl w:ilvl="1" w:tplc="390C113C">
      <w:start w:val="1"/>
      <w:numFmt w:val="lowerLetter"/>
      <w:lvlText w:val="%2."/>
      <w:lvlJc w:val="left"/>
      <w:pPr>
        <w:ind w:left="1696" w:hanging="406"/>
        <w:jc w:val="left"/>
      </w:pPr>
      <w:rPr>
        <w:rFonts w:ascii="Calibri" w:eastAsia="Calibri" w:hAnsi="Calibri" w:cs="Calibri" w:hint="default"/>
        <w:spacing w:val="0"/>
        <w:w w:val="104"/>
        <w:sz w:val="18"/>
        <w:szCs w:val="18"/>
      </w:rPr>
    </w:lvl>
    <w:lvl w:ilvl="2" w:tplc="84EA7F6A">
      <w:numFmt w:val="bullet"/>
      <w:lvlText w:val="•"/>
      <w:lvlJc w:val="left"/>
      <w:pPr>
        <w:ind w:left="2496" w:hanging="406"/>
      </w:pPr>
      <w:rPr>
        <w:rFonts w:hint="default"/>
      </w:rPr>
    </w:lvl>
    <w:lvl w:ilvl="3" w:tplc="A4281FA0">
      <w:numFmt w:val="bullet"/>
      <w:lvlText w:val="•"/>
      <w:lvlJc w:val="left"/>
      <w:pPr>
        <w:ind w:left="3292" w:hanging="406"/>
      </w:pPr>
      <w:rPr>
        <w:rFonts w:hint="default"/>
      </w:rPr>
    </w:lvl>
    <w:lvl w:ilvl="4" w:tplc="874AB452">
      <w:numFmt w:val="bullet"/>
      <w:lvlText w:val="•"/>
      <w:lvlJc w:val="left"/>
      <w:pPr>
        <w:ind w:left="4088" w:hanging="406"/>
      </w:pPr>
      <w:rPr>
        <w:rFonts w:hint="default"/>
      </w:rPr>
    </w:lvl>
    <w:lvl w:ilvl="5" w:tplc="21A04EA2">
      <w:numFmt w:val="bullet"/>
      <w:lvlText w:val="•"/>
      <w:lvlJc w:val="left"/>
      <w:pPr>
        <w:ind w:left="4884" w:hanging="406"/>
      </w:pPr>
      <w:rPr>
        <w:rFonts w:hint="default"/>
      </w:rPr>
    </w:lvl>
    <w:lvl w:ilvl="6" w:tplc="F3464988">
      <w:numFmt w:val="bullet"/>
      <w:lvlText w:val="•"/>
      <w:lvlJc w:val="left"/>
      <w:pPr>
        <w:ind w:left="5680" w:hanging="406"/>
      </w:pPr>
      <w:rPr>
        <w:rFonts w:hint="default"/>
      </w:rPr>
    </w:lvl>
    <w:lvl w:ilvl="7" w:tplc="4440B764">
      <w:numFmt w:val="bullet"/>
      <w:lvlText w:val="•"/>
      <w:lvlJc w:val="left"/>
      <w:pPr>
        <w:ind w:left="6477" w:hanging="406"/>
      </w:pPr>
      <w:rPr>
        <w:rFonts w:hint="default"/>
      </w:rPr>
    </w:lvl>
    <w:lvl w:ilvl="8" w:tplc="FAD44308">
      <w:numFmt w:val="bullet"/>
      <w:lvlText w:val="•"/>
      <w:lvlJc w:val="left"/>
      <w:pPr>
        <w:ind w:left="7273" w:hanging="40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0CD"/>
    <w:rsid w:val="00210363"/>
    <w:rsid w:val="00295DE1"/>
    <w:rsid w:val="004F10CD"/>
    <w:rsid w:val="005E488B"/>
    <w:rsid w:val="006207F7"/>
    <w:rsid w:val="00653F79"/>
    <w:rsid w:val="00B6072C"/>
    <w:rsid w:val="00C613D1"/>
    <w:rsid w:val="00CC5412"/>
    <w:rsid w:val="00FD78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26C2"/>
  <w15:docId w15:val="{F9924B8D-C610-4BC9-9481-D620BB62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5"/>
      <w:ind w:left="2901" w:hanging="821"/>
      <w:outlineLvl w:val="0"/>
    </w:pPr>
    <w:rPr>
      <w:rFonts w:ascii="Tahoma" w:eastAsia="Tahoma" w:hAnsi="Tahoma" w:cs="Tahoma"/>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027" w:right="128" w:hanging="399"/>
    </w:pPr>
  </w:style>
  <w:style w:type="paragraph" w:customStyle="1" w:styleId="TableParagraph">
    <w:name w:val="Table Paragraph"/>
    <w:basedOn w:val="Normal"/>
    <w:uiPriority w:val="1"/>
    <w:qFormat/>
    <w:pPr>
      <w:spacing w:line="174"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895E4B092C0C4D96D1B67E070D1144" ma:contentTypeVersion="15" ma:contentTypeDescription="Create a new document." ma:contentTypeScope="" ma:versionID="a29f632ccfe7be867f2dd71e893384af">
  <xsd:schema xmlns:xsd="http://www.w3.org/2001/XMLSchema" xmlns:xs="http://www.w3.org/2001/XMLSchema" xmlns:p="http://schemas.microsoft.com/office/2006/metadata/properties" xmlns:ns1="http://schemas.microsoft.com/sharepoint/v3" xmlns:ns2="76c08405-89e9-4c57-a585-b31d7bded94b" targetNamespace="http://schemas.microsoft.com/office/2006/metadata/properties" ma:root="true" ma:fieldsID="f924489bb3bdbbf0321e3926cebd2479" ns1:_="" ns2:_="">
    <xsd:import namespace="http://schemas.microsoft.com/sharepoint/v3"/>
    <xsd:import namespace="76c08405-89e9-4c57-a585-b31d7bded94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e63cd534a94446d68abe1904a0bcdfb2"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c5ba17a-3f2a-4545-afd8-a313ff44f94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e63cd534a94446d68abe1904a0bcdfb2" ma:index="24" nillable="true" ma:taxonomy="true" ma:internalName="e63cd534a94446d68abe1904a0bcdfb2" ma:taxonomyFieldName="DocHub_WorkTopic" ma:displayName="Work Topic" ma:indexed="true"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a25a1a23adf4c92a153145de6afe324 xmlns="76c08405-89e9-4c57-a585-b31d7bded94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e63cd534a94446d68abe1904a0bcdfb2 xmlns="76c08405-89e9-4c57-a585-b31d7bded94b">
      <Terms xmlns="http://schemas.microsoft.com/office/infopath/2007/PartnerControls"/>
    </e63cd534a94446d68abe1904a0bcdfb2>
    <adb9bed2e36e4a93af574aeb444da63e xmlns="76c08405-89e9-4c57-a585-b31d7bded94b">
      <Terms xmlns="http://schemas.microsoft.com/office/infopath/2007/PartnerControls"/>
    </adb9bed2e36e4a93af574aeb444da63e>
    <pe2555c81638466f9eb614edb9ecde52 xmlns="76c08405-89e9-4c57-a585-b31d7bded94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n99e4c9942c6404eb103464a00e6097b xmlns="76c08405-89e9-4c57-a585-b31d7bded94b">
      <Terms xmlns="http://schemas.microsoft.com/office/infopath/2007/PartnerControls"/>
    </n99e4c9942c6404eb103464a00e6097b>
    <TaxCatchAll xmlns="76c08405-89e9-4c57-a585-b31d7bded94b">
      <Value>22</Value>
      <Value>1</Value>
    </TaxCatchAll>
    <g7bcb40ba23249a78edca7d43a67c1c9 xmlns="76c08405-89e9-4c57-a585-b31d7bded94b">
      <Terms xmlns="http://schemas.microsoft.com/office/infopath/2007/PartnerControls"/>
    </g7bcb40ba23249a78edca7d43a67c1c9>
    <Comments xmlns="http://schemas.microsoft.com/sharepoint/v3" xsi:nil="true"/>
    <_dlc_DocId xmlns="76c08405-89e9-4c57-a585-b31d7bded94b">P77SRJCMCQEC-757202701-607</_dlc_DocId>
    <_dlc_DocIdUrl xmlns="76c08405-89e9-4c57-a585-b31d7bded94b">
      <Url>https://dochub/div/resources/businessfunctions/offshoreresources/unconventionalgas/DGSM/_layouts/15/DocIdRedir.aspx?ID=P77SRJCMCQEC-757202701-607</Url>
      <Description>P77SRJCMCQEC-757202701-607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FC627AA-1B5F-4C9E-8A6F-B12057ABA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1FA69E-F115-4EE7-9C70-031EC7C9E022}">
  <ds:schemaRefs>
    <ds:schemaRef ds:uri="http://purl.org/dc/terms/"/>
    <ds:schemaRef ds:uri="http://schemas.openxmlformats.org/package/2006/metadata/core-properties"/>
    <ds:schemaRef ds:uri="http://schemas.microsoft.com/office/2006/documentManagement/types"/>
    <ds:schemaRef ds:uri="76c08405-89e9-4c57-a585-b31d7bded94b"/>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5A241C1-534F-4638-9F46-3639E4B53C69}">
  <ds:schemaRefs>
    <ds:schemaRef ds:uri="http://schemas.microsoft.com/sharepoint/v3/contenttype/forms"/>
  </ds:schemaRefs>
</ds:datastoreItem>
</file>

<file path=customXml/itemProps4.xml><?xml version="1.0" encoding="utf-8"?>
<ds:datastoreItem xmlns:ds="http://schemas.openxmlformats.org/officeDocument/2006/customXml" ds:itemID="{1DCBB987-CB78-4939-ACE7-9B61DD0B71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Heads of Agreement: The Australian East Coast Domestic Gas Supply Commitment</vt:lpstr>
    </vt:vector>
  </TitlesOfParts>
  <Company/>
  <LinksUpToDate>false</LinksUpToDate>
  <CharactersWithSpaces>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Heads of Agreement: The Australian East Coast Domestic Gas Supply Commitment</dc:title>
  <dc:creator>Damian Dwyer</dc:creator>
  <cp:lastModifiedBy>Francis, Sophie</cp:lastModifiedBy>
  <cp:revision>2</cp:revision>
  <cp:lastPrinted>2020-12-31T03:18:00Z</cp:lastPrinted>
  <dcterms:created xsi:type="dcterms:W3CDTF">2021-01-20T06:55:00Z</dcterms:created>
  <dcterms:modified xsi:type="dcterms:W3CDTF">2021-01-20T06:55:00Z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LastSaved">
    <vt:filetime>2020-12-31T00:00:00Z</vt:filetime>
  </property>
  <property fmtid="{D5CDD505-2E9C-101B-9397-08002B2CF9AE}" pid="4" name="ContentTypeId">
    <vt:lpwstr>0x010100BF895E4B092C0C4D96D1B67E070D1144</vt:lpwstr>
  </property>
  <property fmtid="{D5CDD505-2E9C-101B-9397-08002B2CF9AE}" pid="5" name="_dlc_DocIdItemGuid">
    <vt:lpwstr>ba83a54b-f323-4260-a502-63727feb9f54</vt:lpwstr>
  </property>
  <property fmtid="{D5CDD505-2E9C-101B-9397-08002B2CF9AE}" pid="6" name="DocHub_Year">
    <vt:lpwstr/>
  </property>
  <property fmtid="{D5CDD505-2E9C-101B-9397-08002B2CF9AE}" pid="7" name="DocHub_DocumentType">
    <vt:lpwstr>22;#Agreement|c6630c04-0bc4-43ff-8b03-b6b33ea18931</vt:lpwstr>
  </property>
  <property fmtid="{D5CDD505-2E9C-101B-9397-08002B2CF9AE}" pid="8" name="DocHub_SecurityClassification">
    <vt:lpwstr>1;#OFFICIAL|6106d03b-a1a0-4e30-9d91-d5e9fb4314f9</vt:lpwstr>
  </property>
  <property fmtid="{D5CDD505-2E9C-101B-9397-08002B2CF9AE}" pid="9" name="DocHub_Keywords">
    <vt:lpwstr/>
  </property>
  <property fmtid="{D5CDD505-2E9C-101B-9397-08002B2CF9AE}" pid="10" name="DocHub_WorkActivity">
    <vt:lpwstr/>
  </property>
  <property fmtid="{D5CDD505-2E9C-101B-9397-08002B2CF9AE}" pid="11" name="DocHub_WorkTopic">
    <vt:lpwstr/>
  </property>
</Properties>
</file>