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446E8" w14:textId="6EE41DB9" w:rsidR="008B42B7" w:rsidRDefault="008B42B7" w:rsidP="00C3530A">
      <w:pPr>
        <w:pStyle w:val="Title"/>
        <w:spacing w:after="0" w:line="240" w:lineRule="auto"/>
        <w:rPr>
          <w:sz w:val="44"/>
          <w:szCs w:val="44"/>
        </w:rPr>
      </w:pPr>
      <w:bookmarkStart w:id="0" w:name="_Toc452644134"/>
      <w:bookmarkStart w:id="1" w:name="_Toc452709197"/>
      <w:bookmarkStart w:id="2" w:name="_Toc468884674"/>
      <w:bookmarkStart w:id="3" w:name="_GoBack"/>
      <w:bookmarkEnd w:id="3"/>
    </w:p>
    <w:p w14:paraId="4055422F" w14:textId="7F9C2E04" w:rsidR="006352F3" w:rsidRDefault="006352F3" w:rsidP="00C3530A">
      <w:pPr>
        <w:spacing w:line="240" w:lineRule="auto"/>
      </w:pPr>
    </w:p>
    <w:p w14:paraId="3881E2A3" w14:textId="77777777" w:rsidR="002119EA" w:rsidRPr="00290DAE" w:rsidRDefault="006F6665" w:rsidP="00C3530A">
      <w:pPr>
        <w:pStyle w:val="Title"/>
        <w:spacing w:after="0" w:line="240" w:lineRule="auto"/>
        <w:rPr>
          <w:rFonts w:ascii="Arial" w:hAnsi="Arial" w:cs="Arial"/>
          <w:color w:val="1F3864" w:themeColor="accent5" w:themeShade="80"/>
        </w:rPr>
      </w:pPr>
      <w:r w:rsidRPr="00290DAE">
        <w:rPr>
          <w:rFonts w:ascii="Arial" w:hAnsi="Arial" w:cs="Arial"/>
          <w:color w:val="1F3864" w:themeColor="accent5" w:themeShade="80"/>
        </w:rPr>
        <w:t xml:space="preserve">National Offshore Petroleum </w:t>
      </w:r>
    </w:p>
    <w:p w14:paraId="14B151E7" w14:textId="6D0D7657" w:rsidR="00347EA5" w:rsidRPr="00290DAE" w:rsidRDefault="006F6665" w:rsidP="00C3530A">
      <w:pPr>
        <w:pStyle w:val="Title"/>
        <w:spacing w:after="0" w:line="240" w:lineRule="auto"/>
        <w:rPr>
          <w:rFonts w:ascii="Arial" w:hAnsi="Arial" w:cs="Arial"/>
          <w:color w:val="1F3864" w:themeColor="accent5" w:themeShade="80"/>
        </w:rPr>
      </w:pPr>
      <w:r w:rsidRPr="00290DAE">
        <w:rPr>
          <w:rFonts w:ascii="Arial" w:hAnsi="Arial" w:cs="Arial"/>
          <w:color w:val="1F3864" w:themeColor="accent5" w:themeShade="80"/>
        </w:rPr>
        <w:t>Titles Administrator</w:t>
      </w:r>
    </w:p>
    <w:p w14:paraId="13104465" w14:textId="4402B30E" w:rsidR="006352F3" w:rsidRPr="006352F3" w:rsidRDefault="002119EA" w:rsidP="00C3530A">
      <w:pPr>
        <w:spacing w:line="240" w:lineRule="auto"/>
      </w:pPr>
      <w:r>
        <w:rPr>
          <w:noProof/>
          <w:lang w:eastAsia="en-AU"/>
        </w:rPr>
        <w:drawing>
          <wp:anchor distT="0" distB="0" distL="114300" distR="114300" simplePos="0" relativeHeight="251658240" behindDoc="1" locked="0" layoutInCell="1" allowOverlap="1" wp14:anchorId="22F00A2F" wp14:editId="45BF8DC9">
            <wp:simplePos x="0" y="0"/>
            <wp:positionH relativeFrom="column">
              <wp:posOffset>-913766</wp:posOffset>
            </wp:positionH>
            <wp:positionV relativeFrom="paragraph">
              <wp:posOffset>212725</wp:posOffset>
            </wp:positionV>
            <wp:extent cx="7570651" cy="43338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84483" cy="43417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9FC9CC" w14:textId="77777777" w:rsidR="002119EA" w:rsidRDefault="002119EA" w:rsidP="00C3530A">
      <w:pPr>
        <w:pStyle w:val="Title"/>
        <w:spacing w:after="0" w:line="240" w:lineRule="auto"/>
        <w:rPr>
          <w:rFonts w:ascii="Arial" w:hAnsi="Arial" w:cs="Arial"/>
          <w:color w:val="1F4E79" w:themeColor="accent1" w:themeShade="80"/>
        </w:rPr>
      </w:pPr>
      <w:bookmarkStart w:id="4" w:name="_Toc453069556"/>
      <w:bookmarkStart w:id="5" w:name="_Toc497215468"/>
      <w:bookmarkEnd w:id="0"/>
      <w:bookmarkEnd w:id="1"/>
      <w:bookmarkEnd w:id="2"/>
    </w:p>
    <w:p w14:paraId="6B46D263" w14:textId="7D988E80" w:rsidR="006352F3" w:rsidRPr="00290DAE" w:rsidRDefault="006352F3" w:rsidP="00C3530A">
      <w:pPr>
        <w:pStyle w:val="Title"/>
        <w:spacing w:after="0" w:line="240" w:lineRule="auto"/>
        <w:rPr>
          <w:rFonts w:ascii="Arial" w:hAnsi="Arial" w:cs="Arial"/>
          <w:color w:val="1F3864" w:themeColor="accent5" w:themeShade="80"/>
        </w:rPr>
      </w:pPr>
      <w:r w:rsidRPr="00290DAE">
        <w:rPr>
          <w:rFonts w:ascii="Arial" w:hAnsi="Arial" w:cs="Arial"/>
          <w:color w:val="1F3864" w:themeColor="accent5" w:themeShade="80"/>
        </w:rPr>
        <w:t>Regulator Performance Framework:</w:t>
      </w:r>
    </w:p>
    <w:p w14:paraId="170208CB" w14:textId="53F9FB7C" w:rsidR="006352F3" w:rsidRPr="002119EA" w:rsidRDefault="006352F3" w:rsidP="00C3530A">
      <w:pPr>
        <w:pStyle w:val="Title"/>
        <w:spacing w:after="0" w:line="240" w:lineRule="auto"/>
        <w:rPr>
          <w:rFonts w:ascii="Arial" w:hAnsi="Arial" w:cs="Arial"/>
          <w:color w:val="806000" w:themeColor="accent4" w:themeShade="80"/>
        </w:rPr>
      </w:pPr>
      <w:r w:rsidRPr="00290DAE">
        <w:rPr>
          <w:rFonts w:ascii="Arial" w:hAnsi="Arial" w:cs="Arial"/>
          <w:color w:val="1F3864" w:themeColor="accent5" w:themeShade="80"/>
        </w:rPr>
        <w:t>201</w:t>
      </w:r>
      <w:r w:rsidR="00D0258A" w:rsidRPr="00290DAE">
        <w:rPr>
          <w:rFonts w:ascii="Arial" w:hAnsi="Arial" w:cs="Arial"/>
          <w:color w:val="1F3864" w:themeColor="accent5" w:themeShade="80"/>
        </w:rPr>
        <w:t>9</w:t>
      </w:r>
      <w:r w:rsidRPr="00290DAE">
        <w:rPr>
          <w:rFonts w:ascii="Arial" w:hAnsi="Arial" w:cs="Arial"/>
          <w:color w:val="1F3864" w:themeColor="accent5" w:themeShade="80"/>
        </w:rPr>
        <w:t>-</w:t>
      </w:r>
      <w:r w:rsidR="00D0258A" w:rsidRPr="00290DAE">
        <w:rPr>
          <w:rFonts w:ascii="Arial" w:hAnsi="Arial" w:cs="Arial"/>
          <w:color w:val="1F3864" w:themeColor="accent5" w:themeShade="80"/>
        </w:rPr>
        <w:t>20</w:t>
      </w:r>
      <w:r w:rsidRPr="00290DAE">
        <w:rPr>
          <w:rFonts w:ascii="Arial" w:hAnsi="Arial" w:cs="Arial"/>
          <w:color w:val="1F3864" w:themeColor="accent5" w:themeShade="80"/>
        </w:rPr>
        <w:t xml:space="preserve"> self-assessment</w:t>
      </w:r>
    </w:p>
    <w:p w14:paraId="07791CB1" w14:textId="2A257385" w:rsidR="006352F3" w:rsidRDefault="006352F3" w:rsidP="00C3530A">
      <w:pPr>
        <w:tabs>
          <w:tab w:val="left" w:pos="5895"/>
        </w:tabs>
        <w:spacing w:line="240" w:lineRule="auto"/>
        <w:rPr>
          <w:b/>
        </w:rPr>
      </w:pPr>
    </w:p>
    <w:p w14:paraId="77E5467A" w14:textId="5B4DF1BB" w:rsidR="002119EA" w:rsidRDefault="002119EA" w:rsidP="00C3530A">
      <w:pPr>
        <w:tabs>
          <w:tab w:val="left" w:pos="5895"/>
        </w:tabs>
        <w:spacing w:line="240" w:lineRule="auto"/>
        <w:rPr>
          <w:b/>
        </w:rPr>
      </w:pPr>
    </w:p>
    <w:p w14:paraId="4E02F10C" w14:textId="0D835C35" w:rsidR="002119EA" w:rsidRDefault="002119EA" w:rsidP="00C3530A">
      <w:pPr>
        <w:tabs>
          <w:tab w:val="left" w:pos="5895"/>
        </w:tabs>
        <w:spacing w:line="240" w:lineRule="auto"/>
        <w:rPr>
          <w:b/>
        </w:rPr>
        <w:sectPr w:rsidR="002119EA" w:rsidSect="006352F3">
          <w:headerReference w:type="default" r:id="rId13"/>
          <w:footerReference w:type="default" r:id="rId14"/>
          <w:pgSz w:w="11906" w:h="16838"/>
          <w:pgMar w:top="1418" w:right="1440" w:bottom="993" w:left="1440" w:header="708" w:footer="708" w:gutter="0"/>
          <w:pgNumType w:start="1"/>
          <w:cols w:space="708"/>
          <w:docGrid w:linePitch="360"/>
        </w:sectPr>
      </w:pPr>
    </w:p>
    <w:p w14:paraId="156CAEB6" w14:textId="20789BEF" w:rsidR="00851F51" w:rsidRDefault="00851F51" w:rsidP="00C3530A">
      <w:pPr>
        <w:tabs>
          <w:tab w:val="left" w:pos="5895"/>
        </w:tabs>
        <w:spacing w:line="240" w:lineRule="auto"/>
        <w:rPr>
          <w:b/>
        </w:rPr>
      </w:pPr>
    </w:p>
    <w:sdt>
      <w:sdtPr>
        <w:rPr>
          <w:rFonts w:asciiTheme="minorHAnsi" w:eastAsiaTheme="minorHAnsi" w:hAnsiTheme="minorHAnsi" w:cstheme="minorBidi"/>
          <w:color w:val="auto"/>
          <w:sz w:val="22"/>
          <w:szCs w:val="22"/>
          <w:lang w:val="en-AU"/>
        </w:rPr>
        <w:id w:val="-106975344"/>
        <w:docPartObj>
          <w:docPartGallery w:val="Table of Contents"/>
          <w:docPartUnique/>
        </w:docPartObj>
      </w:sdtPr>
      <w:sdtEndPr>
        <w:rPr>
          <w:b/>
          <w:bCs/>
          <w:noProof/>
        </w:rPr>
      </w:sdtEndPr>
      <w:sdtContent>
        <w:p w14:paraId="05774613" w14:textId="77777777" w:rsidR="00851F51" w:rsidRPr="00290DAE" w:rsidRDefault="00851F51" w:rsidP="00C3530A">
          <w:pPr>
            <w:pStyle w:val="TOCHeading"/>
            <w:spacing w:line="240" w:lineRule="auto"/>
            <w:rPr>
              <w:b/>
              <w:color w:val="1F3864" w:themeColor="accent5" w:themeShade="80"/>
            </w:rPr>
          </w:pPr>
          <w:r w:rsidRPr="00290DAE">
            <w:rPr>
              <w:b/>
              <w:color w:val="1F3864" w:themeColor="accent5" w:themeShade="80"/>
            </w:rPr>
            <w:t>Contents</w:t>
          </w:r>
        </w:p>
        <w:p w14:paraId="6CB40B97" w14:textId="78D92025" w:rsidR="005A41CB" w:rsidRDefault="00851F51">
          <w:pPr>
            <w:pStyle w:val="TOC1"/>
            <w:rPr>
              <w:rFonts w:eastAsiaTheme="minorEastAsia"/>
              <w:noProof/>
              <w:lang w:eastAsia="en-AU"/>
            </w:rPr>
          </w:pPr>
          <w:r>
            <w:fldChar w:fldCharType="begin"/>
          </w:r>
          <w:r>
            <w:instrText xml:space="preserve"> TOC \o "1-3" \h \z \u </w:instrText>
          </w:r>
          <w:r>
            <w:fldChar w:fldCharType="separate"/>
          </w:r>
          <w:hyperlink w:anchor="_Toc54610416" w:history="1">
            <w:r w:rsidR="005A41CB" w:rsidRPr="004A4E4E">
              <w:rPr>
                <w:rStyle w:val="Hyperlink"/>
                <w:b/>
                <w:noProof/>
              </w:rPr>
              <w:t>Overview</w:t>
            </w:r>
            <w:r w:rsidR="005A41CB">
              <w:rPr>
                <w:noProof/>
                <w:webHidden/>
              </w:rPr>
              <w:tab/>
            </w:r>
            <w:r w:rsidR="005A41CB">
              <w:rPr>
                <w:noProof/>
                <w:webHidden/>
              </w:rPr>
              <w:fldChar w:fldCharType="begin"/>
            </w:r>
            <w:r w:rsidR="005A41CB">
              <w:rPr>
                <w:noProof/>
                <w:webHidden/>
              </w:rPr>
              <w:instrText xml:space="preserve"> PAGEREF _Toc54610416 \h </w:instrText>
            </w:r>
            <w:r w:rsidR="005A41CB">
              <w:rPr>
                <w:noProof/>
                <w:webHidden/>
              </w:rPr>
            </w:r>
            <w:r w:rsidR="005A41CB">
              <w:rPr>
                <w:noProof/>
                <w:webHidden/>
              </w:rPr>
              <w:fldChar w:fldCharType="separate"/>
            </w:r>
            <w:r w:rsidR="005A41CB">
              <w:rPr>
                <w:noProof/>
                <w:webHidden/>
              </w:rPr>
              <w:t>1</w:t>
            </w:r>
            <w:r w:rsidR="005A41CB">
              <w:rPr>
                <w:noProof/>
                <w:webHidden/>
              </w:rPr>
              <w:fldChar w:fldCharType="end"/>
            </w:r>
          </w:hyperlink>
        </w:p>
        <w:p w14:paraId="522D99D7" w14:textId="2AB4C674" w:rsidR="005A41CB" w:rsidRDefault="003D2B46">
          <w:pPr>
            <w:pStyle w:val="TOC1"/>
            <w:rPr>
              <w:rFonts w:eastAsiaTheme="minorEastAsia"/>
              <w:noProof/>
              <w:lang w:eastAsia="en-AU"/>
            </w:rPr>
          </w:pPr>
          <w:hyperlink w:anchor="_Toc54610417" w:history="1">
            <w:r w:rsidR="005A41CB" w:rsidRPr="004A4E4E">
              <w:rPr>
                <w:rStyle w:val="Hyperlink"/>
                <w:b/>
                <w:noProof/>
              </w:rPr>
              <w:t>About NOPTA</w:t>
            </w:r>
            <w:r w:rsidR="005A41CB">
              <w:rPr>
                <w:noProof/>
                <w:webHidden/>
              </w:rPr>
              <w:tab/>
            </w:r>
            <w:r w:rsidR="005A41CB">
              <w:rPr>
                <w:noProof/>
                <w:webHidden/>
              </w:rPr>
              <w:fldChar w:fldCharType="begin"/>
            </w:r>
            <w:r w:rsidR="005A41CB">
              <w:rPr>
                <w:noProof/>
                <w:webHidden/>
              </w:rPr>
              <w:instrText xml:space="preserve"> PAGEREF _Toc54610417 \h </w:instrText>
            </w:r>
            <w:r w:rsidR="005A41CB">
              <w:rPr>
                <w:noProof/>
                <w:webHidden/>
              </w:rPr>
            </w:r>
            <w:r w:rsidR="005A41CB">
              <w:rPr>
                <w:noProof/>
                <w:webHidden/>
              </w:rPr>
              <w:fldChar w:fldCharType="separate"/>
            </w:r>
            <w:r w:rsidR="005A41CB">
              <w:rPr>
                <w:noProof/>
                <w:webHidden/>
              </w:rPr>
              <w:t>3</w:t>
            </w:r>
            <w:r w:rsidR="005A41CB">
              <w:rPr>
                <w:noProof/>
                <w:webHidden/>
              </w:rPr>
              <w:fldChar w:fldCharType="end"/>
            </w:r>
          </w:hyperlink>
        </w:p>
        <w:p w14:paraId="3A739BDB" w14:textId="6D883F46" w:rsidR="005A41CB" w:rsidRDefault="003D2B46">
          <w:pPr>
            <w:pStyle w:val="TOC1"/>
            <w:rPr>
              <w:rFonts w:eastAsiaTheme="minorEastAsia"/>
              <w:noProof/>
              <w:lang w:eastAsia="en-AU"/>
            </w:rPr>
          </w:pPr>
          <w:hyperlink w:anchor="_Toc54610418" w:history="1">
            <w:r w:rsidR="005A41CB" w:rsidRPr="004A4E4E">
              <w:rPr>
                <w:rStyle w:val="Hyperlink"/>
                <w:b/>
                <w:noProof/>
              </w:rPr>
              <w:t>2019-20 NOPTA self-assessment</w:t>
            </w:r>
            <w:r w:rsidR="005A41CB">
              <w:rPr>
                <w:noProof/>
                <w:webHidden/>
              </w:rPr>
              <w:tab/>
            </w:r>
            <w:r w:rsidR="005A41CB">
              <w:rPr>
                <w:noProof/>
                <w:webHidden/>
              </w:rPr>
              <w:fldChar w:fldCharType="begin"/>
            </w:r>
            <w:r w:rsidR="005A41CB">
              <w:rPr>
                <w:noProof/>
                <w:webHidden/>
              </w:rPr>
              <w:instrText xml:space="preserve"> PAGEREF _Toc54610418 \h </w:instrText>
            </w:r>
            <w:r w:rsidR="005A41CB">
              <w:rPr>
                <w:noProof/>
                <w:webHidden/>
              </w:rPr>
            </w:r>
            <w:r w:rsidR="005A41CB">
              <w:rPr>
                <w:noProof/>
                <w:webHidden/>
              </w:rPr>
              <w:fldChar w:fldCharType="separate"/>
            </w:r>
            <w:r w:rsidR="005A41CB">
              <w:rPr>
                <w:noProof/>
                <w:webHidden/>
              </w:rPr>
              <w:t>4</w:t>
            </w:r>
            <w:r w:rsidR="005A41CB">
              <w:rPr>
                <w:noProof/>
                <w:webHidden/>
              </w:rPr>
              <w:fldChar w:fldCharType="end"/>
            </w:r>
          </w:hyperlink>
        </w:p>
        <w:p w14:paraId="002EF6BB" w14:textId="26AB2865" w:rsidR="005A41CB" w:rsidRDefault="003D2B46">
          <w:pPr>
            <w:pStyle w:val="TOC2"/>
            <w:tabs>
              <w:tab w:val="right" w:leader="dot" w:pos="9016"/>
            </w:tabs>
            <w:rPr>
              <w:rFonts w:eastAsiaTheme="minorEastAsia"/>
              <w:noProof/>
              <w:lang w:eastAsia="en-AU"/>
            </w:rPr>
          </w:pPr>
          <w:hyperlink w:anchor="_Toc54610419" w:history="1">
            <w:r w:rsidR="005A41CB" w:rsidRPr="004A4E4E">
              <w:rPr>
                <w:rStyle w:val="Hyperlink"/>
                <w:noProof/>
              </w:rPr>
              <w:t>KPI 1: Regulators do not unnecessarily impede the efficient operation of regulated entities</w:t>
            </w:r>
            <w:r w:rsidR="005A41CB">
              <w:rPr>
                <w:noProof/>
                <w:webHidden/>
              </w:rPr>
              <w:tab/>
            </w:r>
            <w:r w:rsidR="005A41CB">
              <w:rPr>
                <w:noProof/>
                <w:webHidden/>
              </w:rPr>
              <w:fldChar w:fldCharType="begin"/>
            </w:r>
            <w:r w:rsidR="005A41CB">
              <w:rPr>
                <w:noProof/>
                <w:webHidden/>
              </w:rPr>
              <w:instrText xml:space="preserve"> PAGEREF _Toc54610419 \h </w:instrText>
            </w:r>
            <w:r w:rsidR="005A41CB">
              <w:rPr>
                <w:noProof/>
                <w:webHidden/>
              </w:rPr>
            </w:r>
            <w:r w:rsidR="005A41CB">
              <w:rPr>
                <w:noProof/>
                <w:webHidden/>
              </w:rPr>
              <w:fldChar w:fldCharType="separate"/>
            </w:r>
            <w:r w:rsidR="005A41CB">
              <w:rPr>
                <w:noProof/>
                <w:webHidden/>
              </w:rPr>
              <w:t>4</w:t>
            </w:r>
            <w:r w:rsidR="005A41CB">
              <w:rPr>
                <w:noProof/>
                <w:webHidden/>
              </w:rPr>
              <w:fldChar w:fldCharType="end"/>
            </w:r>
          </w:hyperlink>
        </w:p>
        <w:p w14:paraId="24BC1311" w14:textId="66FD40F8" w:rsidR="005A41CB" w:rsidRDefault="003D2B46">
          <w:pPr>
            <w:pStyle w:val="TOC3"/>
            <w:tabs>
              <w:tab w:val="right" w:leader="dot" w:pos="9016"/>
            </w:tabs>
            <w:rPr>
              <w:rFonts w:eastAsiaTheme="minorEastAsia"/>
              <w:noProof/>
              <w:lang w:eastAsia="en-AU"/>
            </w:rPr>
          </w:pPr>
          <w:hyperlink w:anchor="_Toc54610420" w:history="1">
            <w:r w:rsidR="005A41CB" w:rsidRPr="004A4E4E">
              <w:rPr>
                <w:rStyle w:val="Hyperlink"/>
                <w:noProof/>
              </w:rPr>
              <w:t>KPI Expectations</w:t>
            </w:r>
            <w:r w:rsidR="005A41CB">
              <w:rPr>
                <w:noProof/>
                <w:webHidden/>
              </w:rPr>
              <w:tab/>
            </w:r>
            <w:r w:rsidR="005A41CB">
              <w:rPr>
                <w:noProof/>
                <w:webHidden/>
              </w:rPr>
              <w:fldChar w:fldCharType="begin"/>
            </w:r>
            <w:r w:rsidR="005A41CB">
              <w:rPr>
                <w:noProof/>
                <w:webHidden/>
              </w:rPr>
              <w:instrText xml:space="preserve"> PAGEREF _Toc54610420 \h </w:instrText>
            </w:r>
            <w:r w:rsidR="005A41CB">
              <w:rPr>
                <w:noProof/>
                <w:webHidden/>
              </w:rPr>
            </w:r>
            <w:r w:rsidR="005A41CB">
              <w:rPr>
                <w:noProof/>
                <w:webHidden/>
              </w:rPr>
              <w:fldChar w:fldCharType="separate"/>
            </w:r>
            <w:r w:rsidR="005A41CB">
              <w:rPr>
                <w:noProof/>
                <w:webHidden/>
              </w:rPr>
              <w:t>4</w:t>
            </w:r>
            <w:r w:rsidR="005A41CB">
              <w:rPr>
                <w:noProof/>
                <w:webHidden/>
              </w:rPr>
              <w:fldChar w:fldCharType="end"/>
            </w:r>
          </w:hyperlink>
        </w:p>
        <w:p w14:paraId="5E343051" w14:textId="4AB8C172" w:rsidR="005A41CB" w:rsidRDefault="003D2B46">
          <w:pPr>
            <w:pStyle w:val="TOC3"/>
            <w:tabs>
              <w:tab w:val="right" w:leader="dot" w:pos="9016"/>
            </w:tabs>
            <w:rPr>
              <w:rFonts w:eastAsiaTheme="minorEastAsia"/>
              <w:noProof/>
              <w:lang w:eastAsia="en-AU"/>
            </w:rPr>
          </w:pPr>
          <w:hyperlink w:anchor="_Toc54610421" w:history="1">
            <w:r w:rsidR="005A41CB" w:rsidRPr="004A4E4E">
              <w:rPr>
                <w:rStyle w:val="Hyperlink"/>
                <w:noProof/>
              </w:rPr>
              <w:t>NOPTA’s Approach</w:t>
            </w:r>
            <w:r w:rsidR="005A41CB">
              <w:rPr>
                <w:noProof/>
                <w:webHidden/>
              </w:rPr>
              <w:tab/>
            </w:r>
            <w:r w:rsidR="005A41CB">
              <w:rPr>
                <w:noProof/>
                <w:webHidden/>
              </w:rPr>
              <w:fldChar w:fldCharType="begin"/>
            </w:r>
            <w:r w:rsidR="005A41CB">
              <w:rPr>
                <w:noProof/>
                <w:webHidden/>
              </w:rPr>
              <w:instrText xml:space="preserve"> PAGEREF _Toc54610421 \h </w:instrText>
            </w:r>
            <w:r w:rsidR="005A41CB">
              <w:rPr>
                <w:noProof/>
                <w:webHidden/>
              </w:rPr>
            </w:r>
            <w:r w:rsidR="005A41CB">
              <w:rPr>
                <w:noProof/>
                <w:webHidden/>
              </w:rPr>
              <w:fldChar w:fldCharType="separate"/>
            </w:r>
            <w:r w:rsidR="005A41CB">
              <w:rPr>
                <w:noProof/>
                <w:webHidden/>
              </w:rPr>
              <w:t>4</w:t>
            </w:r>
            <w:r w:rsidR="005A41CB">
              <w:rPr>
                <w:noProof/>
                <w:webHidden/>
              </w:rPr>
              <w:fldChar w:fldCharType="end"/>
            </w:r>
          </w:hyperlink>
        </w:p>
        <w:p w14:paraId="132E840C" w14:textId="4C8C4271" w:rsidR="005A41CB" w:rsidRDefault="003D2B46">
          <w:pPr>
            <w:pStyle w:val="TOC2"/>
            <w:tabs>
              <w:tab w:val="right" w:leader="dot" w:pos="9016"/>
            </w:tabs>
            <w:rPr>
              <w:rFonts w:eastAsiaTheme="minorEastAsia"/>
              <w:noProof/>
              <w:lang w:eastAsia="en-AU"/>
            </w:rPr>
          </w:pPr>
          <w:hyperlink w:anchor="_Toc54610422" w:history="1">
            <w:r w:rsidR="005A41CB" w:rsidRPr="004A4E4E">
              <w:rPr>
                <w:rStyle w:val="Hyperlink"/>
                <w:noProof/>
              </w:rPr>
              <w:t>KPI 2: Communication with regulated entities is clear, targeted and effective</w:t>
            </w:r>
            <w:r w:rsidR="005A41CB">
              <w:rPr>
                <w:noProof/>
                <w:webHidden/>
              </w:rPr>
              <w:tab/>
            </w:r>
            <w:r w:rsidR="005A41CB">
              <w:rPr>
                <w:noProof/>
                <w:webHidden/>
              </w:rPr>
              <w:fldChar w:fldCharType="begin"/>
            </w:r>
            <w:r w:rsidR="005A41CB">
              <w:rPr>
                <w:noProof/>
                <w:webHidden/>
              </w:rPr>
              <w:instrText xml:space="preserve"> PAGEREF _Toc54610422 \h </w:instrText>
            </w:r>
            <w:r w:rsidR="005A41CB">
              <w:rPr>
                <w:noProof/>
                <w:webHidden/>
              </w:rPr>
            </w:r>
            <w:r w:rsidR="005A41CB">
              <w:rPr>
                <w:noProof/>
                <w:webHidden/>
              </w:rPr>
              <w:fldChar w:fldCharType="separate"/>
            </w:r>
            <w:r w:rsidR="005A41CB">
              <w:rPr>
                <w:noProof/>
                <w:webHidden/>
              </w:rPr>
              <w:t>6</w:t>
            </w:r>
            <w:r w:rsidR="005A41CB">
              <w:rPr>
                <w:noProof/>
                <w:webHidden/>
              </w:rPr>
              <w:fldChar w:fldCharType="end"/>
            </w:r>
          </w:hyperlink>
        </w:p>
        <w:p w14:paraId="7A8C740F" w14:textId="76DE37C7" w:rsidR="005A41CB" w:rsidRDefault="003D2B46">
          <w:pPr>
            <w:pStyle w:val="TOC3"/>
            <w:tabs>
              <w:tab w:val="right" w:leader="dot" w:pos="9016"/>
            </w:tabs>
            <w:rPr>
              <w:rFonts w:eastAsiaTheme="minorEastAsia"/>
              <w:noProof/>
              <w:lang w:eastAsia="en-AU"/>
            </w:rPr>
          </w:pPr>
          <w:hyperlink w:anchor="_Toc54610423" w:history="1">
            <w:r w:rsidR="005A41CB" w:rsidRPr="004A4E4E">
              <w:rPr>
                <w:rStyle w:val="Hyperlink"/>
                <w:noProof/>
              </w:rPr>
              <w:t>KPI Expectations</w:t>
            </w:r>
            <w:r w:rsidR="005A41CB">
              <w:rPr>
                <w:noProof/>
                <w:webHidden/>
              </w:rPr>
              <w:tab/>
            </w:r>
            <w:r w:rsidR="005A41CB">
              <w:rPr>
                <w:noProof/>
                <w:webHidden/>
              </w:rPr>
              <w:fldChar w:fldCharType="begin"/>
            </w:r>
            <w:r w:rsidR="005A41CB">
              <w:rPr>
                <w:noProof/>
                <w:webHidden/>
              </w:rPr>
              <w:instrText xml:space="preserve"> PAGEREF _Toc54610423 \h </w:instrText>
            </w:r>
            <w:r w:rsidR="005A41CB">
              <w:rPr>
                <w:noProof/>
                <w:webHidden/>
              </w:rPr>
            </w:r>
            <w:r w:rsidR="005A41CB">
              <w:rPr>
                <w:noProof/>
                <w:webHidden/>
              </w:rPr>
              <w:fldChar w:fldCharType="separate"/>
            </w:r>
            <w:r w:rsidR="005A41CB">
              <w:rPr>
                <w:noProof/>
                <w:webHidden/>
              </w:rPr>
              <w:t>6</w:t>
            </w:r>
            <w:r w:rsidR="005A41CB">
              <w:rPr>
                <w:noProof/>
                <w:webHidden/>
              </w:rPr>
              <w:fldChar w:fldCharType="end"/>
            </w:r>
          </w:hyperlink>
        </w:p>
        <w:p w14:paraId="794D4A06" w14:textId="119F1216" w:rsidR="005A41CB" w:rsidRDefault="003D2B46">
          <w:pPr>
            <w:pStyle w:val="TOC3"/>
            <w:tabs>
              <w:tab w:val="right" w:leader="dot" w:pos="9016"/>
            </w:tabs>
            <w:rPr>
              <w:rFonts w:eastAsiaTheme="minorEastAsia"/>
              <w:noProof/>
              <w:lang w:eastAsia="en-AU"/>
            </w:rPr>
          </w:pPr>
          <w:hyperlink w:anchor="_Toc54610424" w:history="1">
            <w:r w:rsidR="005A41CB" w:rsidRPr="004A4E4E">
              <w:rPr>
                <w:rStyle w:val="Hyperlink"/>
                <w:noProof/>
              </w:rPr>
              <w:t>NOPTA’s Approach</w:t>
            </w:r>
            <w:r w:rsidR="005A41CB">
              <w:rPr>
                <w:noProof/>
                <w:webHidden/>
              </w:rPr>
              <w:tab/>
            </w:r>
            <w:r w:rsidR="005A41CB">
              <w:rPr>
                <w:noProof/>
                <w:webHidden/>
              </w:rPr>
              <w:fldChar w:fldCharType="begin"/>
            </w:r>
            <w:r w:rsidR="005A41CB">
              <w:rPr>
                <w:noProof/>
                <w:webHidden/>
              </w:rPr>
              <w:instrText xml:space="preserve"> PAGEREF _Toc54610424 \h </w:instrText>
            </w:r>
            <w:r w:rsidR="005A41CB">
              <w:rPr>
                <w:noProof/>
                <w:webHidden/>
              </w:rPr>
            </w:r>
            <w:r w:rsidR="005A41CB">
              <w:rPr>
                <w:noProof/>
                <w:webHidden/>
              </w:rPr>
              <w:fldChar w:fldCharType="separate"/>
            </w:r>
            <w:r w:rsidR="005A41CB">
              <w:rPr>
                <w:noProof/>
                <w:webHidden/>
              </w:rPr>
              <w:t>6</w:t>
            </w:r>
            <w:r w:rsidR="005A41CB">
              <w:rPr>
                <w:noProof/>
                <w:webHidden/>
              </w:rPr>
              <w:fldChar w:fldCharType="end"/>
            </w:r>
          </w:hyperlink>
        </w:p>
        <w:p w14:paraId="251DBBA5" w14:textId="4D03CD6E" w:rsidR="005A41CB" w:rsidRDefault="003D2B46">
          <w:pPr>
            <w:pStyle w:val="TOC2"/>
            <w:tabs>
              <w:tab w:val="right" w:leader="dot" w:pos="9016"/>
            </w:tabs>
            <w:rPr>
              <w:rFonts w:eastAsiaTheme="minorEastAsia"/>
              <w:noProof/>
              <w:lang w:eastAsia="en-AU"/>
            </w:rPr>
          </w:pPr>
          <w:hyperlink w:anchor="_Toc54610425" w:history="1">
            <w:r w:rsidR="005A41CB" w:rsidRPr="004A4E4E">
              <w:rPr>
                <w:rStyle w:val="Hyperlink"/>
                <w:noProof/>
              </w:rPr>
              <w:t>KPI 3: Actions undertaken by regulators are proportionate to the regulatory risk being managed</w:t>
            </w:r>
            <w:r w:rsidR="005A41CB">
              <w:rPr>
                <w:noProof/>
                <w:webHidden/>
              </w:rPr>
              <w:tab/>
            </w:r>
            <w:r w:rsidR="005A41CB">
              <w:rPr>
                <w:noProof/>
                <w:webHidden/>
              </w:rPr>
              <w:fldChar w:fldCharType="begin"/>
            </w:r>
            <w:r w:rsidR="005A41CB">
              <w:rPr>
                <w:noProof/>
                <w:webHidden/>
              </w:rPr>
              <w:instrText xml:space="preserve"> PAGEREF _Toc54610425 \h </w:instrText>
            </w:r>
            <w:r w:rsidR="005A41CB">
              <w:rPr>
                <w:noProof/>
                <w:webHidden/>
              </w:rPr>
            </w:r>
            <w:r w:rsidR="005A41CB">
              <w:rPr>
                <w:noProof/>
                <w:webHidden/>
              </w:rPr>
              <w:fldChar w:fldCharType="separate"/>
            </w:r>
            <w:r w:rsidR="005A41CB">
              <w:rPr>
                <w:noProof/>
                <w:webHidden/>
              </w:rPr>
              <w:t>8</w:t>
            </w:r>
            <w:r w:rsidR="005A41CB">
              <w:rPr>
                <w:noProof/>
                <w:webHidden/>
              </w:rPr>
              <w:fldChar w:fldCharType="end"/>
            </w:r>
          </w:hyperlink>
        </w:p>
        <w:p w14:paraId="00B47F57" w14:textId="6F528F59" w:rsidR="005A41CB" w:rsidRDefault="003D2B46">
          <w:pPr>
            <w:pStyle w:val="TOC3"/>
            <w:tabs>
              <w:tab w:val="right" w:leader="dot" w:pos="9016"/>
            </w:tabs>
            <w:rPr>
              <w:rFonts w:eastAsiaTheme="minorEastAsia"/>
              <w:noProof/>
              <w:lang w:eastAsia="en-AU"/>
            </w:rPr>
          </w:pPr>
          <w:hyperlink w:anchor="_Toc54610426" w:history="1">
            <w:r w:rsidR="005A41CB" w:rsidRPr="004A4E4E">
              <w:rPr>
                <w:rStyle w:val="Hyperlink"/>
                <w:noProof/>
              </w:rPr>
              <w:t>KPI Expectations</w:t>
            </w:r>
            <w:r w:rsidR="005A41CB">
              <w:rPr>
                <w:noProof/>
                <w:webHidden/>
              </w:rPr>
              <w:tab/>
            </w:r>
            <w:r w:rsidR="005A41CB">
              <w:rPr>
                <w:noProof/>
                <w:webHidden/>
              </w:rPr>
              <w:fldChar w:fldCharType="begin"/>
            </w:r>
            <w:r w:rsidR="005A41CB">
              <w:rPr>
                <w:noProof/>
                <w:webHidden/>
              </w:rPr>
              <w:instrText xml:space="preserve"> PAGEREF _Toc54610426 \h </w:instrText>
            </w:r>
            <w:r w:rsidR="005A41CB">
              <w:rPr>
                <w:noProof/>
                <w:webHidden/>
              </w:rPr>
            </w:r>
            <w:r w:rsidR="005A41CB">
              <w:rPr>
                <w:noProof/>
                <w:webHidden/>
              </w:rPr>
              <w:fldChar w:fldCharType="separate"/>
            </w:r>
            <w:r w:rsidR="005A41CB">
              <w:rPr>
                <w:noProof/>
                <w:webHidden/>
              </w:rPr>
              <w:t>8</w:t>
            </w:r>
            <w:r w:rsidR="005A41CB">
              <w:rPr>
                <w:noProof/>
                <w:webHidden/>
              </w:rPr>
              <w:fldChar w:fldCharType="end"/>
            </w:r>
          </w:hyperlink>
        </w:p>
        <w:p w14:paraId="2785CA47" w14:textId="77FE0BCB" w:rsidR="005A41CB" w:rsidRDefault="003D2B46">
          <w:pPr>
            <w:pStyle w:val="TOC3"/>
            <w:tabs>
              <w:tab w:val="right" w:leader="dot" w:pos="9016"/>
            </w:tabs>
            <w:rPr>
              <w:rFonts w:eastAsiaTheme="minorEastAsia"/>
              <w:noProof/>
              <w:lang w:eastAsia="en-AU"/>
            </w:rPr>
          </w:pPr>
          <w:hyperlink w:anchor="_Toc54610427" w:history="1">
            <w:r w:rsidR="005A41CB" w:rsidRPr="004A4E4E">
              <w:rPr>
                <w:rStyle w:val="Hyperlink"/>
                <w:noProof/>
              </w:rPr>
              <w:t>NOPTA’s Approach</w:t>
            </w:r>
            <w:r w:rsidR="005A41CB">
              <w:rPr>
                <w:noProof/>
                <w:webHidden/>
              </w:rPr>
              <w:tab/>
            </w:r>
            <w:r w:rsidR="005A41CB">
              <w:rPr>
                <w:noProof/>
                <w:webHidden/>
              </w:rPr>
              <w:fldChar w:fldCharType="begin"/>
            </w:r>
            <w:r w:rsidR="005A41CB">
              <w:rPr>
                <w:noProof/>
                <w:webHidden/>
              </w:rPr>
              <w:instrText xml:space="preserve"> PAGEREF _Toc54610427 \h </w:instrText>
            </w:r>
            <w:r w:rsidR="005A41CB">
              <w:rPr>
                <w:noProof/>
                <w:webHidden/>
              </w:rPr>
            </w:r>
            <w:r w:rsidR="005A41CB">
              <w:rPr>
                <w:noProof/>
                <w:webHidden/>
              </w:rPr>
              <w:fldChar w:fldCharType="separate"/>
            </w:r>
            <w:r w:rsidR="005A41CB">
              <w:rPr>
                <w:noProof/>
                <w:webHidden/>
              </w:rPr>
              <w:t>8</w:t>
            </w:r>
            <w:r w:rsidR="005A41CB">
              <w:rPr>
                <w:noProof/>
                <w:webHidden/>
              </w:rPr>
              <w:fldChar w:fldCharType="end"/>
            </w:r>
          </w:hyperlink>
        </w:p>
        <w:p w14:paraId="52ADDCEF" w14:textId="186366D8" w:rsidR="005A41CB" w:rsidRDefault="003D2B46">
          <w:pPr>
            <w:pStyle w:val="TOC2"/>
            <w:tabs>
              <w:tab w:val="right" w:leader="dot" w:pos="9016"/>
            </w:tabs>
            <w:rPr>
              <w:rFonts w:eastAsiaTheme="minorEastAsia"/>
              <w:noProof/>
              <w:lang w:eastAsia="en-AU"/>
            </w:rPr>
          </w:pPr>
          <w:hyperlink w:anchor="_Toc54610428" w:history="1">
            <w:r w:rsidR="005A41CB" w:rsidRPr="004A4E4E">
              <w:rPr>
                <w:rStyle w:val="Hyperlink"/>
                <w:noProof/>
              </w:rPr>
              <w:t>KPI 4: Compliance and monitoring approaches are streamlined and coordinated</w:t>
            </w:r>
            <w:r w:rsidR="005A41CB">
              <w:rPr>
                <w:noProof/>
                <w:webHidden/>
              </w:rPr>
              <w:tab/>
            </w:r>
            <w:r w:rsidR="005A41CB">
              <w:rPr>
                <w:noProof/>
                <w:webHidden/>
              </w:rPr>
              <w:fldChar w:fldCharType="begin"/>
            </w:r>
            <w:r w:rsidR="005A41CB">
              <w:rPr>
                <w:noProof/>
                <w:webHidden/>
              </w:rPr>
              <w:instrText xml:space="preserve"> PAGEREF _Toc54610428 \h </w:instrText>
            </w:r>
            <w:r w:rsidR="005A41CB">
              <w:rPr>
                <w:noProof/>
                <w:webHidden/>
              </w:rPr>
            </w:r>
            <w:r w:rsidR="005A41CB">
              <w:rPr>
                <w:noProof/>
                <w:webHidden/>
              </w:rPr>
              <w:fldChar w:fldCharType="separate"/>
            </w:r>
            <w:r w:rsidR="005A41CB">
              <w:rPr>
                <w:noProof/>
                <w:webHidden/>
              </w:rPr>
              <w:t>9</w:t>
            </w:r>
            <w:r w:rsidR="005A41CB">
              <w:rPr>
                <w:noProof/>
                <w:webHidden/>
              </w:rPr>
              <w:fldChar w:fldCharType="end"/>
            </w:r>
          </w:hyperlink>
        </w:p>
        <w:p w14:paraId="7301ABAE" w14:textId="7ED217FF" w:rsidR="005A41CB" w:rsidRDefault="003D2B46">
          <w:pPr>
            <w:pStyle w:val="TOC3"/>
            <w:tabs>
              <w:tab w:val="right" w:leader="dot" w:pos="9016"/>
            </w:tabs>
            <w:rPr>
              <w:rFonts w:eastAsiaTheme="minorEastAsia"/>
              <w:noProof/>
              <w:lang w:eastAsia="en-AU"/>
            </w:rPr>
          </w:pPr>
          <w:hyperlink w:anchor="_Toc54610429" w:history="1">
            <w:r w:rsidR="005A41CB" w:rsidRPr="004A4E4E">
              <w:rPr>
                <w:rStyle w:val="Hyperlink"/>
                <w:noProof/>
              </w:rPr>
              <w:t>KPI Expectations</w:t>
            </w:r>
            <w:r w:rsidR="005A41CB">
              <w:rPr>
                <w:noProof/>
                <w:webHidden/>
              </w:rPr>
              <w:tab/>
            </w:r>
            <w:r w:rsidR="005A41CB">
              <w:rPr>
                <w:noProof/>
                <w:webHidden/>
              </w:rPr>
              <w:fldChar w:fldCharType="begin"/>
            </w:r>
            <w:r w:rsidR="005A41CB">
              <w:rPr>
                <w:noProof/>
                <w:webHidden/>
              </w:rPr>
              <w:instrText xml:space="preserve"> PAGEREF _Toc54610429 \h </w:instrText>
            </w:r>
            <w:r w:rsidR="005A41CB">
              <w:rPr>
                <w:noProof/>
                <w:webHidden/>
              </w:rPr>
            </w:r>
            <w:r w:rsidR="005A41CB">
              <w:rPr>
                <w:noProof/>
                <w:webHidden/>
              </w:rPr>
              <w:fldChar w:fldCharType="separate"/>
            </w:r>
            <w:r w:rsidR="005A41CB">
              <w:rPr>
                <w:noProof/>
                <w:webHidden/>
              </w:rPr>
              <w:t>9</w:t>
            </w:r>
            <w:r w:rsidR="005A41CB">
              <w:rPr>
                <w:noProof/>
                <w:webHidden/>
              </w:rPr>
              <w:fldChar w:fldCharType="end"/>
            </w:r>
          </w:hyperlink>
        </w:p>
        <w:p w14:paraId="2224151E" w14:textId="421AD381" w:rsidR="005A41CB" w:rsidRDefault="003D2B46">
          <w:pPr>
            <w:pStyle w:val="TOC3"/>
            <w:tabs>
              <w:tab w:val="right" w:leader="dot" w:pos="9016"/>
            </w:tabs>
            <w:rPr>
              <w:rFonts w:eastAsiaTheme="minorEastAsia"/>
              <w:noProof/>
              <w:lang w:eastAsia="en-AU"/>
            </w:rPr>
          </w:pPr>
          <w:hyperlink w:anchor="_Toc54610430" w:history="1">
            <w:r w:rsidR="005A41CB" w:rsidRPr="004A4E4E">
              <w:rPr>
                <w:rStyle w:val="Hyperlink"/>
                <w:noProof/>
              </w:rPr>
              <w:t>NOPTA’s Approach</w:t>
            </w:r>
            <w:r w:rsidR="005A41CB">
              <w:rPr>
                <w:noProof/>
                <w:webHidden/>
              </w:rPr>
              <w:tab/>
            </w:r>
            <w:r w:rsidR="005A41CB">
              <w:rPr>
                <w:noProof/>
                <w:webHidden/>
              </w:rPr>
              <w:fldChar w:fldCharType="begin"/>
            </w:r>
            <w:r w:rsidR="005A41CB">
              <w:rPr>
                <w:noProof/>
                <w:webHidden/>
              </w:rPr>
              <w:instrText xml:space="preserve"> PAGEREF _Toc54610430 \h </w:instrText>
            </w:r>
            <w:r w:rsidR="005A41CB">
              <w:rPr>
                <w:noProof/>
                <w:webHidden/>
              </w:rPr>
            </w:r>
            <w:r w:rsidR="005A41CB">
              <w:rPr>
                <w:noProof/>
                <w:webHidden/>
              </w:rPr>
              <w:fldChar w:fldCharType="separate"/>
            </w:r>
            <w:r w:rsidR="005A41CB">
              <w:rPr>
                <w:noProof/>
                <w:webHidden/>
              </w:rPr>
              <w:t>9</w:t>
            </w:r>
            <w:r w:rsidR="005A41CB">
              <w:rPr>
                <w:noProof/>
                <w:webHidden/>
              </w:rPr>
              <w:fldChar w:fldCharType="end"/>
            </w:r>
          </w:hyperlink>
        </w:p>
        <w:p w14:paraId="5D4AF0BF" w14:textId="089EDE25" w:rsidR="005A41CB" w:rsidRDefault="003D2B46">
          <w:pPr>
            <w:pStyle w:val="TOC2"/>
            <w:tabs>
              <w:tab w:val="right" w:leader="dot" w:pos="9016"/>
            </w:tabs>
            <w:rPr>
              <w:rFonts w:eastAsiaTheme="minorEastAsia"/>
              <w:noProof/>
              <w:lang w:eastAsia="en-AU"/>
            </w:rPr>
          </w:pPr>
          <w:hyperlink w:anchor="_Toc54610431" w:history="1">
            <w:r w:rsidR="005A41CB" w:rsidRPr="004A4E4E">
              <w:rPr>
                <w:rStyle w:val="Hyperlink"/>
                <w:noProof/>
              </w:rPr>
              <w:t>KPI 5: Regulators are open and transparent in their dealings with regulated entities</w:t>
            </w:r>
            <w:r w:rsidR="005A41CB">
              <w:rPr>
                <w:noProof/>
                <w:webHidden/>
              </w:rPr>
              <w:tab/>
            </w:r>
            <w:r w:rsidR="005A41CB">
              <w:rPr>
                <w:noProof/>
                <w:webHidden/>
              </w:rPr>
              <w:fldChar w:fldCharType="begin"/>
            </w:r>
            <w:r w:rsidR="005A41CB">
              <w:rPr>
                <w:noProof/>
                <w:webHidden/>
              </w:rPr>
              <w:instrText xml:space="preserve"> PAGEREF _Toc54610431 \h </w:instrText>
            </w:r>
            <w:r w:rsidR="005A41CB">
              <w:rPr>
                <w:noProof/>
                <w:webHidden/>
              </w:rPr>
            </w:r>
            <w:r w:rsidR="005A41CB">
              <w:rPr>
                <w:noProof/>
                <w:webHidden/>
              </w:rPr>
              <w:fldChar w:fldCharType="separate"/>
            </w:r>
            <w:r w:rsidR="005A41CB">
              <w:rPr>
                <w:noProof/>
                <w:webHidden/>
              </w:rPr>
              <w:t>11</w:t>
            </w:r>
            <w:r w:rsidR="005A41CB">
              <w:rPr>
                <w:noProof/>
                <w:webHidden/>
              </w:rPr>
              <w:fldChar w:fldCharType="end"/>
            </w:r>
          </w:hyperlink>
        </w:p>
        <w:p w14:paraId="1F02A8DA" w14:textId="6AE34966" w:rsidR="005A41CB" w:rsidRDefault="003D2B46">
          <w:pPr>
            <w:pStyle w:val="TOC3"/>
            <w:tabs>
              <w:tab w:val="right" w:leader="dot" w:pos="9016"/>
            </w:tabs>
            <w:rPr>
              <w:rFonts w:eastAsiaTheme="minorEastAsia"/>
              <w:noProof/>
              <w:lang w:eastAsia="en-AU"/>
            </w:rPr>
          </w:pPr>
          <w:hyperlink w:anchor="_Toc54610432" w:history="1">
            <w:r w:rsidR="005A41CB" w:rsidRPr="004A4E4E">
              <w:rPr>
                <w:rStyle w:val="Hyperlink"/>
                <w:noProof/>
              </w:rPr>
              <w:t>KPI Expectations</w:t>
            </w:r>
            <w:r w:rsidR="005A41CB">
              <w:rPr>
                <w:noProof/>
                <w:webHidden/>
              </w:rPr>
              <w:tab/>
            </w:r>
            <w:r w:rsidR="005A41CB">
              <w:rPr>
                <w:noProof/>
                <w:webHidden/>
              </w:rPr>
              <w:fldChar w:fldCharType="begin"/>
            </w:r>
            <w:r w:rsidR="005A41CB">
              <w:rPr>
                <w:noProof/>
                <w:webHidden/>
              </w:rPr>
              <w:instrText xml:space="preserve"> PAGEREF _Toc54610432 \h </w:instrText>
            </w:r>
            <w:r w:rsidR="005A41CB">
              <w:rPr>
                <w:noProof/>
                <w:webHidden/>
              </w:rPr>
            </w:r>
            <w:r w:rsidR="005A41CB">
              <w:rPr>
                <w:noProof/>
                <w:webHidden/>
              </w:rPr>
              <w:fldChar w:fldCharType="separate"/>
            </w:r>
            <w:r w:rsidR="005A41CB">
              <w:rPr>
                <w:noProof/>
                <w:webHidden/>
              </w:rPr>
              <w:t>11</w:t>
            </w:r>
            <w:r w:rsidR="005A41CB">
              <w:rPr>
                <w:noProof/>
                <w:webHidden/>
              </w:rPr>
              <w:fldChar w:fldCharType="end"/>
            </w:r>
          </w:hyperlink>
        </w:p>
        <w:p w14:paraId="44148864" w14:textId="0B16DA12" w:rsidR="005A41CB" w:rsidRDefault="003D2B46">
          <w:pPr>
            <w:pStyle w:val="TOC3"/>
            <w:tabs>
              <w:tab w:val="right" w:leader="dot" w:pos="9016"/>
            </w:tabs>
            <w:rPr>
              <w:rFonts w:eastAsiaTheme="minorEastAsia"/>
              <w:noProof/>
              <w:lang w:eastAsia="en-AU"/>
            </w:rPr>
          </w:pPr>
          <w:hyperlink w:anchor="_Toc54610433" w:history="1">
            <w:r w:rsidR="005A41CB" w:rsidRPr="004A4E4E">
              <w:rPr>
                <w:rStyle w:val="Hyperlink"/>
                <w:noProof/>
              </w:rPr>
              <w:t>NOPTA’s Approach</w:t>
            </w:r>
            <w:r w:rsidR="005A41CB">
              <w:rPr>
                <w:noProof/>
                <w:webHidden/>
              </w:rPr>
              <w:tab/>
            </w:r>
            <w:r w:rsidR="005A41CB">
              <w:rPr>
                <w:noProof/>
                <w:webHidden/>
              </w:rPr>
              <w:fldChar w:fldCharType="begin"/>
            </w:r>
            <w:r w:rsidR="005A41CB">
              <w:rPr>
                <w:noProof/>
                <w:webHidden/>
              </w:rPr>
              <w:instrText xml:space="preserve"> PAGEREF _Toc54610433 \h </w:instrText>
            </w:r>
            <w:r w:rsidR="005A41CB">
              <w:rPr>
                <w:noProof/>
                <w:webHidden/>
              </w:rPr>
            </w:r>
            <w:r w:rsidR="005A41CB">
              <w:rPr>
                <w:noProof/>
                <w:webHidden/>
              </w:rPr>
              <w:fldChar w:fldCharType="separate"/>
            </w:r>
            <w:r w:rsidR="005A41CB">
              <w:rPr>
                <w:noProof/>
                <w:webHidden/>
              </w:rPr>
              <w:t>11</w:t>
            </w:r>
            <w:r w:rsidR="005A41CB">
              <w:rPr>
                <w:noProof/>
                <w:webHidden/>
              </w:rPr>
              <w:fldChar w:fldCharType="end"/>
            </w:r>
          </w:hyperlink>
        </w:p>
        <w:p w14:paraId="62C12BF5" w14:textId="108FC1B0" w:rsidR="005A41CB" w:rsidRDefault="003D2B46">
          <w:pPr>
            <w:pStyle w:val="TOC2"/>
            <w:tabs>
              <w:tab w:val="right" w:leader="dot" w:pos="9016"/>
            </w:tabs>
            <w:rPr>
              <w:rFonts w:eastAsiaTheme="minorEastAsia"/>
              <w:noProof/>
              <w:lang w:eastAsia="en-AU"/>
            </w:rPr>
          </w:pPr>
          <w:hyperlink w:anchor="_Toc54610434" w:history="1">
            <w:r w:rsidR="005A41CB" w:rsidRPr="004A4E4E">
              <w:rPr>
                <w:rStyle w:val="Hyperlink"/>
                <w:noProof/>
              </w:rPr>
              <w:t>KPI 6: Regulators actively contribute to the continuous improvement of regulatory frameworks</w:t>
            </w:r>
            <w:r w:rsidR="005A41CB">
              <w:rPr>
                <w:noProof/>
                <w:webHidden/>
              </w:rPr>
              <w:tab/>
            </w:r>
            <w:r w:rsidR="005A41CB">
              <w:rPr>
                <w:noProof/>
                <w:webHidden/>
              </w:rPr>
              <w:fldChar w:fldCharType="begin"/>
            </w:r>
            <w:r w:rsidR="005A41CB">
              <w:rPr>
                <w:noProof/>
                <w:webHidden/>
              </w:rPr>
              <w:instrText xml:space="preserve"> PAGEREF _Toc54610434 \h </w:instrText>
            </w:r>
            <w:r w:rsidR="005A41CB">
              <w:rPr>
                <w:noProof/>
                <w:webHidden/>
              </w:rPr>
            </w:r>
            <w:r w:rsidR="005A41CB">
              <w:rPr>
                <w:noProof/>
                <w:webHidden/>
              </w:rPr>
              <w:fldChar w:fldCharType="separate"/>
            </w:r>
            <w:r w:rsidR="005A41CB">
              <w:rPr>
                <w:noProof/>
                <w:webHidden/>
              </w:rPr>
              <w:t>12</w:t>
            </w:r>
            <w:r w:rsidR="005A41CB">
              <w:rPr>
                <w:noProof/>
                <w:webHidden/>
              </w:rPr>
              <w:fldChar w:fldCharType="end"/>
            </w:r>
          </w:hyperlink>
        </w:p>
        <w:p w14:paraId="27C048B9" w14:textId="780AC5E8" w:rsidR="005A41CB" w:rsidRDefault="003D2B46">
          <w:pPr>
            <w:pStyle w:val="TOC3"/>
            <w:tabs>
              <w:tab w:val="right" w:leader="dot" w:pos="9016"/>
            </w:tabs>
            <w:rPr>
              <w:rFonts w:eastAsiaTheme="minorEastAsia"/>
              <w:noProof/>
              <w:lang w:eastAsia="en-AU"/>
            </w:rPr>
          </w:pPr>
          <w:hyperlink w:anchor="_Toc54610435" w:history="1">
            <w:r w:rsidR="005A41CB" w:rsidRPr="004A4E4E">
              <w:rPr>
                <w:rStyle w:val="Hyperlink"/>
                <w:noProof/>
              </w:rPr>
              <w:t>KPI Expectations</w:t>
            </w:r>
            <w:r w:rsidR="005A41CB">
              <w:rPr>
                <w:noProof/>
                <w:webHidden/>
              </w:rPr>
              <w:tab/>
            </w:r>
            <w:r w:rsidR="005A41CB">
              <w:rPr>
                <w:noProof/>
                <w:webHidden/>
              </w:rPr>
              <w:fldChar w:fldCharType="begin"/>
            </w:r>
            <w:r w:rsidR="005A41CB">
              <w:rPr>
                <w:noProof/>
                <w:webHidden/>
              </w:rPr>
              <w:instrText xml:space="preserve"> PAGEREF _Toc54610435 \h </w:instrText>
            </w:r>
            <w:r w:rsidR="005A41CB">
              <w:rPr>
                <w:noProof/>
                <w:webHidden/>
              </w:rPr>
            </w:r>
            <w:r w:rsidR="005A41CB">
              <w:rPr>
                <w:noProof/>
                <w:webHidden/>
              </w:rPr>
              <w:fldChar w:fldCharType="separate"/>
            </w:r>
            <w:r w:rsidR="005A41CB">
              <w:rPr>
                <w:noProof/>
                <w:webHidden/>
              </w:rPr>
              <w:t>12</w:t>
            </w:r>
            <w:r w:rsidR="005A41CB">
              <w:rPr>
                <w:noProof/>
                <w:webHidden/>
              </w:rPr>
              <w:fldChar w:fldCharType="end"/>
            </w:r>
          </w:hyperlink>
        </w:p>
        <w:p w14:paraId="16B29835" w14:textId="1A2A51B1" w:rsidR="005A41CB" w:rsidRDefault="003D2B46">
          <w:pPr>
            <w:pStyle w:val="TOC3"/>
            <w:tabs>
              <w:tab w:val="right" w:leader="dot" w:pos="9016"/>
            </w:tabs>
            <w:rPr>
              <w:rFonts w:eastAsiaTheme="minorEastAsia"/>
              <w:noProof/>
              <w:lang w:eastAsia="en-AU"/>
            </w:rPr>
          </w:pPr>
          <w:hyperlink w:anchor="_Toc54610436" w:history="1">
            <w:r w:rsidR="005A41CB" w:rsidRPr="004A4E4E">
              <w:rPr>
                <w:rStyle w:val="Hyperlink"/>
                <w:noProof/>
              </w:rPr>
              <w:t>NOPTA’s Approach</w:t>
            </w:r>
            <w:r w:rsidR="005A41CB">
              <w:rPr>
                <w:noProof/>
                <w:webHidden/>
              </w:rPr>
              <w:tab/>
            </w:r>
            <w:r w:rsidR="005A41CB">
              <w:rPr>
                <w:noProof/>
                <w:webHidden/>
              </w:rPr>
              <w:fldChar w:fldCharType="begin"/>
            </w:r>
            <w:r w:rsidR="005A41CB">
              <w:rPr>
                <w:noProof/>
                <w:webHidden/>
              </w:rPr>
              <w:instrText xml:space="preserve"> PAGEREF _Toc54610436 \h </w:instrText>
            </w:r>
            <w:r w:rsidR="005A41CB">
              <w:rPr>
                <w:noProof/>
                <w:webHidden/>
              </w:rPr>
            </w:r>
            <w:r w:rsidR="005A41CB">
              <w:rPr>
                <w:noProof/>
                <w:webHidden/>
              </w:rPr>
              <w:fldChar w:fldCharType="separate"/>
            </w:r>
            <w:r w:rsidR="005A41CB">
              <w:rPr>
                <w:noProof/>
                <w:webHidden/>
              </w:rPr>
              <w:t>12</w:t>
            </w:r>
            <w:r w:rsidR="005A41CB">
              <w:rPr>
                <w:noProof/>
                <w:webHidden/>
              </w:rPr>
              <w:fldChar w:fldCharType="end"/>
            </w:r>
          </w:hyperlink>
        </w:p>
        <w:p w14:paraId="5C85E92B" w14:textId="06267697" w:rsidR="005A41CB" w:rsidRDefault="003D2B46">
          <w:pPr>
            <w:pStyle w:val="TOC2"/>
            <w:tabs>
              <w:tab w:val="right" w:leader="dot" w:pos="9016"/>
            </w:tabs>
            <w:rPr>
              <w:rFonts w:eastAsiaTheme="minorEastAsia"/>
              <w:noProof/>
              <w:lang w:eastAsia="en-AU"/>
            </w:rPr>
          </w:pPr>
          <w:hyperlink w:anchor="_Toc54610437" w:history="1">
            <w:r w:rsidR="005A41CB" w:rsidRPr="004A4E4E">
              <w:rPr>
                <w:rStyle w:val="Hyperlink"/>
                <w:noProof/>
              </w:rPr>
              <w:t>External Validation Comments</w:t>
            </w:r>
            <w:r w:rsidR="005A41CB">
              <w:rPr>
                <w:noProof/>
                <w:webHidden/>
              </w:rPr>
              <w:tab/>
            </w:r>
            <w:r w:rsidR="005A41CB">
              <w:rPr>
                <w:noProof/>
                <w:webHidden/>
              </w:rPr>
              <w:fldChar w:fldCharType="begin"/>
            </w:r>
            <w:r w:rsidR="005A41CB">
              <w:rPr>
                <w:noProof/>
                <w:webHidden/>
              </w:rPr>
              <w:instrText xml:space="preserve"> PAGEREF _Toc54610437 \h </w:instrText>
            </w:r>
            <w:r w:rsidR="005A41CB">
              <w:rPr>
                <w:noProof/>
                <w:webHidden/>
              </w:rPr>
            </w:r>
            <w:r w:rsidR="005A41CB">
              <w:rPr>
                <w:noProof/>
                <w:webHidden/>
              </w:rPr>
              <w:fldChar w:fldCharType="separate"/>
            </w:r>
            <w:r w:rsidR="005A41CB">
              <w:rPr>
                <w:noProof/>
                <w:webHidden/>
              </w:rPr>
              <w:t>13</w:t>
            </w:r>
            <w:r w:rsidR="005A41CB">
              <w:rPr>
                <w:noProof/>
                <w:webHidden/>
              </w:rPr>
              <w:fldChar w:fldCharType="end"/>
            </w:r>
          </w:hyperlink>
        </w:p>
        <w:p w14:paraId="636CF841" w14:textId="184EEE24" w:rsidR="00851F51" w:rsidRDefault="00851F51" w:rsidP="00C3530A">
          <w:pPr>
            <w:spacing w:line="240" w:lineRule="auto"/>
          </w:pPr>
          <w:r>
            <w:rPr>
              <w:b/>
              <w:bCs/>
              <w:noProof/>
            </w:rPr>
            <w:fldChar w:fldCharType="end"/>
          </w:r>
        </w:p>
      </w:sdtContent>
    </w:sdt>
    <w:p w14:paraId="53410C31" w14:textId="77777777" w:rsidR="006352F3" w:rsidRPr="006352F3" w:rsidRDefault="006352F3" w:rsidP="00C3530A">
      <w:pPr>
        <w:spacing w:line="240" w:lineRule="auto"/>
      </w:pPr>
    </w:p>
    <w:p w14:paraId="3943ECB0" w14:textId="7DDBE0DE" w:rsidR="006352F3" w:rsidRPr="006352F3" w:rsidRDefault="006352F3" w:rsidP="00C3530A">
      <w:pPr>
        <w:spacing w:line="240" w:lineRule="auto"/>
      </w:pPr>
    </w:p>
    <w:p w14:paraId="774EA90B" w14:textId="1FB809B4" w:rsidR="006352F3" w:rsidRPr="006352F3" w:rsidRDefault="006352F3" w:rsidP="00C3530A">
      <w:pPr>
        <w:spacing w:line="240" w:lineRule="auto"/>
      </w:pPr>
    </w:p>
    <w:p w14:paraId="7258F7DC" w14:textId="5A2998F9" w:rsidR="006352F3" w:rsidRPr="006352F3" w:rsidRDefault="006352F3" w:rsidP="00C3530A">
      <w:pPr>
        <w:spacing w:line="240" w:lineRule="auto"/>
      </w:pPr>
    </w:p>
    <w:p w14:paraId="08DE7196" w14:textId="58B834E6" w:rsidR="006352F3" w:rsidRPr="006352F3" w:rsidRDefault="006352F3" w:rsidP="00C3530A">
      <w:pPr>
        <w:spacing w:line="240" w:lineRule="auto"/>
      </w:pPr>
    </w:p>
    <w:p w14:paraId="729EAEA4" w14:textId="77777777" w:rsidR="0060774E" w:rsidRDefault="0060774E" w:rsidP="00290DAE">
      <w:pPr>
        <w:pStyle w:val="Heading1"/>
        <w:spacing w:after="120" w:line="240" w:lineRule="auto"/>
        <w:rPr>
          <w:b/>
          <w:color w:val="1F3864" w:themeColor="accent5" w:themeShade="80"/>
        </w:rPr>
        <w:sectPr w:rsidR="0060774E" w:rsidSect="006352F3">
          <w:footerReference w:type="default" r:id="rId15"/>
          <w:pgSz w:w="11906" w:h="16838"/>
          <w:pgMar w:top="1418" w:right="1440" w:bottom="993" w:left="1440" w:header="708" w:footer="708" w:gutter="0"/>
          <w:pgNumType w:start="1"/>
          <w:cols w:space="708"/>
          <w:docGrid w:linePitch="360"/>
        </w:sectPr>
      </w:pPr>
      <w:bookmarkStart w:id="6" w:name="_Toc497215465"/>
      <w:bookmarkStart w:id="7" w:name="_Toc453069550"/>
    </w:p>
    <w:p w14:paraId="708CE612" w14:textId="1D1CBD81" w:rsidR="00851F51" w:rsidRPr="00290DAE" w:rsidRDefault="00F6003B" w:rsidP="00290DAE">
      <w:pPr>
        <w:pStyle w:val="Heading1"/>
        <w:spacing w:after="120" w:line="240" w:lineRule="auto"/>
        <w:rPr>
          <w:b/>
          <w:color w:val="1F3864" w:themeColor="accent5" w:themeShade="80"/>
        </w:rPr>
      </w:pPr>
      <w:bookmarkStart w:id="8" w:name="_Toc54610416"/>
      <w:r w:rsidRPr="00290DAE">
        <w:rPr>
          <w:b/>
          <w:color w:val="1F3864" w:themeColor="accent5" w:themeShade="80"/>
        </w:rPr>
        <w:t>O</w:t>
      </w:r>
      <w:r w:rsidR="00851F51" w:rsidRPr="00290DAE">
        <w:rPr>
          <w:b/>
          <w:color w:val="1F3864" w:themeColor="accent5" w:themeShade="80"/>
        </w:rPr>
        <w:t>verview</w:t>
      </w:r>
      <w:bookmarkEnd w:id="6"/>
      <w:bookmarkEnd w:id="8"/>
    </w:p>
    <w:p w14:paraId="6863398C" w14:textId="211CE554" w:rsidR="00851F51" w:rsidRDefault="00851F51" w:rsidP="008952D0">
      <w:pPr>
        <w:spacing w:line="240" w:lineRule="auto"/>
        <w:rPr>
          <w:rFonts w:cs="Arial"/>
        </w:rPr>
      </w:pPr>
      <w:r>
        <w:rPr>
          <w:rFonts w:cs="Arial"/>
        </w:rPr>
        <w:t>NOPTA is please</w:t>
      </w:r>
      <w:r w:rsidR="00347EA5">
        <w:rPr>
          <w:rFonts w:cs="Arial"/>
        </w:rPr>
        <w:t>d</w:t>
      </w:r>
      <w:r>
        <w:rPr>
          <w:rFonts w:cs="Arial"/>
        </w:rPr>
        <w:t xml:space="preserve"> to present its </w:t>
      </w:r>
      <w:r w:rsidR="00E76375">
        <w:rPr>
          <w:rFonts w:cs="Arial"/>
        </w:rPr>
        <w:t>fifth</w:t>
      </w:r>
      <w:r w:rsidR="00CD6089">
        <w:rPr>
          <w:rFonts w:cs="Arial"/>
        </w:rPr>
        <w:t xml:space="preserve"> </w:t>
      </w:r>
      <w:r>
        <w:rPr>
          <w:rFonts w:cs="Arial"/>
        </w:rPr>
        <w:t xml:space="preserve">self-assessment against the Regulator Performance Framework (RPF). Previous self-assessments, as well as further background on NOPTA and the RPF, </w:t>
      </w:r>
      <w:r w:rsidR="00837BDE">
        <w:rPr>
          <w:rFonts w:cs="Arial"/>
        </w:rPr>
        <w:t xml:space="preserve">can be found on the </w:t>
      </w:r>
      <w:hyperlink r:id="rId16" w:history="1">
        <w:r w:rsidR="00837BDE" w:rsidRPr="00E06226">
          <w:rPr>
            <w:rStyle w:val="Hyperlink"/>
            <w:rFonts w:cs="Arial"/>
          </w:rPr>
          <w:t>NOPTA website</w:t>
        </w:r>
      </w:hyperlink>
      <w:r>
        <w:rPr>
          <w:rFonts w:cs="Arial"/>
        </w:rPr>
        <w:t>.</w:t>
      </w:r>
    </w:p>
    <w:p w14:paraId="607D43BA" w14:textId="5D628509" w:rsidR="00EA75AE" w:rsidRDefault="00EA75AE" w:rsidP="00EA75AE">
      <w:r w:rsidRPr="00360CC4">
        <w:t>NOPTA is committed to protecting the health and safety of our people and visitors.</w:t>
      </w:r>
      <w:r>
        <w:t xml:space="preserve"> In line with Commonwealth and state government directives regarding COVID-19 precautions, all staff and contractors worked from home from March 2020 to 30 June 2020, </w:t>
      </w:r>
      <w:r w:rsidR="007F6458">
        <w:t>with th</w:t>
      </w:r>
      <w:r w:rsidR="000B57D0">
        <w:t>is</w:t>
      </w:r>
      <w:r w:rsidR="007F6458">
        <w:t xml:space="preserve"> arrangement continuing </w:t>
      </w:r>
      <w:r w:rsidR="000B57D0">
        <w:t xml:space="preserve">for staff (post 30 June) </w:t>
      </w:r>
      <w:r>
        <w:t xml:space="preserve">as required. The transition to working from home was successful due </w:t>
      </w:r>
      <w:r w:rsidR="0044565A">
        <w:t xml:space="preserve">to </w:t>
      </w:r>
      <w:r>
        <w:t xml:space="preserve">NOPTA’s existing ICT arrangements and embedded commitment to flexible working arrangements for staff.  </w:t>
      </w:r>
    </w:p>
    <w:p w14:paraId="5D3547D3" w14:textId="011AF238" w:rsidR="00D452C6" w:rsidRDefault="00EA75AE" w:rsidP="00EA75AE">
      <w:r w:rsidRPr="00160EBF">
        <w:t xml:space="preserve">Despite </w:t>
      </w:r>
      <w:r>
        <w:t xml:space="preserve">COVID-19 </w:t>
      </w:r>
      <w:r w:rsidRPr="00160EBF">
        <w:t>restrictions</w:t>
      </w:r>
      <w:r>
        <w:t>, NOPTA</w:t>
      </w:r>
      <w:r w:rsidRPr="00160EBF">
        <w:t xml:space="preserve"> has </w:t>
      </w:r>
      <w:r w:rsidR="00D452C6">
        <w:t>maintained its</w:t>
      </w:r>
      <w:r w:rsidRPr="00160EBF">
        <w:t xml:space="preserve"> strong commitment to </w:t>
      </w:r>
      <w:r w:rsidR="00DB41BA">
        <w:t xml:space="preserve">transparency, accountability, consistency, efficiency and helpfulness. </w:t>
      </w:r>
      <w:r w:rsidR="00D452C6">
        <w:t xml:space="preserve">Consequently, </w:t>
      </w:r>
      <w:r w:rsidR="00D452C6">
        <w:rPr>
          <w:rFonts w:cs="Arial"/>
        </w:rPr>
        <w:t xml:space="preserve">NOPTA has assessed that the six Key Performance Indicators (KPIs) of the RPF were met during 2019-20. </w:t>
      </w:r>
    </w:p>
    <w:p w14:paraId="27052530" w14:textId="6259EEE3" w:rsidR="00180174" w:rsidRDefault="00217120" w:rsidP="008952D0">
      <w:pPr>
        <w:spacing w:line="240" w:lineRule="auto"/>
        <w:rPr>
          <w:rFonts w:cs="Arial"/>
        </w:rPr>
      </w:pPr>
      <w:r>
        <w:rPr>
          <w:rFonts w:cs="Arial"/>
        </w:rPr>
        <w:t>In</w:t>
      </w:r>
      <w:r w:rsidR="00337A09" w:rsidRPr="00337A09">
        <w:rPr>
          <w:rFonts w:cs="Arial"/>
        </w:rPr>
        <w:t xml:space="preserve"> October 2019, the</w:t>
      </w:r>
      <w:r>
        <w:rPr>
          <w:rFonts w:cs="Arial"/>
        </w:rPr>
        <w:t xml:space="preserve"> then</w:t>
      </w:r>
      <w:r w:rsidR="00337A09" w:rsidRPr="00337A09">
        <w:rPr>
          <w:rFonts w:cs="Arial"/>
        </w:rPr>
        <w:t xml:space="preserve"> Minister for Resources and Northern Australia, Senator the Hon Matthew Canavan as the responsible Commonwealth Minister under the </w:t>
      </w:r>
      <w:r w:rsidRPr="002A28FF">
        <w:rPr>
          <w:rFonts w:cs="Arial"/>
          <w:i/>
          <w:iCs/>
        </w:rPr>
        <w:t>Offshore Petroleum and Greenhouse Gas Storage Act 2006</w:t>
      </w:r>
      <w:r>
        <w:rPr>
          <w:rFonts w:cs="Arial"/>
        </w:rPr>
        <w:t xml:space="preserve"> (OPGGSA)</w:t>
      </w:r>
      <w:r w:rsidR="00337A09" w:rsidRPr="00337A09">
        <w:rPr>
          <w:rFonts w:cs="Arial"/>
        </w:rPr>
        <w:t xml:space="preserve">, issued NOPTA with an updated </w:t>
      </w:r>
      <w:hyperlink r:id="rId17" w:history="1">
        <w:r w:rsidR="00337A09" w:rsidRPr="002A28FF">
          <w:rPr>
            <w:rStyle w:val="Hyperlink"/>
            <w:rFonts w:cs="Arial"/>
          </w:rPr>
          <w:t>statement of expectations</w:t>
        </w:r>
      </w:hyperlink>
      <w:r w:rsidR="00337A09" w:rsidRPr="00337A09">
        <w:rPr>
          <w:rFonts w:cs="Arial"/>
        </w:rPr>
        <w:t>.</w:t>
      </w:r>
      <w:r w:rsidR="002A28FF">
        <w:rPr>
          <w:rFonts w:cs="Arial"/>
        </w:rPr>
        <w:t xml:space="preserve"> </w:t>
      </w:r>
      <w:r w:rsidR="00FC50D6">
        <w:rPr>
          <w:rFonts w:cs="Arial"/>
        </w:rPr>
        <w:t xml:space="preserve">The updated statement </w:t>
      </w:r>
      <w:r w:rsidR="00FC50D6" w:rsidRPr="0056462B">
        <w:rPr>
          <w:bCs/>
        </w:rPr>
        <w:t>clarifies NOPTA’s role in relation to late life assets, decommissioning and continuing to improve data quality, integration and access under the OPGGS</w:t>
      </w:r>
      <w:r w:rsidR="00C66F6B">
        <w:rPr>
          <w:bCs/>
        </w:rPr>
        <w:t>A</w:t>
      </w:r>
      <w:r w:rsidR="00FC50D6" w:rsidRPr="0056462B">
        <w:rPr>
          <w:bCs/>
        </w:rPr>
        <w:t>.</w:t>
      </w:r>
      <w:r w:rsidR="00384AF1">
        <w:rPr>
          <w:bCs/>
        </w:rPr>
        <w:t xml:space="preserve"> In December 2019, NOPTA responded with an updated </w:t>
      </w:r>
      <w:hyperlink r:id="rId18" w:history="1">
        <w:r w:rsidR="007F4A1F">
          <w:rPr>
            <w:rStyle w:val="Hyperlink"/>
            <w:bCs/>
          </w:rPr>
          <w:t>s</w:t>
        </w:r>
        <w:r w:rsidR="007F4A1F" w:rsidRPr="004317F9">
          <w:rPr>
            <w:rStyle w:val="Hyperlink"/>
            <w:bCs/>
          </w:rPr>
          <w:t>tatement</w:t>
        </w:r>
        <w:r w:rsidR="00384AF1" w:rsidRPr="004317F9">
          <w:rPr>
            <w:rStyle w:val="Hyperlink"/>
            <w:bCs/>
          </w:rPr>
          <w:t xml:space="preserve"> of </w:t>
        </w:r>
        <w:r w:rsidR="007F4A1F">
          <w:rPr>
            <w:rStyle w:val="Hyperlink"/>
            <w:bCs/>
          </w:rPr>
          <w:t>i</w:t>
        </w:r>
        <w:r w:rsidR="00384AF1" w:rsidRPr="004317F9">
          <w:rPr>
            <w:rStyle w:val="Hyperlink"/>
            <w:bCs/>
          </w:rPr>
          <w:t>ntent</w:t>
        </w:r>
      </w:hyperlink>
      <w:r w:rsidR="00384AF1">
        <w:rPr>
          <w:bCs/>
        </w:rPr>
        <w:t xml:space="preserve">. </w:t>
      </w:r>
    </w:p>
    <w:p w14:paraId="61BF4BCF" w14:textId="31773C02" w:rsidR="005E26D5" w:rsidRPr="005E26D5" w:rsidRDefault="00D85213" w:rsidP="005E26D5">
      <w:pPr>
        <w:spacing w:after="120"/>
        <w:rPr>
          <w:bCs/>
        </w:rPr>
      </w:pPr>
      <w:r w:rsidRPr="005E26D5">
        <w:rPr>
          <w:rFonts w:cs="Arial"/>
        </w:rPr>
        <w:t xml:space="preserve">In January </w:t>
      </w:r>
      <w:r w:rsidR="00652F50" w:rsidRPr="005E26D5">
        <w:rPr>
          <w:rFonts w:cs="Arial"/>
        </w:rPr>
        <w:t xml:space="preserve">2020, </w:t>
      </w:r>
      <w:r w:rsidR="00677F46">
        <w:rPr>
          <w:rFonts w:cs="Arial"/>
        </w:rPr>
        <w:t xml:space="preserve">NOPTA </w:t>
      </w:r>
      <w:r w:rsidR="005E26D5" w:rsidRPr="005E26D5">
        <w:rPr>
          <w:bCs/>
        </w:rPr>
        <w:t xml:space="preserve">published its </w:t>
      </w:r>
      <w:hyperlink r:id="rId19" w:history="1">
        <w:r w:rsidR="00956E09" w:rsidRPr="00C75F35">
          <w:rPr>
            <w:rStyle w:val="Hyperlink"/>
          </w:rPr>
          <w:t>2020-23 Strategic Plan</w:t>
        </w:r>
      </w:hyperlink>
      <w:r w:rsidR="00956E09">
        <w:t xml:space="preserve"> </w:t>
      </w:r>
      <w:r w:rsidR="00675DE3">
        <w:rPr>
          <w:bCs/>
        </w:rPr>
        <w:t xml:space="preserve">which is aligned with </w:t>
      </w:r>
      <w:r w:rsidR="00CE71F6">
        <w:rPr>
          <w:bCs/>
        </w:rPr>
        <w:t xml:space="preserve">the </w:t>
      </w:r>
      <w:r w:rsidR="0038234B">
        <w:rPr>
          <w:bCs/>
        </w:rPr>
        <w:t xml:space="preserve">Minister’s </w:t>
      </w:r>
      <w:r w:rsidR="00DB41BA">
        <w:rPr>
          <w:bCs/>
        </w:rPr>
        <w:t xml:space="preserve">updated statement of </w:t>
      </w:r>
      <w:r w:rsidR="0038234B">
        <w:rPr>
          <w:bCs/>
        </w:rPr>
        <w:t xml:space="preserve">expectations and </w:t>
      </w:r>
      <w:r w:rsidR="00675DE3">
        <w:rPr>
          <w:bCs/>
        </w:rPr>
        <w:t>the KPIs of the RPF</w:t>
      </w:r>
      <w:r w:rsidR="005E26D5" w:rsidRPr="005E26D5">
        <w:rPr>
          <w:bCs/>
        </w:rPr>
        <w:t>. The strategic plan focuses on six priorities, including: integrating data and technology; resource management, collaboration and engagement; external compliance; internal capability; and optimising our performance.</w:t>
      </w:r>
      <w:r w:rsidR="00B337E0" w:rsidRPr="00B337E0">
        <w:t xml:space="preserve"> </w:t>
      </w:r>
      <w:r w:rsidR="00B337E0">
        <w:t>Th</w:t>
      </w:r>
      <w:r w:rsidR="00B44118">
        <w:t>is</w:t>
      </w:r>
      <w:r w:rsidR="00B337E0" w:rsidRPr="00A143F3">
        <w:t xml:space="preserve"> enable</w:t>
      </w:r>
      <w:r w:rsidR="00B337E0">
        <w:t>s</w:t>
      </w:r>
      <w:r w:rsidR="00B337E0" w:rsidRPr="00A143F3">
        <w:t xml:space="preserve"> clear and consistent </w:t>
      </w:r>
      <w:r w:rsidR="00B337E0">
        <w:t xml:space="preserve">annual </w:t>
      </w:r>
      <w:r w:rsidR="00B337E0" w:rsidRPr="00A143F3">
        <w:t>report</w:t>
      </w:r>
      <w:r w:rsidR="00B337E0">
        <w:t>ing</w:t>
      </w:r>
      <w:r w:rsidR="00B337E0" w:rsidRPr="00A143F3">
        <w:t xml:space="preserve"> on </w:t>
      </w:r>
      <w:r w:rsidR="00B337E0">
        <w:t>NOPTA’s</w:t>
      </w:r>
      <w:r w:rsidR="00B337E0" w:rsidRPr="00A143F3">
        <w:t xml:space="preserve"> performance </w:t>
      </w:r>
      <w:r w:rsidR="00B337E0">
        <w:t>which aids transparency and</w:t>
      </w:r>
      <w:r w:rsidR="00B337E0" w:rsidRPr="00A143F3">
        <w:t xml:space="preserve"> accountability to</w:t>
      </w:r>
      <w:r w:rsidR="00B337E0">
        <w:t xml:space="preserve"> our</w:t>
      </w:r>
      <w:r w:rsidR="00B337E0" w:rsidRPr="00A143F3">
        <w:t xml:space="preserve"> stakeholders.</w:t>
      </w:r>
    </w:p>
    <w:p w14:paraId="65D87B95" w14:textId="3D23FE75" w:rsidR="00E40F12" w:rsidRPr="00085A66" w:rsidRDefault="00E40F12" w:rsidP="00E40F12">
      <w:pPr>
        <w:rPr>
          <w:rFonts w:ascii="Calibri" w:hAnsi="Calibri" w:cs="Calibri"/>
          <w:color w:val="000000"/>
        </w:rPr>
      </w:pPr>
      <w:r w:rsidRPr="00085A66">
        <w:rPr>
          <w:rFonts w:ascii="Calibri" w:hAnsi="Calibri" w:cs="Calibri"/>
          <w:color w:val="000000"/>
        </w:rPr>
        <w:t xml:space="preserve">Under s 695(1) of the OPGGSA a review of NOPTA's operations must be undertaken every five years. </w:t>
      </w:r>
      <w:r w:rsidR="009B37DB" w:rsidRPr="00D03960">
        <w:t>Deloitte has been appointed</w:t>
      </w:r>
      <w:r w:rsidR="009B37DB">
        <w:t xml:space="preserve"> to conduct the review of NOPTA, as well as the </w:t>
      </w:r>
      <w:r w:rsidR="009B37DB" w:rsidRPr="001B2E46">
        <w:t>National Offshore Petroleum Safety and Environmental Authority (NOPSEMA)</w:t>
      </w:r>
      <w:r w:rsidR="009B37DB">
        <w:t xml:space="preserve">, for the period </w:t>
      </w:r>
      <w:r w:rsidR="009B37DB" w:rsidRPr="00761E89">
        <w:t>1 January 2015 to 31</w:t>
      </w:r>
      <w:r w:rsidR="00E43E8F">
        <w:t> </w:t>
      </w:r>
      <w:r w:rsidR="009B37DB" w:rsidRPr="00761E89">
        <w:t>December 2019</w:t>
      </w:r>
      <w:r w:rsidR="00A33293">
        <w:t xml:space="preserve">. The operational review was initially delayed on request of the </w:t>
      </w:r>
      <w:r w:rsidR="005A41CB" w:rsidRPr="00085A66">
        <w:rPr>
          <w:rFonts w:ascii="Calibri" w:hAnsi="Calibri" w:cs="Calibri"/>
          <w:color w:val="000000"/>
        </w:rPr>
        <w:t>Department of Industry, Science, Energy and Resources</w:t>
      </w:r>
      <w:r w:rsidR="005A41CB">
        <w:rPr>
          <w:rFonts w:ascii="Calibri" w:hAnsi="Calibri" w:cs="Calibri"/>
          <w:color w:val="000000"/>
        </w:rPr>
        <w:t xml:space="preserve"> (the </w:t>
      </w:r>
      <w:r w:rsidR="00A33293">
        <w:t>department</w:t>
      </w:r>
      <w:r w:rsidR="005A41CB">
        <w:t>)</w:t>
      </w:r>
      <w:r w:rsidR="00A33293">
        <w:t>, and approved</w:t>
      </w:r>
      <w:r w:rsidR="00D46176">
        <w:t xml:space="preserve"> by</w:t>
      </w:r>
      <w:r w:rsidR="00A33293">
        <w:t xml:space="preserve"> the responsible Commonwealth Minister, but is scheduled to be complete by the end of 2020. </w:t>
      </w:r>
      <w:r w:rsidRPr="00085A66">
        <w:rPr>
          <w:rFonts w:ascii="Calibri" w:hAnsi="Calibri" w:cs="Calibri"/>
          <w:color w:val="000000"/>
        </w:rPr>
        <w:t xml:space="preserve">NOPTA welcomes the opportunity for the independent review and looks forward to working with the </w:t>
      </w:r>
      <w:r w:rsidR="00630931">
        <w:rPr>
          <w:rFonts w:ascii="Calibri" w:hAnsi="Calibri" w:cs="Calibri"/>
          <w:color w:val="000000"/>
        </w:rPr>
        <w:t>department</w:t>
      </w:r>
      <w:r w:rsidRPr="00085A66">
        <w:rPr>
          <w:rFonts w:ascii="Calibri" w:hAnsi="Calibri" w:cs="Calibri"/>
          <w:color w:val="000000"/>
        </w:rPr>
        <w:t xml:space="preserve"> to implement any recommendations that come from the review.  </w:t>
      </w:r>
    </w:p>
    <w:p w14:paraId="409E66B2" w14:textId="28E5984F" w:rsidR="00881234" w:rsidRPr="00881234" w:rsidRDefault="001D4E56" w:rsidP="00881234">
      <w:pPr>
        <w:rPr>
          <w:rFonts w:ascii="Calibri" w:hAnsi="Calibri" w:cs="Calibri"/>
          <w:color w:val="000000"/>
        </w:rPr>
      </w:pPr>
      <w:r w:rsidRPr="001D4E56">
        <w:rPr>
          <w:rFonts w:ascii="Calibri" w:hAnsi="Calibri" w:cs="Calibri"/>
          <w:color w:val="000000"/>
        </w:rPr>
        <w:t>NOPTA did not conduct a stakeholder survey in 201</w:t>
      </w:r>
      <w:r w:rsidR="007D102B">
        <w:rPr>
          <w:rFonts w:ascii="Calibri" w:hAnsi="Calibri" w:cs="Calibri"/>
          <w:color w:val="000000"/>
        </w:rPr>
        <w:t>9-20</w:t>
      </w:r>
      <w:r w:rsidRPr="001D4E56">
        <w:rPr>
          <w:rFonts w:ascii="Calibri" w:hAnsi="Calibri" w:cs="Calibri"/>
          <w:color w:val="000000"/>
        </w:rPr>
        <w:t xml:space="preserve">. </w:t>
      </w:r>
      <w:r w:rsidR="00EA70B8">
        <w:t xml:space="preserve">Over the past year, NOPTA has been diligent in ensuring that the valuable feedback received on our performance </w:t>
      </w:r>
      <w:r w:rsidR="000853BE">
        <w:t>from the 2018-19 su</w:t>
      </w:r>
      <w:r w:rsidR="00924A20">
        <w:t xml:space="preserve">rvey </w:t>
      </w:r>
      <w:r w:rsidR="00EA70B8">
        <w:t xml:space="preserve">is acted upon. </w:t>
      </w:r>
      <w:r w:rsidRPr="001D4E56">
        <w:rPr>
          <w:rFonts w:ascii="Calibri" w:hAnsi="Calibri" w:cs="Calibri"/>
          <w:color w:val="000000"/>
        </w:rPr>
        <w:t xml:space="preserve">For this year’s self-assessment NOPTA has focused on </w:t>
      </w:r>
      <w:r w:rsidR="00DB41BA">
        <w:rPr>
          <w:rFonts w:ascii="Calibri" w:hAnsi="Calibri" w:cs="Calibri"/>
          <w:color w:val="000000"/>
        </w:rPr>
        <w:t xml:space="preserve">clear </w:t>
      </w:r>
      <w:r w:rsidR="00DB41BA" w:rsidRPr="001D4E56">
        <w:rPr>
          <w:rFonts w:ascii="Calibri" w:hAnsi="Calibri" w:cs="Calibri"/>
          <w:color w:val="000000"/>
        </w:rPr>
        <w:t>activity-based evidence</w:t>
      </w:r>
      <w:r w:rsidR="00DB41BA">
        <w:rPr>
          <w:rFonts w:ascii="Calibri" w:hAnsi="Calibri" w:cs="Calibri"/>
          <w:color w:val="000000"/>
        </w:rPr>
        <w:t xml:space="preserve"> </w:t>
      </w:r>
      <w:r w:rsidR="00DB41BA" w:rsidRPr="001D4E56">
        <w:rPr>
          <w:rFonts w:ascii="Calibri" w:hAnsi="Calibri" w:cs="Calibri"/>
          <w:color w:val="000000"/>
        </w:rPr>
        <w:t xml:space="preserve">relevant to improvement opportunities identified in </w:t>
      </w:r>
      <w:r w:rsidR="00DB41BA">
        <w:rPr>
          <w:rFonts w:ascii="Calibri" w:hAnsi="Calibri" w:cs="Calibri"/>
          <w:color w:val="000000"/>
        </w:rPr>
        <w:t>2018-19 survey</w:t>
      </w:r>
      <w:r w:rsidR="0057279A">
        <w:rPr>
          <w:rFonts w:ascii="Calibri" w:hAnsi="Calibri" w:cs="Calibri"/>
          <w:color w:val="000000"/>
        </w:rPr>
        <w:t>, the 2020-23 strategic plan, and</w:t>
      </w:r>
      <w:r w:rsidR="00DB41BA">
        <w:rPr>
          <w:rFonts w:ascii="Calibri" w:hAnsi="Calibri" w:cs="Calibri"/>
          <w:color w:val="000000"/>
        </w:rPr>
        <w:t xml:space="preserve"> </w:t>
      </w:r>
      <w:r w:rsidR="00FC617D">
        <w:rPr>
          <w:rFonts w:ascii="Calibri" w:hAnsi="Calibri" w:cs="Calibri"/>
          <w:color w:val="000000"/>
        </w:rPr>
        <w:t>outcomes from internal performance</w:t>
      </w:r>
      <w:r w:rsidR="0057279A">
        <w:rPr>
          <w:rFonts w:ascii="Calibri" w:hAnsi="Calibri" w:cs="Calibri"/>
          <w:color w:val="000000"/>
        </w:rPr>
        <w:t xml:space="preserve"> and compliance</w:t>
      </w:r>
      <w:r w:rsidR="00FC617D">
        <w:rPr>
          <w:rFonts w:ascii="Calibri" w:hAnsi="Calibri" w:cs="Calibri"/>
          <w:color w:val="000000"/>
        </w:rPr>
        <w:t xml:space="preserve"> reporting</w:t>
      </w:r>
      <w:r w:rsidRPr="001D4E56">
        <w:rPr>
          <w:rFonts w:ascii="Calibri" w:hAnsi="Calibri" w:cs="Calibri"/>
          <w:color w:val="000000"/>
        </w:rPr>
        <w:t>.</w:t>
      </w:r>
      <w:r w:rsidR="00E40F12" w:rsidRPr="00E40F12">
        <w:rPr>
          <w:rFonts w:ascii="Calibri" w:hAnsi="Calibri" w:cs="Calibri"/>
          <w:color w:val="000000"/>
        </w:rPr>
        <w:t xml:space="preserve"> </w:t>
      </w:r>
      <w:r w:rsidR="00E40F12" w:rsidRPr="001D4E56">
        <w:rPr>
          <w:rFonts w:ascii="Calibri" w:hAnsi="Calibri" w:cs="Calibri"/>
          <w:color w:val="000000"/>
        </w:rPr>
        <w:t xml:space="preserve">NOPTA </w:t>
      </w:r>
      <w:r w:rsidR="00E40F12">
        <w:rPr>
          <w:rFonts w:ascii="Calibri" w:hAnsi="Calibri" w:cs="Calibri"/>
          <w:color w:val="000000"/>
        </w:rPr>
        <w:t>will</w:t>
      </w:r>
      <w:r w:rsidR="00E40F12" w:rsidRPr="001D4E56">
        <w:rPr>
          <w:rFonts w:ascii="Calibri" w:hAnsi="Calibri" w:cs="Calibri"/>
          <w:color w:val="000000"/>
        </w:rPr>
        <w:t xml:space="preserve"> conduct its next stakeholder survey in 20</w:t>
      </w:r>
      <w:r w:rsidR="00E40F12">
        <w:rPr>
          <w:rFonts w:ascii="Calibri" w:hAnsi="Calibri" w:cs="Calibri"/>
          <w:color w:val="000000"/>
        </w:rPr>
        <w:t>21</w:t>
      </w:r>
      <w:r w:rsidR="00E40F12" w:rsidRPr="001D4E56">
        <w:rPr>
          <w:rFonts w:ascii="Calibri" w:hAnsi="Calibri" w:cs="Calibri"/>
          <w:color w:val="000000"/>
        </w:rPr>
        <w:t>.</w:t>
      </w:r>
      <w:r w:rsidR="005A41CB">
        <w:rPr>
          <w:rFonts w:ascii="Calibri" w:hAnsi="Calibri" w:cs="Calibri"/>
          <w:color w:val="000000"/>
        </w:rPr>
        <w:t xml:space="preserve"> </w:t>
      </w:r>
      <w:r w:rsidR="00A33293">
        <w:rPr>
          <w:rFonts w:ascii="Calibri" w:hAnsi="Calibri" w:cs="Calibri"/>
          <w:color w:val="000000"/>
        </w:rPr>
        <w:t xml:space="preserve">Outcomes relating to the 2021 survey, and 2020 operational review (where applicable), will be incorporated into next year’s self-assessment. </w:t>
      </w:r>
    </w:p>
    <w:p w14:paraId="279DBC50" w14:textId="629BCB3B" w:rsidR="00E52D36" w:rsidRPr="00881234" w:rsidRDefault="008D1C29" w:rsidP="00881234">
      <w:pPr>
        <w:rPr>
          <w:rFonts w:ascii="Calibri" w:hAnsi="Calibri" w:cs="Calibri"/>
          <w:color w:val="000000"/>
        </w:rPr>
      </w:pPr>
      <w:r w:rsidRPr="00881234">
        <w:rPr>
          <w:rFonts w:ascii="Calibri" w:hAnsi="Calibri" w:cs="Calibri"/>
          <w:color w:val="000000"/>
        </w:rPr>
        <w:t xml:space="preserve">Key achievements </w:t>
      </w:r>
      <w:r w:rsidR="00D005E8" w:rsidRPr="00881234">
        <w:rPr>
          <w:rFonts w:ascii="Calibri" w:hAnsi="Calibri" w:cs="Calibri"/>
          <w:color w:val="000000"/>
        </w:rPr>
        <w:t xml:space="preserve">against KPIs </w:t>
      </w:r>
      <w:r w:rsidRPr="00881234">
        <w:rPr>
          <w:rFonts w:ascii="Calibri" w:hAnsi="Calibri" w:cs="Calibri"/>
          <w:color w:val="000000"/>
        </w:rPr>
        <w:t xml:space="preserve">over </w:t>
      </w:r>
      <w:r w:rsidR="00A33293">
        <w:rPr>
          <w:rFonts w:ascii="Calibri" w:hAnsi="Calibri" w:cs="Calibri"/>
          <w:color w:val="000000"/>
        </w:rPr>
        <w:t>2019-20</w:t>
      </w:r>
      <w:r w:rsidRPr="00881234">
        <w:rPr>
          <w:rFonts w:ascii="Calibri" w:hAnsi="Calibri" w:cs="Calibri"/>
          <w:color w:val="000000"/>
        </w:rPr>
        <w:t xml:space="preserve"> included:</w:t>
      </w:r>
    </w:p>
    <w:p w14:paraId="6D4B86B3" w14:textId="77777777" w:rsidR="00B6477B" w:rsidRPr="005F06D4" w:rsidRDefault="00B6477B" w:rsidP="00574EC4">
      <w:pPr>
        <w:pStyle w:val="ListParagraph"/>
        <w:numPr>
          <w:ilvl w:val="0"/>
          <w:numId w:val="2"/>
        </w:numPr>
        <w:spacing w:before="0" w:after="120"/>
        <w:ind w:left="426" w:hanging="426"/>
        <w:contextualSpacing w:val="0"/>
        <w:rPr>
          <w:rFonts w:asciiTheme="minorHAnsi" w:hAnsiTheme="minorHAnsi"/>
          <w:bCs/>
          <w:color w:val="auto"/>
          <w:sz w:val="22"/>
          <w:szCs w:val="22"/>
        </w:rPr>
      </w:pPr>
      <w:r w:rsidRPr="004D5189">
        <w:rPr>
          <w:rFonts w:asciiTheme="minorHAnsi" w:hAnsiTheme="minorHAnsi"/>
          <w:b/>
          <w:color w:val="auto"/>
          <w:sz w:val="22"/>
          <w:szCs w:val="22"/>
        </w:rPr>
        <w:t>KPI 1:</w:t>
      </w:r>
      <w:r>
        <w:rPr>
          <w:rFonts w:asciiTheme="minorHAnsi" w:hAnsiTheme="minorHAnsi"/>
          <w:bCs/>
          <w:color w:val="auto"/>
          <w:sz w:val="22"/>
          <w:szCs w:val="22"/>
        </w:rPr>
        <w:t xml:space="preserve"> </w:t>
      </w:r>
      <w:r w:rsidRPr="005F06D4">
        <w:rPr>
          <w:rFonts w:asciiTheme="minorHAnsi" w:hAnsiTheme="minorHAnsi"/>
          <w:bCs/>
          <w:color w:val="auto"/>
          <w:sz w:val="22"/>
          <w:szCs w:val="22"/>
        </w:rPr>
        <w:t>In consultation with industry, implemented and commenced a range of practical initiatives designed to improve the National Electronic Approvals Tracking System (NEATS), including the redevelopment of the NEATS external website, and enhancements to the NEATS industry portal to facilitate online submissions and usability.</w:t>
      </w:r>
    </w:p>
    <w:p w14:paraId="5E848073" w14:textId="7490494D" w:rsidR="009C6FD7" w:rsidRPr="009C6FD7" w:rsidRDefault="00525955" w:rsidP="009C6FD7">
      <w:pPr>
        <w:pStyle w:val="ListParagraph"/>
        <w:numPr>
          <w:ilvl w:val="0"/>
          <w:numId w:val="2"/>
        </w:numPr>
        <w:spacing w:before="240" w:after="120"/>
        <w:ind w:left="426" w:hanging="426"/>
        <w:contextualSpacing w:val="0"/>
        <w:rPr>
          <w:rFonts w:asciiTheme="minorHAnsi" w:hAnsiTheme="minorHAnsi"/>
          <w:bCs/>
          <w:color w:val="auto"/>
          <w:sz w:val="22"/>
          <w:szCs w:val="22"/>
        </w:rPr>
      </w:pPr>
      <w:r w:rsidRPr="009C6FD7">
        <w:rPr>
          <w:rFonts w:asciiTheme="minorHAnsi" w:hAnsiTheme="minorHAnsi"/>
          <w:b/>
          <w:color w:val="auto"/>
          <w:sz w:val="22"/>
          <w:szCs w:val="22"/>
        </w:rPr>
        <w:t>KPI 2:</w:t>
      </w:r>
      <w:r w:rsidRPr="009C6FD7">
        <w:rPr>
          <w:rFonts w:asciiTheme="minorHAnsi" w:hAnsiTheme="minorHAnsi"/>
          <w:bCs/>
          <w:color w:val="auto"/>
          <w:sz w:val="22"/>
          <w:szCs w:val="22"/>
        </w:rPr>
        <w:t xml:space="preserve"> </w:t>
      </w:r>
      <w:r w:rsidR="009C6FD7" w:rsidRPr="009C6FD7">
        <w:rPr>
          <w:rFonts w:asciiTheme="minorHAnsi" w:hAnsiTheme="minorHAnsi"/>
          <w:bCs/>
          <w:color w:val="auto"/>
          <w:sz w:val="22"/>
          <w:szCs w:val="22"/>
        </w:rPr>
        <w:t>P</w:t>
      </w:r>
      <w:r w:rsidR="009C6FD7" w:rsidRPr="00703759">
        <w:rPr>
          <w:rFonts w:asciiTheme="minorHAnsi" w:hAnsiTheme="minorHAnsi"/>
          <w:bCs/>
          <w:color w:val="auto"/>
          <w:sz w:val="22"/>
          <w:szCs w:val="22"/>
        </w:rPr>
        <w:t xml:space="preserve">ublished our 2020-2023 strategic plan. The strategic plan operationalises the </w:t>
      </w:r>
      <w:r w:rsidR="009C6FD7" w:rsidRPr="00101CDE">
        <w:rPr>
          <w:rFonts w:asciiTheme="minorHAnsi" w:hAnsiTheme="minorHAnsi"/>
          <w:bCs/>
          <w:color w:val="auto"/>
          <w:sz w:val="22"/>
          <w:szCs w:val="22"/>
        </w:rPr>
        <w:t>department</w:t>
      </w:r>
      <w:r w:rsidR="00630931">
        <w:rPr>
          <w:rFonts w:asciiTheme="minorHAnsi" w:hAnsiTheme="minorHAnsi"/>
          <w:bCs/>
          <w:color w:val="auto"/>
          <w:sz w:val="22"/>
          <w:szCs w:val="22"/>
        </w:rPr>
        <w:t>’s</w:t>
      </w:r>
      <w:r w:rsidR="009C6FD7" w:rsidRPr="00630931">
        <w:rPr>
          <w:rFonts w:asciiTheme="minorHAnsi" w:hAnsiTheme="minorHAnsi"/>
          <w:bCs/>
          <w:color w:val="auto"/>
          <w:sz w:val="22"/>
          <w:szCs w:val="22"/>
        </w:rPr>
        <w:t xml:space="preserve"> Corporate Plan in relation to NOPTA’s functions and is supported by a comprehensive internal implementation </w:t>
      </w:r>
      <w:r w:rsidR="009C6FD7" w:rsidRPr="009C6FD7">
        <w:rPr>
          <w:rFonts w:asciiTheme="minorHAnsi" w:hAnsiTheme="minorHAnsi"/>
          <w:bCs/>
          <w:color w:val="auto"/>
          <w:sz w:val="22"/>
          <w:szCs w:val="22"/>
        </w:rPr>
        <w:t>strategy.</w:t>
      </w:r>
    </w:p>
    <w:p w14:paraId="0C12A0A4" w14:textId="46A89EFD" w:rsidR="003D512B" w:rsidRPr="00290DAE" w:rsidRDefault="00120441" w:rsidP="009C6FD7">
      <w:pPr>
        <w:pStyle w:val="ListParagraph"/>
        <w:numPr>
          <w:ilvl w:val="0"/>
          <w:numId w:val="2"/>
        </w:numPr>
        <w:spacing w:before="0" w:after="120"/>
        <w:ind w:left="426" w:hanging="426"/>
        <w:contextualSpacing w:val="0"/>
        <w:rPr>
          <w:rFonts w:asciiTheme="minorHAnsi" w:hAnsiTheme="minorHAnsi" w:cstheme="minorHAnsi"/>
          <w:sz w:val="22"/>
          <w:szCs w:val="22"/>
        </w:rPr>
      </w:pPr>
      <w:r w:rsidRPr="009C6FD7">
        <w:rPr>
          <w:rFonts w:asciiTheme="minorHAnsi" w:hAnsiTheme="minorHAnsi"/>
          <w:b/>
          <w:color w:val="auto"/>
          <w:sz w:val="22"/>
          <w:szCs w:val="22"/>
        </w:rPr>
        <w:t>KPI 3:</w:t>
      </w:r>
      <w:r w:rsidRPr="009C6FD7">
        <w:rPr>
          <w:rFonts w:asciiTheme="minorHAnsi" w:hAnsiTheme="minorHAnsi"/>
          <w:bCs/>
          <w:color w:val="auto"/>
          <w:sz w:val="22"/>
          <w:szCs w:val="22"/>
        </w:rPr>
        <w:t xml:space="preserve"> </w:t>
      </w:r>
      <w:r w:rsidR="003D512B" w:rsidRPr="00703759">
        <w:rPr>
          <w:rFonts w:asciiTheme="minorHAnsi" w:hAnsiTheme="minorHAnsi" w:cstheme="minorHAnsi"/>
          <w:color w:val="auto"/>
          <w:sz w:val="22"/>
          <w:szCs w:val="22"/>
        </w:rPr>
        <w:t xml:space="preserve">Maintained an ongoing focus on risk management, with all staff attending a dedicated training workshop to increase knowledge and better understand implications for NOPTA’s administrative framework. </w:t>
      </w:r>
    </w:p>
    <w:p w14:paraId="79A2F750" w14:textId="6E4B58BF" w:rsidR="005F06D4" w:rsidRDefault="002F34DC" w:rsidP="00574EC4">
      <w:pPr>
        <w:pStyle w:val="ListParagraph"/>
        <w:numPr>
          <w:ilvl w:val="0"/>
          <w:numId w:val="2"/>
        </w:numPr>
        <w:spacing w:before="0" w:after="120"/>
        <w:ind w:left="426" w:hanging="426"/>
        <w:contextualSpacing w:val="0"/>
        <w:rPr>
          <w:rFonts w:asciiTheme="minorHAnsi" w:hAnsiTheme="minorHAnsi"/>
          <w:bCs/>
          <w:color w:val="auto"/>
          <w:sz w:val="22"/>
          <w:szCs w:val="22"/>
        </w:rPr>
      </w:pPr>
      <w:r w:rsidRPr="004D5189">
        <w:rPr>
          <w:rFonts w:asciiTheme="minorHAnsi" w:hAnsiTheme="minorHAnsi"/>
          <w:b/>
          <w:color w:val="auto"/>
          <w:sz w:val="22"/>
          <w:szCs w:val="22"/>
        </w:rPr>
        <w:t>KPI 4:</w:t>
      </w:r>
      <w:r>
        <w:rPr>
          <w:rFonts w:asciiTheme="minorHAnsi" w:hAnsiTheme="minorHAnsi"/>
          <w:bCs/>
          <w:color w:val="auto"/>
          <w:sz w:val="22"/>
          <w:szCs w:val="22"/>
        </w:rPr>
        <w:t xml:space="preserve"> </w:t>
      </w:r>
      <w:r w:rsidR="005F06D4" w:rsidRPr="005F06D4">
        <w:rPr>
          <w:rFonts w:asciiTheme="minorHAnsi" w:hAnsiTheme="minorHAnsi"/>
          <w:bCs/>
          <w:color w:val="auto"/>
          <w:sz w:val="22"/>
          <w:szCs w:val="22"/>
        </w:rPr>
        <w:t xml:space="preserve">Introduced an internal assurance review process to test ongoing </w:t>
      </w:r>
      <w:r w:rsidR="00C66F6B">
        <w:rPr>
          <w:rFonts w:asciiTheme="minorHAnsi" w:hAnsiTheme="minorHAnsi"/>
          <w:bCs/>
          <w:color w:val="auto"/>
          <w:sz w:val="22"/>
          <w:szCs w:val="22"/>
        </w:rPr>
        <w:t xml:space="preserve">procedural </w:t>
      </w:r>
      <w:r w:rsidR="005F06D4" w:rsidRPr="005F06D4">
        <w:rPr>
          <w:rFonts w:asciiTheme="minorHAnsi" w:hAnsiTheme="minorHAnsi"/>
          <w:bCs/>
          <w:color w:val="auto"/>
          <w:sz w:val="22"/>
          <w:szCs w:val="22"/>
        </w:rPr>
        <w:t xml:space="preserve">adherence to legislative and administrative requirements </w:t>
      </w:r>
      <w:r w:rsidR="00916E87">
        <w:rPr>
          <w:rFonts w:asciiTheme="minorHAnsi" w:hAnsiTheme="minorHAnsi"/>
          <w:bCs/>
          <w:color w:val="auto"/>
          <w:sz w:val="22"/>
          <w:szCs w:val="22"/>
        </w:rPr>
        <w:t xml:space="preserve">under the OPGGSA </w:t>
      </w:r>
      <w:r w:rsidR="005F06D4" w:rsidRPr="005F06D4">
        <w:rPr>
          <w:rFonts w:asciiTheme="minorHAnsi" w:hAnsiTheme="minorHAnsi"/>
          <w:bCs/>
          <w:color w:val="auto"/>
          <w:sz w:val="22"/>
          <w:szCs w:val="22"/>
        </w:rPr>
        <w:t>and promote continuous improvement.</w:t>
      </w:r>
    </w:p>
    <w:p w14:paraId="5BFCE8A4" w14:textId="7CB40854" w:rsidR="00703759" w:rsidRPr="00D41F90" w:rsidRDefault="001F43E7" w:rsidP="00703759">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sidRPr="004D5189">
        <w:rPr>
          <w:rFonts w:asciiTheme="minorHAnsi" w:hAnsiTheme="minorHAnsi"/>
          <w:b/>
          <w:color w:val="auto"/>
          <w:sz w:val="22"/>
          <w:szCs w:val="22"/>
        </w:rPr>
        <w:t>KPI 5</w:t>
      </w:r>
      <w:r w:rsidR="00C21F2A" w:rsidRPr="004D5189">
        <w:rPr>
          <w:rFonts w:asciiTheme="minorHAnsi" w:hAnsiTheme="minorHAnsi"/>
          <w:b/>
          <w:color w:val="auto"/>
          <w:sz w:val="22"/>
          <w:szCs w:val="22"/>
        </w:rPr>
        <w:t>:</w:t>
      </w:r>
      <w:r w:rsidR="00C21F2A">
        <w:rPr>
          <w:rFonts w:asciiTheme="minorHAnsi" w:hAnsiTheme="minorHAnsi"/>
          <w:bCs/>
          <w:color w:val="auto"/>
          <w:sz w:val="22"/>
          <w:szCs w:val="22"/>
        </w:rPr>
        <w:t xml:space="preserve"> </w:t>
      </w:r>
      <w:r w:rsidR="00703759">
        <w:rPr>
          <w:rFonts w:asciiTheme="minorHAnsi" w:hAnsiTheme="minorHAnsi"/>
          <w:bCs/>
          <w:color w:val="auto"/>
          <w:sz w:val="22"/>
          <w:szCs w:val="22"/>
        </w:rPr>
        <w:t xml:space="preserve">Reviewed and updated </w:t>
      </w:r>
      <w:r w:rsidR="00703759" w:rsidRPr="00D41F90">
        <w:rPr>
          <w:rFonts w:asciiTheme="minorHAnsi" w:hAnsiTheme="minorHAnsi" w:cstheme="minorHAnsi"/>
          <w:color w:val="auto"/>
          <w:sz w:val="22"/>
          <w:szCs w:val="22"/>
        </w:rPr>
        <w:t xml:space="preserve">NOPTA’s Compliance and Enforcement Policy </w:t>
      </w:r>
      <w:r w:rsidR="00703759">
        <w:rPr>
          <w:rFonts w:asciiTheme="minorHAnsi" w:hAnsiTheme="minorHAnsi" w:cstheme="minorHAnsi"/>
          <w:color w:val="auto"/>
          <w:sz w:val="22"/>
          <w:szCs w:val="22"/>
        </w:rPr>
        <w:t xml:space="preserve">which </w:t>
      </w:r>
      <w:r w:rsidR="00703759" w:rsidRPr="00D41F90">
        <w:rPr>
          <w:rFonts w:asciiTheme="minorHAnsi" w:hAnsiTheme="minorHAnsi" w:cstheme="minorHAnsi"/>
          <w:color w:val="auto"/>
          <w:sz w:val="22"/>
          <w:szCs w:val="22"/>
        </w:rPr>
        <w:t>is publish</w:t>
      </w:r>
      <w:r w:rsidR="00703759">
        <w:rPr>
          <w:rFonts w:asciiTheme="minorHAnsi" w:hAnsiTheme="minorHAnsi" w:cstheme="minorHAnsi"/>
          <w:color w:val="auto"/>
          <w:sz w:val="22"/>
          <w:szCs w:val="22"/>
        </w:rPr>
        <w:t>ed</w:t>
      </w:r>
      <w:r w:rsidR="00703759" w:rsidRPr="00D41F90">
        <w:rPr>
          <w:rFonts w:asciiTheme="minorHAnsi" w:hAnsiTheme="minorHAnsi" w:cstheme="minorHAnsi"/>
          <w:color w:val="auto"/>
          <w:sz w:val="22"/>
          <w:szCs w:val="22"/>
        </w:rPr>
        <w:t xml:space="preserve"> on the </w:t>
      </w:r>
      <w:r w:rsidR="00703759">
        <w:rPr>
          <w:rFonts w:asciiTheme="minorHAnsi" w:hAnsiTheme="minorHAnsi" w:cstheme="minorHAnsi"/>
          <w:color w:val="auto"/>
          <w:sz w:val="22"/>
          <w:szCs w:val="22"/>
        </w:rPr>
        <w:t xml:space="preserve">NOPTA </w:t>
      </w:r>
      <w:r w:rsidR="00703759" w:rsidRPr="00D41F90">
        <w:rPr>
          <w:rFonts w:asciiTheme="minorHAnsi" w:hAnsiTheme="minorHAnsi" w:cstheme="minorHAnsi"/>
          <w:color w:val="auto"/>
          <w:sz w:val="22"/>
          <w:szCs w:val="22"/>
        </w:rPr>
        <w:t>website.</w:t>
      </w:r>
    </w:p>
    <w:p w14:paraId="544A0D19" w14:textId="1D6ED1E0" w:rsidR="00661995" w:rsidRPr="00703759" w:rsidRDefault="00302EF3" w:rsidP="00703759">
      <w:pPr>
        <w:pStyle w:val="ListParagraph"/>
        <w:numPr>
          <w:ilvl w:val="0"/>
          <w:numId w:val="2"/>
        </w:numPr>
        <w:spacing w:before="0" w:after="120"/>
        <w:ind w:left="426" w:hanging="426"/>
        <w:contextualSpacing w:val="0"/>
        <w:rPr>
          <w:rFonts w:asciiTheme="minorHAnsi" w:hAnsiTheme="minorHAnsi"/>
          <w:bCs/>
          <w:color w:val="auto"/>
          <w:sz w:val="22"/>
          <w:szCs w:val="22"/>
        </w:rPr>
      </w:pPr>
      <w:r w:rsidRPr="00703759">
        <w:rPr>
          <w:rFonts w:asciiTheme="minorHAnsi" w:hAnsiTheme="minorHAnsi"/>
          <w:b/>
          <w:color w:val="auto"/>
          <w:sz w:val="22"/>
          <w:szCs w:val="22"/>
        </w:rPr>
        <w:t>KPI 6:</w:t>
      </w:r>
      <w:r w:rsidRPr="00703759">
        <w:rPr>
          <w:rFonts w:asciiTheme="minorHAnsi" w:hAnsiTheme="minorHAnsi"/>
          <w:bCs/>
          <w:color w:val="auto"/>
          <w:sz w:val="22"/>
          <w:szCs w:val="22"/>
        </w:rPr>
        <w:t xml:space="preserve"> </w:t>
      </w:r>
      <w:r w:rsidR="002E24BA" w:rsidRPr="00290DAE">
        <w:rPr>
          <w:rFonts w:asciiTheme="minorHAnsi" w:hAnsiTheme="minorHAnsi"/>
          <w:bCs/>
          <w:color w:val="auto"/>
          <w:sz w:val="22"/>
          <w:szCs w:val="22"/>
        </w:rPr>
        <w:t>Continued to work closely with the</w:t>
      </w:r>
      <w:r w:rsidR="002B6162" w:rsidRPr="00290DAE">
        <w:rPr>
          <w:rFonts w:asciiTheme="minorHAnsi" w:hAnsiTheme="minorHAnsi"/>
          <w:bCs/>
          <w:color w:val="auto"/>
          <w:sz w:val="22"/>
          <w:szCs w:val="22"/>
        </w:rPr>
        <w:t xml:space="preserve"> </w:t>
      </w:r>
      <w:r w:rsidR="003A2497" w:rsidRPr="00290DAE">
        <w:rPr>
          <w:rFonts w:asciiTheme="minorHAnsi" w:hAnsiTheme="minorHAnsi"/>
          <w:bCs/>
          <w:color w:val="auto"/>
          <w:sz w:val="22"/>
          <w:szCs w:val="22"/>
        </w:rPr>
        <w:t>Offshore Resources Branch of the department,</w:t>
      </w:r>
      <w:r w:rsidR="00252A80" w:rsidRPr="00290DAE">
        <w:rPr>
          <w:rFonts w:asciiTheme="minorHAnsi" w:hAnsiTheme="minorHAnsi"/>
          <w:bCs/>
          <w:color w:val="auto"/>
          <w:sz w:val="22"/>
          <w:szCs w:val="22"/>
        </w:rPr>
        <w:t xml:space="preserve"> and the</w:t>
      </w:r>
      <w:r w:rsidR="002E24BA" w:rsidRPr="00630931">
        <w:rPr>
          <w:rFonts w:asciiTheme="minorHAnsi" w:hAnsiTheme="minorHAnsi"/>
          <w:bCs/>
          <w:color w:val="auto"/>
          <w:sz w:val="22"/>
          <w:szCs w:val="22"/>
        </w:rPr>
        <w:t xml:space="preserve"> National Offshore Petroleum Safety and Environmental Management Authority (NOPSEMA) on ma</w:t>
      </w:r>
      <w:r w:rsidR="002E24BA" w:rsidRPr="00703759">
        <w:rPr>
          <w:rFonts w:asciiTheme="minorHAnsi" w:hAnsiTheme="minorHAnsi"/>
          <w:bCs/>
          <w:color w:val="auto"/>
          <w:sz w:val="22"/>
          <w:szCs w:val="22"/>
        </w:rPr>
        <w:t xml:space="preserve">tters </w:t>
      </w:r>
      <w:r w:rsidR="003A2497" w:rsidRPr="00703759">
        <w:rPr>
          <w:rFonts w:asciiTheme="minorHAnsi" w:hAnsiTheme="minorHAnsi"/>
          <w:bCs/>
          <w:color w:val="auto"/>
          <w:sz w:val="22"/>
          <w:szCs w:val="22"/>
        </w:rPr>
        <w:t xml:space="preserve">relevant </w:t>
      </w:r>
      <w:r w:rsidR="002E24BA" w:rsidRPr="00703759">
        <w:rPr>
          <w:rFonts w:asciiTheme="minorHAnsi" w:hAnsiTheme="minorHAnsi"/>
          <w:bCs/>
          <w:color w:val="auto"/>
          <w:sz w:val="22"/>
          <w:szCs w:val="22"/>
        </w:rPr>
        <w:t xml:space="preserve">to streamlining processes under the </w:t>
      </w:r>
      <w:r w:rsidR="003A2497" w:rsidRPr="00703759">
        <w:rPr>
          <w:rFonts w:asciiTheme="minorHAnsi" w:hAnsiTheme="minorHAnsi"/>
          <w:bCs/>
          <w:color w:val="auto"/>
          <w:sz w:val="22"/>
          <w:szCs w:val="22"/>
        </w:rPr>
        <w:t>OPGGSA and associated regulations</w:t>
      </w:r>
      <w:r w:rsidR="004D5189" w:rsidRPr="00703759">
        <w:rPr>
          <w:rFonts w:asciiTheme="minorHAnsi" w:hAnsiTheme="minorHAnsi"/>
          <w:bCs/>
          <w:color w:val="auto"/>
          <w:sz w:val="22"/>
          <w:szCs w:val="22"/>
        </w:rPr>
        <w:t>.</w:t>
      </w:r>
    </w:p>
    <w:p w14:paraId="5A263100" w14:textId="77777777" w:rsidR="002D5ACD" w:rsidRPr="00751D77" w:rsidRDefault="002D5ACD" w:rsidP="00751D77">
      <w:pPr>
        <w:spacing w:after="120"/>
        <w:rPr>
          <w:rFonts w:cs="Arial"/>
        </w:rPr>
      </w:pPr>
    </w:p>
    <w:p w14:paraId="4E5B17DC" w14:textId="77777777" w:rsidR="00706758" w:rsidRPr="00706758" w:rsidRDefault="00706758" w:rsidP="00706758">
      <w:pPr>
        <w:pStyle w:val="ListParagraph"/>
        <w:rPr>
          <w:rFonts w:cs="Arial"/>
        </w:rPr>
      </w:pPr>
    </w:p>
    <w:p w14:paraId="7B0C78D2" w14:textId="77777777" w:rsidR="001C07E5" w:rsidRPr="003514CC" w:rsidRDefault="001C07E5" w:rsidP="000743C1">
      <w:pPr>
        <w:pStyle w:val="ListParagraph"/>
        <w:spacing w:before="0" w:after="120"/>
        <w:ind w:left="426"/>
        <w:contextualSpacing w:val="0"/>
        <w:rPr>
          <w:rFonts w:asciiTheme="minorHAnsi" w:hAnsiTheme="minorHAnsi"/>
          <w:color w:val="auto"/>
          <w:sz w:val="22"/>
          <w:szCs w:val="22"/>
        </w:rPr>
      </w:pPr>
      <w:bookmarkStart w:id="9" w:name="_Toc497215467"/>
      <w:bookmarkEnd w:id="7"/>
    </w:p>
    <w:p w14:paraId="086C9BD5" w14:textId="77777777" w:rsidR="009D5FB8" w:rsidRPr="00DD1078" w:rsidRDefault="009D5FB8" w:rsidP="00C3530A">
      <w:pPr>
        <w:pStyle w:val="ListParagraph"/>
        <w:spacing w:before="0" w:after="120"/>
        <w:ind w:left="426"/>
        <w:contextualSpacing w:val="0"/>
        <w:rPr>
          <w:rFonts w:asciiTheme="majorHAnsi" w:eastAsiaTheme="majorEastAsia" w:hAnsiTheme="majorHAnsi" w:cstheme="majorBidi"/>
          <w:b/>
          <w:color w:val="2E74B5" w:themeColor="accent1" w:themeShade="BF"/>
          <w:sz w:val="32"/>
          <w:szCs w:val="32"/>
        </w:rPr>
      </w:pPr>
    </w:p>
    <w:p w14:paraId="67961209" w14:textId="77777777" w:rsidR="009D5FB8" w:rsidRDefault="009D5FB8" w:rsidP="00C3530A">
      <w:pPr>
        <w:spacing w:after="120" w:line="240" w:lineRule="auto"/>
        <w:rPr>
          <w:b/>
        </w:rPr>
      </w:pPr>
    </w:p>
    <w:p w14:paraId="40046B1E" w14:textId="77777777" w:rsidR="00426D26" w:rsidRDefault="00426D26" w:rsidP="00C3530A">
      <w:pPr>
        <w:spacing w:line="240" w:lineRule="auto"/>
        <w:rPr>
          <w:rFonts w:asciiTheme="majorHAnsi" w:eastAsiaTheme="majorEastAsia" w:hAnsiTheme="majorHAnsi" w:cstheme="majorBidi"/>
          <w:b/>
          <w:color w:val="2E74B5" w:themeColor="accent1" w:themeShade="BF"/>
          <w:sz w:val="32"/>
          <w:szCs w:val="32"/>
        </w:rPr>
      </w:pPr>
      <w:r>
        <w:rPr>
          <w:b/>
        </w:rPr>
        <w:br w:type="page"/>
      </w:r>
    </w:p>
    <w:p w14:paraId="3594D3BD" w14:textId="508CAE38" w:rsidR="00851F51" w:rsidRPr="00290DAE" w:rsidRDefault="00851F51" w:rsidP="00881234">
      <w:pPr>
        <w:pStyle w:val="Heading1"/>
        <w:spacing w:before="0" w:after="120" w:line="240" w:lineRule="auto"/>
        <w:rPr>
          <w:b/>
          <w:color w:val="1F3864" w:themeColor="accent5" w:themeShade="80"/>
        </w:rPr>
      </w:pPr>
      <w:bookmarkStart w:id="10" w:name="_Toc54610417"/>
      <w:r w:rsidRPr="00290DAE">
        <w:rPr>
          <w:b/>
          <w:color w:val="1F3864" w:themeColor="accent5" w:themeShade="80"/>
        </w:rPr>
        <w:t>About NOPTA</w:t>
      </w:r>
      <w:bookmarkEnd w:id="9"/>
      <w:bookmarkEnd w:id="10"/>
    </w:p>
    <w:p w14:paraId="30C0F329" w14:textId="2B108AB6" w:rsidR="002F7E00" w:rsidRPr="002F7E00" w:rsidRDefault="002F7E00" w:rsidP="00881234">
      <w:pPr>
        <w:spacing w:after="120" w:line="240" w:lineRule="auto"/>
        <w:rPr>
          <w:color w:val="000000"/>
        </w:rPr>
      </w:pPr>
      <w:r w:rsidRPr="002F7E00">
        <w:rPr>
          <w:color w:val="000000"/>
        </w:rPr>
        <w:t>NOPTA, also known as the Titles Administrator, is appointed by the Secretary of the </w:t>
      </w:r>
      <w:hyperlink r:id="rId20" w:tgtFrame="_blank" w:history="1">
        <w:r w:rsidRPr="002F7E00">
          <w:rPr>
            <w:rStyle w:val="Hyperlink"/>
          </w:rPr>
          <w:t>Department of Industry, Science, Energy and Resources</w:t>
        </w:r>
      </w:hyperlink>
      <w:r w:rsidRPr="002F7E00">
        <w:rPr>
          <w:color w:val="000000"/>
        </w:rPr>
        <w:t> (the department) under section 695A of the </w:t>
      </w:r>
      <w:r w:rsidRPr="002F7E00">
        <w:rPr>
          <w:i/>
          <w:iCs/>
          <w:color w:val="000000"/>
        </w:rPr>
        <w:t xml:space="preserve">Offshore Petroleum and Greenhouse Gas Storage Act 2006 </w:t>
      </w:r>
      <w:r w:rsidRPr="002F7E00">
        <w:rPr>
          <w:color w:val="000000"/>
        </w:rPr>
        <w:t>(OPGGS</w:t>
      </w:r>
      <w:r w:rsidR="00475B2F">
        <w:rPr>
          <w:color w:val="000000"/>
        </w:rPr>
        <w:t>A</w:t>
      </w:r>
      <w:r w:rsidRPr="002F7E00">
        <w:rPr>
          <w:color w:val="000000"/>
        </w:rPr>
        <w:t>)</w:t>
      </w:r>
      <w:r w:rsidRPr="002F7E00">
        <w:rPr>
          <w:i/>
          <w:iCs/>
          <w:color w:val="000000"/>
        </w:rPr>
        <w:t>.</w:t>
      </w:r>
    </w:p>
    <w:p w14:paraId="753D28F5" w14:textId="09057182" w:rsidR="002F7E00" w:rsidRPr="002F7E00" w:rsidRDefault="002F7E00" w:rsidP="00881234">
      <w:pPr>
        <w:spacing w:after="120" w:line="240" w:lineRule="auto"/>
        <w:rPr>
          <w:color w:val="000000"/>
        </w:rPr>
      </w:pPr>
      <w:r w:rsidRPr="002F7E00">
        <w:rPr>
          <w:color w:val="000000"/>
        </w:rPr>
        <w:t>NOPTA's purpose is to advise on and administer the OPGGSA in support of the effective regulation and management of our offshore petroleum resources, consistent with good oil field practice and optimum recovery. NOPTA is the first point of contact for matters relating to offshore titles administration and operates on a full </w:t>
      </w:r>
      <w:hyperlink r:id="rId21" w:history="1">
        <w:r w:rsidRPr="002F7E00">
          <w:rPr>
            <w:rStyle w:val="Hyperlink"/>
          </w:rPr>
          <w:t>cost recovery</w:t>
        </w:r>
      </w:hyperlink>
      <w:r w:rsidRPr="002F7E00">
        <w:rPr>
          <w:color w:val="000000"/>
        </w:rPr>
        <w:t> basis.</w:t>
      </w:r>
    </w:p>
    <w:p w14:paraId="465940A1" w14:textId="14C7D6FE" w:rsidR="002F7E00" w:rsidRPr="002F7E00" w:rsidRDefault="002F7E00" w:rsidP="00881234">
      <w:pPr>
        <w:spacing w:after="120" w:line="240" w:lineRule="auto"/>
        <w:rPr>
          <w:color w:val="000000"/>
        </w:rPr>
      </w:pPr>
      <w:r w:rsidRPr="002F7E00">
        <w:rPr>
          <w:color w:val="000000"/>
        </w:rPr>
        <w:t>Under the OPGGSA and associated regulations, NOPTA's functions include:</w:t>
      </w:r>
    </w:p>
    <w:p w14:paraId="6911439E" w14:textId="77777777" w:rsidR="002F7E00" w:rsidRPr="002F7E00" w:rsidRDefault="002F7E00" w:rsidP="00574EC4">
      <w:pPr>
        <w:numPr>
          <w:ilvl w:val="0"/>
          <w:numId w:val="4"/>
        </w:numPr>
        <w:spacing w:after="120" w:line="240" w:lineRule="auto"/>
        <w:rPr>
          <w:color w:val="000000"/>
        </w:rPr>
      </w:pPr>
      <w:r w:rsidRPr="002F7E00">
        <w:rPr>
          <w:color w:val="000000"/>
        </w:rPr>
        <w:t>providing information, assessments, analysis, reports, advice and recommendations to the Joint Authorities and the 'responsible Commonwealth Minister'</w:t>
      </w:r>
    </w:p>
    <w:p w14:paraId="565BEA26" w14:textId="77777777" w:rsidR="002F7E00" w:rsidRPr="002F7E00" w:rsidRDefault="002F7E00" w:rsidP="00574EC4">
      <w:pPr>
        <w:numPr>
          <w:ilvl w:val="0"/>
          <w:numId w:val="4"/>
        </w:numPr>
        <w:spacing w:after="120" w:line="240" w:lineRule="auto"/>
        <w:rPr>
          <w:color w:val="000000"/>
        </w:rPr>
      </w:pPr>
      <w:r w:rsidRPr="002F7E00">
        <w:rPr>
          <w:color w:val="000000"/>
        </w:rPr>
        <w:t>granting short-term titles (petroleum access authority and petroleum special prospecting authority) and decisions on the registration of transfers and dealings</w:t>
      </w:r>
    </w:p>
    <w:p w14:paraId="1F32A746" w14:textId="77777777" w:rsidR="002F7E00" w:rsidRPr="002F7E00" w:rsidRDefault="002F7E00" w:rsidP="00574EC4">
      <w:pPr>
        <w:numPr>
          <w:ilvl w:val="0"/>
          <w:numId w:val="4"/>
        </w:numPr>
        <w:spacing w:after="120" w:line="240" w:lineRule="auto"/>
        <w:rPr>
          <w:color w:val="000000"/>
        </w:rPr>
      </w:pPr>
      <w:r w:rsidRPr="002F7E00">
        <w:rPr>
          <w:color w:val="000000"/>
        </w:rPr>
        <w:t>facilitating life of title administration, including compliance monitoring</w:t>
      </w:r>
    </w:p>
    <w:p w14:paraId="7547D862" w14:textId="77777777" w:rsidR="002F7E00" w:rsidRPr="002F7E00" w:rsidRDefault="002F7E00" w:rsidP="00574EC4">
      <w:pPr>
        <w:numPr>
          <w:ilvl w:val="0"/>
          <w:numId w:val="4"/>
        </w:numPr>
        <w:spacing w:after="120" w:line="240" w:lineRule="auto"/>
        <w:rPr>
          <w:color w:val="000000"/>
        </w:rPr>
      </w:pPr>
      <w:r w:rsidRPr="002F7E00">
        <w:rPr>
          <w:color w:val="000000"/>
        </w:rPr>
        <w:t>managing the collection, management and release of data</w:t>
      </w:r>
    </w:p>
    <w:p w14:paraId="60450B08" w14:textId="77777777" w:rsidR="002F7E00" w:rsidRPr="002F7E00" w:rsidRDefault="002F7E00" w:rsidP="00574EC4">
      <w:pPr>
        <w:numPr>
          <w:ilvl w:val="0"/>
          <w:numId w:val="4"/>
        </w:numPr>
        <w:spacing w:after="120" w:line="240" w:lineRule="auto"/>
        <w:rPr>
          <w:color w:val="000000"/>
        </w:rPr>
      </w:pPr>
      <w:r w:rsidRPr="002F7E00">
        <w:rPr>
          <w:color w:val="000000"/>
        </w:rPr>
        <w:t>keeping the registers of petroleum and greenhouse gas storage titles</w:t>
      </w:r>
    </w:p>
    <w:p w14:paraId="53C50D3E" w14:textId="77777777" w:rsidR="002F7E00" w:rsidRPr="002F7E00" w:rsidRDefault="002F7E00" w:rsidP="00574EC4">
      <w:pPr>
        <w:numPr>
          <w:ilvl w:val="0"/>
          <w:numId w:val="4"/>
        </w:numPr>
        <w:spacing w:after="120" w:line="240" w:lineRule="auto"/>
        <w:rPr>
          <w:color w:val="000000"/>
        </w:rPr>
      </w:pPr>
      <w:r w:rsidRPr="002F7E00">
        <w:rPr>
          <w:color w:val="000000"/>
        </w:rPr>
        <w:t>ensuring petroleum resource management is undertaken in accordance with the principles of good oil field practice</w:t>
      </w:r>
    </w:p>
    <w:p w14:paraId="4999ED79" w14:textId="77777777" w:rsidR="002F7E00" w:rsidRPr="002F7E00" w:rsidRDefault="002F7E00" w:rsidP="00574EC4">
      <w:pPr>
        <w:numPr>
          <w:ilvl w:val="0"/>
          <w:numId w:val="4"/>
        </w:numPr>
        <w:spacing w:after="120" w:line="240" w:lineRule="auto"/>
        <w:rPr>
          <w:color w:val="000000"/>
        </w:rPr>
      </w:pPr>
      <w:r w:rsidRPr="002F7E00">
        <w:rPr>
          <w:color w:val="000000"/>
        </w:rPr>
        <w:t>implementing effective field development review and performance monitoring strategies in order to secure optimum petroleum recovery for the benefit of the Australian community.</w:t>
      </w:r>
    </w:p>
    <w:p w14:paraId="31380EA7" w14:textId="72BCEF35" w:rsidR="002F7E00" w:rsidRPr="002F7E00" w:rsidRDefault="002F7E00" w:rsidP="00881234">
      <w:pPr>
        <w:spacing w:after="120" w:line="240" w:lineRule="auto"/>
        <w:rPr>
          <w:color w:val="000000"/>
        </w:rPr>
      </w:pPr>
      <w:r w:rsidRPr="002F7E00">
        <w:rPr>
          <w:color w:val="000000"/>
        </w:rPr>
        <w:t>The </w:t>
      </w:r>
      <w:hyperlink r:id="rId22" w:history="1">
        <w:r w:rsidRPr="002F7E00">
          <w:rPr>
            <w:rStyle w:val="Hyperlink"/>
          </w:rPr>
          <w:t>Joint Authorities</w:t>
        </w:r>
      </w:hyperlink>
      <w:r w:rsidRPr="002F7E00">
        <w:rPr>
          <w:color w:val="000000"/>
        </w:rPr>
        <w:t> have the power to make certain decisions under the OPGGSA. NOPTA provides advice and recommendations in relation to these decisions. All communications to or from the Joint Authority occur</w:t>
      </w:r>
      <w:r w:rsidR="00AA428E">
        <w:rPr>
          <w:color w:val="000000"/>
        </w:rPr>
        <w:t>s</w:t>
      </w:r>
      <w:r w:rsidRPr="002F7E00">
        <w:rPr>
          <w:color w:val="000000"/>
        </w:rPr>
        <w:t xml:space="preserve"> through NOPTA.</w:t>
      </w:r>
    </w:p>
    <w:p w14:paraId="0FDD9204" w14:textId="77777777" w:rsidR="002F7E00" w:rsidRPr="002F7E00" w:rsidRDefault="002F7E00" w:rsidP="00881234">
      <w:pPr>
        <w:spacing w:after="120" w:line="240" w:lineRule="auto"/>
        <w:rPr>
          <w:color w:val="000000"/>
        </w:rPr>
      </w:pPr>
      <w:r w:rsidRPr="002F7E00">
        <w:rPr>
          <w:color w:val="000000"/>
        </w:rPr>
        <w:t>NOPTA utilises its technical and administrative experience to contribute to the development of guidance and legislation through the Offshore Resources Branch (ORB). ORB is a branch of the department who provides the Australian Government with petroleum related policy advice.</w:t>
      </w:r>
    </w:p>
    <w:p w14:paraId="423752F5" w14:textId="77777777" w:rsidR="002F7E00" w:rsidRPr="002F7E00" w:rsidRDefault="002F7E00" w:rsidP="00881234">
      <w:pPr>
        <w:spacing w:after="120" w:line="240" w:lineRule="auto"/>
        <w:rPr>
          <w:color w:val="000000"/>
        </w:rPr>
      </w:pPr>
      <w:r w:rsidRPr="002F7E00">
        <w:rPr>
          <w:color w:val="000000"/>
        </w:rPr>
        <w:t>The states and the Northern Territory (NT) maintain a titles administrator role in their respective state/NT waters.</w:t>
      </w:r>
    </w:p>
    <w:p w14:paraId="5F7660FC" w14:textId="77777777" w:rsidR="002F7E00" w:rsidRPr="002F7E00" w:rsidRDefault="002F7E00" w:rsidP="00881234">
      <w:pPr>
        <w:spacing w:after="120" w:line="240" w:lineRule="auto"/>
        <w:rPr>
          <w:color w:val="000000"/>
        </w:rPr>
      </w:pPr>
      <w:r w:rsidRPr="002F7E00">
        <w:rPr>
          <w:color w:val="000000"/>
        </w:rPr>
        <w:t>NOPTA's offices are located in Perth and Melbourne.</w:t>
      </w:r>
    </w:p>
    <w:p w14:paraId="665E29C0" w14:textId="49B19748" w:rsidR="0060774E" w:rsidRDefault="0060774E">
      <w:pPr>
        <w:rPr>
          <w:rFonts w:ascii="Arial" w:hAnsi="Arial" w:cs="Arial"/>
          <w:color w:val="282828"/>
          <w:sz w:val="27"/>
          <w:szCs w:val="27"/>
          <w:shd w:val="clear" w:color="auto" w:fill="FFFFFF"/>
        </w:rPr>
      </w:pPr>
      <w:r>
        <w:rPr>
          <w:rFonts w:ascii="Arial" w:hAnsi="Arial" w:cs="Arial"/>
          <w:color w:val="282828"/>
          <w:sz w:val="27"/>
          <w:szCs w:val="27"/>
          <w:shd w:val="clear" w:color="auto" w:fill="FFFFFF"/>
        </w:rPr>
        <w:br w:type="page"/>
      </w:r>
    </w:p>
    <w:p w14:paraId="3D0578B4" w14:textId="77777777" w:rsidR="009C48E4" w:rsidRDefault="009C48E4" w:rsidP="00881234">
      <w:pPr>
        <w:spacing w:after="120" w:line="240" w:lineRule="auto"/>
        <w:rPr>
          <w:rFonts w:ascii="Arial" w:hAnsi="Arial" w:cs="Arial"/>
          <w:color w:val="282828"/>
          <w:sz w:val="27"/>
          <w:szCs w:val="27"/>
          <w:shd w:val="clear" w:color="auto" w:fill="FFFFFF"/>
        </w:rPr>
      </w:pPr>
    </w:p>
    <w:p w14:paraId="53AC3A75" w14:textId="30C391B3" w:rsidR="00E534C4" w:rsidRPr="00290DAE" w:rsidRDefault="00451963" w:rsidP="00C3530A">
      <w:pPr>
        <w:pStyle w:val="Heading1"/>
        <w:spacing w:line="240" w:lineRule="auto"/>
        <w:rPr>
          <w:b/>
          <w:color w:val="1F3864" w:themeColor="accent5" w:themeShade="80"/>
          <w:sz w:val="40"/>
          <w:szCs w:val="40"/>
        </w:rPr>
      </w:pPr>
      <w:bookmarkStart w:id="11" w:name="_Toc54610418"/>
      <w:r w:rsidRPr="00290DAE">
        <w:rPr>
          <w:b/>
          <w:color w:val="1F3864" w:themeColor="accent5" w:themeShade="80"/>
          <w:sz w:val="40"/>
          <w:szCs w:val="40"/>
        </w:rPr>
        <w:t>201</w:t>
      </w:r>
      <w:r w:rsidR="00592F4E" w:rsidRPr="00290DAE">
        <w:rPr>
          <w:b/>
          <w:color w:val="1F3864" w:themeColor="accent5" w:themeShade="80"/>
          <w:sz w:val="40"/>
          <w:szCs w:val="40"/>
        </w:rPr>
        <w:t>9</w:t>
      </w:r>
      <w:r w:rsidRPr="00290DAE">
        <w:rPr>
          <w:b/>
          <w:color w:val="1F3864" w:themeColor="accent5" w:themeShade="80"/>
          <w:sz w:val="40"/>
          <w:szCs w:val="40"/>
        </w:rPr>
        <w:t>-</w:t>
      </w:r>
      <w:r w:rsidR="00592F4E" w:rsidRPr="00290DAE">
        <w:rPr>
          <w:b/>
          <w:color w:val="1F3864" w:themeColor="accent5" w:themeShade="80"/>
          <w:sz w:val="40"/>
          <w:szCs w:val="40"/>
        </w:rPr>
        <w:t>20</w:t>
      </w:r>
      <w:r w:rsidRPr="00290DAE">
        <w:rPr>
          <w:b/>
          <w:color w:val="1F3864" w:themeColor="accent5" w:themeShade="80"/>
          <w:sz w:val="40"/>
          <w:szCs w:val="40"/>
        </w:rPr>
        <w:t xml:space="preserve"> </w:t>
      </w:r>
      <w:r w:rsidR="00D15C43" w:rsidRPr="00290DAE">
        <w:rPr>
          <w:b/>
          <w:color w:val="1F3864" w:themeColor="accent5" w:themeShade="80"/>
          <w:sz w:val="40"/>
          <w:szCs w:val="40"/>
        </w:rPr>
        <w:t xml:space="preserve">NOPTA </w:t>
      </w:r>
      <w:r w:rsidR="00DD0B5B" w:rsidRPr="00290DAE">
        <w:rPr>
          <w:b/>
          <w:color w:val="1F3864" w:themeColor="accent5" w:themeShade="80"/>
          <w:sz w:val="40"/>
          <w:szCs w:val="40"/>
        </w:rPr>
        <w:t>s</w:t>
      </w:r>
      <w:r w:rsidR="00E534C4" w:rsidRPr="00290DAE">
        <w:rPr>
          <w:b/>
          <w:color w:val="1F3864" w:themeColor="accent5" w:themeShade="80"/>
          <w:sz w:val="40"/>
          <w:szCs w:val="40"/>
        </w:rPr>
        <w:t>elf-assessment</w:t>
      </w:r>
      <w:bookmarkEnd w:id="11"/>
      <w:r w:rsidR="00E534C4" w:rsidRPr="00290DAE">
        <w:rPr>
          <w:b/>
          <w:color w:val="1F3864" w:themeColor="accent5" w:themeShade="80"/>
          <w:sz w:val="40"/>
          <w:szCs w:val="40"/>
        </w:rPr>
        <w:t xml:space="preserve"> </w:t>
      </w:r>
    </w:p>
    <w:p w14:paraId="114B8CC6" w14:textId="77777777" w:rsidR="00D15C43" w:rsidRDefault="00D15C43" w:rsidP="00C3530A">
      <w:pPr>
        <w:pBdr>
          <w:bottom w:val="single" w:sz="6" w:space="1" w:color="auto"/>
        </w:pBdr>
        <w:spacing w:line="240" w:lineRule="auto"/>
      </w:pPr>
    </w:p>
    <w:p w14:paraId="124AB654" w14:textId="21C88CD0" w:rsidR="00772396" w:rsidRPr="00290DAE" w:rsidRDefault="006F6665" w:rsidP="00C3530A">
      <w:pPr>
        <w:pStyle w:val="Heading2"/>
        <w:jc w:val="left"/>
        <w:rPr>
          <w:color w:val="1F3864" w:themeColor="accent5" w:themeShade="80"/>
        </w:rPr>
      </w:pPr>
      <w:bookmarkStart w:id="12" w:name="_Toc54610419"/>
      <w:r w:rsidRPr="00290DAE">
        <w:rPr>
          <w:color w:val="1F3864" w:themeColor="accent5" w:themeShade="80"/>
        </w:rPr>
        <w:t>KPI 1: Regulators do not unnecessarily impede the efficient operation of regulated entities</w:t>
      </w:r>
      <w:bookmarkStart w:id="13" w:name="_Toc497215469"/>
      <w:bookmarkStart w:id="14" w:name="_Toc453069557"/>
      <w:bookmarkEnd w:id="4"/>
      <w:bookmarkEnd w:id="5"/>
      <w:bookmarkEnd w:id="12"/>
    </w:p>
    <w:p w14:paraId="5741636B" w14:textId="77777777" w:rsidR="006F6665" w:rsidRPr="00290DAE" w:rsidRDefault="006F6665" w:rsidP="00C3530A">
      <w:pPr>
        <w:pStyle w:val="Heading3"/>
        <w:jc w:val="left"/>
        <w:rPr>
          <w:color w:val="1F3864" w:themeColor="accent5" w:themeShade="80"/>
        </w:rPr>
      </w:pPr>
      <w:bookmarkStart w:id="15" w:name="_Toc54610420"/>
      <w:r w:rsidRPr="00290DAE">
        <w:rPr>
          <w:color w:val="1F3864" w:themeColor="accent5" w:themeShade="80"/>
        </w:rPr>
        <w:t>KPI Expectations</w:t>
      </w:r>
      <w:bookmarkEnd w:id="13"/>
      <w:bookmarkEnd w:id="15"/>
    </w:p>
    <w:p w14:paraId="67B07DF9" w14:textId="59151DD6" w:rsidR="00772396" w:rsidRDefault="006F6665" w:rsidP="00C3530A">
      <w:pPr>
        <w:spacing w:after="0" w:line="240" w:lineRule="auto"/>
      </w:pPr>
      <w:r w:rsidRPr="00772396">
        <w:t xml:space="preserve">Regulators should always consider the legislative and authorising environment and seek to minimise the potential negative impact of regulatory activity where appropriate. Regulators </w:t>
      </w:r>
      <w:r w:rsidR="00DD0B5B">
        <w:t xml:space="preserve">should </w:t>
      </w:r>
      <w:r w:rsidRPr="00772396">
        <w:t xml:space="preserve">avoid imposing unnecessary costs in the design and review of </w:t>
      </w:r>
      <w:r w:rsidRPr="005E33F0">
        <w:t>policies, procedures and practices. This</w:t>
      </w:r>
      <w:r w:rsidRPr="00772396">
        <w:t xml:space="preserve"> includes engaging with external organisations to learn and share experiences.</w:t>
      </w:r>
      <w:bookmarkStart w:id="16" w:name="_Toc497215470"/>
    </w:p>
    <w:p w14:paraId="78DD9731" w14:textId="77777777" w:rsidR="006F6665" w:rsidRPr="00290DAE" w:rsidRDefault="006F6665" w:rsidP="00C3530A">
      <w:pPr>
        <w:pStyle w:val="Heading3"/>
        <w:jc w:val="left"/>
        <w:rPr>
          <w:color w:val="1F3864" w:themeColor="accent5" w:themeShade="80"/>
        </w:rPr>
      </w:pPr>
      <w:bookmarkStart w:id="17" w:name="_Toc54610421"/>
      <w:r w:rsidRPr="00290DAE">
        <w:rPr>
          <w:color w:val="1F3864" w:themeColor="accent5" w:themeShade="80"/>
        </w:rPr>
        <w:t>NOPTA’s Approach</w:t>
      </w:r>
      <w:bookmarkEnd w:id="16"/>
      <w:bookmarkEnd w:id="17"/>
      <w:r w:rsidRPr="00290DAE">
        <w:rPr>
          <w:color w:val="1F3864" w:themeColor="accent5" w:themeShade="80"/>
        </w:rPr>
        <w:t xml:space="preserve"> </w:t>
      </w:r>
    </w:p>
    <w:p w14:paraId="67FE2C8F" w14:textId="15EA0029" w:rsidR="007A0065" w:rsidRDefault="00DD0B5B" w:rsidP="00C3530A">
      <w:pPr>
        <w:spacing w:line="240" w:lineRule="auto"/>
      </w:pPr>
      <w:bookmarkStart w:id="18" w:name="_Toc497215471"/>
      <w:bookmarkEnd w:id="14"/>
      <w:r>
        <w:t>NOPTA</w:t>
      </w:r>
      <w:r w:rsidRPr="007A0065">
        <w:t xml:space="preserve"> </w:t>
      </w:r>
      <w:r w:rsidR="007A0065" w:rsidRPr="007A0065">
        <w:t>develop</w:t>
      </w:r>
      <w:r w:rsidR="00A53D08">
        <w:t>s</w:t>
      </w:r>
      <w:r>
        <w:t xml:space="preserve"> and</w:t>
      </w:r>
      <w:r w:rsidR="007A0065" w:rsidRPr="007A0065">
        <w:t xml:space="preserve"> maintain</w:t>
      </w:r>
      <w:r w:rsidR="00A53D08">
        <w:t>s</w:t>
      </w:r>
      <w:r w:rsidR="007A0065" w:rsidRPr="007A0065">
        <w:t xml:space="preserve"> policies </w:t>
      </w:r>
      <w:r>
        <w:t xml:space="preserve">and procedures that </w:t>
      </w:r>
      <w:r w:rsidR="000158C2">
        <w:t xml:space="preserve">promote transparency, </w:t>
      </w:r>
      <w:r w:rsidR="007A0065" w:rsidRPr="007A0065">
        <w:t>efficiency</w:t>
      </w:r>
      <w:r w:rsidR="000158C2">
        <w:t xml:space="preserve"> and</w:t>
      </w:r>
      <w:r w:rsidR="007A0065" w:rsidRPr="007A0065">
        <w:t xml:space="preserve"> effectiveness, and minimise compliance costs. </w:t>
      </w:r>
      <w:r w:rsidR="005A1E7F">
        <w:t xml:space="preserve">Policies and procedures are mapped to legislative requirements, and a dedicated </w:t>
      </w:r>
      <w:r w:rsidR="005A1E7F" w:rsidRPr="005A1E7F">
        <w:t>control library with automated review cycles ensure</w:t>
      </w:r>
      <w:r w:rsidR="005A1E7F">
        <w:t>s</w:t>
      </w:r>
      <w:r w:rsidR="005A1E7F" w:rsidRPr="005A1E7F">
        <w:t xml:space="preserve"> document</w:t>
      </w:r>
      <w:r w:rsidR="005A1E7F">
        <w:t>s remain up to date</w:t>
      </w:r>
      <w:r w:rsidR="007A0065" w:rsidRPr="007A0065">
        <w:t>.</w:t>
      </w:r>
      <w:r w:rsidR="005A1E7F">
        <w:t xml:space="preserve"> An internal quality assurance </w:t>
      </w:r>
      <w:r w:rsidR="00CF1E47">
        <w:t xml:space="preserve">program </w:t>
      </w:r>
      <w:r w:rsidR="005A1E7F">
        <w:t xml:space="preserve">tests ongoing adherence to </w:t>
      </w:r>
      <w:r w:rsidR="00CF1E47">
        <w:t>policies and procedures</w:t>
      </w:r>
      <w:r w:rsidR="005A1E7F">
        <w:t>,</w:t>
      </w:r>
      <w:r w:rsidR="005A1E7F" w:rsidRPr="005A1E7F">
        <w:t xml:space="preserve"> </w:t>
      </w:r>
      <w:r w:rsidR="005A1E7F">
        <w:t>identifying</w:t>
      </w:r>
      <w:r w:rsidR="005A1E7F" w:rsidRPr="007A0065">
        <w:t xml:space="preserve"> </w:t>
      </w:r>
      <w:r w:rsidR="005A1E7F">
        <w:t>a</w:t>
      </w:r>
      <w:r w:rsidR="005A1E7F" w:rsidRPr="007A0065">
        <w:t>reas for improvement</w:t>
      </w:r>
      <w:r w:rsidR="005A1E7F">
        <w:t xml:space="preserve"> as required. </w:t>
      </w:r>
    </w:p>
    <w:p w14:paraId="1D004A3C" w14:textId="77777777" w:rsidR="006F6665" w:rsidRPr="00B138B1" w:rsidRDefault="006F6665" w:rsidP="00C3530A">
      <w:pPr>
        <w:spacing w:line="240" w:lineRule="auto"/>
        <w:rPr>
          <w:b/>
        </w:rPr>
      </w:pPr>
      <w:r w:rsidRPr="00B138B1">
        <w:rPr>
          <w:b/>
        </w:rPr>
        <w:t>Results</w:t>
      </w:r>
      <w:bookmarkEnd w:id="18"/>
      <w:r w:rsidR="00DE7023" w:rsidRPr="00B138B1">
        <w:rPr>
          <w:b/>
        </w:rPr>
        <w:t xml:space="preserve">: </w:t>
      </w:r>
      <w:r w:rsidR="00DE7023" w:rsidRPr="00B138B1">
        <w:rPr>
          <w:b/>
        </w:rPr>
        <w:tab/>
      </w:r>
      <w:r w:rsidR="004821E4" w:rsidRPr="00B138B1">
        <w:rPr>
          <w:b/>
        </w:rPr>
        <w:fldChar w:fldCharType="begin">
          <w:ffData>
            <w:name w:val="Check1"/>
            <w:enabled/>
            <w:calcOnExit w:val="0"/>
            <w:checkBox>
              <w:sizeAuto/>
              <w:default w:val="1"/>
            </w:checkBox>
          </w:ffData>
        </w:fldChar>
      </w:r>
      <w:bookmarkStart w:id="19" w:name="Check1"/>
      <w:r w:rsidR="004821E4" w:rsidRPr="00B138B1">
        <w:rPr>
          <w:b/>
        </w:rPr>
        <w:instrText xml:space="preserve"> FORMCHECKBOX </w:instrText>
      </w:r>
      <w:r w:rsidR="003D2B46">
        <w:rPr>
          <w:b/>
        </w:rPr>
      </w:r>
      <w:r w:rsidR="003D2B46">
        <w:rPr>
          <w:b/>
        </w:rPr>
        <w:fldChar w:fldCharType="separate"/>
      </w:r>
      <w:r w:rsidR="004821E4" w:rsidRPr="00B138B1">
        <w:rPr>
          <w:b/>
        </w:rPr>
        <w:fldChar w:fldCharType="end"/>
      </w:r>
      <w:bookmarkEnd w:id="19"/>
      <w:r w:rsidR="004821E4" w:rsidRPr="00B138B1">
        <w:rPr>
          <w:b/>
        </w:rPr>
        <w:t xml:space="preserve"> Met</w:t>
      </w:r>
      <w:r w:rsidR="004821E4" w:rsidRPr="00B138B1">
        <w:rPr>
          <w:b/>
        </w:rPr>
        <w:tab/>
      </w:r>
      <w:r w:rsidR="004821E4" w:rsidRPr="00B138B1">
        <w:rPr>
          <w:b/>
        </w:rPr>
        <w:tab/>
      </w:r>
      <w:r w:rsidR="004821E4" w:rsidRPr="00B138B1">
        <w:rPr>
          <w:b/>
        </w:rPr>
        <w:fldChar w:fldCharType="begin">
          <w:ffData>
            <w:name w:val="Check2"/>
            <w:enabled/>
            <w:calcOnExit w:val="0"/>
            <w:checkBox>
              <w:sizeAuto/>
              <w:default w:val="0"/>
            </w:checkBox>
          </w:ffData>
        </w:fldChar>
      </w:r>
      <w:bookmarkStart w:id="20" w:name="Check2"/>
      <w:r w:rsidR="004821E4" w:rsidRPr="00B138B1">
        <w:rPr>
          <w:b/>
        </w:rPr>
        <w:instrText xml:space="preserve"> FORMCHECKBOX </w:instrText>
      </w:r>
      <w:r w:rsidR="003D2B46">
        <w:rPr>
          <w:b/>
        </w:rPr>
      </w:r>
      <w:r w:rsidR="003D2B46">
        <w:rPr>
          <w:b/>
        </w:rPr>
        <w:fldChar w:fldCharType="separate"/>
      </w:r>
      <w:r w:rsidR="004821E4" w:rsidRPr="00B138B1">
        <w:rPr>
          <w:b/>
        </w:rPr>
        <w:fldChar w:fldCharType="end"/>
      </w:r>
      <w:bookmarkEnd w:id="20"/>
      <w:r w:rsidR="004821E4" w:rsidRPr="00B138B1">
        <w:rPr>
          <w:b/>
        </w:rPr>
        <w:t xml:space="preserve"> Partially Met</w:t>
      </w:r>
      <w:r w:rsidR="004821E4" w:rsidRPr="00B138B1">
        <w:rPr>
          <w:b/>
        </w:rPr>
        <w:tab/>
      </w:r>
      <w:r w:rsidR="004821E4" w:rsidRPr="00B138B1">
        <w:rPr>
          <w:b/>
        </w:rPr>
        <w:fldChar w:fldCharType="begin">
          <w:ffData>
            <w:name w:val="Check3"/>
            <w:enabled/>
            <w:calcOnExit w:val="0"/>
            <w:checkBox>
              <w:sizeAuto/>
              <w:default w:val="0"/>
            </w:checkBox>
          </w:ffData>
        </w:fldChar>
      </w:r>
      <w:bookmarkStart w:id="21" w:name="Check3"/>
      <w:r w:rsidR="004821E4" w:rsidRPr="00B138B1">
        <w:rPr>
          <w:b/>
        </w:rPr>
        <w:instrText xml:space="preserve"> FORMCHECKBOX </w:instrText>
      </w:r>
      <w:r w:rsidR="003D2B46">
        <w:rPr>
          <w:b/>
        </w:rPr>
      </w:r>
      <w:r w:rsidR="003D2B46">
        <w:rPr>
          <w:b/>
        </w:rPr>
        <w:fldChar w:fldCharType="separate"/>
      </w:r>
      <w:r w:rsidR="004821E4" w:rsidRPr="00B138B1">
        <w:rPr>
          <w:b/>
        </w:rPr>
        <w:fldChar w:fldCharType="end"/>
      </w:r>
      <w:bookmarkEnd w:id="21"/>
      <w:r w:rsidR="004821E4" w:rsidRPr="00B138B1">
        <w:rPr>
          <w:b/>
        </w:rPr>
        <w:t xml:space="preserve"> Not Met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1B23EB" w14:paraId="5E737B12" w14:textId="77777777" w:rsidTr="00E84598">
        <w:tc>
          <w:tcPr>
            <w:tcW w:w="9016" w:type="dxa"/>
            <w:shd w:val="clear" w:color="auto" w:fill="F2F2F2" w:themeFill="background1" w:themeFillShade="F2"/>
          </w:tcPr>
          <w:p w14:paraId="2F2CA2EF" w14:textId="68FE15C8" w:rsidR="00202F1D" w:rsidRPr="00E84598" w:rsidRDefault="001B23EB" w:rsidP="00C3530A">
            <w:pPr>
              <w:rPr>
                <w:i/>
              </w:rPr>
            </w:pPr>
            <w:bookmarkStart w:id="22" w:name="_Toc453069558"/>
            <w:r w:rsidRPr="00E84598">
              <w:rPr>
                <w:i/>
              </w:rPr>
              <w:t>NOPTA assesses that it has met KPI 1</w:t>
            </w:r>
            <w:r w:rsidR="00BF5C69">
              <w:rPr>
                <w:i/>
              </w:rPr>
              <w:t xml:space="preserve">. </w:t>
            </w:r>
            <w:r w:rsidR="00202F1D" w:rsidRPr="00202F1D">
              <w:rPr>
                <w:i/>
              </w:rPr>
              <w:t xml:space="preserve">This has been achieved through a strong commitment to continuous improvement of our internal processes and active engagement with stakeholders to execute our functions in accordance with leading regulatory practice. </w:t>
            </w:r>
          </w:p>
        </w:tc>
      </w:tr>
    </w:tbl>
    <w:p w14:paraId="0F454FFD" w14:textId="123691A9" w:rsidR="00B90F51" w:rsidRDefault="00B90F51" w:rsidP="00C3530A">
      <w:pPr>
        <w:spacing w:after="0" w:line="240" w:lineRule="auto"/>
        <w:rPr>
          <w:b/>
        </w:rPr>
      </w:pPr>
    </w:p>
    <w:p w14:paraId="0F593380" w14:textId="08EA4761" w:rsidR="004E1701" w:rsidRPr="004E1701" w:rsidRDefault="000133E4" w:rsidP="007610B5">
      <w:pPr>
        <w:spacing w:after="120"/>
        <w:rPr>
          <w:bCs/>
        </w:rPr>
      </w:pPr>
      <w:bookmarkStart w:id="23" w:name="_Toc497215472"/>
      <w:bookmarkEnd w:id="22"/>
      <w:r>
        <w:rPr>
          <w:bCs/>
        </w:rPr>
        <w:t>During 2019-20, NOPTA:</w:t>
      </w:r>
    </w:p>
    <w:p w14:paraId="64517CF2" w14:textId="3A8A6925" w:rsidR="004A5EA7" w:rsidRDefault="005751BC" w:rsidP="00574EC4">
      <w:pPr>
        <w:pStyle w:val="ListParagraph"/>
        <w:numPr>
          <w:ilvl w:val="0"/>
          <w:numId w:val="2"/>
        </w:numPr>
        <w:spacing w:before="0" w:after="120"/>
        <w:ind w:left="426" w:hanging="426"/>
        <w:contextualSpacing w:val="0"/>
        <w:rPr>
          <w:rFonts w:asciiTheme="minorHAnsi" w:hAnsiTheme="minorHAnsi"/>
          <w:bCs/>
          <w:color w:val="auto"/>
          <w:sz w:val="22"/>
          <w:szCs w:val="22"/>
        </w:rPr>
      </w:pPr>
      <w:r>
        <w:rPr>
          <w:rFonts w:asciiTheme="minorHAnsi" w:hAnsiTheme="minorHAnsi"/>
          <w:bCs/>
          <w:color w:val="auto"/>
          <w:sz w:val="22"/>
          <w:szCs w:val="22"/>
        </w:rPr>
        <w:t>I</w:t>
      </w:r>
      <w:r w:rsidR="00566146" w:rsidRPr="005F06D4">
        <w:rPr>
          <w:rFonts w:asciiTheme="minorHAnsi" w:hAnsiTheme="minorHAnsi"/>
          <w:bCs/>
          <w:color w:val="auto"/>
          <w:sz w:val="22"/>
          <w:szCs w:val="22"/>
        </w:rPr>
        <w:t xml:space="preserve">mplemented and commenced a range of practical initiatives designed to improve the National Electronic Approvals Tracking System (NEATS), including the redevelopment of the NEATS external website, and enhancements to the NEATS industry portal to facilitate online submissions and </w:t>
      </w:r>
      <w:r w:rsidR="00B71D3F">
        <w:rPr>
          <w:rFonts w:asciiTheme="minorHAnsi" w:hAnsiTheme="minorHAnsi"/>
          <w:bCs/>
          <w:color w:val="auto"/>
          <w:sz w:val="22"/>
          <w:szCs w:val="22"/>
        </w:rPr>
        <w:t xml:space="preserve">improve </w:t>
      </w:r>
      <w:r w:rsidR="00566146" w:rsidRPr="005F06D4">
        <w:rPr>
          <w:rFonts w:asciiTheme="minorHAnsi" w:hAnsiTheme="minorHAnsi"/>
          <w:bCs/>
          <w:color w:val="auto"/>
          <w:sz w:val="22"/>
          <w:szCs w:val="22"/>
        </w:rPr>
        <w:t>usability</w:t>
      </w:r>
      <w:r w:rsidR="0002334D">
        <w:rPr>
          <w:rFonts w:asciiTheme="minorHAnsi" w:hAnsiTheme="minorHAnsi"/>
          <w:bCs/>
          <w:color w:val="auto"/>
          <w:sz w:val="22"/>
          <w:szCs w:val="22"/>
        </w:rPr>
        <w:t>.</w:t>
      </w:r>
      <w:r w:rsidR="00AA47CC">
        <w:rPr>
          <w:rFonts w:asciiTheme="minorHAnsi" w:hAnsiTheme="minorHAnsi"/>
          <w:bCs/>
          <w:color w:val="auto"/>
          <w:sz w:val="22"/>
          <w:szCs w:val="22"/>
        </w:rPr>
        <w:t xml:space="preserve"> </w:t>
      </w:r>
      <w:r w:rsidR="004A5EA7">
        <w:rPr>
          <w:rFonts w:asciiTheme="minorHAnsi" w:hAnsiTheme="minorHAnsi"/>
          <w:bCs/>
          <w:color w:val="auto"/>
          <w:sz w:val="22"/>
          <w:szCs w:val="22"/>
        </w:rPr>
        <w:t>These matters were considered key areas of improvement by over 80%</w:t>
      </w:r>
      <w:r w:rsidR="003809D7">
        <w:rPr>
          <w:rFonts w:asciiTheme="minorHAnsi" w:hAnsiTheme="minorHAnsi"/>
          <w:bCs/>
          <w:color w:val="auto"/>
          <w:sz w:val="22"/>
          <w:szCs w:val="22"/>
        </w:rPr>
        <w:t xml:space="preserve"> of</w:t>
      </w:r>
      <w:r w:rsidR="004A5EA7">
        <w:rPr>
          <w:rFonts w:asciiTheme="minorHAnsi" w:hAnsiTheme="minorHAnsi"/>
          <w:bCs/>
          <w:color w:val="auto"/>
          <w:sz w:val="22"/>
          <w:szCs w:val="22"/>
        </w:rPr>
        <w:t xml:space="preserve"> eligible respondents to the 2019 stakeholder survey. </w:t>
      </w:r>
    </w:p>
    <w:p w14:paraId="2E531A8B" w14:textId="7C2F821C" w:rsidR="004A5EA7" w:rsidRPr="007610B5" w:rsidRDefault="004A5EA7" w:rsidP="00574EC4">
      <w:pPr>
        <w:pStyle w:val="ListParagraph"/>
        <w:numPr>
          <w:ilvl w:val="0"/>
          <w:numId w:val="6"/>
        </w:numPr>
        <w:spacing w:before="0" w:after="120"/>
        <w:ind w:left="851" w:hanging="425"/>
        <w:contextualSpacing w:val="0"/>
        <w:rPr>
          <w:rFonts w:asciiTheme="minorHAnsi" w:hAnsiTheme="minorHAnsi" w:cstheme="minorHAnsi"/>
          <w:color w:val="auto"/>
          <w:sz w:val="22"/>
          <w:szCs w:val="22"/>
        </w:rPr>
      </w:pPr>
      <w:r w:rsidRPr="007610B5">
        <w:rPr>
          <w:rFonts w:asciiTheme="minorHAnsi" w:hAnsiTheme="minorHAnsi" w:cstheme="minorHAnsi"/>
          <w:color w:val="auto"/>
          <w:sz w:val="22"/>
          <w:szCs w:val="22"/>
        </w:rPr>
        <w:t>To ensure that the rebuild meets the needs of our key stakeholders, NOPTA has been consulting with a dedicated titleholder industry user group</w:t>
      </w:r>
      <w:r w:rsidR="00592F4E">
        <w:rPr>
          <w:rFonts w:asciiTheme="minorHAnsi" w:hAnsiTheme="minorHAnsi" w:cstheme="minorHAnsi"/>
          <w:color w:val="auto"/>
          <w:sz w:val="22"/>
          <w:szCs w:val="22"/>
        </w:rPr>
        <w:t xml:space="preserve"> </w:t>
      </w:r>
      <w:r w:rsidR="00AF13AA">
        <w:rPr>
          <w:rFonts w:asciiTheme="minorHAnsi" w:hAnsiTheme="minorHAnsi" w:cstheme="minorHAnsi"/>
          <w:color w:val="auto"/>
          <w:sz w:val="22"/>
          <w:szCs w:val="22"/>
        </w:rPr>
        <w:t>(</w:t>
      </w:r>
      <w:r w:rsidR="00592F4E">
        <w:rPr>
          <w:rFonts w:asciiTheme="minorHAnsi" w:hAnsiTheme="minorHAnsi" w:cstheme="minorHAnsi"/>
          <w:color w:val="auto"/>
          <w:sz w:val="22"/>
          <w:szCs w:val="22"/>
        </w:rPr>
        <w:t>includes</w:t>
      </w:r>
      <w:r w:rsidR="00AF13AA">
        <w:rPr>
          <w:rFonts w:asciiTheme="minorHAnsi" w:hAnsiTheme="minorHAnsi" w:cstheme="minorHAnsi"/>
          <w:color w:val="auto"/>
          <w:sz w:val="22"/>
          <w:szCs w:val="22"/>
        </w:rPr>
        <w:t xml:space="preserve"> </w:t>
      </w:r>
      <w:r w:rsidRPr="007610B5">
        <w:rPr>
          <w:rFonts w:asciiTheme="minorHAnsi" w:hAnsiTheme="minorHAnsi" w:cstheme="minorHAnsi"/>
          <w:color w:val="auto"/>
          <w:sz w:val="22"/>
          <w:szCs w:val="22"/>
        </w:rPr>
        <w:t>ORB</w:t>
      </w:r>
      <w:r w:rsidR="00AA428E">
        <w:rPr>
          <w:rFonts w:asciiTheme="minorHAnsi" w:hAnsiTheme="minorHAnsi" w:cstheme="minorHAnsi"/>
          <w:color w:val="auto"/>
          <w:sz w:val="22"/>
          <w:szCs w:val="22"/>
        </w:rPr>
        <w:t>)</w:t>
      </w:r>
      <w:r w:rsidR="00AF13AA">
        <w:rPr>
          <w:rFonts w:asciiTheme="minorHAnsi" w:hAnsiTheme="minorHAnsi" w:cstheme="minorHAnsi"/>
          <w:color w:val="auto"/>
          <w:sz w:val="22"/>
          <w:szCs w:val="22"/>
        </w:rPr>
        <w:t>,</w:t>
      </w:r>
      <w:r w:rsidRPr="007610B5">
        <w:rPr>
          <w:rFonts w:asciiTheme="minorHAnsi" w:hAnsiTheme="minorHAnsi" w:cstheme="minorHAnsi"/>
          <w:color w:val="auto"/>
          <w:sz w:val="22"/>
          <w:szCs w:val="22"/>
        </w:rPr>
        <w:t xml:space="preserve"> AMPLA</w:t>
      </w:r>
      <w:r w:rsidR="00CF1E47">
        <w:rPr>
          <w:rFonts w:asciiTheme="minorHAnsi" w:hAnsiTheme="minorHAnsi" w:cstheme="minorHAnsi"/>
          <w:color w:val="auto"/>
          <w:sz w:val="22"/>
          <w:szCs w:val="22"/>
        </w:rPr>
        <w:t xml:space="preserve"> </w:t>
      </w:r>
      <w:r w:rsidR="00C924FE">
        <w:rPr>
          <w:rFonts w:asciiTheme="minorHAnsi" w:hAnsiTheme="minorHAnsi" w:cstheme="minorHAnsi"/>
          <w:color w:val="auto"/>
          <w:sz w:val="22"/>
          <w:szCs w:val="22"/>
        </w:rPr>
        <w:t>(</w:t>
      </w:r>
      <w:r w:rsidR="00CF1E47">
        <w:rPr>
          <w:rFonts w:asciiTheme="minorHAnsi" w:hAnsiTheme="minorHAnsi" w:cstheme="minorHAnsi"/>
          <w:color w:val="auto"/>
          <w:sz w:val="22"/>
          <w:szCs w:val="22"/>
        </w:rPr>
        <w:t>the Energy and Resources Lawyers Association</w:t>
      </w:r>
      <w:r w:rsidR="00C924FE">
        <w:rPr>
          <w:rFonts w:asciiTheme="minorHAnsi" w:hAnsiTheme="minorHAnsi" w:cstheme="minorHAnsi"/>
          <w:color w:val="auto"/>
          <w:sz w:val="22"/>
          <w:szCs w:val="22"/>
        </w:rPr>
        <w:t>)</w:t>
      </w:r>
      <w:r w:rsidR="00AF13AA">
        <w:rPr>
          <w:rFonts w:asciiTheme="minorHAnsi" w:hAnsiTheme="minorHAnsi" w:cstheme="minorHAnsi"/>
          <w:color w:val="auto"/>
          <w:sz w:val="22"/>
          <w:szCs w:val="22"/>
        </w:rPr>
        <w:t>,</w:t>
      </w:r>
      <w:r w:rsidRPr="007610B5">
        <w:rPr>
          <w:rFonts w:asciiTheme="minorHAnsi" w:hAnsiTheme="minorHAnsi" w:cstheme="minorHAnsi"/>
          <w:color w:val="auto"/>
          <w:sz w:val="22"/>
          <w:szCs w:val="22"/>
        </w:rPr>
        <w:t xml:space="preserve"> and </w:t>
      </w:r>
      <w:r w:rsidR="00AF13AA">
        <w:rPr>
          <w:rFonts w:asciiTheme="minorHAnsi" w:hAnsiTheme="minorHAnsi" w:cstheme="minorHAnsi"/>
          <w:color w:val="auto"/>
          <w:sz w:val="22"/>
          <w:szCs w:val="22"/>
        </w:rPr>
        <w:t xml:space="preserve">the </w:t>
      </w:r>
      <w:r w:rsidR="00AF13AA" w:rsidRPr="00AF13AA">
        <w:rPr>
          <w:rFonts w:asciiTheme="minorHAnsi" w:hAnsiTheme="minorHAnsi" w:cstheme="minorHAnsi"/>
          <w:color w:val="auto"/>
          <w:sz w:val="22"/>
          <w:szCs w:val="22"/>
        </w:rPr>
        <w:t xml:space="preserve">National Offshore Petroleum Safety and Environmental Management Authority </w:t>
      </w:r>
      <w:r w:rsidR="00AF13AA">
        <w:rPr>
          <w:rFonts w:asciiTheme="minorHAnsi" w:hAnsiTheme="minorHAnsi" w:cstheme="minorHAnsi"/>
          <w:color w:val="auto"/>
          <w:sz w:val="22"/>
          <w:szCs w:val="22"/>
        </w:rPr>
        <w:t>(</w:t>
      </w:r>
      <w:r w:rsidRPr="007610B5">
        <w:rPr>
          <w:rFonts w:asciiTheme="minorHAnsi" w:hAnsiTheme="minorHAnsi" w:cstheme="minorHAnsi"/>
          <w:color w:val="auto"/>
          <w:sz w:val="22"/>
          <w:szCs w:val="22"/>
        </w:rPr>
        <w:t>NOPSEMA</w:t>
      </w:r>
      <w:r w:rsidR="00AF13AA">
        <w:rPr>
          <w:rFonts w:asciiTheme="minorHAnsi" w:hAnsiTheme="minorHAnsi" w:cstheme="minorHAnsi"/>
          <w:color w:val="auto"/>
          <w:sz w:val="22"/>
          <w:szCs w:val="22"/>
        </w:rPr>
        <w:t>))</w:t>
      </w:r>
      <w:r w:rsidRPr="007610B5">
        <w:rPr>
          <w:rFonts w:asciiTheme="minorHAnsi" w:hAnsiTheme="minorHAnsi" w:cstheme="minorHAnsi"/>
          <w:color w:val="auto"/>
          <w:sz w:val="22"/>
          <w:szCs w:val="22"/>
        </w:rPr>
        <w:t xml:space="preserve">. </w:t>
      </w:r>
    </w:p>
    <w:p w14:paraId="43F5E33B" w14:textId="12E6DEAA" w:rsidR="001B3ED6" w:rsidRPr="007610B5" w:rsidRDefault="001B3ED6" w:rsidP="00574EC4">
      <w:pPr>
        <w:pStyle w:val="ListParagraph"/>
        <w:numPr>
          <w:ilvl w:val="0"/>
          <w:numId w:val="6"/>
        </w:numPr>
        <w:spacing w:before="0" w:after="120"/>
        <w:ind w:left="851" w:hanging="425"/>
        <w:contextualSpacing w:val="0"/>
        <w:rPr>
          <w:rFonts w:asciiTheme="minorHAnsi" w:hAnsiTheme="minorHAnsi" w:cstheme="minorHAnsi"/>
          <w:bCs/>
          <w:color w:val="auto"/>
          <w:sz w:val="22"/>
          <w:szCs w:val="22"/>
        </w:rPr>
      </w:pPr>
      <w:r w:rsidRPr="00F96BB4">
        <w:rPr>
          <w:rFonts w:asciiTheme="minorHAnsi" w:hAnsiTheme="minorHAnsi" w:cstheme="minorHAnsi"/>
          <w:bCs/>
          <w:color w:val="auto"/>
          <w:sz w:val="22"/>
          <w:szCs w:val="22"/>
        </w:rPr>
        <w:t xml:space="preserve">Ongoing investment in NEATS </w:t>
      </w:r>
      <w:r w:rsidRPr="007610B5">
        <w:rPr>
          <w:rFonts w:asciiTheme="minorHAnsi" w:hAnsiTheme="minorHAnsi" w:cstheme="minorHAnsi"/>
          <w:bCs/>
          <w:color w:val="auto"/>
          <w:sz w:val="22"/>
          <w:szCs w:val="22"/>
        </w:rPr>
        <w:t xml:space="preserve">is producing efficient regulatory outcomes due to the ability to automate systems </w:t>
      </w:r>
      <w:r w:rsidR="00AA428E">
        <w:rPr>
          <w:rFonts w:asciiTheme="minorHAnsi" w:hAnsiTheme="minorHAnsi" w:cstheme="minorHAnsi"/>
          <w:bCs/>
          <w:color w:val="auto"/>
          <w:sz w:val="22"/>
          <w:szCs w:val="22"/>
        </w:rPr>
        <w:t xml:space="preserve">and streamline interactions in </w:t>
      </w:r>
      <w:r w:rsidR="0051400E">
        <w:rPr>
          <w:rFonts w:asciiTheme="minorHAnsi" w:hAnsiTheme="minorHAnsi" w:cstheme="minorHAnsi"/>
          <w:bCs/>
          <w:color w:val="auto"/>
          <w:sz w:val="22"/>
          <w:szCs w:val="22"/>
        </w:rPr>
        <w:t xml:space="preserve">a </w:t>
      </w:r>
      <w:r w:rsidR="00AA428E">
        <w:rPr>
          <w:rFonts w:asciiTheme="minorHAnsi" w:hAnsiTheme="minorHAnsi" w:cstheme="minorHAnsi"/>
          <w:bCs/>
          <w:color w:val="auto"/>
          <w:sz w:val="22"/>
          <w:szCs w:val="22"/>
        </w:rPr>
        <w:t>secure environment</w:t>
      </w:r>
      <w:r w:rsidRPr="007610B5">
        <w:rPr>
          <w:rFonts w:asciiTheme="minorHAnsi" w:hAnsiTheme="minorHAnsi" w:cstheme="minorHAnsi"/>
          <w:bCs/>
          <w:color w:val="auto"/>
          <w:sz w:val="22"/>
          <w:szCs w:val="22"/>
        </w:rPr>
        <w:t>.</w:t>
      </w:r>
    </w:p>
    <w:p w14:paraId="2EFE0EFB" w14:textId="5ADBEBD7" w:rsidR="00F727AE" w:rsidRDefault="001C1DA5" w:rsidP="00574EC4">
      <w:pPr>
        <w:pStyle w:val="ListParagraph"/>
        <w:numPr>
          <w:ilvl w:val="0"/>
          <w:numId w:val="2"/>
        </w:numPr>
        <w:spacing w:before="0" w:after="120"/>
        <w:ind w:left="426" w:hanging="426"/>
        <w:contextualSpacing w:val="0"/>
        <w:rPr>
          <w:rFonts w:asciiTheme="minorHAnsi" w:hAnsiTheme="minorHAnsi" w:cstheme="minorHAnsi"/>
          <w:bCs/>
          <w:color w:val="000000" w:themeColor="text1"/>
          <w:sz w:val="22"/>
          <w:szCs w:val="22"/>
        </w:rPr>
      </w:pPr>
      <w:r w:rsidRPr="007610B5">
        <w:rPr>
          <w:rFonts w:asciiTheme="minorHAnsi" w:hAnsiTheme="minorHAnsi" w:cstheme="minorHAnsi"/>
          <w:bCs/>
          <w:color w:val="000000" w:themeColor="text1"/>
          <w:sz w:val="22"/>
          <w:szCs w:val="22"/>
        </w:rPr>
        <w:t xml:space="preserve">Assisted ORB in the development of </w:t>
      </w:r>
      <w:r w:rsidR="00C52ED9" w:rsidRPr="007610B5">
        <w:rPr>
          <w:rFonts w:asciiTheme="minorHAnsi" w:hAnsiTheme="minorHAnsi" w:cstheme="minorHAnsi"/>
          <w:bCs/>
          <w:color w:val="000000" w:themeColor="text1"/>
          <w:sz w:val="22"/>
          <w:szCs w:val="22"/>
        </w:rPr>
        <w:t>the</w:t>
      </w:r>
      <w:r w:rsidRPr="007610B5">
        <w:rPr>
          <w:rFonts w:asciiTheme="minorHAnsi" w:hAnsiTheme="minorHAnsi" w:cstheme="minorHAnsi"/>
          <w:bCs/>
          <w:color w:val="000000" w:themeColor="text1"/>
          <w:sz w:val="22"/>
          <w:szCs w:val="22"/>
        </w:rPr>
        <w:t xml:space="preserve"> </w:t>
      </w:r>
      <w:bookmarkStart w:id="24" w:name="_Hlk48640805"/>
      <w:r w:rsidR="00FD1F02">
        <w:fldChar w:fldCharType="begin"/>
      </w:r>
      <w:r w:rsidR="00FD1F02">
        <w:instrText xml:space="preserve"> HYPERLINK "https://www.nopta.gov.au/_documents/fact-sheets/fact-sheet-COVID19-exploration-permits-20200416.pdf" </w:instrText>
      </w:r>
      <w:r w:rsidR="00FD1F02">
        <w:fldChar w:fldCharType="separate"/>
      </w:r>
      <w:r w:rsidRPr="007610B5">
        <w:rPr>
          <w:rStyle w:val="Hyperlink"/>
          <w:rFonts w:asciiTheme="minorHAnsi" w:hAnsiTheme="minorHAnsi" w:cstheme="minorHAnsi"/>
          <w:bCs/>
          <w:sz w:val="22"/>
          <w:szCs w:val="22"/>
        </w:rPr>
        <w:t>COVID-19 Work-bid Exploration Permits Fact Sheet</w:t>
      </w:r>
      <w:r w:rsidR="00FD1F02">
        <w:rPr>
          <w:rStyle w:val="Hyperlink"/>
          <w:rFonts w:asciiTheme="minorHAnsi" w:hAnsiTheme="minorHAnsi" w:cstheme="minorHAnsi"/>
          <w:bCs/>
          <w:sz w:val="22"/>
          <w:szCs w:val="22"/>
        </w:rPr>
        <w:fldChar w:fldCharType="end"/>
      </w:r>
      <w:r w:rsidR="00A70E9B" w:rsidRPr="007610B5">
        <w:rPr>
          <w:rFonts w:asciiTheme="minorHAnsi" w:hAnsiTheme="minorHAnsi" w:cstheme="minorHAnsi"/>
          <w:bCs/>
          <w:sz w:val="22"/>
          <w:szCs w:val="22"/>
        </w:rPr>
        <w:t xml:space="preserve"> </w:t>
      </w:r>
      <w:bookmarkEnd w:id="24"/>
      <w:r w:rsidR="00A70E9B" w:rsidRPr="007610B5">
        <w:rPr>
          <w:rFonts w:asciiTheme="minorHAnsi" w:hAnsiTheme="minorHAnsi" w:cstheme="minorHAnsi"/>
          <w:bCs/>
          <w:color w:val="000000" w:themeColor="text1"/>
          <w:sz w:val="22"/>
          <w:szCs w:val="22"/>
        </w:rPr>
        <w:t xml:space="preserve">relating to interim measures to provide flexibility for offshore oil and gas explorers during the COVID-19 pandemic. </w:t>
      </w:r>
      <w:r w:rsidR="00EC4C52" w:rsidRPr="007610B5">
        <w:rPr>
          <w:rFonts w:asciiTheme="minorHAnsi" w:hAnsiTheme="minorHAnsi" w:cstheme="minorHAnsi"/>
          <w:bCs/>
          <w:color w:val="000000" w:themeColor="text1"/>
          <w:sz w:val="22"/>
          <w:szCs w:val="22"/>
        </w:rPr>
        <w:t>Between</w:t>
      </w:r>
      <w:r w:rsidR="00C35506" w:rsidRPr="007610B5">
        <w:rPr>
          <w:rFonts w:asciiTheme="minorHAnsi" w:hAnsiTheme="minorHAnsi" w:cstheme="minorHAnsi"/>
          <w:bCs/>
          <w:color w:val="000000" w:themeColor="text1"/>
          <w:sz w:val="22"/>
          <w:szCs w:val="22"/>
        </w:rPr>
        <w:t xml:space="preserve"> </w:t>
      </w:r>
      <w:r w:rsidR="00EC4C52" w:rsidRPr="007610B5">
        <w:rPr>
          <w:rFonts w:asciiTheme="minorHAnsi" w:hAnsiTheme="minorHAnsi" w:cstheme="minorHAnsi"/>
          <w:bCs/>
          <w:color w:val="000000" w:themeColor="text1"/>
          <w:sz w:val="22"/>
          <w:szCs w:val="22"/>
        </w:rPr>
        <w:t xml:space="preserve">17 </w:t>
      </w:r>
      <w:r w:rsidR="00C35506" w:rsidRPr="007610B5">
        <w:rPr>
          <w:rFonts w:asciiTheme="minorHAnsi" w:hAnsiTheme="minorHAnsi" w:cstheme="minorHAnsi"/>
          <w:bCs/>
          <w:color w:val="000000" w:themeColor="text1"/>
          <w:sz w:val="22"/>
          <w:szCs w:val="22"/>
        </w:rPr>
        <w:t>April</w:t>
      </w:r>
      <w:r w:rsidR="00EC4C52" w:rsidRPr="007610B5">
        <w:rPr>
          <w:rFonts w:asciiTheme="minorHAnsi" w:hAnsiTheme="minorHAnsi" w:cstheme="minorHAnsi"/>
          <w:bCs/>
          <w:color w:val="000000" w:themeColor="text1"/>
          <w:sz w:val="22"/>
          <w:szCs w:val="22"/>
        </w:rPr>
        <w:t xml:space="preserve"> and 30 June</w:t>
      </w:r>
      <w:r w:rsidR="00C35506" w:rsidRPr="007610B5">
        <w:rPr>
          <w:rFonts w:asciiTheme="minorHAnsi" w:hAnsiTheme="minorHAnsi" w:cstheme="minorHAnsi"/>
          <w:bCs/>
          <w:color w:val="000000" w:themeColor="text1"/>
          <w:sz w:val="22"/>
          <w:szCs w:val="22"/>
        </w:rPr>
        <w:t xml:space="preserve"> </w:t>
      </w:r>
      <w:r w:rsidR="00A70E9B" w:rsidRPr="007610B5">
        <w:rPr>
          <w:rFonts w:asciiTheme="minorHAnsi" w:hAnsiTheme="minorHAnsi" w:cstheme="minorHAnsi"/>
          <w:bCs/>
          <w:color w:val="000000" w:themeColor="text1"/>
          <w:sz w:val="22"/>
          <w:szCs w:val="22"/>
        </w:rPr>
        <w:t>2020</w:t>
      </w:r>
      <w:r w:rsidR="00EC4C52" w:rsidRPr="007610B5">
        <w:rPr>
          <w:rFonts w:asciiTheme="minorHAnsi" w:hAnsiTheme="minorHAnsi" w:cstheme="minorHAnsi"/>
          <w:bCs/>
          <w:color w:val="000000" w:themeColor="text1"/>
          <w:sz w:val="22"/>
          <w:szCs w:val="22"/>
        </w:rPr>
        <w:t>,</w:t>
      </w:r>
      <w:r w:rsidR="00A70E9B" w:rsidRPr="007610B5">
        <w:rPr>
          <w:rFonts w:asciiTheme="minorHAnsi" w:hAnsiTheme="minorHAnsi" w:cstheme="minorHAnsi"/>
          <w:bCs/>
          <w:color w:val="000000" w:themeColor="text1"/>
          <w:sz w:val="22"/>
          <w:szCs w:val="22"/>
        </w:rPr>
        <w:t xml:space="preserve"> NOPTA has f</w:t>
      </w:r>
      <w:r w:rsidR="00F727AE" w:rsidRPr="007610B5">
        <w:rPr>
          <w:rFonts w:asciiTheme="minorHAnsi" w:hAnsiTheme="minorHAnsi" w:cstheme="minorHAnsi"/>
          <w:bCs/>
          <w:color w:val="000000" w:themeColor="text1"/>
          <w:sz w:val="22"/>
          <w:szCs w:val="22"/>
        </w:rPr>
        <w:t>acilitated the assessment of</w:t>
      </w:r>
      <w:r w:rsidR="00EC4C52" w:rsidRPr="007610B5">
        <w:rPr>
          <w:rFonts w:asciiTheme="minorHAnsi" w:hAnsiTheme="minorHAnsi" w:cstheme="minorHAnsi"/>
          <w:bCs/>
          <w:color w:val="000000" w:themeColor="text1"/>
          <w:sz w:val="22"/>
          <w:szCs w:val="22"/>
        </w:rPr>
        <w:t xml:space="preserve"> </w:t>
      </w:r>
      <w:r w:rsidR="00AF13AA">
        <w:rPr>
          <w:rFonts w:asciiTheme="minorHAnsi" w:hAnsiTheme="minorHAnsi" w:cstheme="minorHAnsi"/>
          <w:bCs/>
          <w:color w:val="000000" w:themeColor="text1"/>
          <w:sz w:val="22"/>
          <w:szCs w:val="22"/>
        </w:rPr>
        <w:t xml:space="preserve">18 </w:t>
      </w:r>
      <w:r w:rsidR="00F727AE" w:rsidRPr="007610B5">
        <w:rPr>
          <w:rFonts w:asciiTheme="minorHAnsi" w:hAnsiTheme="minorHAnsi" w:cstheme="minorHAnsi"/>
          <w:bCs/>
          <w:color w:val="000000" w:themeColor="text1"/>
          <w:sz w:val="22"/>
          <w:szCs w:val="22"/>
        </w:rPr>
        <w:t>applications</w:t>
      </w:r>
      <w:r w:rsidR="00AF13AA">
        <w:rPr>
          <w:rFonts w:asciiTheme="minorHAnsi" w:hAnsiTheme="minorHAnsi" w:cstheme="minorHAnsi"/>
          <w:bCs/>
          <w:color w:val="000000" w:themeColor="text1"/>
          <w:sz w:val="22"/>
          <w:szCs w:val="22"/>
        </w:rPr>
        <w:t xml:space="preserve"> </w:t>
      </w:r>
      <w:r w:rsidR="009835C8" w:rsidRPr="007610B5">
        <w:rPr>
          <w:rFonts w:asciiTheme="minorHAnsi" w:hAnsiTheme="minorHAnsi" w:cstheme="minorHAnsi"/>
          <w:bCs/>
          <w:color w:val="000000" w:themeColor="text1"/>
          <w:sz w:val="22"/>
          <w:szCs w:val="22"/>
        </w:rPr>
        <w:t xml:space="preserve">in accordance with </w:t>
      </w:r>
      <w:r w:rsidR="006A0E66" w:rsidRPr="007610B5">
        <w:rPr>
          <w:rFonts w:asciiTheme="minorHAnsi" w:hAnsiTheme="minorHAnsi" w:cstheme="minorHAnsi"/>
          <w:bCs/>
          <w:color w:val="000000" w:themeColor="text1"/>
          <w:sz w:val="22"/>
          <w:szCs w:val="22"/>
        </w:rPr>
        <w:t xml:space="preserve">this factsheet. </w:t>
      </w:r>
      <w:r w:rsidR="00F727AE" w:rsidRPr="007610B5">
        <w:rPr>
          <w:rFonts w:asciiTheme="minorHAnsi" w:hAnsiTheme="minorHAnsi" w:cstheme="minorHAnsi"/>
          <w:bCs/>
          <w:color w:val="000000" w:themeColor="text1"/>
          <w:sz w:val="22"/>
          <w:szCs w:val="22"/>
        </w:rPr>
        <w:t xml:space="preserve"> </w:t>
      </w:r>
    </w:p>
    <w:p w14:paraId="41F375F7" w14:textId="688DC7B8" w:rsidR="0071528B" w:rsidRPr="007610B5" w:rsidRDefault="0071528B" w:rsidP="00574EC4">
      <w:pPr>
        <w:pStyle w:val="ListParagraph"/>
        <w:numPr>
          <w:ilvl w:val="0"/>
          <w:numId w:val="2"/>
        </w:numPr>
        <w:spacing w:before="0" w:after="120"/>
        <w:ind w:left="426" w:hanging="426"/>
        <w:contextualSpacing w:val="0"/>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Maintained a flexible approach to regulatory well and survey data submission requirements during COVID-19 restrictions (refer to </w:t>
      </w:r>
      <w:hyperlink r:id="rId23" w:history="1">
        <w:r w:rsidRPr="0071528B">
          <w:rPr>
            <w:rStyle w:val="Hyperlink"/>
            <w:rFonts w:asciiTheme="minorHAnsi" w:hAnsiTheme="minorHAnsi" w:cstheme="minorHAnsi"/>
            <w:bCs/>
            <w:sz w:val="22"/>
            <w:szCs w:val="22"/>
          </w:rPr>
          <w:t>stakeholder notice</w:t>
        </w:r>
      </w:hyperlink>
      <w:r>
        <w:rPr>
          <w:rFonts w:asciiTheme="minorHAnsi" w:hAnsiTheme="minorHAnsi" w:cstheme="minorHAnsi"/>
          <w:bCs/>
          <w:color w:val="000000" w:themeColor="text1"/>
          <w:sz w:val="22"/>
          <w:szCs w:val="22"/>
        </w:rPr>
        <w:t>). (see KPI 2)</w:t>
      </w:r>
    </w:p>
    <w:p w14:paraId="6067063C" w14:textId="26059210" w:rsidR="00B24B46" w:rsidRPr="001C6D44" w:rsidRDefault="00C950E5" w:rsidP="00574EC4">
      <w:pPr>
        <w:pStyle w:val="ListParagraph"/>
        <w:numPr>
          <w:ilvl w:val="0"/>
          <w:numId w:val="2"/>
        </w:numPr>
        <w:spacing w:before="0" w:after="120"/>
        <w:ind w:left="426" w:hanging="426"/>
        <w:contextualSpacing w:val="0"/>
        <w:rPr>
          <w:rFonts w:asciiTheme="minorHAnsi" w:hAnsiTheme="minorHAnsi" w:cstheme="minorHAnsi"/>
          <w:bCs/>
          <w:color w:val="auto"/>
          <w:sz w:val="22"/>
          <w:szCs w:val="22"/>
        </w:rPr>
      </w:pPr>
      <w:r w:rsidRPr="001C6D44">
        <w:rPr>
          <w:rFonts w:asciiTheme="minorHAnsi" w:hAnsiTheme="minorHAnsi" w:cstheme="minorHAnsi"/>
          <w:color w:val="auto"/>
          <w:sz w:val="22"/>
          <w:szCs w:val="22"/>
        </w:rPr>
        <w:t xml:space="preserve">Has been proactive in understanding emerging industry technologies and practices and in utilising this knowledge </w:t>
      </w:r>
      <w:r w:rsidR="00F8195C" w:rsidRPr="001C6D44">
        <w:rPr>
          <w:rFonts w:asciiTheme="minorHAnsi" w:hAnsiTheme="minorHAnsi" w:cstheme="minorHAnsi"/>
          <w:color w:val="auto"/>
          <w:sz w:val="22"/>
          <w:szCs w:val="22"/>
        </w:rPr>
        <w:t>in our</w:t>
      </w:r>
      <w:r w:rsidRPr="001C6D44">
        <w:rPr>
          <w:rFonts w:asciiTheme="minorHAnsi" w:hAnsiTheme="minorHAnsi" w:cstheme="minorHAnsi"/>
          <w:color w:val="auto"/>
          <w:sz w:val="22"/>
          <w:szCs w:val="22"/>
        </w:rPr>
        <w:t xml:space="preserve"> work. </w:t>
      </w:r>
      <w:r w:rsidR="004D5189">
        <w:rPr>
          <w:rFonts w:asciiTheme="minorHAnsi" w:hAnsiTheme="minorHAnsi" w:cstheme="minorHAnsi"/>
          <w:color w:val="auto"/>
          <w:sz w:val="22"/>
          <w:szCs w:val="22"/>
        </w:rPr>
        <w:t>NOPTA</w:t>
      </w:r>
      <w:r w:rsidR="00F8195C" w:rsidRPr="001C6D44">
        <w:rPr>
          <w:rFonts w:asciiTheme="minorHAnsi" w:hAnsiTheme="minorHAnsi" w:cstheme="minorHAnsi"/>
          <w:color w:val="auto"/>
          <w:sz w:val="22"/>
          <w:szCs w:val="22"/>
        </w:rPr>
        <w:t xml:space="preserve"> </w:t>
      </w:r>
      <w:r w:rsidR="00F8195C" w:rsidRPr="001C6D44">
        <w:rPr>
          <w:rFonts w:asciiTheme="minorHAnsi" w:hAnsiTheme="minorHAnsi" w:cstheme="minorHAnsi"/>
          <w:bCs/>
          <w:color w:val="auto"/>
          <w:sz w:val="22"/>
          <w:szCs w:val="22"/>
        </w:rPr>
        <w:t>p</w:t>
      </w:r>
      <w:r w:rsidR="00B24B46" w:rsidRPr="001C6D44">
        <w:rPr>
          <w:rFonts w:asciiTheme="minorHAnsi" w:hAnsiTheme="minorHAnsi" w:cstheme="minorHAnsi"/>
          <w:bCs/>
          <w:color w:val="auto"/>
          <w:sz w:val="22"/>
          <w:szCs w:val="22"/>
        </w:rPr>
        <w:t>articipate</w:t>
      </w:r>
      <w:r w:rsidR="004D5189">
        <w:rPr>
          <w:rFonts w:asciiTheme="minorHAnsi" w:hAnsiTheme="minorHAnsi" w:cstheme="minorHAnsi"/>
          <w:bCs/>
          <w:color w:val="auto"/>
          <w:sz w:val="22"/>
          <w:szCs w:val="22"/>
        </w:rPr>
        <w:t>d</w:t>
      </w:r>
      <w:r w:rsidR="00B24B46" w:rsidRPr="001C6D44">
        <w:rPr>
          <w:rFonts w:asciiTheme="minorHAnsi" w:hAnsiTheme="minorHAnsi" w:cstheme="minorHAnsi"/>
          <w:bCs/>
          <w:color w:val="auto"/>
          <w:sz w:val="22"/>
          <w:szCs w:val="22"/>
        </w:rPr>
        <w:t xml:space="preserve"> in several cross-agency forums </w:t>
      </w:r>
      <w:r w:rsidR="00EE7897" w:rsidRPr="001C6D44">
        <w:rPr>
          <w:rFonts w:asciiTheme="minorHAnsi" w:hAnsiTheme="minorHAnsi" w:cstheme="minorHAnsi"/>
          <w:bCs/>
          <w:color w:val="auto"/>
          <w:sz w:val="22"/>
          <w:szCs w:val="22"/>
        </w:rPr>
        <w:t>and annual</w:t>
      </w:r>
      <w:r w:rsidR="00B24B46" w:rsidRPr="001C6D44">
        <w:rPr>
          <w:rFonts w:asciiTheme="minorHAnsi" w:hAnsiTheme="minorHAnsi" w:cstheme="minorHAnsi"/>
          <w:bCs/>
          <w:color w:val="auto"/>
          <w:sz w:val="22"/>
          <w:szCs w:val="22"/>
        </w:rPr>
        <w:t xml:space="preserve"> events to discuss current and emerging issues, share ideas and implement improvement strategies</w:t>
      </w:r>
      <w:r w:rsidR="00341EC4" w:rsidRPr="001C6D44">
        <w:rPr>
          <w:rFonts w:asciiTheme="minorHAnsi" w:hAnsiTheme="minorHAnsi" w:cstheme="minorHAnsi"/>
          <w:bCs/>
          <w:color w:val="auto"/>
          <w:sz w:val="22"/>
          <w:szCs w:val="22"/>
        </w:rPr>
        <w:t>, including:</w:t>
      </w:r>
      <w:r w:rsidR="00B24B46" w:rsidRPr="001C6D44">
        <w:rPr>
          <w:rFonts w:asciiTheme="minorHAnsi" w:hAnsiTheme="minorHAnsi" w:cstheme="minorHAnsi"/>
          <w:bCs/>
          <w:color w:val="auto"/>
          <w:sz w:val="22"/>
          <w:szCs w:val="22"/>
        </w:rPr>
        <w:t xml:space="preserve"> </w:t>
      </w:r>
    </w:p>
    <w:p w14:paraId="7BEB51B2" w14:textId="6331FDD4" w:rsidR="00B24B46" w:rsidRPr="00B24B46" w:rsidRDefault="00B24B46" w:rsidP="00574EC4">
      <w:pPr>
        <w:pStyle w:val="ListParagraph"/>
        <w:numPr>
          <w:ilvl w:val="0"/>
          <w:numId w:val="5"/>
        </w:numPr>
        <w:spacing w:before="0" w:after="120"/>
        <w:contextualSpacing w:val="0"/>
        <w:rPr>
          <w:rFonts w:asciiTheme="minorHAnsi" w:hAnsiTheme="minorHAnsi"/>
          <w:bCs/>
          <w:color w:val="auto"/>
          <w:sz w:val="22"/>
          <w:szCs w:val="22"/>
        </w:rPr>
      </w:pPr>
      <w:r w:rsidRPr="00B24B46">
        <w:rPr>
          <w:rFonts w:asciiTheme="minorHAnsi" w:hAnsiTheme="minorHAnsi"/>
          <w:bCs/>
          <w:color w:val="auto"/>
          <w:sz w:val="22"/>
          <w:szCs w:val="22"/>
        </w:rPr>
        <w:t>the Council of Australian Governments Energy Council</w:t>
      </w:r>
      <w:r w:rsidR="00FD695A">
        <w:rPr>
          <w:rFonts w:asciiTheme="minorHAnsi" w:hAnsiTheme="minorHAnsi"/>
          <w:bCs/>
          <w:color w:val="auto"/>
          <w:sz w:val="22"/>
          <w:szCs w:val="22"/>
        </w:rPr>
        <w:t xml:space="preserve"> (COAG)</w:t>
      </w:r>
      <w:r w:rsidR="00C924FE">
        <w:rPr>
          <w:rStyle w:val="FootnoteReference"/>
          <w:rFonts w:asciiTheme="minorHAnsi" w:hAnsiTheme="minorHAnsi"/>
          <w:bCs/>
          <w:color w:val="auto"/>
          <w:sz w:val="22"/>
          <w:szCs w:val="22"/>
        </w:rPr>
        <w:footnoteReference w:id="1"/>
      </w:r>
      <w:r w:rsidRPr="00B24B46">
        <w:rPr>
          <w:rFonts w:asciiTheme="minorHAnsi" w:hAnsiTheme="minorHAnsi"/>
          <w:bCs/>
          <w:color w:val="auto"/>
          <w:sz w:val="22"/>
          <w:szCs w:val="22"/>
        </w:rPr>
        <w:t xml:space="preserve">, Upstream Petroleum Resources Working Group </w:t>
      </w:r>
    </w:p>
    <w:p w14:paraId="0DAA19C2" w14:textId="3B902604" w:rsidR="00B24B46" w:rsidRPr="00B24B46" w:rsidRDefault="00B24B46" w:rsidP="00574EC4">
      <w:pPr>
        <w:pStyle w:val="ListParagraph"/>
        <w:numPr>
          <w:ilvl w:val="0"/>
          <w:numId w:val="5"/>
        </w:numPr>
        <w:spacing w:before="0" w:after="120"/>
        <w:contextualSpacing w:val="0"/>
        <w:rPr>
          <w:rFonts w:asciiTheme="minorHAnsi" w:hAnsiTheme="minorHAnsi"/>
          <w:bCs/>
          <w:color w:val="auto"/>
          <w:sz w:val="22"/>
          <w:szCs w:val="22"/>
        </w:rPr>
      </w:pPr>
      <w:r w:rsidRPr="00B24B46">
        <w:rPr>
          <w:rFonts w:asciiTheme="minorHAnsi" w:hAnsiTheme="minorHAnsi"/>
          <w:bCs/>
          <w:color w:val="auto"/>
          <w:sz w:val="22"/>
          <w:szCs w:val="22"/>
        </w:rPr>
        <w:t xml:space="preserve">the Professional Petroleum Data Management, Regulatory Data Standards Committee </w:t>
      </w:r>
    </w:p>
    <w:p w14:paraId="7EACE30A" w14:textId="77777777" w:rsidR="005D6FE8" w:rsidRPr="00237544" w:rsidRDefault="00B24B46" w:rsidP="00574EC4">
      <w:pPr>
        <w:pStyle w:val="ListParagraph"/>
        <w:numPr>
          <w:ilvl w:val="0"/>
          <w:numId w:val="5"/>
        </w:numPr>
        <w:spacing w:before="0" w:after="120"/>
        <w:contextualSpacing w:val="0"/>
        <w:rPr>
          <w:rFonts w:asciiTheme="minorHAnsi" w:hAnsiTheme="minorHAnsi"/>
          <w:bCs/>
          <w:color w:val="auto"/>
          <w:sz w:val="22"/>
          <w:szCs w:val="22"/>
        </w:rPr>
      </w:pPr>
      <w:r w:rsidRPr="00B24B46">
        <w:rPr>
          <w:rFonts w:asciiTheme="minorHAnsi" w:hAnsiTheme="minorHAnsi"/>
          <w:bCs/>
          <w:color w:val="auto"/>
          <w:sz w:val="22"/>
          <w:szCs w:val="22"/>
        </w:rPr>
        <w:t xml:space="preserve">collaborating with Geoscience Australia and WA Department of Mines, Industry Regulation and Safety on the operation of the National Offshore Petroleum Data and Core Repository; and </w:t>
      </w:r>
      <w:r w:rsidR="00026F5C" w:rsidRPr="005D6FE8">
        <w:rPr>
          <w:rFonts w:asciiTheme="minorHAnsi" w:hAnsiTheme="minorHAnsi"/>
          <w:bCs/>
          <w:color w:val="auto"/>
          <w:sz w:val="22"/>
          <w:szCs w:val="22"/>
        </w:rPr>
        <w:t>the ongoing</w:t>
      </w:r>
      <w:r w:rsidRPr="00B24B46">
        <w:rPr>
          <w:rFonts w:asciiTheme="minorHAnsi" w:hAnsiTheme="minorHAnsi"/>
          <w:bCs/>
          <w:color w:val="auto"/>
          <w:sz w:val="22"/>
          <w:szCs w:val="22"/>
        </w:rPr>
        <w:t xml:space="preserve"> improvement program for National Offshore Petroleum Information Management System (NOPIMS) </w:t>
      </w:r>
    </w:p>
    <w:p w14:paraId="0EAAF878" w14:textId="474126F8" w:rsidR="0071654F" w:rsidRPr="0071654F" w:rsidRDefault="005D6FE8" w:rsidP="00574EC4">
      <w:pPr>
        <w:pStyle w:val="ListParagraph"/>
        <w:numPr>
          <w:ilvl w:val="0"/>
          <w:numId w:val="5"/>
        </w:numPr>
        <w:spacing w:before="0" w:after="120"/>
        <w:contextualSpacing w:val="0"/>
        <w:rPr>
          <w:rFonts w:asciiTheme="minorHAnsi" w:hAnsiTheme="minorHAnsi"/>
          <w:bCs/>
          <w:color w:val="auto"/>
          <w:sz w:val="22"/>
          <w:szCs w:val="22"/>
        </w:rPr>
      </w:pPr>
      <w:r>
        <w:rPr>
          <w:rFonts w:asciiTheme="minorHAnsi" w:hAnsiTheme="minorHAnsi"/>
          <w:bCs/>
          <w:color w:val="auto"/>
          <w:sz w:val="22"/>
          <w:szCs w:val="22"/>
        </w:rPr>
        <w:t>working</w:t>
      </w:r>
      <w:r w:rsidR="003F5448" w:rsidRPr="005D6FE8">
        <w:rPr>
          <w:rFonts w:asciiTheme="minorHAnsi" w:hAnsiTheme="minorHAnsi"/>
          <w:bCs/>
          <w:color w:val="auto"/>
          <w:sz w:val="22"/>
          <w:szCs w:val="22"/>
        </w:rPr>
        <w:t xml:space="preserve"> closely with </w:t>
      </w:r>
      <w:r>
        <w:rPr>
          <w:rFonts w:asciiTheme="minorHAnsi" w:hAnsiTheme="minorHAnsi"/>
          <w:bCs/>
          <w:color w:val="auto"/>
          <w:sz w:val="22"/>
          <w:szCs w:val="22"/>
        </w:rPr>
        <w:t>ORB</w:t>
      </w:r>
      <w:r w:rsidR="003F5448" w:rsidRPr="005D6FE8">
        <w:rPr>
          <w:rFonts w:asciiTheme="minorHAnsi" w:hAnsiTheme="minorHAnsi"/>
          <w:bCs/>
          <w:color w:val="auto"/>
          <w:sz w:val="22"/>
          <w:szCs w:val="22"/>
        </w:rPr>
        <w:t xml:space="preserve"> and NOPSEMA on decommissioning matters with a view to streamlining processes under the relevant legislative and regulatory frameworks.</w:t>
      </w:r>
    </w:p>
    <w:p w14:paraId="0B0424DA" w14:textId="77777777" w:rsidR="00A84989" w:rsidRDefault="00A84989" w:rsidP="00A84989">
      <w:pPr>
        <w:pStyle w:val="ListParagraph"/>
        <w:numPr>
          <w:ilvl w:val="0"/>
          <w:numId w:val="5"/>
        </w:numPr>
        <w:spacing w:before="0" w:after="120"/>
        <w:contextualSpacing w:val="0"/>
        <w:rPr>
          <w:rFonts w:asciiTheme="minorHAnsi" w:hAnsiTheme="minorHAnsi" w:cstheme="minorHAnsi"/>
          <w:color w:val="auto"/>
          <w:sz w:val="22"/>
          <w:szCs w:val="22"/>
        </w:rPr>
      </w:pPr>
      <w:r>
        <w:rPr>
          <w:rFonts w:asciiTheme="minorHAnsi" w:hAnsiTheme="minorHAnsi" w:cstheme="minorHAnsi"/>
          <w:color w:val="auto"/>
          <w:sz w:val="22"/>
          <w:szCs w:val="22"/>
        </w:rPr>
        <w:t>the</w:t>
      </w:r>
      <w:r w:rsidRPr="005E33F0">
        <w:rPr>
          <w:rFonts w:asciiTheme="minorHAnsi" w:hAnsiTheme="minorHAnsi" w:cstheme="minorHAnsi"/>
          <w:color w:val="auto"/>
          <w:sz w:val="22"/>
          <w:szCs w:val="22"/>
        </w:rPr>
        <w:t xml:space="preserve"> international National Data Repository Workgroup meetings, the PPDM Regulatory Standards Committee and other local and international focus groups concerned with data quality programs and compliance initiatives. </w:t>
      </w:r>
    </w:p>
    <w:p w14:paraId="59D01C35" w14:textId="434BD021" w:rsidR="00DB288A" w:rsidRPr="00FD3C7D" w:rsidRDefault="00DB288A" w:rsidP="00DB288A">
      <w:pPr>
        <w:pStyle w:val="ListParagraph"/>
        <w:numPr>
          <w:ilvl w:val="0"/>
          <w:numId w:val="5"/>
        </w:numPr>
        <w:spacing w:before="0" w:after="120"/>
        <w:contextualSpacing w:val="0"/>
        <w:rPr>
          <w:rFonts w:asciiTheme="minorHAnsi" w:hAnsiTheme="minorHAnsi" w:cstheme="minorHAnsi"/>
          <w:bCs/>
          <w:color w:val="auto"/>
          <w:sz w:val="22"/>
          <w:szCs w:val="22"/>
        </w:rPr>
      </w:pPr>
      <w:r>
        <w:rPr>
          <w:rFonts w:asciiTheme="minorHAnsi" w:hAnsiTheme="minorHAnsi" w:cstheme="minorHAnsi"/>
          <w:color w:val="auto"/>
          <w:sz w:val="22"/>
          <w:szCs w:val="22"/>
        </w:rPr>
        <w:t>o</w:t>
      </w:r>
      <w:r w:rsidRPr="001C6D44">
        <w:rPr>
          <w:rFonts w:asciiTheme="minorHAnsi" w:hAnsiTheme="minorHAnsi" w:cstheme="minorHAnsi"/>
          <w:color w:val="auto"/>
          <w:sz w:val="22"/>
          <w:szCs w:val="22"/>
        </w:rPr>
        <w:t>ngoing engagement in a skills exchange program with international offshore petroleum regulators including the United Kingdom’s Oil and Gas Authority (OGA) and New Zealand Petroleum and Minerals (NZPM), with a focus on best practice management of late life petroleum titles and matters related to decommissioning.</w:t>
      </w:r>
    </w:p>
    <w:p w14:paraId="7C192837" w14:textId="67D86F2E" w:rsidR="00A84989" w:rsidRPr="00FD3C7D" w:rsidRDefault="00A84989" w:rsidP="00A84989">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sidRPr="005E33F0">
        <w:rPr>
          <w:rFonts w:asciiTheme="minorHAnsi" w:hAnsiTheme="minorHAnsi" w:cstheme="minorHAnsi"/>
          <w:color w:val="auto"/>
          <w:sz w:val="22"/>
          <w:szCs w:val="22"/>
        </w:rPr>
        <w:t>Regular consultation and ideas exchange between NOPTA</w:t>
      </w:r>
      <w:r>
        <w:rPr>
          <w:rFonts w:asciiTheme="minorHAnsi" w:hAnsiTheme="minorHAnsi" w:cstheme="minorHAnsi"/>
          <w:color w:val="auto"/>
          <w:sz w:val="22"/>
          <w:szCs w:val="22"/>
        </w:rPr>
        <w:t xml:space="preserve"> </w:t>
      </w:r>
      <w:r w:rsidRPr="005E33F0">
        <w:rPr>
          <w:rFonts w:asciiTheme="minorHAnsi" w:hAnsiTheme="minorHAnsi" w:cstheme="minorHAnsi"/>
          <w:color w:val="auto"/>
          <w:sz w:val="22"/>
          <w:szCs w:val="22"/>
        </w:rPr>
        <w:t>and international counterparts in the OGA and N</w:t>
      </w:r>
      <w:r w:rsidR="00546087">
        <w:rPr>
          <w:rFonts w:asciiTheme="minorHAnsi" w:hAnsiTheme="minorHAnsi" w:cstheme="minorHAnsi"/>
          <w:color w:val="auto"/>
          <w:sz w:val="22"/>
          <w:szCs w:val="22"/>
        </w:rPr>
        <w:t>ZPM</w:t>
      </w:r>
      <w:r w:rsidRPr="005E33F0">
        <w:rPr>
          <w:rFonts w:asciiTheme="minorHAnsi" w:hAnsiTheme="minorHAnsi" w:cstheme="minorHAnsi"/>
          <w:color w:val="auto"/>
          <w:sz w:val="22"/>
          <w:szCs w:val="22"/>
        </w:rPr>
        <w:t>, has significantly contributed to our understanding of contemporary and emerging issues, including regulatory convergence, data interoperability, information transfer and technological development.</w:t>
      </w:r>
    </w:p>
    <w:p w14:paraId="02FEF15B" w14:textId="74860DCC" w:rsidR="006352F3" w:rsidRDefault="006352F3" w:rsidP="00C3530A">
      <w:pPr>
        <w:spacing w:after="0" w:line="240" w:lineRule="auto"/>
      </w:pPr>
    </w:p>
    <w:p w14:paraId="02892A30" w14:textId="6324262A" w:rsidR="006352F3" w:rsidRDefault="006352F3" w:rsidP="00C3530A">
      <w:pPr>
        <w:pBdr>
          <w:bottom w:val="single" w:sz="6" w:space="1" w:color="auto"/>
        </w:pBdr>
        <w:spacing w:after="0" w:line="240" w:lineRule="auto"/>
      </w:pPr>
    </w:p>
    <w:p w14:paraId="29EF462D" w14:textId="77777777" w:rsidR="006352F3" w:rsidRPr="006352F3" w:rsidRDefault="006352F3" w:rsidP="00C3530A">
      <w:pPr>
        <w:spacing w:after="0" w:line="240" w:lineRule="auto"/>
      </w:pPr>
    </w:p>
    <w:p w14:paraId="3BA5FACE" w14:textId="69937B03" w:rsidR="00451963" w:rsidRDefault="00451963" w:rsidP="00C3530A">
      <w:pPr>
        <w:spacing w:after="0" w:line="240" w:lineRule="auto"/>
      </w:pPr>
    </w:p>
    <w:p w14:paraId="776DC360" w14:textId="77777777" w:rsidR="00C924FE" w:rsidRDefault="00C924FE">
      <w:pPr>
        <w:rPr>
          <w:rFonts w:eastAsiaTheme="majorEastAsia" w:cstheme="majorBidi"/>
          <w:b/>
          <w:color w:val="1F3864" w:themeColor="accent5" w:themeShade="80"/>
          <w:sz w:val="26"/>
          <w:szCs w:val="26"/>
        </w:rPr>
      </w:pPr>
      <w:r>
        <w:rPr>
          <w:color w:val="1F3864" w:themeColor="accent5" w:themeShade="80"/>
        </w:rPr>
        <w:br w:type="page"/>
      </w:r>
    </w:p>
    <w:p w14:paraId="723591C6" w14:textId="5D5094EA" w:rsidR="00772396" w:rsidRPr="00290DAE" w:rsidRDefault="006F6665" w:rsidP="00C3530A">
      <w:pPr>
        <w:pStyle w:val="Heading2"/>
        <w:jc w:val="left"/>
        <w:rPr>
          <w:color w:val="1F3864" w:themeColor="accent5" w:themeShade="80"/>
        </w:rPr>
      </w:pPr>
      <w:bookmarkStart w:id="25" w:name="_Toc54610422"/>
      <w:r w:rsidRPr="00290DAE">
        <w:rPr>
          <w:color w:val="1F3864" w:themeColor="accent5" w:themeShade="80"/>
        </w:rPr>
        <w:t>KPI 2: Communication with regulated entities is clear, targeted and effective</w:t>
      </w:r>
      <w:bookmarkStart w:id="26" w:name="_Toc497215473"/>
      <w:bookmarkEnd w:id="23"/>
      <w:bookmarkEnd w:id="25"/>
    </w:p>
    <w:p w14:paraId="0C265551" w14:textId="77777777" w:rsidR="006F6665" w:rsidRPr="00290DAE" w:rsidRDefault="006F6665" w:rsidP="00C3530A">
      <w:pPr>
        <w:pStyle w:val="Heading3"/>
        <w:jc w:val="left"/>
        <w:rPr>
          <w:color w:val="1F3864" w:themeColor="accent5" w:themeShade="80"/>
        </w:rPr>
      </w:pPr>
      <w:bookmarkStart w:id="27" w:name="_Toc54610423"/>
      <w:r w:rsidRPr="00290DAE">
        <w:rPr>
          <w:color w:val="1F3864" w:themeColor="accent5" w:themeShade="80"/>
        </w:rPr>
        <w:t>KPI Expectations</w:t>
      </w:r>
      <w:bookmarkEnd w:id="26"/>
      <w:bookmarkEnd w:id="27"/>
    </w:p>
    <w:p w14:paraId="658AE250" w14:textId="240DC384" w:rsidR="00772396" w:rsidRDefault="006F6665" w:rsidP="00C3530A">
      <w:pPr>
        <w:spacing w:after="0" w:line="240" w:lineRule="auto"/>
      </w:pPr>
      <w:r w:rsidRPr="00772396">
        <w:t xml:space="preserve">To communicate effectively with regulated entities so they understand what </w:t>
      </w:r>
      <w:r w:rsidR="00634AAD">
        <w:t>is required</w:t>
      </w:r>
      <w:r w:rsidRPr="00772396">
        <w:t>. The regulator provides clear and consistent information through various mediums including guidelines that explain why the information is required and how it is used. Effective communication supports compliance, regulatory feedback and continuous improvement.</w:t>
      </w:r>
      <w:bookmarkStart w:id="28" w:name="_Toc497215474"/>
    </w:p>
    <w:p w14:paraId="1C18F540" w14:textId="1507602E" w:rsidR="006F6665" w:rsidRPr="00290DAE" w:rsidRDefault="006F6665" w:rsidP="00C3530A">
      <w:pPr>
        <w:pStyle w:val="Heading3"/>
        <w:jc w:val="left"/>
        <w:rPr>
          <w:color w:val="1F3864" w:themeColor="accent5" w:themeShade="80"/>
        </w:rPr>
      </w:pPr>
      <w:bookmarkStart w:id="29" w:name="_Toc54610424"/>
      <w:r w:rsidRPr="00290DAE">
        <w:rPr>
          <w:color w:val="1F3864" w:themeColor="accent5" w:themeShade="80"/>
        </w:rPr>
        <w:t>NOPTA’s Approach</w:t>
      </w:r>
      <w:bookmarkEnd w:id="28"/>
      <w:bookmarkEnd w:id="29"/>
    </w:p>
    <w:p w14:paraId="04855818" w14:textId="56F0C6DB" w:rsidR="005D63B0" w:rsidRPr="005D63B0" w:rsidRDefault="001E0BFA" w:rsidP="00C3530A">
      <w:pPr>
        <w:spacing w:line="240" w:lineRule="auto"/>
      </w:pPr>
      <w:r>
        <w:t>NOPTA</w:t>
      </w:r>
      <w:r w:rsidRPr="005D63B0">
        <w:t xml:space="preserve"> </w:t>
      </w:r>
      <w:r w:rsidR="005D63B0" w:rsidRPr="005D63B0">
        <w:t>use</w:t>
      </w:r>
      <w:r>
        <w:t>s</w:t>
      </w:r>
      <w:r w:rsidR="005D63B0" w:rsidRPr="005D63B0">
        <w:t xml:space="preserve"> a variety of </w:t>
      </w:r>
      <w:r w:rsidR="00C30E2A">
        <w:t>approaches</w:t>
      </w:r>
      <w:r w:rsidR="00C30E2A" w:rsidRPr="005D63B0">
        <w:t xml:space="preserve"> </w:t>
      </w:r>
      <w:r w:rsidR="005D63B0" w:rsidRPr="005D63B0">
        <w:t>to engage with stakeholders</w:t>
      </w:r>
      <w:r w:rsidR="00C30E2A">
        <w:t>, including</w:t>
      </w:r>
      <w:r w:rsidR="005D63B0" w:rsidRPr="005D63B0">
        <w:t xml:space="preserve"> face-to-face meetings, </w:t>
      </w:r>
      <w:r w:rsidR="00E806FD">
        <w:t xml:space="preserve">hosting forums, </w:t>
      </w:r>
      <w:r w:rsidR="005D63B0" w:rsidRPr="005D63B0">
        <w:t>attending industry conferences</w:t>
      </w:r>
      <w:r w:rsidR="00C30E2A">
        <w:t xml:space="preserve">, </w:t>
      </w:r>
      <w:r w:rsidR="00755B9A">
        <w:t>publishing guidance material</w:t>
      </w:r>
      <w:r w:rsidR="005D63B0" w:rsidRPr="005D63B0">
        <w:t xml:space="preserve"> </w:t>
      </w:r>
      <w:r w:rsidR="00755B9A">
        <w:t>(</w:t>
      </w:r>
      <w:r w:rsidR="00A630C1">
        <w:t>such as</w:t>
      </w:r>
      <w:r w:rsidR="005D63B0" w:rsidRPr="005D63B0">
        <w:t xml:space="preserve"> guidelines, </w:t>
      </w:r>
      <w:r w:rsidR="000D0AE4" w:rsidRPr="005D63B0">
        <w:t>factsheets,</w:t>
      </w:r>
      <w:r w:rsidR="00634AAD">
        <w:t xml:space="preserve"> and tutorial </w:t>
      </w:r>
      <w:r w:rsidR="00634AAD" w:rsidRPr="005E33F0">
        <w:t>videos</w:t>
      </w:r>
      <w:r w:rsidR="00755B9A" w:rsidRPr="005E33F0">
        <w:t>)</w:t>
      </w:r>
      <w:r w:rsidR="005D63B0" w:rsidRPr="005E33F0">
        <w:t xml:space="preserve"> and performance statistics </w:t>
      </w:r>
      <w:r w:rsidR="004E4236" w:rsidRPr="005E33F0">
        <w:t>in</w:t>
      </w:r>
      <w:r w:rsidR="004E4236">
        <w:t xml:space="preserve"> </w:t>
      </w:r>
      <w:r>
        <w:t>its</w:t>
      </w:r>
      <w:r w:rsidRPr="005D63B0">
        <w:t xml:space="preserve"> </w:t>
      </w:r>
      <w:r w:rsidR="004E4236">
        <w:t>annual reporting</w:t>
      </w:r>
      <w:r w:rsidR="005D63B0" w:rsidRPr="005D63B0">
        <w:t xml:space="preserve">. Regular contact </w:t>
      </w:r>
      <w:r w:rsidR="00755B9A">
        <w:t xml:space="preserve">with </w:t>
      </w:r>
      <w:r w:rsidR="00E06226">
        <w:t>titleholders</w:t>
      </w:r>
      <w:r w:rsidR="00755B9A">
        <w:t xml:space="preserve"> </w:t>
      </w:r>
      <w:r w:rsidR="005D63B0" w:rsidRPr="005D63B0">
        <w:t>helps to build a shared understanding of issues and provides opportunit</w:t>
      </w:r>
      <w:r w:rsidR="00755B9A">
        <w:t>y</w:t>
      </w:r>
      <w:r w:rsidR="005D63B0" w:rsidRPr="005D63B0">
        <w:t xml:space="preserve"> to raise</w:t>
      </w:r>
      <w:r w:rsidR="00755B9A">
        <w:t>, clarify or address</w:t>
      </w:r>
      <w:r w:rsidR="005D63B0" w:rsidRPr="005D63B0">
        <w:t xml:space="preserve"> </w:t>
      </w:r>
      <w:r w:rsidR="00755B9A">
        <w:t>concerns as they arise</w:t>
      </w:r>
      <w:r w:rsidR="005D63B0" w:rsidRPr="005D63B0">
        <w:t xml:space="preserve">. </w:t>
      </w:r>
    </w:p>
    <w:p w14:paraId="0A913AE8" w14:textId="77777777" w:rsidR="006F6665" w:rsidRPr="00B138B1" w:rsidRDefault="006F6665" w:rsidP="00C3530A">
      <w:pPr>
        <w:spacing w:line="240" w:lineRule="auto"/>
        <w:rPr>
          <w:b/>
        </w:rPr>
      </w:pPr>
      <w:bookmarkStart w:id="30" w:name="_Toc497215475"/>
      <w:r w:rsidRPr="00B138B1">
        <w:rPr>
          <w:b/>
        </w:rPr>
        <w:t>Results</w:t>
      </w:r>
      <w:bookmarkEnd w:id="30"/>
      <w:r w:rsidR="004821E4" w:rsidRPr="00B138B1">
        <w:rPr>
          <w:b/>
        </w:rPr>
        <w:t xml:space="preserve">: </w:t>
      </w:r>
      <w:r w:rsidR="004821E4" w:rsidRPr="00B138B1">
        <w:rPr>
          <w:b/>
        </w:rPr>
        <w:tab/>
      </w:r>
      <w:r w:rsidR="004821E4" w:rsidRPr="00B138B1">
        <w:rPr>
          <w:b/>
        </w:rPr>
        <w:fldChar w:fldCharType="begin">
          <w:ffData>
            <w:name w:val="Check1"/>
            <w:enabled/>
            <w:calcOnExit w:val="0"/>
            <w:checkBox>
              <w:sizeAuto/>
              <w:default w:val="1"/>
            </w:checkBox>
          </w:ffData>
        </w:fldChar>
      </w:r>
      <w:r w:rsidR="004821E4" w:rsidRPr="00B138B1">
        <w:rPr>
          <w:b/>
        </w:rPr>
        <w:instrText xml:space="preserve"> FORMCHECKBOX </w:instrText>
      </w:r>
      <w:r w:rsidR="003D2B46">
        <w:rPr>
          <w:b/>
        </w:rPr>
      </w:r>
      <w:r w:rsidR="003D2B46">
        <w:rPr>
          <w:b/>
        </w:rPr>
        <w:fldChar w:fldCharType="separate"/>
      </w:r>
      <w:r w:rsidR="004821E4" w:rsidRPr="00B138B1">
        <w:rPr>
          <w:b/>
        </w:rPr>
        <w:fldChar w:fldCharType="end"/>
      </w:r>
      <w:r w:rsidR="004821E4" w:rsidRPr="00B138B1">
        <w:rPr>
          <w:b/>
        </w:rPr>
        <w:t xml:space="preserve"> Met</w:t>
      </w:r>
      <w:r w:rsidR="004821E4" w:rsidRPr="00B138B1">
        <w:rPr>
          <w:b/>
        </w:rPr>
        <w:tab/>
      </w:r>
      <w:r w:rsidR="004821E4" w:rsidRPr="00B138B1">
        <w:rPr>
          <w:b/>
        </w:rPr>
        <w:tab/>
      </w:r>
      <w:r w:rsidR="004821E4" w:rsidRPr="00B138B1">
        <w:rPr>
          <w:b/>
        </w:rPr>
        <w:fldChar w:fldCharType="begin">
          <w:ffData>
            <w:name w:val="Check2"/>
            <w:enabled/>
            <w:calcOnExit w:val="0"/>
            <w:checkBox>
              <w:sizeAuto/>
              <w:default w:val="0"/>
            </w:checkBox>
          </w:ffData>
        </w:fldChar>
      </w:r>
      <w:r w:rsidR="004821E4" w:rsidRPr="00B138B1">
        <w:rPr>
          <w:b/>
        </w:rPr>
        <w:instrText xml:space="preserve"> FORMCHECKBOX </w:instrText>
      </w:r>
      <w:r w:rsidR="003D2B46">
        <w:rPr>
          <w:b/>
        </w:rPr>
      </w:r>
      <w:r w:rsidR="003D2B46">
        <w:rPr>
          <w:b/>
        </w:rPr>
        <w:fldChar w:fldCharType="separate"/>
      </w:r>
      <w:r w:rsidR="004821E4" w:rsidRPr="00B138B1">
        <w:rPr>
          <w:b/>
        </w:rPr>
        <w:fldChar w:fldCharType="end"/>
      </w:r>
      <w:r w:rsidR="004821E4" w:rsidRPr="00B138B1">
        <w:rPr>
          <w:b/>
        </w:rPr>
        <w:t xml:space="preserve"> Partially Met</w:t>
      </w:r>
      <w:r w:rsidR="004821E4" w:rsidRPr="00B138B1">
        <w:rPr>
          <w:b/>
        </w:rPr>
        <w:tab/>
      </w:r>
      <w:r w:rsidR="004821E4" w:rsidRPr="00B138B1">
        <w:rPr>
          <w:b/>
        </w:rPr>
        <w:fldChar w:fldCharType="begin">
          <w:ffData>
            <w:name w:val="Check3"/>
            <w:enabled/>
            <w:calcOnExit w:val="0"/>
            <w:checkBox>
              <w:sizeAuto/>
              <w:default w:val="0"/>
            </w:checkBox>
          </w:ffData>
        </w:fldChar>
      </w:r>
      <w:r w:rsidR="004821E4" w:rsidRPr="00B138B1">
        <w:rPr>
          <w:b/>
        </w:rPr>
        <w:instrText xml:space="preserve"> FORMCHECKBOX </w:instrText>
      </w:r>
      <w:r w:rsidR="003D2B46">
        <w:rPr>
          <w:b/>
        </w:rPr>
      </w:r>
      <w:r w:rsidR="003D2B46">
        <w:rPr>
          <w:b/>
        </w:rPr>
        <w:fldChar w:fldCharType="separate"/>
      </w:r>
      <w:r w:rsidR="004821E4" w:rsidRPr="00B138B1">
        <w:rPr>
          <w:b/>
        </w:rPr>
        <w:fldChar w:fldCharType="end"/>
      </w:r>
      <w:r w:rsidR="004821E4" w:rsidRPr="00B138B1">
        <w:rPr>
          <w:b/>
        </w:rPr>
        <w:t xml:space="preserve"> Not Met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814E71" w14:paraId="526EB7B0" w14:textId="77777777" w:rsidTr="00A008EB">
        <w:tc>
          <w:tcPr>
            <w:tcW w:w="9016" w:type="dxa"/>
            <w:shd w:val="clear" w:color="auto" w:fill="F2F2F2" w:themeFill="background1" w:themeFillShade="F2"/>
          </w:tcPr>
          <w:p w14:paraId="008D93E0" w14:textId="59CA16B7" w:rsidR="00814E71" w:rsidRDefault="00A008EB" w:rsidP="00C3530A">
            <w:r w:rsidRPr="00E84598">
              <w:rPr>
                <w:i/>
              </w:rPr>
              <w:t xml:space="preserve">NOPTA assesses that it has met KPI </w:t>
            </w:r>
            <w:r>
              <w:rPr>
                <w:i/>
              </w:rPr>
              <w:t xml:space="preserve">2. </w:t>
            </w:r>
            <w:r w:rsidR="005E570D" w:rsidRPr="005E570D">
              <w:rPr>
                <w:i/>
              </w:rPr>
              <w:t xml:space="preserve">NOPTA has maintained a strong focus on clear, </w:t>
            </w:r>
            <w:r w:rsidR="000D0AE4" w:rsidRPr="005E570D">
              <w:rPr>
                <w:i/>
              </w:rPr>
              <w:t>targeted,</w:t>
            </w:r>
            <w:r w:rsidR="005E570D" w:rsidRPr="005E570D">
              <w:rPr>
                <w:i/>
              </w:rPr>
              <w:t xml:space="preserve"> and effective communication with its stakeholders. This supports compliance, regulatory </w:t>
            </w:r>
            <w:r w:rsidR="000D0AE4" w:rsidRPr="005E570D">
              <w:rPr>
                <w:i/>
              </w:rPr>
              <w:t>feedback,</w:t>
            </w:r>
            <w:r w:rsidR="005E570D" w:rsidRPr="005E570D">
              <w:rPr>
                <w:i/>
              </w:rPr>
              <w:t xml:space="preserve"> and continuous improvement.</w:t>
            </w:r>
          </w:p>
        </w:tc>
      </w:tr>
    </w:tbl>
    <w:p w14:paraId="7C89C76E" w14:textId="77777777" w:rsidR="00814E71" w:rsidRPr="00814E71" w:rsidRDefault="00814E71" w:rsidP="00C3530A">
      <w:pPr>
        <w:spacing w:after="0" w:line="240" w:lineRule="auto"/>
      </w:pPr>
    </w:p>
    <w:p w14:paraId="4D7BBAA9" w14:textId="5824124E" w:rsidR="00B222D8" w:rsidRPr="004E1701" w:rsidRDefault="00B222D8" w:rsidP="003C2641">
      <w:pPr>
        <w:spacing w:after="120"/>
        <w:rPr>
          <w:bCs/>
        </w:rPr>
      </w:pPr>
      <w:bookmarkStart w:id="31" w:name="_Toc497215476"/>
      <w:r>
        <w:rPr>
          <w:bCs/>
        </w:rPr>
        <w:t>During 2019-20</w:t>
      </w:r>
      <w:r w:rsidR="00E25F1A">
        <w:rPr>
          <w:bCs/>
        </w:rPr>
        <w:t>, NOPTA</w:t>
      </w:r>
      <w:r>
        <w:rPr>
          <w:bCs/>
        </w:rPr>
        <w:t>:</w:t>
      </w:r>
    </w:p>
    <w:p w14:paraId="2358305F" w14:textId="47D5D6AB" w:rsidR="009C6FD7" w:rsidRPr="000D7A1B" w:rsidRDefault="009C6FD7" w:rsidP="009C6FD7">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Pr>
          <w:rFonts w:asciiTheme="minorHAnsi" w:hAnsiTheme="minorHAnsi" w:cstheme="minorHAnsi"/>
          <w:color w:val="auto"/>
          <w:sz w:val="22"/>
          <w:szCs w:val="22"/>
        </w:rPr>
        <w:t>P</w:t>
      </w:r>
      <w:r w:rsidRPr="000D7A1B">
        <w:rPr>
          <w:rFonts w:asciiTheme="minorHAnsi" w:hAnsiTheme="minorHAnsi" w:cstheme="minorHAnsi"/>
          <w:color w:val="auto"/>
          <w:sz w:val="22"/>
          <w:szCs w:val="22"/>
        </w:rPr>
        <w:t xml:space="preserve">ublished its 2020-2023 strategic plan. The plan focusses on priorities aimed at supporting the effective regulation of Australia’s offshore oil and gas resources through improved analysis of data and information, greater collaboration with industry, and better internal compliance activities to continually improve NOPTA’s performance. </w:t>
      </w:r>
    </w:p>
    <w:p w14:paraId="09446E3A" w14:textId="77777777" w:rsidR="009C6FD7" w:rsidRPr="000D7A1B" w:rsidRDefault="009C6FD7" w:rsidP="009C6FD7">
      <w:pPr>
        <w:pStyle w:val="ListParagraph"/>
        <w:numPr>
          <w:ilvl w:val="0"/>
          <w:numId w:val="5"/>
        </w:numPr>
        <w:spacing w:before="0" w:after="120"/>
        <w:ind w:left="851" w:hanging="425"/>
        <w:contextualSpacing w:val="0"/>
        <w:rPr>
          <w:rFonts w:asciiTheme="minorHAnsi" w:hAnsiTheme="minorHAnsi" w:cstheme="minorHAnsi"/>
          <w:color w:val="auto"/>
          <w:sz w:val="22"/>
          <w:szCs w:val="22"/>
        </w:rPr>
      </w:pPr>
      <w:r w:rsidRPr="000D7A1B">
        <w:rPr>
          <w:rFonts w:asciiTheme="minorHAnsi" w:hAnsiTheme="minorHAnsi" w:cstheme="minorHAnsi"/>
          <w:color w:val="auto"/>
          <w:sz w:val="22"/>
          <w:szCs w:val="22"/>
        </w:rPr>
        <w:t>The strategic plan operationalises the department’s Corporate Plan in relation to NOPTA’s functions and is supported by a comprehensive internal implementation plan.</w:t>
      </w:r>
    </w:p>
    <w:p w14:paraId="21456603" w14:textId="77777777" w:rsidR="009C6FD7" w:rsidRPr="000D7A1B" w:rsidRDefault="009C6FD7" w:rsidP="009C6FD7">
      <w:pPr>
        <w:pStyle w:val="ListParagraph"/>
        <w:numPr>
          <w:ilvl w:val="0"/>
          <w:numId w:val="5"/>
        </w:numPr>
        <w:spacing w:before="0" w:after="120"/>
        <w:ind w:left="851" w:hanging="425"/>
        <w:contextualSpacing w:val="0"/>
        <w:rPr>
          <w:rFonts w:asciiTheme="minorHAnsi" w:hAnsiTheme="minorHAnsi" w:cstheme="minorHAnsi"/>
          <w:color w:val="auto"/>
          <w:sz w:val="22"/>
          <w:szCs w:val="22"/>
        </w:rPr>
      </w:pPr>
      <w:r w:rsidRPr="000D7A1B">
        <w:rPr>
          <w:rFonts w:asciiTheme="minorHAnsi" w:hAnsiTheme="minorHAnsi" w:cstheme="minorHAnsi"/>
          <w:color w:val="auto"/>
          <w:sz w:val="22"/>
          <w:szCs w:val="22"/>
        </w:rPr>
        <w:t>NOPTA report</w:t>
      </w:r>
      <w:r>
        <w:rPr>
          <w:rFonts w:asciiTheme="minorHAnsi" w:hAnsiTheme="minorHAnsi" w:cstheme="minorHAnsi"/>
          <w:color w:val="auto"/>
          <w:sz w:val="22"/>
          <w:szCs w:val="22"/>
        </w:rPr>
        <w:t>s</w:t>
      </w:r>
      <w:r w:rsidRPr="000D7A1B">
        <w:rPr>
          <w:rFonts w:asciiTheme="minorHAnsi" w:hAnsiTheme="minorHAnsi" w:cstheme="minorHAnsi"/>
          <w:color w:val="auto"/>
          <w:sz w:val="22"/>
          <w:szCs w:val="22"/>
        </w:rPr>
        <w:t xml:space="preserve"> progress in achieving its objectives in its annual report, RPF self-assessment and other media as required. </w:t>
      </w:r>
    </w:p>
    <w:p w14:paraId="31B0EA42" w14:textId="1F5D426A" w:rsidR="00CC6872" w:rsidRPr="00274BCB" w:rsidRDefault="009B6917" w:rsidP="00574EC4">
      <w:pPr>
        <w:pStyle w:val="ListParagraph"/>
        <w:numPr>
          <w:ilvl w:val="0"/>
          <w:numId w:val="2"/>
        </w:numPr>
        <w:spacing w:before="0" w:after="120"/>
        <w:ind w:left="426" w:hanging="426"/>
        <w:contextualSpacing w:val="0"/>
        <w:rPr>
          <w:rFonts w:asciiTheme="minorHAnsi" w:hAnsiTheme="minorHAnsi"/>
          <w:bCs/>
          <w:color w:val="auto"/>
          <w:sz w:val="22"/>
          <w:szCs w:val="22"/>
        </w:rPr>
      </w:pPr>
      <w:r>
        <w:rPr>
          <w:rFonts w:asciiTheme="minorHAnsi" w:hAnsiTheme="minorHAnsi"/>
          <w:bCs/>
          <w:color w:val="auto"/>
          <w:sz w:val="22"/>
          <w:szCs w:val="22"/>
        </w:rPr>
        <w:t>H</w:t>
      </w:r>
      <w:r w:rsidR="00CC6872" w:rsidRPr="00516104">
        <w:rPr>
          <w:rFonts w:asciiTheme="minorHAnsi" w:hAnsiTheme="minorHAnsi"/>
          <w:bCs/>
          <w:color w:val="auto"/>
          <w:sz w:val="22"/>
          <w:szCs w:val="22"/>
        </w:rPr>
        <w:t xml:space="preserve">eld </w:t>
      </w:r>
      <w:r w:rsidR="00B101EC">
        <w:rPr>
          <w:rFonts w:asciiTheme="minorHAnsi" w:hAnsiTheme="minorHAnsi"/>
          <w:bCs/>
          <w:color w:val="auto"/>
          <w:sz w:val="22"/>
          <w:szCs w:val="22"/>
        </w:rPr>
        <w:t>214 titleholder</w:t>
      </w:r>
      <w:r w:rsidR="00CC6872" w:rsidRPr="00516104">
        <w:rPr>
          <w:rFonts w:asciiTheme="minorHAnsi" w:hAnsiTheme="minorHAnsi"/>
          <w:bCs/>
          <w:color w:val="auto"/>
          <w:sz w:val="22"/>
          <w:szCs w:val="22"/>
        </w:rPr>
        <w:t xml:space="preserve"> meetings</w:t>
      </w:r>
      <w:r w:rsidR="00B101EC">
        <w:rPr>
          <w:rFonts w:asciiTheme="minorHAnsi" w:hAnsiTheme="minorHAnsi"/>
          <w:bCs/>
          <w:color w:val="auto"/>
          <w:sz w:val="22"/>
          <w:szCs w:val="22"/>
        </w:rPr>
        <w:t>, 264 government meetings, 40 international regulator meetings, and 58 ‘other’ stakeholder meetings (total 576)</w:t>
      </w:r>
      <w:r w:rsidR="00CC6872" w:rsidRPr="00516104">
        <w:rPr>
          <w:rFonts w:asciiTheme="minorHAnsi" w:hAnsiTheme="minorHAnsi"/>
          <w:bCs/>
          <w:color w:val="auto"/>
          <w:sz w:val="22"/>
          <w:szCs w:val="22"/>
        </w:rPr>
        <w:t>.</w:t>
      </w:r>
      <w:r w:rsidR="00CC6872" w:rsidRPr="00274BCB">
        <w:rPr>
          <w:rFonts w:asciiTheme="minorHAnsi" w:hAnsiTheme="minorHAnsi"/>
          <w:bCs/>
          <w:color w:val="auto"/>
          <w:sz w:val="22"/>
          <w:szCs w:val="22"/>
        </w:rPr>
        <w:t xml:space="preserve"> </w:t>
      </w:r>
      <w:r w:rsidR="00CC6872">
        <w:rPr>
          <w:rFonts w:asciiTheme="minorHAnsi" w:hAnsiTheme="minorHAnsi"/>
          <w:bCs/>
          <w:color w:val="auto"/>
          <w:sz w:val="22"/>
          <w:szCs w:val="22"/>
        </w:rPr>
        <w:t xml:space="preserve">These meetings addressed a range of matters, including </w:t>
      </w:r>
      <w:r w:rsidR="00CC6872" w:rsidRPr="00274BCB">
        <w:rPr>
          <w:rFonts w:asciiTheme="minorHAnsi" w:hAnsiTheme="minorHAnsi"/>
          <w:bCs/>
          <w:color w:val="auto"/>
          <w:sz w:val="22"/>
          <w:szCs w:val="22"/>
        </w:rPr>
        <w:t>clarif</w:t>
      </w:r>
      <w:r w:rsidR="00CC6872">
        <w:rPr>
          <w:rFonts w:asciiTheme="minorHAnsi" w:hAnsiTheme="minorHAnsi"/>
          <w:bCs/>
          <w:color w:val="auto"/>
          <w:sz w:val="22"/>
          <w:szCs w:val="22"/>
        </w:rPr>
        <w:t>ying</w:t>
      </w:r>
      <w:r w:rsidR="00CC6872" w:rsidRPr="00274BCB">
        <w:rPr>
          <w:rFonts w:asciiTheme="minorHAnsi" w:hAnsiTheme="minorHAnsi"/>
          <w:bCs/>
          <w:color w:val="auto"/>
          <w:sz w:val="22"/>
          <w:szCs w:val="22"/>
        </w:rPr>
        <w:t xml:space="preserve"> the legislative framework, applications</w:t>
      </w:r>
      <w:r w:rsidR="00CC6872">
        <w:rPr>
          <w:rFonts w:asciiTheme="minorHAnsi" w:hAnsiTheme="minorHAnsi"/>
          <w:bCs/>
          <w:color w:val="auto"/>
          <w:sz w:val="22"/>
          <w:szCs w:val="22"/>
        </w:rPr>
        <w:t xml:space="preserve"> </w:t>
      </w:r>
      <w:r w:rsidR="00552024">
        <w:rPr>
          <w:rFonts w:asciiTheme="minorHAnsi" w:hAnsiTheme="minorHAnsi"/>
          <w:bCs/>
          <w:color w:val="auto"/>
          <w:sz w:val="22"/>
          <w:szCs w:val="22"/>
        </w:rPr>
        <w:t>(and</w:t>
      </w:r>
      <w:r w:rsidR="00CC6872" w:rsidRPr="00274BCB">
        <w:rPr>
          <w:rFonts w:asciiTheme="minorHAnsi" w:hAnsiTheme="minorHAnsi"/>
          <w:bCs/>
          <w:color w:val="auto"/>
          <w:sz w:val="22"/>
          <w:szCs w:val="22"/>
        </w:rPr>
        <w:t xml:space="preserve"> </w:t>
      </w:r>
      <w:r w:rsidR="00552024">
        <w:rPr>
          <w:rFonts w:asciiTheme="minorHAnsi" w:hAnsiTheme="minorHAnsi"/>
          <w:bCs/>
          <w:color w:val="auto"/>
          <w:sz w:val="22"/>
          <w:szCs w:val="22"/>
        </w:rPr>
        <w:t>request for information requests)</w:t>
      </w:r>
      <w:r w:rsidR="00CC6872" w:rsidRPr="00274BCB">
        <w:rPr>
          <w:rFonts w:asciiTheme="minorHAnsi" w:hAnsiTheme="minorHAnsi"/>
          <w:bCs/>
          <w:color w:val="auto"/>
          <w:sz w:val="22"/>
          <w:szCs w:val="22"/>
        </w:rPr>
        <w:t xml:space="preserve">, </w:t>
      </w:r>
      <w:r w:rsidR="00552024">
        <w:rPr>
          <w:rFonts w:asciiTheme="minorHAnsi" w:hAnsiTheme="minorHAnsi"/>
          <w:bCs/>
          <w:color w:val="auto"/>
          <w:sz w:val="22"/>
          <w:szCs w:val="22"/>
        </w:rPr>
        <w:t xml:space="preserve">operator </w:t>
      </w:r>
      <w:r w:rsidR="00CC6872" w:rsidRPr="00274BCB">
        <w:rPr>
          <w:rFonts w:asciiTheme="minorHAnsi" w:hAnsiTheme="minorHAnsi"/>
          <w:bCs/>
          <w:color w:val="auto"/>
          <w:sz w:val="22"/>
          <w:szCs w:val="22"/>
        </w:rPr>
        <w:t xml:space="preserve">field performance updates, </w:t>
      </w:r>
      <w:r w:rsidR="00CC6872">
        <w:rPr>
          <w:rFonts w:asciiTheme="minorHAnsi" w:hAnsiTheme="minorHAnsi"/>
          <w:bCs/>
          <w:color w:val="auto"/>
          <w:sz w:val="22"/>
          <w:szCs w:val="22"/>
        </w:rPr>
        <w:t>as well as matters relating to</w:t>
      </w:r>
      <w:r w:rsidR="00CC6872" w:rsidRPr="00274BCB">
        <w:rPr>
          <w:rFonts w:asciiTheme="minorHAnsi" w:hAnsiTheme="minorHAnsi"/>
          <w:bCs/>
          <w:color w:val="auto"/>
          <w:sz w:val="22"/>
          <w:szCs w:val="22"/>
        </w:rPr>
        <w:t xml:space="preserve"> compliance</w:t>
      </w:r>
      <w:r w:rsidR="00CC6872">
        <w:rPr>
          <w:rFonts w:asciiTheme="minorHAnsi" w:hAnsiTheme="minorHAnsi"/>
          <w:bCs/>
          <w:color w:val="auto"/>
          <w:sz w:val="22"/>
          <w:szCs w:val="22"/>
        </w:rPr>
        <w:t xml:space="preserve"> and</w:t>
      </w:r>
      <w:r w:rsidR="00CC6872" w:rsidRPr="00274BCB">
        <w:rPr>
          <w:rFonts w:asciiTheme="minorHAnsi" w:hAnsiTheme="minorHAnsi"/>
          <w:bCs/>
          <w:color w:val="auto"/>
          <w:sz w:val="22"/>
          <w:szCs w:val="22"/>
        </w:rPr>
        <w:t xml:space="preserve"> data management requests. </w:t>
      </w:r>
      <w:r w:rsidR="00552024">
        <w:rPr>
          <w:rFonts w:asciiTheme="minorHAnsi" w:hAnsiTheme="minorHAnsi"/>
          <w:bCs/>
          <w:color w:val="auto"/>
          <w:sz w:val="22"/>
          <w:szCs w:val="22"/>
        </w:rPr>
        <w:t>These meetings were a mix of face-to-face, video and phone conferences and where at the request of both NOPTA and industry.</w:t>
      </w:r>
    </w:p>
    <w:p w14:paraId="4EA71B3E" w14:textId="740532FF" w:rsidR="005921F8" w:rsidRDefault="00C951FC" w:rsidP="00574EC4">
      <w:pPr>
        <w:pStyle w:val="ListParagraph"/>
        <w:numPr>
          <w:ilvl w:val="0"/>
          <w:numId w:val="2"/>
        </w:numPr>
        <w:spacing w:before="0" w:after="120"/>
        <w:ind w:left="426" w:hanging="426"/>
        <w:contextualSpacing w:val="0"/>
        <w:rPr>
          <w:rFonts w:asciiTheme="minorHAnsi" w:hAnsiTheme="minorHAnsi"/>
          <w:bCs/>
          <w:color w:val="auto"/>
          <w:sz w:val="22"/>
          <w:szCs w:val="22"/>
        </w:rPr>
      </w:pPr>
      <w:r>
        <w:rPr>
          <w:rFonts w:asciiTheme="minorHAnsi" w:hAnsiTheme="minorHAnsi"/>
          <w:bCs/>
          <w:color w:val="auto"/>
          <w:sz w:val="22"/>
          <w:szCs w:val="22"/>
        </w:rPr>
        <w:t>C</w:t>
      </w:r>
      <w:r w:rsidR="00C04DA0" w:rsidRPr="005F06D4">
        <w:rPr>
          <w:rFonts w:asciiTheme="minorHAnsi" w:hAnsiTheme="minorHAnsi"/>
          <w:bCs/>
          <w:color w:val="auto"/>
          <w:sz w:val="22"/>
          <w:szCs w:val="22"/>
        </w:rPr>
        <w:t xml:space="preserve">ommenced a broad review of internal application assessment templates to better streamline </w:t>
      </w:r>
      <w:r w:rsidR="007C3696">
        <w:rPr>
          <w:rFonts w:asciiTheme="minorHAnsi" w:hAnsiTheme="minorHAnsi"/>
          <w:bCs/>
          <w:color w:val="auto"/>
          <w:sz w:val="22"/>
          <w:szCs w:val="22"/>
        </w:rPr>
        <w:t>and improve</w:t>
      </w:r>
      <w:r w:rsidR="00A560EA">
        <w:rPr>
          <w:rFonts w:asciiTheme="minorHAnsi" w:hAnsiTheme="minorHAnsi"/>
          <w:bCs/>
          <w:color w:val="auto"/>
          <w:sz w:val="22"/>
          <w:szCs w:val="22"/>
        </w:rPr>
        <w:t xml:space="preserve"> the transparency of </w:t>
      </w:r>
      <w:r w:rsidR="00C04DA0" w:rsidRPr="005F06D4">
        <w:rPr>
          <w:rFonts w:asciiTheme="minorHAnsi" w:hAnsiTheme="minorHAnsi"/>
          <w:bCs/>
          <w:color w:val="auto"/>
          <w:sz w:val="22"/>
          <w:szCs w:val="22"/>
        </w:rPr>
        <w:t>advice and recommendations to the Joint Authority.</w:t>
      </w:r>
      <w:r w:rsidR="00A560EA">
        <w:rPr>
          <w:rFonts w:asciiTheme="minorHAnsi" w:hAnsiTheme="minorHAnsi"/>
          <w:bCs/>
          <w:color w:val="auto"/>
          <w:sz w:val="22"/>
          <w:szCs w:val="22"/>
        </w:rPr>
        <w:t xml:space="preserve"> </w:t>
      </w:r>
    </w:p>
    <w:p w14:paraId="7AF4108D" w14:textId="3F1E74E8" w:rsidR="00514E54" w:rsidRPr="00514E54" w:rsidRDefault="00B67251" w:rsidP="00574EC4">
      <w:pPr>
        <w:pStyle w:val="ListParagraph"/>
        <w:numPr>
          <w:ilvl w:val="0"/>
          <w:numId w:val="2"/>
        </w:numPr>
        <w:spacing w:before="0" w:after="120"/>
        <w:ind w:left="426" w:hanging="426"/>
        <w:contextualSpacing w:val="0"/>
        <w:rPr>
          <w:rFonts w:asciiTheme="minorHAnsi" w:hAnsiTheme="minorHAnsi"/>
          <w:bCs/>
          <w:color w:val="auto"/>
          <w:sz w:val="22"/>
          <w:szCs w:val="22"/>
        </w:rPr>
      </w:pPr>
      <w:r>
        <w:rPr>
          <w:rFonts w:asciiTheme="minorHAnsi" w:hAnsiTheme="minorHAnsi"/>
          <w:bCs/>
          <w:color w:val="auto"/>
          <w:sz w:val="22"/>
          <w:szCs w:val="22"/>
        </w:rPr>
        <w:t>Consistent with views</w:t>
      </w:r>
      <w:r w:rsidR="008F738A">
        <w:rPr>
          <w:rFonts w:asciiTheme="minorHAnsi" w:hAnsiTheme="minorHAnsi"/>
          <w:bCs/>
          <w:color w:val="auto"/>
          <w:sz w:val="22"/>
          <w:szCs w:val="22"/>
        </w:rPr>
        <w:t xml:space="preserve"> received in the 2019 stakeholder survey</w:t>
      </w:r>
      <w:r>
        <w:rPr>
          <w:rFonts w:asciiTheme="minorHAnsi" w:hAnsiTheme="minorHAnsi"/>
          <w:bCs/>
          <w:color w:val="auto"/>
          <w:sz w:val="22"/>
          <w:szCs w:val="22"/>
        </w:rPr>
        <w:t xml:space="preserve">, </w:t>
      </w:r>
      <w:r w:rsidR="009B6917">
        <w:rPr>
          <w:rFonts w:asciiTheme="minorHAnsi" w:hAnsiTheme="minorHAnsi"/>
          <w:bCs/>
          <w:color w:val="auto"/>
          <w:sz w:val="22"/>
          <w:szCs w:val="22"/>
        </w:rPr>
        <w:t xml:space="preserve">continued to </w:t>
      </w:r>
      <w:r w:rsidRPr="00B67251">
        <w:rPr>
          <w:rFonts w:asciiTheme="minorHAnsi" w:hAnsiTheme="minorHAnsi"/>
          <w:bCs/>
          <w:color w:val="auto"/>
          <w:sz w:val="22"/>
          <w:szCs w:val="22"/>
        </w:rPr>
        <w:t xml:space="preserve">implement improvements to </w:t>
      </w:r>
      <w:r w:rsidR="008F738A">
        <w:rPr>
          <w:rFonts w:asciiTheme="minorHAnsi" w:hAnsiTheme="minorHAnsi"/>
          <w:bCs/>
          <w:color w:val="auto"/>
          <w:sz w:val="22"/>
          <w:szCs w:val="22"/>
        </w:rPr>
        <w:t xml:space="preserve">NEATS to help </w:t>
      </w:r>
      <w:r>
        <w:rPr>
          <w:rFonts w:asciiTheme="minorHAnsi" w:hAnsiTheme="minorHAnsi"/>
          <w:bCs/>
          <w:color w:val="auto"/>
          <w:sz w:val="22"/>
          <w:szCs w:val="22"/>
        </w:rPr>
        <w:t>stream</w:t>
      </w:r>
      <w:r w:rsidR="008F738A">
        <w:rPr>
          <w:rFonts w:asciiTheme="minorHAnsi" w:hAnsiTheme="minorHAnsi"/>
          <w:bCs/>
          <w:color w:val="auto"/>
          <w:sz w:val="22"/>
          <w:szCs w:val="22"/>
        </w:rPr>
        <w:t>line interactions with NOPTA</w:t>
      </w:r>
      <w:r>
        <w:rPr>
          <w:rFonts w:asciiTheme="minorHAnsi" w:hAnsiTheme="minorHAnsi"/>
          <w:bCs/>
          <w:color w:val="auto"/>
          <w:sz w:val="22"/>
          <w:szCs w:val="22"/>
        </w:rPr>
        <w:t>.</w:t>
      </w:r>
      <w:r w:rsidR="00382DC2">
        <w:rPr>
          <w:rFonts w:asciiTheme="minorHAnsi" w:hAnsiTheme="minorHAnsi"/>
          <w:bCs/>
          <w:color w:val="auto"/>
          <w:sz w:val="22"/>
          <w:szCs w:val="22"/>
        </w:rPr>
        <w:t xml:space="preserve"> The first stage of this work is to rebuild the NEATS website.</w:t>
      </w:r>
      <w:r>
        <w:rPr>
          <w:rFonts w:asciiTheme="minorHAnsi" w:hAnsiTheme="minorHAnsi"/>
          <w:bCs/>
          <w:color w:val="auto"/>
          <w:sz w:val="22"/>
          <w:szCs w:val="22"/>
        </w:rPr>
        <w:t xml:space="preserve"> In </w:t>
      </w:r>
      <w:r w:rsidR="008F738A">
        <w:rPr>
          <w:rFonts w:asciiTheme="minorHAnsi" w:hAnsiTheme="minorHAnsi"/>
          <w:bCs/>
          <w:color w:val="auto"/>
          <w:sz w:val="22"/>
          <w:szCs w:val="22"/>
        </w:rPr>
        <w:t>May</w:t>
      </w:r>
      <w:r>
        <w:rPr>
          <w:rFonts w:asciiTheme="minorHAnsi" w:hAnsiTheme="minorHAnsi"/>
          <w:bCs/>
          <w:color w:val="auto"/>
          <w:sz w:val="22"/>
          <w:szCs w:val="22"/>
        </w:rPr>
        <w:t xml:space="preserve"> 2020</w:t>
      </w:r>
      <w:r w:rsidR="00382DC2">
        <w:rPr>
          <w:rFonts w:asciiTheme="minorHAnsi" w:hAnsiTheme="minorHAnsi"/>
          <w:bCs/>
          <w:color w:val="auto"/>
          <w:sz w:val="22"/>
          <w:szCs w:val="22"/>
        </w:rPr>
        <w:t>, NOPTA</w:t>
      </w:r>
      <w:r>
        <w:rPr>
          <w:rFonts w:asciiTheme="minorHAnsi" w:hAnsiTheme="minorHAnsi"/>
          <w:bCs/>
          <w:color w:val="auto"/>
          <w:sz w:val="22"/>
          <w:szCs w:val="22"/>
        </w:rPr>
        <w:t xml:space="preserve"> </w:t>
      </w:r>
      <w:r w:rsidR="008F738A">
        <w:rPr>
          <w:rFonts w:asciiTheme="minorHAnsi" w:hAnsiTheme="minorHAnsi"/>
          <w:bCs/>
          <w:color w:val="auto"/>
          <w:sz w:val="22"/>
          <w:szCs w:val="22"/>
        </w:rPr>
        <w:t xml:space="preserve">formed an industry consultation </w:t>
      </w:r>
      <w:r w:rsidR="00382DC2">
        <w:rPr>
          <w:rFonts w:asciiTheme="minorHAnsi" w:hAnsiTheme="minorHAnsi"/>
          <w:bCs/>
          <w:color w:val="auto"/>
          <w:sz w:val="22"/>
          <w:szCs w:val="22"/>
        </w:rPr>
        <w:t xml:space="preserve">user group to ensure </w:t>
      </w:r>
      <w:r w:rsidR="00514E54" w:rsidRPr="00514E54">
        <w:rPr>
          <w:rFonts w:asciiTheme="minorHAnsi" w:hAnsiTheme="minorHAnsi"/>
          <w:bCs/>
          <w:color w:val="auto"/>
          <w:sz w:val="22"/>
          <w:szCs w:val="22"/>
        </w:rPr>
        <w:t>needs of our key stakeholders</w:t>
      </w:r>
      <w:r w:rsidR="00A67F57">
        <w:rPr>
          <w:rFonts w:asciiTheme="minorHAnsi" w:hAnsiTheme="minorHAnsi"/>
          <w:bCs/>
          <w:color w:val="auto"/>
          <w:sz w:val="22"/>
          <w:szCs w:val="22"/>
        </w:rPr>
        <w:t xml:space="preserve"> are met</w:t>
      </w:r>
      <w:r w:rsidR="002E2A5F">
        <w:rPr>
          <w:rFonts w:asciiTheme="minorHAnsi" w:hAnsiTheme="minorHAnsi"/>
          <w:bCs/>
          <w:color w:val="auto"/>
          <w:sz w:val="22"/>
          <w:szCs w:val="22"/>
        </w:rPr>
        <w:t xml:space="preserve"> (see KPI 1)</w:t>
      </w:r>
      <w:r w:rsidR="00514E54" w:rsidRPr="00514E54">
        <w:rPr>
          <w:rFonts w:asciiTheme="minorHAnsi" w:hAnsiTheme="minorHAnsi"/>
          <w:bCs/>
          <w:color w:val="auto"/>
          <w:sz w:val="22"/>
          <w:szCs w:val="22"/>
        </w:rPr>
        <w:t xml:space="preserve">. </w:t>
      </w:r>
    </w:p>
    <w:p w14:paraId="7C8D4519" w14:textId="0E5BD9C6" w:rsidR="00A97A65" w:rsidRDefault="00A97A65" w:rsidP="00574EC4">
      <w:pPr>
        <w:pStyle w:val="ListParagraph"/>
        <w:numPr>
          <w:ilvl w:val="0"/>
          <w:numId w:val="2"/>
        </w:numPr>
        <w:spacing w:before="0" w:after="120"/>
        <w:ind w:left="426" w:hanging="426"/>
        <w:contextualSpacing w:val="0"/>
        <w:rPr>
          <w:rFonts w:asciiTheme="minorHAnsi" w:hAnsiTheme="minorHAnsi"/>
          <w:bCs/>
          <w:color w:val="auto"/>
          <w:sz w:val="22"/>
          <w:szCs w:val="22"/>
        </w:rPr>
      </w:pPr>
      <w:r w:rsidRPr="00A97A65">
        <w:rPr>
          <w:rFonts w:asciiTheme="minorHAnsi" w:hAnsiTheme="minorHAnsi"/>
          <w:bCs/>
          <w:color w:val="auto"/>
          <w:sz w:val="22"/>
          <w:szCs w:val="22"/>
        </w:rPr>
        <w:t>Developed an enhanced engagement strategy for strategic communications with industry and government stakeholders.</w:t>
      </w:r>
    </w:p>
    <w:p w14:paraId="074325DF" w14:textId="4E1012F1" w:rsidR="001132A9" w:rsidRPr="00C026CC" w:rsidRDefault="00463C5D" w:rsidP="001132A9">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Pr>
          <w:rFonts w:asciiTheme="minorHAnsi" w:hAnsiTheme="minorHAnsi" w:cstheme="minorHAnsi"/>
          <w:color w:val="auto"/>
          <w:sz w:val="22"/>
          <w:szCs w:val="22"/>
        </w:rPr>
        <w:t>Replaced spreadsheets (</w:t>
      </w:r>
      <w:r w:rsidR="004D2931">
        <w:rPr>
          <w:rFonts w:asciiTheme="minorHAnsi" w:hAnsiTheme="minorHAnsi" w:cstheme="minorHAnsi"/>
          <w:color w:val="auto"/>
          <w:sz w:val="22"/>
          <w:szCs w:val="22"/>
        </w:rPr>
        <w:t>using</w:t>
      </w:r>
      <w:r>
        <w:rPr>
          <w:rFonts w:asciiTheme="minorHAnsi" w:hAnsiTheme="minorHAnsi" w:cstheme="minorHAnsi"/>
          <w:color w:val="auto"/>
          <w:sz w:val="22"/>
          <w:szCs w:val="22"/>
        </w:rPr>
        <w:t xml:space="preserve"> manual data entry) with </w:t>
      </w:r>
      <w:r w:rsidR="001132A9" w:rsidRPr="00C026CC">
        <w:rPr>
          <w:rFonts w:asciiTheme="minorHAnsi" w:hAnsiTheme="minorHAnsi" w:cstheme="minorHAnsi"/>
          <w:color w:val="auto"/>
          <w:sz w:val="22"/>
          <w:szCs w:val="22"/>
        </w:rPr>
        <w:t>a</w:t>
      </w:r>
      <w:r>
        <w:rPr>
          <w:rFonts w:asciiTheme="minorHAnsi" w:hAnsiTheme="minorHAnsi" w:cstheme="minorHAnsi"/>
          <w:color w:val="auto"/>
          <w:sz w:val="22"/>
          <w:szCs w:val="22"/>
        </w:rPr>
        <w:t>n</w:t>
      </w:r>
      <w:r w:rsidR="001132A9" w:rsidRPr="00C026CC">
        <w:rPr>
          <w:rFonts w:asciiTheme="minorHAnsi" w:hAnsiTheme="minorHAnsi" w:cstheme="minorHAnsi"/>
          <w:color w:val="auto"/>
          <w:sz w:val="22"/>
          <w:szCs w:val="22"/>
        </w:rPr>
        <w:t xml:space="preserve"> automated internal reporting dashboard, drawn from live data, to </w:t>
      </w:r>
      <w:r w:rsidR="004D2931">
        <w:rPr>
          <w:rFonts w:asciiTheme="minorHAnsi" w:hAnsiTheme="minorHAnsi" w:cstheme="minorHAnsi"/>
          <w:color w:val="auto"/>
          <w:sz w:val="22"/>
          <w:szCs w:val="22"/>
        </w:rPr>
        <w:t>discuss</w:t>
      </w:r>
      <w:r w:rsidR="001132A9" w:rsidRPr="00C026CC">
        <w:rPr>
          <w:rFonts w:asciiTheme="minorHAnsi" w:hAnsiTheme="minorHAnsi" w:cstheme="minorHAnsi"/>
          <w:color w:val="auto"/>
          <w:sz w:val="22"/>
          <w:szCs w:val="22"/>
        </w:rPr>
        <w:t xml:space="preserve"> application processing statistics, measure </w:t>
      </w:r>
      <w:r w:rsidR="001132A9">
        <w:rPr>
          <w:rFonts w:asciiTheme="minorHAnsi" w:hAnsiTheme="minorHAnsi" w:cstheme="minorHAnsi"/>
          <w:color w:val="auto"/>
          <w:sz w:val="22"/>
          <w:szCs w:val="22"/>
        </w:rPr>
        <w:t>performance</w:t>
      </w:r>
      <w:r w:rsidR="001132A9" w:rsidRPr="00C026CC">
        <w:rPr>
          <w:rFonts w:asciiTheme="minorHAnsi" w:hAnsiTheme="minorHAnsi" w:cstheme="minorHAnsi"/>
          <w:color w:val="auto"/>
          <w:sz w:val="22"/>
          <w:szCs w:val="22"/>
        </w:rPr>
        <w:t xml:space="preserve"> against the Joint Authority Protocol</w:t>
      </w:r>
      <w:r w:rsidR="001132A9">
        <w:rPr>
          <w:rFonts w:asciiTheme="minorHAnsi" w:hAnsiTheme="minorHAnsi" w:cstheme="minorHAnsi"/>
          <w:color w:val="auto"/>
          <w:sz w:val="22"/>
          <w:szCs w:val="22"/>
        </w:rPr>
        <w:t xml:space="preserve"> and internal timelines</w:t>
      </w:r>
      <w:r w:rsidR="001132A9" w:rsidRPr="00C026CC">
        <w:rPr>
          <w:rFonts w:asciiTheme="minorHAnsi" w:hAnsiTheme="minorHAnsi" w:cstheme="minorHAnsi"/>
          <w:color w:val="auto"/>
          <w:sz w:val="22"/>
          <w:szCs w:val="22"/>
        </w:rPr>
        <w:t>, and make improvement</w:t>
      </w:r>
      <w:r w:rsidR="001132A9">
        <w:rPr>
          <w:rFonts w:asciiTheme="minorHAnsi" w:hAnsiTheme="minorHAnsi" w:cstheme="minorHAnsi"/>
          <w:color w:val="auto"/>
          <w:sz w:val="22"/>
          <w:szCs w:val="22"/>
        </w:rPr>
        <w:t>s</w:t>
      </w:r>
      <w:r w:rsidR="001132A9" w:rsidRPr="00C026CC">
        <w:rPr>
          <w:rFonts w:asciiTheme="minorHAnsi" w:hAnsiTheme="minorHAnsi" w:cstheme="minorHAnsi"/>
          <w:color w:val="auto"/>
          <w:sz w:val="22"/>
          <w:szCs w:val="22"/>
        </w:rPr>
        <w:t xml:space="preserve"> to processes where warranted. Outcomes of these reports are published in the NOPTA Annual Report of Activities. </w:t>
      </w:r>
    </w:p>
    <w:p w14:paraId="66F3235E" w14:textId="7F0CA8D8" w:rsidR="000D0AE4" w:rsidRDefault="00C66BAF" w:rsidP="000D0AE4">
      <w:pPr>
        <w:pStyle w:val="ListParagraph"/>
        <w:numPr>
          <w:ilvl w:val="0"/>
          <w:numId w:val="2"/>
        </w:numPr>
        <w:spacing w:before="0" w:after="120"/>
        <w:ind w:left="426" w:hanging="426"/>
        <w:contextualSpacing w:val="0"/>
        <w:rPr>
          <w:rFonts w:asciiTheme="minorHAnsi" w:hAnsiTheme="minorHAnsi"/>
          <w:bCs/>
          <w:color w:val="auto"/>
          <w:sz w:val="22"/>
          <w:szCs w:val="22"/>
        </w:rPr>
      </w:pPr>
      <w:r w:rsidRPr="00DB1B40">
        <w:rPr>
          <w:rFonts w:asciiTheme="minorHAnsi" w:hAnsiTheme="minorHAnsi"/>
          <w:bCs/>
          <w:color w:val="auto"/>
          <w:sz w:val="22"/>
          <w:szCs w:val="22"/>
        </w:rPr>
        <w:t xml:space="preserve">Implemented a comprehensive internal </w:t>
      </w:r>
      <w:r w:rsidRPr="007610B5">
        <w:rPr>
          <w:rFonts w:asciiTheme="minorHAnsi" w:hAnsiTheme="minorHAnsi"/>
          <w:bCs/>
          <w:color w:val="auto"/>
          <w:sz w:val="22"/>
          <w:szCs w:val="22"/>
        </w:rPr>
        <w:t xml:space="preserve">lunch </w:t>
      </w:r>
      <w:r w:rsidR="000D0AE4">
        <w:rPr>
          <w:rFonts w:asciiTheme="minorHAnsi" w:hAnsiTheme="minorHAnsi"/>
          <w:bCs/>
          <w:color w:val="auto"/>
          <w:sz w:val="22"/>
          <w:szCs w:val="22"/>
        </w:rPr>
        <w:t>&amp;</w:t>
      </w:r>
      <w:r w:rsidRPr="007610B5">
        <w:rPr>
          <w:rFonts w:asciiTheme="minorHAnsi" w:hAnsiTheme="minorHAnsi"/>
          <w:bCs/>
          <w:color w:val="auto"/>
          <w:sz w:val="22"/>
          <w:szCs w:val="22"/>
        </w:rPr>
        <w:t xml:space="preserve"> learn program </w:t>
      </w:r>
      <w:r w:rsidR="00DB1B40" w:rsidRPr="00DB1B40">
        <w:rPr>
          <w:rFonts w:asciiTheme="minorHAnsi" w:hAnsiTheme="minorHAnsi"/>
          <w:bCs/>
          <w:color w:val="auto"/>
          <w:sz w:val="22"/>
          <w:szCs w:val="22"/>
        </w:rPr>
        <w:t>to improve communication between teams</w:t>
      </w:r>
      <w:r w:rsidR="007610B5">
        <w:rPr>
          <w:rFonts w:asciiTheme="minorHAnsi" w:hAnsiTheme="minorHAnsi"/>
          <w:bCs/>
          <w:color w:val="auto"/>
          <w:sz w:val="22"/>
          <w:szCs w:val="22"/>
        </w:rPr>
        <w:t>,</w:t>
      </w:r>
      <w:r w:rsidR="00DB1B40" w:rsidRPr="00DB1B40">
        <w:rPr>
          <w:rFonts w:asciiTheme="minorHAnsi" w:hAnsiTheme="minorHAnsi"/>
          <w:bCs/>
          <w:color w:val="auto"/>
          <w:sz w:val="22"/>
          <w:szCs w:val="22"/>
        </w:rPr>
        <w:t xml:space="preserve"> better understand emerging </w:t>
      </w:r>
      <w:r w:rsidR="007610B5">
        <w:rPr>
          <w:rFonts w:asciiTheme="minorHAnsi" w:hAnsiTheme="minorHAnsi"/>
          <w:bCs/>
          <w:color w:val="auto"/>
          <w:sz w:val="22"/>
          <w:szCs w:val="22"/>
        </w:rPr>
        <w:t xml:space="preserve">issues, </w:t>
      </w:r>
      <w:r w:rsidR="00FA54E5">
        <w:rPr>
          <w:rFonts w:asciiTheme="minorHAnsi" w:hAnsiTheme="minorHAnsi"/>
          <w:bCs/>
          <w:color w:val="auto"/>
          <w:sz w:val="22"/>
          <w:szCs w:val="22"/>
        </w:rPr>
        <w:t xml:space="preserve">discuss lessons learnt </w:t>
      </w:r>
      <w:r w:rsidR="000D0AE4">
        <w:rPr>
          <w:rFonts w:asciiTheme="minorHAnsi" w:hAnsiTheme="minorHAnsi"/>
          <w:bCs/>
          <w:color w:val="auto"/>
          <w:sz w:val="22"/>
          <w:szCs w:val="22"/>
        </w:rPr>
        <w:t xml:space="preserve">and </w:t>
      </w:r>
      <w:r w:rsidR="00DB1B40" w:rsidRPr="00DB1B40">
        <w:rPr>
          <w:rFonts w:asciiTheme="minorHAnsi" w:hAnsiTheme="minorHAnsi"/>
          <w:bCs/>
          <w:color w:val="auto"/>
          <w:sz w:val="22"/>
          <w:szCs w:val="22"/>
        </w:rPr>
        <w:t xml:space="preserve">ensure more effective analysis, advice and </w:t>
      </w:r>
      <w:r w:rsidR="000D0AE4" w:rsidRPr="00DB1B40">
        <w:rPr>
          <w:rFonts w:asciiTheme="minorHAnsi" w:hAnsiTheme="minorHAnsi"/>
          <w:bCs/>
          <w:color w:val="auto"/>
          <w:sz w:val="22"/>
          <w:szCs w:val="22"/>
        </w:rPr>
        <w:t>decision</w:t>
      </w:r>
      <w:r w:rsidR="000D0AE4">
        <w:rPr>
          <w:rFonts w:asciiTheme="minorHAnsi" w:hAnsiTheme="minorHAnsi"/>
          <w:bCs/>
          <w:color w:val="auto"/>
          <w:sz w:val="22"/>
          <w:szCs w:val="22"/>
        </w:rPr>
        <w:t>-making</w:t>
      </w:r>
      <w:r w:rsidR="00DB1B40">
        <w:rPr>
          <w:rFonts w:asciiTheme="minorHAnsi" w:hAnsiTheme="minorHAnsi"/>
          <w:bCs/>
          <w:color w:val="auto"/>
          <w:sz w:val="22"/>
          <w:szCs w:val="22"/>
        </w:rPr>
        <w:t xml:space="preserve"> processes.</w:t>
      </w:r>
      <w:r w:rsidR="000D0AE4" w:rsidRPr="000D0AE4">
        <w:rPr>
          <w:rFonts w:asciiTheme="minorHAnsi" w:hAnsiTheme="minorHAnsi"/>
          <w:bCs/>
          <w:color w:val="auto"/>
          <w:sz w:val="22"/>
          <w:szCs w:val="22"/>
        </w:rPr>
        <w:t xml:space="preserve"> </w:t>
      </w:r>
    </w:p>
    <w:p w14:paraId="03F8BA8A" w14:textId="77777777" w:rsidR="001070D1" w:rsidRPr="001070D1" w:rsidRDefault="001070D1" w:rsidP="001070D1">
      <w:pPr>
        <w:pStyle w:val="ListParagraph"/>
        <w:numPr>
          <w:ilvl w:val="0"/>
          <w:numId w:val="2"/>
        </w:numPr>
        <w:spacing w:before="0" w:after="120"/>
        <w:ind w:left="426" w:hanging="426"/>
        <w:contextualSpacing w:val="0"/>
        <w:rPr>
          <w:rFonts w:asciiTheme="minorHAnsi" w:hAnsiTheme="minorHAnsi"/>
          <w:bCs/>
          <w:color w:val="auto"/>
          <w:sz w:val="22"/>
          <w:szCs w:val="22"/>
        </w:rPr>
      </w:pPr>
      <w:r w:rsidRPr="001070D1">
        <w:rPr>
          <w:rFonts w:asciiTheme="minorHAnsi" w:hAnsiTheme="minorHAnsi"/>
          <w:bCs/>
          <w:color w:val="auto"/>
          <w:sz w:val="22"/>
          <w:szCs w:val="22"/>
        </w:rPr>
        <w:t>Presented at the launch of the 2019 Acreage Release, providing industry with information about the process and content for submitting bids.</w:t>
      </w:r>
    </w:p>
    <w:p w14:paraId="0E9EB454" w14:textId="67ED807A" w:rsidR="000D0AE4" w:rsidRDefault="009A5A5A" w:rsidP="000D0AE4">
      <w:pPr>
        <w:pStyle w:val="ListParagraph"/>
        <w:numPr>
          <w:ilvl w:val="0"/>
          <w:numId w:val="2"/>
        </w:numPr>
        <w:spacing w:before="0" w:after="120"/>
        <w:ind w:left="426" w:hanging="426"/>
        <w:contextualSpacing w:val="0"/>
        <w:rPr>
          <w:rFonts w:asciiTheme="minorHAnsi" w:hAnsiTheme="minorHAnsi"/>
          <w:bCs/>
          <w:color w:val="auto"/>
          <w:sz w:val="22"/>
          <w:szCs w:val="22"/>
        </w:rPr>
      </w:pPr>
      <w:r>
        <w:rPr>
          <w:rFonts w:asciiTheme="minorHAnsi" w:hAnsiTheme="minorHAnsi"/>
          <w:bCs/>
          <w:color w:val="auto"/>
          <w:sz w:val="22"/>
          <w:szCs w:val="22"/>
        </w:rPr>
        <w:t>H</w:t>
      </w:r>
      <w:r w:rsidR="000D0AE4">
        <w:rPr>
          <w:rFonts w:asciiTheme="minorHAnsi" w:hAnsiTheme="minorHAnsi"/>
          <w:bCs/>
          <w:color w:val="auto"/>
          <w:sz w:val="22"/>
          <w:szCs w:val="22"/>
        </w:rPr>
        <w:t xml:space="preserve">osted </w:t>
      </w:r>
      <w:r w:rsidR="000D0AE4" w:rsidRPr="00AF2E16">
        <w:rPr>
          <w:rFonts w:asciiTheme="minorHAnsi" w:hAnsiTheme="minorHAnsi"/>
          <w:bCs/>
          <w:color w:val="auto"/>
          <w:sz w:val="22"/>
          <w:szCs w:val="22"/>
        </w:rPr>
        <w:t>an information session for petroleum industry representatives, external legal advisors and community stakeholders on the requirements for approval and registration of petroleum title dealings.</w:t>
      </w:r>
    </w:p>
    <w:p w14:paraId="7EEF84B3" w14:textId="20C311A7" w:rsidR="00882A6A" w:rsidRPr="000D0AE4" w:rsidRDefault="00591B89" w:rsidP="000D0AE4">
      <w:pPr>
        <w:pStyle w:val="ListParagraph"/>
        <w:numPr>
          <w:ilvl w:val="0"/>
          <w:numId w:val="2"/>
        </w:numPr>
        <w:spacing w:before="0" w:after="120"/>
        <w:ind w:left="426" w:hanging="426"/>
        <w:contextualSpacing w:val="0"/>
        <w:rPr>
          <w:rFonts w:ascii="Calibri" w:hAnsi="Calibri" w:cs="Calibri"/>
          <w:color w:val="000000"/>
          <w:sz w:val="22"/>
          <w:szCs w:val="22"/>
        </w:rPr>
      </w:pPr>
      <w:r w:rsidRPr="000D0AE4">
        <w:rPr>
          <w:rFonts w:ascii="Calibri" w:hAnsi="Calibri" w:cs="Calibri"/>
          <w:color w:val="000000"/>
          <w:sz w:val="22"/>
          <w:szCs w:val="22"/>
        </w:rPr>
        <w:t>T</w:t>
      </w:r>
      <w:r w:rsidR="003C2641" w:rsidRPr="000D0AE4">
        <w:rPr>
          <w:rFonts w:ascii="Calibri" w:hAnsi="Calibri" w:cs="Calibri"/>
          <w:color w:val="000000"/>
          <w:sz w:val="22"/>
          <w:szCs w:val="22"/>
        </w:rPr>
        <w:t>o maintain and promote transparent and effective engagement with our stakeholder</w:t>
      </w:r>
      <w:r w:rsidR="00686C54">
        <w:rPr>
          <w:rFonts w:ascii="Calibri" w:hAnsi="Calibri" w:cs="Calibri"/>
          <w:color w:val="000000"/>
          <w:sz w:val="22"/>
          <w:szCs w:val="22"/>
        </w:rPr>
        <w:t>s</w:t>
      </w:r>
      <w:r w:rsidR="003C2641" w:rsidRPr="000D0AE4">
        <w:rPr>
          <w:rFonts w:ascii="Calibri" w:hAnsi="Calibri" w:cs="Calibri"/>
          <w:color w:val="000000"/>
          <w:sz w:val="22"/>
          <w:szCs w:val="22"/>
        </w:rPr>
        <w:t>, i</w:t>
      </w:r>
      <w:r w:rsidR="00882A6A" w:rsidRPr="000D0AE4">
        <w:rPr>
          <w:rFonts w:ascii="Calibri" w:hAnsi="Calibri" w:cs="Calibri"/>
          <w:color w:val="000000"/>
          <w:sz w:val="22"/>
          <w:szCs w:val="22"/>
        </w:rPr>
        <w:t>n 201</w:t>
      </w:r>
      <w:r w:rsidR="0087717C" w:rsidRPr="000D0AE4">
        <w:rPr>
          <w:rFonts w:ascii="Calibri" w:hAnsi="Calibri" w:cs="Calibri"/>
          <w:color w:val="000000"/>
          <w:sz w:val="22"/>
          <w:szCs w:val="22"/>
        </w:rPr>
        <w:t>9</w:t>
      </w:r>
      <w:r w:rsidR="00566AB7">
        <w:rPr>
          <w:rFonts w:ascii="Calibri" w:hAnsi="Calibri" w:cs="Calibri"/>
          <w:color w:val="000000"/>
          <w:sz w:val="22"/>
          <w:szCs w:val="22"/>
        </w:rPr>
        <w:noBreakHyphen/>
      </w:r>
      <w:r w:rsidR="00882A6A" w:rsidRPr="000D0AE4">
        <w:rPr>
          <w:rFonts w:ascii="Calibri" w:hAnsi="Calibri" w:cs="Calibri"/>
          <w:color w:val="000000"/>
          <w:sz w:val="22"/>
          <w:szCs w:val="22"/>
        </w:rPr>
        <w:t xml:space="preserve">19 NOPTA published: </w:t>
      </w:r>
    </w:p>
    <w:p w14:paraId="254987A4" w14:textId="39D14D0C" w:rsidR="003C2641" w:rsidRPr="000A7505" w:rsidRDefault="003C2641" w:rsidP="000D0AE4">
      <w:pPr>
        <w:pStyle w:val="ListParagraph"/>
        <w:numPr>
          <w:ilvl w:val="0"/>
          <w:numId w:val="5"/>
        </w:numPr>
        <w:spacing w:before="0" w:after="120"/>
        <w:ind w:left="851" w:hanging="425"/>
        <w:contextualSpacing w:val="0"/>
        <w:rPr>
          <w:rFonts w:asciiTheme="minorHAnsi" w:hAnsiTheme="minorHAnsi" w:cstheme="minorHAnsi"/>
          <w:bCs/>
          <w:color w:val="auto"/>
          <w:sz w:val="22"/>
          <w:szCs w:val="22"/>
        </w:rPr>
      </w:pPr>
      <w:r>
        <w:rPr>
          <w:rFonts w:asciiTheme="minorHAnsi" w:hAnsiTheme="minorHAnsi" w:cstheme="minorHAnsi"/>
          <w:color w:val="auto"/>
          <w:sz w:val="22"/>
          <w:szCs w:val="22"/>
        </w:rPr>
        <w:t>The</w:t>
      </w:r>
      <w:r w:rsidRPr="008E32D0">
        <w:rPr>
          <w:rFonts w:asciiTheme="minorHAnsi" w:hAnsiTheme="minorHAnsi" w:cstheme="minorHAnsi"/>
          <w:color w:val="auto"/>
          <w:sz w:val="22"/>
          <w:szCs w:val="22"/>
        </w:rPr>
        <w:t xml:space="preserve"> </w:t>
      </w:r>
      <w:hyperlink r:id="rId24" w:history="1">
        <w:r w:rsidRPr="00566AB7">
          <w:rPr>
            <w:rStyle w:val="Hyperlink"/>
            <w:rFonts w:asciiTheme="minorHAnsi" w:hAnsiTheme="minorHAnsi" w:cstheme="minorHAnsi"/>
            <w:sz w:val="22"/>
            <w:szCs w:val="22"/>
          </w:rPr>
          <w:t>2018-19 Annual Report of Activities</w:t>
        </w:r>
      </w:hyperlink>
      <w:r w:rsidRPr="008E32D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which </w:t>
      </w:r>
      <w:r w:rsidRPr="008E32D0">
        <w:rPr>
          <w:rFonts w:asciiTheme="minorHAnsi" w:hAnsiTheme="minorHAnsi" w:cstheme="minorHAnsi"/>
          <w:color w:val="auto"/>
          <w:sz w:val="22"/>
          <w:szCs w:val="22"/>
        </w:rPr>
        <w:t xml:space="preserve">provides stakeholders with information on </w:t>
      </w:r>
      <w:r>
        <w:rPr>
          <w:rFonts w:asciiTheme="minorHAnsi" w:hAnsiTheme="minorHAnsi" w:cstheme="minorHAnsi"/>
          <w:color w:val="auto"/>
          <w:sz w:val="22"/>
          <w:szCs w:val="22"/>
        </w:rPr>
        <w:t>our</w:t>
      </w:r>
      <w:r w:rsidRPr="008E32D0">
        <w:rPr>
          <w:rFonts w:asciiTheme="minorHAnsi" w:hAnsiTheme="minorHAnsi" w:cstheme="minorHAnsi"/>
          <w:color w:val="auto"/>
          <w:sz w:val="22"/>
          <w:szCs w:val="22"/>
        </w:rPr>
        <w:t xml:space="preserve"> activities, </w:t>
      </w:r>
      <w:r>
        <w:rPr>
          <w:rFonts w:asciiTheme="minorHAnsi" w:hAnsiTheme="minorHAnsi" w:cstheme="minorHAnsi"/>
          <w:color w:val="auto"/>
          <w:sz w:val="22"/>
          <w:szCs w:val="22"/>
        </w:rPr>
        <w:t>performance</w:t>
      </w:r>
      <w:r w:rsidRPr="008E32D0">
        <w:rPr>
          <w:rFonts w:asciiTheme="minorHAnsi" w:hAnsiTheme="minorHAnsi" w:cstheme="minorHAnsi"/>
          <w:color w:val="auto"/>
          <w:sz w:val="22"/>
          <w:szCs w:val="22"/>
        </w:rPr>
        <w:t>, financial results and outlook for the following year.</w:t>
      </w:r>
    </w:p>
    <w:p w14:paraId="6D44B6E0" w14:textId="6F54ECD4" w:rsidR="00B855E4" w:rsidRPr="008E32D0" w:rsidRDefault="00A74A13" w:rsidP="000D0AE4">
      <w:pPr>
        <w:pStyle w:val="ListParagraph"/>
        <w:numPr>
          <w:ilvl w:val="0"/>
          <w:numId w:val="5"/>
        </w:numPr>
        <w:spacing w:before="0" w:after="120"/>
        <w:ind w:left="851" w:hanging="425"/>
        <w:contextualSpacing w:val="0"/>
        <w:rPr>
          <w:rFonts w:asciiTheme="minorHAnsi" w:hAnsiTheme="minorHAnsi" w:cstheme="minorHAnsi"/>
          <w:bCs/>
          <w:color w:val="auto"/>
          <w:sz w:val="22"/>
          <w:szCs w:val="22"/>
        </w:rPr>
      </w:pPr>
      <w:r w:rsidRPr="008E32D0">
        <w:rPr>
          <w:rFonts w:asciiTheme="minorHAnsi" w:hAnsiTheme="minorHAnsi" w:cstheme="minorHAnsi"/>
          <w:bCs/>
          <w:color w:val="auto"/>
          <w:sz w:val="22"/>
          <w:szCs w:val="22"/>
        </w:rPr>
        <w:t xml:space="preserve">A </w:t>
      </w:r>
      <w:hyperlink r:id="rId25" w:history="1">
        <w:r w:rsidRPr="008E32D0">
          <w:rPr>
            <w:rStyle w:val="Hyperlink"/>
            <w:rFonts w:asciiTheme="minorHAnsi" w:hAnsiTheme="minorHAnsi" w:cstheme="minorHAnsi"/>
            <w:bCs/>
            <w:sz w:val="22"/>
            <w:szCs w:val="22"/>
          </w:rPr>
          <w:t>presentation</w:t>
        </w:r>
      </w:hyperlink>
      <w:r w:rsidRPr="008E32D0">
        <w:rPr>
          <w:rFonts w:asciiTheme="minorHAnsi" w:hAnsiTheme="minorHAnsi" w:cstheme="minorHAnsi"/>
          <w:bCs/>
          <w:sz w:val="22"/>
          <w:szCs w:val="22"/>
        </w:rPr>
        <w:t xml:space="preserve"> </w:t>
      </w:r>
      <w:r w:rsidRPr="008E32D0">
        <w:rPr>
          <w:rFonts w:asciiTheme="minorHAnsi" w:hAnsiTheme="minorHAnsi" w:cstheme="minorHAnsi"/>
          <w:bCs/>
          <w:color w:val="auto"/>
          <w:sz w:val="22"/>
          <w:szCs w:val="22"/>
        </w:rPr>
        <w:t>on the submission process for acreage release bids</w:t>
      </w:r>
      <w:r w:rsidR="00FD71FE">
        <w:rPr>
          <w:rFonts w:asciiTheme="minorHAnsi" w:hAnsiTheme="minorHAnsi" w:cstheme="minorHAnsi"/>
          <w:bCs/>
          <w:color w:val="auto"/>
          <w:sz w:val="22"/>
          <w:szCs w:val="22"/>
        </w:rPr>
        <w:t>.</w:t>
      </w:r>
    </w:p>
    <w:p w14:paraId="1BC755B8" w14:textId="7C2D620D" w:rsidR="00C4264A" w:rsidRDefault="00C4264A" w:rsidP="000D0AE4">
      <w:pPr>
        <w:pStyle w:val="ListParagraph"/>
        <w:numPr>
          <w:ilvl w:val="0"/>
          <w:numId w:val="5"/>
        </w:numPr>
        <w:spacing w:before="0" w:after="120"/>
        <w:ind w:left="851" w:hanging="425"/>
        <w:contextualSpacing w:val="0"/>
        <w:rPr>
          <w:rFonts w:asciiTheme="minorHAnsi" w:hAnsiTheme="minorHAnsi" w:cstheme="minorHAnsi"/>
          <w:bCs/>
          <w:color w:val="auto"/>
          <w:sz w:val="22"/>
          <w:szCs w:val="22"/>
        </w:rPr>
      </w:pPr>
      <w:r w:rsidRPr="008E32D0">
        <w:rPr>
          <w:rFonts w:asciiTheme="minorHAnsi" w:hAnsiTheme="minorHAnsi" w:cstheme="minorHAnsi"/>
          <w:bCs/>
          <w:color w:val="auto"/>
          <w:sz w:val="22"/>
          <w:szCs w:val="22"/>
        </w:rPr>
        <w:t xml:space="preserve">An overview of </w:t>
      </w:r>
      <w:hyperlink r:id="rId26" w:history="1">
        <w:r w:rsidRPr="008E32D0">
          <w:rPr>
            <w:rStyle w:val="Hyperlink"/>
            <w:rFonts w:asciiTheme="minorHAnsi" w:hAnsiTheme="minorHAnsi" w:cstheme="minorHAnsi"/>
            <w:bCs/>
            <w:sz w:val="22"/>
            <w:szCs w:val="22"/>
          </w:rPr>
          <w:t>NOPTA’s response</w:t>
        </w:r>
      </w:hyperlink>
      <w:r w:rsidR="003C388A" w:rsidRPr="008E32D0">
        <w:rPr>
          <w:rFonts w:asciiTheme="minorHAnsi" w:hAnsiTheme="minorHAnsi" w:cstheme="minorHAnsi"/>
          <w:bCs/>
          <w:sz w:val="22"/>
          <w:szCs w:val="22"/>
        </w:rPr>
        <w:t xml:space="preserve"> </w:t>
      </w:r>
      <w:r w:rsidR="003C388A" w:rsidRPr="008E32D0">
        <w:rPr>
          <w:rFonts w:asciiTheme="minorHAnsi" w:hAnsiTheme="minorHAnsi" w:cstheme="minorHAnsi"/>
          <w:bCs/>
          <w:color w:val="auto"/>
          <w:sz w:val="22"/>
          <w:szCs w:val="22"/>
        </w:rPr>
        <w:t>to the 2019 stakeholder survey</w:t>
      </w:r>
      <w:r w:rsidR="00FD71FE">
        <w:rPr>
          <w:rFonts w:asciiTheme="minorHAnsi" w:hAnsiTheme="minorHAnsi" w:cstheme="minorHAnsi"/>
          <w:bCs/>
          <w:color w:val="auto"/>
          <w:sz w:val="22"/>
          <w:szCs w:val="22"/>
        </w:rPr>
        <w:t>.</w:t>
      </w:r>
    </w:p>
    <w:p w14:paraId="4718CB53" w14:textId="6F5786A9" w:rsidR="005D7F51" w:rsidRPr="00F66B90" w:rsidRDefault="005D7F51" w:rsidP="005D7F51">
      <w:pPr>
        <w:pStyle w:val="ListParagraph"/>
        <w:numPr>
          <w:ilvl w:val="0"/>
          <w:numId w:val="5"/>
        </w:numPr>
        <w:spacing w:before="0" w:after="120"/>
        <w:ind w:left="851" w:hanging="425"/>
        <w:contextualSpacing w:val="0"/>
        <w:rPr>
          <w:rFonts w:asciiTheme="minorHAnsi" w:hAnsiTheme="minorHAnsi" w:cstheme="minorHAnsi"/>
          <w:bCs/>
          <w:color w:val="auto"/>
          <w:sz w:val="22"/>
          <w:szCs w:val="22"/>
        </w:rPr>
      </w:pPr>
      <w:r>
        <w:rPr>
          <w:rFonts w:asciiTheme="minorHAnsi" w:hAnsiTheme="minorHAnsi" w:cstheme="minorHAnsi"/>
          <w:color w:val="auto"/>
          <w:sz w:val="22"/>
          <w:szCs w:val="22"/>
        </w:rPr>
        <w:t xml:space="preserve">A notice informing our stakeholders of the </w:t>
      </w:r>
      <w:hyperlink r:id="rId27" w:history="1">
        <w:r w:rsidRPr="0005760E">
          <w:rPr>
            <w:rStyle w:val="Hyperlink"/>
            <w:rFonts w:asciiTheme="minorHAnsi" w:hAnsiTheme="minorHAnsi" w:cstheme="minorHAnsi"/>
            <w:sz w:val="22"/>
            <w:szCs w:val="22"/>
          </w:rPr>
          <w:t>measures</w:t>
        </w:r>
      </w:hyperlink>
      <w:r>
        <w:rPr>
          <w:rFonts w:asciiTheme="minorHAnsi" w:hAnsiTheme="minorHAnsi" w:cstheme="minorHAnsi"/>
          <w:color w:val="auto"/>
          <w:sz w:val="22"/>
          <w:szCs w:val="22"/>
        </w:rPr>
        <w:t xml:space="preserve"> that NOPTA put in place to operate effectively and provide flexibility for titleholders (particularly for well and survey data submissions) during COVID-19 restrictions.</w:t>
      </w:r>
    </w:p>
    <w:p w14:paraId="706137A7" w14:textId="27369950" w:rsidR="00F66B90" w:rsidRDefault="00F66B90" w:rsidP="00F66B90">
      <w:pPr>
        <w:pStyle w:val="ListParagraph"/>
        <w:numPr>
          <w:ilvl w:val="0"/>
          <w:numId w:val="5"/>
        </w:numPr>
        <w:spacing w:before="0" w:after="120"/>
        <w:ind w:left="851" w:hanging="425"/>
        <w:contextualSpacing w:val="0"/>
        <w:rPr>
          <w:rFonts w:asciiTheme="minorHAnsi" w:hAnsiTheme="minorHAnsi" w:cstheme="minorHAnsi"/>
          <w:bCs/>
          <w:color w:val="auto"/>
          <w:sz w:val="22"/>
          <w:szCs w:val="22"/>
        </w:rPr>
      </w:pPr>
      <w:r>
        <w:rPr>
          <w:rFonts w:asciiTheme="minorHAnsi" w:hAnsiTheme="minorHAnsi" w:cstheme="minorHAnsi"/>
          <w:bCs/>
          <w:color w:val="auto"/>
          <w:sz w:val="22"/>
          <w:szCs w:val="22"/>
        </w:rPr>
        <w:t>A</w:t>
      </w:r>
      <w:r w:rsidRPr="008E32D0">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 xml:space="preserve">stakeholder </w:t>
      </w:r>
      <w:r w:rsidRPr="008E32D0">
        <w:rPr>
          <w:rFonts w:asciiTheme="minorHAnsi" w:hAnsiTheme="minorHAnsi" w:cstheme="minorHAnsi"/>
          <w:bCs/>
          <w:color w:val="auto"/>
          <w:sz w:val="22"/>
          <w:szCs w:val="22"/>
        </w:rPr>
        <w:t>notice outlining NOPTA’s temporary COVID-19 measur</w:t>
      </w:r>
      <w:r>
        <w:rPr>
          <w:rFonts w:asciiTheme="minorHAnsi" w:hAnsiTheme="minorHAnsi" w:cstheme="minorHAnsi"/>
          <w:bCs/>
          <w:color w:val="auto"/>
          <w:sz w:val="22"/>
          <w:szCs w:val="22"/>
        </w:rPr>
        <w:t>es</w:t>
      </w:r>
      <w:r w:rsidRPr="008E32D0">
        <w:rPr>
          <w:rFonts w:asciiTheme="minorHAnsi" w:hAnsiTheme="minorHAnsi" w:cstheme="minorHAnsi"/>
          <w:bCs/>
          <w:color w:val="auto"/>
          <w:sz w:val="22"/>
          <w:szCs w:val="22"/>
        </w:rPr>
        <w:t xml:space="preserve"> with regard to accepting </w:t>
      </w:r>
      <w:hyperlink r:id="rId28" w:history="1">
        <w:r w:rsidRPr="007C77A9">
          <w:rPr>
            <w:rStyle w:val="Hyperlink"/>
            <w:rFonts w:asciiTheme="minorHAnsi" w:hAnsiTheme="minorHAnsi" w:cstheme="minorHAnsi"/>
            <w:bCs/>
            <w:sz w:val="22"/>
            <w:szCs w:val="22"/>
          </w:rPr>
          <w:t>electronic signatures</w:t>
        </w:r>
      </w:hyperlink>
      <w:r w:rsidRPr="008E32D0">
        <w:rPr>
          <w:rFonts w:asciiTheme="minorHAnsi" w:hAnsiTheme="minorHAnsi" w:cstheme="minorHAnsi"/>
          <w:bCs/>
          <w:color w:val="auto"/>
          <w:sz w:val="22"/>
          <w:szCs w:val="22"/>
        </w:rPr>
        <w:t xml:space="preserve"> on applications</w:t>
      </w:r>
      <w:r>
        <w:rPr>
          <w:rFonts w:asciiTheme="minorHAnsi" w:hAnsiTheme="minorHAnsi" w:cstheme="minorHAnsi"/>
          <w:bCs/>
          <w:color w:val="auto"/>
          <w:sz w:val="22"/>
          <w:szCs w:val="22"/>
        </w:rPr>
        <w:t>. (see KPI 5)</w:t>
      </w:r>
    </w:p>
    <w:p w14:paraId="64E296FA" w14:textId="26700998" w:rsidR="00214D6A" w:rsidRDefault="00885EAB" w:rsidP="000D0AE4">
      <w:pPr>
        <w:pStyle w:val="ListParagraph"/>
        <w:numPr>
          <w:ilvl w:val="0"/>
          <w:numId w:val="5"/>
        </w:numPr>
        <w:spacing w:before="0" w:after="120"/>
        <w:ind w:left="851" w:hanging="425"/>
        <w:contextualSpacing w:val="0"/>
        <w:rPr>
          <w:rFonts w:asciiTheme="minorHAnsi" w:hAnsiTheme="minorHAnsi" w:cstheme="minorHAnsi"/>
          <w:bCs/>
          <w:color w:val="auto"/>
          <w:sz w:val="22"/>
          <w:szCs w:val="22"/>
        </w:rPr>
      </w:pPr>
      <w:r>
        <w:rPr>
          <w:rFonts w:asciiTheme="minorHAnsi" w:hAnsiTheme="minorHAnsi" w:cstheme="minorHAnsi"/>
          <w:bCs/>
          <w:color w:val="auto"/>
          <w:sz w:val="22"/>
          <w:szCs w:val="22"/>
        </w:rPr>
        <w:t>T</w:t>
      </w:r>
      <w:r w:rsidR="00B83FFB" w:rsidRPr="008E32D0">
        <w:rPr>
          <w:rFonts w:asciiTheme="minorHAnsi" w:hAnsiTheme="minorHAnsi" w:cstheme="minorHAnsi"/>
          <w:bCs/>
          <w:color w:val="auto"/>
          <w:sz w:val="22"/>
          <w:szCs w:val="22"/>
        </w:rPr>
        <w:t xml:space="preserve">he </w:t>
      </w:r>
      <w:hyperlink r:id="rId29" w:history="1">
        <w:r w:rsidR="00B83FFB" w:rsidRPr="008E32D0">
          <w:rPr>
            <w:rStyle w:val="Hyperlink"/>
            <w:rFonts w:asciiTheme="minorHAnsi" w:hAnsiTheme="minorHAnsi" w:cstheme="minorHAnsi"/>
            <w:bCs/>
            <w:sz w:val="22"/>
            <w:szCs w:val="22"/>
          </w:rPr>
          <w:t>COVID-19 Work-bid Exploration Permits Fact Sheet</w:t>
        </w:r>
      </w:hyperlink>
      <w:r w:rsidR="00B83FFB" w:rsidRPr="008E32D0">
        <w:rPr>
          <w:rFonts w:asciiTheme="minorHAnsi" w:hAnsiTheme="minorHAnsi" w:cstheme="minorHAnsi"/>
          <w:bCs/>
          <w:sz w:val="22"/>
          <w:szCs w:val="22"/>
        </w:rPr>
        <w:t xml:space="preserve"> </w:t>
      </w:r>
      <w:r w:rsidR="00B83FFB" w:rsidRPr="008E32D0">
        <w:rPr>
          <w:rFonts w:asciiTheme="minorHAnsi" w:hAnsiTheme="minorHAnsi" w:cstheme="minorHAnsi"/>
          <w:bCs/>
          <w:color w:val="auto"/>
          <w:sz w:val="22"/>
          <w:szCs w:val="22"/>
        </w:rPr>
        <w:t>relating to interim measures to provide flexibility for offshore oil and gas explorers during the COVID-19 pandemic.</w:t>
      </w:r>
      <w:r w:rsidR="00566AB7">
        <w:rPr>
          <w:rFonts w:asciiTheme="minorHAnsi" w:hAnsiTheme="minorHAnsi" w:cstheme="minorHAnsi"/>
          <w:bCs/>
          <w:color w:val="auto"/>
          <w:sz w:val="22"/>
          <w:szCs w:val="22"/>
        </w:rPr>
        <w:t xml:space="preserve"> (see KPI 1)</w:t>
      </w:r>
    </w:p>
    <w:p w14:paraId="57EAF404" w14:textId="65DD0EED" w:rsidR="00F66B90" w:rsidRPr="00FC7BCE" w:rsidRDefault="00F66B90" w:rsidP="00E92460">
      <w:pPr>
        <w:pStyle w:val="ListParagraph"/>
        <w:numPr>
          <w:ilvl w:val="0"/>
          <w:numId w:val="5"/>
        </w:numPr>
        <w:spacing w:before="0" w:after="120"/>
        <w:ind w:left="851" w:hanging="491"/>
        <w:contextualSpacing w:val="0"/>
        <w:rPr>
          <w:rFonts w:asciiTheme="minorHAnsi" w:hAnsiTheme="minorHAnsi" w:cstheme="minorHAnsi"/>
          <w:color w:val="auto"/>
          <w:sz w:val="22"/>
          <w:szCs w:val="22"/>
        </w:rPr>
      </w:pPr>
      <w:r>
        <w:rPr>
          <w:rFonts w:asciiTheme="minorHAnsi" w:hAnsiTheme="minorHAnsi" w:cstheme="minorHAnsi"/>
          <w:color w:val="auto"/>
          <w:sz w:val="22"/>
          <w:szCs w:val="22"/>
        </w:rPr>
        <w:t xml:space="preserve">An </w:t>
      </w:r>
      <w:r w:rsidRPr="00FC7BCE">
        <w:rPr>
          <w:rFonts w:asciiTheme="minorHAnsi" w:hAnsiTheme="minorHAnsi" w:cstheme="minorHAnsi"/>
          <w:color w:val="auto"/>
          <w:sz w:val="22"/>
          <w:szCs w:val="22"/>
        </w:rPr>
        <w:t>update</w:t>
      </w:r>
      <w:r>
        <w:rPr>
          <w:rFonts w:asciiTheme="minorHAnsi" w:hAnsiTheme="minorHAnsi" w:cstheme="minorHAnsi"/>
          <w:color w:val="auto"/>
          <w:sz w:val="22"/>
          <w:szCs w:val="22"/>
        </w:rPr>
        <w:t xml:space="preserve"> to</w:t>
      </w:r>
      <w:r w:rsidRPr="00FC7BCE">
        <w:rPr>
          <w:rFonts w:asciiTheme="minorHAnsi" w:hAnsiTheme="minorHAnsi" w:cstheme="minorHAnsi"/>
          <w:color w:val="auto"/>
          <w:sz w:val="22"/>
          <w:szCs w:val="22"/>
        </w:rPr>
        <w:t xml:space="preserve"> the </w:t>
      </w:r>
      <w:hyperlink r:id="rId30" w:history="1">
        <w:r w:rsidRPr="00476577">
          <w:rPr>
            <w:rStyle w:val="Hyperlink"/>
            <w:rFonts w:asciiTheme="minorHAnsi" w:hAnsiTheme="minorHAnsi" w:cstheme="minorHAnsi"/>
            <w:sz w:val="22"/>
            <w:szCs w:val="22"/>
          </w:rPr>
          <w:t>Developing a Petroleum Resource Factsheet</w:t>
        </w:r>
      </w:hyperlink>
      <w:r>
        <w:rPr>
          <w:rFonts w:asciiTheme="minorHAnsi" w:hAnsiTheme="minorHAnsi" w:cstheme="minorHAnsi"/>
          <w:i/>
          <w:iCs/>
          <w:color w:val="auto"/>
          <w:sz w:val="22"/>
          <w:szCs w:val="22"/>
        </w:rPr>
        <w:t>.</w:t>
      </w:r>
      <w:r w:rsidRPr="00FC7BCE">
        <w:rPr>
          <w:rFonts w:asciiTheme="minorHAnsi" w:hAnsiTheme="minorHAnsi" w:cstheme="minorHAnsi"/>
          <w:color w:val="auto"/>
          <w:sz w:val="22"/>
          <w:szCs w:val="22"/>
        </w:rPr>
        <w:t xml:space="preserve"> </w:t>
      </w:r>
    </w:p>
    <w:p w14:paraId="163C53FA" w14:textId="236E4922" w:rsidR="004D5189" w:rsidRDefault="004D5189">
      <w:pPr>
        <w:pBdr>
          <w:bottom w:val="single" w:sz="6" w:space="1" w:color="auto"/>
        </w:pBdr>
        <w:rPr>
          <w:rFonts w:eastAsiaTheme="majorEastAsia" w:cstheme="majorBidi"/>
          <w:b/>
          <w:color w:val="1F4E79" w:themeColor="accent1" w:themeShade="80"/>
          <w:sz w:val="26"/>
          <w:szCs w:val="26"/>
        </w:rPr>
      </w:pPr>
    </w:p>
    <w:p w14:paraId="780759D2" w14:textId="77777777" w:rsidR="005E33F0" w:rsidRDefault="005E33F0" w:rsidP="00C3530A">
      <w:pPr>
        <w:pStyle w:val="Heading2"/>
        <w:jc w:val="left"/>
        <w:rPr>
          <w:color w:val="1F3864" w:themeColor="accent5" w:themeShade="80"/>
        </w:rPr>
      </w:pPr>
    </w:p>
    <w:p w14:paraId="20D5BF93" w14:textId="77777777" w:rsidR="005D7F51" w:rsidRDefault="005D7F51">
      <w:pPr>
        <w:rPr>
          <w:rFonts w:eastAsiaTheme="majorEastAsia" w:cstheme="majorBidi"/>
          <w:b/>
          <w:color w:val="1F3864" w:themeColor="accent5" w:themeShade="80"/>
          <w:sz w:val="26"/>
          <w:szCs w:val="26"/>
        </w:rPr>
      </w:pPr>
      <w:r>
        <w:rPr>
          <w:color w:val="1F3864" w:themeColor="accent5" w:themeShade="80"/>
        </w:rPr>
        <w:br w:type="page"/>
      </w:r>
    </w:p>
    <w:p w14:paraId="1887DF7A" w14:textId="424D0C18" w:rsidR="00772396" w:rsidRPr="00290DAE" w:rsidRDefault="006F6665" w:rsidP="00C3530A">
      <w:pPr>
        <w:pStyle w:val="Heading2"/>
        <w:jc w:val="left"/>
        <w:rPr>
          <w:color w:val="1F3864" w:themeColor="accent5" w:themeShade="80"/>
        </w:rPr>
      </w:pPr>
      <w:bookmarkStart w:id="32" w:name="_Toc54610425"/>
      <w:r w:rsidRPr="00290DAE">
        <w:rPr>
          <w:color w:val="1F3864" w:themeColor="accent5" w:themeShade="80"/>
        </w:rPr>
        <w:t>KPI 3: Actions undertaken by regulators are proportionate to the regulatory risk being managed</w:t>
      </w:r>
      <w:bookmarkStart w:id="33" w:name="_Toc497215477"/>
      <w:bookmarkEnd w:id="31"/>
      <w:bookmarkEnd w:id="32"/>
    </w:p>
    <w:p w14:paraId="2F9503AB" w14:textId="77777777" w:rsidR="006F6665" w:rsidRPr="00290DAE" w:rsidRDefault="006F6665" w:rsidP="00C3530A">
      <w:pPr>
        <w:pStyle w:val="Heading3"/>
        <w:jc w:val="left"/>
        <w:rPr>
          <w:color w:val="1F3864" w:themeColor="accent5" w:themeShade="80"/>
        </w:rPr>
      </w:pPr>
      <w:bookmarkStart w:id="34" w:name="_Toc54610426"/>
      <w:r w:rsidRPr="00290DAE">
        <w:rPr>
          <w:color w:val="1F3864" w:themeColor="accent5" w:themeShade="80"/>
        </w:rPr>
        <w:t>KPI Expectations</w:t>
      </w:r>
      <w:bookmarkEnd w:id="33"/>
      <w:bookmarkEnd w:id="34"/>
    </w:p>
    <w:p w14:paraId="480219F0" w14:textId="06E6BBBC" w:rsidR="00772396" w:rsidRDefault="006F6665" w:rsidP="00C3530A">
      <w:pPr>
        <w:spacing w:after="0" w:line="240" w:lineRule="auto"/>
      </w:pPr>
      <w:r w:rsidRPr="00772396">
        <w:t xml:space="preserve">A risk-based approach is used to promote the most efficient use of resources and improve the effectiveness of the regulatory framework. This is achieved through minimising burden on those who are voluntarily compliant and ensuring that enforcement action is proportionate and undertaken only when necessary. </w:t>
      </w:r>
      <w:bookmarkStart w:id="35" w:name="_Toc497215478"/>
    </w:p>
    <w:p w14:paraId="13A9F2C5" w14:textId="77777777" w:rsidR="006F6665" w:rsidRPr="00290DAE" w:rsidRDefault="006F6665" w:rsidP="00C3530A">
      <w:pPr>
        <w:pStyle w:val="Heading3"/>
        <w:jc w:val="left"/>
        <w:rPr>
          <w:color w:val="1F3864" w:themeColor="accent5" w:themeShade="80"/>
        </w:rPr>
      </w:pPr>
      <w:bookmarkStart w:id="36" w:name="_Toc54610427"/>
      <w:r w:rsidRPr="00290DAE">
        <w:rPr>
          <w:color w:val="1F3864" w:themeColor="accent5" w:themeShade="80"/>
        </w:rPr>
        <w:t>NOPTA’s Approach</w:t>
      </w:r>
      <w:bookmarkEnd w:id="35"/>
      <w:bookmarkEnd w:id="36"/>
      <w:r w:rsidRPr="00290DAE">
        <w:rPr>
          <w:color w:val="1F3864" w:themeColor="accent5" w:themeShade="80"/>
        </w:rPr>
        <w:t xml:space="preserve"> </w:t>
      </w:r>
    </w:p>
    <w:p w14:paraId="79D32D3B" w14:textId="1629EB69" w:rsidR="00AA167B" w:rsidRPr="00F20765" w:rsidRDefault="001E0BFA" w:rsidP="00C3530A">
      <w:pPr>
        <w:spacing w:line="240" w:lineRule="auto"/>
      </w:pPr>
      <w:bookmarkStart w:id="37" w:name="_Toc497215479"/>
      <w:r>
        <w:t>NOPTA takes</w:t>
      </w:r>
      <w:r w:rsidR="00A726EC" w:rsidRPr="00F20765">
        <w:t xml:space="preserve"> a risk-based approach to titles administration, compliance and enforcement, allowing for proportionate responses to risks</w:t>
      </w:r>
      <w:r w:rsidR="000158C2">
        <w:t>,</w:t>
      </w:r>
      <w:r w:rsidR="00A726EC" w:rsidRPr="00F20765">
        <w:t xml:space="preserve"> </w:t>
      </w:r>
      <w:r w:rsidR="000158C2" w:rsidRPr="00F20765">
        <w:t>suitable</w:t>
      </w:r>
      <w:r w:rsidR="00A726EC" w:rsidRPr="00F20765">
        <w:t xml:space="preserve"> to</w:t>
      </w:r>
      <w:r w:rsidR="00DC1580">
        <w:t xml:space="preserve"> the</w:t>
      </w:r>
      <w:r w:rsidR="00A726EC" w:rsidRPr="00F20765">
        <w:t xml:space="preserve"> nature and complexity</w:t>
      </w:r>
      <w:r w:rsidR="00F20920">
        <w:t xml:space="preserve"> of the issue at hand</w:t>
      </w:r>
      <w:r w:rsidR="00A726EC" w:rsidRPr="00F20765">
        <w:t>.</w:t>
      </w:r>
    </w:p>
    <w:p w14:paraId="357B1D15" w14:textId="77777777" w:rsidR="006F6665" w:rsidRPr="00B138B1" w:rsidRDefault="006F6665" w:rsidP="00C3530A">
      <w:pPr>
        <w:spacing w:line="240" w:lineRule="auto"/>
        <w:rPr>
          <w:b/>
        </w:rPr>
      </w:pPr>
      <w:r w:rsidRPr="00B138B1">
        <w:rPr>
          <w:b/>
        </w:rPr>
        <w:t>Results</w:t>
      </w:r>
      <w:bookmarkEnd w:id="37"/>
      <w:r w:rsidR="002C3F5D" w:rsidRPr="00B138B1">
        <w:rPr>
          <w:b/>
        </w:rPr>
        <w:t xml:space="preserve">: </w:t>
      </w:r>
      <w:r w:rsidR="002C3F5D" w:rsidRPr="00B138B1">
        <w:rPr>
          <w:b/>
        </w:rPr>
        <w:tab/>
      </w:r>
      <w:r w:rsidR="002C3F5D" w:rsidRPr="00B138B1">
        <w:rPr>
          <w:b/>
        </w:rPr>
        <w:fldChar w:fldCharType="begin">
          <w:ffData>
            <w:name w:val="Check1"/>
            <w:enabled/>
            <w:calcOnExit w:val="0"/>
            <w:checkBox>
              <w:sizeAuto/>
              <w:default w:val="1"/>
            </w:checkBox>
          </w:ffData>
        </w:fldChar>
      </w:r>
      <w:r w:rsidR="002C3F5D" w:rsidRPr="00B138B1">
        <w:rPr>
          <w:b/>
        </w:rPr>
        <w:instrText xml:space="preserve"> FORMCHECKBOX </w:instrText>
      </w:r>
      <w:r w:rsidR="003D2B46">
        <w:rPr>
          <w:b/>
        </w:rPr>
      </w:r>
      <w:r w:rsidR="003D2B46">
        <w:rPr>
          <w:b/>
        </w:rPr>
        <w:fldChar w:fldCharType="separate"/>
      </w:r>
      <w:r w:rsidR="002C3F5D" w:rsidRPr="00B138B1">
        <w:rPr>
          <w:b/>
        </w:rPr>
        <w:fldChar w:fldCharType="end"/>
      </w:r>
      <w:r w:rsidR="002C3F5D" w:rsidRPr="00B138B1">
        <w:rPr>
          <w:b/>
        </w:rPr>
        <w:t xml:space="preserve"> Met</w:t>
      </w:r>
      <w:r w:rsidR="002C3F5D" w:rsidRPr="00B138B1">
        <w:rPr>
          <w:b/>
        </w:rPr>
        <w:tab/>
      </w:r>
      <w:r w:rsidR="002C3F5D" w:rsidRPr="00B138B1">
        <w:rPr>
          <w:b/>
        </w:rPr>
        <w:tab/>
      </w:r>
      <w:r w:rsidR="002C3F5D" w:rsidRPr="00B138B1">
        <w:rPr>
          <w:b/>
        </w:rPr>
        <w:fldChar w:fldCharType="begin">
          <w:ffData>
            <w:name w:val="Check2"/>
            <w:enabled/>
            <w:calcOnExit w:val="0"/>
            <w:checkBox>
              <w:sizeAuto/>
              <w:default w:val="0"/>
            </w:checkBox>
          </w:ffData>
        </w:fldChar>
      </w:r>
      <w:r w:rsidR="002C3F5D" w:rsidRPr="00B138B1">
        <w:rPr>
          <w:b/>
        </w:rPr>
        <w:instrText xml:space="preserve"> FORMCHECKBOX </w:instrText>
      </w:r>
      <w:r w:rsidR="003D2B46">
        <w:rPr>
          <w:b/>
        </w:rPr>
      </w:r>
      <w:r w:rsidR="003D2B46">
        <w:rPr>
          <w:b/>
        </w:rPr>
        <w:fldChar w:fldCharType="separate"/>
      </w:r>
      <w:r w:rsidR="002C3F5D" w:rsidRPr="00B138B1">
        <w:rPr>
          <w:b/>
        </w:rPr>
        <w:fldChar w:fldCharType="end"/>
      </w:r>
      <w:r w:rsidR="002C3F5D" w:rsidRPr="00B138B1">
        <w:rPr>
          <w:b/>
        </w:rPr>
        <w:t xml:space="preserve"> Partially Met</w:t>
      </w:r>
      <w:r w:rsidR="002C3F5D" w:rsidRPr="00B138B1">
        <w:rPr>
          <w:b/>
        </w:rPr>
        <w:tab/>
      </w:r>
      <w:r w:rsidR="002C3F5D" w:rsidRPr="00B138B1">
        <w:rPr>
          <w:b/>
        </w:rPr>
        <w:fldChar w:fldCharType="begin">
          <w:ffData>
            <w:name w:val="Check3"/>
            <w:enabled/>
            <w:calcOnExit w:val="0"/>
            <w:checkBox>
              <w:sizeAuto/>
              <w:default w:val="0"/>
            </w:checkBox>
          </w:ffData>
        </w:fldChar>
      </w:r>
      <w:r w:rsidR="002C3F5D" w:rsidRPr="00B138B1">
        <w:rPr>
          <w:b/>
        </w:rPr>
        <w:instrText xml:space="preserve"> FORMCHECKBOX </w:instrText>
      </w:r>
      <w:r w:rsidR="003D2B46">
        <w:rPr>
          <w:b/>
        </w:rPr>
      </w:r>
      <w:r w:rsidR="003D2B46">
        <w:rPr>
          <w:b/>
        </w:rPr>
        <w:fldChar w:fldCharType="separate"/>
      </w:r>
      <w:r w:rsidR="002C3F5D" w:rsidRPr="00B138B1">
        <w:rPr>
          <w:b/>
        </w:rPr>
        <w:fldChar w:fldCharType="end"/>
      </w:r>
      <w:r w:rsidR="002C3F5D" w:rsidRPr="00B138B1">
        <w:rPr>
          <w:b/>
        </w:rPr>
        <w:t xml:space="preserve"> Not Met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C568F0" w:rsidRPr="00B74AFA" w14:paraId="514EDE22" w14:textId="77777777" w:rsidTr="00B74AFA">
        <w:tc>
          <w:tcPr>
            <w:tcW w:w="9016" w:type="dxa"/>
            <w:shd w:val="clear" w:color="auto" w:fill="F2F2F2" w:themeFill="background1" w:themeFillShade="F2"/>
          </w:tcPr>
          <w:p w14:paraId="4F1770CA" w14:textId="01649275" w:rsidR="00C568F0" w:rsidRPr="00B74AFA" w:rsidRDefault="00B74AFA" w:rsidP="00E25F1A">
            <w:pPr>
              <w:rPr>
                <w:i/>
              </w:rPr>
            </w:pPr>
            <w:r w:rsidRPr="00B74AFA">
              <w:rPr>
                <w:i/>
              </w:rPr>
              <w:t xml:space="preserve">NOPTA assesses that it has met KPI 3. </w:t>
            </w:r>
            <w:r w:rsidR="00E25F1A">
              <w:rPr>
                <w:i/>
                <w:iCs/>
              </w:rPr>
              <w:t xml:space="preserve">NOPTA continues to encourage early engagement with stakeholders and ensure that our actions are transparent, </w:t>
            </w:r>
            <w:r w:rsidR="00566AB7">
              <w:rPr>
                <w:i/>
                <w:iCs/>
              </w:rPr>
              <w:t>consistent,</w:t>
            </w:r>
            <w:r w:rsidR="00E25F1A">
              <w:rPr>
                <w:i/>
                <w:iCs/>
              </w:rPr>
              <w:t xml:space="preserve"> and proportionate to the issue at hand. </w:t>
            </w:r>
          </w:p>
        </w:tc>
      </w:tr>
    </w:tbl>
    <w:p w14:paraId="59AC95A4" w14:textId="77777777" w:rsidR="00C568F0" w:rsidRPr="00772396" w:rsidRDefault="00C568F0" w:rsidP="00C3530A">
      <w:pPr>
        <w:spacing w:after="0" w:line="240" w:lineRule="auto"/>
      </w:pPr>
    </w:p>
    <w:p w14:paraId="3BC119EF" w14:textId="3802A055" w:rsidR="00834BF3" w:rsidRPr="004E1701" w:rsidRDefault="00834BF3" w:rsidP="00834BF3">
      <w:pPr>
        <w:spacing w:after="120"/>
        <w:rPr>
          <w:bCs/>
        </w:rPr>
      </w:pPr>
      <w:bookmarkStart w:id="38" w:name="_Toc497215480"/>
      <w:r>
        <w:rPr>
          <w:bCs/>
        </w:rPr>
        <w:t>During 2019-20</w:t>
      </w:r>
      <w:r w:rsidR="009B6917">
        <w:rPr>
          <w:bCs/>
        </w:rPr>
        <w:t>, NOPTA</w:t>
      </w:r>
      <w:r>
        <w:rPr>
          <w:bCs/>
        </w:rPr>
        <w:t>:</w:t>
      </w:r>
    </w:p>
    <w:p w14:paraId="5C8BAFD0" w14:textId="77777777" w:rsidR="007344C9" w:rsidRPr="005429BA" w:rsidRDefault="007344C9" w:rsidP="00574EC4">
      <w:pPr>
        <w:pStyle w:val="ListParagraph"/>
        <w:numPr>
          <w:ilvl w:val="0"/>
          <w:numId w:val="2"/>
        </w:numPr>
        <w:spacing w:before="0" w:after="120"/>
        <w:ind w:left="426" w:hanging="426"/>
        <w:contextualSpacing w:val="0"/>
        <w:rPr>
          <w:rFonts w:asciiTheme="minorHAnsi" w:hAnsiTheme="minorHAnsi" w:cstheme="minorHAnsi"/>
          <w:sz w:val="22"/>
          <w:szCs w:val="22"/>
        </w:rPr>
      </w:pPr>
      <w:r w:rsidRPr="00351CC8">
        <w:rPr>
          <w:rFonts w:asciiTheme="minorHAnsi" w:hAnsiTheme="minorHAnsi" w:cstheme="minorHAnsi"/>
          <w:color w:val="auto"/>
          <w:sz w:val="22"/>
          <w:szCs w:val="22"/>
        </w:rPr>
        <w:t>Maintained a</w:t>
      </w:r>
      <w:r w:rsidR="00834BF3" w:rsidRPr="00351CC8">
        <w:rPr>
          <w:rFonts w:asciiTheme="minorHAnsi" w:hAnsiTheme="minorHAnsi" w:cstheme="minorHAnsi"/>
          <w:color w:val="auto"/>
          <w:sz w:val="22"/>
          <w:szCs w:val="22"/>
        </w:rPr>
        <w:t xml:space="preserve">n ongoing focus on risk management, with all staff attending a dedicated training workshop to increase knowledge and better understand implications for NOPTA’s administrative frameworks. </w:t>
      </w:r>
    </w:p>
    <w:p w14:paraId="415A5D83" w14:textId="387E64F9" w:rsidR="00834BF3" w:rsidRPr="00D41F90" w:rsidRDefault="007344C9" w:rsidP="00FA2581">
      <w:pPr>
        <w:pStyle w:val="ListParagraph"/>
        <w:numPr>
          <w:ilvl w:val="0"/>
          <w:numId w:val="5"/>
        </w:numPr>
        <w:spacing w:before="0" w:after="120"/>
        <w:ind w:left="851" w:hanging="425"/>
        <w:contextualSpacing w:val="0"/>
        <w:rPr>
          <w:rFonts w:asciiTheme="minorHAnsi" w:hAnsiTheme="minorHAnsi" w:cstheme="minorHAnsi"/>
          <w:sz w:val="22"/>
          <w:szCs w:val="22"/>
        </w:rPr>
      </w:pPr>
      <w:r w:rsidRPr="003D512B">
        <w:rPr>
          <w:rFonts w:asciiTheme="minorHAnsi" w:hAnsiTheme="minorHAnsi" w:cstheme="minorHAnsi"/>
          <w:color w:val="auto"/>
          <w:sz w:val="22"/>
          <w:szCs w:val="22"/>
        </w:rPr>
        <w:t>All staff are encouraged to actively engage with risk, including reg</w:t>
      </w:r>
      <w:r w:rsidRPr="00177074">
        <w:rPr>
          <w:rFonts w:asciiTheme="minorHAnsi" w:hAnsiTheme="minorHAnsi" w:cstheme="minorHAnsi"/>
          <w:color w:val="auto"/>
          <w:sz w:val="22"/>
          <w:szCs w:val="22"/>
        </w:rPr>
        <w:t xml:space="preserve">ular review of the NOPTA risk register to </w:t>
      </w:r>
      <w:r w:rsidR="0049415E" w:rsidRPr="00177074">
        <w:rPr>
          <w:rFonts w:asciiTheme="minorHAnsi" w:hAnsiTheme="minorHAnsi" w:cstheme="minorHAnsi"/>
          <w:color w:val="auto"/>
          <w:sz w:val="22"/>
          <w:szCs w:val="22"/>
        </w:rPr>
        <w:t xml:space="preserve">ensure </w:t>
      </w:r>
      <w:r w:rsidRPr="00D41F90">
        <w:rPr>
          <w:rFonts w:asciiTheme="minorHAnsi" w:hAnsiTheme="minorHAnsi" w:cstheme="minorHAnsi"/>
          <w:color w:val="auto"/>
          <w:sz w:val="22"/>
          <w:szCs w:val="22"/>
        </w:rPr>
        <w:t>controls</w:t>
      </w:r>
      <w:r w:rsidR="0049415E" w:rsidRPr="00351CC8">
        <w:rPr>
          <w:rFonts w:asciiTheme="minorHAnsi" w:hAnsiTheme="minorHAnsi" w:cstheme="minorHAnsi"/>
          <w:color w:val="auto"/>
          <w:sz w:val="22"/>
          <w:szCs w:val="22"/>
        </w:rPr>
        <w:t xml:space="preserve"> are appropriately incorporated into day-to-day tasks</w:t>
      </w:r>
      <w:r w:rsidRPr="00351CC8">
        <w:rPr>
          <w:rFonts w:asciiTheme="minorHAnsi" w:hAnsiTheme="minorHAnsi" w:cstheme="minorHAnsi"/>
          <w:color w:val="auto"/>
          <w:sz w:val="22"/>
          <w:szCs w:val="22"/>
        </w:rPr>
        <w:t xml:space="preserve">. The process for conducting risk reviews, including how matters should be </w:t>
      </w:r>
      <w:r w:rsidRPr="005429BA">
        <w:rPr>
          <w:rFonts w:asciiTheme="minorHAnsi" w:hAnsiTheme="minorHAnsi" w:cstheme="minorHAnsi"/>
          <w:color w:val="auto"/>
          <w:sz w:val="22"/>
          <w:szCs w:val="22"/>
        </w:rPr>
        <w:t xml:space="preserve">escalated if they arise, is consistent with the department’s risk management framework. </w:t>
      </w:r>
    </w:p>
    <w:p w14:paraId="34822220" w14:textId="3FBF3006" w:rsidR="003F0700" w:rsidRPr="00C026CC" w:rsidRDefault="003F0700" w:rsidP="003F0700">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sidRPr="00C026CC">
        <w:rPr>
          <w:rFonts w:asciiTheme="minorHAnsi" w:hAnsiTheme="minorHAnsi" w:cstheme="minorHAnsi"/>
          <w:color w:val="auto"/>
          <w:sz w:val="22"/>
          <w:szCs w:val="22"/>
        </w:rPr>
        <w:t xml:space="preserve">In Q4 2019, introduced an internal assurance review mechanism which examines and reports on legislative compliance with its processes and procedures. The assurance reviews are conducted with reference to the NOPTA risk register and findings are formalised through treatment action plans where appropriate. A new </w:t>
      </w:r>
      <w:r>
        <w:rPr>
          <w:rFonts w:asciiTheme="minorHAnsi" w:hAnsiTheme="minorHAnsi" w:cstheme="minorHAnsi"/>
          <w:color w:val="auto"/>
          <w:sz w:val="22"/>
          <w:szCs w:val="22"/>
        </w:rPr>
        <w:t xml:space="preserve">internal </w:t>
      </w:r>
      <w:r w:rsidRPr="00C026CC">
        <w:rPr>
          <w:rFonts w:asciiTheme="minorHAnsi" w:hAnsiTheme="minorHAnsi" w:cstheme="minorHAnsi"/>
          <w:color w:val="auto"/>
          <w:sz w:val="22"/>
          <w:szCs w:val="22"/>
        </w:rPr>
        <w:t>Quality Assurance Committee</w:t>
      </w:r>
      <w:r>
        <w:rPr>
          <w:rStyle w:val="FootnoteReference"/>
          <w:rFonts w:asciiTheme="minorHAnsi" w:hAnsiTheme="minorHAnsi" w:cstheme="minorHAnsi"/>
          <w:color w:val="auto"/>
          <w:sz w:val="22"/>
          <w:szCs w:val="22"/>
        </w:rPr>
        <w:footnoteReference w:id="2"/>
      </w:r>
      <w:r w:rsidRPr="00C026CC">
        <w:rPr>
          <w:rFonts w:asciiTheme="minorHAnsi" w:hAnsiTheme="minorHAnsi" w:cstheme="minorHAnsi"/>
          <w:color w:val="auto"/>
          <w:sz w:val="22"/>
          <w:szCs w:val="22"/>
        </w:rPr>
        <w:t xml:space="preserve"> was put in place to oversee the process and approve the annual assurance review plan.</w:t>
      </w:r>
      <w:r>
        <w:rPr>
          <w:rFonts w:asciiTheme="minorHAnsi" w:hAnsiTheme="minorHAnsi" w:cstheme="minorHAnsi"/>
          <w:color w:val="auto"/>
          <w:sz w:val="22"/>
          <w:szCs w:val="22"/>
        </w:rPr>
        <w:t xml:space="preserve"> (see KPI 4)</w:t>
      </w:r>
    </w:p>
    <w:p w14:paraId="5950E2EE" w14:textId="607F03F9" w:rsidR="00B82DFF" w:rsidRPr="00351CC8" w:rsidRDefault="00130B2A" w:rsidP="00574EC4">
      <w:pPr>
        <w:pStyle w:val="ListParagraph"/>
        <w:numPr>
          <w:ilvl w:val="0"/>
          <w:numId w:val="2"/>
        </w:numPr>
        <w:spacing w:before="0" w:after="120"/>
        <w:ind w:left="426" w:hanging="426"/>
        <w:contextualSpacing w:val="0"/>
        <w:rPr>
          <w:rFonts w:asciiTheme="minorHAnsi" w:hAnsiTheme="minorHAnsi" w:cstheme="minorHAnsi"/>
          <w:color w:val="auto"/>
          <w:sz w:val="22"/>
          <w:szCs w:val="22"/>
        </w:rPr>
      </w:pPr>
      <w:bookmarkStart w:id="39" w:name="_Hlk48902796"/>
      <w:r>
        <w:rPr>
          <w:rFonts w:asciiTheme="minorHAnsi" w:hAnsiTheme="minorHAnsi" w:cstheme="minorHAnsi"/>
          <w:color w:val="auto"/>
          <w:sz w:val="22"/>
          <w:szCs w:val="22"/>
        </w:rPr>
        <w:t xml:space="preserve">Responded to </w:t>
      </w:r>
      <w:r w:rsidR="00B82DFF" w:rsidRPr="00351CC8">
        <w:rPr>
          <w:rFonts w:asciiTheme="minorHAnsi" w:hAnsiTheme="minorHAnsi" w:cstheme="minorHAnsi"/>
          <w:color w:val="auto"/>
          <w:sz w:val="22"/>
          <w:szCs w:val="22"/>
        </w:rPr>
        <w:t>the responsible Commonwealth Minister</w:t>
      </w:r>
      <w:r>
        <w:rPr>
          <w:rFonts w:asciiTheme="minorHAnsi" w:hAnsiTheme="minorHAnsi" w:cstheme="minorHAnsi"/>
          <w:color w:val="auto"/>
          <w:sz w:val="22"/>
          <w:szCs w:val="22"/>
        </w:rPr>
        <w:t xml:space="preserve">’s issue of an </w:t>
      </w:r>
      <w:r w:rsidR="00B82DFF" w:rsidRPr="00351CC8">
        <w:rPr>
          <w:rFonts w:asciiTheme="minorHAnsi" w:hAnsiTheme="minorHAnsi" w:cstheme="minorHAnsi"/>
          <w:color w:val="auto"/>
          <w:sz w:val="22"/>
          <w:szCs w:val="22"/>
        </w:rPr>
        <w:t xml:space="preserve">updated </w:t>
      </w:r>
      <w:hyperlink r:id="rId31" w:history="1">
        <w:r w:rsidR="00B82DFF" w:rsidRPr="00177074">
          <w:rPr>
            <w:rFonts w:asciiTheme="minorHAnsi" w:hAnsiTheme="minorHAnsi" w:cstheme="minorHAnsi"/>
            <w:color w:val="auto"/>
            <w:sz w:val="22"/>
            <w:szCs w:val="22"/>
          </w:rPr>
          <w:t>statement of expectations</w:t>
        </w:r>
      </w:hyperlink>
      <w:r>
        <w:rPr>
          <w:rFonts w:asciiTheme="minorHAnsi" w:hAnsiTheme="minorHAnsi" w:cstheme="minorHAnsi"/>
          <w:color w:val="auto"/>
          <w:sz w:val="22"/>
          <w:szCs w:val="22"/>
        </w:rPr>
        <w:t xml:space="preserve"> with an</w:t>
      </w:r>
      <w:r w:rsidRPr="00130B2A">
        <w:rPr>
          <w:rFonts w:asciiTheme="minorHAnsi" w:hAnsiTheme="minorHAnsi" w:cstheme="minorHAnsi"/>
          <w:color w:val="auto"/>
          <w:sz w:val="22"/>
          <w:szCs w:val="22"/>
        </w:rPr>
        <w:t xml:space="preserve"> </w:t>
      </w:r>
      <w:r w:rsidRPr="005429BA">
        <w:rPr>
          <w:rFonts w:asciiTheme="minorHAnsi" w:hAnsiTheme="minorHAnsi" w:cstheme="minorHAnsi"/>
          <w:color w:val="auto"/>
          <w:sz w:val="22"/>
          <w:szCs w:val="22"/>
        </w:rPr>
        <w:t xml:space="preserve">updated </w:t>
      </w:r>
      <w:hyperlink r:id="rId32" w:history="1">
        <w:r w:rsidRPr="00177074">
          <w:rPr>
            <w:rFonts w:asciiTheme="minorHAnsi" w:hAnsiTheme="minorHAnsi" w:cstheme="minorHAnsi"/>
            <w:color w:val="auto"/>
            <w:sz w:val="22"/>
            <w:szCs w:val="22"/>
          </w:rPr>
          <w:t>statement of intent</w:t>
        </w:r>
      </w:hyperlink>
      <w:r>
        <w:rPr>
          <w:rFonts w:asciiTheme="minorHAnsi" w:hAnsiTheme="minorHAnsi" w:cstheme="minorHAnsi"/>
          <w:color w:val="auto"/>
          <w:sz w:val="22"/>
          <w:szCs w:val="22"/>
        </w:rPr>
        <w:t xml:space="preserve"> </w:t>
      </w:r>
      <w:r w:rsidR="00B82DFF" w:rsidRPr="00351CC8">
        <w:rPr>
          <w:rFonts w:asciiTheme="minorHAnsi" w:hAnsiTheme="minorHAnsi" w:cstheme="minorHAnsi"/>
          <w:color w:val="auto"/>
          <w:sz w:val="22"/>
          <w:szCs w:val="22"/>
        </w:rPr>
        <w:t>. The updated statement clarifies NOPTA’s role in relation to late life assets, decommissioning and continuing to improve data quality, integratio</w:t>
      </w:r>
      <w:r w:rsidR="00B82DFF" w:rsidRPr="005429BA">
        <w:rPr>
          <w:rFonts w:asciiTheme="minorHAnsi" w:hAnsiTheme="minorHAnsi" w:cstheme="minorHAnsi"/>
          <w:color w:val="auto"/>
          <w:sz w:val="22"/>
          <w:szCs w:val="22"/>
        </w:rPr>
        <w:t xml:space="preserve">n and access under the OPGGSA. </w:t>
      </w:r>
    </w:p>
    <w:bookmarkEnd w:id="39"/>
    <w:p w14:paraId="59F7C88F" w14:textId="0E476C3C" w:rsidR="001C6D44" w:rsidRDefault="00130B2A" w:rsidP="00574EC4">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Pr>
          <w:rFonts w:asciiTheme="minorHAnsi" w:hAnsiTheme="minorHAnsi" w:cstheme="minorHAnsi"/>
          <w:color w:val="auto"/>
          <w:sz w:val="22"/>
          <w:szCs w:val="22"/>
        </w:rPr>
        <w:t>U</w:t>
      </w:r>
      <w:r w:rsidR="00C47231" w:rsidRPr="001C6D44">
        <w:rPr>
          <w:rFonts w:asciiTheme="minorHAnsi" w:hAnsiTheme="minorHAnsi" w:cstheme="minorHAnsi"/>
          <w:color w:val="auto"/>
          <w:sz w:val="22"/>
          <w:szCs w:val="22"/>
        </w:rPr>
        <w:t xml:space="preserve">pdated </w:t>
      </w:r>
      <w:r>
        <w:rPr>
          <w:rFonts w:asciiTheme="minorHAnsi" w:hAnsiTheme="minorHAnsi" w:cstheme="minorHAnsi"/>
          <w:color w:val="auto"/>
          <w:sz w:val="22"/>
          <w:szCs w:val="22"/>
        </w:rPr>
        <w:t>our</w:t>
      </w:r>
      <w:r w:rsidR="001C6D44" w:rsidRPr="001C6D44">
        <w:rPr>
          <w:rFonts w:asciiTheme="minorHAnsi" w:hAnsiTheme="minorHAnsi" w:cstheme="minorHAnsi"/>
          <w:color w:val="auto"/>
          <w:sz w:val="22"/>
          <w:szCs w:val="22"/>
        </w:rPr>
        <w:t xml:space="preserve"> </w:t>
      </w:r>
      <w:hyperlink r:id="rId33" w:history="1">
        <w:r w:rsidR="00351CC8" w:rsidRPr="00130B2A">
          <w:rPr>
            <w:rStyle w:val="Hyperlink"/>
            <w:rFonts w:asciiTheme="minorHAnsi" w:hAnsiTheme="minorHAnsi" w:cstheme="minorHAnsi"/>
            <w:sz w:val="22"/>
            <w:szCs w:val="22"/>
          </w:rPr>
          <w:t>Compliance and Enforcement Policy</w:t>
        </w:r>
      </w:hyperlink>
      <w:r w:rsidR="00C47231" w:rsidRPr="001C6D44">
        <w:rPr>
          <w:rFonts w:asciiTheme="minorHAnsi" w:hAnsiTheme="minorHAnsi" w:cstheme="minorHAnsi"/>
          <w:color w:val="auto"/>
          <w:sz w:val="22"/>
          <w:szCs w:val="22"/>
        </w:rPr>
        <w:t xml:space="preserve"> </w:t>
      </w:r>
      <w:r w:rsidR="001C6D44" w:rsidRPr="001C6D44">
        <w:rPr>
          <w:rFonts w:asciiTheme="minorHAnsi" w:hAnsiTheme="minorHAnsi" w:cstheme="minorHAnsi"/>
          <w:color w:val="auto"/>
          <w:sz w:val="22"/>
          <w:szCs w:val="22"/>
        </w:rPr>
        <w:t xml:space="preserve">to remove outdated references to the Australian National Audit Office Better Practice Guide – Administering Regulation and the National Legislative Compliance Framework (NLCF). </w:t>
      </w:r>
    </w:p>
    <w:p w14:paraId="1C508D7E" w14:textId="78848781" w:rsidR="00B82DFF" w:rsidRPr="001C6D44" w:rsidRDefault="00D13378" w:rsidP="00574EC4">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Pr>
          <w:rFonts w:asciiTheme="minorHAnsi" w:hAnsiTheme="minorHAnsi" w:cstheme="minorHAnsi"/>
          <w:color w:val="auto"/>
          <w:sz w:val="22"/>
          <w:szCs w:val="22"/>
        </w:rPr>
        <w:t>Embedded the</w:t>
      </w:r>
      <w:r w:rsidR="00C47231" w:rsidRPr="001C6D44">
        <w:rPr>
          <w:rFonts w:asciiTheme="minorHAnsi" w:hAnsiTheme="minorHAnsi" w:cstheme="minorHAnsi"/>
          <w:color w:val="auto"/>
          <w:sz w:val="22"/>
          <w:szCs w:val="22"/>
        </w:rPr>
        <w:t xml:space="preserve"> internal compliance escalation procedure into relevant standard operating documents. Teams have received training on the new procedure, </w:t>
      </w:r>
      <w:r w:rsidR="00176930" w:rsidRPr="001C6D44">
        <w:rPr>
          <w:rFonts w:asciiTheme="minorHAnsi" w:hAnsiTheme="minorHAnsi" w:cstheme="minorHAnsi"/>
          <w:color w:val="auto"/>
          <w:sz w:val="22"/>
          <w:szCs w:val="22"/>
        </w:rPr>
        <w:t xml:space="preserve">as well as </w:t>
      </w:r>
      <w:r w:rsidR="00C47231" w:rsidRPr="001C6D44">
        <w:rPr>
          <w:rFonts w:asciiTheme="minorHAnsi" w:hAnsiTheme="minorHAnsi" w:cstheme="minorHAnsi"/>
          <w:color w:val="auto"/>
          <w:sz w:val="22"/>
          <w:szCs w:val="22"/>
        </w:rPr>
        <w:t xml:space="preserve">the use of </w:t>
      </w:r>
      <w:r w:rsidR="00176930" w:rsidRPr="001C6D44">
        <w:rPr>
          <w:rFonts w:asciiTheme="minorHAnsi" w:hAnsiTheme="minorHAnsi" w:cstheme="minorHAnsi"/>
          <w:color w:val="auto"/>
          <w:sz w:val="22"/>
          <w:szCs w:val="22"/>
        </w:rPr>
        <w:t xml:space="preserve">NOPTA’s </w:t>
      </w:r>
      <w:r w:rsidR="00C47231" w:rsidRPr="001C6D44">
        <w:rPr>
          <w:rFonts w:asciiTheme="minorHAnsi" w:hAnsiTheme="minorHAnsi" w:cstheme="minorHAnsi"/>
          <w:color w:val="auto"/>
          <w:sz w:val="22"/>
          <w:szCs w:val="22"/>
        </w:rPr>
        <w:t xml:space="preserve">internal compliance registers to ensure accurate record keeping and risk evaluation is maintained.  </w:t>
      </w:r>
    </w:p>
    <w:p w14:paraId="6F40A93A" w14:textId="7A86B166" w:rsidR="0049415E" w:rsidRPr="00177074" w:rsidRDefault="00B31C3A" w:rsidP="00574EC4">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sidRPr="00177074">
        <w:rPr>
          <w:rFonts w:asciiTheme="minorHAnsi" w:hAnsiTheme="minorHAnsi" w:cstheme="minorHAnsi"/>
          <w:color w:val="auto"/>
          <w:sz w:val="22"/>
          <w:szCs w:val="22"/>
        </w:rPr>
        <w:t xml:space="preserve">Continued a steady </w:t>
      </w:r>
      <w:r w:rsidR="0049415E" w:rsidRPr="00177074">
        <w:rPr>
          <w:rFonts w:asciiTheme="minorHAnsi" w:hAnsiTheme="minorHAnsi" w:cstheme="minorHAnsi"/>
          <w:color w:val="auto"/>
          <w:sz w:val="22"/>
          <w:szCs w:val="22"/>
        </w:rPr>
        <w:t xml:space="preserve">investment in NEATS </w:t>
      </w:r>
      <w:r w:rsidRPr="00177074">
        <w:rPr>
          <w:rFonts w:asciiTheme="minorHAnsi" w:hAnsiTheme="minorHAnsi" w:cstheme="minorHAnsi"/>
          <w:color w:val="auto"/>
          <w:sz w:val="22"/>
          <w:szCs w:val="22"/>
        </w:rPr>
        <w:t xml:space="preserve">to </w:t>
      </w:r>
      <w:r w:rsidR="000E5C30" w:rsidRPr="00177074">
        <w:rPr>
          <w:rFonts w:asciiTheme="minorHAnsi" w:hAnsiTheme="minorHAnsi" w:cstheme="minorHAnsi"/>
          <w:color w:val="auto"/>
          <w:sz w:val="22"/>
          <w:szCs w:val="22"/>
        </w:rPr>
        <w:t xml:space="preserve">minimise </w:t>
      </w:r>
      <w:r w:rsidRPr="00177074">
        <w:rPr>
          <w:rFonts w:asciiTheme="minorHAnsi" w:hAnsiTheme="minorHAnsi" w:cstheme="minorHAnsi"/>
          <w:color w:val="auto"/>
          <w:sz w:val="22"/>
          <w:szCs w:val="22"/>
        </w:rPr>
        <w:t xml:space="preserve">compliance risks to NOPTA and </w:t>
      </w:r>
      <w:r w:rsidR="000E5C30" w:rsidRPr="00177074">
        <w:rPr>
          <w:rFonts w:asciiTheme="minorHAnsi" w:hAnsiTheme="minorHAnsi" w:cstheme="minorHAnsi"/>
          <w:color w:val="auto"/>
          <w:sz w:val="22"/>
          <w:szCs w:val="22"/>
        </w:rPr>
        <w:t>our</w:t>
      </w:r>
      <w:r w:rsidRPr="00177074">
        <w:rPr>
          <w:rFonts w:asciiTheme="minorHAnsi" w:hAnsiTheme="minorHAnsi" w:cstheme="minorHAnsi"/>
          <w:color w:val="auto"/>
          <w:sz w:val="22"/>
          <w:szCs w:val="22"/>
        </w:rPr>
        <w:t xml:space="preserve"> stakeholders</w:t>
      </w:r>
      <w:r w:rsidR="000E5C30" w:rsidRPr="00177074">
        <w:rPr>
          <w:rFonts w:asciiTheme="minorHAnsi" w:hAnsiTheme="minorHAnsi" w:cstheme="minorHAnsi"/>
          <w:color w:val="auto"/>
          <w:sz w:val="22"/>
          <w:szCs w:val="22"/>
        </w:rPr>
        <w:t xml:space="preserve"> (see KPI 1)</w:t>
      </w:r>
      <w:r w:rsidR="0049415E" w:rsidRPr="00177074">
        <w:rPr>
          <w:rFonts w:asciiTheme="minorHAnsi" w:hAnsiTheme="minorHAnsi" w:cstheme="minorHAnsi"/>
          <w:color w:val="auto"/>
          <w:sz w:val="22"/>
          <w:szCs w:val="22"/>
        </w:rPr>
        <w:t xml:space="preserve">.  </w:t>
      </w:r>
    </w:p>
    <w:p w14:paraId="365999F9" w14:textId="650FEACC" w:rsidR="003D512B" w:rsidRPr="003D512B" w:rsidRDefault="00BC3E21" w:rsidP="00574EC4">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Pr>
          <w:rFonts w:asciiTheme="minorHAnsi" w:hAnsiTheme="minorHAnsi" w:cstheme="minorHAnsi"/>
          <w:color w:val="auto"/>
          <w:sz w:val="22"/>
          <w:szCs w:val="22"/>
        </w:rPr>
        <w:t>E</w:t>
      </w:r>
      <w:r w:rsidR="003D512B" w:rsidRPr="003D512B">
        <w:rPr>
          <w:rFonts w:asciiTheme="minorHAnsi" w:hAnsiTheme="minorHAnsi" w:cstheme="minorHAnsi"/>
          <w:color w:val="auto"/>
          <w:sz w:val="22"/>
          <w:szCs w:val="22"/>
        </w:rPr>
        <w:t>ncourage</w:t>
      </w:r>
      <w:r w:rsidR="00130B2A">
        <w:rPr>
          <w:rFonts w:asciiTheme="minorHAnsi" w:hAnsiTheme="minorHAnsi" w:cstheme="minorHAnsi"/>
          <w:color w:val="auto"/>
          <w:sz w:val="22"/>
          <w:szCs w:val="22"/>
        </w:rPr>
        <w:t>d</w:t>
      </w:r>
      <w:r w:rsidR="003D512B" w:rsidRPr="003D512B">
        <w:rPr>
          <w:rFonts w:asciiTheme="minorHAnsi" w:hAnsiTheme="minorHAnsi" w:cstheme="minorHAnsi"/>
          <w:color w:val="auto"/>
          <w:sz w:val="22"/>
          <w:szCs w:val="22"/>
        </w:rPr>
        <w:t xml:space="preserve"> stakeholders to provide feedback on its performance via a dedicated email address (</w:t>
      </w:r>
      <w:hyperlink r:id="rId34" w:history="1">
        <w:r w:rsidR="003D512B" w:rsidRPr="00E90CBD">
          <w:rPr>
            <w:rStyle w:val="Hyperlink"/>
            <w:rFonts w:asciiTheme="minorHAnsi" w:hAnsiTheme="minorHAnsi" w:cstheme="minorHAnsi"/>
            <w:sz w:val="22"/>
            <w:szCs w:val="22"/>
          </w:rPr>
          <w:t>feedback@nopta.gov.au</w:t>
        </w:r>
      </w:hyperlink>
      <w:r w:rsidR="003D512B" w:rsidRPr="003D512B">
        <w:rPr>
          <w:rFonts w:asciiTheme="minorHAnsi" w:hAnsiTheme="minorHAnsi" w:cstheme="minorHAnsi"/>
          <w:color w:val="auto"/>
          <w:sz w:val="22"/>
          <w:szCs w:val="22"/>
        </w:rPr>
        <w:t>) located on its website. NOPTA did not receive any formal complaints in 201</w:t>
      </w:r>
      <w:r w:rsidR="003D512B">
        <w:rPr>
          <w:rFonts w:asciiTheme="minorHAnsi" w:hAnsiTheme="minorHAnsi" w:cstheme="minorHAnsi"/>
          <w:color w:val="auto"/>
          <w:sz w:val="22"/>
          <w:szCs w:val="22"/>
        </w:rPr>
        <w:t>9</w:t>
      </w:r>
      <w:r w:rsidR="003D512B" w:rsidRPr="003D512B">
        <w:rPr>
          <w:rFonts w:asciiTheme="minorHAnsi" w:hAnsiTheme="minorHAnsi" w:cstheme="minorHAnsi"/>
          <w:color w:val="auto"/>
          <w:sz w:val="22"/>
          <w:szCs w:val="22"/>
        </w:rPr>
        <w:t>/</w:t>
      </w:r>
      <w:r w:rsidR="003D512B">
        <w:rPr>
          <w:rFonts w:asciiTheme="minorHAnsi" w:hAnsiTheme="minorHAnsi" w:cstheme="minorHAnsi"/>
          <w:color w:val="auto"/>
          <w:sz w:val="22"/>
          <w:szCs w:val="22"/>
        </w:rPr>
        <w:t>20</w:t>
      </w:r>
      <w:r w:rsidR="003D512B" w:rsidRPr="003D512B">
        <w:rPr>
          <w:rFonts w:asciiTheme="minorHAnsi" w:hAnsiTheme="minorHAnsi" w:cstheme="minorHAnsi"/>
          <w:color w:val="auto"/>
          <w:sz w:val="22"/>
          <w:szCs w:val="22"/>
        </w:rPr>
        <w:t xml:space="preserve">. </w:t>
      </w:r>
    </w:p>
    <w:p w14:paraId="292919D3" w14:textId="77777777" w:rsidR="00834BF3" w:rsidRDefault="00834BF3" w:rsidP="00C3530A">
      <w:pPr>
        <w:pBdr>
          <w:bottom w:val="single" w:sz="6" w:space="1" w:color="auto"/>
        </w:pBdr>
        <w:spacing w:after="0" w:line="240" w:lineRule="auto"/>
      </w:pPr>
    </w:p>
    <w:p w14:paraId="41D81201" w14:textId="56593070" w:rsidR="00A42C53" w:rsidRDefault="00A42C53" w:rsidP="00C3530A">
      <w:pPr>
        <w:spacing w:after="0" w:line="240" w:lineRule="auto"/>
        <w:jc w:val="both"/>
      </w:pPr>
    </w:p>
    <w:p w14:paraId="489F2F77" w14:textId="3042A468" w:rsidR="005921F8" w:rsidRDefault="005921F8">
      <w:pPr>
        <w:rPr>
          <w:rFonts w:eastAsiaTheme="majorEastAsia" w:cstheme="majorBidi"/>
          <w:b/>
          <w:color w:val="1F4E79" w:themeColor="accent1" w:themeShade="80"/>
          <w:sz w:val="26"/>
          <w:szCs w:val="26"/>
        </w:rPr>
      </w:pPr>
    </w:p>
    <w:p w14:paraId="04BA1B62" w14:textId="3169F315" w:rsidR="00772396" w:rsidRPr="00290DAE" w:rsidRDefault="006F6665" w:rsidP="00C3530A">
      <w:pPr>
        <w:pStyle w:val="Heading2"/>
        <w:jc w:val="left"/>
        <w:rPr>
          <w:color w:val="1F3864" w:themeColor="accent5" w:themeShade="80"/>
        </w:rPr>
      </w:pPr>
      <w:bookmarkStart w:id="40" w:name="_Toc54610428"/>
      <w:r w:rsidRPr="00290DAE">
        <w:rPr>
          <w:color w:val="1F3864" w:themeColor="accent5" w:themeShade="80"/>
        </w:rPr>
        <w:t>KPI 4: Compliance and monitoring approaches are streamlined and coordinated</w:t>
      </w:r>
      <w:bookmarkStart w:id="41" w:name="_Toc497215481"/>
      <w:bookmarkEnd w:id="38"/>
      <w:bookmarkEnd w:id="40"/>
    </w:p>
    <w:p w14:paraId="72B922F0" w14:textId="6FF409CF" w:rsidR="006F6665" w:rsidRPr="00772396" w:rsidRDefault="006F6665" w:rsidP="00C3530A">
      <w:pPr>
        <w:pStyle w:val="Heading3"/>
        <w:jc w:val="left"/>
      </w:pPr>
      <w:bookmarkStart w:id="42" w:name="_Toc54610429"/>
      <w:r w:rsidRPr="00290DAE">
        <w:rPr>
          <w:color w:val="1F3864" w:themeColor="accent5" w:themeShade="80"/>
        </w:rPr>
        <w:t>KPI Expectations</w:t>
      </w:r>
      <w:bookmarkEnd w:id="41"/>
      <w:bookmarkEnd w:id="42"/>
    </w:p>
    <w:p w14:paraId="609214A9" w14:textId="7D9CA27D" w:rsidR="00772396" w:rsidRDefault="006F6665" w:rsidP="00C3530A">
      <w:pPr>
        <w:spacing w:after="0" w:line="240" w:lineRule="auto"/>
      </w:pPr>
      <w:r w:rsidRPr="00772396">
        <w:t xml:space="preserve">Information is only requested from regulated entities where it is required to achieve the regulatory objectives. </w:t>
      </w:r>
      <w:r w:rsidR="007F18CA">
        <w:t>Compliance and m</w:t>
      </w:r>
      <w:r w:rsidRPr="00772396">
        <w:t>onitoring approaches are risk based and consider circumstances and operational needs of the regulated entity.</w:t>
      </w:r>
      <w:bookmarkStart w:id="43" w:name="_Toc497215482"/>
    </w:p>
    <w:p w14:paraId="5F2F8D08" w14:textId="77777777" w:rsidR="006F6665" w:rsidRPr="00290DAE" w:rsidRDefault="006F6665" w:rsidP="00C3530A">
      <w:pPr>
        <w:pStyle w:val="Heading3"/>
        <w:jc w:val="left"/>
        <w:rPr>
          <w:color w:val="1F3864" w:themeColor="accent5" w:themeShade="80"/>
        </w:rPr>
      </w:pPr>
      <w:bookmarkStart w:id="44" w:name="_Toc54610430"/>
      <w:r w:rsidRPr="00290DAE">
        <w:rPr>
          <w:color w:val="1F3864" w:themeColor="accent5" w:themeShade="80"/>
        </w:rPr>
        <w:t>NOPTA’s Approach</w:t>
      </w:r>
      <w:bookmarkEnd w:id="43"/>
      <w:bookmarkEnd w:id="44"/>
      <w:r w:rsidRPr="00290DAE">
        <w:rPr>
          <w:color w:val="1F3864" w:themeColor="accent5" w:themeShade="80"/>
        </w:rPr>
        <w:t xml:space="preserve"> </w:t>
      </w:r>
    </w:p>
    <w:p w14:paraId="3E424C7D" w14:textId="1FA1C4BD" w:rsidR="00F22EB4" w:rsidRPr="00F22EB4" w:rsidRDefault="00B17DDC" w:rsidP="00C3530A">
      <w:pPr>
        <w:spacing w:after="120" w:line="240" w:lineRule="auto"/>
      </w:pPr>
      <w:bookmarkStart w:id="45" w:name="_Toc497215483"/>
      <w:r>
        <w:t>NOPTA</w:t>
      </w:r>
      <w:r w:rsidRPr="00F22EB4">
        <w:t xml:space="preserve"> </w:t>
      </w:r>
      <w:r w:rsidR="00F22EB4" w:rsidRPr="00F22EB4">
        <w:t>promote</w:t>
      </w:r>
      <w:r>
        <w:t>s</w:t>
      </w:r>
      <w:r w:rsidR="00F22EB4" w:rsidRPr="00F22EB4">
        <w:t xml:space="preserve"> early engagement with stakeholders on potential non-compliance issues </w:t>
      </w:r>
      <w:r w:rsidR="00B16A91" w:rsidRPr="00F22EB4">
        <w:t>to</w:t>
      </w:r>
      <w:r w:rsidR="00F22EB4" w:rsidRPr="00F22EB4">
        <w:t xml:space="preserve"> maximise the range of options available </w:t>
      </w:r>
      <w:r w:rsidR="007921F9">
        <w:t>and to minimise unintended outcomes for all parties</w:t>
      </w:r>
      <w:r w:rsidR="00F22EB4" w:rsidRPr="00F22EB4">
        <w:t xml:space="preserve">. </w:t>
      </w:r>
      <w:r>
        <w:t>NOPTA</w:t>
      </w:r>
      <w:r w:rsidRPr="00F22EB4">
        <w:t xml:space="preserve"> </w:t>
      </w:r>
      <w:r w:rsidR="00F22EB4" w:rsidRPr="00F22EB4">
        <w:t>ha</w:t>
      </w:r>
      <w:r>
        <w:t>s</w:t>
      </w:r>
      <w:r w:rsidR="00F22EB4" w:rsidRPr="00F22EB4">
        <w:t xml:space="preserve"> </w:t>
      </w:r>
      <w:r w:rsidR="00F22EB4">
        <w:rPr>
          <w:rFonts w:cs="Calibri"/>
        </w:rPr>
        <w:t xml:space="preserve">established internal </w:t>
      </w:r>
      <w:r w:rsidR="00F22EB4" w:rsidRPr="00F22EB4">
        <w:rPr>
          <w:rFonts w:cs="Calibri"/>
        </w:rPr>
        <w:t>information management systems with a specific focus on compliance monitoring</w:t>
      </w:r>
      <w:r w:rsidR="00F22EB4">
        <w:rPr>
          <w:rFonts w:cs="Calibri"/>
        </w:rPr>
        <w:t xml:space="preserve"> </w:t>
      </w:r>
      <w:r w:rsidR="007921F9">
        <w:rPr>
          <w:rFonts w:cs="Calibri"/>
        </w:rPr>
        <w:t xml:space="preserve">to </w:t>
      </w:r>
      <w:r w:rsidR="00F22EB4">
        <w:rPr>
          <w:rFonts w:cs="Calibri"/>
        </w:rPr>
        <w:t xml:space="preserve">help </w:t>
      </w:r>
      <w:r w:rsidR="00F22EB4">
        <w:t xml:space="preserve">recognise when new information is required or </w:t>
      </w:r>
      <w:r w:rsidR="007921F9">
        <w:t xml:space="preserve">if </w:t>
      </w:r>
      <w:r w:rsidR="00F22EB4">
        <w:t>the information is already held by NOPTA.</w:t>
      </w:r>
    </w:p>
    <w:p w14:paraId="107D366C" w14:textId="77777777" w:rsidR="006F6665" w:rsidRPr="00B138B1" w:rsidRDefault="006F6665" w:rsidP="00C3530A">
      <w:pPr>
        <w:spacing w:line="240" w:lineRule="auto"/>
        <w:rPr>
          <w:b/>
        </w:rPr>
      </w:pPr>
      <w:r w:rsidRPr="00B138B1">
        <w:rPr>
          <w:b/>
        </w:rPr>
        <w:t>Results</w:t>
      </w:r>
      <w:bookmarkEnd w:id="45"/>
      <w:r w:rsidR="002C3F5D" w:rsidRPr="00B138B1">
        <w:rPr>
          <w:b/>
        </w:rPr>
        <w:t xml:space="preserve">: </w:t>
      </w:r>
      <w:r w:rsidR="002C3F5D" w:rsidRPr="00B138B1">
        <w:rPr>
          <w:b/>
        </w:rPr>
        <w:tab/>
      </w:r>
      <w:r w:rsidR="002C3F5D" w:rsidRPr="00B138B1">
        <w:rPr>
          <w:b/>
        </w:rPr>
        <w:fldChar w:fldCharType="begin">
          <w:ffData>
            <w:name w:val="Check1"/>
            <w:enabled/>
            <w:calcOnExit w:val="0"/>
            <w:checkBox>
              <w:sizeAuto/>
              <w:default w:val="1"/>
            </w:checkBox>
          </w:ffData>
        </w:fldChar>
      </w:r>
      <w:r w:rsidR="002C3F5D" w:rsidRPr="00B138B1">
        <w:rPr>
          <w:b/>
        </w:rPr>
        <w:instrText xml:space="preserve"> FORMCHECKBOX </w:instrText>
      </w:r>
      <w:r w:rsidR="003D2B46">
        <w:rPr>
          <w:b/>
        </w:rPr>
      </w:r>
      <w:r w:rsidR="003D2B46">
        <w:rPr>
          <w:b/>
        </w:rPr>
        <w:fldChar w:fldCharType="separate"/>
      </w:r>
      <w:r w:rsidR="002C3F5D" w:rsidRPr="00B138B1">
        <w:rPr>
          <w:b/>
        </w:rPr>
        <w:fldChar w:fldCharType="end"/>
      </w:r>
      <w:r w:rsidR="002C3F5D" w:rsidRPr="00B138B1">
        <w:rPr>
          <w:b/>
        </w:rPr>
        <w:t xml:space="preserve"> Met</w:t>
      </w:r>
      <w:r w:rsidR="002C3F5D" w:rsidRPr="00B138B1">
        <w:rPr>
          <w:b/>
        </w:rPr>
        <w:tab/>
      </w:r>
      <w:r w:rsidR="002C3F5D" w:rsidRPr="00B138B1">
        <w:rPr>
          <w:b/>
        </w:rPr>
        <w:tab/>
      </w:r>
      <w:r w:rsidR="002C3F5D" w:rsidRPr="00B138B1">
        <w:rPr>
          <w:b/>
        </w:rPr>
        <w:fldChar w:fldCharType="begin">
          <w:ffData>
            <w:name w:val="Check2"/>
            <w:enabled/>
            <w:calcOnExit w:val="0"/>
            <w:checkBox>
              <w:sizeAuto/>
              <w:default w:val="0"/>
            </w:checkBox>
          </w:ffData>
        </w:fldChar>
      </w:r>
      <w:r w:rsidR="002C3F5D" w:rsidRPr="00B138B1">
        <w:rPr>
          <w:b/>
        </w:rPr>
        <w:instrText xml:space="preserve"> FORMCHECKBOX </w:instrText>
      </w:r>
      <w:r w:rsidR="003D2B46">
        <w:rPr>
          <w:b/>
        </w:rPr>
      </w:r>
      <w:r w:rsidR="003D2B46">
        <w:rPr>
          <w:b/>
        </w:rPr>
        <w:fldChar w:fldCharType="separate"/>
      </w:r>
      <w:r w:rsidR="002C3F5D" w:rsidRPr="00B138B1">
        <w:rPr>
          <w:b/>
        </w:rPr>
        <w:fldChar w:fldCharType="end"/>
      </w:r>
      <w:r w:rsidR="002C3F5D" w:rsidRPr="00B138B1">
        <w:rPr>
          <w:b/>
        </w:rPr>
        <w:t xml:space="preserve"> Partially Met</w:t>
      </w:r>
      <w:r w:rsidR="002C3F5D" w:rsidRPr="00B138B1">
        <w:rPr>
          <w:b/>
        </w:rPr>
        <w:tab/>
      </w:r>
      <w:r w:rsidR="002C3F5D" w:rsidRPr="00B138B1">
        <w:rPr>
          <w:b/>
        </w:rPr>
        <w:fldChar w:fldCharType="begin">
          <w:ffData>
            <w:name w:val="Check3"/>
            <w:enabled/>
            <w:calcOnExit w:val="0"/>
            <w:checkBox>
              <w:sizeAuto/>
              <w:default w:val="0"/>
            </w:checkBox>
          </w:ffData>
        </w:fldChar>
      </w:r>
      <w:r w:rsidR="002C3F5D" w:rsidRPr="00B138B1">
        <w:rPr>
          <w:b/>
        </w:rPr>
        <w:instrText xml:space="preserve"> FORMCHECKBOX </w:instrText>
      </w:r>
      <w:r w:rsidR="003D2B46">
        <w:rPr>
          <w:b/>
        </w:rPr>
      </w:r>
      <w:r w:rsidR="003D2B46">
        <w:rPr>
          <w:b/>
        </w:rPr>
        <w:fldChar w:fldCharType="separate"/>
      </w:r>
      <w:r w:rsidR="002C3F5D" w:rsidRPr="00B138B1">
        <w:rPr>
          <w:b/>
        </w:rPr>
        <w:fldChar w:fldCharType="end"/>
      </w:r>
      <w:r w:rsidR="002C3F5D" w:rsidRPr="00B138B1">
        <w:rPr>
          <w:b/>
        </w:rPr>
        <w:t xml:space="preserve"> Not Met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6F536E" w14:paraId="6D370294" w14:textId="77777777" w:rsidTr="006F536E">
        <w:tc>
          <w:tcPr>
            <w:tcW w:w="9016" w:type="dxa"/>
            <w:shd w:val="clear" w:color="auto" w:fill="F2F2F2" w:themeFill="background1" w:themeFillShade="F2"/>
          </w:tcPr>
          <w:p w14:paraId="2E9D8D00" w14:textId="25CE8A9C" w:rsidR="006F536E" w:rsidRPr="00FA2581" w:rsidRDefault="006F536E" w:rsidP="00C3530A">
            <w:pPr>
              <w:rPr>
                <w:i/>
              </w:rPr>
            </w:pPr>
            <w:r w:rsidRPr="00FA2581">
              <w:rPr>
                <w:i/>
              </w:rPr>
              <w:t xml:space="preserve">NOPTA assesses that it has met KPI 4. </w:t>
            </w:r>
            <w:r w:rsidR="00584848" w:rsidRPr="00FA2581">
              <w:rPr>
                <w:i/>
              </w:rPr>
              <w:t xml:space="preserve">NOPTA’s compliance and monitoring approaches are continuously improving </w:t>
            </w:r>
            <w:r w:rsidR="00FA2581" w:rsidRPr="00FA2581">
              <w:rPr>
                <w:i/>
              </w:rPr>
              <w:t>due to</w:t>
            </w:r>
            <w:r w:rsidR="00584848" w:rsidRPr="00FA2581">
              <w:rPr>
                <w:i/>
              </w:rPr>
              <w:t xml:space="preserve"> </w:t>
            </w:r>
            <w:r w:rsidR="00FA2581" w:rsidRPr="00FA2581">
              <w:rPr>
                <w:i/>
              </w:rPr>
              <w:t xml:space="preserve">internal review processes, stakeholder </w:t>
            </w:r>
            <w:r w:rsidR="00584848" w:rsidRPr="00FA2581">
              <w:rPr>
                <w:i/>
              </w:rPr>
              <w:t xml:space="preserve">feedback, </w:t>
            </w:r>
            <w:r w:rsidR="00FA2581" w:rsidRPr="00FA2581">
              <w:rPr>
                <w:i/>
              </w:rPr>
              <w:t xml:space="preserve">and </w:t>
            </w:r>
            <w:r w:rsidR="00584848" w:rsidRPr="00FA2581">
              <w:rPr>
                <w:i/>
              </w:rPr>
              <w:t>broader government initiatives. NOPTA has collaborative and consultative relationships with its stakeholders which helps support a shared understanding of how compliance underpins NOPTA’s regulatory, advice and resource management functions.</w:t>
            </w:r>
          </w:p>
        </w:tc>
      </w:tr>
    </w:tbl>
    <w:p w14:paraId="726ACFD7" w14:textId="2A875DE0" w:rsidR="006F536E" w:rsidRDefault="006F536E" w:rsidP="00C3530A">
      <w:pPr>
        <w:spacing w:after="0" w:line="240" w:lineRule="auto"/>
      </w:pPr>
    </w:p>
    <w:p w14:paraId="26291173" w14:textId="64381DB1" w:rsidR="00C27876" w:rsidRDefault="00312AAB" w:rsidP="00FA2581">
      <w:pPr>
        <w:spacing w:after="120" w:line="240" w:lineRule="auto"/>
      </w:pPr>
      <w:r>
        <w:t>During</w:t>
      </w:r>
      <w:r w:rsidR="00C27876">
        <w:t xml:space="preserve"> 2019-20, NOPTA:</w:t>
      </w:r>
    </w:p>
    <w:p w14:paraId="0C4F5AB6" w14:textId="6C3B181E" w:rsidR="00F13C34" w:rsidRPr="00C026CC" w:rsidRDefault="00214804" w:rsidP="00C026CC">
      <w:pPr>
        <w:pStyle w:val="ListParagraph"/>
        <w:numPr>
          <w:ilvl w:val="0"/>
          <w:numId w:val="2"/>
        </w:numPr>
        <w:spacing w:before="0" w:after="120"/>
        <w:ind w:left="426" w:hanging="426"/>
        <w:contextualSpacing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Continued to strengthen </w:t>
      </w:r>
      <w:r w:rsidR="00A27E76">
        <w:rPr>
          <w:rFonts w:asciiTheme="minorHAnsi" w:hAnsiTheme="minorHAnsi" w:cstheme="minorHAnsi"/>
          <w:color w:val="000000"/>
          <w:sz w:val="22"/>
          <w:szCs w:val="22"/>
        </w:rPr>
        <w:t>our</w:t>
      </w:r>
      <w:r w:rsidR="00F13C34" w:rsidRPr="00C026CC">
        <w:rPr>
          <w:rFonts w:asciiTheme="minorHAnsi" w:hAnsiTheme="minorHAnsi" w:cstheme="minorHAnsi"/>
          <w:color w:val="000000"/>
          <w:sz w:val="22"/>
          <w:szCs w:val="22"/>
        </w:rPr>
        <w:t xml:space="preserve"> comprehensive suite of internal processes and procedures which are aligned </w:t>
      </w:r>
      <w:r w:rsidR="00980046">
        <w:rPr>
          <w:rFonts w:asciiTheme="minorHAnsi" w:hAnsiTheme="minorHAnsi" w:cstheme="minorHAnsi"/>
          <w:color w:val="000000"/>
          <w:sz w:val="22"/>
          <w:szCs w:val="22"/>
        </w:rPr>
        <w:t>to</w:t>
      </w:r>
      <w:r w:rsidR="00F13C34" w:rsidRPr="00C026CC">
        <w:rPr>
          <w:rFonts w:asciiTheme="minorHAnsi" w:hAnsiTheme="minorHAnsi" w:cstheme="minorHAnsi"/>
          <w:color w:val="000000"/>
          <w:sz w:val="22"/>
          <w:szCs w:val="22"/>
        </w:rPr>
        <w:t xml:space="preserve"> our</w:t>
      </w:r>
      <w:r w:rsidR="00980046">
        <w:rPr>
          <w:rFonts w:asciiTheme="minorHAnsi" w:hAnsiTheme="minorHAnsi" w:cstheme="minorHAnsi"/>
          <w:color w:val="000000"/>
          <w:sz w:val="22"/>
          <w:szCs w:val="22"/>
        </w:rPr>
        <w:t xml:space="preserve"> specific</w:t>
      </w:r>
      <w:r w:rsidR="00F13C34" w:rsidRPr="00C026CC">
        <w:rPr>
          <w:rFonts w:asciiTheme="minorHAnsi" w:hAnsiTheme="minorHAnsi" w:cstheme="minorHAnsi"/>
          <w:color w:val="000000"/>
          <w:sz w:val="22"/>
          <w:szCs w:val="22"/>
        </w:rPr>
        <w:t xml:space="preserve"> administrative functions under the OPGGSA and associated regulations. This ensures a consistent and coordinated approach to assessments and information requests which minimises burden on stakeholders. </w:t>
      </w:r>
    </w:p>
    <w:p w14:paraId="7DDFB040" w14:textId="1C5242BD" w:rsidR="00F13C34" w:rsidRPr="00C026CC" w:rsidRDefault="005F0D6B" w:rsidP="00C026CC">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sidRPr="00C026CC">
        <w:rPr>
          <w:rFonts w:asciiTheme="minorHAnsi" w:hAnsiTheme="minorHAnsi" w:cstheme="minorHAnsi"/>
          <w:color w:val="auto"/>
          <w:sz w:val="22"/>
          <w:szCs w:val="22"/>
        </w:rPr>
        <w:t>In Q4 2019, i</w:t>
      </w:r>
      <w:r w:rsidR="00F13C34" w:rsidRPr="00C026CC">
        <w:rPr>
          <w:rFonts w:asciiTheme="minorHAnsi" w:hAnsiTheme="minorHAnsi" w:cstheme="minorHAnsi"/>
          <w:color w:val="auto"/>
          <w:sz w:val="22"/>
          <w:szCs w:val="22"/>
        </w:rPr>
        <w:t xml:space="preserve">ntroduced an internal assurance review mechanism which examines and reports on legislative compliance with its processes and procedures. </w:t>
      </w:r>
      <w:r w:rsidR="003F0700">
        <w:rPr>
          <w:rFonts w:asciiTheme="minorHAnsi" w:hAnsiTheme="minorHAnsi" w:cstheme="minorHAnsi"/>
          <w:color w:val="auto"/>
          <w:sz w:val="22"/>
          <w:szCs w:val="22"/>
        </w:rPr>
        <w:t>(see KPI 3)</w:t>
      </w:r>
    </w:p>
    <w:p w14:paraId="79FEBA1A" w14:textId="5504F05E" w:rsidR="005E33F0" w:rsidRPr="00C026CC" w:rsidRDefault="005E33F0" w:rsidP="005E33F0">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sidRPr="00C026CC">
        <w:rPr>
          <w:rFonts w:asciiTheme="minorHAnsi" w:hAnsiTheme="minorHAnsi" w:cstheme="minorHAnsi"/>
          <w:color w:val="auto"/>
          <w:sz w:val="22"/>
          <w:szCs w:val="22"/>
        </w:rPr>
        <w:t xml:space="preserve">In accordance with the Accountable Authority requirements under s16 of the PGPA and the department’s Legislative Compliance Policy, conducted a comprehensive review of </w:t>
      </w:r>
      <w:r>
        <w:rPr>
          <w:rFonts w:asciiTheme="minorHAnsi" w:hAnsiTheme="minorHAnsi" w:cstheme="minorHAnsi"/>
          <w:color w:val="auto"/>
          <w:sz w:val="22"/>
          <w:szCs w:val="22"/>
        </w:rPr>
        <w:t>our</w:t>
      </w:r>
      <w:r w:rsidRPr="00C026CC">
        <w:rPr>
          <w:rFonts w:asciiTheme="minorHAnsi" w:hAnsiTheme="minorHAnsi" w:cstheme="minorHAnsi"/>
          <w:color w:val="auto"/>
          <w:sz w:val="22"/>
          <w:szCs w:val="22"/>
        </w:rPr>
        <w:t xml:space="preserve"> compliance with the OPGGSA and associated regulations. NOPTA assessed that it had effectively managed</w:t>
      </w:r>
      <w:r w:rsidR="00A84989">
        <w:rPr>
          <w:rFonts w:asciiTheme="minorHAnsi" w:hAnsiTheme="minorHAnsi" w:cstheme="minorHAnsi"/>
          <w:color w:val="auto"/>
          <w:sz w:val="22"/>
          <w:szCs w:val="22"/>
        </w:rPr>
        <w:t xml:space="preserve"> its</w:t>
      </w:r>
      <w:r w:rsidRPr="00C026CC">
        <w:rPr>
          <w:rFonts w:asciiTheme="minorHAnsi" w:hAnsiTheme="minorHAnsi" w:cstheme="minorHAnsi"/>
          <w:color w:val="auto"/>
          <w:sz w:val="22"/>
          <w:szCs w:val="22"/>
        </w:rPr>
        <w:t xml:space="preserve"> legislative compliance risks with no instances of non-compliance reported. </w:t>
      </w:r>
    </w:p>
    <w:p w14:paraId="039CAD71" w14:textId="532E962F" w:rsidR="00197145" w:rsidRPr="00C026CC" w:rsidRDefault="00197145" w:rsidP="00C026CC">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sidRPr="00C026CC">
        <w:rPr>
          <w:rFonts w:asciiTheme="minorHAnsi" w:hAnsiTheme="minorHAnsi" w:cstheme="minorHAnsi"/>
          <w:color w:val="auto"/>
          <w:sz w:val="22"/>
          <w:szCs w:val="22"/>
        </w:rPr>
        <w:t xml:space="preserve">NOPTA uses an escalated compliance and enforcement framework which is published on our website. During the reporting period, NOPTA: </w:t>
      </w:r>
    </w:p>
    <w:p w14:paraId="1B616232" w14:textId="52F4C68B" w:rsidR="00C27876" w:rsidRPr="00C026CC" w:rsidRDefault="00C27876" w:rsidP="00FA2581">
      <w:pPr>
        <w:pStyle w:val="ListParagraph"/>
        <w:numPr>
          <w:ilvl w:val="0"/>
          <w:numId w:val="5"/>
        </w:numPr>
        <w:spacing w:before="0" w:after="120"/>
        <w:ind w:left="851" w:hanging="425"/>
        <w:contextualSpacing w:val="0"/>
        <w:rPr>
          <w:rFonts w:asciiTheme="minorHAnsi" w:hAnsiTheme="minorHAnsi" w:cstheme="minorHAnsi"/>
          <w:color w:val="auto"/>
          <w:sz w:val="22"/>
          <w:szCs w:val="22"/>
        </w:rPr>
      </w:pPr>
      <w:r w:rsidRPr="00C026CC">
        <w:rPr>
          <w:rFonts w:asciiTheme="minorHAnsi" w:hAnsiTheme="minorHAnsi" w:cstheme="minorHAnsi"/>
          <w:color w:val="auto"/>
          <w:sz w:val="22"/>
          <w:szCs w:val="22"/>
        </w:rPr>
        <w:t xml:space="preserve">reviewed 43 instances of possible non-compliance with the OPGGSA and regulations with one title being cancelled; another title having cancellation procedures commenced against them; advice being sent to the Joint Authority on three occasions and </w:t>
      </w:r>
      <w:r w:rsidR="00C55A12">
        <w:rPr>
          <w:rFonts w:asciiTheme="minorHAnsi" w:hAnsiTheme="minorHAnsi" w:cstheme="minorHAnsi"/>
          <w:color w:val="auto"/>
          <w:sz w:val="22"/>
          <w:szCs w:val="22"/>
        </w:rPr>
        <w:t>38</w:t>
      </w:r>
      <w:r w:rsidRPr="00C026CC">
        <w:rPr>
          <w:rFonts w:asciiTheme="minorHAnsi" w:hAnsiTheme="minorHAnsi" w:cstheme="minorHAnsi"/>
          <w:color w:val="auto"/>
          <w:sz w:val="22"/>
          <w:szCs w:val="22"/>
        </w:rPr>
        <w:t xml:space="preserve"> instances requiring no further action.</w:t>
      </w:r>
    </w:p>
    <w:p w14:paraId="0200DE9A" w14:textId="3FDE1AF0" w:rsidR="00C27876" w:rsidRPr="00C026CC" w:rsidRDefault="00C27876" w:rsidP="00FA2581">
      <w:pPr>
        <w:pStyle w:val="ListParagraph"/>
        <w:numPr>
          <w:ilvl w:val="0"/>
          <w:numId w:val="5"/>
        </w:numPr>
        <w:spacing w:before="0" w:after="120"/>
        <w:ind w:left="851" w:hanging="425"/>
        <w:contextualSpacing w:val="0"/>
        <w:rPr>
          <w:rFonts w:asciiTheme="minorHAnsi" w:hAnsiTheme="minorHAnsi" w:cstheme="minorHAnsi"/>
          <w:color w:val="auto"/>
          <w:sz w:val="22"/>
          <w:szCs w:val="22"/>
        </w:rPr>
      </w:pPr>
      <w:r w:rsidRPr="00C026CC">
        <w:rPr>
          <w:rFonts w:asciiTheme="minorHAnsi" w:hAnsiTheme="minorHAnsi" w:cstheme="minorHAnsi"/>
          <w:color w:val="auto"/>
          <w:sz w:val="22"/>
          <w:szCs w:val="22"/>
        </w:rPr>
        <w:t>monitored 121 special conditions</w:t>
      </w:r>
      <w:r w:rsidRPr="00C026CC">
        <w:rPr>
          <w:rStyle w:val="FootnoteReference"/>
          <w:rFonts w:asciiTheme="minorHAnsi" w:hAnsiTheme="minorHAnsi" w:cstheme="minorHAnsi"/>
          <w:color w:val="auto"/>
          <w:sz w:val="22"/>
          <w:szCs w:val="22"/>
        </w:rPr>
        <w:footnoteReference w:id="3"/>
      </w:r>
      <w:r w:rsidRPr="00C026CC">
        <w:rPr>
          <w:rFonts w:asciiTheme="minorHAnsi" w:hAnsiTheme="minorHAnsi" w:cstheme="minorHAnsi"/>
          <w:color w:val="auto"/>
          <w:sz w:val="22"/>
          <w:szCs w:val="22"/>
        </w:rPr>
        <w:t xml:space="preserve"> and 76 Joint Authority expectations</w:t>
      </w:r>
      <w:r w:rsidRPr="00C026CC">
        <w:rPr>
          <w:rStyle w:val="FootnoteReference"/>
          <w:rFonts w:asciiTheme="minorHAnsi" w:hAnsiTheme="minorHAnsi" w:cstheme="minorHAnsi"/>
          <w:color w:val="auto"/>
          <w:sz w:val="22"/>
          <w:szCs w:val="22"/>
        </w:rPr>
        <w:footnoteReference w:id="4"/>
      </w:r>
      <w:r w:rsidRPr="00C026CC">
        <w:rPr>
          <w:rFonts w:asciiTheme="minorHAnsi" w:hAnsiTheme="minorHAnsi" w:cstheme="minorHAnsi"/>
          <w:color w:val="auto"/>
          <w:sz w:val="22"/>
          <w:szCs w:val="22"/>
        </w:rPr>
        <w:t xml:space="preserve">.  NOPTA identified two instances of non-compliance during the reporting period. </w:t>
      </w:r>
    </w:p>
    <w:p w14:paraId="22DDC820" w14:textId="136B3D15" w:rsidR="009C23FE" w:rsidRPr="00C026CC" w:rsidRDefault="00C973F3" w:rsidP="00C026CC">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Pr>
          <w:rFonts w:asciiTheme="minorHAnsi" w:hAnsiTheme="minorHAnsi" w:cstheme="minorHAnsi"/>
          <w:color w:val="auto"/>
          <w:sz w:val="22"/>
          <w:szCs w:val="22"/>
        </w:rPr>
        <w:t>E</w:t>
      </w:r>
      <w:r w:rsidR="009C23FE" w:rsidRPr="00C026CC">
        <w:rPr>
          <w:rFonts w:asciiTheme="minorHAnsi" w:hAnsiTheme="minorHAnsi" w:cstheme="minorHAnsi"/>
          <w:color w:val="auto"/>
          <w:sz w:val="22"/>
          <w:szCs w:val="22"/>
        </w:rPr>
        <w:t>ngage</w:t>
      </w:r>
      <w:r>
        <w:rPr>
          <w:rFonts w:asciiTheme="minorHAnsi" w:hAnsiTheme="minorHAnsi" w:cstheme="minorHAnsi"/>
          <w:color w:val="auto"/>
          <w:sz w:val="22"/>
          <w:szCs w:val="22"/>
        </w:rPr>
        <w:t>d regularly</w:t>
      </w:r>
      <w:r w:rsidR="009C23FE" w:rsidRPr="00C026CC">
        <w:rPr>
          <w:rFonts w:asciiTheme="minorHAnsi" w:hAnsiTheme="minorHAnsi" w:cstheme="minorHAnsi"/>
          <w:color w:val="auto"/>
          <w:sz w:val="22"/>
          <w:szCs w:val="22"/>
        </w:rPr>
        <w:t xml:space="preserve"> with NOPSEMA to support compliance monitoring and enforcement of titleholder obligations in relation to offshore oil and gas activities, including matters relating to decommissioning and abandonment. Meetings are held on a quarterly basis and additionally as required</w:t>
      </w:r>
      <w:r w:rsidR="009C23FE" w:rsidRPr="00C026CC">
        <w:rPr>
          <w:rFonts w:asciiTheme="minorHAnsi" w:hAnsiTheme="minorHAnsi" w:cstheme="minorHAnsi"/>
          <w:sz w:val="22"/>
          <w:szCs w:val="22"/>
        </w:rPr>
        <w:t>.</w:t>
      </w:r>
    </w:p>
    <w:p w14:paraId="145C46B7" w14:textId="33468A30" w:rsidR="009C23FE" w:rsidRPr="00C026CC" w:rsidRDefault="00F56BB1" w:rsidP="00C026CC">
      <w:pPr>
        <w:pStyle w:val="ListParagraph"/>
        <w:numPr>
          <w:ilvl w:val="0"/>
          <w:numId w:val="2"/>
        </w:numPr>
        <w:autoSpaceDE w:val="0"/>
        <w:autoSpaceDN w:val="0"/>
        <w:adjustRightInd w:val="0"/>
        <w:spacing w:before="0" w:after="120"/>
        <w:ind w:left="426" w:hanging="426"/>
        <w:contextualSpacing w:val="0"/>
        <w:rPr>
          <w:rFonts w:asciiTheme="minorHAnsi" w:hAnsiTheme="minorHAnsi" w:cstheme="minorHAnsi"/>
          <w:color w:val="auto"/>
          <w:sz w:val="22"/>
          <w:szCs w:val="22"/>
        </w:rPr>
      </w:pPr>
      <w:r w:rsidRPr="00C026CC">
        <w:rPr>
          <w:rFonts w:asciiTheme="minorHAnsi" w:hAnsiTheme="minorHAnsi" w:cstheme="minorHAnsi"/>
          <w:color w:val="auto"/>
          <w:sz w:val="22"/>
          <w:szCs w:val="22"/>
        </w:rPr>
        <w:t>C</w:t>
      </w:r>
      <w:r w:rsidR="009C23FE" w:rsidRPr="00C026CC">
        <w:rPr>
          <w:rFonts w:asciiTheme="minorHAnsi" w:hAnsiTheme="minorHAnsi" w:cstheme="minorHAnsi"/>
          <w:color w:val="auto"/>
          <w:sz w:val="22"/>
          <w:szCs w:val="22"/>
        </w:rPr>
        <w:t>ontinued to collaborate with Geoscience Australia to further develop the National Offshore Petroleum Information Management System (NOPIMS) to deliver an integrated data management system</w:t>
      </w:r>
      <w:r w:rsidR="004C7A52">
        <w:rPr>
          <w:rFonts w:asciiTheme="minorHAnsi" w:hAnsiTheme="minorHAnsi" w:cstheme="minorHAnsi"/>
          <w:color w:val="auto"/>
          <w:sz w:val="22"/>
          <w:szCs w:val="22"/>
        </w:rPr>
        <w:t>; and to</w:t>
      </w:r>
      <w:r w:rsidR="009C23FE" w:rsidRPr="00C026CC">
        <w:rPr>
          <w:rFonts w:asciiTheme="minorHAnsi" w:hAnsiTheme="minorHAnsi" w:cstheme="minorHAnsi"/>
          <w:color w:val="auto"/>
          <w:sz w:val="22"/>
          <w:szCs w:val="22"/>
        </w:rPr>
        <w:t xml:space="preserve"> better manage submissions, monitor compliance, and facilitate open-file release of data. </w:t>
      </w:r>
    </w:p>
    <w:p w14:paraId="43A24020" w14:textId="420E224C" w:rsidR="009C23FE" w:rsidRPr="00C026CC" w:rsidRDefault="009C23FE" w:rsidP="00FA2581">
      <w:pPr>
        <w:pStyle w:val="ListParagraph"/>
        <w:numPr>
          <w:ilvl w:val="0"/>
          <w:numId w:val="5"/>
        </w:numPr>
        <w:spacing w:before="0" w:after="120"/>
        <w:ind w:left="851" w:hanging="425"/>
        <w:contextualSpacing w:val="0"/>
        <w:rPr>
          <w:rFonts w:asciiTheme="minorHAnsi" w:hAnsiTheme="minorHAnsi" w:cstheme="minorHAnsi"/>
          <w:color w:val="auto"/>
          <w:sz w:val="22"/>
          <w:szCs w:val="22"/>
        </w:rPr>
      </w:pPr>
      <w:r w:rsidRPr="00C026CC">
        <w:rPr>
          <w:rFonts w:asciiTheme="minorHAnsi" w:hAnsiTheme="minorHAnsi" w:cstheme="minorHAnsi"/>
          <w:color w:val="auto"/>
          <w:sz w:val="22"/>
          <w:szCs w:val="22"/>
        </w:rPr>
        <w:t xml:space="preserve">The level of outstanding data submissions has </w:t>
      </w:r>
      <w:r w:rsidR="00C54684">
        <w:rPr>
          <w:rFonts w:asciiTheme="minorHAnsi" w:hAnsiTheme="minorHAnsi" w:cstheme="minorHAnsi"/>
          <w:color w:val="auto"/>
          <w:sz w:val="22"/>
          <w:szCs w:val="22"/>
        </w:rPr>
        <w:t>remained</w:t>
      </w:r>
      <w:r w:rsidRPr="00C026CC">
        <w:rPr>
          <w:rFonts w:asciiTheme="minorHAnsi" w:hAnsiTheme="minorHAnsi" w:cstheme="minorHAnsi"/>
          <w:color w:val="auto"/>
          <w:sz w:val="22"/>
          <w:szCs w:val="22"/>
        </w:rPr>
        <w:t xml:space="preserve"> </w:t>
      </w:r>
      <w:r w:rsidR="0060774E">
        <w:rPr>
          <w:rFonts w:asciiTheme="minorHAnsi" w:hAnsiTheme="minorHAnsi" w:cstheme="minorHAnsi"/>
          <w:color w:val="auto"/>
          <w:sz w:val="22"/>
          <w:szCs w:val="22"/>
        </w:rPr>
        <w:t>very low</w:t>
      </w:r>
      <w:r w:rsidRPr="00C026CC">
        <w:rPr>
          <w:rFonts w:asciiTheme="minorHAnsi" w:hAnsiTheme="minorHAnsi" w:cstheme="minorHAnsi"/>
          <w:color w:val="auto"/>
          <w:sz w:val="22"/>
          <w:szCs w:val="22"/>
        </w:rPr>
        <w:t xml:space="preserve"> throughout 201</w:t>
      </w:r>
      <w:r w:rsidR="00C54684">
        <w:rPr>
          <w:rFonts w:asciiTheme="minorHAnsi" w:hAnsiTheme="minorHAnsi" w:cstheme="minorHAnsi"/>
          <w:color w:val="auto"/>
          <w:sz w:val="22"/>
          <w:szCs w:val="22"/>
        </w:rPr>
        <w:t>9</w:t>
      </w:r>
      <w:r w:rsidRPr="00C026CC">
        <w:rPr>
          <w:rFonts w:asciiTheme="minorHAnsi" w:hAnsiTheme="minorHAnsi" w:cstheme="minorHAnsi"/>
          <w:color w:val="auto"/>
          <w:sz w:val="22"/>
          <w:szCs w:val="22"/>
        </w:rPr>
        <w:t>/</w:t>
      </w:r>
      <w:r w:rsidR="00C54684">
        <w:rPr>
          <w:rFonts w:asciiTheme="minorHAnsi" w:hAnsiTheme="minorHAnsi" w:cstheme="minorHAnsi"/>
          <w:color w:val="auto"/>
          <w:sz w:val="22"/>
          <w:szCs w:val="22"/>
        </w:rPr>
        <w:t>20</w:t>
      </w:r>
      <w:r w:rsidRPr="00C026CC">
        <w:rPr>
          <w:rFonts w:asciiTheme="minorHAnsi" w:hAnsiTheme="minorHAnsi" w:cstheme="minorHAnsi"/>
          <w:color w:val="auto"/>
          <w:sz w:val="22"/>
          <w:szCs w:val="22"/>
        </w:rPr>
        <w:t xml:space="preserve">. </w:t>
      </w:r>
    </w:p>
    <w:p w14:paraId="46D6056F" w14:textId="3C914DE6" w:rsidR="00016ABE" w:rsidRDefault="00FA2581" w:rsidP="00016ABE">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Pr>
          <w:rFonts w:asciiTheme="minorHAnsi" w:hAnsiTheme="minorHAnsi" w:cstheme="minorHAnsi"/>
          <w:color w:val="auto"/>
          <w:sz w:val="22"/>
          <w:szCs w:val="22"/>
        </w:rPr>
        <w:t xml:space="preserve">Continued to </w:t>
      </w:r>
      <w:r w:rsidR="00016ABE" w:rsidRPr="00016ABE">
        <w:rPr>
          <w:rFonts w:asciiTheme="minorHAnsi" w:hAnsiTheme="minorHAnsi" w:cstheme="minorHAnsi"/>
          <w:color w:val="auto"/>
          <w:sz w:val="22"/>
          <w:szCs w:val="22"/>
        </w:rPr>
        <w:t xml:space="preserve">benchmark </w:t>
      </w:r>
      <w:r w:rsidRPr="00016ABE">
        <w:rPr>
          <w:rFonts w:asciiTheme="minorHAnsi" w:hAnsiTheme="minorHAnsi" w:cstheme="minorHAnsi"/>
          <w:color w:val="auto"/>
          <w:sz w:val="22"/>
          <w:szCs w:val="22"/>
        </w:rPr>
        <w:t>data submitted by titleholders for wells and survey activities</w:t>
      </w:r>
      <w:r w:rsidR="00016ABE" w:rsidRPr="00016ABE">
        <w:rPr>
          <w:rFonts w:asciiTheme="minorHAnsi" w:hAnsiTheme="minorHAnsi" w:cstheme="minorHAnsi"/>
          <w:color w:val="auto"/>
          <w:sz w:val="22"/>
          <w:szCs w:val="22"/>
        </w:rPr>
        <w:t xml:space="preserve">. Analysis </w:t>
      </w:r>
      <w:r w:rsidR="00F737FC">
        <w:rPr>
          <w:rFonts w:asciiTheme="minorHAnsi" w:hAnsiTheme="minorHAnsi" w:cstheme="minorHAnsi"/>
          <w:color w:val="auto"/>
          <w:sz w:val="22"/>
          <w:szCs w:val="22"/>
        </w:rPr>
        <w:t xml:space="preserve">allows for the effective comparison of </w:t>
      </w:r>
      <w:r w:rsidR="00F737FC" w:rsidRPr="00016ABE">
        <w:rPr>
          <w:rFonts w:asciiTheme="minorHAnsi" w:hAnsiTheme="minorHAnsi" w:cstheme="minorHAnsi"/>
          <w:color w:val="auto"/>
          <w:sz w:val="22"/>
          <w:szCs w:val="22"/>
        </w:rPr>
        <w:t>performance</w:t>
      </w:r>
      <w:r w:rsidR="00206ADC">
        <w:rPr>
          <w:rFonts w:asciiTheme="minorHAnsi" w:hAnsiTheme="minorHAnsi" w:cstheme="minorHAnsi"/>
          <w:color w:val="auto"/>
          <w:sz w:val="22"/>
          <w:szCs w:val="22"/>
        </w:rPr>
        <w:t>;</w:t>
      </w:r>
      <w:r w:rsidR="00F737FC">
        <w:rPr>
          <w:rFonts w:asciiTheme="minorHAnsi" w:hAnsiTheme="minorHAnsi" w:cstheme="minorHAnsi"/>
          <w:color w:val="auto"/>
          <w:sz w:val="22"/>
          <w:szCs w:val="22"/>
        </w:rPr>
        <w:t xml:space="preserve"> </w:t>
      </w:r>
      <w:r w:rsidR="00016ABE" w:rsidRPr="00016ABE">
        <w:rPr>
          <w:rFonts w:asciiTheme="minorHAnsi" w:hAnsiTheme="minorHAnsi" w:cstheme="minorHAnsi"/>
          <w:color w:val="auto"/>
          <w:sz w:val="22"/>
          <w:szCs w:val="22"/>
        </w:rPr>
        <w:t>provides a factual basis for titleholder discussions</w:t>
      </w:r>
      <w:r w:rsidR="00206ADC">
        <w:rPr>
          <w:rFonts w:asciiTheme="minorHAnsi" w:hAnsiTheme="minorHAnsi" w:cstheme="minorHAnsi"/>
          <w:color w:val="auto"/>
          <w:sz w:val="22"/>
          <w:szCs w:val="22"/>
        </w:rPr>
        <w:t>;</w:t>
      </w:r>
      <w:r w:rsidR="00016ABE" w:rsidRPr="00016ABE">
        <w:rPr>
          <w:rFonts w:asciiTheme="minorHAnsi" w:hAnsiTheme="minorHAnsi" w:cstheme="minorHAnsi"/>
          <w:color w:val="auto"/>
          <w:sz w:val="22"/>
          <w:szCs w:val="22"/>
        </w:rPr>
        <w:t xml:space="preserve"> </w:t>
      </w:r>
      <w:r w:rsidR="00F737FC">
        <w:rPr>
          <w:rFonts w:asciiTheme="minorHAnsi" w:hAnsiTheme="minorHAnsi" w:cstheme="minorHAnsi"/>
          <w:color w:val="auto"/>
          <w:sz w:val="22"/>
          <w:szCs w:val="22"/>
        </w:rPr>
        <w:t xml:space="preserve">and </w:t>
      </w:r>
      <w:r w:rsidR="00016ABE" w:rsidRPr="00016ABE">
        <w:rPr>
          <w:rFonts w:asciiTheme="minorHAnsi" w:hAnsiTheme="minorHAnsi" w:cstheme="minorHAnsi"/>
          <w:color w:val="auto"/>
          <w:sz w:val="22"/>
          <w:szCs w:val="22"/>
        </w:rPr>
        <w:t>is helping to inform where regulatory change could remove burden and improve submissions and data quality.</w:t>
      </w:r>
    </w:p>
    <w:p w14:paraId="45767EDF" w14:textId="74463580" w:rsidR="003E5E17" w:rsidRDefault="003E5E17" w:rsidP="00016ABE">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sidRPr="00452893">
        <w:rPr>
          <w:rFonts w:asciiTheme="minorHAnsi" w:hAnsiTheme="minorHAnsi" w:cstheme="minorHAnsi"/>
          <w:color w:val="auto"/>
          <w:sz w:val="22"/>
          <w:szCs w:val="22"/>
        </w:rPr>
        <w:t xml:space="preserve">Continued to consolidate efforts to systematically </w:t>
      </w:r>
      <w:r w:rsidR="007F42C7">
        <w:rPr>
          <w:rFonts w:asciiTheme="minorHAnsi" w:hAnsiTheme="minorHAnsi" w:cstheme="minorHAnsi"/>
          <w:color w:val="auto"/>
          <w:sz w:val="22"/>
          <w:szCs w:val="22"/>
        </w:rPr>
        <w:t>analyse, compare and assess</w:t>
      </w:r>
      <w:r w:rsidRPr="00452893">
        <w:rPr>
          <w:rFonts w:asciiTheme="minorHAnsi" w:hAnsiTheme="minorHAnsi" w:cstheme="minorHAnsi"/>
          <w:color w:val="auto"/>
          <w:sz w:val="22"/>
          <w:szCs w:val="22"/>
        </w:rPr>
        <w:t xml:space="preserve"> industry performance</w:t>
      </w:r>
      <w:r w:rsidR="00AE2417">
        <w:rPr>
          <w:rFonts w:asciiTheme="minorHAnsi" w:hAnsiTheme="minorHAnsi" w:cstheme="minorHAnsi"/>
          <w:color w:val="auto"/>
          <w:sz w:val="22"/>
          <w:szCs w:val="22"/>
        </w:rPr>
        <w:t xml:space="preserve"> in relation to reservoir, field and facilities performance</w:t>
      </w:r>
      <w:r w:rsidRPr="00452893">
        <w:rPr>
          <w:rFonts w:asciiTheme="minorHAnsi" w:hAnsiTheme="minorHAnsi" w:cstheme="minorHAnsi"/>
          <w:color w:val="auto"/>
          <w:sz w:val="22"/>
          <w:szCs w:val="22"/>
        </w:rPr>
        <w:t xml:space="preserve">. Various benchmarking metrics have been developed for internal performance monitoring purposes, via a dedicated database, which </w:t>
      </w:r>
      <w:r w:rsidR="00E6055A">
        <w:rPr>
          <w:rFonts w:asciiTheme="minorHAnsi" w:hAnsiTheme="minorHAnsi" w:cstheme="minorHAnsi"/>
          <w:color w:val="auto"/>
          <w:sz w:val="22"/>
          <w:szCs w:val="22"/>
        </w:rPr>
        <w:t>may</w:t>
      </w:r>
      <w:r w:rsidR="00E6055A" w:rsidRPr="00452893">
        <w:rPr>
          <w:rFonts w:asciiTheme="minorHAnsi" w:hAnsiTheme="minorHAnsi" w:cstheme="minorHAnsi"/>
          <w:color w:val="auto"/>
          <w:sz w:val="22"/>
          <w:szCs w:val="22"/>
        </w:rPr>
        <w:t xml:space="preserve"> </w:t>
      </w:r>
      <w:r w:rsidRPr="00452893">
        <w:rPr>
          <w:rFonts w:asciiTheme="minorHAnsi" w:hAnsiTheme="minorHAnsi" w:cstheme="minorHAnsi"/>
          <w:color w:val="auto"/>
          <w:sz w:val="22"/>
          <w:szCs w:val="22"/>
        </w:rPr>
        <w:t>ultimately assist with industry efforts to improve production and cost efficiency</w:t>
      </w:r>
      <w:r>
        <w:rPr>
          <w:rFonts w:asciiTheme="minorHAnsi" w:hAnsiTheme="minorHAnsi" w:cstheme="minorHAnsi"/>
          <w:color w:val="auto"/>
          <w:sz w:val="22"/>
          <w:szCs w:val="22"/>
        </w:rPr>
        <w:t>.</w:t>
      </w:r>
      <w:r w:rsidR="00FD3C7D">
        <w:rPr>
          <w:rFonts w:asciiTheme="minorHAnsi" w:hAnsiTheme="minorHAnsi" w:cstheme="minorHAnsi"/>
          <w:color w:val="auto"/>
          <w:sz w:val="22"/>
          <w:szCs w:val="22"/>
        </w:rPr>
        <w:t xml:space="preserve"> During the year NOPTA has begun to share insights from this work with industry to inform and encourage engagement on measures to improve project outcomes. </w:t>
      </w:r>
    </w:p>
    <w:p w14:paraId="4EC5947E" w14:textId="3DF73650" w:rsidR="005E33F0" w:rsidRPr="00C951FC" w:rsidRDefault="005E33F0" w:rsidP="005E33F0">
      <w:pPr>
        <w:pStyle w:val="ListParagraph"/>
        <w:numPr>
          <w:ilvl w:val="0"/>
          <w:numId w:val="2"/>
        </w:numPr>
        <w:spacing w:before="0" w:after="120"/>
        <w:ind w:left="426" w:hanging="426"/>
        <w:contextualSpacing w:val="0"/>
        <w:rPr>
          <w:rFonts w:asciiTheme="minorHAnsi" w:hAnsiTheme="minorHAnsi" w:cstheme="minorHAnsi"/>
          <w:color w:val="auto"/>
          <w:sz w:val="22"/>
          <w:szCs w:val="22"/>
        </w:rPr>
      </w:pPr>
      <w:bookmarkStart w:id="46" w:name="_Toc497215484"/>
      <w:r>
        <w:rPr>
          <w:rFonts w:asciiTheme="minorHAnsi" w:hAnsiTheme="minorHAnsi" w:cstheme="minorHAnsi"/>
          <w:color w:val="auto"/>
          <w:sz w:val="22"/>
          <w:szCs w:val="22"/>
        </w:rPr>
        <w:t>Finalised the</w:t>
      </w:r>
      <w:r w:rsidRPr="00C951FC">
        <w:rPr>
          <w:rFonts w:asciiTheme="minorHAnsi" w:hAnsiTheme="minorHAnsi" w:cstheme="minorHAnsi"/>
          <w:color w:val="auto"/>
          <w:sz w:val="22"/>
          <w:szCs w:val="22"/>
        </w:rPr>
        <w:t xml:space="preserve"> South East Australia Commerciality</w:t>
      </w:r>
      <w:r w:rsidR="00004CCC">
        <w:rPr>
          <w:rFonts w:asciiTheme="minorHAnsi" w:hAnsiTheme="minorHAnsi" w:cstheme="minorHAnsi"/>
          <w:color w:val="auto"/>
          <w:sz w:val="22"/>
          <w:szCs w:val="22"/>
        </w:rPr>
        <w:t xml:space="preserve"> review</w:t>
      </w:r>
      <w:r w:rsidRPr="00C951FC">
        <w:rPr>
          <w:rFonts w:asciiTheme="minorHAnsi" w:hAnsiTheme="minorHAnsi" w:cstheme="minorHAnsi"/>
          <w:color w:val="auto"/>
          <w:sz w:val="22"/>
          <w:szCs w:val="22"/>
        </w:rPr>
        <w:t xml:space="preserve">. The review was provided to the relevant Joint Authority Ministers and considered the commercial viability of developing discovered and undiscovered natural gas resources within retention leases and production licences in the Victorian and Tasmanian offshore waters administered by the Commonwealth. </w:t>
      </w:r>
    </w:p>
    <w:p w14:paraId="1C30C7D4" w14:textId="166EE37D" w:rsidR="00BE5156" w:rsidRDefault="00BE5156" w:rsidP="00C3530A">
      <w:pPr>
        <w:spacing w:after="0" w:line="240" w:lineRule="auto"/>
      </w:pPr>
    </w:p>
    <w:p w14:paraId="327283B7" w14:textId="77777777" w:rsidR="0071654F" w:rsidRDefault="0071654F" w:rsidP="00C3530A">
      <w:pPr>
        <w:pBdr>
          <w:bottom w:val="single" w:sz="6" w:space="1" w:color="auto"/>
        </w:pBdr>
        <w:spacing w:after="0" w:line="240" w:lineRule="auto"/>
      </w:pPr>
    </w:p>
    <w:p w14:paraId="60BC99C6" w14:textId="77777777" w:rsidR="006352F3" w:rsidRPr="006352F3" w:rsidRDefault="006352F3" w:rsidP="00C3530A">
      <w:pPr>
        <w:spacing w:after="0" w:line="240" w:lineRule="auto"/>
      </w:pPr>
    </w:p>
    <w:p w14:paraId="7BB7705F" w14:textId="3C119D6C" w:rsidR="00451963" w:rsidRDefault="00451963" w:rsidP="00C3530A">
      <w:pPr>
        <w:spacing w:after="0" w:line="240" w:lineRule="auto"/>
      </w:pPr>
    </w:p>
    <w:p w14:paraId="346D1DF8" w14:textId="77777777" w:rsidR="00FA2581" w:rsidRDefault="00FA2581">
      <w:pPr>
        <w:rPr>
          <w:rFonts w:eastAsiaTheme="majorEastAsia" w:cstheme="majorBidi"/>
          <w:b/>
          <w:color w:val="1F4E79" w:themeColor="accent1" w:themeShade="80"/>
          <w:sz w:val="26"/>
          <w:szCs w:val="26"/>
        </w:rPr>
      </w:pPr>
      <w:r>
        <w:rPr>
          <w:color w:val="1F4E79" w:themeColor="accent1" w:themeShade="80"/>
        </w:rPr>
        <w:br w:type="page"/>
      </w:r>
    </w:p>
    <w:p w14:paraId="60749F97" w14:textId="15994808" w:rsidR="00772396" w:rsidRPr="00290DAE" w:rsidRDefault="006F6665" w:rsidP="00C3530A">
      <w:pPr>
        <w:pStyle w:val="Heading2"/>
        <w:jc w:val="left"/>
        <w:rPr>
          <w:color w:val="1F3864" w:themeColor="accent5" w:themeShade="80"/>
        </w:rPr>
      </w:pPr>
      <w:bookmarkStart w:id="47" w:name="_Toc54610431"/>
      <w:r w:rsidRPr="00290DAE">
        <w:rPr>
          <w:color w:val="1F3864" w:themeColor="accent5" w:themeShade="80"/>
        </w:rPr>
        <w:t>KPI 5: Regulators are open and transparent in their dealings with regulated entities</w:t>
      </w:r>
      <w:bookmarkStart w:id="48" w:name="_Toc497215485"/>
      <w:bookmarkEnd w:id="46"/>
      <w:bookmarkEnd w:id="47"/>
    </w:p>
    <w:p w14:paraId="751B440F" w14:textId="77777777" w:rsidR="006F6665" w:rsidRPr="00290DAE" w:rsidRDefault="006F6665" w:rsidP="00C3530A">
      <w:pPr>
        <w:pStyle w:val="Heading3"/>
        <w:jc w:val="left"/>
        <w:rPr>
          <w:color w:val="1F3864" w:themeColor="accent5" w:themeShade="80"/>
        </w:rPr>
      </w:pPr>
      <w:bookmarkStart w:id="49" w:name="_Toc54610432"/>
      <w:r w:rsidRPr="00290DAE">
        <w:rPr>
          <w:color w:val="1F3864" w:themeColor="accent5" w:themeShade="80"/>
        </w:rPr>
        <w:t>KPI Expectations</w:t>
      </w:r>
      <w:bookmarkEnd w:id="48"/>
      <w:bookmarkEnd w:id="49"/>
    </w:p>
    <w:p w14:paraId="03F3906B" w14:textId="7CF4093A" w:rsidR="00772396" w:rsidRDefault="006F6665" w:rsidP="00C3530A">
      <w:pPr>
        <w:spacing w:after="0" w:line="240" w:lineRule="auto"/>
      </w:pPr>
      <w:r w:rsidRPr="00772396">
        <w:t>Where possible, regulators clearly communicate the evidence base and approach used in decision-making processes. Transparency provides the regulated entity and broader community with greater confidence and understanding of the regulator’s role.</w:t>
      </w:r>
      <w:bookmarkStart w:id="50" w:name="_Toc497215486"/>
    </w:p>
    <w:p w14:paraId="31F8012F" w14:textId="77777777" w:rsidR="006F6665" w:rsidRPr="00290DAE" w:rsidRDefault="006F6665" w:rsidP="00C3530A">
      <w:pPr>
        <w:pStyle w:val="Heading3"/>
        <w:jc w:val="left"/>
        <w:rPr>
          <w:color w:val="1F3864" w:themeColor="accent5" w:themeShade="80"/>
        </w:rPr>
      </w:pPr>
      <w:bookmarkStart w:id="51" w:name="_Toc54610433"/>
      <w:r w:rsidRPr="00290DAE">
        <w:rPr>
          <w:color w:val="1F3864" w:themeColor="accent5" w:themeShade="80"/>
        </w:rPr>
        <w:t>NOPTA’s Approach</w:t>
      </w:r>
      <w:bookmarkEnd w:id="50"/>
      <w:bookmarkEnd w:id="51"/>
      <w:r w:rsidRPr="00290DAE">
        <w:rPr>
          <w:color w:val="1F3864" w:themeColor="accent5" w:themeShade="80"/>
        </w:rPr>
        <w:t xml:space="preserve"> </w:t>
      </w:r>
    </w:p>
    <w:p w14:paraId="12523747" w14:textId="06056F5A" w:rsidR="00B37EF5" w:rsidRPr="00B37EF5" w:rsidRDefault="00B17DDC" w:rsidP="00C3530A">
      <w:pPr>
        <w:spacing w:line="240" w:lineRule="auto"/>
      </w:pPr>
      <w:bookmarkStart w:id="52" w:name="_Toc497215487"/>
      <w:r>
        <w:t xml:space="preserve">NOPTA </w:t>
      </w:r>
      <w:r w:rsidR="00B37EF5" w:rsidRPr="00B37EF5">
        <w:t>exercise</w:t>
      </w:r>
      <w:r>
        <w:t>s its</w:t>
      </w:r>
      <w:r w:rsidR="00B37EF5" w:rsidRPr="00B37EF5">
        <w:t xml:space="preserve"> functions and powers under the OPGGSA,</w:t>
      </w:r>
      <w:r w:rsidR="00B37EF5">
        <w:t xml:space="preserve"> </w:t>
      </w:r>
      <w:r w:rsidR="00B37EF5" w:rsidRPr="00B37EF5">
        <w:t xml:space="preserve">associated regulations and other applicable laws in good faith and to the best of </w:t>
      </w:r>
      <w:r>
        <w:t>its</w:t>
      </w:r>
      <w:r w:rsidRPr="00B37EF5">
        <w:t xml:space="preserve"> </w:t>
      </w:r>
      <w:r w:rsidR="00B37EF5" w:rsidRPr="00B37EF5">
        <w:t>ability</w:t>
      </w:r>
      <w:r w:rsidR="006F66AA">
        <w:t xml:space="preserve">. </w:t>
      </w:r>
      <w:r>
        <w:t>It is</w:t>
      </w:r>
      <w:r w:rsidR="00B37EF5" w:rsidRPr="00B37EF5">
        <w:t xml:space="preserve"> responsive, consultative, accountable and transparent.</w:t>
      </w:r>
      <w:r w:rsidR="00B37EF5">
        <w:t xml:space="preserve"> </w:t>
      </w:r>
      <w:r>
        <w:t xml:space="preserve">NOPTA </w:t>
      </w:r>
      <w:r w:rsidR="00B37EF5" w:rsidRPr="008F7CE0">
        <w:t>make</w:t>
      </w:r>
      <w:r>
        <w:t>s</w:t>
      </w:r>
      <w:r w:rsidR="00B37EF5" w:rsidRPr="008F7CE0">
        <w:t xml:space="preserve"> decisions and recommendations based on the </w:t>
      </w:r>
      <w:r w:rsidR="00D0538E">
        <w:t xml:space="preserve">merits of the </w:t>
      </w:r>
      <w:r w:rsidR="00180D2A">
        <w:t>information</w:t>
      </w:r>
      <w:r w:rsidR="00B37EF5" w:rsidRPr="008F7CE0">
        <w:t xml:space="preserve"> with which it is presented.</w:t>
      </w:r>
    </w:p>
    <w:p w14:paraId="771F520A" w14:textId="77777777" w:rsidR="006F6665" w:rsidRPr="00B138B1" w:rsidRDefault="006F6665" w:rsidP="00C3530A">
      <w:pPr>
        <w:spacing w:line="240" w:lineRule="auto"/>
        <w:rPr>
          <w:b/>
        </w:rPr>
      </w:pPr>
      <w:r w:rsidRPr="00B138B1">
        <w:rPr>
          <w:b/>
        </w:rPr>
        <w:t>Results</w:t>
      </w:r>
      <w:bookmarkEnd w:id="52"/>
      <w:r w:rsidR="002C3F5D" w:rsidRPr="00B138B1">
        <w:rPr>
          <w:b/>
        </w:rPr>
        <w:t xml:space="preserve">: </w:t>
      </w:r>
      <w:r w:rsidR="002C3F5D" w:rsidRPr="00B138B1">
        <w:rPr>
          <w:b/>
        </w:rPr>
        <w:tab/>
      </w:r>
      <w:r w:rsidR="002C3F5D" w:rsidRPr="00B138B1">
        <w:rPr>
          <w:b/>
        </w:rPr>
        <w:fldChar w:fldCharType="begin">
          <w:ffData>
            <w:name w:val="Check1"/>
            <w:enabled/>
            <w:calcOnExit w:val="0"/>
            <w:checkBox>
              <w:sizeAuto/>
              <w:default w:val="1"/>
            </w:checkBox>
          </w:ffData>
        </w:fldChar>
      </w:r>
      <w:r w:rsidR="002C3F5D" w:rsidRPr="00B138B1">
        <w:rPr>
          <w:b/>
        </w:rPr>
        <w:instrText xml:space="preserve"> FORMCHECKBOX </w:instrText>
      </w:r>
      <w:r w:rsidR="003D2B46">
        <w:rPr>
          <w:b/>
        </w:rPr>
      </w:r>
      <w:r w:rsidR="003D2B46">
        <w:rPr>
          <w:b/>
        </w:rPr>
        <w:fldChar w:fldCharType="separate"/>
      </w:r>
      <w:r w:rsidR="002C3F5D" w:rsidRPr="00B138B1">
        <w:rPr>
          <w:b/>
        </w:rPr>
        <w:fldChar w:fldCharType="end"/>
      </w:r>
      <w:r w:rsidR="002C3F5D" w:rsidRPr="00B138B1">
        <w:rPr>
          <w:b/>
        </w:rPr>
        <w:t xml:space="preserve"> Met</w:t>
      </w:r>
      <w:r w:rsidR="002C3F5D" w:rsidRPr="00B138B1">
        <w:rPr>
          <w:b/>
        </w:rPr>
        <w:tab/>
      </w:r>
      <w:r w:rsidR="002C3F5D" w:rsidRPr="00B138B1">
        <w:rPr>
          <w:b/>
        </w:rPr>
        <w:tab/>
      </w:r>
      <w:r w:rsidR="002C3F5D" w:rsidRPr="00B138B1">
        <w:rPr>
          <w:b/>
        </w:rPr>
        <w:fldChar w:fldCharType="begin">
          <w:ffData>
            <w:name w:val="Check2"/>
            <w:enabled/>
            <w:calcOnExit w:val="0"/>
            <w:checkBox>
              <w:sizeAuto/>
              <w:default w:val="0"/>
            </w:checkBox>
          </w:ffData>
        </w:fldChar>
      </w:r>
      <w:r w:rsidR="002C3F5D" w:rsidRPr="00B138B1">
        <w:rPr>
          <w:b/>
        </w:rPr>
        <w:instrText xml:space="preserve"> FORMCHECKBOX </w:instrText>
      </w:r>
      <w:r w:rsidR="003D2B46">
        <w:rPr>
          <w:b/>
        </w:rPr>
      </w:r>
      <w:r w:rsidR="003D2B46">
        <w:rPr>
          <w:b/>
        </w:rPr>
        <w:fldChar w:fldCharType="separate"/>
      </w:r>
      <w:r w:rsidR="002C3F5D" w:rsidRPr="00B138B1">
        <w:rPr>
          <w:b/>
        </w:rPr>
        <w:fldChar w:fldCharType="end"/>
      </w:r>
      <w:r w:rsidR="002C3F5D" w:rsidRPr="00B138B1">
        <w:rPr>
          <w:b/>
        </w:rPr>
        <w:t xml:space="preserve"> Partially Met</w:t>
      </w:r>
      <w:r w:rsidR="002C3F5D" w:rsidRPr="00B138B1">
        <w:rPr>
          <w:b/>
        </w:rPr>
        <w:tab/>
      </w:r>
      <w:r w:rsidR="002C3F5D" w:rsidRPr="00B138B1">
        <w:rPr>
          <w:b/>
        </w:rPr>
        <w:fldChar w:fldCharType="begin">
          <w:ffData>
            <w:name w:val="Check3"/>
            <w:enabled/>
            <w:calcOnExit w:val="0"/>
            <w:checkBox>
              <w:sizeAuto/>
              <w:default w:val="0"/>
            </w:checkBox>
          </w:ffData>
        </w:fldChar>
      </w:r>
      <w:r w:rsidR="002C3F5D" w:rsidRPr="00B138B1">
        <w:rPr>
          <w:b/>
        </w:rPr>
        <w:instrText xml:space="preserve"> FORMCHECKBOX </w:instrText>
      </w:r>
      <w:r w:rsidR="003D2B46">
        <w:rPr>
          <w:b/>
        </w:rPr>
      </w:r>
      <w:r w:rsidR="003D2B46">
        <w:rPr>
          <w:b/>
        </w:rPr>
        <w:fldChar w:fldCharType="separate"/>
      </w:r>
      <w:r w:rsidR="002C3F5D" w:rsidRPr="00B138B1">
        <w:rPr>
          <w:b/>
        </w:rPr>
        <w:fldChar w:fldCharType="end"/>
      </w:r>
      <w:r w:rsidR="002C3F5D" w:rsidRPr="00B138B1">
        <w:rPr>
          <w:b/>
        </w:rPr>
        <w:t xml:space="preserve"> Not Met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1D5100" w:rsidRPr="001D5100" w14:paraId="6CD0D873" w14:textId="77777777" w:rsidTr="00E45C1E">
        <w:tc>
          <w:tcPr>
            <w:tcW w:w="9016" w:type="dxa"/>
            <w:shd w:val="clear" w:color="auto" w:fill="F2F2F2" w:themeFill="background1" w:themeFillShade="F2"/>
          </w:tcPr>
          <w:p w14:paraId="079B5321" w14:textId="1B6DB22F" w:rsidR="00925962" w:rsidRPr="00E45C1E" w:rsidRDefault="001D5100" w:rsidP="00925962">
            <w:pPr>
              <w:rPr>
                <w:i/>
              </w:rPr>
            </w:pPr>
            <w:r w:rsidRPr="00E45C1E">
              <w:rPr>
                <w:i/>
              </w:rPr>
              <w:t xml:space="preserve">NOPTA assesses that it has met KPI 5. </w:t>
            </w:r>
            <w:r w:rsidR="00925962" w:rsidRPr="00925962">
              <w:rPr>
                <w:i/>
              </w:rPr>
              <w:t>This has been achieved through regular communication and consultation with our stakeholders, and the publication of information relevant to our performance and strategic objectives.</w:t>
            </w:r>
            <w:r w:rsidR="00925962">
              <w:rPr>
                <w:i/>
                <w:iCs/>
              </w:rPr>
              <w:t xml:space="preserve"> </w:t>
            </w:r>
          </w:p>
        </w:tc>
      </w:tr>
    </w:tbl>
    <w:p w14:paraId="7C96F285" w14:textId="77777777" w:rsidR="00925962" w:rsidRDefault="00925962" w:rsidP="00D41F90">
      <w:pPr>
        <w:spacing w:after="0" w:line="240" w:lineRule="auto"/>
      </w:pPr>
      <w:bookmarkStart w:id="53" w:name="_Toc497215488"/>
    </w:p>
    <w:p w14:paraId="2103ACB1" w14:textId="437F1DD5" w:rsidR="000D7A1B" w:rsidRPr="000D7A1B" w:rsidRDefault="000D7A1B" w:rsidP="000D7A1B">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sidRPr="000D7A1B">
        <w:rPr>
          <w:rFonts w:asciiTheme="minorHAnsi" w:hAnsiTheme="minorHAnsi" w:cstheme="minorHAnsi"/>
          <w:color w:val="auto"/>
          <w:sz w:val="22"/>
          <w:szCs w:val="22"/>
        </w:rPr>
        <w:t xml:space="preserve">NOPTA </w:t>
      </w:r>
      <w:r w:rsidR="00D15CFF">
        <w:rPr>
          <w:rFonts w:asciiTheme="minorHAnsi" w:hAnsiTheme="minorHAnsi" w:cstheme="minorHAnsi"/>
          <w:color w:val="auto"/>
          <w:sz w:val="22"/>
          <w:szCs w:val="22"/>
        </w:rPr>
        <w:t xml:space="preserve">has developed and </w:t>
      </w:r>
      <w:r w:rsidRPr="000D7A1B">
        <w:rPr>
          <w:rFonts w:asciiTheme="minorHAnsi" w:hAnsiTheme="minorHAnsi" w:cstheme="minorHAnsi"/>
          <w:color w:val="auto"/>
          <w:sz w:val="22"/>
          <w:szCs w:val="22"/>
        </w:rPr>
        <w:t>publishe</w:t>
      </w:r>
      <w:r w:rsidR="00D15CFF">
        <w:rPr>
          <w:rFonts w:asciiTheme="minorHAnsi" w:hAnsiTheme="minorHAnsi" w:cstheme="minorHAnsi"/>
          <w:color w:val="auto"/>
          <w:sz w:val="22"/>
          <w:szCs w:val="22"/>
        </w:rPr>
        <w:t>d</w:t>
      </w:r>
      <w:r w:rsidRPr="000D7A1B">
        <w:rPr>
          <w:rFonts w:asciiTheme="minorHAnsi" w:hAnsiTheme="minorHAnsi" w:cstheme="minorHAnsi"/>
          <w:color w:val="auto"/>
          <w:sz w:val="22"/>
          <w:szCs w:val="22"/>
        </w:rPr>
        <w:t xml:space="preserve"> a comprehensive suite of guidelines</w:t>
      </w:r>
      <w:r w:rsidR="00D15CFF">
        <w:rPr>
          <w:rStyle w:val="FootnoteReference"/>
          <w:rFonts w:asciiTheme="minorHAnsi" w:hAnsiTheme="minorHAnsi" w:cstheme="minorHAnsi"/>
          <w:color w:val="auto"/>
          <w:sz w:val="22"/>
          <w:szCs w:val="22"/>
        </w:rPr>
        <w:footnoteReference w:id="5"/>
      </w:r>
      <w:r w:rsidRPr="000D7A1B">
        <w:rPr>
          <w:rFonts w:asciiTheme="minorHAnsi" w:hAnsiTheme="minorHAnsi" w:cstheme="minorHAnsi"/>
          <w:color w:val="auto"/>
          <w:sz w:val="22"/>
          <w:szCs w:val="22"/>
        </w:rPr>
        <w:t xml:space="preserve"> and factsheets to provide clarity with respect to specific legislative and regulatory processes. External guidance material is reviewed and updated (as required) on a periodic basis. Where relevant, stakeholders are consulted in the review process.  </w:t>
      </w:r>
    </w:p>
    <w:p w14:paraId="6D3D3DB8" w14:textId="7DC83F6D" w:rsidR="00CA6B72" w:rsidRPr="000D7A1B" w:rsidRDefault="00CA6B72" w:rsidP="000D7A1B">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sidRPr="000D7A1B">
        <w:rPr>
          <w:rFonts w:asciiTheme="minorHAnsi" w:hAnsiTheme="minorHAnsi" w:cstheme="minorHAnsi"/>
          <w:color w:val="auto"/>
          <w:sz w:val="22"/>
          <w:szCs w:val="22"/>
        </w:rPr>
        <w:t>NOPTA engages titleholders</w:t>
      </w:r>
      <w:r w:rsidR="004E4236">
        <w:rPr>
          <w:rFonts w:asciiTheme="minorHAnsi" w:hAnsiTheme="minorHAnsi" w:cstheme="minorHAnsi"/>
          <w:color w:val="auto"/>
          <w:sz w:val="22"/>
          <w:szCs w:val="22"/>
        </w:rPr>
        <w:t xml:space="preserve"> at all stages of the assessment cycle</w:t>
      </w:r>
      <w:r w:rsidRPr="000D7A1B">
        <w:rPr>
          <w:rFonts w:asciiTheme="minorHAnsi" w:hAnsiTheme="minorHAnsi" w:cstheme="minorHAnsi"/>
          <w:color w:val="auto"/>
          <w:sz w:val="22"/>
          <w:szCs w:val="22"/>
        </w:rPr>
        <w:t xml:space="preserve"> to provide guidance and to discuss </w:t>
      </w:r>
      <w:r w:rsidR="004E4236">
        <w:rPr>
          <w:rFonts w:asciiTheme="minorHAnsi" w:hAnsiTheme="minorHAnsi" w:cstheme="minorHAnsi"/>
          <w:color w:val="auto"/>
          <w:sz w:val="22"/>
          <w:szCs w:val="22"/>
        </w:rPr>
        <w:t>process and compliance related matters</w:t>
      </w:r>
      <w:r w:rsidR="004652CA">
        <w:rPr>
          <w:rFonts w:asciiTheme="minorHAnsi" w:hAnsiTheme="minorHAnsi" w:cstheme="minorHAnsi"/>
          <w:color w:val="auto"/>
          <w:sz w:val="22"/>
          <w:szCs w:val="22"/>
        </w:rPr>
        <w:t xml:space="preserve"> (see KPI 4)</w:t>
      </w:r>
      <w:r w:rsidRPr="000D7A1B">
        <w:rPr>
          <w:rFonts w:asciiTheme="minorHAnsi" w:hAnsiTheme="minorHAnsi" w:cstheme="minorHAnsi"/>
          <w:color w:val="auto"/>
          <w:sz w:val="22"/>
          <w:szCs w:val="22"/>
        </w:rPr>
        <w:t xml:space="preserve">. With the global challenges of COVID-19, NOPTA replaced face to face meetings with video conferencing, </w:t>
      </w:r>
      <w:r w:rsidR="004E4236">
        <w:rPr>
          <w:rFonts w:asciiTheme="minorHAnsi" w:hAnsiTheme="minorHAnsi" w:cstheme="minorHAnsi"/>
          <w:color w:val="auto"/>
          <w:sz w:val="22"/>
          <w:szCs w:val="22"/>
        </w:rPr>
        <w:t xml:space="preserve">and put in place temporary alternative arrangements for </w:t>
      </w:r>
      <w:r w:rsidRPr="000D7A1B">
        <w:rPr>
          <w:rFonts w:asciiTheme="minorHAnsi" w:hAnsiTheme="minorHAnsi" w:cstheme="minorHAnsi"/>
          <w:color w:val="auto"/>
          <w:sz w:val="22"/>
          <w:szCs w:val="22"/>
        </w:rPr>
        <w:t xml:space="preserve">data submission </w:t>
      </w:r>
      <w:r w:rsidR="004E4236">
        <w:rPr>
          <w:rFonts w:asciiTheme="minorHAnsi" w:hAnsiTheme="minorHAnsi" w:cstheme="minorHAnsi"/>
          <w:color w:val="auto"/>
          <w:sz w:val="22"/>
          <w:szCs w:val="22"/>
        </w:rPr>
        <w:t xml:space="preserve">and use of </w:t>
      </w:r>
      <w:r w:rsidRPr="000D7A1B">
        <w:rPr>
          <w:rFonts w:asciiTheme="minorHAnsi" w:hAnsiTheme="minorHAnsi" w:cstheme="minorHAnsi"/>
          <w:color w:val="auto"/>
          <w:sz w:val="22"/>
          <w:szCs w:val="22"/>
        </w:rPr>
        <w:t>electronic signature platforms</w:t>
      </w:r>
      <w:r w:rsidR="001C2627">
        <w:rPr>
          <w:rFonts w:asciiTheme="minorHAnsi" w:hAnsiTheme="minorHAnsi" w:cstheme="minorHAnsi"/>
          <w:color w:val="auto"/>
          <w:sz w:val="22"/>
          <w:szCs w:val="22"/>
        </w:rPr>
        <w:t xml:space="preserve"> (see KPI 2)</w:t>
      </w:r>
      <w:r w:rsidRPr="000D7A1B">
        <w:rPr>
          <w:rFonts w:asciiTheme="minorHAnsi" w:hAnsiTheme="minorHAnsi" w:cstheme="minorHAnsi"/>
          <w:color w:val="auto"/>
          <w:sz w:val="22"/>
          <w:szCs w:val="22"/>
        </w:rPr>
        <w:t>.</w:t>
      </w:r>
    </w:p>
    <w:p w14:paraId="40917D4E" w14:textId="27DC547A" w:rsidR="004652CA" w:rsidRPr="004652CA" w:rsidRDefault="00A66B4F" w:rsidP="00245D36">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Pr>
          <w:rFonts w:asciiTheme="minorHAnsi" w:hAnsiTheme="minorHAnsi" w:cstheme="minorHAnsi"/>
          <w:color w:val="auto"/>
          <w:sz w:val="22"/>
          <w:szCs w:val="22"/>
        </w:rPr>
        <w:t>NOPTA publishes data relevant to its performance</w:t>
      </w:r>
      <w:r w:rsidR="004652CA" w:rsidRPr="004652CA">
        <w:rPr>
          <w:rFonts w:asciiTheme="minorHAnsi" w:hAnsiTheme="minorHAnsi" w:cstheme="minorHAnsi"/>
          <w:color w:val="auto"/>
          <w:sz w:val="22"/>
          <w:szCs w:val="22"/>
        </w:rPr>
        <w:t xml:space="preserve"> in its Annual Report of Activities. The NEATS public website is </w:t>
      </w:r>
      <w:r w:rsidR="004652CA">
        <w:rPr>
          <w:rFonts w:asciiTheme="minorHAnsi" w:hAnsiTheme="minorHAnsi" w:cstheme="minorHAnsi"/>
          <w:color w:val="auto"/>
          <w:sz w:val="22"/>
          <w:szCs w:val="22"/>
        </w:rPr>
        <w:t xml:space="preserve">also </w:t>
      </w:r>
      <w:r w:rsidR="004652CA" w:rsidRPr="004652CA">
        <w:rPr>
          <w:rFonts w:asciiTheme="minorHAnsi" w:hAnsiTheme="minorHAnsi" w:cstheme="minorHAnsi"/>
          <w:color w:val="auto"/>
          <w:sz w:val="22"/>
          <w:szCs w:val="22"/>
        </w:rPr>
        <w:t xml:space="preserve">currently being rebuilt </w:t>
      </w:r>
      <w:r w:rsidR="004652CA">
        <w:rPr>
          <w:rFonts w:asciiTheme="minorHAnsi" w:hAnsiTheme="minorHAnsi" w:cstheme="minorHAnsi"/>
          <w:color w:val="auto"/>
          <w:sz w:val="22"/>
          <w:szCs w:val="22"/>
        </w:rPr>
        <w:t>which will result in</w:t>
      </w:r>
      <w:r w:rsidR="004652CA" w:rsidRPr="004652CA">
        <w:rPr>
          <w:rFonts w:asciiTheme="minorHAnsi" w:hAnsiTheme="minorHAnsi" w:cstheme="minorHAnsi"/>
          <w:color w:val="auto"/>
          <w:sz w:val="22"/>
          <w:szCs w:val="22"/>
        </w:rPr>
        <w:t xml:space="preserve"> improved functionality and reporting in relation to applications tracking</w:t>
      </w:r>
      <w:r w:rsidR="004652CA">
        <w:rPr>
          <w:rFonts w:asciiTheme="minorHAnsi" w:hAnsiTheme="minorHAnsi" w:cstheme="minorHAnsi"/>
          <w:color w:val="auto"/>
          <w:sz w:val="22"/>
          <w:szCs w:val="22"/>
        </w:rPr>
        <w:t xml:space="preserve"> for all titleholders (see KPI 1)</w:t>
      </w:r>
      <w:r w:rsidR="004652CA" w:rsidRPr="004652CA">
        <w:rPr>
          <w:rFonts w:asciiTheme="minorHAnsi" w:hAnsiTheme="minorHAnsi" w:cstheme="minorHAnsi"/>
          <w:color w:val="auto"/>
          <w:sz w:val="22"/>
          <w:szCs w:val="22"/>
        </w:rPr>
        <w:t>.</w:t>
      </w:r>
    </w:p>
    <w:p w14:paraId="7B9DDC28" w14:textId="004CD279" w:rsidR="00B61B4F" w:rsidRDefault="001C2627" w:rsidP="00B61B4F">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Pr>
          <w:rFonts w:asciiTheme="minorHAnsi" w:hAnsiTheme="minorHAnsi" w:cstheme="minorHAnsi"/>
          <w:color w:val="auto"/>
          <w:sz w:val="22"/>
          <w:szCs w:val="22"/>
        </w:rPr>
        <w:t>As approved by</w:t>
      </w:r>
      <w:r w:rsidR="00A84989">
        <w:rPr>
          <w:rFonts w:asciiTheme="minorHAnsi" w:hAnsiTheme="minorHAnsi" w:cstheme="minorHAnsi"/>
          <w:color w:val="auto"/>
          <w:sz w:val="22"/>
          <w:szCs w:val="22"/>
        </w:rPr>
        <w:t xml:space="preserve"> the COAG Upstream Petroleum Resources Working Group</w:t>
      </w:r>
      <w:r w:rsidR="00A84989">
        <w:rPr>
          <w:rStyle w:val="FootnoteReference"/>
          <w:rFonts w:asciiTheme="minorHAnsi" w:hAnsiTheme="minorHAnsi" w:cstheme="minorHAnsi"/>
          <w:color w:val="auto"/>
          <w:sz w:val="22"/>
          <w:szCs w:val="22"/>
        </w:rPr>
        <w:footnoteReference w:id="6"/>
      </w:r>
      <w:r>
        <w:rPr>
          <w:rFonts w:asciiTheme="minorHAnsi" w:hAnsiTheme="minorHAnsi" w:cstheme="minorHAnsi"/>
          <w:color w:val="auto"/>
          <w:sz w:val="22"/>
          <w:szCs w:val="22"/>
        </w:rPr>
        <w:t xml:space="preserve">, </w:t>
      </w:r>
      <w:r w:rsidR="00B61B4F">
        <w:rPr>
          <w:rFonts w:asciiTheme="minorHAnsi" w:hAnsiTheme="minorHAnsi" w:cstheme="minorHAnsi"/>
          <w:color w:val="auto"/>
          <w:sz w:val="22"/>
          <w:szCs w:val="22"/>
        </w:rPr>
        <w:t>NOPTA has published the</w:t>
      </w:r>
      <w:r w:rsidR="00B61B4F" w:rsidRPr="009B7F10">
        <w:rPr>
          <w:rFonts w:asciiTheme="minorHAnsi" w:hAnsiTheme="minorHAnsi" w:cstheme="minorHAnsi"/>
          <w:color w:val="auto"/>
          <w:sz w:val="22"/>
          <w:szCs w:val="22"/>
        </w:rPr>
        <w:t xml:space="preserve"> Joint Authority Protocol </w:t>
      </w:r>
      <w:r w:rsidR="00B61B4F">
        <w:rPr>
          <w:rFonts w:asciiTheme="minorHAnsi" w:hAnsiTheme="minorHAnsi" w:cstheme="minorHAnsi"/>
          <w:color w:val="auto"/>
          <w:sz w:val="22"/>
          <w:szCs w:val="22"/>
        </w:rPr>
        <w:t xml:space="preserve">which </w:t>
      </w:r>
      <w:r w:rsidR="00B61B4F" w:rsidRPr="009B7F10">
        <w:rPr>
          <w:rFonts w:asciiTheme="minorHAnsi" w:hAnsiTheme="minorHAnsi" w:cstheme="minorHAnsi"/>
          <w:color w:val="auto"/>
          <w:sz w:val="22"/>
          <w:szCs w:val="22"/>
        </w:rPr>
        <w:t>clarifies the roles and functions of the Joint Authority, NOPTA, NOPSEMA and other stakeholders</w:t>
      </w:r>
      <w:r w:rsidR="00B61B4F">
        <w:rPr>
          <w:rFonts w:asciiTheme="minorHAnsi" w:hAnsiTheme="minorHAnsi" w:cstheme="minorHAnsi"/>
          <w:color w:val="auto"/>
          <w:sz w:val="22"/>
          <w:szCs w:val="22"/>
        </w:rPr>
        <w:t xml:space="preserve"> in relation to the provision and clarification of information, and communication of decisions. </w:t>
      </w:r>
    </w:p>
    <w:p w14:paraId="03F840B8" w14:textId="77777777" w:rsidR="00FD3C7D" w:rsidRPr="00D41F90" w:rsidRDefault="00FD3C7D" w:rsidP="00FD3C7D">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sidRPr="00D41F90">
        <w:rPr>
          <w:rFonts w:asciiTheme="minorHAnsi" w:hAnsiTheme="minorHAnsi" w:cstheme="minorHAnsi"/>
          <w:color w:val="auto"/>
          <w:sz w:val="22"/>
          <w:szCs w:val="22"/>
        </w:rPr>
        <w:t>NOPTA’s Compliance and Enforcement Policy is publish</w:t>
      </w:r>
      <w:r>
        <w:rPr>
          <w:rFonts w:asciiTheme="minorHAnsi" w:hAnsiTheme="minorHAnsi" w:cstheme="minorHAnsi"/>
          <w:color w:val="auto"/>
          <w:sz w:val="22"/>
          <w:szCs w:val="22"/>
        </w:rPr>
        <w:t>ed</w:t>
      </w:r>
      <w:r w:rsidRPr="00D41F90">
        <w:rPr>
          <w:rFonts w:asciiTheme="minorHAnsi" w:hAnsiTheme="minorHAnsi" w:cstheme="minorHAnsi"/>
          <w:color w:val="auto"/>
          <w:sz w:val="22"/>
          <w:szCs w:val="22"/>
        </w:rPr>
        <w:t xml:space="preserve"> on the website and was last reviewed in October 2019.</w:t>
      </w:r>
    </w:p>
    <w:p w14:paraId="369109AC" w14:textId="752CC93A" w:rsidR="00016ABE" w:rsidRDefault="00016ABE" w:rsidP="00016ABE">
      <w:pPr>
        <w:autoSpaceDE w:val="0"/>
        <w:autoSpaceDN w:val="0"/>
        <w:adjustRightInd w:val="0"/>
        <w:spacing w:after="0" w:line="240" w:lineRule="auto"/>
        <w:rPr>
          <w:rFonts w:ascii="Calibri" w:hAnsi="Calibri" w:cs="Calibri"/>
          <w:color w:val="000000"/>
        </w:rPr>
      </w:pPr>
    </w:p>
    <w:p w14:paraId="59A094AD" w14:textId="2EAAF27D" w:rsidR="00CA6B72" w:rsidRDefault="00CA6B72" w:rsidP="00CA6B72"/>
    <w:p w14:paraId="6F2583DB" w14:textId="39E96C42" w:rsidR="00CA6B72" w:rsidRDefault="00CA6B72" w:rsidP="00CA6B72"/>
    <w:p w14:paraId="4AEAE43C" w14:textId="77777777" w:rsidR="00CA6B72" w:rsidRPr="00CA6B72" w:rsidRDefault="00CA6B72" w:rsidP="00CA6B72"/>
    <w:p w14:paraId="4D42C327" w14:textId="645EE977" w:rsidR="00772396" w:rsidRPr="00290DAE" w:rsidRDefault="006F6665" w:rsidP="00C3530A">
      <w:pPr>
        <w:pStyle w:val="Heading2"/>
        <w:jc w:val="left"/>
        <w:rPr>
          <w:color w:val="1F3864" w:themeColor="accent5" w:themeShade="80"/>
        </w:rPr>
      </w:pPr>
      <w:bookmarkStart w:id="54" w:name="_Toc54610434"/>
      <w:r w:rsidRPr="00290DAE">
        <w:rPr>
          <w:color w:val="1F3864" w:themeColor="accent5" w:themeShade="80"/>
        </w:rPr>
        <w:t>KPI 6: Regulators actively contribute to the continuous improvement of regulatory frameworks</w:t>
      </w:r>
      <w:bookmarkEnd w:id="53"/>
      <w:bookmarkEnd w:id="54"/>
      <w:r w:rsidRPr="00290DAE">
        <w:rPr>
          <w:color w:val="1F3864" w:themeColor="accent5" w:themeShade="80"/>
        </w:rPr>
        <w:t xml:space="preserve"> </w:t>
      </w:r>
      <w:bookmarkStart w:id="55" w:name="_Toc497215489"/>
    </w:p>
    <w:p w14:paraId="15457FB8" w14:textId="77777777" w:rsidR="006F6665" w:rsidRPr="00290DAE" w:rsidRDefault="006F6665" w:rsidP="00C3530A">
      <w:pPr>
        <w:pStyle w:val="Heading3"/>
        <w:jc w:val="left"/>
        <w:rPr>
          <w:color w:val="1F3864" w:themeColor="accent5" w:themeShade="80"/>
        </w:rPr>
      </w:pPr>
      <w:bookmarkStart w:id="56" w:name="_Toc54610435"/>
      <w:r w:rsidRPr="00290DAE">
        <w:rPr>
          <w:color w:val="1F3864" w:themeColor="accent5" w:themeShade="80"/>
        </w:rPr>
        <w:t>KPI Expectations</w:t>
      </w:r>
      <w:bookmarkEnd w:id="55"/>
      <w:bookmarkEnd w:id="56"/>
    </w:p>
    <w:p w14:paraId="37F64F01" w14:textId="0BA2E606" w:rsidR="00772396" w:rsidRDefault="006F6665" w:rsidP="00C3530A">
      <w:pPr>
        <w:spacing w:after="0" w:line="240" w:lineRule="auto"/>
      </w:pPr>
      <w:r w:rsidRPr="00772396">
        <w:t>Regulators will actively contribute to the continuous improvement of the regulatory framework, including establishing cooperative and collaborative relationships with stakeholders and regularly seeking and sharing feedback.</w:t>
      </w:r>
      <w:bookmarkStart w:id="57" w:name="_Toc497215490"/>
      <w:r w:rsidR="006B57C3">
        <w:t xml:space="preserve"> </w:t>
      </w:r>
    </w:p>
    <w:p w14:paraId="7F419F7E" w14:textId="77777777" w:rsidR="006F6665" w:rsidRPr="00290DAE" w:rsidRDefault="006F6665" w:rsidP="00C3530A">
      <w:pPr>
        <w:pStyle w:val="Heading3"/>
        <w:jc w:val="left"/>
        <w:rPr>
          <w:color w:val="1F3864" w:themeColor="accent5" w:themeShade="80"/>
        </w:rPr>
      </w:pPr>
      <w:bookmarkStart w:id="58" w:name="_Toc54610436"/>
      <w:r w:rsidRPr="00290DAE">
        <w:rPr>
          <w:color w:val="1F3864" w:themeColor="accent5" w:themeShade="80"/>
        </w:rPr>
        <w:t>NOPTA’s Approach</w:t>
      </w:r>
      <w:bookmarkEnd w:id="57"/>
      <w:bookmarkEnd w:id="58"/>
      <w:r w:rsidRPr="00290DAE">
        <w:rPr>
          <w:color w:val="1F3864" w:themeColor="accent5" w:themeShade="80"/>
        </w:rPr>
        <w:t xml:space="preserve"> </w:t>
      </w:r>
    </w:p>
    <w:p w14:paraId="1390A594" w14:textId="352ED0DC" w:rsidR="00F20765" w:rsidRPr="00F20765" w:rsidRDefault="00B17DDC" w:rsidP="00C3530A">
      <w:pPr>
        <w:spacing w:line="240" w:lineRule="auto"/>
      </w:pPr>
      <w:bookmarkStart w:id="59" w:name="_Toc497215491"/>
      <w:r>
        <w:t xml:space="preserve">NOPTA </w:t>
      </w:r>
      <w:r w:rsidR="00F20765" w:rsidRPr="00F20765">
        <w:t>work</w:t>
      </w:r>
      <w:r>
        <w:t>s</w:t>
      </w:r>
      <w:r w:rsidR="00F20765" w:rsidRPr="00F20765">
        <w:t xml:space="preserve"> collaboratively</w:t>
      </w:r>
      <w:r w:rsidR="00F20765">
        <w:t xml:space="preserve"> </w:t>
      </w:r>
      <w:r w:rsidR="00F20765" w:rsidRPr="00F20765">
        <w:t xml:space="preserve">with </w:t>
      </w:r>
      <w:r w:rsidR="00A66B4F">
        <w:t>ORB</w:t>
      </w:r>
      <w:r w:rsidR="00180D2A" w:rsidRPr="00F20765">
        <w:t xml:space="preserve"> </w:t>
      </w:r>
      <w:r w:rsidR="00F20765" w:rsidRPr="00F20765">
        <w:t>as the policy a</w:t>
      </w:r>
      <w:r w:rsidR="00180D2A">
        <w:t>r</w:t>
      </w:r>
      <w:r w:rsidR="00F20765" w:rsidRPr="00F20765">
        <w:t>e</w:t>
      </w:r>
      <w:r w:rsidR="00180D2A">
        <w:t xml:space="preserve">a of </w:t>
      </w:r>
      <w:r w:rsidR="005D5D82">
        <w:t>the department</w:t>
      </w:r>
      <w:r w:rsidR="00F20765" w:rsidRPr="00F20765">
        <w:t xml:space="preserve"> to provide constructive input into regulatory change</w:t>
      </w:r>
      <w:r w:rsidR="00F20765">
        <w:t xml:space="preserve"> </w:t>
      </w:r>
      <w:r w:rsidR="00B92389" w:rsidRPr="00F20765">
        <w:t>processes and</w:t>
      </w:r>
      <w:r w:rsidR="00F20765" w:rsidRPr="00F20765">
        <w:t xml:space="preserve"> work</w:t>
      </w:r>
      <w:r>
        <w:t>s</w:t>
      </w:r>
      <w:r w:rsidR="00F20765" w:rsidRPr="00F20765">
        <w:t xml:space="preserve"> </w:t>
      </w:r>
      <w:r w:rsidR="00031A2B">
        <w:t xml:space="preserve">closely with industry and other stakeholders </w:t>
      </w:r>
      <w:r w:rsidR="00F20765" w:rsidRPr="00F20765">
        <w:t>to</w:t>
      </w:r>
      <w:r w:rsidR="00031A2B">
        <w:t xml:space="preserve"> provide guidance and</w:t>
      </w:r>
      <w:r w:rsidR="00F20765" w:rsidRPr="00F20765">
        <w:t xml:space="preserve"> implement changes </w:t>
      </w:r>
      <w:r w:rsidR="00031A2B">
        <w:t>as they arise</w:t>
      </w:r>
      <w:r w:rsidR="00F20765" w:rsidRPr="00F20765">
        <w:t>.</w:t>
      </w:r>
    </w:p>
    <w:p w14:paraId="2F2CDB89" w14:textId="44277C96" w:rsidR="006F6665" w:rsidRPr="00B138B1" w:rsidRDefault="006F6665" w:rsidP="00C3530A">
      <w:pPr>
        <w:spacing w:line="240" w:lineRule="auto"/>
        <w:rPr>
          <w:b/>
        </w:rPr>
      </w:pPr>
      <w:r w:rsidRPr="00B138B1">
        <w:rPr>
          <w:b/>
        </w:rPr>
        <w:t>Results</w:t>
      </w:r>
      <w:bookmarkEnd w:id="59"/>
      <w:r w:rsidR="002C3F5D" w:rsidRPr="00B138B1">
        <w:rPr>
          <w:b/>
        </w:rPr>
        <w:t xml:space="preserve">: </w:t>
      </w:r>
      <w:r w:rsidR="002C3F5D" w:rsidRPr="00B138B1">
        <w:rPr>
          <w:b/>
        </w:rPr>
        <w:tab/>
      </w:r>
      <w:r w:rsidR="002C3F5D" w:rsidRPr="00B138B1">
        <w:rPr>
          <w:b/>
        </w:rPr>
        <w:fldChar w:fldCharType="begin">
          <w:ffData>
            <w:name w:val="Check1"/>
            <w:enabled/>
            <w:calcOnExit w:val="0"/>
            <w:checkBox>
              <w:sizeAuto/>
              <w:default w:val="1"/>
            </w:checkBox>
          </w:ffData>
        </w:fldChar>
      </w:r>
      <w:r w:rsidR="002C3F5D" w:rsidRPr="00B138B1">
        <w:rPr>
          <w:b/>
        </w:rPr>
        <w:instrText xml:space="preserve"> FORMCHECKBOX </w:instrText>
      </w:r>
      <w:r w:rsidR="003D2B46">
        <w:rPr>
          <w:b/>
        </w:rPr>
      </w:r>
      <w:r w:rsidR="003D2B46">
        <w:rPr>
          <w:b/>
        </w:rPr>
        <w:fldChar w:fldCharType="separate"/>
      </w:r>
      <w:r w:rsidR="002C3F5D" w:rsidRPr="00B138B1">
        <w:rPr>
          <w:b/>
        </w:rPr>
        <w:fldChar w:fldCharType="end"/>
      </w:r>
      <w:r w:rsidR="002C3F5D" w:rsidRPr="00B138B1">
        <w:rPr>
          <w:b/>
        </w:rPr>
        <w:t xml:space="preserve"> Met</w:t>
      </w:r>
      <w:r w:rsidR="002C3F5D" w:rsidRPr="00B138B1">
        <w:rPr>
          <w:b/>
        </w:rPr>
        <w:tab/>
      </w:r>
      <w:r w:rsidR="002C3F5D" w:rsidRPr="00B138B1">
        <w:rPr>
          <w:b/>
        </w:rPr>
        <w:tab/>
      </w:r>
      <w:r w:rsidR="002C3F5D" w:rsidRPr="00B138B1">
        <w:rPr>
          <w:b/>
        </w:rPr>
        <w:fldChar w:fldCharType="begin">
          <w:ffData>
            <w:name w:val="Check2"/>
            <w:enabled/>
            <w:calcOnExit w:val="0"/>
            <w:checkBox>
              <w:sizeAuto/>
              <w:default w:val="0"/>
            </w:checkBox>
          </w:ffData>
        </w:fldChar>
      </w:r>
      <w:r w:rsidR="002C3F5D" w:rsidRPr="00B138B1">
        <w:rPr>
          <w:b/>
        </w:rPr>
        <w:instrText xml:space="preserve"> FORMCHECKBOX </w:instrText>
      </w:r>
      <w:r w:rsidR="003D2B46">
        <w:rPr>
          <w:b/>
        </w:rPr>
      </w:r>
      <w:r w:rsidR="003D2B46">
        <w:rPr>
          <w:b/>
        </w:rPr>
        <w:fldChar w:fldCharType="separate"/>
      </w:r>
      <w:r w:rsidR="002C3F5D" w:rsidRPr="00B138B1">
        <w:rPr>
          <w:b/>
        </w:rPr>
        <w:fldChar w:fldCharType="end"/>
      </w:r>
      <w:r w:rsidR="002C3F5D" w:rsidRPr="00B138B1">
        <w:rPr>
          <w:b/>
        </w:rPr>
        <w:t xml:space="preserve"> Partially Met</w:t>
      </w:r>
      <w:r w:rsidR="002C3F5D" w:rsidRPr="00B138B1">
        <w:rPr>
          <w:b/>
        </w:rPr>
        <w:tab/>
      </w:r>
      <w:r w:rsidR="002C3F5D" w:rsidRPr="00B138B1">
        <w:rPr>
          <w:b/>
        </w:rPr>
        <w:fldChar w:fldCharType="begin">
          <w:ffData>
            <w:name w:val="Check3"/>
            <w:enabled/>
            <w:calcOnExit w:val="0"/>
            <w:checkBox>
              <w:sizeAuto/>
              <w:default w:val="0"/>
            </w:checkBox>
          </w:ffData>
        </w:fldChar>
      </w:r>
      <w:r w:rsidR="002C3F5D" w:rsidRPr="00B138B1">
        <w:rPr>
          <w:b/>
        </w:rPr>
        <w:instrText xml:space="preserve"> FORMCHECKBOX </w:instrText>
      </w:r>
      <w:r w:rsidR="003D2B46">
        <w:rPr>
          <w:b/>
        </w:rPr>
      </w:r>
      <w:r w:rsidR="003D2B46">
        <w:rPr>
          <w:b/>
        </w:rPr>
        <w:fldChar w:fldCharType="separate"/>
      </w:r>
      <w:r w:rsidR="002C3F5D" w:rsidRPr="00B138B1">
        <w:rPr>
          <w:b/>
        </w:rPr>
        <w:fldChar w:fldCharType="end"/>
      </w:r>
      <w:r w:rsidR="002C3F5D" w:rsidRPr="00B138B1">
        <w:rPr>
          <w:b/>
        </w:rPr>
        <w:t xml:space="preserve"> Not Met</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E45C1E" w:rsidRPr="00D15C43" w14:paraId="739AAFFE" w14:textId="77777777" w:rsidTr="00D15C43">
        <w:tc>
          <w:tcPr>
            <w:tcW w:w="9016" w:type="dxa"/>
            <w:shd w:val="clear" w:color="auto" w:fill="F2F2F2" w:themeFill="background1" w:themeFillShade="F2"/>
          </w:tcPr>
          <w:p w14:paraId="66EED628" w14:textId="6D4BFC73" w:rsidR="00E45C1E" w:rsidRPr="00D15C43" w:rsidRDefault="00E45C1E" w:rsidP="00C3530A">
            <w:pPr>
              <w:rPr>
                <w:i/>
              </w:rPr>
            </w:pPr>
            <w:r w:rsidRPr="00D15C43">
              <w:rPr>
                <w:i/>
              </w:rPr>
              <w:t xml:space="preserve">NOPTA assesses that it has met KPI 6. </w:t>
            </w:r>
            <w:r w:rsidR="00914417">
              <w:rPr>
                <w:i/>
              </w:rPr>
              <w:t>This is</w:t>
            </w:r>
            <w:r w:rsidR="00914417" w:rsidRPr="00D15C43">
              <w:rPr>
                <w:i/>
              </w:rPr>
              <w:t xml:space="preserve"> </w:t>
            </w:r>
            <w:r w:rsidR="00914417">
              <w:rPr>
                <w:i/>
              </w:rPr>
              <w:t xml:space="preserve">evident through </w:t>
            </w:r>
            <w:r w:rsidR="00914417" w:rsidRPr="00914417">
              <w:rPr>
                <w:i/>
              </w:rPr>
              <w:t xml:space="preserve">a range of initiatives </w:t>
            </w:r>
            <w:r w:rsidR="005142AF">
              <w:rPr>
                <w:i/>
              </w:rPr>
              <w:t xml:space="preserve">undertaken and </w:t>
            </w:r>
            <w:r w:rsidR="00914417">
              <w:rPr>
                <w:i/>
              </w:rPr>
              <w:t xml:space="preserve">currently </w:t>
            </w:r>
            <w:r w:rsidR="00914417" w:rsidRPr="00914417">
              <w:rPr>
                <w:i/>
              </w:rPr>
              <w:t>underway to improv</w:t>
            </w:r>
            <w:r w:rsidR="005142AF">
              <w:rPr>
                <w:i/>
              </w:rPr>
              <w:t>e</w:t>
            </w:r>
            <w:r w:rsidR="00914417" w:rsidRPr="00914417">
              <w:rPr>
                <w:i/>
              </w:rPr>
              <w:t xml:space="preserve"> our administrative performance </w:t>
            </w:r>
            <w:r w:rsidR="00914417">
              <w:rPr>
                <w:i/>
              </w:rPr>
              <w:t xml:space="preserve">and </w:t>
            </w:r>
            <w:r w:rsidR="00914417" w:rsidRPr="00914417">
              <w:rPr>
                <w:i/>
              </w:rPr>
              <w:t>help address matters of strategic relevance to industry.</w:t>
            </w:r>
          </w:p>
        </w:tc>
      </w:tr>
    </w:tbl>
    <w:p w14:paraId="756FF9D4" w14:textId="77777777" w:rsidR="00A66B4F" w:rsidRDefault="00A66B4F" w:rsidP="001B26B8">
      <w:pPr>
        <w:spacing w:after="0" w:line="240" w:lineRule="auto"/>
        <w:rPr>
          <w:rFonts w:cstheme="minorHAnsi"/>
        </w:rPr>
      </w:pPr>
    </w:p>
    <w:p w14:paraId="374ADAFB" w14:textId="616B88E7" w:rsidR="00A66B4F" w:rsidRPr="00A66B4F" w:rsidRDefault="00A66B4F" w:rsidP="00D41F90">
      <w:pPr>
        <w:spacing w:after="120" w:line="240" w:lineRule="auto"/>
        <w:rPr>
          <w:rFonts w:cs="Arial"/>
          <w:lang w:val="en"/>
        </w:rPr>
      </w:pPr>
      <w:r w:rsidRPr="00542D34">
        <w:rPr>
          <w:rFonts w:cstheme="minorHAnsi"/>
        </w:rPr>
        <w:t>During 2019-20, NOPTA</w:t>
      </w:r>
      <w:r>
        <w:rPr>
          <w:rFonts w:cstheme="minorHAnsi"/>
        </w:rPr>
        <w:t>:</w:t>
      </w:r>
    </w:p>
    <w:p w14:paraId="40E43D26" w14:textId="3EFB793B" w:rsidR="00542D34" w:rsidRPr="00542D34" w:rsidRDefault="00A66B4F" w:rsidP="00A66B4F">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Pr>
          <w:rFonts w:asciiTheme="minorHAnsi" w:hAnsiTheme="minorHAnsi" w:cstheme="minorHAnsi"/>
          <w:bCs/>
          <w:color w:val="auto"/>
          <w:sz w:val="22"/>
          <w:szCs w:val="22"/>
        </w:rPr>
        <w:t>P</w:t>
      </w:r>
      <w:r w:rsidR="00542D34" w:rsidRPr="00542D34">
        <w:rPr>
          <w:rFonts w:asciiTheme="minorHAnsi" w:hAnsiTheme="minorHAnsi" w:cstheme="minorHAnsi"/>
          <w:bCs/>
          <w:color w:val="auto"/>
          <w:sz w:val="22"/>
          <w:szCs w:val="22"/>
        </w:rPr>
        <w:t>articipate</w:t>
      </w:r>
      <w:r w:rsidR="00542D34">
        <w:rPr>
          <w:rFonts w:asciiTheme="minorHAnsi" w:hAnsiTheme="minorHAnsi" w:cstheme="minorHAnsi"/>
          <w:bCs/>
          <w:color w:val="auto"/>
          <w:sz w:val="22"/>
          <w:szCs w:val="22"/>
        </w:rPr>
        <w:t>d</w:t>
      </w:r>
      <w:r w:rsidR="00542D34" w:rsidRPr="00542D34">
        <w:rPr>
          <w:rFonts w:asciiTheme="minorHAnsi" w:hAnsiTheme="minorHAnsi" w:cstheme="minorHAnsi"/>
          <w:bCs/>
          <w:color w:val="auto"/>
          <w:sz w:val="22"/>
          <w:szCs w:val="22"/>
        </w:rPr>
        <w:t xml:space="preserve"> in several cross-agency forums</w:t>
      </w:r>
      <w:r w:rsidR="00542D34">
        <w:rPr>
          <w:rFonts w:asciiTheme="minorHAnsi" w:hAnsiTheme="minorHAnsi" w:cstheme="minorHAnsi"/>
          <w:bCs/>
          <w:color w:val="auto"/>
          <w:sz w:val="22"/>
          <w:szCs w:val="22"/>
        </w:rPr>
        <w:t xml:space="preserve"> (domestic and international)</w:t>
      </w:r>
      <w:r w:rsidR="00542D34" w:rsidRPr="00542D34">
        <w:rPr>
          <w:rFonts w:asciiTheme="minorHAnsi" w:hAnsiTheme="minorHAnsi" w:cstheme="minorHAnsi"/>
          <w:bCs/>
          <w:color w:val="auto"/>
          <w:sz w:val="22"/>
          <w:szCs w:val="22"/>
        </w:rPr>
        <w:t xml:space="preserve"> and annual events to discuss current and emerging issues, share ideas and implement improvement strategies</w:t>
      </w:r>
      <w:r w:rsidR="00542D34">
        <w:rPr>
          <w:rFonts w:asciiTheme="minorHAnsi" w:hAnsiTheme="minorHAnsi" w:cstheme="minorHAnsi"/>
          <w:bCs/>
          <w:color w:val="auto"/>
          <w:sz w:val="22"/>
          <w:szCs w:val="22"/>
        </w:rPr>
        <w:t xml:space="preserve"> (see KPI 1).</w:t>
      </w:r>
    </w:p>
    <w:p w14:paraId="30D9B4F2" w14:textId="5B73A045" w:rsidR="00245D36" w:rsidRPr="002D5F76" w:rsidRDefault="00245D36">
      <w:pPr>
        <w:pStyle w:val="ListParagraph"/>
        <w:numPr>
          <w:ilvl w:val="0"/>
          <w:numId w:val="5"/>
        </w:numPr>
        <w:spacing w:before="0" w:after="120"/>
        <w:ind w:left="851" w:hanging="425"/>
        <w:contextualSpacing w:val="0"/>
        <w:rPr>
          <w:rFonts w:asciiTheme="minorHAnsi" w:hAnsiTheme="minorHAnsi" w:cstheme="minorHAnsi"/>
          <w:color w:val="auto"/>
          <w:sz w:val="22"/>
          <w:szCs w:val="22"/>
        </w:rPr>
      </w:pPr>
      <w:r w:rsidRPr="002D5F76">
        <w:rPr>
          <w:rFonts w:asciiTheme="minorHAnsi" w:hAnsiTheme="minorHAnsi" w:cstheme="minorHAnsi"/>
          <w:color w:val="auto"/>
          <w:sz w:val="22"/>
          <w:szCs w:val="22"/>
        </w:rPr>
        <w:t xml:space="preserve">Regular consultation </w:t>
      </w:r>
      <w:r w:rsidR="00FC7BCE">
        <w:rPr>
          <w:rFonts w:asciiTheme="minorHAnsi" w:hAnsiTheme="minorHAnsi" w:cstheme="minorHAnsi"/>
          <w:color w:val="auto"/>
          <w:sz w:val="22"/>
          <w:szCs w:val="22"/>
        </w:rPr>
        <w:t>with</w:t>
      </w:r>
      <w:r w:rsidRPr="002D5F76">
        <w:rPr>
          <w:rFonts w:asciiTheme="minorHAnsi" w:hAnsiTheme="minorHAnsi" w:cstheme="minorHAnsi"/>
          <w:color w:val="auto"/>
          <w:sz w:val="22"/>
          <w:szCs w:val="22"/>
        </w:rPr>
        <w:t xml:space="preserve"> </w:t>
      </w:r>
      <w:r w:rsidR="002D5F76" w:rsidRPr="002D5F76">
        <w:rPr>
          <w:rFonts w:asciiTheme="minorHAnsi" w:hAnsiTheme="minorHAnsi" w:cstheme="minorHAnsi"/>
          <w:color w:val="auto"/>
          <w:sz w:val="22"/>
          <w:szCs w:val="22"/>
        </w:rPr>
        <w:t>our international</w:t>
      </w:r>
      <w:r w:rsidRPr="002D5F76">
        <w:rPr>
          <w:rFonts w:asciiTheme="minorHAnsi" w:hAnsiTheme="minorHAnsi" w:cstheme="minorHAnsi"/>
          <w:color w:val="auto"/>
          <w:sz w:val="22"/>
          <w:szCs w:val="22"/>
        </w:rPr>
        <w:t xml:space="preserve"> counterparts </w:t>
      </w:r>
      <w:r w:rsidR="00FC7BCE">
        <w:rPr>
          <w:rFonts w:asciiTheme="minorHAnsi" w:hAnsiTheme="minorHAnsi" w:cstheme="minorHAnsi"/>
          <w:color w:val="auto"/>
          <w:sz w:val="22"/>
          <w:szCs w:val="22"/>
        </w:rPr>
        <w:t xml:space="preserve">has </w:t>
      </w:r>
      <w:r w:rsidRPr="002D5F76">
        <w:rPr>
          <w:rFonts w:asciiTheme="minorHAnsi" w:hAnsiTheme="minorHAnsi" w:cstheme="minorHAnsi"/>
          <w:color w:val="auto"/>
          <w:sz w:val="22"/>
          <w:szCs w:val="22"/>
        </w:rPr>
        <w:t xml:space="preserve">significantly </w:t>
      </w:r>
      <w:r w:rsidR="00817BA8" w:rsidRPr="002D5F76">
        <w:rPr>
          <w:rFonts w:asciiTheme="minorHAnsi" w:hAnsiTheme="minorHAnsi" w:cstheme="minorHAnsi"/>
          <w:color w:val="auto"/>
          <w:sz w:val="22"/>
          <w:szCs w:val="22"/>
        </w:rPr>
        <w:t>contribute</w:t>
      </w:r>
      <w:r w:rsidR="00FC7BCE">
        <w:rPr>
          <w:rFonts w:asciiTheme="minorHAnsi" w:hAnsiTheme="minorHAnsi" w:cstheme="minorHAnsi"/>
          <w:color w:val="auto"/>
          <w:sz w:val="22"/>
          <w:szCs w:val="22"/>
        </w:rPr>
        <w:t>d</w:t>
      </w:r>
      <w:r w:rsidRPr="002D5F76">
        <w:rPr>
          <w:rFonts w:asciiTheme="minorHAnsi" w:hAnsiTheme="minorHAnsi" w:cstheme="minorHAnsi"/>
          <w:color w:val="auto"/>
          <w:sz w:val="22"/>
          <w:szCs w:val="22"/>
        </w:rPr>
        <w:t xml:space="preserve"> to our understanding of contemporary and emerging issues, including regulatory convergence, data interoperability, information transfer and technological development.</w:t>
      </w:r>
      <w:r w:rsidR="002D5F76" w:rsidRPr="002D5F76">
        <w:rPr>
          <w:rFonts w:asciiTheme="minorHAnsi" w:hAnsiTheme="minorHAnsi" w:cstheme="minorHAnsi"/>
          <w:color w:val="auto"/>
          <w:sz w:val="22"/>
          <w:szCs w:val="22"/>
        </w:rPr>
        <w:t xml:space="preserve"> </w:t>
      </w:r>
    </w:p>
    <w:p w14:paraId="0A719B6E" w14:textId="0163C3E7" w:rsidR="00A72DA8" w:rsidRPr="00FC7BCE" w:rsidRDefault="00A72DA8" w:rsidP="00FC7BCE">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sidRPr="00FC7BCE">
        <w:rPr>
          <w:rFonts w:asciiTheme="minorHAnsi" w:hAnsiTheme="minorHAnsi" w:cstheme="minorHAnsi"/>
          <w:color w:val="auto"/>
          <w:sz w:val="22"/>
          <w:szCs w:val="22"/>
        </w:rPr>
        <w:t>Contributed to the development of amendments to the OPGGSA to streamline the regulation of greenhouse gas storage formations where the formations overlap a boundary between Commonwealth and State/NT jurisdictions.</w:t>
      </w:r>
    </w:p>
    <w:p w14:paraId="0F92A334" w14:textId="599C3B5F" w:rsidR="006D19B7" w:rsidRPr="00FC7BCE" w:rsidRDefault="00EC712B" w:rsidP="00FC7BCE">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sidRPr="00FC7BCE">
        <w:rPr>
          <w:rFonts w:asciiTheme="minorHAnsi" w:hAnsiTheme="minorHAnsi" w:cstheme="minorHAnsi"/>
          <w:color w:val="auto"/>
          <w:sz w:val="22"/>
          <w:szCs w:val="22"/>
        </w:rPr>
        <w:t xml:space="preserve">Worked closely with </w:t>
      </w:r>
      <w:r w:rsidR="00A66B4F">
        <w:rPr>
          <w:rFonts w:asciiTheme="minorHAnsi" w:hAnsiTheme="minorHAnsi" w:cstheme="minorHAnsi"/>
          <w:color w:val="auto"/>
          <w:sz w:val="22"/>
          <w:szCs w:val="22"/>
        </w:rPr>
        <w:t>ORB</w:t>
      </w:r>
      <w:r w:rsidRPr="00FC7BCE">
        <w:rPr>
          <w:rFonts w:asciiTheme="minorHAnsi" w:hAnsiTheme="minorHAnsi" w:cstheme="minorHAnsi"/>
          <w:color w:val="auto"/>
          <w:sz w:val="22"/>
          <w:szCs w:val="22"/>
        </w:rPr>
        <w:t xml:space="preserve"> </w:t>
      </w:r>
      <w:r w:rsidR="006D19B7" w:rsidRPr="00FC7BCE">
        <w:rPr>
          <w:rFonts w:asciiTheme="minorHAnsi" w:hAnsiTheme="minorHAnsi" w:cstheme="minorHAnsi"/>
          <w:color w:val="auto"/>
          <w:sz w:val="22"/>
          <w:szCs w:val="22"/>
        </w:rPr>
        <w:t>in the development and publication of interim guidance material relating to COVID-19 measures</w:t>
      </w:r>
      <w:r w:rsidR="00817BA8" w:rsidRPr="00FC7BCE">
        <w:rPr>
          <w:rFonts w:asciiTheme="minorHAnsi" w:hAnsiTheme="minorHAnsi" w:cstheme="minorHAnsi"/>
          <w:color w:val="auto"/>
          <w:sz w:val="22"/>
          <w:szCs w:val="22"/>
        </w:rPr>
        <w:t xml:space="preserve">, as well as the update of the </w:t>
      </w:r>
      <w:r w:rsidR="00817BA8" w:rsidRPr="00D41F90">
        <w:rPr>
          <w:rFonts w:asciiTheme="minorHAnsi" w:hAnsiTheme="minorHAnsi" w:cstheme="minorHAnsi"/>
          <w:i/>
          <w:iCs/>
          <w:color w:val="auto"/>
          <w:sz w:val="22"/>
          <w:szCs w:val="22"/>
        </w:rPr>
        <w:t>Developing a Petroleum Resource Factsheet</w:t>
      </w:r>
      <w:r w:rsidR="00817BA8" w:rsidRPr="00FC7BCE">
        <w:rPr>
          <w:rFonts w:asciiTheme="minorHAnsi" w:hAnsiTheme="minorHAnsi" w:cstheme="minorHAnsi"/>
          <w:color w:val="auto"/>
          <w:sz w:val="22"/>
          <w:szCs w:val="22"/>
        </w:rPr>
        <w:t xml:space="preserve"> </w:t>
      </w:r>
      <w:r w:rsidR="006D19B7" w:rsidRPr="00FC7BCE">
        <w:rPr>
          <w:rFonts w:asciiTheme="minorHAnsi" w:hAnsiTheme="minorHAnsi" w:cstheme="minorHAnsi"/>
          <w:color w:val="auto"/>
          <w:sz w:val="22"/>
          <w:szCs w:val="22"/>
        </w:rPr>
        <w:t>(see KP2)</w:t>
      </w:r>
      <w:r w:rsidR="00D86E79">
        <w:rPr>
          <w:rFonts w:asciiTheme="minorHAnsi" w:hAnsiTheme="minorHAnsi" w:cstheme="minorHAnsi"/>
          <w:color w:val="auto"/>
          <w:sz w:val="22"/>
          <w:szCs w:val="22"/>
        </w:rPr>
        <w:t>.</w:t>
      </w:r>
      <w:r w:rsidR="006D19B7" w:rsidRPr="00FC7BCE">
        <w:rPr>
          <w:rFonts w:asciiTheme="minorHAnsi" w:hAnsiTheme="minorHAnsi" w:cstheme="minorHAnsi"/>
          <w:color w:val="auto"/>
          <w:sz w:val="22"/>
          <w:szCs w:val="22"/>
        </w:rPr>
        <w:t xml:space="preserve"> </w:t>
      </w:r>
    </w:p>
    <w:p w14:paraId="1330BA31" w14:textId="329C2981" w:rsidR="00245D36" w:rsidRDefault="006D19B7" w:rsidP="00FC7BCE">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sidRPr="00FC7BCE">
        <w:rPr>
          <w:rFonts w:asciiTheme="minorHAnsi" w:hAnsiTheme="minorHAnsi" w:cstheme="minorHAnsi"/>
          <w:color w:val="auto"/>
          <w:sz w:val="22"/>
          <w:szCs w:val="22"/>
        </w:rPr>
        <w:t xml:space="preserve">Continued to work with </w:t>
      </w:r>
      <w:r w:rsidR="00817BA8" w:rsidRPr="00FC7BCE">
        <w:rPr>
          <w:rFonts w:asciiTheme="minorHAnsi" w:hAnsiTheme="minorHAnsi" w:cstheme="minorHAnsi"/>
          <w:color w:val="auto"/>
          <w:sz w:val="22"/>
          <w:szCs w:val="22"/>
        </w:rPr>
        <w:t xml:space="preserve">ORB and </w:t>
      </w:r>
      <w:r w:rsidR="00EC712B" w:rsidRPr="00FC7BCE">
        <w:rPr>
          <w:rFonts w:asciiTheme="minorHAnsi" w:hAnsiTheme="minorHAnsi" w:cstheme="minorHAnsi"/>
          <w:color w:val="auto"/>
          <w:sz w:val="22"/>
          <w:szCs w:val="22"/>
        </w:rPr>
        <w:t xml:space="preserve">NOPSEMA on </w:t>
      </w:r>
      <w:r w:rsidR="00D74487">
        <w:rPr>
          <w:rFonts w:asciiTheme="minorHAnsi" w:hAnsiTheme="minorHAnsi" w:cstheme="minorHAnsi"/>
          <w:color w:val="auto"/>
          <w:sz w:val="22"/>
          <w:szCs w:val="22"/>
        </w:rPr>
        <w:t xml:space="preserve">the development of a framework for </w:t>
      </w:r>
      <w:r w:rsidR="00EC712B" w:rsidRPr="00FC7BCE">
        <w:rPr>
          <w:rFonts w:asciiTheme="minorHAnsi" w:hAnsiTheme="minorHAnsi" w:cstheme="minorHAnsi"/>
          <w:color w:val="auto"/>
          <w:sz w:val="22"/>
          <w:szCs w:val="22"/>
        </w:rPr>
        <w:t>decommissioning</w:t>
      </w:r>
      <w:r w:rsidR="00FD3C7D">
        <w:rPr>
          <w:rFonts w:asciiTheme="minorHAnsi" w:hAnsiTheme="minorHAnsi" w:cstheme="minorHAnsi"/>
          <w:color w:val="auto"/>
          <w:sz w:val="22"/>
          <w:szCs w:val="22"/>
        </w:rPr>
        <w:t xml:space="preserve"> and late life title</w:t>
      </w:r>
      <w:r w:rsidR="00EC712B" w:rsidRPr="00FC7BCE">
        <w:rPr>
          <w:rFonts w:asciiTheme="minorHAnsi" w:hAnsiTheme="minorHAnsi" w:cstheme="minorHAnsi"/>
          <w:color w:val="auto"/>
          <w:sz w:val="22"/>
          <w:szCs w:val="22"/>
        </w:rPr>
        <w:t xml:space="preserve"> matters </w:t>
      </w:r>
      <w:r w:rsidR="00817BA8" w:rsidRPr="00FC7BCE">
        <w:rPr>
          <w:rFonts w:asciiTheme="minorHAnsi" w:hAnsiTheme="minorHAnsi" w:cstheme="minorHAnsi"/>
          <w:color w:val="auto"/>
          <w:sz w:val="22"/>
          <w:szCs w:val="22"/>
        </w:rPr>
        <w:t>under the relevant legislative and regulatory frameworks (KPI 1 and 3)</w:t>
      </w:r>
      <w:r w:rsidR="00D86E79">
        <w:rPr>
          <w:rFonts w:asciiTheme="minorHAnsi" w:hAnsiTheme="minorHAnsi" w:cstheme="minorHAnsi"/>
          <w:color w:val="auto"/>
          <w:sz w:val="22"/>
          <w:szCs w:val="22"/>
        </w:rPr>
        <w:t>.</w:t>
      </w:r>
      <w:r w:rsidR="00817BA8" w:rsidRPr="00FC7BCE">
        <w:rPr>
          <w:rFonts w:asciiTheme="minorHAnsi" w:hAnsiTheme="minorHAnsi" w:cstheme="minorHAnsi"/>
          <w:color w:val="auto"/>
          <w:sz w:val="22"/>
          <w:szCs w:val="22"/>
        </w:rPr>
        <w:t xml:space="preserve"> </w:t>
      </w:r>
    </w:p>
    <w:p w14:paraId="717B5EFF" w14:textId="577175E2" w:rsidR="00B32EAA" w:rsidRPr="00860D88" w:rsidRDefault="00D74487" w:rsidP="00860D88">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Pr>
          <w:rFonts w:asciiTheme="minorHAnsi" w:hAnsiTheme="minorHAnsi" w:cstheme="minorHAnsi"/>
          <w:color w:val="auto"/>
          <w:sz w:val="22"/>
          <w:szCs w:val="22"/>
        </w:rPr>
        <w:t>Provided input (where requested)</w:t>
      </w:r>
      <w:r w:rsidR="00B32EAA">
        <w:rPr>
          <w:rFonts w:asciiTheme="minorHAnsi" w:hAnsiTheme="minorHAnsi" w:cstheme="minorHAnsi"/>
          <w:color w:val="auto"/>
          <w:sz w:val="22"/>
          <w:szCs w:val="22"/>
        </w:rPr>
        <w:t xml:space="preserve"> in</w:t>
      </w:r>
      <w:r>
        <w:rPr>
          <w:rFonts w:asciiTheme="minorHAnsi" w:hAnsiTheme="minorHAnsi" w:cstheme="minorHAnsi"/>
          <w:color w:val="auto"/>
          <w:sz w:val="22"/>
          <w:szCs w:val="22"/>
        </w:rPr>
        <w:t>to</w:t>
      </w:r>
      <w:r w:rsidR="00B32EAA">
        <w:rPr>
          <w:rFonts w:asciiTheme="minorHAnsi" w:hAnsiTheme="minorHAnsi" w:cstheme="minorHAnsi"/>
          <w:color w:val="auto"/>
          <w:sz w:val="22"/>
          <w:szCs w:val="22"/>
        </w:rPr>
        <w:t xml:space="preserve"> the </w:t>
      </w:r>
      <w:r>
        <w:rPr>
          <w:rFonts w:asciiTheme="minorHAnsi" w:hAnsiTheme="minorHAnsi" w:cstheme="minorHAnsi"/>
          <w:color w:val="auto"/>
          <w:sz w:val="22"/>
          <w:szCs w:val="22"/>
        </w:rPr>
        <w:t>i</w:t>
      </w:r>
      <w:r w:rsidR="00B32EAA" w:rsidRPr="00860D88">
        <w:rPr>
          <w:rFonts w:asciiTheme="minorHAnsi" w:hAnsiTheme="minorHAnsi" w:cstheme="minorHAnsi"/>
          <w:color w:val="auto"/>
          <w:sz w:val="22"/>
          <w:szCs w:val="22"/>
        </w:rPr>
        <w:t>ndependent review into the circumstances leading to the administration and liquidation of Northern Oil and Gas Australia (NOGA</w:t>
      </w:r>
      <w:r w:rsidR="00860D88">
        <w:rPr>
          <w:rFonts w:asciiTheme="minorHAnsi" w:hAnsiTheme="minorHAnsi" w:cstheme="minorHAnsi"/>
          <w:color w:val="auto"/>
          <w:sz w:val="22"/>
          <w:szCs w:val="22"/>
        </w:rPr>
        <w:t>)</w:t>
      </w:r>
      <w:r w:rsidR="00B32EAA">
        <w:rPr>
          <w:rFonts w:asciiTheme="minorHAnsi" w:hAnsiTheme="minorHAnsi" w:cstheme="minorHAnsi"/>
          <w:color w:val="auto"/>
          <w:sz w:val="22"/>
          <w:szCs w:val="22"/>
        </w:rPr>
        <w:t>.</w:t>
      </w:r>
    </w:p>
    <w:p w14:paraId="299058C8" w14:textId="73DB2D21" w:rsidR="00EC712B" w:rsidRPr="00B61B4F" w:rsidRDefault="00EC712B" w:rsidP="009B7F10">
      <w:pPr>
        <w:pStyle w:val="ListParagraph"/>
        <w:numPr>
          <w:ilvl w:val="0"/>
          <w:numId w:val="2"/>
        </w:numPr>
        <w:spacing w:before="0" w:after="120"/>
        <w:ind w:left="426" w:hanging="426"/>
        <w:contextualSpacing w:val="0"/>
        <w:rPr>
          <w:rFonts w:asciiTheme="minorHAnsi" w:hAnsiTheme="minorHAnsi" w:cstheme="minorHAnsi"/>
          <w:color w:val="auto"/>
          <w:sz w:val="22"/>
          <w:szCs w:val="22"/>
          <w:lang w:val="en"/>
        </w:rPr>
      </w:pPr>
      <w:r w:rsidRPr="00B61B4F">
        <w:rPr>
          <w:rFonts w:asciiTheme="minorHAnsi" w:hAnsiTheme="minorHAnsi" w:cstheme="minorHAnsi"/>
          <w:color w:val="auto"/>
          <w:sz w:val="22"/>
          <w:szCs w:val="22"/>
          <w:lang w:val="en"/>
        </w:rPr>
        <w:t>NOPTA has a dedicated feedback email (</w:t>
      </w:r>
      <w:hyperlink r:id="rId35" w:history="1">
        <w:r w:rsidR="001B26B8" w:rsidRPr="002D6B1F">
          <w:rPr>
            <w:rStyle w:val="Hyperlink"/>
            <w:rFonts w:asciiTheme="minorHAnsi" w:hAnsiTheme="minorHAnsi" w:cstheme="minorHAnsi"/>
            <w:sz w:val="22"/>
            <w:szCs w:val="22"/>
            <w:lang w:val="en"/>
          </w:rPr>
          <w:t>feedback@nopta.gov.au</w:t>
        </w:r>
      </w:hyperlink>
      <w:r w:rsidRPr="00B61B4F">
        <w:rPr>
          <w:rFonts w:asciiTheme="minorHAnsi" w:hAnsiTheme="minorHAnsi" w:cstheme="minorHAnsi"/>
          <w:color w:val="auto"/>
          <w:sz w:val="22"/>
          <w:szCs w:val="22"/>
          <w:lang w:val="en"/>
        </w:rPr>
        <w:t>) located on its website (see KPI 3)</w:t>
      </w:r>
      <w:r w:rsidR="00D86E79">
        <w:rPr>
          <w:rFonts w:asciiTheme="minorHAnsi" w:hAnsiTheme="minorHAnsi" w:cstheme="minorHAnsi"/>
          <w:color w:val="auto"/>
          <w:sz w:val="22"/>
          <w:szCs w:val="22"/>
          <w:lang w:val="en"/>
        </w:rPr>
        <w:t>.</w:t>
      </w:r>
    </w:p>
    <w:p w14:paraId="1C0DFF83" w14:textId="77777777" w:rsidR="00567346" w:rsidRPr="000D7A1B" w:rsidRDefault="00567346" w:rsidP="00567346">
      <w:pPr>
        <w:pStyle w:val="ListParagraph"/>
        <w:numPr>
          <w:ilvl w:val="0"/>
          <w:numId w:val="2"/>
        </w:numPr>
        <w:spacing w:before="0" w:after="120"/>
        <w:ind w:left="426" w:hanging="426"/>
        <w:contextualSpacing w:val="0"/>
        <w:rPr>
          <w:rFonts w:asciiTheme="minorHAnsi" w:hAnsiTheme="minorHAnsi" w:cstheme="minorHAnsi"/>
          <w:color w:val="auto"/>
          <w:sz w:val="22"/>
          <w:szCs w:val="22"/>
        </w:rPr>
      </w:pPr>
      <w:r>
        <w:rPr>
          <w:rFonts w:asciiTheme="minorHAnsi" w:hAnsiTheme="minorHAnsi" w:cstheme="minorHAnsi"/>
          <w:color w:val="auto"/>
          <w:sz w:val="22"/>
          <w:szCs w:val="22"/>
        </w:rPr>
        <w:t xml:space="preserve">The </w:t>
      </w:r>
      <w:r w:rsidRPr="00016ABE">
        <w:rPr>
          <w:rFonts w:asciiTheme="minorHAnsi" w:hAnsiTheme="minorHAnsi" w:cstheme="minorHAnsi"/>
          <w:color w:val="auto"/>
          <w:sz w:val="22"/>
          <w:szCs w:val="22"/>
        </w:rPr>
        <w:t>Joint Authority Protocol is published on the NOPTA website</w:t>
      </w:r>
      <w:r>
        <w:rPr>
          <w:rFonts w:asciiTheme="minorHAnsi" w:hAnsiTheme="minorHAnsi" w:cstheme="minorHAnsi"/>
          <w:color w:val="auto"/>
          <w:sz w:val="22"/>
          <w:szCs w:val="22"/>
        </w:rPr>
        <w:t xml:space="preserve"> which provides clarity around communication standards between key government agencies</w:t>
      </w:r>
      <w:r w:rsidRPr="00016ABE">
        <w:rPr>
          <w:rFonts w:asciiTheme="minorHAnsi" w:hAnsiTheme="minorHAnsi" w:cstheme="minorHAnsi"/>
          <w:color w:val="auto"/>
          <w:sz w:val="22"/>
          <w:szCs w:val="22"/>
        </w:rPr>
        <w:t xml:space="preserve"> (see KPI </w:t>
      </w:r>
      <w:r>
        <w:rPr>
          <w:rFonts w:asciiTheme="minorHAnsi" w:hAnsiTheme="minorHAnsi" w:cstheme="minorHAnsi"/>
          <w:color w:val="auto"/>
          <w:sz w:val="22"/>
          <w:szCs w:val="22"/>
        </w:rPr>
        <w:t>5</w:t>
      </w:r>
      <w:r w:rsidRPr="00016ABE">
        <w:rPr>
          <w:rFonts w:asciiTheme="minorHAnsi" w:hAnsiTheme="minorHAnsi" w:cstheme="minorHAnsi"/>
          <w:color w:val="auto"/>
          <w:sz w:val="22"/>
          <w:szCs w:val="22"/>
        </w:rPr>
        <w:t xml:space="preserve">). </w:t>
      </w:r>
    </w:p>
    <w:p w14:paraId="0D02A748" w14:textId="31596760" w:rsidR="005A41CB" w:rsidRDefault="005A41CB" w:rsidP="005A41CB">
      <w:pPr>
        <w:pBdr>
          <w:bottom w:val="single" w:sz="12" w:space="1" w:color="auto"/>
        </w:pBdr>
        <w:spacing w:after="120"/>
        <w:rPr>
          <w:rFonts w:cs="Arial"/>
          <w:lang w:val="en"/>
        </w:rPr>
      </w:pPr>
    </w:p>
    <w:p w14:paraId="07257081" w14:textId="77777777" w:rsidR="005A41CB" w:rsidRPr="005A41CB" w:rsidRDefault="005A41CB" w:rsidP="005A41CB">
      <w:pPr>
        <w:spacing w:after="120"/>
        <w:rPr>
          <w:rFonts w:cs="Arial"/>
          <w:lang w:val="en"/>
        </w:rPr>
      </w:pPr>
    </w:p>
    <w:p w14:paraId="19498852" w14:textId="77777777" w:rsidR="005A41CB" w:rsidRDefault="005A41CB" w:rsidP="00A24755">
      <w:pPr>
        <w:pStyle w:val="Heading2"/>
        <w:jc w:val="left"/>
        <w:rPr>
          <w:color w:val="1F3864" w:themeColor="accent5" w:themeShade="80"/>
        </w:rPr>
      </w:pPr>
      <w:r>
        <w:rPr>
          <w:color w:val="1F3864" w:themeColor="accent5" w:themeShade="80"/>
        </w:rPr>
        <w:br w:type="page"/>
      </w:r>
    </w:p>
    <w:p w14:paraId="5901AAA8" w14:textId="047F0E05" w:rsidR="00A24755" w:rsidRPr="00A24755" w:rsidRDefault="00A24755" w:rsidP="00A24755">
      <w:pPr>
        <w:pStyle w:val="Heading2"/>
        <w:jc w:val="left"/>
        <w:rPr>
          <w:color w:val="1F3864" w:themeColor="accent5" w:themeShade="80"/>
        </w:rPr>
      </w:pPr>
      <w:bookmarkStart w:id="60" w:name="_Toc54610437"/>
      <w:r w:rsidRPr="00A24755">
        <w:rPr>
          <w:color w:val="1F3864" w:themeColor="accent5" w:themeShade="80"/>
        </w:rPr>
        <w:t>External Validation Comments</w:t>
      </w:r>
      <w:bookmarkEnd w:id="60"/>
      <w:r w:rsidRPr="00A24755">
        <w:rPr>
          <w:color w:val="1F3864" w:themeColor="accent5" w:themeShade="80"/>
        </w:rPr>
        <w:t xml:space="preserve"> </w:t>
      </w:r>
    </w:p>
    <w:p w14:paraId="6D8037C4" w14:textId="095E98A5" w:rsidR="0084660B" w:rsidRPr="00F97E47" w:rsidRDefault="00A24755" w:rsidP="00F97E47">
      <w:pPr>
        <w:spacing w:after="0" w:line="240" w:lineRule="auto"/>
      </w:pPr>
      <w:r w:rsidRPr="00F97E47">
        <w:t>Bellbrook Consulting was engaged by NOPTA to perform independent validation of NOPTA’s 2019-20 self-assessment against the six KPIs of the RPF. Bellbrook Consulting has concluded that NOPTA’s self-assessment report provided a comprehensive and balanced assessment against the six KPIs. The following comments were provided:</w:t>
      </w:r>
    </w:p>
    <w:p w14:paraId="0D12B036" w14:textId="77777777" w:rsidR="00F97E47" w:rsidRPr="00F97E47" w:rsidRDefault="00F97E47" w:rsidP="00F97E47">
      <w:pPr>
        <w:spacing w:after="0" w:line="240" w:lineRule="auto"/>
        <w:rPr>
          <w:i/>
          <w:iCs/>
        </w:rPr>
      </w:pPr>
    </w:p>
    <w:p w14:paraId="7C63659E" w14:textId="1EB9D269" w:rsidR="00F97E47" w:rsidRDefault="00F97E47" w:rsidP="00C96D51">
      <w:pPr>
        <w:spacing w:after="120"/>
        <w:rPr>
          <w:rFonts w:cs="Arial"/>
          <w:lang w:val="en"/>
        </w:rPr>
      </w:pPr>
      <w:r>
        <w:rPr>
          <w:b/>
          <w:bCs/>
          <w:i/>
          <w:iCs/>
        </w:rPr>
        <w:t>Bellbrook Consulting comments: NOPTA 2019-20 self-assessment</w:t>
      </w:r>
    </w:p>
    <w:p w14:paraId="226B3606" w14:textId="7554283A" w:rsidR="00A24755" w:rsidRPr="00F97E47" w:rsidRDefault="00A24755" w:rsidP="00A24755">
      <w:pPr>
        <w:spacing w:after="0" w:line="240" w:lineRule="auto"/>
        <w:rPr>
          <w:i/>
          <w:iCs/>
        </w:rPr>
      </w:pPr>
      <w:r w:rsidRPr="00A24755">
        <w:rPr>
          <w:i/>
          <w:iCs/>
        </w:rPr>
        <w:t xml:space="preserve">The independent validation was conducted in line with Attachment B to the </w:t>
      </w:r>
      <w:r w:rsidR="005A41CB">
        <w:rPr>
          <w:i/>
          <w:iCs/>
        </w:rPr>
        <w:t>‘</w:t>
      </w:r>
      <w:r w:rsidRPr="00A24755">
        <w:rPr>
          <w:i/>
          <w:iCs/>
        </w:rPr>
        <w:t>RPF Regulation Reform Team’s Detailed Analysis of Regulator Performance to Support Advice and Recommendations at Attachment A</w:t>
      </w:r>
      <w:r w:rsidR="005A41CB">
        <w:rPr>
          <w:i/>
          <w:iCs/>
        </w:rPr>
        <w:t>’</w:t>
      </w:r>
      <w:r w:rsidRPr="00A24755">
        <w:rPr>
          <w:i/>
          <w:iCs/>
        </w:rPr>
        <w:t xml:space="preserve">. This provides for assessment against two checklists, one for assessment of each of the six KPIs and a second for the overall assessment of the self-assessment. This analysis was supplemented with interviews with representatives of regulated entities and of the Australian Petroleum Production and Exploration Association. The interviews provided feedback against each the six KPIs and more general discussion of NOPTA’s performance. The results of the validation are set out in the following section. </w:t>
      </w:r>
    </w:p>
    <w:p w14:paraId="7F15EFE5" w14:textId="77777777" w:rsidR="00A24755" w:rsidRPr="00A24755" w:rsidRDefault="00A24755" w:rsidP="00A24755">
      <w:pPr>
        <w:spacing w:after="0" w:line="240" w:lineRule="auto"/>
        <w:rPr>
          <w:i/>
          <w:iCs/>
        </w:rPr>
      </w:pPr>
    </w:p>
    <w:p w14:paraId="511BF2DC" w14:textId="26083DED" w:rsidR="00A24755" w:rsidRPr="00F97E47" w:rsidRDefault="00A24755" w:rsidP="00F97E47">
      <w:pPr>
        <w:spacing w:after="0" w:line="240" w:lineRule="auto"/>
        <w:rPr>
          <w:i/>
          <w:iCs/>
        </w:rPr>
      </w:pPr>
      <w:r w:rsidRPr="00F97E47">
        <w:rPr>
          <w:i/>
          <w:iCs/>
        </w:rPr>
        <w:t>NOPTA’s self-assessment is comprehensive, it addresses the six KPIs in detail and provides a detailed assessment against each of its claims against them. Some of the main foundations for NOPTA’s assessment are included below.</w:t>
      </w:r>
    </w:p>
    <w:p w14:paraId="26C91581" w14:textId="4B59E8C5" w:rsidR="00A24755" w:rsidRDefault="005A41CB" w:rsidP="005A41CB">
      <w:pPr>
        <w:tabs>
          <w:tab w:val="center" w:pos="4513"/>
          <w:tab w:val="right" w:pos="9026"/>
        </w:tabs>
        <w:spacing w:after="120"/>
        <w:rPr>
          <w:rFonts w:ascii="Arial" w:hAnsi="Arial" w:cs="Arial"/>
          <w:color w:val="000000"/>
        </w:rPr>
      </w:pPr>
      <w:r>
        <w:rPr>
          <w:rFonts w:ascii="Arial" w:hAnsi="Arial" w:cs="Arial"/>
          <w:color w:val="000000"/>
        </w:rPr>
        <w:tab/>
      </w:r>
      <w:r w:rsidR="00A24755">
        <w:rPr>
          <w:noProof/>
          <w:lang w:eastAsia="en-AU"/>
        </w:rPr>
        <w:drawing>
          <wp:inline distT="0" distB="0" distL="0" distR="0" wp14:anchorId="016A2E03" wp14:editId="57906136">
            <wp:extent cx="4783768" cy="538941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830966" cy="5442592"/>
                    </a:xfrm>
                    <a:prstGeom prst="rect">
                      <a:avLst/>
                    </a:prstGeom>
                  </pic:spPr>
                </pic:pic>
              </a:graphicData>
            </a:graphic>
          </wp:inline>
        </w:drawing>
      </w:r>
      <w:r>
        <w:rPr>
          <w:rFonts w:ascii="Arial" w:hAnsi="Arial" w:cs="Arial"/>
          <w:color w:val="000000"/>
        </w:rPr>
        <w:tab/>
      </w:r>
    </w:p>
    <w:p w14:paraId="352FE4AF" w14:textId="72806691" w:rsidR="00A24755" w:rsidRDefault="00A24755" w:rsidP="00A24755">
      <w:pPr>
        <w:spacing w:after="120"/>
        <w:rPr>
          <w:rFonts w:ascii="Arial" w:hAnsi="Arial" w:cs="Arial"/>
          <w:color w:val="000000"/>
        </w:rPr>
      </w:pPr>
    </w:p>
    <w:p w14:paraId="7285C245" w14:textId="521FCE9F" w:rsidR="00A24755" w:rsidRDefault="00A24755" w:rsidP="00F97E47">
      <w:pPr>
        <w:spacing w:after="120"/>
        <w:jc w:val="center"/>
        <w:rPr>
          <w:rFonts w:ascii="Arial" w:hAnsi="Arial" w:cs="Arial"/>
          <w:color w:val="000000"/>
        </w:rPr>
      </w:pPr>
      <w:r>
        <w:rPr>
          <w:noProof/>
          <w:lang w:eastAsia="en-AU"/>
        </w:rPr>
        <w:drawing>
          <wp:inline distT="0" distB="0" distL="0" distR="0" wp14:anchorId="4F3A18D0" wp14:editId="1C5709CD">
            <wp:extent cx="4675909" cy="29383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708725" cy="2958996"/>
                    </a:xfrm>
                    <a:prstGeom prst="rect">
                      <a:avLst/>
                    </a:prstGeom>
                  </pic:spPr>
                </pic:pic>
              </a:graphicData>
            </a:graphic>
          </wp:inline>
        </w:drawing>
      </w:r>
    </w:p>
    <w:p w14:paraId="43ABDAA9" w14:textId="77777777" w:rsidR="005A41CB" w:rsidRDefault="005A41CB" w:rsidP="00F97E47">
      <w:pPr>
        <w:spacing w:after="120"/>
        <w:rPr>
          <w:b/>
          <w:bCs/>
          <w:i/>
          <w:iCs/>
        </w:rPr>
      </w:pPr>
    </w:p>
    <w:p w14:paraId="704B1BA0" w14:textId="38983EBE" w:rsidR="00A24755" w:rsidRPr="00A24755" w:rsidRDefault="00A24755" w:rsidP="00F97E47">
      <w:pPr>
        <w:spacing w:after="120"/>
        <w:rPr>
          <w:b/>
          <w:bCs/>
          <w:i/>
          <w:iCs/>
        </w:rPr>
      </w:pPr>
      <w:r w:rsidRPr="00A24755">
        <w:rPr>
          <w:b/>
          <w:bCs/>
          <w:i/>
          <w:iCs/>
        </w:rPr>
        <w:t xml:space="preserve">Conclusion </w:t>
      </w:r>
    </w:p>
    <w:p w14:paraId="0C6FB0C1" w14:textId="676625D3" w:rsidR="00A24755" w:rsidRPr="00F97E47" w:rsidRDefault="00A24755" w:rsidP="00A24755">
      <w:pPr>
        <w:spacing w:after="0" w:line="240" w:lineRule="auto"/>
        <w:rPr>
          <w:i/>
          <w:iCs/>
        </w:rPr>
      </w:pPr>
      <w:r w:rsidRPr="00A24755">
        <w:rPr>
          <w:i/>
          <w:iCs/>
        </w:rPr>
        <w:t xml:space="preserve">NOPTA’s performance as a regulator meets the six KPIs set out in the RPF and its self-assessment provides strong claims against each of the KPIs with relevant and compelling evidence to support those claims. It has adopted a flexible and pragmatic approach that is well suited to the regulatory environment. </w:t>
      </w:r>
    </w:p>
    <w:p w14:paraId="54C601C4" w14:textId="77777777" w:rsidR="00A24755" w:rsidRPr="00A24755" w:rsidRDefault="00A24755" w:rsidP="00A24755">
      <w:pPr>
        <w:spacing w:after="0" w:line="240" w:lineRule="auto"/>
        <w:rPr>
          <w:i/>
          <w:iCs/>
        </w:rPr>
      </w:pPr>
    </w:p>
    <w:p w14:paraId="33DC97AF" w14:textId="4B3EAE8B" w:rsidR="00A24755" w:rsidRPr="00F97E47" w:rsidRDefault="00A24755" w:rsidP="00A24755">
      <w:pPr>
        <w:spacing w:after="0" w:line="240" w:lineRule="auto"/>
        <w:rPr>
          <w:i/>
          <w:iCs/>
        </w:rPr>
      </w:pPr>
      <w:r w:rsidRPr="00A24755">
        <w:rPr>
          <w:i/>
          <w:iCs/>
        </w:rPr>
        <w:t xml:space="preserve">Several contributors commented on the importance of NOPTA’s relationship with NOPSEMA. The views expressed were that NOPTA communicates effectively with NOPSEMA to address emerging issues such as asset decommissioning late field life financial transactions with a view to streamlining processes. NOPTA is seen by regulated entities as becoming technically stronger and more open and transparent in its dealings with industry. These views of industry operators confirm that NOPTA’s performance as a regulator continues to improve. </w:t>
      </w:r>
    </w:p>
    <w:p w14:paraId="3EBAEB61" w14:textId="77777777" w:rsidR="00A24755" w:rsidRPr="00A24755" w:rsidRDefault="00A24755" w:rsidP="00A24755">
      <w:pPr>
        <w:spacing w:after="0" w:line="240" w:lineRule="auto"/>
        <w:rPr>
          <w:i/>
          <w:iCs/>
        </w:rPr>
      </w:pPr>
    </w:p>
    <w:p w14:paraId="4F4B7D63" w14:textId="23E4BCC2" w:rsidR="00A24755" w:rsidRPr="00F97E47" w:rsidRDefault="00A24755" w:rsidP="00A24755">
      <w:pPr>
        <w:spacing w:after="0" w:line="240" w:lineRule="auto"/>
        <w:rPr>
          <w:i/>
          <w:iCs/>
        </w:rPr>
      </w:pPr>
      <w:r w:rsidRPr="00F97E47">
        <w:rPr>
          <w:i/>
          <w:iCs/>
        </w:rPr>
        <w:t>NOPTA’s positive RPF self-assessment reflects, in part, its ongoing focus on the quality of its performance through the use of surveys of regulated entities and the introduction of a formal mechanism for regulated entities to provide feedback on NOPTA’s performance. Similarly, the quarterly dashboard report provides NOPTA with live data on aggregate key performance statistics relating to application processing timeframes, data management and financials. These are valuable tools for the monitoring of performance and to drive continuous improvement in NOPTA regulation.</w:t>
      </w:r>
    </w:p>
    <w:p w14:paraId="192A341F" w14:textId="031E5458" w:rsidR="00A24755" w:rsidRPr="00F97E47" w:rsidRDefault="00A24755" w:rsidP="00A24755">
      <w:pPr>
        <w:spacing w:after="0" w:line="240" w:lineRule="auto"/>
        <w:rPr>
          <w:i/>
          <w:iCs/>
        </w:rPr>
      </w:pPr>
    </w:p>
    <w:p w14:paraId="3D966798" w14:textId="7FE5DA2A" w:rsidR="00A24755" w:rsidRPr="00F97E47" w:rsidRDefault="00A24755" w:rsidP="00A24755">
      <w:pPr>
        <w:spacing w:after="0" w:line="240" w:lineRule="auto"/>
        <w:rPr>
          <w:i/>
          <w:iCs/>
        </w:rPr>
      </w:pPr>
      <w:r w:rsidRPr="00F97E47">
        <w:rPr>
          <w:i/>
          <w:iCs/>
        </w:rPr>
        <w:t>The 2019 survey responses have been the basis for improvements within NOPTA in 2019-2020 and the interviews with stakeholders confirmed high levels of satisfaction across the areas covered by the six KPIs. In particular, NOPTA was regarded as being ‘in tune’ with regulated entities and took steps to ensure its regulatory approach was proportional, transparent and collaborative.</w:t>
      </w:r>
    </w:p>
    <w:p w14:paraId="008F7B78" w14:textId="77777777" w:rsidR="0084660B" w:rsidRPr="0084660B" w:rsidRDefault="0084660B" w:rsidP="0084660B">
      <w:pPr>
        <w:spacing w:after="0" w:line="240" w:lineRule="auto"/>
        <w:rPr>
          <w:rFonts w:cstheme="minorHAnsi"/>
          <w:b/>
          <w:bCs/>
          <w:i/>
        </w:rPr>
      </w:pPr>
    </w:p>
    <w:sectPr w:rsidR="0084660B" w:rsidRPr="0084660B" w:rsidSect="006352F3">
      <w:footerReference w:type="default" r:id="rId38"/>
      <w:pgSz w:w="11906" w:h="16838"/>
      <w:pgMar w:top="1418" w:right="1440" w:bottom="993"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EF9ED" w14:textId="77777777" w:rsidR="005A41CB" w:rsidRDefault="005A41CB" w:rsidP="00351ECA">
      <w:pPr>
        <w:spacing w:after="0" w:line="240" w:lineRule="auto"/>
      </w:pPr>
      <w:r>
        <w:separator/>
      </w:r>
    </w:p>
  </w:endnote>
  <w:endnote w:type="continuationSeparator" w:id="0">
    <w:p w14:paraId="44AD1911" w14:textId="77777777" w:rsidR="005A41CB" w:rsidRDefault="005A41CB" w:rsidP="00351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eo Sans Pro">
    <w:altName w:val="Cambria"/>
    <w:charset w:val="00"/>
    <w:family w:val="roman"/>
    <w:pitch w:val="variable"/>
    <w:sig w:usb0="00000003" w:usb1="00000000" w:usb2="00000000" w:usb3="00000000" w:csb0="00000001" w:csb1="00000000"/>
  </w:font>
  <w:font w:name="Univers 45 Ligh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D3781" w14:textId="0D8D44FC" w:rsidR="005A41CB" w:rsidRDefault="005A41CB">
    <w:pPr>
      <w:pStyle w:val="Footer"/>
      <w:pBdr>
        <w:top w:val="single" w:sz="4" w:space="1" w:color="D9D9D9" w:themeColor="background1" w:themeShade="D9"/>
      </w:pBdr>
      <w:jc w:val="right"/>
    </w:pPr>
  </w:p>
  <w:p w14:paraId="2977353E" w14:textId="77777777" w:rsidR="005A41CB" w:rsidRDefault="005A41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859026"/>
      <w:docPartObj>
        <w:docPartGallery w:val="Page Numbers (Bottom of Page)"/>
        <w:docPartUnique/>
      </w:docPartObj>
    </w:sdtPr>
    <w:sdtEndPr/>
    <w:sdtContent>
      <w:p w14:paraId="17A837E6" w14:textId="5FA4EA97" w:rsidR="005A41CB" w:rsidRDefault="003D2B46">
        <w:pPr>
          <w:pStyle w:val="Footer"/>
          <w:jc w:val="right"/>
        </w:pPr>
      </w:p>
    </w:sdtContent>
  </w:sdt>
  <w:p w14:paraId="1A2A01D2" w14:textId="77777777" w:rsidR="005A41CB" w:rsidRDefault="005A41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071051"/>
      <w:docPartObj>
        <w:docPartGallery w:val="Page Numbers (Bottom of Page)"/>
        <w:docPartUnique/>
      </w:docPartObj>
    </w:sdtPr>
    <w:sdtEndPr/>
    <w:sdtContent>
      <w:p w14:paraId="198497F3" w14:textId="77777777" w:rsidR="005A41CB" w:rsidRDefault="005A41CB">
        <w:pPr>
          <w:pStyle w:val="Footer"/>
          <w:jc w:val="right"/>
        </w:pPr>
        <w:r>
          <w:t xml:space="preserve">Page | </w:t>
        </w:r>
        <w:r>
          <w:fldChar w:fldCharType="begin"/>
        </w:r>
        <w:r>
          <w:instrText xml:space="preserve"> PAGE   \* MERGEFORMAT </w:instrText>
        </w:r>
        <w:r>
          <w:fldChar w:fldCharType="separate"/>
        </w:r>
        <w:r w:rsidR="003D2B46">
          <w:rPr>
            <w:noProof/>
          </w:rPr>
          <w:t>14</w:t>
        </w:r>
        <w:r>
          <w:rPr>
            <w:noProof/>
          </w:rPr>
          <w:fldChar w:fldCharType="end"/>
        </w:r>
        <w:r>
          <w:t xml:space="preserve"> </w:t>
        </w:r>
      </w:p>
    </w:sdtContent>
  </w:sdt>
  <w:p w14:paraId="0EC611C8" w14:textId="77777777" w:rsidR="005A41CB" w:rsidRDefault="005A4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B8353" w14:textId="77777777" w:rsidR="005A41CB" w:rsidRDefault="005A41CB" w:rsidP="00351ECA">
      <w:pPr>
        <w:spacing w:after="0" w:line="240" w:lineRule="auto"/>
      </w:pPr>
      <w:r>
        <w:separator/>
      </w:r>
    </w:p>
  </w:footnote>
  <w:footnote w:type="continuationSeparator" w:id="0">
    <w:p w14:paraId="1023A791" w14:textId="77777777" w:rsidR="005A41CB" w:rsidRDefault="005A41CB" w:rsidP="00351ECA">
      <w:pPr>
        <w:spacing w:after="0" w:line="240" w:lineRule="auto"/>
      </w:pPr>
      <w:r>
        <w:continuationSeparator/>
      </w:r>
    </w:p>
  </w:footnote>
  <w:footnote w:id="1">
    <w:p w14:paraId="0FE39BCA" w14:textId="297EE53E" w:rsidR="005A41CB" w:rsidRDefault="005A41CB">
      <w:pPr>
        <w:pStyle w:val="FootnoteText"/>
      </w:pPr>
      <w:r>
        <w:rPr>
          <w:rStyle w:val="FootnoteReference"/>
        </w:rPr>
        <w:footnoteRef/>
      </w:r>
      <w:r>
        <w:t xml:space="preserve"> </w:t>
      </w:r>
      <w:r w:rsidRPr="00C924FE">
        <w:t>On 29 May 2020, the Prime Minister announced that COAG will cease and a new National Federation Reform Council (NFRC) will be formed</w:t>
      </w:r>
      <w:r>
        <w:t>.</w:t>
      </w:r>
    </w:p>
  </w:footnote>
  <w:footnote w:id="2">
    <w:p w14:paraId="39D38F56" w14:textId="77777777" w:rsidR="005A41CB" w:rsidRDefault="005A41CB" w:rsidP="003F0700">
      <w:pPr>
        <w:pStyle w:val="FootnoteText"/>
      </w:pPr>
      <w:r>
        <w:rPr>
          <w:rStyle w:val="FootnoteReference"/>
        </w:rPr>
        <w:footnoteRef/>
      </w:r>
      <w:r>
        <w:t xml:space="preserve"> The QAC is comprised of the General Manager, Operations Manager, and Strategy and Governance Manager</w:t>
      </w:r>
    </w:p>
  </w:footnote>
  <w:footnote w:id="3">
    <w:p w14:paraId="76686387" w14:textId="77777777" w:rsidR="005A41CB" w:rsidRDefault="005A41CB" w:rsidP="00C27876">
      <w:pPr>
        <w:pStyle w:val="FootnoteText"/>
      </w:pPr>
      <w:r>
        <w:rPr>
          <w:rStyle w:val="FootnoteReference"/>
        </w:rPr>
        <w:footnoteRef/>
      </w:r>
      <w:r>
        <w:t xml:space="preserve"> </w:t>
      </w:r>
      <w:r w:rsidRPr="00491543">
        <w:t>A special condition is a unique condition on a title, further to the work program. It could be a condition attached to the grant or renewal of a title, the acceptance of a field development plan, or other approval. If a condition is not complied with, this may lead to compliance action in relation to the title.</w:t>
      </w:r>
    </w:p>
    <w:p w14:paraId="1DBF2AFB" w14:textId="77777777" w:rsidR="005A41CB" w:rsidRDefault="005A41CB" w:rsidP="00C27876">
      <w:pPr>
        <w:pStyle w:val="FootnoteText"/>
      </w:pPr>
    </w:p>
  </w:footnote>
  <w:footnote w:id="4">
    <w:p w14:paraId="49E0B02E" w14:textId="77777777" w:rsidR="005A41CB" w:rsidRDefault="005A41CB" w:rsidP="00C27876">
      <w:pPr>
        <w:pStyle w:val="FootnoteText"/>
      </w:pPr>
      <w:r>
        <w:rPr>
          <w:rStyle w:val="FootnoteReference"/>
        </w:rPr>
        <w:footnoteRef/>
      </w:r>
      <w:r>
        <w:t xml:space="preserve"> </w:t>
      </w:r>
      <w:r>
        <w:rPr>
          <w:rFonts w:cstheme="minorHAnsi"/>
        </w:rPr>
        <w:t>A</w:t>
      </w:r>
      <w:r w:rsidRPr="00491543">
        <w:rPr>
          <w:rFonts w:cstheme="minorHAnsi"/>
        </w:rPr>
        <w:t>n expectation can be placed on the approval of an application relating to a title. It could be an expectation to provide six monthly status updates to NOPTA on the progress of completing the primary term work commitment program activities. If an expectation is not complied with, the Joint Authority may consider this in future decision making.</w:t>
      </w:r>
    </w:p>
  </w:footnote>
  <w:footnote w:id="5">
    <w:p w14:paraId="3EA89281" w14:textId="47905F36" w:rsidR="005A41CB" w:rsidRDefault="005A41CB">
      <w:pPr>
        <w:pStyle w:val="FootnoteText"/>
      </w:pPr>
      <w:r>
        <w:rPr>
          <w:rStyle w:val="FootnoteReference"/>
        </w:rPr>
        <w:footnoteRef/>
      </w:r>
      <w:r>
        <w:t xml:space="preserve"> Guidelines are the policy documents of the Joint Authority, owned and updated by ORB</w:t>
      </w:r>
    </w:p>
  </w:footnote>
  <w:footnote w:id="6">
    <w:p w14:paraId="05E44629" w14:textId="39B22F1D" w:rsidR="005A41CB" w:rsidRDefault="005A41CB">
      <w:pPr>
        <w:pStyle w:val="FootnoteText"/>
      </w:pPr>
      <w:r>
        <w:rPr>
          <w:rStyle w:val="FootnoteReference"/>
        </w:rPr>
        <w:footnoteRef/>
      </w:r>
      <w:r>
        <w:t xml:space="preserve"> </w:t>
      </w:r>
      <w:r w:rsidRPr="00C924FE">
        <w:t>On 29 May 2020, the Prime Minister announced that COAG will cease and a new National Federation Reform Council (NFRC) will be formed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BF22C" w14:textId="0EA2F9A2" w:rsidR="005A41CB" w:rsidRDefault="005A41CB">
    <w:pPr>
      <w:pStyle w:val="Header"/>
    </w:pPr>
    <w:r>
      <w:rPr>
        <w:noProof/>
        <w:sz w:val="44"/>
        <w:szCs w:val="44"/>
        <w:lang w:eastAsia="en-AU"/>
      </w:rPr>
      <w:drawing>
        <wp:anchor distT="0" distB="0" distL="114300" distR="114300" simplePos="0" relativeHeight="251657216" behindDoc="0" locked="0" layoutInCell="1" allowOverlap="1" wp14:anchorId="70EEFEA6" wp14:editId="1746B92D">
          <wp:simplePos x="0" y="0"/>
          <wp:positionH relativeFrom="column">
            <wp:posOffset>3466769</wp:posOffset>
          </wp:positionH>
          <wp:positionV relativeFrom="paragraph">
            <wp:posOffset>-338455</wp:posOffset>
          </wp:positionV>
          <wp:extent cx="2265680" cy="586740"/>
          <wp:effectExtent l="0" t="0" r="1270" b="3810"/>
          <wp:wrapSquare wrapText="bothSides"/>
          <wp:docPr id="7" name="Picture 7" descr="Australian Government logo: National Offshore Petroleum Titles Administ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PTA_inli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6568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52F3">
      <w:rPr>
        <w:noProof/>
        <w:sz w:val="44"/>
        <w:szCs w:val="44"/>
        <w:lang w:eastAsia="en-A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D24C7"/>
    <w:multiLevelType w:val="multilevel"/>
    <w:tmpl w:val="2392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90236"/>
    <w:multiLevelType w:val="hybridMultilevel"/>
    <w:tmpl w:val="D89EBF3A"/>
    <w:lvl w:ilvl="0" w:tplc="83FA728C">
      <w:start w:val="1"/>
      <w:numFmt w:val="bullet"/>
      <w:pStyle w:val="Bullet"/>
      <w:lvlText w:val="•"/>
      <w:lvlJc w:val="left"/>
      <w:pPr>
        <w:tabs>
          <w:tab w:val="num" w:pos="360"/>
        </w:tabs>
        <w:ind w:left="360" w:hanging="360"/>
      </w:pPr>
      <w:rPr>
        <w:rFonts w:ascii="Verdana" w:hAnsi="Verdana"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AD0246"/>
    <w:multiLevelType w:val="multilevel"/>
    <w:tmpl w:val="DD70D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256D0"/>
    <w:multiLevelType w:val="hybridMultilevel"/>
    <w:tmpl w:val="897A8C4C"/>
    <w:lvl w:ilvl="0" w:tplc="E932B75A">
      <w:start w:val="1"/>
      <w:numFmt w:val="bullet"/>
      <w:lvlText w:val="-"/>
      <w:lvlJc w:val="left"/>
      <w:pPr>
        <w:ind w:left="720" w:hanging="360"/>
      </w:pPr>
      <w:rPr>
        <w:rFonts w:ascii="Courier New" w:hAnsi="Courier New" w:hint="default"/>
        <w:color w:val="auto"/>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D05380"/>
    <w:multiLevelType w:val="hybridMultilevel"/>
    <w:tmpl w:val="5922DD50"/>
    <w:lvl w:ilvl="0" w:tplc="E53250F4">
      <w:start w:val="1"/>
      <w:numFmt w:val="bullet"/>
      <w:lvlText w:val="•"/>
      <w:lvlJc w:val="left"/>
      <w:pPr>
        <w:tabs>
          <w:tab w:val="num" w:pos="720"/>
        </w:tabs>
        <w:ind w:left="720" w:hanging="360"/>
      </w:pPr>
      <w:rPr>
        <w:rFonts w:ascii="Arial" w:hAnsi="Arial" w:hint="default"/>
      </w:rPr>
    </w:lvl>
    <w:lvl w:ilvl="1" w:tplc="1C86974C" w:tentative="1">
      <w:start w:val="1"/>
      <w:numFmt w:val="bullet"/>
      <w:lvlText w:val="•"/>
      <w:lvlJc w:val="left"/>
      <w:pPr>
        <w:tabs>
          <w:tab w:val="num" w:pos="1440"/>
        </w:tabs>
        <w:ind w:left="1440" w:hanging="360"/>
      </w:pPr>
      <w:rPr>
        <w:rFonts w:ascii="Arial" w:hAnsi="Arial" w:hint="default"/>
      </w:rPr>
    </w:lvl>
    <w:lvl w:ilvl="2" w:tplc="D7C2D04A" w:tentative="1">
      <w:start w:val="1"/>
      <w:numFmt w:val="bullet"/>
      <w:lvlText w:val="•"/>
      <w:lvlJc w:val="left"/>
      <w:pPr>
        <w:tabs>
          <w:tab w:val="num" w:pos="2160"/>
        </w:tabs>
        <w:ind w:left="2160" w:hanging="360"/>
      </w:pPr>
      <w:rPr>
        <w:rFonts w:ascii="Arial" w:hAnsi="Arial" w:hint="default"/>
      </w:rPr>
    </w:lvl>
    <w:lvl w:ilvl="3" w:tplc="63227EA0" w:tentative="1">
      <w:start w:val="1"/>
      <w:numFmt w:val="bullet"/>
      <w:lvlText w:val="•"/>
      <w:lvlJc w:val="left"/>
      <w:pPr>
        <w:tabs>
          <w:tab w:val="num" w:pos="2880"/>
        </w:tabs>
        <w:ind w:left="2880" w:hanging="360"/>
      </w:pPr>
      <w:rPr>
        <w:rFonts w:ascii="Arial" w:hAnsi="Arial" w:hint="default"/>
      </w:rPr>
    </w:lvl>
    <w:lvl w:ilvl="4" w:tplc="309E80CE" w:tentative="1">
      <w:start w:val="1"/>
      <w:numFmt w:val="bullet"/>
      <w:lvlText w:val="•"/>
      <w:lvlJc w:val="left"/>
      <w:pPr>
        <w:tabs>
          <w:tab w:val="num" w:pos="3600"/>
        </w:tabs>
        <w:ind w:left="3600" w:hanging="360"/>
      </w:pPr>
      <w:rPr>
        <w:rFonts w:ascii="Arial" w:hAnsi="Arial" w:hint="default"/>
      </w:rPr>
    </w:lvl>
    <w:lvl w:ilvl="5" w:tplc="CED42878" w:tentative="1">
      <w:start w:val="1"/>
      <w:numFmt w:val="bullet"/>
      <w:lvlText w:val="•"/>
      <w:lvlJc w:val="left"/>
      <w:pPr>
        <w:tabs>
          <w:tab w:val="num" w:pos="4320"/>
        </w:tabs>
        <w:ind w:left="4320" w:hanging="360"/>
      </w:pPr>
      <w:rPr>
        <w:rFonts w:ascii="Arial" w:hAnsi="Arial" w:hint="default"/>
      </w:rPr>
    </w:lvl>
    <w:lvl w:ilvl="6" w:tplc="08248C58" w:tentative="1">
      <w:start w:val="1"/>
      <w:numFmt w:val="bullet"/>
      <w:lvlText w:val="•"/>
      <w:lvlJc w:val="left"/>
      <w:pPr>
        <w:tabs>
          <w:tab w:val="num" w:pos="5040"/>
        </w:tabs>
        <w:ind w:left="5040" w:hanging="360"/>
      </w:pPr>
      <w:rPr>
        <w:rFonts w:ascii="Arial" w:hAnsi="Arial" w:hint="default"/>
      </w:rPr>
    </w:lvl>
    <w:lvl w:ilvl="7" w:tplc="B05C35AA" w:tentative="1">
      <w:start w:val="1"/>
      <w:numFmt w:val="bullet"/>
      <w:lvlText w:val="•"/>
      <w:lvlJc w:val="left"/>
      <w:pPr>
        <w:tabs>
          <w:tab w:val="num" w:pos="5760"/>
        </w:tabs>
        <w:ind w:left="5760" w:hanging="360"/>
      </w:pPr>
      <w:rPr>
        <w:rFonts w:ascii="Arial" w:hAnsi="Arial" w:hint="default"/>
      </w:rPr>
    </w:lvl>
    <w:lvl w:ilvl="8" w:tplc="236C4B7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6D66B1"/>
    <w:multiLevelType w:val="hybridMultilevel"/>
    <w:tmpl w:val="37A4FD38"/>
    <w:lvl w:ilvl="0" w:tplc="E932B75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901045"/>
    <w:multiLevelType w:val="hybridMultilevel"/>
    <w:tmpl w:val="D9C61578"/>
    <w:lvl w:ilvl="0" w:tplc="E932B75A">
      <w:start w:val="1"/>
      <w:numFmt w:val="bullet"/>
      <w:lvlText w:val="-"/>
      <w:lvlJc w:val="left"/>
      <w:pPr>
        <w:ind w:left="720" w:hanging="360"/>
      </w:pPr>
      <w:rPr>
        <w:rFonts w:ascii="Courier New" w:hAnsi="Courier New" w:hint="default"/>
        <w:color w:val="auto"/>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FD7252"/>
    <w:multiLevelType w:val="hybridMultilevel"/>
    <w:tmpl w:val="15AE0A06"/>
    <w:lvl w:ilvl="0" w:tplc="F6D034BE">
      <w:start w:val="1"/>
      <w:numFmt w:val="bullet"/>
      <w:lvlText w:val="•"/>
      <w:lvlJc w:val="left"/>
      <w:pPr>
        <w:tabs>
          <w:tab w:val="num" w:pos="720"/>
        </w:tabs>
        <w:ind w:left="720" w:hanging="360"/>
      </w:pPr>
      <w:rPr>
        <w:rFonts w:ascii="Arial" w:hAnsi="Arial" w:hint="default"/>
      </w:rPr>
    </w:lvl>
    <w:lvl w:ilvl="1" w:tplc="AA4A618C" w:tentative="1">
      <w:start w:val="1"/>
      <w:numFmt w:val="bullet"/>
      <w:lvlText w:val="•"/>
      <w:lvlJc w:val="left"/>
      <w:pPr>
        <w:tabs>
          <w:tab w:val="num" w:pos="1440"/>
        </w:tabs>
        <w:ind w:left="1440" w:hanging="360"/>
      </w:pPr>
      <w:rPr>
        <w:rFonts w:ascii="Arial" w:hAnsi="Arial" w:hint="default"/>
      </w:rPr>
    </w:lvl>
    <w:lvl w:ilvl="2" w:tplc="8EE6B13A" w:tentative="1">
      <w:start w:val="1"/>
      <w:numFmt w:val="bullet"/>
      <w:lvlText w:val="•"/>
      <w:lvlJc w:val="left"/>
      <w:pPr>
        <w:tabs>
          <w:tab w:val="num" w:pos="2160"/>
        </w:tabs>
        <w:ind w:left="2160" w:hanging="360"/>
      </w:pPr>
      <w:rPr>
        <w:rFonts w:ascii="Arial" w:hAnsi="Arial" w:hint="default"/>
      </w:rPr>
    </w:lvl>
    <w:lvl w:ilvl="3" w:tplc="9BDE08B8" w:tentative="1">
      <w:start w:val="1"/>
      <w:numFmt w:val="bullet"/>
      <w:lvlText w:val="•"/>
      <w:lvlJc w:val="left"/>
      <w:pPr>
        <w:tabs>
          <w:tab w:val="num" w:pos="2880"/>
        </w:tabs>
        <w:ind w:left="2880" w:hanging="360"/>
      </w:pPr>
      <w:rPr>
        <w:rFonts w:ascii="Arial" w:hAnsi="Arial" w:hint="default"/>
      </w:rPr>
    </w:lvl>
    <w:lvl w:ilvl="4" w:tplc="EF1ED9D8" w:tentative="1">
      <w:start w:val="1"/>
      <w:numFmt w:val="bullet"/>
      <w:lvlText w:val="•"/>
      <w:lvlJc w:val="left"/>
      <w:pPr>
        <w:tabs>
          <w:tab w:val="num" w:pos="3600"/>
        </w:tabs>
        <w:ind w:left="3600" w:hanging="360"/>
      </w:pPr>
      <w:rPr>
        <w:rFonts w:ascii="Arial" w:hAnsi="Arial" w:hint="default"/>
      </w:rPr>
    </w:lvl>
    <w:lvl w:ilvl="5" w:tplc="F3BAB154" w:tentative="1">
      <w:start w:val="1"/>
      <w:numFmt w:val="bullet"/>
      <w:lvlText w:val="•"/>
      <w:lvlJc w:val="left"/>
      <w:pPr>
        <w:tabs>
          <w:tab w:val="num" w:pos="4320"/>
        </w:tabs>
        <w:ind w:left="4320" w:hanging="360"/>
      </w:pPr>
      <w:rPr>
        <w:rFonts w:ascii="Arial" w:hAnsi="Arial" w:hint="default"/>
      </w:rPr>
    </w:lvl>
    <w:lvl w:ilvl="6" w:tplc="7640031E" w:tentative="1">
      <w:start w:val="1"/>
      <w:numFmt w:val="bullet"/>
      <w:lvlText w:val="•"/>
      <w:lvlJc w:val="left"/>
      <w:pPr>
        <w:tabs>
          <w:tab w:val="num" w:pos="5040"/>
        </w:tabs>
        <w:ind w:left="5040" w:hanging="360"/>
      </w:pPr>
      <w:rPr>
        <w:rFonts w:ascii="Arial" w:hAnsi="Arial" w:hint="default"/>
      </w:rPr>
    </w:lvl>
    <w:lvl w:ilvl="7" w:tplc="F3466F5C" w:tentative="1">
      <w:start w:val="1"/>
      <w:numFmt w:val="bullet"/>
      <w:lvlText w:val="•"/>
      <w:lvlJc w:val="left"/>
      <w:pPr>
        <w:tabs>
          <w:tab w:val="num" w:pos="5760"/>
        </w:tabs>
        <w:ind w:left="5760" w:hanging="360"/>
      </w:pPr>
      <w:rPr>
        <w:rFonts w:ascii="Arial" w:hAnsi="Arial" w:hint="default"/>
      </w:rPr>
    </w:lvl>
    <w:lvl w:ilvl="8" w:tplc="AB382C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7D0902"/>
    <w:multiLevelType w:val="hybridMultilevel"/>
    <w:tmpl w:val="DEBC9544"/>
    <w:lvl w:ilvl="0" w:tplc="0C09000F">
      <w:start w:val="1"/>
      <w:numFmt w:val="decimal"/>
      <w:lvlText w:val="%1."/>
      <w:lvlJc w:val="left"/>
      <w:pPr>
        <w:tabs>
          <w:tab w:val="num" w:pos="360"/>
        </w:tabs>
        <w:ind w:left="360" w:hanging="360"/>
      </w:pPr>
    </w:lvl>
    <w:lvl w:ilvl="1" w:tplc="0C090001">
      <w:start w:val="1"/>
      <w:numFmt w:val="bullet"/>
      <w:lvlText w:val=""/>
      <w:lvlJc w:val="left"/>
      <w:pPr>
        <w:tabs>
          <w:tab w:val="num" w:pos="1080"/>
        </w:tabs>
        <w:ind w:left="1080" w:hanging="360"/>
      </w:pPr>
      <w:rPr>
        <w:rFonts w:ascii="Symbol" w:hAnsi="Symbol" w:hint="default"/>
      </w:r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9" w15:restartNumberingAfterBreak="0">
    <w:nsid w:val="422F45EF"/>
    <w:multiLevelType w:val="hybridMultilevel"/>
    <w:tmpl w:val="3D3A3B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29E2D75"/>
    <w:multiLevelType w:val="hybridMultilevel"/>
    <w:tmpl w:val="D826AA7C"/>
    <w:lvl w:ilvl="0" w:tplc="3552DF66">
      <w:start w:val="1"/>
      <w:numFmt w:val="bullet"/>
      <w:pStyle w:val="ListBullet"/>
      <w:lvlText w:val=""/>
      <w:lvlJc w:val="left"/>
      <w:pPr>
        <w:tabs>
          <w:tab w:val="num" w:pos="340"/>
        </w:tabs>
        <w:ind w:left="340" w:hanging="340"/>
      </w:pPr>
      <w:rPr>
        <w:rFonts w:ascii="Symbol" w:hAnsi="Symbol" w:hint="default"/>
        <w:color w:val="auto"/>
        <w:sz w:val="22"/>
      </w:rPr>
    </w:lvl>
    <w:lvl w:ilvl="1" w:tplc="D26AC600">
      <w:numFmt w:val="bullet"/>
      <w:lvlText w:val="•"/>
      <w:lvlJc w:val="left"/>
      <w:pPr>
        <w:ind w:left="1440" w:hanging="360"/>
      </w:pPr>
      <w:rPr>
        <w:rFonts w:ascii="Times New Roman" w:eastAsia="Calibri" w:hAnsi="Times New Roman" w:cs="Times New Roman" w:hint="default"/>
      </w:rPr>
    </w:lvl>
    <w:lvl w:ilvl="2" w:tplc="8BDE5336">
      <w:start w:val="1"/>
      <w:numFmt w:val="bullet"/>
      <w:lvlText w:val=""/>
      <w:lvlJc w:val="left"/>
      <w:pPr>
        <w:ind w:left="2160" w:hanging="360"/>
      </w:pPr>
      <w:rPr>
        <w:rFonts w:ascii="Wingdings" w:hAnsi="Wingdings" w:hint="default"/>
      </w:rPr>
    </w:lvl>
    <w:lvl w:ilvl="3" w:tplc="9F562B7E">
      <w:start w:val="1"/>
      <w:numFmt w:val="bullet"/>
      <w:lvlText w:val=""/>
      <w:lvlJc w:val="left"/>
      <w:pPr>
        <w:ind w:left="2880" w:hanging="360"/>
      </w:pPr>
      <w:rPr>
        <w:rFonts w:ascii="Symbol" w:hAnsi="Symbol" w:hint="default"/>
      </w:rPr>
    </w:lvl>
    <w:lvl w:ilvl="4" w:tplc="FC224D3C">
      <w:start w:val="1"/>
      <w:numFmt w:val="bullet"/>
      <w:lvlText w:val="o"/>
      <w:lvlJc w:val="left"/>
      <w:pPr>
        <w:ind w:left="3600" w:hanging="360"/>
      </w:pPr>
      <w:rPr>
        <w:rFonts w:ascii="Courier New" w:hAnsi="Courier New" w:cs="Courier New" w:hint="default"/>
      </w:rPr>
    </w:lvl>
    <w:lvl w:ilvl="5" w:tplc="8982E612">
      <w:start w:val="1"/>
      <w:numFmt w:val="bullet"/>
      <w:lvlText w:val=""/>
      <w:lvlJc w:val="left"/>
      <w:pPr>
        <w:ind w:left="4320" w:hanging="360"/>
      </w:pPr>
      <w:rPr>
        <w:rFonts w:ascii="Wingdings" w:hAnsi="Wingdings" w:hint="default"/>
      </w:rPr>
    </w:lvl>
    <w:lvl w:ilvl="6" w:tplc="BBBA797C">
      <w:start w:val="1"/>
      <w:numFmt w:val="bullet"/>
      <w:lvlText w:val=""/>
      <w:lvlJc w:val="left"/>
      <w:pPr>
        <w:ind w:left="5040" w:hanging="360"/>
      </w:pPr>
      <w:rPr>
        <w:rFonts w:ascii="Symbol" w:hAnsi="Symbol" w:hint="default"/>
      </w:rPr>
    </w:lvl>
    <w:lvl w:ilvl="7" w:tplc="E72C37E4">
      <w:start w:val="1"/>
      <w:numFmt w:val="bullet"/>
      <w:lvlText w:val="o"/>
      <w:lvlJc w:val="left"/>
      <w:pPr>
        <w:ind w:left="5760" w:hanging="360"/>
      </w:pPr>
      <w:rPr>
        <w:rFonts w:ascii="Courier New" w:hAnsi="Courier New" w:cs="Courier New" w:hint="default"/>
      </w:rPr>
    </w:lvl>
    <w:lvl w:ilvl="8" w:tplc="AB9CFDEE">
      <w:start w:val="1"/>
      <w:numFmt w:val="bullet"/>
      <w:lvlText w:val=""/>
      <w:lvlJc w:val="left"/>
      <w:pPr>
        <w:ind w:left="6480" w:hanging="360"/>
      </w:pPr>
      <w:rPr>
        <w:rFonts w:ascii="Wingdings" w:hAnsi="Wingdings" w:hint="default"/>
      </w:rPr>
    </w:lvl>
  </w:abstractNum>
  <w:abstractNum w:abstractNumId="11" w15:restartNumberingAfterBreak="0">
    <w:nsid w:val="650C4C47"/>
    <w:multiLevelType w:val="hybridMultilevel"/>
    <w:tmpl w:val="2488DB42"/>
    <w:lvl w:ilvl="0" w:tplc="FB2A0AEE">
      <w:start w:val="1"/>
      <w:numFmt w:val="bullet"/>
      <w:lvlText w:val=""/>
      <w:lvlJc w:val="left"/>
      <w:pPr>
        <w:ind w:left="720" w:hanging="360"/>
      </w:pPr>
      <w:rPr>
        <w:rFonts w:ascii="Symbol" w:hAnsi="Symbol" w:hint="default"/>
        <w:color w:val="auto"/>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2216AC"/>
    <w:multiLevelType w:val="hybridMultilevel"/>
    <w:tmpl w:val="FB6AAA7E"/>
    <w:lvl w:ilvl="0" w:tplc="2A78AD64">
      <w:start w:val="1"/>
      <w:numFmt w:val="bullet"/>
      <w:lvlText w:val="•"/>
      <w:lvlJc w:val="left"/>
      <w:pPr>
        <w:tabs>
          <w:tab w:val="num" w:pos="720"/>
        </w:tabs>
        <w:ind w:left="720" w:hanging="360"/>
      </w:pPr>
      <w:rPr>
        <w:rFonts w:ascii="Arial" w:hAnsi="Arial" w:hint="default"/>
      </w:rPr>
    </w:lvl>
    <w:lvl w:ilvl="1" w:tplc="5418A956" w:tentative="1">
      <w:start w:val="1"/>
      <w:numFmt w:val="bullet"/>
      <w:lvlText w:val="•"/>
      <w:lvlJc w:val="left"/>
      <w:pPr>
        <w:tabs>
          <w:tab w:val="num" w:pos="1440"/>
        </w:tabs>
        <w:ind w:left="1440" w:hanging="360"/>
      </w:pPr>
      <w:rPr>
        <w:rFonts w:ascii="Arial" w:hAnsi="Arial" w:hint="default"/>
      </w:rPr>
    </w:lvl>
    <w:lvl w:ilvl="2" w:tplc="C600A6CC" w:tentative="1">
      <w:start w:val="1"/>
      <w:numFmt w:val="bullet"/>
      <w:lvlText w:val="•"/>
      <w:lvlJc w:val="left"/>
      <w:pPr>
        <w:tabs>
          <w:tab w:val="num" w:pos="2160"/>
        </w:tabs>
        <w:ind w:left="2160" w:hanging="360"/>
      </w:pPr>
      <w:rPr>
        <w:rFonts w:ascii="Arial" w:hAnsi="Arial" w:hint="default"/>
      </w:rPr>
    </w:lvl>
    <w:lvl w:ilvl="3" w:tplc="7D4A155E" w:tentative="1">
      <w:start w:val="1"/>
      <w:numFmt w:val="bullet"/>
      <w:lvlText w:val="•"/>
      <w:lvlJc w:val="left"/>
      <w:pPr>
        <w:tabs>
          <w:tab w:val="num" w:pos="2880"/>
        </w:tabs>
        <w:ind w:left="2880" w:hanging="360"/>
      </w:pPr>
      <w:rPr>
        <w:rFonts w:ascii="Arial" w:hAnsi="Arial" w:hint="default"/>
      </w:rPr>
    </w:lvl>
    <w:lvl w:ilvl="4" w:tplc="34F8A012" w:tentative="1">
      <w:start w:val="1"/>
      <w:numFmt w:val="bullet"/>
      <w:lvlText w:val="•"/>
      <w:lvlJc w:val="left"/>
      <w:pPr>
        <w:tabs>
          <w:tab w:val="num" w:pos="3600"/>
        </w:tabs>
        <w:ind w:left="3600" w:hanging="360"/>
      </w:pPr>
      <w:rPr>
        <w:rFonts w:ascii="Arial" w:hAnsi="Arial" w:hint="default"/>
      </w:rPr>
    </w:lvl>
    <w:lvl w:ilvl="5" w:tplc="4E6038F2" w:tentative="1">
      <w:start w:val="1"/>
      <w:numFmt w:val="bullet"/>
      <w:lvlText w:val="•"/>
      <w:lvlJc w:val="left"/>
      <w:pPr>
        <w:tabs>
          <w:tab w:val="num" w:pos="4320"/>
        </w:tabs>
        <w:ind w:left="4320" w:hanging="360"/>
      </w:pPr>
      <w:rPr>
        <w:rFonts w:ascii="Arial" w:hAnsi="Arial" w:hint="default"/>
      </w:rPr>
    </w:lvl>
    <w:lvl w:ilvl="6" w:tplc="F5A8D450" w:tentative="1">
      <w:start w:val="1"/>
      <w:numFmt w:val="bullet"/>
      <w:lvlText w:val="•"/>
      <w:lvlJc w:val="left"/>
      <w:pPr>
        <w:tabs>
          <w:tab w:val="num" w:pos="5040"/>
        </w:tabs>
        <w:ind w:left="5040" w:hanging="360"/>
      </w:pPr>
      <w:rPr>
        <w:rFonts w:ascii="Arial" w:hAnsi="Arial" w:hint="default"/>
      </w:rPr>
    </w:lvl>
    <w:lvl w:ilvl="7" w:tplc="B1CC819A" w:tentative="1">
      <w:start w:val="1"/>
      <w:numFmt w:val="bullet"/>
      <w:lvlText w:val="•"/>
      <w:lvlJc w:val="left"/>
      <w:pPr>
        <w:tabs>
          <w:tab w:val="num" w:pos="5760"/>
        </w:tabs>
        <w:ind w:left="5760" w:hanging="360"/>
      </w:pPr>
      <w:rPr>
        <w:rFonts w:ascii="Arial" w:hAnsi="Arial" w:hint="default"/>
      </w:rPr>
    </w:lvl>
    <w:lvl w:ilvl="8" w:tplc="851A9F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1"/>
  </w:num>
  <w:num w:numId="3">
    <w:abstractNumId w:val="10"/>
  </w:num>
  <w:num w:numId="4">
    <w:abstractNumId w:val="0"/>
  </w:num>
  <w:num w:numId="5">
    <w:abstractNumId w:val="3"/>
  </w:num>
  <w:num w:numId="6">
    <w:abstractNumId w:val="6"/>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12"/>
  </w:num>
  <w:num w:numId="11">
    <w:abstractNumId w:val="2"/>
  </w:num>
  <w:num w:numId="12">
    <w:abstractNumId w:val="9"/>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ECA"/>
    <w:rsid w:val="00001E57"/>
    <w:rsid w:val="000025EE"/>
    <w:rsid w:val="0000288A"/>
    <w:rsid w:val="000037CD"/>
    <w:rsid w:val="00004CCC"/>
    <w:rsid w:val="00004D18"/>
    <w:rsid w:val="00004D55"/>
    <w:rsid w:val="00007513"/>
    <w:rsid w:val="00012C54"/>
    <w:rsid w:val="00012F08"/>
    <w:rsid w:val="00013023"/>
    <w:rsid w:val="000133E4"/>
    <w:rsid w:val="00014618"/>
    <w:rsid w:val="000158C2"/>
    <w:rsid w:val="00016ABE"/>
    <w:rsid w:val="00022D0E"/>
    <w:rsid w:val="00022F69"/>
    <w:rsid w:val="0002334D"/>
    <w:rsid w:val="000257E2"/>
    <w:rsid w:val="00026F5C"/>
    <w:rsid w:val="00031A2B"/>
    <w:rsid w:val="00032A17"/>
    <w:rsid w:val="00035183"/>
    <w:rsid w:val="00036088"/>
    <w:rsid w:val="00037A8C"/>
    <w:rsid w:val="0004319B"/>
    <w:rsid w:val="00043B54"/>
    <w:rsid w:val="0004664F"/>
    <w:rsid w:val="00046718"/>
    <w:rsid w:val="00047C19"/>
    <w:rsid w:val="000518C5"/>
    <w:rsid w:val="00051D27"/>
    <w:rsid w:val="0005236C"/>
    <w:rsid w:val="00054669"/>
    <w:rsid w:val="0005760E"/>
    <w:rsid w:val="00057E8E"/>
    <w:rsid w:val="00060AE4"/>
    <w:rsid w:val="000642F3"/>
    <w:rsid w:val="00066E12"/>
    <w:rsid w:val="00071274"/>
    <w:rsid w:val="00073955"/>
    <w:rsid w:val="00073FD4"/>
    <w:rsid w:val="000743C1"/>
    <w:rsid w:val="00076C87"/>
    <w:rsid w:val="0008192F"/>
    <w:rsid w:val="000825A1"/>
    <w:rsid w:val="000853BE"/>
    <w:rsid w:val="00085A66"/>
    <w:rsid w:val="00086E90"/>
    <w:rsid w:val="00087D53"/>
    <w:rsid w:val="000939DE"/>
    <w:rsid w:val="000954E7"/>
    <w:rsid w:val="00095C0A"/>
    <w:rsid w:val="000A19BE"/>
    <w:rsid w:val="000A7505"/>
    <w:rsid w:val="000B398C"/>
    <w:rsid w:val="000B3BEC"/>
    <w:rsid w:val="000B57D0"/>
    <w:rsid w:val="000C078C"/>
    <w:rsid w:val="000C1D7E"/>
    <w:rsid w:val="000C3469"/>
    <w:rsid w:val="000D00A6"/>
    <w:rsid w:val="000D0AE4"/>
    <w:rsid w:val="000D11C1"/>
    <w:rsid w:val="000D11D9"/>
    <w:rsid w:val="000D200B"/>
    <w:rsid w:val="000D27D7"/>
    <w:rsid w:val="000D3731"/>
    <w:rsid w:val="000D5DE2"/>
    <w:rsid w:val="000D7A1B"/>
    <w:rsid w:val="000D7B23"/>
    <w:rsid w:val="000E29FF"/>
    <w:rsid w:val="000E5C30"/>
    <w:rsid w:val="000F037F"/>
    <w:rsid w:val="000F14F7"/>
    <w:rsid w:val="000F7BF5"/>
    <w:rsid w:val="00101CDE"/>
    <w:rsid w:val="001021A5"/>
    <w:rsid w:val="00103D98"/>
    <w:rsid w:val="001070D1"/>
    <w:rsid w:val="00107BF2"/>
    <w:rsid w:val="00110BDE"/>
    <w:rsid w:val="00111778"/>
    <w:rsid w:val="00111E7D"/>
    <w:rsid w:val="00112CF9"/>
    <w:rsid w:val="001132A9"/>
    <w:rsid w:val="00113E4A"/>
    <w:rsid w:val="00117487"/>
    <w:rsid w:val="00120441"/>
    <w:rsid w:val="00130B2A"/>
    <w:rsid w:val="00132C3F"/>
    <w:rsid w:val="001358A2"/>
    <w:rsid w:val="00136686"/>
    <w:rsid w:val="001374E9"/>
    <w:rsid w:val="0014187F"/>
    <w:rsid w:val="00145A4F"/>
    <w:rsid w:val="00147D6E"/>
    <w:rsid w:val="001500D2"/>
    <w:rsid w:val="0015430F"/>
    <w:rsid w:val="001563DA"/>
    <w:rsid w:val="00160B81"/>
    <w:rsid w:val="001639C3"/>
    <w:rsid w:val="0016717F"/>
    <w:rsid w:val="00172533"/>
    <w:rsid w:val="001728DC"/>
    <w:rsid w:val="00173C91"/>
    <w:rsid w:val="001744D0"/>
    <w:rsid w:val="00174578"/>
    <w:rsid w:val="00176930"/>
    <w:rsid w:val="00177074"/>
    <w:rsid w:val="00180174"/>
    <w:rsid w:val="0018098E"/>
    <w:rsid w:val="00180D2A"/>
    <w:rsid w:val="001810C4"/>
    <w:rsid w:val="00183A3B"/>
    <w:rsid w:val="00187FE0"/>
    <w:rsid w:val="00192D54"/>
    <w:rsid w:val="001930DF"/>
    <w:rsid w:val="001936CE"/>
    <w:rsid w:val="001942F0"/>
    <w:rsid w:val="001952FE"/>
    <w:rsid w:val="00197145"/>
    <w:rsid w:val="00197E1B"/>
    <w:rsid w:val="001A4119"/>
    <w:rsid w:val="001A43D1"/>
    <w:rsid w:val="001A4614"/>
    <w:rsid w:val="001A4924"/>
    <w:rsid w:val="001A53B0"/>
    <w:rsid w:val="001A6DE5"/>
    <w:rsid w:val="001B0F2A"/>
    <w:rsid w:val="001B0FC9"/>
    <w:rsid w:val="001B23EB"/>
    <w:rsid w:val="001B26B8"/>
    <w:rsid w:val="001B2946"/>
    <w:rsid w:val="001B3D28"/>
    <w:rsid w:val="001B3ED6"/>
    <w:rsid w:val="001B6060"/>
    <w:rsid w:val="001C07E5"/>
    <w:rsid w:val="001C0A62"/>
    <w:rsid w:val="001C1DA5"/>
    <w:rsid w:val="001C2006"/>
    <w:rsid w:val="001C2627"/>
    <w:rsid w:val="001C4E1E"/>
    <w:rsid w:val="001C6D44"/>
    <w:rsid w:val="001C6EB8"/>
    <w:rsid w:val="001D1C58"/>
    <w:rsid w:val="001D26BB"/>
    <w:rsid w:val="001D4E56"/>
    <w:rsid w:val="001D5100"/>
    <w:rsid w:val="001E0BFA"/>
    <w:rsid w:val="001E270B"/>
    <w:rsid w:val="001E331D"/>
    <w:rsid w:val="001E5A21"/>
    <w:rsid w:val="001E5E05"/>
    <w:rsid w:val="001E6038"/>
    <w:rsid w:val="001E76F2"/>
    <w:rsid w:val="001F2C7F"/>
    <w:rsid w:val="001F43E7"/>
    <w:rsid w:val="00200CE9"/>
    <w:rsid w:val="002023CB"/>
    <w:rsid w:val="00202F1D"/>
    <w:rsid w:val="00204CD2"/>
    <w:rsid w:val="00206ADC"/>
    <w:rsid w:val="002119EA"/>
    <w:rsid w:val="0021284E"/>
    <w:rsid w:val="00213817"/>
    <w:rsid w:val="00214804"/>
    <w:rsid w:val="00214D6A"/>
    <w:rsid w:val="00217120"/>
    <w:rsid w:val="002205A9"/>
    <w:rsid w:val="00220989"/>
    <w:rsid w:val="0022369D"/>
    <w:rsid w:val="00224317"/>
    <w:rsid w:val="00224739"/>
    <w:rsid w:val="00225A51"/>
    <w:rsid w:val="00227F40"/>
    <w:rsid w:val="0023078F"/>
    <w:rsid w:val="00230C8E"/>
    <w:rsid w:val="00232764"/>
    <w:rsid w:val="002363D2"/>
    <w:rsid w:val="00237544"/>
    <w:rsid w:val="00240A10"/>
    <w:rsid w:val="0024315F"/>
    <w:rsid w:val="00245D36"/>
    <w:rsid w:val="002474EB"/>
    <w:rsid w:val="002524BE"/>
    <w:rsid w:val="00252A80"/>
    <w:rsid w:val="002533B6"/>
    <w:rsid w:val="0025523C"/>
    <w:rsid w:val="0026239C"/>
    <w:rsid w:val="002639C7"/>
    <w:rsid w:val="00265094"/>
    <w:rsid w:val="00274BCB"/>
    <w:rsid w:val="002755D3"/>
    <w:rsid w:val="002766D8"/>
    <w:rsid w:val="00276889"/>
    <w:rsid w:val="0028087F"/>
    <w:rsid w:val="002828A8"/>
    <w:rsid w:val="00283AB0"/>
    <w:rsid w:val="00283BEB"/>
    <w:rsid w:val="0028461A"/>
    <w:rsid w:val="002907D3"/>
    <w:rsid w:val="00290DAE"/>
    <w:rsid w:val="00292E2B"/>
    <w:rsid w:val="00293771"/>
    <w:rsid w:val="0029533C"/>
    <w:rsid w:val="00295D8A"/>
    <w:rsid w:val="0029685C"/>
    <w:rsid w:val="002A037A"/>
    <w:rsid w:val="002A28FF"/>
    <w:rsid w:val="002A33C3"/>
    <w:rsid w:val="002A7377"/>
    <w:rsid w:val="002B1552"/>
    <w:rsid w:val="002B6162"/>
    <w:rsid w:val="002B6557"/>
    <w:rsid w:val="002C170F"/>
    <w:rsid w:val="002C3F5D"/>
    <w:rsid w:val="002C57BF"/>
    <w:rsid w:val="002D338D"/>
    <w:rsid w:val="002D51DE"/>
    <w:rsid w:val="002D5530"/>
    <w:rsid w:val="002D5ACD"/>
    <w:rsid w:val="002D5F76"/>
    <w:rsid w:val="002D672E"/>
    <w:rsid w:val="002D6737"/>
    <w:rsid w:val="002D6BA1"/>
    <w:rsid w:val="002D778D"/>
    <w:rsid w:val="002E0405"/>
    <w:rsid w:val="002E24BA"/>
    <w:rsid w:val="002E2A5F"/>
    <w:rsid w:val="002E435B"/>
    <w:rsid w:val="002E6574"/>
    <w:rsid w:val="002E7669"/>
    <w:rsid w:val="002F0933"/>
    <w:rsid w:val="002F157B"/>
    <w:rsid w:val="002F1ACD"/>
    <w:rsid w:val="002F229C"/>
    <w:rsid w:val="002F34DC"/>
    <w:rsid w:val="002F63DC"/>
    <w:rsid w:val="002F7E00"/>
    <w:rsid w:val="00302EF3"/>
    <w:rsid w:val="00303267"/>
    <w:rsid w:val="00306799"/>
    <w:rsid w:val="003126CB"/>
    <w:rsid w:val="00312761"/>
    <w:rsid w:val="00312AAB"/>
    <w:rsid w:val="00313BF3"/>
    <w:rsid w:val="003171A3"/>
    <w:rsid w:val="00320328"/>
    <w:rsid w:val="00320817"/>
    <w:rsid w:val="00324487"/>
    <w:rsid w:val="00324DC1"/>
    <w:rsid w:val="0032659A"/>
    <w:rsid w:val="00330DDE"/>
    <w:rsid w:val="00331961"/>
    <w:rsid w:val="00332BAD"/>
    <w:rsid w:val="003338CA"/>
    <w:rsid w:val="003344CB"/>
    <w:rsid w:val="00336FAF"/>
    <w:rsid w:val="003373B5"/>
    <w:rsid w:val="00337A09"/>
    <w:rsid w:val="00341EC4"/>
    <w:rsid w:val="003447B6"/>
    <w:rsid w:val="0034645C"/>
    <w:rsid w:val="00347EA5"/>
    <w:rsid w:val="003514CC"/>
    <w:rsid w:val="00351CC8"/>
    <w:rsid w:val="00351ECA"/>
    <w:rsid w:val="003535E8"/>
    <w:rsid w:val="00354D04"/>
    <w:rsid w:val="003561AD"/>
    <w:rsid w:val="003563A9"/>
    <w:rsid w:val="00356F3C"/>
    <w:rsid w:val="00357715"/>
    <w:rsid w:val="003577BB"/>
    <w:rsid w:val="003617A7"/>
    <w:rsid w:val="00362950"/>
    <w:rsid w:val="003659C0"/>
    <w:rsid w:val="00370558"/>
    <w:rsid w:val="003758AF"/>
    <w:rsid w:val="003809D7"/>
    <w:rsid w:val="00381E5F"/>
    <w:rsid w:val="00381E71"/>
    <w:rsid w:val="0038234B"/>
    <w:rsid w:val="00382DC2"/>
    <w:rsid w:val="00384AF1"/>
    <w:rsid w:val="0039519C"/>
    <w:rsid w:val="00395A47"/>
    <w:rsid w:val="0039647C"/>
    <w:rsid w:val="003964A7"/>
    <w:rsid w:val="003975A0"/>
    <w:rsid w:val="00397D3E"/>
    <w:rsid w:val="003A2497"/>
    <w:rsid w:val="003A2C02"/>
    <w:rsid w:val="003A3977"/>
    <w:rsid w:val="003A4AAB"/>
    <w:rsid w:val="003B00C4"/>
    <w:rsid w:val="003B0E2C"/>
    <w:rsid w:val="003B0EC2"/>
    <w:rsid w:val="003B158B"/>
    <w:rsid w:val="003B4C4C"/>
    <w:rsid w:val="003B4D94"/>
    <w:rsid w:val="003B5924"/>
    <w:rsid w:val="003B69FF"/>
    <w:rsid w:val="003C2641"/>
    <w:rsid w:val="003C388A"/>
    <w:rsid w:val="003C3C34"/>
    <w:rsid w:val="003C52A9"/>
    <w:rsid w:val="003C556C"/>
    <w:rsid w:val="003C5ACA"/>
    <w:rsid w:val="003C6A1B"/>
    <w:rsid w:val="003D2B46"/>
    <w:rsid w:val="003D395E"/>
    <w:rsid w:val="003D512B"/>
    <w:rsid w:val="003D5AC7"/>
    <w:rsid w:val="003E1603"/>
    <w:rsid w:val="003E39A2"/>
    <w:rsid w:val="003E5E17"/>
    <w:rsid w:val="003E7189"/>
    <w:rsid w:val="003F0700"/>
    <w:rsid w:val="003F3D55"/>
    <w:rsid w:val="003F52D0"/>
    <w:rsid w:val="003F5448"/>
    <w:rsid w:val="0040158A"/>
    <w:rsid w:val="00403155"/>
    <w:rsid w:val="00405138"/>
    <w:rsid w:val="00406AF1"/>
    <w:rsid w:val="0041064F"/>
    <w:rsid w:val="004116DD"/>
    <w:rsid w:val="004119B5"/>
    <w:rsid w:val="00412190"/>
    <w:rsid w:val="004171EA"/>
    <w:rsid w:val="00424444"/>
    <w:rsid w:val="004255B8"/>
    <w:rsid w:val="00426D26"/>
    <w:rsid w:val="004300B9"/>
    <w:rsid w:val="004317F9"/>
    <w:rsid w:val="004324F7"/>
    <w:rsid w:val="00432CA8"/>
    <w:rsid w:val="0044565A"/>
    <w:rsid w:val="004464C7"/>
    <w:rsid w:val="00447327"/>
    <w:rsid w:val="004477BC"/>
    <w:rsid w:val="00451963"/>
    <w:rsid w:val="00451EA7"/>
    <w:rsid w:val="00452893"/>
    <w:rsid w:val="004556BE"/>
    <w:rsid w:val="0046089F"/>
    <w:rsid w:val="00463304"/>
    <w:rsid w:val="00463C5D"/>
    <w:rsid w:val="00463ED8"/>
    <w:rsid w:val="004652CA"/>
    <w:rsid w:val="004713B1"/>
    <w:rsid w:val="00472ACC"/>
    <w:rsid w:val="004736D6"/>
    <w:rsid w:val="004739D6"/>
    <w:rsid w:val="00475B2F"/>
    <w:rsid w:val="00476577"/>
    <w:rsid w:val="00480F00"/>
    <w:rsid w:val="004821E4"/>
    <w:rsid w:val="004849AE"/>
    <w:rsid w:val="00487F2B"/>
    <w:rsid w:val="00490A08"/>
    <w:rsid w:val="0049415E"/>
    <w:rsid w:val="00496C8C"/>
    <w:rsid w:val="004A4494"/>
    <w:rsid w:val="004A4F93"/>
    <w:rsid w:val="004A5EA7"/>
    <w:rsid w:val="004A6C7D"/>
    <w:rsid w:val="004A7EE0"/>
    <w:rsid w:val="004B1A4B"/>
    <w:rsid w:val="004B3BA0"/>
    <w:rsid w:val="004B4CAE"/>
    <w:rsid w:val="004B7E35"/>
    <w:rsid w:val="004C083E"/>
    <w:rsid w:val="004C2B24"/>
    <w:rsid w:val="004C2E15"/>
    <w:rsid w:val="004C420E"/>
    <w:rsid w:val="004C462E"/>
    <w:rsid w:val="004C538B"/>
    <w:rsid w:val="004C7146"/>
    <w:rsid w:val="004C7A52"/>
    <w:rsid w:val="004D1A43"/>
    <w:rsid w:val="004D209A"/>
    <w:rsid w:val="004D2822"/>
    <w:rsid w:val="004D2931"/>
    <w:rsid w:val="004D4978"/>
    <w:rsid w:val="004D5189"/>
    <w:rsid w:val="004D72E0"/>
    <w:rsid w:val="004E1701"/>
    <w:rsid w:val="004E1ADC"/>
    <w:rsid w:val="004E4236"/>
    <w:rsid w:val="004E5A53"/>
    <w:rsid w:val="004E5EE0"/>
    <w:rsid w:val="004E7517"/>
    <w:rsid w:val="004F259F"/>
    <w:rsid w:val="004F36D8"/>
    <w:rsid w:val="004F4A23"/>
    <w:rsid w:val="004F4DDB"/>
    <w:rsid w:val="004F60BB"/>
    <w:rsid w:val="005017EB"/>
    <w:rsid w:val="0051400E"/>
    <w:rsid w:val="005142AF"/>
    <w:rsid w:val="00514E54"/>
    <w:rsid w:val="00516104"/>
    <w:rsid w:val="00524112"/>
    <w:rsid w:val="00524466"/>
    <w:rsid w:val="00524C28"/>
    <w:rsid w:val="00524D2A"/>
    <w:rsid w:val="00525546"/>
    <w:rsid w:val="00525955"/>
    <w:rsid w:val="00525C9D"/>
    <w:rsid w:val="00526B97"/>
    <w:rsid w:val="00526D36"/>
    <w:rsid w:val="00527172"/>
    <w:rsid w:val="0053082D"/>
    <w:rsid w:val="00531192"/>
    <w:rsid w:val="00531839"/>
    <w:rsid w:val="00533796"/>
    <w:rsid w:val="00536133"/>
    <w:rsid w:val="005362FF"/>
    <w:rsid w:val="00536ECC"/>
    <w:rsid w:val="005419BB"/>
    <w:rsid w:val="005429BA"/>
    <w:rsid w:val="00542D34"/>
    <w:rsid w:val="00542E43"/>
    <w:rsid w:val="00546087"/>
    <w:rsid w:val="00552024"/>
    <w:rsid w:val="00554685"/>
    <w:rsid w:val="00561332"/>
    <w:rsid w:val="00562338"/>
    <w:rsid w:val="00562545"/>
    <w:rsid w:val="0056462B"/>
    <w:rsid w:val="0056582A"/>
    <w:rsid w:val="00566146"/>
    <w:rsid w:val="00566AB7"/>
    <w:rsid w:val="00566BCB"/>
    <w:rsid w:val="00567346"/>
    <w:rsid w:val="0056757C"/>
    <w:rsid w:val="00570105"/>
    <w:rsid w:val="0057279A"/>
    <w:rsid w:val="00574EC4"/>
    <w:rsid w:val="005751BC"/>
    <w:rsid w:val="0058072D"/>
    <w:rsid w:val="00583227"/>
    <w:rsid w:val="00584848"/>
    <w:rsid w:val="005863E3"/>
    <w:rsid w:val="00586DDA"/>
    <w:rsid w:val="0058789D"/>
    <w:rsid w:val="00591B89"/>
    <w:rsid w:val="005921F8"/>
    <w:rsid w:val="00592F4E"/>
    <w:rsid w:val="00595B5B"/>
    <w:rsid w:val="00597822"/>
    <w:rsid w:val="00597934"/>
    <w:rsid w:val="005A0B22"/>
    <w:rsid w:val="005A1E7F"/>
    <w:rsid w:val="005A274A"/>
    <w:rsid w:val="005A40A6"/>
    <w:rsid w:val="005A41CB"/>
    <w:rsid w:val="005A59D3"/>
    <w:rsid w:val="005B0169"/>
    <w:rsid w:val="005B1B0C"/>
    <w:rsid w:val="005B2509"/>
    <w:rsid w:val="005B2A30"/>
    <w:rsid w:val="005B35B1"/>
    <w:rsid w:val="005B4397"/>
    <w:rsid w:val="005B4614"/>
    <w:rsid w:val="005B5ECB"/>
    <w:rsid w:val="005B6935"/>
    <w:rsid w:val="005C175A"/>
    <w:rsid w:val="005C17D6"/>
    <w:rsid w:val="005C3AF6"/>
    <w:rsid w:val="005C3E8C"/>
    <w:rsid w:val="005C5357"/>
    <w:rsid w:val="005C724C"/>
    <w:rsid w:val="005C758F"/>
    <w:rsid w:val="005C7AF2"/>
    <w:rsid w:val="005D0784"/>
    <w:rsid w:val="005D2009"/>
    <w:rsid w:val="005D2A9D"/>
    <w:rsid w:val="005D3058"/>
    <w:rsid w:val="005D50BD"/>
    <w:rsid w:val="005D54E6"/>
    <w:rsid w:val="005D5D82"/>
    <w:rsid w:val="005D63B0"/>
    <w:rsid w:val="005D6FE8"/>
    <w:rsid w:val="005D7F51"/>
    <w:rsid w:val="005E0541"/>
    <w:rsid w:val="005E0BAE"/>
    <w:rsid w:val="005E26D5"/>
    <w:rsid w:val="005E33F0"/>
    <w:rsid w:val="005E570D"/>
    <w:rsid w:val="005F0558"/>
    <w:rsid w:val="005F06D4"/>
    <w:rsid w:val="005F0D6B"/>
    <w:rsid w:val="005F0F1E"/>
    <w:rsid w:val="005F1D73"/>
    <w:rsid w:val="005F2249"/>
    <w:rsid w:val="005F38CE"/>
    <w:rsid w:val="005F3D18"/>
    <w:rsid w:val="006003EF"/>
    <w:rsid w:val="0060774E"/>
    <w:rsid w:val="006107B6"/>
    <w:rsid w:val="0061083B"/>
    <w:rsid w:val="00612CD9"/>
    <w:rsid w:val="00613511"/>
    <w:rsid w:val="00614358"/>
    <w:rsid w:val="00614824"/>
    <w:rsid w:val="006161A1"/>
    <w:rsid w:val="006203AC"/>
    <w:rsid w:val="00620CD3"/>
    <w:rsid w:val="006231D9"/>
    <w:rsid w:val="00625B79"/>
    <w:rsid w:val="00630931"/>
    <w:rsid w:val="0063185B"/>
    <w:rsid w:val="0063270A"/>
    <w:rsid w:val="00634279"/>
    <w:rsid w:val="00634AAD"/>
    <w:rsid w:val="006352F3"/>
    <w:rsid w:val="00640634"/>
    <w:rsid w:val="00640E16"/>
    <w:rsid w:val="0064584A"/>
    <w:rsid w:val="006459EC"/>
    <w:rsid w:val="00650E5D"/>
    <w:rsid w:val="006512AD"/>
    <w:rsid w:val="006522EF"/>
    <w:rsid w:val="00652F50"/>
    <w:rsid w:val="0065372C"/>
    <w:rsid w:val="00653B68"/>
    <w:rsid w:val="00654C58"/>
    <w:rsid w:val="00655B4D"/>
    <w:rsid w:val="006569DA"/>
    <w:rsid w:val="00661318"/>
    <w:rsid w:val="00661995"/>
    <w:rsid w:val="00662F38"/>
    <w:rsid w:val="00664D0C"/>
    <w:rsid w:val="006656F6"/>
    <w:rsid w:val="00666C72"/>
    <w:rsid w:val="00667DA2"/>
    <w:rsid w:val="0067013F"/>
    <w:rsid w:val="00672577"/>
    <w:rsid w:val="00672B53"/>
    <w:rsid w:val="00675DE3"/>
    <w:rsid w:val="00677F46"/>
    <w:rsid w:val="006820D7"/>
    <w:rsid w:val="00682545"/>
    <w:rsid w:val="00685724"/>
    <w:rsid w:val="00686C54"/>
    <w:rsid w:val="006870E3"/>
    <w:rsid w:val="0069135F"/>
    <w:rsid w:val="00692832"/>
    <w:rsid w:val="00692B9F"/>
    <w:rsid w:val="00694130"/>
    <w:rsid w:val="00695B9B"/>
    <w:rsid w:val="006A0E66"/>
    <w:rsid w:val="006B17DC"/>
    <w:rsid w:val="006B1F16"/>
    <w:rsid w:val="006B3693"/>
    <w:rsid w:val="006B3CF9"/>
    <w:rsid w:val="006B57C3"/>
    <w:rsid w:val="006B5C12"/>
    <w:rsid w:val="006C59B4"/>
    <w:rsid w:val="006D16A2"/>
    <w:rsid w:val="006D19B7"/>
    <w:rsid w:val="006D2B96"/>
    <w:rsid w:val="006D721D"/>
    <w:rsid w:val="006E0712"/>
    <w:rsid w:val="006E0DF6"/>
    <w:rsid w:val="006E25A7"/>
    <w:rsid w:val="006E2BE1"/>
    <w:rsid w:val="006E35BF"/>
    <w:rsid w:val="006E378C"/>
    <w:rsid w:val="006E3EF0"/>
    <w:rsid w:val="006E7C2D"/>
    <w:rsid w:val="006F18CB"/>
    <w:rsid w:val="006F2F3B"/>
    <w:rsid w:val="006F3DCD"/>
    <w:rsid w:val="006F536E"/>
    <w:rsid w:val="006F6665"/>
    <w:rsid w:val="006F66AA"/>
    <w:rsid w:val="006F7989"/>
    <w:rsid w:val="00700430"/>
    <w:rsid w:val="0070187F"/>
    <w:rsid w:val="00701A17"/>
    <w:rsid w:val="00702AA2"/>
    <w:rsid w:val="007036FF"/>
    <w:rsid w:val="00703759"/>
    <w:rsid w:val="00704820"/>
    <w:rsid w:val="0070672C"/>
    <w:rsid w:val="00706758"/>
    <w:rsid w:val="0071419F"/>
    <w:rsid w:val="0071528B"/>
    <w:rsid w:val="0071654F"/>
    <w:rsid w:val="00721CBA"/>
    <w:rsid w:val="007226BA"/>
    <w:rsid w:val="00725D93"/>
    <w:rsid w:val="007261C7"/>
    <w:rsid w:val="007303B8"/>
    <w:rsid w:val="00731A37"/>
    <w:rsid w:val="00733473"/>
    <w:rsid w:val="007344C9"/>
    <w:rsid w:val="00734CB6"/>
    <w:rsid w:val="00735405"/>
    <w:rsid w:val="00736486"/>
    <w:rsid w:val="00744E9C"/>
    <w:rsid w:val="00751D77"/>
    <w:rsid w:val="00752BDB"/>
    <w:rsid w:val="00752C10"/>
    <w:rsid w:val="0075444B"/>
    <w:rsid w:val="00755B9A"/>
    <w:rsid w:val="00756ACC"/>
    <w:rsid w:val="007602A7"/>
    <w:rsid w:val="007610B5"/>
    <w:rsid w:val="00765785"/>
    <w:rsid w:val="00765C46"/>
    <w:rsid w:val="00765EC5"/>
    <w:rsid w:val="00772396"/>
    <w:rsid w:val="00772575"/>
    <w:rsid w:val="00782F21"/>
    <w:rsid w:val="00791AEC"/>
    <w:rsid w:val="007921F9"/>
    <w:rsid w:val="00795EE8"/>
    <w:rsid w:val="007A0065"/>
    <w:rsid w:val="007A07DC"/>
    <w:rsid w:val="007A2C1C"/>
    <w:rsid w:val="007A469A"/>
    <w:rsid w:val="007C0A2C"/>
    <w:rsid w:val="007C3415"/>
    <w:rsid w:val="007C3696"/>
    <w:rsid w:val="007C3B58"/>
    <w:rsid w:val="007C40AC"/>
    <w:rsid w:val="007C5920"/>
    <w:rsid w:val="007C77A9"/>
    <w:rsid w:val="007D102B"/>
    <w:rsid w:val="007D1600"/>
    <w:rsid w:val="007D1814"/>
    <w:rsid w:val="007D5F6A"/>
    <w:rsid w:val="007D7E11"/>
    <w:rsid w:val="007E31A5"/>
    <w:rsid w:val="007E34C5"/>
    <w:rsid w:val="007E3D60"/>
    <w:rsid w:val="007E4560"/>
    <w:rsid w:val="007E4AD7"/>
    <w:rsid w:val="007E4DF1"/>
    <w:rsid w:val="007F18CA"/>
    <w:rsid w:val="007F2041"/>
    <w:rsid w:val="007F34A4"/>
    <w:rsid w:val="007F42C7"/>
    <w:rsid w:val="007F4A1F"/>
    <w:rsid w:val="007F6458"/>
    <w:rsid w:val="007F7333"/>
    <w:rsid w:val="008025A7"/>
    <w:rsid w:val="008033B0"/>
    <w:rsid w:val="00807397"/>
    <w:rsid w:val="00807F41"/>
    <w:rsid w:val="00813882"/>
    <w:rsid w:val="00814E71"/>
    <w:rsid w:val="008169FF"/>
    <w:rsid w:val="00816F29"/>
    <w:rsid w:val="00817298"/>
    <w:rsid w:val="00817351"/>
    <w:rsid w:val="00817BA8"/>
    <w:rsid w:val="00817F72"/>
    <w:rsid w:val="0082057A"/>
    <w:rsid w:val="008205FD"/>
    <w:rsid w:val="00825110"/>
    <w:rsid w:val="008256AE"/>
    <w:rsid w:val="00825FB6"/>
    <w:rsid w:val="00826F5B"/>
    <w:rsid w:val="0082722F"/>
    <w:rsid w:val="00827BF8"/>
    <w:rsid w:val="0083084B"/>
    <w:rsid w:val="00830B11"/>
    <w:rsid w:val="00832457"/>
    <w:rsid w:val="00833489"/>
    <w:rsid w:val="00834881"/>
    <w:rsid w:val="00834BF3"/>
    <w:rsid w:val="00835435"/>
    <w:rsid w:val="008379E5"/>
    <w:rsid w:val="00837BDE"/>
    <w:rsid w:val="00837F89"/>
    <w:rsid w:val="0084066F"/>
    <w:rsid w:val="0084660B"/>
    <w:rsid w:val="00850E5B"/>
    <w:rsid w:val="00851F51"/>
    <w:rsid w:val="00855FDE"/>
    <w:rsid w:val="00860D88"/>
    <w:rsid w:val="00872186"/>
    <w:rsid w:val="00873154"/>
    <w:rsid w:val="00875CD3"/>
    <w:rsid w:val="00875E4B"/>
    <w:rsid w:val="0087717C"/>
    <w:rsid w:val="00881211"/>
    <w:rsid w:val="00881234"/>
    <w:rsid w:val="008818CF"/>
    <w:rsid w:val="00882A6A"/>
    <w:rsid w:val="00885EAB"/>
    <w:rsid w:val="00887944"/>
    <w:rsid w:val="008930AE"/>
    <w:rsid w:val="008931AE"/>
    <w:rsid w:val="0089399F"/>
    <w:rsid w:val="008952D0"/>
    <w:rsid w:val="008978A9"/>
    <w:rsid w:val="008A1BC3"/>
    <w:rsid w:val="008A3372"/>
    <w:rsid w:val="008B0931"/>
    <w:rsid w:val="008B42B7"/>
    <w:rsid w:val="008B62FC"/>
    <w:rsid w:val="008B7BF1"/>
    <w:rsid w:val="008C0E71"/>
    <w:rsid w:val="008C49E3"/>
    <w:rsid w:val="008C5D41"/>
    <w:rsid w:val="008D093F"/>
    <w:rsid w:val="008D1C29"/>
    <w:rsid w:val="008D3B8D"/>
    <w:rsid w:val="008D3E84"/>
    <w:rsid w:val="008D4FCF"/>
    <w:rsid w:val="008D5CD2"/>
    <w:rsid w:val="008E0CB6"/>
    <w:rsid w:val="008E0D42"/>
    <w:rsid w:val="008E1253"/>
    <w:rsid w:val="008E32D0"/>
    <w:rsid w:val="008E5CFD"/>
    <w:rsid w:val="008F3B61"/>
    <w:rsid w:val="008F669B"/>
    <w:rsid w:val="008F738A"/>
    <w:rsid w:val="008F7CE0"/>
    <w:rsid w:val="00901247"/>
    <w:rsid w:val="00903039"/>
    <w:rsid w:val="009050A0"/>
    <w:rsid w:val="00905D4A"/>
    <w:rsid w:val="00907247"/>
    <w:rsid w:val="009075DB"/>
    <w:rsid w:val="00910C51"/>
    <w:rsid w:val="00911E1C"/>
    <w:rsid w:val="00911F62"/>
    <w:rsid w:val="00914417"/>
    <w:rsid w:val="00915A97"/>
    <w:rsid w:val="00916E87"/>
    <w:rsid w:val="00924A20"/>
    <w:rsid w:val="0092505E"/>
    <w:rsid w:val="00925962"/>
    <w:rsid w:val="00925D25"/>
    <w:rsid w:val="009301E0"/>
    <w:rsid w:val="00931A58"/>
    <w:rsid w:val="00933FB2"/>
    <w:rsid w:val="00936757"/>
    <w:rsid w:val="00936C69"/>
    <w:rsid w:val="00937824"/>
    <w:rsid w:val="00940123"/>
    <w:rsid w:val="00942B78"/>
    <w:rsid w:val="00943C7C"/>
    <w:rsid w:val="00946AF2"/>
    <w:rsid w:val="00951D44"/>
    <w:rsid w:val="009527C2"/>
    <w:rsid w:val="00952ABB"/>
    <w:rsid w:val="00952ED4"/>
    <w:rsid w:val="00956E09"/>
    <w:rsid w:val="00957238"/>
    <w:rsid w:val="009574E1"/>
    <w:rsid w:val="00960566"/>
    <w:rsid w:val="00960E3A"/>
    <w:rsid w:val="00961694"/>
    <w:rsid w:val="009627E9"/>
    <w:rsid w:val="009663D0"/>
    <w:rsid w:val="00971F94"/>
    <w:rsid w:val="00976E14"/>
    <w:rsid w:val="00980046"/>
    <w:rsid w:val="00980233"/>
    <w:rsid w:val="009835C8"/>
    <w:rsid w:val="009858C0"/>
    <w:rsid w:val="00995A4D"/>
    <w:rsid w:val="00996F1E"/>
    <w:rsid w:val="009A01A1"/>
    <w:rsid w:val="009A38AE"/>
    <w:rsid w:val="009A5A5A"/>
    <w:rsid w:val="009A6428"/>
    <w:rsid w:val="009B33B7"/>
    <w:rsid w:val="009B37DB"/>
    <w:rsid w:val="009B6917"/>
    <w:rsid w:val="009B7209"/>
    <w:rsid w:val="009B7B51"/>
    <w:rsid w:val="009B7F10"/>
    <w:rsid w:val="009C0835"/>
    <w:rsid w:val="009C0A2A"/>
    <w:rsid w:val="009C23FE"/>
    <w:rsid w:val="009C48E4"/>
    <w:rsid w:val="009C6498"/>
    <w:rsid w:val="009C6FD7"/>
    <w:rsid w:val="009C7FD7"/>
    <w:rsid w:val="009D060E"/>
    <w:rsid w:val="009D48B0"/>
    <w:rsid w:val="009D5FB8"/>
    <w:rsid w:val="009D68EE"/>
    <w:rsid w:val="009E13E2"/>
    <w:rsid w:val="009E2597"/>
    <w:rsid w:val="009E37CE"/>
    <w:rsid w:val="009E723F"/>
    <w:rsid w:val="009F1A1E"/>
    <w:rsid w:val="009F25E8"/>
    <w:rsid w:val="009F31C1"/>
    <w:rsid w:val="00A008EB"/>
    <w:rsid w:val="00A00D64"/>
    <w:rsid w:val="00A01490"/>
    <w:rsid w:val="00A10D52"/>
    <w:rsid w:val="00A10EF5"/>
    <w:rsid w:val="00A12717"/>
    <w:rsid w:val="00A13CBD"/>
    <w:rsid w:val="00A20272"/>
    <w:rsid w:val="00A220E4"/>
    <w:rsid w:val="00A22D26"/>
    <w:rsid w:val="00A2446B"/>
    <w:rsid w:val="00A24755"/>
    <w:rsid w:val="00A27601"/>
    <w:rsid w:val="00A27E76"/>
    <w:rsid w:val="00A3137E"/>
    <w:rsid w:val="00A31BCD"/>
    <w:rsid w:val="00A325F6"/>
    <w:rsid w:val="00A33293"/>
    <w:rsid w:val="00A33935"/>
    <w:rsid w:val="00A36CB3"/>
    <w:rsid w:val="00A41A64"/>
    <w:rsid w:val="00A42C53"/>
    <w:rsid w:val="00A44A33"/>
    <w:rsid w:val="00A53D08"/>
    <w:rsid w:val="00A54072"/>
    <w:rsid w:val="00A557DA"/>
    <w:rsid w:val="00A560EA"/>
    <w:rsid w:val="00A630C1"/>
    <w:rsid w:val="00A63BF8"/>
    <w:rsid w:val="00A653E6"/>
    <w:rsid w:val="00A66517"/>
    <w:rsid w:val="00A66B4F"/>
    <w:rsid w:val="00A670DD"/>
    <w:rsid w:val="00A67F57"/>
    <w:rsid w:val="00A70E9B"/>
    <w:rsid w:val="00A72000"/>
    <w:rsid w:val="00A726EC"/>
    <w:rsid w:val="00A72DA8"/>
    <w:rsid w:val="00A74A13"/>
    <w:rsid w:val="00A74B02"/>
    <w:rsid w:val="00A754D2"/>
    <w:rsid w:val="00A77DE1"/>
    <w:rsid w:val="00A808E5"/>
    <w:rsid w:val="00A82215"/>
    <w:rsid w:val="00A838D9"/>
    <w:rsid w:val="00A84989"/>
    <w:rsid w:val="00A84D99"/>
    <w:rsid w:val="00A86D3A"/>
    <w:rsid w:val="00A95FE0"/>
    <w:rsid w:val="00A97A65"/>
    <w:rsid w:val="00A97B1B"/>
    <w:rsid w:val="00AA167B"/>
    <w:rsid w:val="00AA2640"/>
    <w:rsid w:val="00AA428E"/>
    <w:rsid w:val="00AA4328"/>
    <w:rsid w:val="00AA47CC"/>
    <w:rsid w:val="00AA5F34"/>
    <w:rsid w:val="00AA76A4"/>
    <w:rsid w:val="00AA794F"/>
    <w:rsid w:val="00AB0D34"/>
    <w:rsid w:val="00AB1494"/>
    <w:rsid w:val="00AB3BB6"/>
    <w:rsid w:val="00AC05C2"/>
    <w:rsid w:val="00AC098B"/>
    <w:rsid w:val="00AC1A48"/>
    <w:rsid w:val="00AC225E"/>
    <w:rsid w:val="00AD2B7E"/>
    <w:rsid w:val="00AD6182"/>
    <w:rsid w:val="00AE2417"/>
    <w:rsid w:val="00AE7E98"/>
    <w:rsid w:val="00AF13AA"/>
    <w:rsid w:val="00AF2E16"/>
    <w:rsid w:val="00AF3287"/>
    <w:rsid w:val="00AF5390"/>
    <w:rsid w:val="00B026AE"/>
    <w:rsid w:val="00B02A30"/>
    <w:rsid w:val="00B03D83"/>
    <w:rsid w:val="00B07AFE"/>
    <w:rsid w:val="00B101EC"/>
    <w:rsid w:val="00B11EED"/>
    <w:rsid w:val="00B12AD8"/>
    <w:rsid w:val="00B138B1"/>
    <w:rsid w:val="00B1411D"/>
    <w:rsid w:val="00B1502C"/>
    <w:rsid w:val="00B15C0C"/>
    <w:rsid w:val="00B1694A"/>
    <w:rsid w:val="00B16A91"/>
    <w:rsid w:val="00B17BB8"/>
    <w:rsid w:val="00B17DDC"/>
    <w:rsid w:val="00B20ADC"/>
    <w:rsid w:val="00B20DF9"/>
    <w:rsid w:val="00B219E7"/>
    <w:rsid w:val="00B222D8"/>
    <w:rsid w:val="00B225A7"/>
    <w:rsid w:val="00B22F60"/>
    <w:rsid w:val="00B2421C"/>
    <w:rsid w:val="00B24AEC"/>
    <w:rsid w:val="00B24B46"/>
    <w:rsid w:val="00B26CBE"/>
    <w:rsid w:val="00B27B7A"/>
    <w:rsid w:val="00B300E4"/>
    <w:rsid w:val="00B31C3A"/>
    <w:rsid w:val="00B32EAA"/>
    <w:rsid w:val="00B33776"/>
    <w:rsid w:val="00B337E0"/>
    <w:rsid w:val="00B33CA7"/>
    <w:rsid w:val="00B367C3"/>
    <w:rsid w:val="00B372E8"/>
    <w:rsid w:val="00B377C1"/>
    <w:rsid w:val="00B37841"/>
    <w:rsid w:val="00B37EF5"/>
    <w:rsid w:val="00B44118"/>
    <w:rsid w:val="00B45EA7"/>
    <w:rsid w:val="00B476D5"/>
    <w:rsid w:val="00B477A4"/>
    <w:rsid w:val="00B51C95"/>
    <w:rsid w:val="00B52F8C"/>
    <w:rsid w:val="00B560EB"/>
    <w:rsid w:val="00B570EC"/>
    <w:rsid w:val="00B60A2D"/>
    <w:rsid w:val="00B61B4F"/>
    <w:rsid w:val="00B63D94"/>
    <w:rsid w:val="00B6477B"/>
    <w:rsid w:val="00B64F13"/>
    <w:rsid w:val="00B67251"/>
    <w:rsid w:val="00B71D3F"/>
    <w:rsid w:val="00B72F9F"/>
    <w:rsid w:val="00B74AFA"/>
    <w:rsid w:val="00B82DFF"/>
    <w:rsid w:val="00B83FFB"/>
    <w:rsid w:val="00B855E4"/>
    <w:rsid w:val="00B90ADD"/>
    <w:rsid w:val="00B90F51"/>
    <w:rsid w:val="00B91C83"/>
    <w:rsid w:val="00B92389"/>
    <w:rsid w:val="00B9429F"/>
    <w:rsid w:val="00B94E91"/>
    <w:rsid w:val="00B96BD8"/>
    <w:rsid w:val="00BA0E23"/>
    <w:rsid w:val="00BA5DAF"/>
    <w:rsid w:val="00BA714B"/>
    <w:rsid w:val="00BB2E69"/>
    <w:rsid w:val="00BB3347"/>
    <w:rsid w:val="00BB5512"/>
    <w:rsid w:val="00BB561D"/>
    <w:rsid w:val="00BB73B6"/>
    <w:rsid w:val="00BC267B"/>
    <w:rsid w:val="00BC2979"/>
    <w:rsid w:val="00BC2B8D"/>
    <w:rsid w:val="00BC3E21"/>
    <w:rsid w:val="00BD252D"/>
    <w:rsid w:val="00BD2989"/>
    <w:rsid w:val="00BD456C"/>
    <w:rsid w:val="00BD6256"/>
    <w:rsid w:val="00BD79C1"/>
    <w:rsid w:val="00BE0DE8"/>
    <w:rsid w:val="00BE1770"/>
    <w:rsid w:val="00BE4E9E"/>
    <w:rsid w:val="00BE5156"/>
    <w:rsid w:val="00BE72BD"/>
    <w:rsid w:val="00BE7FEE"/>
    <w:rsid w:val="00BF26F7"/>
    <w:rsid w:val="00BF5C69"/>
    <w:rsid w:val="00BF5F6A"/>
    <w:rsid w:val="00C00E82"/>
    <w:rsid w:val="00C026CC"/>
    <w:rsid w:val="00C04DA0"/>
    <w:rsid w:val="00C1291D"/>
    <w:rsid w:val="00C14318"/>
    <w:rsid w:val="00C2002B"/>
    <w:rsid w:val="00C21F2A"/>
    <w:rsid w:val="00C22A56"/>
    <w:rsid w:val="00C25550"/>
    <w:rsid w:val="00C25EB4"/>
    <w:rsid w:val="00C264B9"/>
    <w:rsid w:val="00C26E95"/>
    <w:rsid w:val="00C27876"/>
    <w:rsid w:val="00C27F74"/>
    <w:rsid w:val="00C30E2A"/>
    <w:rsid w:val="00C33955"/>
    <w:rsid w:val="00C33F2C"/>
    <w:rsid w:val="00C3530A"/>
    <w:rsid w:val="00C35506"/>
    <w:rsid w:val="00C35CA1"/>
    <w:rsid w:val="00C35F4D"/>
    <w:rsid w:val="00C361A5"/>
    <w:rsid w:val="00C4264A"/>
    <w:rsid w:val="00C43793"/>
    <w:rsid w:val="00C45D82"/>
    <w:rsid w:val="00C47231"/>
    <w:rsid w:val="00C50288"/>
    <w:rsid w:val="00C52ED9"/>
    <w:rsid w:val="00C54684"/>
    <w:rsid w:val="00C54BC9"/>
    <w:rsid w:val="00C55A12"/>
    <w:rsid w:val="00C568F0"/>
    <w:rsid w:val="00C573F4"/>
    <w:rsid w:val="00C6435A"/>
    <w:rsid w:val="00C6472A"/>
    <w:rsid w:val="00C64C57"/>
    <w:rsid w:val="00C654B1"/>
    <w:rsid w:val="00C66A3C"/>
    <w:rsid w:val="00C66BAF"/>
    <w:rsid w:val="00C66F6B"/>
    <w:rsid w:val="00C70C36"/>
    <w:rsid w:val="00C71333"/>
    <w:rsid w:val="00C71AEC"/>
    <w:rsid w:val="00C71B9B"/>
    <w:rsid w:val="00C7474D"/>
    <w:rsid w:val="00C75F35"/>
    <w:rsid w:val="00C75F4D"/>
    <w:rsid w:val="00C767E4"/>
    <w:rsid w:val="00C80E21"/>
    <w:rsid w:val="00C8440E"/>
    <w:rsid w:val="00C84B81"/>
    <w:rsid w:val="00C8557A"/>
    <w:rsid w:val="00C924FE"/>
    <w:rsid w:val="00C92ED0"/>
    <w:rsid w:val="00C950E5"/>
    <w:rsid w:val="00C951FC"/>
    <w:rsid w:val="00C96D51"/>
    <w:rsid w:val="00C973F3"/>
    <w:rsid w:val="00CA0EA9"/>
    <w:rsid w:val="00CA6B72"/>
    <w:rsid w:val="00CA6FEC"/>
    <w:rsid w:val="00CB2C2D"/>
    <w:rsid w:val="00CB63BC"/>
    <w:rsid w:val="00CC0F4C"/>
    <w:rsid w:val="00CC3D55"/>
    <w:rsid w:val="00CC50B6"/>
    <w:rsid w:val="00CC6872"/>
    <w:rsid w:val="00CC694A"/>
    <w:rsid w:val="00CD3655"/>
    <w:rsid w:val="00CD3FED"/>
    <w:rsid w:val="00CD6089"/>
    <w:rsid w:val="00CE0F6D"/>
    <w:rsid w:val="00CE432D"/>
    <w:rsid w:val="00CE46F4"/>
    <w:rsid w:val="00CE71F6"/>
    <w:rsid w:val="00CF1E47"/>
    <w:rsid w:val="00CF4D96"/>
    <w:rsid w:val="00CF65A3"/>
    <w:rsid w:val="00CF74C6"/>
    <w:rsid w:val="00CF7699"/>
    <w:rsid w:val="00CF77CC"/>
    <w:rsid w:val="00D005E8"/>
    <w:rsid w:val="00D00C23"/>
    <w:rsid w:val="00D0258A"/>
    <w:rsid w:val="00D03C6D"/>
    <w:rsid w:val="00D040EA"/>
    <w:rsid w:val="00D0538E"/>
    <w:rsid w:val="00D05765"/>
    <w:rsid w:val="00D057CB"/>
    <w:rsid w:val="00D06D27"/>
    <w:rsid w:val="00D06DA3"/>
    <w:rsid w:val="00D07A58"/>
    <w:rsid w:val="00D113B3"/>
    <w:rsid w:val="00D13378"/>
    <w:rsid w:val="00D15C43"/>
    <w:rsid w:val="00D15CFF"/>
    <w:rsid w:val="00D162BB"/>
    <w:rsid w:val="00D17E0E"/>
    <w:rsid w:val="00D20A7F"/>
    <w:rsid w:val="00D20CE7"/>
    <w:rsid w:val="00D213B2"/>
    <w:rsid w:val="00D21BA4"/>
    <w:rsid w:val="00D22AEC"/>
    <w:rsid w:val="00D25B50"/>
    <w:rsid w:val="00D2767A"/>
    <w:rsid w:val="00D306A0"/>
    <w:rsid w:val="00D31F86"/>
    <w:rsid w:val="00D33639"/>
    <w:rsid w:val="00D33B01"/>
    <w:rsid w:val="00D33E86"/>
    <w:rsid w:val="00D34791"/>
    <w:rsid w:val="00D41F90"/>
    <w:rsid w:val="00D44B0B"/>
    <w:rsid w:val="00D452C6"/>
    <w:rsid w:val="00D46176"/>
    <w:rsid w:val="00D46B7C"/>
    <w:rsid w:val="00D51993"/>
    <w:rsid w:val="00D52282"/>
    <w:rsid w:val="00D5243E"/>
    <w:rsid w:val="00D532E9"/>
    <w:rsid w:val="00D532FB"/>
    <w:rsid w:val="00D55A83"/>
    <w:rsid w:val="00D56F50"/>
    <w:rsid w:val="00D646F6"/>
    <w:rsid w:val="00D659FF"/>
    <w:rsid w:val="00D66E4B"/>
    <w:rsid w:val="00D74487"/>
    <w:rsid w:val="00D74876"/>
    <w:rsid w:val="00D76209"/>
    <w:rsid w:val="00D77136"/>
    <w:rsid w:val="00D831E2"/>
    <w:rsid w:val="00D83DAC"/>
    <w:rsid w:val="00D842A7"/>
    <w:rsid w:val="00D84F97"/>
    <w:rsid w:val="00D85213"/>
    <w:rsid w:val="00D85351"/>
    <w:rsid w:val="00D85C86"/>
    <w:rsid w:val="00D86E79"/>
    <w:rsid w:val="00D91232"/>
    <w:rsid w:val="00D95BA1"/>
    <w:rsid w:val="00D95FBD"/>
    <w:rsid w:val="00DA63CB"/>
    <w:rsid w:val="00DA6A7C"/>
    <w:rsid w:val="00DA6D80"/>
    <w:rsid w:val="00DB1B40"/>
    <w:rsid w:val="00DB27FB"/>
    <w:rsid w:val="00DB288A"/>
    <w:rsid w:val="00DB315C"/>
    <w:rsid w:val="00DB3949"/>
    <w:rsid w:val="00DB41BA"/>
    <w:rsid w:val="00DB607D"/>
    <w:rsid w:val="00DC1580"/>
    <w:rsid w:val="00DC17EB"/>
    <w:rsid w:val="00DC28D1"/>
    <w:rsid w:val="00DC3D96"/>
    <w:rsid w:val="00DC41F3"/>
    <w:rsid w:val="00DD0B5B"/>
    <w:rsid w:val="00DD1078"/>
    <w:rsid w:val="00DD3B8F"/>
    <w:rsid w:val="00DD7463"/>
    <w:rsid w:val="00DE0EE1"/>
    <w:rsid w:val="00DE52BE"/>
    <w:rsid w:val="00DE7023"/>
    <w:rsid w:val="00DF29FB"/>
    <w:rsid w:val="00DF2D27"/>
    <w:rsid w:val="00DF4C01"/>
    <w:rsid w:val="00E06226"/>
    <w:rsid w:val="00E063F5"/>
    <w:rsid w:val="00E1074D"/>
    <w:rsid w:val="00E14277"/>
    <w:rsid w:val="00E14AE9"/>
    <w:rsid w:val="00E15857"/>
    <w:rsid w:val="00E15F3E"/>
    <w:rsid w:val="00E2188A"/>
    <w:rsid w:val="00E21CE7"/>
    <w:rsid w:val="00E25F1A"/>
    <w:rsid w:val="00E30BD3"/>
    <w:rsid w:val="00E36C84"/>
    <w:rsid w:val="00E40D3D"/>
    <w:rsid w:val="00E40F12"/>
    <w:rsid w:val="00E43E8F"/>
    <w:rsid w:val="00E45C1E"/>
    <w:rsid w:val="00E51E65"/>
    <w:rsid w:val="00E52743"/>
    <w:rsid w:val="00E52AD1"/>
    <w:rsid w:val="00E52D36"/>
    <w:rsid w:val="00E534C4"/>
    <w:rsid w:val="00E545E0"/>
    <w:rsid w:val="00E5463D"/>
    <w:rsid w:val="00E56439"/>
    <w:rsid w:val="00E6055A"/>
    <w:rsid w:val="00E633BA"/>
    <w:rsid w:val="00E63574"/>
    <w:rsid w:val="00E63AE6"/>
    <w:rsid w:val="00E640B1"/>
    <w:rsid w:val="00E67633"/>
    <w:rsid w:val="00E721C8"/>
    <w:rsid w:val="00E76331"/>
    <w:rsid w:val="00E76375"/>
    <w:rsid w:val="00E76A3A"/>
    <w:rsid w:val="00E806FD"/>
    <w:rsid w:val="00E84598"/>
    <w:rsid w:val="00E84D40"/>
    <w:rsid w:val="00E86534"/>
    <w:rsid w:val="00E919FB"/>
    <w:rsid w:val="00E91C85"/>
    <w:rsid w:val="00E92460"/>
    <w:rsid w:val="00EA0ED2"/>
    <w:rsid w:val="00EA223F"/>
    <w:rsid w:val="00EA258E"/>
    <w:rsid w:val="00EA2AF3"/>
    <w:rsid w:val="00EA48C5"/>
    <w:rsid w:val="00EA5865"/>
    <w:rsid w:val="00EA70B8"/>
    <w:rsid w:val="00EA75AE"/>
    <w:rsid w:val="00EB24A2"/>
    <w:rsid w:val="00EB4468"/>
    <w:rsid w:val="00EB7660"/>
    <w:rsid w:val="00EC2ECC"/>
    <w:rsid w:val="00EC4C52"/>
    <w:rsid w:val="00EC5EE3"/>
    <w:rsid w:val="00EC6C5D"/>
    <w:rsid w:val="00EC70E1"/>
    <w:rsid w:val="00EC712B"/>
    <w:rsid w:val="00ED25EC"/>
    <w:rsid w:val="00ED5BBF"/>
    <w:rsid w:val="00ED6695"/>
    <w:rsid w:val="00EE276D"/>
    <w:rsid w:val="00EE4636"/>
    <w:rsid w:val="00EE4A93"/>
    <w:rsid w:val="00EE4D75"/>
    <w:rsid w:val="00EE7897"/>
    <w:rsid w:val="00EE7F7C"/>
    <w:rsid w:val="00EF1099"/>
    <w:rsid w:val="00EF287E"/>
    <w:rsid w:val="00EF408B"/>
    <w:rsid w:val="00EF50ED"/>
    <w:rsid w:val="00F04D08"/>
    <w:rsid w:val="00F1120D"/>
    <w:rsid w:val="00F12AEA"/>
    <w:rsid w:val="00F13C34"/>
    <w:rsid w:val="00F16F81"/>
    <w:rsid w:val="00F20765"/>
    <w:rsid w:val="00F20920"/>
    <w:rsid w:val="00F22EB4"/>
    <w:rsid w:val="00F24543"/>
    <w:rsid w:val="00F3086B"/>
    <w:rsid w:val="00F33CB8"/>
    <w:rsid w:val="00F3450E"/>
    <w:rsid w:val="00F41004"/>
    <w:rsid w:val="00F41918"/>
    <w:rsid w:val="00F46774"/>
    <w:rsid w:val="00F51F77"/>
    <w:rsid w:val="00F52C9D"/>
    <w:rsid w:val="00F544E2"/>
    <w:rsid w:val="00F56BB1"/>
    <w:rsid w:val="00F6003B"/>
    <w:rsid w:val="00F602C4"/>
    <w:rsid w:val="00F609F3"/>
    <w:rsid w:val="00F64338"/>
    <w:rsid w:val="00F65315"/>
    <w:rsid w:val="00F66B90"/>
    <w:rsid w:val="00F67E4B"/>
    <w:rsid w:val="00F70E43"/>
    <w:rsid w:val="00F71B8C"/>
    <w:rsid w:val="00F727AE"/>
    <w:rsid w:val="00F737FC"/>
    <w:rsid w:val="00F74074"/>
    <w:rsid w:val="00F76DAC"/>
    <w:rsid w:val="00F81402"/>
    <w:rsid w:val="00F81501"/>
    <w:rsid w:val="00F8195C"/>
    <w:rsid w:val="00F82576"/>
    <w:rsid w:val="00F85FB4"/>
    <w:rsid w:val="00F872C9"/>
    <w:rsid w:val="00F87767"/>
    <w:rsid w:val="00F918A5"/>
    <w:rsid w:val="00F92721"/>
    <w:rsid w:val="00F9519C"/>
    <w:rsid w:val="00F96391"/>
    <w:rsid w:val="00F96BB4"/>
    <w:rsid w:val="00F97E47"/>
    <w:rsid w:val="00FA2581"/>
    <w:rsid w:val="00FA54E5"/>
    <w:rsid w:val="00FA5A0F"/>
    <w:rsid w:val="00FA5BA9"/>
    <w:rsid w:val="00FA66AC"/>
    <w:rsid w:val="00FA6B05"/>
    <w:rsid w:val="00FA6E82"/>
    <w:rsid w:val="00FA7FD1"/>
    <w:rsid w:val="00FB33F2"/>
    <w:rsid w:val="00FB6B0B"/>
    <w:rsid w:val="00FB7755"/>
    <w:rsid w:val="00FC50D6"/>
    <w:rsid w:val="00FC617D"/>
    <w:rsid w:val="00FC7BCE"/>
    <w:rsid w:val="00FD104D"/>
    <w:rsid w:val="00FD1F02"/>
    <w:rsid w:val="00FD2168"/>
    <w:rsid w:val="00FD3C7D"/>
    <w:rsid w:val="00FD695A"/>
    <w:rsid w:val="00FD71FE"/>
    <w:rsid w:val="00FE369D"/>
    <w:rsid w:val="00FE7220"/>
    <w:rsid w:val="00FF0576"/>
    <w:rsid w:val="00FF45FC"/>
    <w:rsid w:val="00FF5F52"/>
    <w:rsid w:val="00FF642A"/>
    <w:rsid w:val="00FF65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4B8A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665"/>
  </w:style>
  <w:style w:type="paragraph" w:styleId="Heading1">
    <w:name w:val="heading 1"/>
    <w:basedOn w:val="Normal"/>
    <w:next w:val="Normal"/>
    <w:link w:val="Heading1Char"/>
    <w:uiPriority w:val="9"/>
    <w:qFormat/>
    <w:rsid w:val="00351E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42B7"/>
    <w:pPr>
      <w:keepNext/>
      <w:keepLines/>
      <w:spacing w:line="240" w:lineRule="auto"/>
      <w:jc w:val="both"/>
      <w:outlineLvl w:val="1"/>
    </w:pPr>
    <w:rPr>
      <w:rFonts w:eastAsiaTheme="majorEastAsia" w:cstheme="majorBidi"/>
      <w:b/>
      <w:color w:val="2E74B5" w:themeColor="accent1" w:themeShade="BF"/>
      <w:sz w:val="26"/>
      <w:szCs w:val="26"/>
    </w:rPr>
  </w:style>
  <w:style w:type="paragraph" w:styleId="Heading3">
    <w:name w:val="heading 3"/>
    <w:basedOn w:val="Heading2"/>
    <w:next w:val="Normal"/>
    <w:link w:val="Heading3Char"/>
    <w:uiPriority w:val="9"/>
    <w:unhideWhenUsed/>
    <w:qFormat/>
    <w:rsid w:val="008B42B7"/>
    <w:pPr>
      <w:spacing w:before="240" w:after="120"/>
      <w:outlineLvl w:val="2"/>
    </w:pPr>
  </w:style>
  <w:style w:type="paragraph" w:styleId="Heading4">
    <w:name w:val="heading 4"/>
    <w:basedOn w:val="Normal"/>
    <w:next w:val="Normal"/>
    <w:link w:val="Heading4Char"/>
    <w:uiPriority w:val="9"/>
    <w:semiHidden/>
    <w:unhideWhenUsed/>
    <w:qFormat/>
    <w:rsid w:val="00EA2AF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E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B42B7"/>
    <w:rPr>
      <w:rFonts w:eastAsiaTheme="majorEastAsia" w:cstheme="majorBidi"/>
      <w:b/>
      <w:color w:val="2E74B5" w:themeColor="accent1" w:themeShade="BF"/>
      <w:sz w:val="26"/>
      <w:szCs w:val="26"/>
    </w:rPr>
  </w:style>
  <w:style w:type="character" w:styleId="CommentReference">
    <w:name w:val="annotation reference"/>
    <w:basedOn w:val="DefaultParagraphFont"/>
    <w:uiPriority w:val="99"/>
    <w:unhideWhenUsed/>
    <w:rsid w:val="00351ECA"/>
    <w:rPr>
      <w:sz w:val="16"/>
      <w:szCs w:val="16"/>
    </w:rPr>
  </w:style>
  <w:style w:type="paragraph" w:styleId="CommentText">
    <w:name w:val="annotation text"/>
    <w:basedOn w:val="Normal"/>
    <w:link w:val="CommentTextChar"/>
    <w:uiPriority w:val="99"/>
    <w:unhideWhenUsed/>
    <w:rsid w:val="00351ECA"/>
    <w:pPr>
      <w:spacing w:line="240" w:lineRule="auto"/>
    </w:pPr>
    <w:rPr>
      <w:sz w:val="20"/>
      <w:szCs w:val="20"/>
    </w:rPr>
  </w:style>
  <w:style w:type="character" w:customStyle="1" w:styleId="CommentTextChar">
    <w:name w:val="Comment Text Char"/>
    <w:basedOn w:val="DefaultParagraphFont"/>
    <w:link w:val="CommentText"/>
    <w:uiPriority w:val="99"/>
    <w:rsid w:val="00351ECA"/>
    <w:rPr>
      <w:sz w:val="20"/>
      <w:szCs w:val="20"/>
    </w:rPr>
  </w:style>
  <w:style w:type="paragraph" w:styleId="ListParagraph">
    <w:name w:val="List Paragraph"/>
    <w:basedOn w:val="Normal"/>
    <w:link w:val="ListParagraphChar"/>
    <w:uiPriority w:val="34"/>
    <w:qFormat/>
    <w:rsid w:val="00351ECA"/>
    <w:pPr>
      <w:spacing w:before="40" w:after="40" w:line="240" w:lineRule="auto"/>
      <w:contextualSpacing/>
    </w:pPr>
    <w:rPr>
      <w:rFonts w:ascii="Arial" w:eastAsia="Times New Roman" w:hAnsi="Arial" w:cs="Times New Roman"/>
      <w:color w:val="3B3838" w:themeColor="background2" w:themeShade="40"/>
      <w:sz w:val="20"/>
      <w:szCs w:val="24"/>
      <w:lang w:eastAsia="en-AU"/>
    </w:rPr>
  </w:style>
  <w:style w:type="character" w:styleId="Hyperlink">
    <w:name w:val="Hyperlink"/>
    <w:basedOn w:val="DefaultParagraphFont"/>
    <w:uiPriority w:val="99"/>
    <w:unhideWhenUsed/>
    <w:rsid w:val="00351ECA"/>
    <w:rPr>
      <w:color w:val="0563C1" w:themeColor="hyperlink"/>
      <w:u w:val="single"/>
    </w:rPr>
  </w:style>
  <w:style w:type="paragraph" w:styleId="FootnoteText">
    <w:name w:val="footnote text"/>
    <w:basedOn w:val="Normal"/>
    <w:link w:val="FootnoteTextChar"/>
    <w:uiPriority w:val="99"/>
    <w:semiHidden/>
    <w:unhideWhenUsed/>
    <w:rsid w:val="00351E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1ECA"/>
    <w:rPr>
      <w:sz w:val="20"/>
      <w:szCs w:val="20"/>
    </w:rPr>
  </w:style>
  <w:style w:type="character" w:styleId="FootnoteReference">
    <w:name w:val="footnote reference"/>
    <w:basedOn w:val="DefaultParagraphFont"/>
    <w:uiPriority w:val="99"/>
    <w:semiHidden/>
    <w:unhideWhenUsed/>
    <w:rsid w:val="00351ECA"/>
    <w:rPr>
      <w:vertAlign w:val="superscript"/>
    </w:rPr>
  </w:style>
  <w:style w:type="paragraph" w:styleId="Header">
    <w:name w:val="header"/>
    <w:basedOn w:val="Normal"/>
    <w:link w:val="HeaderChar"/>
    <w:uiPriority w:val="99"/>
    <w:unhideWhenUsed/>
    <w:rsid w:val="00351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ECA"/>
  </w:style>
  <w:style w:type="paragraph" w:styleId="Footer">
    <w:name w:val="footer"/>
    <w:basedOn w:val="Normal"/>
    <w:link w:val="FooterChar"/>
    <w:uiPriority w:val="99"/>
    <w:unhideWhenUsed/>
    <w:rsid w:val="00351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ECA"/>
  </w:style>
  <w:style w:type="paragraph" w:styleId="TOCHeading">
    <w:name w:val="TOC Heading"/>
    <w:basedOn w:val="Heading1"/>
    <w:next w:val="Normal"/>
    <w:uiPriority w:val="39"/>
    <w:unhideWhenUsed/>
    <w:qFormat/>
    <w:rsid w:val="00351ECA"/>
    <w:pPr>
      <w:outlineLvl w:val="9"/>
    </w:pPr>
    <w:rPr>
      <w:lang w:val="en-US"/>
    </w:rPr>
  </w:style>
  <w:style w:type="paragraph" w:styleId="TOC1">
    <w:name w:val="toc 1"/>
    <w:basedOn w:val="Normal"/>
    <w:next w:val="Normal"/>
    <w:autoRedefine/>
    <w:uiPriority w:val="39"/>
    <w:unhideWhenUsed/>
    <w:rsid w:val="00351ECA"/>
    <w:pPr>
      <w:tabs>
        <w:tab w:val="right" w:leader="dot" w:pos="9016"/>
      </w:tabs>
      <w:spacing w:after="100"/>
    </w:pPr>
  </w:style>
  <w:style w:type="paragraph" w:styleId="TOC2">
    <w:name w:val="toc 2"/>
    <w:basedOn w:val="Normal"/>
    <w:next w:val="Normal"/>
    <w:autoRedefine/>
    <w:uiPriority w:val="39"/>
    <w:unhideWhenUsed/>
    <w:rsid w:val="00351ECA"/>
    <w:pPr>
      <w:spacing w:after="100"/>
      <w:ind w:left="220"/>
    </w:pPr>
  </w:style>
  <w:style w:type="paragraph" w:styleId="BalloonText">
    <w:name w:val="Balloon Text"/>
    <w:basedOn w:val="Normal"/>
    <w:link w:val="BalloonTextChar"/>
    <w:uiPriority w:val="99"/>
    <w:semiHidden/>
    <w:unhideWhenUsed/>
    <w:rsid w:val="00351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C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755D3"/>
    <w:rPr>
      <w:b/>
      <w:bCs/>
    </w:rPr>
  </w:style>
  <w:style w:type="character" w:customStyle="1" w:styleId="CommentSubjectChar">
    <w:name w:val="Comment Subject Char"/>
    <w:basedOn w:val="CommentTextChar"/>
    <w:link w:val="CommentSubject"/>
    <w:uiPriority w:val="99"/>
    <w:semiHidden/>
    <w:rsid w:val="002755D3"/>
    <w:rPr>
      <w:b/>
      <w:bCs/>
      <w:sz w:val="20"/>
      <w:szCs w:val="20"/>
    </w:rPr>
  </w:style>
  <w:style w:type="character" w:styleId="FollowedHyperlink">
    <w:name w:val="FollowedHyperlink"/>
    <w:basedOn w:val="DefaultParagraphFont"/>
    <w:uiPriority w:val="99"/>
    <w:semiHidden/>
    <w:unhideWhenUsed/>
    <w:rsid w:val="009A6428"/>
    <w:rPr>
      <w:color w:val="954F72" w:themeColor="followedHyperlink"/>
      <w:u w:val="single"/>
    </w:rPr>
  </w:style>
  <w:style w:type="paragraph" w:styleId="Revision">
    <w:name w:val="Revision"/>
    <w:hidden/>
    <w:uiPriority w:val="99"/>
    <w:semiHidden/>
    <w:rsid w:val="00BB561D"/>
    <w:pPr>
      <w:spacing w:after="0" w:line="240" w:lineRule="auto"/>
    </w:pPr>
  </w:style>
  <w:style w:type="paragraph" w:styleId="BodyText">
    <w:name w:val="Body Text"/>
    <w:basedOn w:val="Normal"/>
    <w:link w:val="BodyTextChar"/>
    <w:uiPriority w:val="1"/>
    <w:qFormat/>
    <w:rsid w:val="00597822"/>
    <w:pPr>
      <w:widowControl w:val="0"/>
      <w:spacing w:before="58" w:after="0" w:line="240" w:lineRule="auto"/>
      <w:ind w:left="1020"/>
    </w:pPr>
    <w:rPr>
      <w:rFonts w:ascii="Neo Sans Pro" w:eastAsia="Neo Sans Pro" w:hAnsi="Neo Sans Pro"/>
      <w:sz w:val="19"/>
      <w:szCs w:val="19"/>
      <w:lang w:val="en-US"/>
    </w:rPr>
  </w:style>
  <w:style w:type="character" w:customStyle="1" w:styleId="BodyTextChar">
    <w:name w:val="Body Text Char"/>
    <w:basedOn w:val="DefaultParagraphFont"/>
    <w:link w:val="BodyText"/>
    <w:uiPriority w:val="1"/>
    <w:rsid w:val="00597822"/>
    <w:rPr>
      <w:rFonts w:ascii="Neo Sans Pro" w:eastAsia="Neo Sans Pro" w:hAnsi="Neo Sans Pro"/>
      <w:sz w:val="19"/>
      <w:szCs w:val="19"/>
      <w:lang w:val="en-US"/>
    </w:rPr>
  </w:style>
  <w:style w:type="paragraph" w:customStyle="1" w:styleId="Bullet">
    <w:name w:val="Bullet"/>
    <w:basedOn w:val="Normal"/>
    <w:uiPriority w:val="99"/>
    <w:qFormat/>
    <w:rsid w:val="00160B81"/>
    <w:pPr>
      <w:numPr>
        <w:numId w:val="1"/>
      </w:numPr>
      <w:spacing w:after="120" w:line="240" w:lineRule="auto"/>
    </w:pPr>
    <w:rPr>
      <w:rFonts w:eastAsia="Times New Roman" w:cs="Times New Roman"/>
      <w:sz w:val="24"/>
      <w:szCs w:val="20"/>
    </w:rPr>
  </w:style>
  <w:style w:type="paragraph" w:styleId="Title">
    <w:name w:val="Title"/>
    <w:basedOn w:val="Normal"/>
    <w:next w:val="Normal"/>
    <w:link w:val="TitleChar"/>
    <w:uiPriority w:val="10"/>
    <w:qFormat/>
    <w:rsid w:val="004739D6"/>
    <w:pPr>
      <w:jc w:val="center"/>
    </w:pPr>
    <w:rPr>
      <w:b/>
      <w:color w:val="2E74B5" w:themeColor="accent1" w:themeShade="BF"/>
      <w:sz w:val="52"/>
      <w:szCs w:val="52"/>
    </w:rPr>
  </w:style>
  <w:style w:type="character" w:customStyle="1" w:styleId="TitleChar">
    <w:name w:val="Title Char"/>
    <w:basedOn w:val="DefaultParagraphFont"/>
    <w:link w:val="Title"/>
    <w:uiPriority w:val="10"/>
    <w:rsid w:val="004739D6"/>
    <w:rPr>
      <w:b/>
      <w:color w:val="2E74B5" w:themeColor="accent1" w:themeShade="BF"/>
      <w:sz w:val="52"/>
      <w:szCs w:val="52"/>
    </w:rPr>
  </w:style>
  <w:style w:type="character" w:customStyle="1" w:styleId="Heading3Char">
    <w:name w:val="Heading 3 Char"/>
    <w:basedOn w:val="DefaultParagraphFont"/>
    <w:link w:val="Heading3"/>
    <w:uiPriority w:val="9"/>
    <w:rsid w:val="008B42B7"/>
    <w:rPr>
      <w:rFonts w:eastAsiaTheme="majorEastAsia" w:cstheme="majorBidi"/>
      <w:b/>
      <w:color w:val="2E74B5" w:themeColor="accent1" w:themeShade="BF"/>
      <w:sz w:val="26"/>
      <w:szCs w:val="26"/>
    </w:rPr>
  </w:style>
  <w:style w:type="character" w:styleId="Emphasis">
    <w:name w:val="Emphasis"/>
    <w:basedOn w:val="DefaultParagraphFont"/>
    <w:uiPriority w:val="20"/>
    <w:qFormat/>
    <w:rsid w:val="006F7989"/>
    <w:rPr>
      <w:i/>
      <w:iCs/>
    </w:rPr>
  </w:style>
  <w:style w:type="paragraph" w:customStyle="1" w:styleId="Default">
    <w:name w:val="Default"/>
    <w:rsid w:val="007C3B58"/>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851F51"/>
    <w:pPr>
      <w:spacing w:after="100"/>
      <w:ind w:left="440"/>
    </w:pPr>
  </w:style>
  <w:style w:type="character" w:customStyle="1" w:styleId="ListParagraphChar">
    <w:name w:val="List Paragraph Char"/>
    <w:basedOn w:val="DefaultParagraphFont"/>
    <w:link w:val="ListParagraph"/>
    <w:uiPriority w:val="34"/>
    <w:locked/>
    <w:rsid w:val="00E534C4"/>
    <w:rPr>
      <w:rFonts w:ascii="Arial" w:eastAsia="Times New Roman" w:hAnsi="Arial" w:cs="Times New Roman"/>
      <w:color w:val="3B3838" w:themeColor="background2" w:themeShade="40"/>
      <w:sz w:val="20"/>
      <w:szCs w:val="24"/>
      <w:lang w:eastAsia="en-AU"/>
    </w:rPr>
  </w:style>
  <w:style w:type="table" w:styleId="TableGrid">
    <w:name w:val="Table Grid"/>
    <w:basedOn w:val="TableNormal"/>
    <w:uiPriority w:val="39"/>
    <w:rsid w:val="001B2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A2AF3"/>
    <w:rPr>
      <w:rFonts w:asciiTheme="majorHAnsi" w:eastAsiaTheme="majorEastAsia" w:hAnsiTheme="majorHAnsi" w:cstheme="majorBidi"/>
      <w:i/>
      <w:iCs/>
      <w:color w:val="2E74B5" w:themeColor="accent1" w:themeShade="BF"/>
    </w:rPr>
  </w:style>
  <w:style w:type="character" w:customStyle="1" w:styleId="UnresolvedMention">
    <w:name w:val="Unresolved Mention"/>
    <w:basedOn w:val="DefaultParagraphFont"/>
    <w:uiPriority w:val="99"/>
    <w:unhideWhenUsed/>
    <w:rsid w:val="00ED6695"/>
    <w:rPr>
      <w:color w:val="605E5C"/>
      <w:shd w:val="clear" w:color="auto" w:fill="E1DFDD"/>
    </w:rPr>
  </w:style>
  <w:style w:type="paragraph" w:styleId="ListBullet">
    <w:name w:val="List Bullet"/>
    <w:aliases w:val="l,list no space after,(NECG) List Bullet,*List Bullet,lb,Body bullet,UL,List Bullet 1,List Bullet Char,List Bullet Char2,List Bullet Char1 Char,List Bullet Char Char Char1,List Bullet Char Char1,List Bullet Char2 Char Char,l11"/>
    <w:basedOn w:val="BodyText"/>
    <w:uiPriority w:val="99"/>
    <w:unhideWhenUsed/>
    <w:rsid w:val="00661318"/>
    <w:pPr>
      <w:widowControl/>
      <w:numPr>
        <w:numId w:val="3"/>
      </w:numPr>
      <w:spacing w:before="120" w:after="120" w:line="280" w:lineRule="atLeast"/>
      <w:jc w:val="both"/>
    </w:pPr>
    <w:rPr>
      <w:rFonts w:ascii="Univers 45 Light" w:eastAsiaTheme="minorEastAsia" w:hAnsi="Univers 45 Light"/>
      <w:color w:val="000000"/>
      <w:sz w:val="20"/>
      <w:szCs w:val="22"/>
      <w:lang w:val="en-AU" w:eastAsia="en-AU"/>
    </w:rPr>
  </w:style>
  <w:style w:type="paragraph" w:styleId="NormalWeb">
    <w:name w:val="Normal (Web)"/>
    <w:basedOn w:val="Normal"/>
    <w:uiPriority w:val="99"/>
    <w:semiHidden/>
    <w:unhideWhenUsed/>
    <w:rsid w:val="00D113B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C6D44"/>
  </w:style>
  <w:style w:type="character" w:customStyle="1" w:styleId="Mention">
    <w:name w:val="Mention"/>
    <w:basedOn w:val="DefaultParagraphFont"/>
    <w:uiPriority w:val="99"/>
    <w:unhideWhenUsed/>
    <w:rsid w:val="00CF1E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632">
      <w:bodyDiv w:val="1"/>
      <w:marLeft w:val="0"/>
      <w:marRight w:val="0"/>
      <w:marTop w:val="0"/>
      <w:marBottom w:val="0"/>
      <w:divBdr>
        <w:top w:val="none" w:sz="0" w:space="0" w:color="auto"/>
        <w:left w:val="none" w:sz="0" w:space="0" w:color="auto"/>
        <w:bottom w:val="none" w:sz="0" w:space="0" w:color="auto"/>
        <w:right w:val="none" w:sz="0" w:space="0" w:color="auto"/>
      </w:divBdr>
    </w:div>
    <w:div w:id="102043996">
      <w:bodyDiv w:val="1"/>
      <w:marLeft w:val="0"/>
      <w:marRight w:val="0"/>
      <w:marTop w:val="0"/>
      <w:marBottom w:val="0"/>
      <w:divBdr>
        <w:top w:val="none" w:sz="0" w:space="0" w:color="auto"/>
        <w:left w:val="none" w:sz="0" w:space="0" w:color="auto"/>
        <w:bottom w:val="none" w:sz="0" w:space="0" w:color="auto"/>
        <w:right w:val="none" w:sz="0" w:space="0" w:color="auto"/>
      </w:divBdr>
    </w:div>
    <w:div w:id="118761637">
      <w:bodyDiv w:val="1"/>
      <w:marLeft w:val="0"/>
      <w:marRight w:val="0"/>
      <w:marTop w:val="0"/>
      <w:marBottom w:val="0"/>
      <w:divBdr>
        <w:top w:val="none" w:sz="0" w:space="0" w:color="auto"/>
        <w:left w:val="none" w:sz="0" w:space="0" w:color="auto"/>
        <w:bottom w:val="none" w:sz="0" w:space="0" w:color="auto"/>
        <w:right w:val="none" w:sz="0" w:space="0" w:color="auto"/>
      </w:divBdr>
    </w:div>
    <w:div w:id="146095593">
      <w:bodyDiv w:val="1"/>
      <w:marLeft w:val="0"/>
      <w:marRight w:val="0"/>
      <w:marTop w:val="0"/>
      <w:marBottom w:val="0"/>
      <w:divBdr>
        <w:top w:val="none" w:sz="0" w:space="0" w:color="auto"/>
        <w:left w:val="none" w:sz="0" w:space="0" w:color="auto"/>
        <w:bottom w:val="none" w:sz="0" w:space="0" w:color="auto"/>
        <w:right w:val="none" w:sz="0" w:space="0" w:color="auto"/>
      </w:divBdr>
    </w:div>
    <w:div w:id="155078076">
      <w:bodyDiv w:val="1"/>
      <w:marLeft w:val="0"/>
      <w:marRight w:val="0"/>
      <w:marTop w:val="0"/>
      <w:marBottom w:val="0"/>
      <w:divBdr>
        <w:top w:val="none" w:sz="0" w:space="0" w:color="auto"/>
        <w:left w:val="none" w:sz="0" w:space="0" w:color="auto"/>
        <w:bottom w:val="none" w:sz="0" w:space="0" w:color="auto"/>
        <w:right w:val="none" w:sz="0" w:space="0" w:color="auto"/>
      </w:divBdr>
      <w:divsChild>
        <w:div w:id="1441222939">
          <w:marLeft w:val="274"/>
          <w:marRight w:val="0"/>
          <w:marTop w:val="0"/>
          <w:marBottom w:val="0"/>
          <w:divBdr>
            <w:top w:val="none" w:sz="0" w:space="0" w:color="auto"/>
            <w:left w:val="none" w:sz="0" w:space="0" w:color="auto"/>
            <w:bottom w:val="none" w:sz="0" w:space="0" w:color="auto"/>
            <w:right w:val="none" w:sz="0" w:space="0" w:color="auto"/>
          </w:divBdr>
        </w:div>
      </w:divsChild>
    </w:div>
    <w:div w:id="179903688">
      <w:bodyDiv w:val="1"/>
      <w:marLeft w:val="0"/>
      <w:marRight w:val="0"/>
      <w:marTop w:val="0"/>
      <w:marBottom w:val="0"/>
      <w:divBdr>
        <w:top w:val="none" w:sz="0" w:space="0" w:color="auto"/>
        <w:left w:val="none" w:sz="0" w:space="0" w:color="auto"/>
        <w:bottom w:val="none" w:sz="0" w:space="0" w:color="auto"/>
        <w:right w:val="none" w:sz="0" w:space="0" w:color="auto"/>
      </w:divBdr>
    </w:div>
    <w:div w:id="186022539">
      <w:bodyDiv w:val="1"/>
      <w:marLeft w:val="0"/>
      <w:marRight w:val="0"/>
      <w:marTop w:val="0"/>
      <w:marBottom w:val="0"/>
      <w:divBdr>
        <w:top w:val="none" w:sz="0" w:space="0" w:color="auto"/>
        <w:left w:val="none" w:sz="0" w:space="0" w:color="auto"/>
        <w:bottom w:val="none" w:sz="0" w:space="0" w:color="auto"/>
        <w:right w:val="none" w:sz="0" w:space="0" w:color="auto"/>
      </w:divBdr>
    </w:div>
    <w:div w:id="200677349">
      <w:bodyDiv w:val="1"/>
      <w:marLeft w:val="0"/>
      <w:marRight w:val="0"/>
      <w:marTop w:val="0"/>
      <w:marBottom w:val="0"/>
      <w:divBdr>
        <w:top w:val="none" w:sz="0" w:space="0" w:color="auto"/>
        <w:left w:val="none" w:sz="0" w:space="0" w:color="auto"/>
        <w:bottom w:val="none" w:sz="0" w:space="0" w:color="auto"/>
        <w:right w:val="none" w:sz="0" w:space="0" w:color="auto"/>
      </w:divBdr>
    </w:div>
    <w:div w:id="330985804">
      <w:bodyDiv w:val="1"/>
      <w:marLeft w:val="0"/>
      <w:marRight w:val="0"/>
      <w:marTop w:val="0"/>
      <w:marBottom w:val="0"/>
      <w:divBdr>
        <w:top w:val="none" w:sz="0" w:space="0" w:color="auto"/>
        <w:left w:val="none" w:sz="0" w:space="0" w:color="auto"/>
        <w:bottom w:val="none" w:sz="0" w:space="0" w:color="auto"/>
        <w:right w:val="none" w:sz="0" w:space="0" w:color="auto"/>
      </w:divBdr>
      <w:divsChild>
        <w:div w:id="1632127110">
          <w:marLeft w:val="360"/>
          <w:marRight w:val="0"/>
          <w:marTop w:val="200"/>
          <w:marBottom w:val="0"/>
          <w:divBdr>
            <w:top w:val="none" w:sz="0" w:space="0" w:color="auto"/>
            <w:left w:val="none" w:sz="0" w:space="0" w:color="auto"/>
            <w:bottom w:val="none" w:sz="0" w:space="0" w:color="auto"/>
            <w:right w:val="none" w:sz="0" w:space="0" w:color="auto"/>
          </w:divBdr>
        </w:div>
        <w:div w:id="935791292">
          <w:marLeft w:val="360"/>
          <w:marRight w:val="0"/>
          <w:marTop w:val="200"/>
          <w:marBottom w:val="0"/>
          <w:divBdr>
            <w:top w:val="none" w:sz="0" w:space="0" w:color="auto"/>
            <w:left w:val="none" w:sz="0" w:space="0" w:color="auto"/>
            <w:bottom w:val="none" w:sz="0" w:space="0" w:color="auto"/>
            <w:right w:val="none" w:sz="0" w:space="0" w:color="auto"/>
          </w:divBdr>
        </w:div>
        <w:div w:id="1703631205">
          <w:marLeft w:val="360"/>
          <w:marRight w:val="0"/>
          <w:marTop w:val="200"/>
          <w:marBottom w:val="0"/>
          <w:divBdr>
            <w:top w:val="none" w:sz="0" w:space="0" w:color="auto"/>
            <w:left w:val="none" w:sz="0" w:space="0" w:color="auto"/>
            <w:bottom w:val="none" w:sz="0" w:space="0" w:color="auto"/>
            <w:right w:val="none" w:sz="0" w:space="0" w:color="auto"/>
          </w:divBdr>
        </w:div>
      </w:divsChild>
    </w:div>
    <w:div w:id="422999197">
      <w:bodyDiv w:val="1"/>
      <w:marLeft w:val="0"/>
      <w:marRight w:val="0"/>
      <w:marTop w:val="0"/>
      <w:marBottom w:val="0"/>
      <w:divBdr>
        <w:top w:val="none" w:sz="0" w:space="0" w:color="auto"/>
        <w:left w:val="none" w:sz="0" w:space="0" w:color="auto"/>
        <w:bottom w:val="none" w:sz="0" w:space="0" w:color="auto"/>
        <w:right w:val="none" w:sz="0" w:space="0" w:color="auto"/>
      </w:divBdr>
    </w:div>
    <w:div w:id="576062058">
      <w:bodyDiv w:val="1"/>
      <w:marLeft w:val="0"/>
      <w:marRight w:val="0"/>
      <w:marTop w:val="0"/>
      <w:marBottom w:val="0"/>
      <w:divBdr>
        <w:top w:val="none" w:sz="0" w:space="0" w:color="auto"/>
        <w:left w:val="none" w:sz="0" w:space="0" w:color="auto"/>
        <w:bottom w:val="none" w:sz="0" w:space="0" w:color="auto"/>
        <w:right w:val="none" w:sz="0" w:space="0" w:color="auto"/>
      </w:divBdr>
      <w:divsChild>
        <w:div w:id="1443915730">
          <w:marLeft w:val="274"/>
          <w:marRight w:val="0"/>
          <w:marTop w:val="0"/>
          <w:marBottom w:val="0"/>
          <w:divBdr>
            <w:top w:val="none" w:sz="0" w:space="0" w:color="auto"/>
            <w:left w:val="none" w:sz="0" w:space="0" w:color="auto"/>
            <w:bottom w:val="none" w:sz="0" w:space="0" w:color="auto"/>
            <w:right w:val="none" w:sz="0" w:space="0" w:color="auto"/>
          </w:divBdr>
        </w:div>
        <w:div w:id="1770274975">
          <w:marLeft w:val="274"/>
          <w:marRight w:val="0"/>
          <w:marTop w:val="0"/>
          <w:marBottom w:val="0"/>
          <w:divBdr>
            <w:top w:val="none" w:sz="0" w:space="0" w:color="auto"/>
            <w:left w:val="none" w:sz="0" w:space="0" w:color="auto"/>
            <w:bottom w:val="none" w:sz="0" w:space="0" w:color="auto"/>
            <w:right w:val="none" w:sz="0" w:space="0" w:color="auto"/>
          </w:divBdr>
        </w:div>
      </w:divsChild>
    </w:div>
    <w:div w:id="605845269">
      <w:bodyDiv w:val="1"/>
      <w:marLeft w:val="0"/>
      <w:marRight w:val="0"/>
      <w:marTop w:val="0"/>
      <w:marBottom w:val="0"/>
      <w:divBdr>
        <w:top w:val="none" w:sz="0" w:space="0" w:color="auto"/>
        <w:left w:val="none" w:sz="0" w:space="0" w:color="auto"/>
        <w:bottom w:val="none" w:sz="0" w:space="0" w:color="auto"/>
        <w:right w:val="none" w:sz="0" w:space="0" w:color="auto"/>
      </w:divBdr>
    </w:div>
    <w:div w:id="622034490">
      <w:bodyDiv w:val="1"/>
      <w:marLeft w:val="0"/>
      <w:marRight w:val="0"/>
      <w:marTop w:val="0"/>
      <w:marBottom w:val="0"/>
      <w:divBdr>
        <w:top w:val="none" w:sz="0" w:space="0" w:color="auto"/>
        <w:left w:val="none" w:sz="0" w:space="0" w:color="auto"/>
        <w:bottom w:val="none" w:sz="0" w:space="0" w:color="auto"/>
        <w:right w:val="none" w:sz="0" w:space="0" w:color="auto"/>
      </w:divBdr>
    </w:div>
    <w:div w:id="636956452">
      <w:bodyDiv w:val="1"/>
      <w:marLeft w:val="0"/>
      <w:marRight w:val="0"/>
      <w:marTop w:val="0"/>
      <w:marBottom w:val="0"/>
      <w:divBdr>
        <w:top w:val="none" w:sz="0" w:space="0" w:color="auto"/>
        <w:left w:val="none" w:sz="0" w:space="0" w:color="auto"/>
        <w:bottom w:val="none" w:sz="0" w:space="0" w:color="auto"/>
        <w:right w:val="none" w:sz="0" w:space="0" w:color="auto"/>
      </w:divBdr>
      <w:divsChild>
        <w:div w:id="365758716">
          <w:marLeft w:val="562"/>
          <w:marRight w:val="0"/>
          <w:marTop w:val="200"/>
          <w:marBottom w:val="0"/>
          <w:divBdr>
            <w:top w:val="none" w:sz="0" w:space="0" w:color="auto"/>
            <w:left w:val="none" w:sz="0" w:space="0" w:color="auto"/>
            <w:bottom w:val="none" w:sz="0" w:space="0" w:color="auto"/>
            <w:right w:val="none" w:sz="0" w:space="0" w:color="auto"/>
          </w:divBdr>
        </w:div>
      </w:divsChild>
    </w:div>
    <w:div w:id="647326316">
      <w:bodyDiv w:val="1"/>
      <w:marLeft w:val="0"/>
      <w:marRight w:val="0"/>
      <w:marTop w:val="0"/>
      <w:marBottom w:val="0"/>
      <w:divBdr>
        <w:top w:val="none" w:sz="0" w:space="0" w:color="auto"/>
        <w:left w:val="none" w:sz="0" w:space="0" w:color="auto"/>
        <w:bottom w:val="none" w:sz="0" w:space="0" w:color="auto"/>
        <w:right w:val="none" w:sz="0" w:space="0" w:color="auto"/>
      </w:divBdr>
    </w:div>
    <w:div w:id="772282097">
      <w:bodyDiv w:val="1"/>
      <w:marLeft w:val="0"/>
      <w:marRight w:val="0"/>
      <w:marTop w:val="0"/>
      <w:marBottom w:val="0"/>
      <w:divBdr>
        <w:top w:val="none" w:sz="0" w:space="0" w:color="auto"/>
        <w:left w:val="none" w:sz="0" w:space="0" w:color="auto"/>
        <w:bottom w:val="none" w:sz="0" w:space="0" w:color="auto"/>
        <w:right w:val="none" w:sz="0" w:space="0" w:color="auto"/>
      </w:divBdr>
    </w:div>
    <w:div w:id="780419483">
      <w:bodyDiv w:val="1"/>
      <w:marLeft w:val="0"/>
      <w:marRight w:val="0"/>
      <w:marTop w:val="0"/>
      <w:marBottom w:val="0"/>
      <w:divBdr>
        <w:top w:val="none" w:sz="0" w:space="0" w:color="auto"/>
        <w:left w:val="none" w:sz="0" w:space="0" w:color="auto"/>
        <w:bottom w:val="none" w:sz="0" w:space="0" w:color="auto"/>
        <w:right w:val="none" w:sz="0" w:space="0" w:color="auto"/>
      </w:divBdr>
    </w:div>
    <w:div w:id="802504093">
      <w:bodyDiv w:val="1"/>
      <w:marLeft w:val="0"/>
      <w:marRight w:val="0"/>
      <w:marTop w:val="0"/>
      <w:marBottom w:val="0"/>
      <w:divBdr>
        <w:top w:val="none" w:sz="0" w:space="0" w:color="auto"/>
        <w:left w:val="none" w:sz="0" w:space="0" w:color="auto"/>
        <w:bottom w:val="none" w:sz="0" w:space="0" w:color="auto"/>
        <w:right w:val="none" w:sz="0" w:space="0" w:color="auto"/>
      </w:divBdr>
    </w:div>
    <w:div w:id="906721407">
      <w:bodyDiv w:val="1"/>
      <w:marLeft w:val="0"/>
      <w:marRight w:val="0"/>
      <w:marTop w:val="0"/>
      <w:marBottom w:val="0"/>
      <w:divBdr>
        <w:top w:val="none" w:sz="0" w:space="0" w:color="auto"/>
        <w:left w:val="none" w:sz="0" w:space="0" w:color="auto"/>
        <w:bottom w:val="none" w:sz="0" w:space="0" w:color="auto"/>
        <w:right w:val="none" w:sz="0" w:space="0" w:color="auto"/>
      </w:divBdr>
    </w:div>
    <w:div w:id="946038725">
      <w:bodyDiv w:val="1"/>
      <w:marLeft w:val="0"/>
      <w:marRight w:val="0"/>
      <w:marTop w:val="0"/>
      <w:marBottom w:val="0"/>
      <w:divBdr>
        <w:top w:val="none" w:sz="0" w:space="0" w:color="auto"/>
        <w:left w:val="none" w:sz="0" w:space="0" w:color="auto"/>
        <w:bottom w:val="none" w:sz="0" w:space="0" w:color="auto"/>
        <w:right w:val="none" w:sz="0" w:space="0" w:color="auto"/>
      </w:divBdr>
    </w:div>
    <w:div w:id="990058568">
      <w:bodyDiv w:val="1"/>
      <w:marLeft w:val="0"/>
      <w:marRight w:val="0"/>
      <w:marTop w:val="0"/>
      <w:marBottom w:val="0"/>
      <w:divBdr>
        <w:top w:val="none" w:sz="0" w:space="0" w:color="auto"/>
        <w:left w:val="none" w:sz="0" w:space="0" w:color="auto"/>
        <w:bottom w:val="none" w:sz="0" w:space="0" w:color="auto"/>
        <w:right w:val="none" w:sz="0" w:space="0" w:color="auto"/>
      </w:divBdr>
    </w:div>
    <w:div w:id="1003781594">
      <w:bodyDiv w:val="1"/>
      <w:marLeft w:val="0"/>
      <w:marRight w:val="0"/>
      <w:marTop w:val="0"/>
      <w:marBottom w:val="0"/>
      <w:divBdr>
        <w:top w:val="none" w:sz="0" w:space="0" w:color="auto"/>
        <w:left w:val="none" w:sz="0" w:space="0" w:color="auto"/>
        <w:bottom w:val="none" w:sz="0" w:space="0" w:color="auto"/>
        <w:right w:val="none" w:sz="0" w:space="0" w:color="auto"/>
      </w:divBdr>
      <w:divsChild>
        <w:div w:id="1066879920">
          <w:marLeft w:val="446"/>
          <w:marRight w:val="0"/>
          <w:marTop w:val="0"/>
          <w:marBottom w:val="0"/>
          <w:divBdr>
            <w:top w:val="none" w:sz="0" w:space="0" w:color="auto"/>
            <w:left w:val="none" w:sz="0" w:space="0" w:color="auto"/>
            <w:bottom w:val="none" w:sz="0" w:space="0" w:color="auto"/>
            <w:right w:val="none" w:sz="0" w:space="0" w:color="auto"/>
          </w:divBdr>
        </w:div>
      </w:divsChild>
    </w:div>
    <w:div w:id="1030573146">
      <w:bodyDiv w:val="1"/>
      <w:marLeft w:val="0"/>
      <w:marRight w:val="0"/>
      <w:marTop w:val="0"/>
      <w:marBottom w:val="0"/>
      <w:divBdr>
        <w:top w:val="none" w:sz="0" w:space="0" w:color="auto"/>
        <w:left w:val="none" w:sz="0" w:space="0" w:color="auto"/>
        <w:bottom w:val="none" w:sz="0" w:space="0" w:color="auto"/>
        <w:right w:val="none" w:sz="0" w:space="0" w:color="auto"/>
      </w:divBdr>
    </w:div>
    <w:div w:id="1084373415">
      <w:bodyDiv w:val="1"/>
      <w:marLeft w:val="0"/>
      <w:marRight w:val="0"/>
      <w:marTop w:val="0"/>
      <w:marBottom w:val="0"/>
      <w:divBdr>
        <w:top w:val="none" w:sz="0" w:space="0" w:color="auto"/>
        <w:left w:val="none" w:sz="0" w:space="0" w:color="auto"/>
        <w:bottom w:val="none" w:sz="0" w:space="0" w:color="auto"/>
        <w:right w:val="none" w:sz="0" w:space="0" w:color="auto"/>
      </w:divBdr>
    </w:div>
    <w:div w:id="1125731470">
      <w:bodyDiv w:val="1"/>
      <w:marLeft w:val="0"/>
      <w:marRight w:val="0"/>
      <w:marTop w:val="0"/>
      <w:marBottom w:val="0"/>
      <w:divBdr>
        <w:top w:val="none" w:sz="0" w:space="0" w:color="auto"/>
        <w:left w:val="none" w:sz="0" w:space="0" w:color="auto"/>
        <w:bottom w:val="none" w:sz="0" w:space="0" w:color="auto"/>
        <w:right w:val="none" w:sz="0" w:space="0" w:color="auto"/>
      </w:divBdr>
    </w:div>
    <w:div w:id="1141266870">
      <w:bodyDiv w:val="1"/>
      <w:marLeft w:val="0"/>
      <w:marRight w:val="0"/>
      <w:marTop w:val="0"/>
      <w:marBottom w:val="0"/>
      <w:divBdr>
        <w:top w:val="none" w:sz="0" w:space="0" w:color="auto"/>
        <w:left w:val="none" w:sz="0" w:space="0" w:color="auto"/>
        <w:bottom w:val="none" w:sz="0" w:space="0" w:color="auto"/>
        <w:right w:val="none" w:sz="0" w:space="0" w:color="auto"/>
      </w:divBdr>
    </w:div>
    <w:div w:id="1150516109">
      <w:bodyDiv w:val="1"/>
      <w:marLeft w:val="0"/>
      <w:marRight w:val="0"/>
      <w:marTop w:val="0"/>
      <w:marBottom w:val="0"/>
      <w:divBdr>
        <w:top w:val="none" w:sz="0" w:space="0" w:color="auto"/>
        <w:left w:val="none" w:sz="0" w:space="0" w:color="auto"/>
        <w:bottom w:val="none" w:sz="0" w:space="0" w:color="auto"/>
        <w:right w:val="none" w:sz="0" w:space="0" w:color="auto"/>
      </w:divBdr>
      <w:divsChild>
        <w:div w:id="254174413">
          <w:marLeft w:val="274"/>
          <w:marRight w:val="0"/>
          <w:marTop w:val="0"/>
          <w:marBottom w:val="0"/>
          <w:divBdr>
            <w:top w:val="none" w:sz="0" w:space="0" w:color="auto"/>
            <w:left w:val="none" w:sz="0" w:space="0" w:color="auto"/>
            <w:bottom w:val="none" w:sz="0" w:space="0" w:color="auto"/>
            <w:right w:val="none" w:sz="0" w:space="0" w:color="auto"/>
          </w:divBdr>
        </w:div>
      </w:divsChild>
    </w:div>
    <w:div w:id="1244333982">
      <w:bodyDiv w:val="1"/>
      <w:marLeft w:val="0"/>
      <w:marRight w:val="0"/>
      <w:marTop w:val="0"/>
      <w:marBottom w:val="0"/>
      <w:divBdr>
        <w:top w:val="none" w:sz="0" w:space="0" w:color="auto"/>
        <w:left w:val="none" w:sz="0" w:space="0" w:color="auto"/>
        <w:bottom w:val="none" w:sz="0" w:space="0" w:color="auto"/>
        <w:right w:val="none" w:sz="0" w:space="0" w:color="auto"/>
      </w:divBdr>
    </w:div>
    <w:div w:id="1247299653">
      <w:bodyDiv w:val="1"/>
      <w:marLeft w:val="0"/>
      <w:marRight w:val="0"/>
      <w:marTop w:val="0"/>
      <w:marBottom w:val="0"/>
      <w:divBdr>
        <w:top w:val="none" w:sz="0" w:space="0" w:color="auto"/>
        <w:left w:val="none" w:sz="0" w:space="0" w:color="auto"/>
        <w:bottom w:val="none" w:sz="0" w:space="0" w:color="auto"/>
        <w:right w:val="none" w:sz="0" w:space="0" w:color="auto"/>
      </w:divBdr>
    </w:div>
    <w:div w:id="1256940452">
      <w:bodyDiv w:val="1"/>
      <w:marLeft w:val="0"/>
      <w:marRight w:val="0"/>
      <w:marTop w:val="0"/>
      <w:marBottom w:val="0"/>
      <w:divBdr>
        <w:top w:val="none" w:sz="0" w:space="0" w:color="auto"/>
        <w:left w:val="none" w:sz="0" w:space="0" w:color="auto"/>
        <w:bottom w:val="none" w:sz="0" w:space="0" w:color="auto"/>
        <w:right w:val="none" w:sz="0" w:space="0" w:color="auto"/>
      </w:divBdr>
    </w:div>
    <w:div w:id="1260017160">
      <w:bodyDiv w:val="1"/>
      <w:marLeft w:val="0"/>
      <w:marRight w:val="0"/>
      <w:marTop w:val="0"/>
      <w:marBottom w:val="0"/>
      <w:divBdr>
        <w:top w:val="none" w:sz="0" w:space="0" w:color="auto"/>
        <w:left w:val="none" w:sz="0" w:space="0" w:color="auto"/>
        <w:bottom w:val="none" w:sz="0" w:space="0" w:color="auto"/>
        <w:right w:val="none" w:sz="0" w:space="0" w:color="auto"/>
      </w:divBdr>
    </w:div>
    <w:div w:id="1281301416">
      <w:bodyDiv w:val="1"/>
      <w:marLeft w:val="0"/>
      <w:marRight w:val="0"/>
      <w:marTop w:val="0"/>
      <w:marBottom w:val="0"/>
      <w:divBdr>
        <w:top w:val="none" w:sz="0" w:space="0" w:color="auto"/>
        <w:left w:val="none" w:sz="0" w:space="0" w:color="auto"/>
        <w:bottom w:val="none" w:sz="0" w:space="0" w:color="auto"/>
        <w:right w:val="none" w:sz="0" w:space="0" w:color="auto"/>
      </w:divBdr>
    </w:div>
    <w:div w:id="1334605834">
      <w:bodyDiv w:val="1"/>
      <w:marLeft w:val="0"/>
      <w:marRight w:val="0"/>
      <w:marTop w:val="0"/>
      <w:marBottom w:val="0"/>
      <w:divBdr>
        <w:top w:val="none" w:sz="0" w:space="0" w:color="auto"/>
        <w:left w:val="none" w:sz="0" w:space="0" w:color="auto"/>
        <w:bottom w:val="none" w:sz="0" w:space="0" w:color="auto"/>
        <w:right w:val="none" w:sz="0" w:space="0" w:color="auto"/>
      </w:divBdr>
    </w:div>
    <w:div w:id="1344628171">
      <w:bodyDiv w:val="1"/>
      <w:marLeft w:val="0"/>
      <w:marRight w:val="0"/>
      <w:marTop w:val="0"/>
      <w:marBottom w:val="0"/>
      <w:divBdr>
        <w:top w:val="none" w:sz="0" w:space="0" w:color="auto"/>
        <w:left w:val="none" w:sz="0" w:space="0" w:color="auto"/>
        <w:bottom w:val="none" w:sz="0" w:space="0" w:color="auto"/>
        <w:right w:val="none" w:sz="0" w:space="0" w:color="auto"/>
      </w:divBdr>
    </w:div>
    <w:div w:id="1372535698">
      <w:bodyDiv w:val="1"/>
      <w:marLeft w:val="0"/>
      <w:marRight w:val="0"/>
      <w:marTop w:val="0"/>
      <w:marBottom w:val="0"/>
      <w:divBdr>
        <w:top w:val="none" w:sz="0" w:space="0" w:color="auto"/>
        <w:left w:val="none" w:sz="0" w:space="0" w:color="auto"/>
        <w:bottom w:val="none" w:sz="0" w:space="0" w:color="auto"/>
        <w:right w:val="none" w:sz="0" w:space="0" w:color="auto"/>
      </w:divBdr>
    </w:div>
    <w:div w:id="1379671860">
      <w:bodyDiv w:val="1"/>
      <w:marLeft w:val="0"/>
      <w:marRight w:val="0"/>
      <w:marTop w:val="0"/>
      <w:marBottom w:val="0"/>
      <w:divBdr>
        <w:top w:val="none" w:sz="0" w:space="0" w:color="auto"/>
        <w:left w:val="none" w:sz="0" w:space="0" w:color="auto"/>
        <w:bottom w:val="none" w:sz="0" w:space="0" w:color="auto"/>
        <w:right w:val="none" w:sz="0" w:space="0" w:color="auto"/>
      </w:divBdr>
    </w:div>
    <w:div w:id="1451706525">
      <w:bodyDiv w:val="1"/>
      <w:marLeft w:val="0"/>
      <w:marRight w:val="0"/>
      <w:marTop w:val="0"/>
      <w:marBottom w:val="0"/>
      <w:divBdr>
        <w:top w:val="none" w:sz="0" w:space="0" w:color="auto"/>
        <w:left w:val="none" w:sz="0" w:space="0" w:color="auto"/>
        <w:bottom w:val="none" w:sz="0" w:space="0" w:color="auto"/>
        <w:right w:val="none" w:sz="0" w:space="0" w:color="auto"/>
      </w:divBdr>
    </w:div>
    <w:div w:id="1602104343">
      <w:bodyDiv w:val="1"/>
      <w:marLeft w:val="0"/>
      <w:marRight w:val="0"/>
      <w:marTop w:val="0"/>
      <w:marBottom w:val="0"/>
      <w:divBdr>
        <w:top w:val="none" w:sz="0" w:space="0" w:color="auto"/>
        <w:left w:val="none" w:sz="0" w:space="0" w:color="auto"/>
        <w:bottom w:val="none" w:sz="0" w:space="0" w:color="auto"/>
        <w:right w:val="none" w:sz="0" w:space="0" w:color="auto"/>
      </w:divBdr>
    </w:div>
    <w:div w:id="1704549059">
      <w:bodyDiv w:val="1"/>
      <w:marLeft w:val="0"/>
      <w:marRight w:val="0"/>
      <w:marTop w:val="0"/>
      <w:marBottom w:val="0"/>
      <w:divBdr>
        <w:top w:val="none" w:sz="0" w:space="0" w:color="auto"/>
        <w:left w:val="none" w:sz="0" w:space="0" w:color="auto"/>
        <w:bottom w:val="none" w:sz="0" w:space="0" w:color="auto"/>
        <w:right w:val="none" w:sz="0" w:space="0" w:color="auto"/>
      </w:divBdr>
      <w:divsChild>
        <w:div w:id="1198083660">
          <w:marLeft w:val="274"/>
          <w:marRight w:val="0"/>
          <w:marTop w:val="0"/>
          <w:marBottom w:val="0"/>
          <w:divBdr>
            <w:top w:val="none" w:sz="0" w:space="0" w:color="auto"/>
            <w:left w:val="none" w:sz="0" w:space="0" w:color="auto"/>
            <w:bottom w:val="none" w:sz="0" w:space="0" w:color="auto"/>
            <w:right w:val="none" w:sz="0" w:space="0" w:color="auto"/>
          </w:divBdr>
        </w:div>
      </w:divsChild>
    </w:div>
    <w:div w:id="1708143284">
      <w:bodyDiv w:val="1"/>
      <w:marLeft w:val="0"/>
      <w:marRight w:val="0"/>
      <w:marTop w:val="0"/>
      <w:marBottom w:val="0"/>
      <w:divBdr>
        <w:top w:val="none" w:sz="0" w:space="0" w:color="auto"/>
        <w:left w:val="none" w:sz="0" w:space="0" w:color="auto"/>
        <w:bottom w:val="none" w:sz="0" w:space="0" w:color="auto"/>
        <w:right w:val="none" w:sz="0" w:space="0" w:color="auto"/>
      </w:divBdr>
    </w:div>
    <w:div w:id="1732540736">
      <w:bodyDiv w:val="1"/>
      <w:marLeft w:val="0"/>
      <w:marRight w:val="0"/>
      <w:marTop w:val="0"/>
      <w:marBottom w:val="0"/>
      <w:divBdr>
        <w:top w:val="none" w:sz="0" w:space="0" w:color="auto"/>
        <w:left w:val="none" w:sz="0" w:space="0" w:color="auto"/>
        <w:bottom w:val="none" w:sz="0" w:space="0" w:color="auto"/>
        <w:right w:val="none" w:sz="0" w:space="0" w:color="auto"/>
      </w:divBdr>
    </w:div>
    <w:div w:id="1755591129">
      <w:bodyDiv w:val="1"/>
      <w:marLeft w:val="0"/>
      <w:marRight w:val="0"/>
      <w:marTop w:val="0"/>
      <w:marBottom w:val="0"/>
      <w:divBdr>
        <w:top w:val="none" w:sz="0" w:space="0" w:color="auto"/>
        <w:left w:val="none" w:sz="0" w:space="0" w:color="auto"/>
        <w:bottom w:val="none" w:sz="0" w:space="0" w:color="auto"/>
        <w:right w:val="none" w:sz="0" w:space="0" w:color="auto"/>
      </w:divBdr>
    </w:div>
    <w:div w:id="1771505568">
      <w:bodyDiv w:val="1"/>
      <w:marLeft w:val="0"/>
      <w:marRight w:val="0"/>
      <w:marTop w:val="0"/>
      <w:marBottom w:val="0"/>
      <w:divBdr>
        <w:top w:val="none" w:sz="0" w:space="0" w:color="auto"/>
        <w:left w:val="none" w:sz="0" w:space="0" w:color="auto"/>
        <w:bottom w:val="none" w:sz="0" w:space="0" w:color="auto"/>
        <w:right w:val="none" w:sz="0" w:space="0" w:color="auto"/>
      </w:divBdr>
    </w:div>
    <w:div w:id="1776511378">
      <w:bodyDiv w:val="1"/>
      <w:marLeft w:val="0"/>
      <w:marRight w:val="0"/>
      <w:marTop w:val="0"/>
      <w:marBottom w:val="0"/>
      <w:divBdr>
        <w:top w:val="none" w:sz="0" w:space="0" w:color="auto"/>
        <w:left w:val="none" w:sz="0" w:space="0" w:color="auto"/>
        <w:bottom w:val="none" w:sz="0" w:space="0" w:color="auto"/>
        <w:right w:val="none" w:sz="0" w:space="0" w:color="auto"/>
      </w:divBdr>
    </w:div>
    <w:div w:id="1837838090">
      <w:bodyDiv w:val="1"/>
      <w:marLeft w:val="0"/>
      <w:marRight w:val="0"/>
      <w:marTop w:val="0"/>
      <w:marBottom w:val="0"/>
      <w:divBdr>
        <w:top w:val="none" w:sz="0" w:space="0" w:color="auto"/>
        <w:left w:val="none" w:sz="0" w:space="0" w:color="auto"/>
        <w:bottom w:val="none" w:sz="0" w:space="0" w:color="auto"/>
        <w:right w:val="none" w:sz="0" w:space="0" w:color="auto"/>
      </w:divBdr>
    </w:div>
    <w:div w:id="1840608724">
      <w:bodyDiv w:val="1"/>
      <w:marLeft w:val="0"/>
      <w:marRight w:val="0"/>
      <w:marTop w:val="0"/>
      <w:marBottom w:val="0"/>
      <w:divBdr>
        <w:top w:val="none" w:sz="0" w:space="0" w:color="auto"/>
        <w:left w:val="none" w:sz="0" w:space="0" w:color="auto"/>
        <w:bottom w:val="none" w:sz="0" w:space="0" w:color="auto"/>
        <w:right w:val="none" w:sz="0" w:space="0" w:color="auto"/>
      </w:divBdr>
    </w:div>
    <w:div w:id="1859350758">
      <w:bodyDiv w:val="1"/>
      <w:marLeft w:val="0"/>
      <w:marRight w:val="0"/>
      <w:marTop w:val="0"/>
      <w:marBottom w:val="0"/>
      <w:divBdr>
        <w:top w:val="none" w:sz="0" w:space="0" w:color="auto"/>
        <w:left w:val="none" w:sz="0" w:space="0" w:color="auto"/>
        <w:bottom w:val="none" w:sz="0" w:space="0" w:color="auto"/>
        <w:right w:val="none" w:sz="0" w:space="0" w:color="auto"/>
      </w:divBdr>
    </w:div>
    <w:div w:id="1866944472">
      <w:bodyDiv w:val="1"/>
      <w:marLeft w:val="0"/>
      <w:marRight w:val="0"/>
      <w:marTop w:val="0"/>
      <w:marBottom w:val="0"/>
      <w:divBdr>
        <w:top w:val="none" w:sz="0" w:space="0" w:color="auto"/>
        <w:left w:val="none" w:sz="0" w:space="0" w:color="auto"/>
        <w:bottom w:val="none" w:sz="0" w:space="0" w:color="auto"/>
        <w:right w:val="none" w:sz="0" w:space="0" w:color="auto"/>
      </w:divBdr>
      <w:divsChild>
        <w:div w:id="1254431414">
          <w:marLeft w:val="274"/>
          <w:marRight w:val="0"/>
          <w:marTop w:val="0"/>
          <w:marBottom w:val="0"/>
          <w:divBdr>
            <w:top w:val="none" w:sz="0" w:space="0" w:color="auto"/>
            <w:left w:val="none" w:sz="0" w:space="0" w:color="auto"/>
            <w:bottom w:val="none" w:sz="0" w:space="0" w:color="auto"/>
            <w:right w:val="none" w:sz="0" w:space="0" w:color="auto"/>
          </w:divBdr>
        </w:div>
        <w:div w:id="220335132">
          <w:marLeft w:val="274"/>
          <w:marRight w:val="0"/>
          <w:marTop w:val="0"/>
          <w:marBottom w:val="0"/>
          <w:divBdr>
            <w:top w:val="none" w:sz="0" w:space="0" w:color="auto"/>
            <w:left w:val="none" w:sz="0" w:space="0" w:color="auto"/>
            <w:bottom w:val="none" w:sz="0" w:space="0" w:color="auto"/>
            <w:right w:val="none" w:sz="0" w:space="0" w:color="auto"/>
          </w:divBdr>
        </w:div>
        <w:div w:id="839125381">
          <w:marLeft w:val="274"/>
          <w:marRight w:val="0"/>
          <w:marTop w:val="0"/>
          <w:marBottom w:val="0"/>
          <w:divBdr>
            <w:top w:val="none" w:sz="0" w:space="0" w:color="auto"/>
            <w:left w:val="none" w:sz="0" w:space="0" w:color="auto"/>
            <w:bottom w:val="none" w:sz="0" w:space="0" w:color="auto"/>
            <w:right w:val="none" w:sz="0" w:space="0" w:color="auto"/>
          </w:divBdr>
        </w:div>
        <w:div w:id="845680497">
          <w:marLeft w:val="274"/>
          <w:marRight w:val="0"/>
          <w:marTop w:val="0"/>
          <w:marBottom w:val="0"/>
          <w:divBdr>
            <w:top w:val="none" w:sz="0" w:space="0" w:color="auto"/>
            <w:left w:val="none" w:sz="0" w:space="0" w:color="auto"/>
            <w:bottom w:val="none" w:sz="0" w:space="0" w:color="auto"/>
            <w:right w:val="none" w:sz="0" w:space="0" w:color="auto"/>
          </w:divBdr>
        </w:div>
        <w:div w:id="730082203">
          <w:marLeft w:val="274"/>
          <w:marRight w:val="0"/>
          <w:marTop w:val="0"/>
          <w:marBottom w:val="0"/>
          <w:divBdr>
            <w:top w:val="none" w:sz="0" w:space="0" w:color="auto"/>
            <w:left w:val="none" w:sz="0" w:space="0" w:color="auto"/>
            <w:bottom w:val="none" w:sz="0" w:space="0" w:color="auto"/>
            <w:right w:val="none" w:sz="0" w:space="0" w:color="auto"/>
          </w:divBdr>
        </w:div>
      </w:divsChild>
    </w:div>
    <w:div w:id="1874030775">
      <w:bodyDiv w:val="1"/>
      <w:marLeft w:val="0"/>
      <w:marRight w:val="0"/>
      <w:marTop w:val="0"/>
      <w:marBottom w:val="0"/>
      <w:divBdr>
        <w:top w:val="none" w:sz="0" w:space="0" w:color="auto"/>
        <w:left w:val="none" w:sz="0" w:space="0" w:color="auto"/>
        <w:bottom w:val="none" w:sz="0" w:space="0" w:color="auto"/>
        <w:right w:val="none" w:sz="0" w:space="0" w:color="auto"/>
      </w:divBdr>
    </w:div>
    <w:div w:id="1882159284">
      <w:bodyDiv w:val="1"/>
      <w:marLeft w:val="0"/>
      <w:marRight w:val="0"/>
      <w:marTop w:val="0"/>
      <w:marBottom w:val="0"/>
      <w:divBdr>
        <w:top w:val="none" w:sz="0" w:space="0" w:color="auto"/>
        <w:left w:val="none" w:sz="0" w:space="0" w:color="auto"/>
        <w:bottom w:val="none" w:sz="0" w:space="0" w:color="auto"/>
        <w:right w:val="none" w:sz="0" w:space="0" w:color="auto"/>
      </w:divBdr>
    </w:div>
    <w:div w:id="1910967214">
      <w:bodyDiv w:val="1"/>
      <w:marLeft w:val="0"/>
      <w:marRight w:val="0"/>
      <w:marTop w:val="0"/>
      <w:marBottom w:val="0"/>
      <w:divBdr>
        <w:top w:val="none" w:sz="0" w:space="0" w:color="auto"/>
        <w:left w:val="none" w:sz="0" w:space="0" w:color="auto"/>
        <w:bottom w:val="none" w:sz="0" w:space="0" w:color="auto"/>
        <w:right w:val="none" w:sz="0" w:space="0" w:color="auto"/>
      </w:divBdr>
    </w:div>
    <w:div w:id="1941911956">
      <w:bodyDiv w:val="1"/>
      <w:marLeft w:val="0"/>
      <w:marRight w:val="0"/>
      <w:marTop w:val="0"/>
      <w:marBottom w:val="0"/>
      <w:divBdr>
        <w:top w:val="none" w:sz="0" w:space="0" w:color="auto"/>
        <w:left w:val="none" w:sz="0" w:space="0" w:color="auto"/>
        <w:bottom w:val="none" w:sz="0" w:space="0" w:color="auto"/>
        <w:right w:val="none" w:sz="0" w:space="0" w:color="auto"/>
      </w:divBdr>
    </w:div>
    <w:div w:id="1968461844">
      <w:bodyDiv w:val="1"/>
      <w:marLeft w:val="0"/>
      <w:marRight w:val="0"/>
      <w:marTop w:val="0"/>
      <w:marBottom w:val="0"/>
      <w:divBdr>
        <w:top w:val="none" w:sz="0" w:space="0" w:color="auto"/>
        <w:left w:val="none" w:sz="0" w:space="0" w:color="auto"/>
        <w:bottom w:val="none" w:sz="0" w:space="0" w:color="auto"/>
        <w:right w:val="none" w:sz="0" w:space="0" w:color="auto"/>
      </w:divBdr>
    </w:div>
    <w:div w:id="2008165759">
      <w:bodyDiv w:val="1"/>
      <w:marLeft w:val="0"/>
      <w:marRight w:val="0"/>
      <w:marTop w:val="0"/>
      <w:marBottom w:val="0"/>
      <w:divBdr>
        <w:top w:val="none" w:sz="0" w:space="0" w:color="auto"/>
        <w:left w:val="none" w:sz="0" w:space="0" w:color="auto"/>
        <w:bottom w:val="none" w:sz="0" w:space="0" w:color="auto"/>
        <w:right w:val="none" w:sz="0" w:space="0" w:color="auto"/>
      </w:divBdr>
      <w:divsChild>
        <w:div w:id="2003659770">
          <w:marLeft w:val="274"/>
          <w:marRight w:val="0"/>
          <w:marTop w:val="0"/>
          <w:marBottom w:val="0"/>
          <w:divBdr>
            <w:top w:val="none" w:sz="0" w:space="0" w:color="auto"/>
            <w:left w:val="none" w:sz="0" w:space="0" w:color="auto"/>
            <w:bottom w:val="none" w:sz="0" w:space="0" w:color="auto"/>
            <w:right w:val="none" w:sz="0" w:space="0" w:color="auto"/>
          </w:divBdr>
        </w:div>
      </w:divsChild>
    </w:div>
    <w:div w:id="2061249821">
      <w:bodyDiv w:val="1"/>
      <w:marLeft w:val="0"/>
      <w:marRight w:val="0"/>
      <w:marTop w:val="0"/>
      <w:marBottom w:val="0"/>
      <w:divBdr>
        <w:top w:val="none" w:sz="0" w:space="0" w:color="auto"/>
        <w:left w:val="none" w:sz="0" w:space="0" w:color="auto"/>
        <w:bottom w:val="none" w:sz="0" w:space="0" w:color="auto"/>
        <w:right w:val="none" w:sz="0" w:space="0" w:color="auto"/>
      </w:divBdr>
    </w:div>
    <w:div w:id="2118133733">
      <w:bodyDiv w:val="1"/>
      <w:marLeft w:val="0"/>
      <w:marRight w:val="0"/>
      <w:marTop w:val="0"/>
      <w:marBottom w:val="0"/>
      <w:divBdr>
        <w:top w:val="none" w:sz="0" w:space="0" w:color="auto"/>
        <w:left w:val="none" w:sz="0" w:space="0" w:color="auto"/>
        <w:bottom w:val="none" w:sz="0" w:space="0" w:color="auto"/>
        <w:right w:val="none" w:sz="0" w:space="0" w:color="auto"/>
      </w:divBdr>
    </w:div>
    <w:div w:id="2132548248">
      <w:bodyDiv w:val="1"/>
      <w:marLeft w:val="0"/>
      <w:marRight w:val="0"/>
      <w:marTop w:val="0"/>
      <w:marBottom w:val="0"/>
      <w:divBdr>
        <w:top w:val="none" w:sz="0" w:space="0" w:color="auto"/>
        <w:left w:val="none" w:sz="0" w:space="0" w:color="auto"/>
        <w:bottom w:val="none" w:sz="0" w:space="0" w:color="auto"/>
        <w:right w:val="none" w:sz="0" w:space="0" w:color="auto"/>
      </w:divBdr>
      <w:divsChild>
        <w:div w:id="852305254">
          <w:marLeft w:val="562"/>
          <w:marRight w:val="0"/>
          <w:marTop w:val="200"/>
          <w:marBottom w:val="0"/>
          <w:divBdr>
            <w:top w:val="none" w:sz="0" w:space="0" w:color="auto"/>
            <w:left w:val="none" w:sz="0" w:space="0" w:color="auto"/>
            <w:bottom w:val="none" w:sz="0" w:space="0" w:color="auto"/>
            <w:right w:val="none" w:sz="0" w:space="0" w:color="auto"/>
          </w:divBdr>
        </w:div>
        <w:div w:id="2036811558">
          <w:marLeft w:val="562"/>
          <w:marRight w:val="0"/>
          <w:marTop w:val="200"/>
          <w:marBottom w:val="0"/>
          <w:divBdr>
            <w:top w:val="none" w:sz="0" w:space="0" w:color="auto"/>
            <w:left w:val="none" w:sz="0" w:space="0" w:color="auto"/>
            <w:bottom w:val="none" w:sz="0" w:space="0" w:color="auto"/>
            <w:right w:val="none" w:sz="0" w:space="0" w:color="auto"/>
          </w:divBdr>
        </w:div>
        <w:div w:id="744034432">
          <w:marLeft w:val="562"/>
          <w:marRight w:val="0"/>
          <w:marTop w:val="200"/>
          <w:marBottom w:val="0"/>
          <w:divBdr>
            <w:top w:val="none" w:sz="0" w:space="0" w:color="auto"/>
            <w:left w:val="none" w:sz="0" w:space="0" w:color="auto"/>
            <w:bottom w:val="none" w:sz="0" w:space="0" w:color="auto"/>
            <w:right w:val="none" w:sz="0" w:space="0" w:color="auto"/>
          </w:divBdr>
        </w:div>
      </w:divsChild>
    </w:div>
    <w:div w:id="2134245769">
      <w:bodyDiv w:val="1"/>
      <w:marLeft w:val="0"/>
      <w:marRight w:val="0"/>
      <w:marTop w:val="0"/>
      <w:marBottom w:val="0"/>
      <w:divBdr>
        <w:top w:val="none" w:sz="0" w:space="0" w:color="auto"/>
        <w:left w:val="none" w:sz="0" w:space="0" w:color="auto"/>
        <w:bottom w:val="none" w:sz="0" w:space="0" w:color="auto"/>
        <w:right w:val="none" w:sz="0" w:space="0" w:color="auto"/>
      </w:divBdr>
    </w:div>
    <w:div w:id="213721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nopta.gov.au/_documents/statement-intent-dec2019.pdf" TargetMode="External"/><Relationship Id="rId26" Type="http://schemas.openxmlformats.org/officeDocument/2006/relationships/hyperlink" Target="https://www.nopta.gov.au/media/news/2019/20190816-stakeholder-survey-response.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opta.gov.au/cost-recovery-and-fees.html" TargetMode="External"/><Relationship Id="rId34" Type="http://schemas.openxmlformats.org/officeDocument/2006/relationships/hyperlink" Target="mailto:feedback@nopta.gov.au"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opta.gov.au/_documents/statement-expectations-oct2019.pdf" TargetMode="External"/><Relationship Id="rId25" Type="http://schemas.openxmlformats.org/officeDocument/2006/relationships/hyperlink" Target="https://www.nopta.gov.au/_documents/presentations/2019-Acreage-Release-Presentation.pdf" TargetMode="External"/><Relationship Id="rId33" Type="http://schemas.openxmlformats.org/officeDocument/2006/relationships/hyperlink" Target="https://www.nopta.gov.au/_documents/nopta-compliance-enforcement-policy.pdf"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nopta.gov.au/media/self-assessment/index.html" TargetMode="External"/><Relationship Id="rId20" Type="http://schemas.openxmlformats.org/officeDocument/2006/relationships/hyperlink" Target="http://www.industry.gov.au/" TargetMode="External"/><Relationship Id="rId29" Type="http://schemas.openxmlformats.org/officeDocument/2006/relationships/hyperlink" Target="https://www.nopta.gov.au/_documents/fact-sheets/fact-sheet-COVID19-exploration-permits-2020041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opta.gov.au/media/activities-report/index.html" TargetMode="External"/><Relationship Id="rId32" Type="http://schemas.openxmlformats.org/officeDocument/2006/relationships/hyperlink" Target="https://www.nopta.gov.au/_documents/statement-intent-dec2019.pdf" TargetMode="External"/><Relationship Id="rId37" Type="http://schemas.openxmlformats.org/officeDocument/2006/relationships/image" Target="media/image4.png"/><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nopta.gov.au/_documents/NOPTA_Stakeholder_Notice-COVID-19-20200416.pdf" TargetMode="External"/><Relationship Id="rId28" Type="http://schemas.openxmlformats.org/officeDocument/2006/relationships/hyperlink" Target="https://www.nopta.gov.au/_documents/fact-sheets/nopta-elec-signatues-response-to-dermination-2020.docx" TargetMode="External"/><Relationship Id="rId36"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https://www.nopta.gov.au/_documents/nopta-strategic-plan-2020-2023.pdf" TargetMode="External"/><Relationship Id="rId31" Type="http://schemas.openxmlformats.org/officeDocument/2006/relationships/hyperlink" Target="https://www.nopta.gov.au/_documents/statement-expectations-oct201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nopta.gov.au/joint-authorities.html" TargetMode="External"/><Relationship Id="rId27" Type="http://schemas.openxmlformats.org/officeDocument/2006/relationships/hyperlink" Target="https://www.nopta.gov.au/_documents/NOPTA_Stakeholder_Notice-COVID-19-20200416.pdf" TargetMode="External"/><Relationship Id="rId30" Type="http://schemas.openxmlformats.org/officeDocument/2006/relationships/hyperlink" Target="https://www.nopta.gov.au/factsheets/developing-petroleum-resource.html" TargetMode="External"/><Relationship Id="rId35" Type="http://schemas.openxmlformats.org/officeDocument/2006/relationships/hyperlink" Target="mailto:feedback@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cdd73b99-b600-467d-8b05-41f33179978b" xsi:nil="true"/>
    <TaxCatchAll xmlns="cdd73b99-b600-467d-8b05-41f33179978b">
      <Value>2805</Value>
      <Value>58</Value>
      <Value>3603</Value>
      <Value>30</Value>
      <Value>449</Value>
    </TaxCatchAll>
    <_dlc_DocId xmlns="cdd73b99-b600-467d-8b05-41f33179978b">2P6QMCT253UY-902866662-126</_dlc_DocId>
    <_dlc_DocIdUrl xmlns="cdd73b99-b600-467d-8b05-41f33179978b">
      <Url>https://dochub/div/portfoliostrategicpolicy/programmesprojectstaskforces/deregpolicy/regperfframework201617/_layouts/15/DocIdRedir.aspx?ID=2P6QMCT253UY-902866662-126</Url>
      <Description>2P6QMCT253UY-902866662-126</Description>
    </_dlc_DocIdUrl>
    <pe2555c81638466f9eb614edb9ecde52 xmlns="cdd73b99-b600-467d-8b05-41f33179978b">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116a9244-cef6-47ce-a9a5-088c9cf21292</TermId>
        </TermInfo>
      </Terms>
    </pe2555c81638466f9eb614edb9ecde52>
    <n99e4c9942c6404eb103464a00e6097b xmlns="cdd73b99-b600-467d-8b05-41f33179978b">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e5d193cb-0c78-4fe3-8f0c-2a9a33b5d3c7</TermId>
        </TermInfo>
      </Terms>
    </n99e4c9942c6404eb103464a00e6097b>
    <adb9bed2e36e4a93af574aeb444da63e xmlns="cdd73b99-b600-467d-8b05-41f33179978b">
      <Terms xmlns="http://schemas.microsoft.com/office/infopath/2007/PartnerControls">
        <TermInfo xmlns="http://schemas.microsoft.com/office/infopath/2007/PartnerControls">
          <TermName xmlns="http://schemas.microsoft.com/office/infopath/2007/PartnerControls">Regulator Performance Framework</TermName>
          <TermId xmlns="http://schemas.microsoft.com/office/infopath/2007/PartnerControls">2de2864a-ab98-4164-8936-183663f5eafa</TermId>
        </TermInfo>
      </Terms>
    </adb9bed2e36e4a93af574aeb444da63e>
    <aa25a1a23adf4c92a153145de6afe324 xmlns="cdd73b99-b600-467d-8b05-41f33179978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g7bcb40ba23249a78edca7d43a67c1c9 xmlns="cdd73b99-b600-467d-8b05-41f33179978b">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12af97d0-e555-43d0-b3d2-0f0b8e33cc04</TermId>
        </TermInfo>
      </Terms>
    </g7bcb40ba23249a78edca7d43a67c1c9>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4BF4B45A72344EAA177C9F0621EBF5" ma:contentTypeVersion="14" ma:contentTypeDescription="Create a new document." ma:contentTypeScope="" ma:versionID="83df4d713aa75a6b045756c53d2f4bc5">
  <xsd:schema xmlns:xsd="http://www.w3.org/2001/XMLSchema" xmlns:xs="http://www.w3.org/2001/XMLSchema" xmlns:p="http://schemas.microsoft.com/office/2006/metadata/properties" xmlns:ns1="http://schemas.microsoft.com/sharepoint/v3" xmlns:ns2="cdd73b99-b600-467d-8b05-41f33179978b" targetNamespace="http://schemas.microsoft.com/office/2006/metadata/properties" ma:root="true" ma:fieldsID="e570fe36363c79f40ad48a8516fd2fc5" ns1:_="" ns2:_="">
    <xsd:import namespace="http://schemas.microsoft.com/sharepoint/v3"/>
    <xsd:import namespace="cdd73b99-b600-467d-8b05-41f33179978b"/>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d73b99-b600-467d-8b05-41f3317997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948bbdd-aea7-4500-bcec-9d90307b1195}" ma:internalName="TaxCatchAll" ma:showField="CatchAllData" ma:web="cdd73b99-b600-467d-8b05-41f33179978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a26d3d30-c4fe-4058-8dc3-a710e5fd0727"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091CD-73BC-46CF-80B9-953817A26A8A}">
  <ds:schemaRefs>
    <ds:schemaRef ds:uri="http://schemas.microsoft.com/sharepoint/v3"/>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cdd73b99-b600-467d-8b05-41f33179978b"/>
    <ds:schemaRef ds:uri="http://www.w3.org/XML/1998/namespace"/>
  </ds:schemaRefs>
</ds:datastoreItem>
</file>

<file path=customXml/itemProps2.xml><?xml version="1.0" encoding="utf-8"?>
<ds:datastoreItem xmlns:ds="http://schemas.openxmlformats.org/officeDocument/2006/customXml" ds:itemID="{A7462756-8815-4C61-815B-4A65CB84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d73b99-b600-467d-8b05-41f331799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038CB-0C30-4B11-BFF3-F08B39443060}">
  <ds:schemaRefs>
    <ds:schemaRef ds:uri="http://schemas.microsoft.com/sharepoint/events"/>
  </ds:schemaRefs>
</ds:datastoreItem>
</file>

<file path=customXml/itemProps4.xml><?xml version="1.0" encoding="utf-8"?>
<ds:datastoreItem xmlns:ds="http://schemas.openxmlformats.org/officeDocument/2006/customXml" ds:itemID="{E8E3BC41-E558-4452-9DA9-3A76B64768DB}">
  <ds:schemaRefs>
    <ds:schemaRef ds:uri="http://schemas.microsoft.com/sharepoint/v3/contenttype/forms"/>
  </ds:schemaRefs>
</ds:datastoreItem>
</file>

<file path=customXml/itemProps5.xml><?xml version="1.0" encoding="utf-8"?>
<ds:datastoreItem xmlns:ds="http://schemas.openxmlformats.org/officeDocument/2006/customXml" ds:itemID="{CCF011F2-FDBA-4FA4-971E-8611C2766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5397</Words>
  <Characters>30766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NOPTA 2017-18 self-assessment against the Regulator Performance Framework</vt:lpstr>
    </vt:vector>
  </TitlesOfParts>
  <Company/>
  <LinksUpToDate>false</LinksUpToDate>
  <CharactersWithSpaces>36091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NOPTA 2017-18 self-assessment against the Regulator Performance Framework</dc:title>
  <dc:subject/>
  <dc:creator/>
  <cp:keywords>RPF; regulator performance framework</cp:keywords>
  <dc:description/>
  <cp:lastModifiedBy/>
  <cp:revision>1</cp:revision>
  <dcterms:created xsi:type="dcterms:W3CDTF">2020-12-14T05:16:00Z</dcterms:created>
  <dcterms:modified xsi:type="dcterms:W3CDTF">2020-12-14T05:16:00Z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0x010100B74BF4B45A72344EAA177C9F0621EBF5</vt:lpwstr>
  </property>
  <property fmtid="{D5CDD505-2E9C-101B-9397-08002B2CF9AE}" pid="3" name="TaxKeyword">
    <vt:lpwstr>4565;#regulator performance framework|abefd030-eb88-4503-91c5-077c9bb990ea;#4461;#RPF|059d5b5e-53fc-4fb0-95ca-31068f833c83</vt:lpwstr>
  </property>
  <property fmtid="{D5CDD505-2E9C-101B-9397-08002B2CF9AE}" pid="4" name="BusinessFunction">
    <vt:lpwstr>12113;#Legislative Changes and Planning|57655414-be3d-460b-990d-02d56155ef3c</vt:lpwstr>
  </property>
  <property fmtid="{D5CDD505-2E9C-101B-9397-08002B2CF9AE}" pid="5" name="Team">
    <vt:lpwstr/>
  </property>
  <property fmtid="{D5CDD505-2E9C-101B-9397-08002B2CF9AE}" pid="6" name="Titles">
    <vt:lpwstr/>
  </property>
  <property fmtid="{D5CDD505-2E9C-101B-9397-08002B2CF9AE}" pid="7" name="Title Type">
    <vt:lpwstr/>
  </property>
  <property fmtid="{D5CDD505-2E9C-101B-9397-08002B2CF9AE}" pid="8" name="DocumentType">
    <vt:lpwstr/>
  </property>
  <property fmtid="{D5CDD505-2E9C-101B-9397-08002B2CF9AE}" pid="9" name="Offshore Region">
    <vt:lpwstr/>
  </property>
  <property fmtid="{D5CDD505-2E9C-101B-9397-08002B2CF9AE}" pid="10" name="Application Library">
    <vt:lpwstr/>
  </property>
  <property fmtid="{D5CDD505-2E9C-101B-9397-08002B2CF9AE}" pid="11" name="_dlc_DocIdItemGuid">
    <vt:lpwstr>87aa5c1b-b4eb-45cf-b1c9-4c565293f2bd</vt:lpwstr>
  </property>
  <property fmtid="{D5CDD505-2E9C-101B-9397-08002B2CF9AE}" pid="12" name="RecordPoint_WorkflowType">
    <vt:lpwstr>ActiveSubmitStub</vt:lpwstr>
  </property>
  <property fmtid="{D5CDD505-2E9C-101B-9397-08002B2CF9AE}" pid="13" name="RecordPoint_ActiveItemWebId">
    <vt:lpwstr>{1cb09c3b-6bea-4355-94e2-71fef6f9b9df}</vt:lpwstr>
  </property>
  <property fmtid="{D5CDD505-2E9C-101B-9397-08002B2CF9AE}" pid="14" name="RecordPoint_ActiveItemSiteId">
    <vt:lpwstr>{d02ec70a-6101-41fa-8072-ecbec6fd4fd8}</vt:lpwstr>
  </property>
  <property fmtid="{D5CDD505-2E9C-101B-9397-08002B2CF9AE}" pid="15" name="RecordPoint_ActiveItemListId">
    <vt:lpwstr>{8c7e3d1a-eec5-4121-bcb4-f0e0951a3d37}</vt:lpwstr>
  </property>
  <property fmtid="{D5CDD505-2E9C-101B-9397-08002B2CF9AE}" pid="16" name="RecordPoint_ActiveItemUniqueId">
    <vt:lpwstr>{96cf9b80-9d32-46ef-a3d5-4c4555b05347}</vt:lpwstr>
  </property>
  <property fmtid="{D5CDD505-2E9C-101B-9397-08002B2CF9AE}" pid="17" name="RecordPoint_RecordNumberSubmitted">
    <vt:lpwstr>R0000153034</vt:lpwstr>
  </property>
  <property fmtid="{D5CDD505-2E9C-101B-9397-08002B2CF9AE}" pid="18" name="RecordPoint_SubmissionCompleted">
    <vt:lpwstr>2018-11-01T11:48:12.5704616+08:00</vt:lpwstr>
  </property>
  <property fmtid="{D5CDD505-2E9C-101B-9397-08002B2CF9AE}" pid="19" name="MSIP_Label_e1435138-3fd2-487f-a40f-8ee2b61234c9_Enabled">
    <vt:lpwstr>True</vt:lpwstr>
  </property>
  <property fmtid="{D5CDD505-2E9C-101B-9397-08002B2CF9AE}" pid="20" name="MSIP_Label_e1435138-3fd2-487f-a40f-8ee2b61234c9_SiteId">
    <vt:lpwstr>2940859f-ee86-4ee3-848f-02ac9eba62b2</vt:lpwstr>
  </property>
  <property fmtid="{D5CDD505-2E9C-101B-9397-08002B2CF9AE}" pid="21" name="MSIP_Label_e1435138-3fd2-487f-a40f-8ee2b61234c9_Owner">
    <vt:lpwstr>Fiona.Pekin@nopta.gov.au</vt:lpwstr>
  </property>
  <property fmtid="{D5CDD505-2E9C-101B-9397-08002B2CF9AE}" pid="22" name="MSIP_Label_e1435138-3fd2-487f-a40f-8ee2b61234c9_SetDate">
    <vt:lpwstr>2019-08-22T00:38:09.4913870Z</vt:lpwstr>
  </property>
  <property fmtid="{D5CDD505-2E9C-101B-9397-08002B2CF9AE}" pid="23" name="MSIP_Label_e1435138-3fd2-487f-a40f-8ee2b61234c9_Name">
    <vt:lpwstr>For Official Use Only</vt:lpwstr>
  </property>
  <property fmtid="{D5CDD505-2E9C-101B-9397-08002B2CF9AE}" pid="24" name="MSIP_Label_e1435138-3fd2-487f-a40f-8ee2b61234c9_Application">
    <vt:lpwstr>Microsoft Azure Information Protection</vt:lpwstr>
  </property>
  <property fmtid="{D5CDD505-2E9C-101B-9397-08002B2CF9AE}" pid="25" name="MSIP_Label_e1435138-3fd2-487f-a40f-8ee2b61234c9_ActionId">
    <vt:lpwstr>3f1bdf90-aabf-4039-97cd-5cf5ade234a1</vt:lpwstr>
  </property>
  <property fmtid="{D5CDD505-2E9C-101B-9397-08002B2CF9AE}" pid="26" name="MSIP_Label_e1435138-3fd2-487f-a40f-8ee2b61234c9_Extended_MSFT_Method">
    <vt:lpwstr>Manual</vt:lpwstr>
  </property>
  <property fmtid="{D5CDD505-2E9C-101B-9397-08002B2CF9AE}" pid="27" name="Sensitivity">
    <vt:lpwstr>For Official Use Only</vt:lpwstr>
  </property>
  <property fmtid="{D5CDD505-2E9C-101B-9397-08002B2CF9AE}" pid="28" name="DocHub_DocumentType">
    <vt:lpwstr>58;#Report|116a9244-cef6-47ce-a9a5-088c9cf21292</vt:lpwstr>
  </property>
  <property fmtid="{D5CDD505-2E9C-101B-9397-08002B2CF9AE}" pid="29" name="DocHub_SecurityClassification">
    <vt:lpwstr>30;#OFFICIAL|6106d03b-a1a0-4e30-9d91-d5e9fb4314f9</vt:lpwstr>
  </property>
  <property fmtid="{D5CDD505-2E9C-101B-9397-08002B2CF9AE}" pid="30" name="DocHub_WorkActivity">
    <vt:lpwstr>449;#Reporting|12af97d0-e555-43d0-b3d2-0f0b8e33cc04</vt:lpwstr>
  </property>
  <property fmtid="{D5CDD505-2E9C-101B-9397-08002B2CF9AE}" pid="31" name="DocHub_Keywords">
    <vt:lpwstr>2805;#Regulator Performance Framework|2de2864a-ab98-4164-8936-183663f5eafa</vt:lpwstr>
  </property>
  <property fmtid="{D5CDD505-2E9C-101B-9397-08002B2CF9AE}" pid="32" name="DocHub_Year">
    <vt:lpwstr>3603;#2019-20|e5d193cb-0c78-4fe3-8f0c-2a9a33b5d3c7</vt:lpwstr>
  </property>
</Properties>
</file>